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FBF98" w14:textId="77777777" w:rsidR="008B3572" w:rsidRPr="00E828C2" w:rsidRDefault="00D367E8" w:rsidP="00222A50">
      <w:pPr>
        <w:spacing w:line="276" w:lineRule="auto"/>
        <w:jc w:val="left"/>
        <w:rPr>
          <w:b/>
          <w:bCs/>
          <w:sz w:val="32"/>
          <w:szCs w:val="32"/>
        </w:rPr>
      </w:pPr>
      <w:r w:rsidRPr="00E828C2">
        <w:rPr>
          <w:b/>
          <w:bCs/>
          <w:sz w:val="32"/>
          <w:szCs w:val="32"/>
        </w:rPr>
        <w:t>Personality Disorder</w:t>
      </w:r>
      <w:r w:rsidR="00AC3ED3">
        <w:rPr>
          <w:b/>
          <w:bCs/>
          <w:sz w:val="32"/>
          <w:szCs w:val="32"/>
        </w:rPr>
        <w:t xml:space="preserve"> in</w:t>
      </w:r>
      <w:r w:rsidRPr="00E828C2">
        <w:rPr>
          <w:b/>
          <w:bCs/>
          <w:sz w:val="32"/>
          <w:szCs w:val="32"/>
        </w:rPr>
        <w:t xml:space="preserve"> Mental Health Law</w:t>
      </w:r>
      <w:r w:rsidR="00AC3ED3">
        <w:rPr>
          <w:b/>
          <w:bCs/>
          <w:sz w:val="32"/>
          <w:szCs w:val="32"/>
        </w:rPr>
        <w:t xml:space="preserve"> </w:t>
      </w:r>
      <w:r w:rsidR="005E2BCD">
        <w:rPr>
          <w:b/>
          <w:bCs/>
          <w:sz w:val="32"/>
          <w:szCs w:val="32"/>
        </w:rPr>
        <w:t>and Criminal Law</w:t>
      </w:r>
    </w:p>
    <w:p w14:paraId="38D62BD8" w14:textId="56EA6BFC" w:rsidR="00D367E8" w:rsidRPr="0013158D" w:rsidRDefault="00D367E8" w:rsidP="00222A50">
      <w:pPr>
        <w:spacing w:line="276" w:lineRule="auto"/>
        <w:jc w:val="left"/>
      </w:pPr>
      <w:r>
        <w:t xml:space="preserve">Chapter for the </w:t>
      </w:r>
      <w:r w:rsidRPr="0013158D">
        <w:rPr>
          <w:i/>
          <w:iCs/>
        </w:rPr>
        <w:t>Routledge Handbook of Mental Health Law</w:t>
      </w:r>
      <w:r w:rsidR="0013158D">
        <w:t>, edited by Mary Donnelly and Brendan Kelly.</w:t>
      </w:r>
    </w:p>
    <w:p w14:paraId="0B5CE09A" w14:textId="77777777" w:rsidR="00D739FD" w:rsidRDefault="00D739FD" w:rsidP="00222A50">
      <w:pPr>
        <w:spacing w:line="276" w:lineRule="auto"/>
        <w:jc w:val="left"/>
      </w:pPr>
    </w:p>
    <w:p w14:paraId="3811E002" w14:textId="2C0FEB97" w:rsidR="000A614C" w:rsidRDefault="00D739FD" w:rsidP="00222A50">
      <w:pPr>
        <w:spacing w:line="276" w:lineRule="auto"/>
        <w:jc w:val="left"/>
      </w:pPr>
      <w:r>
        <w:t>Dr Ailbhe O’Loughlin</w:t>
      </w:r>
    </w:p>
    <w:p w14:paraId="0CD69F10" w14:textId="76C620D8" w:rsidR="000A614C" w:rsidRDefault="000A614C" w:rsidP="00222A50">
      <w:pPr>
        <w:spacing w:line="276" w:lineRule="auto"/>
        <w:jc w:val="left"/>
      </w:pPr>
      <w:r>
        <w:t xml:space="preserve">Senior Lecturer in Law, </w:t>
      </w:r>
      <w:r w:rsidR="00D367E8">
        <w:t>York Law School</w:t>
      </w:r>
      <w:r>
        <w:t>, University of York</w:t>
      </w:r>
    </w:p>
    <w:p w14:paraId="170DAA2F" w14:textId="25184FD9" w:rsidR="000A614C" w:rsidRDefault="000A614C" w:rsidP="00222A50">
      <w:pPr>
        <w:spacing w:line="276" w:lineRule="auto"/>
        <w:jc w:val="left"/>
      </w:pPr>
    </w:p>
    <w:p w14:paraId="30BC047C" w14:textId="5D4BA446" w:rsidR="000A614C" w:rsidRDefault="000A614C" w:rsidP="00222A50">
      <w:pPr>
        <w:spacing w:line="276" w:lineRule="auto"/>
        <w:jc w:val="left"/>
      </w:pPr>
      <w:r>
        <w:t>Abstract</w:t>
      </w:r>
    </w:p>
    <w:p w14:paraId="39E9FB01" w14:textId="0E01D261" w:rsidR="000A614C" w:rsidRDefault="000A614C" w:rsidP="00155599">
      <w:pPr>
        <w:spacing w:line="276" w:lineRule="auto"/>
      </w:pPr>
      <w:r>
        <w:t xml:space="preserve">Significant advances have been made in understanding the aetiology and life-course of personality disorder and it is no longer widely considered to be untreatable. Nevertheless, thorny normative issues remain. </w:t>
      </w:r>
      <w:r>
        <w:rPr>
          <w:lang w:eastAsia="en-GB"/>
        </w:rPr>
        <w:t>This chapter explores the evolving psychiatric understandings of personality disorder and the persistent stigma that surrounds the diagnosis despite recent efforts to reduce it. It evaluates concepts of ‘treatability’ in the law of England and Wales and considers recent proposals to reform the Mental Health Act 1983. Finally, it explores how the i</w:t>
      </w:r>
      <w:r w:rsidRPr="00352825">
        <w:rPr>
          <w:lang w:eastAsia="en-GB"/>
        </w:rPr>
        <w:t>ntersections between mental health law, criminal law and human rights law</w:t>
      </w:r>
      <w:r>
        <w:rPr>
          <w:lang w:eastAsia="en-GB"/>
        </w:rPr>
        <w:t xml:space="preserve"> affect offenders with personality disorders. </w:t>
      </w:r>
      <w:r w:rsidRPr="004114A0">
        <w:rPr>
          <w:lang w:eastAsia="en-GB"/>
        </w:rPr>
        <w:t xml:space="preserve">By </w:t>
      </w:r>
      <w:r>
        <w:rPr>
          <w:lang w:eastAsia="en-GB"/>
        </w:rPr>
        <w:t>drawing these threads together</w:t>
      </w:r>
      <w:r w:rsidRPr="004114A0">
        <w:rPr>
          <w:lang w:eastAsia="en-GB"/>
        </w:rPr>
        <w:t xml:space="preserve">, this chapter </w:t>
      </w:r>
      <w:r>
        <w:rPr>
          <w:lang w:eastAsia="en-GB"/>
        </w:rPr>
        <w:t xml:space="preserve">highlights how </w:t>
      </w:r>
      <w:r>
        <w:t>people diagnosed with personality disorders can find themselves excluded both from legal protections accorded to people with mental disorders under</w:t>
      </w:r>
      <w:r w:rsidRPr="00721059">
        <w:t xml:space="preserve"> </w:t>
      </w:r>
      <w:r>
        <w:t>criminal law and from legal protections accorded to people with no mental disorder</w:t>
      </w:r>
      <w:r w:rsidRPr="0036159E">
        <w:t xml:space="preserve"> </w:t>
      </w:r>
      <w:r>
        <w:t>under mental health law. This looks set to continue, as</w:t>
      </w:r>
      <w:r>
        <w:rPr>
          <w:lang w:eastAsia="en-GB"/>
        </w:rPr>
        <w:t xml:space="preserve"> </w:t>
      </w:r>
      <w:r>
        <w:t xml:space="preserve">legal reforms in pursuit of person-centred and rights-respecting mental health care continue to be hampered by risk aversion towards offenders diagnosed with mental disorders. </w:t>
      </w:r>
    </w:p>
    <w:p w14:paraId="5A470149" w14:textId="77777777" w:rsidR="00A6272E" w:rsidRDefault="00A6272E" w:rsidP="006F07EF">
      <w:pPr>
        <w:spacing w:line="276" w:lineRule="auto"/>
      </w:pPr>
    </w:p>
    <w:p w14:paraId="710930F2" w14:textId="77777777" w:rsidR="00C752E0" w:rsidRPr="00C752E0" w:rsidRDefault="00C752E0" w:rsidP="006F07EF">
      <w:pPr>
        <w:spacing w:line="276" w:lineRule="auto"/>
        <w:rPr>
          <w:b/>
          <w:bCs/>
        </w:rPr>
      </w:pPr>
      <w:r w:rsidRPr="00C752E0">
        <w:rPr>
          <w:b/>
          <w:bCs/>
        </w:rPr>
        <w:t>Introduction</w:t>
      </w:r>
    </w:p>
    <w:p w14:paraId="08A7B58B" w14:textId="4ADD5FAB" w:rsidR="006F2CDA" w:rsidRPr="00AB6F62" w:rsidRDefault="00CE0476" w:rsidP="000D4724">
      <w:pPr>
        <w:spacing w:line="276" w:lineRule="auto"/>
      </w:pPr>
      <w:r>
        <w:t xml:space="preserve">Over the last two decades, </w:t>
      </w:r>
      <w:r w:rsidR="00A273E7">
        <w:t>significant advances</w:t>
      </w:r>
      <w:r w:rsidR="00030ACA">
        <w:t xml:space="preserve"> have been made</w:t>
      </w:r>
      <w:r w:rsidR="00A273E7">
        <w:t xml:space="preserve"> in</w:t>
      </w:r>
      <w:r w:rsidR="00AC7652">
        <w:t xml:space="preserve"> </w:t>
      </w:r>
      <w:r w:rsidR="00A273E7">
        <w:t>understanding the aetiology</w:t>
      </w:r>
      <w:r w:rsidR="007C2E69">
        <w:t xml:space="preserve"> and</w:t>
      </w:r>
      <w:r w:rsidR="00A273E7">
        <w:t xml:space="preserve"> life-course</w:t>
      </w:r>
      <w:r w:rsidR="00AC7652">
        <w:t xml:space="preserve"> of personality disorder, and people </w:t>
      </w:r>
      <w:r w:rsidR="009B1432">
        <w:t xml:space="preserve">given </w:t>
      </w:r>
      <w:r w:rsidR="00AC7652">
        <w:t>the diagnosis are</w:t>
      </w:r>
      <w:r w:rsidR="002C5276">
        <w:t xml:space="preserve"> no longer widely considered untreatable </w:t>
      </w:r>
      <w:r w:rsidR="002C5276" w:rsidRPr="002C5276">
        <w:rPr>
          <w:noProof/>
        </w:rPr>
        <w:t>(Pickersgill, 2013)</w:t>
      </w:r>
      <w:r w:rsidR="002C5276">
        <w:t xml:space="preserve">. Nevertheless, </w:t>
      </w:r>
      <w:r w:rsidR="007D5AD1">
        <w:t xml:space="preserve">thorny </w:t>
      </w:r>
      <w:r w:rsidR="00A273E7">
        <w:t>normative issues remain</w:t>
      </w:r>
      <w:r w:rsidR="00157421">
        <w:t xml:space="preserve">. </w:t>
      </w:r>
      <w:r w:rsidR="00B8618D">
        <w:t>P</w:t>
      </w:r>
      <w:r w:rsidR="00A273E7">
        <w:t>ersonality disorder</w:t>
      </w:r>
      <w:r w:rsidR="00B8618D">
        <w:t xml:space="preserve"> has long been criticised as</w:t>
      </w:r>
      <w:r w:rsidR="00A273E7">
        <w:t xml:space="preserve"> a </w:t>
      </w:r>
      <w:r w:rsidR="008E0947">
        <w:t>‘</w:t>
      </w:r>
      <w:r w:rsidR="00A273E7" w:rsidRPr="009A0886">
        <w:t>moral judgement masquerading as a clinical diagnosis</w:t>
      </w:r>
      <w:r w:rsidR="008E0947">
        <w:t>’</w:t>
      </w:r>
      <w:r w:rsidR="00551E0E">
        <w:t xml:space="preserve"> </w:t>
      </w:r>
      <w:r w:rsidR="00551E0E" w:rsidRPr="00551E0E">
        <w:rPr>
          <w:noProof/>
        </w:rPr>
        <w:t>(Blackburn, 1988, p. 511)</w:t>
      </w:r>
      <w:r w:rsidR="00A273E7" w:rsidRPr="009A0886">
        <w:t xml:space="preserve"> </w:t>
      </w:r>
      <w:r w:rsidR="00551E0E">
        <w:t xml:space="preserve">and </w:t>
      </w:r>
      <w:r w:rsidR="00E5028B">
        <w:t xml:space="preserve">is </w:t>
      </w:r>
      <w:r w:rsidR="001840A5">
        <w:t xml:space="preserve">associated with negative </w:t>
      </w:r>
      <w:r w:rsidR="00FE49DB">
        <w:t xml:space="preserve">professional </w:t>
      </w:r>
      <w:r w:rsidR="001840A5">
        <w:t xml:space="preserve">attitudes </w:t>
      </w:r>
      <w:r w:rsidR="001840A5" w:rsidRPr="001840A5">
        <w:rPr>
          <w:noProof/>
        </w:rPr>
        <w:t xml:space="preserve">(Bowers </w:t>
      </w:r>
      <w:r w:rsidR="001840A5" w:rsidRPr="001840A5">
        <w:rPr>
          <w:i/>
          <w:noProof/>
        </w:rPr>
        <w:t>et al.</w:t>
      </w:r>
      <w:r w:rsidR="001840A5" w:rsidRPr="001840A5">
        <w:rPr>
          <w:noProof/>
        </w:rPr>
        <w:t>, 2006)</w:t>
      </w:r>
      <w:r w:rsidR="001840A5">
        <w:t>.</w:t>
      </w:r>
      <w:r w:rsidR="009C7857">
        <w:t xml:space="preserve"> </w:t>
      </w:r>
      <w:r w:rsidR="00770DB0">
        <w:t xml:space="preserve">For </w:t>
      </w:r>
      <w:r w:rsidR="00725FA7">
        <w:t>people</w:t>
      </w:r>
      <w:r w:rsidR="00770DB0">
        <w:t xml:space="preserve"> with lived experience of the diagnosis, it</w:t>
      </w:r>
      <w:r w:rsidR="00B8618D">
        <w:t xml:space="preserve"> </w:t>
      </w:r>
      <w:r w:rsidR="00E5028B">
        <w:t>evokes</w:t>
      </w:r>
      <w:r w:rsidR="00B8618D">
        <w:t xml:space="preserve"> stigma,</w:t>
      </w:r>
      <w:r w:rsidR="00770DB0">
        <w:t xml:space="preserve"> shame,</w:t>
      </w:r>
      <w:r w:rsidR="00B8618D">
        <w:t xml:space="preserve"> hopelessness,</w:t>
      </w:r>
      <w:r w:rsidR="007A34C1">
        <w:t xml:space="preserve"> </w:t>
      </w:r>
      <w:r w:rsidR="00B8618D">
        <w:t xml:space="preserve">and rejection </w:t>
      </w:r>
      <w:r w:rsidR="007A34C1" w:rsidRPr="007A34C1">
        <w:rPr>
          <w:noProof/>
        </w:rPr>
        <w:t xml:space="preserve">(Lamph </w:t>
      </w:r>
      <w:r w:rsidR="007A34C1" w:rsidRPr="007A34C1">
        <w:rPr>
          <w:i/>
          <w:noProof/>
        </w:rPr>
        <w:t>et al.</w:t>
      </w:r>
      <w:r w:rsidR="007A34C1" w:rsidRPr="007A34C1">
        <w:rPr>
          <w:noProof/>
        </w:rPr>
        <w:t>, 2022)</w:t>
      </w:r>
      <w:r w:rsidR="00B8618D">
        <w:t>.</w:t>
      </w:r>
      <w:r w:rsidR="00135340">
        <w:t xml:space="preserve"> For </w:t>
      </w:r>
      <w:r w:rsidR="00436FD6">
        <w:t>offend</w:t>
      </w:r>
      <w:r w:rsidR="00EB1E3A">
        <w:t>ers</w:t>
      </w:r>
      <w:r w:rsidR="00436FD6">
        <w:t xml:space="preserve">, a diagnosis can </w:t>
      </w:r>
      <w:r w:rsidR="00725FA7">
        <w:t xml:space="preserve">open the door to </w:t>
      </w:r>
      <w:r w:rsidR="00436FD6">
        <w:t>long-term detention under the M</w:t>
      </w:r>
      <w:r w:rsidR="0049000B">
        <w:t xml:space="preserve">ental </w:t>
      </w:r>
      <w:r w:rsidR="00436FD6">
        <w:t>H</w:t>
      </w:r>
      <w:r w:rsidR="0049000B">
        <w:t xml:space="preserve">ealth </w:t>
      </w:r>
      <w:r w:rsidR="00436FD6">
        <w:t>A</w:t>
      </w:r>
      <w:r w:rsidR="0049000B">
        <w:t>ct (MHA)</w:t>
      </w:r>
      <w:r w:rsidR="00436FD6">
        <w:t xml:space="preserve"> 1983</w:t>
      </w:r>
      <w:r w:rsidR="00111C0B">
        <w:t>. Moreover</w:t>
      </w:r>
      <w:r w:rsidR="00E30162">
        <w:t xml:space="preserve">, the evidence base for treating personality disorders common amongst offending populations continues to be limited. </w:t>
      </w:r>
      <w:r w:rsidR="00AE7F10">
        <w:t>Consequently</w:t>
      </w:r>
      <w:r w:rsidR="00E30162">
        <w:t xml:space="preserve">, </w:t>
      </w:r>
      <w:r w:rsidR="00AE7F10">
        <w:t xml:space="preserve">offenders with personality disorder </w:t>
      </w:r>
      <w:r w:rsidR="00E30162">
        <w:t>detained in hospital</w:t>
      </w:r>
      <w:r w:rsidR="00DA7362">
        <w:t xml:space="preserve"> to protect the public</w:t>
      </w:r>
      <w:r w:rsidR="00AE7F10">
        <w:t xml:space="preserve"> </w:t>
      </w:r>
      <w:r w:rsidR="00E30162">
        <w:t xml:space="preserve">often have </w:t>
      </w:r>
      <w:r w:rsidR="006F2CDA">
        <w:t>li</w:t>
      </w:r>
      <w:r w:rsidR="00E30162">
        <w:t>mited</w:t>
      </w:r>
      <w:r w:rsidR="006F2CDA">
        <w:t xml:space="preserve"> prospect</w:t>
      </w:r>
      <w:r w:rsidR="00786A6B">
        <w:t>s</w:t>
      </w:r>
      <w:r w:rsidR="006F2CDA">
        <w:t xml:space="preserve"> of reintegration into the community</w:t>
      </w:r>
      <w:r w:rsidR="00436FD6">
        <w:t xml:space="preserve">. </w:t>
      </w:r>
    </w:p>
    <w:p w14:paraId="18F3BBA9" w14:textId="0017BEC1" w:rsidR="006E0135" w:rsidRDefault="006E0135" w:rsidP="006E0135">
      <w:pPr>
        <w:spacing w:line="276" w:lineRule="auto"/>
      </w:pPr>
      <w:r>
        <w:rPr>
          <w:lang w:eastAsia="en-GB"/>
        </w:rPr>
        <w:t>This chapter first explores the evolving psychiatric understandings of personality disorder and the persistent stigma that surrounds the diagnosis despite recent efforts to reduce it. It then evaluates the concept of ‘</w:t>
      </w:r>
      <w:r w:rsidRPr="00352825">
        <w:rPr>
          <w:lang w:eastAsia="en-GB"/>
        </w:rPr>
        <w:t>treatability</w:t>
      </w:r>
      <w:r>
        <w:rPr>
          <w:lang w:eastAsia="en-GB"/>
        </w:rPr>
        <w:t>’ in the former MHA 1983 and its replacement, ‘</w:t>
      </w:r>
      <w:r w:rsidRPr="00352825">
        <w:rPr>
          <w:lang w:eastAsia="en-GB"/>
        </w:rPr>
        <w:t>appropriate</w:t>
      </w:r>
      <w:r>
        <w:rPr>
          <w:lang w:eastAsia="en-GB"/>
        </w:rPr>
        <w:t xml:space="preserve"> medical</w:t>
      </w:r>
      <w:r w:rsidRPr="00352825">
        <w:rPr>
          <w:lang w:eastAsia="en-GB"/>
        </w:rPr>
        <w:t xml:space="preserve"> treatment</w:t>
      </w:r>
      <w:r>
        <w:rPr>
          <w:lang w:eastAsia="en-GB"/>
        </w:rPr>
        <w:t xml:space="preserve">’, and considers recent reform proposals from the </w:t>
      </w:r>
      <w:proofErr w:type="spellStart"/>
      <w:r>
        <w:rPr>
          <w:lang w:eastAsia="en-GB"/>
        </w:rPr>
        <w:t>Wessely</w:t>
      </w:r>
      <w:proofErr w:type="spellEnd"/>
      <w:r>
        <w:rPr>
          <w:lang w:eastAsia="en-GB"/>
        </w:rPr>
        <w:t xml:space="preserve"> </w:t>
      </w:r>
      <w:r>
        <w:rPr>
          <w:lang w:eastAsia="en-GB"/>
        </w:rPr>
        <w:lastRenderedPageBreak/>
        <w:t xml:space="preserve">Review </w:t>
      </w:r>
      <w:r w:rsidRPr="009D4132">
        <w:rPr>
          <w:noProof/>
          <w:lang w:eastAsia="en-GB"/>
        </w:rPr>
        <w:t>(Department of Health and Social Care, 2018)</w:t>
      </w:r>
      <w:r w:rsidR="00D234CB">
        <w:rPr>
          <w:noProof/>
          <w:lang w:eastAsia="en-GB"/>
        </w:rPr>
        <w:t>,</w:t>
      </w:r>
      <w:r>
        <w:rPr>
          <w:lang w:eastAsia="en-GB"/>
        </w:rPr>
        <w:t xml:space="preserve"> the White Paper </w:t>
      </w:r>
      <w:r w:rsidRPr="009D4132">
        <w:rPr>
          <w:i/>
          <w:iCs/>
          <w:lang w:eastAsia="en-GB"/>
        </w:rPr>
        <w:t>Reforming the Mental Health Act</w:t>
      </w:r>
      <w:r>
        <w:rPr>
          <w:i/>
          <w:iCs/>
          <w:lang w:eastAsia="en-GB"/>
        </w:rPr>
        <w:t xml:space="preserve"> </w:t>
      </w:r>
      <w:r w:rsidRPr="000F5C94">
        <w:rPr>
          <w:iCs/>
          <w:noProof/>
          <w:lang w:eastAsia="en-GB"/>
        </w:rPr>
        <w:t>(Department of Health and Social Care and Ministry of Justice, 2021)</w:t>
      </w:r>
      <w:r w:rsidR="00D234CB">
        <w:rPr>
          <w:iCs/>
          <w:noProof/>
          <w:lang w:eastAsia="en-GB"/>
        </w:rPr>
        <w:t>,</w:t>
      </w:r>
      <w:r w:rsidR="00D234CB">
        <w:rPr>
          <w:lang w:eastAsia="en-GB"/>
        </w:rPr>
        <w:t xml:space="preserve"> and the Draft Mental Health Bill 2022.</w:t>
      </w:r>
      <w:r>
        <w:rPr>
          <w:lang w:eastAsia="en-GB"/>
        </w:rPr>
        <w:t xml:space="preserve"> Finally, it explores </w:t>
      </w:r>
      <w:r w:rsidR="00515998">
        <w:rPr>
          <w:lang w:eastAsia="en-GB"/>
        </w:rPr>
        <w:t xml:space="preserve">how </w:t>
      </w:r>
      <w:r>
        <w:rPr>
          <w:lang w:eastAsia="en-GB"/>
        </w:rPr>
        <w:t>the i</w:t>
      </w:r>
      <w:r w:rsidRPr="00352825">
        <w:rPr>
          <w:lang w:eastAsia="en-GB"/>
        </w:rPr>
        <w:t>ntersections between mental health law, criminal law and human rights law</w:t>
      </w:r>
      <w:r w:rsidR="00515998">
        <w:rPr>
          <w:lang w:eastAsia="en-GB"/>
        </w:rPr>
        <w:t xml:space="preserve"> affect people with personality disorder</w:t>
      </w:r>
      <w:r w:rsidR="00B21FFC">
        <w:rPr>
          <w:lang w:eastAsia="en-GB"/>
        </w:rPr>
        <w:t>s</w:t>
      </w:r>
      <w:r>
        <w:rPr>
          <w:lang w:eastAsia="en-GB"/>
        </w:rPr>
        <w:t xml:space="preserve">. </w:t>
      </w:r>
    </w:p>
    <w:p w14:paraId="191CBA18" w14:textId="6F87FD62" w:rsidR="005A4016" w:rsidRPr="006F2CDA" w:rsidRDefault="002F1AB7" w:rsidP="005A4016">
      <w:pPr>
        <w:spacing w:line="276" w:lineRule="auto"/>
      </w:pPr>
      <w:r w:rsidRPr="004114A0">
        <w:rPr>
          <w:lang w:eastAsia="en-GB"/>
        </w:rPr>
        <w:t xml:space="preserve">By </w:t>
      </w:r>
      <w:r w:rsidR="009C4CF2">
        <w:rPr>
          <w:lang w:eastAsia="en-GB"/>
        </w:rPr>
        <w:t>drawing these threads together</w:t>
      </w:r>
      <w:r w:rsidR="00762362" w:rsidRPr="004114A0">
        <w:rPr>
          <w:lang w:eastAsia="en-GB"/>
        </w:rPr>
        <w:t xml:space="preserve">, this chapter </w:t>
      </w:r>
      <w:r w:rsidR="0006450E">
        <w:rPr>
          <w:lang w:eastAsia="en-GB"/>
        </w:rPr>
        <w:t xml:space="preserve">highlights </w:t>
      </w:r>
      <w:r w:rsidR="006B4F49">
        <w:rPr>
          <w:lang w:eastAsia="en-GB"/>
        </w:rPr>
        <w:t xml:space="preserve">key </w:t>
      </w:r>
      <w:r w:rsidR="00C10B53">
        <w:rPr>
          <w:lang w:eastAsia="en-GB"/>
        </w:rPr>
        <w:t xml:space="preserve">tensions </w:t>
      </w:r>
      <w:r w:rsidR="004114A0">
        <w:rPr>
          <w:lang w:eastAsia="en-GB"/>
        </w:rPr>
        <w:t>in the law</w:t>
      </w:r>
      <w:r w:rsidR="0006450E">
        <w:rPr>
          <w:lang w:eastAsia="en-GB"/>
        </w:rPr>
        <w:t>.</w:t>
      </w:r>
      <w:r w:rsidR="00755231">
        <w:rPr>
          <w:lang w:eastAsia="en-GB"/>
        </w:rPr>
        <w:t xml:space="preserve"> For </w:t>
      </w:r>
      <w:r w:rsidR="00B21FFC">
        <w:rPr>
          <w:lang w:eastAsia="en-GB"/>
        </w:rPr>
        <w:t xml:space="preserve">many </w:t>
      </w:r>
      <w:r w:rsidR="00755231">
        <w:rPr>
          <w:lang w:eastAsia="en-GB"/>
        </w:rPr>
        <w:t xml:space="preserve">people with personality disorder, their disorders are not sufficient to protect them from conviction and punishment in the criminal law, yet they can be detained and treated against their will under mental health law. In addition, their disorders can be deemed insufficiently treatable to warrant a therapeutic disposal at sentencing, yet </w:t>
      </w:r>
      <w:r w:rsidR="00892890">
        <w:rPr>
          <w:lang w:eastAsia="en-GB"/>
        </w:rPr>
        <w:t xml:space="preserve">they can be detained post-sentence in a psychiatric hospital on the basis that </w:t>
      </w:r>
      <w:r w:rsidR="00755231">
        <w:rPr>
          <w:lang w:eastAsia="en-GB"/>
        </w:rPr>
        <w:t>appropriate medical treatment is available</w:t>
      </w:r>
      <w:r w:rsidR="00B21FFC">
        <w:rPr>
          <w:lang w:eastAsia="en-GB"/>
        </w:rPr>
        <w:t xml:space="preserve"> for them</w:t>
      </w:r>
      <w:r w:rsidR="00755231">
        <w:rPr>
          <w:lang w:eastAsia="en-GB"/>
        </w:rPr>
        <w:t xml:space="preserve">. </w:t>
      </w:r>
      <w:r w:rsidR="008A361D">
        <w:t>Consequently</w:t>
      </w:r>
      <w:r w:rsidR="00F84709">
        <w:t xml:space="preserve">, people diagnosed with personality disorders seem to get a ‘raw deal’ </w:t>
      </w:r>
      <w:r w:rsidR="00F84709" w:rsidRPr="000A67C6">
        <w:rPr>
          <w:noProof/>
        </w:rPr>
        <w:t>(Pickard, 2015, p. 16)</w:t>
      </w:r>
      <w:r w:rsidR="00F84709">
        <w:t xml:space="preserve">. They </w:t>
      </w:r>
      <w:r w:rsidR="00755231">
        <w:t>can</w:t>
      </w:r>
      <w:r w:rsidR="00F84709">
        <w:t xml:space="preserve"> find themselves excluded </w:t>
      </w:r>
      <w:r w:rsidR="00CB2556">
        <w:t xml:space="preserve">both </w:t>
      </w:r>
      <w:r w:rsidR="00F84709">
        <w:t>from legal protections accorded to people with mental disorders under</w:t>
      </w:r>
      <w:r w:rsidR="00F84709" w:rsidRPr="00721059">
        <w:t xml:space="preserve"> </w:t>
      </w:r>
      <w:r w:rsidR="00F84709">
        <w:t>criminal law and</w:t>
      </w:r>
      <w:r w:rsidR="00611971">
        <w:t xml:space="preserve"> </w:t>
      </w:r>
      <w:r w:rsidR="00CB2556">
        <w:t xml:space="preserve">from legal </w:t>
      </w:r>
      <w:r w:rsidR="00611971">
        <w:t>protections accorded</w:t>
      </w:r>
      <w:r w:rsidR="00F84709">
        <w:t xml:space="preserve"> to people with no mental disorder</w:t>
      </w:r>
      <w:r w:rsidR="00F84709" w:rsidRPr="0036159E">
        <w:t xml:space="preserve"> </w:t>
      </w:r>
      <w:r w:rsidR="00F84709">
        <w:t>under mental health law.</w:t>
      </w:r>
      <w:r w:rsidR="008B44CA">
        <w:t xml:space="preserve"> This looks set to continue, as</w:t>
      </w:r>
      <w:r w:rsidR="008A361D">
        <w:rPr>
          <w:lang w:eastAsia="en-GB"/>
        </w:rPr>
        <w:t xml:space="preserve"> </w:t>
      </w:r>
      <w:r w:rsidR="003823B8">
        <w:t>legal reforms in pursuit of</w:t>
      </w:r>
      <w:r w:rsidR="005A4016">
        <w:t xml:space="preserve"> person-centred and rights-respecting mental health care </w:t>
      </w:r>
      <w:r w:rsidR="00CB2556">
        <w:t>continue to be</w:t>
      </w:r>
      <w:r w:rsidR="005A4016">
        <w:t xml:space="preserve"> hampered by risk aversion within government towards </w:t>
      </w:r>
      <w:r w:rsidR="00CC1695">
        <w:t>offenders diagnosed with</w:t>
      </w:r>
      <w:r w:rsidR="005A4016">
        <w:t xml:space="preserve"> mental disorders. </w:t>
      </w:r>
    </w:p>
    <w:p w14:paraId="7E1BF7D1" w14:textId="77777777" w:rsidR="001B1DE7" w:rsidRDefault="001B1DE7" w:rsidP="006F07EF">
      <w:pPr>
        <w:spacing w:line="276" w:lineRule="auto"/>
      </w:pPr>
    </w:p>
    <w:p w14:paraId="11FF099C" w14:textId="77777777" w:rsidR="00AD769D" w:rsidRPr="00913884" w:rsidRDefault="00AD769D" w:rsidP="006F07EF">
      <w:pPr>
        <w:spacing w:line="276" w:lineRule="auto"/>
        <w:rPr>
          <w:b/>
          <w:bCs/>
        </w:rPr>
      </w:pPr>
      <w:r w:rsidRPr="00913884">
        <w:rPr>
          <w:b/>
          <w:bCs/>
        </w:rPr>
        <w:t>Defining personality disorder</w:t>
      </w:r>
      <w:r w:rsidR="00D94C17" w:rsidRPr="00913884">
        <w:rPr>
          <w:b/>
          <w:bCs/>
        </w:rPr>
        <w:t>: evolving clinical models</w:t>
      </w:r>
    </w:p>
    <w:p w14:paraId="002062BE" w14:textId="4508D8A0" w:rsidR="003F1802" w:rsidRDefault="00D53751" w:rsidP="006F07EF">
      <w:pPr>
        <w:spacing w:line="276" w:lineRule="auto"/>
      </w:pPr>
      <w:r>
        <w:t>Personality disorder is a much-debated diagnosis</w:t>
      </w:r>
      <w:r w:rsidR="002B260B">
        <w:t xml:space="preserve"> in psychiatry</w:t>
      </w:r>
      <w:r w:rsidR="009465FE">
        <w:t xml:space="preserve"> and</w:t>
      </w:r>
      <w:r w:rsidR="0050273E">
        <w:t xml:space="preserve"> has undergone significant conceptual shifts over time. </w:t>
      </w:r>
      <w:r w:rsidR="00143747">
        <w:t xml:space="preserve">Debates </w:t>
      </w:r>
      <w:r w:rsidR="00EF406B">
        <w:t>in the psychiatric literature</w:t>
      </w:r>
      <w:r w:rsidR="00143747">
        <w:t xml:space="preserve"> focus primarily on whether </w:t>
      </w:r>
      <w:r w:rsidR="009465FE">
        <w:t xml:space="preserve">diagnostic systems </w:t>
      </w:r>
      <w:r w:rsidR="00143747">
        <w:t xml:space="preserve">should </w:t>
      </w:r>
      <w:r w:rsidR="009465FE">
        <w:t xml:space="preserve">describe personality disorders </w:t>
      </w:r>
      <w:r w:rsidR="001B1DE7">
        <w:t>as</w:t>
      </w:r>
      <w:r w:rsidR="00143747">
        <w:t xml:space="preserve"> </w:t>
      </w:r>
      <w:r w:rsidR="006B0349">
        <w:t xml:space="preserve">a set of </w:t>
      </w:r>
      <w:r w:rsidR="00143747">
        <w:t>categories</w:t>
      </w:r>
      <w:r w:rsidR="00395695">
        <w:t>, separate from</w:t>
      </w:r>
      <w:r w:rsidR="006B0349">
        <w:t xml:space="preserve"> each other and distinct from</w:t>
      </w:r>
      <w:r w:rsidR="00395695">
        <w:t xml:space="preserve"> normal</w:t>
      </w:r>
      <w:r w:rsidR="00D83903">
        <w:t xml:space="preserve"> personality</w:t>
      </w:r>
      <w:r w:rsidR="00395695">
        <w:t xml:space="preserve">, or as extremes </w:t>
      </w:r>
      <w:r w:rsidR="00623F0A">
        <w:t>al</w:t>
      </w:r>
      <w:r w:rsidR="007135BC">
        <w:t>on</w:t>
      </w:r>
      <w:r w:rsidR="00623F0A">
        <w:t>g</w:t>
      </w:r>
      <w:r w:rsidR="007135BC">
        <w:t xml:space="preserve"> a spectrum with</w:t>
      </w:r>
      <w:r w:rsidR="00143747">
        <w:t xml:space="preserve"> normal personality </w:t>
      </w:r>
      <w:r w:rsidR="00395695">
        <w:t xml:space="preserve">and behaviour </w:t>
      </w:r>
      <w:r w:rsidR="00395695" w:rsidRPr="00395695">
        <w:rPr>
          <w:noProof/>
        </w:rPr>
        <w:t>(Coolidge and Segal, 1998, p. 592)</w:t>
      </w:r>
      <w:r w:rsidR="00143747">
        <w:t>.</w:t>
      </w:r>
      <w:r w:rsidR="00395695">
        <w:t xml:space="preserve"> </w:t>
      </w:r>
      <w:r w:rsidR="00F1596C">
        <w:t>The fifth edition of the American Psychiatric Association’s</w:t>
      </w:r>
      <w:r w:rsidR="007944AE">
        <w:t xml:space="preserve"> (2013)</w:t>
      </w:r>
      <w:r w:rsidR="00F1596C">
        <w:t xml:space="preserve"> Diagnostic and Statistical Manual of Mental Disorders (DSM-V) and the eleventh edition of the World Health Organisation’s</w:t>
      </w:r>
      <w:r w:rsidR="007944AE">
        <w:t xml:space="preserve"> (2022)</w:t>
      </w:r>
      <w:r w:rsidR="00F1596C">
        <w:t xml:space="preserve"> International Classification of Diseases (ICD-11) have taken rather different directions</w:t>
      </w:r>
      <w:r w:rsidR="00331EB0">
        <w:t xml:space="preserve"> on this question</w:t>
      </w:r>
      <w:r w:rsidR="00F1596C">
        <w:t>.</w:t>
      </w:r>
      <w:r w:rsidR="00435AB5">
        <w:rPr>
          <w:rStyle w:val="FootnoteReference"/>
        </w:rPr>
        <w:footnoteReference w:id="1"/>
      </w:r>
      <w:r w:rsidR="00F1596C">
        <w:t xml:space="preserve"> </w:t>
      </w:r>
    </w:p>
    <w:p w14:paraId="5D6AC018" w14:textId="77777777" w:rsidR="00493C37" w:rsidRDefault="003F1802" w:rsidP="006F07EF">
      <w:pPr>
        <w:spacing w:line="276" w:lineRule="auto"/>
      </w:pPr>
      <w:r>
        <w:t>DSM-V contains two models of personality disorde</w:t>
      </w:r>
      <w:r w:rsidR="008C6CC9">
        <w:t>r.</w:t>
      </w:r>
      <w:r>
        <w:t xml:space="preserve"> </w:t>
      </w:r>
      <w:r w:rsidR="008C6CC9">
        <w:t>Section II,</w:t>
      </w:r>
      <w:r>
        <w:t xml:space="preserve"> intended for clinical use, </w:t>
      </w:r>
      <w:r w:rsidR="008C6CC9">
        <w:t>largely retains the approach of the previous edition (DSM-IV</w:t>
      </w:r>
      <w:proofErr w:type="gramStart"/>
      <w:r w:rsidR="008C6CC9">
        <w:t>)</w:t>
      </w:r>
      <w:proofErr w:type="gramEnd"/>
      <w:r w:rsidR="008C6CC9">
        <w:t xml:space="preserve"> and describes distinct categories of personality disorder. An </w:t>
      </w:r>
      <w:r>
        <w:t>alternative model in Section III, intended to inspire research</w:t>
      </w:r>
      <w:r w:rsidR="008C6CC9">
        <w:t>,</w:t>
      </w:r>
      <w:r>
        <w:t xml:space="preserve"> combines categories with dimensions. Finally, ICD-11 contains an almost entirely dimensional model – a significant departure from </w:t>
      </w:r>
      <w:r w:rsidR="00DE0FD2">
        <w:t>previous editions that</w:t>
      </w:r>
      <w:r>
        <w:t xml:space="preserve"> followed a similar approach to </w:t>
      </w:r>
      <w:r w:rsidR="009E1C12">
        <w:t xml:space="preserve">the </w:t>
      </w:r>
      <w:r>
        <w:t xml:space="preserve">DSM. </w:t>
      </w:r>
      <w:r w:rsidR="00493C37">
        <w:t xml:space="preserve">Consequently, </w:t>
      </w:r>
      <w:r>
        <w:t xml:space="preserve">the two leading manuals for diagnosing mental disorders now take very different approaches to the diagnosis of personality disorder. </w:t>
      </w:r>
    </w:p>
    <w:p w14:paraId="359A8BB8" w14:textId="3F41E13D" w:rsidR="009E6C61" w:rsidRDefault="00F1596C" w:rsidP="006F07EF">
      <w:pPr>
        <w:spacing w:line="276" w:lineRule="auto"/>
      </w:pPr>
      <w:r>
        <w:t xml:space="preserve">Legal practitioners will have to grapple with </w:t>
      </w:r>
      <w:r w:rsidR="00027CFC">
        <w:t xml:space="preserve">these </w:t>
      </w:r>
      <w:r>
        <w:t>changes in psychiatric nosology, as</w:t>
      </w:r>
      <w:r w:rsidR="00B55F1E">
        <w:t xml:space="preserve"> </w:t>
      </w:r>
      <w:r>
        <w:t xml:space="preserve">both manuals </w:t>
      </w:r>
      <w:r w:rsidR="002A0C83">
        <w:t xml:space="preserve">are often </w:t>
      </w:r>
      <w:r>
        <w:t xml:space="preserve">relied upon as authoritative, if imperfect, catalogues of recognised psychiatric disorders for legal purposes </w:t>
      </w:r>
      <w:r w:rsidR="00962745">
        <w:rPr>
          <w:noProof/>
        </w:rPr>
        <w:t>(Slovenko 2011</w:t>
      </w:r>
      <w:r w:rsidR="008853DB">
        <w:rPr>
          <w:noProof/>
        </w:rPr>
        <w:t xml:space="preserve">; </w:t>
      </w:r>
      <w:r w:rsidR="00F63426">
        <w:t>Bartlett</w:t>
      </w:r>
      <w:r w:rsidR="002A0C83">
        <w:t xml:space="preserve"> 2011</w:t>
      </w:r>
      <w:r w:rsidR="00F563BD">
        <w:t>; Ahuja 2015</w:t>
      </w:r>
      <w:r w:rsidR="00F63426">
        <w:t>).</w:t>
      </w:r>
      <w:r w:rsidR="00046CE1">
        <w:t xml:space="preserve"> </w:t>
      </w:r>
      <w:r w:rsidR="00B14BC3">
        <w:t xml:space="preserve">Changing </w:t>
      </w:r>
      <w:r w:rsidR="00C763F7">
        <w:t>the methods for diagnosing and describing</w:t>
      </w:r>
      <w:r w:rsidR="00FD3922">
        <w:t xml:space="preserve"> </w:t>
      </w:r>
      <w:r w:rsidR="00B14BC3">
        <w:t>personality disorder</w:t>
      </w:r>
      <w:r w:rsidR="00C763F7">
        <w:t>s</w:t>
      </w:r>
      <w:r w:rsidR="00B14BC3">
        <w:t xml:space="preserve"> has</w:t>
      </w:r>
      <w:r w:rsidR="00027CFC">
        <w:t xml:space="preserve"> </w:t>
      </w:r>
      <w:r w:rsidR="00B14BC3">
        <w:t xml:space="preserve">proved </w:t>
      </w:r>
      <w:proofErr w:type="gramStart"/>
      <w:r w:rsidR="00B14BC3">
        <w:t>controversial</w:t>
      </w:r>
      <w:r w:rsidR="00027CFC">
        <w:t>,</w:t>
      </w:r>
      <w:r w:rsidR="00B96C98">
        <w:t xml:space="preserve"> and</w:t>
      </w:r>
      <w:proofErr w:type="gramEnd"/>
      <w:r w:rsidR="00046CE1">
        <w:t xml:space="preserve"> </w:t>
      </w:r>
      <w:r w:rsidR="00B96C98">
        <w:lastRenderedPageBreak/>
        <w:t xml:space="preserve">attempts to address longstanding concerns regarding the validity of the disorder and its moral undertones </w:t>
      </w:r>
      <w:r w:rsidR="004E7B57">
        <w:t>have only partially succeeded.</w:t>
      </w:r>
    </w:p>
    <w:p w14:paraId="04EED1C3" w14:textId="46AE1409" w:rsidR="003F1802" w:rsidRDefault="00921636" w:rsidP="006F07EF">
      <w:pPr>
        <w:spacing w:line="276" w:lineRule="auto"/>
      </w:pPr>
      <w:r>
        <w:t>T</w:t>
      </w:r>
      <w:r w:rsidR="003F1802">
        <w:t>o demonstrate how personality disorder is currently defined, it is necessary to briefly explore the differences between these models and the rationales behind them.</w:t>
      </w:r>
    </w:p>
    <w:p w14:paraId="58F1D6FE" w14:textId="77777777" w:rsidR="00571810" w:rsidRDefault="006306B2" w:rsidP="006F07EF">
      <w:pPr>
        <w:spacing w:line="276" w:lineRule="auto"/>
      </w:pPr>
      <w:r>
        <w:t>Starting with DSM-V, p</w:t>
      </w:r>
      <w:r w:rsidR="00571810">
        <w:t xml:space="preserve">ersonality disorder is defined in Section II as: </w:t>
      </w:r>
    </w:p>
    <w:p w14:paraId="50D1AE1B" w14:textId="77777777" w:rsidR="00571810" w:rsidRDefault="00571810" w:rsidP="006F07EF">
      <w:pPr>
        <w:spacing w:line="276" w:lineRule="auto"/>
        <w:ind w:left="720"/>
      </w:pPr>
      <w:r>
        <w:t>‘</w:t>
      </w:r>
      <w:proofErr w:type="gramStart"/>
      <w:r w:rsidRPr="002403B6">
        <w:t>an</w:t>
      </w:r>
      <w:proofErr w:type="gramEnd"/>
      <w:r w:rsidRPr="002403B6">
        <w:t xml:space="preserve"> enduring pattern of inner experience and behaviour that deviates markedly from the expectations of the individual’s culture</w:t>
      </w:r>
      <w:r>
        <w:t>…The enduring pattern</w:t>
      </w:r>
      <w:r w:rsidRPr="002403B6">
        <w:t xml:space="preserve"> is</w:t>
      </w:r>
      <w:r>
        <w:t xml:space="preserve"> inflexible and</w:t>
      </w:r>
      <w:r w:rsidRPr="002403B6">
        <w:t xml:space="preserve"> pervasive </w:t>
      </w:r>
      <w:r>
        <w:t>across a broad range of personal and social situations…leads to clinically significant distress or impairment in social, occupational, or other important areas of functioning…is stable and of long duration, and its onset can be traced back at least to adolescence or early adulthood.’</w:t>
      </w:r>
      <w:r w:rsidRPr="002403B6">
        <w:t xml:space="preserve"> </w:t>
      </w:r>
      <w:r w:rsidRPr="00097CF3">
        <w:rPr>
          <w:noProof/>
        </w:rPr>
        <w:t>(American Psychiatric Association, 2013, pp. 646–647)</w:t>
      </w:r>
    </w:p>
    <w:p w14:paraId="171127DD" w14:textId="1CA51C85" w:rsidR="00571810" w:rsidRDefault="00571810" w:rsidP="006F07EF">
      <w:pPr>
        <w:spacing w:line="276" w:lineRule="auto"/>
      </w:pPr>
      <w:r>
        <w:t>Section II divides personality disorders into categories. In C</w:t>
      </w:r>
      <w:r w:rsidRPr="009A0886">
        <w:t>luster A</w:t>
      </w:r>
      <w:r>
        <w:t xml:space="preserve"> are</w:t>
      </w:r>
      <w:r w:rsidRPr="009A0886">
        <w:t xml:space="preserve"> the </w:t>
      </w:r>
      <w:r w:rsidR="008E0947">
        <w:t>‘</w:t>
      </w:r>
      <w:r w:rsidRPr="009A0886">
        <w:t>odd or eccentric</w:t>
      </w:r>
      <w:r w:rsidR="008E0947">
        <w:t>’</w:t>
      </w:r>
      <w:r>
        <w:t xml:space="preserve"> types</w:t>
      </w:r>
      <w:r w:rsidR="007502DA">
        <w:t xml:space="preserve">: </w:t>
      </w:r>
      <w:r>
        <w:t>paranoid, schizoid</w:t>
      </w:r>
      <w:r w:rsidR="007502DA">
        <w:t>,</w:t>
      </w:r>
      <w:r>
        <w:t xml:space="preserve"> and schizotypal.</w:t>
      </w:r>
      <w:r w:rsidRPr="009A0886">
        <w:t xml:space="preserve"> </w:t>
      </w:r>
      <w:r>
        <w:t xml:space="preserve">In </w:t>
      </w:r>
      <w:r w:rsidRPr="009A0886">
        <w:t>Cluster B</w:t>
      </w:r>
      <w:r>
        <w:t xml:space="preserve"> are</w:t>
      </w:r>
      <w:r w:rsidRPr="009A0886">
        <w:t xml:space="preserve"> the </w:t>
      </w:r>
      <w:r w:rsidR="008E0947">
        <w:t>‘</w:t>
      </w:r>
      <w:r w:rsidRPr="009A0886">
        <w:t>dramatic, emotional or erratic</w:t>
      </w:r>
      <w:r w:rsidR="008E0947">
        <w:t>’</w:t>
      </w:r>
      <w:r w:rsidRPr="009A0886">
        <w:t xml:space="preserve"> types</w:t>
      </w:r>
      <w:r w:rsidR="007502DA">
        <w:t>:</w:t>
      </w:r>
      <w:r>
        <w:t xml:space="preserve"> antisocial, borderline, histrionic</w:t>
      </w:r>
      <w:r w:rsidR="007502DA">
        <w:t>,</w:t>
      </w:r>
      <w:r>
        <w:t xml:space="preserve"> and narcissistic.</w:t>
      </w:r>
      <w:r w:rsidRPr="009A0886">
        <w:t xml:space="preserve"> </w:t>
      </w:r>
      <w:r>
        <w:t xml:space="preserve">In </w:t>
      </w:r>
      <w:r w:rsidRPr="009A0886">
        <w:t>Cluster C</w:t>
      </w:r>
      <w:r>
        <w:t xml:space="preserve"> are </w:t>
      </w:r>
      <w:r w:rsidRPr="009A0886">
        <w:t xml:space="preserve">the </w:t>
      </w:r>
      <w:r w:rsidR="008E0947">
        <w:t>‘</w:t>
      </w:r>
      <w:r w:rsidRPr="009A0886">
        <w:t>anxious and fearful</w:t>
      </w:r>
      <w:r w:rsidR="008E0947">
        <w:t>’</w:t>
      </w:r>
      <w:r w:rsidRPr="009A0886">
        <w:t xml:space="preserve"> types</w:t>
      </w:r>
      <w:r w:rsidR="007502DA">
        <w:t>:</w:t>
      </w:r>
      <w:r>
        <w:t xml:space="preserve"> avoidant, dependent</w:t>
      </w:r>
      <w:r w:rsidR="007502DA">
        <w:t>,</w:t>
      </w:r>
      <w:r>
        <w:t xml:space="preserve"> and obsessive-compulsive</w:t>
      </w:r>
      <w:r w:rsidR="007502DA">
        <w:t xml:space="preserve"> </w:t>
      </w:r>
      <w:r w:rsidRPr="00097CF3">
        <w:rPr>
          <w:noProof/>
        </w:rPr>
        <w:t>(American Psychiatric Association, 2013, p. 646)</w:t>
      </w:r>
      <w:r>
        <w:t xml:space="preserve">. Two further, catch-all categories are described: </w:t>
      </w:r>
      <w:r w:rsidR="008E0947">
        <w:t>‘</w:t>
      </w:r>
      <w:r>
        <w:t>other specified personality disorder</w:t>
      </w:r>
      <w:r w:rsidR="008E0947">
        <w:t>’</w:t>
      </w:r>
      <w:r>
        <w:t xml:space="preserve"> and </w:t>
      </w:r>
      <w:r w:rsidR="008E0947">
        <w:t>‘</w:t>
      </w:r>
      <w:r>
        <w:t>unspecified personality disorder</w:t>
      </w:r>
      <w:r w:rsidR="008E0947">
        <w:t>’</w:t>
      </w:r>
      <w:r>
        <w:t>.</w:t>
      </w:r>
      <w:r w:rsidR="00374859">
        <w:t xml:space="preserve"> Each </w:t>
      </w:r>
      <w:r w:rsidR="00C61093">
        <w:t xml:space="preserve">specified </w:t>
      </w:r>
      <w:r w:rsidR="00374859">
        <w:t>personality disorder comes with</w:t>
      </w:r>
      <w:r w:rsidR="00C61093">
        <w:t xml:space="preserve"> its own</w:t>
      </w:r>
      <w:r w:rsidR="00374859">
        <w:t xml:space="preserve"> set of diagnostic criteria.</w:t>
      </w:r>
      <w:r w:rsidR="00873B4D">
        <w:t xml:space="preserve"> For example, a</w:t>
      </w:r>
      <w:r w:rsidR="00873B4D" w:rsidRPr="00873B4D">
        <w:t xml:space="preserve">ntisocial personality disorder (ASPD) is described as </w:t>
      </w:r>
      <w:r w:rsidR="008E0947">
        <w:t>‘</w:t>
      </w:r>
      <w:r w:rsidR="00873B4D" w:rsidRPr="00873B4D">
        <w:t>a pattern of disregard for, and violation of, the rights of others</w:t>
      </w:r>
      <w:r w:rsidR="008E0947">
        <w:t>’</w:t>
      </w:r>
      <w:r w:rsidR="00873B4D">
        <w:t xml:space="preserve"> </w:t>
      </w:r>
      <w:r w:rsidR="00873B4D" w:rsidRPr="00873B4D">
        <w:rPr>
          <w:noProof/>
        </w:rPr>
        <w:t>(American Psychiatric Association, 2013, p. 645)</w:t>
      </w:r>
      <w:r w:rsidR="00873B4D" w:rsidRPr="00873B4D">
        <w:t xml:space="preserve">. Borderline personality disorder (BPD) is characterised by </w:t>
      </w:r>
      <w:r w:rsidR="008E0947">
        <w:t>‘</w:t>
      </w:r>
      <w:r w:rsidR="00873B4D" w:rsidRPr="00873B4D">
        <w:t>a pattern of instability in interpersonal relationships, self-image, and affects, and marked impulsivity</w:t>
      </w:r>
      <w:r w:rsidR="008E0947">
        <w:t>’</w:t>
      </w:r>
      <w:r w:rsidR="002D3C39" w:rsidRPr="002D3C39">
        <w:t xml:space="preserve"> </w:t>
      </w:r>
      <w:r w:rsidR="002D3C39" w:rsidRPr="00873B4D">
        <w:rPr>
          <w:noProof/>
        </w:rPr>
        <w:t>(American Psychiatric Association, 2013, p. 645)</w:t>
      </w:r>
      <w:r w:rsidR="002D3C39">
        <w:t>.</w:t>
      </w:r>
    </w:p>
    <w:p w14:paraId="08330BE6" w14:textId="2A5C67DF" w:rsidR="00722448" w:rsidRDefault="00964753" w:rsidP="006F07EF">
      <w:pPr>
        <w:spacing w:line="276" w:lineRule="auto"/>
      </w:pPr>
      <w:r>
        <w:t>The DSM-V alternative model</w:t>
      </w:r>
      <w:r w:rsidR="00722448">
        <w:t xml:space="preserve"> </w:t>
      </w:r>
      <w:r>
        <w:t xml:space="preserve">defines the essential features of a </w:t>
      </w:r>
      <w:r w:rsidRPr="009A0886">
        <w:t xml:space="preserve">personality disorder as </w:t>
      </w:r>
      <w:r w:rsidR="008E0947">
        <w:t>‘</w:t>
      </w:r>
      <w:r w:rsidRPr="009A0886">
        <w:t>moderate or greater impairment in personality (self/interpersonal) functioning</w:t>
      </w:r>
      <w:r w:rsidR="008E0947">
        <w:t>’</w:t>
      </w:r>
      <w:r w:rsidRPr="009A0886">
        <w:t xml:space="preserve"> and the presence of one or more </w:t>
      </w:r>
      <w:r>
        <w:t>‘</w:t>
      </w:r>
      <w:r w:rsidRPr="009A0886">
        <w:t>pathological personality traits</w:t>
      </w:r>
      <w:r>
        <w:t xml:space="preserve">’ </w:t>
      </w:r>
      <w:r w:rsidRPr="00097CF3">
        <w:rPr>
          <w:noProof/>
        </w:rPr>
        <w:t>(American Psychiatric Association, 2013, p. 761)</w:t>
      </w:r>
      <w:r w:rsidRPr="009A0886">
        <w:t>.</w:t>
      </w:r>
      <w:r>
        <w:t xml:space="preserve"> While Section II uses the terms </w:t>
      </w:r>
      <w:r w:rsidR="008E0947">
        <w:t>‘</w:t>
      </w:r>
      <w:r>
        <w:t>enduring</w:t>
      </w:r>
      <w:r w:rsidR="008E0947">
        <w:t>’</w:t>
      </w:r>
      <w:r>
        <w:t xml:space="preserve">, </w:t>
      </w:r>
      <w:r w:rsidR="008E0947">
        <w:t>‘</w:t>
      </w:r>
      <w:r>
        <w:t>inflexible</w:t>
      </w:r>
      <w:r w:rsidR="008E0947">
        <w:t>’</w:t>
      </w:r>
      <w:r>
        <w:t xml:space="preserve"> and </w:t>
      </w:r>
      <w:r w:rsidR="008E0947">
        <w:t>‘</w:t>
      </w:r>
      <w:r>
        <w:t>pervasive</w:t>
      </w:r>
      <w:r w:rsidR="008E0947">
        <w:t>’</w:t>
      </w:r>
      <w:r>
        <w:t xml:space="preserve">, the </w:t>
      </w:r>
      <w:r w:rsidR="00722448">
        <w:t xml:space="preserve">Section III </w:t>
      </w:r>
      <w:r>
        <w:t xml:space="preserve">alternative model </w:t>
      </w:r>
      <w:r w:rsidR="00F37DA2">
        <w:t xml:space="preserve">describes </w:t>
      </w:r>
      <w:r>
        <w:t>impairments and traits as ‘</w:t>
      </w:r>
      <w:r w:rsidRPr="00BB2A16">
        <w:rPr>
          <w:i/>
          <w:iCs/>
        </w:rPr>
        <w:t>relatively</w:t>
      </w:r>
      <w:r w:rsidRPr="009A0886">
        <w:t xml:space="preserve"> inflexible and pervasive across a broad range of personal and social situations</w:t>
      </w:r>
      <w:r>
        <w:t>’</w:t>
      </w:r>
      <w:r w:rsidRPr="009A0886">
        <w:t xml:space="preserve"> and </w:t>
      </w:r>
      <w:r>
        <w:t>‘</w:t>
      </w:r>
      <w:r w:rsidRPr="00BB2A16">
        <w:rPr>
          <w:i/>
          <w:iCs/>
        </w:rPr>
        <w:t>relatively</w:t>
      </w:r>
      <w:r w:rsidRPr="009A0886">
        <w:t xml:space="preserve"> stable across time</w:t>
      </w:r>
      <w:r>
        <w:t xml:space="preserve">’ </w:t>
      </w:r>
      <w:r w:rsidRPr="00097CF3">
        <w:rPr>
          <w:noProof/>
        </w:rPr>
        <w:t>(American Psychiatric Association, 2013, p. 761)</w:t>
      </w:r>
      <w:r w:rsidRPr="009A0886">
        <w:t>.</w:t>
      </w:r>
      <w:r w:rsidR="00722448">
        <w:t xml:space="preserve"> </w:t>
      </w:r>
      <w:r w:rsidR="00921636">
        <w:t xml:space="preserve">While Section II </w:t>
      </w:r>
      <w:r w:rsidR="000925E4">
        <w:t>contains</w:t>
      </w:r>
      <w:r w:rsidR="00921636">
        <w:t xml:space="preserve"> ten categories, Section III describes just s</w:t>
      </w:r>
      <w:r w:rsidR="000D64F8">
        <w:t>ix specific personality disorders using trait d</w:t>
      </w:r>
      <w:r w:rsidR="00D86D0F">
        <w:t>omain</w:t>
      </w:r>
      <w:r w:rsidR="000D64F8">
        <w:t>s: antisocial, avoidant, borderline, narcissistic, obsessive-compulsive</w:t>
      </w:r>
      <w:r w:rsidR="00C87370">
        <w:t>,</w:t>
      </w:r>
      <w:r w:rsidR="000D64F8">
        <w:t xml:space="preserve"> and schizotypal</w:t>
      </w:r>
      <w:r w:rsidR="00F34EC5">
        <w:t xml:space="preserve"> </w:t>
      </w:r>
      <w:r w:rsidR="00F34EC5" w:rsidRPr="00F34EC5">
        <w:rPr>
          <w:noProof/>
        </w:rPr>
        <w:t>(American Psychiatric Association, 2013, p. 763)</w:t>
      </w:r>
      <w:r w:rsidR="00F34EC5">
        <w:t>.</w:t>
      </w:r>
      <w:r w:rsidR="000D64F8">
        <w:t xml:space="preserve"> </w:t>
      </w:r>
      <w:r w:rsidR="00722448">
        <w:t>A trait domain is conceptualised</w:t>
      </w:r>
      <w:r w:rsidR="00722448" w:rsidRPr="00A31E41">
        <w:t xml:space="preserve"> </w:t>
      </w:r>
      <w:r w:rsidR="00722448">
        <w:t>as a spectrum with two opposing poles</w:t>
      </w:r>
      <w:r w:rsidR="00722448" w:rsidRPr="00A31E41">
        <w:t xml:space="preserve"> </w:t>
      </w:r>
      <w:r w:rsidR="00722448">
        <w:t xml:space="preserve">within which the trait applies in different degrees (rather than being present or absent) </w:t>
      </w:r>
      <w:r w:rsidR="00722448" w:rsidRPr="00C87370">
        <w:rPr>
          <w:noProof/>
        </w:rPr>
        <w:t>(American Psychiatric Association, 2013, pp. 772–3)</w:t>
      </w:r>
      <w:r w:rsidR="00722448">
        <w:t>.</w:t>
      </w:r>
    </w:p>
    <w:p w14:paraId="295C3C64" w14:textId="2EF647AA" w:rsidR="000D64F8" w:rsidRPr="00B01B66" w:rsidRDefault="000D64F8" w:rsidP="006F07EF">
      <w:pPr>
        <w:spacing w:line="276" w:lineRule="auto"/>
        <w:rPr>
          <w:rFonts w:eastAsia="Times New Roman"/>
        </w:rPr>
      </w:pPr>
      <w:r>
        <w:t>While the alternative DSM-V model retains specific personality disorders, ICD-11 has radical</w:t>
      </w:r>
      <w:r w:rsidR="00541AAB">
        <w:t>ly</w:t>
      </w:r>
      <w:r>
        <w:t xml:space="preserve"> abolish</w:t>
      </w:r>
      <w:r w:rsidR="00541AAB">
        <w:t>ed</w:t>
      </w:r>
      <w:r>
        <w:t xml:space="preserve"> all categories of personality disorder except for ‘borderline pattern’. Under ICD-11, a person is first assessed for the presence of a personality disorder. This is then assigned a severity rating (mild, </w:t>
      </w:r>
      <w:proofErr w:type="gramStart"/>
      <w:r>
        <w:t>moderate</w:t>
      </w:r>
      <w:proofErr w:type="gramEnd"/>
      <w:r>
        <w:t xml:space="preserve"> or severe) and described using a set of six prominent </w:t>
      </w:r>
      <w:r>
        <w:lastRenderedPageBreak/>
        <w:t>personality traits</w:t>
      </w:r>
      <w:r w:rsidR="00CF74E9">
        <w:t xml:space="preserve">: </w:t>
      </w:r>
      <w:r>
        <w:t xml:space="preserve">negative affectivity, detachment, </w:t>
      </w:r>
      <w:proofErr w:type="spellStart"/>
      <w:r>
        <w:t>dissociality</w:t>
      </w:r>
      <w:proofErr w:type="spellEnd"/>
      <w:r>
        <w:t xml:space="preserve">, disinhibition, </w:t>
      </w:r>
      <w:proofErr w:type="spellStart"/>
      <w:r>
        <w:t>anankastia</w:t>
      </w:r>
      <w:proofErr w:type="spellEnd"/>
      <w:r w:rsidR="00F33461">
        <w:rPr>
          <w:rStyle w:val="FootnoteReference"/>
        </w:rPr>
        <w:footnoteReference w:id="2"/>
      </w:r>
      <w:r>
        <w:t xml:space="preserve"> and ‘borderline pattern’ </w:t>
      </w:r>
      <w:r w:rsidRPr="0054400E">
        <w:rPr>
          <w:noProof/>
        </w:rPr>
        <w:t xml:space="preserve">(Tyrer </w:t>
      </w:r>
      <w:r w:rsidRPr="0054400E">
        <w:rPr>
          <w:i/>
          <w:noProof/>
        </w:rPr>
        <w:t>et al.</w:t>
      </w:r>
      <w:r w:rsidRPr="0054400E">
        <w:rPr>
          <w:noProof/>
        </w:rPr>
        <w:t>, 2019)</w:t>
      </w:r>
      <w:r>
        <w:t>.</w:t>
      </w:r>
    </w:p>
    <w:p w14:paraId="528586E4" w14:textId="23C7BF8F" w:rsidR="001E34A0" w:rsidRDefault="00C84B54" w:rsidP="006F07EF">
      <w:pPr>
        <w:spacing w:line="276" w:lineRule="auto"/>
      </w:pPr>
      <w:r>
        <w:t>The</w:t>
      </w:r>
      <w:r w:rsidR="000D64F8">
        <w:t xml:space="preserve"> </w:t>
      </w:r>
      <w:proofErr w:type="gramStart"/>
      <w:r w:rsidR="000D64F8">
        <w:t>variation</w:t>
      </w:r>
      <w:r w:rsidR="00BD581A">
        <w:t>s</w:t>
      </w:r>
      <w:proofErr w:type="gramEnd"/>
      <w:r w:rsidR="000D64F8">
        <w:t xml:space="preserve"> in </w:t>
      </w:r>
      <w:r w:rsidR="009D75A5">
        <w:t>the</w:t>
      </w:r>
      <w:r w:rsidR="00D055B5">
        <w:t xml:space="preserve"> </w:t>
      </w:r>
      <w:r w:rsidR="000D64F8">
        <w:t>diagnostic models reflect</w:t>
      </w:r>
      <w:r w:rsidR="00D055B5">
        <w:t>s</w:t>
      </w:r>
      <w:r w:rsidR="000D64F8">
        <w:t xml:space="preserve"> the difficulties </w:t>
      </w:r>
      <w:r w:rsidR="00525CDE">
        <w:t>in</w:t>
      </w:r>
      <w:r w:rsidR="000D64F8">
        <w:t xml:space="preserve"> reaching a consensus on a new personality disorder model that both reflects advances in research on personality disorder and</w:t>
      </w:r>
      <w:r w:rsidR="005C0581">
        <w:t xml:space="preserve"> meets the needs of practi</w:t>
      </w:r>
      <w:r w:rsidR="00525CDE">
        <w:t>tioners</w:t>
      </w:r>
      <w:r w:rsidR="005C0581">
        <w:t>.</w:t>
      </w:r>
      <w:r w:rsidR="0037584E">
        <w:t xml:space="preserve"> </w:t>
      </w:r>
      <w:r w:rsidR="001E34A0">
        <w:t xml:space="preserve">Initially, the DSM-V Personality and Personality Disorders </w:t>
      </w:r>
      <w:r w:rsidR="00525CDE">
        <w:t>W</w:t>
      </w:r>
      <w:r w:rsidR="001E34A0">
        <w:t xml:space="preserve">ork </w:t>
      </w:r>
      <w:r w:rsidR="00525CDE">
        <w:t>G</w:t>
      </w:r>
      <w:r w:rsidR="001E34A0">
        <w:t xml:space="preserve">roup </w:t>
      </w:r>
      <w:r w:rsidR="008B195A">
        <w:t>pursued</w:t>
      </w:r>
      <w:r w:rsidR="001E34A0">
        <w:t xml:space="preserve"> </w:t>
      </w:r>
      <w:r w:rsidR="008B195A">
        <w:t xml:space="preserve">a </w:t>
      </w:r>
      <w:r w:rsidR="00072091">
        <w:t>fully dimensional approach</w:t>
      </w:r>
      <w:r w:rsidR="008B195A">
        <w:t xml:space="preserve"> that would </w:t>
      </w:r>
      <w:r w:rsidR="001E34A0">
        <w:t xml:space="preserve">abandon the </w:t>
      </w:r>
      <w:r w:rsidR="008B195A">
        <w:t xml:space="preserve">DSM-IV </w:t>
      </w:r>
      <w:r w:rsidR="001E34A0">
        <w:t xml:space="preserve">categories. It failed, however, to reach a consensus on which dimensional model to adopt </w:t>
      </w:r>
      <w:r w:rsidR="001E34A0" w:rsidRPr="002338AA">
        <w:rPr>
          <w:noProof/>
        </w:rPr>
        <w:t>(Zachar, Krueger and Kendler, 2016)</w:t>
      </w:r>
      <w:r w:rsidR="001E34A0">
        <w:t>.</w:t>
      </w:r>
      <w:r w:rsidR="001E34A0" w:rsidRPr="001E34A0">
        <w:t xml:space="preserve"> </w:t>
      </w:r>
      <w:r w:rsidR="001E34A0">
        <w:t xml:space="preserve">The Section III model was a compromise, but it failed to garner support from the American Psychiatric Association due to a lack of expert consensus and concerns that the model was too complex for clinical practice </w:t>
      </w:r>
      <w:r w:rsidR="001E34A0" w:rsidRPr="00142935">
        <w:rPr>
          <w:noProof/>
        </w:rPr>
        <w:t>(Zachar, Krueger and Kendler, 2016)</w:t>
      </w:r>
      <w:r w:rsidR="001E34A0">
        <w:t xml:space="preserve">. The alternative model was included in DSM-V to </w:t>
      </w:r>
      <w:r w:rsidR="008B195A">
        <w:t>allow for further</w:t>
      </w:r>
      <w:r w:rsidR="001E34A0">
        <w:t xml:space="preserve"> research on its validity and clinical utility </w:t>
      </w:r>
      <w:r w:rsidR="001E34A0" w:rsidRPr="00B61246">
        <w:rPr>
          <w:noProof/>
        </w:rPr>
        <w:t>(Whooley, 2016; Zachar, Krueger and Kendler, 2016)</w:t>
      </w:r>
      <w:r w:rsidR="001E34A0">
        <w:t>.</w:t>
      </w:r>
    </w:p>
    <w:p w14:paraId="6794CC5E" w14:textId="0BB8A2C3" w:rsidR="002F2D9C" w:rsidRDefault="0022175C" w:rsidP="006F07EF">
      <w:pPr>
        <w:spacing w:line="276" w:lineRule="auto"/>
      </w:pPr>
      <w:r>
        <w:t xml:space="preserve">While the initial proposals of the ICD-11 working group on personality disorder were met with some criticism, the process was comparatively smooth </w:t>
      </w:r>
      <w:r w:rsidRPr="005253FB">
        <w:rPr>
          <w:noProof/>
        </w:rPr>
        <w:t xml:space="preserve">(Tyrer </w:t>
      </w:r>
      <w:r w:rsidRPr="005253FB">
        <w:rPr>
          <w:i/>
          <w:noProof/>
        </w:rPr>
        <w:t>et al.</w:t>
      </w:r>
      <w:r w:rsidRPr="005253FB">
        <w:rPr>
          <w:noProof/>
        </w:rPr>
        <w:t>, 2019)</w:t>
      </w:r>
      <w:r>
        <w:t>.  While the architects of the ICD-11 model initially intended to abolish all personality disorder categories, ‘borderline pattern’ was retained in response to criticisms that the new model disregarded significant advances in treatment</w:t>
      </w:r>
      <w:r w:rsidR="00A7140E">
        <w:t>s</w:t>
      </w:r>
      <w:r>
        <w:t xml:space="preserve"> for and research on </w:t>
      </w:r>
      <w:r w:rsidR="008B4188">
        <w:t>BPD</w:t>
      </w:r>
      <w:r>
        <w:t xml:space="preserve"> </w:t>
      </w:r>
      <w:r w:rsidRPr="005253FB">
        <w:rPr>
          <w:noProof/>
        </w:rPr>
        <w:t xml:space="preserve">(Herpertz </w:t>
      </w:r>
      <w:r w:rsidRPr="005253FB">
        <w:rPr>
          <w:i/>
          <w:noProof/>
        </w:rPr>
        <w:t>et al.</w:t>
      </w:r>
      <w:r w:rsidRPr="005253FB">
        <w:rPr>
          <w:noProof/>
        </w:rPr>
        <w:t xml:space="preserve">, 2017; Tyrer </w:t>
      </w:r>
      <w:r w:rsidRPr="005253FB">
        <w:rPr>
          <w:i/>
          <w:noProof/>
        </w:rPr>
        <w:t>et al.</w:t>
      </w:r>
      <w:r w:rsidRPr="005253FB">
        <w:rPr>
          <w:noProof/>
        </w:rPr>
        <w:t>, 2019)</w:t>
      </w:r>
      <w:r>
        <w:t xml:space="preserve">. </w:t>
      </w:r>
    </w:p>
    <w:p w14:paraId="52710F6F" w14:textId="77777777" w:rsidR="0022175C" w:rsidRDefault="0022175C" w:rsidP="006F07EF">
      <w:pPr>
        <w:spacing w:line="276" w:lineRule="auto"/>
      </w:pPr>
    </w:p>
    <w:p w14:paraId="5669F4A2" w14:textId="77777777" w:rsidR="002F2D9C" w:rsidRPr="002F2D9C" w:rsidRDefault="002F2D9C" w:rsidP="006F07EF">
      <w:pPr>
        <w:spacing w:line="276" w:lineRule="auto"/>
        <w:rPr>
          <w:b/>
          <w:bCs/>
        </w:rPr>
      </w:pPr>
      <w:r>
        <w:rPr>
          <w:b/>
          <w:bCs/>
        </w:rPr>
        <w:t>Implications of the new models</w:t>
      </w:r>
    </w:p>
    <w:p w14:paraId="39DAC67D" w14:textId="3AFB476A" w:rsidR="00B23BE9" w:rsidRDefault="00B23BE9" w:rsidP="00B23BE9">
      <w:pPr>
        <w:spacing w:line="276" w:lineRule="auto"/>
      </w:pPr>
      <w:r>
        <w:rPr>
          <w:rFonts w:eastAsia="Times New Roman"/>
        </w:rPr>
        <w:t xml:space="preserve">The DSM and ICD have long emphasised the enduring, inflexible, deeply engrained, and pervasive qualities of personality disorders </w:t>
      </w:r>
      <w:r w:rsidRPr="001B6CAC">
        <w:rPr>
          <w:noProof/>
        </w:rPr>
        <w:t>(Tyrer and Seivewright, 2008)</w:t>
      </w:r>
      <w:r>
        <w:t>.</w:t>
      </w:r>
      <w:r>
        <w:rPr>
          <w:rFonts w:eastAsia="Times New Roman"/>
        </w:rPr>
        <w:t xml:space="preserve"> </w:t>
      </w:r>
      <w:r>
        <w:t xml:space="preserve">David Pilgrim </w:t>
      </w:r>
      <w:r>
        <w:rPr>
          <w:rFonts w:eastAsia="Times New Roman"/>
        </w:rPr>
        <w:t>argues that this sense of immutability</w:t>
      </w:r>
      <w:r w:rsidR="0057014A">
        <w:rPr>
          <w:rFonts w:eastAsia="Times New Roman"/>
        </w:rPr>
        <w:t>, coupled with</w:t>
      </w:r>
      <w:r>
        <w:rPr>
          <w:rFonts w:eastAsia="Times New Roman"/>
        </w:rPr>
        <w:t xml:space="preserve"> the socially undesirable traits associated with </w:t>
      </w:r>
      <w:r w:rsidR="0057014A">
        <w:rPr>
          <w:rFonts w:eastAsia="Times New Roman"/>
        </w:rPr>
        <w:t>a</w:t>
      </w:r>
      <w:r>
        <w:rPr>
          <w:rFonts w:eastAsia="Times New Roman"/>
        </w:rPr>
        <w:t xml:space="preserve"> </w:t>
      </w:r>
      <w:r w:rsidR="0057014A">
        <w:rPr>
          <w:rFonts w:eastAsia="Times New Roman"/>
        </w:rPr>
        <w:t>diagnosis,</w:t>
      </w:r>
      <w:r>
        <w:rPr>
          <w:rFonts w:eastAsia="Times New Roman"/>
        </w:rPr>
        <w:t xml:space="preserve"> </w:t>
      </w:r>
      <w:r w:rsidR="0057014A">
        <w:rPr>
          <w:rFonts w:eastAsia="Times New Roman"/>
        </w:rPr>
        <w:t>makes personality disorder</w:t>
      </w:r>
      <w:r>
        <w:rPr>
          <w:rFonts w:eastAsia="Times New Roman"/>
        </w:rPr>
        <w:t xml:space="preserve"> particularly stigmatising. </w:t>
      </w:r>
      <w:r w:rsidR="00FC768E">
        <w:rPr>
          <w:rFonts w:eastAsia="Times New Roman"/>
        </w:rPr>
        <w:t>He argues that the</w:t>
      </w:r>
      <w:r w:rsidRPr="009A0886">
        <w:t xml:space="preserve"> </w:t>
      </w:r>
      <w:r w:rsidR="00734AAC">
        <w:t>diagnosis of</w:t>
      </w:r>
      <w:r w:rsidRPr="009A0886">
        <w:t xml:space="preserve"> an</w:t>
      </w:r>
      <w:r w:rsidR="00F82D0F">
        <w:t xml:space="preserve"> enduring</w:t>
      </w:r>
      <w:r w:rsidRPr="009A0886">
        <w:t xml:space="preserve"> </w:t>
      </w:r>
      <w:r>
        <w:t>‘</w:t>
      </w:r>
      <w:r w:rsidRPr="009A0886">
        <w:t>abnormal</w:t>
      </w:r>
      <w:r>
        <w:t>’</w:t>
      </w:r>
      <w:r w:rsidRPr="009A0886">
        <w:t xml:space="preserve"> personality </w:t>
      </w:r>
      <w:r>
        <w:t>is</w:t>
      </w:r>
      <w:r w:rsidRPr="009A0886">
        <w:t xml:space="preserve"> </w:t>
      </w:r>
      <w:r>
        <w:t>‘</w:t>
      </w:r>
      <w:r w:rsidRPr="009A0886">
        <w:t>a clear moralistic position involving a long-term lack of confidence in those individuals who recurrently act in ways that others find offensive, disappointing and troublesome</w:t>
      </w:r>
      <w:r>
        <w:t>’</w:t>
      </w:r>
      <w:r w:rsidRPr="009A0886">
        <w:t xml:space="preserve"> </w:t>
      </w:r>
      <w:r w:rsidRPr="00D234CB">
        <w:t>(Pilgrim 2007, p.84).</w:t>
      </w:r>
      <w:r w:rsidR="005D3B4D">
        <w:t xml:space="preserve"> The validity of the personality disorder diagnosis has also come under fire following epidemiological studies showing high levels of co-morbidity between supposedly distinct personality disorders </w:t>
      </w:r>
      <w:r w:rsidR="005D3B4D" w:rsidRPr="00597998">
        <w:rPr>
          <w:noProof/>
        </w:rPr>
        <w:t xml:space="preserve">(First </w:t>
      </w:r>
      <w:r w:rsidR="005D3B4D" w:rsidRPr="00597998">
        <w:rPr>
          <w:i/>
          <w:noProof/>
        </w:rPr>
        <w:t>et al.</w:t>
      </w:r>
      <w:r w:rsidR="005D3B4D" w:rsidRPr="00597998">
        <w:rPr>
          <w:noProof/>
        </w:rPr>
        <w:t xml:space="preserve">, 2002; Grant </w:t>
      </w:r>
      <w:r w:rsidR="005D3B4D" w:rsidRPr="00597998">
        <w:rPr>
          <w:i/>
          <w:noProof/>
        </w:rPr>
        <w:t>et al.</w:t>
      </w:r>
      <w:r w:rsidR="005D3B4D" w:rsidRPr="00597998">
        <w:rPr>
          <w:noProof/>
        </w:rPr>
        <w:t xml:space="preserve">, 2005, 2008; Stinson </w:t>
      </w:r>
      <w:r w:rsidR="005D3B4D" w:rsidRPr="00597998">
        <w:rPr>
          <w:i/>
          <w:noProof/>
        </w:rPr>
        <w:t>et al.</w:t>
      </w:r>
      <w:r w:rsidR="005D3B4D" w:rsidRPr="00597998">
        <w:rPr>
          <w:noProof/>
        </w:rPr>
        <w:t>, 2008)</w:t>
      </w:r>
      <w:r w:rsidR="005D3B4D">
        <w:t xml:space="preserve"> and between personality disorders</w:t>
      </w:r>
      <w:r w:rsidR="005D3B4D" w:rsidRPr="003767A6">
        <w:t xml:space="preserve"> </w:t>
      </w:r>
      <w:r w:rsidR="005D3B4D">
        <w:t xml:space="preserve">and other disorders </w:t>
      </w:r>
      <w:r w:rsidR="005D3B4D" w:rsidRPr="00597998">
        <w:rPr>
          <w:noProof/>
        </w:rPr>
        <w:t xml:space="preserve">(First </w:t>
      </w:r>
      <w:r w:rsidR="005D3B4D" w:rsidRPr="00597998">
        <w:rPr>
          <w:i/>
          <w:noProof/>
        </w:rPr>
        <w:t>et al.</w:t>
      </w:r>
      <w:r w:rsidR="005D3B4D" w:rsidRPr="00597998">
        <w:rPr>
          <w:noProof/>
        </w:rPr>
        <w:t>, 2002, p. 150)</w:t>
      </w:r>
      <w:r w:rsidR="005D3B4D">
        <w:t>.</w:t>
      </w:r>
    </w:p>
    <w:p w14:paraId="39733F75" w14:textId="77777777" w:rsidR="003F586F" w:rsidRDefault="00C42EBE" w:rsidP="00B23BE9">
      <w:pPr>
        <w:spacing w:line="276" w:lineRule="auto"/>
        <w:rPr>
          <w:rFonts w:eastAsia="Times New Roman"/>
        </w:rPr>
      </w:pPr>
      <w:r>
        <w:t>The architects of the DSM-V alternative model and those of ICD-11 sought to respond to these critiques. Members of the DSM-V work group</w:t>
      </w:r>
      <w:r>
        <w:rPr>
          <w:rFonts w:eastAsia="Times New Roman"/>
        </w:rPr>
        <w:t xml:space="preserve"> argued that a dimensional model would reduce stigma by ‘</w:t>
      </w:r>
      <w:proofErr w:type="spellStart"/>
      <w:r>
        <w:rPr>
          <w:rFonts w:eastAsia="Times New Roman"/>
        </w:rPr>
        <w:t>recogniz</w:t>
      </w:r>
      <w:proofErr w:type="spellEnd"/>
      <w:r>
        <w:rPr>
          <w:rFonts w:eastAsia="Times New Roman"/>
        </w:rPr>
        <w:t>[</w:t>
      </w:r>
      <w:proofErr w:type="spellStart"/>
      <w:r>
        <w:rPr>
          <w:rFonts w:eastAsia="Times New Roman"/>
        </w:rPr>
        <w:t>ing</w:t>
      </w:r>
      <w:proofErr w:type="spellEnd"/>
      <w:r>
        <w:rPr>
          <w:rFonts w:eastAsia="Times New Roman"/>
        </w:rPr>
        <w:t>] and appreciate[</w:t>
      </w:r>
      <w:proofErr w:type="spellStart"/>
      <w:r>
        <w:rPr>
          <w:rFonts w:eastAsia="Times New Roman"/>
        </w:rPr>
        <w:t>ing</w:t>
      </w:r>
      <w:proofErr w:type="spellEnd"/>
      <w:r>
        <w:rPr>
          <w:rFonts w:eastAsia="Times New Roman"/>
        </w:rPr>
        <w:t xml:space="preserve">] </w:t>
      </w:r>
      <w:r w:rsidRPr="009417DB">
        <w:rPr>
          <w:rFonts w:eastAsia="Times New Roman"/>
        </w:rPr>
        <w:t>that the person is more than just the personality disorder and that</w:t>
      </w:r>
      <w:r>
        <w:rPr>
          <w:rFonts w:eastAsia="Times New Roman"/>
        </w:rPr>
        <w:t xml:space="preserve"> </w:t>
      </w:r>
      <w:r w:rsidRPr="009417DB">
        <w:rPr>
          <w:rFonts w:eastAsia="Times New Roman"/>
        </w:rPr>
        <w:t>there are aspects to personality that can be adaptive, even commendable,</w:t>
      </w:r>
      <w:r>
        <w:rPr>
          <w:rFonts w:eastAsia="Times New Roman"/>
        </w:rPr>
        <w:t xml:space="preserve"> </w:t>
      </w:r>
      <w:r w:rsidRPr="009417DB">
        <w:rPr>
          <w:rFonts w:eastAsia="Times New Roman"/>
        </w:rPr>
        <w:t>despite the presence of a personality disorder</w:t>
      </w:r>
      <w:r>
        <w:rPr>
          <w:rFonts w:eastAsia="Times New Roman"/>
        </w:rPr>
        <w:t>’</w:t>
      </w:r>
      <w:r w:rsidR="00681F58">
        <w:rPr>
          <w:rFonts w:eastAsia="Times New Roman"/>
        </w:rPr>
        <w:t xml:space="preserve"> </w:t>
      </w:r>
      <w:r w:rsidRPr="009417DB">
        <w:rPr>
          <w:rFonts w:eastAsia="Times New Roman"/>
          <w:noProof/>
        </w:rPr>
        <w:t>(Widiger, Livesley and Clark, 2009, p. 246)</w:t>
      </w:r>
      <w:r>
        <w:rPr>
          <w:rFonts w:eastAsia="Times New Roman"/>
        </w:rPr>
        <w:t>. The architects of the ICD-11 model suggest</w:t>
      </w:r>
      <w:r w:rsidR="00681F58">
        <w:rPr>
          <w:rFonts w:eastAsia="Times New Roman"/>
        </w:rPr>
        <w:t>ed</w:t>
      </w:r>
      <w:r>
        <w:rPr>
          <w:rFonts w:eastAsia="Times New Roman"/>
        </w:rPr>
        <w:t xml:space="preserve"> that introducing a spectrum of severity would reduce stigma by</w:t>
      </w:r>
      <w:r w:rsidR="00681F58">
        <w:rPr>
          <w:rFonts w:eastAsia="Times New Roman"/>
        </w:rPr>
        <w:t xml:space="preserve"> counteracting the notion that personality disorder is immutable and untreatable and by </w:t>
      </w:r>
      <w:r>
        <w:rPr>
          <w:rFonts w:eastAsia="Times New Roman"/>
        </w:rPr>
        <w:t>producing a more nuanced</w:t>
      </w:r>
      <w:r w:rsidR="000D54A3">
        <w:rPr>
          <w:rFonts w:eastAsia="Times New Roman"/>
        </w:rPr>
        <w:t>, and accurate,</w:t>
      </w:r>
      <w:r>
        <w:rPr>
          <w:rFonts w:eastAsia="Times New Roman"/>
        </w:rPr>
        <w:t xml:space="preserve"> description of the nature of the condition </w:t>
      </w:r>
      <w:r w:rsidRPr="00BF74F5">
        <w:rPr>
          <w:rFonts w:eastAsia="Times New Roman"/>
          <w:noProof/>
        </w:rPr>
        <w:t xml:space="preserve">(Tyrer </w:t>
      </w:r>
      <w:r w:rsidRPr="00BF74F5">
        <w:rPr>
          <w:rFonts w:eastAsia="Times New Roman"/>
          <w:i/>
          <w:noProof/>
        </w:rPr>
        <w:t>et al.</w:t>
      </w:r>
      <w:r w:rsidRPr="00BF74F5">
        <w:rPr>
          <w:rFonts w:eastAsia="Times New Roman"/>
          <w:noProof/>
        </w:rPr>
        <w:t>, 2011b, pp. 248–9)</w:t>
      </w:r>
      <w:r>
        <w:rPr>
          <w:rFonts w:eastAsia="Times New Roman"/>
        </w:rPr>
        <w:t xml:space="preserve">. </w:t>
      </w:r>
    </w:p>
    <w:p w14:paraId="18FD88DF" w14:textId="0F68FA9D" w:rsidR="00B23BE9" w:rsidRPr="00B867E8" w:rsidRDefault="00B23BE9" w:rsidP="00B23BE9">
      <w:pPr>
        <w:spacing w:line="276" w:lineRule="auto"/>
        <w:rPr>
          <w:rFonts w:eastAsia="Times New Roman"/>
        </w:rPr>
      </w:pPr>
      <w:r>
        <w:lastRenderedPageBreak/>
        <w:t xml:space="preserve">Significantly, the DSM-V alternative model and the ICD-11 have </w:t>
      </w:r>
      <w:r w:rsidR="006C7DE6">
        <w:t xml:space="preserve">both </w:t>
      </w:r>
      <w:r>
        <w:t>shifted away from the view that personality disorders are lifelong, deep-seated disturbances that are separate from normal personality</w:t>
      </w:r>
      <w:r w:rsidR="00140DA3">
        <w:t xml:space="preserve"> and from each other</w:t>
      </w:r>
      <w:r>
        <w:t>. The</w:t>
      </w:r>
      <w:r w:rsidR="00535121">
        <w:t>se</w:t>
      </w:r>
      <w:r>
        <w:t xml:space="preserve"> changes reflect recent clinical research indicating </w:t>
      </w:r>
      <w:r w:rsidR="00535121">
        <w:t xml:space="preserve">that </w:t>
      </w:r>
      <w:r>
        <w:t xml:space="preserve">some personality disorder traits decline with age </w:t>
      </w:r>
      <w:r w:rsidRPr="002B15CA">
        <w:rPr>
          <w:noProof/>
        </w:rPr>
        <w:t>(Lilienfeld, 2005)</w:t>
      </w:r>
      <w:r>
        <w:t xml:space="preserve"> and </w:t>
      </w:r>
      <w:r w:rsidRPr="009A0886">
        <w:t xml:space="preserve">variation and remission in </w:t>
      </w:r>
      <w:r>
        <w:t>symptoms</w:t>
      </w:r>
      <w:r w:rsidRPr="009A0886">
        <w:t xml:space="preserve"> </w:t>
      </w:r>
      <w:r w:rsidR="00730877">
        <w:t>during</w:t>
      </w:r>
      <w:r w:rsidR="00535121">
        <w:t xml:space="preserve"> the</w:t>
      </w:r>
      <w:r w:rsidR="00730877">
        <w:t xml:space="preserve"> life-course of the</w:t>
      </w:r>
      <w:r w:rsidR="00535121">
        <w:t xml:space="preserve"> disorder </w:t>
      </w:r>
      <w:r w:rsidRPr="00D6330F">
        <w:rPr>
          <w:noProof/>
        </w:rPr>
        <w:t xml:space="preserve">(Zanarini </w:t>
      </w:r>
      <w:r w:rsidRPr="00D6330F">
        <w:rPr>
          <w:i/>
          <w:noProof/>
        </w:rPr>
        <w:t>et al.</w:t>
      </w:r>
      <w:r w:rsidRPr="00D6330F">
        <w:rPr>
          <w:noProof/>
        </w:rPr>
        <w:t xml:space="preserve">, 2003; Gutiérrez </w:t>
      </w:r>
      <w:r w:rsidRPr="00D6330F">
        <w:rPr>
          <w:i/>
          <w:noProof/>
        </w:rPr>
        <w:t>et al.</w:t>
      </w:r>
      <w:r w:rsidRPr="00D6330F">
        <w:rPr>
          <w:noProof/>
        </w:rPr>
        <w:t>, 2012)</w:t>
      </w:r>
      <w:r>
        <w:t>.</w:t>
      </w:r>
    </w:p>
    <w:p w14:paraId="51789639" w14:textId="5E40A976" w:rsidR="00C63A51" w:rsidRDefault="00C63A51" w:rsidP="00C63A51">
      <w:pPr>
        <w:spacing w:line="276" w:lineRule="auto"/>
      </w:pPr>
      <w:r>
        <w:rPr>
          <w:rFonts w:eastAsia="Times New Roman"/>
        </w:rPr>
        <w:t>Nevertheless</w:t>
      </w:r>
      <w:r w:rsidR="00B23BE9">
        <w:rPr>
          <w:rFonts w:eastAsia="Times New Roman"/>
        </w:rPr>
        <w:t>,</w:t>
      </w:r>
      <w:r w:rsidR="00B867E8">
        <w:rPr>
          <w:rFonts w:eastAsia="Times New Roman"/>
        </w:rPr>
        <w:t xml:space="preserve"> </w:t>
      </w:r>
      <w:r w:rsidR="00B867E8">
        <w:t>both</w:t>
      </w:r>
      <w:r>
        <w:t xml:space="preserve"> models continue to use </w:t>
      </w:r>
      <w:r w:rsidR="00B867E8">
        <w:t xml:space="preserve">moral judgments and descriptions of socially undesirable behaviours as diagnostic </w:t>
      </w:r>
      <w:r>
        <w:t xml:space="preserve">criteria. The traits of </w:t>
      </w:r>
      <w:r w:rsidR="008B4188">
        <w:t>ASPD</w:t>
      </w:r>
      <w:r>
        <w:t xml:space="preserve"> in the DSM-V alternative model include manipulativeness, callousness, deceitfulness, and irresponsibility</w:t>
      </w:r>
      <w:r w:rsidR="007B7122">
        <w:t>. S</w:t>
      </w:r>
      <w:r>
        <w:t>imilar terms are used to describe the personality trait of ‘</w:t>
      </w:r>
      <w:proofErr w:type="spellStart"/>
      <w:r>
        <w:t>dissociality</w:t>
      </w:r>
      <w:proofErr w:type="spellEnd"/>
      <w:r>
        <w:t>’ in ICD-11. In ICD-11, ‘negative affectivity’ includes a tendency to reject others’ suggestions or advice</w:t>
      </w:r>
      <w:r w:rsidR="00B867E8">
        <w:t>,</w:t>
      </w:r>
      <w:r>
        <w:t xml:space="preserve"> and ‘</w:t>
      </w:r>
      <w:proofErr w:type="spellStart"/>
      <w:r>
        <w:t>anankastia</w:t>
      </w:r>
      <w:proofErr w:type="spellEnd"/>
      <w:r>
        <w:t xml:space="preserve">’ is characterised by stubbornness, and a lack of spontaneity </w:t>
      </w:r>
      <w:r w:rsidRPr="00CD3E9E">
        <w:rPr>
          <w:noProof/>
        </w:rPr>
        <w:t>(World Health Organisation, 2022, sec. 6D11.0 and 6D11.4)</w:t>
      </w:r>
      <w:r>
        <w:t>. Examples of behaviours associated with ‘borderline pattern’ include ‘</w:t>
      </w:r>
      <w:r w:rsidRPr="00156E40">
        <w:t>risky sexual behaviour, reckless driving, excessive alcohol or substance use</w:t>
      </w:r>
      <w:r w:rsidR="00884C14">
        <w:t>’ and</w:t>
      </w:r>
      <w:r w:rsidRPr="00156E40">
        <w:t xml:space="preserve"> </w:t>
      </w:r>
      <w:r w:rsidR="00884C14">
        <w:t>‘</w:t>
      </w:r>
      <w:r w:rsidRPr="00156E40">
        <w:t>binge eating</w:t>
      </w:r>
      <w:r>
        <w:t xml:space="preserve">’ </w:t>
      </w:r>
      <w:r w:rsidRPr="003707AC">
        <w:rPr>
          <w:noProof/>
        </w:rPr>
        <w:t>(World Health Organisation, 2022, sec. 6D11.5)</w:t>
      </w:r>
      <w:r>
        <w:t xml:space="preserve">. Thus, the argument that a personality disorder diagnosis is essentially tantamount to a declaration of </w:t>
      </w:r>
      <w:r w:rsidR="0078398D">
        <w:t xml:space="preserve">disapproval or </w:t>
      </w:r>
      <w:r>
        <w:t xml:space="preserve">dislike still seems to hold true </w:t>
      </w:r>
      <w:r w:rsidRPr="00477800">
        <w:rPr>
          <w:noProof/>
        </w:rPr>
        <w:t xml:space="preserve">(Lewis and Appleby, 1988; Bowers </w:t>
      </w:r>
      <w:r w:rsidRPr="00477800">
        <w:rPr>
          <w:i/>
          <w:noProof/>
        </w:rPr>
        <w:t>et al.</w:t>
      </w:r>
      <w:r w:rsidRPr="00477800">
        <w:rPr>
          <w:noProof/>
        </w:rPr>
        <w:t>, 2006)</w:t>
      </w:r>
      <w:r>
        <w:t xml:space="preserve">.  </w:t>
      </w:r>
    </w:p>
    <w:p w14:paraId="1A27DFED" w14:textId="7F56BCA6" w:rsidR="00B23BE9" w:rsidRDefault="00860AA7" w:rsidP="009341BB">
      <w:pPr>
        <w:spacing w:line="276" w:lineRule="auto"/>
        <w:rPr>
          <w:rFonts w:eastAsia="Times New Roman"/>
        </w:rPr>
      </w:pPr>
      <w:r>
        <w:rPr>
          <w:rFonts w:eastAsia="Times New Roman"/>
        </w:rPr>
        <w:t>Both systems continue to use the term ‘</w:t>
      </w:r>
      <w:r w:rsidR="00B23BE9">
        <w:rPr>
          <w:rFonts w:eastAsia="Times New Roman"/>
        </w:rPr>
        <w:t>personality disorder</w:t>
      </w:r>
      <w:r>
        <w:rPr>
          <w:rFonts w:eastAsia="Times New Roman"/>
        </w:rPr>
        <w:t>’, which</w:t>
      </w:r>
      <w:r w:rsidR="0021438D">
        <w:rPr>
          <w:rFonts w:eastAsia="Times New Roman"/>
        </w:rPr>
        <w:t xml:space="preserve"> is </w:t>
      </w:r>
      <w:proofErr w:type="gramStart"/>
      <w:r w:rsidR="0021438D">
        <w:rPr>
          <w:rFonts w:eastAsia="Times New Roman"/>
        </w:rPr>
        <w:t>stigmatising in itself</w:t>
      </w:r>
      <w:proofErr w:type="gramEnd"/>
      <w:r w:rsidR="0021438D">
        <w:rPr>
          <w:rFonts w:eastAsia="Times New Roman"/>
        </w:rPr>
        <w:t xml:space="preserve"> </w:t>
      </w:r>
      <w:r w:rsidR="00B23BE9" w:rsidRPr="00232D8E">
        <w:rPr>
          <w:noProof/>
        </w:rPr>
        <w:t>(Sheehan, Nieweglowski and Corrigan, 2016)</w:t>
      </w:r>
      <w:r w:rsidR="00B23BE9">
        <w:t xml:space="preserve">. People with lived experience </w:t>
      </w:r>
      <w:r w:rsidR="0021438D">
        <w:t>d</w:t>
      </w:r>
      <w:r w:rsidR="00B23BE9">
        <w:t xml:space="preserve">escribe personality disorder as ‘a dustbin label given to people who seem difficult’ that means ‘abnormal’, ‘untreatable’, or ‘bad and evil’ </w:t>
      </w:r>
      <w:r w:rsidR="00B23BE9" w:rsidRPr="00B40F40">
        <w:rPr>
          <w:noProof/>
        </w:rPr>
        <w:t>(Castillo, 2003, pp. 69–70)</w:t>
      </w:r>
      <w:r w:rsidR="00B23BE9">
        <w:t xml:space="preserve">. </w:t>
      </w:r>
      <w:r w:rsidR="00FE49DB">
        <w:t xml:space="preserve">While there is some evidence that clinical attitudes towards personality disorder have improved over time </w:t>
      </w:r>
      <w:r w:rsidR="00FE49DB" w:rsidRPr="00FE49DB">
        <w:rPr>
          <w:noProof/>
        </w:rPr>
        <w:t xml:space="preserve">(Day </w:t>
      </w:r>
      <w:r w:rsidR="00FE49DB" w:rsidRPr="00FE49DB">
        <w:rPr>
          <w:i/>
          <w:noProof/>
        </w:rPr>
        <w:t>et al.</w:t>
      </w:r>
      <w:r w:rsidR="00FE49DB" w:rsidRPr="00FE49DB">
        <w:rPr>
          <w:noProof/>
        </w:rPr>
        <w:t>, 2018)</w:t>
      </w:r>
      <w:r w:rsidR="00FE49DB">
        <w:t xml:space="preserve">, other studies show that the label continues to provoke negative attitudes amongst practitioners </w:t>
      </w:r>
      <w:r w:rsidR="00FE49DB" w:rsidRPr="009C7857">
        <w:rPr>
          <w:noProof/>
        </w:rPr>
        <w:t xml:space="preserve">(Lam </w:t>
      </w:r>
      <w:r w:rsidR="00FE49DB" w:rsidRPr="009C7857">
        <w:rPr>
          <w:i/>
          <w:noProof/>
        </w:rPr>
        <w:t>et al.</w:t>
      </w:r>
      <w:r w:rsidR="00FE49DB" w:rsidRPr="009C7857">
        <w:rPr>
          <w:noProof/>
        </w:rPr>
        <w:t>, 2016; Sheehan, Nieweglowski and Corrigan, 2016)</w:t>
      </w:r>
      <w:r w:rsidR="00FE49DB">
        <w:t>.</w:t>
      </w:r>
      <w:r w:rsidR="00B23BE9">
        <w:t xml:space="preserve"> </w:t>
      </w:r>
      <w:r w:rsidR="00884C14">
        <w:t>P</w:t>
      </w:r>
      <w:r w:rsidR="00B23BE9">
        <w:t xml:space="preserve">rofessionals and people with lived experience associate the label with a sense of blame, shame, defectiveness, exclusion, and permanence </w:t>
      </w:r>
      <w:r w:rsidR="00B23BE9" w:rsidRPr="00035C78">
        <w:rPr>
          <w:noProof/>
        </w:rPr>
        <w:t xml:space="preserve">(Lamph </w:t>
      </w:r>
      <w:r w:rsidR="00B23BE9" w:rsidRPr="00035C78">
        <w:rPr>
          <w:i/>
          <w:noProof/>
        </w:rPr>
        <w:t>et al.</w:t>
      </w:r>
      <w:r w:rsidR="00B23BE9" w:rsidRPr="00035C78">
        <w:rPr>
          <w:noProof/>
        </w:rPr>
        <w:t>, 2022)</w:t>
      </w:r>
      <w:r w:rsidR="00B23BE9">
        <w:t xml:space="preserve">. While </w:t>
      </w:r>
      <w:r w:rsidR="00C61561">
        <w:t>a</w:t>
      </w:r>
      <w:r w:rsidR="00B23BE9">
        <w:t xml:space="preserve"> </w:t>
      </w:r>
      <w:r w:rsidR="008B4188">
        <w:t>BPD</w:t>
      </w:r>
      <w:r w:rsidR="00B23BE9">
        <w:t xml:space="preserve"> </w:t>
      </w:r>
      <w:r w:rsidR="00C61561">
        <w:t xml:space="preserve">diagnosis has </w:t>
      </w:r>
      <w:r w:rsidR="00B23BE9">
        <w:t xml:space="preserve">afforded </w:t>
      </w:r>
      <w:r w:rsidR="00C61561">
        <w:t>some</w:t>
      </w:r>
      <w:r w:rsidR="00B23BE9">
        <w:t xml:space="preserve"> </w:t>
      </w:r>
      <w:r w:rsidR="007F56B5">
        <w:t xml:space="preserve">people </w:t>
      </w:r>
      <w:r w:rsidR="00B23BE9">
        <w:t xml:space="preserve">a sense of control and hope, these positive attitudes </w:t>
      </w:r>
      <w:r w:rsidR="007F56B5">
        <w:t>are</w:t>
      </w:r>
      <w:r w:rsidR="00B23BE9">
        <w:t xml:space="preserve"> expressed only where the diagnosis led to support </w:t>
      </w:r>
      <w:r w:rsidR="00B23BE9" w:rsidRPr="00035C78">
        <w:rPr>
          <w:noProof/>
        </w:rPr>
        <w:t xml:space="preserve">(Horn, Johnstone and Brooke, 2007; see also Lamph </w:t>
      </w:r>
      <w:r w:rsidR="00B23BE9" w:rsidRPr="00035C78">
        <w:rPr>
          <w:i/>
          <w:noProof/>
        </w:rPr>
        <w:t>et al.</w:t>
      </w:r>
      <w:r w:rsidR="00B23BE9" w:rsidRPr="00035C78">
        <w:rPr>
          <w:noProof/>
        </w:rPr>
        <w:t>, 2022)</w:t>
      </w:r>
      <w:r w:rsidR="00B23BE9">
        <w:t xml:space="preserve">. Without such support, </w:t>
      </w:r>
      <w:r w:rsidR="00525FAB">
        <w:t>a diagnosis is</w:t>
      </w:r>
      <w:r w:rsidR="00B23BE9">
        <w:t xml:space="preserve"> experienced as ‘the killing of hope’ </w:t>
      </w:r>
      <w:r w:rsidR="00B23BE9" w:rsidRPr="007F2D5D">
        <w:rPr>
          <w:noProof/>
        </w:rPr>
        <w:t>(Horn, Johnstone and Brooke, 2007, p. 262)</w:t>
      </w:r>
      <w:r w:rsidR="00B23BE9">
        <w:t>.</w:t>
      </w:r>
    </w:p>
    <w:p w14:paraId="06C64B10" w14:textId="41232462" w:rsidR="00D406DA" w:rsidRDefault="00EF2BFD" w:rsidP="006F07EF">
      <w:pPr>
        <w:spacing w:line="276" w:lineRule="auto"/>
      </w:pPr>
      <w:r>
        <w:t xml:space="preserve">While clinical advances have contributed to a sense that personality disorder is treatable, </w:t>
      </w:r>
      <w:r w:rsidR="00D406DA">
        <w:t xml:space="preserve">some </w:t>
      </w:r>
      <w:r>
        <w:t xml:space="preserve">scepticism remains </w:t>
      </w:r>
      <w:r w:rsidRPr="00F17D00">
        <w:rPr>
          <w:noProof/>
        </w:rPr>
        <w:t>(Pickersgill, 2013)</w:t>
      </w:r>
      <w:r>
        <w:t>.</w:t>
      </w:r>
      <w:r w:rsidR="00444DF5">
        <w:t xml:space="preserve"> </w:t>
      </w:r>
      <w:r w:rsidR="009F5CAC">
        <w:t>Research e</w:t>
      </w:r>
      <w:r w:rsidR="00F35996">
        <w:t xml:space="preserve">vidence for the effectiveness of treatment </w:t>
      </w:r>
      <w:r w:rsidR="00E13130">
        <w:t>is</w:t>
      </w:r>
      <w:r w:rsidR="00F35996">
        <w:t xml:space="preserve"> of moderate </w:t>
      </w:r>
      <w:r w:rsidR="00E13130">
        <w:t>quality at best</w:t>
      </w:r>
      <w:r w:rsidR="00F35996">
        <w:t>.</w:t>
      </w:r>
      <w:r w:rsidR="00635C0C">
        <w:t xml:space="preserve"> The most comprehensively studied</w:t>
      </w:r>
      <w:r w:rsidR="008B4188">
        <w:t xml:space="preserve">, and </w:t>
      </w:r>
      <w:proofErr w:type="gramStart"/>
      <w:r w:rsidR="008B4188">
        <w:t>most commonly diagnosed</w:t>
      </w:r>
      <w:proofErr w:type="gramEnd"/>
      <w:r w:rsidR="008B4188">
        <w:t>,</w:t>
      </w:r>
      <w:r w:rsidR="00635C0C">
        <w:t xml:space="preserve"> personality disorders</w:t>
      </w:r>
      <w:r w:rsidR="008168E0">
        <w:t xml:space="preserve"> </w:t>
      </w:r>
      <w:r w:rsidR="00635C0C">
        <w:t xml:space="preserve">are </w:t>
      </w:r>
      <w:r w:rsidR="008B4188">
        <w:t>ASPD</w:t>
      </w:r>
      <w:r w:rsidR="00CC2021">
        <w:t xml:space="preserve"> </w:t>
      </w:r>
      <w:r w:rsidR="00635C0C">
        <w:t xml:space="preserve">and </w:t>
      </w:r>
      <w:r w:rsidR="008B4188">
        <w:t>BPD</w:t>
      </w:r>
      <w:r w:rsidR="00861D04">
        <w:t xml:space="preserve"> </w:t>
      </w:r>
      <w:r w:rsidR="00BF74F5" w:rsidRPr="00BF74F5">
        <w:rPr>
          <w:noProof/>
        </w:rPr>
        <w:t xml:space="preserve">(Tyrer </w:t>
      </w:r>
      <w:r w:rsidR="00BF74F5" w:rsidRPr="00BF74F5">
        <w:rPr>
          <w:i/>
          <w:noProof/>
        </w:rPr>
        <w:t>et al.</w:t>
      </w:r>
      <w:r w:rsidR="00BF74F5" w:rsidRPr="00BF74F5">
        <w:rPr>
          <w:noProof/>
        </w:rPr>
        <w:t>, 2011a, 2019)</w:t>
      </w:r>
      <w:r w:rsidR="00635C0C">
        <w:t>.</w:t>
      </w:r>
      <w:r w:rsidR="00D406DA">
        <w:t xml:space="preserve"> </w:t>
      </w:r>
      <w:r w:rsidR="008168E0">
        <w:t xml:space="preserve">A recent systematic review of psychological treatments for </w:t>
      </w:r>
      <w:r w:rsidR="008B4188">
        <w:t>ASPD</w:t>
      </w:r>
      <w:r w:rsidR="008168E0">
        <w:t xml:space="preserve"> concluded that </w:t>
      </w:r>
      <w:r w:rsidR="008E0947">
        <w:t>‘</w:t>
      </w:r>
      <w:r w:rsidR="008168E0" w:rsidRPr="00D77016">
        <w:t>there is insu</w:t>
      </w:r>
      <w:r w:rsidR="008168E0">
        <w:t>ff</w:t>
      </w:r>
      <w:r w:rsidR="008168E0" w:rsidRPr="00D77016">
        <w:t>icient evidence to support</w:t>
      </w:r>
      <w:r w:rsidR="008168E0">
        <w:t xml:space="preserve"> </w:t>
      </w:r>
      <w:r w:rsidR="008168E0" w:rsidRPr="00D77016">
        <w:t>or refute the e</w:t>
      </w:r>
      <w:r w:rsidR="008168E0">
        <w:t>ff</w:t>
      </w:r>
      <w:r w:rsidR="008168E0" w:rsidRPr="00D77016">
        <w:t>ectiveness of any psychological intervention</w:t>
      </w:r>
      <w:r w:rsidR="008E0947">
        <w:t>’</w:t>
      </w:r>
      <w:r w:rsidR="00484E3E">
        <w:t xml:space="preserve"> </w:t>
      </w:r>
      <w:r w:rsidR="00484E3E" w:rsidRPr="00484E3E">
        <w:rPr>
          <w:noProof/>
        </w:rPr>
        <w:t xml:space="preserve">(Gibbon </w:t>
      </w:r>
      <w:r w:rsidR="00484E3E" w:rsidRPr="00484E3E">
        <w:rPr>
          <w:i/>
          <w:noProof/>
        </w:rPr>
        <w:t>et al.</w:t>
      </w:r>
      <w:r w:rsidR="00484E3E" w:rsidRPr="00484E3E">
        <w:rPr>
          <w:noProof/>
        </w:rPr>
        <w:t>, 2020, p. 41)</w:t>
      </w:r>
      <w:r w:rsidR="008168E0">
        <w:t>.</w:t>
      </w:r>
      <w:r w:rsidR="00E135EB">
        <w:t xml:space="preserve"> A review of pharmacological therapies drew the same conclusion</w:t>
      </w:r>
      <w:r w:rsidR="00484E3E">
        <w:t xml:space="preserve"> </w:t>
      </w:r>
      <w:r w:rsidR="00484E3E" w:rsidRPr="00484E3E">
        <w:rPr>
          <w:noProof/>
        </w:rPr>
        <w:t xml:space="preserve">(Khalifa </w:t>
      </w:r>
      <w:r w:rsidR="00484E3E" w:rsidRPr="00484E3E">
        <w:rPr>
          <w:i/>
          <w:noProof/>
        </w:rPr>
        <w:t>et al.</w:t>
      </w:r>
      <w:r w:rsidR="00484E3E" w:rsidRPr="00484E3E">
        <w:rPr>
          <w:noProof/>
        </w:rPr>
        <w:t>, 2020, p. 32)</w:t>
      </w:r>
      <w:r w:rsidR="00E135EB">
        <w:t>.</w:t>
      </w:r>
      <w:r w:rsidR="008168E0">
        <w:t xml:space="preserve"> </w:t>
      </w:r>
    </w:p>
    <w:p w14:paraId="003A4EA0" w14:textId="620AF73D" w:rsidR="00D406DA" w:rsidRDefault="00D406DA" w:rsidP="006F07EF">
      <w:pPr>
        <w:spacing w:line="276" w:lineRule="auto"/>
      </w:pPr>
      <w:r>
        <w:t xml:space="preserve">The evidence base for treating </w:t>
      </w:r>
      <w:r w:rsidR="008B4188">
        <w:t>BPD</w:t>
      </w:r>
      <w:r>
        <w:t xml:space="preserve"> is better, but it continues to </w:t>
      </w:r>
      <w:r w:rsidRPr="009A0886">
        <w:t xml:space="preserve">be limited by </w:t>
      </w:r>
      <w:r>
        <w:t xml:space="preserve">deficiencies in study quality </w:t>
      </w:r>
      <w:r w:rsidRPr="00A25D4C">
        <w:rPr>
          <w:noProof/>
        </w:rPr>
        <w:t>(Bateman, Gunderson and Mulder, 2015)</w:t>
      </w:r>
      <w:r>
        <w:t xml:space="preserve">. A recent metanalysis found beneficial effects of psychotherapy compared to treatment as usual, but the evidence was only of moderate quality and all trials </w:t>
      </w:r>
      <w:r w:rsidR="00793924">
        <w:t xml:space="preserve">had a </w:t>
      </w:r>
      <w:r>
        <w:t xml:space="preserve">high risk of bias </w:t>
      </w:r>
      <w:r w:rsidRPr="00F2418C">
        <w:rPr>
          <w:noProof/>
        </w:rPr>
        <w:t xml:space="preserve">(Storebø </w:t>
      </w:r>
      <w:r w:rsidRPr="00F2418C">
        <w:rPr>
          <w:i/>
          <w:noProof/>
        </w:rPr>
        <w:t>et al.</w:t>
      </w:r>
      <w:r w:rsidRPr="00F2418C">
        <w:rPr>
          <w:noProof/>
        </w:rPr>
        <w:t>, 2020, p. 70)</w:t>
      </w:r>
      <w:r>
        <w:t xml:space="preserve">. While dialectical </w:t>
      </w:r>
      <w:r>
        <w:lastRenderedPageBreak/>
        <w:t xml:space="preserve">behavioural therapy and mentalisation-based treatment were found to be more effective than treatment as usual in improving some symptoms, this </w:t>
      </w:r>
      <w:r w:rsidR="00793924">
        <w:t xml:space="preserve">finding </w:t>
      </w:r>
      <w:r>
        <w:t xml:space="preserve">was based on low-quality evidence. Thus, the true magnitude of </w:t>
      </w:r>
      <w:r w:rsidR="004E1C48">
        <w:t>treatment</w:t>
      </w:r>
      <w:r>
        <w:t xml:space="preserve"> effect</w:t>
      </w:r>
      <w:r w:rsidR="004E1C48">
        <w:t xml:space="preserve">s </w:t>
      </w:r>
      <w:proofErr w:type="gramStart"/>
      <w:r w:rsidR="003053A6">
        <w:t>were</w:t>
      </w:r>
      <w:proofErr w:type="gramEnd"/>
      <w:r w:rsidR="003053A6">
        <w:t xml:space="preserve"> uncertain </w:t>
      </w:r>
      <w:r w:rsidRPr="00F2418C">
        <w:rPr>
          <w:noProof/>
        </w:rPr>
        <w:t xml:space="preserve">(Storebø </w:t>
      </w:r>
      <w:r w:rsidRPr="00F2418C">
        <w:rPr>
          <w:i/>
          <w:noProof/>
        </w:rPr>
        <w:t>et al.</w:t>
      </w:r>
      <w:r w:rsidRPr="00F2418C">
        <w:rPr>
          <w:noProof/>
        </w:rPr>
        <w:t>, 2020, pp. 70–71)</w:t>
      </w:r>
      <w:r>
        <w:t>. A review of pharmacological interventions concluded that ‘</w:t>
      </w:r>
      <w:r w:rsidRPr="00760CF2">
        <w:t xml:space="preserve">there is no evidence </w:t>
      </w:r>
      <w:r>
        <w:t xml:space="preserve">from [randomised controlled trials] that any drug reduces </w:t>
      </w:r>
      <w:r w:rsidRPr="00760CF2">
        <w:t>overall BPD severity</w:t>
      </w:r>
      <w:r>
        <w:t xml:space="preserve">’ but that some did improve symptoms </w:t>
      </w:r>
      <w:r w:rsidRPr="00760CF2">
        <w:rPr>
          <w:noProof/>
        </w:rPr>
        <w:t xml:space="preserve">(Stoffers </w:t>
      </w:r>
      <w:r w:rsidRPr="00760CF2">
        <w:rPr>
          <w:i/>
          <w:noProof/>
        </w:rPr>
        <w:t>et al.</w:t>
      </w:r>
      <w:r w:rsidRPr="00760CF2">
        <w:rPr>
          <w:noProof/>
        </w:rPr>
        <w:t>, 2010, p. 40)</w:t>
      </w:r>
      <w:r>
        <w:t xml:space="preserve">. Again, the evidence was not robust. A more recent systematic review drew similar conclusions </w:t>
      </w:r>
      <w:r w:rsidRPr="00B53F94">
        <w:rPr>
          <w:noProof/>
        </w:rPr>
        <w:t xml:space="preserve">(Gartlehner </w:t>
      </w:r>
      <w:r w:rsidRPr="00B53F94">
        <w:rPr>
          <w:i/>
          <w:noProof/>
        </w:rPr>
        <w:t>et al.</w:t>
      </w:r>
      <w:r w:rsidRPr="00B53F94">
        <w:rPr>
          <w:noProof/>
        </w:rPr>
        <w:t>, 2021)</w:t>
      </w:r>
      <w:r>
        <w:t>.</w:t>
      </w:r>
    </w:p>
    <w:p w14:paraId="57E7113D" w14:textId="4F165625" w:rsidR="008168E0" w:rsidRPr="00AB6F62" w:rsidRDefault="006D1153" w:rsidP="006F07EF">
      <w:pPr>
        <w:spacing w:line="276" w:lineRule="auto"/>
      </w:pPr>
      <w:r>
        <w:t>This is not</w:t>
      </w:r>
      <w:r w:rsidR="0035551E">
        <w:t xml:space="preserve"> </w:t>
      </w:r>
      <w:r>
        <w:t xml:space="preserve">to say that existing therapies have been shown conclusively </w:t>
      </w:r>
      <w:r w:rsidRPr="006D1153">
        <w:rPr>
          <w:i/>
          <w:iCs/>
        </w:rPr>
        <w:t>not</w:t>
      </w:r>
      <w:r>
        <w:t xml:space="preserve"> to work. Rather, more robust research is needed. In the meantime, </w:t>
      </w:r>
      <w:r w:rsidRPr="009A0886">
        <w:t xml:space="preserve">the National Institute for </w:t>
      </w:r>
      <w:proofErr w:type="gramStart"/>
      <w:r w:rsidRPr="009A0886">
        <w:t>Health</w:t>
      </w:r>
      <w:proofErr w:type="gramEnd"/>
      <w:r w:rsidRPr="009A0886">
        <w:t xml:space="preserve"> and Care Excellence (NICE)</w:t>
      </w:r>
      <w:r>
        <w:t xml:space="preserve"> guideline on the treatment and management of </w:t>
      </w:r>
      <w:r w:rsidR="008B4188">
        <w:t>ASPD</w:t>
      </w:r>
      <w:r>
        <w:t xml:space="preserve"> </w:t>
      </w:r>
      <w:r w:rsidRPr="009A0886">
        <w:t>recommend</w:t>
      </w:r>
      <w:r>
        <w:t>s that clinicians consider group-based cognitive behavioural interventions</w:t>
      </w:r>
      <w:r w:rsidR="007C760D">
        <w:t>, which are supported by some evidence</w:t>
      </w:r>
      <w:r>
        <w:t xml:space="preserve"> </w:t>
      </w:r>
      <w:r w:rsidRPr="009A0886">
        <w:t xml:space="preserve">(NCCMH </w:t>
      </w:r>
      <w:r w:rsidRPr="009A0886">
        <w:rPr>
          <w:i/>
        </w:rPr>
        <w:t>et al.</w:t>
      </w:r>
      <w:r w:rsidRPr="009A0886">
        <w:t xml:space="preserve"> 2010, para</w:t>
      </w:r>
      <w:r>
        <w:t>s</w:t>
      </w:r>
      <w:r w:rsidRPr="009A0886">
        <w:t xml:space="preserve">. </w:t>
      </w:r>
      <w:r>
        <w:t>8.4.2.1.-2</w:t>
      </w:r>
      <w:r w:rsidRPr="009A0886">
        <w:t>).</w:t>
      </w:r>
      <w:r>
        <w:t xml:space="preserve"> It also recommends </w:t>
      </w:r>
      <w:r w:rsidRPr="009A0886">
        <w:t>challenging therapeutic pessimism and negative attitudes towards</w:t>
      </w:r>
      <w:r>
        <w:t xml:space="preserve"> patients </w:t>
      </w:r>
      <w:r w:rsidRPr="009A0886">
        <w:t xml:space="preserve">and encouraging staff to develop </w:t>
      </w:r>
      <w:r>
        <w:t>‘</w:t>
      </w:r>
      <w:r w:rsidRPr="009A0886">
        <w:t>a stronger belief in the effectiveness of their own personal skills</w:t>
      </w:r>
      <w:r>
        <w:t>’</w:t>
      </w:r>
      <w:r w:rsidRPr="009A0886">
        <w:t xml:space="preserve"> (NCCMH </w:t>
      </w:r>
      <w:r w:rsidRPr="009A0886">
        <w:rPr>
          <w:i/>
        </w:rPr>
        <w:t>et al.</w:t>
      </w:r>
      <w:r w:rsidRPr="009A0886">
        <w:t xml:space="preserve"> 2010, para. 4.3.1).</w:t>
      </w:r>
      <w:r w:rsidR="0035551E">
        <w:t xml:space="preserve"> The </w:t>
      </w:r>
      <w:r w:rsidR="00A25D4C" w:rsidRPr="009A0886">
        <w:t>NICE</w:t>
      </w:r>
      <w:r w:rsidR="00A25D4C">
        <w:t xml:space="preserve"> guideline on the treatment and management of </w:t>
      </w:r>
      <w:r w:rsidR="008B4188">
        <w:t>BPD</w:t>
      </w:r>
      <w:r w:rsidR="00A25D4C">
        <w:t xml:space="preserve"> is </w:t>
      </w:r>
      <w:r w:rsidR="0035551E">
        <w:t xml:space="preserve">also </w:t>
      </w:r>
      <w:r w:rsidR="00A25D4C">
        <w:t xml:space="preserve">cautiously optimistic. It recommends that clinicians </w:t>
      </w:r>
      <w:r w:rsidR="00A25D4C" w:rsidRPr="009A0886">
        <w:t>explor</w:t>
      </w:r>
      <w:r w:rsidR="00A25D4C">
        <w:t>e</w:t>
      </w:r>
      <w:r w:rsidR="00A25D4C" w:rsidRPr="009A0886">
        <w:t xml:space="preserve"> treatment options with patients </w:t>
      </w:r>
      <w:r w:rsidR="008E0947">
        <w:t>‘</w:t>
      </w:r>
      <w:r w:rsidR="00A25D4C" w:rsidRPr="009A0886">
        <w:t>in an atmosphere of hope and optimism, explaining that recovery is possible and attainable</w:t>
      </w:r>
      <w:r w:rsidR="008E0947">
        <w:t>’</w:t>
      </w:r>
      <w:r w:rsidR="00A25D4C" w:rsidRPr="009A0886">
        <w:t xml:space="preserve"> (NCCMH</w:t>
      </w:r>
      <w:r w:rsidR="00A25D4C" w:rsidRPr="009A0886">
        <w:rPr>
          <w:i/>
        </w:rPr>
        <w:t xml:space="preserve"> et al.</w:t>
      </w:r>
      <w:r w:rsidR="00A25D4C" w:rsidRPr="009A0886">
        <w:t xml:space="preserve"> 2009, para. </w:t>
      </w:r>
      <w:r w:rsidR="00A25D4C">
        <w:t>10.1.4.1.</w:t>
      </w:r>
      <w:r w:rsidR="00A25D4C" w:rsidRPr="009A0886">
        <w:t>)</w:t>
      </w:r>
      <w:r w:rsidR="00A25D4C">
        <w:t xml:space="preserve">. The guideline </w:t>
      </w:r>
      <w:r w:rsidR="00A25D4C" w:rsidRPr="009A0886">
        <w:t>recommend</w:t>
      </w:r>
      <w:r w:rsidR="0093147D">
        <w:t>s</w:t>
      </w:r>
      <w:r w:rsidR="00A25D4C">
        <w:t xml:space="preserve"> that psychotherapy should be delivered in a structured setting, and that clinicians consider dialectical behavioural therapy for self-harm </w:t>
      </w:r>
      <w:r w:rsidR="00A25D4C" w:rsidRPr="009A0886">
        <w:t>(NCCMH</w:t>
      </w:r>
      <w:r w:rsidR="00A25D4C" w:rsidRPr="009A0886">
        <w:rPr>
          <w:i/>
        </w:rPr>
        <w:t xml:space="preserve"> et al.</w:t>
      </w:r>
      <w:r w:rsidR="00A25D4C" w:rsidRPr="009A0886">
        <w:t xml:space="preserve"> 2009, para</w:t>
      </w:r>
      <w:r w:rsidR="00A25D4C">
        <w:t>. 5.12.1.1-3</w:t>
      </w:r>
      <w:r w:rsidR="00A25D4C" w:rsidRPr="009A0886">
        <w:t>)</w:t>
      </w:r>
      <w:r w:rsidR="00A25D4C">
        <w:t xml:space="preserve">. </w:t>
      </w:r>
    </w:p>
    <w:p w14:paraId="568D2515" w14:textId="04D0D34D" w:rsidR="00ED7267" w:rsidRDefault="00443C5B" w:rsidP="006F07EF">
      <w:pPr>
        <w:spacing w:line="276" w:lineRule="auto"/>
      </w:pPr>
      <w:r w:rsidRPr="00926244">
        <w:t xml:space="preserve">The </w:t>
      </w:r>
      <w:r>
        <w:t xml:space="preserve">diverging paths taken by DSM-V and ICD-11 could have significant legal and social implications. </w:t>
      </w:r>
      <w:r w:rsidR="00962B73">
        <w:t>Research on treatments for the DSM-V personality disorders are likely to continue as the</w:t>
      </w:r>
      <w:r w:rsidR="0085418F">
        <w:t>se</w:t>
      </w:r>
      <w:r w:rsidR="00962B73">
        <w:t xml:space="preserve"> categories have been retained in the manual. However, research on the ICD-11 models may take a different direction, focused on specific traits or behaviours rather than categories. </w:t>
      </w:r>
      <w:r w:rsidR="00D54868">
        <w:t>In addition, while the revised diagnostic systems are an improvement, they have not fully addressed the longstanding stigma attaching to personality disorders and the moral judgments that underlie the diagnosis.</w:t>
      </w:r>
    </w:p>
    <w:p w14:paraId="7AF171E5" w14:textId="2696AD8D" w:rsidR="00C52D8F" w:rsidRDefault="002A78FA" w:rsidP="006F07EF">
      <w:pPr>
        <w:spacing w:line="276" w:lineRule="auto"/>
      </w:pPr>
      <w:r>
        <w:t xml:space="preserve">Experts </w:t>
      </w:r>
      <w:r w:rsidR="00AF321F">
        <w:t xml:space="preserve">rely </w:t>
      </w:r>
      <w:r>
        <w:t>on the</w:t>
      </w:r>
      <w:r w:rsidR="00443C5B">
        <w:t xml:space="preserve"> DSM and ICD </w:t>
      </w:r>
      <w:r w:rsidR="00F4617A">
        <w:t>as</w:t>
      </w:r>
      <w:r w:rsidR="009A3724">
        <w:t xml:space="preserve"> the basis for </w:t>
      </w:r>
      <w:r w:rsidR="00AF321F">
        <w:t xml:space="preserve">psychiatric </w:t>
      </w:r>
      <w:r w:rsidR="009A3724">
        <w:t>diagnos</w:t>
      </w:r>
      <w:r w:rsidR="005E2FF6">
        <w:t>e</w:t>
      </w:r>
      <w:r w:rsidR="009A3724">
        <w:t>s</w:t>
      </w:r>
      <w:r w:rsidR="005E2FF6">
        <w:t>, and these</w:t>
      </w:r>
      <w:r w:rsidR="00AF321F">
        <w:t xml:space="preserve"> have significant consequences across a range of legal contexts, including</w:t>
      </w:r>
      <w:r w:rsidR="0085463B">
        <w:t xml:space="preserve"> </w:t>
      </w:r>
      <w:r w:rsidR="00443C5B">
        <w:t>criminal law, medical law,</w:t>
      </w:r>
      <w:r w:rsidR="00ED7267">
        <w:t xml:space="preserve"> </w:t>
      </w:r>
      <w:r w:rsidR="00443C5B">
        <w:t xml:space="preserve">and family law </w:t>
      </w:r>
      <w:r w:rsidR="00A3501F" w:rsidRPr="00A3501F">
        <w:rPr>
          <w:noProof/>
        </w:rPr>
        <w:t>(Bartlett, 2011)</w:t>
      </w:r>
      <w:r w:rsidR="00443C5B">
        <w:t xml:space="preserve">. The existence of </w:t>
      </w:r>
      <w:r w:rsidR="004C42EB">
        <w:t>three</w:t>
      </w:r>
      <w:r w:rsidR="00443C5B">
        <w:t xml:space="preserve"> diagnostic systems increases the likelihood of experts disagreeing over </w:t>
      </w:r>
      <w:proofErr w:type="gramStart"/>
      <w:r w:rsidR="00443C5B">
        <w:t>diagnosis</w:t>
      </w:r>
      <w:r w:rsidR="00847CD2">
        <w:t>,</w:t>
      </w:r>
      <w:r w:rsidR="00443C5B">
        <w:t xml:space="preserve"> </w:t>
      </w:r>
      <w:r w:rsidR="003B11AB">
        <w:t>or</w:t>
      </w:r>
      <w:proofErr w:type="gramEnd"/>
      <w:r w:rsidR="00443C5B">
        <w:t xml:space="preserve"> using different terminology</w:t>
      </w:r>
      <w:r w:rsidR="003B11AB">
        <w:t xml:space="preserve"> to describe a similar condition</w:t>
      </w:r>
      <w:r w:rsidR="00443C5B">
        <w:t>.</w:t>
      </w:r>
      <w:r w:rsidR="008721EF">
        <w:t xml:space="preserve"> </w:t>
      </w:r>
      <w:r w:rsidR="003B11AB">
        <w:t xml:space="preserve"> </w:t>
      </w:r>
      <w:r w:rsidR="00B03C62">
        <w:t xml:space="preserve">Disagreements can have a decisive impact in legal contexts that </w:t>
      </w:r>
      <w:r w:rsidR="00F11127">
        <w:t>require expert consensus</w:t>
      </w:r>
      <w:r w:rsidR="00B03C62">
        <w:t>.</w:t>
      </w:r>
      <w:r w:rsidR="00982231">
        <w:t xml:space="preserve"> </w:t>
      </w:r>
      <w:r w:rsidR="00B03C62">
        <w:t>In mental health law, t</w:t>
      </w:r>
      <w:r w:rsidR="00C52D8F">
        <w:t xml:space="preserve">he MHA 1983 </w:t>
      </w:r>
      <w:r w:rsidR="00D21563">
        <w:t xml:space="preserve">generally </w:t>
      </w:r>
      <w:r w:rsidR="00C52D8F">
        <w:t>requires two</w:t>
      </w:r>
      <w:r w:rsidR="00395F91">
        <w:t xml:space="preserve"> doctors to certify that they</w:t>
      </w:r>
      <w:r w:rsidR="00507D3C">
        <w:t xml:space="preserve"> are satisfied</w:t>
      </w:r>
      <w:r w:rsidR="00842BDA">
        <w:t xml:space="preserve"> that the criteria for detention are </w:t>
      </w:r>
      <w:r w:rsidR="003B11AB">
        <w:t>met</w:t>
      </w:r>
      <w:r w:rsidR="00842BDA">
        <w:t xml:space="preserve">. A key criterion is </w:t>
      </w:r>
      <w:r w:rsidR="00507D3C">
        <w:t xml:space="preserve">that </w:t>
      </w:r>
      <w:r w:rsidR="00842BDA">
        <w:t>the</w:t>
      </w:r>
      <w:r w:rsidR="00507D3C">
        <w:t xml:space="preserve"> person </w:t>
      </w:r>
      <w:r w:rsidR="00842BDA">
        <w:t>must be</w:t>
      </w:r>
      <w:r w:rsidR="00507D3C">
        <w:t xml:space="preserve"> </w:t>
      </w:r>
      <w:r w:rsidR="00C52D8F">
        <w:t xml:space="preserve">suffering from a mental disorder. Experts basing their assessments on the DSM-V </w:t>
      </w:r>
      <w:proofErr w:type="gramStart"/>
      <w:r w:rsidR="00C52D8F">
        <w:t>criteria</w:t>
      </w:r>
      <w:proofErr w:type="gramEnd"/>
      <w:r w:rsidR="00C52D8F">
        <w:t xml:space="preserve"> or the ICD-11 may come to different conclusions</w:t>
      </w:r>
      <w:r w:rsidR="0061322A">
        <w:t xml:space="preserve"> on this issue,</w:t>
      </w:r>
      <w:r w:rsidR="00C52D8F">
        <w:t xml:space="preserve"> as the criteria are not identical.</w:t>
      </w:r>
      <w:r w:rsidR="0029273C">
        <w:t xml:space="preserve"> An apparent lack of consensus could result, for example, in a prison sentence rather than a hospital disposal at sentencing. </w:t>
      </w:r>
      <w:r w:rsidR="00920EFB">
        <w:t>In the context of criminal law, a recognised psychiatric condition is required to demonstrate injury</w:t>
      </w:r>
      <w:r w:rsidR="003C5A1F">
        <w:t xml:space="preserve"> (</w:t>
      </w:r>
      <w:r w:rsidR="003C5A1F" w:rsidRPr="003C5A1F">
        <w:rPr>
          <w:i/>
          <w:iCs/>
        </w:rPr>
        <w:t>R. v D</w:t>
      </w:r>
      <w:r w:rsidR="00483459">
        <w:t xml:space="preserve">, </w:t>
      </w:r>
      <w:r w:rsidR="00610BF5">
        <w:t>2006</w:t>
      </w:r>
      <w:r w:rsidR="003C5A1F" w:rsidRPr="003C5A1F">
        <w:t>)</w:t>
      </w:r>
      <w:r w:rsidR="00464678">
        <w:t>. Consequently,</w:t>
      </w:r>
      <w:r w:rsidR="00920EFB">
        <w:t xml:space="preserve"> ‘c</w:t>
      </w:r>
      <w:r w:rsidR="00920EFB" w:rsidRPr="00920EFB">
        <w:t>ompeting diagnoses or conflict between a diagnosis and non-diagnosis</w:t>
      </w:r>
      <w:r w:rsidR="00920EFB">
        <w:t>…</w:t>
      </w:r>
      <w:r w:rsidR="00920EFB" w:rsidRPr="00920EFB">
        <w:t>can scupper a case that would have a realistic prospect of conviction in the absence of such conflict</w:t>
      </w:r>
      <w:r w:rsidR="00920EFB">
        <w:t>’ (Finch, 2022, p. 371).</w:t>
      </w:r>
    </w:p>
    <w:p w14:paraId="01E91D66" w14:textId="67DC8774" w:rsidR="003E460F" w:rsidRDefault="00E65EB9" w:rsidP="006F07EF">
      <w:pPr>
        <w:spacing w:line="276" w:lineRule="auto"/>
      </w:pPr>
      <w:r>
        <w:lastRenderedPageBreak/>
        <w:t>Moreover</w:t>
      </w:r>
      <w:r w:rsidR="00CC3AEF">
        <w:t>, legal actors who are not experts in psychiatric diagnosis will have to familiarise themselves with three different models</w:t>
      </w:r>
      <w:r w:rsidR="00F33E99">
        <w:t>. This</w:t>
      </w:r>
      <w:r w:rsidR="00CC3AEF">
        <w:t xml:space="preserve"> rais</w:t>
      </w:r>
      <w:r w:rsidR="00F33E99">
        <w:t>es</w:t>
      </w:r>
      <w:r w:rsidR="00CC3AEF">
        <w:t xml:space="preserve"> the prospect of </w:t>
      </w:r>
      <w:r w:rsidR="00092C6A">
        <w:t>misinterpretation</w:t>
      </w:r>
      <w:r w:rsidR="00421BD6">
        <w:t>s</w:t>
      </w:r>
      <w:r w:rsidR="00092C6A">
        <w:t xml:space="preserve"> of psychiatric evidence</w:t>
      </w:r>
      <w:r w:rsidR="00FC062C">
        <w:t xml:space="preserve"> </w:t>
      </w:r>
      <w:r w:rsidR="00201CB5">
        <w:t>that can</w:t>
      </w:r>
      <w:r w:rsidR="00FC062C">
        <w:t xml:space="preserve"> </w:t>
      </w:r>
      <w:r w:rsidR="00201CB5">
        <w:t>undermine</w:t>
      </w:r>
      <w:r w:rsidR="00FC062C">
        <w:t xml:space="preserve"> the authority of </w:t>
      </w:r>
      <w:r w:rsidR="00EA133F">
        <w:t xml:space="preserve">legal </w:t>
      </w:r>
      <w:r w:rsidR="00FC062C">
        <w:t>decisions</w:t>
      </w:r>
      <w:r w:rsidR="00CC3AEF">
        <w:t xml:space="preserve">. </w:t>
      </w:r>
      <w:r w:rsidR="009F42B9">
        <w:t>C</w:t>
      </w:r>
      <w:r w:rsidR="00E445F1">
        <w:t xml:space="preserve">ommentary on the </w:t>
      </w:r>
      <w:r w:rsidR="00422518">
        <w:t xml:space="preserve">trial of </w:t>
      </w:r>
      <w:r w:rsidR="00E445F1">
        <w:t>Anders Breivik in Norway</w:t>
      </w:r>
      <w:r w:rsidR="00422518">
        <w:t xml:space="preserve"> </w:t>
      </w:r>
      <w:r w:rsidR="00E445F1">
        <w:t>highlights</w:t>
      </w:r>
      <w:r w:rsidR="00F1165D">
        <w:t xml:space="preserve"> </w:t>
      </w:r>
      <w:r w:rsidR="00857257">
        <w:t>how</w:t>
      </w:r>
      <w:r w:rsidR="00422518">
        <w:t xml:space="preserve"> </w:t>
      </w:r>
      <w:r w:rsidR="00CC35A7">
        <w:t>diagnostic disagreements</w:t>
      </w:r>
      <w:r w:rsidR="00E05AE6">
        <w:t xml:space="preserve"> between psychiatrists</w:t>
      </w:r>
      <w:r w:rsidR="00CC35A7">
        <w:t xml:space="preserve"> in high profile cases can </w:t>
      </w:r>
      <w:r w:rsidR="00E05AE6">
        <w:t>fuel</w:t>
      </w:r>
      <w:r w:rsidR="00CC35A7">
        <w:t xml:space="preserve"> anti-expert</w:t>
      </w:r>
      <w:r w:rsidR="00E05AE6">
        <w:t xml:space="preserve"> or anti-psychiatric commentary</w:t>
      </w:r>
      <w:r w:rsidR="00E05AE6" w:rsidRPr="00E05AE6">
        <w:t xml:space="preserve"> </w:t>
      </w:r>
      <w:r w:rsidR="00E05AE6">
        <w:t>in the media</w:t>
      </w:r>
      <w:r w:rsidR="009F42B9">
        <w:t>, and lead to questionable legal decisions</w:t>
      </w:r>
      <w:r w:rsidR="00A86D68">
        <w:t xml:space="preserve"> (</w:t>
      </w:r>
      <w:proofErr w:type="spellStart"/>
      <w:r w:rsidR="00A86D68">
        <w:t>Melle</w:t>
      </w:r>
      <w:proofErr w:type="spellEnd"/>
      <w:r w:rsidR="00A86D68">
        <w:t>, 2013)</w:t>
      </w:r>
      <w:r w:rsidR="00E05AE6">
        <w:t>.</w:t>
      </w:r>
      <w:r w:rsidR="00422518">
        <w:t xml:space="preserve"> </w:t>
      </w:r>
      <w:r w:rsidR="00DB565C">
        <w:t>Faced with contradictory psychiatric evidence, a</w:t>
      </w:r>
      <w:r w:rsidR="00422518">
        <w:t xml:space="preserve"> </w:t>
      </w:r>
      <w:r w:rsidR="00912815">
        <w:t>trial court</w:t>
      </w:r>
      <w:r w:rsidR="00B07CDE">
        <w:t xml:space="preserve"> concluded</w:t>
      </w:r>
      <w:r w:rsidR="00DB565C">
        <w:t xml:space="preserve"> in 2012</w:t>
      </w:r>
      <w:r w:rsidR="00B07CDE">
        <w:t xml:space="preserve"> </w:t>
      </w:r>
      <w:r w:rsidR="00912815">
        <w:t xml:space="preserve">that </w:t>
      </w:r>
      <w:r w:rsidR="00422518">
        <w:t xml:space="preserve">Breivik was not </w:t>
      </w:r>
      <w:proofErr w:type="gramStart"/>
      <w:r w:rsidR="00422518">
        <w:t>psychotic</w:t>
      </w:r>
      <w:r w:rsidR="009F42B9">
        <w:t>, and</w:t>
      </w:r>
      <w:proofErr w:type="gramEnd"/>
      <w:r w:rsidR="009F42B9">
        <w:t xml:space="preserve"> </w:t>
      </w:r>
      <w:r w:rsidR="00DB565C">
        <w:t>found</w:t>
      </w:r>
      <w:r w:rsidR="00857257">
        <w:t xml:space="preserve"> him</w:t>
      </w:r>
      <w:r w:rsidR="00DB565C">
        <w:t xml:space="preserve"> </w:t>
      </w:r>
      <w:r w:rsidR="009F42B9">
        <w:t>legally accountable for</w:t>
      </w:r>
      <w:r w:rsidR="00422518">
        <w:t xml:space="preserve"> kil</w:t>
      </w:r>
      <w:r w:rsidR="009F42B9">
        <w:t>ling</w:t>
      </w:r>
      <w:r w:rsidR="00422518">
        <w:t xml:space="preserve"> 77 people</w:t>
      </w:r>
      <w:r w:rsidR="00DB565C">
        <w:t>. The decision</w:t>
      </w:r>
      <w:r w:rsidR="00422518">
        <w:t xml:space="preserve"> </w:t>
      </w:r>
      <w:r w:rsidR="00912815">
        <w:t>has been criticised for relying on common sense interpretations of Breivik’s behaviour and</w:t>
      </w:r>
      <w:r w:rsidR="009F42B9">
        <w:t xml:space="preserve"> for</w:t>
      </w:r>
      <w:r w:rsidR="00B07CDE">
        <w:t xml:space="preserve"> relying on the ICD-10 criteria for schizophrenia</w:t>
      </w:r>
      <w:r w:rsidR="00822DCB">
        <w:t>, seemingly</w:t>
      </w:r>
      <w:r w:rsidR="00B07CDE">
        <w:t xml:space="preserve"> </w:t>
      </w:r>
      <w:r w:rsidR="00DB565C">
        <w:t>overlook</w:t>
      </w:r>
      <w:r w:rsidR="00822DCB">
        <w:t>ing</w:t>
      </w:r>
      <w:r w:rsidR="00DB565C">
        <w:t xml:space="preserve"> DSM-IV criteria that could have led to the conclusion that Breivik was psychotic</w:t>
      </w:r>
      <w:r w:rsidR="0036613A">
        <w:t xml:space="preserve"> and therefore not legally accountable </w:t>
      </w:r>
      <w:r w:rsidR="00B0220A">
        <w:t>(</w:t>
      </w:r>
      <w:proofErr w:type="spellStart"/>
      <w:r w:rsidR="00B0220A">
        <w:t>Melle</w:t>
      </w:r>
      <w:proofErr w:type="spellEnd"/>
      <w:r w:rsidR="00B0220A">
        <w:t>, 2013)</w:t>
      </w:r>
      <w:r w:rsidR="00912815">
        <w:t xml:space="preserve">. </w:t>
      </w:r>
    </w:p>
    <w:p w14:paraId="12D789AF" w14:textId="77777777" w:rsidR="00C752E0" w:rsidRDefault="00C752E0" w:rsidP="006F07EF">
      <w:pPr>
        <w:spacing w:line="276" w:lineRule="auto"/>
      </w:pPr>
    </w:p>
    <w:p w14:paraId="71C9BDBC" w14:textId="35C58954" w:rsidR="002F7400" w:rsidRPr="002F7400" w:rsidRDefault="00D233D2" w:rsidP="006F07EF">
      <w:pPr>
        <w:spacing w:line="276" w:lineRule="auto"/>
        <w:rPr>
          <w:b/>
          <w:bCs/>
        </w:rPr>
      </w:pPr>
      <w:r>
        <w:rPr>
          <w:b/>
          <w:bCs/>
        </w:rPr>
        <w:t>The problem of ‘dangerous’ people</w:t>
      </w:r>
      <w:r w:rsidR="00800270">
        <w:rPr>
          <w:b/>
          <w:bCs/>
        </w:rPr>
        <w:t xml:space="preserve"> diagnosed</w:t>
      </w:r>
      <w:r>
        <w:rPr>
          <w:b/>
          <w:bCs/>
        </w:rPr>
        <w:t xml:space="preserve"> with personality disorders</w:t>
      </w:r>
    </w:p>
    <w:p w14:paraId="6380DA38" w14:textId="6D690563" w:rsidR="008E0E4C" w:rsidRDefault="007F045F" w:rsidP="006F07EF">
      <w:pPr>
        <w:spacing w:line="276" w:lineRule="auto"/>
      </w:pPr>
      <w:r>
        <w:t xml:space="preserve">Concerns for the human rights or civil liberties of individuals who could be subject to long-term hospital detention with little prospect of release have long sat alongside demands for </w:t>
      </w:r>
      <w:r w:rsidR="008B4188">
        <w:t xml:space="preserve">public </w:t>
      </w:r>
      <w:r>
        <w:t xml:space="preserve">protection from dangerous individuals. </w:t>
      </w:r>
      <w:r w:rsidR="008E0E4C">
        <w:t>In 1999, the Fallon Inquiry into the personality disorder unit at Ashworth Special Hospital concluded that</w:t>
      </w:r>
      <w:r w:rsidR="0056564A">
        <w:t>:</w:t>
      </w:r>
      <w:r w:rsidR="008E0E4C">
        <w:t xml:space="preserve"> </w:t>
      </w:r>
    </w:p>
    <w:p w14:paraId="6140792C" w14:textId="77777777" w:rsidR="008E0E4C" w:rsidRDefault="008E0E4C" w:rsidP="008E0E4C">
      <w:pPr>
        <w:spacing w:line="276" w:lineRule="auto"/>
        <w:ind w:left="720"/>
      </w:pPr>
      <w:r w:rsidRPr="008E0E4C">
        <w:t>there continues to be a wide diversity of opinion among experts from all the professions about the treatment and management of personality disorder and particularly severe personality disorder. There have always been dedicated enthusiasts convinced that they have the answer within their grasp, but there are also the sceptics, probably the majority, who point to the lack of credible evidence that treatment works</w:t>
      </w:r>
      <w:r>
        <w:t xml:space="preserve"> </w:t>
      </w:r>
      <w:r w:rsidR="009C7857" w:rsidRPr="009C7857">
        <w:rPr>
          <w:noProof/>
        </w:rPr>
        <w:t xml:space="preserve">(Fallon </w:t>
      </w:r>
      <w:r w:rsidR="009C7857" w:rsidRPr="009C7857">
        <w:rPr>
          <w:i/>
          <w:noProof/>
        </w:rPr>
        <w:t>et al.</w:t>
      </w:r>
      <w:r w:rsidR="009C7857" w:rsidRPr="009C7857">
        <w:rPr>
          <w:noProof/>
        </w:rPr>
        <w:t>, 1999, para. 6.10.1)</w:t>
      </w:r>
      <w:r w:rsidRPr="008E0E4C">
        <w:t>.</w:t>
      </w:r>
    </w:p>
    <w:p w14:paraId="01757D3B" w14:textId="5D1806B6" w:rsidR="00E46BA5" w:rsidRDefault="008E0E4C" w:rsidP="006F07EF">
      <w:pPr>
        <w:spacing w:line="276" w:lineRule="auto"/>
      </w:pPr>
      <w:r>
        <w:t xml:space="preserve">Little in this picture had changed since the </w:t>
      </w:r>
      <w:r w:rsidR="00DC4DC9">
        <w:t xml:space="preserve">1957 </w:t>
      </w:r>
      <w:r w:rsidR="008F31E4">
        <w:t>report of the Royal Commission on the Law Relating to Mental Illness and Mental Deficiency (the Percy Commission)</w:t>
      </w:r>
      <w:r>
        <w:t xml:space="preserve"> and the 1975 report of the Committee on Mentally Abnormal Offenders (the Butler Committee).</w:t>
      </w:r>
      <w:r w:rsidR="00054BFB">
        <w:t xml:space="preserve"> While some progress has been made in respect of </w:t>
      </w:r>
      <w:r w:rsidR="008B4188">
        <w:t>BPD</w:t>
      </w:r>
      <w:r w:rsidR="00054BFB">
        <w:t xml:space="preserve">, </w:t>
      </w:r>
      <w:r w:rsidR="00592D6C">
        <w:t>the picture is unlikely to be much different when it comes to</w:t>
      </w:r>
      <w:r w:rsidR="00054BFB">
        <w:t xml:space="preserve"> </w:t>
      </w:r>
      <w:r w:rsidR="008B4188">
        <w:t>ASPD</w:t>
      </w:r>
      <w:r w:rsidR="00054BFB">
        <w:t xml:space="preserve">. </w:t>
      </w:r>
      <w:r w:rsidR="0090301E">
        <w:t xml:space="preserve"> </w:t>
      </w:r>
    </w:p>
    <w:p w14:paraId="1E363206" w14:textId="294931B9" w:rsidR="00782BE1" w:rsidRDefault="00BC278D" w:rsidP="00EE6BC3">
      <w:pPr>
        <w:spacing w:line="276" w:lineRule="auto"/>
      </w:pPr>
      <w:r>
        <w:t xml:space="preserve">Some jurisdictions have taken the step of </w:t>
      </w:r>
      <w:r w:rsidR="000F351D">
        <w:t>entirely</w:t>
      </w:r>
      <w:r w:rsidR="003B4075">
        <w:t>, or almost entirely,</w:t>
      </w:r>
      <w:r w:rsidR="000F351D">
        <w:t xml:space="preserve"> </w:t>
      </w:r>
      <w:r w:rsidR="00B6659B">
        <w:t xml:space="preserve">excluding people </w:t>
      </w:r>
      <w:r w:rsidR="00782BE1">
        <w:t xml:space="preserve">diagnosed with </w:t>
      </w:r>
      <w:r w:rsidR="00B6659B">
        <w:t xml:space="preserve">personality disorder from the scope of </w:t>
      </w:r>
      <w:r w:rsidR="00A93DE9">
        <w:t xml:space="preserve">compulsory </w:t>
      </w:r>
      <w:r>
        <w:t xml:space="preserve">powers. </w:t>
      </w:r>
      <w:r w:rsidR="003B4075">
        <w:t xml:space="preserve">In Ireland, a person cannot be involuntarily admitted to psychiatric hospital unless he or she suffers from mental disorder, defined as ‘mental illness, severe dementia or significant intellectual disability’ (Mental Health Act (Ireland) 2001, s.3). Involuntary admission based on a personality disorder alone is explicitly excluded (Mental Health Act (Ireland) 2001, s.8(2)(b)). Thus, a person diagnosed with a personality disorder can only be involuntarily admitted in Ireland </w:t>
      </w:r>
      <w:r w:rsidR="00782BE1">
        <w:t>if</w:t>
      </w:r>
      <w:r w:rsidR="003B4075">
        <w:t xml:space="preserve"> they have a comorbid condition that meets the </w:t>
      </w:r>
      <w:r w:rsidR="00312596">
        <w:t xml:space="preserve">mental disorder </w:t>
      </w:r>
      <w:r w:rsidR="008E46D5">
        <w:t>definition</w:t>
      </w:r>
      <w:r w:rsidR="003B4075">
        <w:t xml:space="preserve">. </w:t>
      </w:r>
    </w:p>
    <w:p w14:paraId="02A2A31E" w14:textId="77777777" w:rsidR="00815D63" w:rsidRDefault="00231A25" w:rsidP="00EE6BC3">
      <w:pPr>
        <w:spacing w:line="276" w:lineRule="auto"/>
      </w:pPr>
      <w:r>
        <w:t xml:space="preserve">In New Zealand and </w:t>
      </w:r>
      <w:r w:rsidR="00A93DE9">
        <w:t xml:space="preserve">in </w:t>
      </w:r>
      <w:r w:rsidR="000B7B5E">
        <w:t xml:space="preserve">most </w:t>
      </w:r>
      <w:r>
        <w:t>Australia</w:t>
      </w:r>
      <w:r w:rsidR="000B7B5E">
        <w:t>n jurisdictions</w:t>
      </w:r>
      <w:r>
        <w:t xml:space="preserve"> (except</w:t>
      </w:r>
      <w:r w:rsidR="000B7B5E">
        <w:t xml:space="preserve"> </w:t>
      </w:r>
      <w:r>
        <w:t xml:space="preserve">South Australia), a person must be suffering from ‘mental illness’ </w:t>
      </w:r>
      <w:r w:rsidR="00E41319">
        <w:t xml:space="preserve">and require psychiatric treatment </w:t>
      </w:r>
      <w:r>
        <w:t xml:space="preserve">before he or she can be detained </w:t>
      </w:r>
      <w:r w:rsidR="00A93DE9">
        <w:t>under mental health law</w:t>
      </w:r>
      <w:r w:rsidR="00A93DE9">
        <w:rPr>
          <w:rStyle w:val="FootnoteReference"/>
        </w:rPr>
        <w:t xml:space="preserve"> </w:t>
      </w:r>
      <w:r w:rsidRPr="007B06E0">
        <w:rPr>
          <w:noProof/>
        </w:rPr>
        <w:t xml:space="preserve">(Gray </w:t>
      </w:r>
      <w:r w:rsidRPr="007B06E0">
        <w:rPr>
          <w:i/>
          <w:noProof/>
        </w:rPr>
        <w:t>et al.</w:t>
      </w:r>
      <w:r w:rsidRPr="007B06E0">
        <w:rPr>
          <w:noProof/>
        </w:rPr>
        <w:t>, 2010; Dawson, 2018)</w:t>
      </w:r>
      <w:r w:rsidR="00E41319">
        <w:t xml:space="preserve">. </w:t>
      </w:r>
      <w:r w:rsidR="000440E7">
        <w:t>P</w:t>
      </w:r>
      <w:r>
        <w:t xml:space="preserve">ersonality disorder </w:t>
      </w:r>
      <w:r w:rsidR="000B7B5E">
        <w:t>does</w:t>
      </w:r>
      <w:r>
        <w:t xml:space="preserve"> not fit easily within statutory definitions</w:t>
      </w:r>
      <w:r w:rsidR="003A5902">
        <w:t xml:space="preserve"> of mental illness</w:t>
      </w:r>
      <w:r>
        <w:t xml:space="preserve"> that are tailored to psychosis, thought </w:t>
      </w:r>
      <w:r>
        <w:lastRenderedPageBreak/>
        <w:t>disorder or mood disorders</w:t>
      </w:r>
      <w:r w:rsidR="000B7B5E">
        <w:t>.</w:t>
      </w:r>
      <w:r>
        <w:t xml:space="preserve"> </w:t>
      </w:r>
      <w:r w:rsidR="00E41319">
        <w:t>Consequently</w:t>
      </w:r>
      <w:r w:rsidR="003B4075">
        <w:t>,</w:t>
      </w:r>
      <w:r w:rsidR="000B7B5E">
        <w:t xml:space="preserve"> people with personality disorders</w:t>
      </w:r>
      <w:r w:rsidR="003A5902">
        <w:t xml:space="preserve"> </w:t>
      </w:r>
      <w:r w:rsidR="0024170E">
        <w:t xml:space="preserve">in these jurisdictions </w:t>
      </w:r>
      <w:r w:rsidR="000B7B5E">
        <w:t xml:space="preserve">can only be detained short-term during acute mental health crises </w:t>
      </w:r>
      <w:r w:rsidR="000B7B5E" w:rsidRPr="007B06E0">
        <w:rPr>
          <w:bCs/>
          <w:noProof/>
        </w:rPr>
        <w:t>(Dawson, 2018)</w:t>
      </w:r>
      <w:r w:rsidR="000B7B5E">
        <w:t>.</w:t>
      </w:r>
      <w:r w:rsidR="004A3766">
        <w:t xml:space="preserve"> </w:t>
      </w:r>
    </w:p>
    <w:p w14:paraId="1351F7A9" w14:textId="4CE18470" w:rsidR="00DE75FC" w:rsidRDefault="00815D63" w:rsidP="00EE6BC3">
      <w:pPr>
        <w:spacing w:line="276" w:lineRule="auto"/>
      </w:pPr>
      <w:r>
        <w:t>Under the Australasian approach, the prison service bears responsibility</w:t>
      </w:r>
      <w:r w:rsidRPr="006A4001">
        <w:t xml:space="preserve"> </w:t>
      </w:r>
      <w:r>
        <w:t xml:space="preserve">for managing “dangerous” offenders with personality disorders </w:t>
      </w:r>
      <w:r w:rsidRPr="006A4001">
        <w:rPr>
          <w:noProof/>
        </w:rPr>
        <w:t>(Dawson, 2018, p. 624)</w:t>
      </w:r>
      <w:r>
        <w:t xml:space="preserve">. Similarly, the Irish Mental Health Act 2001 implies that ‘it is criminal law, rather than mental health law, that should provide for situations where a person’s decisions possibly place others in jeopardy’ (Reidy and Kelly, 2021, p.3).  </w:t>
      </w:r>
    </w:p>
    <w:p w14:paraId="00D5CF94" w14:textId="39CB9D73" w:rsidR="00B834A4" w:rsidRDefault="00231A25" w:rsidP="006F07EF">
      <w:pPr>
        <w:spacing w:line="276" w:lineRule="auto"/>
      </w:pPr>
      <w:r>
        <w:t>Dawson argues that th</w:t>
      </w:r>
      <w:r w:rsidR="00DE75FC">
        <w:t xml:space="preserve">e </w:t>
      </w:r>
      <w:r w:rsidR="00BA4E0C">
        <w:t xml:space="preserve">justification for the </w:t>
      </w:r>
      <w:r w:rsidR="00DE75FC">
        <w:t>Australasian</w:t>
      </w:r>
      <w:r>
        <w:t xml:space="preserve"> approach is that mental health l</w:t>
      </w:r>
      <w:r w:rsidR="00BA4E0C">
        <w:t>aw</w:t>
      </w:r>
      <w:r>
        <w:t xml:space="preserve"> should not be used </w:t>
      </w:r>
      <w:r w:rsidR="00BA4E0C">
        <w:t>to facilitate the</w:t>
      </w:r>
      <w:r>
        <w:t xml:space="preserve"> </w:t>
      </w:r>
      <w:r w:rsidR="006337FC">
        <w:t>‘</w:t>
      </w:r>
      <w:r>
        <w:t xml:space="preserve">pure preventive detention of people considered </w:t>
      </w:r>
      <w:r w:rsidR="006337FC">
        <w:t>“</w:t>
      </w:r>
      <w:r>
        <w:t>dangerous</w:t>
      </w:r>
      <w:r w:rsidR="006337FC">
        <w:t xml:space="preserve">” </w:t>
      </w:r>
      <w:r>
        <w:t>but untreatable</w:t>
      </w:r>
      <w:r w:rsidR="006337FC">
        <w:t>’ but instead</w:t>
      </w:r>
      <w:r w:rsidR="000440E7">
        <w:t xml:space="preserve"> </w:t>
      </w:r>
      <w:r w:rsidR="006337FC">
        <w:t>for</w:t>
      </w:r>
      <w:r>
        <w:t xml:space="preserve"> </w:t>
      </w:r>
      <w:r w:rsidR="006337FC">
        <w:t>‘</w:t>
      </w:r>
      <w:r>
        <w:t>those most likely to benefit from treatment</w:t>
      </w:r>
      <w:r w:rsidR="008E0947">
        <w:t>’</w:t>
      </w:r>
      <w:r>
        <w:t xml:space="preserve"> </w:t>
      </w:r>
      <w:r w:rsidRPr="00C81BFF">
        <w:rPr>
          <w:bCs/>
          <w:noProof/>
        </w:rPr>
        <w:t>(Dawson, 2018, p. 84)</w:t>
      </w:r>
      <w:r>
        <w:t xml:space="preserve">. </w:t>
      </w:r>
      <w:r w:rsidR="006A4001">
        <w:t xml:space="preserve">Dawson traces this view back to </w:t>
      </w:r>
      <w:r w:rsidR="00B834A4">
        <w:t xml:space="preserve">the </w:t>
      </w:r>
      <w:r w:rsidR="006A4001">
        <w:t>influential psychiatrist</w:t>
      </w:r>
      <w:r w:rsidR="000440E7">
        <w:t>,</w:t>
      </w:r>
      <w:r w:rsidR="006A4001">
        <w:t xml:space="preserve"> Aubrey Lewis </w:t>
      </w:r>
      <w:r w:rsidR="007A3368">
        <w:rPr>
          <w:noProof/>
        </w:rPr>
        <w:t>(</w:t>
      </w:r>
      <w:r w:rsidR="007A3368" w:rsidRPr="007F448C">
        <w:rPr>
          <w:noProof/>
        </w:rPr>
        <w:t>1963, p. 1553)</w:t>
      </w:r>
      <w:r w:rsidR="009E6C15">
        <w:rPr>
          <w:noProof/>
        </w:rPr>
        <w:t>, who</w:t>
      </w:r>
      <w:r w:rsidR="007A3368">
        <w:rPr>
          <w:noProof/>
        </w:rPr>
        <w:t xml:space="preserve"> </w:t>
      </w:r>
      <w:r w:rsidR="006A4001">
        <w:t>was wary of the abuse of psychiatry and</w:t>
      </w:r>
      <w:r w:rsidR="00F14462">
        <w:t xml:space="preserve"> suggested that</w:t>
      </w:r>
      <w:r w:rsidR="00B834A4">
        <w:t>:</w:t>
      </w:r>
      <w:r w:rsidR="00F14462">
        <w:t xml:space="preserve"> </w:t>
      </w:r>
    </w:p>
    <w:p w14:paraId="190DC6DA" w14:textId="22180FFE" w:rsidR="00B834A4" w:rsidRDefault="00F14462" w:rsidP="00B834A4">
      <w:pPr>
        <w:spacing w:line="276" w:lineRule="auto"/>
        <w:ind w:left="720"/>
      </w:pPr>
      <w:r>
        <w:t>psychiatrists have no wish to…act…as the agents of organized society in getting ‘deviants’ to conform. If society asks psychiatrists to do this, with ‘</w:t>
      </w:r>
      <w:r w:rsidR="006A4001">
        <w:t>psychopathic disorder</w:t>
      </w:r>
      <w:r>
        <w:t>’</w:t>
      </w:r>
      <w:r w:rsidR="006A4001">
        <w:t xml:space="preserve"> as the thin end of the wedge,</w:t>
      </w:r>
      <w:r>
        <w:t xml:space="preserve"> it may be predicted that </w:t>
      </w:r>
      <w:r w:rsidR="006A4001">
        <w:t>they will refuse</w:t>
      </w:r>
      <w:r w:rsidR="008B30EA">
        <w:t xml:space="preserve">. </w:t>
      </w:r>
    </w:p>
    <w:p w14:paraId="13D7CDDA" w14:textId="1160C7D0" w:rsidR="00C24CA0" w:rsidRDefault="001C77D9" w:rsidP="006F07EF">
      <w:pPr>
        <w:spacing w:line="276" w:lineRule="auto"/>
      </w:pPr>
      <w:r>
        <w:t xml:space="preserve">By contrast, the trend </w:t>
      </w:r>
      <w:r w:rsidR="009411F1">
        <w:t xml:space="preserve">in England </w:t>
      </w:r>
      <w:r w:rsidR="003075F3">
        <w:t>and</w:t>
      </w:r>
      <w:r w:rsidR="009411F1">
        <w:t xml:space="preserve"> Wales </w:t>
      </w:r>
      <w:r>
        <w:t xml:space="preserve">has been towards expanding </w:t>
      </w:r>
      <w:r w:rsidR="00DA31B8">
        <w:t>the scope of</w:t>
      </w:r>
      <w:r w:rsidR="00231A25">
        <w:t xml:space="preserve"> mental health law</w:t>
      </w:r>
      <w:r w:rsidR="002F75D4">
        <w:t xml:space="preserve"> to facilitate the detention of people with personality disorder</w:t>
      </w:r>
      <w:r w:rsidR="000003AF">
        <w:t xml:space="preserve"> where they are considered to pose a risk to the public</w:t>
      </w:r>
      <w:r w:rsidR="00231A25">
        <w:t xml:space="preserve">. </w:t>
      </w:r>
      <w:r w:rsidR="00254930">
        <w:t>I</w:t>
      </w:r>
      <w:r w:rsidR="005F2E93">
        <w:t>n the 1990s</w:t>
      </w:r>
      <w:r w:rsidR="00254930">
        <w:t xml:space="preserve">, </w:t>
      </w:r>
      <w:r w:rsidR="00D43F3F">
        <w:t xml:space="preserve">the New Labour </w:t>
      </w:r>
      <w:r w:rsidR="00A62A2D">
        <w:t>G</w:t>
      </w:r>
      <w:r w:rsidR="00D43F3F">
        <w:t>overnment</w:t>
      </w:r>
      <w:r w:rsidR="00254930">
        <w:t xml:space="preserve"> sought to </w:t>
      </w:r>
      <w:r w:rsidR="00610365">
        <w:t xml:space="preserve">introduce new legislation to </w:t>
      </w:r>
      <w:r w:rsidR="002F75D4">
        <w:t>detain</w:t>
      </w:r>
      <w:r w:rsidR="005F2E93">
        <w:t xml:space="preserve"> </w:t>
      </w:r>
      <w:r w:rsidR="008E0947">
        <w:t>‘</w:t>
      </w:r>
      <w:r w:rsidR="00D43F3F">
        <w:t>dangerous people with severe personality disorder</w:t>
      </w:r>
      <w:r w:rsidR="008E0947">
        <w:t>’</w:t>
      </w:r>
      <w:r w:rsidR="005F2E93">
        <w:t>,</w:t>
      </w:r>
      <w:r w:rsidR="00D43F3F">
        <w:t xml:space="preserve"> or DSPD,</w:t>
      </w:r>
      <w:r w:rsidR="005F2E93">
        <w:t xml:space="preserve"> in psychiatric hospitals</w:t>
      </w:r>
      <w:r w:rsidR="00D43F3F">
        <w:t xml:space="preserve"> </w:t>
      </w:r>
      <w:r w:rsidR="00D43F3F" w:rsidRPr="00D43F3F">
        <w:rPr>
          <w:noProof/>
        </w:rPr>
        <w:t>(Home Office and Department of Health, 1999)</w:t>
      </w:r>
      <w:r w:rsidR="00D43F3F">
        <w:t xml:space="preserve">. </w:t>
      </w:r>
      <w:r w:rsidR="00C24CA0">
        <w:t xml:space="preserve">Under the MHA 1983 as originally enacted, a person could only be detained on the grounds of </w:t>
      </w:r>
      <w:r w:rsidR="008E0947">
        <w:t>‘</w:t>
      </w:r>
      <w:r w:rsidR="00C24CA0">
        <w:t>psychopathic disorder</w:t>
      </w:r>
      <w:r w:rsidR="008E0947">
        <w:t>’</w:t>
      </w:r>
      <w:r w:rsidR="00C24CA0">
        <w:t xml:space="preserve"> if treatment in hospital was </w:t>
      </w:r>
      <w:r w:rsidR="008E0947">
        <w:t>‘</w:t>
      </w:r>
      <w:r w:rsidR="00C24CA0">
        <w:t>likely to alleviate or prevent a deterioration of [his or her] condition</w:t>
      </w:r>
      <w:r w:rsidR="008E0947">
        <w:t>’</w:t>
      </w:r>
      <w:r w:rsidR="00C24CA0">
        <w:t xml:space="preserve"> (MHA 1983, former s.3(2)(b)).  Psychopathic disorder was a legal rather than a psychiatric concept defined as </w:t>
      </w:r>
      <w:r w:rsidR="008E0947">
        <w:t>‘</w:t>
      </w:r>
      <w:r w:rsidR="00C24CA0">
        <w:t>a persistent disorder or disability of mind (whether or not including significant impairment of intelligence) which results in abnormally aggressive or seriously irresponsible conduct on the part of the person concerned.</w:t>
      </w:r>
      <w:r w:rsidR="008E0947">
        <w:t>’</w:t>
      </w:r>
      <w:r w:rsidR="00C24CA0">
        <w:t xml:space="preserve"> The </w:t>
      </w:r>
      <w:r w:rsidR="003075F3">
        <w:t>G</w:t>
      </w:r>
      <w:r w:rsidR="00C24CA0">
        <w:t xml:space="preserve">overnment presented this </w:t>
      </w:r>
      <w:r w:rsidR="008E0947">
        <w:t>‘</w:t>
      </w:r>
      <w:r w:rsidR="00C24CA0">
        <w:t>treatability</w:t>
      </w:r>
      <w:r w:rsidR="008E0947">
        <w:t>’</w:t>
      </w:r>
      <w:r w:rsidR="00C24CA0">
        <w:t xml:space="preserve"> requirement as a stumbling block to the detention of dangerous individuals in hospital on the grounds that </w:t>
      </w:r>
      <w:r w:rsidR="00CD5347">
        <w:t>personality disorders</w:t>
      </w:r>
      <w:r w:rsidR="00C24CA0">
        <w:t xml:space="preserve"> w</w:t>
      </w:r>
      <w:r w:rsidR="00CD5347">
        <w:t>ere</w:t>
      </w:r>
      <w:r w:rsidR="00C24CA0">
        <w:t xml:space="preserve"> considered untreatable by many psychiatrists (</w:t>
      </w:r>
      <w:proofErr w:type="spellStart"/>
      <w:r w:rsidR="00C24CA0">
        <w:t>Peay</w:t>
      </w:r>
      <w:proofErr w:type="spellEnd"/>
      <w:r w:rsidR="006E18A3">
        <w:t>,</w:t>
      </w:r>
      <w:r w:rsidR="00C24CA0">
        <w:t xml:space="preserve"> 2011</w:t>
      </w:r>
      <w:r w:rsidR="000C06F6">
        <w:t>b</w:t>
      </w:r>
      <w:r w:rsidR="00C24CA0">
        <w:t>, p.176</w:t>
      </w:r>
      <w:r w:rsidR="00353355">
        <w:t>. See further O’Loughlin</w:t>
      </w:r>
      <w:r w:rsidR="006E18A3">
        <w:t>,</w:t>
      </w:r>
      <w:r w:rsidR="00353355">
        <w:t xml:space="preserve"> 2014</w:t>
      </w:r>
      <w:r w:rsidR="00C24CA0">
        <w:t>).</w:t>
      </w:r>
      <w:r w:rsidR="00C24CA0" w:rsidRPr="00187D23">
        <w:t xml:space="preserve"> </w:t>
      </w:r>
    </w:p>
    <w:p w14:paraId="5900ED79" w14:textId="70250E1C" w:rsidR="008006C7" w:rsidRDefault="00A50593" w:rsidP="006F07EF">
      <w:pPr>
        <w:spacing w:line="276" w:lineRule="auto"/>
      </w:pPr>
      <w:r>
        <w:t>New Labour’s</w:t>
      </w:r>
      <w:r w:rsidR="00187D23">
        <w:t xml:space="preserve"> </w:t>
      </w:r>
      <w:r w:rsidR="008B1090">
        <w:t>determination</w:t>
      </w:r>
      <w:r w:rsidR="00187D23">
        <w:t xml:space="preserve"> to </w:t>
      </w:r>
      <w:r w:rsidR="003B3780">
        <w:t>remove</w:t>
      </w:r>
      <w:r w:rsidR="00187D23">
        <w:t xml:space="preserve"> perceived legal impediments to public protection </w:t>
      </w:r>
      <w:r w:rsidR="00C123CD">
        <w:t xml:space="preserve">drove </w:t>
      </w:r>
      <w:r w:rsidR="00187D23">
        <w:t xml:space="preserve">the </w:t>
      </w:r>
      <w:r w:rsidR="00E75E7E">
        <w:t xml:space="preserve">introduction of the </w:t>
      </w:r>
      <w:r w:rsidR="00187D23">
        <w:t xml:space="preserve">MHA 2007 </w:t>
      </w:r>
      <w:r w:rsidR="00187D23" w:rsidRPr="00835FAA">
        <w:rPr>
          <w:noProof/>
        </w:rPr>
        <w:t>(Daw, 2007)</w:t>
      </w:r>
      <w:r w:rsidR="00187D23">
        <w:t>.</w:t>
      </w:r>
      <w:r w:rsidR="00E85A74">
        <w:t xml:space="preserve"> </w:t>
      </w:r>
      <w:r w:rsidR="00936646">
        <w:t xml:space="preserve">The MHA 2007 </w:t>
      </w:r>
      <w:r w:rsidR="00E75E7E">
        <w:t xml:space="preserve">amended the MHA 1983, </w:t>
      </w:r>
      <w:r w:rsidR="00936646">
        <w:t>replac</w:t>
      </w:r>
      <w:r w:rsidR="00E75E7E">
        <w:t>ing</w:t>
      </w:r>
      <w:r w:rsidR="00936646">
        <w:t xml:space="preserve"> the old categories of mental illness, mental </w:t>
      </w:r>
      <w:proofErr w:type="gramStart"/>
      <w:r w:rsidR="00936646">
        <w:t>impairment</w:t>
      </w:r>
      <w:proofErr w:type="gramEnd"/>
      <w:r w:rsidR="00936646">
        <w:t xml:space="preserve"> and psychopathic disorder with the single diagnosis of </w:t>
      </w:r>
      <w:r w:rsidR="008E0947">
        <w:t>‘</w:t>
      </w:r>
      <w:r w:rsidR="00936646">
        <w:t>mental disorder</w:t>
      </w:r>
      <w:r w:rsidR="008E0947">
        <w:t>’</w:t>
      </w:r>
      <w:r w:rsidR="00936646">
        <w:t xml:space="preserve">, </w:t>
      </w:r>
      <w:r w:rsidR="00FD00B0">
        <w:t xml:space="preserve">broadly </w:t>
      </w:r>
      <w:r w:rsidR="00936646">
        <w:t xml:space="preserve">defined as </w:t>
      </w:r>
      <w:r w:rsidR="008E0947">
        <w:t>‘</w:t>
      </w:r>
      <w:r w:rsidR="00936646">
        <w:t>any disorder or disability of the mind</w:t>
      </w:r>
      <w:r w:rsidR="008E0947">
        <w:t>’</w:t>
      </w:r>
      <w:r w:rsidR="00E85A74">
        <w:t xml:space="preserve"> (MHA 1983, s.1</w:t>
      </w:r>
      <w:r w:rsidR="00FC2161">
        <w:t>(2)</w:t>
      </w:r>
      <w:r w:rsidR="00E85A74">
        <w:t>)</w:t>
      </w:r>
      <w:r w:rsidR="00936646">
        <w:t>.</w:t>
      </w:r>
      <w:r w:rsidR="00335ABD">
        <w:t xml:space="preserve"> </w:t>
      </w:r>
      <w:r w:rsidR="001F4078">
        <w:t>I</w:t>
      </w:r>
      <w:r w:rsidR="00335ABD">
        <w:t xml:space="preserve">t </w:t>
      </w:r>
      <w:r w:rsidR="00FC2161">
        <w:t>replaced the</w:t>
      </w:r>
      <w:r w:rsidR="00FD00B0">
        <w:t xml:space="preserve"> </w:t>
      </w:r>
      <w:r w:rsidR="008E0947">
        <w:t>‘</w:t>
      </w:r>
      <w:r w:rsidR="00FC2161">
        <w:t>t</w:t>
      </w:r>
      <w:r w:rsidR="00FD00B0">
        <w:t>reatability</w:t>
      </w:r>
      <w:r w:rsidR="008E0947">
        <w:t>’</w:t>
      </w:r>
      <w:r w:rsidR="00FD00B0">
        <w:t xml:space="preserve"> requirement </w:t>
      </w:r>
      <w:r w:rsidR="00FB24CA">
        <w:t xml:space="preserve">with the new, weaker test of whether </w:t>
      </w:r>
      <w:r w:rsidR="008E0947">
        <w:t>‘</w:t>
      </w:r>
      <w:r w:rsidR="00FB24CA">
        <w:t>appropriate medical treatment</w:t>
      </w:r>
      <w:r w:rsidR="008E0947">
        <w:t>’</w:t>
      </w:r>
      <w:r w:rsidR="00FB24CA">
        <w:t xml:space="preserve"> is </w:t>
      </w:r>
      <w:r w:rsidR="008E0947">
        <w:t>‘</w:t>
      </w:r>
      <w:r w:rsidR="00FB24CA">
        <w:t>available</w:t>
      </w:r>
      <w:r w:rsidR="008E0947">
        <w:t>’</w:t>
      </w:r>
      <w:r w:rsidR="00FB24CA">
        <w:t xml:space="preserve"> to the patient in hospital. The </w:t>
      </w:r>
      <w:r w:rsidR="008E0947">
        <w:t>‘</w:t>
      </w:r>
      <w:r w:rsidR="00FB24CA">
        <w:t>purpose</w:t>
      </w:r>
      <w:r w:rsidR="008E0947">
        <w:t>’</w:t>
      </w:r>
      <w:r w:rsidR="00FB24CA">
        <w:t xml:space="preserve"> of this treatment must be to </w:t>
      </w:r>
      <w:r w:rsidR="008E0947">
        <w:t>‘</w:t>
      </w:r>
      <w:r w:rsidR="00FB24CA" w:rsidRPr="00736717">
        <w:t>alleviate, or prevent a worsening of, the disorder or one or more of its symptoms or manifestations</w:t>
      </w:r>
      <w:r w:rsidR="008E0947">
        <w:t>’</w:t>
      </w:r>
      <w:r w:rsidR="00FC2161">
        <w:t xml:space="preserve"> (MHA 1983, s.145(4))</w:t>
      </w:r>
      <w:r w:rsidR="00FB24CA" w:rsidRPr="00736717">
        <w:t>.</w:t>
      </w:r>
      <w:r w:rsidR="00FB24CA">
        <w:t xml:space="preserve"> This test applies, </w:t>
      </w:r>
      <w:r w:rsidR="00FB24CA" w:rsidRPr="002B6567">
        <w:rPr>
          <w:i/>
          <w:iCs/>
        </w:rPr>
        <w:t>inter alia</w:t>
      </w:r>
      <w:r w:rsidR="00FB24CA">
        <w:t>, to civil detention for treatment under s</w:t>
      </w:r>
      <w:r w:rsidR="00FD00B0">
        <w:t xml:space="preserve">ection </w:t>
      </w:r>
      <w:r w:rsidR="00FB24CA">
        <w:t xml:space="preserve">3 and to the transfer of prisoners to psychiatric hospital </w:t>
      </w:r>
      <w:r w:rsidR="00FB23BF">
        <w:t xml:space="preserve">by the Justice Secretary </w:t>
      </w:r>
      <w:r w:rsidR="00FB24CA">
        <w:t>under s</w:t>
      </w:r>
      <w:r w:rsidR="00FD00B0">
        <w:t xml:space="preserve">ection </w:t>
      </w:r>
      <w:r w:rsidR="00FB24CA">
        <w:t xml:space="preserve">47 of the MHA 1983. </w:t>
      </w:r>
    </w:p>
    <w:p w14:paraId="13A32D87" w14:textId="7D641E0B" w:rsidR="008006C7" w:rsidRDefault="00A269E2" w:rsidP="006F07EF">
      <w:pPr>
        <w:spacing w:line="276" w:lineRule="auto"/>
      </w:pPr>
      <w:r>
        <w:t xml:space="preserve">While awaiting amendments to the MHA 1983, a pilot DSPD Programme was established in both hospital and prison settings to develop treatment and management techniques for the </w:t>
      </w:r>
      <w:r>
        <w:lastRenderedPageBreak/>
        <w:t>DSPD group. The programme has since</w:t>
      </w:r>
      <w:r w:rsidR="006B0923">
        <w:t xml:space="preserve"> been </w:t>
      </w:r>
      <w:r>
        <w:t>expanded</w:t>
      </w:r>
      <w:r w:rsidR="006B0923">
        <w:t xml:space="preserve"> in prisons and in the community</w:t>
      </w:r>
      <w:r>
        <w:t xml:space="preserve"> under the new title of the Offender Personality Pathway </w:t>
      </w:r>
      <w:r w:rsidRPr="00A439A7">
        <w:rPr>
          <w:noProof/>
        </w:rPr>
        <w:t xml:space="preserve">(O’Loughlin, 2019; Skett and Lewis, 2019; Trebilcock </w:t>
      </w:r>
      <w:r w:rsidRPr="00A439A7">
        <w:rPr>
          <w:i/>
          <w:noProof/>
        </w:rPr>
        <w:t>et al.</w:t>
      </w:r>
      <w:r w:rsidRPr="00A439A7">
        <w:rPr>
          <w:noProof/>
        </w:rPr>
        <w:t>, 2019)</w:t>
      </w:r>
      <w:r>
        <w:t xml:space="preserve">. </w:t>
      </w:r>
      <w:r w:rsidR="00E55378">
        <w:t>While s</w:t>
      </w:r>
      <w:r w:rsidR="00C24CA0">
        <w:t xml:space="preserve">ome commentators point to high profile cases of serious offending by former psychiatric patients such as Michael Stone as the impetus for the plans for the DSPD group </w:t>
      </w:r>
      <w:r w:rsidR="00E55378" w:rsidRPr="00E55378">
        <w:rPr>
          <w:noProof/>
        </w:rPr>
        <w:t>(Seddon, 2008; Pickersgill, 201</w:t>
      </w:r>
      <w:r w:rsidR="00153E18">
        <w:rPr>
          <w:noProof/>
        </w:rPr>
        <w:t>3</w:t>
      </w:r>
      <w:r w:rsidR="00E55378" w:rsidRPr="00E55378">
        <w:rPr>
          <w:noProof/>
        </w:rPr>
        <w:t>)</w:t>
      </w:r>
      <w:r w:rsidR="00E55378">
        <w:t>, others highlight</w:t>
      </w:r>
      <w:r w:rsidR="00C24CA0">
        <w:t xml:space="preserve"> </w:t>
      </w:r>
      <w:r w:rsidR="008E0947">
        <w:t>‘</w:t>
      </w:r>
      <w:r w:rsidR="00C24CA0">
        <w:t xml:space="preserve">a longstanding frustration within government at the refusal of psychiatrists to address the problem of </w:t>
      </w:r>
      <w:proofErr w:type="gramStart"/>
      <w:r w:rsidR="00C24CA0">
        <w:t>high risk</w:t>
      </w:r>
      <w:proofErr w:type="gramEnd"/>
      <w:r w:rsidR="00C24CA0">
        <w:t xml:space="preserve"> offenders with personality disorder</w:t>
      </w:r>
      <w:r w:rsidR="008E0947">
        <w:t>’</w:t>
      </w:r>
      <w:r w:rsidR="00C24CA0">
        <w:t xml:space="preserve"> </w:t>
      </w:r>
      <w:r w:rsidR="00C24CA0" w:rsidRPr="005635A4">
        <w:rPr>
          <w:noProof/>
        </w:rPr>
        <w:t>(Maden, 2007, p. 8)</w:t>
      </w:r>
      <w:r w:rsidR="00C24CA0">
        <w:t>.</w:t>
      </w:r>
      <w:r w:rsidR="00C24CA0" w:rsidRPr="00DF6D0D">
        <w:t xml:space="preserve"> </w:t>
      </w:r>
    </w:p>
    <w:p w14:paraId="76163D1A" w14:textId="06B4FF1B" w:rsidR="00DA4E48" w:rsidRDefault="00AC152A" w:rsidP="006F07EF">
      <w:pPr>
        <w:spacing w:line="276" w:lineRule="auto"/>
      </w:pPr>
      <w:r>
        <w:t xml:space="preserve">The DSPD group </w:t>
      </w:r>
      <w:r w:rsidR="00DA4E48">
        <w:t xml:space="preserve">were not only conceived of as presenting a risk to the public, but also as disrupting the work of prisons and secure hospitals and threatening the authority of state institutions to maintain a safe </w:t>
      </w:r>
      <w:r w:rsidR="00FD0F3A">
        <w:t xml:space="preserve">custodial </w:t>
      </w:r>
      <w:r w:rsidR="00DA4E48">
        <w:t xml:space="preserve">environment </w:t>
      </w:r>
      <w:r w:rsidR="00C24CA0" w:rsidRPr="00C44B57">
        <w:rPr>
          <w:noProof/>
        </w:rPr>
        <w:t>(O’Loughlin, 2019, p. 633)</w:t>
      </w:r>
      <w:r w:rsidR="00C24CA0">
        <w:t xml:space="preserve">. </w:t>
      </w:r>
      <w:r w:rsidR="00884FCE">
        <w:t>While the impact of the DSPD initiative on reoffending rates has yet to be fully evaluated, the reasons for its survival seem to hinge on its effectiveness in managing difficult prisoners at a reduced cost, and on its potential to provide a means for integrating difficult, high</w:t>
      </w:r>
      <w:r w:rsidR="00AB1F6F">
        <w:t>-</w:t>
      </w:r>
      <w:r w:rsidR="00884FCE">
        <w:t xml:space="preserve">risk offenders into existing systems of offender management and control </w:t>
      </w:r>
      <w:r w:rsidR="00884FCE" w:rsidRPr="00CA40A6">
        <w:rPr>
          <w:noProof/>
        </w:rPr>
        <w:t xml:space="preserve">(O’Loughlin, 2014, 2019; </w:t>
      </w:r>
      <w:r w:rsidR="00847532">
        <w:rPr>
          <w:noProof/>
        </w:rPr>
        <w:t xml:space="preserve">see further </w:t>
      </w:r>
      <w:r w:rsidR="00884FCE" w:rsidRPr="00CA40A6">
        <w:rPr>
          <w:noProof/>
        </w:rPr>
        <w:t xml:space="preserve">Trebilcock </w:t>
      </w:r>
      <w:r w:rsidR="00884FCE" w:rsidRPr="00CA40A6">
        <w:rPr>
          <w:i/>
          <w:noProof/>
        </w:rPr>
        <w:t>et al.</w:t>
      </w:r>
      <w:r w:rsidR="00884FCE" w:rsidRPr="00CA40A6">
        <w:rPr>
          <w:noProof/>
        </w:rPr>
        <w:t>, 2019)</w:t>
      </w:r>
      <w:r w:rsidR="00884FCE">
        <w:t>.</w:t>
      </w:r>
    </w:p>
    <w:p w14:paraId="26893259" w14:textId="77777777" w:rsidR="00A86011" w:rsidRDefault="00A86011" w:rsidP="00A86011">
      <w:pPr>
        <w:spacing w:line="276" w:lineRule="auto"/>
        <w:rPr>
          <w:b/>
          <w:bCs/>
        </w:rPr>
      </w:pPr>
    </w:p>
    <w:p w14:paraId="5C08FA82" w14:textId="506E1B97" w:rsidR="00A86011" w:rsidRPr="00A86011" w:rsidRDefault="00A86011" w:rsidP="006F07EF">
      <w:pPr>
        <w:spacing w:line="276" w:lineRule="auto"/>
        <w:rPr>
          <w:b/>
          <w:bCs/>
        </w:rPr>
      </w:pPr>
      <w:r>
        <w:rPr>
          <w:b/>
          <w:bCs/>
        </w:rPr>
        <w:t>From ‘treatability’ to ‘appropriate treatment’</w:t>
      </w:r>
      <w:r w:rsidR="003213CC">
        <w:rPr>
          <w:b/>
          <w:bCs/>
        </w:rPr>
        <w:t xml:space="preserve"> in the MHA 1983</w:t>
      </w:r>
    </w:p>
    <w:p w14:paraId="0C6C0BFB" w14:textId="77777777" w:rsidR="00276236" w:rsidRDefault="00276236" w:rsidP="00276236">
      <w:pPr>
        <w:spacing w:line="276" w:lineRule="auto"/>
      </w:pPr>
      <w:r>
        <w:t xml:space="preserve">The DSPD programme and legislative amendments were further designed to address the problem of individuals in special hospitals resisting treatment by refusing to engage with treatment </w:t>
      </w:r>
      <w:proofErr w:type="gramStart"/>
      <w:r>
        <w:t>in order to</w:t>
      </w:r>
      <w:proofErr w:type="gramEnd"/>
      <w:r>
        <w:t xml:space="preserve"> be found ‘untreatable’ and not detainable under the MHA 1983. As the Law Society has highlighted, however, ‘treatability’ was already given a very wide interpretation under the original MHA 1983, and the problems targeted by the DSPD proposals may therefore have been problems of culture rather than of law </w:t>
      </w:r>
      <w:r w:rsidRPr="005A5F05">
        <w:rPr>
          <w:noProof/>
        </w:rPr>
        <w:t>(The Law Society, 2002)</w:t>
      </w:r>
      <w:r>
        <w:t xml:space="preserve">. </w:t>
      </w:r>
    </w:p>
    <w:p w14:paraId="3D85BD60" w14:textId="43D303AC" w:rsidR="009E1AB9" w:rsidRDefault="0061558D" w:rsidP="006F07EF">
      <w:pPr>
        <w:spacing w:line="276" w:lineRule="auto"/>
      </w:pPr>
      <w:r>
        <w:t>Th</w:t>
      </w:r>
      <w:r w:rsidR="00731C44">
        <w:t>e case law under the old MHA 1983</w:t>
      </w:r>
      <w:r>
        <w:t xml:space="preserve"> raises the question of whether the removal of the treatability </w:t>
      </w:r>
      <w:r w:rsidR="00F27567">
        <w:t>test</w:t>
      </w:r>
      <w:r w:rsidR="002A6D9D">
        <w:t xml:space="preserve"> </w:t>
      </w:r>
      <w:r>
        <w:t>was necessary in the first place.</w:t>
      </w:r>
      <w:r w:rsidR="00731C44">
        <w:t xml:space="preserve"> </w:t>
      </w:r>
      <w:r w:rsidR="00334F4B" w:rsidRPr="000A0198">
        <w:t xml:space="preserve">In </w:t>
      </w:r>
      <w:r w:rsidR="00334F4B" w:rsidRPr="000A0198">
        <w:rPr>
          <w:i/>
        </w:rPr>
        <w:t>Hutchison Reid v. Secretary of State for Scotland</w:t>
      </w:r>
      <w:r w:rsidR="00334F4B" w:rsidRPr="000A0198">
        <w:t xml:space="preserve"> </w:t>
      </w:r>
      <w:r w:rsidR="007644BB">
        <w:t>(</w:t>
      </w:r>
      <w:r w:rsidR="00334F4B" w:rsidRPr="000A0198">
        <w:t>1999</w:t>
      </w:r>
      <w:r w:rsidR="007644BB">
        <w:t>)</w:t>
      </w:r>
      <w:r w:rsidR="00334F4B" w:rsidRPr="000A0198">
        <w:t>, the House of Lords</w:t>
      </w:r>
      <w:r w:rsidR="007C2F88">
        <w:t xml:space="preserve"> </w:t>
      </w:r>
      <w:r w:rsidR="00A86011">
        <w:t xml:space="preserve">interpreted the </w:t>
      </w:r>
      <w:r w:rsidR="00F27567">
        <w:t>test</w:t>
      </w:r>
      <w:r w:rsidR="00A86011">
        <w:t xml:space="preserve"> very broadly. It held that </w:t>
      </w:r>
      <w:r w:rsidR="00334F4B" w:rsidRPr="000A0198">
        <w:t xml:space="preserve">while </w:t>
      </w:r>
      <w:r w:rsidR="00334F4B">
        <w:t>the</w:t>
      </w:r>
      <w:r w:rsidR="00334F4B" w:rsidRPr="000A0198">
        <w:t xml:space="preserve"> patient was not receiving treatment for his personality disorder, </w:t>
      </w:r>
      <w:r w:rsidR="008E0947">
        <w:t>‘</w:t>
      </w:r>
      <w:r w:rsidR="00334F4B" w:rsidRPr="000A0198">
        <w:t>his detention in the hospital was preventing a deterioration of his condition because his abnormally aggressive or seriously irresponsible behaviour was being controlled or at least being modified</w:t>
      </w:r>
      <w:r w:rsidR="008E0947">
        <w:t>’</w:t>
      </w:r>
      <w:r w:rsidR="00334F4B" w:rsidRPr="000A0198">
        <w:t xml:space="preserve"> (</w:t>
      </w:r>
      <w:r w:rsidR="00F35CCC" w:rsidRPr="000A0198">
        <w:rPr>
          <w:i/>
        </w:rPr>
        <w:t xml:space="preserve">Hutchison </w:t>
      </w:r>
      <w:r w:rsidR="00F35CCC" w:rsidRPr="00F35CCC">
        <w:rPr>
          <w:i/>
        </w:rPr>
        <w:t>Reid</w:t>
      </w:r>
      <w:r w:rsidR="00DC75F9">
        <w:rPr>
          <w:i/>
        </w:rPr>
        <w:t xml:space="preserve"> </w:t>
      </w:r>
      <w:r w:rsidR="00DC75F9" w:rsidRPr="000A0198">
        <w:rPr>
          <w:i/>
        </w:rPr>
        <w:t>v. Secretary of State for Scotland</w:t>
      </w:r>
      <w:r w:rsidR="007644BB">
        <w:rPr>
          <w:i/>
        </w:rPr>
        <w:t xml:space="preserve"> </w:t>
      </w:r>
      <w:r w:rsidR="007644BB">
        <w:t>(1999)</w:t>
      </w:r>
      <w:r w:rsidR="00F35CCC">
        <w:rPr>
          <w:iCs/>
        </w:rPr>
        <w:t xml:space="preserve">, </w:t>
      </w:r>
      <w:r w:rsidR="00334F4B" w:rsidRPr="00F35CCC">
        <w:rPr>
          <w:iCs/>
        </w:rPr>
        <w:t>p</w:t>
      </w:r>
      <w:r w:rsidR="00334F4B" w:rsidRPr="000A0198">
        <w:t>. 531)</w:t>
      </w:r>
      <w:r w:rsidR="00334F4B">
        <w:t>.</w:t>
      </w:r>
      <w:r w:rsidR="00334F4B" w:rsidRPr="000A0198">
        <w:t xml:space="preserve"> As the patient’s anger management showed improvement in the structured and medically supervised</w:t>
      </w:r>
      <w:r w:rsidR="00334F4B">
        <w:t xml:space="preserve"> hospital</w:t>
      </w:r>
      <w:r w:rsidR="00334F4B" w:rsidRPr="000A0198">
        <w:t xml:space="preserve"> environment</w:t>
      </w:r>
      <w:r w:rsidR="00334F4B">
        <w:t xml:space="preserve">, </w:t>
      </w:r>
      <w:r w:rsidR="00334F4B" w:rsidRPr="000A0198">
        <w:t xml:space="preserve">this was enough to satisfy the </w:t>
      </w:r>
      <w:r w:rsidR="008E0947">
        <w:t>‘</w:t>
      </w:r>
      <w:r w:rsidR="00334F4B" w:rsidRPr="000A0198">
        <w:t>treatability</w:t>
      </w:r>
      <w:r w:rsidR="008E0947">
        <w:t>’</w:t>
      </w:r>
      <w:r w:rsidR="00334F4B" w:rsidRPr="000A0198">
        <w:t xml:space="preserve"> test</w:t>
      </w:r>
      <w:r w:rsidR="00F35CCC">
        <w:t xml:space="preserve">. </w:t>
      </w:r>
      <w:r w:rsidR="00334F4B" w:rsidRPr="000A0198">
        <w:t xml:space="preserve">This </w:t>
      </w:r>
      <w:r w:rsidR="007C2F88">
        <w:t xml:space="preserve">approach was confirmed by </w:t>
      </w:r>
      <w:r w:rsidR="00334F4B" w:rsidRPr="000A0198">
        <w:t>the EC</w:t>
      </w:r>
      <w:r w:rsidR="007C2F88">
        <w:t>t</w:t>
      </w:r>
      <w:r w:rsidR="00334F4B" w:rsidRPr="000A0198">
        <w:t xml:space="preserve">HR in </w:t>
      </w:r>
      <w:r w:rsidR="00334F4B" w:rsidRPr="000A0198">
        <w:rPr>
          <w:i/>
        </w:rPr>
        <w:t>Hutchison Reid v. UK</w:t>
      </w:r>
      <w:r w:rsidR="00F35CCC">
        <w:t xml:space="preserve"> (</w:t>
      </w:r>
      <w:r w:rsidR="00334F4B" w:rsidRPr="000A0198">
        <w:t>2003</w:t>
      </w:r>
      <w:r w:rsidR="009238E8">
        <w:t>, para. 52</w:t>
      </w:r>
      <w:r w:rsidR="00F35CCC">
        <w:t>)</w:t>
      </w:r>
      <w:r w:rsidR="009238E8">
        <w:t>, in which t</w:t>
      </w:r>
      <w:r w:rsidR="00360854">
        <w:t xml:space="preserve">he </w:t>
      </w:r>
      <w:r w:rsidR="009238E8">
        <w:t xml:space="preserve">Court </w:t>
      </w:r>
      <w:r w:rsidR="007F1860">
        <w:t>held that compulsory confinement</w:t>
      </w:r>
      <w:r w:rsidR="00334F4B" w:rsidRPr="000A0198">
        <w:t xml:space="preserve"> </w:t>
      </w:r>
    </w:p>
    <w:p w14:paraId="151F6693" w14:textId="10B18B01" w:rsidR="003E3304" w:rsidRDefault="00334F4B" w:rsidP="009E1AB9">
      <w:pPr>
        <w:spacing w:line="276" w:lineRule="auto"/>
        <w:ind w:left="720"/>
      </w:pPr>
      <w:r w:rsidRPr="000A0198">
        <w:t xml:space="preserve">may be necessary not only where a person needs therapy, </w:t>
      </w:r>
      <w:proofErr w:type="gramStart"/>
      <w:r w:rsidRPr="000A0198">
        <w:t>medication</w:t>
      </w:r>
      <w:proofErr w:type="gramEnd"/>
      <w:r w:rsidRPr="000A0198">
        <w:t xml:space="preserve"> or other clinical treatment to cure or alleviate his condition, but also where the person needs control and supervision to prevent him, for example, causing harm to himself or other persons’</w:t>
      </w:r>
      <w:r w:rsidR="009238E8">
        <w:t>.</w:t>
      </w:r>
    </w:p>
    <w:p w14:paraId="70AEDCE2" w14:textId="0B1C60DB" w:rsidR="00EA64D3" w:rsidRDefault="002B6D30" w:rsidP="00EA64D3">
      <w:pPr>
        <w:spacing w:line="276" w:lineRule="auto"/>
      </w:pPr>
      <w:r>
        <w:t>T</w:t>
      </w:r>
      <w:r w:rsidR="005555D5">
        <w:t>he new appropriate medical treatment test</w:t>
      </w:r>
      <w:r>
        <w:t xml:space="preserve"> has been interpreted even more broadly</w:t>
      </w:r>
      <w:r w:rsidR="001E0A07">
        <w:t xml:space="preserve"> than the old treatability test</w:t>
      </w:r>
      <w:r>
        <w:t>.</w:t>
      </w:r>
      <w:r w:rsidR="005555D5">
        <w:t xml:space="preserve"> </w:t>
      </w:r>
      <w:r w:rsidR="008E0947">
        <w:t>‘</w:t>
      </w:r>
      <w:r w:rsidR="00D51467">
        <w:t>A</w:t>
      </w:r>
      <w:r w:rsidR="00FC2161" w:rsidRPr="000A0198">
        <w:t>ppropriate medical treatment</w:t>
      </w:r>
      <w:r w:rsidR="008E0947">
        <w:t>’</w:t>
      </w:r>
      <w:r w:rsidR="00FC2161" w:rsidRPr="000A0198">
        <w:t xml:space="preserve"> is defined tautologically</w:t>
      </w:r>
      <w:r w:rsidR="00D51467">
        <w:t xml:space="preserve"> </w:t>
      </w:r>
      <w:r w:rsidR="00FC2161" w:rsidRPr="000A0198">
        <w:t xml:space="preserve">as </w:t>
      </w:r>
      <w:r w:rsidR="008E0947">
        <w:t>‘</w:t>
      </w:r>
      <w:r w:rsidR="00FC2161" w:rsidRPr="000A0198">
        <w:t>medical treatment which is appropriate in (the patient’s) case, taking into account the nature and degree of the mental disorder and all other circumstances of his case</w:t>
      </w:r>
      <w:r w:rsidR="008E0947">
        <w:t>’</w:t>
      </w:r>
      <w:r w:rsidR="00FC2161" w:rsidRPr="000A0198">
        <w:t xml:space="preserve"> (s.3(4) MHA 1983). </w:t>
      </w:r>
      <w:r w:rsidR="008E0947">
        <w:t>‘</w:t>
      </w:r>
      <w:r w:rsidR="00FC2161" w:rsidRPr="000A0198">
        <w:t>Medical treatment</w:t>
      </w:r>
      <w:r w:rsidR="008E0947">
        <w:t>’</w:t>
      </w:r>
      <w:r w:rsidR="008A42FC">
        <w:t xml:space="preserve"> is defined broadly and</w:t>
      </w:r>
      <w:r w:rsidR="00FC2161">
        <w:t xml:space="preserve"> </w:t>
      </w:r>
      <w:r w:rsidR="00FC2161" w:rsidRPr="000A0198">
        <w:t>include</w:t>
      </w:r>
      <w:r>
        <w:t>s</w:t>
      </w:r>
      <w:r w:rsidR="00FC2161" w:rsidRPr="000A0198">
        <w:t xml:space="preserve"> </w:t>
      </w:r>
      <w:r w:rsidR="008E0947">
        <w:t>‘</w:t>
      </w:r>
      <w:r w:rsidR="00FC2161" w:rsidRPr="000A0198">
        <w:t xml:space="preserve">nursing, psychological intervention and specialist </w:t>
      </w:r>
      <w:r w:rsidR="00FC2161" w:rsidRPr="000A0198">
        <w:lastRenderedPageBreak/>
        <w:t xml:space="preserve">mental health </w:t>
      </w:r>
      <w:proofErr w:type="spellStart"/>
      <w:r w:rsidR="00FC2161" w:rsidRPr="000A0198">
        <w:t>habilitation</w:t>
      </w:r>
      <w:proofErr w:type="spellEnd"/>
      <w:r w:rsidR="00FC2161" w:rsidRPr="000A0198">
        <w:t>, rehabilitation and care</w:t>
      </w:r>
      <w:r w:rsidR="008E0947">
        <w:t>’</w:t>
      </w:r>
      <w:r w:rsidR="00FC2161" w:rsidRPr="000A0198">
        <w:t xml:space="preserve"> (s.145(1) MHA 1983</w:t>
      </w:r>
      <w:r w:rsidR="005555D5">
        <w:t>). T</w:t>
      </w:r>
      <w:r w:rsidR="00FC2161" w:rsidRPr="000A0198">
        <w:t xml:space="preserve">he </w:t>
      </w:r>
      <w:r w:rsidR="008E0947">
        <w:t>‘</w:t>
      </w:r>
      <w:r w:rsidR="00FC2161" w:rsidRPr="000A0198">
        <w:t>purpose</w:t>
      </w:r>
      <w:r w:rsidR="008E0947">
        <w:t>’</w:t>
      </w:r>
      <w:r w:rsidR="00FC2161" w:rsidRPr="000A0198">
        <w:t xml:space="preserve"> of treatment must be </w:t>
      </w:r>
      <w:r w:rsidR="008E0947">
        <w:t>‘</w:t>
      </w:r>
      <w:r w:rsidR="00FC2161" w:rsidRPr="000A0198">
        <w:t>to alleviate, or prevent a worsening of, the disorder or one or more of its symptoms or manifestations</w:t>
      </w:r>
      <w:r w:rsidR="008E0947">
        <w:t>’</w:t>
      </w:r>
      <w:r w:rsidR="00FC2161" w:rsidRPr="000A0198">
        <w:t xml:space="preserve"> (s.145(4) MHA 1983). This sets a lower standard</w:t>
      </w:r>
      <w:r w:rsidR="00FC2161">
        <w:t xml:space="preserve"> than the treatability test</w:t>
      </w:r>
      <w:r w:rsidR="00FC2161" w:rsidRPr="000A0198">
        <w:t xml:space="preserve">, as </w:t>
      </w:r>
      <w:r w:rsidR="008E0947">
        <w:t>‘</w:t>
      </w:r>
      <w:r w:rsidR="00FC2161" w:rsidRPr="000A0198">
        <w:t>purpose is not the same as likelihood</w:t>
      </w:r>
      <w:r w:rsidR="008E0947">
        <w:t>’</w:t>
      </w:r>
      <w:r w:rsidR="00FC2161">
        <w:t xml:space="preserve"> </w:t>
      </w:r>
      <w:r w:rsidR="00EA64D3" w:rsidRPr="00EA64D3">
        <w:rPr>
          <w:noProof/>
        </w:rPr>
        <w:t>(Department of Health, 2015, para. 23.4)</w:t>
      </w:r>
      <w:r w:rsidR="00FC2161">
        <w:t xml:space="preserve">. </w:t>
      </w:r>
      <w:r w:rsidR="00EA64D3">
        <w:t>M</w:t>
      </w:r>
      <w:r w:rsidR="00EA64D3" w:rsidRPr="000A0198">
        <w:t xml:space="preserve">edical treatment may fulfil this criterion </w:t>
      </w:r>
      <w:r w:rsidR="008E0947">
        <w:t>‘</w:t>
      </w:r>
      <w:r w:rsidR="00EA64D3" w:rsidRPr="000A0198">
        <w:t>even though it cannot be shown in advance that any particular effect is likely to be achieved</w:t>
      </w:r>
      <w:r w:rsidR="008E0947">
        <w:t>’</w:t>
      </w:r>
      <w:r w:rsidR="00EA64D3">
        <w:t xml:space="preserve"> </w:t>
      </w:r>
      <w:r w:rsidR="00EA64D3" w:rsidRPr="00EA64D3">
        <w:rPr>
          <w:noProof/>
        </w:rPr>
        <w:t>(Department of Health, 2015, para. 23.4)</w:t>
      </w:r>
      <w:r w:rsidR="00EA64D3">
        <w:t xml:space="preserve">. </w:t>
      </w:r>
    </w:p>
    <w:p w14:paraId="7F5CAEE0" w14:textId="4ED7D9D7" w:rsidR="001E1971" w:rsidRDefault="00046EF2" w:rsidP="00EA64D3">
      <w:pPr>
        <w:spacing w:line="276" w:lineRule="auto"/>
      </w:pPr>
      <w:r>
        <w:t xml:space="preserve">There </w:t>
      </w:r>
      <w:r w:rsidR="007C2F88">
        <w:t>is</w:t>
      </w:r>
      <w:r>
        <w:t xml:space="preserve"> a very fine line between mere detention, which is impermissible</w:t>
      </w:r>
      <w:r w:rsidR="001E1971">
        <w:t xml:space="preserve"> under the MHA 1983</w:t>
      </w:r>
      <w:r>
        <w:t xml:space="preserve">, and appropriately </w:t>
      </w:r>
      <w:r w:rsidR="001E1971">
        <w:t>‘</w:t>
      </w:r>
      <w:r>
        <w:t>therapeutic</w:t>
      </w:r>
      <w:r w:rsidR="001E1971">
        <w:t>’</w:t>
      </w:r>
      <w:r>
        <w:t xml:space="preserve"> detention, which is permissible. </w:t>
      </w:r>
      <w:r w:rsidR="00F56DCA">
        <w:t>T</w:t>
      </w:r>
      <w:r>
        <w:t xml:space="preserve">he </w:t>
      </w:r>
      <w:r w:rsidR="007C03E3">
        <w:t xml:space="preserve">MHA 1983 </w:t>
      </w:r>
      <w:r>
        <w:t>Code</w:t>
      </w:r>
      <w:r w:rsidR="001E1971">
        <w:t xml:space="preserve"> of Practice</w:t>
      </w:r>
      <w:r w:rsidR="00F56DCA">
        <w:t xml:space="preserve"> states that</w:t>
      </w:r>
      <w:r>
        <w:t xml:space="preserve"> </w:t>
      </w:r>
      <w:r w:rsidR="008E0947">
        <w:t>‘</w:t>
      </w:r>
      <w:r>
        <w:t>simply detaining someone, even in a hospital, does not constitute medical treatment</w:t>
      </w:r>
      <w:r w:rsidR="008E0947">
        <w:t>’</w:t>
      </w:r>
      <w:r w:rsidRPr="00046EF2">
        <w:t xml:space="preserve"> </w:t>
      </w:r>
      <w:r w:rsidRPr="00046EF2">
        <w:rPr>
          <w:noProof/>
        </w:rPr>
        <w:t>(Department of Health, 2015, para. 23.18)</w:t>
      </w:r>
      <w:r w:rsidR="00F56DCA">
        <w:t>. Nevertheless,</w:t>
      </w:r>
      <w:r>
        <w:t xml:space="preserve"> </w:t>
      </w:r>
      <w:r w:rsidR="007C2F88">
        <w:t>‘appropriate</w:t>
      </w:r>
      <w:r>
        <w:t xml:space="preserve"> treatment</w:t>
      </w:r>
      <w:r w:rsidR="007C2F88">
        <w:t>’</w:t>
      </w:r>
      <w:r>
        <w:t xml:space="preserve"> </w:t>
      </w:r>
      <w:r w:rsidR="007C2F88">
        <w:t>for some patients may consist ‘</w:t>
      </w:r>
      <w:r>
        <w:t>only of nursing and specialist day-to-day care</w:t>
      </w:r>
      <w:r w:rsidR="00CD3ED9">
        <w:t>…</w:t>
      </w:r>
      <w:r>
        <w:t>in a safe and secure therapeutic environment with a structured regime</w:t>
      </w:r>
      <w:r w:rsidR="008E0947">
        <w:t>’</w:t>
      </w:r>
      <w:r>
        <w:t xml:space="preserve"> </w:t>
      </w:r>
      <w:r w:rsidRPr="00933102">
        <w:rPr>
          <w:noProof/>
        </w:rPr>
        <w:t>(Department of Health, 2015, para. 23.17)</w:t>
      </w:r>
      <w:r>
        <w:t xml:space="preserve">. </w:t>
      </w:r>
      <w:r w:rsidR="00867490">
        <w:t xml:space="preserve">For </w:t>
      </w:r>
      <w:r w:rsidR="001E1971">
        <w:t>some</w:t>
      </w:r>
      <w:r w:rsidR="007C2F88">
        <w:t xml:space="preserve">, </w:t>
      </w:r>
      <w:r w:rsidR="00211BA8">
        <w:t>‘</w:t>
      </w:r>
      <w:r w:rsidR="001E1971">
        <w:t xml:space="preserve">management of the undesirable effects of their disorder may be the most that can realistically be hoped for’ </w:t>
      </w:r>
      <w:r w:rsidR="001E1971" w:rsidRPr="00EA64D3">
        <w:rPr>
          <w:noProof/>
        </w:rPr>
        <w:t>(Department of Health, 2015, para. 23.16)</w:t>
      </w:r>
      <w:r w:rsidR="001E1971">
        <w:t>.</w:t>
      </w:r>
    </w:p>
    <w:p w14:paraId="21ADD36B" w14:textId="0839066E" w:rsidR="00EA64D3" w:rsidRDefault="00DB6193" w:rsidP="00EA64D3">
      <w:pPr>
        <w:spacing w:line="276" w:lineRule="auto"/>
      </w:pPr>
      <w:r w:rsidRPr="000A0198">
        <w:t>Th</w:t>
      </w:r>
      <w:r>
        <w:t>e courts in some cases</w:t>
      </w:r>
      <w:r w:rsidR="00CB4557">
        <w:t xml:space="preserve"> have</w:t>
      </w:r>
      <w:r w:rsidRPr="000A0198">
        <w:t xml:space="preserve"> come </w:t>
      </w:r>
      <w:r>
        <w:t>‘</w:t>
      </w:r>
      <w:r w:rsidRPr="000A0198">
        <w:t>perilously close to finding that detention is, itself, appropriate treatment</w:t>
      </w:r>
      <w:r>
        <w:t xml:space="preserve">’ </w:t>
      </w:r>
      <w:r w:rsidRPr="000A0198">
        <w:t xml:space="preserve">(Bartlett and </w:t>
      </w:r>
      <w:proofErr w:type="spellStart"/>
      <w:r w:rsidRPr="000A0198">
        <w:t>Sandland</w:t>
      </w:r>
      <w:proofErr w:type="spellEnd"/>
      <w:r w:rsidRPr="000A0198">
        <w:t xml:space="preserve"> 2014, p. 255). </w:t>
      </w:r>
      <w:r w:rsidR="00EA64D3" w:rsidRPr="000A0198">
        <w:t xml:space="preserve">In </w:t>
      </w:r>
      <w:r w:rsidR="00EA64D3" w:rsidRPr="000A0198">
        <w:rPr>
          <w:i/>
        </w:rPr>
        <w:t>MD v. Nottinghamshire Healthcare NHS Trust</w:t>
      </w:r>
      <w:r w:rsidR="00EA64D3" w:rsidRPr="000A0198">
        <w:t xml:space="preserve"> </w:t>
      </w:r>
      <w:r w:rsidR="00136558">
        <w:t>(</w:t>
      </w:r>
      <w:r w:rsidR="00EA64D3" w:rsidRPr="000A0198">
        <w:t>2010</w:t>
      </w:r>
      <w:r w:rsidR="00136558">
        <w:t>)</w:t>
      </w:r>
      <w:r w:rsidR="00EA64D3">
        <w:t>,</w:t>
      </w:r>
      <w:r w:rsidR="00EA64D3" w:rsidRPr="000A0198">
        <w:t xml:space="preserve"> the First-Tier Tribunal (Mental Health) </w:t>
      </w:r>
      <w:r w:rsidR="00EA64D3">
        <w:t>held that a</w:t>
      </w:r>
      <w:r w:rsidR="00CB4557">
        <w:t xml:space="preserve"> patient,</w:t>
      </w:r>
      <w:r w:rsidR="00EA64D3" w:rsidRPr="000A0198">
        <w:t xml:space="preserve"> who </w:t>
      </w:r>
      <w:r w:rsidR="00CB4557">
        <w:t>was</w:t>
      </w:r>
      <w:r w:rsidR="00EA64D3" w:rsidRPr="000A0198">
        <w:t xml:space="preserve"> not psychologically abl</w:t>
      </w:r>
      <w:r w:rsidR="00CB4557">
        <w:t>e to engage with therapy,</w:t>
      </w:r>
      <w:r w:rsidR="00EA64D3" w:rsidRPr="000A0198">
        <w:t xml:space="preserve"> had </w:t>
      </w:r>
      <w:r w:rsidR="008E0947">
        <w:t>‘</w:t>
      </w:r>
      <w:r w:rsidR="00EA64D3" w:rsidRPr="000A0198">
        <w:t>the potential to benefit from the milieu of the ward both for its short term effects and for the possibility that it would break through the defence mechanisms and allow him later to engage in therapy</w:t>
      </w:r>
      <w:r w:rsidR="008E0947">
        <w:t>’</w:t>
      </w:r>
      <w:r w:rsidR="00EA64D3" w:rsidRPr="000A0198">
        <w:t xml:space="preserve"> (</w:t>
      </w:r>
      <w:r w:rsidR="00EA64D3" w:rsidRPr="000A0198">
        <w:rPr>
          <w:i/>
        </w:rPr>
        <w:t>MD,</w:t>
      </w:r>
      <w:r w:rsidR="00EA64D3" w:rsidRPr="000A0198">
        <w:t xml:space="preserve"> </w:t>
      </w:r>
      <w:r w:rsidR="00EA64D3">
        <w:t xml:space="preserve">para. </w:t>
      </w:r>
      <w:r w:rsidR="00EA64D3" w:rsidRPr="000A0198">
        <w:t>39). Thus, appropriate treatment was</w:t>
      </w:r>
      <w:r w:rsidR="00471402">
        <w:t xml:space="preserve"> held to be</w:t>
      </w:r>
      <w:r w:rsidR="00EA64D3" w:rsidRPr="000A0198">
        <w:t xml:space="preserve"> available. </w:t>
      </w:r>
    </w:p>
    <w:p w14:paraId="1048BF77" w14:textId="09B5E96B" w:rsidR="006A6566" w:rsidRDefault="009F595C" w:rsidP="006A6566">
      <w:pPr>
        <w:spacing w:line="276" w:lineRule="auto"/>
      </w:pPr>
      <w:r>
        <w:t>Judge Jacobs</w:t>
      </w:r>
      <w:r w:rsidR="005A5F05" w:rsidRPr="000A0198">
        <w:t xml:space="preserve"> </w:t>
      </w:r>
      <w:r w:rsidR="009B6F29">
        <w:t xml:space="preserve">seemed to take a more cautious approach </w:t>
      </w:r>
      <w:r w:rsidR="005A5F05" w:rsidRPr="000A0198">
        <w:t xml:space="preserve">in </w:t>
      </w:r>
      <w:r w:rsidR="005A5F05" w:rsidRPr="000A0198">
        <w:rPr>
          <w:i/>
        </w:rPr>
        <w:t>DL-H v. Devon Partnership NHS Trust and Secretary of State for Justice</w:t>
      </w:r>
      <w:r w:rsidR="005A5F05" w:rsidRPr="000A0198">
        <w:t xml:space="preserve"> </w:t>
      </w:r>
      <w:r w:rsidR="00262665">
        <w:t>(</w:t>
      </w:r>
      <w:r w:rsidR="005A5F05" w:rsidRPr="000A0198">
        <w:t>2010)</w:t>
      </w:r>
      <w:r>
        <w:t xml:space="preserve">. He </w:t>
      </w:r>
      <w:r w:rsidR="005A5F05" w:rsidRPr="000A0198">
        <w:t xml:space="preserve">was concerned that </w:t>
      </w:r>
      <w:r w:rsidR="008E0947">
        <w:t>‘</w:t>
      </w:r>
      <w:r w:rsidR="005A5F05" w:rsidRPr="000A0198">
        <w:t>medical treatment</w:t>
      </w:r>
      <w:r w:rsidR="008E0947">
        <w:t>’</w:t>
      </w:r>
      <w:r w:rsidR="005A5F05" w:rsidRPr="000A0198">
        <w:t xml:space="preserve"> was </w:t>
      </w:r>
      <w:r w:rsidR="006A6566">
        <w:t xml:space="preserve">defined </w:t>
      </w:r>
      <w:r w:rsidR="005A5F05" w:rsidRPr="000A0198">
        <w:t>so broad</w:t>
      </w:r>
      <w:r w:rsidR="006A6566">
        <w:t>ly</w:t>
      </w:r>
      <w:r w:rsidR="00706F7B">
        <w:t xml:space="preserve"> in the </w:t>
      </w:r>
      <w:r w:rsidR="00A4228D">
        <w:t>legislation</w:t>
      </w:r>
      <w:r w:rsidR="005A5F05" w:rsidRPr="000A0198">
        <w:t xml:space="preserve"> that there was a </w:t>
      </w:r>
      <w:r w:rsidR="008E0947">
        <w:t>‘</w:t>
      </w:r>
      <w:r w:rsidR="005A5F05" w:rsidRPr="000A0198">
        <w:t>danger that a patient for whom no appropriate treatment is available may be contained for public safety rather than detained for treatment</w:t>
      </w:r>
      <w:r w:rsidR="008E0947">
        <w:t>’</w:t>
      </w:r>
      <w:r w:rsidR="005A5F05" w:rsidRPr="000A0198">
        <w:t xml:space="preserve"> (</w:t>
      </w:r>
      <w:r w:rsidR="005A5F05" w:rsidRPr="000A0198">
        <w:rPr>
          <w:i/>
        </w:rPr>
        <w:t>DL-H</w:t>
      </w:r>
      <w:r w:rsidR="00EC79D5">
        <w:rPr>
          <w:i/>
        </w:rPr>
        <w:t xml:space="preserve"> v. Devon</w:t>
      </w:r>
      <w:r w:rsidR="000421F5">
        <w:rPr>
          <w:i/>
        </w:rPr>
        <w:t xml:space="preserve"> </w:t>
      </w:r>
      <w:r w:rsidR="000421F5" w:rsidRPr="000A0198">
        <w:rPr>
          <w:i/>
        </w:rPr>
        <w:t>Partnership NHS Trust and Secretary of State for Justice</w:t>
      </w:r>
      <w:r w:rsidR="00F7457F">
        <w:rPr>
          <w:iCs/>
        </w:rPr>
        <w:t>,</w:t>
      </w:r>
      <w:r w:rsidR="000421F5">
        <w:rPr>
          <w:i/>
        </w:rPr>
        <w:t xml:space="preserve"> </w:t>
      </w:r>
      <w:r w:rsidR="000421F5">
        <w:rPr>
          <w:iCs/>
        </w:rPr>
        <w:t>2010</w:t>
      </w:r>
      <w:r w:rsidR="005A5F05" w:rsidRPr="000A0198">
        <w:t>,</w:t>
      </w:r>
      <w:r w:rsidR="005A5F05" w:rsidRPr="000A0198">
        <w:rPr>
          <w:i/>
        </w:rPr>
        <w:t xml:space="preserve"> </w:t>
      </w:r>
      <w:r w:rsidR="00EA32D4">
        <w:t xml:space="preserve">para. </w:t>
      </w:r>
      <w:r w:rsidR="005A5F05" w:rsidRPr="000A0198">
        <w:t xml:space="preserve">33). </w:t>
      </w:r>
      <w:r w:rsidR="006A6566">
        <w:t>T</w:t>
      </w:r>
      <w:r w:rsidR="005A5F05" w:rsidRPr="000A0198">
        <w:t xml:space="preserve">o avoid this, </w:t>
      </w:r>
      <w:r w:rsidR="008F6C21">
        <w:t>he</w:t>
      </w:r>
      <w:r w:rsidR="005A5F05" w:rsidRPr="000A0198">
        <w:t xml:space="preserve"> advised that</w:t>
      </w:r>
      <w:r w:rsidR="006A6566">
        <w:t xml:space="preserve"> </w:t>
      </w:r>
      <w:r w:rsidR="005A5F05" w:rsidRPr="000A0198">
        <w:t>tribunal</w:t>
      </w:r>
      <w:r w:rsidR="00123AAD">
        <w:t>s</w:t>
      </w:r>
      <w:r w:rsidR="005A5F05" w:rsidRPr="000A0198">
        <w:t xml:space="preserve"> </w:t>
      </w:r>
      <w:r w:rsidR="00123AAD">
        <w:t>‘</w:t>
      </w:r>
      <w:r w:rsidR="005A5F05" w:rsidRPr="000A0198">
        <w:t>must investigate behind assertions, generalisations and standard phrases</w:t>
      </w:r>
      <w:r w:rsidR="006A6566">
        <w:t>’</w:t>
      </w:r>
      <w:r w:rsidR="00123AAD">
        <w:t xml:space="preserve"> and</w:t>
      </w:r>
      <w:r w:rsidR="008512C4">
        <w:t xml:space="preserve"> </w:t>
      </w:r>
      <w:r w:rsidR="00BE7067">
        <w:t>consider</w:t>
      </w:r>
      <w:r w:rsidR="006A6566">
        <w:t xml:space="preserve"> specific questions:</w:t>
      </w:r>
    </w:p>
    <w:p w14:paraId="6E82BEAB" w14:textId="4CD22897" w:rsidR="00D8354A" w:rsidRDefault="005A5F05" w:rsidP="006A6566">
      <w:pPr>
        <w:spacing w:line="276" w:lineRule="auto"/>
        <w:ind w:left="720"/>
      </w:pPr>
      <w:r w:rsidRPr="000A0198">
        <w:t>What precisely is the treatment that can be provided? What discernible benefit may it have on this patient? Is that benefit related to the patient</w:t>
      </w:r>
      <w:r w:rsidR="006E3ECF">
        <w:t>’</w:t>
      </w:r>
      <w:r w:rsidRPr="000A0198">
        <w:t>s mental disorder or to some unrelated problem? Is the patient truly resistant to engagement?</w:t>
      </w:r>
      <w:r w:rsidR="008E0947">
        <w:t>’</w:t>
      </w:r>
      <w:r w:rsidRPr="000A0198">
        <w:t xml:space="preserve"> (</w:t>
      </w:r>
      <w:r w:rsidR="00136558" w:rsidRPr="000A0198">
        <w:rPr>
          <w:i/>
        </w:rPr>
        <w:t>Devon Partnership NHS Trust and Secretary of State for Justice</w:t>
      </w:r>
      <w:r w:rsidR="00131931">
        <w:rPr>
          <w:iCs/>
        </w:rPr>
        <w:t>,</w:t>
      </w:r>
      <w:r w:rsidR="00136558" w:rsidRPr="000A0198">
        <w:t xml:space="preserve"> 2010</w:t>
      </w:r>
      <w:r w:rsidR="00136558">
        <w:t xml:space="preserve">, </w:t>
      </w:r>
      <w:r w:rsidR="00EA32D4">
        <w:t xml:space="preserve">para. </w:t>
      </w:r>
      <w:r w:rsidRPr="000A0198">
        <w:t>33).</w:t>
      </w:r>
    </w:p>
    <w:p w14:paraId="28D9AB6C" w14:textId="79F07EFD" w:rsidR="00FD6B11" w:rsidRDefault="00E97046" w:rsidP="006F07EF">
      <w:pPr>
        <w:spacing w:line="276" w:lineRule="auto"/>
        <w:ind w:left="11" w:hanging="11"/>
      </w:pPr>
      <w:r>
        <w:t xml:space="preserve">The reference to ‘therapeutic benefit’ seemed to set a higher standard than the legislation itself. </w:t>
      </w:r>
      <w:r w:rsidR="00C41D05">
        <w:t xml:space="preserve">However, in a subsequent case, Judge Jacobs </w:t>
      </w:r>
      <w:r w:rsidR="00B86750">
        <w:t xml:space="preserve">said that his statements in </w:t>
      </w:r>
      <w:r w:rsidR="00B86750" w:rsidRPr="000A0198">
        <w:rPr>
          <w:i/>
        </w:rPr>
        <w:t>DL-H</w:t>
      </w:r>
      <w:r w:rsidR="00B86750">
        <w:t xml:space="preserve"> </w:t>
      </w:r>
      <w:r w:rsidR="00EC79D5" w:rsidRPr="00EC79D5">
        <w:rPr>
          <w:i/>
          <w:iCs/>
        </w:rPr>
        <w:t>v Devon</w:t>
      </w:r>
      <w:r w:rsidR="00EC79D5">
        <w:t xml:space="preserve"> </w:t>
      </w:r>
      <w:r w:rsidR="00B86750">
        <w:t xml:space="preserve">were </w:t>
      </w:r>
      <w:r w:rsidR="000312E1">
        <w:t>merely intended to guide</w:t>
      </w:r>
      <w:r w:rsidR="00B86750">
        <w:t xml:space="preserve"> </w:t>
      </w:r>
      <w:r w:rsidR="000312E1">
        <w:t>t</w:t>
      </w:r>
      <w:r w:rsidR="00B86750">
        <w:t xml:space="preserve">ribunals in their fact-finding mission. He further held that </w:t>
      </w:r>
      <w:r w:rsidR="008E0947">
        <w:t>‘</w:t>
      </w:r>
      <w:r w:rsidR="00C41D05">
        <w:t>i</w:t>
      </w:r>
      <w:r w:rsidR="00C41D05" w:rsidRPr="00C41D05">
        <w:t>f the tribunal finds that the patient is not prepared to engage and will never be brought to engage, that will not necessarily be decisive. This is because the definition of treatment is so broad that it includes much that does not require the patient’s engagement in formal therapy</w:t>
      </w:r>
      <w:r w:rsidR="008E0947">
        <w:t>’</w:t>
      </w:r>
      <w:r w:rsidR="00EC79D5">
        <w:t xml:space="preserve"> (</w:t>
      </w:r>
      <w:r w:rsidR="00EC79D5" w:rsidRPr="00EC79D5">
        <w:rPr>
          <w:i/>
          <w:iCs/>
        </w:rPr>
        <w:t>DL-H v Partnerships in Care</w:t>
      </w:r>
      <w:r w:rsidR="00131931">
        <w:t>,</w:t>
      </w:r>
      <w:r w:rsidR="00EC79D5" w:rsidRPr="00EC79D5">
        <w:rPr>
          <w:i/>
          <w:iCs/>
        </w:rPr>
        <w:t xml:space="preserve"> </w:t>
      </w:r>
      <w:r w:rsidR="00EC79D5" w:rsidRPr="00EC79D5">
        <w:t>2013</w:t>
      </w:r>
      <w:r w:rsidR="00262665">
        <w:t>, para.</w:t>
      </w:r>
      <w:r w:rsidR="00AF610F">
        <w:t xml:space="preserve"> 42</w:t>
      </w:r>
      <w:r w:rsidR="00EC79D5">
        <w:t>)</w:t>
      </w:r>
      <w:r w:rsidR="00AF610F">
        <w:t>.</w:t>
      </w:r>
    </w:p>
    <w:p w14:paraId="4192071B" w14:textId="04E3203A" w:rsidR="00CA422A" w:rsidRDefault="00FD6B11" w:rsidP="00CA422A">
      <w:pPr>
        <w:spacing w:after="0" w:line="240" w:lineRule="auto"/>
        <w:jc w:val="left"/>
      </w:pPr>
      <w:r>
        <w:t xml:space="preserve">In </w:t>
      </w:r>
      <w:r w:rsidRPr="00FD6B11">
        <w:rPr>
          <w:i/>
          <w:iCs/>
        </w:rPr>
        <w:t xml:space="preserve">WH v </w:t>
      </w:r>
      <w:proofErr w:type="spellStart"/>
      <w:r w:rsidRPr="00FD6B11">
        <w:rPr>
          <w:i/>
          <w:iCs/>
        </w:rPr>
        <w:t>Llanarth</w:t>
      </w:r>
      <w:proofErr w:type="spellEnd"/>
      <w:r w:rsidRPr="00FD6B11">
        <w:rPr>
          <w:i/>
          <w:iCs/>
        </w:rPr>
        <w:t xml:space="preserve"> Court Hospital </w:t>
      </w:r>
      <w:r w:rsidR="00261502">
        <w:t>(2015</w:t>
      </w:r>
      <w:r w:rsidR="003725DE">
        <w:t>, para. 56</w:t>
      </w:r>
      <w:r w:rsidR="00261502">
        <w:t>)</w:t>
      </w:r>
      <w:r>
        <w:t>, the Upper Tribunal</w:t>
      </w:r>
      <w:r w:rsidR="00C502FB">
        <w:t xml:space="preserve"> confirmed the approach in the Code of Practice, </w:t>
      </w:r>
      <w:r w:rsidR="00CA422A">
        <w:t xml:space="preserve">holding that: </w:t>
      </w:r>
    </w:p>
    <w:p w14:paraId="1A276B7B" w14:textId="77777777" w:rsidR="00CA422A" w:rsidRDefault="00CA422A" w:rsidP="00CA422A">
      <w:pPr>
        <w:spacing w:after="0" w:line="240" w:lineRule="auto"/>
        <w:jc w:val="left"/>
      </w:pPr>
    </w:p>
    <w:p w14:paraId="75530AE6" w14:textId="28B032B2" w:rsidR="00676CE8" w:rsidRDefault="00CA422A" w:rsidP="008F6A81">
      <w:pPr>
        <w:spacing w:after="0" w:line="240" w:lineRule="auto"/>
        <w:ind w:left="720"/>
        <w:jc w:val="left"/>
        <w:rPr>
          <w:rFonts w:eastAsia="Times New Roman"/>
          <w:lang w:eastAsia="en-GB"/>
        </w:rPr>
      </w:pPr>
      <w:r w:rsidRPr="00CA422A">
        <w:lastRenderedPageBreak/>
        <w:t>it may in some circumstances be difficult to distinguish appropriate treatment from mere detention.</w:t>
      </w:r>
      <w:r>
        <w:t>.</w:t>
      </w:r>
      <w:r w:rsidRPr="00CA422A">
        <w:t>.</w:t>
      </w:r>
      <w:r w:rsidRPr="00CA422A">
        <w:rPr>
          <w:rFonts w:eastAsia="Times New Roman"/>
          <w:lang w:eastAsia="en-GB"/>
        </w:rPr>
        <w:t>If the purpose of the treatment the patient receives is to prevent a worsening of the symptoms or manifestations of his mental disorder, it is likely to constitute appropriate treatment even though the outcome of such treatment may have little or no beneficial effect on the patient.</w:t>
      </w:r>
    </w:p>
    <w:p w14:paraId="0DD602C2" w14:textId="77777777" w:rsidR="008F6A81" w:rsidRDefault="008F6A81" w:rsidP="00CD51D7">
      <w:pPr>
        <w:spacing w:after="0" w:line="240" w:lineRule="auto"/>
        <w:jc w:val="left"/>
        <w:rPr>
          <w:rFonts w:eastAsia="Times New Roman"/>
          <w:lang w:eastAsia="en-GB"/>
        </w:rPr>
      </w:pPr>
    </w:p>
    <w:p w14:paraId="663480D9" w14:textId="455468A4" w:rsidR="00CD51D7" w:rsidRDefault="00CD51D7" w:rsidP="00180928">
      <w:pPr>
        <w:spacing w:after="0" w:line="240" w:lineRule="auto"/>
        <w:rPr>
          <w:rFonts w:eastAsia="Times New Roman"/>
          <w:lang w:eastAsia="en-GB"/>
        </w:rPr>
      </w:pPr>
      <w:r>
        <w:rPr>
          <w:rFonts w:eastAsia="Times New Roman"/>
          <w:lang w:eastAsia="en-GB"/>
        </w:rPr>
        <w:t>Thus, whil</w:t>
      </w:r>
      <w:r w:rsidR="00301591">
        <w:rPr>
          <w:rFonts w:eastAsia="Times New Roman"/>
          <w:lang w:eastAsia="en-GB"/>
        </w:rPr>
        <w:t>st</w:t>
      </w:r>
      <w:r>
        <w:rPr>
          <w:rFonts w:eastAsia="Times New Roman"/>
          <w:lang w:eastAsia="en-GB"/>
        </w:rPr>
        <w:t xml:space="preserve"> </w:t>
      </w:r>
      <w:r w:rsidR="008E0947">
        <w:rPr>
          <w:rFonts w:eastAsia="Times New Roman"/>
          <w:lang w:eastAsia="en-GB"/>
        </w:rPr>
        <w:t>‘</w:t>
      </w:r>
      <w:r>
        <w:rPr>
          <w:rFonts w:eastAsia="Times New Roman"/>
          <w:lang w:eastAsia="en-GB"/>
        </w:rPr>
        <w:t>mere detention</w:t>
      </w:r>
      <w:r w:rsidR="008E0947">
        <w:rPr>
          <w:rFonts w:eastAsia="Times New Roman"/>
          <w:lang w:eastAsia="en-GB"/>
        </w:rPr>
        <w:t>’</w:t>
      </w:r>
      <w:r w:rsidR="00636855" w:rsidRPr="00636855">
        <w:rPr>
          <w:rFonts w:eastAsia="Times New Roman"/>
          <w:lang w:eastAsia="en-GB"/>
        </w:rPr>
        <w:t xml:space="preserve"> </w:t>
      </w:r>
      <w:r w:rsidR="00636855">
        <w:rPr>
          <w:rFonts w:eastAsia="Times New Roman"/>
          <w:lang w:eastAsia="en-GB"/>
        </w:rPr>
        <w:t xml:space="preserve">cannot </w:t>
      </w:r>
      <w:r w:rsidR="00B32532">
        <w:rPr>
          <w:rFonts w:eastAsia="Times New Roman"/>
          <w:lang w:eastAsia="en-GB"/>
        </w:rPr>
        <w:t>constitute</w:t>
      </w:r>
      <w:r w:rsidR="00636855">
        <w:rPr>
          <w:rFonts w:eastAsia="Times New Roman"/>
          <w:lang w:eastAsia="en-GB"/>
        </w:rPr>
        <w:t xml:space="preserve"> appropriate treatment</w:t>
      </w:r>
      <w:r>
        <w:rPr>
          <w:rFonts w:eastAsia="Times New Roman"/>
          <w:lang w:eastAsia="en-GB"/>
        </w:rPr>
        <w:t>, it</w:t>
      </w:r>
      <w:r w:rsidR="00636855">
        <w:rPr>
          <w:rFonts w:eastAsia="Times New Roman"/>
          <w:lang w:eastAsia="en-GB"/>
        </w:rPr>
        <w:t xml:space="preserve"> </w:t>
      </w:r>
      <w:r w:rsidR="00B32532">
        <w:rPr>
          <w:rFonts w:eastAsia="Times New Roman"/>
          <w:lang w:eastAsia="en-GB"/>
        </w:rPr>
        <w:t>is</w:t>
      </w:r>
      <w:r>
        <w:rPr>
          <w:rFonts w:eastAsia="Times New Roman"/>
          <w:lang w:eastAsia="en-GB"/>
        </w:rPr>
        <w:t xml:space="preserve"> sufficient for </w:t>
      </w:r>
      <w:r w:rsidR="00B32532">
        <w:rPr>
          <w:rFonts w:eastAsia="Times New Roman"/>
          <w:lang w:eastAsia="en-GB"/>
        </w:rPr>
        <w:t>treatment</w:t>
      </w:r>
      <w:r>
        <w:rPr>
          <w:rFonts w:eastAsia="Times New Roman"/>
          <w:lang w:eastAsia="en-GB"/>
        </w:rPr>
        <w:t xml:space="preserve"> to have a therapeutic </w:t>
      </w:r>
      <w:r w:rsidR="008E0947">
        <w:rPr>
          <w:rFonts w:eastAsia="Times New Roman"/>
          <w:lang w:eastAsia="en-GB"/>
        </w:rPr>
        <w:t>‘</w:t>
      </w:r>
      <w:r>
        <w:rPr>
          <w:rFonts w:eastAsia="Times New Roman"/>
          <w:lang w:eastAsia="en-GB"/>
        </w:rPr>
        <w:t>purpose</w:t>
      </w:r>
      <w:r w:rsidR="008E0947">
        <w:rPr>
          <w:rFonts w:eastAsia="Times New Roman"/>
          <w:lang w:eastAsia="en-GB"/>
        </w:rPr>
        <w:t>’</w:t>
      </w:r>
      <w:r w:rsidR="009568A7">
        <w:rPr>
          <w:rFonts w:eastAsia="Times New Roman"/>
          <w:lang w:eastAsia="en-GB"/>
        </w:rPr>
        <w:t>,</w:t>
      </w:r>
      <w:r w:rsidR="00B32532">
        <w:rPr>
          <w:rFonts w:eastAsia="Times New Roman"/>
          <w:lang w:eastAsia="en-GB"/>
        </w:rPr>
        <w:t xml:space="preserve"> </w:t>
      </w:r>
      <w:r>
        <w:rPr>
          <w:rFonts w:eastAsia="Times New Roman"/>
          <w:lang w:eastAsia="en-GB"/>
        </w:rPr>
        <w:t>even if it is unlikely to</w:t>
      </w:r>
      <w:r w:rsidR="00562759">
        <w:rPr>
          <w:rFonts w:eastAsia="Times New Roman"/>
          <w:lang w:eastAsia="en-GB"/>
        </w:rPr>
        <w:t xml:space="preserve"> have any </w:t>
      </w:r>
      <w:r>
        <w:rPr>
          <w:rFonts w:eastAsia="Times New Roman"/>
          <w:lang w:eastAsia="en-GB"/>
        </w:rPr>
        <w:t>beneficial</w:t>
      </w:r>
      <w:r w:rsidR="00562759">
        <w:rPr>
          <w:rFonts w:eastAsia="Times New Roman"/>
          <w:lang w:eastAsia="en-GB"/>
        </w:rPr>
        <w:t xml:space="preserve"> effect</w:t>
      </w:r>
      <w:r>
        <w:rPr>
          <w:rFonts w:eastAsia="Times New Roman"/>
          <w:lang w:eastAsia="en-GB"/>
        </w:rPr>
        <w:t>. This set</w:t>
      </w:r>
      <w:r w:rsidR="00562759">
        <w:rPr>
          <w:rFonts w:eastAsia="Times New Roman"/>
          <w:lang w:eastAsia="en-GB"/>
        </w:rPr>
        <w:t>s</w:t>
      </w:r>
      <w:r w:rsidR="009568A7">
        <w:rPr>
          <w:rFonts w:eastAsia="Times New Roman"/>
          <w:lang w:eastAsia="en-GB"/>
        </w:rPr>
        <w:t xml:space="preserve"> a very low standard. Surely </w:t>
      </w:r>
      <w:r>
        <w:rPr>
          <w:rFonts w:eastAsia="Times New Roman"/>
          <w:lang w:eastAsia="en-GB"/>
        </w:rPr>
        <w:t xml:space="preserve">treatment </w:t>
      </w:r>
      <w:r w:rsidR="00B70374">
        <w:rPr>
          <w:rFonts w:eastAsia="Times New Roman"/>
          <w:lang w:eastAsia="en-GB"/>
        </w:rPr>
        <w:t>cannot</w:t>
      </w:r>
      <w:r>
        <w:rPr>
          <w:rFonts w:eastAsia="Times New Roman"/>
          <w:lang w:eastAsia="en-GB"/>
        </w:rPr>
        <w:t xml:space="preserve"> have a </w:t>
      </w:r>
      <w:r w:rsidR="00B70374">
        <w:rPr>
          <w:rFonts w:eastAsia="Times New Roman"/>
          <w:lang w:eastAsia="en-GB"/>
        </w:rPr>
        <w:t>‘</w:t>
      </w:r>
      <w:r>
        <w:rPr>
          <w:rFonts w:eastAsia="Times New Roman"/>
          <w:lang w:eastAsia="en-GB"/>
        </w:rPr>
        <w:t>therapeutic purpose</w:t>
      </w:r>
      <w:r w:rsidR="00B70374">
        <w:rPr>
          <w:rFonts w:eastAsia="Times New Roman"/>
          <w:lang w:eastAsia="en-GB"/>
        </w:rPr>
        <w:t>’</w:t>
      </w:r>
      <w:r>
        <w:rPr>
          <w:rFonts w:eastAsia="Times New Roman"/>
          <w:lang w:eastAsia="en-GB"/>
        </w:rPr>
        <w:t xml:space="preserve"> if it </w:t>
      </w:r>
      <w:r w:rsidR="00B70374">
        <w:rPr>
          <w:rFonts w:eastAsia="Times New Roman"/>
          <w:lang w:eastAsia="en-GB"/>
        </w:rPr>
        <w:t>i</w:t>
      </w:r>
      <w:r>
        <w:rPr>
          <w:rFonts w:eastAsia="Times New Roman"/>
          <w:lang w:eastAsia="en-GB"/>
        </w:rPr>
        <w:t xml:space="preserve">s known in advance that it </w:t>
      </w:r>
      <w:r w:rsidR="00B70374">
        <w:rPr>
          <w:rFonts w:eastAsia="Times New Roman"/>
          <w:lang w:eastAsia="en-GB"/>
        </w:rPr>
        <w:t>i</w:t>
      </w:r>
      <w:r>
        <w:rPr>
          <w:rFonts w:eastAsia="Times New Roman"/>
          <w:lang w:eastAsia="en-GB"/>
        </w:rPr>
        <w:t>s unlikely to any</w:t>
      </w:r>
      <w:r w:rsidR="00006DD3">
        <w:rPr>
          <w:rFonts w:eastAsia="Times New Roman"/>
          <w:lang w:eastAsia="en-GB"/>
        </w:rPr>
        <w:t xml:space="preserve"> beneficial</w:t>
      </w:r>
      <w:r>
        <w:rPr>
          <w:rFonts w:eastAsia="Times New Roman"/>
          <w:lang w:eastAsia="en-GB"/>
        </w:rPr>
        <w:t xml:space="preserve"> effect on the patient?</w:t>
      </w:r>
      <w:r w:rsidR="003D7963">
        <w:rPr>
          <w:rFonts w:eastAsia="Times New Roman"/>
          <w:lang w:eastAsia="en-GB"/>
        </w:rPr>
        <w:t xml:space="preserve"> </w:t>
      </w:r>
      <w:r w:rsidR="00F57DFD">
        <w:rPr>
          <w:rFonts w:eastAsia="Times New Roman"/>
          <w:lang w:eastAsia="en-GB"/>
        </w:rPr>
        <w:t>In</w:t>
      </w:r>
      <w:r w:rsidR="00FE1EF4">
        <w:rPr>
          <w:rFonts w:eastAsia="Times New Roman"/>
          <w:lang w:eastAsia="en-GB"/>
        </w:rPr>
        <w:t xml:space="preserve"> any</w:t>
      </w:r>
      <w:r w:rsidR="00F57DFD">
        <w:rPr>
          <w:rFonts w:eastAsia="Times New Roman"/>
          <w:lang w:eastAsia="en-GB"/>
        </w:rPr>
        <w:t xml:space="preserve"> event, tribunals</w:t>
      </w:r>
      <w:r w:rsidR="00F818EE">
        <w:rPr>
          <w:rFonts w:eastAsia="Times New Roman"/>
          <w:lang w:eastAsia="en-GB"/>
        </w:rPr>
        <w:t xml:space="preserve"> are </w:t>
      </w:r>
      <w:r w:rsidR="00985627">
        <w:rPr>
          <w:rFonts w:eastAsia="Times New Roman"/>
          <w:lang w:eastAsia="en-GB"/>
        </w:rPr>
        <w:t>often</w:t>
      </w:r>
      <w:r w:rsidR="00F818EE">
        <w:rPr>
          <w:rFonts w:eastAsia="Times New Roman"/>
          <w:lang w:eastAsia="en-GB"/>
        </w:rPr>
        <w:t xml:space="preserve"> able</w:t>
      </w:r>
      <w:r w:rsidR="00F57DFD">
        <w:rPr>
          <w:rFonts w:eastAsia="Times New Roman"/>
          <w:lang w:eastAsia="en-GB"/>
        </w:rPr>
        <w:t xml:space="preserve"> to find </w:t>
      </w:r>
      <w:r w:rsidR="009568A7">
        <w:rPr>
          <w:rFonts w:eastAsia="Times New Roman"/>
          <w:lang w:eastAsia="en-GB"/>
        </w:rPr>
        <w:t>a</w:t>
      </w:r>
      <w:r w:rsidR="00F57DFD">
        <w:rPr>
          <w:rFonts w:eastAsia="Times New Roman"/>
          <w:lang w:eastAsia="en-GB"/>
        </w:rPr>
        <w:t xml:space="preserve"> therapeutic </w:t>
      </w:r>
      <w:r w:rsidR="00F818EE">
        <w:rPr>
          <w:rFonts w:eastAsia="Times New Roman"/>
          <w:lang w:eastAsia="en-GB"/>
        </w:rPr>
        <w:t>purpose</w:t>
      </w:r>
      <w:r w:rsidR="00F57DFD">
        <w:rPr>
          <w:rFonts w:eastAsia="Times New Roman"/>
          <w:lang w:eastAsia="en-GB"/>
        </w:rPr>
        <w:t xml:space="preserve"> on the facts of the case. As the judge remarked in </w:t>
      </w:r>
      <w:r w:rsidR="00F57DFD" w:rsidRPr="00180928">
        <w:rPr>
          <w:rFonts w:eastAsia="Times New Roman"/>
          <w:i/>
          <w:iCs/>
          <w:lang w:eastAsia="en-GB"/>
        </w:rPr>
        <w:t>WH</w:t>
      </w:r>
      <w:r w:rsidR="006443B4">
        <w:rPr>
          <w:rFonts w:eastAsia="Times New Roman"/>
          <w:i/>
          <w:iCs/>
          <w:lang w:eastAsia="en-GB"/>
        </w:rPr>
        <w:t xml:space="preserve"> </w:t>
      </w:r>
      <w:r w:rsidR="006443B4">
        <w:t>(2015, para. 39)</w:t>
      </w:r>
      <w:r w:rsidR="00F57DFD">
        <w:rPr>
          <w:rFonts w:eastAsia="Times New Roman"/>
          <w:lang w:eastAsia="en-GB"/>
        </w:rPr>
        <w:t xml:space="preserve">, </w:t>
      </w:r>
      <w:r w:rsidR="008E0947">
        <w:rPr>
          <w:rFonts w:eastAsia="Times New Roman"/>
          <w:lang w:eastAsia="en-GB"/>
        </w:rPr>
        <w:t>‘</w:t>
      </w:r>
      <w:r w:rsidR="00F57DFD">
        <w:rPr>
          <w:rFonts w:eastAsia="Times New Roman"/>
          <w:lang w:eastAsia="en-GB"/>
        </w:rPr>
        <w:t>t</w:t>
      </w:r>
      <w:r w:rsidR="00F57DFD" w:rsidRPr="00F57DFD">
        <w:rPr>
          <w:rFonts w:eastAsia="Times New Roman"/>
          <w:lang w:eastAsia="en-GB"/>
        </w:rPr>
        <w:t>here has been no reported case where a tribunal has found that a patient</w:t>
      </w:r>
      <w:r w:rsidR="00F57DFD">
        <w:rPr>
          <w:rFonts w:eastAsia="Times New Roman"/>
          <w:lang w:eastAsia="en-GB"/>
        </w:rPr>
        <w:t>’</w:t>
      </w:r>
      <w:r w:rsidR="00F57DFD" w:rsidRPr="00F57DFD">
        <w:rPr>
          <w:rFonts w:eastAsia="Times New Roman"/>
          <w:lang w:eastAsia="en-GB"/>
        </w:rPr>
        <w:t>s treatment in hospital constituted mere containment</w:t>
      </w:r>
      <w:r w:rsidR="006443B4">
        <w:rPr>
          <w:rFonts w:eastAsia="Times New Roman"/>
          <w:lang w:eastAsia="en-GB"/>
        </w:rPr>
        <w:t>’</w:t>
      </w:r>
      <w:r w:rsidR="00F57DFD" w:rsidRPr="00F57DFD">
        <w:rPr>
          <w:rFonts w:eastAsia="Times New Roman"/>
          <w:lang w:eastAsia="en-GB"/>
        </w:rPr>
        <w:t>.</w:t>
      </w:r>
    </w:p>
    <w:p w14:paraId="074003C4" w14:textId="77777777" w:rsidR="00CD51D7" w:rsidRPr="008F6A81" w:rsidRDefault="00CD51D7" w:rsidP="00CD51D7">
      <w:pPr>
        <w:spacing w:after="0" w:line="240" w:lineRule="auto"/>
        <w:jc w:val="left"/>
        <w:rPr>
          <w:rFonts w:eastAsia="Times New Roman"/>
          <w:lang w:eastAsia="en-GB"/>
        </w:rPr>
      </w:pPr>
    </w:p>
    <w:p w14:paraId="3DDD1E24" w14:textId="6063059C" w:rsidR="00762F4B" w:rsidRDefault="00EC3405" w:rsidP="00762F4B">
      <w:pPr>
        <w:spacing w:line="276" w:lineRule="auto"/>
        <w:ind w:left="11" w:hanging="11"/>
      </w:pPr>
      <w:r>
        <w:t>Th</w:t>
      </w:r>
      <w:r w:rsidR="00E63B1C">
        <w:t>is liberal approach may</w:t>
      </w:r>
      <w:r w:rsidR="009568A7">
        <w:t xml:space="preserve"> </w:t>
      </w:r>
      <w:r w:rsidR="00E63B1C">
        <w:t>not now comply with the</w:t>
      </w:r>
      <w:r>
        <w:t xml:space="preserve"> ECHR</w:t>
      </w:r>
      <w:r w:rsidR="00E63B1C">
        <w:t>.</w:t>
      </w:r>
      <w:r>
        <w:t xml:space="preserve"> In </w:t>
      </w:r>
      <w:proofErr w:type="spellStart"/>
      <w:r w:rsidRPr="00EC3405">
        <w:rPr>
          <w:i/>
          <w:iCs/>
        </w:rPr>
        <w:t>Rooman</w:t>
      </w:r>
      <w:proofErr w:type="spellEnd"/>
      <w:r w:rsidRPr="00EC3405">
        <w:rPr>
          <w:i/>
          <w:iCs/>
        </w:rPr>
        <w:t xml:space="preserve"> v. Belgium</w:t>
      </w:r>
      <w:r w:rsidR="00010F17">
        <w:t xml:space="preserve"> (2009, para. 208)</w:t>
      </w:r>
      <w:r>
        <w:t>, the Court</w:t>
      </w:r>
      <w:r w:rsidR="00EA32D4">
        <w:t>, summarising its case law,</w:t>
      </w:r>
      <w:r>
        <w:t xml:space="preserve"> held that: </w:t>
      </w:r>
    </w:p>
    <w:p w14:paraId="66DA1DCC" w14:textId="24BE3B0F" w:rsidR="00BC3B83" w:rsidRDefault="008E0947" w:rsidP="00762F4B">
      <w:pPr>
        <w:spacing w:line="276" w:lineRule="auto"/>
        <w:ind w:left="731" w:hanging="11"/>
      </w:pPr>
      <w:r>
        <w:t>‘</w:t>
      </w:r>
      <w:proofErr w:type="gramStart"/>
      <w:r w:rsidR="00EC3405" w:rsidRPr="00EC3405">
        <w:t>the</w:t>
      </w:r>
      <w:proofErr w:type="gramEnd"/>
      <w:r w:rsidR="00EC3405" w:rsidRPr="00EC3405">
        <w:t xml:space="preserve"> administration of suitable therapy has become a requirement in the context of the wider concept of the </w:t>
      </w:r>
      <w:r>
        <w:t>‘</w:t>
      </w:r>
      <w:r w:rsidR="00EC3405" w:rsidRPr="00EC3405">
        <w:t>lawfulness</w:t>
      </w:r>
      <w:r>
        <w:t>’</w:t>
      </w:r>
      <w:r w:rsidR="00EC3405" w:rsidRPr="00EC3405">
        <w:t xml:space="preserve"> of the deprivation of liberty. Any detention of mentally ill persons must have a therapeutic purpose, aimed specifically, and in so far as possible, at curing or alleviating their mental-health condition, including, where appropriate, bringing about a reduction in or control over their dangerousness. The Court has stressed that, irrespective of the facility in which those persons are placed, they are entitled to be provided with a suitable medical environment accompanied by real therapeutic measures, with a view to preparing them for their eventual release</w:t>
      </w:r>
      <w:r>
        <w:t>’</w:t>
      </w:r>
      <w:r w:rsidR="00670E5B" w:rsidRPr="00670E5B">
        <w:t>.</w:t>
      </w:r>
    </w:p>
    <w:p w14:paraId="58B60954" w14:textId="2EB8EA81" w:rsidR="0045331C" w:rsidRDefault="0038077A" w:rsidP="00EF36B6">
      <w:pPr>
        <w:spacing w:line="276" w:lineRule="auto"/>
        <w:ind w:left="33" w:hanging="11"/>
      </w:pPr>
      <w:r>
        <w:t>The ECtHR held that d</w:t>
      </w:r>
      <w:r w:rsidR="00AC1508">
        <w:t xml:space="preserve">etaining the applicant in a hospital for 14 years without providing him with </w:t>
      </w:r>
      <w:r w:rsidR="00A8347E">
        <w:t xml:space="preserve">therapy in a language he could understand </w:t>
      </w:r>
      <w:r w:rsidR="00AC1508">
        <w:t>violated Article</w:t>
      </w:r>
      <w:r>
        <w:t>s 3 and</w:t>
      </w:r>
      <w:r w:rsidR="00AC1508">
        <w:t xml:space="preserve"> 5</w:t>
      </w:r>
      <w:r>
        <w:t xml:space="preserve"> of the Convention</w:t>
      </w:r>
      <w:r w:rsidR="00AC1508">
        <w:t>. This was</w:t>
      </w:r>
      <w:r w:rsidR="00762F4B">
        <w:t>, at least in part,</w:t>
      </w:r>
      <w:r w:rsidR="00AC1508">
        <w:t xml:space="preserve"> because he needed to engage with therapy to have any prospect of being </w:t>
      </w:r>
      <w:r w:rsidR="00762F4B">
        <w:t>discharged</w:t>
      </w:r>
      <w:r w:rsidR="00AC1508">
        <w:t xml:space="preserve">. </w:t>
      </w:r>
      <w:r w:rsidR="00B95531">
        <w:t>Accordingly</w:t>
      </w:r>
      <w:r w:rsidR="00AC1508">
        <w:t xml:space="preserve">, </w:t>
      </w:r>
      <w:proofErr w:type="spellStart"/>
      <w:r w:rsidR="00AC1508" w:rsidRPr="006C5FE4">
        <w:rPr>
          <w:i/>
          <w:iCs/>
        </w:rPr>
        <w:t>Rooman</w:t>
      </w:r>
      <w:proofErr w:type="spellEnd"/>
      <w:r w:rsidR="00AC1508">
        <w:t xml:space="preserve"> falls in line with the ECtHR’s case law on the prisoner’s </w:t>
      </w:r>
      <w:r w:rsidR="008E0947">
        <w:t>‘</w:t>
      </w:r>
      <w:r w:rsidR="00AC1508">
        <w:t>right to rehabilitation</w:t>
      </w:r>
      <w:r w:rsidR="008E0947">
        <w:t>’</w:t>
      </w:r>
      <w:r w:rsidR="00762F4B">
        <w:t xml:space="preserve"> and right to a ‘hope’ of release</w:t>
      </w:r>
      <w:r w:rsidR="00AC1508">
        <w:t xml:space="preserve"> </w:t>
      </w:r>
      <w:r w:rsidR="00C734DC" w:rsidRPr="00C734DC">
        <w:rPr>
          <w:noProof/>
        </w:rPr>
        <w:t>(Van zyl smit, Weatherby and Creighton, 2014; Vannier, 2016; Meijer, 2017; O’Loughlin, 2021a)</w:t>
      </w:r>
      <w:r w:rsidR="00CE39BF">
        <w:t xml:space="preserve">. </w:t>
      </w:r>
    </w:p>
    <w:p w14:paraId="5A90BCC5" w14:textId="1F728B8A" w:rsidR="00EF36B6" w:rsidRDefault="00AB05DF" w:rsidP="00EF36B6">
      <w:pPr>
        <w:spacing w:line="276" w:lineRule="auto"/>
        <w:ind w:left="33" w:hanging="11"/>
      </w:pPr>
      <w:r>
        <w:t xml:space="preserve">After </w:t>
      </w:r>
      <w:proofErr w:type="spellStart"/>
      <w:r w:rsidRPr="00AB05DF">
        <w:rPr>
          <w:i/>
          <w:iCs/>
        </w:rPr>
        <w:t>Rooman</w:t>
      </w:r>
      <w:proofErr w:type="spellEnd"/>
      <w:r>
        <w:t xml:space="preserve">, </w:t>
      </w:r>
      <w:r w:rsidR="0042052A">
        <w:t>p</w:t>
      </w:r>
      <w:r w:rsidR="00CE39BF">
        <w:t xml:space="preserve">lacing a person in </w:t>
      </w:r>
      <w:r w:rsidR="009C4E45">
        <w:t xml:space="preserve">a </w:t>
      </w:r>
      <w:r w:rsidR="00CE39BF">
        <w:t>structured environment with the purpose of merely preventing a deterioration in his condition</w:t>
      </w:r>
      <w:r w:rsidR="00540CAF">
        <w:t>,</w:t>
      </w:r>
      <w:r w:rsidR="00773513">
        <w:t xml:space="preserve"> or providing treatment that has little or no chance of having an</w:t>
      </w:r>
      <w:r w:rsidR="00B548DC">
        <w:t>y beneficial</w:t>
      </w:r>
      <w:r w:rsidR="00773513">
        <w:t xml:space="preserve"> effect</w:t>
      </w:r>
      <w:r w:rsidR="00540CAF">
        <w:t xml:space="preserve"> </w:t>
      </w:r>
      <w:r w:rsidR="00CE39BF">
        <w:t>may not be complaint with the ECHR</w:t>
      </w:r>
      <w:r w:rsidR="0045331C">
        <w:t>. S</w:t>
      </w:r>
      <w:r w:rsidR="00CE39BF">
        <w:t>uch regime</w:t>
      </w:r>
      <w:r w:rsidR="00540CAF">
        <w:t>s</w:t>
      </w:r>
      <w:r w:rsidR="00CE39BF">
        <w:t xml:space="preserve"> could not be said to be oriented towards preparing the individual for release</w:t>
      </w:r>
      <w:r w:rsidR="00773513">
        <w:t>.</w:t>
      </w:r>
    </w:p>
    <w:p w14:paraId="7DA6C8EC" w14:textId="77777777" w:rsidR="009F0CA0" w:rsidRDefault="009F0CA0" w:rsidP="006F07EF">
      <w:pPr>
        <w:spacing w:line="276" w:lineRule="auto"/>
      </w:pPr>
    </w:p>
    <w:p w14:paraId="02771381" w14:textId="77777777" w:rsidR="009F0CA0" w:rsidRPr="009F0CA0" w:rsidRDefault="009F0CA0" w:rsidP="006F07EF">
      <w:pPr>
        <w:spacing w:line="276" w:lineRule="auto"/>
        <w:ind w:left="11" w:hanging="11"/>
        <w:rPr>
          <w:b/>
          <w:bCs/>
        </w:rPr>
      </w:pPr>
      <w:r w:rsidRPr="009F0CA0">
        <w:rPr>
          <w:b/>
          <w:bCs/>
        </w:rPr>
        <w:t>From appropriate treatment to therapeutic benefit?</w:t>
      </w:r>
    </w:p>
    <w:p w14:paraId="2D33E274" w14:textId="3A9E185C" w:rsidR="00200CF8" w:rsidRDefault="00B85F8A" w:rsidP="006F07EF">
      <w:pPr>
        <w:spacing w:line="276" w:lineRule="auto"/>
        <w:ind w:left="11" w:hanging="11"/>
      </w:pPr>
      <w:r>
        <w:t xml:space="preserve">The debate surrounding </w:t>
      </w:r>
      <w:r w:rsidR="00E317A2">
        <w:t>appropriate treatment</w:t>
      </w:r>
      <w:r>
        <w:t xml:space="preserve"> has returned </w:t>
      </w:r>
      <w:r w:rsidR="004D177B">
        <w:t xml:space="preserve">following </w:t>
      </w:r>
      <w:r>
        <w:t xml:space="preserve">the publication of </w:t>
      </w:r>
      <w:r w:rsidR="00BF7942" w:rsidRPr="00BF7942">
        <w:rPr>
          <w:i/>
          <w:iCs/>
        </w:rPr>
        <w:t>Modernising the Mental Health Act</w:t>
      </w:r>
      <w:r w:rsidR="00D0672E">
        <w:rPr>
          <w:i/>
          <w:iCs/>
        </w:rPr>
        <w:t xml:space="preserve"> </w:t>
      </w:r>
      <w:r w:rsidR="009D4132" w:rsidRPr="009D4132">
        <w:rPr>
          <w:iCs/>
          <w:noProof/>
        </w:rPr>
        <w:t>(Department of Health and Social Care, 2018)</w:t>
      </w:r>
      <w:r w:rsidR="00BF7942">
        <w:t>, the final report of the</w:t>
      </w:r>
      <w:r>
        <w:t xml:space="preserve"> Independent Review of the Mental Health Act 1983 chaired by </w:t>
      </w:r>
      <w:r w:rsidR="001515B5">
        <w:t xml:space="preserve">Professor </w:t>
      </w:r>
      <w:r>
        <w:t xml:space="preserve">Sir Simon </w:t>
      </w:r>
      <w:proofErr w:type="spellStart"/>
      <w:r>
        <w:t>Wessely</w:t>
      </w:r>
      <w:proofErr w:type="spellEnd"/>
      <w:r w:rsidR="00E317A2">
        <w:t xml:space="preserve">. </w:t>
      </w:r>
      <w:r w:rsidR="004D177B">
        <w:t xml:space="preserve">A Draft Mental Health Bill 2022 based on the proposals contained in a White Paper entitled </w:t>
      </w:r>
      <w:r w:rsidR="004D177B" w:rsidRPr="00BF7942">
        <w:rPr>
          <w:i/>
          <w:iCs/>
        </w:rPr>
        <w:t>Reforming the Mental Health</w:t>
      </w:r>
      <w:r w:rsidR="004D177B">
        <w:rPr>
          <w:i/>
          <w:iCs/>
        </w:rPr>
        <w:t xml:space="preserve"> Act </w:t>
      </w:r>
      <w:r w:rsidR="004D177B" w:rsidRPr="000F5C94">
        <w:rPr>
          <w:iCs/>
          <w:noProof/>
        </w:rPr>
        <w:t>(Department of Health and Social Care and Ministry of Justice, 2021)</w:t>
      </w:r>
      <w:r w:rsidR="004D177B">
        <w:t xml:space="preserve"> is currently undergoing scrutiny by a Joint Committee of members of the House of Commons and House of Lords.</w:t>
      </w:r>
    </w:p>
    <w:p w14:paraId="3A834486" w14:textId="7305AF44" w:rsidR="005A4F69" w:rsidRPr="00AB6F62" w:rsidRDefault="00460CCB" w:rsidP="00460CCB">
      <w:pPr>
        <w:spacing w:line="276" w:lineRule="auto"/>
        <w:ind w:left="11" w:hanging="11"/>
      </w:pPr>
      <w:r>
        <w:lastRenderedPageBreak/>
        <w:t xml:space="preserve">The </w:t>
      </w:r>
      <w:proofErr w:type="spellStart"/>
      <w:r>
        <w:t>Wessely</w:t>
      </w:r>
      <w:proofErr w:type="spellEnd"/>
      <w:r>
        <w:t xml:space="preserve"> Review was conducted in a much </w:t>
      </w:r>
      <w:r w:rsidR="00FD2405">
        <w:t>calmer</w:t>
      </w:r>
      <w:r>
        <w:t xml:space="preserve"> political climate than that facing its predecessor, </w:t>
      </w:r>
      <w:r w:rsidR="00275B2B">
        <w:t xml:space="preserve">the </w:t>
      </w:r>
      <w:r>
        <w:t>Expert Committee chaired by</w:t>
      </w:r>
      <w:r w:rsidRPr="00460CCB">
        <w:t xml:space="preserve"> </w:t>
      </w:r>
      <w:r>
        <w:t xml:space="preserve">Professor </w:t>
      </w:r>
      <w:proofErr w:type="spellStart"/>
      <w:r>
        <w:t>Genevra</w:t>
      </w:r>
      <w:proofErr w:type="spellEnd"/>
      <w:r>
        <w:t xml:space="preserve"> Richardson commissioned in 1998 to review the MHA 1983</w:t>
      </w:r>
      <w:r w:rsidR="00A11D0A">
        <w:t xml:space="preserve"> (Department of Health, 1999)</w:t>
      </w:r>
      <w:r>
        <w:t xml:space="preserve">. </w:t>
      </w:r>
      <w:r w:rsidR="00571614">
        <w:t xml:space="preserve">In the Foreword to the Review, </w:t>
      </w:r>
      <w:r w:rsidR="001A3EA0">
        <w:t xml:space="preserve">Professor Sir </w:t>
      </w:r>
      <w:proofErr w:type="spellStart"/>
      <w:r w:rsidR="00571614">
        <w:t>Wessely</w:t>
      </w:r>
      <w:proofErr w:type="spellEnd"/>
      <w:r w:rsidR="001A3EA0">
        <w:t xml:space="preserve"> wryly</w:t>
      </w:r>
      <w:r w:rsidR="00571614">
        <w:t xml:space="preserve"> </w:t>
      </w:r>
      <w:r w:rsidR="0013324D">
        <w:t>comments</w:t>
      </w:r>
      <w:r w:rsidR="001A3EA0">
        <w:t xml:space="preserve"> that</w:t>
      </w:r>
      <w:r w:rsidR="00701B84">
        <w:t xml:space="preserve"> </w:t>
      </w:r>
      <w:r w:rsidR="00275B2B">
        <w:t>his</w:t>
      </w:r>
      <w:r>
        <w:t xml:space="preserve"> </w:t>
      </w:r>
      <w:r w:rsidR="00701B84">
        <w:t xml:space="preserve">Review’s terms of reference </w:t>
      </w:r>
      <w:r w:rsidR="005C6EEF">
        <w:t>included</w:t>
      </w:r>
      <w:r w:rsidR="00701B84">
        <w:t xml:space="preserve"> </w:t>
      </w:r>
      <w:r w:rsidR="008E0947">
        <w:t>‘</w:t>
      </w:r>
      <w:r w:rsidR="000D4DD9" w:rsidRPr="00F15CE0">
        <w:t>the problems of the rising rate of coercion, seen as something undesirable, as opposed to the aim of public policy</w:t>
      </w:r>
      <w:r w:rsidR="008E0947">
        <w:t>’</w:t>
      </w:r>
      <w:r w:rsidR="000D4DD9">
        <w:t xml:space="preserve"> </w:t>
      </w:r>
      <w:r w:rsidR="000D4DD9" w:rsidRPr="009D4132">
        <w:rPr>
          <w:noProof/>
        </w:rPr>
        <w:t>(Department of Health and Social Care, 2018, p. 8)</w:t>
      </w:r>
      <w:r w:rsidR="000D4DD9">
        <w:t>.</w:t>
      </w:r>
    </w:p>
    <w:p w14:paraId="58E8A4FD" w14:textId="0A39F445" w:rsidR="00EA245A" w:rsidRPr="000D4DD9" w:rsidRDefault="00EA245A" w:rsidP="006F07EF">
      <w:pPr>
        <w:spacing w:line="276" w:lineRule="auto"/>
      </w:pPr>
      <w:r>
        <w:rPr>
          <w:iCs/>
        </w:rPr>
        <w:t xml:space="preserve">The </w:t>
      </w:r>
      <w:proofErr w:type="spellStart"/>
      <w:r w:rsidR="00DB22C9">
        <w:rPr>
          <w:iCs/>
        </w:rPr>
        <w:t>Wessely</w:t>
      </w:r>
      <w:proofErr w:type="spellEnd"/>
      <w:r w:rsidR="00DB22C9">
        <w:rPr>
          <w:iCs/>
        </w:rPr>
        <w:t xml:space="preserve"> </w:t>
      </w:r>
      <w:r>
        <w:rPr>
          <w:iCs/>
        </w:rPr>
        <w:t>Review propose</w:t>
      </w:r>
      <w:r w:rsidR="00843F63">
        <w:rPr>
          <w:iCs/>
        </w:rPr>
        <w:t>d</w:t>
      </w:r>
      <w:r>
        <w:rPr>
          <w:iCs/>
        </w:rPr>
        <w:t xml:space="preserve"> that the </w:t>
      </w:r>
      <w:r w:rsidR="00341898">
        <w:rPr>
          <w:iCs/>
        </w:rPr>
        <w:t xml:space="preserve">following </w:t>
      </w:r>
      <w:r>
        <w:rPr>
          <w:iCs/>
        </w:rPr>
        <w:t>purpose</w:t>
      </w:r>
      <w:r w:rsidR="000D5BCA">
        <w:rPr>
          <w:iCs/>
        </w:rPr>
        <w:t>s</w:t>
      </w:r>
      <w:r>
        <w:rPr>
          <w:iCs/>
        </w:rPr>
        <w:t xml:space="preserve"> be enshrined on </w:t>
      </w:r>
      <w:r w:rsidR="000D5BCA">
        <w:rPr>
          <w:iCs/>
        </w:rPr>
        <w:t>the face of the Mental Health Act</w:t>
      </w:r>
      <w:r>
        <w:rPr>
          <w:iCs/>
        </w:rPr>
        <w:t xml:space="preserve">: </w:t>
      </w:r>
      <w:r w:rsidR="008E0947">
        <w:rPr>
          <w:iCs/>
        </w:rPr>
        <w:t>‘</w:t>
      </w:r>
      <w:r>
        <w:rPr>
          <w:iCs/>
        </w:rPr>
        <w:t xml:space="preserve">to </w:t>
      </w:r>
      <w:r w:rsidRPr="004D3FBF">
        <w:rPr>
          <w:iCs/>
        </w:rPr>
        <w:t>confer and authorise the powers (including coercive powers) necessary for the treatment of mental disorder and to safeguard the dignity and rights of those who are made subject to the exercise of such powers and for related purposes</w:t>
      </w:r>
      <w:r w:rsidR="008E0947">
        <w:rPr>
          <w:iCs/>
        </w:rPr>
        <w:t>’</w:t>
      </w:r>
      <w:r>
        <w:rPr>
          <w:iCs/>
        </w:rPr>
        <w:t xml:space="preserve"> </w:t>
      </w:r>
      <w:r w:rsidR="009D4132" w:rsidRPr="009D4132">
        <w:rPr>
          <w:iCs/>
          <w:noProof/>
        </w:rPr>
        <w:t>(Department of Health and Social Care, 2018, p. 67)</w:t>
      </w:r>
      <w:r>
        <w:rPr>
          <w:iCs/>
        </w:rPr>
        <w:t>.</w:t>
      </w:r>
    </w:p>
    <w:p w14:paraId="700E75B8" w14:textId="77777777" w:rsidR="00EA245A" w:rsidRDefault="00EA245A" w:rsidP="006F07EF">
      <w:pPr>
        <w:spacing w:line="276" w:lineRule="auto"/>
        <w:rPr>
          <w:iCs/>
        </w:rPr>
      </w:pPr>
      <w:r>
        <w:rPr>
          <w:iCs/>
        </w:rPr>
        <w:t>It further recommend</w:t>
      </w:r>
      <w:r w:rsidR="00843F63">
        <w:rPr>
          <w:iCs/>
        </w:rPr>
        <w:t>ed</w:t>
      </w:r>
      <w:r>
        <w:rPr>
          <w:iCs/>
        </w:rPr>
        <w:t xml:space="preserve"> four key principles to govern the use of compulsory powers: </w:t>
      </w:r>
    </w:p>
    <w:p w14:paraId="75C6FEB0" w14:textId="77777777" w:rsidR="00EA245A" w:rsidRDefault="00EA245A" w:rsidP="00843F63">
      <w:pPr>
        <w:spacing w:line="276" w:lineRule="auto"/>
        <w:ind w:left="720"/>
        <w:rPr>
          <w:iCs/>
        </w:rPr>
      </w:pPr>
      <w:r>
        <w:rPr>
          <w:iCs/>
        </w:rPr>
        <w:t>1. Choice and autonomy</w:t>
      </w:r>
    </w:p>
    <w:p w14:paraId="6E25A709" w14:textId="77777777" w:rsidR="00EA245A" w:rsidRDefault="00EA245A" w:rsidP="00843F63">
      <w:pPr>
        <w:spacing w:line="276" w:lineRule="auto"/>
        <w:ind w:left="720"/>
        <w:rPr>
          <w:iCs/>
        </w:rPr>
      </w:pPr>
      <w:r>
        <w:rPr>
          <w:iCs/>
        </w:rPr>
        <w:t>2. Least restriction</w:t>
      </w:r>
    </w:p>
    <w:p w14:paraId="35860346" w14:textId="77777777" w:rsidR="00EA245A" w:rsidRDefault="00EA245A" w:rsidP="00843F63">
      <w:pPr>
        <w:spacing w:line="276" w:lineRule="auto"/>
        <w:ind w:left="720"/>
        <w:rPr>
          <w:iCs/>
        </w:rPr>
      </w:pPr>
      <w:r>
        <w:rPr>
          <w:iCs/>
        </w:rPr>
        <w:t xml:space="preserve">3. Therapeutic benefit </w:t>
      </w:r>
    </w:p>
    <w:p w14:paraId="713869C5" w14:textId="77777777" w:rsidR="00EA245A" w:rsidRDefault="00EA245A" w:rsidP="00843F63">
      <w:pPr>
        <w:spacing w:line="276" w:lineRule="auto"/>
        <w:ind w:left="720"/>
        <w:rPr>
          <w:iCs/>
        </w:rPr>
      </w:pPr>
      <w:r>
        <w:rPr>
          <w:iCs/>
        </w:rPr>
        <w:t xml:space="preserve">4. The person as an individual </w:t>
      </w:r>
      <w:r w:rsidR="009D4132" w:rsidRPr="009D4132">
        <w:rPr>
          <w:iCs/>
          <w:noProof/>
        </w:rPr>
        <w:t>(Department of Health and Social Care, 2018, p. 67)</w:t>
      </w:r>
      <w:r>
        <w:rPr>
          <w:iCs/>
        </w:rPr>
        <w:t>.</w:t>
      </w:r>
    </w:p>
    <w:p w14:paraId="1C3EA680" w14:textId="275229E4" w:rsidR="002817DF" w:rsidRDefault="00EA245A" w:rsidP="006F07EF">
      <w:pPr>
        <w:spacing w:line="276" w:lineRule="auto"/>
      </w:pPr>
      <w:r>
        <w:t>Most relevant to personality disorder, t</w:t>
      </w:r>
      <w:r w:rsidR="00DD3179">
        <w:t>he Review recommended</w:t>
      </w:r>
      <w:r w:rsidR="00FF1993">
        <w:t xml:space="preserve"> strengthening the</w:t>
      </w:r>
      <w:r w:rsidR="00DD3179">
        <w:t xml:space="preserve"> </w:t>
      </w:r>
      <w:r w:rsidR="00FF1993">
        <w:t xml:space="preserve">detention criteria under the Act by adding two </w:t>
      </w:r>
      <w:r w:rsidR="002817DF">
        <w:t xml:space="preserve">new </w:t>
      </w:r>
      <w:r w:rsidR="00044B27">
        <w:t>requirements. First,</w:t>
      </w:r>
      <w:r w:rsidR="00FF1993">
        <w:t xml:space="preserve"> </w:t>
      </w:r>
      <w:r w:rsidR="000D4DD9">
        <w:t>that</w:t>
      </w:r>
      <w:r w:rsidR="00FF1993">
        <w:t xml:space="preserve"> </w:t>
      </w:r>
      <w:r w:rsidR="008E0947">
        <w:t>‘</w:t>
      </w:r>
      <w:r w:rsidR="00FF1993">
        <w:t>treatment is available which would benefit the patient, and not just serve public protection, which cannot be delivered without detention</w:t>
      </w:r>
      <w:r w:rsidR="008E0947">
        <w:t>’</w:t>
      </w:r>
      <w:r w:rsidR="00044B27">
        <w:t xml:space="preserve">. Second, </w:t>
      </w:r>
      <w:r w:rsidR="000D4DD9">
        <w:t xml:space="preserve">that </w:t>
      </w:r>
      <w:r w:rsidR="008E0947">
        <w:t>‘</w:t>
      </w:r>
      <w:r w:rsidR="00FF1993">
        <w:t>there is a substantial likelihood of significant harm to the health, safety or welfare of the person, or the safety of any other person without treatment</w:t>
      </w:r>
      <w:r w:rsidR="008E0947">
        <w:t>’</w:t>
      </w:r>
      <w:r w:rsidR="00E653E7">
        <w:t xml:space="preserve"> </w:t>
      </w:r>
      <w:r w:rsidR="009D4132" w:rsidRPr="009D4132">
        <w:rPr>
          <w:noProof/>
        </w:rPr>
        <w:t>(Department of Health and Social Care, 2018, p. 113)</w:t>
      </w:r>
      <w:r w:rsidR="00FF1993">
        <w:t>.</w:t>
      </w:r>
      <w:r w:rsidR="00E653E7">
        <w:t xml:space="preserve"> </w:t>
      </w:r>
    </w:p>
    <w:p w14:paraId="2A8640C3" w14:textId="6CB3ADEE" w:rsidR="00EA245A" w:rsidRDefault="00635F63" w:rsidP="006F07EF">
      <w:pPr>
        <w:spacing w:line="276" w:lineRule="auto"/>
      </w:pPr>
      <w:r>
        <w:t>Whil</w:t>
      </w:r>
      <w:r w:rsidR="00063861">
        <w:t>st</w:t>
      </w:r>
      <w:r>
        <w:t xml:space="preserve"> proposing that </w:t>
      </w:r>
      <w:r w:rsidR="008E0947">
        <w:t>‘</w:t>
      </w:r>
      <w:r>
        <w:t>treatment</w:t>
      </w:r>
      <w:r w:rsidR="008E0947">
        <w:t>’</w:t>
      </w:r>
      <w:r>
        <w:t xml:space="preserve"> be broadly defined, the Review</w:t>
      </w:r>
      <w:r w:rsidR="00EA2278">
        <w:t xml:space="preserve"> sought to</w:t>
      </w:r>
      <w:r>
        <w:t xml:space="preserve"> g</w:t>
      </w:r>
      <w:r w:rsidR="00790566">
        <w:t xml:space="preserve">uard against the idea that detention </w:t>
      </w:r>
      <w:proofErr w:type="gramStart"/>
      <w:r w:rsidR="004673C0">
        <w:t>in itself</w:t>
      </w:r>
      <w:r w:rsidR="00790566">
        <w:t xml:space="preserve"> could</w:t>
      </w:r>
      <w:proofErr w:type="gramEnd"/>
      <w:r w:rsidR="00790566">
        <w:t xml:space="preserve"> be sufficient</w:t>
      </w:r>
      <w:r>
        <w:t>. It proposed that</w:t>
      </w:r>
      <w:r w:rsidR="00790566">
        <w:t xml:space="preserve"> </w:t>
      </w:r>
      <w:r w:rsidR="008E0947">
        <w:t>‘</w:t>
      </w:r>
      <w:r w:rsidR="00790566">
        <w:t xml:space="preserve">in situations of crisis, it may be </w:t>
      </w:r>
      <w:r>
        <w:t>reasonable for the main, but not the only, element of treatment to be to provide a safe therapeutic environment for a brief period of time</w:t>
      </w:r>
      <w:r w:rsidR="008E0947">
        <w:t>’</w:t>
      </w:r>
      <w:r w:rsidR="00F336BB">
        <w:t xml:space="preserve"> </w:t>
      </w:r>
      <w:r w:rsidR="009D4132" w:rsidRPr="009D4132">
        <w:rPr>
          <w:noProof/>
        </w:rPr>
        <w:t>(Department of Health and Social Care, 2018, p. 113)</w:t>
      </w:r>
      <w:r w:rsidR="00F336BB">
        <w:t>.</w:t>
      </w:r>
      <w:r w:rsidR="00533498">
        <w:t xml:space="preserve"> Keeping a person </w:t>
      </w:r>
      <w:r w:rsidR="008E0947">
        <w:t>‘</w:t>
      </w:r>
      <w:r>
        <w:t>off the streets</w:t>
      </w:r>
      <w:r w:rsidR="008E0947">
        <w:t>’</w:t>
      </w:r>
      <w:r w:rsidR="00533498">
        <w:t xml:space="preserve"> would not be </w:t>
      </w:r>
      <w:r w:rsidR="00EA2278">
        <w:t>enough</w:t>
      </w:r>
      <w:r w:rsidR="00533498">
        <w:t xml:space="preserve">, </w:t>
      </w:r>
      <w:r>
        <w:t xml:space="preserve">nor would long periods of detention be justified </w:t>
      </w:r>
      <w:proofErr w:type="gramStart"/>
      <w:r>
        <w:t>on the basis of</w:t>
      </w:r>
      <w:proofErr w:type="gramEnd"/>
      <w:r>
        <w:t xml:space="preserve"> </w:t>
      </w:r>
      <w:r w:rsidR="008E0947">
        <w:t>‘</w:t>
      </w:r>
      <w:r>
        <w:t>general nursing input and self-care planning</w:t>
      </w:r>
      <w:r w:rsidR="008E0947">
        <w:t>’</w:t>
      </w:r>
      <w:r>
        <w:t xml:space="preserve"> or the </w:t>
      </w:r>
      <w:r w:rsidR="008E0947">
        <w:t>‘</w:t>
      </w:r>
      <w:r>
        <w:t>assertion that the ‘ward routine’ provides a therapeutic benefit</w:t>
      </w:r>
      <w:r w:rsidR="008E0947">
        <w:t>’</w:t>
      </w:r>
      <w:r>
        <w:t xml:space="preserve"> </w:t>
      </w:r>
      <w:r w:rsidR="009D4132" w:rsidRPr="009D4132">
        <w:rPr>
          <w:noProof/>
        </w:rPr>
        <w:t>(Department of Health and Social Care, 2018, p. 113)</w:t>
      </w:r>
      <w:r>
        <w:t xml:space="preserve">. </w:t>
      </w:r>
    </w:p>
    <w:p w14:paraId="7B6F3E85" w14:textId="0DE1DFA8" w:rsidR="00FA7CA6" w:rsidRDefault="005D4774" w:rsidP="006F07EF">
      <w:pPr>
        <w:spacing w:line="276" w:lineRule="auto"/>
        <w:rPr>
          <w:iCs/>
        </w:rPr>
      </w:pPr>
      <w:r>
        <w:t xml:space="preserve">Thus, the </w:t>
      </w:r>
      <w:proofErr w:type="spellStart"/>
      <w:r>
        <w:t>Wessely</w:t>
      </w:r>
      <w:proofErr w:type="spellEnd"/>
      <w:r>
        <w:t xml:space="preserve"> Review recommended a move away from </w:t>
      </w:r>
      <w:r w:rsidR="00253100">
        <w:t xml:space="preserve">the minimalist requirements in </w:t>
      </w:r>
      <w:r w:rsidR="004E5309" w:rsidRPr="004E5309">
        <w:rPr>
          <w:iCs/>
        </w:rPr>
        <w:t>the case law and</w:t>
      </w:r>
      <w:r w:rsidR="00FA7CA6">
        <w:rPr>
          <w:iCs/>
        </w:rPr>
        <w:t xml:space="preserve"> Code of Practice</w:t>
      </w:r>
      <w:r w:rsidR="00E50C9B">
        <w:rPr>
          <w:iCs/>
        </w:rPr>
        <w:t xml:space="preserve"> and towards a requirement for more active therapeutic input</w:t>
      </w:r>
      <w:r w:rsidR="00253100">
        <w:rPr>
          <w:iCs/>
        </w:rPr>
        <w:t xml:space="preserve">. The </w:t>
      </w:r>
      <w:r w:rsidR="00310753">
        <w:rPr>
          <w:iCs/>
        </w:rPr>
        <w:t>proposed ‘</w:t>
      </w:r>
      <w:r w:rsidR="00253100">
        <w:rPr>
          <w:iCs/>
        </w:rPr>
        <w:t>substantial risk of serious harm</w:t>
      </w:r>
      <w:r w:rsidR="00310753">
        <w:rPr>
          <w:iCs/>
        </w:rPr>
        <w:t>’</w:t>
      </w:r>
      <w:r w:rsidR="00253100">
        <w:rPr>
          <w:iCs/>
        </w:rPr>
        <w:t xml:space="preserve"> test</w:t>
      </w:r>
      <w:r w:rsidR="000D4DD9">
        <w:rPr>
          <w:iCs/>
        </w:rPr>
        <w:t xml:space="preserve"> </w:t>
      </w:r>
      <w:r w:rsidR="00253100">
        <w:rPr>
          <w:iCs/>
        </w:rPr>
        <w:t>would also set a higher bar for detention</w:t>
      </w:r>
      <w:r w:rsidR="00CF5A99">
        <w:rPr>
          <w:iCs/>
        </w:rPr>
        <w:t xml:space="preserve"> </w:t>
      </w:r>
      <w:r w:rsidR="00253100">
        <w:rPr>
          <w:iCs/>
        </w:rPr>
        <w:t xml:space="preserve">than the current </w:t>
      </w:r>
      <w:proofErr w:type="gramStart"/>
      <w:r w:rsidR="00253100">
        <w:rPr>
          <w:iCs/>
        </w:rPr>
        <w:t>legislation</w:t>
      </w:r>
      <w:r w:rsidR="00310753">
        <w:rPr>
          <w:iCs/>
        </w:rPr>
        <w:t>, and</w:t>
      </w:r>
      <w:proofErr w:type="gramEnd"/>
      <w:r w:rsidR="00310753">
        <w:rPr>
          <w:iCs/>
        </w:rPr>
        <w:t xml:space="preserve"> would</w:t>
      </w:r>
      <w:r w:rsidR="00253100">
        <w:rPr>
          <w:iCs/>
        </w:rPr>
        <w:t xml:space="preserve"> </w:t>
      </w:r>
      <w:r w:rsidR="00CF5A99">
        <w:rPr>
          <w:iCs/>
        </w:rPr>
        <w:t xml:space="preserve">presumably set a lower bar for discharge. </w:t>
      </w:r>
    </w:p>
    <w:p w14:paraId="75BE71AB" w14:textId="67617ECE" w:rsidR="0099797C" w:rsidRDefault="00FA7CA6" w:rsidP="006F07EF">
      <w:pPr>
        <w:spacing w:line="276" w:lineRule="auto"/>
        <w:rPr>
          <w:iCs/>
        </w:rPr>
      </w:pPr>
      <w:r>
        <w:rPr>
          <w:iCs/>
        </w:rPr>
        <w:t xml:space="preserve">The Review’s recommendations </w:t>
      </w:r>
      <w:r w:rsidR="0099797C">
        <w:rPr>
          <w:iCs/>
        </w:rPr>
        <w:t>were</w:t>
      </w:r>
      <w:r>
        <w:rPr>
          <w:iCs/>
        </w:rPr>
        <w:t xml:space="preserve"> not restricted to </w:t>
      </w:r>
      <w:r w:rsidR="0099797C">
        <w:rPr>
          <w:iCs/>
        </w:rPr>
        <w:t>a</w:t>
      </w:r>
      <w:r>
        <w:rPr>
          <w:iCs/>
        </w:rPr>
        <w:t xml:space="preserve"> particular part of the Act, and it appears that </w:t>
      </w:r>
      <w:r w:rsidR="0099797C">
        <w:rPr>
          <w:iCs/>
        </w:rPr>
        <w:t xml:space="preserve">the Review envisaged </w:t>
      </w:r>
      <w:r>
        <w:rPr>
          <w:iCs/>
        </w:rPr>
        <w:t xml:space="preserve">they would apply </w:t>
      </w:r>
      <w:r w:rsidR="009C79FA">
        <w:rPr>
          <w:iCs/>
        </w:rPr>
        <w:t>to people</w:t>
      </w:r>
      <w:r>
        <w:rPr>
          <w:iCs/>
        </w:rPr>
        <w:t xml:space="preserve"> detained under civil</w:t>
      </w:r>
      <w:r w:rsidR="0099797C">
        <w:rPr>
          <w:iCs/>
        </w:rPr>
        <w:t xml:space="preserve"> (Part II)</w:t>
      </w:r>
      <w:r>
        <w:rPr>
          <w:iCs/>
        </w:rPr>
        <w:t xml:space="preserve"> </w:t>
      </w:r>
      <w:r w:rsidR="009C79FA">
        <w:rPr>
          <w:iCs/>
        </w:rPr>
        <w:t xml:space="preserve">and </w:t>
      </w:r>
      <w:r>
        <w:rPr>
          <w:iCs/>
        </w:rPr>
        <w:t xml:space="preserve">criminal </w:t>
      </w:r>
      <w:r w:rsidR="0099797C">
        <w:rPr>
          <w:iCs/>
        </w:rPr>
        <w:t xml:space="preserve">(Part III) </w:t>
      </w:r>
      <w:r>
        <w:rPr>
          <w:iCs/>
        </w:rPr>
        <w:t xml:space="preserve">powers. </w:t>
      </w:r>
      <w:r w:rsidR="00F86AFB">
        <w:rPr>
          <w:iCs/>
        </w:rPr>
        <w:t>The</w:t>
      </w:r>
      <w:r w:rsidR="000D4DD9">
        <w:rPr>
          <w:iCs/>
        </w:rPr>
        <w:t>re was, however,</w:t>
      </w:r>
      <w:r w:rsidR="00F86AFB">
        <w:rPr>
          <w:iCs/>
        </w:rPr>
        <w:t xml:space="preserve"> little detailed consideration of the implications</w:t>
      </w:r>
      <w:r w:rsidR="000D4DD9">
        <w:rPr>
          <w:iCs/>
        </w:rPr>
        <w:t xml:space="preserve"> of </w:t>
      </w:r>
      <w:r w:rsidR="00F24D06">
        <w:rPr>
          <w:iCs/>
        </w:rPr>
        <w:t>proposed reforms</w:t>
      </w:r>
      <w:r w:rsidR="000D4DD9">
        <w:rPr>
          <w:iCs/>
        </w:rPr>
        <w:t xml:space="preserve"> for Part III</w:t>
      </w:r>
      <w:r w:rsidR="002934C1">
        <w:rPr>
          <w:iCs/>
        </w:rPr>
        <w:t xml:space="preserve"> patients</w:t>
      </w:r>
      <w:r w:rsidR="000D4DD9">
        <w:rPr>
          <w:iCs/>
        </w:rPr>
        <w:t xml:space="preserve">. </w:t>
      </w:r>
    </w:p>
    <w:p w14:paraId="261BA8FB" w14:textId="615B41CA" w:rsidR="00687FF1" w:rsidRPr="00FA7CA6" w:rsidRDefault="00633D26" w:rsidP="006F07EF">
      <w:pPr>
        <w:spacing w:line="276" w:lineRule="auto"/>
        <w:rPr>
          <w:iCs/>
        </w:rPr>
      </w:pPr>
      <w:r>
        <w:rPr>
          <w:iCs/>
        </w:rPr>
        <w:lastRenderedPageBreak/>
        <w:t xml:space="preserve">While the current </w:t>
      </w:r>
      <w:r w:rsidR="00D0601D">
        <w:rPr>
          <w:iCs/>
        </w:rPr>
        <w:t>criteria for discharg</w:t>
      </w:r>
      <w:r w:rsidR="0086581E">
        <w:rPr>
          <w:iCs/>
        </w:rPr>
        <w:t>ing unrestricted Part III patients</w:t>
      </w:r>
      <w:r w:rsidR="00D0601D">
        <w:rPr>
          <w:iCs/>
        </w:rPr>
        <w:t xml:space="preserve"> are the same as for section 3 </w:t>
      </w:r>
      <w:r w:rsidR="0086581E">
        <w:rPr>
          <w:iCs/>
        </w:rPr>
        <w:t>patients</w:t>
      </w:r>
      <w:r w:rsidR="0079462C">
        <w:rPr>
          <w:iCs/>
        </w:rPr>
        <w:t xml:space="preserve"> (</w:t>
      </w:r>
      <w:r w:rsidR="00BF5E8A">
        <w:rPr>
          <w:iCs/>
        </w:rPr>
        <w:t xml:space="preserve">MHA 1983, </w:t>
      </w:r>
      <w:r w:rsidR="0079462C">
        <w:rPr>
          <w:iCs/>
        </w:rPr>
        <w:t>s.72(1)</w:t>
      </w:r>
      <w:r w:rsidR="004D2355">
        <w:rPr>
          <w:iCs/>
        </w:rPr>
        <w:t>(</w:t>
      </w:r>
      <w:r w:rsidR="0079462C">
        <w:rPr>
          <w:iCs/>
        </w:rPr>
        <w:t>b)</w:t>
      </w:r>
      <w:r w:rsidR="004D2355">
        <w:rPr>
          <w:iCs/>
        </w:rPr>
        <w:t>)</w:t>
      </w:r>
      <w:r w:rsidR="00D0601D">
        <w:rPr>
          <w:iCs/>
        </w:rPr>
        <w:t xml:space="preserve">, the criteria for </w:t>
      </w:r>
      <w:r w:rsidR="008D1B0C">
        <w:rPr>
          <w:iCs/>
        </w:rPr>
        <w:t xml:space="preserve">making </w:t>
      </w:r>
      <w:r w:rsidR="0067458A">
        <w:rPr>
          <w:iCs/>
        </w:rPr>
        <w:t>hospital orders</w:t>
      </w:r>
      <w:r w:rsidR="00C46A6D">
        <w:rPr>
          <w:iCs/>
        </w:rPr>
        <w:t xml:space="preserve"> (s.37, MHA 1983)</w:t>
      </w:r>
      <w:r w:rsidR="0067458A">
        <w:rPr>
          <w:iCs/>
        </w:rPr>
        <w:t xml:space="preserve"> and transfer directions</w:t>
      </w:r>
      <w:r w:rsidR="00C46A6D">
        <w:rPr>
          <w:iCs/>
        </w:rPr>
        <w:t xml:space="preserve"> (s.48, MHA 1983)</w:t>
      </w:r>
      <w:r w:rsidR="0067458A">
        <w:rPr>
          <w:iCs/>
        </w:rPr>
        <w:t xml:space="preserve"> without restrictions </w:t>
      </w:r>
      <w:r w:rsidR="008459DA">
        <w:rPr>
          <w:iCs/>
        </w:rPr>
        <w:t>make no reference to risk.</w:t>
      </w:r>
      <w:r w:rsidR="00031DA8">
        <w:rPr>
          <w:rStyle w:val="FootnoteReference"/>
          <w:iCs/>
        </w:rPr>
        <w:footnoteReference w:id="3"/>
      </w:r>
      <w:r w:rsidR="00EB656A">
        <w:rPr>
          <w:iCs/>
        </w:rPr>
        <w:t xml:space="preserve"> </w:t>
      </w:r>
      <w:r w:rsidR="008D1B0C">
        <w:rPr>
          <w:iCs/>
        </w:rPr>
        <w:t xml:space="preserve">Currently, an unrestricted patient detained under Part III of the MHA 1983 must be discharged by a Tribunal if the criteria under s.72(1)(b) of the Act are no longer met. If these criteria </w:t>
      </w:r>
      <w:r w:rsidR="00227485">
        <w:rPr>
          <w:iCs/>
        </w:rPr>
        <w:t xml:space="preserve">were </w:t>
      </w:r>
      <w:r w:rsidR="008D1B0C">
        <w:rPr>
          <w:iCs/>
        </w:rPr>
        <w:t xml:space="preserve">strengthened </w:t>
      </w:r>
      <w:r w:rsidR="00757F82">
        <w:rPr>
          <w:iCs/>
        </w:rPr>
        <w:t xml:space="preserve">along the lines recommended by </w:t>
      </w:r>
      <w:r w:rsidR="006128FD">
        <w:rPr>
          <w:iCs/>
        </w:rPr>
        <w:t xml:space="preserve">the </w:t>
      </w:r>
      <w:proofErr w:type="spellStart"/>
      <w:r w:rsidR="00757F82">
        <w:rPr>
          <w:iCs/>
        </w:rPr>
        <w:t>Wessely</w:t>
      </w:r>
      <w:proofErr w:type="spellEnd"/>
      <w:r w:rsidR="006128FD">
        <w:rPr>
          <w:iCs/>
        </w:rPr>
        <w:t xml:space="preserve"> Review</w:t>
      </w:r>
      <w:r w:rsidR="00227485">
        <w:rPr>
          <w:iCs/>
        </w:rPr>
        <w:t>,</w:t>
      </w:r>
      <w:r w:rsidR="008D1B0C">
        <w:rPr>
          <w:iCs/>
        </w:rPr>
        <w:t xml:space="preserve"> it is likely that more hospital order patients would be discharged at their first review.</w:t>
      </w:r>
      <w:r w:rsidR="00227485">
        <w:rPr>
          <w:iCs/>
        </w:rPr>
        <w:t xml:space="preserve"> </w:t>
      </w:r>
      <w:r w:rsidR="002403FA">
        <w:rPr>
          <w:iCs/>
        </w:rPr>
        <w:t xml:space="preserve">But </w:t>
      </w:r>
      <w:r w:rsidR="0007448F">
        <w:rPr>
          <w:iCs/>
        </w:rPr>
        <w:t xml:space="preserve">a patient </w:t>
      </w:r>
      <w:r w:rsidR="002403FA">
        <w:rPr>
          <w:iCs/>
        </w:rPr>
        <w:t>serving a prison sentence</w:t>
      </w:r>
      <w:r w:rsidR="00CE3021">
        <w:rPr>
          <w:rStyle w:val="FootnoteReference"/>
          <w:iCs/>
        </w:rPr>
        <w:footnoteReference w:id="4"/>
      </w:r>
      <w:r w:rsidR="00CE3021">
        <w:rPr>
          <w:iCs/>
        </w:rPr>
        <w:t xml:space="preserve"> </w:t>
      </w:r>
      <w:r w:rsidR="002403FA">
        <w:rPr>
          <w:iCs/>
        </w:rPr>
        <w:t>could continue to be detained in hospital, so long as their detention continued to be justified under Article 5(1)(a) (detention after conviction). This is also the case under the current MHA 1983.</w:t>
      </w:r>
    </w:p>
    <w:p w14:paraId="0E2E6267" w14:textId="56B06226" w:rsidR="002B2150" w:rsidRDefault="00044B27" w:rsidP="006F07EF">
      <w:pPr>
        <w:spacing w:line="276" w:lineRule="auto"/>
      </w:pPr>
      <w:r>
        <w:rPr>
          <w:iCs/>
        </w:rPr>
        <w:t>In</w:t>
      </w:r>
      <w:r w:rsidR="00C67163">
        <w:t xml:space="preserve"> </w:t>
      </w:r>
      <w:r w:rsidR="00C67163" w:rsidRPr="00BF7942">
        <w:rPr>
          <w:i/>
          <w:iCs/>
        </w:rPr>
        <w:t>Reforming the Mental Health</w:t>
      </w:r>
      <w:r w:rsidR="00C67163">
        <w:rPr>
          <w:i/>
          <w:iCs/>
        </w:rPr>
        <w:t xml:space="preserve"> Act </w:t>
      </w:r>
      <w:r w:rsidR="000F5C94" w:rsidRPr="000F5C94">
        <w:rPr>
          <w:iCs/>
          <w:noProof/>
        </w:rPr>
        <w:t>(Department of Health and Social Care and Ministry of Justice, 2021)</w:t>
      </w:r>
      <w:r>
        <w:t xml:space="preserve">, the Government </w:t>
      </w:r>
      <w:r w:rsidR="003175C4">
        <w:t xml:space="preserve">published plans to </w:t>
      </w:r>
      <w:r>
        <w:t xml:space="preserve">insert </w:t>
      </w:r>
      <w:r w:rsidR="00FE3473">
        <w:t xml:space="preserve">the </w:t>
      </w:r>
      <w:proofErr w:type="spellStart"/>
      <w:r w:rsidR="00FE3473">
        <w:t>Wessely</w:t>
      </w:r>
      <w:proofErr w:type="spellEnd"/>
      <w:r w:rsidR="00FE3473">
        <w:t xml:space="preserve"> Review’s </w:t>
      </w:r>
      <w:r>
        <w:t>‘substantial likelihood</w:t>
      </w:r>
      <w:r w:rsidR="00FE3473" w:rsidRPr="00FE3473">
        <w:t xml:space="preserve"> </w:t>
      </w:r>
      <w:r w:rsidR="00FE3473">
        <w:t>of significant harm</w:t>
      </w:r>
      <w:r>
        <w:t>’ requirement into</w:t>
      </w:r>
      <w:r w:rsidR="003175C4">
        <w:t xml:space="preserve"> sections 2 and 3 of the MHA 1983 Act</w:t>
      </w:r>
      <w:r w:rsidR="00E30BE9">
        <w:t xml:space="preserve"> and the community treatment order (CTO)</w:t>
      </w:r>
      <w:r w:rsidR="003175C4">
        <w:t>. The consultation paper also proposed to introduce a therapeutic benefit test for section 3 patients</w:t>
      </w:r>
      <w:r w:rsidR="00E30BE9">
        <w:t xml:space="preserve"> and CTO</w:t>
      </w:r>
      <w:r w:rsidR="00146DD2">
        <w:t xml:space="preserve"> patients</w:t>
      </w:r>
      <w:r w:rsidR="003175C4">
        <w:t>.</w:t>
      </w:r>
      <w:r w:rsidR="00E05B83">
        <w:t xml:space="preserve"> </w:t>
      </w:r>
      <w:r w:rsidR="00E752DF">
        <w:t xml:space="preserve">It, however, </w:t>
      </w:r>
      <w:r w:rsidR="002B2150" w:rsidRPr="002B2150">
        <w:t xml:space="preserve">took the questionable step of proposing to restrict these reforms to Part II patients. This was on the grounds that </w:t>
      </w:r>
      <w:r w:rsidR="008E0947">
        <w:t>‘</w:t>
      </w:r>
      <w:r w:rsidR="002B2150" w:rsidRPr="002B2150">
        <w:t>patients in the criminal justice system have a unique risk profile</w:t>
      </w:r>
      <w:r w:rsidR="008E0947">
        <w:t>’</w:t>
      </w:r>
      <w:r w:rsidR="002B2150" w:rsidRPr="002B2150">
        <w:t xml:space="preserve"> and that changing the detention criteria would </w:t>
      </w:r>
      <w:r w:rsidR="008E0947">
        <w:t>‘</w:t>
      </w:r>
      <w:r w:rsidR="002B2150" w:rsidRPr="002B2150">
        <w:t xml:space="preserve">compromise [the </w:t>
      </w:r>
      <w:r w:rsidR="00EF0B8C">
        <w:t>G</w:t>
      </w:r>
      <w:r w:rsidR="002B2150" w:rsidRPr="002B2150">
        <w:t>overnment’s] ability to adequately protect the public from risk of harm from sometimes serious or violent offenders</w:t>
      </w:r>
      <w:r w:rsidR="008E0947">
        <w:t>’</w:t>
      </w:r>
      <w:r w:rsidR="002B2150" w:rsidRPr="002B2150">
        <w:t xml:space="preserve"> (Department of Health and Social Care and Ministry of Justice, 2021, p. 27). The paper also suggested that the four </w:t>
      </w:r>
      <w:proofErr w:type="spellStart"/>
      <w:r w:rsidR="002B2150" w:rsidRPr="002B2150">
        <w:t>Wessely</w:t>
      </w:r>
      <w:proofErr w:type="spellEnd"/>
      <w:r w:rsidR="002B2150" w:rsidRPr="002B2150">
        <w:t xml:space="preserve"> </w:t>
      </w:r>
      <w:r w:rsidR="008A0D7A">
        <w:t xml:space="preserve">Review </w:t>
      </w:r>
      <w:r w:rsidR="002B2150" w:rsidRPr="002B2150">
        <w:t xml:space="preserve">principles may not be applicable to Part III patients </w:t>
      </w:r>
      <w:r w:rsidR="00D84F1D">
        <w:t>due to</w:t>
      </w:r>
      <w:r w:rsidR="002B2150" w:rsidRPr="002B2150">
        <w:t xml:space="preserve"> public safety concerns (Department of Health and Social Care and Ministry of Justice, 2021, p. 21).</w:t>
      </w:r>
    </w:p>
    <w:p w14:paraId="3791C336" w14:textId="77777777" w:rsidR="00E8366C" w:rsidRDefault="007020EB" w:rsidP="006F07EF">
      <w:pPr>
        <w:spacing w:line="276" w:lineRule="auto"/>
      </w:pPr>
      <w:r>
        <w:rPr>
          <w:iCs/>
        </w:rPr>
        <w:t>The assumption that Part III patients are inherently dangerous is</w:t>
      </w:r>
      <w:r>
        <w:t xml:space="preserve"> not based in evidence. Indeed, a study of 84 patients discharged from medium or low secure hospital wards identified that civil patients in secure settings were more frequently involved in incidents of aggression, sex offending and fire-setting than forensic patients </w:t>
      </w:r>
      <w:r w:rsidRPr="009D4E6C">
        <w:rPr>
          <w:noProof/>
        </w:rPr>
        <w:t>(Galappathie, Khan and Hussain, 2017)</w:t>
      </w:r>
      <w:r>
        <w:t xml:space="preserve">. </w:t>
      </w:r>
    </w:p>
    <w:p w14:paraId="47B23C59" w14:textId="7330EE5C" w:rsidR="007020EB" w:rsidRDefault="007020EB" w:rsidP="006F07EF">
      <w:pPr>
        <w:spacing w:line="276" w:lineRule="auto"/>
      </w:pPr>
      <w:r>
        <w:t>The Draft Mental Health Bill 2022 has since departed from this assumption</w:t>
      </w:r>
      <w:r w:rsidR="00E8366C">
        <w:t xml:space="preserve"> of dangerous</w:t>
      </w:r>
      <w:r>
        <w:t xml:space="preserve"> by extending its proposed reforms to the detention criteria under the MHA 1983 to people detained </w:t>
      </w:r>
      <w:r>
        <w:lastRenderedPageBreak/>
        <w:t>under Part II and Part III.</w:t>
      </w:r>
      <w:r w:rsidR="00E8366C">
        <w:t xml:space="preserve"> </w:t>
      </w:r>
      <w:r w:rsidR="00BB0353">
        <w:t>It does not, however, propose to enshrine the</w:t>
      </w:r>
      <w:r w:rsidR="00E8366C">
        <w:t xml:space="preserve"> </w:t>
      </w:r>
      <w:proofErr w:type="spellStart"/>
      <w:r w:rsidR="00E8366C">
        <w:t>Wessely</w:t>
      </w:r>
      <w:proofErr w:type="spellEnd"/>
      <w:r w:rsidR="00E8366C">
        <w:t xml:space="preserve"> Review principles</w:t>
      </w:r>
      <w:r w:rsidR="00BB0353">
        <w:t xml:space="preserve"> on</w:t>
      </w:r>
      <w:r w:rsidR="00E8366C">
        <w:t xml:space="preserve"> the face of the Act.</w:t>
      </w:r>
    </w:p>
    <w:p w14:paraId="6E8BC677" w14:textId="750A87F4" w:rsidR="008756DE" w:rsidRDefault="007B0B8C" w:rsidP="008756DE">
      <w:pPr>
        <w:spacing w:line="276" w:lineRule="auto"/>
      </w:pPr>
      <w:r>
        <w:t>The Bill</w:t>
      </w:r>
      <w:r w:rsidR="00033C1E">
        <w:t xml:space="preserve"> proposes to</w:t>
      </w:r>
      <w:r w:rsidR="008756DE">
        <w:t xml:space="preserve"> </w:t>
      </w:r>
      <w:r w:rsidR="00093264">
        <w:t>replac</w:t>
      </w:r>
      <w:r w:rsidR="00033C1E">
        <w:t>e</w:t>
      </w:r>
      <w:r w:rsidR="00093264">
        <w:t xml:space="preserve"> s.72</w:t>
      </w:r>
      <w:r w:rsidR="00BB0353">
        <w:t>(1)(b)</w:t>
      </w:r>
      <w:r w:rsidR="00093264">
        <w:t xml:space="preserve"> with a new s.20(4) that would require the Tribunal to discharge </w:t>
      </w:r>
      <w:r w:rsidR="008756DE">
        <w:t xml:space="preserve">a </w:t>
      </w:r>
      <w:r w:rsidR="00BB0353">
        <w:t>patient who is liable to be detained under the Act</w:t>
      </w:r>
      <w:r w:rsidR="00BB0353">
        <w:rPr>
          <w:rStyle w:val="FootnoteReference"/>
        </w:rPr>
        <w:footnoteReference w:id="5"/>
      </w:r>
      <w:r w:rsidR="00093264">
        <w:t xml:space="preserve"> where </w:t>
      </w:r>
      <w:r w:rsidR="008756DE">
        <w:t xml:space="preserve">it is </w:t>
      </w:r>
      <w:r w:rsidR="008756DE" w:rsidRPr="0013158D">
        <w:rPr>
          <w:i/>
          <w:iCs/>
        </w:rPr>
        <w:t>not</w:t>
      </w:r>
      <w:r w:rsidR="008756DE">
        <w:t xml:space="preserve"> satisfied that:</w:t>
      </w:r>
    </w:p>
    <w:p w14:paraId="0349BCFE" w14:textId="77777777" w:rsidR="008756DE" w:rsidRDefault="008756DE" w:rsidP="0013158D">
      <w:pPr>
        <w:spacing w:line="276" w:lineRule="auto"/>
        <w:ind w:left="720"/>
      </w:pPr>
      <w:r>
        <w:t>(a) the patient is suffering from psychiatric disorder of a nature or degree which makes it appropriate for the patient to receive medical treatment in a hospital; and</w:t>
      </w:r>
    </w:p>
    <w:p w14:paraId="3EE41632" w14:textId="77777777" w:rsidR="008756DE" w:rsidRDefault="008756DE" w:rsidP="0013158D">
      <w:pPr>
        <w:spacing w:line="276" w:lineRule="auto"/>
        <w:ind w:left="720"/>
      </w:pPr>
      <w:r>
        <w:t>(b) serious harm may be caused to the health or safety of the patient or of another person unless the patient receives medical treatment,</w:t>
      </w:r>
    </w:p>
    <w:p w14:paraId="4F343F4D" w14:textId="77777777" w:rsidR="008756DE" w:rsidRDefault="008756DE" w:rsidP="0013158D">
      <w:pPr>
        <w:spacing w:line="276" w:lineRule="auto"/>
        <w:ind w:left="720"/>
      </w:pPr>
      <w:r>
        <w:t xml:space="preserve">(c) it is necessary, given the nature, </w:t>
      </w:r>
      <w:proofErr w:type="gramStart"/>
      <w:r>
        <w:t>degree</w:t>
      </w:r>
      <w:proofErr w:type="gramEnd"/>
      <w:r>
        <w:t xml:space="preserve"> and likelihood of the harm, and how soon it would occur, for the patient to receive medical treatment,</w:t>
      </w:r>
    </w:p>
    <w:p w14:paraId="226D543A" w14:textId="77777777" w:rsidR="008756DE" w:rsidRDefault="008756DE" w:rsidP="0013158D">
      <w:pPr>
        <w:spacing w:line="276" w:lineRule="auto"/>
        <w:ind w:left="720"/>
      </w:pPr>
      <w:r>
        <w:t>(d) the necessary treatment cannot be provided unless the patient continues to be liable to be detained, and</w:t>
      </w:r>
    </w:p>
    <w:p w14:paraId="22287DC9" w14:textId="5744F415" w:rsidR="008756DE" w:rsidRDefault="008756DE" w:rsidP="0013158D">
      <w:pPr>
        <w:spacing w:line="276" w:lineRule="auto"/>
        <w:ind w:left="720"/>
      </w:pPr>
      <w:r>
        <w:t>(e) appropriate medical treatment is available for the patient (proposed new section 20(4), Clause 3 and 4 of the Draft Bill)</w:t>
      </w:r>
    </w:p>
    <w:p w14:paraId="0E6E4551" w14:textId="659AB74E" w:rsidR="00BB0353" w:rsidRDefault="00BB0353" w:rsidP="006F07EF">
      <w:pPr>
        <w:spacing w:line="276" w:lineRule="auto"/>
      </w:pPr>
      <w:r>
        <w:t>The</w:t>
      </w:r>
      <w:r w:rsidR="00DC6954">
        <w:t xml:space="preserve">se criteria are more stringent than the current s.72(1)(b) as they would require Tribunals to be satisfied that treatment is necessary to avoid </w:t>
      </w:r>
      <w:r w:rsidR="00706F58">
        <w:t>'</w:t>
      </w:r>
      <w:r w:rsidR="00DC6954">
        <w:t>serious harm</w:t>
      </w:r>
      <w:r w:rsidR="00706F58">
        <w:t>’</w:t>
      </w:r>
      <w:r w:rsidR="00DC6954">
        <w:t xml:space="preserve"> to the patient or </w:t>
      </w:r>
      <w:r w:rsidR="00706F58">
        <w:t xml:space="preserve">to </w:t>
      </w:r>
      <w:r w:rsidR="00DC6954">
        <w:t xml:space="preserve">others, whereas the current criteria merely require treatment to be ‘necessary for the health or safety of the patient or for the protection of other persons’. </w:t>
      </w:r>
      <w:r w:rsidR="005E7ED5">
        <w:t>The wording of the Draft Bill is</w:t>
      </w:r>
      <w:r w:rsidR="00706F58">
        <w:t xml:space="preserve"> opaque, however, as it</w:t>
      </w:r>
      <w:r w:rsidR="005E7ED5">
        <w:t xml:space="preserve"> does not specify</w:t>
      </w:r>
      <w:r w:rsidR="00706F58">
        <w:t xml:space="preserve"> how likely the harm should be</w:t>
      </w:r>
      <w:r w:rsidR="000431FC">
        <w:t xml:space="preserve"> before detention for treatment is necessary. Should it be almost certain to occur, or</w:t>
      </w:r>
      <w:r w:rsidR="00706F58">
        <w:t xml:space="preserve"> more likely than not</w:t>
      </w:r>
      <w:r w:rsidR="000431FC">
        <w:t>?</w:t>
      </w:r>
      <w:r w:rsidR="00706F58">
        <w:t xml:space="preserve"> </w:t>
      </w:r>
      <w:r w:rsidR="000431FC">
        <w:t>Furthermore, as is the case under the current Act, the proposals give no further guidance on how the broad terms of ‘nature’, ‘degree’, ‘health’ and ‘safety’ are to be interpreted.</w:t>
      </w:r>
    </w:p>
    <w:p w14:paraId="4877E3C1" w14:textId="4C9A924F" w:rsidR="00CB3D52" w:rsidRDefault="00B56213" w:rsidP="006F07EF">
      <w:pPr>
        <w:spacing w:line="276" w:lineRule="auto"/>
      </w:pPr>
      <w:r>
        <w:t>T</w:t>
      </w:r>
      <w:r w:rsidR="00033C1E" w:rsidRPr="00033C1E">
        <w:t xml:space="preserve">he </w:t>
      </w:r>
      <w:r w:rsidR="006A53DF">
        <w:t xml:space="preserve">proposed </w:t>
      </w:r>
      <w:r w:rsidR="00033C1E" w:rsidRPr="00033C1E">
        <w:t xml:space="preserve">changes to the ‘appropriate medical treatment’ test in the </w:t>
      </w:r>
      <w:r w:rsidR="00033C1E">
        <w:t>Draft Bill</w:t>
      </w:r>
      <w:r w:rsidR="00033C1E" w:rsidRPr="00033C1E">
        <w:t xml:space="preserve"> </w:t>
      </w:r>
      <w:r w:rsidR="006A53DF">
        <w:t>are light touch</w:t>
      </w:r>
      <w:r w:rsidR="00033C1E" w:rsidRPr="00033C1E">
        <w:t>. The</w:t>
      </w:r>
      <w:r w:rsidR="00AF6D42">
        <w:t xml:space="preserve"> definition of ‘appropriate medical treatment’ in the Bill is almost</w:t>
      </w:r>
      <w:r w:rsidR="00033C1E" w:rsidRPr="00033C1E">
        <w:t xml:space="preserve"> identical to the current</w:t>
      </w:r>
      <w:r w:rsidR="004569F3">
        <w:t xml:space="preserve"> definition in the Act. The only difference is that ‘reasonable prospect’ has replaced ‘purpose’</w:t>
      </w:r>
      <w:r w:rsidR="00CB3D52">
        <w:t xml:space="preserve">. This means that a person detained under Part III of the MHA 1983 would have to be discharged (conditionally or absolutely) if the Tribunal was </w:t>
      </w:r>
      <w:r w:rsidR="00CB3D52" w:rsidRPr="0013158D">
        <w:rPr>
          <w:i/>
          <w:iCs/>
        </w:rPr>
        <w:t>not</w:t>
      </w:r>
      <w:r w:rsidR="00CB3D52">
        <w:t xml:space="preserve"> satisfied that appropriate medical treatment was available and that this</w:t>
      </w:r>
      <w:r w:rsidR="004569F3">
        <w:t xml:space="preserve"> would have ‘</w:t>
      </w:r>
      <w:r w:rsidR="00AF6D42" w:rsidRPr="00AF6D42">
        <w:t>a reasonable prospect of alleviating, or preventing the worsening of, the disorder or one or more of its symptoms or manifestations</w:t>
      </w:r>
      <w:r w:rsidR="004569F3">
        <w:t>’.</w:t>
      </w:r>
      <w:r w:rsidR="00AF6D42" w:rsidRPr="00AF6D42">
        <w:t xml:space="preserve"> </w:t>
      </w:r>
    </w:p>
    <w:p w14:paraId="0E826A78" w14:textId="137AD0A0" w:rsidR="00253100" w:rsidRDefault="004569F3" w:rsidP="006F07EF">
      <w:pPr>
        <w:pStyle w:val="Default"/>
        <w:spacing w:after="120" w:line="276" w:lineRule="auto"/>
        <w:jc w:val="both"/>
        <w:rPr>
          <w:rFonts w:ascii="Times New Roman" w:hAnsi="Times New Roman" w:cs="Times New Roman"/>
        </w:rPr>
      </w:pPr>
      <w:r w:rsidRPr="003B5D84">
        <w:t xml:space="preserve">While ‘purpose’ </w:t>
      </w:r>
      <w:r w:rsidR="00CB3D52" w:rsidRPr="003B5D84">
        <w:t xml:space="preserve">in the current Act does </w:t>
      </w:r>
      <w:r w:rsidR="00033C1E" w:rsidRPr="003B5D84">
        <w:t>not seem to require much more than hope that the treatment</w:t>
      </w:r>
      <w:r w:rsidR="00CB3D52" w:rsidRPr="003B5D84">
        <w:t xml:space="preserve"> will have the desired effect,</w:t>
      </w:r>
      <w:r w:rsidR="00033C1E" w:rsidRPr="003B5D84">
        <w:t xml:space="preserve"> </w:t>
      </w:r>
      <w:r w:rsidRPr="003B5D84">
        <w:t xml:space="preserve">‘reasonable prospect’ would seem to require an evaluation of the likelihood of treatment having </w:t>
      </w:r>
      <w:r w:rsidR="00CB3D52" w:rsidRPr="003B5D84">
        <w:t>such an</w:t>
      </w:r>
      <w:r w:rsidRPr="003B5D84">
        <w:t xml:space="preserve"> effect. This, however, falls short of the requirement for a ‘therapeutic benefit’ proposed by </w:t>
      </w:r>
      <w:r w:rsidR="00E119F1" w:rsidRPr="003B5D84">
        <w:t xml:space="preserve">the </w:t>
      </w:r>
      <w:proofErr w:type="spellStart"/>
      <w:r w:rsidRPr="003B5D84">
        <w:t>Wessely</w:t>
      </w:r>
      <w:proofErr w:type="spellEnd"/>
      <w:r w:rsidR="00E119F1" w:rsidRPr="003B5D84">
        <w:t xml:space="preserve"> Review, where ‘benefit’ ‘would include contributing to the patient’s discharge, and not solely to public safety’</w:t>
      </w:r>
      <w:r w:rsidR="00F537BD" w:rsidRPr="003B5D84">
        <w:t xml:space="preserve"> </w:t>
      </w:r>
      <w:r w:rsidR="00F537BD" w:rsidRPr="003B5D84">
        <w:rPr>
          <w:noProof/>
        </w:rPr>
        <w:t>(Department of Health and Social Care, 2018, p. 113)</w:t>
      </w:r>
      <w:r w:rsidR="00E119F1" w:rsidRPr="003B5D84">
        <w:t>.</w:t>
      </w:r>
      <w:r w:rsidR="000D5BCA">
        <w:t xml:space="preserve"> </w:t>
      </w:r>
      <w:r w:rsidR="006F603D">
        <w:t xml:space="preserve">The </w:t>
      </w:r>
      <w:proofErr w:type="spellStart"/>
      <w:r w:rsidR="006F603D">
        <w:t>Wessely</w:t>
      </w:r>
      <w:proofErr w:type="spellEnd"/>
      <w:r w:rsidR="006F603D">
        <w:t xml:space="preserve"> Review’s interpretation</w:t>
      </w:r>
      <w:r w:rsidR="000D5BCA">
        <w:t xml:space="preserve"> of ‘treatment benefit’</w:t>
      </w:r>
      <w:r w:rsidR="000D5BCA" w:rsidRPr="000D5BCA">
        <w:t xml:space="preserve"> would fit better with the ECtHR’s insistence on measures to prepare detainees for discharge in </w:t>
      </w:r>
      <w:proofErr w:type="spellStart"/>
      <w:r w:rsidR="000D5BCA" w:rsidRPr="000D5BCA">
        <w:rPr>
          <w:i/>
          <w:iCs/>
        </w:rPr>
        <w:t>Rooman</w:t>
      </w:r>
      <w:proofErr w:type="spellEnd"/>
      <w:r w:rsidR="000D5BCA" w:rsidRPr="000D5BCA">
        <w:t>.</w:t>
      </w:r>
      <w:r w:rsidR="003B5D84" w:rsidRPr="000D5BCA">
        <w:t xml:space="preserve"> </w:t>
      </w:r>
      <w:r w:rsidR="00401511">
        <w:rPr>
          <w:rFonts w:ascii="Times New Roman" w:hAnsi="Times New Roman" w:cs="Times New Roman"/>
        </w:rPr>
        <w:t>T</w:t>
      </w:r>
      <w:r w:rsidR="00727CBB">
        <w:rPr>
          <w:rFonts w:ascii="Times New Roman" w:hAnsi="Times New Roman" w:cs="Times New Roman"/>
        </w:rPr>
        <w:t xml:space="preserve">he Government </w:t>
      </w:r>
      <w:r w:rsidR="00401511">
        <w:rPr>
          <w:rFonts w:ascii="Times New Roman" w:hAnsi="Times New Roman" w:cs="Times New Roman"/>
        </w:rPr>
        <w:t>may</w:t>
      </w:r>
      <w:r w:rsidR="000D5BCA">
        <w:rPr>
          <w:rFonts w:ascii="Times New Roman" w:hAnsi="Times New Roman" w:cs="Times New Roman"/>
        </w:rPr>
        <w:t>, however,</w:t>
      </w:r>
      <w:r w:rsidR="00401511">
        <w:rPr>
          <w:rFonts w:ascii="Times New Roman" w:hAnsi="Times New Roman" w:cs="Times New Roman"/>
        </w:rPr>
        <w:t xml:space="preserve"> be</w:t>
      </w:r>
      <w:r w:rsidR="00727CBB">
        <w:rPr>
          <w:rFonts w:ascii="Times New Roman" w:hAnsi="Times New Roman" w:cs="Times New Roman"/>
        </w:rPr>
        <w:t xml:space="preserve"> reluctant to re-ignite the concerns that resulted in the </w:t>
      </w:r>
      <w:r w:rsidR="003B5D84">
        <w:rPr>
          <w:rFonts w:ascii="Times New Roman" w:hAnsi="Times New Roman" w:cs="Times New Roman"/>
        </w:rPr>
        <w:t xml:space="preserve">watering </w:t>
      </w:r>
      <w:r w:rsidR="003B5D84">
        <w:rPr>
          <w:rFonts w:ascii="Times New Roman" w:hAnsi="Times New Roman" w:cs="Times New Roman"/>
        </w:rPr>
        <w:lastRenderedPageBreak/>
        <w:t xml:space="preserve">down </w:t>
      </w:r>
      <w:r w:rsidR="00727CBB">
        <w:rPr>
          <w:rFonts w:ascii="Times New Roman" w:hAnsi="Times New Roman" w:cs="Times New Roman"/>
        </w:rPr>
        <w:t xml:space="preserve">of the </w:t>
      </w:r>
      <w:r w:rsidR="003B5D84">
        <w:rPr>
          <w:rFonts w:ascii="Times New Roman" w:hAnsi="Times New Roman" w:cs="Times New Roman"/>
        </w:rPr>
        <w:t>old ‘</w:t>
      </w:r>
      <w:r w:rsidR="00727CBB">
        <w:rPr>
          <w:rFonts w:ascii="Times New Roman" w:hAnsi="Times New Roman" w:cs="Times New Roman"/>
        </w:rPr>
        <w:t>treatability</w:t>
      </w:r>
      <w:r w:rsidR="003B5D84">
        <w:rPr>
          <w:rFonts w:ascii="Times New Roman" w:hAnsi="Times New Roman" w:cs="Times New Roman"/>
        </w:rPr>
        <w:t>’</w:t>
      </w:r>
      <w:r w:rsidR="00727CBB">
        <w:rPr>
          <w:rFonts w:ascii="Times New Roman" w:hAnsi="Times New Roman" w:cs="Times New Roman"/>
        </w:rPr>
        <w:t xml:space="preserve"> test. Given the limited evidence for the effectiveness of treatments for ASPD</w:t>
      </w:r>
      <w:r w:rsidR="00FD5928">
        <w:rPr>
          <w:rFonts w:ascii="Times New Roman" w:hAnsi="Times New Roman" w:cs="Times New Roman"/>
        </w:rPr>
        <w:t xml:space="preserve">, </w:t>
      </w:r>
      <w:r w:rsidR="00727CBB">
        <w:rPr>
          <w:rFonts w:ascii="Times New Roman" w:hAnsi="Times New Roman" w:cs="Times New Roman"/>
        </w:rPr>
        <w:t xml:space="preserve">a more robust </w:t>
      </w:r>
      <w:r w:rsidR="00CF5DA1">
        <w:rPr>
          <w:rFonts w:ascii="Times New Roman" w:hAnsi="Times New Roman" w:cs="Times New Roman"/>
        </w:rPr>
        <w:t xml:space="preserve">therapeutic benefit </w:t>
      </w:r>
      <w:r w:rsidR="00727CBB">
        <w:rPr>
          <w:rFonts w:ascii="Times New Roman" w:hAnsi="Times New Roman" w:cs="Times New Roman"/>
        </w:rPr>
        <w:t xml:space="preserve">test could run the risk of limiting </w:t>
      </w:r>
      <w:r w:rsidR="00CF5DA1">
        <w:rPr>
          <w:rFonts w:ascii="Times New Roman" w:hAnsi="Times New Roman" w:cs="Times New Roman"/>
        </w:rPr>
        <w:t xml:space="preserve">public protection </w:t>
      </w:r>
      <w:r w:rsidR="00727CBB">
        <w:rPr>
          <w:rFonts w:ascii="Times New Roman" w:hAnsi="Times New Roman" w:cs="Times New Roman"/>
        </w:rPr>
        <w:t>powers.</w:t>
      </w:r>
    </w:p>
    <w:p w14:paraId="3C3B3E55" w14:textId="77777777" w:rsidR="00C752E0" w:rsidRDefault="00C752E0" w:rsidP="006F07EF">
      <w:pPr>
        <w:spacing w:line="276" w:lineRule="auto"/>
      </w:pPr>
    </w:p>
    <w:p w14:paraId="47D31A52" w14:textId="77777777" w:rsidR="00AD6773" w:rsidRDefault="00AD6773" w:rsidP="006F07EF">
      <w:pPr>
        <w:spacing w:line="276" w:lineRule="auto"/>
        <w:rPr>
          <w:b/>
          <w:bCs/>
        </w:rPr>
      </w:pPr>
      <w:r>
        <w:rPr>
          <w:b/>
          <w:bCs/>
        </w:rPr>
        <w:t>P</w:t>
      </w:r>
      <w:r w:rsidRPr="002F7400">
        <w:rPr>
          <w:b/>
          <w:bCs/>
        </w:rPr>
        <w:t>ersonality disorder</w:t>
      </w:r>
      <w:r w:rsidR="00CE4D30">
        <w:rPr>
          <w:b/>
          <w:bCs/>
        </w:rPr>
        <w:t xml:space="preserve"> and</w:t>
      </w:r>
      <w:r w:rsidR="00AC699D">
        <w:rPr>
          <w:b/>
          <w:bCs/>
        </w:rPr>
        <w:t xml:space="preserve"> criminal law</w:t>
      </w:r>
    </w:p>
    <w:p w14:paraId="138BA8CD" w14:textId="2D827B9B" w:rsidR="00F265D3" w:rsidRDefault="006127C7" w:rsidP="006F07EF">
      <w:pPr>
        <w:spacing w:line="276" w:lineRule="auto"/>
      </w:pPr>
      <w:r>
        <w:t>T</w:t>
      </w:r>
      <w:r w:rsidR="002E3006">
        <w:t xml:space="preserve">he mental state of a person with personality disorder whose behaviour poses a risk to him or herself </w:t>
      </w:r>
      <w:r w:rsidR="00F265D3">
        <w:t>or</w:t>
      </w:r>
      <w:r w:rsidR="002E3006">
        <w:t xml:space="preserve"> to others can </w:t>
      </w:r>
      <w:r w:rsidR="008E0947">
        <w:t>‘</w:t>
      </w:r>
      <w:r w:rsidR="002E3006">
        <w:t>at one and the same time [be] deemed to meet the conditions required for criminal responsibility, and to warrant involuntary hospital admission</w:t>
      </w:r>
      <w:r w:rsidR="008E0947">
        <w:t>’</w:t>
      </w:r>
      <w:r w:rsidR="002E3006">
        <w:t xml:space="preserve"> </w:t>
      </w:r>
      <w:r w:rsidR="002E3006" w:rsidRPr="000A67C6">
        <w:rPr>
          <w:noProof/>
        </w:rPr>
        <w:t>(Pickard, 2015, p. 16)</w:t>
      </w:r>
      <w:r w:rsidR="002E3006">
        <w:t xml:space="preserve">. </w:t>
      </w:r>
      <w:r w:rsidR="003866EE">
        <w:t xml:space="preserve">As </w:t>
      </w:r>
      <w:r>
        <w:t xml:space="preserve">Hannah </w:t>
      </w:r>
      <w:r w:rsidR="003866EE">
        <w:t xml:space="preserve">Pickard </w:t>
      </w:r>
      <w:r w:rsidR="00F265D3">
        <w:t>(</w:t>
      </w:r>
      <w:r w:rsidR="00F265D3" w:rsidRPr="000A67C6">
        <w:rPr>
          <w:noProof/>
        </w:rPr>
        <w:t>2015, p. 16)</w:t>
      </w:r>
      <w:r w:rsidR="00F265D3">
        <w:t xml:space="preserve"> </w:t>
      </w:r>
      <w:r w:rsidR="003866EE">
        <w:t xml:space="preserve">argues, it is difficult to avoid the feeling that a person in this position </w:t>
      </w:r>
    </w:p>
    <w:p w14:paraId="4C5407EE" w14:textId="7F8FF002" w:rsidR="00F265D3" w:rsidRDefault="003866EE" w:rsidP="00F265D3">
      <w:pPr>
        <w:spacing w:line="276" w:lineRule="auto"/>
        <w:ind w:left="720"/>
      </w:pPr>
      <w:r>
        <w:t xml:space="preserve">gets a raw deal. For, whichever way he turns, he is subjected to the strong arm of the law — deemed sufficiently mentally well to be punished for his crimes, but not deemed sufficiently mentally well to retain the right to make his own decisions about matters of serious importance to his own life, including whether or not to continue </w:t>
      </w:r>
      <w:proofErr w:type="gramStart"/>
      <w:r>
        <w:t>it</w:t>
      </w:r>
      <w:proofErr w:type="gramEnd"/>
      <w:r w:rsidRPr="000A67C6">
        <w:rPr>
          <w:noProof/>
        </w:rPr>
        <w:t xml:space="preserve"> </w:t>
      </w:r>
    </w:p>
    <w:p w14:paraId="08A594A8" w14:textId="0AF20A46" w:rsidR="000E2FB4" w:rsidRDefault="005E401F" w:rsidP="006F07EF">
      <w:pPr>
        <w:spacing w:line="276" w:lineRule="auto"/>
      </w:pPr>
      <w:r>
        <w:t xml:space="preserve">In addition, while individuals with personality disorder </w:t>
      </w:r>
      <w:r w:rsidR="000E2FB4">
        <w:t>often do not benefit from the protections offered by the law to those who are deemed insane</w:t>
      </w:r>
      <w:r w:rsidR="001F0B1A">
        <w:t>,</w:t>
      </w:r>
      <w:r w:rsidR="000E2FB4">
        <w:t xml:space="preserve"> they can</w:t>
      </w:r>
      <w:r>
        <w:t xml:space="preserve"> nevertheless</w:t>
      </w:r>
      <w:r w:rsidR="000E2FB4">
        <w:t xml:space="preserve"> be</w:t>
      </w:r>
      <w:r>
        <w:t xml:space="preserve"> detained in hospital </w:t>
      </w:r>
      <w:r w:rsidR="000E2FB4">
        <w:t>under the MHA 1983 on the grounds that they have a mental disorder and pose a risk to others</w:t>
      </w:r>
      <w:r w:rsidR="00D413C4">
        <w:t xml:space="preserve"> </w:t>
      </w:r>
      <w:r w:rsidR="00D413C4" w:rsidRPr="00076661">
        <w:rPr>
          <w:noProof/>
        </w:rPr>
        <w:t>(Peay, 2011</w:t>
      </w:r>
      <w:r w:rsidR="000C06F6">
        <w:rPr>
          <w:noProof/>
        </w:rPr>
        <w:t>a</w:t>
      </w:r>
      <w:r w:rsidR="00D413C4" w:rsidRPr="00076661">
        <w:rPr>
          <w:noProof/>
        </w:rPr>
        <w:t>, p. 232)</w:t>
      </w:r>
      <w:r w:rsidR="000E2FB4">
        <w:t>.</w:t>
      </w:r>
      <w:r w:rsidR="008226A6">
        <w:t xml:space="preserve"> </w:t>
      </w:r>
      <w:r w:rsidR="000E2FB4">
        <w:t xml:space="preserve">The reasons behind and the implications of these </w:t>
      </w:r>
      <w:r w:rsidR="00C71AA0">
        <w:t xml:space="preserve">seeming </w:t>
      </w:r>
      <w:r w:rsidR="000E2FB4">
        <w:t>paradoxes are examined below.</w:t>
      </w:r>
    </w:p>
    <w:p w14:paraId="36B0AC32" w14:textId="77777777" w:rsidR="00295C80" w:rsidRDefault="001D7315" w:rsidP="006F07EF">
      <w:pPr>
        <w:spacing w:line="276" w:lineRule="auto"/>
      </w:pPr>
      <w:r>
        <w:t>As Pickard</w:t>
      </w:r>
      <w:r w:rsidR="002331A4">
        <w:t xml:space="preserve"> (2015)</w:t>
      </w:r>
      <w:r>
        <w:t xml:space="preserve"> acknowledges,</w:t>
      </w:r>
      <w:r w:rsidR="00DA5A2C">
        <w:t xml:space="preserve"> the purposes and rationales of</w:t>
      </w:r>
      <w:r>
        <w:t xml:space="preserve"> </w:t>
      </w:r>
      <w:r w:rsidR="005C2A99">
        <w:t xml:space="preserve">civil and criminal law </w:t>
      </w:r>
      <w:r w:rsidR="00DA5A2C">
        <w:t>are distinct</w:t>
      </w:r>
      <w:r>
        <w:t xml:space="preserve">. </w:t>
      </w:r>
      <w:r w:rsidR="00694303">
        <w:t>The MHA 1983</w:t>
      </w:r>
      <w:r w:rsidR="00522725">
        <w:t xml:space="preserve"> </w:t>
      </w:r>
      <w:r w:rsidR="00747563">
        <w:t xml:space="preserve">is highly </w:t>
      </w:r>
      <w:proofErr w:type="gramStart"/>
      <w:r w:rsidR="00747563">
        <w:t>paternalistic, and</w:t>
      </w:r>
      <w:proofErr w:type="gramEnd"/>
      <w:r w:rsidR="00694303">
        <w:t xml:space="preserve"> </w:t>
      </w:r>
      <w:r w:rsidR="00FA5926">
        <w:t>aims</w:t>
      </w:r>
      <w:r w:rsidR="00694303">
        <w:t xml:space="preserve"> </w:t>
      </w:r>
      <w:r w:rsidR="00FA5926">
        <w:t>to</w:t>
      </w:r>
      <w:r w:rsidR="00694303">
        <w:t xml:space="preserve"> pr</w:t>
      </w:r>
      <w:r w:rsidR="00CD7284">
        <w:t>event</w:t>
      </w:r>
      <w:r w:rsidR="00694303">
        <w:t xml:space="preserve"> people</w:t>
      </w:r>
      <w:r w:rsidR="003E1D7B">
        <w:t xml:space="preserve"> with mental disorder</w:t>
      </w:r>
      <w:r w:rsidR="00694303">
        <w:t xml:space="preserve"> from harming themselves </w:t>
      </w:r>
      <w:r w:rsidR="00CD7284">
        <w:t>or others</w:t>
      </w:r>
      <w:r w:rsidR="00694303">
        <w:t>.</w:t>
      </w:r>
      <w:r w:rsidR="007521FA">
        <w:t xml:space="preserve"> Treatment choices are at the discretion of the treating clinician, and treatment </w:t>
      </w:r>
      <w:r w:rsidR="002331A4">
        <w:t xml:space="preserve">for mental disorder </w:t>
      </w:r>
      <w:r w:rsidR="007521FA">
        <w:t xml:space="preserve">can be </w:t>
      </w:r>
      <w:r w:rsidR="005638B3">
        <w:t>impose</w:t>
      </w:r>
      <w:r w:rsidR="007521FA">
        <w:t>d</w:t>
      </w:r>
      <w:r w:rsidR="005638B3">
        <w:t xml:space="preserve"> on a detained person without their consent</w:t>
      </w:r>
      <w:r w:rsidR="00295C80">
        <w:t xml:space="preserve"> under section 63 of the</w:t>
      </w:r>
      <w:r w:rsidR="00295C80" w:rsidRPr="00295C80">
        <w:t xml:space="preserve"> </w:t>
      </w:r>
      <w:r w:rsidR="00295C80">
        <w:t>MHA 1983</w:t>
      </w:r>
      <w:r w:rsidR="007521FA">
        <w:t>, even if they have capacity</w:t>
      </w:r>
      <w:r w:rsidR="002F309C">
        <w:t xml:space="preserve"> </w:t>
      </w:r>
      <w:r w:rsidR="002331A4">
        <w:t xml:space="preserve">to refuse treatment </w:t>
      </w:r>
      <w:r w:rsidR="00295C80">
        <w:t>under the Mental Capacity Act (MCA) 2005</w:t>
      </w:r>
      <w:r w:rsidR="00694303">
        <w:t>.</w:t>
      </w:r>
      <w:r w:rsidR="002F309C">
        <w:rPr>
          <w:rStyle w:val="FootnoteReference"/>
        </w:rPr>
        <w:footnoteReference w:id="6"/>
      </w:r>
      <w:r w:rsidR="00694303">
        <w:t xml:space="preserve"> </w:t>
      </w:r>
    </w:p>
    <w:p w14:paraId="1321DD1D" w14:textId="2CF89C01" w:rsidR="00694303" w:rsidRDefault="00694303" w:rsidP="006F07EF">
      <w:pPr>
        <w:spacing w:line="276" w:lineRule="auto"/>
      </w:pPr>
      <w:r>
        <w:t xml:space="preserve">Treatment for personality disorder </w:t>
      </w:r>
      <w:r w:rsidR="00851E10">
        <w:t>is</w:t>
      </w:r>
      <w:r>
        <w:t xml:space="preserve"> construed in a broad sense. It includes force-feeding </w:t>
      </w:r>
      <w:r w:rsidR="00851E10">
        <w:t>where this is</w:t>
      </w:r>
      <w:r>
        <w:t xml:space="preserve"> concurrent </w:t>
      </w:r>
      <w:r w:rsidR="00851E10">
        <w:t xml:space="preserve">with </w:t>
      </w:r>
      <w:r>
        <w:t>or a necessary pre-requisite to treatment for mental disorder (</w:t>
      </w:r>
      <w:r w:rsidRPr="000A0198">
        <w:rPr>
          <w:i/>
        </w:rPr>
        <w:t>B v. Croydon Health Authority</w:t>
      </w:r>
      <w:r w:rsidR="008567FA">
        <w:t xml:space="preserve">, </w:t>
      </w:r>
      <w:r w:rsidRPr="000A0198">
        <w:t>1995</w:t>
      </w:r>
      <w:r>
        <w:t>)</w:t>
      </w:r>
      <w:r w:rsidR="00851E10">
        <w:t>,</w:t>
      </w:r>
      <w:r>
        <w:t xml:space="preserve"> or where a hunger strike is a symptom or manifestation of personality disorder (</w:t>
      </w:r>
      <w:r w:rsidRPr="000A0198">
        <w:rPr>
          <w:i/>
        </w:rPr>
        <w:t>R v. Collins, ex p Brady</w:t>
      </w:r>
      <w:r w:rsidR="008567FA">
        <w:t xml:space="preserve">, </w:t>
      </w:r>
      <w:r w:rsidRPr="000A0198">
        <w:t>2001</w:t>
      </w:r>
      <w:r>
        <w:t>).</w:t>
      </w:r>
      <w:r w:rsidR="00DF0DA7">
        <w:t xml:space="preserve"> More recently,</w:t>
      </w:r>
      <w:r w:rsidR="00547146">
        <w:t xml:space="preserve"> kidney dialysis was held to be treatment ‘for’ </w:t>
      </w:r>
      <w:r w:rsidR="00276DCA">
        <w:t xml:space="preserve">a </w:t>
      </w:r>
      <w:r w:rsidR="00547146">
        <w:t xml:space="preserve">personality disorder as the person’s physical condition and his </w:t>
      </w:r>
      <w:r w:rsidR="00C57019">
        <w:t>non-compliance with</w:t>
      </w:r>
      <w:r w:rsidR="00AD6F7B">
        <w:t xml:space="preserve"> treatment </w:t>
      </w:r>
      <w:r w:rsidR="00547146">
        <w:t>were both</w:t>
      </w:r>
      <w:r w:rsidR="001004D5">
        <w:t xml:space="preserve"> held to be</w:t>
      </w:r>
      <w:r w:rsidR="00547146">
        <w:t xml:space="preserve"> </w:t>
      </w:r>
      <w:r w:rsidR="001004D5">
        <w:t>‘</w:t>
      </w:r>
      <w:r w:rsidR="00DF0DA7">
        <w:t>manifestation</w:t>
      </w:r>
      <w:r w:rsidR="00547146">
        <w:t>s</w:t>
      </w:r>
      <w:r w:rsidR="001004D5">
        <w:t>’</w:t>
      </w:r>
      <w:r w:rsidR="00DF0DA7">
        <w:t xml:space="preserve"> of </w:t>
      </w:r>
      <w:r w:rsidR="00BD6F06">
        <w:t>his personality</w:t>
      </w:r>
      <w:r w:rsidR="00DF0DA7">
        <w:t xml:space="preserve"> disorder (</w:t>
      </w:r>
      <w:r w:rsidR="00BD6F06" w:rsidRPr="00BD6F06">
        <w:rPr>
          <w:i/>
          <w:iCs/>
        </w:rPr>
        <w:t>A Healthcare v</w:t>
      </w:r>
      <w:r w:rsidR="00BD6F06">
        <w:t>.</w:t>
      </w:r>
      <w:r w:rsidR="00BD6F06" w:rsidRPr="00BD6F06">
        <w:rPr>
          <w:i/>
          <w:iCs/>
        </w:rPr>
        <w:t xml:space="preserve"> CC</w:t>
      </w:r>
      <w:r w:rsidR="008567FA">
        <w:t xml:space="preserve">, </w:t>
      </w:r>
      <w:r w:rsidR="00DF0DA7" w:rsidRPr="00DF0DA7">
        <w:t>2020</w:t>
      </w:r>
      <w:r w:rsidR="00BD6F06">
        <w:t xml:space="preserve">). </w:t>
      </w:r>
    </w:p>
    <w:p w14:paraId="7DBF8213" w14:textId="4D791DFD" w:rsidR="00522725" w:rsidRDefault="00522725" w:rsidP="006F07EF">
      <w:pPr>
        <w:spacing w:line="276" w:lineRule="auto"/>
      </w:pPr>
      <w:r>
        <w:t>The MCA 2005</w:t>
      </w:r>
      <w:r w:rsidR="00ED42F0">
        <w:t>, by contrast,</w:t>
      </w:r>
      <w:r>
        <w:t xml:space="preserve"> seeks to </w:t>
      </w:r>
      <w:r w:rsidRPr="00672731">
        <w:rPr>
          <w:i/>
          <w:iCs/>
        </w:rPr>
        <w:t>maximise</w:t>
      </w:r>
      <w:r>
        <w:t xml:space="preserve"> a person’s ability to make their own decisions </w:t>
      </w:r>
      <w:r w:rsidR="00ED42F0">
        <w:t xml:space="preserve">about medical treatment </w:t>
      </w:r>
      <w:r w:rsidRPr="006E7F7D">
        <w:rPr>
          <w:noProof/>
        </w:rPr>
        <w:t>(Department for Constitutional Affairs, 2007, pp. 19–20)</w:t>
      </w:r>
      <w:r>
        <w:t>. The threshold for someone to lack capacity under the MCA 2005 is therefore relatively high. People diagnosed with personality disorder</w:t>
      </w:r>
      <w:r w:rsidRPr="00047131">
        <w:t xml:space="preserve"> tend to be</w:t>
      </w:r>
      <w:r>
        <w:rPr>
          <w:b/>
          <w:bCs/>
        </w:rPr>
        <w:t xml:space="preserve"> </w:t>
      </w:r>
      <w:r>
        <w:t>found to have capacity under the MCA 2005.</w:t>
      </w:r>
      <w:r w:rsidRPr="000A0198">
        <w:t xml:space="preserve"> </w:t>
      </w:r>
      <w:r>
        <w:t xml:space="preserve">Indeed, </w:t>
      </w:r>
      <w:r w:rsidRPr="000A0198">
        <w:t xml:space="preserve">94% of patients and prisoners on the DSPD programme </w:t>
      </w:r>
      <w:r>
        <w:t xml:space="preserve">were found to </w:t>
      </w:r>
      <w:r w:rsidRPr="000A0198">
        <w:t>ha</w:t>
      </w:r>
      <w:r>
        <w:t>ve</w:t>
      </w:r>
      <w:r w:rsidRPr="000A0198">
        <w:t xml:space="preserve"> capacity to consent to treatment (Burns </w:t>
      </w:r>
      <w:r w:rsidRPr="000A0198">
        <w:rPr>
          <w:i/>
        </w:rPr>
        <w:t>et al.</w:t>
      </w:r>
      <w:r w:rsidRPr="000A0198">
        <w:t xml:space="preserve"> 2011, p. 93).</w:t>
      </w:r>
      <w:r>
        <w:t xml:space="preserve"> </w:t>
      </w:r>
    </w:p>
    <w:p w14:paraId="152C4E58" w14:textId="6D5FCE09" w:rsidR="0045157F" w:rsidRPr="00B806E9" w:rsidRDefault="00B863B0" w:rsidP="006F07EF">
      <w:pPr>
        <w:spacing w:line="276" w:lineRule="auto"/>
        <w:rPr>
          <w:bCs/>
        </w:rPr>
      </w:pPr>
      <w:r>
        <w:lastRenderedPageBreak/>
        <w:t>Conversely</w:t>
      </w:r>
      <w:r w:rsidR="00522725">
        <w:t>, t</w:t>
      </w:r>
      <w:r w:rsidR="00D32786">
        <w:t>he</w:t>
      </w:r>
      <w:r w:rsidR="003E3D24">
        <w:t xml:space="preserve"> criminal law</w:t>
      </w:r>
      <w:r w:rsidR="007042AC">
        <w:t xml:space="preserve"> has been shaped by a judicial desire to</w:t>
      </w:r>
      <w:r w:rsidR="003E3D24">
        <w:t xml:space="preserve"> </w:t>
      </w:r>
      <w:r w:rsidR="003E3D24" w:rsidRPr="00672731">
        <w:rPr>
          <w:i/>
          <w:iCs/>
        </w:rPr>
        <w:t>minimise</w:t>
      </w:r>
      <w:r w:rsidR="003E3D24">
        <w:t xml:space="preserve"> </w:t>
      </w:r>
      <w:r w:rsidR="00A960ED">
        <w:t>findings of non-responsibility</w:t>
      </w:r>
      <w:r w:rsidR="007042AC">
        <w:t xml:space="preserve"> and to resist challenges to the criminal law’s authority to punish </w:t>
      </w:r>
      <w:r w:rsidR="007042AC" w:rsidRPr="007042AC">
        <w:rPr>
          <w:noProof/>
        </w:rPr>
        <w:t>(Eigen, 1995; Wiener, 2003; Loughnan and Ward, 2014)</w:t>
      </w:r>
      <w:r w:rsidR="00672731">
        <w:t xml:space="preserve">. </w:t>
      </w:r>
      <w:r w:rsidR="0045157F">
        <w:t>While a</w:t>
      </w:r>
      <w:r w:rsidR="0045157F" w:rsidRPr="000A0198">
        <w:t xml:space="preserve"> personality disorder may </w:t>
      </w:r>
      <w:r w:rsidR="00ED42F0">
        <w:t>constitute</w:t>
      </w:r>
      <w:r w:rsidR="0045157F" w:rsidRPr="000A0198">
        <w:t xml:space="preserve"> a </w:t>
      </w:r>
      <w:r w:rsidR="008E0947">
        <w:t>‘</w:t>
      </w:r>
      <w:r w:rsidR="0045157F" w:rsidRPr="000A0198">
        <w:t>disease of the mind</w:t>
      </w:r>
      <w:r w:rsidR="008E0947">
        <w:t>’</w:t>
      </w:r>
      <w:r w:rsidR="0045157F">
        <w:t xml:space="preserve"> </w:t>
      </w:r>
      <w:r w:rsidR="00642694">
        <w:t>under the</w:t>
      </w:r>
      <w:r w:rsidR="00EE26CC">
        <w:t xml:space="preserve"> rules in </w:t>
      </w:r>
      <w:r w:rsidR="00423CA2">
        <w:rPr>
          <w:i/>
          <w:iCs/>
        </w:rPr>
        <w:t>R.</w:t>
      </w:r>
      <w:r w:rsidR="00EE26CC" w:rsidRPr="009A0886">
        <w:rPr>
          <w:i/>
        </w:rPr>
        <w:t xml:space="preserve"> v. </w:t>
      </w:r>
      <w:proofErr w:type="spellStart"/>
      <w:r w:rsidR="00EE26CC" w:rsidRPr="009A0886">
        <w:rPr>
          <w:i/>
        </w:rPr>
        <w:t>M'Naghten</w:t>
      </w:r>
      <w:proofErr w:type="spellEnd"/>
      <w:r w:rsidR="00EE26CC">
        <w:t xml:space="preserve"> (1843)</w:t>
      </w:r>
      <w:r w:rsidR="00EE26CC" w:rsidRPr="00EE26CC">
        <w:rPr>
          <w:iCs/>
        </w:rPr>
        <w:t xml:space="preserve">, </w:t>
      </w:r>
      <w:r w:rsidR="00642694">
        <w:t>only</w:t>
      </w:r>
      <w:r w:rsidR="00A960ED">
        <w:t xml:space="preserve"> </w:t>
      </w:r>
      <w:r w:rsidR="0045157F">
        <w:t xml:space="preserve">those who did not know the nature </w:t>
      </w:r>
      <w:r w:rsidR="00402C4C">
        <w:t xml:space="preserve">and quality </w:t>
      </w:r>
      <w:r w:rsidR="0045157F">
        <w:t xml:space="preserve">of </w:t>
      </w:r>
      <w:r w:rsidR="00402C4C">
        <w:t>their act</w:t>
      </w:r>
      <w:r w:rsidR="00AB458A">
        <w:t xml:space="preserve"> </w:t>
      </w:r>
      <w:r w:rsidR="0045157F">
        <w:t>and/or</w:t>
      </w:r>
      <w:r w:rsidR="00AB458A">
        <w:t xml:space="preserve"> </w:t>
      </w:r>
      <w:r w:rsidR="0045157F">
        <w:t>that it was legally wrong</w:t>
      </w:r>
      <w:r w:rsidR="00642694">
        <w:t xml:space="preserve"> can be found not guilty by reason of insanity</w:t>
      </w:r>
      <w:r w:rsidR="0045157F">
        <w:t xml:space="preserve"> </w:t>
      </w:r>
      <w:r w:rsidR="00D52D2D">
        <w:t>(</w:t>
      </w:r>
      <w:r w:rsidR="00D639AB" w:rsidRPr="009A0886">
        <w:rPr>
          <w:i/>
        </w:rPr>
        <w:t xml:space="preserve">R. v. </w:t>
      </w:r>
      <w:proofErr w:type="spellStart"/>
      <w:r w:rsidR="00D639AB" w:rsidRPr="009A0886">
        <w:rPr>
          <w:i/>
        </w:rPr>
        <w:t>Codère</w:t>
      </w:r>
      <w:proofErr w:type="spellEnd"/>
      <w:r w:rsidR="00E60629">
        <w:t xml:space="preserve">, </w:t>
      </w:r>
      <w:r w:rsidR="00B806E9">
        <w:rPr>
          <w:bCs/>
        </w:rPr>
        <w:t>1917</w:t>
      </w:r>
      <w:r w:rsidR="00D639AB">
        <w:rPr>
          <w:bCs/>
        </w:rPr>
        <w:t>;</w:t>
      </w:r>
      <w:r w:rsidR="00D639AB">
        <w:t xml:space="preserve"> </w:t>
      </w:r>
      <w:r w:rsidR="0045157F" w:rsidRPr="000A0198">
        <w:rPr>
          <w:i/>
        </w:rPr>
        <w:t>R. v.</w:t>
      </w:r>
      <w:r w:rsidR="0045157F" w:rsidRPr="000A0198">
        <w:t xml:space="preserve"> </w:t>
      </w:r>
      <w:r w:rsidR="0045157F" w:rsidRPr="000A0198">
        <w:rPr>
          <w:i/>
        </w:rPr>
        <w:t>Windle</w:t>
      </w:r>
      <w:r w:rsidR="00E60629">
        <w:t xml:space="preserve">, </w:t>
      </w:r>
      <w:r w:rsidR="0045157F" w:rsidRPr="000A0198">
        <w:t>195</w:t>
      </w:r>
      <w:r w:rsidR="00B806E9">
        <w:t>2</w:t>
      </w:r>
      <w:r w:rsidR="0045157F">
        <w:t xml:space="preserve">). </w:t>
      </w:r>
      <w:r w:rsidR="00642694">
        <w:t>A</w:t>
      </w:r>
      <w:r w:rsidR="0045157F" w:rsidRPr="000A0198">
        <w:t xml:space="preserve"> defendant</w:t>
      </w:r>
      <w:r w:rsidR="0045157F">
        <w:t xml:space="preserve"> </w:t>
      </w:r>
      <w:r w:rsidR="0045157F" w:rsidRPr="000A0198">
        <w:t>with a personality disorder who does not respond to moral reasons</w:t>
      </w:r>
      <w:r w:rsidR="0045157F">
        <w:t xml:space="preserve"> or who has problems </w:t>
      </w:r>
      <w:r w:rsidR="000E7A58">
        <w:t xml:space="preserve">exercising </w:t>
      </w:r>
      <w:r w:rsidR="0045157F">
        <w:t>self-control</w:t>
      </w:r>
      <w:r w:rsidR="0045157F" w:rsidRPr="000A0198">
        <w:t xml:space="preserve"> </w:t>
      </w:r>
      <w:r w:rsidR="0045157F">
        <w:t>is unlikely to be found insane</w:t>
      </w:r>
      <w:r w:rsidR="0045157F" w:rsidRPr="000A0198">
        <w:t xml:space="preserve"> (see Morse 2008; </w:t>
      </w:r>
      <w:proofErr w:type="spellStart"/>
      <w:r w:rsidR="0045157F" w:rsidRPr="000A0198">
        <w:t>Peay</w:t>
      </w:r>
      <w:proofErr w:type="spellEnd"/>
      <w:r w:rsidR="0045157F" w:rsidRPr="000A0198">
        <w:t xml:space="preserve"> 2011</w:t>
      </w:r>
      <w:r w:rsidR="000C06F6">
        <w:t>a</w:t>
      </w:r>
      <w:r w:rsidR="0045157F" w:rsidRPr="000A0198">
        <w:t>). Indeed, between 1975 and 1988 there were just three findings of NGRI where the</w:t>
      </w:r>
      <w:r w:rsidR="0045157F">
        <w:t xml:space="preserve"> primary</w:t>
      </w:r>
      <w:r w:rsidR="0045157F" w:rsidRPr="000A0198">
        <w:t xml:space="preserve"> diagnosis was personality disorder</w:t>
      </w:r>
      <w:r w:rsidR="0045157F">
        <w:t>,</w:t>
      </w:r>
      <w:r w:rsidR="0045157F" w:rsidRPr="000A0198">
        <w:t xml:space="preserve"> and in later research there were no successful pleas with this diagnosis (Law Commission 2012, </w:t>
      </w:r>
      <w:r w:rsidR="0045157F">
        <w:t xml:space="preserve">para. </w:t>
      </w:r>
      <w:r w:rsidR="0045157F" w:rsidRPr="000A0198">
        <w:t>3.38).</w:t>
      </w:r>
      <w:r w:rsidR="0045157F">
        <w:t xml:space="preserve"> </w:t>
      </w:r>
    </w:p>
    <w:p w14:paraId="5FC65145" w14:textId="2F09883B" w:rsidR="00E370F6" w:rsidRDefault="001866B0" w:rsidP="00142D57">
      <w:pPr>
        <w:spacing w:line="276" w:lineRule="auto"/>
      </w:pPr>
      <w:r>
        <w:t xml:space="preserve">Diminished responsibility </w:t>
      </w:r>
      <w:r w:rsidR="00EF20A8">
        <w:t>is</w:t>
      </w:r>
      <w:r>
        <w:t xml:space="preserve"> more responsive to personality disorder, as it </w:t>
      </w:r>
      <w:r w:rsidR="00A469C2">
        <w:t>considers,</w:t>
      </w:r>
      <w:r>
        <w:t xml:space="preserve"> </w:t>
      </w:r>
      <w:r w:rsidRPr="00317AAB">
        <w:rPr>
          <w:i/>
        </w:rPr>
        <w:t>inter alia</w:t>
      </w:r>
      <w:r w:rsidR="00A469C2">
        <w:t>,</w:t>
      </w:r>
      <w:r>
        <w:t xml:space="preserve"> a person’s capacity to form a rational judgment or to exercise self-control (</w:t>
      </w:r>
      <w:r w:rsidRPr="000A0198">
        <w:t>Homicide Act 1957,</w:t>
      </w:r>
      <w:r>
        <w:t xml:space="preserve"> s</w:t>
      </w:r>
      <w:r w:rsidR="000E527E">
        <w:t>.</w:t>
      </w:r>
      <w:r>
        <w:t>2).</w:t>
      </w:r>
      <w:r w:rsidRPr="000A0198">
        <w:t xml:space="preserve"> When accepted,</w:t>
      </w:r>
      <w:r w:rsidR="00DD02E2">
        <w:t xml:space="preserve"> the plea</w:t>
      </w:r>
      <w:r w:rsidRPr="000A0198">
        <w:t xml:space="preserve"> avoids the mandatory life sentence for murder and leaves the choice of sentence to the judge’s discretion. </w:t>
      </w:r>
      <w:r w:rsidR="00E370F6">
        <w:t>T</w:t>
      </w:r>
      <w:r w:rsidR="00E370F6" w:rsidRPr="000A0198">
        <w:t xml:space="preserve">he </w:t>
      </w:r>
      <w:r w:rsidR="00E370F6">
        <w:t xml:space="preserve">proportion </w:t>
      </w:r>
      <w:r w:rsidR="00E370F6" w:rsidRPr="000A0198">
        <w:t xml:space="preserve">of successful pleas on the grounds of personality disorder </w:t>
      </w:r>
      <w:r w:rsidR="00E370F6">
        <w:t>are</w:t>
      </w:r>
      <w:r w:rsidR="00642694">
        <w:t>, however,</w:t>
      </w:r>
      <w:r w:rsidR="00E370F6" w:rsidRPr="000A0198">
        <w:t xml:space="preserve"> </w:t>
      </w:r>
      <w:r w:rsidR="00E370F6">
        <w:t xml:space="preserve">relatively low. In 2005, </w:t>
      </w:r>
      <w:r w:rsidR="00E370F6" w:rsidRPr="000A0198">
        <w:t xml:space="preserve">10% </w:t>
      </w:r>
      <w:r w:rsidR="00E370F6">
        <w:t xml:space="preserve">of successful pleas were </w:t>
      </w:r>
      <w:r w:rsidR="00DD02E2">
        <w:t xml:space="preserve">based on </w:t>
      </w:r>
      <w:r w:rsidR="00E370F6">
        <w:t>personality disorder while</w:t>
      </w:r>
      <w:r w:rsidR="00E370F6" w:rsidRPr="000A0198">
        <w:t xml:space="preserve"> 28%</w:t>
      </w:r>
      <w:r w:rsidR="00E370F6">
        <w:t xml:space="preserve"> of successful pleas</w:t>
      </w:r>
      <w:r w:rsidR="00E370F6" w:rsidRPr="000A0198">
        <w:t xml:space="preserve"> </w:t>
      </w:r>
      <w:r w:rsidR="00E370F6">
        <w:t>were based on</w:t>
      </w:r>
      <w:r w:rsidR="00E370F6" w:rsidRPr="000A0198">
        <w:t xml:space="preserve"> paranoid schizophrenia (M</w:t>
      </w:r>
      <w:r w:rsidR="00E370F6">
        <w:t>inistry of Justice 2009, p. 15).</w:t>
      </w:r>
      <w:r w:rsidR="00EF20A8">
        <w:t xml:space="preserve"> In </w:t>
      </w:r>
      <w:r w:rsidR="00894090">
        <w:t>a later study</w:t>
      </w:r>
      <w:r w:rsidR="000A1BEE">
        <w:t>,</w:t>
      </w:r>
      <w:r w:rsidR="00E370F6" w:rsidRPr="00E370F6">
        <w:t xml:space="preserve"> 73% of defendants </w:t>
      </w:r>
      <w:r w:rsidR="0098368D">
        <w:t xml:space="preserve">with </w:t>
      </w:r>
      <w:r w:rsidR="0098368D" w:rsidRPr="00E370F6">
        <w:t xml:space="preserve">personality disorder </w:t>
      </w:r>
      <w:r w:rsidR="000A1BEE">
        <w:t>who rais</w:t>
      </w:r>
      <w:r w:rsidR="00EF20A8">
        <w:t>ed</w:t>
      </w:r>
      <w:r w:rsidR="000A1BEE">
        <w:t xml:space="preserve"> diminished responsibility </w:t>
      </w:r>
      <w:r w:rsidR="00E370F6" w:rsidRPr="00E370F6">
        <w:t>were convicted of murder</w:t>
      </w:r>
      <w:r w:rsidR="00C21134">
        <w:t xml:space="preserve"> </w:t>
      </w:r>
      <w:r w:rsidR="00E370F6" w:rsidRPr="00E370F6">
        <w:t>compared to just 12% of those diagnosed with schizophrenia (Mackay and Mitchell, 2017, Table 8).</w:t>
      </w:r>
      <w:r w:rsidR="000E527E">
        <w:rPr>
          <w:rStyle w:val="FootnoteReference"/>
        </w:rPr>
        <w:footnoteReference w:id="7"/>
      </w:r>
      <w:r w:rsidR="00E370F6" w:rsidRPr="00E370F6">
        <w:t xml:space="preserve"> </w:t>
      </w:r>
      <w:r w:rsidR="0098368D">
        <w:t>D</w:t>
      </w:r>
      <w:r w:rsidR="00E370F6" w:rsidRPr="00E370F6">
        <w:t xml:space="preserve">efendants </w:t>
      </w:r>
      <w:r w:rsidR="0098368D">
        <w:t xml:space="preserve">with personality disorder </w:t>
      </w:r>
      <w:r w:rsidR="00683390" w:rsidRPr="00E370F6">
        <w:t>who successful</w:t>
      </w:r>
      <w:r w:rsidR="00683390">
        <w:t>ly</w:t>
      </w:r>
      <w:r w:rsidR="00683390" w:rsidRPr="00E370F6">
        <w:t xml:space="preserve"> rais</w:t>
      </w:r>
      <w:r w:rsidR="00683390">
        <w:t>ed</w:t>
      </w:r>
      <w:r w:rsidR="00683390" w:rsidRPr="00E370F6">
        <w:t xml:space="preserve"> diminished responsibility </w:t>
      </w:r>
      <w:r w:rsidR="00E370F6" w:rsidRPr="00E370F6">
        <w:t xml:space="preserve">were </w:t>
      </w:r>
      <w:r w:rsidR="000A1BEE">
        <w:t xml:space="preserve">also </w:t>
      </w:r>
      <w:r w:rsidR="00E370F6" w:rsidRPr="00E370F6">
        <w:t xml:space="preserve">more likely to be regarded as </w:t>
      </w:r>
      <w:r w:rsidR="000A1BEE">
        <w:t xml:space="preserve">deserving punishment, </w:t>
      </w:r>
      <w:r w:rsidR="00683390">
        <w:t>as all such</w:t>
      </w:r>
      <w:r w:rsidR="00E370F6" w:rsidRPr="00E370F6">
        <w:t xml:space="preserve"> defendants </w:t>
      </w:r>
      <w:r w:rsidR="00290B19">
        <w:t xml:space="preserve">in the study </w:t>
      </w:r>
      <w:r w:rsidR="00E370F6" w:rsidRPr="00E370F6">
        <w:t>receiv</w:t>
      </w:r>
      <w:r w:rsidR="00683390">
        <w:t>ed</w:t>
      </w:r>
      <w:r w:rsidR="00E370F6" w:rsidRPr="00E370F6">
        <w:t xml:space="preserve"> a prison sentence (Mackay and Mitchell, 2017, Table 8).</w:t>
      </w:r>
    </w:p>
    <w:p w14:paraId="16B157B7" w14:textId="10567174" w:rsidR="007253B8" w:rsidRDefault="007B599F" w:rsidP="00142D57">
      <w:pPr>
        <w:spacing w:line="276" w:lineRule="auto"/>
      </w:pPr>
      <w:r>
        <w:t>A</w:t>
      </w:r>
      <w:r w:rsidR="00706A79">
        <w:t>n individual</w:t>
      </w:r>
      <w:r>
        <w:t xml:space="preserve"> with personality disorder may therefore expect to </w:t>
      </w:r>
      <w:r w:rsidRPr="00BB61C4">
        <w:t xml:space="preserve">only have the effects of his or her mental disorder </w:t>
      </w:r>
      <w:proofErr w:type="gramStart"/>
      <w:r w:rsidRPr="00BB61C4">
        <w:t>taken into account</w:t>
      </w:r>
      <w:proofErr w:type="gramEnd"/>
      <w:r w:rsidRPr="00BB61C4">
        <w:t xml:space="preserve"> at sentencing, if at all. The Court of Appeal in the leading case of </w:t>
      </w:r>
      <w:r w:rsidRPr="00BB61C4">
        <w:rPr>
          <w:i/>
        </w:rPr>
        <w:t>R. v.</w:t>
      </w:r>
      <w:r w:rsidRPr="00BB61C4">
        <w:t xml:space="preserve"> </w:t>
      </w:r>
      <w:proofErr w:type="spellStart"/>
      <w:r w:rsidRPr="00BB61C4">
        <w:rPr>
          <w:i/>
        </w:rPr>
        <w:t>Vowles</w:t>
      </w:r>
      <w:proofErr w:type="spellEnd"/>
      <w:r w:rsidR="00142D57">
        <w:rPr>
          <w:i/>
        </w:rPr>
        <w:t xml:space="preserve"> </w:t>
      </w:r>
      <w:r w:rsidR="00142D57">
        <w:rPr>
          <w:iCs/>
        </w:rPr>
        <w:t>(</w:t>
      </w:r>
      <w:r w:rsidR="007644BB">
        <w:t>2015</w:t>
      </w:r>
      <w:r w:rsidR="007253B8">
        <w:t>, para. 54(iii)</w:t>
      </w:r>
      <w:r w:rsidR="007644BB">
        <w:t>)</w:t>
      </w:r>
      <w:r w:rsidR="007253B8">
        <w:t xml:space="preserve"> advised judges that a hospital order with restrictions (MHA 1983, ss.37 and 41) would be warranted </w:t>
      </w:r>
      <w:r w:rsidR="00142D57">
        <w:t xml:space="preserve">at sentencing </w:t>
      </w:r>
      <w:r w:rsidR="007253B8">
        <w:t>where:</w:t>
      </w:r>
    </w:p>
    <w:p w14:paraId="77E3EC8C" w14:textId="4DBCD007" w:rsidR="007253B8" w:rsidRDefault="007253B8" w:rsidP="00142D57">
      <w:pPr>
        <w:spacing w:line="276" w:lineRule="auto"/>
        <w:ind w:left="720"/>
      </w:pPr>
      <w:r>
        <w:t>(1) the mental disorder is treatable; (2) once treated there is no evidence [the</w:t>
      </w:r>
      <w:r w:rsidR="00142D57">
        <w:t xml:space="preserve"> </w:t>
      </w:r>
      <w:r>
        <w:t>offender] would be in any way dangerous; and (3) the offending is entirely</w:t>
      </w:r>
      <w:r w:rsidR="00142D57">
        <w:t xml:space="preserve"> </w:t>
      </w:r>
      <w:r>
        <w:t>due to that mental disorder.</w:t>
      </w:r>
    </w:p>
    <w:p w14:paraId="70DE7A3A" w14:textId="13E22BBF" w:rsidR="00EB2277" w:rsidRDefault="007253B8" w:rsidP="00142D57">
      <w:pPr>
        <w:spacing w:line="276" w:lineRule="auto"/>
      </w:pPr>
      <w:r>
        <w:t xml:space="preserve">Thus, the Court in </w:t>
      </w:r>
      <w:proofErr w:type="spellStart"/>
      <w:r w:rsidRPr="007253B8">
        <w:rPr>
          <w:i/>
          <w:iCs/>
        </w:rPr>
        <w:t>Vowles</w:t>
      </w:r>
      <w:proofErr w:type="spellEnd"/>
      <w:r>
        <w:t xml:space="preserve"> </w:t>
      </w:r>
      <w:r w:rsidR="00C95E9C">
        <w:t>created</w:t>
      </w:r>
      <w:r>
        <w:t xml:space="preserve"> </w:t>
      </w:r>
      <w:r w:rsidR="005377B2">
        <w:t>a</w:t>
      </w:r>
      <w:r w:rsidR="00773026">
        <w:t>n additional</w:t>
      </w:r>
      <w:r w:rsidR="00C95E9C">
        <w:t xml:space="preserve"> risk-based</w:t>
      </w:r>
      <w:r>
        <w:t xml:space="preserve"> treatability requirement in </w:t>
      </w:r>
      <w:r w:rsidR="005377B2">
        <w:t>sentencing</w:t>
      </w:r>
      <w:r>
        <w:t xml:space="preserve"> law </w:t>
      </w:r>
      <w:r w:rsidR="00C95E9C">
        <w:t>that is narrower than the appropriate treatment requirement in the MHA 1983</w:t>
      </w:r>
      <w:r w:rsidR="005377B2">
        <w:t xml:space="preserve">. The Court advised that </w:t>
      </w:r>
      <w:r w:rsidR="007B599F" w:rsidRPr="00BB61C4">
        <w:t>offenders</w:t>
      </w:r>
      <w:r w:rsidR="00FF5BA1">
        <w:t xml:space="preserve"> with</w:t>
      </w:r>
      <w:r w:rsidR="007B599F" w:rsidRPr="00BB61C4">
        <w:t xml:space="preserve"> </w:t>
      </w:r>
      <w:r w:rsidR="00FF5BA1" w:rsidRPr="00BB61C4">
        <w:t xml:space="preserve">personality disorder </w:t>
      </w:r>
      <w:r w:rsidR="007B599F" w:rsidRPr="00BB61C4">
        <w:t>should be given prison sentences rather than hospital disposals</w:t>
      </w:r>
      <w:r w:rsidR="000A1BEE">
        <w:t>. This was on the grounds that it is</w:t>
      </w:r>
      <w:r w:rsidR="007B599F" w:rsidRPr="00BB61C4">
        <w:t xml:space="preserve"> </w:t>
      </w:r>
      <w:r w:rsidR="008E0947">
        <w:t>‘</w:t>
      </w:r>
      <w:r w:rsidR="007B599F" w:rsidRPr="009A0886">
        <w:t>more difficult to attribute a reduction in culpability to a personality disorder</w:t>
      </w:r>
      <w:r w:rsidR="008E0947">
        <w:t>’</w:t>
      </w:r>
      <w:r w:rsidR="00CD1547">
        <w:t>;</w:t>
      </w:r>
      <w:r w:rsidR="000A1BEE">
        <w:t xml:space="preserve"> that</w:t>
      </w:r>
      <w:r w:rsidR="007D7918">
        <w:t xml:space="preserve"> </w:t>
      </w:r>
      <w:r w:rsidR="000A1BEE">
        <w:t>‘</w:t>
      </w:r>
      <w:r w:rsidR="007B599F" w:rsidRPr="009A0886">
        <w:t>individuals with severe personality disorders are less likely to benefit from hospitalisation</w:t>
      </w:r>
      <w:r w:rsidR="008E0947">
        <w:t>’</w:t>
      </w:r>
      <w:r w:rsidR="00CD1547">
        <w:t>;</w:t>
      </w:r>
      <w:r w:rsidR="00C20E07">
        <w:t xml:space="preserve"> and</w:t>
      </w:r>
      <w:r w:rsidR="007B599F" w:rsidRPr="009A0886">
        <w:t xml:space="preserve"> that treatment was available </w:t>
      </w:r>
      <w:r w:rsidR="001E5A55">
        <w:t>in</w:t>
      </w:r>
      <w:r w:rsidR="005B1321">
        <w:t xml:space="preserve"> specialist</w:t>
      </w:r>
      <w:r w:rsidR="007B599F" w:rsidRPr="009A0886">
        <w:t xml:space="preserve"> prisons (</w:t>
      </w:r>
      <w:proofErr w:type="spellStart"/>
      <w:r w:rsidR="007B599F" w:rsidRPr="009A0886">
        <w:rPr>
          <w:i/>
        </w:rPr>
        <w:t>Vowles</w:t>
      </w:r>
      <w:proofErr w:type="spellEnd"/>
      <w:r w:rsidR="007B599F" w:rsidRPr="009A0886">
        <w:t>,</w:t>
      </w:r>
      <w:r w:rsidR="00E1033D">
        <w:t xml:space="preserve"> 2015,</w:t>
      </w:r>
      <w:r w:rsidR="007B599F" w:rsidRPr="009A0886">
        <w:t xml:space="preserve"> para. 50(iii)</w:t>
      </w:r>
      <w:r w:rsidR="006D6E1D">
        <w:t>-</w:t>
      </w:r>
      <w:r w:rsidR="007B599F" w:rsidRPr="009A0886">
        <w:t>(v)).</w:t>
      </w:r>
    </w:p>
    <w:p w14:paraId="72665A9C" w14:textId="34B62A4B" w:rsidR="00AB12D4" w:rsidRDefault="005E634F" w:rsidP="006F07EF">
      <w:pPr>
        <w:spacing w:line="276" w:lineRule="auto"/>
      </w:pPr>
      <w:r>
        <w:t xml:space="preserve">After </w:t>
      </w:r>
      <w:proofErr w:type="spellStart"/>
      <w:r w:rsidRPr="00AB12D4">
        <w:rPr>
          <w:i/>
          <w:iCs/>
        </w:rPr>
        <w:t>Vowles</w:t>
      </w:r>
      <w:proofErr w:type="spellEnd"/>
      <w:r>
        <w:t xml:space="preserve">, </w:t>
      </w:r>
      <w:r w:rsidR="00A65385">
        <w:t xml:space="preserve">offenders with </w:t>
      </w:r>
      <w:r>
        <w:t>personality disorder seemed</w:t>
      </w:r>
      <w:r w:rsidR="00A65385">
        <w:t xml:space="preserve"> more</w:t>
      </w:r>
      <w:r>
        <w:t xml:space="preserve"> likely to receive a prison sentence </w:t>
      </w:r>
      <w:r w:rsidR="00A65385">
        <w:t>than a hospital order</w:t>
      </w:r>
      <w:r w:rsidR="002569C1">
        <w:t>.</w:t>
      </w:r>
      <w:r w:rsidR="00EB2277">
        <w:t xml:space="preserve"> However, subsequent cases </w:t>
      </w:r>
      <w:r w:rsidR="00B755A4">
        <w:t>adopted a</w:t>
      </w:r>
      <w:r w:rsidR="00EB2277">
        <w:t xml:space="preserve"> </w:t>
      </w:r>
      <w:r w:rsidR="00A65385">
        <w:t xml:space="preserve">more </w:t>
      </w:r>
      <w:r w:rsidR="00EB2277">
        <w:t xml:space="preserve">flexible approach </w:t>
      </w:r>
      <w:r w:rsidR="00AC1508" w:rsidRPr="00AC1508">
        <w:rPr>
          <w:noProof/>
        </w:rPr>
        <w:t>(O’Loughlin, 2021b)</w:t>
      </w:r>
      <w:r w:rsidR="00B24677">
        <w:t>.</w:t>
      </w:r>
      <w:r w:rsidR="003866EE">
        <w:t xml:space="preserve"> In </w:t>
      </w:r>
      <w:r w:rsidR="00096F09" w:rsidRPr="00096F09">
        <w:rPr>
          <w:i/>
          <w:iCs/>
        </w:rPr>
        <w:t>R. v.</w:t>
      </w:r>
      <w:r w:rsidR="00096F09">
        <w:t xml:space="preserve"> </w:t>
      </w:r>
      <w:r w:rsidR="00B24677" w:rsidRPr="00B24677">
        <w:rPr>
          <w:i/>
          <w:iCs/>
        </w:rPr>
        <w:t>Turner</w:t>
      </w:r>
      <w:r w:rsidR="00096F09">
        <w:rPr>
          <w:i/>
          <w:iCs/>
        </w:rPr>
        <w:t xml:space="preserve"> </w:t>
      </w:r>
      <w:r w:rsidR="00B806E9">
        <w:t>(2015)</w:t>
      </w:r>
      <w:r w:rsidR="00096F09" w:rsidRPr="00096F09">
        <w:t xml:space="preserve"> </w:t>
      </w:r>
      <w:r w:rsidR="00B24677" w:rsidRPr="00B24677">
        <w:t xml:space="preserve">and </w:t>
      </w:r>
      <w:r w:rsidR="00096F09" w:rsidRPr="00096F09">
        <w:rPr>
          <w:i/>
          <w:iCs/>
        </w:rPr>
        <w:t>R. v.</w:t>
      </w:r>
      <w:r w:rsidR="00096F09">
        <w:t xml:space="preserve"> </w:t>
      </w:r>
      <w:r w:rsidR="00B24677" w:rsidRPr="00B24677">
        <w:rPr>
          <w:i/>
          <w:iCs/>
        </w:rPr>
        <w:t>Hoppe</w:t>
      </w:r>
      <w:r w:rsidR="00096F09">
        <w:rPr>
          <w:i/>
          <w:iCs/>
        </w:rPr>
        <w:t xml:space="preserve"> </w:t>
      </w:r>
      <w:r w:rsidR="00B806E9">
        <w:t>(2016)</w:t>
      </w:r>
      <w:r w:rsidR="002569C1">
        <w:t xml:space="preserve">, two </w:t>
      </w:r>
      <w:r w:rsidR="00B24677">
        <w:t xml:space="preserve">appellants </w:t>
      </w:r>
      <w:r w:rsidR="000315FB">
        <w:t xml:space="preserve">diagnosed </w:t>
      </w:r>
      <w:r w:rsidR="00B24677">
        <w:lastRenderedPageBreak/>
        <w:t xml:space="preserve">with </w:t>
      </w:r>
      <w:r w:rsidR="008B4188">
        <w:t xml:space="preserve">emotionally unstable </w:t>
      </w:r>
      <w:r w:rsidR="000315FB">
        <w:t>personality disorder</w:t>
      </w:r>
      <w:r w:rsidR="008B4188">
        <w:t xml:space="preserve"> </w:t>
      </w:r>
      <w:r w:rsidR="002569C1">
        <w:t>successfully appealed against indeterminate prison sentences</w:t>
      </w:r>
      <w:r w:rsidR="000315FB">
        <w:t xml:space="preserve">. In both cases, </w:t>
      </w:r>
      <w:r w:rsidR="00B24677">
        <w:t>the Court of Appeal</w:t>
      </w:r>
      <w:r w:rsidR="000315FB">
        <w:t xml:space="preserve"> chose to substitute hospital orders with restrictions based on</w:t>
      </w:r>
      <w:r w:rsidR="00B24677">
        <w:t xml:space="preserve"> psychiatric evidence that </w:t>
      </w:r>
      <w:r w:rsidR="00B24677" w:rsidRPr="00B24677">
        <w:t>the</w:t>
      </w:r>
      <w:r w:rsidR="002569C1">
        <w:t xml:space="preserve"> appellants’</w:t>
      </w:r>
      <w:r w:rsidR="000315FB">
        <w:t xml:space="preserve"> disorders were treatable and</w:t>
      </w:r>
      <w:r w:rsidR="00123647">
        <w:t xml:space="preserve"> that</w:t>
      </w:r>
      <w:r w:rsidR="000315FB">
        <w:t xml:space="preserve"> their offending was related to their mental disorders</w:t>
      </w:r>
      <w:r w:rsidR="00B24677" w:rsidRPr="00B24677">
        <w:t xml:space="preserve"> </w:t>
      </w:r>
      <w:r w:rsidR="00AC1508" w:rsidRPr="00AC1508">
        <w:rPr>
          <w:noProof/>
        </w:rPr>
        <w:t>(O’Loughlin, 2021b)</w:t>
      </w:r>
      <w:r w:rsidR="00B24677" w:rsidRPr="00B24677">
        <w:t>.</w:t>
      </w:r>
      <w:r w:rsidR="000315FB">
        <w:t xml:space="preserve"> The</w:t>
      </w:r>
      <w:r w:rsidR="00A65385">
        <w:t xml:space="preserve"> psychiatric evidence in these</w:t>
      </w:r>
      <w:r w:rsidR="000315FB">
        <w:t xml:space="preserve"> cases may</w:t>
      </w:r>
      <w:r w:rsidR="00A65385">
        <w:t xml:space="preserve"> have</w:t>
      </w:r>
      <w:r w:rsidR="000315FB">
        <w:t xml:space="preserve"> reflect</w:t>
      </w:r>
      <w:r w:rsidR="00A65385">
        <w:t>ed</w:t>
      </w:r>
      <w:r w:rsidR="000315FB">
        <w:t xml:space="preserve"> the stronger evidence base for the treatment of </w:t>
      </w:r>
      <w:r w:rsidR="008B4188">
        <w:t>BPD</w:t>
      </w:r>
      <w:r w:rsidR="000315FB">
        <w:t xml:space="preserve">, and it is unclear whether the same approach will be adopted </w:t>
      </w:r>
      <w:r w:rsidR="008B4188">
        <w:t>for ASPD</w:t>
      </w:r>
      <w:r w:rsidR="000315FB">
        <w:t>.</w:t>
      </w:r>
      <w:r w:rsidR="00A75B4F">
        <w:t xml:space="preserve"> </w:t>
      </w:r>
    </w:p>
    <w:p w14:paraId="71151BF7" w14:textId="6F907076" w:rsidR="007D1571" w:rsidRDefault="003552B4" w:rsidP="00D5234A">
      <w:pPr>
        <w:spacing w:line="276" w:lineRule="auto"/>
      </w:pPr>
      <w:r>
        <w:t>A</w:t>
      </w:r>
      <w:r w:rsidR="0014582C">
        <w:t xml:space="preserve">fter </w:t>
      </w:r>
      <w:proofErr w:type="spellStart"/>
      <w:r w:rsidR="0014582C" w:rsidRPr="0014582C">
        <w:rPr>
          <w:i/>
          <w:iCs/>
        </w:rPr>
        <w:t>Vowles</w:t>
      </w:r>
      <w:proofErr w:type="spellEnd"/>
      <w:r w:rsidR="0014582C">
        <w:t>, a person</w:t>
      </w:r>
      <w:r w:rsidR="003601D0">
        <w:t xml:space="preserve"> with a personality disorder</w:t>
      </w:r>
      <w:r w:rsidR="0014582C">
        <w:t xml:space="preserve"> may</w:t>
      </w:r>
      <w:r w:rsidR="00552CB4">
        <w:t xml:space="preserve"> therefore</w:t>
      </w:r>
      <w:r w:rsidR="0014582C">
        <w:t xml:space="preserve"> be excluded from a hospital disposal </w:t>
      </w:r>
      <w:r w:rsidR="003601D0">
        <w:t xml:space="preserve">at sentencing </w:t>
      </w:r>
      <w:r w:rsidR="0014582C">
        <w:t>on the grounds that treatment is not expected to reduce risk to the public. Yet,</w:t>
      </w:r>
      <w:r w:rsidR="00A3513A">
        <w:t xml:space="preserve"> the same person may</w:t>
      </w:r>
      <w:r w:rsidR="003601D0">
        <w:t xml:space="preserve"> later</w:t>
      </w:r>
      <w:r w:rsidR="00A3513A">
        <w:t xml:space="preserve"> </w:t>
      </w:r>
      <w:r w:rsidR="00AC3971">
        <w:t>be</w:t>
      </w:r>
      <w:r w:rsidR="00A3513A">
        <w:t xml:space="preserve"> detained under the MHA 1983 </w:t>
      </w:r>
      <w:r w:rsidR="003601D0">
        <w:t>on the grounds</w:t>
      </w:r>
      <w:r w:rsidR="00474E1F">
        <w:t xml:space="preserve">, </w:t>
      </w:r>
      <w:r w:rsidR="00474E1F" w:rsidRPr="00474E1F">
        <w:rPr>
          <w:i/>
          <w:iCs/>
        </w:rPr>
        <w:t>inter alia</w:t>
      </w:r>
      <w:r w:rsidR="00474E1F">
        <w:t>,</w:t>
      </w:r>
      <w:r w:rsidR="003601D0">
        <w:t xml:space="preserve"> that </w:t>
      </w:r>
      <w:r w:rsidR="008E0947">
        <w:t>‘</w:t>
      </w:r>
      <w:r w:rsidR="0014582C">
        <w:t>appropriate medical treatment</w:t>
      </w:r>
      <w:r w:rsidR="008E0947">
        <w:t>’</w:t>
      </w:r>
      <w:r w:rsidR="0014582C">
        <w:t xml:space="preserve"> </w:t>
      </w:r>
      <w:r w:rsidR="003601D0">
        <w:t>is</w:t>
      </w:r>
      <w:r w:rsidR="0014582C">
        <w:t xml:space="preserve"> </w:t>
      </w:r>
      <w:r w:rsidR="00A3513A">
        <w:t>‘</w:t>
      </w:r>
      <w:r w:rsidR="0014582C">
        <w:t>available</w:t>
      </w:r>
      <w:r w:rsidR="00A3513A">
        <w:t>’</w:t>
      </w:r>
      <w:r w:rsidR="00AC3971">
        <w:t xml:space="preserve"> in hospital</w:t>
      </w:r>
      <w:r w:rsidR="003601D0">
        <w:t xml:space="preserve">. </w:t>
      </w:r>
      <w:r w:rsidR="003866EE">
        <w:t>Th</w:t>
      </w:r>
      <w:r w:rsidR="0014582C">
        <w:t>is is because the</w:t>
      </w:r>
      <w:r w:rsidR="003866EE">
        <w:t xml:space="preserve"> MHA 1983 can</w:t>
      </w:r>
      <w:r w:rsidR="003601D0">
        <w:t xml:space="preserve"> </w:t>
      </w:r>
      <w:r w:rsidR="003866EE">
        <w:t>be used</w:t>
      </w:r>
      <w:r w:rsidR="003601D0">
        <w:t xml:space="preserve"> for the purposes of preventive detention after a prison sentence expires:</w:t>
      </w:r>
      <w:r w:rsidR="003866EE">
        <w:t xml:space="preserve"> a possibility that sits uncomfortably with the principle of proportionate punishment.</w:t>
      </w:r>
      <w:r w:rsidR="002213BE">
        <w:t xml:space="preserve"> </w:t>
      </w:r>
    </w:p>
    <w:p w14:paraId="5BAF0B4E" w14:textId="0EFA24A2" w:rsidR="00E87104" w:rsidRPr="000A0198" w:rsidRDefault="00504525" w:rsidP="00D5234A">
      <w:pPr>
        <w:spacing w:line="276" w:lineRule="auto"/>
      </w:pPr>
      <w:r>
        <w:t>No routinely published</w:t>
      </w:r>
      <w:r w:rsidR="002213BE">
        <w:t xml:space="preserve"> data is available on </w:t>
      </w:r>
      <w:r>
        <w:t xml:space="preserve">how frequently </w:t>
      </w:r>
      <w:r w:rsidR="007D1571">
        <w:t xml:space="preserve">sentenced </w:t>
      </w:r>
      <w:r>
        <w:t>prison</w:t>
      </w:r>
      <w:r w:rsidR="007D1571">
        <w:t>ers are transferred to hospital</w:t>
      </w:r>
      <w:r w:rsidR="00E72FD7">
        <w:t xml:space="preserve"> by the Justice Secretary</w:t>
      </w:r>
      <w:r w:rsidR="007D1571">
        <w:t xml:space="preserve"> </w:t>
      </w:r>
      <w:r w:rsidR="006830F0">
        <w:t>for the purposes of preventive detention</w:t>
      </w:r>
      <w:r w:rsidR="007D1571">
        <w:t xml:space="preserve"> under section 47 of the MHA 1983</w:t>
      </w:r>
      <w:r>
        <w:t>.</w:t>
      </w:r>
      <w:r w:rsidR="006830F0">
        <w:t xml:space="preserve"> But,</w:t>
      </w:r>
      <w:r>
        <w:t xml:space="preserve"> </w:t>
      </w:r>
      <w:r w:rsidR="006830F0" w:rsidRPr="00DF57DF">
        <w:t>a</w:t>
      </w:r>
      <w:r w:rsidR="00720573" w:rsidRPr="00DF57DF">
        <w:t>ccording to d</w:t>
      </w:r>
      <w:r w:rsidRPr="00DF57DF">
        <w:t xml:space="preserve">ata from </w:t>
      </w:r>
      <w:r w:rsidR="00EC6465" w:rsidRPr="00DF57DF">
        <w:t>one</w:t>
      </w:r>
      <w:r w:rsidR="00720573" w:rsidRPr="00DF57DF">
        <w:t xml:space="preserve"> study</w:t>
      </w:r>
      <w:r w:rsidRPr="00DF57DF">
        <w:t>,</w:t>
      </w:r>
      <w:r w:rsidR="00EC6465" w:rsidRPr="00DF57DF">
        <w:t xml:space="preserve"> the majority</w:t>
      </w:r>
      <w:r w:rsidR="00014C9A" w:rsidRPr="00DF57DF">
        <w:t xml:space="preserve"> (65%)</w:t>
      </w:r>
      <w:r w:rsidR="00EC6465" w:rsidRPr="00DF57DF">
        <w:t xml:space="preserve"> of patients admitted to hospital units on the DSPD programme were serving determinate sentences </w:t>
      </w:r>
      <w:r w:rsidR="0069656F" w:rsidRPr="00DF57DF">
        <w:t>(</w:t>
      </w:r>
      <w:proofErr w:type="spellStart"/>
      <w:r w:rsidR="0069656F" w:rsidRPr="00DF57DF">
        <w:t>Trebilcock</w:t>
      </w:r>
      <w:proofErr w:type="spellEnd"/>
      <w:r w:rsidR="0069656F" w:rsidRPr="00DF57DF">
        <w:t xml:space="preserve"> and Weaver 2012)</w:t>
      </w:r>
      <w:r w:rsidRPr="00DF57DF">
        <w:t xml:space="preserve">. </w:t>
      </w:r>
      <w:r w:rsidR="00A47703">
        <w:t>M</w:t>
      </w:r>
      <w:r w:rsidR="00A47703" w:rsidRPr="00DF57DF">
        <w:t>ost were</w:t>
      </w:r>
      <w:r w:rsidR="00A47703">
        <w:t xml:space="preserve"> admitted </w:t>
      </w:r>
      <w:r w:rsidR="00A47703" w:rsidRPr="00DF57DF">
        <w:t>close to the</w:t>
      </w:r>
      <w:r w:rsidR="00A47703">
        <w:t>ir expected release date, and 20%</w:t>
      </w:r>
      <w:r w:rsidR="005C3719" w:rsidRPr="00DF57DF">
        <w:t xml:space="preserve"> </w:t>
      </w:r>
      <w:r w:rsidR="00852279">
        <w:t>had been</w:t>
      </w:r>
      <w:r w:rsidR="00014C9A" w:rsidRPr="00DF57DF">
        <w:t xml:space="preserve"> transferred </w:t>
      </w:r>
      <w:r w:rsidR="00A47703">
        <w:t>to hospital</w:t>
      </w:r>
      <w:r w:rsidR="00852279">
        <w:t xml:space="preserve"> </w:t>
      </w:r>
      <w:r w:rsidR="00720573" w:rsidRPr="00DF57DF">
        <w:t xml:space="preserve">less than two weeks </w:t>
      </w:r>
      <w:r w:rsidR="00F8493A" w:rsidRPr="00DF57DF">
        <w:t xml:space="preserve">before </w:t>
      </w:r>
      <w:r w:rsidR="00852279">
        <w:t>the</w:t>
      </w:r>
      <w:r w:rsidR="00A47703">
        <w:t>y expected to be released</w:t>
      </w:r>
      <w:r w:rsidR="00852279">
        <w:t xml:space="preserve"> </w:t>
      </w:r>
      <w:r w:rsidR="00A47703">
        <w:t xml:space="preserve">from prison </w:t>
      </w:r>
      <w:r w:rsidR="00A01AFC" w:rsidRPr="00DF57DF">
        <w:t>(</w:t>
      </w:r>
      <w:proofErr w:type="spellStart"/>
      <w:r w:rsidR="00A01AFC" w:rsidRPr="00DF57DF">
        <w:t>Trebilcock</w:t>
      </w:r>
      <w:proofErr w:type="spellEnd"/>
      <w:r w:rsidR="00A01AFC" w:rsidRPr="00DF57DF">
        <w:t xml:space="preserve"> and Weaver 2012)</w:t>
      </w:r>
      <w:r w:rsidR="00093D91" w:rsidRPr="00DF57DF">
        <w:t>.</w:t>
      </w:r>
      <w:r w:rsidR="005C3719" w:rsidRPr="00DF57DF">
        <w:rPr>
          <w:rStyle w:val="FootnoteReference"/>
        </w:rPr>
        <w:footnoteReference w:id="8"/>
      </w:r>
      <w:r w:rsidR="0091763A">
        <w:t xml:space="preserve"> These patients were often angry and </w:t>
      </w:r>
      <w:r w:rsidR="00CC4A7F">
        <w:t xml:space="preserve">some </w:t>
      </w:r>
      <w:r w:rsidR="0091763A">
        <w:t>refused to engage with treatment, and this had a negative impact on the work of hospital DSPD units</w:t>
      </w:r>
      <w:r w:rsidR="00127DAE">
        <w:t xml:space="preserve"> </w:t>
      </w:r>
      <w:r w:rsidR="003866EE" w:rsidRPr="009D0705">
        <w:rPr>
          <w:noProof/>
        </w:rPr>
        <w:t xml:space="preserve">(Burns </w:t>
      </w:r>
      <w:r w:rsidR="003866EE" w:rsidRPr="009D0705">
        <w:rPr>
          <w:i/>
          <w:noProof/>
        </w:rPr>
        <w:t>et al.</w:t>
      </w:r>
      <w:r w:rsidR="003866EE" w:rsidRPr="009D0705">
        <w:rPr>
          <w:noProof/>
        </w:rPr>
        <w:t xml:space="preserve">, 2011, </w:t>
      </w:r>
      <w:r w:rsidR="00CC4A7F">
        <w:rPr>
          <w:noProof/>
        </w:rPr>
        <w:t>p.</w:t>
      </w:r>
      <w:r w:rsidR="0096134E">
        <w:rPr>
          <w:noProof/>
        </w:rPr>
        <w:t xml:space="preserve">219 and </w:t>
      </w:r>
      <w:r w:rsidR="00CC4A7F">
        <w:rPr>
          <w:noProof/>
        </w:rPr>
        <w:t>p.</w:t>
      </w:r>
      <w:r w:rsidR="003866EE" w:rsidRPr="009D0705">
        <w:rPr>
          <w:noProof/>
        </w:rPr>
        <w:t>225)</w:t>
      </w:r>
      <w:r w:rsidR="003866EE" w:rsidRPr="000A0198">
        <w:t>.</w:t>
      </w:r>
      <w:r w:rsidR="00D5234A">
        <w:t xml:space="preserve"> While the OPD Pathway aims to identify eligible prisoners early in their sentences (NOMS and NHS England, 2015</w:t>
      </w:r>
      <w:r w:rsidR="00B61E7E">
        <w:t>,</w:t>
      </w:r>
      <w:r w:rsidR="00D5234A">
        <w:t xml:space="preserve"> </w:t>
      </w:r>
      <w:r w:rsidR="00B61E7E">
        <w:t>p.</w:t>
      </w:r>
      <w:r w:rsidR="00D5234A">
        <w:t xml:space="preserve">17) </w:t>
      </w:r>
      <w:r w:rsidR="008D3DF2">
        <w:t xml:space="preserve">and late transfers have been criticised by </w:t>
      </w:r>
      <w:r w:rsidR="002C5B35">
        <w:t xml:space="preserve">the </w:t>
      </w:r>
      <w:r w:rsidR="002F0699">
        <w:t>Court of Appeal</w:t>
      </w:r>
      <w:r w:rsidR="002C5B35">
        <w:t xml:space="preserve">, </w:t>
      </w:r>
      <w:r w:rsidR="008D3DF2">
        <w:t xml:space="preserve">transfers late in sentence </w:t>
      </w:r>
      <w:r w:rsidR="00DC556A">
        <w:t xml:space="preserve">are still possible </w:t>
      </w:r>
      <w:r w:rsidR="00672CE8">
        <w:t>where</w:t>
      </w:r>
      <w:r w:rsidR="00DC556A">
        <w:t xml:space="preserve"> </w:t>
      </w:r>
      <w:r w:rsidR="002C5B35">
        <w:t>the</w:t>
      </w:r>
      <w:r w:rsidR="00E87104">
        <w:t xml:space="preserve"> requirements of the</w:t>
      </w:r>
      <w:r w:rsidR="002C5B35">
        <w:t xml:space="preserve"> MHA 1983</w:t>
      </w:r>
      <w:r w:rsidR="00E87104">
        <w:t xml:space="preserve"> </w:t>
      </w:r>
      <w:r w:rsidR="002C5B35">
        <w:t>are ‘scrupulously satisfied’</w:t>
      </w:r>
      <w:r w:rsidR="00DC556A" w:rsidRPr="00DC556A">
        <w:t xml:space="preserve"> </w:t>
      </w:r>
      <w:r w:rsidR="00DC556A">
        <w:t>(</w:t>
      </w:r>
      <w:r w:rsidR="00DC556A" w:rsidRPr="000A0198">
        <w:rPr>
          <w:i/>
        </w:rPr>
        <w:t>R(TF) v SS for Justice</w:t>
      </w:r>
      <w:r w:rsidR="003C1824">
        <w:rPr>
          <w:iCs/>
        </w:rPr>
        <w:t>,</w:t>
      </w:r>
      <w:r w:rsidR="00DC556A" w:rsidRPr="000A0198">
        <w:t xml:space="preserve"> 2008</w:t>
      </w:r>
      <w:r w:rsidR="00DC556A">
        <w:t>)</w:t>
      </w:r>
      <w:r w:rsidR="00E87104">
        <w:t>.</w:t>
      </w:r>
    </w:p>
    <w:p w14:paraId="65519A42" w14:textId="77777777" w:rsidR="00252029" w:rsidRDefault="00252029" w:rsidP="006F07EF">
      <w:pPr>
        <w:spacing w:line="276" w:lineRule="auto"/>
        <w:rPr>
          <w:b/>
          <w:bCs/>
        </w:rPr>
      </w:pPr>
    </w:p>
    <w:p w14:paraId="0697B789" w14:textId="77777777" w:rsidR="00C752E0" w:rsidRPr="00C752E0" w:rsidRDefault="00C752E0" w:rsidP="006F07EF">
      <w:pPr>
        <w:spacing w:line="276" w:lineRule="auto"/>
        <w:rPr>
          <w:b/>
          <w:bCs/>
        </w:rPr>
      </w:pPr>
      <w:r w:rsidRPr="00C752E0">
        <w:rPr>
          <w:b/>
          <w:bCs/>
        </w:rPr>
        <w:t>Conclusions</w:t>
      </w:r>
    </w:p>
    <w:p w14:paraId="0568C948" w14:textId="23F5E6D7" w:rsidR="004818D1" w:rsidRDefault="0070642D" w:rsidP="006F07EF">
      <w:pPr>
        <w:spacing w:line="276" w:lineRule="auto"/>
      </w:pPr>
      <w:r>
        <w:t xml:space="preserve">Personality disorder </w:t>
      </w:r>
      <w:r w:rsidR="00F13DFF">
        <w:t>is</w:t>
      </w:r>
      <w:r>
        <w:t xml:space="preserve"> a controversial and contested diagnosis</w:t>
      </w:r>
      <w:r w:rsidR="00E37A27">
        <w:t xml:space="preserve"> associated with negative moral judgments towards people </w:t>
      </w:r>
      <w:r w:rsidR="00F7095F">
        <w:t>whose behaviour</w:t>
      </w:r>
      <w:r w:rsidR="00E37A27">
        <w:t xml:space="preserve"> </w:t>
      </w:r>
      <w:r w:rsidR="006225CA">
        <w:t xml:space="preserve">is </w:t>
      </w:r>
      <w:r w:rsidR="00246962">
        <w:t xml:space="preserve">deemed </w:t>
      </w:r>
      <w:r w:rsidR="00E37A27">
        <w:t>disturbing</w:t>
      </w:r>
      <w:r w:rsidR="00706608">
        <w:t>, demanding, difficult, dangerous, or</w:t>
      </w:r>
      <w:r w:rsidR="004C15D5">
        <w:t xml:space="preserve"> </w:t>
      </w:r>
      <w:r w:rsidR="00CA1C63">
        <w:t xml:space="preserve">merely </w:t>
      </w:r>
      <w:r w:rsidR="00CE1549">
        <w:t>eccentric</w:t>
      </w:r>
      <w:r w:rsidR="00706608">
        <w:t xml:space="preserve">. </w:t>
      </w:r>
      <w:r w:rsidR="00190424">
        <w:t>While advances in understanding</w:t>
      </w:r>
      <w:r w:rsidR="00A65376">
        <w:t xml:space="preserve"> </w:t>
      </w:r>
      <w:r w:rsidR="00207445">
        <w:t>and</w:t>
      </w:r>
      <w:r w:rsidR="00190424">
        <w:t xml:space="preserve"> treating </w:t>
      </w:r>
      <w:r w:rsidR="00A65376">
        <w:t xml:space="preserve">personality </w:t>
      </w:r>
      <w:r w:rsidR="00190424">
        <w:t xml:space="preserve">disorders </w:t>
      </w:r>
      <w:r w:rsidR="009E0915">
        <w:t xml:space="preserve">are beginning to counteract the </w:t>
      </w:r>
      <w:r w:rsidR="005D6892">
        <w:t>notion</w:t>
      </w:r>
      <w:r w:rsidR="009E0915">
        <w:t xml:space="preserve"> </w:t>
      </w:r>
      <w:r w:rsidR="005D6892">
        <w:t xml:space="preserve">that </w:t>
      </w:r>
      <w:r w:rsidR="009E0915">
        <w:t>th</w:t>
      </w:r>
      <w:r w:rsidR="00A65376">
        <w:t xml:space="preserve">ey </w:t>
      </w:r>
      <w:r w:rsidR="009E0915">
        <w:t xml:space="preserve">are permanent, </w:t>
      </w:r>
      <w:r w:rsidR="00A65376">
        <w:t>the</w:t>
      </w:r>
      <w:r w:rsidR="009E0915">
        <w:t xml:space="preserve"> diagnosis continues to be associated with shame and </w:t>
      </w:r>
      <w:r w:rsidR="005B6BAF">
        <w:t>exclusion</w:t>
      </w:r>
      <w:r w:rsidR="009E0915">
        <w:t xml:space="preserve">. For </w:t>
      </w:r>
      <w:r w:rsidR="008B4188">
        <w:t>BPD</w:t>
      </w:r>
      <w:r w:rsidR="009E0915">
        <w:t xml:space="preserve">, </w:t>
      </w:r>
      <w:r w:rsidR="005B6BAF">
        <w:t xml:space="preserve">the picture is more hopeful as </w:t>
      </w:r>
      <w:r w:rsidR="005D6892">
        <w:t xml:space="preserve">the </w:t>
      </w:r>
      <w:r w:rsidR="005B6BAF">
        <w:t>evidence to support treatment techniques</w:t>
      </w:r>
      <w:r w:rsidR="004D286C">
        <w:t xml:space="preserve"> continue</w:t>
      </w:r>
      <w:r w:rsidR="005D6892">
        <w:t>s</w:t>
      </w:r>
      <w:r w:rsidR="004D286C">
        <w:t xml:space="preserve"> slowly to</w:t>
      </w:r>
      <w:r w:rsidR="005B6BAF">
        <w:t xml:space="preserve"> improve. </w:t>
      </w:r>
      <w:r w:rsidR="00213930">
        <w:t xml:space="preserve">For </w:t>
      </w:r>
      <w:r w:rsidR="008B4188">
        <w:t>ASPD</w:t>
      </w:r>
      <w:r w:rsidR="00213930">
        <w:t xml:space="preserve"> or</w:t>
      </w:r>
      <w:r w:rsidR="008B4188">
        <w:t xml:space="preserve"> dissocial personality disorder</w:t>
      </w:r>
      <w:r w:rsidR="00213930">
        <w:t>, however,</w:t>
      </w:r>
      <w:r w:rsidR="004D286C">
        <w:t xml:space="preserve"> </w:t>
      </w:r>
      <w:r w:rsidR="005D6892">
        <w:t xml:space="preserve">there is still little evidence of treatment </w:t>
      </w:r>
      <w:r w:rsidR="00DE2C3A">
        <w:t>effectiveness</w:t>
      </w:r>
      <w:r w:rsidR="004D286C">
        <w:t>.</w:t>
      </w:r>
    </w:p>
    <w:p w14:paraId="1FFE7FB6" w14:textId="0497C797" w:rsidR="004B3364" w:rsidRDefault="00FF6FEF" w:rsidP="006F07EF">
      <w:pPr>
        <w:spacing w:line="276" w:lineRule="auto"/>
      </w:pPr>
      <w:r>
        <w:t>A</w:t>
      </w:r>
      <w:r w:rsidR="001534C3">
        <w:t xml:space="preserve">ttempts to confine the use of the MHA 1983 to people who need treatment have repeatedly </w:t>
      </w:r>
      <w:r w:rsidR="00D670DC">
        <w:t>encountered</w:t>
      </w:r>
      <w:r w:rsidR="001534C3">
        <w:t xml:space="preserve"> the problem of serious offenders </w:t>
      </w:r>
      <w:r w:rsidR="0009456F">
        <w:t>who</w:t>
      </w:r>
      <w:r w:rsidR="00A63487">
        <w:t>m</w:t>
      </w:r>
      <w:r w:rsidR="0009456F">
        <w:t xml:space="preserve"> the authorities are reluctant to discharge. </w:t>
      </w:r>
      <w:r w:rsidR="0023138E">
        <w:t xml:space="preserve">The </w:t>
      </w:r>
      <w:proofErr w:type="spellStart"/>
      <w:r w:rsidR="0023138E">
        <w:t>Wessley</w:t>
      </w:r>
      <w:proofErr w:type="spellEnd"/>
      <w:r w:rsidR="0023138E">
        <w:t xml:space="preserve"> Review’s attempt to counteract a culture of containment has </w:t>
      </w:r>
      <w:r w:rsidR="00F13DFF">
        <w:t>met</w:t>
      </w:r>
      <w:r w:rsidR="004E64F9">
        <w:t xml:space="preserve"> resistance from </w:t>
      </w:r>
      <w:r w:rsidR="00F13DFF">
        <w:t>g</w:t>
      </w:r>
      <w:r w:rsidR="004E64F9">
        <w:t xml:space="preserve">overnment, </w:t>
      </w:r>
      <w:r w:rsidR="00F1394B">
        <w:t xml:space="preserve">yet </w:t>
      </w:r>
      <w:r w:rsidR="00D20EB2">
        <w:t>again on public protection</w:t>
      </w:r>
      <w:r w:rsidR="00F13DFF" w:rsidRPr="00F13DFF">
        <w:t xml:space="preserve"> </w:t>
      </w:r>
      <w:r w:rsidR="00F13DFF">
        <w:t>grounds</w:t>
      </w:r>
      <w:r w:rsidR="00D20EB2">
        <w:t xml:space="preserve">. </w:t>
      </w:r>
      <w:r w:rsidR="00797DEA">
        <w:t>Thus</w:t>
      </w:r>
      <w:r w:rsidR="00F1394B">
        <w:t xml:space="preserve">, the risk aversion that saw the introduction of the MHA 2007 and the DSPD </w:t>
      </w:r>
      <w:r w:rsidR="00794AD7">
        <w:t>P</w:t>
      </w:r>
      <w:r w:rsidR="00F1394B">
        <w:t>rogramme continues to impede progressive reforms to mental health law</w:t>
      </w:r>
      <w:r w:rsidR="00C71158">
        <w:t>.</w:t>
      </w:r>
      <w:r w:rsidR="00324A31">
        <w:t xml:space="preserve"> </w:t>
      </w:r>
    </w:p>
    <w:p w14:paraId="01763792" w14:textId="620514FD" w:rsidR="001534C3" w:rsidRDefault="004B3364" w:rsidP="00A651B6">
      <w:pPr>
        <w:spacing w:line="276" w:lineRule="auto"/>
      </w:pPr>
      <w:r>
        <w:lastRenderedPageBreak/>
        <w:t xml:space="preserve">Meanwhile, people with personality disorder are largely found to have capacity to refuse treatment under the MCA 2005, </w:t>
      </w:r>
      <w:r w:rsidR="00797DEA">
        <w:t>yet</w:t>
      </w:r>
      <w:r>
        <w:t xml:space="preserve"> </w:t>
      </w:r>
      <w:r w:rsidR="00D670DC">
        <w:t xml:space="preserve">they </w:t>
      </w:r>
      <w:r>
        <w:t xml:space="preserve">can have </w:t>
      </w:r>
      <w:r w:rsidR="00797DEA">
        <w:t>treatment</w:t>
      </w:r>
      <w:r>
        <w:t xml:space="preserve"> imposed upon them under the MHA 1983. They </w:t>
      </w:r>
      <w:r w:rsidR="00797DEA">
        <w:t>are frequently</w:t>
      </w:r>
      <w:r>
        <w:t xml:space="preserve"> found criminally responsible and deserving of a prison sentence</w:t>
      </w:r>
      <w:r w:rsidR="00D670DC">
        <w:t xml:space="preserve"> by criminal </w:t>
      </w:r>
      <w:proofErr w:type="gramStart"/>
      <w:r w:rsidR="00D670DC">
        <w:t>courts</w:t>
      </w:r>
      <w:r>
        <w:t>, yet</w:t>
      </w:r>
      <w:proofErr w:type="gramEnd"/>
      <w:r>
        <w:t xml:space="preserve"> </w:t>
      </w:r>
      <w:r w:rsidR="00797DEA">
        <w:t xml:space="preserve">can </w:t>
      </w:r>
      <w:r>
        <w:t>be detained under the MHA 1983</w:t>
      </w:r>
      <w:r w:rsidR="008557D8">
        <w:t xml:space="preserve"> </w:t>
      </w:r>
      <w:r w:rsidR="00EE45DE">
        <w:t>post-sentence</w:t>
      </w:r>
      <w:r w:rsidR="008557D8">
        <w:t>.</w:t>
      </w:r>
      <w:r w:rsidR="002B2C4C">
        <w:t xml:space="preserve"> </w:t>
      </w:r>
      <w:r w:rsidR="0020071C">
        <w:t xml:space="preserve">Offenders with personality disorder in England and Wales </w:t>
      </w:r>
      <w:r w:rsidR="00F13DFF">
        <w:t xml:space="preserve">are </w:t>
      </w:r>
      <w:r w:rsidR="0020071C">
        <w:t xml:space="preserve">therefore at </w:t>
      </w:r>
      <w:r w:rsidR="00200E80">
        <w:t>the intersection between</w:t>
      </w:r>
      <w:r w:rsidR="0020071C">
        <w:t xml:space="preserve"> two overlapping coercive systems: the criminal justice system and the mental health system.</w:t>
      </w:r>
      <w:r w:rsidR="00EB7F6A">
        <w:t xml:space="preserve"> In a context of risk aversion</w:t>
      </w:r>
      <w:r w:rsidR="00732366">
        <w:t xml:space="preserve"> and flexible legal criteria for detention</w:t>
      </w:r>
      <w:r w:rsidR="00EB7F6A">
        <w:t>,</w:t>
      </w:r>
      <w:r w:rsidR="0020071C">
        <w:t xml:space="preserve"> </w:t>
      </w:r>
      <w:r w:rsidR="00732366">
        <w:t xml:space="preserve">compulsion may seem inevitable </w:t>
      </w:r>
      <w:r w:rsidR="00EB7F6A">
        <w:t>f</w:t>
      </w:r>
      <w:r w:rsidR="0020071C">
        <w:t xml:space="preserve">or </w:t>
      </w:r>
      <w:r w:rsidR="001F3F1E">
        <w:t>offenders</w:t>
      </w:r>
      <w:r w:rsidR="0020071C">
        <w:t xml:space="preserve"> who are </w:t>
      </w:r>
      <w:r w:rsidR="00BC4143">
        <w:t xml:space="preserve">perceived to be </w:t>
      </w:r>
      <w:r w:rsidR="00F13DFF">
        <w:t xml:space="preserve">dangerous by </w:t>
      </w:r>
      <w:r w:rsidR="00DC770A">
        <w:t>criminal justice and mental health</w:t>
      </w:r>
      <w:r w:rsidR="00F13DFF">
        <w:t xml:space="preserve"> authorities</w:t>
      </w:r>
      <w:r w:rsidR="00D24294">
        <w:t>.</w:t>
      </w:r>
      <w:r w:rsidR="0020071C">
        <w:t xml:space="preserve"> </w:t>
      </w:r>
      <w:r w:rsidR="00E94C7A">
        <w:t xml:space="preserve">The Draft Mental Health Bill </w:t>
      </w:r>
      <w:r w:rsidR="009A5594">
        <w:t xml:space="preserve">2022 </w:t>
      </w:r>
      <w:r w:rsidR="00E94C7A">
        <w:t xml:space="preserve">is a step in the right direction, but more </w:t>
      </w:r>
      <w:r w:rsidR="003373DB">
        <w:t xml:space="preserve">work </w:t>
      </w:r>
      <w:r w:rsidR="00E94C7A">
        <w:t xml:space="preserve">is needed to move </w:t>
      </w:r>
      <w:r w:rsidR="003373DB">
        <w:t xml:space="preserve">towards a </w:t>
      </w:r>
      <w:r w:rsidR="00A651B6">
        <w:t>system that is oriented towards discharge, rather than containment</w:t>
      </w:r>
      <w:r w:rsidR="00C91E3C">
        <w:t xml:space="preserve">, and a greater tolerance for </w:t>
      </w:r>
      <w:r w:rsidR="00CA47F7">
        <w:t>positive</w:t>
      </w:r>
      <w:r w:rsidR="00C77F64">
        <w:t xml:space="preserve"> risk</w:t>
      </w:r>
      <w:r w:rsidR="00E94C7A">
        <w:t>-taking</w:t>
      </w:r>
      <w:r w:rsidR="00C91E3C">
        <w:t xml:space="preserve">. </w:t>
      </w:r>
    </w:p>
    <w:p w14:paraId="2F3E9656" w14:textId="77777777" w:rsidR="00682981" w:rsidRDefault="00682981" w:rsidP="00A651B6">
      <w:pPr>
        <w:spacing w:line="276" w:lineRule="auto"/>
      </w:pPr>
    </w:p>
    <w:p w14:paraId="786B5F10" w14:textId="6B2431AA" w:rsidR="003E34D7" w:rsidRPr="001A6B03" w:rsidRDefault="00707D24" w:rsidP="00A651B6">
      <w:pPr>
        <w:spacing w:line="276" w:lineRule="auto"/>
        <w:rPr>
          <w:b/>
          <w:bCs/>
        </w:rPr>
      </w:pPr>
      <w:r>
        <w:rPr>
          <w:b/>
          <w:bCs/>
        </w:rPr>
        <w:t>Reference list</w:t>
      </w:r>
    </w:p>
    <w:p w14:paraId="322C73F7" w14:textId="78C46B18" w:rsidR="00C40EA2" w:rsidRDefault="00C40EA2" w:rsidP="00C40EA2">
      <w:r w:rsidRPr="00BD6F06">
        <w:rPr>
          <w:i/>
          <w:iCs/>
        </w:rPr>
        <w:t>A Healthcare v</w:t>
      </w:r>
      <w:r>
        <w:t>.</w:t>
      </w:r>
      <w:r w:rsidRPr="00BD6F06">
        <w:rPr>
          <w:i/>
          <w:iCs/>
        </w:rPr>
        <w:t xml:space="preserve"> CC</w:t>
      </w:r>
      <w:r w:rsidRPr="000A0198">
        <w:t xml:space="preserve"> </w:t>
      </w:r>
      <w:r w:rsidRPr="00DF0DA7">
        <w:t>[2020] EWHC 574 (Fam)</w:t>
      </w:r>
    </w:p>
    <w:p w14:paraId="03291424" w14:textId="36EBB9B3" w:rsidR="008853DB" w:rsidRDefault="008853DB" w:rsidP="00682981">
      <w:pPr>
        <w:widowControl w:val="0"/>
        <w:autoSpaceDE w:val="0"/>
        <w:autoSpaceDN w:val="0"/>
        <w:adjustRightInd w:val="0"/>
        <w:spacing w:line="240" w:lineRule="auto"/>
        <w:rPr>
          <w:noProof/>
        </w:rPr>
      </w:pPr>
      <w:r w:rsidRPr="008853DB">
        <w:rPr>
          <w:noProof/>
        </w:rPr>
        <w:t>Ahuja,</w:t>
      </w:r>
      <w:r>
        <w:rPr>
          <w:noProof/>
        </w:rPr>
        <w:t xml:space="preserve"> J. (2015)</w:t>
      </w:r>
      <w:r w:rsidRPr="008853DB">
        <w:rPr>
          <w:noProof/>
        </w:rPr>
        <w:t xml:space="preserve"> </w:t>
      </w:r>
      <w:r>
        <w:rPr>
          <w:noProof/>
        </w:rPr>
        <w:t>‘</w:t>
      </w:r>
      <w:r w:rsidR="008A3436">
        <w:rPr>
          <w:noProof/>
        </w:rPr>
        <w:t>L</w:t>
      </w:r>
      <w:r w:rsidR="008A3436" w:rsidRPr="008853DB">
        <w:rPr>
          <w:noProof/>
        </w:rPr>
        <w:t xml:space="preserve">iability </w:t>
      </w:r>
      <w:r w:rsidR="008A3436">
        <w:rPr>
          <w:noProof/>
        </w:rPr>
        <w:t>f</w:t>
      </w:r>
      <w:r w:rsidR="008A3436" w:rsidRPr="008853DB">
        <w:rPr>
          <w:noProof/>
        </w:rPr>
        <w:t xml:space="preserve">or psychological </w:t>
      </w:r>
      <w:r w:rsidR="008A3436">
        <w:rPr>
          <w:noProof/>
        </w:rPr>
        <w:t>a</w:t>
      </w:r>
      <w:r w:rsidR="008A3436" w:rsidRPr="008853DB">
        <w:rPr>
          <w:noProof/>
        </w:rPr>
        <w:t xml:space="preserve">nd psychiatric harm: </w:t>
      </w:r>
      <w:r w:rsidR="008A3436">
        <w:rPr>
          <w:noProof/>
        </w:rPr>
        <w:t>T</w:t>
      </w:r>
      <w:r w:rsidR="008A3436" w:rsidRPr="008853DB">
        <w:rPr>
          <w:noProof/>
        </w:rPr>
        <w:t xml:space="preserve">he road </w:t>
      </w:r>
      <w:r w:rsidR="008A3436">
        <w:rPr>
          <w:noProof/>
        </w:rPr>
        <w:t>t</w:t>
      </w:r>
      <w:r w:rsidR="008A3436" w:rsidRPr="008853DB">
        <w:rPr>
          <w:noProof/>
        </w:rPr>
        <w:t>o recovery</w:t>
      </w:r>
      <w:r w:rsidR="008A3436">
        <w:rPr>
          <w:noProof/>
        </w:rPr>
        <w:t>’</w:t>
      </w:r>
      <w:r w:rsidRPr="008853DB">
        <w:rPr>
          <w:noProof/>
        </w:rPr>
        <w:t xml:space="preserve">, </w:t>
      </w:r>
      <w:r w:rsidRPr="008853DB">
        <w:rPr>
          <w:i/>
          <w:noProof/>
        </w:rPr>
        <w:t>Medical Law Review</w:t>
      </w:r>
      <w:r w:rsidRPr="008853DB">
        <w:rPr>
          <w:noProof/>
        </w:rPr>
        <w:t xml:space="preserve">, </w:t>
      </w:r>
      <w:r>
        <w:rPr>
          <w:noProof/>
        </w:rPr>
        <w:t>(</w:t>
      </w:r>
      <w:r w:rsidRPr="008853DB">
        <w:rPr>
          <w:noProof/>
        </w:rPr>
        <w:t>23</w:t>
      </w:r>
      <w:r>
        <w:rPr>
          <w:noProof/>
        </w:rPr>
        <w:t>)</w:t>
      </w:r>
      <w:r w:rsidRPr="008853DB">
        <w:rPr>
          <w:noProof/>
        </w:rPr>
        <w:t xml:space="preserve">1, </w:t>
      </w:r>
      <w:r w:rsidR="00B006BD">
        <w:rPr>
          <w:noProof/>
        </w:rPr>
        <w:t xml:space="preserve">pp. </w:t>
      </w:r>
      <w:r>
        <w:rPr>
          <w:noProof/>
        </w:rPr>
        <w:t>27–52.</w:t>
      </w:r>
    </w:p>
    <w:p w14:paraId="4A2AE7C7" w14:textId="56909175" w:rsidR="00682981" w:rsidRPr="00682981" w:rsidRDefault="00682981" w:rsidP="00682981">
      <w:pPr>
        <w:widowControl w:val="0"/>
        <w:autoSpaceDE w:val="0"/>
        <w:autoSpaceDN w:val="0"/>
        <w:adjustRightInd w:val="0"/>
        <w:spacing w:line="240" w:lineRule="auto"/>
        <w:rPr>
          <w:noProof/>
        </w:rPr>
      </w:pPr>
      <w:r w:rsidRPr="00682981">
        <w:rPr>
          <w:noProof/>
        </w:rPr>
        <w:t xml:space="preserve">American Psychiatric Association (2013) </w:t>
      </w:r>
      <w:r w:rsidRPr="00682981">
        <w:rPr>
          <w:i/>
          <w:iCs/>
          <w:noProof/>
        </w:rPr>
        <w:t>Diagnostic and statistical manual of mental disorders : DSM-5.</w:t>
      </w:r>
      <w:r w:rsidRPr="00682981">
        <w:rPr>
          <w:noProof/>
        </w:rPr>
        <w:t xml:space="preserve"> 5th ed. Washington, D.C.: American Psychiatric Association.</w:t>
      </w:r>
    </w:p>
    <w:p w14:paraId="6B0AA25E" w14:textId="10A7F941" w:rsidR="00682981" w:rsidRDefault="00682981" w:rsidP="00200CD5">
      <w:pPr>
        <w:widowControl w:val="0"/>
        <w:autoSpaceDE w:val="0"/>
        <w:autoSpaceDN w:val="0"/>
        <w:adjustRightInd w:val="0"/>
        <w:spacing w:line="240" w:lineRule="auto"/>
        <w:rPr>
          <w:noProof/>
        </w:rPr>
      </w:pPr>
      <w:r w:rsidRPr="00682981">
        <w:rPr>
          <w:noProof/>
        </w:rPr>
        <w:t xml:space="preserve">Bartlett, P. (2011) ‘DSM-5 and ICD-11 on </w:t>
      </w:r>
      <w:r w:rsidR="008A3436" w:rsidRPr="00682981">
        <w:rPr>
          <w:noProof/>
        </w:rPr>
        <w:t xml:space="preserve">personality disorder: </w:t>
      </w:r>
      <w:r w:rsidR="008A3436">
        <w:rPr>
          <w:noProof/>
        </w:rPr>
        <w:t>A</w:t>
      </w:r>
      <w:r w:rsidR="008A3436" w:rsidRPr="00682981">
        <w:rPr>
          <w:noProof/>
        </w:rPr>
        <w:t xml:space="preserve"> lawyer’s perspective’</w:t>
      </w:r>
      <w:r w:rsidRPr="00682981">
        <w:rPr>
          <w:noProof/>
        </w:rPr>
        <w:t xml:space="preserve">, </w:t>
      </w:r>
      <w:r w:rsidRPr="00682981">
        <w:rPr>
          <w:i/>
          <w:iCs/>
          <w:noProof/>
        </w:rPr>
        <w:t>Personality and Mental Health</w:t>
      </w:r>
      <w:r w:rsidRPr="00682981">
        <w:rPr>
          <w:noProof/>
        </w:rPr>
        <w:t>, 5(2), pp. 144–151.</w:t>
      </w:r>
    </w:p>
    <w:p w14:paraId="1711EB1D" w14:textId="1873CBD9" w:rsidR="00200CD5" w:rsidRPr="00200CD5" w:rsidRDefault="00200CD5" w:rsidP="00200CD5">
      <w:pPr>
        <w:spacing w:line="240" w:lineRule="auto"/>
        <w:rPr>
          <w:rFonts w:eastAsiaTheme="minorEastAsia"/>
        </w:rPr>
      </w:pPr>
      <w:r w:rsidRPr="009A0886">
        <w:rPr>
          <w:rFonts w:eastAsiaTheme="minorEastAsia"/>
        </w:rPr>
        <w:t xml:space="preserve">Bartlett, P. and </w:t>
      </w:r>
      <w:proofErr w:type="spellStart"/>
      <w:r w:rsidRPr="009A0886">
        <w:rPr>
          <w:rFonts w:eastAsiaTheme="minorEastAsia"/>
        </w:rPr>
        <w:t>Sandland</w:t>
      </w:r>
      <w:proofErr w:type="spellEnd"/>
      <w:r w:rsidRPr="009A0886">
        <w:rPr>
          <w:rFonts w:eastAsiaTheme="minorEastAsia"/>
        </w:rPr>
        <w:t xml:space="preserve">, R. (2014) </w:t>
      </w:r>
      <w:r w:rsidRPr="009A0886">
        <w:rPr>
          <w:rFonts w:eastAsiaTheme="minorEastAsia"/>
          <w:i/>
        </w:rPr>
        <w:t xml:space="preserve">Mental </w:t>
      </w:r>
      <w:r w:rsidR="00B006BD">
        <w:rPr>
          <w:rFonts w:eastAsiaTheme="minorEastAsia"/>
          <w:i/>
        </w:rPr>
        <w:t>h</w:t>
      </w:r>
      <w:r w:rsidRPr="009A0886">
        <w:rPr>
          <w:rFonts w:eastAsiaTheme="minorEastAsia"/>
          <w:i/>
        </w:rPr>
        <w:t xml:space="preserve">ealth </w:t>
      </w:r>
      <w:r w:rsidR="00B006BD">
        <w:rPr>
          <w:rFonts w:eastAsiaTheme="minorEastAsia"/>
          <w:i/>
        </w:rPr>
        <w:t>l</w:t>
      </w:r>
      <w:r w:rsidRPr="009A0886">
        <w:rPr>
          <w:rFonts w:eastAsiaTheme="minorEastAsia"/>
          <w:i/>
        </w:rPr>
        <w:t xml:space="preserve">aw: Policy and </w:t>
      </w:r>
      <w:r w:rsidR="00B006BD">
        <w:rPr>
          <w:rFonts w:eastAsiaTheme="minorEastAsia"/>
          <w:i/>
        </w:rPr>
        <w:t>p</w:t>
      </w:r>
      <w:r w:rsidRPr="009A0886">
        <w:rPr>
          <w:rFonts w:eastAsiaTheme="minorEastAsia"/>
          <w:i/>
        </w:rPr>
        <w:t>ractice</w:t>
      </w:r>
      <w:r w:rsidRPr="009A0886">
        <w:rPr>
          <w:rFonts w:eastAsiaTheme="minorEastAsia"/>
        </w:rPr>
        <w:t>. Oxford: Oxford University Press.</w:t>
      </w:r>
    </w:p>
    <w:p w14:paraId="2C2D59BD" w14:textId="55E3E04F" w:rsidR="00B9098D" w:rsidRPr="00682981" w:rsidRDefault="00B9098D" w:rsidP="00200CD5">
      <w:pPr>
        <w:spacing w:line="240" w:lineRule="auto"/>
      </w:pPr>
      <w:r w:rsidRPr="000A0198">
        <w:rPr>
          <w:i/>
        </w:rPr>
        <w:t>B</w:t>
      </w:r>
      <w:r>
        <w:rPr>
          <w:i/>
        </w:rPr>
        <w:t>.</w:t>
      </w:r>
      <w:r w:rsidRPr="000A0198">
        <w:rPr>
          <w:i/>
        </w:rPr>
        <w:t xml:space="preserve"> v. Croydon Health Authority</w:t>
      </w:r>
      <w:r w:rsidRPr="000A0198">
        <w:t xml:space="preserve"> [1995] 1 All ER 683</w:t>
      </w:r>
      <w:r w:rsidR="007B5D41">
        <w:t>.</w:t>
      </w:r>
    </w:p>
    <w:p w14:paraId="00F343FD" w14:textId="302EB108" w:rsidR="00965918" w:rsidRPr="00682981" w:rsidRDefault="00682981" w:rsidP="00200CD5">
      <w:pPr>
        <w:widowControl w:val="0"/>
        <w:autoSpaceDE w:val="0"/>
        <w:autoSpaceDN w:val="0"/>
        <w:adjustRightInd w:val="0"/>
        <w:spacing w:line="240" w:lineRule="auto"/>
        <w:rPr>
          <w:noProof/>
        </w:rPr>
      </w:pPr>
      <w:r w:rsidRPr="00682981">
        <w:rPr>
          <w:noProof/>
        </w:rPr>
        <w:t xml:space="preserve">Bateman, A. W., Gunderson, J. and Mulder, R. (2015) ‘Treatment of personality disorder’, </w:t>
      </w:r>
      <w:r w:rsidRPr="00682981">
        <w:rPr>
          <w:i/>
          <w:iCs/>
          <w:noProof/>
        </w:rPr>
        <w:t>The Lancet</w:t>
      </w:r>
      <w:r w:rsidR="006C366B">
        <w:rPr>
          <w:noProof/>
        </w:rPr>
        <w:t>,</w:t>
      </w:r>
      <w:r w:rsidRPr="00682981">
        <w:rPr>
          <w:noProof/>
        </w:rPr>
        <w:t xml:space="preserve"> 385(9969), pp. 735–743.</w:t>
      </w:r>
    </w:p>
    <w:p w14:paraId="4B31BDAE" w14:textId="51236B98" w:rsidR="00682981" w:rsidRPr="00682981" w:rsidRDefault="00682981" w:rsidP="00682981">
      <w:pPr>
        <w:widowControl w:val="0"/>
        <w:autoSpaceDE w:val="0"/>
        <w:autoSpaceDN w:val="0"/>
        <w:adjustRightInd w:val="0"/>
        <w:spacing w:line="240" w:lineRule="auto"/>
        <w:rPr>
          <w:noProof/>
        </w:rPr>
      </w:pPr>
      <w:r w:rsidRPr="00682981">
        <w:rPr>
          <w:noProof/>
        </w:rPr>
        <w:t xml:space="preserve">Blackburn, R. (1988) ‘On </w:t>
      </w:r>
      <w:r w:rsidR="008A3436" w:rsidRPr="00682981">
        <w:rPr>
          <w:noProof/>
        </w:rPr>
        <w:t xml:space="preserve">moral judgements and personality disorders: </w:t>
      </w:r>
      <w:r w:rsidR="008A3436">
        <w:rPr>
          <w:noProof/>
        </w:rPr>
        <w:t>T</w:t>
      </w:r>
      <w:r w:rsidR="008A3436" w:rsidRPr="00682981">
        <w:rPr>
          <w:noProof/>
        </w:rPr>
        <w:t>he myth of psychopathic personality revisited’</w:t>
      </w:r>
      <w:r w:rsidRPr="00682981">
        <w:rPr>
          <w:noProof/>
        </w:rPr>
        <w:t xml:space="preserve">, </w:t>
      </w:r>
      <w:r w:rsidRPr="00682981">
        <w:rPr>
          <w:i/>
          <w:iCs/>
          <w:noProof/>
        </w:rPr>
        <w:t>British Journal of Psychiatry</w:t>
      </w:r>
      <w:r w:rsidRPr="00682981">
        <w:rPr>
          <w:noProof/>
        </w:rPr>
        <w:t xml:space="preserve">, 153(4), pp. 505–512. </w:t>
      </w:r>
    </w:p>
    <w:p w14:paraId="4E4690CE" w14:textId="77777777" w:rsidR="00682981" w:rsidRPr="00682981" w:rsidRDefault="00682981" w:rsidP="00682981">
      <w:pPr>
        <w:widowControl w:val="0"/>
        <w:autoSpaceDE w:val="0"/>
        <w:autoSpaceDN w:val="0"/>
        <w:adjustRightInd w:val="0"/>
        <w:spacing w:line="240" w:lineRule="auto"/>
        <w:rPr>
          <w:noProof/>
        </w:rPr>
      </w:pPr>
      <w:r w:rsidRPr="00682981">
        <w:rPr>
          <w:noProof/>
        </w:rPr>
        <w:t xml:space="preserve">Bowers, L. </w:t>
      </w:r>
      <w:r w:rsidRPr="00682981">
        <w:rPr>
          <w:i/>
          <w:iCs/>
          <w:noProof/>
        </w:rPr>
        <w:t>et al.</w:t>
      </w:r>
      <w:r w:rsidRPr="00682981">
        <w:rPr>
          <w:noProof/>
        </w:rPr>
        <w:t xml:space="preserve"> (2006) ‘Attitude to personality disorder among prison officers working in a dangerous and severe personality disorder unit’, </w:t>
      </w:r>
      <w:r w:rsidRPr="00682981">
        <w:rPr>
          <w:i/>
          <w:iCs/>
          <w:noProof/>
        </w:rPr>
        <w:t>International Journal of Law and Psychiatry</w:t>
      </w:r>
      <w:r w:rsidRPr="00682981">
        <w:rPr>
          <w:noProof/>
        </w:rPr>
        <w:t>, 29(5), pp. 333–342.</w:t>
      </w:r>
    </w:p>
    <w:p w14:paraId="042E0B74" w14:textId="00C47A89" w:rsidR="00682981" w:rsidRDefault="00682981" w:rsidP="007B5D41">
      <w:pPr>
        <w:widowControl w:val="0"/>
        <w:autoSpaceDE w:val="0"/>
        <w:autoSpaceDN w:val="0"/>
        <w:adjustRightInd w:val="0"/>
        <w:spacing w:line="240" w:lineRule="auto"/>
        <w:rPr>
          <w:rFonts w:eastAsia="Times New Roman"/>
        </w:rPr>
      </w:pPr>
      <w:r w:rsidRPr="00682981">
        <w:rPr>
          <w:noProof/>
        </w:rPr>
        <w:t xml:space="preserve">Burns, T. </w:t>
      </w:r>
      <w:r w:rsidRPr="00682981">
        <w:rPr>
          <w:i/>
          <w:iCs/>
          <w:noProof/>
        </w:rPr>
        <w:t>et al.</w:t>
      </w:r>
      <w:r w:rsidRPr="00682981">
        <w:rPr>
          <w:noProof/>
        </w:rPr>
        <w:t xml:space="preserve"> (2011) </w:t>
      </w:r>
      <w:r w:rsidRPr="00682981">
        <w:rPr>
          <w:i/>
          <w:iCs/>
          <w:noProof/>
        </w:rPr>
        <w:t xml:space="preserve">Inclusion for DSPD: Evaluating </w:t>
      </w:r>
      <w:r w:rsidR="008A3436">
        <w:rPr>
          <w:i/>
          <w:iCs/>
          <w:noProof/>
        </w:rPr>
        <w:t>a</w:t>
      </w:r>
      <w:r w:rsidRPr="00682981">
        <w:rPr>
          <w:i/>
          <w:iCs/>
          <w:noProof/>
        </w:rPr>
        <w:t>ssessment and treatment (IDEA )</w:t>
      </w:r>
      <w:r w:rsidRPr="00682981">
        <w:rPr>
          <w:noProof/>
        </w:rPr>
        <w:t>.</w:t>
      </w:r>
      <w:r w:rsidR="00C70D75">
        <w:rPr>
          <w:noProof/>
        </w:rPr>
        <w:t xml:space="preserve"> </w:t>
      </w:r>
      <w:r w:rsidR="00C70D75" w:rsidRPr="00C70D75">
        <w:rPr>
          <w:rFonts w:eastAsia="Times New Roman"/>
          <w:i/>
        </w:rPr>
        <w:t xml:space="preserve">Final </w:t>
      </w:r>
      <w:r w:rsidR="008A3436">
        <w:rPr>
          <w:rFonts w:eastAsia="Times New Roman"/>
          <w:i/>
        </w:rPr>
        <w:t>r</w:t>
      </w:r>
      <w:r w:rsidR="00C70D75" w:rsidRPr="00C70D75">
        <w:rPr>
          <w:rFonts w:eastAsia="Times New Roman"/>
          <w:i/>
        </w:rPr>
        <w:t>eport to NHS National R&amp;D Programme on Forensic Mental Health</w:t>
      </w:r>
      <w:r w:rsidR="00C70D75" w:rsidRPr="00C70D75">
        <w:rPr>
          <w:rFonts w:eastAsia="Times New Roman"/>
        </w:rPr>
        <w:t>. London: Ministry of Justice.</w:t>
      </w:r>
    </w:p>
    <w:p w14:paraId="5F877B65" w14:textId="127FE43A" w:rsidR="00965918" w:rsidRPr="00965918" w:rsidRDefault="00965918" w:rsidP="007B5D41">
      <w:pPr>
        <w:spacing w:line="240" w:lineRule="auto"/>
        <w:rPr>
          <w:rFonts w:eastAsiaTheme="minorEastAsia"/>
        </w:rPr>
      </w:pPr>
      <w:r w:rsidRPr="009A0886">
        <w:rPr>
          <w:rFonts w:eastAsiaTheme="minorEastAsia"/>
        </w:rPr>
        <w:t xml:space="preserve">Butler, R.A. (1975) </w:t>
      </w:r>
      <w:r w:rsidRPr="009A0886">
        <w:rPr>
          <w:rFonts w:eastAsiaTheme="minorEastAsia"/>
          <w:i/>
        </w:rPr>
        <w:t xml:space="preserve">Report of the </w:t>
      </w:r>
      <w:r w:rsidR="008A3436" w:rsidRPr="009A0886">
        <w:rPr>
          <w:rFonts w:eastAsiaTheme="minorEastAsia"/>
          <w:i/>
        </w:rPr>
        <w:t>committee on mentally abnormal offenders</w:t>
      </w:r>
      <w:r w:rsidRPr="009A0886">
        <w:rPr>
          <w:rFonts w:eastAsiaTheme="minorEastAsia"/>
        </w:rPr>
        <w:t>. London: H.M.S.O.</w:t>
      </w:r>
    </w:p>
    <w:p w14:paraId="757A01BB" w14:textId="79DA1122" w:rsidR="00682981" w:rsidRPr="00682981" w:rsidRDefault="00682981" w:rsidP="007B5D41">
      <w:pPr>
        <w:widowControl w:val="0"/>
        <w:autoSpaceDE w:val="0"/>
        <w:autoSpaceDN w:val="0"/>
        <w:adjustRightInd w:val="0"/>
        <w:spacing w:line="240" w:lineRule="auto"/>
        <w:rPr>
          <w:noProof/>
        </w:rPr>
      </w:pPr>
      <w:r w:rsidRPr="00682981">
        <w:rPr>
          <w:noProof/>
        </w:rPr>
        <w:t xml:space="preserve">Castillo, H. (2003) </w:t>
      </w:r>
      <w:r w:rsidRPr="00682981">
        <w:rPr>
          <w:i/>
          <w:iCs/>
          <w:noProof/>
        </w:rPr>
        <w:t xml:space="preserve">Personality </w:t>
      </w:r>
      <w:r w:rsidR="008A3436">
        <w:rPr>
          <w:i/>
          <w:iCs/>
          <w:noProof/>
        </w:rPr>
        <w:t>d</w:t>
      </w:r>
      <w:r w:rsidRPr="00682981">
        <w:rPr>
          <w:i/>
          <w:iCs/>
          <w:noProof/>
        </w:rPr>
        <w:t xml:space="preserve">isorder: Temperament or </w:t>
      </w:r>
      <w:r w:rsidR="008A3436">
        <w:rPr>
          <w:i/>
          <w:iCs/>
          <w:noProof/>
        </w:rPr>
        <w:t>t</w:t>
      </w:r>
      <w:r w:rsidRPr="00682981">
        <w:rPr>
          <w:i/>
          <w:iCs/>
          <w:noProof/>
        </w:rPr>
        <w:t>rauma?</w:t>
      </w:r>
      <w:r w:rsidRPr="00682981">
        <w:rPr>
          <w:noProof/>
        </w:rPr>
        <w:t xml:space="preserve"> London: Jessica Kingsley.</w:t>
      </w:r>
    </w:p>
    <w:p w14:paraId="64A163A9" w14:textId="77777777" w:rsidR="00682981" w:rsidRPr="00682981" w:rsidRDefault="00682981" w:rsidP="007B5D41">
      <w:pPr>
        <w:widowControl w:val="0"/>
        <w:autoSpaceDE w:val="0"/>
        <w:autoSpaceDN w:val="0"/>
        <w:adjustRightInd w:val="0"/>
        <w:spacing w:line="240" w:lineRule="auto"/>
        <w:rPr>
          <w:noProof/>
        </w:rPr>
      </w:pPr>
      <w:r w:rsidRPr="00682981">
        <w:rPr>
          <w:noProof/>
        </w:rPr>
        <w:t xml:space="preserve">Coolidge, F. L. and Segal, D. L. (1998) ‘Evolution of personality disorder diagnosis in the Diagnostic and statistical manual of mental disorders’, </w:t>
      </w:r>
      <w:r w:rsidRPr="00682981">
        <w:rPr>
          <w:i/>
          <w:iCs/>
          <w:noProof/>
        </w:rPr>
        <w:t>Clinical Psychology Review</w:t>
      </w:r>
      <w:r w:rsidRPr="00682981">
        <w:rPr>
          <w:noProof/>
        </w:rPr>
        <w:t>, 18(5), pp. 585–599.</w:t>
      </w:r>
    </w:p>
    <w:p w14:paraId="1E7926A2" w14:textId="1C22099A" w:rsidR="00682981" w:rsidRPr="00682981" w:rsidRDefault="00682981" w:rsidP="00682981">
      <w:pPr>
        <w:widowControl w:val="0"/>
        <w:autoSpaceDE w:val="0"/>
        <w:autoSpaceDN w:val="0"/>
        <w:adjustRightInd w:val="0"/>
        <w:spacing w:line="240" w:lineRule="auto"/>
        <w:rPr>
          <w:noProof/>
        </w:rPr>
      </w:pPr>
      <w:r w:rsidRPr="00682981">
        <w:rPr>
          <w:noProof/>
        </w:rPr>
        <w:t>Daw, R. (2007) ‘The Mental Health Act 2007</w:t>
      </w:r>
      <w:r w:rsidR="008A3436">
        <w:rPr>
          <w:noProof/>
        </w:rPr>
        <w:t>:</w:t>
      </w:r>
      <w:r w:rsidRPr="00682981">
        <w:rPr>
          <w:noProof/>
        </w:rPr>
        <w:t xml:space="preserve"> The </w:t>
      </w:r>
      <w:r w:rsidR="008A3436">
        <w:rPr>
          <w:noProof/>
        </w:rPr>
        <w:t>d</w:t>
      </w:r>
      <w:r w:rsidRPr="00682981">
        <w:rPr>
          <w:noProof/>
        </w:rPr>
        <w:t xml:space="preserve">efeat of an </w:t>
      </w:r>
      <w:r w:rsidR="008A3436">
        <w:rPr>
          <w:noProof/>
        </w:rPr>
        <w:t>i</w:t>
      </w:r>
      <w:r w:rsidRPr="00682981">
        <w:rPr>
          <w:noProof/>
        </w:rPr>
        <w:t xml:space="preserve">deal’, </w:t>
      </w:r>
      <w:r w:rsidRPr="00682981">
        <w:rPr>
          <w:i/>
          <w:iCs/>
          <w:noProof/>
        </w:rPr>
        <w:t>Journal of Mental Health Law</w:t>
      </w:r>
      <w:r w:rsidRPr="00682981">
        <w:rPr>
          <w:noProof/>
        </w:rPr>
        <w:t>, 1(16), p</w:t>
      </w:r>
      <w:r w:rsidR="007B5D41">
        <w:rPr>
          <w:noProof/>
        </w:rPr>
        <w:t>p</w:t>
      </w:r>
      <w:r w:rsidRPr="00682981">
        <w:rPr>
          <w:noProof/>
        </w:rPr>
        <w:t>. 131</w:t>
      </w:r>
      <w:r w:rsidR="007B5D41">
        <w:rPr>
          <w:noProof/>
        </w:rPr>
        <w:t>-148</w:t>
      </w:r>
      <w:r w:rsidRPr="00682981">
        <w:rPr>
          <w:noProof/>
        </w:rPr>
        <w:t>.</w:t>
      </w:r>
    </w:p>
    <w:p w14:paraId="28CBDF55" w14:textId="301A7D5F" w:rsidR="00682981" w:rsidRPr="00682981" w:rsidRDefault="00682981" w:rsidP="00682981">
      <w:pPr>
        <w:widowControl w:val="0"/>
        <w:autoSpaceDE w:val="0"/>
        <w:autoSpaceDN w:val="0"/>
        <w:adjustRightInd w:val="0"/>
        <w:spacing w:line="240" w:lineRule="auto"/>
        <w:rPr>
          <w:noProof/>
        </w:rPr>
      </w:pPr>
      <w:r w:rsidRPr="00682981">
        <w:rPr>
          <w:noProof/>
        </w:rPr>
        <w:lastRenderedPageBreak/>
        <w:t xml:space="preserve">Dawson, J. B. (2018) ‘The Australasian </w:t>
      </w:r>
      <w:r w:rsidR="008A3436" w:rsidRPr="00682981">
        <w:rPr>
          <w:noProof/>
        </w:rPr>
        <w:t xml:space="preserve">approach to the definition of mental disorder </w:t>
      </w:r>
      <w:r w:rsidRPr="00682981">
        <w:rPr>
          <w:noProof/>
        </w:rPr>
        <w:t xml:space="preserve">in a Mental Health Act’, </w:t>
      </w:r>
      <w:r w:rsidRPr="00682981">
        <w:rPr>
          <w:i/>
          <w:iCs/>
          <w:noProof/>
        </w:rPr>
        <w:t>Medical Law Review</w:t>
      </w:r>
      <w:r w:rsidRPr="00682981">
        <w:rPr>
          <w:noProof/>
        </w:rPr>
        <w:t>, 26(4), pp. 610–632.</w:t>
      </w:r>
    </w:p>
    <w:p w14:paraId="3043887C" w14:textId="37883FF0" w:rsidR="00682981" w:rsidRPr="00682981" w:rsidRDefault="00682981" w:rsidP="00A11D0A">
      <w:pPr>
        <w:widowControl w:val="0"/>
        <w:autoSpaceDE w:val="0"/>
        <w:autoSpaceDN w:val="0"/>
        <w:adjustRightInd w:val="0"/>
        <w:spacing w:line="240" w:lineRule="auto"/>
        <w:rPr>
          <w:noProof/>
        </w:rPr>
      </w:pPr>
      <w:r w:rsidRPr="00682981">
        <w:rPr>
          <w:noProof/>
        </w:rPr>
        <w:t xml:space="preserve">Day, N. J. S. </w:t>
      </w:r>
      <w:r w:rsidRPr="00682981">
        <w:rPr>
          <w:i/>
          <w:iCs/>
          <w:noProof/>
        </w:rPr>
        <w:t>et al.</w:t>
      </w:r>
      <w:r w:rsidRPr="00682981">
        <w:rPr>
          <w:noProof/>
        </w:rPr>
        <w:t xml:space="preserve"> (2018) ‘Clinician attitudes towards borderline personality disorder: A 15-year comparison’, </w:t>
      </w:r>
      <w:r w:rsidRPr="00682981">
        <w:rPr>
          <w:i/>
          <w:iCs/>
          <w:noProof/>
        </w:rPr>
        <w:t>Personality and Mental Health</w:t>
      </w:r>
      <w:r w:rsidRPr="00682981">
        <w:rPr>
          <w:noProof/>
        </w:rPr>
        <w:t>. John Wiley &amp; Sons, Ltd, 12(4), pp. 309–320.</w:t>
      </w:r>
    </w:p>
    <w:p w14:paraId="29D7D743" w14:textId="0348705E" w:rsidR="00682981" w:rsidRPr="00682981" w:rsidRDefault="00682981" w:rsidP="00A11D0A">
      <w:pPr>
        <w:widowControl w:val="0"/>
        <w:autoSpaceDE w:val="0"/>
        <w:autoSpaceDN w:val="0"/>
        <w:adjustRightInd w:val="0"/>
        <w:spacing w:line="240" w:lineRule="auto"/>
        <w:rPr>
          <w:noProof/>
        </w:rPr>
      </w:pPr>
      <w:r w:rsidRPr="00682981">
        <w:rPr>
          <w:noProof/>
        </w:rPr>
        <w:t xml:space="preserve">Department for Constitutional Affairs (2007) </w:t>
      </w:r>
      <w:r w:rsidRPr="00682981">
        <w:rPr>
          <w:i/>
          <w:iCs/>
          <w:noProof/>
        </w:rPr>
        <w:t>Mental Capacity Act 2005</w:t>
      </w:r>
      <w:r w:rsidR="008A3436">
        <w:rPr>
          <w:i/>
          <w:iCs/>
          <w:noProof/>
        </w:rPr>
        <w:t>:</w:t>
      </w:r>
      <w:r w:rsidRPr="00682981">
        <w:rPr>
          <w:i/>
          <w:iCs/>
          <w:noProof/>
        </w:rPr>
        <w:t xml:space="preserve"> Code of Practice</w:t>
      </w:r>
      <w:r w:rsidRPr="00682981">
        <w:rPr>
          <w:noProof/>
        </w:rPr>
        <w:t>. London: TSO.</w:t>
      </w:r>
    </w:p>
    <w:p w14:paraId="5869F37D" w14:textId="52894488" w:rsidR="00682981" w:rsidRDefault="00682981" w:rsidP="00A11D0A">
      <w:pPr>
        <w:widowControl w:val="0"/>
        <w:autoSpaceDE w:val="0"/>
        <w:autoSpaceDN w:val="0"/>
        <w:adjustRightInd w:val="0"/>
        <w:spacing w:line="240" w:lineRule="auto"/>
        <w:rPr>
          <w:noProof/>
        </w:rPr>
      </w:pPr>
      <w:r w:rsidRPr="00682981">
        <w:rPr>
          <w:noProof/>
        </w:rPr>
        <w:t xml:space="preserve">Department of Health (2015) </w:t>
      </w:r>
      <w:r w:rsidRPr="00682981">
        <w:rPr>
          <w:i/>
          <w:iCs/>
          <w:noProof/>
        </w:rPr>
        <w:t>Mental Health Act 1983: Code of Practice</w:t>
      </w:r>
      <w:r w:rsidRPr="00682981">
        <w:rPr>
          <w:noProof/>
        </w:rPr>
        <w:t>. London: TSO.</w:t>
      </w:r>
    </w:p>
    <w:p w14:paraId="7716FF21" w14:textId="0C63BEFA" w:rsidR="00A11D0A" w:rsidRPr="00A11D0A" w:rsidRDefault="00A11D0A" w:rsidP="00A11D0A">
      <w:pPr>
        <w:spacing w:line="240" w:lineRule="auto"/>
        <w:rPr>
          <w:rFonts w:eastAsiaTheme="minorEastAsia"/>
        </w:rPr>
      </w:pPr>
      <w:r w:rsidRPr="009A0886">
        <w:rPr>
          <w:rFonts w:eastAsiaTheme="minorEastAsia"/>
          <w:bCs/>
        </w:rPr>
        <w:t>Department of Health</w:t>
      </w:r>
      <w:r w:rsidRPr="009A0886">
        <w:rPr>
          <w:rFonts w:eastAsiaTheme="minorEastAsia"/>
          <w:b/>
          <w:bCs/>
        </w:rPr>
        <w:t xml:space="preserve"> </w:t>
      </w:r>
      <w:r w:rsidRPr="009A0886">
        <w:rPr>
          <w:rFonts w:eastAsiaTheme="minorEastAsia"/>
          <w:bCs/>
        </w:rPr>
        <w:t>(</w:t>
      </w:r>
      <w:r w:rsidRPr="009A0886">
        <w:rPr>
          <w:rFonts w:eastAsiaTheme="minorEastAsia"/>
        </w:rPr>
        <w:t>1999</w:t>
      </w:r>
      <w:r w:rsidRPr="009A0886">
        <w:rPr>
          <w:rFonts w:eastAsiaTheme="minorEastAsia"/>
          <w:bCs/>
        </w:rPr>
        <w:t>)</w:t>
      </w:r>
      <w:r w:rsidRPr="009A0886">
        <w:rPr>
          <w:rFonts w:eastAsiaTheme="minorEastAsia"/>
        </w:rPr>
        <w:t> </w:t>
      </w:r>
      <w:r w:rsidRPr="009A0886">
        <w:rPr>
          <w:rFonts w:eastAsiaTheme="minorEastAsia"/>
          <w:i/>
          <w:iCs/>
        </w:rPr>
        <w:t>Report of the Expert Committee: Review of the Mental Health Act 1983</w:t>
      </w:r>
      <w:r w:rsidRPr="009A0886">
        <w:rPr>
          <w:rFonts w:eastAsiaTheme="minorEastAsia"/>
        </w:rPr>
        <w:t>. London: Department of Health.</w:t>
      </w:r>
    </w:p>
    <w:p w14:paraId="73AEED8E" w14:textId="77777777" w:rsidR="00682981" w:rsidRPr="00682981" w:rsidRDefault="00682981" w:rsidP="00A11D0A">
      <w:pPr>
        <w:widowControl w:val="0"/>
        <w:autoSpaceDE w:val="0"/>
        <w:autoSpaceDN w:val="0"/>
        <w:adjustRightInd w:val="0"/>
        <w:spacing w:line="240" w:lineRule="auto"/>
        <w:rPr>
          <w:noProof/>
        </w:rPr>
      </w:pPr>
      <w:r w:rsidRPr="00682981">
        <w:rPr>
          <w:noProof/>
        </w:rPr>
        <w:t xml:space="preserve">Department of Health and Social Care (2018) </w:t>
      </w:r>
      <w:r w:rsidRPr="00682981">
        <w:rPr>
          <w:i/>
          <w:iCs/>
          <w:noProof/>
        </w:rPr>
        <w:t>Modernising the Mental Health Act: Increasing choice, reducing compulsion. Final report of the Independent Review of the Mental Health Act 1983 (The Wessely Review)</w:t>
      </w:r>
      <w:r w:rsidRPr="00682981">
        <w:rPr>
          <w:noProof/>
        </w:rPr>
        <w:t>. London: Department of Health and Social Care.</w:t>
      </w:r>
    </w:p>
    <w:p w14:paraId="18DC570D" w14:textId="73C3A7E7" w:rsidR="00682981" w:rsidRDefault="00682981" w:rsidP="00A11D0A">
      <w:pPr>
        <w:widowControl w:val="0"/>
        <w:autoSpaceDE w:val="0"/>
        <w:autoSpaceDN w:val="0"/>
        <w:adjustRightInd w:val="0"/>
        <w:spacing w:line="240" w:lineRule="auto"/>
        <w:rPr>
          <w:noProof/>
        </w:rPr>
      </w:pPr>
      <w:r w:rsidRPr="00682981">
        <w:rPr>
          <w:noProof/>
        </w:rPr>
        <w:t xml:space="preserve">Department of Health and Social Care and Ministry of Justice (2021) </w:t>
      </w:r>
      <w:r w:rsidRPr="00682981">
        <w:rPr>
          <w:i/>
          <w:iCs/>
          <w:noProof/>
        </w:rPr>
        <w:t>Reforming the Mental Health Act</w:t>
      </w:r>
      <w:r w:rsidRPr="00682981">
        <w:rPr>
          <w:noProof/>
        </w:rPr>
        <w:t>. London: HMSO.</w:t>
      </w:r>
    </w:p>
    <w:p w14:paraId="340D4201" w14:textId="4DA800B6" w:rsidR="00262665" w:rsidRDefault="00262665" w:rsidP="00682981">
      <w:pPr>
        <w:widowControl w:val="0"/>
        <w:autoSpaceDE w:val="0"/>
        <w:autoSpaceDN w:val="0"/>
        <w:adjustRightInd w:val="0"/>
        <w:spacing w:line="240" w:lineRule="auto"/>
      </w:pPr>
      <w:r w:rsidRPr="000A0198">
        <w:rPr>
          <w:i/>
        </w:rPr>
        <w:t>DL-H v. Devon Partnership NHS Trust and Secretary of State for Justice</w:t>
      </w:r>
      <w:r w:rsidRPr="000A0198">
        <w:t xml:space="preserve"> [2010] UKUT 102 (AAC)</w:t>
      </w:r>
      <w:r>
        <w:t>.</w:t>
      </w:r>
    </w:p>
    <w:p w14:paraId="413035B0" w14:textId="24E231C1" w:rsidR="00261502" w:rsidRPr="00682981" w:rsidRDefault="00261502" w:rsidP="00682981">
      <w:pPr>
        <w:widowControl w:val="0"/>
        <w:autoSpaceDE w:val="0"/>
        <w:autoSpaceDN w:val="0"/>
        <w:adjustRightInd w:val="0"/>
        <w:spacing w:line="240" w:lineRule="auto"/>
        <w:rPr>
          <w:noProof/>
        </w:rPr>
      </w:pPr>
      <w:r w:rsidRPr="00EC79D5">
        <w:rPr>
          <w:i/>
          <w:iCs/>
        </w:rPr>
        <w:t xml:space="preserve">DL-H v Partnerships in Care </w:t>
      </w:r>
      <w:r w:rsidRPr="00EC79D5">
        <w:t>[2013] UKUT 500 (AAC)</w:t>
      </w:r>
      <w:r>
        <w:t xml:space="preserve">, </w:t>
      </w:r>
      <w:r w:rsidRPr="00AF610F">
        <w:t>[2014] AACR 16</w:t>
      </w:r>
      <w:r>
        <w:t>.</w:t>
      </w:r>
    </w:p>
    <w:p w14:paraId="580447F1" w14:textId="21139E5A" w:rsidR="00682981" w:rsidRPr="00682981" w:rsidRDefault="00682981" w:rsidP="00682981">
      <w:pPr>
        <w:widowControl w:val="0"/>
        <w:autoSpaceDE w:val="0"/>
        <w:autoSpaceDN w:val="0"/>
        <w:adjustRightInd w:val="0"/>
        <w:spacing w:line="240" w:lineRule="auto"/>
        <w:rPr>
          <w:noProof/>
        </w:rPr>
      </w:pPr>
      <w:r w:rsidRPr="00682981">
        <w:rPr>
          <w:noProof/>
        </w:rPr>
        <w:t xml:space="preserve">Eigen, J. P. (1995) </w:t>
      </w:r>
      <w:r w:rsidRPr="00682981">
        <w:rPr>
          <w:i/>
          <w:iCs/>
          <w:noProof/>
        </w:rPr>
        <w:t xml:space="preserve">Witnessing </w:t>
      </w:r>
      <w:r w:rsidR="008A3436" w:rsidRPr="00682981">
        <w:rPr>
          <w:i/>
          <w:iCs/>
          <w:noProof/>
        </w:rPr>
        <w:t>insa</w:t>
      </w:r>
      <w:r w:rsidRPr="00682981">
        <w:rPr>
          <w:i/>
          <w:iCs/>
          <w:noProof/>
        </w:rPr>
        <w:t xml:space="preserve">nity: Madness and </w:t>
      </w:r>
      <w:r w:rsidR="008A3436" w:rsidRPr="00682981">
        <w:rPr>
          <w:i/>
          <w:iCs/>
          <w:noProof/>
        </w:rPr>
        <w:t xml:space="preserve">mad-doctors in the </w:t>
      </w:r>
      <w:r w:rsidRPr="00682981">
        <w:rPr>
          <w:i/>
          <w:iCs/>
          <w:noProof/>
        </w:rPr>
        <w:t xml:space="preserve">English </w:t>
      </w:r>
      <w:r w:rsidR="008A3436" w:rsidRPr="00682981">
        <w:rPr>
          <w:i/>
          <w:iCs/>
          <w:noProof/>
        </w:rPr>
        <w:t>co</w:t>
      </w:r>
      <w:r w:rsidRPr="00682981">
        <w:rPr>
          <w:i/>
          <w:iCs/>
          <w:noProof/>
        </w:rPr>
        <w:t>urt</w:t>
      </w:r>
      <w:r w:rsidRPr="00682981">
        <w:rPr>
          <w:noProof/>
        </w:rPr>
        <w:t>. New Haven; London: Yale University Press.</w:t>
      </w:r>
    </w:p>
    <w:p w14:paraId="3748C790" w14:textId="06D0A614" w:rsidR="00682981" w:rsidRDefault="00682981" w:rsidP="00861AA3">
      <w:pPr>
        <w:widowControl w:val="0"/>
        <w:autoSpaceDE w:val="0"/>
        <w:autoSpaceDN w:val="0"/>
        <w:adjustRightInd w:val="0"/>
        <w:spacing w:line="240" w:lineRule="auto"/>
        <w:rPr>
          <w:noProof/>
        </w:rPr>
      </w:pPr>
      <w:r w:rsidRPr="00682981">
        <w:rPr>
          <w:noProof/>
        </w:rPr>
        <w:t xml:space="preserve">Fallon, P. </w:t>
      </w:r>
      <w:r w:rsidRPr="00682981">
        <w:rPr>
          <w:i/>
          <w:iCs/>
          <w:noProof/>
        </w:rPr>
        <w:t>et al.</w:t>
      </w:r>
      <w:r w:rsidRPr="00682981">
        <w:rPr>
          <w:noProof/>
        </w:rPr>
        <w:t xml:space="preserve"> (1999) </w:t>
      </w:r>
      <w:r w:rsidRPr="00682981">
        <w:rPr>
          <w:i/>
          <w:iCs/>
          <w:noProof/>
        </w:rPr>
        <w:t xml:space="preserve">Report of the </w:t>
      </w:r>
      <w:r w:rsidR="008A3436">
        <w:rPr>
          <w:i/>
          <w:iCs/>
          <w:noProof/>
        </w:rPr>
        <w:t>C</w:t>
      </w:r>
      <w:r w:rsidRPr="00682981">
        <w:rPr>
          <w:i/>
          <w:iCs/>
          <w:noProof/>
        </w:rPr>
        <w:t xml:space="preserve">ommitee of </w:t>
      </w:r>
      <w:r w:rsidR="008A3436">
        <w:rPr>
          <w:i/>
          <w:iCs/>
          <w:noProof/>
        </w:rPr>
        <w:t>I</w:t>
      </w:r>
      <w:r w:rsidRPr="00682981">
        <w:rPr>
          <w:i/>
          <w:iCs/>
          <w:noProof/>
        </w:rPr>
        <w:t>nquiry into the Personality Disorder Unit, Ashworth Special Hospital: Volume I. Cm 4194-ii</w:t>
      </w:r>
      <w:r w:rsidRPr="00682981">
        <w:rPr>
          <w:noProof/>
        </w:rPr>
        <w:t>. London: The Stationery Office.</w:t>
      </w:r>
    </w:p>
    <w:p w14:paraId="7357BB97" w14:textId="2CA51FB6" w:rsidR="00C01C8A" w:rsidRPr="00C01C8A" w:rsidRDefault="00C01C8A" w:rsidP="00861AA3">
      <w:pPr>
        <w:spacing w:line="240" w:lineRule="auto"/>
        <w:jc w:val="left"/>
        <w:rPr>
          <w:rFonts w:eastAsia="Times New Roman"/>
          <w:lang w:eastAsia="en-GB"/>
        </w:rPr>
      </w:pPr>
      <w:r>
        <w:rPr>
          <w:noProof/>
        </w:rPr>
        <w:t>Finch, E. (2022) ‘</w:t>
      </w:r>
      <w:r w:rsidRPr="00C01C8A">
        <w:rPr>
          <w:noProof/>
        </w:rPr>
        <w:t>Psychological injury: where's the harm in it?</w:t>
      </w:r>
      <w:r>
        <w:rPr>
          <w:noProof/>
        </w:rPr>
        <w:t xml:space="preserve">’, </w:t>
      </w:r>
      <w:r w:rsidRPr="00C01C8A">
        <w:rPr>
          <w:i/>
          <w:iCs/>
          <w:noProof/>
        </w:rPr>
        <w:t>Criminal Law Review</w:t>
      </w:r>
      <w:r>
        <w:rPr>
          <w:noProof/>
        </w:rPr>
        <w:t xml:space="preserve">, </w:t>
      </w:r>
      <w:r w:rsidRPr="00C01C8A">
        <w:rPr>
          <w:rFonts w:eastAsia="Times New Roman"/>
          <w:lang w:eastAsia="en-GB"/>
        </w:rPr>
        <w:t>5, 358-376</w:t>
      </w:r>
      <w:r>
        <w:rPr>
          <w:rFonts w:eastAsia="Times New Roman"/>
          <w:lang w:eastAsia="en-GB"/>
        </w:rPr>
        <w:t>.</w:t>
      </w:r>
    </w:p>
    <w:p w14:paraId="7E1C9F13" w14:textId="66215986" w:rsidR="00682981" w:rsidRPr="00682981" w:rsidRDefault="00682981" w:rsidP="00861AA3">
      <w:pPr>
        <w:widowControl w:val="0"/>
        <w:autoSpaceDE w:val="0"/>
        <w:autoSpaceDN w:val="0"/>
        <w:adjustRightInd w:val="0"/>
        <w:spacing w:line="240" w:lineRule="auto"/>
        <w:rPr>
          <w:noProof/>
        </w:rPr>
      </w:pPr>
      <w:r w:rsidRPr="00682981">
        <w:rPr>
          <w:noProof/>
        </w:rPr>
        <w:t xml:space="preserve">First, M. B. </w:t>
      </w:r>
      <w:r w:rsidRPr="00682981">
        <w:rPr>
          <w:i/>
          <w:iCs/>
          <w:noProof/>
        </w:rPr>
        <w:t>et al.</w:t>
      </w:r>
      <w:r w:rsidRPr="00682981">
        <w:rPr>
          <w:noProof/>
        </w:rPr>
        <w:t xml:space="preserve"> (2002) ‘Personality </w:t>
      </w:r>
      <w:r w:rsidR="008A3436" w:rsidRPr="00682981">
        <w:rPr>
          <w:noProof/>
        </w:rPr>
        <w:t>disorders and relational disorders</w:t>
      </w:r>
      <w:r w:rsidRPr="00682981">
        <w:rPr>
          <w:noProof/>
        </w:rPr>
        <w:t xml:space="preserve">: A </w:t>
      </w:r>
      <w:r w:rsidR="008A3436" w:rsidRPr="00682981">
        <w:rPr>
          <w:noProof/>
        </w:rPr>
        <w:t>research agenda for addressing crucial gaps in</w:t>
      </w:r>
      <w:r w:rsidRPr="00682981">
        <w:rPr>
          <w:noProof/>
        </w:rPr>
        <w:t xml:space="preserve"> DSM’, </w:t>
      </w:r>
      <w:r w:rsidR="007B5D41">
        <w:rPr>
          <w:noProof/>
        </w:rPr>
        <w:t>i</w:t>
      </w:r>
      <w:r w:rsidRPr="00682981">
        <w:rPr>
          <w:noProof/>
        </w:rPr>
        <w:t xml:space="preserve">n </w:t>
      </w:r>
      <w:r w:rsidRPr="00682981">
        <w:rPr>
          <w:i/>
          <w:iCs/>
          <w:noProof/>
        </w:rPr>
        <w:t>A Research Agenda for DSM-V</w:t>
      </w:r>
      <w:r w:rsidRPr="00682981">
        <w:rPr>
          <w:noProof/>
        </w:rPr>
        <w:t>.</w:t>
      </w:r>
      <w:r w:rsidR="004B55F0">
        <w:rPr>
          <w:noProof/>
        </w:rPr>
        <w:t xml:space="preserve"> </w:t>
      </w:r>
      <w:r w:rsidR="00F019C7">
        <w:rPr>
          <w:noProof/>
        </w:rPr>
        <w:t>Washington, D.C.: American Psychiatric Association.</w:t>
      </w:r>
    </w:p>
    <w:p w14:paraId="2B0F8BD9" w14:textId="77777777" w:rsidR="00682981" w:rsidRPr="00682981" w:rsidRDefault="00682981" w:rsidP="00682981">
      <w:pPr>
        <w:widowControl w:val="0"/>
        <w:autoSpaceDE w:val="0"/>
        <w:autoSpaceDN w:val="0"/>
        <w:adjustRightInd w:val="0"/>
        <w:spacing w:line="240" w:lineRule="auto"/>
        <w:rPr>
          <w:noProof/>
        </w:rPr>
      </w:pPr>
      <w:r w:rsidRPr="00682981">
        <w:rPr>
          <w:noProof/>
        </w:rPr>
        <w:t xml:space="preserve">Galappathie, N., Khan, S. T. and Hussain, A. (2017) ‘Civil and forensic patients in secure psychiatric settings: A comparison.’, </w:t>
      </w:r>
      <w:r w:rsidRPr="00682981">
        <w:rPr>
          <w:i/>
          <w:iCs/>
          <w:noProof/>
        </w:rPr>
        <w:t>BJPsych Bulletin</w:t>
      </w:r>
      <w:r w:rsidRPr="00682981">
        <w:rPr>
          <w:noProof/>
        </w:rPr>
        <w:t>, pp. 156–159.</w:t>
      </w:r>
    </w:p>
    <w:p w14:paraId="0E74C5B3" w14:textId="5E21DE02" w:rsidR="00682981" w:rsidRPr="00682981" w:rsidRDefault="00682981" w:rsidP="00682981">
      <w:pPr>
        <w:widowControl w:val="0"/>
        <w:autoSpaceDE w:val="0"/>
        <w:autoSpaceDN w:val="0"/>
        <w:adjustRightInd w:val="0"/>
        <w:spacing w:line="240" w:lineRule="auto"/>
        <w:rPr>
          <w:noProof/>
        </w:rPr>
      </w:pPr>
      <w:r w:rsidRPr="00682981">
        <w:rPr>
          <w:noProof/>
        </w:rPr>
        <w:t xml:space="preserve">Gartlehner, G. </w:t>
      </w:r>
      <w:r w:rsidRPr="00682981">
        <w:rPr>
          <w:i/>
          <w:iCs/>
          <w:noProof/>
        </w:rPr>
        <w:t>et al.</w:t>
      </w:r>
      <w:r w:rsidRPr="00682981">
        <w:rPr>
          <w:noProof/>
        </w:rPr>
        <w:t xml:space="preserve"> (2021) ‘Pharmacological </w:t>
      </w:r>
      <w:r w:rsidR="008A3436" w:rsidRPr="00682981">
        <w:rPr>
          <w:noProof/>
        </w:rPr>
        <w:t>treatments for borderline personality dis</w:t>
      </w:r>
      <w:r w:rsidRPr="00682981">
        <w:rPr>
          <w:noProof/>
        </w:rPr>
        <w:t xml:space="preserve">order: A </w:t>
      </w:r>
      <w:r w:rsidR="008A3436" w:rsidRPr="00682981">
        <w:rPr>
          <w:noProof/>
        </w:rPr>
        <w:t>systematic review and meta</w:t>
      </w:r>
      <w:r w:rsidRPr="00682981">
        <w:rPr>
          <w:noProof/>
        </w:rPr>
        <w:t xml:space="preserve">-Analysis’, </w:t>
      </w:r>
      <w:r w:rsidRPr="00682981">
        <w:rPr>
          <w:i/>
          <w:iCs/>
          <w:noProof/>
        </w:rPr>
        <w:t>CNS Drugs</w:t>
      </w:r>
      <w:r w:rsidRPr="00682981">
        <w:rPr>
          <w:noProof/>
        </w:rPr>
        <w:t>, 35(10), pp. 1053–1067.</w:t>
      </w:r>
    </w:p>
    <w:p w14:paraId="30D10A8B" w14:textId="77777777" w:rsidR="00682981" w:rsidRPr="00682981" w:rsidRDefault="00682981" w:rsidP="00682981">
      <w:pPr>
        <w:widowControl w:val="0"/>
        <w:autoSpaceDE w:val="0"/>
        <w:autoSpaceDN w:val="0"/>
        <w:adjustRightInd w:val="0"/>
        <w:spacing w:line="240" w:lineRule="auto"/>
        <w:rPr>
          <w:noProof/>
        </w:rPr>
      </w:pPr>
      <w:r w:rsidRPr="00682981">
        <w:rPr>
          <w:noProof/>
        </w:rPr>
        <w:t xml:space="preserve">Gibbon, S. </w:t>
      </w:r>
      <w:r w:rsidRPr="00682981">
        <w:rPr>
          <w:i/>
          <w:iCs/>
          <w:noProof/>
        </w:rPr>
        <w:t>et al.</w:t>
      </w:r>
      <w:r w:rsidRPr="00682981">
        <w:rPr>
          <w:noProof/>
        </w:rPr>
        <w:t xml:space="preserve"> (2020) ‘Psychological interventions for antisocial personality disorder’, </w:t>
      </w:r>
      <w:r w:rsidRPr="00682981">
        <w:rPr>
          <w:i/>
          <w:iCs/>
          <w:noProof/>
        </w:rPr>
        <w:t>Cochrane Database of Systematic Reviews</w:t>
      </w:r>
      <w:r w:rsidRPr="00682981">
        <w:rPr>
          <w:noProof/>
        </w:rPr>
        <w:t>, (9).</w:t>
      </w:r>
    </w:p>
    <w:p w14:paraId="5E8E37E8" w14:textId="77777777" w:rsidR="00682981" w:rsidRPr="00682981" w:rsidRDefault="00682981" w:rsidP="00682981">
      <w:pPr>
        <w:widowControl w:val="0"/>
        <w:autoSpaceDE w:val="0"/>
        <w:autoSpaceDN w:val="0"/>
        <w:adjustRightInd w:val="0"/>
        <w:spacing w:line="240" w:lineRule="auto"/>
        <w:rPr>
          <w:noProof/>
        </w:rPr>
      </w:pPr>
      <w:r w:rsidRPr="005367A9">
        <w:rPr>
          <w:noProof/>
          <w:lang w:val="fr-FR"/>
        </w:rPr>
        <w:t xml:space="preserve">Grant, B. F. </w:t>
      </w:r>
      <w:r w:rsidRPr="005367A9">
        <w:rPr>
          <w:i/>
          <w:iCs/>
          <w:noProof/>
          <w:lang w:val="fr-FR"/>
        </w:rPr>
        <w:t>et al.</w:t>
      </w:r>
      <w:r w:rsidRPr="005367A9">
        <w:rPr>
          <w:noProof/>
          <w:lang w:val="fr-FR"/>
        </w:rPr>
        <w:t xml:space="preserve"> </w:t>
      </w:r>
      <w:r w:rsidRPr="00682981">
        <w:rPr>
          <w:noProof/>
        </w:rPr>
        <w:t xml:space="preserve">(2005) ‘Co-occurrence of DSM-IV personality disorders in the United States: results from the National Epidemiologic Survey on Alcohol and Related Conditions’, </w:t>
      </w:r>
      <w:r w:rsidRPr="00682981">
        <w:rPr>
          <w:i/>
          <w:iCs/>
          <w:noProof/>
        </w:rPr>
        <w:t>Comprehensive Psychiatry</w:t>
      </w:r>
      <w:r w:rsidRPr="00682981">
        <w:rPr>
          <w:noProof/>
        </w:rPr>
        <w:t xml:space="preserve">, 46(1), pp. 1–5. </w:t>
      </w:r>
    </w:p>
    <w:p w14:paraId="1103AF14" w14:textId="01F2324F" w:rsidR="00682981" w:rsidRPr="00682981" w:rsidRDefault="00682981" w:rsidP="00682981">
      <w:pPr>
        <w:widowControl w:val="0"/>
        <w:autoSpaceDE w:val="0"/>
        <w:autoSpaceDN w:val="0"/>
        <w:adjustRightInd w:val="0"/>
        <w:spacing w:line="240" w:lineRule="auto"/>
        <w:rPr>
          <w:noProof/>
        </w:rPr>
      </w:pPr>
      <w:r w:rsidRPr="005367A9">
        <w:rPr>
          <w:noProof/>
          <w:lang w:val="fr-FR"/>
        </w:rPr>
        <w:t xml:space="preserve">Grant, B. F. </w:t>
      </w:r>
      <w:r w:rsidRPr="005367A9">
        <w:rPr>
          <w:i/>
          <w:iCs/>
          <w:noProof/>
          <w:lang w:val="fr-FR"/>
        </w:rPr>
        <w:t>et al.</w:t>
      </w:r>
      <w:r w:rsidRPr="005367A9">
        <w:rPr>
          <w:noProof/>
          <w:lang w:val="fr-FR"/>
        </w:rPr>
        <w:t xml:space="preserve"> </w:t>
      </w:r>
      <w:r w:rsidRPr="00682981">
        <w:rPr>
          <w:noProof/>
        </w:rPr>
        <w:t xml:space="preserve">(2008) ‘Prevalence, </w:t>
      </w:r>
      <w:r w:rsidR="008A3436" w:rsidRPr="00682981">
        <w:rPr>
          <w:noProof/>
        </w:rPr>
        <w:t xml:space="preserve">correlates, disability, and comorbidity </w:t>
      </w:r>
      <w:r w:rsidRPr="00682981">
        <w:rPr>
          <w:noProof/>
        </w:rPr>
        <w:t xml:space="preserve">of DSM-IV </w:t>
      </w:r>
      <w:r w:rsidR="008A3436" w:rsidRPr="00682981">
        <w:rPr>
          <w:noProof/>
        </w:rPr>
        <w:t>borderline personality disorder</w:t>
      </w:r>
      <w:r w:rsidRPr="00682981">
        <w:rPr>
          <w:noProof/>
        </w:rPr>
        <w:t xml:space="preserve">: Results from the Wave 2 National Epidemiologic Survey on Alcohol and Related Conditions’, </w:t>
      </w:r>
      <w:r w:rsidRPr="00682981">
        <w:rPr>
          <w:i/>
          <w:iCs/>
          <w:noProof/>
        </w:rPr>
        <w:t>Journal of Clinical Psychiatry</w:t>
      </w:r>
      <w:r w:rsidRPr="00682981">
        <w:rPr>
          <w:noProof/>
        </w:rPr>
        <w:t>, 69(4), pp. 533–545.</w:t>
      </w:r>
    </w:p>
    <w:p w14:paraId="5560460A" w14:textId="76C3F35F" w:rsidR="00682981" w:rsidRPr="00682981" w:rsidRDefault="00682981" w:rsidP="00682981">
      <w:pPr>
        <w:widowControl w:val="0"/>
        <w:autoSpaceDE w:val="0"/>
        <w:autoSpaceDN w:val="0"/>
        <w:adjustRightInd w:val="0"/>
        <w:spacing w:line="240" w:lineRule="auto"/>
        <w:rPr>
          <w:noProof/>
        </w:rPr>
      </w:pPr>
      <w:r w:rsidRPr="005367A9">
        <w:rPr>
          <w:noProof/>
          <w:lang w:val="fr-FR"/>
        </w:rPr>
        <w:t xml:space="preserve">Gray, J. E. </w:t>
      </w:r>
      <w:r w:rsidRPr="005367A9">
        <w:rPr>
          <w:i/>
          <w:iCs/>
          <w:noProof/>
          <w:lang w:val="fr-FR"/>
        </w:rPr>
        <w:t>et al.</w:t>
      </w:r>
      <w:r w:rsidRPr="005367A9">
        <w:rPr>
          <w:noProof/>
          <w:lang w:val="fr-FR"/>
        </w:rPr>
        <w:t xml:space="preserve"> </w:t>
      </w:r>
      <w:r w:rsidRPr="00682981">
        <w:rPr>
          <w:noProof/>
        </w:rPr>
        <w:t xml:space="preserve">(2010) ‘Australian and Canadian Mental Health Acts </w:t>
      </w:r>
      <w:r w:rsidR="008A3436">
        <w:rPr>
          <w:noProof/>
        </w:rPr>
        <w:t>c</w:t>
      </w:r>
      <w:r w:rsidRPr="00682981">
        <w:rPr>
          <w:noProof/>
        </w:rPr>
        <w:t xml:space="preserve">ompared’, </w:t>
      </w:r>
      <w:r w:rsidRPr="00682981">
        <w:rPr>
          <w:i/>
          <w:iCs/>
          <w:noProof/>
        </w:rPr>
        <w:t>Australian and New Zealand Journal of Psychiatry</w:t>
      </w:r>
      <w:r w:rsidRPr="00682981">
        <w:rPr>
          <w:noProof/>
        </w:rPr>
        <w:t>, 44(12), pp. 1126–1131.</w:t>
      </w:r>
    </w:p>
    <w:p w14:paraId="696BDB2D" w14:textId="3602178E" w:rsidR="00682981" w:rsidRPr="00682981" w:rsidRDefault="00682981" w:rsidP="00682981">
      <w:pPr>
        <w:widowControl w:val="0"/>
        <w:autoSpaceDE w:val="0"/>
        <w:autoSpaceDN w:val="0"/>
        <w:adjustRightInd w:val="0"/>
        <w:spacing w:line="240" w:lineRule="auto"/>
        <w:rPr>
          <w:noProof/>
        </w:rPr>
      </w:pPr>
      <w:r w:rsidRPr="00682981">
        <w:rPr>
          <w:noProof/>
        </w:rPr>
        <w:t xml:space="preserve">Gutiérrez, F. </w:t>
      </w:r>
      <w:r w:rsidRPr="00682981">
        <w:rPr>
          <w:i/>
          <w:iCs/>
          <w:noProof/>
        </w:rPr>
        <w:t>et al.</w:t>
      </w:r>
      <w:r w:rsidRPr="00682981">
        <w:rPr>
          <w:noProof/>
        </w:rPr>
        <w:t xml:space="preserve"> (2012) ‘Personality </w:t>
      </w:r>
      <w:r w:rsidR="008A3436" w:rsidRPr="00682981">
        <w:rPr>
          <w:noProof/>
        </w:rPr>
        <w:t>disorder features through the life course’</w:t>
      </w:r>
      <w:r w:rsidRPr="00682981">
        <w:rPr>
          <w:noProof/>
        </w:rPr>
        <w:t xml:space="preserve">, </w:t>
      </w:r>
      <w:r w:rsidRPr="00682981">
        <w:rPr>
          <w:i/>
          <w:iCs/>
          <w:noProof/>
        </w:rPr>
        <w:t xml:space="preserve">Journal of </w:t>
      </w:r>
      <w:r w:rsidRPr="00682981">
        <w:rPr>
          <w:i/>
          <w:iCs/>
          <w:noProof/>
        </w:rPr>
        <w:lastRenderedPageBreak/>
        <w:t>Personality Disorders</w:t>
      </w:r>
      <w:r w:rsidRPr="00682981">
        <w:rPr>
          <w:noProof/>
        </w:rPr>
        <w:t>, 26(5), pp. 763–774.</w:t>
      </w:r>
    </w:p>
    <w:p w14:paraId="69C43C9D" w14:textId="23A08C6B" w:rsidR="00682981" w:rsidRPr="00682981" w:rsidRDefault="00682981" w:rsidP="00682981">
      <w:pPr>
        <w:widowControl w:val="0"/>
        <w:autoSpaceDE w:val="0"/>
        <w:autoSpaceDN w:val="0"/>
        <w:adjustRightInd w:val="0"/>
        <w:spacing w:line="240" w:lineRule="auto"/>
        <w:rPr>
          <w:noProof/>
        </w:rPr>
      </w:pPr>
      <w:r w:rsidRPr="005367A9">
        <w:rPr>
          <w:noProof/>
          <w:lang w:val="nl-NL"/>
        </w:rPr>
        <w:t xml:space="preserve">Herpertz, S. C. </w:t>
      </w:r>
      <w:r w:rsidRPr="005367A9">
        <w:rPr>
          <w:i/>
          <w:iCs/>
          <w:noProof/>
          <w:lang w:val="nl-NL"/>
        </w:rPr>
        <w:t>et al.</w:t>
      </w:r>
      <w:r w:rsidRPr="005367A9">
        <w:rPr>
          <w:noProof/>
          <w:lang w:val="nl-NL"/>
        </w:rPr>
        <w:t xml:space="preserve"> </w:t>
      </w:r>
      <w:r w:rsidRPr="00682981">
        <w:rPr>
          <w:noProof/>
        </w:rPr>
        <w:t xml:space="preserve">(2017) ‘The </w:t>
      </w:r>
      <w:r w:rsidR="008A3436" w:rsidRPr="00682981">
        <w:rPr>
          <w:noProof/>
        </w:rPr>
        <w:t>challenge of transforming the diagnostic system of personality disorders</w:t>
      </w:r>
      <w:r w:rsidRPr="00682981">
        <w:rPr>
          <w:noProof/>
        </w:rPr>
        <w:t xml:space="preserve">’, </w:t>
      </w:r>
      <w:r w:rsidRPr="00682981">
        <w:rPr>
          <w:i/>
          <w:iCs/>
          <w:noProof/>
        </w:rPr>
        <w:t>Journal of personality disorders</w:t>
      </w:r>
      <w:r w:rsidRPr="00682981">
        <w:rPr>
          <w:noProof/>
        </w:rPr>
        <w:t>, 31(5), pp. 577–589.</w:t>
      </w:r>
    </w:p>
    <w:p w14:paraId="28564920" w14:textId="5AA70BF4" w:rsidR="00682981" w:rsidRPr="00682981" w:rsidRDefault="00682981" w:rsidP="00682981">
      <w:pPr>
        <w:widowControl w:val="0"/>
        <w:autoSpaceDE w:val="0"/>
        <w:autoSpaceDN w:val="0"/>
        <w:adjustRightInd w:val="0"/>
        <w:spacing w:line="240" w:lineRule="auto"/>
        <w:rPr>
          <w:noProof/>
        </w:rPr>
      </w:pPr>
      <w:r w:rsidRPr="00682981">
        <w:rPr>
          <w:noProof/>
        </w:rPr>
        <w:t xml:space="preserve">Home Office and Department of Health (1999) </w:t>
      </w:r>
      <w:r w:rsidRPr="00682981">
        <w:rPr>
          <w:i/>
          <w:iCs/>
          <w:noProof/>
        </w:rPr>
        <w:t xml:space="preserve">Managing </w:t>
      </w:r>
      <w:r w:rsidR="008A3436" w:rsidRPr="00682981">
        <w:rPr>
          <w:i/>
          <w:iCs/>
          <w:noProof/>
        </w:rPr>
        <w:t>dangerous people with severe personality disorder:</w:t>
      </w:r>
      <w:r w:rsidRPr="00682981">
        <w:rPr>
          <w:i/>
          <w:iCs/>
          <w:noProof/>
        </w:rPr>
        <w:t xml:space="preserve"> Proposals for </w:t>
      </w:r>
      <w:r w:rsidR="008A3436" w:rsidRPr="00682981">
        <w:rPr>
          <w:i/>
          <w:iCs/>
          <w:noProof/>
        </w:rPr>
        <w:t>policy development</w:t>
      </w:r>
      <w:r w:rsidRPr="00682981">
        <w:rPr>
          <w:i/>
          <w:iCs/>
          <w:noProof/>
        </w:rPr>
        <w:t>.</w:t>
      </w:r>
      <w:r w:rsidRPr="00682981">
        <w:rPr>
          <w:noProof/>
        </w:rPr>
        <w:t xml:space="preserve"> London</w:t>
      </w:r>
      <w:r w:rsidR="001A0581">
        <w:rPr>
          <w:noProof/>
        </w:rPr>
        <w:t xml:space="preserve">: </w:t>
      </w:r>
      <w:r w:rsidR="001A0581" w:rsidRPr="00682981">
        <w:rPr>
          <w:noProof/>
        </w:rPr>
        <w:t>Home Office and Department of Health</w:t>
      </w:r>
      <w:r w:rsidR="001A0581">
        <w:rPr>
          <w:noProof/>
        </w:rPr>
        <w:t>.</w:t>
      </w:r>
    </w:p>
    <w:p w14:paraId="11400E4B" w14:textId="1568B885" w:rsidR="00682981" w:rsidRDefault="00682981" w:rsidP="00682981">
      <w:pPr>
        <w:widowControl w:val="0"/>
        <w:autoSpaceDE w:val="0"/>
        <w:autoSpaceDN w:val="0"/>
        <w:adjustRightInd w:val="0"/>
        <w:spacing w:line="240" w:lineRule="auto"/>
        <w:rPr>
          <w:noProof/>
        </w:rPr>
      </w:pPr>
      <w:r w:rsidRPr="00682981">
        <w:rPr>
          <w:noProof/>
        </w:rPr>
        <w:t xml:space="preserve">Horn, N., Johnstone, L. and Brooke, S. (2007) ‘Some service user perspectives on the diagnosis of </w:t>
      </w:r>
      <w:r w:rsidR="000B66DC" w:rsidRPr="00682981">
        <w:rPr>
          <w:noProof/>
        </w:rPr>
        <w:t>borderline personality disorder’</w:t>
      </w:r>
      <w:r w:rsidRPr="00682981">
        <w:rPr>
          <w:noProof/>
        </w:rPr>
        <w:t xml:space="preserve">, </w:t>
      </w:r>
      <w:r w:rsidRPr="00682981">
        <w:rPr>
          <w:i/>
          <w:iCs/>
          <w:noProof/>
        </w:rPr>
        <w:t>Journal of Mental Health</w:t>
      </w:r>
      <w:r w:rsidRPr="00682981">
        <w:rPr>
          <w:noProof/>
        </w:rPr>
        <w:t>, 16(2), pp. 255–269.</w:t>
      </w:r>
    </w:p>
    <w:p w14:paraId="34040F08" w14:textId="4B605667" w:rsidR="007644BB" w:rsidRDefault="007644BB" w:rsidP="00682981">
      <w:pPr>
        <w:widowControl w:val="0"/>
        <w:autoSpaceDE w:val="0"/>
        <w:autoSpaceDN w:val="0"/>
        <w:adjustRightInd w:val="0"/>
        <w:spacing w:line="240" w:lineRule="auto"/>
      </w:pPr>
      <w:r w:rsidRPr="000A0198">
        <w:rPr>
          <w:i/>
        </w:rPr>
        <w:t>Hutchison Reid v. Secretary of State for Scotland</w:t>
      </w:r>
      <w:r w:rsidRPr="000A0198">
        <w:t xml:space="preserve"> [1999] 2 A.C. 512</w:t>
      </w:r>
      <w:r>
        <w:t>.</w:t>
      </w:r>
    </w:p>
    <w:p w14:paraId="6E0F648F" w14:textId="577A4893" w:rsidR="007644BB" w:rsidRPr="00682981" w:rsidRDefault="007644BB" w:rsidP="00682981">
      <w:pPr>
        <w:widowControl w:val="0"/>
        <w:autoSpaceDE w:val="0"/>
        <w:autoSpaceDN w:val="0"/>
        <w:adjustRightInd w:val="0"/>
        <w:spacing w:line="240" w:lineRule="auto"/>
        <w:rPr>
          <w:noProof/>
        </w:rPr>
      </w:pPr>
      <w:r w:rsidRPr="000A0198">
        <w:rPr>
          <w:i/>
        </w:rPr>
        <w:t>Hutchison Reid v. UK</w:t>
      </w:r>
      <w:r w:rsidR="007B5D41">
        <w:t xml:space="preserve">, ECHR, </w:t>
      </w:r>
      <w:r w:rsidRPr="000A0198">
        <w:t>App. no. 50272/99 20 February 2003</w:t>
      </w:r>
      <w:r>
        <w:t>.</w:t>
      </w:r>
    </w:p>
    <w:p w14:paraId="61711987" w14:textId="77777777" w:rsidR="00682981" w:rsidRPr="00682981" w:rsidRDefault="00682981" w:rsidP="00682981">
      <w:pPr>
        <w:widowControl w:val="0"/>
        <w:autoSpaceDE w:val="0"/>
        <w:autoSpaceDN w:val="0"/>
        <w:adjustRightInd w:val="0"/>
        <w:spacing w:line="240" w:lineRule="auto"/>
        <w:rPr>
          <w:noProof/>
        </w:rPr>
      </w:pPr>
      <w:r w:rsidRPr="00682981">
        <w:rPr>
          <w:noProof/>
        </w:rPr>
        <w:t xml:space="preserve">Khalifa, N. </w:t>
      </w:r>
      <w:r w:rsidRPr="00682981">
        <w:rPr>
          <w:i/>
          <w:iCs/>
          <w:noProof/>
        </w:rPr>
        <w:t>et al.</w:t>
      </w:r>
      <w:r w:rsidRPr="00682981">
        <w:rPr>
          <w:noProof/>
        </w:rPr>
        <w:t xml:space="preserve"> (2020) ‘Pharmacological interventions for antisocial personality disorder’, </w:t>
      </w:r>
      <w:r w:rsidRPr="00682981">
        <w:rPr>
          <w:i/>
          <w:iCs/>
          <w:noProof/>
        </w:rPr>
        <w:t>Cochrane Database of Systematic Reviews</w:t>
      </w:r>
      <w:r w:rsidRPr="00682981">
        <w:rPr>
          <w:noProof/>
        </w:rPr>
        <w:t>.</w:t>
      </w:r>
    </w:p>
    <w:p w14:paraId="4AED386B" w14:textId="7562FE09" w:rsidR="00682981" w:rsidRPr="00682981" w:rsidRDefault="00682981" w:rsidP="00682981">
      <w:pPr>
        <w:widowControl w:val="0"/>
        <w:autoSpaceDE w:val="0"/>
        <w:autoSpaceDN w:val="0"/>
        <w:adjustRightInd w:val="0"/>
        <w:spacing w:line="240" w:lineRule="auto"/>
        <w:rPr>
          <w:noProof/>
        </w:rPr>
      </w:pPr>
      <w:r w:rsidRPr="005367A9">
        <w:rPr>
          <w:noProof/>
          <w:lang w:val="fr-FR"/>
        </w:rPr>
        <w:t xml:space="preserve">Lam, D. C. K. </w:t>
      </w:r>
      <w:r w:rsidRPr="005367A9">
        <w:rPr>
          <w:i/>
          <w:iCs/>
          <w:noProof/>
          <w:lang w:val="fr-FR"/>
        </w:rPr>
        <w:t>et al.</w:t>
      </w:r>
      <w:r w:rsidRPr="005367A9">
        <w:rPr>
          <w:noProof/>
          <w:lang w:val="fr-FR"/>
        </w:rPr>
        <w:t xml:space="preserve"> </w:t>
      </w:r>
      <w:r w:rsidRPr="00682981">
        <w:rPr>
          <w:noProof/>
        </w:rPr>
        <w:t xml:space="preserve">(2016) ‘An experimental </w:t>
      </w:r>
      <w:r w:rsidR="000B66DC" w:rsidRPr="00682981">
        <w:rPr>
          <w:noProof/>
        </w:rPr>
        <w:t>investigation of the impact of personality disorder diagnosis on clinicians</w:t>
      </w:r>
      <w:r w:rsidRPr="00682981">
        <w:rPr>
          <w:noProof/>
        </w:rPr>
        <w:t xml:space="preserve">: Can </w:t>
      </w:r>
      <w:r w:rsidR="000B66DC" w:rsidRPr="00682981">
        <w:rPr>
          <w:noProof/>
        </w:rPr>
        <w:t>we see past the borderline</w:t>
      </w:r>
      <w:r w:rsidRPr="00682981">
        <w:rPr>
          <w:noProof/>
        </w:rPr>
        <w:t xml:space="preserve">?’, </w:t>
      </w:r>
      <w:r w:rsidRPr="00682981">
        <w:rPr>
          <w:i/>
          <w:iCs/>
          <w:noProof/>
        </w:rPr>
        <w:t>Behavioural and Cognitive Psychotherapy</w:t>
      </w:r>
      <w:r w:rsidRPr="00682981">
        <w:rPr>
          <w:noProof/>
        </w:rPr>
        <w:t>, 44(3), pp. 361–373.</w:t>
      </w:r>
    </w:p>
    <w:p w14:paraId="099A3BB0" w14:textId="22567B1F" w:rsidR="00682981" w:rsidRDefault="00682981" w:rsidP="00682981">
      <w:pPr>
        <w:widowControl w:val="0"/>
        <w:autoSpaceDE w:val="0"/>
        <w:autoSpaceDN w:val="0"/>
        <w:adjustRightInd w:val="0"/>
        <w:spacing w:line="240" w:lineRule="auto"/>
        <w:rPr>
          <w:noProof/>
        </w:rPr>
      </w:pPr>
      <w:r w:rsidRPr="00682981">
        <w:rPr>
          <w:noProof/>
        </w:rPr>
        <w:t xml:space="preserve">Lamph, G. </w:t>
      </w:r>
      <w:r w:rsidRPr="00682981">
        <w:rPr>
          <w:i/>
          <w:iCs/>
          <w:noProof/>
        </w:rPr>
        <w:t>et al.</w:t>
      </w:r>
      <w:r w:rsidRPr="00682981">
        <w:rPr>
          <w:noProof/>
        </w:rPr>
        <w:t xml:space="preserve"> (2022) ‘A qualitative study of the label of personality disorder from the perspectives of people with lived experience and occupational experience’, </w:t>
      </w:r>
      <w:r w:rsidRPr="00682981">
        <w:rPr>
          <w:i/>
          <w:iCs/>
          <w:noProof/>
        </w:rPr>
        <w:t xml:space="preserve">The </w:t>
      </w:r>
      <w:r w:rsidR="009E5865">
        <w:rPr>
          <w:i/>
          <w:iCs/>
          <w:noProof/>
        </w:rPr>
        <w:t>M</w:t>
      </w:r>
      <w:r w:rsidRPr="00682981">
        <w:rPr>
          <w:i/>
          <w:iCs/>
          <w:noProof/>
        </w:rPr>
        <w:t xml:space="preserve">ental </w:t>
      </w:r>
      <w:r w:rsidR="009E5865">
        <w:rPr>
          <w:i/>
          <w:iCs/>
          <w:noProof/>
        </w:rPr>
        <w:t>H</w:t>
      </w:r>
      <w:r w:rsidRPr="00682981">
        <w:rPr>
          <w:i/>
          <w:iCs/>
          <w:noProof/>
        </w:rPr>
        <w:t xml:space="preserve">ealth </w:t>
      </w:r>
      <w:r w:rsidR="009E5865">
        <w:rPr>
          <w:i/>
          <w:iCs/>
          <w:noProof/>
        </w:rPr>
        <w:t>R</w:t>
      </w:r>
      <w:r w:rsidRPr="00682981">
        <w:rPr>
          <w:i/>
          <w:iCs/>
          <w:noProof/>
        </w:rPr>
        <w:t>eview</w:t>
      </w:r>
      <w:r w:rsidR="0065720E">
        <w:rPr>
          <w:i/>
          <w:iCs/>
          <w:noProof/>
        </w:rPr>
        <w:t xml:space="preserve">, </w:t>
      </w:r>
      <w:r w:rsidRPr="00682981">
        <w:rPr>
          <w:noProof/>
        </w:rPr>
        <w:t>27(1), pp. 31–47.</w:t>
      </w:r>
    </w:p>
    <w:p w14:paraId="6ABE13A6" w14:textId="11706B70" w:rsidR="002A3ACF" w:rsidRPr="00682981" w:rsidRDefault="002A3ACF" w:rsidP="00682981">
      <w:pPr>
        <w:widowControl w:val="0"/>
        <w:autoSpaceDE w:val="0"/>
        <w:autoSpaceDN w:val="0"/>
        <w:adjustRightInd w:val="0"/>
        <w:spacing w:line="240" w:lineRule="auto"/>
        <w:rPr>
          <w:noProof/>
        </w:rPr>
      </w:pPr>
      <w:r w:rsidRPr="009A0886">
        <w:rPr>
          <w:rFonts w:eastAsiaTheme="minorEastAsia"/>
        </w:rPr>
        <w:t xml:space="preserve">Law Commission (2012) </w:t>
      </w:r>
      <w:r w:rsidRPr="009A0886">
        <w:rPr>
          <w:rFonts w:eastAsiaTheme="minorEastAsia"/>
          <w:i/>
        </w:rPr>
        <w:t>Insanity and Automatism: Supplementary Material to the Scoping Paper</w:t>
      </w:r>
      <w:r w:rsidRPr="009A0886">
        <w:rPr>
          <w:rFonts w:eastAsiaTheme="minorEastAsia"/>
        </w:rPr>
        <w:t>. Available at: &lt;</w:t>
      </w:r>
      <w:r w:rsidRPr="009A0886">
        <w:t>http://www.lawcom.gov.uk/wp-content/uploads/2015/06/insanity_scoping_supplementary.pdf&gt;.</w:t>
      </w:r>
      <w:r>
        <w:t xml:space="preserve"> Accessed 27 April 2022.</w:t>
      </w:r>
    </w:p>
    <w:p w14:paraId="7CF0881B" w14:textId="326296C9" w:rsidR="00682981" w:rsidRPr="00682981" w:rsidRDefault="00682981" w:rsidP="00682981">
      <w:pPr>
        <w:widowControl w:val="0"/>
        <w:autoSpaceDE w:val="0"/>
        <w:autoSpaceDN w:val="0"/>
        <w:adjustRightInd w:val="0"/>
        <w:spacing w:line="240" w:lineRule="auto"/>
        <w:rPr>
          <w:noProof/>
        </w:rPr>
      </w:pPr>
      <w:r w:rsidRPr="00682981">
        <w:rPr>
          <w:noProof/>
        </w:rPr>
        <w:t xml:space="preserve">Lewis, A. (1963) ‘Medicine and the affections of the mind’, </w:t>
      </w:r>
      <w:r w:rsidRPr="00682981">
        <w:rPr>
          <w:i/>
          <w:iCs/>
          <w:noProof/>
        </w:rPr>
        <w:t>British Medical Journal</w:t>
      </w:r>
      <w:r w:rsidRPr="00682981">
        <w:rPr>
          <w:noProof/>
        </w:rPr>
        <w:t>, 2(5372), p. 1549</w:t>
      </w:r>
      <w:r w:rsidR="007B5D41">
        <w:rPr>
          <w:noProof/>
        </w:rPr>
        <w:t>-1557.</w:t>
      </w:r>
    </w:p>
    <w:p w14:paraId="32A2645A" w14:textId="71C36506" w:rsidR="00682981" w:rsidRPr="00682981" w:rsidRDefault="00682981" w:rsidP="00682981">
      <w:pPr>
        <w:widowControl w:val="0"/>
        <w:autoSpaceDE w:val="0"/>
        <w:autoSpaceDN w:val="0"/>
        <w:adjustRightInd w:val="0"/>
        <w:spacing w:line="240" w:lineRule="auto"/>
        <w:rPr>
          <w:noProof/>
        </w:rPr>
      </w:pPr>
      <w:r w:rsidRPr="00682981">
        <w:rPr>
          <w:noProof/>
        </w:rPr>
        <w:t xml:space="preserve">Lewis, G. and Appleby, L. (1988) ‘Personality disorder: the patients psychiatrists dislike’, </w:t>
      </w:r>
      <w:r w:rsidRPr="00682981">
        <w:rPr>
          <w:i/>
          <w:iCs/>
          <w:noProof/>
        </w:rPr>
        <w:t xml:space="preserve">The British </w:t>
      </w:r>
      <w:r w:rsidR="0065720E">
        <w:rPr>
          <w:i/>
          <w:iCs/>
          <w:noProof/>
        </w:rPr>
        <w:t>J</w:t>
      </w:r>
      <w:r w:rsidRPr="00682981">
        <w:rPr>
          <w:i/>
          <w:iCs/>
          <w:noProof/>
        </w:rPr>
        <w:t xml:space="preserve">ournal of </w:t>
      </w:r>
      <w:r w:rsidR="0065720E">
        <w:rPr>
          <w:i/>
          <w:iCs/>
          <w:noProof/>
        </w:rPr>
        <w:t>P</w:t>
      </w:r>
      <w:r w:rsidRPr="00682981">
        <w:rPr>
          <w:i/>
          <w:iCs/>
          <w:noProof/>
        </w:rPr>
        <w:t>sychiatry</w:t>
      </w:r>
      <w:r w:rsidRPr="00682981">
        <w:rPr>
          <w:noProof/>
        </w:rPr>
        <w:t>, 153</w:t>
      </w:r>
      <w:r w:rsidR="00B46FBA">
        <w:rPr>
          <w:noProof/>
        </w:rPr>
        <w:t>, pp.44-49.</w:t>
      </w:r>
    </w:p>
    <w:p w14:paraId="1AF0A3F1" w14:textId="77777777" w:rsidR="00682981" w:rsidRPr="00682981" w:rsidRDefault="00682981" w:rsidP="00682981">
      <w:pPr>
        <w:widowControl w:val="0"/>
        <w:autoSpaceDE w:val="0"/>
        <w:autoSpaceDN w:val="0"/>
        <w:adjustRightInd w:val="0"/>
        <w:spacing w:line="240" w:lineRule="auto"/>
        <w:rPr>
          <w:noProof/>
        </w:rPr>
      </w:pPr>
      <w:r w:rsidRPr="00682981">
        <w:rPr>
          <w:noProof/>
        </w:rPr>
        <w:t xml:space="preserve">Lilienfeld, S. O. (2005) ‘Longitudinal studies of personality disorders: four lessons from personality psychology’, </w:t>
      </w:r>
      <w:r w:rsidRPr="00682981">
        <w:rPr>
          <w:i/>
          <w:iCs/>
          <w:noProof/>
        </w:rPr>
        <w:t xml:space="preserve">Journal of </w:t>
      </w:r>
      <w:r w:rsidR="0065720E">
        <w:rPr>
          <w:i/>
          <w:iCs/>
          <w:noProof/>
        </w:rPr>
        <w:t>P</w:t>
      </w:r>
      <w:r w:rsidRPr="00682981">
        <w:rPr>
          <w:i/>
          <w:iCs/>
          <w:noProof/>
        </w:rPr>
        <w:t xml:space="preserve">ersonality </w:t>
      </w:r>
      <w:r w:rsidR="0065720E">
        <w:rPr>
          <w:i/>
          <w:iCs/>
          <w:noProof/>
        </w:rPr>
        <w:t>D</w:t>
      </w:r>
      <w:r w:rsidRPr="00682981">
        <w:rPr>
          <w:i/>
          <w:iCs/>
          <w:noProof/>
        </w:rPr>
        <w:t>isorders</w:t>
      </w:r>
      <w:r w:rsidRPr="00682981">
        <w:rPr>
          <w:noProof/>
        </w:rPr>
        <w:t>, 19(5), pp. 547–556.</w:t>
      </w:r>
    </w:p>
    <w:p w14:paraId="1CCE26D3" w14:textId="77777777" w:rsidR="00682981" w:rsidRPr="00682981" w:rsidRDefault="00682981" w:rsidP="00682981">
      <w:pPr>
        <w:widowControl w:val="0"/>
        <w:autoSpaceDE w:val="0"/>
        <w:autoSpaceDN w:val="0"/>
        <w:adjustRightInd w:val="0"/>
        <w:spacing w:line="240" w:lineRule="auto"/>
        <w:rPr>
          <w:noProof/>
        </w:rPr>
      </w:pPr>
      <w:r w:rsidRPr="00682981">
        <w:rPr>
          <w:noProof/>
        </w:rPr>
        <w:t xml:space="preserve">Loughnan, A. and Ward, T. (2014) ‘Emergent authority and expert knowledge: Psychiatry and criminal responsibility in the UK’, </w:t>
      </w:r>
      <w:r w:rsidRPr="00682981">
        <w:rPr>
          <w:i/>
          <w:iCs/>
          <w:noProof/>
        </w:rPr>
        <w:t>International Journal of Law and Psychiatry</w:t>
      </w:r>
      <w:r w:rsidRPr="00682981">
        <w:rPr>
          <w:noProof/>
        </w:rPr>
        <w:t>, 37(1), pp. 25–36.</w:t>
      </w:r>
    </w:p>
    <w:p w14:paraId="2BB43110" w14:textId="02BB1DB5" w:rsidR="00682981" w:rsidRDefault="00682981" w:rsidP="00682981">
      <w:pPr>
        <w:widowControl w:val="0"/>
        <w:autoSpaceDE w:val="0"/>
        <w:autoSpaceDN w:val="0"/>
        <w:adjustRightInd w:val="0"/>
        <w:spacing w:line="240" w:lineRule="auto"/>
        <w:rPr>
          <w:noProof/>
        </w:rPr>
      </w:pPr>
      <w:r w:rsidRPr="00682981">
        <w:rPr>
          <w:noProof/>
        </w:rPr>
        <w:t xml:space="preserve">Maden, A. (2007) ‘Dangerous and severe personality disorder: Antecedents and origins.’, </w:t>
      </w:r>
      <w:r w:rsidR="000D2873" w:rsidRPr="000D2873">
        <w:rPr>
          <w:rFonts w:eastAsia="Times New Roman"/>
          <w:i/>
        </w:rPr>
        <w:t>British Journal of Psychiatry</w:t>
      </w:r>
      <w:r w:rsidRPr="00682981">
        <w:rPr>
          <w:noProof/>
        </w:rPr>
        <w:t>, 190(Suppl 49), pp. s8–s11.</w:t>
      </w:r>
    </w:p>
    <w:p w14:paraId="5F6F6824" w14:textId="701C61D0" w:rsidR="00136558" w:rsidRPr="00682981" w:rsidRDefault="00136558" w:rsidP="00682981">
      <w:pPr>
        <w:widowControl w:val="0"/>
        <w:autoSpaceDE w:val="0"/>
        <w:autoSpaceDN w:val="0"/>
        <w:adjustRightInd w:val="0"/>
        <w:spacing w:line="240" w:lineRule="auto"/>
        <w:rPr>
          <w:noProof/>
        </w:rPr>
      </w:pPr>
      <w:r w:rsidRPr="000A0198">
        <w:rPr>
          <w:i/>
        </w:rPr>
        <w:t>MD v. Nottinghamshire Healthcare NHS Trust</w:t>
      </w:r>
      <w:r w:rsidRPr="000A0198">
        <w:t xml:space="preserve"> [2010] UKUT 59 (AAC)</w:t>
      </w:r>
      <w:r>
        <w:t>.</w:t>
      </w:r>
    </w:p>
    <w:p w14:paraId="3ACB066F" w14:textId="235A921E" w:rsidR="00682981" w:rsidRDefault="00682981" w:rsidP="00682981">
      <w:pPr>
        <w:widowControl w:val="0"/>
        <w:autoSpaceDE w:val="0"/>
        <w:autoSpaceDN w:val="0"/>
        <w:adjustRightInd w:val="0"/>
        <w:spacing w:line="240" w:lineRule="auto"/>
        <w:rPr>
          <w:noProof/>
        </w:rPr>
      </w:pPr>
      <w:r w:rsidRPr="00682981">
        <w:rPr>
          <w:noProof/>
        </w:rPr>
        <w:t xml:space="preserve">Meijer, S. (2017) ‘Rehabilitation as a positive obligation’, </w:t>
      </w:r>
      <w:r w:rsidRPr="00682981">
        <w:rPr>
          <w:i/>
          <w:iCs/>
          <w:noProof/>
        </w:rPr>
        <w:t>European Journal of Crime, Criminal Law and Criminal Justice</w:t>
      </w:r>
      <w:r w:rsidRPr="00682981">
        <w:rPr>
          <w:noProof/>
        </w:rPr>
        <w:t>, 25(2), pp. 145–162.</w:t>
      </w:r>
    </w:p>
    <w:p w14:paraId="64A43F38" w14:textId="5D803940" w:rsidR="006C6310" w:rsidRDefault="006C6310" w:rsidP="006C6310">
      <w:pPr>
        <w:widowControl w:val="0"/>
        <w:autoSpaceDE w:val="0"/>
        <w:autoSpaceDN w:val="0"/>
        <w:adjustRightInd w:val="0"/>
        <w:spacing w:line="240" w:lineRule="auto"/>
        <w:rPr>
          <w:noProof/>
        </w:rPr>
      </w:pPr>
      <w:r>
        <w:rPr>
          <w:noProof/>
        </w:rPr>
        <w:t>Melle, I. (2013)</w:t>
      </w:r>
      <w:r w:rsidRPr="006C6310">
        <w:t xml:space="preserve"> </w:t>
      </w:r>
      <w:r>
        <w:t>‘</w:t>
      </w:r>
      <w:r>
        <w:rPr>
          <w:noProof/>
        </w:rPr>
        <w:t xml:space="preserve">The Breivik case and what psychiatrists can learn from it’, </w:t>
      </w:r>
      <w:r w:rsidRPr="006C6310">
        <w:rPr>
          <w:i/>
          <w:iCs/>
          <w:noProof/>
        </w:rPr>
        <w:t>World Psychiatry</w:t>
      </w:r>
      <w:r>
        <w:rPr>
          <w:noProof/>
        </w:rPr>
        <w:t xml:space="preserve">, </w:t>
      </w:r>
      <w:r w:rsidRPr="006C6310">
        <w:rPr>
          <w:noProof/>
        </w:rPr>
        <w:t>12</w:t>
      </w:r>
      <w:r>
        <w:rPr>
          <w:noProof/>
        </w:rPr>
        <w:t xml:space="preserve">, pp. </w:t>
      </w:r>
      <w:r w:rsidRPr="006C6310">
        <w:rPr>
          <w:noProof/>
        </w:rPr>
        <w:t>16–21</w:t>
      </w:r>
    </w:p>
    <w:p w14:paraId="19C29F14" w14:textId="4CC77EBB" w:rsidR="000C06F6" w:rsidRDefault="000C06F6" w:rsidP="000B66DC">
      <w:pPr>
        <w:spacing w:line="240" w:lineRule="auto"/>
        <w:rPr>
          <w:rFonts w:eastAsia="Times New Roman"/>
        </w:rPr>
      </w:pPr>
      <w:r w:rsidRPr="000C06F6">
        <w:rPr>
          <w:rFonts w:eastAsia="Times New Roman"/>
        </w:rPr>
        <w:t xml:space="preserve">Morse, S. (2008) “Psychopathy and </w:t>
      </w:r>
      <w:r w:rsidR="000B66DC" w:rsidRPr="000C06F6">
        <w:rPr>
          <w:rFonts w:eastAsia="Times New Roman"/>
        </w:rPr>
        <w:t>criminal responsibility</w:t>
      </w:r>
      <w:r w:rsidRPr="000C06F6">
        <w:rPr>
          <w:rFonts w:eastAsia="Times New Roman"/>
        </w:rPr>
        <w:t xml:space="preserve">”, </w:t>
      </w:r>
      <w:proofErr w:type="spellStart"/>
      <w:r w:rsidRPr="000C06F6">
        <w:rPr>
          <w:rFonts w:eastAsia="Times New Roman"/>
          <w:i/>
        </w:rPr>
        <w:t>Neuroethics</w:t>
      </w:r>
      <w:proofErr w:type="spellEnd"/>
      <w:r w:rsidRPr="000C06F6">
        <w:rPr>
          <w:rFonts w:eastAsia="Times New Roman"/>
        </w:rPr>
        <w:t xml:space="preserve">, 1(3), </w:t>
      </w:r>
      <w:r w:rsidR="00B46FBA">
        <w:rPr>
          <w:rFonts w:eastAsia="Times New Roman"/>
        </w:rPr>
        <w:t xml:space="preserve">pp. </w:t>
      </w:r>
      <w:r w:rsidRPr="000C06F6">
        <w:rPr>
          <w:rFonts w:eastAsia="Times New Roman"/>
        </w:rPr>
        <w:t>205–12.</w:t>
      </w:r>
    </w:p>
    <w:p w14:paraId="1E48119D" w14:textId="4F0A6DAB" w:rsidR="00DC04F0" w:rsidRPr="009A0886" w:rsidRDefault="00DC04F0" w:rsidP="000B66DC">
      <w:pPr>
        <w:spacing w:line="240" w:lineRule="auto"/>
        <w:rPr>
          <w:rFonts w:eastAsiaTheme="minorEastAsia"/>
        </w:rPr>
      </w:pPr>
      <w:r w:rsidRPr="009A0886">
        <w:rPr>
          <w:rFonts w:eastAsiaTheme="minorEastAsia"/>
        </w:rPr>
        <w:t>National Collaborating Centre for Mental Health, National Institute for Health and Clinical Excellence, British Psychological Society</w:t>
      </w:r>
      <w:r>
        <w:rPr>
          <w:rFonts w:eastAsiaTheme="minorEastAsia"/>
        </w:rPr>
        <w:t>,</w:t>
      </w:r>
      <w:r w:rsidRPr="009A0886">
        <w:rPr>
          <w:rFonts w:eastAsiaTheme="minorEastAsia"/>
        </w:rPr>
        <w:t xml:space="preserve"> Royal College of Psychiatrists</w:t>
      </w:r>
      <w:r>
        <w:rPr>
          <w:rFonts w:eastAsiaTheme="minorEastAsia"/>
        </w:rPr>
        <w:t xml:space="preserve"> and</w:t>
      </w:r>
      <w:r w:rsidRPr="009A0886">
        <w:rPr>
          <w:rFonts w:eastAsiaTheme="minorEastAsia"/>
        </w:rPr>
        <w:t xml:space="preserve"> National Institute for Health and Care Excellence (NICE) (2010) </w:t>
      </w:r>
      <w:proofErr w:type="gramStart"/>
      <w:r w:rsidRPr="009A0886">
        <w:rPr>
          <w:rFonts w:eastAsiaTheme="minorEastAsia"/>
          <w:i/>
        </w:rPr>
        <w:t xml:space="preserve">Antisocial </w:t>
      </w:r>
      <w:r w:rsidR="000B66DC" w:rsidRPr="009A0886">
        <w:rPr>
          <w:rFonts w:eastAsiaTheme="minorEastAsia"/>
          <w:i/>
        </w:rPr>
        <w:t>personality disorder</w:t>
      </w:r>
      <w:proofErr w:type="gramEnd"/>
      <w:r w:rsidRPr="009A0886">
        <w:rPr>
          <w:rFonts w:eastAsiaTheme="minorEastAsia"/>
          <w:i/>
        </w:rPr>
        <w:t xml:space="preserve">: </w:t>
      </w:r>
      <w:r w:rsidRPr="009A0886">
        <w:rPr>
          <w:rFonts w:eastAsiaTheme="minorEastAsia"/>
          <w:i/>
        </w:rPr>
        <w:lastRenderedPageBreak/>
        <w:t xml:space="preserve">Treatment, </w:t>
      </w:r>
      <w:r w:rsidR="000B66DC" w:rsidRPr="009A0886">
        <w:rPr>
          <w:rFonts w:eastAsiaTheme="minorEastAsia"/>
          <w:i/>
        </w:rPr>
        <w:t>management and prevention</w:t>
      </w:r>
      <w:r w:rsidRPr="009A0886">
        <w:rPr>
          <w:rFonts w:eastAsiaTheme="minorEastAsia"/>
          <w:i/>
        </w:rPr>
        <w:t xml:space="preserve">. National </w:t>
      </w:r>
      <w:r w:rsidR="000B66DC" w:rsidRPr="009A0886">
        <w:rPr>
          <w:rFonts w:eastAsiaTheme="minorEastAsia"/>
          <w:i/>
        </w:rPr>
        <w:t xml:space="preserve">clinical practice guideline number </w:t>
      </w:r>
      <w:r w:rsidRPr="009A0886">
        <w:rPr>
          <w:rFonts w:eastAsiaTheme="minorEastAsia"/>
          <w:i/>
        </w:rPr>
        <w:t xml:space="preserve">77. </w:t>
      </w:r>
      <w:r w:rsidRPr="009A0886">
        <w:rPr>
          <w:rFonts w:eastAsiaTheme="minorEastAsia"/>
        </w:rPr>
        <w:t>London: British Psychological Society and Royal College of Psychiatrists.</w:t>
      </w:r>
    </w:p>
    <w:p w14:paraId="4982140D" w14:textId="3DB126DC" w:rsidR="00DC04F0" w:rsidRPr="00DC04F0" w:rsidRDefault="00DC04F0" w:rsidP="000B66DC">
      <w:pPr>
        <w:spacing w:line="240" w:lineRule="auto"/>
        <w:rPr>
          <w:rFonts w:eastAsiaTheme="minorEastAsia"/>
        </w:rPr>
      </w:pPr>
      <w:r w:rsidRPr="009A0886">
        <w:rPr>
          <w:rFonts w:eastAsiaTheme="minorEastAsia"/>
        </w:rPr>
        <w:t xml:space="preserve">National Collaborating Centre for Mental Health, National Institute for Health and Clinical Excellence, British Psychological Society and Royal College of Psychiatrists (2009) </w:t>
      </w:r>
      <w:proofErr w:type="gramStart"/>
      <w:r w:rsidR="000B66DC">
        <w:rPr>
          <w:rFonts w:eastAsiaTheme="minorEastAsia"/>
          <w:i/>
        </w:rPr>
        <w:t>B</w:t>
      </w:r>
      <w:r w:rsidR="000B66DC" w:rsidRPr="009A0886">
        <w:rPr>
          <w:rFonts w:eastAsiaTheme="minorEastAsia"/>
          <w:i/>
        </w:rPr>
        <w:t>orderline personality disorder</w:t>
      </w:r>
      <w:proofErr w:type="gramEnd"/>
      <w:r w:rsidR="000B66DC" w:rsidRPr="009A0886">
        <w:rPr>
          <w:rFonts w:eastAsiaTheme="minorEastAsia"/>
          <w:i/>
        </w:rPr>
        <w:t xml:space="preserve">: </w:t>
      </w:r>
      <w:r w:rsidRPr="009A0886">
        <w:rPr>
          <w:rFonts w:eastAsiaTheme="minorEastAsia"/>
          <w:i/>
        </w:rPr>
        <w:t xml:space="preserve">The NICE </w:t>
      </w:r>
      <w:r w:rsidR="000B66DC" w:rsidRPr="009A0886">
        <w:rPr>
          <w:rFonts w:eastAsiaTheme="minorEastAsia"/>
          <w:i/>
        </w:rPr>
        <w:t>guideline on treatment and management.</w:t>
      </w:r>
      <w:r w:rsidR="000B66DC" w:rsidRPr="009A0886">
        <w:rPr>
          <w:rFonts w:eastAsiaTheme="minorEastAsia"/>
        </w:rPr>
        <w:t xml:space="preserve"> </w:t>
      </w:r>
      <w:r w:rsidR="000B66DC">
        <w:rPr>
          <w:rFonts w:eastAsiaTheme="minorEastAsia"/>
          <w:i/>
        </w:rPr>
        <w:t>N</w:t>
      </w:r>
      <w:r w:rsidR="000B66DC" w:rsidRPr="009A0886">
        <w:rPr>
          <w:rFonts w:eastAsiaTheme="minorEastAsia"/>
          <w:i/>
        </w:rPr>
        <w:t xml:space="preserve">ational clinical practice guideline number </w:t>
      </w:r>
      <w:r w:rsidRPr="009A0886">
        <w:rPr>
          <w:rFonts w:eastAsiaTheme="minorEastAsia"/>
          <w:i/>
        </w:rPr>
        <w:t>78</w:t>
      </w:r>
      <w:r w:rsidRPr="009A0886">
        <w:rPr>
          <w:rFonts w:eastAsiaTheme="minorEastAsia"/>
        </w:rPr>
        <w:t>. London: British Psychological Society and Royal College of Psychiatrists.</w:t>
      </w:r>
    </w:p>
    <w:p w14:paraId="27C3D6C2" w14:textId="57BB12E3" w:rsidR="006D13FF" w:rsidRPr="000C06F6" w:rsidRDefault="006D13FF" w:rsidP="000B66DC">
      <w:pPr>
        <w:spacing w:line="240" w:lineRule="auto"/>
        <w:rPr>
          <w:rFonts w:eastAsia="Times New Roman"/>
        </w:rPr>
      </w:pPr>
      <w:r w:rsidRPr="006D13FF">
        <w:rPr>
          <w:rFonts w:eastAsia="Times New Roman"/>
        </w:rPr>
        <w:t xml:space="preserve">NOMS and NHS England (2015) The Offender Personality Disorder Pathway </w:t>
      </w:r>
      <w:r w:rsidR="000B66DC">
        <w:rPr>
          <w:rFonts w:eastAsia="Times New Roman"/>
        </w:rPr>
        <w:t>s</w:t>
      </w:r>
      <w:r w:rsidRPr="006D13FF">
        <w:rPr>
          <w:rFonts w:eastAsia="Times New Roman"/>
        </w:rPr>
        <w:t>trategy</w:t>
      </w:r>
      <w:r>
        <w:rPr>
          <w:rFonts w:eastAsia="Times New Roman"/>
        </w:rPr>
        <w:t xml:space="preserve"> </w:t>
      </w:r>
      <w:r w:rsidRPr="006D13FF">
        <w:rPr>
          <w:rFonts w:eastAsia="Times New Roman"/>
        </w:rPr>
        <w:t xml:space="preserve">2015. Available at: </w:t>
      </w:r>
      <w:hyperlink r:id="rId7" w:history="1">
        <w:r w:rsidRPr="00892DA1">
          <w:rPr>
            <w:rStyle w:val="Hyperlink"/>
            <w:rFonts w:eastAsia="Times New Roman"/>
          </w:rPr>
          <w:t>www.england.nhs.uk/commissioning/wp-content/uploads/sites/12/2016/02/opd-strategy-nov-15.pdf</w:t>
        </w:r>
      </w:hyperlink>
      <w:r>
        <w:rPr>
          <w:rFonts w:eastAsia="Times New Roman"/>
        </w:rPr>
        <w:t>. Accessed 27 April 2022.</w:t>
      </w:r>
    </w:p>
    <w:p w14:paraId="5A5D7212" w14:textId="5C6F27CF" w:rsidR="00682981" w:rsidRPr="00682981" w:rsidRDefault="00682981" w:rsidP="000B66DC">
      <w:pPr>
        <w:widowControl w:val="0"/>
        <w:autoSpaceDE w:val="0"/>
        <w:autoSpaceDN w:val="0"/>
        <w:adjustRightInd w:val="0"/>
        <w:spacing w:line="240" w:lineRule="auto"/>
        <w:rPr>
          <w:noProof/>
        </w:rPr>
      </w:pPr>
      <w:r w:rsidRPr="00682981">
        <w:rPr>
          <w:noProof/>
        </w:rPr>
        <w:t xml:space="preserve">O’Loughlin, A. (2014) ‘The Offender Personality Disorder Pathway: Expansion in the </w:t>
      </w:r>
      <w:r w:rsidR="000B66DC" w:rsidRPr="00682981">
        <w:rPr>
          <w:noProof/>
        </w:rPr>
        <w:t>face of failure</w:t>
      </w:r>
      <w:r w:rsidRPr="00682981">
        <w:rPr>
          <w:noProof/>
        </w:rPr>
        <w:t xml:space="preserve">?’, </w:t>
      </w:r>
      <w:r w:rsidRPr="00682981">
        <w:rPr>
          <w:i/>
          <w:iCs/>
          <w:noProof/>
        </w:rPr>
        <w:t>Howard Journal of Criminal Justice</w:t>
      </w:r>
      <w:r w:rsidRPr="00682981">
        <w:rPr>
          <w:noProof/>
        </w:rPr>
        <w:t>, 53(2), pp. 173–192.</w:t>
      </w:r>
    </w:p>
    <w:p w14:paraId="4DEDF208" w14:textId="08093CF7" w:rsidR="00682981" w:rsidRPr="00682981" w:rsidRDefault="00682981" w:rsidP="00682981">
      <w:pPr>
        <w:widowControl w:val="0"/>
        <w:autoSpaceDE w:val="0"/>
        <w:autoSpaceDN w:val="0"/>
        <w:adjustRightInd w:val="0"/>
        <w:spacing w:line="240" w:lineRule="auto"/>
        <w:rPr>
          <w:noProof/>
        </w:rPr>
      </w:pPr>
      <w:r w:rsidRPr="00682981">
        <w:rPr>
          <w:noProof/>
        </w:rPr>
        <w:t xml:space="preserve">O’Loughlin, A. (2019) ‘De-constructing </w:t>
      </w:r>
      <w:r w:rsidR="006E401E" w:rsidRPr="00682981">
        <w:rPr>
          <w:noProof/>
        </w:rPr>
        <w:t xml:space="preserve">risk, therapeutic needs and the dangerous personality disordered subject’, </w:t>
      </w:r>
      <w:r w:rsidRPr="00682981">
        <w:rPr>
          <w:i/>
          <w:iCs/>
          <w:noProof/>
        </w:rPr>
        <w:t>Punishment and Society</w:t>
      </w:r>
      <w:r w:rsidRPr="00682981">
        <w:rPr>
          <w:noProof/>
        </w:rPr>
        <w:t>, 21(5), pp. 616–638.</w:t>
      </w:r>
    </w:p>
    <w:p w14:paraId="3C6B0069" w14:textId="4B66D8E6" w:rsidR="00682981" w:rsidRPr="00682981" w:rsidRDefault="00682981" w:rsidP="00682981">
      <w:pPr>
        <w:widowControl w:val="0"/>
        <w:autoSpaceDE w:val="0"/>
        <w:autoSpaceDN w:val="0"/>
        <w:adjustRightInd w:val="0"/>
        <w:spacing w:line="240" w:lineRule="auto"/>
        <w:rPr>
          <w:noProof/>
        </w:rPr>
      </w:pPr>
      <w:r w:rsidRPr="00682981">
        <w:rPr>
          <w:noProof/>
        </w:rPr>
        <w:t xml:space="preserve">O’Loughlin, A. (2021a) ‘Risk </w:t>
      </w:r>
      <w:r w:rsidR="00355983" w:rsidRPr="00682981">
        <w:rPr>
          <w:noProof/>
        </w:rPr>
        <w:t xml:space="preserve">reduction and redemption: </w:t>
      </w:r>
      <w:r w:rsidR="00355983">
        <w:rPr>
          <w:noProof/>
        </w:rPr>
        <w:t>A</w:t>
      </w:r>
      <w:r w:rsidR="00355983" w:rsidRPr="00682981">
        <w:rPr>
          <w:noProof/>
        </w:rPr>
        <w:t xml:space="preserve">n interpretive account of the right to rehabilitation in the jurisprudence of the </w:t>
      </w:r>
      <w:r w:rsidRPr="00682981">
        <w:rPr>
          <w:noProof/>
        </w:rPr>
        <w:t xml:space="preserve">European Court of Human Rights’, </w:t>
      </w:r>
      <w:r w:rsidRPr="00682981">
        <w:rPr>
          <w:i/>
          <w:iCs/>
          <w:noProof/>
        </w:rPr>
        <w:t>Oxford Journal of Legal Studies</w:t>
      </w:r>
      <w:r w:rsidRPr="00682981">
        <w:rPr>
          <w:noProof/>
        </w:rPr>
        <w:t>, 41(2), pp. 510–538.</w:t>
      </w:r>
    </w:p>
    <w:p w14:paraId="6FFB9E5F" w14:textId="2F0336A1" w:rsidR="00682981" w:rsidRPr="00682981" w:rsidRDefault="00682981" w:rsidP="00682981">
      <w:pPr>
        <w:widowControl w:val="0"/>
        <w:autoSpaceDE w:val="0"/>
        <w:autoSpaceDN w:val="0"/>
        <w:adjustRightInd w:val="0"/>
        <w:spacing w:line="240" w:lineRule="auto"/>
        <w:rPr>
          <w:noProof/>
        </w:rPr>
      </w:pPr>
      <w:r w:rsidRPr="00682981">
        <w:rPr>
          <w:noProof/>
        </w:rPr>
        <w:t xml:space="preserve">O’Loughlin, A. (2021b) ‘Sentencing </w:t>
      </w:r>
      <w:r w:rsidR="003A0A60" w:rsidRPr="00682981">
        <w:rPr>
          <w:noProof/>
        </w:rPr>
        <w:t>mentally disordered offenders</w:t>
      </w:r>
      <w:r w:rsidRPr="00682981">
        <w:rPr>
          <w:noProof/>
        </w:rPr>
        <w:t xml:space="preserve">: Towards a </w:t>
      </w:r>
      <w:r w:rsidR="003A0A60" w:rsidRPr="00682981">
        <w:rPr>
          <w:noProof/>
        </w:rPr>
        <w:t>rights-based approach’,</w:t>
      </w:r>
      <w:r w:rsidRPr="00682981">
        <w:rPr>
          <w:noProof/>
        </w:rPr>
        <w:t xml:space="preserve"> </w:t>
      </w:r>
      <w:r w:rsidRPr="00682981">
        <w:rPr>
          <w:i/>
          <w:iCs/>
          <w:noProof/>
        </w:rPr>
        <w:t>Criminal Law Review</w:t>
      </w:r>
      <w:r w:rsidRPr="00682981">
        <w:rPr>
          <w:noProof/>
        </w:rPr>
        <w:t>, 2, pp. 98–112.</w:t>
      </w:r>
    </w:p>
    <w:p w14:paraId="22F7A7BD" w14:textId="2BA7C5C1" w:rsidR="00682981" w:rsidRDefault="00682981" w:rsidP="005B6D1D">
      <w:pPr>
        <w:widowControl w:val="0"/>
        <w:autoSpaceDE w:val="0"/>
        <w:autoSpaceDN w:val="0"/>
        <w:adjustRightInd w:val="0"/>
        <w:spacing w:line="240" w:lineRule="auto"/>
        <w:rPr>
          <w:noProof/>
        </w:rPr>
      </w:pPr>
      <w:r w:rsidRPr="00682981">
        <w:rPr>
          <w:noProof/>
        </w:rPr>
        <w:t>Peay, J. (2011</w:t>
      </w:r>
      <w:r w:rsidR="000C06F6">
        <w:rPr>
          <w:noProof/>
        </w:rPr>
        <w:t>a</w:t>
      </w:r>
      <w:r w:rsidRPr="00682981">
        <w:rPr>
          <w:noProof/>
        </w:rPr>
        <w:t xml:space="preserve">) ‘Personality </w:t>
      </w:r>
      <w:r w:rsidR="00B9119E" w:rsidRPr="00682981">
        <w:rPr>
          <w:noProof/>
        </w:rPr>
        <w:t xml:space="preserve">disorder and the law: </w:t>
      </w:r>
      <w:r w:rsidRPr="00682981">
        <w:rPr>
          <w:noProof/>
        </w:rPr>
        <w:t xml:space="preserve">Some </w:t>
      </w:r>
      <w:r w:rsidR="00B9119E" w:rsidRPr="00682981">
        <w:rPr>
          <w:noProof/>
        </w:rPr>
        <w:t>awkward questions’</w:t>
      </w:r>
      <w:r w:rsidRPr="00682981">
        <w:rPr>
          <w:noProof/>
        </w:rPr>
        <w:t xml:space="preserve">, </w:t>
      </w:r>
      <w:r w:rsidRPr="00682981">
        <w:rPr>
          <w:i/>
          <w:iCs/>
          <w:noProof/>
        </w:rPr>
        <w:t>Philosophy, Psychiatry, &amp; Psychology</w:t>
      </w:r>
      <w:r w:rsidRPr="00682981">
        <w:rPr>
          <w:noProof/>
        </w:rPr>
        <w:t>, 18(3), pp. 231–244.</w:t>
      </w:r>
    </w:p>
    <w:p w14:paraId="11EAAFA4" w14:textId="3E94E013" w:rsidR="000C06F6" w:rsidRDefault="000C06F6" w:rsidP="005B6D1D">
      <w:pPr>
        <w:spacing w:line="240" w:lineRule="auto"/>
        <w:rPr>
          <w:rFonts w:eastAsia="Times New Roman"/>
        </w:rPr>
      </w:pPr>
      <w:proofErr w:type="spellStart"/>
      <w:r w:rsidRPr="000C06F6">
        <w:rPr>
          <w:rFonts w:eastAsia="Times New Roman"/>
        </w:rPr>
        <w:t>Peay</w:t>
      </w:r>
      <w:proofErr w:type="spellEnd"/>
      <w:r w:rsidRPr="000C06F6">
        <w:rPr>
          <w:rFonts w:eastAsia="Times New Roman"/>
        </w:rPr>
        <w:t xml:space="preserve">, J. (2011b) </w:t>
      </w:r>
      <w:r w:rsidRPr="000C06F6">
        <w:rPr>
          <w:rFonts w:eastAsia="Times New Roman"/>
          <w:i/>
        </w:rPr>
        <w:t xml:space="preserve">Mental </w:t>
      </w:r>
      <w:r w:rsidR="005B6D1D" w:rsidRPr="000C06F6">
        <w:rPr>
          <w:rFonts w:eastAsia="Times New Roman"/>
          <w:i/>
        </w:rPr>
        <w:t>health and crime</w:t>
      </w:r>
      <w:r w:rsidRPr="000C06F6">
        <w:rPr>
          <w:rFonts w:eastAsia="Times New Roman"/>
        </w:rPr>
        <w:t>. Abingdon: Routledge.</w:t>
      </w:r>
    </w:p>
    <w:p w14:paraId="0579C511" w14:textId="771CEAD0" w:rsidR="00AA26EB" w:rsidRPr="00AA26EB" w:rsidRDefault="00AA26EB" w:rsidP="005B6D1D">
      <w:pPr>
        <w:spacing w:line="240" w:lineRule="auto"/>
      </w:pPr>
      <w:r w:rsidRPr="00B14CE7">
        <w:t>Percy Commission (1957) Report of the Royal Commission on the Law Relating to Mental Illness and Mental Deficiency. London: H.M.S.O.</w:t>
      </w:r>
    </w:p>
    <w:p w14:paraId="7360DFF8" w14:textId="3B70F2BC" w:rsidR="00682981" w:rsidRPr="00682981" w:rsidRDefault="00682981" w:rsidP="00556611">
      <w:pPr>
        <w:widowControl w:val="0"/>
        <w:autoSpaceDE w:val="0"/>
        <w:autoSpaceDN w:val="0"/>
        <w:adjustRightInd w:val="0"/>
        <w:spacing w:line="240" w:lineRule="auto"/>
        <w:rPr>
          <w:noProof/>
        </w:rPr>
      </w:pPr>
      <w:r w:rsidRPr="00682981">
        <w:rPr>
          <w:noProof/>
        </w:rPr>
        <w:t xml:space="preserve">Pickard, H. (2015) ‘Choice, </w:t>
      </w:r>
      <w:r w:rsidR="005B6D1D" w:rsidRPr="00682981">
        <w:rPr>
          <w:noProof/>
        </w:rPr>
        <w:t xml:space="preserve">deliberation, violence: mental capacity </w:t>
      </w:r>
      <w:r w:rsidR="005B6D1D">
        <w:rPr>
          <w:noProof/>
        </w:rPr>
        <w:t>a</w:t>
      </w:r>
      <w:r w:rsidR="005B6D1D" w:rsidRPr="00682981">
        <w:rPr>
          <w:noProof/>
        </w:rPr>
        <w:t xml:space="preserve">nd criminal responsibility </w:t>
      </w:r>
      <w:r w:rsidR="005B6D1D">
        <w:rPr>
          <w:noProof/>
        </w:rPr>
        <w:t>i</w:t>
      </w:r>
      <w:r w:rsidR="005B6D1D" w:rsidRPr="00682981">
        <w:rPr>
          <w:noProof/>
        </w:rPr>
        <w:t>n personality disorder’</w:t>
      </w:r>
      <w:r w:rsidRPr="00682981">
        <w:rPr>
          <w:noProof/>
        </w:rPr>
        <w:t xml:space="preserve">, </w:t>
      </w:r>
      <w:r w:rsidRPr="00682981">
        <w:rPr>
          <w:i/>
          <w:iCs/>
          <w:noProof/>
        </w:rPr>
        <w:t>International Journal of Law and Psychiatry</w:t>
      </w:r>
      <w:r w:rsidRPr="00682981">
        <w:rPr>
          <w:noProof/>
        </w:rPr>
        <w:t>, 40, pp. 15–24.</w:t>
      </w:r>
    </w:p>
    <w:p w14:paraId="667D328A" w14:textId="1408D986" w:rsidR="00682981" w:rsidRDefault="00682981" w:rsidP="00556611">
      <w:pPr>
        <w:widowControl w:val="0"/>
        <w:autoSpaceDE w:val="0"/>
        <w:autoSpaceDN w:val="0"/>
        <w:adjustRightInd w:val="0"/>
        <w:spacing w:line="240" w:lineRule="auto"/>
        <w:rPr>
          <w:noProof/>
        </w:rPr>
      </w:pPr>
      <w:r w:rsidRPr="00682981">
        <w:rPr>
          <w:noProof/>
        </w:rPr>
        <w:t xml:space="preserve">Pickersgill, M. (2013) ‘How personality became treatable: The mutual constitution of clinical knowledge and mental health law’, </w:t>
      </w:r>
      <w:r w:rsidRPr="00682981">
        <w:rPr>
          <w:i/>
          <w:iCs/>
          <w:noProof/>
        </w:rPr>
        <w:t>Social Studies of Science</w:t>
      </w:r>
      <w:r w:rsidRPr="00682981">
        <w:rPr>
          <w:noProof/>
        </w:rPr>
        <w:t>, 43(1), pp. 30–53.</w:t>
      </w:r>
    </w:p>
    <w:p w14:paraId="328D92BE" w14:textId="2E3541A1" w:rsidR="00042F5A" w:rsidRPr="00042F5A" w:rsidRDefault="00042F5A" w:rsidP="00556611">
      <w:pPr>
        <w:spacing w:line="240" w:lineRule="auto"/>
        <w:rPr>
          <w:rFonts w:eastAsiaTheme="minorEastAsia"/>
        </w:rPr>
      </w:pPr>
      <w:r>
        <w:rPr>
          <w:rFonts w:eastAsiaTheme="minorEastAsia"/>
        </w:rPr>
        <w:t>Pilgrim, D. (2007)</w:t>
      </w:r>
      <w:r w:rsidRPr="009A0886">
        <w:rPr>
          <w:rFonts w:eastAsiaTheme="minorEastAsia"/>
        </w:rPr>
        <w:t xml:space="preserve"> “New ‘Mental Health’ </w:t>
      </w:r>
      <w:r w:rsidR="00556611" w:rsidRPr="009A0886">
        <w:rPr>
          <w:rFonts w:eastAsiaTheme="minorEastAsia"/>
        </w:rPr>
        <w:t>legislation for</w:t>
      </w:r>
      <w:r w:rsidRPr="009A0886">
        <w:rPr>
          <w:rFonts w:eastAsiaTheme="minorEastAsia"/>
        </w:rPr>
        <w:t xml:space="preserve"> England and Wales: Some </w:t>
      </w:r>
      <w:r w:rsidR="00556611" w:rsidRPr="009A0886">
        <w:rPr>
          <w:rFonts w:eastAsiaTheme="minorEastAsia"/>
        </w:rPr>
        <w:t>aspects of consensus and conflict”,</w:t>
      </w:r>
      <w:r w:rsidRPr="009A0886">
        <w:rPr>
          <w:rFonts w:eastAsiaTheme="minorEastAsia"/>
        </w:rPr>
        <w:t xml:space="preserve"> </w:t>
      </w:r>
      <w:r w:rsidRPr="009A0886">
        <w:rPr>
          <w:rFonts w:eastAsiaTheme="minorEastAsia"/>
          <w:i/>
          <w:iCs/>
        </w:rPr>
        <w:t>Journal of Social Policy</w:t>
      </w:r>
      <w:r w:rsidRPr="009A0886">
        <w:rPr>
          <w:rFonts w:eastAsiaTheme="minorEastAsia"/>
        </w:rPr>
        <w:t>,</w:t>
      </w:r>
      <w:r w:rsidRPr="009A0886">
        <w:rPr>
          <w:rFonts w:eastAsiaTheme="minorEastAsia"/>
          <w:i/>
          <w:iCs/>
        </w:rPr>
        <w:t xml:space="preserve"> </w:t>
      </w:r>
      <w:r w:rsidRPr="009A0886">
        <w:rPr>
          <w:rFonts w:eastAsiaTheme="minorEastAsia"/>
        </w:rPr>
        <w:t xml:space="preserve">36(1), </w:t>
      </w:r>
      <w:r w:rsidR="00B46FBA">
        <w:rPr>
          <w:rFonts w:eastAsiaTheme="minorEastAsia"/>
        </w:rPr>
        <w:t>pp.</w:t>
      </w:r>
      <w:r w:rsidRPr="009A0886">
        <w:rPr>
          <w:rFonts w:eastAsiaTheme="minorEastAsia"/>
        </w:rPr>
        <w:t>79-95.</w:t>
      </w:r>
    </w:p>
    <w:p w14:paraId="57D15E8C" w14:textId="77777777" w:rsidR="00E1009B" w:rsidRDefault="00E1009B" w:rsidP="00556611">
      <w:pPr>
        <w:widowControl w:val="0"/>
        <w:autoSpaceDE w:val="0"/>
        <w:autoSpaceDN w:val="0"/>
        <w:adjustRightInd w:val="0"/>
        <w:spacing w:line="240" w:lineRule="auto"/>
        <w:rPr>
          <w:i/>
          <w:iCs/>
        </w:rPr>
      </w:pPr>
      <w:r w:rsidRPr="009A0886">
        <w:rPr>
          <w:i/>
        </w:rPr>
        <w:t xml:space="preserve">R. v. </w:t>
      </w:r>
      <w:proofErr w:type="spellStart"/>
      <w:r w:rsidRPr="009A0886">
        <w:rPr>
          <w:i/>
        </w:rPr>
        <w:t>Codère</w:t>
      </w:r>
      <w:proofErr w:type="spellEnd"/>
      <w:r w:rsidRPr="009A0886">
        <w:t xml:space="preserve"> </w:t>
      </w:r>
      <w:r w:rsidRPr="009A0886">
        <w:rPr>
          <w:bCs/>
        </w:rPr>
        <w:t>(1917) 12 Cr App R 21</w:t>
      </w:r>
      <w:r w:rsidRPr="007644BB">
        <w:rPr>
          <w:i/>
          <w:iCs/>
        </w:rPr>
        <w:t xml:space="preserve"> </w:t>
      </w:r>
    </w:p>
    <w:p w14:paraId="16250365" w14:textId="77777777" w:rsidR="00E1009B" w:rsidRDefault="00E1009B" w:rsidP="00556611">
      <w:pPr>
        <w:spacing w:line="240" w:lineRule="auto"/>
      </w:pPr>
      <w:r w:rsidRPr="000A0198">
        <w:rPr>
          <w:i/>
        </w:rPr>
        <w:t>R</w:t>
      </w:r>
      <w:r>
        <w:rPr>
          <w:i/>
        </w:rPr>
        <w:t>.</w:t>
      </w:r>
      <w:r w:rsidRPr="000A0198">
        <w:rPr>
          <w:i/>
        </w:rPr>
        <w:t xml:space="preserve"> v. Collins, ex p Brady</w:t>
      </w:r>
      <w:r w:rsidRPr="000A0198">
        <w:t xml:space="preserve"> (2001) 58 B.M.L.R. 173; [2000] M.H.L.R. 17</w:t>
      </w:r>
    </w:p>
    <w:p w14:paraId="75C047C3" w14:textId="77777777" w:rsidR="00E1009B" w:rsidRDefault="00E1009B" w:rsidP="00E1009B">
      <w:pPr>
        <w:widowControl w:val="0"/>
        <w:autoSpaceDE w:val="0"/>
        <w:autoSpaceDN w:val="0"/>
        <w:adjustRightInd w:val="0"/>
        <w:spacing w:line="240" w:lineRule="auto"/>
        <w:rPr>
          <w:i/>
          <w:iCs/>
        </w:rPr>
      </w:pPr>
      <w:r w:rsidRPr="003C5A1F">
        <w:rPr>
          <w:i/>
          <w:iCs/>
        </w:rPr>
        <w:t>R. v D</w:t>
      </w:r>
      <w:r w:rsidRPr="003C5A1F">
        <w:t xml:space="preserve"> [2006] EWCA Crim 1139</w:t>
      </w:r>
      <w:r>
        <w:t>.</w:t>
      </w:r>
      <w:r w:rsidRPr="007644BB">
        <w:rPr>
          <w:i/>
          <w:iCs/>
        </w:rPr>
        <w:t xml:space="preserve"> </w:t>
      </w:r>
    </w:p>
    <w:p w14:paraId="24FFE7B3" w14:textId="77777777" w:rsidR="00E1009B" w:rsidRDefault="00E1009B" w:rsidP="00556611">
      <w:pPr>
        <w:widowControl w:val="0"/>
        <w:autoSpaceDE w:val="0"/>
        <w:autoSpaceDN w:val="0"/>
        <w:adjustRightInd w:val="0"/>
        <w:spacing w:line="240" w:lineRule="auto"/>
        <w:rPr>
          <w:bCs/>
        </w:rPr>
      </w:pPr>
      <w:r w:rsidRPr="00096F09">
        <w:rPr>
          <w:i/>
          <w:iCs/>
        </w:rPr>
        <w:t>R. v.</w:t>
      </w:r>
      <w:r>
        <w:t xml:space="preserve"> </w:t>
      </w:r>
      <w:r w:rsidRPr="00B24677">
        <w:rPr>
          <w:i/>
          <w:iCs/>
        </w:rPr>
        <w:t>Hoppe</w:t>
      </w:r>
      <w:r>
        <w:rPr>
          <w:i/>
          <w:iCs/>
        </w:rPr>
        <w:t xml:space="preserve"> </w:t>
      </w:r>
      <w:r w:rsidRPr="00096F09">
        <w:t>[2016] EWCA Crim 2258</w:t>
      </w:r>
    </w:p>
    <w:p w14:paraId="086885BD" w14:textId="77777777" w:rsidR="00E1009B" w:rsidRDefault="00E1009B" w:rsidP="00556611">
      <w:pPr>
        <w:widowControl w:val="0"/>
        <w:autoSpaceDE w:val="0"/>
        <w:autoSpaceDN w:val="0"/>
        <w:adjustRightInd w:val="0"/>
        <w:spacing w:line="240" w:lineRule="auto"/>
      </w:pPr>
      <w:r>
        <w:rPr>
          <w:i/>
        </w:rPr>
        <w:t xml:space="preserve">R. </w:t>
      </w:r>
      <w:r w:rsidRPr="009A0886">
        <w:rPr>
          <w:i/>
        </w:rPr>
        <w:t xml:space="preserve">v. </w:t>
      </w:r>
      <w:proofErr w:type="spellStart"/>
      <w:r w:rsidRPr="009A0886">
        <w:rPr>
          <w:i/>
        </w:rPr>
        <w:t>M'Naghten</w:t>
      </w:r>
      <w:proofErr w:type="spellEnd"/>
      <w:r w:rsidRPr="009A0886">
        <w:t>, 8 Eng. Rep. 718 [1843]</w:t>
      </w:r>
    </w:p>
    <w:p w14:paraId="405D6BA8" w14:textId="77777777" w:rsidR="00E1009B" w:rsidRDefault="00E1009B" w:rsidP="00E1009B">
      <w:pPr>
        <w:widowControl w:val="0"/>
        <w:autoSpaceDE w:val="0"/>
        <w:autoSpaceDN w:val="0"/>
        <w:adjustRightInd w:val="0"/>
        <w:spacing w:line="240" w:lineRule="auto"/>
        <w:rPr>
          <w:i/>
          <w:iCs/>
        </w:rPr>
      </w:pPr>
      <w:r w:rsidRPr="000A0198">
        <w:rPr>
          <w:i/>
        </w:rPr>
        <w:t>R</w:t>
      </w:r>
      <w:r>
        <w:rPr>
          <w:i/>
        </w:rPr>
        <w:t xml:space="preserve">. </w:t>
      </w:r>
      <w:r w:rsidRPr="000A0198">
        <w:rPr>
          <w:i/>
        </w:rPr>
        <w:t>(TF) v SS for Justice</w:t>
      </w:r>
      <w:r w:rsidRPr="000A0198">
        <w:t xml:space="preserve"> [2008] EWCA </w:t>
      </w:r>
      <w:proofErr w:type="spellStart"/>
      <w:r w:rsidRPr="000A0198">
        <w:t>Civ</w:t>
      </w:r>
      <w:proofErr w:type="spellEnd"/>
      <w:r w:rsidRPr="000A0198">
        <w:t xml:space="preserve"> 1457</w:t>
      </w:r>
    </w:p>
    <w:p w14:paraId="2CDF509E" w14:textId="77777777" w:rsidR="00E1009B" w:rsidRDefault="00E1009B" w:rsidP="00682981">
      <w:pPr>
        <w:widowControl w:val="0"/>
        <w:autoSpaceDE w:val="0"/>
        <w:autoSpaceDN w:val="0"/>
        <w:adjustRightInd w:val="0"/>
        <w:spacing w:line="240" w:lineRule="auto"/>
      </w:pPr>
      <w:r w:rsidRPr="00096F09">
        <w:rPr>
          <w:i/>
          <w:iCs/>
        </w:rPr>
        <w:t>R. v.</w:t>
      </w:r>
      <w:r>
        <w:t xml:space="preserve"> </w:t>
      </w:r>
      <w:r w:rsidRPr="00B24677">
        <w:rPr>
          <w:i/>
          <w:iCs/>
        </w:rPr>
        <w:t>Turner</w:t>
      </w:r>
      <w:r>
        <w:rPr>
          <w:i/>
          <w:iCs/>
        </w:rPr>
        <w:t xml:space="preserve"> </w:t>
      </w:r>
      <w:r w:rsidRPr="00096F09">
        <w:t>[2015] EWCA Crim 1249; [2015] Crim. L.R. 920</w:t>
      </w:r>
    </w:p>
    <w:p w14:paraId="0E2496A4" w14:textId="77777777" w:rsidR="00E1009B" w:rsidRDefault="00E1009B" w:rsidP="00682981">
      <w:pPr>
        <w:widowControl w:val="0"/>
        <w:autoSpaceDE w:val="0"/>
        <w:autoSpaceDN w:val="0"/>
        <w:adjustRightInd w:val="0"/>
        <w:spacing w:line="240" w:lineRule="auto"/>
      </w:pPr>
      <w:r w:rsidRPr="007644BB">
        <w:rPr>
          <w:i/>
        </w:rPr>
        <w:t xml:space="preserve">R. v. </w:t>
      </w:r>
      <w:proofErr w:type="spellStart"/>
      <w:r w:rsidRPr="007644BB">
        <w:rPr>
          <w:i/>
        </w:rPr>
        <w:t>Vowles</w:t>
      </w:r>
      <w:proofErr w:type="spellEnd"/>
      <w:r>
        <w:t xml:space="preserve"> </w:t>
      </w:r>
      <w:r w:rsidRPr="007644BB">
        <w:rPr>
          <w:i/>
        </w:rPr>
        <w:t>and others</w:t>
      </w:r>
      <w:r>
        <w:t xml:space="preserve"> </w:t>
      </w:r>
      <w:r w:rsidRPr="00BB61C4">
        <w:t>[2015] EWCA Crim 45; [2015] 2 Cr. App. R. (S.)</w:t>
      </w:r>
    </w:p>
    <w:p w14:paraId="2CB3D1DE" w14:textId="77777777" w:rsidR="00E1009B" w:rsidRDefault="00E1009B" w:rsidP="00682981">
      <w:pPr>
        <w:widowControl w:val="0"/>
        <w:autoSpaceDE w:val="0"/>
        <w:autoSpaceDN w:val="0"/>
        <w:adjustRightInd w:val="0"/>
        <w:spacing w:line="240" w:lineRule="auto"/>
        <w:rPr>
          <w:noProof/>
        </w:rPr>
      </w:pPr>
      <w:r w:rsidRPr="000A0198">
        <w:rPr>
          <w:i/>
        </w:rPr>
        <w:t>R. v.</w:t>
      </w:r>
      <w:r w:rsidRPr="000A0198">
        <w:t xml:space="preserve"> </w:t>
      </w:r>
      <w:r w:rsidRPr="000A0198">
        <w:rPr>
          <w:i/>
        </w:rPr>
        <w:t>Windle</w:t>
      </w:r>
      <w:r>
        <w:t xml:space="preserve"> </w:t>
      </w:r>
      <w:r w:rsidRPr="000A0198">
        <w:t>[1952] 2 QB 826</w:t>
      </w:r>
    </w:p>
    <w:p w14:paraId="3E74407B" w14:textId="3FB09185" w:rsidR="00294BD9" w:rsidRDefault="00294BD9" w:rsidP="00682981">
      <w:pPr>
        <w:widowControl w:val="0"/>
        <w:autoSpaceDE w:val="0"/>
        <w:autoSpaceDN w:val="0"/>
        <w:adjustRightInd w:val="0"/>
        <w:spacing w:line="240" w:lineRule="auto"/>
        <w:rPr>
          <w:noProof/>
        </w:rPr>
      </w:pPr>
      <w:r w:rsidRPr="00294BD9">
        <w:rPr>
          <w:noProof/>
        </w:rPr>
        <w:t>Reidy, K.</w:t>
      </w:r>
      <w:r>
        <w:rPr>
          <w:noProof/>
        </w:rPr>
        <w:t xml:space="preserve"> and</w:t>
      </w:r>
      <w:r w:rsidRPr="00294BD9">
        <w:rPr>
          <w:noProof/>
        </w:rPr>
        <w:t xml:space="preserve"> Kelly, B. (2021) </w:t>
      </w:r>
      <w:r>
        <w:rPr>
          <w:noProof/>
        </w:rPr>
        <w:t>‘</w:t>
      </w:r>
      <w:r w:rsidRPr="00294BD9">
        <w:rPr>
          <w:noProof/>
        </w:rPr>
        <w:t xml:space="preserve">Involuntary status and mental capacity for treatment decisions under Sections 4, 3, and 57 of Ireland’s Mental Health Act, 2001: Analysis and </w:t>
      </w:r>
      <w:r w:rsidRPr="00294BD9">
        <w:rPr>
          <w:noProof/>
        </w:rPr>
        <w:lastRenderedPageBreak/>
        <w:t>recommendations for reform</w:t>
      </w:r>
      <w:r>
        <w:rPr>
          <w:noProof/>
        </w:rPr>
        <w:t>’,</w:t>
      </w:r>
      <w:r w:rsidRPr="00294BD9">
        <w:rPr>
          <w:noProof/>
        </w:rPr>
        <w:t xml:space="preserve"> </w:t>
      </w:r>
      <w:r w:rsidRPr="00294BD9">
        <w:rPr>
          <w:i/>
          <w:iCs/>
          <w:noProof/>
        </w:rPr>
        <w:t>Irish Journal of Psychological Medicine</w:t>
      </w:r>
      <w:r w:rsidRPr="00294BD9">
        <w:rPr>
          <w:noProof/>
        </w:rPr>
        <w:t xml:space="preserve">, </w:t>
      </w:r>
      <w:r w:rsidR="00441BEB">
        <w:rPr>
          <w:noProof/>
        </w:rPr>
        <w:t>pp.</w:t>
      </w:r>
      <w:r w:rsidRPr="00294BD9">
        <w:rPr>
          <w:noProof/>
        </w:rPr>
        <w:t>1-6.</w:t>
      </w:r>
    </w:p>
    <w:p w14:paraId="3C2DB4F2" w14:textId="73CB7D9F" w:rsidR="008A2865" w:rsidRPr="00682981" w:rsidRDefault="008A2865" w:rsidP="00682981">
      <w:pPr>
        <w:widowControl w:val="0"/>
        <w:autoSpaceDE w:val="0"/>
        <w:autoSpaceDN w:val="0"/>
        <w:adjustRightInd w:val="0"/>
        <w:spacing w:line="240" w:lineRule="auto"/>
        <w:rPr>
          <w:noProof/>
        </w:rPr>
      </w:pPr>
      <w:proofErr w:type="spellStart"/>
      <w:r w:rsidRPr="008A2865">
        <w:rPr>
          <w:i/>
        </w:rPr>
        <w:t>Rooman</w:t>
      </w:r>
      <w:proofErr w:type="spellEnd"/>
      <w:r w:rsidRPr="008A2865">
        <w:rPr>
          <w:i/>
        </w:rPr>
        <w:t xml:space="preserve"> v. Belgium</w:t>
      </w:r>
      <w:r>
        <w:t xml:space="preserve"> </w:t>
      </w:r>
      <w:r w:rsidRPr="00670E5B">
        <w:t>[2019] ECHR 109</w:t>
      </w:r>
      <w:r w:rsidR="00441BEB">
        <w:t>.</w:t>
      </w:r>
    </w:p>
    <w:p w14:paraId="6C08C54D" w14:textId="77777777" w:rsidR="00682981" w:rsidRPr="00682981" w:rsidRDefault="00682981" w:rsidP="00682981">
      <w:pPr>
        <w:widowControl w:val="0"/>
        <w:autoSpaceDE w:val="0"/>
        <w:autoSpaceDN w:val="0"/>
        <w:adjustRightInd w:val="0"/>
        <w:spacing w:line="240" w:lineRule="auto"/>
        <w:rPr>
          <w:noProof/>
        </w:rPr>
      </w:pPr>
      <w:r w:rsidRPr="00682981">
        <w:rPr>
          <w:noProof/>
        </w:rPr>
        <w:t xml:space="preserve">Seddon, T. (2008) ‘Dangerous liaisons: Personality disorder and the politics of risk’, </w:t>
      </w:r>
      <w:r w:rsidRPr="00682981">
        <w:rPr>
          <w:i/>
          <w:iCs/>
          <w:noProof/>
        </w:rPr>
        <w:t>Punishment and Society</w:t>
      </w:r>
      <w:r w:rsidRPr="00682981">
        <w:rPr>
          <w:noProof/>
        </w:rPr>
        <w:t xml:space="preserve">, 10(3), pp. 301–317. </w:t>
      </w:r>
    </w:p>
    <w:p w14:paraId="27860DC4" w14:textId="29E3F3C3" w:rsidR="00682981" w:rsidRPr="00682981" w:rsidRDefault="00682981" w:rsidP="00682981">
      <w:pPr>
        <w:widowControl w:val="0"/>
        <w:autoSpaceDE w:val="0"/>
        <w:autoSpaceDN w:val="0"/>
        <w:adjustRightInd w:val="0"/>
        <w:spacing w:line="240" w:lineRule="auto"/>
        <w:rPr>
          <w:noProof/>
        </w:rPr>
      </w:pPr>
      <w:r w:rsidRPr="00682981">
        <w:rPr>
          <w:noProof/>
        </w:rPr>
        <w:t xml:space="preserve">Sheehan, L., Nieweglowski, K. and Corrigan, P. (2016) ‘The </w:t>
      </w:r>
      <w:r w:rsidR="00F976A1" w:rsidRPr="00682981">
        <w:rPr>
          <w:noProof/>
        </w:rPr>
        <w:t>stigma of personality disorders’</w:t>
      </w:r>
      <w:r w:rsidRPr="00682981">
        <w:rPr>
          <w:noProof/>
        </w:rPr>
        <w:t xml:space="preserve">, </w:t>
      </w:r>
      <w:r w:rsidRPr="00682981">
        <w:rPr>
          <w:i/>
          <w:iCs/>
          <w:noProof/>
        </w:rPr>
        <w:t>Current Psychiatry Reports</w:t>
      </w:r>
      <w:r w:rsidRPr="00682981">
        <w:rPr>
          <w:noProof/>
        </w:rPr>
        <w:t>, 18(1), p. 11.</w:t>
      </w:r>
    </w:p>
    <w:p w14:paraId="5CCAD62B" w14:textId="77777777" w:rsidR="00682981" w:rsidRPr="00682981" w:rsidRDefault="00682981" w:rsidP="00682981">
      <w:pPr>
        <w:widowControl w:val="0"/>
        <w:autoSpaceDE w:val="0"/>
        <w:autoSpaceDN w:val="0"/>
        <w:adjustRightInd w:val="0"/>
        <w:spacing w:line="240" w:lineRule="auto"/>
        <w:rPr>
          <w:noProof/>
        </w:rPr>
      </w:pPr>
      <w:r w:rsidRPr="00682981">
        <w:rPr>
          <w:noProof/>
        </w:rPr>
        <w:t xml:space="preserve">Skett, S. and Lewis, C. (2019) ‘Development of the Offender Personality Disorder Pathway: A summary of the underpinning evidence’, </w:t>
      </w:r>
      <w:r w:rsidRPr="00682981">
        <w:rPr>
          <w:i/>
          <w:iCs/>
          <w:noProof/>
        </w:rPr>
        <w:t>Probation Journal</w:t>
      </w:r>
      <w:r w:rsidRPr="00682981">
        <w:rPr>
          <w:noProof/>
        </w:rPr>
        <w:t>, 66(2), pp. 167–180.</w:t>
      </w:r>
    </w:p>
    <w:p w14:paraId="6C8711C6" w14:textId="37122714" w:rsidR="00682981" w:rsidRDefault="00682981" w:rsidP="00682981">
      <w:pPr>
        <w:widowControl w:val="0"/>
        <w:autoSpaceDE w:val="0"/>
        <w:autoSpaceDN w:val="0"/>
        <w:adjustRightInd w:val="0"/>
        <w:spacing w:line="240" w:lineRule="auto"/>
        <w:rPr>
          <w:noProof/>
        </w:rPr>
      </w:pPr>
      <w:r w:rsidRPr="005367A9">
        <w:rPr>
          <w:noProof/>
          <w:lang w:val="fr-FR"/>
        </w:rPr>
        <w:t xml:space="preserve">Stinson, F. S. </w:t>
      </w:r>
      <w:r w:rsidRPr="005367A9">
        <w:rPr>
          <w:i/>
          <w:iCs/>
          <w:noProof/>
          <w:lang w:val="fr-FR"/>
        </w:rPr>
        <w:t>et al.</w:t>
      </w:r>
      <w:r w:rsidRPr="005367A9">
        <w:rPr>
          <w:noProof/>
          <w:lang w:val="fr-FR"/>
        </w:rPr>
        <w:t xml:space="preserve"> </w:t>
      </w:r>
      <w:r w:rsidRPr="00682981">
        <w:rPr>
          <w:noProof/>
        </w:rPr>
        <w:t xml:space="preserve">(2008) ‘Prevalence, correlates, disability, and comorbidity of DSM-IV narcissistic personality disorder: </w:t>
      </w:r>
      <w:r w:rsidR="00F976A1">
        <w:rPr>
          <w:noProof/>
        </w:rPr>
        <w:t>R</w:t>
      </w:r>
      <w:r w:rsidRPr="00682981">
        <w:rPr>
          <w:noProof/>
        </w:rPr>
        <w:t xml:space="preserve">esults from the </w:t>
      </w:r>
      <w:r w:rsidR="00F976A1" w:rsidRPr="00682981">
        <w:rPr>
          <w:noProof/>
        </w:rPr>
        <w:t>Wave 2 National Epidemiologic Survey On Alcohol And Related Conditions</w:t>
      </w:r>
      <w:r w:rsidRPr="00682981">
        <w:rPr>
          <w:noProof/>
        </w:rPr>
        <w:t xml:space="preserve">’, </w:t>
      </w:r>
      <w:r w:rsidRPr="00682981">
        <w:rPr>
          <w:i/>
          <w:iCs/>
          <w:noProof/>
        </w:rPr>
        <w:t>The Journal of clinical psychiatry</w:t>
      </w:r>
      <w:r w:rsidRPr="00682981">
        <w:rPr>
          <w:noProof/>
        </w:rPr>
        <w:t>, 69(7), pp. 1033–1045.</w:t>
      </w:r>
    </w:p>
    <w:p w14:paraId="39DEF101" w14:textId="3E23B218" w:rsidR="00962745" w:rsidRPr="00682981" w:rsidRDefault="00962745" w:rsidP="00682981">
      <w:pPr>
        <w:widowControl w:val="0"/>
        <w:autoSpaceDE w:val="0"/>
        <w:autoSpaceDN w:val="0"/>
        <w:adjustRightInd w:val="0"/>
        <w:spacing w:line="240" w:lineRule="auto"/>
        <w:rPr>
          <w:noProof/>
        </w:rPr>
      </w:pPr>
      <w:proofErr w:type="spellStart"/>
      <w:r>
        <w:t>Slovenko</w:t>
      </w:r>
      <w:proofErr w:type="spellEnd"/>
      <w:r>
        <w:t xml:space="preserve">, R. (2011) ‘The DSM in </w:t>
      </w:r>
      <w:r w:rsidR="00F27104">
        <w:t>litigation and legislation’</w:t>
      </w:r>
      <w:r>
        <w:t xml:space="preserve">, </w:t>
      </w:r>
      <w:r w:rsidRPr="00962745">
        <w:rPr>
          <w:i/>
        </w:rPr>
        <w:t>Journal of the American Academy of Psychiatry and the Law</w:t>
      </w:r>
      <w:r>
        <w:t xml:space="preserve">, </w:t>
      </w:r>
      <w:r w:rsidRPr="00962745">
        <w:t>39</w:t>
      </w:r>
      <w:r w:rsidR="00441BEB">
        <w:t>, pp.</w:t>
      </w:r>
      <w:r w:rsidRPr="00962745">
        <w:t>6 –11</w:t>
      </w:r>
      <w:r>
        <w:t>.</w:t>
      </w:r>
    </w:p>
    <w:p w14:paraId="14C1D730" w14:textId="77777777" w:rsidR="00682981" w:rsidRPr="00682981" w:rsidRDefault="00682981" w:rsidP="00682981">
      <w:pPr>
        <w:widowControl w:val="0"/>
        <w:autoSpaceDE w:val="0"/>
        <w:autoSpaceDN w:val="0"/>
        <w:adjustRightInd w:val="0"/>
        <w:spacing w:line="240" w:lineRule="auto"/>
        <w:rPr>
          <w:noProof/>
        </w:rPr>
      </w:pPr>
      <w:r w:rsidRPr="00682981">
        <w:rPr>
          <w:noProof/>
        </w:rPr>
        <w:t xml:space="preserve">Stoffers, J. </w:t>
      </w:r>
      <w:r w:rsidRPr="00682981">
        <w:rPr>
          <w:i/>
          <w:iCs/>
          <w:noProof/>
        </w:rPr>
        <w:t>et al.</w:t>
      </w:r>
      <w:r w:rsidRPr="00682981">
        <w:rPr>
          <w:noProof/>
        </w:rPr>
        <w:t xml:space="preserve"> (2010) ‘Pharmacological interventions for borderline personality disorder.’, </w:t>
      </w:r>
      <w:r w:rsidRPr="00682981">
        <w:rPr>
          <w:i/>
          <w:iCs/>
          <w:noProof/>
        </w:rPr>
        <w:t>The Cochrane database of systematic reviews</w:t>
      </w:r>
      <w:r w:rsidRPr="00682981">
        <w:rPr>
          <w:noProof/>
        </w:rPr>
        <w:t>, (6)</w:t>
      </w:r>
      <w:r w:rsidR="00153E18">
        <w:rPr>
          <w:noProof/>
        </w:rPr>
        <w:t>.</w:t>
      </w:r>
    </w:p>
    <w:p w14:paraId="6B690275" w14:textId="77777777" w:rsidR="00682981" w:rsidRPr="00682981" w:rsidRDefault="00682981" w:rsidP="00682981">
      <w:pPr>
        <w:widowControl w:val="0"/>
        <w:autoSpaceDE w:val="0"/>
        <w:autoSpaceDN w:val="0"/>
        <w:adjustRightInd w:val="0"/>
        <w:spacing w:line="240" w:lineRule="auto"/>
        <w:rPr>
          <w:noProof/>
        </w:rPr>
      </w:pPr>
      <w:r w:rsidRPr="00682981">
        <w:rPr>
          <w:noProof/>
        </w:rPr>
        <w:t xml:space="preserve">Storebø, O. J. </w:t>
      </w:r>
      <w:r w:rsidRPr="00682981">
        <w:rPr>
          <w:i/>
          <w:iCs/>
          <w:noProof/>
        </w:rPr>
        <w:t>et al.</w:t>
      </w:r>
      <w:r w:rsidRPr="00682981">
        <w:rPr>
          <w:noProof/>
        </w:rPr>
        <w:t xml:space="preserve"> (2020) ‘Psychological therapies for people with borderline personality disorder’, </w:t>
      </w:r>
      <w:r w:rsidRPr="00682981">
        <w:rPr>
          <w:i/>
          <w:iCs/>
          <w:noProof/>
        </w:rPr>
        <w:t>Cochrane database of systematic reviews</w:t>
      </w:r>
      <w:r w:rsidRPr="00682981">
        <w:rPr>
          <w:noProof/>
        </w:rPr>
        <w:t>, 5(5)</w:t>
      </w:r>
      <w:r w:rsidR="00AB75B8">
        <w:rPr>
          <w:noProof/>
        </w:rPr>
        <w:t>.</w:t>
      </w:r>
    </w:p>
    <w:p w14:paraId="36904149" w14:textId="48C96DF4" w:rsidR="00682981" w:rsidRDefault="00682981" w:rsidP="00682981">
      <w:pPr>
        <w:widowControl w:val="0"/>
        <w:autoSpaceDE w:val="0"/>
        <w:autoSpaceDN w:val="0"/>
        <w:adjustRightInd w:val="0"/>
        <w:spacing w:line="240" w:lineRule="auto"/>
        <w:rPr>
          <w:noProof/>
        </w:rPr>
      </w:pPr>
      <w:r w:rsidRPr="00682981">
        <w:rPr>
          <w:noProof/>
        </w:rPr>
        <w:t xml:space="preserve">The Law Society (2002) ‘Response to the draft </w:t>
      </w:r>
      <w:r w:rsidR="00F27104" w:rsidRPr="00682981">
        <w:rPr>
          <w:noProof/>
        </w:rPr>
        <w:t>Mental Health Bill’</w:t>
      </w:r>
      <w:r w:rsidRPr="00682981">
        <w:rPr>
          <w:noProof/>
        </w:rPr>
        <w:t xml:space="preserve">, </w:t>
      </w:r>
      <w:r w:rsidRPr="00682981">
        <w:rPr>
          <w:i/>
          <w:iCs/>
          <w:noProof/>
        </w:rPr>
        <w:t>Journal of Mental Health Law</w:t>
      </w:r>
      <w:r w:rsidRPr="00682981">
        <w:rPr>
          <w:noProof/>
        </w:rPr>
        <w:t>, 2, pp. 380–385.</w:t>
      </w:r>
    </w:p>
    <w:p w14:paraId="756E0252" w14:textId="6B7074DB" w:rsidR="00A01AFC" w:rsidRPr="00682981" w:rsidRDefault="00A01AFC" w:rsidP="00A01AFC">
      <w:pPr>
        <w:widowControl w:val="0"/>
        <w:autoSpaceDE w:val="0"/>
        <w:autoSpaceDN w:val="0"/>
        <w:adjustRightInd w:val="0"/>
        <w:spacing w:line="240" w:lineRule="auto"/>
        <w:rPr>
          <w:noProof/>
        </w:rPr>
      </w:pPr>
      <w:r>
        <w:rPr>
          <w:noProof/>
        </w:rPr>
        <w:t xml:space="preserve">Trebilcock, J. and Weaver, T. (2012) ‘Changing legal characteristics of dangerous and severe personality disorder (DSPD) patients and prisoners’, </w:t>
      </w:r>
      <w:r w:rsidRPr="00A01AFC">
        <w:rPr>
          <w:i/>
          <w:iCs/>
          <w:noProof/>
        </w:rPr>
        <w:t>Journal of Forensic Psychiatry &amp; Psychology</w:t>
      </w:r>
      <w:r>
        <w:rPr>
          <w:noProof/>
        </w:rPr>
        <w:t>, 23</w:t>
      </w:r>
      <w:r w:rsidR="00441BEB">
        <w:rPr>
          <w:noProof/>
        </w:rPr>
        <w:t>(</w:t>
      </w:r>
      <w:r>
        <w:rPr>
          <w:noProof/>
        </w:rPr>
        <w:t>2</w:t>
      </w:r>
      <w:r w:rsidR="00441BEB">
        <w:rPr>
          <w:noProof/>
        </w:rPr>
        <w:t>)</w:t>
      </w:r>
      <w:r>
        <w:rPr>
          <w:noProof/>
        </w:rPr>
        <w:t xml:space="preserve">, </w:t>
      </w:r>
      <w:r w:rsidR="00441BEB">
        <w:rPr>
          <w:noProof/>
        </w:rPr>
        <w:t xml:space="preserve">pp. </w:t>
      </w:r>
      <w:r>
        <w:rPr>
          <w:noProof/>
        </w:rPr>
        <w:t>237-243</w:t>
      </w:r>
    </w:p>
    <w:p w14:paraId="2DB9B434" w14:textId="48430BBA" w:rsidR="00A01AFC" w:rsidRPr="00682981" w:rsidRDefault="00682981" w:rsidP="00682981">
      <w:pPr>
        <w:widowControl w:val="0"/>
        <w:autoSpaceDE w:val="0"/>
        <w:autoSpaceDN w:val="0"/>
        <w:adjustRightInd w:val="0"/>
        <w:spacing w:line="240" w:lineRule="auto"/>
        <w:rPr>
          <w:noProof/>
        </w:rPr>
      </w:pPr>
      <w:r w:rsidRPr="00682981">
        <w:rPr>
          <w:noProof/>
        </w:rPr>
        <w:t xml:space="preserve">Trebilcock, J. </w:t>
      </w:r>
      <w:r w:rsidRPr="00682981">
        <w:rPr>
          <w:i/>
          <w:iCs/>
          <w:noProof/>
        </w:rPr>
        <w:t>et al.</w:t>
      </w:r>
      <w:r w:rsidRPr="00682981">
        <w:rPr>
          <w:noProof/>
        </w:rPr>
        <w:t xml:space="preserve"> (2019) ‘A more promising architecture? Commissioners’ perspectives on the reconfiguration of personality disorder services under the Offender Personality Disorder (OPD) pathway’, </w:t>
      </w:r>
      <w:r w:rsidRPr="00682981">
        <w:rPr>
          <w:i/>
          <w:iCs/>
          <w:noProof/>
        </w:rPr>
        <w:t>Mental Health Review Journal</w:t>
      </w:r>
      <w:r w:rsidRPr="00682981">
        <w:rPr>
          <w:noProof/>
        </w:rPr>
        <w:t>, 24(4), pp. 306–316.</w:t>
      </w:r>
    </w:p>
    <w:p w14:paraId="4D29B210" w14:textId="77777777" w:rsidR="00682981" w:rsidRPr="00682981" w:rsidRDefault="00682981" w:rsidP="00682981">
      <w:pPr>
        <w:widowControl w:val="0"/>
        <w:autoSpaceDE w:val="0"/>
        <w:autoSpaceDN w:val="0"/>
        <w:adjustRightInd w:val="0"/>
        <w:spacing w:line="240" w:lineRule="auto"/>
        <w:rPr>
          <w:noProof/>
        </w:rPr>
      </w:pPr>
      <w:r w:rsidRPr="00682981">
        <w:rPr>
          <w:noProof/>
        </w:rPr>
        <w:t xml:space="preserve">Tyrer, P. </w:t>
      </w:r>
      <w:r w:rsidRPr="00682981">
        <w:rPr>
          <w:i/>
          <w:iCs/>
          <w:noProof/>
        </w:rPr>
        <w:t>et al.</w:t>
      </w:r>
      <w:r w:rsidRPr="00682981">
        <w:rPr>
          <w:noProof/>
        </w:rPr>
        <w:t xml:space="preserve"> (2011a) ‘A classification based on evidence is the first step to clinical utility’, </w:t>
      </w:r>
      <w:r w:rsidRPr="00682981">
        <w:rPr>
          <w:i/>
          <w:iCs/>
          <w:noProof/>
        </w:rPr>
        <w:t>Personality and Mental Health</w:t>
      </w:r>
      <w:r w:rsidRPr="00682981">
        <w:rPr>
          <w:noProof/>
        </w:rPr>
        <w:t>, 5(4), pp. 304–307.</w:t>
      </w:r>
    </w:p>
    <w:p w14:paraId="53A0FD48" w14:textId="77777777" w:rsidR="00682981" w:rsidRPr="00682981" w:rsidRDefault="00682981" w:rsidP="00682981">
      <w:pPr>
        <w:widowControl w:val="0"/>
        <w:autoSpaceDE w:val="0"/>
        <w:autoSpaceDN w:val="0"/>
        <w:adjustRightInd w:val="0"/>
        <w:spacing w:line="240" w:lineRule="auto"/>
        <w:rPr>
          <w:noProof/>
        </w:rPr>
      </w:pPr>
      <w:r w:rsidRPr="00682981">
        <w:rPr>
          <w:noProof/>
        </w:rPr>
        <w:t xml:space="preserve">Tyrer, P. </w:t>
      </w:r>
      <w:r w:rsidRPr="00682981">
        <w:rPr>
          <w:i/>
          <w:iCs/>
          <w:noProof/>
        </w:rPr>
        <w:t>et al.</w:t>
      </w:r>
      <w:r w:rsidRPr="00682981">
        <w:rPr>
          <w:noProof/>
        </w:rPr>
        <w:t xml:space="preserve"> (2011b) ‘The rationale for the reclassification of personality disorder in the 11th revision of the International Classification of Diseases (ICD-11)’, </w:t>
      </w:r>
      <w:r w:rsidRPr="00682981">
        <w:rPr>
          <w:i/>
          <w:iCs/>
          <w:noProof/>
        </w:rPr>
        <w:t>Personality and Mental Health</w:t>
      </w:r>
      <w:r w:rsidRPr="00682981">
        <w:rPr>
          <w:noProof/>
        </w:rPr>
        <w:t>, 5(4), pp. 246–259.</w:t>
      </w:r>
    </w:p>
    <w:p w14:paraId="62219B74" w14:textId="289FB3B2" w:rsidR="00682981" w:rsidRPr="00682981" w:rsidRDefault="00682981" w:rsidP="00682981">
      <w:pPr>
        <w:widowControl w:val="0"/>
        <w:autoSpaceDE w:val="0"/>
        <w:autoSpaceDN w:val="0"/>
        <w:adjustRightInd w:val="0"/>
        <w:spacing w:line="240" w:lineRule="auto"/>
        <w:rPr>
          <w:noProof/>
        </w:rPr>
      </w:pPr>
      <w:r w:rsidRPr="00682981">
        <w:rPr>
          <w:noProof/>
        </w:rPr>
        <w:t xml:space="preserve">Tyrer, P. </w:t>
      </w:r>
      <w:r w:rsidRPr="00682981">
        <w:rPr>
          <w:i/>
          <w:iCs/>
          <w:noProof/>
        </w:rPr>
        <w:t>et al.</w:t>
      </w:r>
      <w:r w:rsidRPr="00682981">
        <w:rPr>
          <w:noProof/>
        </w:rPr>
        <w:t xml:space="preserve"> (2019) ‘The </w:t>
      </w:r>
      <w:r w:rsidR="00F27104">
        <w:rPr>
          <w:noProof/>
        </w:rPr>
        <w:t>d</w:t>
      </w:r>
      <w:r w:rsidRPr="00682981">
        <w:rPr>
          <w:noProof/>
        </w:rPr>
        <w:t xml:space="preserve">evelopment of the ICD-11 </w:t>
      </w:r>
      <w:r w:rsidR="00F27104" w:rsidRPr="00682981">
        <w:rPr>
          <w:noProof/>
        </w:rPr>
        <w:t>classification of personality disorders</w:t>
      </w:r>
      <w:r w:rsidRPr="00682981">
        <w:rPr>
          <w:noProof/>
        </w:rPr>
        <w:t xml:space="preserve">: An </w:t>
      </w:r>
      <w:r w:rsidR="00F27104" w:rsidRPr="00682981">
        <w:rPr>
          <w:noProof/>
        </w:rPr>
        <w:t>amalgam of science, pragmatism, and politics’</w:t>
      </w:r>
      <w:r w:rsidRPr="00682981">
        <w:rPr>
          <w:noProof/>
        </w:rPr>
        <w:t xml:space="preserve">, </w:t>
      </w:r>
      <w:r w:rsidRPr="00682981">
        <w:rPr>
          <w:i/>
          <w:iCs/>
          <w:noProof/>
        </w:rPr>
        <w:t>Annual review of clinical psychology</w:t>
      </w:r>
      <w:r w:rsidRPr="00682981">
        <w:rPr>
          <w:noProof/>
        </w:rPr>
        <w:t>, 15(1)</w:t>
      </w:r>
      <w:r w:rsidR="00441BEB">
        <w:rPr>
          <w:noProof/>
        </w:rPr>
        <w:t xml:space="preserve">, pp. </w:t>
      </w:r>
      <w:r w:rsidR="00441BEB" w:rsidRPr="00441BEB">
        <w:rPr>
          <w:noProof/>
        </w:rPr>
        <w:t>481-502</w:t>
      </w:r>
    </w:p>
    <w:p w14:paraId="3E55AB59" w14:textId="77777777" w:rsidR="00682981" w:rsidRPr="00682981" w:rsidRDefault="00682981" w:rsidP="00682981">
      <w:pPr>
        <w:widowControl w:val="0"/>
        <w:autoSpaceDE w:val="0"/>
        <w:autoSpaceDN w:val="0"/>
        <w:adjustRightInd w:val="0"/>
        <w:spacing w:line="240" w:lineRule="auto"/>
        <w:rPr>
          <w:noProof/>
        </w:rPr>
      </w:pPr>
      <w:r w:rsidRPr="00682981">
        <w:rPr>
          <w:noProof/>
        </w:rPr>
        <w:t xml:space="preserve">Tyrer, P. and Seivewright, H. (2008) ‘Stable instability: the natural history of personality disorders’, </w:t>
      </w:r>
      <w:r w:rsidRPr="00682981">
        <w:rPr>
          <w:i/>
          <w:iCs/>
          <w:noProof/>
        </w:rPr>
        <w:t>Psychiatry</w:t>
      </w:r>
      <w:r w:rsidRPr="00682981">
        <w:rPr>
          <w:noProof/>
        </w:rPr>
        <w:t>, 7(3), pp. 129–132.</w:t>
      </w:r>
    </w:p>
    <w:p w14:paraId="779B58FC" w14:textId="301570F0" w:rsidR="00682981" w:rsidRDefault="00682981" w:rsidP="00682981">
      <w:pPr>
        <w:widowControl w:val="0"/>
        <w:autoSpaceDE w:val="0"/>
        <w:autoSpaceDN w:val="0"/>
        <w:adjustRightInd w:val="0"/>
        <w:spacing w:line="240" w:lineRule="auto"/>
        <w:rPr>
          <w:noProof/>
        </w:rPr>
      </w:pPr>
      <w:r w:rsidRPr="00682981">
        <w:rPr>
          <w:noProof/>
        </w:rPr>
        <w:t xml:space="preserve">Vannier, M. (2016) ‘A </w:t>
      </w:r>
      <w:r w:rsidR="00F27104" w:rsidRPr="00682981">
        <w:rPr>
          <w:noProof/>
        </w:rPr>
        <w:t>right to hope</w:t>
      </w:r>
      <w:r w:rsidRPr="00682981">
        <w:rPr>
          <w:noProof/>
        </w:rPr>
        <w:t xml:space="preserve">? Life </w:t>
      </w:r>
      <w:r w:rsidR="00F27104" w:rsidRPr="00682981">
        <w:rPr>
          <w:noProof/>
        </w:rPr>
        <w:t>impriso</w:t>
      </w:r>
      <w:r w:rsidRPr="00682981">
        <w:rPr>
          <w:noProof/>
        </w:rPr>
        <w:t xml:space="preserve">nment in France’, in van Zyl Smit, D. and Appleton, C. (eds) </w:t>
      </w:r>
      <w:r w:rsidRPr="00682981">
        <w:rPr>
          <w:i/>
          <w:iCs/>
          <w:noProof/>
        </w:rPr>
        <w:t>Life imprisonment and human rights</w:t>
      </w:r>
      <w:r w:rsidRPr="00682981">
        <w:rPr>
          <w:noProof/>
        </w:rPr>
        <w:t>. Oxford: Hart Publishing.</w:t>
      </w:r>
    </w:p>
    <w:p w14:paraId="26DEDA24" w14:textId="34A84B4F" w:rsidR="00E60216" w:rsidRPr="00682981" w:rsidRDefault="00E60216" w:rsidP="00682981">
      <w:pPr>
        <w:widowControl w:val="0"/>
        <w:autoSpaceDE w:val="0"/>
        <w:autoSpaceDN w:val="0"/>
        <w:adjustRightInd w:val="0"/>
        <w:spacing w:line="240" w:lineRule="auto"/>
        <w:rPr>
          <w:noProof/>
        </w:rPr>
      </w:pPr>
      <w:r w:rsidRPr="00FD6B11">
        <w:rPr>
          <w:i/>
          <w:iCs/>
        </w:rPr>
        <w:t xml:space="preserve">WH v </w:t>
      </w:r>
      <w:proofErr w:type="spellStart"/>
      <w:r w:rsidRPr="00FD6B11">
        <w:rPr>
          <w:i/>
          <w:iCs/>
        </w:rPr>
        <w:t>Llanarth</w:t>
      </w:r>
      <w:proofErr w:type="spellEnd"/>
      <w:r w:rsidRPr="00FD6B11">
        <w:rPr>
          <w:i/>
          <w:iCs/>
        </w:rPr>
        <w:t xml:space="preserve"> Court Hospital </w:t>
      </w:r>
      <w:r w:rsidRPr="00FD6B11">
        <w:t>[2015] UKUT 695 (AAC)</w:t>
      </w:r>
      <w:r>
        <w:t>.</w:t>
      </w:r>
    </w:p>
    <w:p w14:paraId="1DB1ABB8" w14:textId="77777777" w:rsidR="00682981" w:rsidRPr="00682981" w:rsidRDefault="00682981" w:rsidP="00682981">
      <w:pPr>
        <w:widowControl w:val="0"/>
        <w:autoSpaceDE w:val="0"/>
        <w:autoSpaceDN w:val="0"/>
        <w:adjustRightInd w:val="0"/>
        <w:spacing w:line="240" w:lineRule="auto"/>
        <w:rPr>
          <w:noProof/>
        </w:rPr>
      </w:pPr>
      <w:r w:rsidRPr="00682981">
        <w:rPr>
          <w:noProof/>
        </w:rPr>
        <w:t xml:space="preserve">Whooley, O. (2016) ‘Measuring mental disorders: The failed commensuration project of DSM-5’, </w:t>
      </w:r>
      <w:r w:rsidRPr="00682981">
        <w:rPr>
          <w:i/>
          <w:iCs/>
          <w:noProof/>
        </w:rPr>
        <w:t>Social Science &amp; Medicine</w:t>
      </w:r>
      <w:r w:rsidR="001A5EA8">
        <w:rPr>
          <w:noProof/>
        </w:rPr>
        <w:t xml:space="preserve">, </w:t>
      </w:r>
      <w:r w:rsidRPr="00682981">
        <w:rPr>
          <w:noProof/>
        </w:rPr>
        <w:t>166, pp. 33–40.</w:t>
      </w:r>
    </w:p>
    <w:p w14:paraId="4415622C" w14:textId="7816612D" w:rsidR="00682981" w:rsidRPr="00682981" w:rsidRDefault="00682981" w:rsidP="00682981">
      <w:pPr>
        <w:widowControl w:val="0"/>
        <w:autoSpaceDE w:val="0"/>
        <w:autoSpaceDN w:val="0"/>
        <w:adjustRightInd w:val="0"/>
        <w:spacing w:line="240" w:lineRule="auto"/>
        <w:rPr>
          <w:noProof/>
        </w:rPr>
      </w:pPr>
      <w:r w:rsidRPr="00682981">
        <w:rPr>
          <w:noProof/>
        </w:rPr>
        <w:t xml:space="preserve">Widiger, T. A., Livesley, W. J. and Clark, L. A. (2009) ‘An </w:t>
      </w:r>
      <w:r w:rsidR="00F27104" w:rsidRPr="00682981">
        <w:rPr>
          <w:noProof/>
        </w:rPr>
        <w:t>integrative dimensional classification of personality disorder’</w:t>
      </w:r>
      <w:r w:rsidRPr="00682981">
        <w:rPr>
          <w:noProof/>
        </w:rPr>
        <w:t xml:space="preserve">, </w:t>
      </w:r>
      <w:r w:rsidRPr="00682981">
        <w:rPr>
          <w:i/>
          <w:iCs/>
          <w:noProof/>
        </w:rPr>
        <w:t>Psychological Assessment</w:t>
      </w:r>
      <w:r w:rsidRPr="00682981">
        <w:rPr>
          <w:noProof/>
        </w:rPr>
        <w:t>, 21(3), pp. 243–255.</w:t>
      </w:r>
    </w:p>
    <w:p w14:paraId="036411E6" w14:textId="77777777" w:rsidR="00682981" w:rsidRPr="00682981" w:rsidRDefault="00682981" w:rsidP="00682981">
      <w:pPr>
        <w:widowControl w:val="0"/>
        <w:autoSpaceDE w:val="0"/>
        <w:autoSpaceDN w:val="0"/>
        <w:adjustRightInd w:val="0"/>
        <w:spacing w:line="240" w:lineRule="auto"/>
        <w:rPr>
          <w:noProof/>
        </w:rPr>
      </w:pPr>
      <w:r w:rsidRPr="00682981">
        <w:rPr>
          <w:noProof/>
        </w:rPr>
        <w:lastRenderedPageBreak/>
        <w:t xml:space="preserve">Wiener, M. J. (2003) </w:t>
      </w:r>
      <w:r w:rsidRPr="00682981">
        <w:rPr>
          <w:i/>
          <w:iCs/>
          <w:noProof/>
        </w:rPr>
        <w:t>Reconstructing the criminal: culture, law and policy in England, 1830-1914</w:t>
      </w:r>
      <w:r w:rsidRPr="00682981">
        <w:rPr>
          <w:noProof/>
        </w:rPr>
        <w:t>. Cambridge: Cambridge University Press.</w:t>
      </w:r>
    </w:p>
    <w:p w14:paraId="310F44DA" w14:textId="77777777" w:rsidR="00682981" w:rsidRPr="00682981" w:rsidRDefault="00682981" w:rsidP="00682981">
      <w:pPr>
        <w:widowControl w:val="0"/>
        <w:autoSpaceDE w:val="0"/>
        <w:autoSpaceDN w:val="0"/>
        <w:adjustRightInd w:val="0"/>
        <w:spacing w:line="240" w:lineRule="auto"/>
        <w:rPr>
          <w:noProof/>
        </w:rPr>
      </w:pPr>
      <w:r w:rsidRPr="00682981">
        <w:rPr>
          <w:noProof/>
        </w:rPr>
        <w:t xml:space="preserve">World Health Organisation (2022) </w:t>
      </w:r>
      <w:r w:rsidRPr="00682981">
        <w:rPr>
          <w:i/>
          <w:iCs/>
          <w:noProof/>
        </w:rPr>
        <w:t>ICD-11 2022 Release</w:t>
      </w:r>
      <w:r w:rsidRPr="00682981">
        <w:rPr>
          <w:noProof/>
        </w:rPr>
        <w:t>. Available at: https://www.who.int/news/item/11-02-2022-icd-11-2022-release.</w:t>
      </w:r>
    </w:p>
    <w:p w14:paraId="31D11DB0" w14:textId="77777777" w:rsidR="00682981" w:rsidRPr="00682981" w:rsidRDefault="00682981" w:rsidP="00682981">
      <w:pPr>
        <w:widowControl w:val="0"/>
        <w:autoSpaceDE w:val="0"/>
        <w:autoSpaceDN w:val="0"/>
        <w:adjustRightInd w:val="0"/>
        <w:spacing w:line="240" w:lineRule="auto"/>
        <w:rPr>
          <w:noProof/>
        </w:rPr>
      </w:pPr>
      <w:r w:rsidRPr="00682981">
        <w:rPr>
          <w:noProof/>
        </w:rPr>
        <w:t xml:space="preserve">Zachar, P., Krueger, R. F. and Kendler, K. S. (2016) ‘Personality disorder in DSM-5: An oral history’, </w:t>
      </w:r>
      <w:r w:rsidRPr="00682981">
        <w:rPr>
          <w:i/>
          <w:iCs/>
          <w:noProof/>
        </w:rPr>
        <w:t>Psychological Medicine</w:t>
      </w:r>
      <w:r w:rsidRPr="00682981">
        <w:rPr>
          <w:noProof/>
        </w:rPr>
        <w:t>, 46(1), pp. 1–10.</w:t>
      </w:r>
    </w:p>
    <w:p w14:paraId="3E6CAF25" w14:textId="236D40F1" w:rsidR="00682981" w:rsidRPr="00682981" w:rsidRDefault="00682981" w:rsidP="00682981">
      <w:pPr>
        <w:widowControl w:val="0"/>
        <w:autoSpaceDE w:val="0"/>
        <w:autoSpaceDN w:val="0"/>
        <w:adjustRightInd w:val="0"/>
        <w:spacing w:line="240" w:lineRule="auto"/>
        <w:rPr>
          <w:noProof/>
        </w:rPr>
      </w:pPr>
      <w:r w:rsidRPr="00682981">
        <w:rPr>
          <w:noProof/>
        </w:rPr>
        <w:t xml:space="preserve">Zanarini, M. C. </w:t>
      </w:r>
      <w:r w:rsidRPr="00682981">
        <w:rPr>
          <w:i/>
          <w:iCs/>
          <w:noProof/>
        </w:rPr>
        <w:t>et al.</w:t>
      </w:r>
      <w:r w:rsidRPr="00682981">
        <w:rPr>
          <w:noProof/>
        </w:rPr>
        <w:t xml:space="preserve"> (2003) ‘The </w:t>
      </w:r>
      <w:r w:rsidR="00F27104" w:rsidRPr="00682981">
        <w:rPr>
          <w:noProof/>
        </w:rPr>
        <w:t>longitudinal course of borderline psychopathology: 6-year prospective follow-up of the phenomenology of borderline personality disorder’</w:t>
      </w:r>
      <w:r w:rsidRPr="00682981">
        <w:rPr>
          <w:noProof/>
        </w:rPr>
        <w:t xml:space="preserve">, </w:t>
      </w:r>
      <w:r w:rsidRPr="00682981">
        <w:rPr>
          <w:i/>
          <w:iCs/>
          <w:noProof/>
        </w:rPr>
        <w:t>American Journal of Psychiatry</w:t>
      </w:r>
      <w:r w:rsidRPr="00682981">
        <w:rPr>
          <w:noProof/>
        </w:rPr>
        <w:t>. American Psychiatric Publishing, 160(2), pp. 274–283.</w:t>
      </w:r>
    </w:p>
    <w:p w14:paraId="6A87FFD9" w14:textId="77777777" w:rsidR="00682981" w:rsidRPr="00682981" w:rsidRDefault="00682981" w:rsidP="00682981">
      <w:pPr>
        <w:widowControl w:val="0"/>
        <w:autoSpaceDE w:val="0"/>
        <w:autoSpaceDN w:val="0"/>
        <w:adjustRightInd w:val="0"/>
        <w:spacing w:line="240" w:lineRule="auto"/>
        <w:rPr>
          <w:noProof/>
        </w:rPr>
      </w:pPr>
      <w:r w:rsidRPr="00682981">
        <w:rPr>
          <w:noProof/>
        </w:rPr>
        <w:t xml:space="preserve">Van zyl smit, D., Weatherby, P. and Creighton, S. (2014) ‘Whole life sentences and the tide of european human rights jurisprudence: What is to be done?’, </w:t>
      </w:r>
      <w:r w:rsidRPr="00682981">
        <w:rPr>
          <w:i/>
          <w:iCs/>
          <w:noProof/>
        </w:rPr>
        <w:t>Human Rights Law Review</w:t>
      </w:r>
      <w:r w:rsidRPr="00682981">
        <w:rPr>
          <w:noProof/>
        </w:rPr>
        <w:t xml:space="preserve">, 14(1), pp. 59–84. </w:t>
      </w:r>
    </w:p>
    <w:p w14:paraId="7E6F06C3" w14:textId="77777777" w:rsidR="003E34D7" w:rsidRDefault="003E34D7" w:rsidP="00A651B6">
      <w:pPr>
        <w:spacing w:line="276" w:lineRule="auto"/>
      </w:pPr>
    </w:p>
    <w:p w14:paraId="04636C5E" w14:textId="77777777" w:rsidR="002F7400" w:rsidRDefault="002F7400" w:rsidP="006F07EF">
      <w:pPr>
        <w:spacing w:line="276" w:lineRule="auto"/>
      </w:pPr>
    </w:p>
    <w:sectPr w:rsidR="002F7400" w:rsidSect="00C30B7B">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3A5E" w14:textId="77777777" w:rsidR="00045AED" w:rsidRDefault="00045AED" w:rsidP="00FB24CA">
      <w:pPr>
        <w:spacing w:after="0" w:line="240" w:lineRule="auto"/>
      </w:pPr>
      <w:r>
        <w:separator/>
      </w:r>
    </w:p>
  </w:endnote>
  <w:endnote w:type="continuationSeparator" w:id="0">
    <w:p w14:paraId="42AF0F37" w14:textId="77777777" w:rsidR="00045AED" w:rsidRDefault="00045AED" w:rsidP="00FB2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79E8A" w14:textId="77777777" w:rsidR="008460DD" w:rsidRDefault="008460DD" w:rsidP="00EF68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669DC97" w14:textId="77777777" w:rsidR="008460DD" w:rsidRDefault="008460DD" w:rsidP="008460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843BF" w14:textId="26A1AF7F" w:rsidR="008460DD" w:rsidRDefault="008460DD" w:rsidP="00EF684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60216">
      <w:rPr>
        <w:rStyle w:val="PageNumber"/>
        <w:noProof/>
      </w:rPr>
      <w:t>21</w:t>
    </w:r>
    <w:r>
      <w:rPr>
        <w:rStyle w:val="PageNumber"/>
      </w:rPr>
      <w:fldChar w:fldCharType="end"/>
    </w:r>
  </w:p>
  <w:p w14:paraId="7B3BBA6B" w14:textId="77777777" w:rsidR="008460DD" w:rsidRDefault="008460DD" w:rsidP="008460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5661" w14:textId="77777777" w:rsidR="00045AED" w:rsidRDefault="00045AED" w:rsidP="00FB24CA">
      <w:pPr>
        <w:spacing w:after="0" w:line="240" w:lineRule="auto"/>
      </w:pPr>
      <w:r>
        <w:separator/>
      </w:r>
    </w:p>
  </w:footnote>
  <w:footnote w:type="continuationSeparator" w:id="0">
    <w:p w14:paraId="45FB1B51" w14:textId="77777777" w:rsidR="00045AED" w:rsidRDefault="00045AED" w:rsidP="00FB24CA">
      <w:pPr>
        <w:spacing w:after="0" w:line="240" w:lineRule="auto"/>
      </w:pPr>
      <w:r>
        <w:continuationSeparator/>
      </w:r>
    </w:p>
  </w:footnote>
  <w:footnote w:id="1">
    <w:p w14:paraId="1117519A" w14:textId="372FFFB2" w:rsidR="00435AB5" w:rsidRDefault="00435AB5">
      <w:pPr>
        <w:pStyle w:val="FootnoteText"/>
      </w:pPr>
      <w:r>
        <w:rPr>
          <w:rStyle w:val="FootnoteReference"/>
        </w:rPr>
        <w:footnoteRef/>
      </w:r>
      <w:r>
        <w:t xml:space="preserve"> DSM-V is the standard diagnostic manual in the USA, while the ICD is the standard in the UK. WHO member states agreed to adopt ICD-11on 25 May 2019</w:t>
      </w:r>
      <w:r w:rsidR="004E0727">
        <w:t>. ICD-11</w:t>
      </w:r>
      <w:r>
        <w:t xml:space="preserve"> came into effect in February 2022, replacing ICD-10 </w:t>
      </w:r>
      <w:r w:rsidRPr="002A632C">
        <w:rPr>
          <w:noProof/>
        </w:rPr>
        <w:t>(World Health Organisation, 2022)</w:t>
      </w:r>
      <w:r>
        <w:t>.</w:t>
      </w:r>
    </w:p>
  </w:footnote>
  <w:footnote w:id="2">
    <w:p w14:paraId="3944D97B" w14:textId="7928D813" w:rsidR="00F33461" w:rsidRDefault="00F33461">
      <w:pPr>
        <w:pStyle w:val="FootnoteText"/>
      </w:pPr>
      <w:r>
        <w:rPr>
          <w:rStyle w:val="FootnoteReference"/>
        </w:rPr>
        <w:footnoteRef/>
      </w:r>
      <w:r>
        <w:t xml:space="preserve"> This is </w:t>
      </w:r>
      <w:proofErr w:type="gramStart"/>
      <w:r>
        <w:t>similar to</w:t>
      </w:r>
      <w:proofErr w:type="gramEnd"/>
      <w:r>
        <w:t xml:space="preserve"> obsessive-compulsive personality disorder in DSM-V.</w:t>
      </w:r>
    </w:p>
  </w:footnote>
  <w:footnote w:id="3">
    <w:p w14:paraId="46A23D90" w14:textId="3CB87661" w:rsidR="008B3572" w:rsidRDefault="008B3572" w:rsidP="00031DA8">
      <w:pPr>
        <w:pStyle w:val="FootnoteText"/>
      </w:pPr>
      <w:r>
        <w:rPr>
          <w:rStyle w:val="FootnoteReference"/>
        </w:rPr>
        <w:footnoteRef/>
      </w:r>
      <w:r>
        <w:t xml:space="preserve"> See, for example, the criteria for making a hospital order under s.37 of the Act: </w:t>
      </w:r>
      <w:r w:rsidR="008E0947">
        <w:t>‘</w:t>
      </w:r>
      <w:r>
        <w:t>(1) Where a person is convicted before the Crown Court of an offence punishable with imprisonment other than an offence the sentence for which is fixed by law,…or is convicted by a magistrates’ court of an offence punishable on summary conviction with imprisonment, and the conditions mentioned in subsection (2) below are satisfied, the court may by order authorise his admission to and detention in such hospital as may be specified in the order…</w:t>
      </w:r>
      <w:r w:rsidRPr="00031DA8">
        <w:t xml:space="preserve"> </w:t>
      </w:r>
      <w:r>
        <w:t>(2) The conditions referred to in subsection (1) above are that — (a) the court is satisfied, on the written or oral evidence of two registered medical practitioners, that the offender is suffering from mental disorder and that…(i) the mental disorder from which the offender is suffering is of a nature or degree which makes it appropriate for him to be detained in a hospital for medical treatment and appropriate medical treatment is available for him;…and (b) the court is of the opinion, having regard to all the circumstances including the nature of the offence and the character and antecedents of the offender, and to the other available methods of dealing with him, that the most suitable method of disposing of the case is by means of an order under this section.</w:t>
      </w:r>
      <w:r w:rsidR="008E0947">
        <w:t>’</w:t>
      </w:r>
      <w:r w:rsidR="0067458A">
        <w:t xml:space="preserve"> </w:t>
      </w:r>
      <w:r w:rsidR="00CE11F9">
        <w:t>A</w:t>
      </w:r>
      <w:r w:rsidR="00683E42">
        <w:t xml:space="preserve"> court can make a</w:t>
      </w:r>
      <w:r w:rsidR="00CE11F9">
        <w:t xml:space="preserve"> hospital order subject to restrictions on discharge under section 4</w:t>
      </w:r>
      <w:r w:rsidR="00683E42">
        <w:t>1</w:t>
      </w:r>
      <w:r w:rsidR="00CE11F9">
        <w:t xml:space="preserve"> of the MHA 1983</w:t>
      </w:r>
      <w:r w:rsidR="00683E42">
        <w:t xml:space="preserve">, and the Justice </w:t>
      </w:r>
      <w:r w:rsidR="00C204A0">
        <w:t>Secretary</w:t>
      </w:r>
      <w:r w:rsidR="00683E42">
        <w:t xml:space="preserve"> can make a transfer direction subject to restrictions under section 49.</w:t>
      </w:r>
    </w:p>
  </w:footnote>
  <w:footnote w:id="4">
    <w:p w14:paraId="59209521" w14:textId="6F99C3EA" w:rsidR="00CE3021" w:rsidRDefault="00CE3021">
      <w:pPr>
        <w:pStyle w:val="FootnoteText"/>
      </w:pPr>
      <w:r>
        <w:rPr>
          <w:rStyle w:val="FootnoteReference"/>
        </w:rPr>
        <w:footnoteRef/>
      </w:r>
      <w:r>
        <w:t xml:space="preserve"> </w:t>
      </w:r>
      <w:r w:rsidR="003754D1">
        <w:t xml:space="preserve">Under the MHA 1983, there are two </w:t>
      </w:r>
      <w:r w:rsidR="00A975D0">
        <w:t xml:space="preserve">main </w:t>
      </w:r>
      <w:r w:rsidR="003754D1">
        <w:t xml:space="preserve">routes into hospital for people serving a prison sentence: the </w:t>
      </w:r>
      <w:r w:rsidR="002518A6">
        <w:t xml:space="preserve">section 45A </w:t>
      </w:r>
      <w:r w:rsidR="003754D1">
        <w:t>hospital and limitation direction under section</w:t>
      </w:r>
      <w:r w:rsidR="00C204A0">
        <w:t xml:space="preserve"> </w:t>
      </w:r>
      <w:r w:rsidR="003754D1">
        <w:t xml:space="preserve">(attached by a sentencing court to a prison sentence) </w:t>
      </w:r>
      <w:r>
        <w:t xml:space="preserve">or </w:t>
      </w:r>
      <w:r w:rsidR="002518A6">
        <w:t>the section 47</w:t>
      </w:r>
      <w:r w:rsidR="003754D1">
        <w:t xml:space="preserve"> transfer direction (an order to transfer a </w:t>
      </w:r>
      <w:r w:rsidR="002518A6">
        <w:t xml:space="preserve">sentenced </w:t>
      </w:r>
      <w:r w:rsidR="003754D1">
        <w:t>prisoner to hospital made by the Secretary of State).</w:t>
      </w:r>
    </w:p>
  </w:footnote>
  <w:footnote w:id="5">
    <w:p w14:paraId="300E855E" w14:textId="52479CE9" w:rsidR="00BB0353" w:rsidRDefault="00BB0353">
      <w:pPr>
        <w:pStyle w:val="FootnoteText"/>
      </w:pPr>
      <w:r>
        <w:rPr>
          <w:rStyle w:val="FootnoteReference"/>
        </w:rPr>
        <w:footnoteRef/>
      </w:r>
      <w:r>
        <w:t xml:space="preserve"> </w:t>
      </w:r>
      <w:r w:rsidR="0017391E">
        <w:t>Apart from patients detained for assessment under</w:t>
      </w:r>
      <w:r>
        <w:t xml:space="preserve"> section 2 </w:t>
      </w:r>
      <w:r w:rsidR="0017391E">
        <w:t>of</w:t>
      </w:r>
      <w:r>
        <w:t xml:space="preserve"> the Act.</w:t>
      </w:r>
    </w:p>
  </w:footnote>
  <w:footnote w:id="6">
    <w:p w14:paraId="5205E855" w14:textId="77777777" w:rsidR="002F309C" w:rsidRDefault="002F309C">
      <w:pPr>
        <w:pStyle w:val="FootnoteText"/>
      </w:pPr>
      <w:r>
        <w:rPr>
          <w:rStyle w:val="FootnoteReference"/>
        </w:rPr>
        <w:footnoteRef/>
      </w:r>
      <w:r>
        <w:t xml:space="preserve"> This power is subject to safeguards</w:t>
      </w:r>
      <w:r w:rsidR="00A3501F">
        <w:t xml:space="preserve"> for certain treatments</w:t>
      </w:r>
      <w:r>
        <w:t xml:space="preserve"> under </w:t>
      </w:r>
      <w:r w:rsidR="00A3501F">
        <w:t xml:space="preserve">sections 57 – 58A. Treatment must not breach Article 3 of the ECHR. See further </w:t>
      </w:r>
      <w:r w:rsidR="00A3501F" w:rsidRPr="00A3501F">
        <w:rPr>
          <w:noProof/>
        </w:rPr>
        <w:t>(Bartlett, 2011b)</w:t>
      </w:r>
      <w:r w:rsidR="00A3501F">
        <w:t>.</w:t>
      </w:r>
    </w:p>
  </w:footnote>
  <w:footnote w:id="7">
    <w:p w14:paraId="03839CA7" w14:textId="59830381" w:rsidR="000E527E" w:rsidRDefault="000E527E">
      <w:pPr>
        <w:pStyle w:val="FootnoteText"/>
      </w:pPr>
      <w:r>
        <w:rPr>
          <w:rStyle w:val="FootnoteReference"/>
        </w:rPr>
        <w:footnoteRef/>
      </w:r>
      <w:r>
        <w:t xml:space="preserve"> Figures calculated by the author from data in Mackay and Mitchell (2017).</w:t>
      </w:r>
    </w:p>
  </w:footnote>
  <w:footnote w:id="8">
    <w:p w14:paraId="257C2458" w14:textId="1887A0DC" w:rsidR="005C3719" w:rsidRDefault="005C3719">
      <w:pPr>
        <w:pStyle w:val="FootnoteText"/>
      </w:pPr>
      <w:r>
        <w:rPr>
          <w:rStyle w:val="FootnoteReference"/>
        </w:rPr>
        <w:footnoteRef/>
      </w:r>
      <w:r>
        <w:t xml:space="preserve"> T</w:t>
      </w:r>
      <w:r w:rsidR="00066A0E">
        <w:t>h</w:t>
      </w:r>
      <w:r w:rsidR="00DF57DF">
        <w:t>is figure has</w:t>
      </w:r>
      <w:r>
        <w:t xml:space="preserve"> been calculated by the author from the data reported in Trebilcock and Weaver (2012). The data is based on 69 admissions to DSPD units in high secure hospitals.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7E8"/>
    <w:rsid w:val="000003AF"/>
    <w:rsid w:val="0000259F"/>
    <w:rsid w:val="0000383A"/>
    <w:rsid w:val="000058AD"/>
    <w:rsid w:val="00006DD3"/>
    <w:rsid w:val="0000767E"/>
    <w:rsid w:val="00007C26"/>
    <w:rsid w:val="00010A68"/>
    <w:rsid w:val="00010F17"/>
    <w:rsid w:val="00013397"/>
    <w:rsid w:val="00014C9A"/>
    <w:rsid w:val="00014E29"/>
    <w:rsid w:val="00016EF6"/>
    <w:rsid w:val="00020520"/>
    <w:rsid w:val="00024C8D"/>
    <w:rsid w:val="00025C08"/>
    <w:rsid w:val="0002627A"/>
    <w:rsid w:val="00026749"/>
    <w:rsid w:val="00027CFC"/>
    <w:rsid w:val="00030ACA"/>
    <w:rsid w:val="00030F83"/>
    <w:rsid w:val="000312E1"/>
    <w:rsid w:val="00031518"/>
    <w:rsid w:val="000315FB"/>
    <w:rsid w:val="0003169B"/>
    <w:rsid w:val="00031DA8"/>
    <w:rsid w:val="00032BAD"/>
    <w:rsid w:val="000330BA"/>
    <w:rsid w:val="00033C1E"/>
    <w:rsid w:val="000344A9"/>
    <w:rsid w:val="0003473F"/>
    <w:rsid w:val="00035C78"/>
    <w:rsid w:val="000400C5"/>
    <w:rsid w:val="00040B24"/>
    <w:rsid w:val="0004161E"/>
    <w:rsid w:val="000417BB"/>
    <w:rsid w:val="000421F5"/>
    <w:rsid w:val="00042F5A"/>
    <w:rsid w:val="000430D9"/>
    <w:rsid w:val="000431FC"/>
    <w:rsid w:val="00043BE9"/>
    <w:rsid w:val="00043C1B"/>
    <w:rsid w:val="00044095"/>
    <w:rsid w:val="000440E7"/>
    <w:rsid w:val="00044B27"/>
    <w:rsid w:val="00044E4C"/>
    <w:rsid w:val="00045AC5"/>
    <w:rsid w:val="00045AED"/>
    <w:rsid w:val="00045FBD"/>
    <w:rsid w:val="00046169"/>
    <w:rsid w:val="0004625B"/>
    <w:rsid w:val="00046CE1"/>
    <w:rsid w:val="00046EF2"/>
    <w:rsid w:val="00047131"/>
    <w:rsid w:val="00052E35"/>
    <w:rsid w:val="00052E8C"/>
    <w:rsid w:val="000534FC"/>
    <w:rsid w:val="000541B8"/>
    <w:rsid w:val="00054BFB"/>
    <w:rsid w:val="00055968"/>
    <w:rsid w:val="000560AD"/>
    <w:rsid w:val="000613AF"/>
    <w:rsid w:val="00063861"/>
    <w:rsid w:val="000642B6"/>
    <w:rsid w:val="0006450E"/>
    <w:rsid w:val="00065762"/>
    <w:rsid w:val="00065EF1"/>
    <w:rsid w:val="00066811"/>
    <w:rsid w:val="00066A0E"/>
    <w:rsid w:val="00072091"/>
    <w:rsid w:val="0007448F"/>
    <w:rsid w:val="00076661"/>
    <w:rsid w:val="000767CF"/>
    <w:rsid w:val="00077DAB"/>
    <w:rsid w:val="0008014F"/>
    <w:rsid w:val="0008065E"/>
    <w:rsid w:val="0008581E"/>
    <w:rsid w:val="00086B6C"/>
    <w:rsid w:val="0009169F"/>
    <w:rsid w:val="00091F7D"/>
    <w:rsid w:val="000925E4"/>
    <w:rsid w:val="00092724"/>
    <w:rsid w:val="00092C6A"/>
    <w:rsid w:val="00093264"/>
    <w:rsid w:val="000937E3"/>
    <w:rsid w:val="00093D91"/>
    <w:rsid w:val="0009456F"/>
    <w:rsid w:val="000945C9"/>
    <w:rsid w:val="000953A7"/>
    <w:rsid w:val="00095F43"/>
    <w:rsid w:val="00096F09"/>
    <w:rsid w:val="00097CF3"/>
    <w:rsid w:val="000A01E4"/>
    <w:rsid w:val="000A1BEE"/>
    <w:rsid w:val="000A294D"/>
    <w:rsid w:val="000A2DA1"/>
    <w:rsid w:val="000A379A"/>
    <w:rsid w:val="000A3DAC"/>
    <w:rsid w:val="000A4F7D"/>
    <w:rsid w:val="000A528D"/>
    <w:rsid w:val="000A614C"/>
    <w:rsid w:val="000A67C6"/>
    <w:rsid w:val="000A7945"/>
    <w:rsid w:val="000B39D1"/>
    <w:rsid w:val="000B42FE"/>
    <w:rsid w:val="000B66DC"/>
    <w:rsid w:val="000B7767"/>
    <w:rsid w:val="000B7B5E"/>
    <w:rsid w:val="000C06F6"/>
    <w:rsid w:val="000C22FD"/>
    <w:rsid w:val="000C2A26"/>
    <w:rsid w:val="000C4AC9"/>
    <w:rsid w:val="000C4BD0"/>
    <w:rsid w:val="000C5926"/>
    <w:rsid w:val="000C59B9"/>
    <w:rsid w:val="000C6670"/>
    <w:rsid w:val="000C6A32"/>
    <w:rsid w:val="000D0440"/>
    <w:rsid w:val="000D1B13"/>
    <w:rsid w:val="000D2873"/>
    <w:rsid w:val="000D31B5"/>
    <w:rsid w:val="000D4724"/>
    <w:rsid w:val="000D4DD9"/>
    <w:rsid w:val="000D54A3"/>
    <w:rsid w:val="000D5BCA"/>
    <w:rsid w:val="000D5E05"/>
    <w:rsid w:val="000D64F8"/>
    <w:rsid w:val="000D7383"/>
    <w:rsid w:val="000E096B"/>
    <w:rsid w:val="000E271E"/>
    <w:rsid w:val="000E2FB4"/>
    <w:rsid w:val="000E527E"/>
    <w:rsid w:val="000E62B3"/>
    <w:rsid w:val="000E6794"/>
    <w:rsid w:val="000E7125"/>
    <w:rsid w:val="000E7A58"/>
    <w:rsid w:val="000F0A6F"/>
    <w:rsid w:val="000F29AD"/>
    <w:rsid w:val="000F351D"/>
    <w:rsid w:val="000F5760"/>
    <w:rsid w:val="000F595B"/>
    <w:rsid w:val="000F5C94"/>
    <w:rsid w:val="000F6493"/>
    <w:rsid w:val="000F6D04"/>
    <w:rsid w:val="000F6EF3"/>
    <w:rsid w:val="001004D5"/>
    <w:rsid w:val="001012B3"/>
    <w:rsid w:val="00101493"/>
    <w:rsid w:val="001024CD"/>
    <w:rsid w:val="00104DC1"/>
    <w:rsid w:val="00105756"/>
    <w:rsid w:val="0010741D"/>
    <w:rsid w:val="001112B8"/>
    <w:rsid w:val="00111C0B"/>
    <w:rsid w:val="00112503"/>
    <w:rsid w:val="00114E58"/>
    <w:rsid w:val="00117FDD"/>
    <w:rsid w:val="00122D4B"/>
    <w:rsid w:val="00123647"/>
    <w:rsid w:val="00123AAD"/>
    <w:rsid w:val="00126D95"/>
    <w:rsid w:val="0012751A"/>
    <w:rsid w:val="00127750"/>
    <w:rsid w:val="00127DAE"/>
    <w:rsid w:val="001308B3"/>
    <w:rsid w:val="0013158D"/>
    <w:rsid w:val="00131931"/>
    <w:rsid w:val="00132151"/>
    <w:rsid w:val="001331E9"/>
    <w:rsid w:val="0013324D"/>
    <w:rsid w:val="001338DE"/>
    <w:rsid w:val="00133C91"/>
    <w:rsid w:val="00135340"/>
    <w:rsid w:val="00136558"/>
    <w:rsid w:val="00136CE4"/>
    <w:rsid w:val="00137671"/>
    <w:rsid w:val="00140DA3"/>
    <w:rsid w:val="00141907"/>
    <w:rsid w:val="0014201B"/>
    <w:rsid w:val="00142935"/>
    <w:rsid w:val="00142D57"/>
    <w:rsid w:val="00143747"/>
    <w:rsid w:val="0014507F"/>
    <w:rsid w:val="0014582C"/>
    <w:rsid w:val="00146DD2"/>
    <w:rsid w:val="001515B5"/>
    <w:rsid w:val="00152400"/>
    <w:rsid w:val="00152809"/>
    <w:rsid w:val="001534C3"/>
    <w:rsid w:val="00153E18"/>
    <w:rsid w:val="00154D03"/>
    <w:rsid w:val="00155599"/>
    <w:rsid w:val="001555AF"/>
    <w:rsid w:val="00156816"/>
    <w:rsid w:val="0015695C"/>
    <w:rsid w:val="00156E40"/>
    <w:rsid w:val="00156EBB"/>
    <w:rsid w:val="00157421"/>
    <w:rsid w:val="001617DE"/>
    <w:rsid w:val="0016195B"/>
    <w:rsid w:val="00163AC6"/>
    <w:rsid w:val="00163C31"/>
    <w:rsid w:val="001643EB"/>
    <w:rsid w:val="001668C4"/>
    <w:rsid w:val="00167DE1"/>
    <w:rsid w:val="00171274"/>
    <w:rsid w:val="0017391E"/>
    <w:rsid w:val="00175C67"/>
    <w:rsid w:val="00177807"/>
    <w:rsid w:val="00177C0D"/>
    <w:rsid w:val="00180928"/>
    <w:rsid w:val="001814B8"/>
    <w:rsid w:val="001840A5"/>
    <w:rsid w:val="001847EE"/>
    <w:rsid w:val="001866B0"/>
    <w:rsid w:val="0018720C"/>
    <w:rsid w:val="00187708"/>
    <w:rsid w:val="00187999"/>
    <w:rsid w:val="00187D23"/>
    <w:rsid w:val="00190424"/>
    <w:rsid w:val="0019387B"/>
    <w:rsid w:val="00194571"/>
    <w:rsid w:val="0019476B"/>
    <w:rsid w:val="001A0581"/>
    <w:rsid w:val="001A107F"/>
    <w:rsid w:val="001A3B02"/>
    <w:rsid w:val="001A3EA0"/>
    <w:rsid w:val="001A5EA8"/>
    <w:rsid w:val="001A6627"/>
    <w:rsid w:val="001A6B03"/>
    <w:rsid w:val="001B08D1"/>
    <w:rsid w:val="001B1DE7"/>
    <w:rsid w:val="001B3F34"/>
    <w:rsid w:val="001B6CAC"/>
    <w:rsid w:val="001C0817"/>
    <w:rsid w:val="001C20E9"/>
    <w:rsid w:val="001C285F"/>
    <w:rsid w:val="001C3806"/>
    <w:rsid w:val="001C3EE8"/>
    <w:rsid w:val="001C41BF"/>
    <w:rsid w:val="001C4453"/>
    <w:rsid w:val="001C4DC7"/>
    <w:rsid w:val="001C77D9"/>
    <w:rsid w:val="001D13F4"/>
    <w:rsid w:val="001D3FC5"/>
    <w:rsid w:val="001D514F"/>
    <w:rsid w:val="001D5EDC"/>
    <w:rsid w:val="001D6E8A"/>
    <w:rsid w:val="001D7315"/>
    <w:rsid w:val="001E0A07"/>
    <w:rsid w:val="001E1077"/>
    <w:rsid w:val="001E1971"/>
    <w:rsid w:val="001E1D8B"/>
    <w:rsid w:val="001E34A0"/>
    <w:rsid w:val="001E48CA"/>
    <w:rsid w:val="001E500A"/>
    <w:rsid w:val="001E5A55"/>
    <w:rsid w:val="001E6623"/>
    <w:rsid w:val="001F05A9"/>
    <w:rsid w:val="001F0B1A"/>
    <w:rsid w:val="001F1852"/>
    <w:rsid w:val="001F26ED"/>
    <w:rsid w:val="001F3195"/>
    <w:rsid w:val="001F3F1E"/>
    <w:rsid w:val="001F3FA2"/>
    <w:rsid w:val="001F4078"/>
    <w:rsid w:val="001F47AB"/>
    <w:rsid w:val="001F480B"/>
    <w:rsid w:val="001F4FA5"/>
    <w:rsid w:val="0020071C"/>
    <w:rsid w:val="00200CD5"/>
    <w:rsid w:val="00200CF8"/>
    <w:rsid w:val="00200E80"/>
    <w:rsid w:val="00201CB5"/>
    <w:rsid w:val="00201CC7"/>
    <w:rsid w:val="00203031"/>
    <w:rsid w:val="00204741"/>
    <w:rsid w:val="00207445"/>
    <w:rsid w:val="00210F1B"/>
    <w:rsid w:val="002117E3"/>
    <w:rsid w:val="00211BA8"/>
    <w:rsid w:val="00213930"/>
    <w:rsid w:val="0021438D"/>
    <w:rsid w:val="00215797"/>
    <w:rsid w:val="00220AA0"/>
    <w:rsid w:val="002213BE"/>
    <w:rsid w:val="0022175C"/>
    <w:rsid w:val="00222A50"/>
    <w:rsid w:val="002235A3"/>
    <w:rsid w:val="0022549C"/>
    <w:rsid w:val="0022668A"/>
    <w:rsid w:val="00227485"/>
    <w:rsid w:val="0023138E"/>
    <w:rsid w:val="00231A25"/>
    <w:rsid w:val="00232D8E"/>
    <w:rsid w:val="00232DA8"/>
    <w:rsid w:val="00232EA4"/>
    <w:rsid w:val="002331A4"/>
    <w:rsid w:val="002338AA"/>
    <w:rsid w:val="00233C78"/>
    <w:rsid w:val="002373E1"/>
    <w:rsid w:val="002403FA"/>
    <w:rsid w:val="0024170E"/>
    <w:rsid w:val="0024384D"/>
    <w:rsid w:val="00246962"/>
    <w:rsid w:val="002470C3"/>
    <w:rsid w:val="0024725E"/>
    <w:rsid w:val="002518A6"/>
    <w:rsid w:val="00252029"/>
    <w:rsid w:val="00253100"/>
    <w:rsid w:val="00254930"/>
    <w:rsid w:val="00254C05"/>
    <w:rsid w:val="00255FC3"/>
    <w:rsid w:val="002569C1"/>
    <w:rsid w:val="00256CC3"/>
    <w:rsid w:val="00256E7A"/>
    <w:rsid w:val="00256EAF"/>
    <w:rsid w:val="002572DA"/>
    <w:rsid w:val="00260DA3"/>
    <w:rsid w:val="002613F7"/>
    <w:rsid w:val="00261502"/>
    <w:rsid w:val="00261797"/>
    <w:rsid w:val="00262665"/>
    <w:rsid w:val="00266EC7"/>
    <w:rsid w:val="00270C9D"/>
    <w:rsid w:val="0027107D"/>
    <w:rsid w:val="00273759"/>
    <w:rsid w:val="00275B2B"/>
    <w:rsid w:val="00276236"/>
    <w:rsid w:val="00276AAF"/>
    <w:rsid w:val="00276D12"/>
    <w:rsid w:val="00276D50"/>
    <w:rsid w:val="00276DCA"/>
    <w:rsid w:val="00280B0E"/>
    <w:rsid w:val="002817DF"/>
    <w:rsid w:val="00284C97"/>
    <w:rsid w:val="0028771E"/>
    <w:rsid w:val="00290B19"/>
    <w:rsid w:val="0029273C"/>
    <w:rsid w:val="0029319B"/>
    <w:rsid w:val="002934C1"/>
    <w:rsid w:val="00294BD9"/>
    <w:rsid w:val="00295C80"/>
    <w:rsid w:val="00296EA4"/>
    <w:rsid w:val="002A0986"/>
    <w:rsid w:val="002A0C83"/>
    <w:rsid w:val="002A1D5C"/>
    <w:rsid w:val="002A295F"/>
    <w:rsid w:val="002A35E8"/>
    <w:rsid w:val="002A3960"/>
    <w:rsid w:val="002A3ACF"/>
    <w:rsid w:val="002A56C3"/>
    <w:rsid w:val="002A632C"/>
    <w:rsid w:val="002A6587"/>
    <w:rsid w:val="002A6D9D"/>
    <w:rsid w:val="002A7783"/>
    <w:rsid w:val="002A78FA"/>
    <w:rsid w:val="002B2150"/>
    <w:rsid w:val="002B260B"/>
    <w:rsid w:val="002B2C4C"/>
    <w:rsid w:val="002B3F18"/>
    <w:rsid w:val="002B402A"/>
    <w:rsid w:val="002B6D30"/>
    <w:rsid w:val="002B6F37"/>
    <w:rsid w:val="002B75CB"/>
    <w:rsid w:val="002C2D3D"/>
    <w:rsid w:val="002C2EBF"/>
    <w:rsid w:val="002C452B"/>
    <w:rsid w:val="002C5276"/>
    <w:rsid w:val="002C5B35"/>
    <w:rsid w:val="002C7818"/>
    <w:rsid w:val="002D3C39"/>
    <w:rsid w:val="002D4EBE"/>
    <w:rsid w:val="002D73EB"/>
    <w:rsid w:val="002D772C"/>
    <w:rsid w:val="002E29C7"/>
    <w:rsid w:val="002E3006"/>
    <w:rsid w:val="002F0699"/>
    <w:rsid w:val="002F1AB7"/>
    <w:rsid w:val="002F2607"/>
    <w:rsid w:val="002F2CB2"/>
    <w:rsid w:val="002F2D9C"/>
    <w:rsid w:val="002F309C"/>
    <w:rsid w:val="002F3315"/>
    <w:rsid w:val="002F7400"/>
    <w:rsid w:val="002F75D4"/>
    <w:rsid w:val="00301167"/>
    <w:rsid w:val="00301591"/>
    <w:rsid w:val="00304CE8"/>
    <w:rsid w:val="003053A6"/>
    <w:rsid w:val="003075F3"/>
    <w:rsid w:val="003076C0"/>
    <w:rsid w:val="003103CF"/>
    <w:rsid w:val="00310721"/>
    <w:rsid w:val="00310753"/>
    <w:rsid w:val="00311962"/>
    <w:rsid w:val="00311DEE"/>
    <w:rsid w:val="00312596"/>
    <w:rsid w:val="003133E1"/>
    <w:rsid w:val="00313FBD"/>
    <w:rsid w:val="0031403C"/>
    <w:rsid w:val="003175C4"/>
    <w:rsid w:val="00317AAB"/>
    <w:rsid w:val="003213CC"/>
    <w:rsid w:val="003233FF"/>
    <w:rsid w:val="003241B8"/>
    <w:rsid w:val="00324A31"/>
    <w:rsid w:val="00324B95"/>
    <w:rsid w:val="00324C43"/>
    <w:rsid w:val="00325AA8"/>
    <w:rsid w:val="00325E87"/>
    <w:rsid w:val="003271CC"/>
    <w:rsid w:val="00331EB0"/>
    <w:rsid w:val="00333A62"/>
    <w:rsid w:val="0033443E"/>
    <w:rsid w:val="00334F4B"/>
    <w:rsid w:val="00335ABD"/>
    <w:rsid w:val="003373DB"/>
    <w:rsid w:val="00337A6D"/>
    <w:rsid w:val="00337B88"/>
    <w:rsid w:val="00340628"/>
    <w:rsid w:val="00341898"/>
    <w:rsid w:val="00345E81"/>
    <w:rsid w:val="0034645A"/>
    <w:rsid w:val="00347BB5"/>
    <w:rsid w:val="00350EEB"/>
    <w:rsid w:val="00352E51"/>
    <w:rsid w:val="00353355"/>
    <w:rsid w:val="00353F4C"/>
    <w:rsid w:val="00354AAC"/>
    <w:rsid w:val="003552B4"/>
    <w:rsid w:val="0035551E"/>
    <w:rsid w:val="00355983"/>
    <w:rsid w:val="00355C04"/>
    <w:rsid w:val="00357E8F"/>
    <w:rsid w:val="003601D0"/>
    <w:rsid w:val="00360854"/>
    <w:rsid w:val="0036159E"/>
    <w:rsid w:val="0036613A"/>
    <w:rsid w:val="0036632E"/>
    <w:rsid w:val="00366424"/>
    <w:rsid w:val="00366E4F"/>
    <w:rsid w:val="003707AC"/>
    <w:rsid w:val="00371510"/>
    <w:rsid w:val="003725DE"/>
    <w:rsid w:val="0037294B"/>
    <w:rsid w:val="00374167"/>
    <w:rsid w:val="00374859"/>
    <w:rsid w:val="00374898"/>
    <w:rsid w:val="00374B3A"/>
    <w:rsid w:val="003754D1"/>
    <w:rsid w:val="0037584E"/>
    <w:rsid w:val="0038004E"/>
    <w:rsid w:val="00380444"/>
    <w:rsid w:val="0038077A"/>
    <w:rsid w:val="003823B8"/>
    <w:rsid w:val="003866EE"/>
    <w:rsid w:val="00390CC9"/>
    <w:rsid w:val="00391329"/>
    <w:rsid w:val="0039393B"/>
    <w:rsid w:val="003940E5"/>
    <w:rsid w:val="00395695"/>
    <w:rsid w:val="00395F91"/>
    <w:rsid w:val="003A0A60"/>
    <w:rsid w:val="003A1F29"/>
    <w:rsid w:val="003A3D87"/>
    <w:rsid w:val="003A5902"/>
    <w:rsid w:val="003A5BEE"/>
    <w:rsid w:val="003B0835"/>
    <w:rsid w:val="003B11AB"/>
    <w:rsid w:val="003B3780"/>
    <w:rsid w:val="003B4075"/>
    <w:rsid w:val="003B5D84"/>
    <w:rsid w:val="003B743D"/>
    <w:rsid w:val="003C042D"/>
    <w:rsid w:val="003C1340"/>
    <w:rsid w:val="003C1824"/>
    <w:rsid w:val="003C1D6F"/>
    <w:rsid w:val="003C2285"/>
    <w:rsid w:val="003C2489"/>
    <w:rsid w:val="003C5A1F"/>
    <w:rsid w:val="003C7747"/>
    <w:rsid w:val="003D15B0"/>
    <w:rsid w:val="003D1817"/>
    <w:rsid w:val="003D21F1"/>
    <w:rsid w:val="003D23DD"/>
    <w:rsid w:val="003D2DB9"/>
    <w:rsid w:val="003D4CBB"/>
    <w:rsid w:val="003D5507"/>
    <w:rsid w:val="003D7963"/>
    <w:rsid w:val="003E0136"/>
    <w:rsid w:val="003E1CDC"/>
    <w:rsid w:val="003E1D7B"/>
    <w:rsid w:val="003E3304"/>
    <w:rsid w:val="003E34D7"/>
    <w:rsid w:val="003E3A39"/>
    <w:rsid w:val="003E3D24"/>
    <w:rsid w:val="003E460F"/>
    <w:rsid w:val="003E5E4A"/>
    <w:rsid w:val="003E76B7"/>
    <w:rsid w:val="003F09D6"/>
    <w:rsid w:val="003F0F91"/>
    <w:rsid w:val="003F1802"/>
    <w:rsid w:val="003F25F1"/>
    <w:rsid w:val="003F33A3"/>
    <w:rsid w:val="003F586F"/>
    <w:rsid w:val="003F70A2"/>
    <w:rsid w:val="0040018A"/>
    <w:rsid w:val="004013A4"/>
    <w:rsid w:val="00401511"/>
    <w:rsid w:val="00402C4C"/>
    <w:rsid w:val="004033FA"/>
    <w:rsid w:val="00403771"/>
    <w:rsid w:val="0040605B"/>
    <w:rsid w:val="0040659F"/>
    <w:rsid w:val="00410063"/>
    <w:rsid w:val="0041039F"/>
    <w:rsid w:val="004114A0"/>
    <w:rsid w:val="00412041"/>
    <w:rsid w:val="004121DE"/>
    <w:rsid w:val="0041249E"/>
    <w:rsid w:val="00414C46"/>
    <w:rsid w:val="00416B7C"/>
    <w:rsid w:val="004204E0"/>
    <w:rsid w:val="0042052A"/>
    <w:rsid w:val="00421BD6"/>
    <w:rsid w:val="00422518"/>
    <w:rsid w:val="00422805"/>
    <w:rsid w:val="00423CA2"/>
    <w:rsid w:val="0042424B"/>
    <w:rsid w:val="00424C53"/>
    <w:rsid w:val="00425EA8"/>
    <w:rsid w:val="004325EE"/>
    <w:rsid w:val="0043558A"/>
    <w:rsid w:val="00435AB5"/>
    <w:rsid w:val="004364B1"/>
    <w:rsid w:val="00436FD6"/>
    <w:rsid w:val="00441BEB"/>
    <w:rsid w:val="0044304B"/>
    <w:rsid w:val="00443C5B"/>
    <w:rsid w:val="0044401D"/>
    <w:rsid w:val="00444DF5"/>
    <w:rsid w:val="004511B4"/>
    <w:rsid w:val="00451290"/>
    <w:rsid w:val="0045157F"/>
    <w:rsid w:val="0045331C"/>
    <w:rsid w:val="004559A6"/>
    <w:rsid w:val="004569F3"/>
    <w:rsid w:val="00456F9C"/>
    <w:rsid w:val="00457990"/>
    <w:rsid w:val="00460CCB"/>
    <w:rsid w:val="00461E28"/>
    <w:rsid w:val="00463E5B"/>
    <w:rsid w:val="00464268"/>
    <w:rsid w:val="00464678"/>
    <w:rsid w:val="00464D56"/>
    <w:rsid w:val="004673C0"/>
    <w:rsid w:val="00467D1F"/>
    <w:rsid w:val="0047089B"/>
    <w:rsid w:val="00471402"/>
    <w:rsid w:val="004740E5"/>
    <w:rsid w:val="00474E1F"/>
    <w:rsid w:val="00476330"/>
    <w:rsid w:val="004768C4"/>
    <w:rsid w:val="00476CD2"/>
    <w:rsid w:val="00477800"/>
    <w:rsid w:val="00480AD3"/>
    <w:rsid w:val="004818D1"/>
    <w:rsid w:val="0048269F"/>
    <w:rsid w:val="0048300E"/>
    <w:rsid w:val="00483174"/>
    <w:rsid w:val="00483459"/>
    <w:rsid w:val="00484E3E"/>
    <w:rsid w:val="00485D82"/>
    <w:rsid w:val="00487847"/>
    <w:rsid w:val="0049000B"/>
    <w:rsid w:val="00490A4F"/>
    <w:rsid w:val="00493C37"/>
    <w:rsid w:val="00494557"/>
    <w:rsid w:val="004946CC"/>
    <w:rsid w:val="004978A9"/>
    <w:rsid w:val="004A1708"/>
    <w:rsid w:val="004A3766"/>
    <w:rsid w:val="004A44BA"/>
    <w:rsid w:val="004A4E0F"/>
    <w:rsid w:val="004B3364"/>
    <w:rsid w:val="004B5037"/>
    <w:rsid w:val="004B55F0"/>
    <w:rsid w:val="004B60DA"/>
    <w:rsid w:val="004B638D"/>
    <w:rsid w:val="004C147A"/>
    <w:rsid w:val="004C15D5"/>
    <w:rsid w:val="004C1A7C"/>
    <w:rsid w:val="004C229B"/>
    <w:rsid w:val="004C2A0E"/>
    <w:rsid w:val="004C2F74"/>
    <w:rsid w:val="004C42EB"/>
    <w:rsid w:val="004C6023"/>
    <w:rsid w:val="004D177B"/>
    <w:rsid w:val="004D2355"/>
    <w:rsid w:val="004D286C"/>
    <w:rsid w:val="004D3B3C"/>
    <w:rsid w:val="004D3F2B"/>
    <w:rsid w:val="004D3FBF"/>
    <w:rsid w:val="004D429A"/>
    <w:rsid w:val="004E0727"/>
    <w:rsid w:val="004E19B5"/>
    <w:rsid w:val="004E1C48"/>
    <w:rsid w:val="004E2854"/>
    <w:rsid w:val="004E2D2D"/>
    <w:rsid w:val="004E3715"/>
    <w:rsid w:val="004E4794"/>
    <w:rsid w:val="004E5309"/>
    <w:rsid w:val="004E64F9"/>
    <w:rsid w:val="004E6F91"/>
    <w:rsid w:val="004E7B57"/>
    <w:rsid w:val="004E7DB7"/>
    <w:rsid w:val="004F0772"/>
    <w:rsid w:val="004F1141"/>
    <w:rsid w:val="004F3BB8"/>
    <w:rsid w:val="004F3CC7"/>
    <w:rsid w:val="004F6E59"/>
    <w:rsid w:val="004F7AFA"/>
    <w:rsid w:val="004F7D2F"/>
    <w:rsid w:val="005002F9"/>
    <w:rsid w:val="0050273E"/>
    <w:rsid w:val="00503B75"/>
    <w:rsid w:val="00504525"/>
    <w:rsid w:val="00505CCD"/>
    <w:rsid w:val="00506154"/>
    <w:rsid w:val="0050671D"/>
    <w:rsid w:val="00506E29"/>
    <w:rsid w:val="00507D3C"/>
    <w:rsid w:val="0051055E"/>
    <w:rsid w:val="00511BD9"/>
    <w:rsid w:val="005140CA"/>
    <w:rsid w:val="005151CF"/>
    <w:rsid w:val="005156D3"/>
    <w:rsid w:val="00515998"/>
    <w:rsid w:val="005163B0"/>
    <w:rsid w:val="00516782"/>
    <w:rsid w:val="0052159B"/>
    <w:rsid w:val="00522725"/>
    <w:rsid w:val="00523E1E"/>
    <w:rsid w:val="005253FB"/>
    <w:rsid w:val="00525CDE"/>
    <w:rsid w:val="00525FAB"/>
    <w:rsid w:val="0053050C"/>
    <w:rsid w:val="005316C2"/>
    <w:rsid w:val="00533498"/>
    <w:rsid w:val="0053362E"/>
    <w:rsid w:val="00534DB5"/>
    <w:rsid w:val="005350A2"/>
    <w:rsid w:val="00535121"/>
    <w:rsid w:val="005367A9"/>
    <w:rsid w:val="00536BA0"/>
    <w:rsid w:val="005377B2"/>
    <w:rsid w:val="00540CAF"/>
    <w:rsid w:val="00540E1D"/>
    <w:rsid w:val="00541AAB"/>
    <w:rsid w:val="0054280F"/>
    <w:rsid w:val="00543020"/>
    <w:rsid w:val="00543FE9"/>
    <w:rsid w:val="0054627E"/>
    <w:rsid w:val="00546484"/>
    <w:rsid w:val="00546ACC"/>
    <w:rsid w:val="00546C54"/>
    <w:rsid w:val="00547146"/>
    <w:rsid w:val="0055123E"/>
    <w:rsid w:val="00551E0E"/>
    <w:rsid w:val="00552689"/>
    <w:rsid w:val="00552CB4"/>
    <w:rsid w:val="005531D3"/>
    <w:rsid w:val="005555D5"/>
    <w:rsid w:val="00556420"/>
    <w:rsid w:val="00556611"/>
    <w:rsid w:val="005577E8"/>
    <w:rsid w:val="00557DD9"/>
    <w:rsid w:val="00560581"/>
    <w:rsid w:val="00562759"/>
    <w:rsid w:val="005635A4"/>
    <w:rsid w:val="005638B3"/>
    <w:rsid w:val="00563C0C"/>
    <w:rsid w:val="0056564A"/>
    <w:rsid w:val="0056602D"/>
    <w:rsid w:val="005670FC"/>
    <w:rsid w:val="00567415"/>
    <w:rsid w:val="00567C31"/>
    <w:rsid w:val="0057014A"/>
    <w:rsid w:val="005710EC"/>
    <w:rsid w:val="00571614"/>
    <w:rsid w:val="00571810"/>
    <w:rsid w:val="005722DF"/>
    <w:rsid w:val="00574545"/>
    <w:rsid w:val="00577376"/>
    <w:rsid w:val="00577F9F"/>
    <w:rsid w:val="0058062B"/>
    <w:rsid w:val="0058097F"/>
    <w:rsid w:val="005811DF"/>
    <w:rsid w:val="00582FA5"/>
    <w:rsid w:val="00587113"/>
    <w:rsid w:val="0059069D"/>
    <w:rsid w:val="00591020"/>
    <w:rsid w:val="005925E8"/>
    <w:rsid w:val="0059268B"/>
    <w:rsid w:val="00592D6C"/>
    <w:rsid w:val="00593D8A"/>
    <w:rsid w:val="005946E0"/>
    <w:rsid w:val="00595FE1"/>
    <w:rsid w:val="0059624D"/>
    <w:rsid w:val="005A0575"/>
    <w:rsid w:val="005A065F"/>
    <w:rsid w:val="005A293E"/>
    <w:rsid w:val="005A2A95"/>
    <w:rsid w:val="005A4016"/>
    <w:rsid w:val="005A4C85"/>
    <w:rsid w:val="005A4F69"/>
    <w:rsid w:val="005A5424"/>
    <w:rsid w:val="005A5DA1"/>
    <w:rsid w:val="005A5F05"/>
    <w:rsid w:val="005A669F"/>
    <w:rsid w:val="005A6B86"/>
    <w:rsid w:val="005B1321"/>
    <w:rsid w:val="005B1FEF"/>
    <w:rsid w:val="005B3F50"/>
    <w:rsid w:val="005B50AF"/>
    <w:rsid w:val="005B5518"/>
    <w:rsid w:val="005B5DD4"/>
    <w:rsid w:val="005B66E3"/>
    <w:rsid w:val="005B6BAF"/>
    <w:rsid w:val="005B6D1D"/>
    <w:rsid w:val="005C0581"/>
    <w:rsid w:val="005C1C9C"/>
    <w:rsid w:val="005C2A99"/>
    <w:rsid w:val="005C2DB5"/>
    <w:rsid w:val="005C3719"/>
    <w:rsid w:val="005C62E8"/>
    <w:rsid w:val="005C6EEF"/>
    <w:rsid w:val="005D03C2"/>
    <w:rsid w:val="005D103E"/>
    <w:rsid w:val="005D1711"/>
    <w:rsid w:val="005D1A59"/>
    <w:rsid w:val="005D3B4D"/>
    <w:rsid w:val="005D4774"/>
    <w:rsid w:val="005D6892"/>
    <w:rsid w:val="005E2BCD"/>
    <w:rsid w:val="005E2FF6"/>
    <w:rsid w:val="005E3650"/>
    <w:rsid w:val="005E3E41"/>
    <w:rsid w:val="005E401F"/>
    <w:rsid w:val="005E51D1"/>
    <w:rsid w:val="005E5EE3"/>
    <w:rsid w:val="005E634F"/>
    <w:rsid w:val="005E64B3"/>
    <w:rsid w:val="005E6996"/>
    <w:rsid w:val="005E76E2"/>
    <w:rsid w:val="005E7ED5"/>
    <w:rsid w:val="005F02A9"/>
    <w:rsid w:val="005F25B6"/>
    <w:rsid w:val="005F2E93"/>
    <w:rsid w:val="005F3A34"/>
    <w:rsid w:val="00604205"/>
    <w:rsid w:val="006057D4"/>
    <w:rsid w:val="00605EAE"/>
    <w:rsid w:val="0060642E"/>
    <w:rsid w:val="00606B71"/>
    <w:rsid w:val="00610365"/>
    <w:rsid w:val="00610BF5"/>
    <w:rsid w:val="00611971"/>
    <w:rsid w:val="00612775"/>
    <w:rsid w:val="006127C7"/>
    <w:rsid w:val="006128FD"/>
    <w:rsid w:val="0061322A"/>
    <w:rsid w:val="006148FB"/>
    <w:rsid w:val="0061558D"/>
    <w:rsid w:val="00620C83"/>
    <w:rsid w:val="006225CA"/>
    <w:rsid w:val="00623F0A"/>
    <w:rsid w:val="006247E3"/>
    <w:rsid w:val="00624952"/>
    <w:rsid w:val="0062497A"/>
    <w:rsid w:val="006306B2"/>
    <w:rsid w:val="006332A8"/>
    <w:rsid w:val="006336CA"/>
    <w:rsid w:val="006337FC"/>
    <w:rsid w:val="00633D26"/>
    <w:rsid w:val="00635C0C"/>
    <w:rsid w:val="00635F63"/>
    <w:rsid w:val="00636855"/>
    <w:rsid w:val="00637CB6"/>
    <w:rsid w:val="0064089C"/>
    <w:rsid w:val="0064156D"/>
    <w:rsid w:val="00642694"/>
    <w:rsid w:val="006443B4"/>
    <w:rsid w:val="00650911"/>
    <w:rsid w:val="00653783"/>
    <w:rsid w:val="006541B3"/>
    <w:rsid w:val="0065601C"/>
    <w:rsid w:val="0065720E"/>
    <w:rsid w:val="0065733C"/>
    <w:rsid w:val="006601A6"/>
    <w:rsid w:val="006615FF"/>
    <w:rsid w:val="00662433"/>
    <w:rsid w:val="00663938"/>
    <w:rsid w:val="00664425"/>
    <w:rsid w:val="0066454F"/>
    <w:rsid w:val="00664840"/>
    <w:rsid w:val="0066528F"/>
    <w:rsid w:val="006664DA"/>
    <w:rsid w:val="00667578"/>
    <w:rsid w:val="00667DB1"/>
    <w:rsid w:val="00670E5B"/>
    <w:rsid w:val="00672731"/>
    <w:rsid w:val="00672CE8"/>
    <w:rsid w:val="00674283"/>
    <w:rsid w:val="0067458A"/>
    <w:rsid w:val="00674FAA"/>
    <w:rsid w:val="00675496"/>
    <w:rsid w:val="00675AD3"/>
    <w:rsid w:val="00675D96"/>
    <w:rsid w:val="00676CAD"/>
    <w:rsid w:val="00676CE8"/>
    <w:rsid w:val="006812D9"/>
    <w:rsid w:val="00681F58"/>
    <w:rsid w:val="00682981"/>
    <w:rsid w:val="00682C60"/>
    <w:rsid w:val="00682DD6"/>
    <w:rsid w:val="006830F0"/>
    <w:rsid w:val="00683390"/>
    <w:rsid w:val="00683B17"/>
    <w:rsid w:val="00683E42"/>
    <w:rsid w:val="00685D00"/>
    <w:rsid w:val="00685F5D"/>
    <w:rsid w:val="00687FF1"/>
    <w:rsid w:val="00690352"/>
    <w:rsid w:val="0069322B"/>
    <w:rsid w:val="00694303"/>
    <w:rsid w:val="00694E1D"/>
    <w:rsid w:val="0069656F"/>
    <w:rsid w:val="00697583"/>
    <w:rsid w:val="006976B5"/>
    <w:rsid w:val="006A4001"/>
    <w:rsid w:val="006A53DF"/>
    <w:rsid w:val="006A6232"/>
    <w:rsid w:val="006A6566"/>
    <w:rsid w:val="006A7858"/>
    <w:rsid w:val="006A7C3E"/>
    <w:rsid w:val="006B0349"/>
    <w:rsid w:val="006B0923"/>
    <w:rsid w:val="006B0B7B"/>
    <w:rsid w:val="006B299C"/>
    <w:rsid w:val="006B4F49"/>
    <w:rsid w:val="006B6258"/>
    <w:rsid w:val="006B76A6"/>
    <w:rsid w:val="006B7EEC"/>
    <w:rsid w:val="006C02AF"/>
    <w:rsid w:val="006C1852"/>
    <w:rsid w:val="006C2880"/>
    <w:rsid w:val="006C366B"/>
    <w:rsid w:val="006C46F3"/>
    <w:rsid w:val="006C5758"/>
    <w:rsid w:val="006C5C87"/>
    <w:rsid w:val="006C5FE4"/>
    <w:rsid w:val="006C6310"/>
    <w:rsid w:val="006C6530"/>
    <w:rsid w:val="006C6D1B"/>
    <w:rsid w:val="006C7DE6"/>
    <w:rsid w:val="006D0299"/>
    <w:rsid w:val="006D055C"/>
    <w:rsid w:val="006D1153"/>
    <w:rsid w:val="006D13FF"/>
    <w:rsid w:val="006D2D62"/>
    <w:rsid w:val="006D3EC7"/>
    <w:rsid w:val="006D6866"/>
    <w:rsid w:val="006D6E1D"/>
    <w:rsid w:val="006E0135"/>
    <w:rsid w:val="006E0DF0"/>
    <w:rsid w:val="006E134E"/>
    <w:rsid w:val="006E18A3"/>
    <w:rsid w:val="006E2269"/>
    <w:rsid w:val="006E3ECF"/>
    <w:rsid w:val="006E3F10"/>
    <w:rsid w:val="006E3F90"/>
    <w:rsid w:val="006E401E"/>
    <w:rsid w:val="006E5BFB"/>
    <w:rsid w:val="006E7F7D"/>
    <w:rsid w:val="006F07EF"/>
    <w:rsid w:val="006F2CDA"/>
    <w:rsid w:val="006F5E28"/>
    <w:rsid w:val="006F603D"/>
    <w:rsid w:val="006F695A"/>
    <w:rsid w:val="007008BF"/>
    <w:rsid w:val="00701B84"/>
    <w:rsid w:val="00701D58"/>
    <w:rsid w:val="00701DC1"/>
    <w:rsid w:val="007020EB"/>
    <w:rsid w:val="007042AC"/>
    <w:rsid w:val="0070642D"/>
    <w:rsid w:val="00706608"/>
    <w:rsid w:val="00706A79"/>
    <w:rsid w:val="00706F58"/>
    <w:rsid w:val="00706F7B"/>
    <w:rsid w:val="00707D24"/>
    <w:rsid w:val="007105F3"/>
    <w:rsid w:val="00711A92"/>
    <w:rsid w:val="007135BC"/>
    <w:rsid w:val="00714852"/>
    <w:rsid w:val="00715DBC"/>
    <w:rsid w:val="00715EFB"/>
    <w:rsid w:val="0071649E"/>
    <w:rsid w:val="007172F5"/>
    <w:rsid w:val="00720227"/>
    <w:rsid w:val="00720573"/>
    <w:rsid w:val="00721059"/>
    <w:rsid w:val="00722448"/>
    <w:rsid w:val="00722DA4"/>
    <w:rsid w:val="00723549"/>
    <w:rsid w:val="007253B8"/>
    <w:rsid w:val="00725FA7"/>
    <w:rsid w:val="00726B3A"/>
    <w:rsid w:val="00726CDB"/>
    <w:rsid w:val="007273E6"/>
    <w:rsid w:val="00727CBB"/>
    <w:rsid w:val="00730877"/>
    <w:rsid w:val="00731C44"/>
    <w:rsid w:val="00732366"/>
    <w:rsid w:val="007327D2"/>
    <w:rsid w:val="00733514"/>
    <w:rsid w:val="00733B9E"/>
    <w:rsid w:val="00734AAC"/>
    <w:rsid w:val="007407B5"/>
    <w:rsid w:val="00742262"/>
    <w:rsid w:val="00745343"/>
    <w:rsid w:val="0074703A"/>
    <w:rsid w:val="00747563"/>
    <w:rsid w:val="007502DA"/>
    <w:rsid w:val="007521FA"/>
    <w:rsid w:val="007523A9"/>
    <w:rsid w:val="00753005"/>
    <w:rsid w:val="0075375F"/>
    <w:rsid w:val="00754B59"/>
    <w:rsid w:val="00755231"/>
    <w:rsid w:val="0075555C"/>
    <w:rsid w:val="00755613"/>
    <w:rsid w:val="00755705"/>
    <w:rsid w:val="007559F0"/>
    <w:rsid w:val="00755B94"/>
    <w:rsid w:val="00757F82"/>
    <w:rsid w:val="00760CF2"/>
    <w:rsid w:val="00762362"/>
    <w:rsid w:val="00762F4B"/>
    <w:rsid w:val="00762F76"/>
    <w:rsid w:val="007644BB"/>
    <w:rsid w:val="00764B39"/>
    <w:rsid w:val="00765807"/>
    <w:rsid w:val="00770DB0"/>
    <w:rsid w:val="00772F88"/>
    <w:rsid w:val="00773026"/>
    <w:rsid w:val="00773513"/>
    <w:rsid w:val="00775B8A"/>
    <w:rsid w:val="007764FC"/>
    <w:rsid w:val="007803B5"/>
    <w:rsid w:val="00780BD1"/>
    <w:rsid w:val="00780D44"/>
    <w:rsid w:val="00782753"/>
    <w:rsid w:val="00782BE1"/>
    <w:rsid w:val="00783884"/>
    <w:rsid w:val="0078398D"/>
    <w:rsid w:val="00786A6B"/>
    <w:rsid w:val="00790023"/>
    <w:rsid w:val="0079033C"/>
    <w:rsid w:val="00790566"/>
    <w:rsid w:val="00791D2D"/>
    <w:rsid w:val="007930BD"/>
    <w:rsid w:val="007935E5"/>
    <w:rsid w:val="00793924"/>
    <w:rsid w:val="007944AE"/>
    <w:rsid w:val="0079462C"/>
    <w:rsid w:val="00794AD7"/>
    <w:rsid w:val="00795066"/>
    <w:rsid w:val="00797958"/>
    <w:rsid w:val="00797DEA"/>
    <w:rsid w:val="00797F93"/>
    <w:rsid w:val="007A039C"/>
    <w:rsid w:val="007A124F"/>
    <w:rsid w:val="007A3368"/>
    <w:rsid w:val="007A34AE"/>
    <w:rsid w:val="007A34C1"/>
    <w:rsid w:val="007A3E26"/>
    <w:rsid w:val="007A527B"/>
    <w:rsid w:val="007B0B8C"/>
    <w:rsid w:val="007B2C95"/>
    <w:rsid w:val="007B5987"/>
    <w:rsid w:val="007B599F"/>
    <w:rsid w:val="007B5D41"/>
    <w:rsid w:val="007B6096"/>
    <w:rsid w:val="007B7122"/>
    <w:rsid w:val="007B7E54"/>
    <w:rsid w:val="007C03E3"/>
    <w:rsid w:val="007C1C0E"/>
    <w:rsid w:val="007C27C8"/>
    <w:rsid w:val="007C2E69"/>
    <w:rsid w:val="007C2F88"/>
    <w:rsid w:val="007C4048"/>
    <w:rsid w:val="007C40F2"/>
    <w:rsid w:val="007C53AF"/>
    <w:rsid w:val="007C760D"/>
    <w:rsid w:val="007D1571"/>
    <w:rsid w:val="007D3197"/>
    <w:rsid w:val="007D4C1A"/>
    <w:rsid w:val="007D5AD1"/>
    <w:rsid w:val="007D6306"/>
    <w:rsid w:val="007D7918"/>
    <w:rsid w:val="007D7DEF"/>
    <w:rsid w:val="007E0F1E"/>
    <w:rsid w:val="007E0F6E"/>
    <w:rsid w:val="007E10B3"/>
    <w:rsid w:val="007E16A1"/>
    <w:rsid w:val="007E67E9"/>
    <w:rsid w:val="007E6B73"/>
    <w:rsid w:val="007E6C1A"/>
    <w:rsid w:val="007F045F"/>
    <w:rsid w:val="007F1860"/>
    <w:rsid w:val="007F30AA"/>
    <w:rsid w:val="007F448C"/>
    <w:rsid w:val="007F475C"/>
    <w:rsid w:val="007F56B5"/>
    <w:rsid w:val="007F5981"/>
    <w:rsid w:val="007F6C45"/>
    <w:rsid w:val="007F6C61"/>
    <w:rsid w:val="00800270"/>
    <w:rsid w:val="008006C7"/>
    <w:rsid w:val="00803207"/>
    <w:rsid w:val="00803B22"/>
    <w:rsid w:val="0080680F"/>
    <w:rsid w:val="00806EB4"/>
    <w:rsid w:val="008125A7"/>
    <w:rsid w:val="008139ED"/>
    <w:rsid w:val="00813E00"/>
    <w:rsid w:val="00815261"/>
    <w:rsid w:val="00815D63"/>
    <w:rsid w:val="00815EB9"/>
    <w:rsid w:val="008168E0"/>
    <w:rsid w:val="00820C4D"/>
    <w:rsid w:val="008226A6"/>
    <w:rsid w:val="00822DCB"/>
    <w:rsid w:val="00823171"/>
    <w:rsid w:val="00823AF4"/>
    <w:rsid w:val="00825389"/>
    <w:rsid w:val="00825469"/>
    <w:rsid w:val="00826FC4"/>
    <w:rsid w:val="00830833"/>
    <w:rsid w:val="00830C19"/>
    <w:rsid w:val="008310FD"/>
    <w:rsid w:val="008332B8"/>
    <w:rsid w:val="00834609"/>
    <w:rsid w:val="00834BAB"/>
    <w:rsid w:val="00835B73"/>
    <w:rsid w:val="00835FAA"/>
    <w:rsid w:val="008365EF"/>
    <w:rsid w:val="008376CD"/>
    <w:rsid w:val="0084247B"/>
    <w:rsid w:val="008427D3"/>
    <w:rsid w:val="00842BDA"/>
    <w:rsid w:val="00843F63"/>
    <w:rsid w:val="008459DA"/>
    <w:rsid w:val="0084606D"/>
    <w:rsid w:val="008460DD"/>
    <w:rsid w:val="00847532"/>
    <w:rsid w:val="00847CD2"/>
    <w:rsid w:val="008512C4"/>
    <w:rsid w:val="00851E10"/>
    <w:rsid w:val="00852279"/>
    <w:rsid w:val="00852DC6"/>
    <w:rsid w:val="0085418F"/>
    <w:rsid w:val="0085463B"/>
    <w:rsid w:val="008557D8"/>
    <w:rsid w:val="0085592A"/>
    <w:rsid w:val="00855DB6"/>
    <w:rsid w:val="008567FA"/>
    <w:rsid w:val="00857257"/>
    <w:rsid w:val="00860AA7"/>
    <w:rsid w:val="00861AA3"/>
    <w:rsid w:val="00861D04"/>
    <w:rsid w:val="00862066"/>
    <w:rsid w:val="0086254A"/>
    <w:rsid w:val="0086405B"/>
    <w:rsid w:val="0086413E"/>
    <w:rsid w:val="00864DD1"/>
    <w:rsid w:val="0086581E"/>
    <w:rsid w:val="00867490"/>
    <w:rsid w:val="00872071"/>
    <w:rsid w:val="008721EF"/>
    <w:rsid w:val="00873B4D"/>
    <w:rsid w:val="008756DE"/>
    <w:rsid w:val="00877508"/>
    <w:rsid w:val="00880725"/>
    <w:rsid w:val="00881344"/>
    <w:rsid w:val="00883B7B"/>
    <w:rsid w:val="00884C14"/>
    <w:rsid w:val="00884F04"/>
    <w:rsid w:val="00884FCE"/>
    <w:rsid w:val="008853DB"/>
    <w:rsid w:val="00885948"/>
    <w:rsid w:val="0088796B"/>
    <w:rsid w:val="00887A56"/>
    <w:rsid w:val="00892890"/>
    <w:rsid w:val="008939D7"/>
    <w:rsid w:val="00894090"/>
    <w:rsid w:val="00894C40"/>
    <w:rsid w:val="008A0D7A"/>
    <w:rsid w:val="008A2229"/>
    <w:rsid w:val="008A2865"/>
    <w:rsid w:val="008A2C3A"/>
    <w:rsid w:val="008A32F7"/>
    <w:rsid w:val="008A3436"/>
    <w:rsid w:val="008A361D"/>
    <w:rsid w:val="008A38B6"/>
    <w:rsid w:val="008A42FC"/>
    <w:rsid w:val="008A4CAD"/>
    <w:rsid w:val="008A51DE"/>
    <w:rsid w:val="008A5F4E"/>
    <w:rsid w:val="008A5FBB"/>
    <w:rsid w:val="008A737A"/>
    <w:rsid w:val="008A7DA5"/>
    <w:rsid w:val="008B03A5"/>
    <w:rsid w:val="008B09EB"/>
    <w:rsid w:val="008B1090"/>
    <w:rsid w:val="008B195A"/>
    <w:rsid w:val="008B1DA3"/>
    <w:rsid w:val="008B1ED5"/>
    <w:rsid w:val="008B30EA"/>
    <w:rsid w:val="008B3572"/>
    <w:rsid w:val="008B3A2C"/>
    <w:rsid w:val="008B4188"/>
    <w:rsid w:val="008B42DD"/>
    <w:rsid w:val="008B44CA"/>
    <w:rsid w:val="008B4CA6"/>
    <w:rsid w:val="008B5462"/>
    <w:rsid w:val="008C30AE"/>
    <w:rsid w:val="008C6A79"/>
    <w:rsid w:val="008C6CC9"/>
    <w:rsid w:val="008C6DCC"/>
    <w:rsid w:val="008D1B0C"/>
    <w:rsid w:val="008D2031"/>
    <w:rsid w:val="008D25C5"/>
    <w:rsid w:val="008D33E6"/>
    <w:rsid w:val="008D3DF2"/>
    <w:rsid w:val="008D7A1F"/>
    <w:rsid w:val="008D7C20"/>
    <w:rsid w:val="008E0946"/>
    <w:rsid w:val="008E0947"/>
    <w:rsid w:val="008E0E4C"/>
    <w:rsid w:val="008E2B54"/>
    <w:rsid w:val="008E46D5"/>
    <w:rsid w:val="008E6301"/>
    <w:rsid w:val="008E7230"/>
    <w:rsid w:val="008F028F"/>
    <w:rsid w:val="008F1419"/>
    <w:rsid w:val="008F31E4"/>
    <w:rsid w:val="008F3CD0"/>
    <w:rsid w:val="008F67CF"/>
    <w:rsid w:val="008F6A81"/>
    <w:rsid w:val="008F6A91"/>
    <w:rsid w:val="008F6C21"/>
    <w:rsid w:val="00901C58"/>
    <w:rsid w:val="0090216A"/>
    <w:rsid w:val="0090301E"/>
    <w:rsid w:val="009033FF"/>
    <w:rsid w:val="00904B07"/>
    <w:rsid w:val="00905172"/>
    <w:rsid w:val="00910489"/>
    <w:rsid w:val="00912815"/>
    <w:rsid w:val="0091302B"/>
    <w:rsid w:val="00913884"/>
    <w:rsid w:val="0091397B"/>
    <w:rsid w:val="00917474"/>
    <w:rsid w:val="0091763A"/>
    <w:rsid w:val="00917B1B"/>
    <w:rsid w:val="00920086"/>
    <w:rsid w:val="00920EFB"/>
    <w:rsid w:val="00921636"/>
    <w:rsid w:val="009238E8"/>
    <w:rsid w:val="00923F05"/>
    <w:rsid w:val="00924B52"/>
    <w:rsid w:val="00926244"/>
    <w:rsid w:val="00927DF3"/>
    <w:rsid w:val="00930070"/>
    <w:rsid w:val="00930FA5"/>
    <w:rsid w:val="009312FF"/>
    <w:rsid w:val="0093147D"/>
    <w:rsid w:val="00933102"/>
    <w:rsid w:val="00933A4A"/>
    <w:rsid w:val="009341BB"/>
    <w:rsid w:val="00935932"/>
    <w:rsid w:val="00935E0A"/>
    <w:rsid w:val="00936646"/>
    <w:rsid w:val="00937B95"/>
    <w:rsid w:val="00940484"/>
    <w:rsid w:val="00940BF9"/>
    <w:rsid w:val="00940F42"/>
    <w:rsid w:val="009411F1"/>
    <w:rsid w:val="009417DB"/>
    <w:rsid w:val="009425B9"/>
    <w:rsid w:val="009465FE"/>
    <w:rsid w:val="00951300"/>
    <w:rsid w:val="009519B7"/>
    <w:rsid w:val="00951BE1"/>
    <w:rsid w:val="00953306"/>
    <w:rsid w:val="009568A7"/>
    <w:rsid w:val="00957DBD"/>
    <w:rsid w:val="0096134E"/>
    <w:rsid w:val="0096214A"/>
    <w:rsid w:val="00962745"/>
    <w:rsid w:val="00962B73"/>
    <w:rsid w:val="00964753"/>
    <w:rsid w:val="0096508C"/>
    <w:rsid w:val="00965918"/>
    <w:rsid w:val="00971977"/>
    <w:rsid w:val="00974A23"/>
    <w:rsid w:val="0097559D"/>
    <w:rsid w:val="00976341"/>
    <w:rsid w:val="00981206"/>
    <w:rsid w:val="00982231"/>
    <w:rsid w:val="009834E3"/>
    <w:rsid w:val="0098368D"/>
    <w:rsid w:val="00984FC9"/>
    <w:rsid w:val="00985627"/>
    <w:rsid w:val="00985FD1"/>
    <w:rsid w:val="00987513"/>
    <w:rsid w:val="00990C75"/>
    <w:rsid w:val="009911AE"/>
    <w:rsid w:val="00991D3A"/>
    <w:rsid w:val="00993A07"/>
    <w:rsid w:val="00994B49"/>
    <w:rsid w:val="009977C0"/>
    <w:rsid w:val="0099797C"/>
    <w:rsid w:val="00997F26"/>
    <w:rsid w:val="009A040A"/>
    <w:rsid w:val="009A041C"/>
    <w:rsid w:val="009A06EC"/>
    <w:rsid w:val="009A12A0"/>
    <w:rsid w:val="009A2E94"/>
    <w:rsid w:val="009A3724"/>
    <w:rsid w:val="009A3DBA"/>
    <w:rsid w:val="009A4D1F"/>
    <w:rsid w:val="009A5489"/>
    <w:rsid w:val="009A5594"/>
    <w:rsid w:val="009A6DF5"/>
    <w:rsid w:val="009B019F"/>
    <w:rsid w:val="009B1432"/>
    <w:rsid w:val="009B51D4"/>
    <w:rsid w:val="009B6F29"/>
    <w:rsid w:val="009C1136"/>
    <w:rsid w:val="009C1690"/>
    <w:rsid w:val="009C4CF2"/>
    <w:rsid w:val="009C4E45"/>
    <w:rsid w:val="009C4EE5"/>
    <w:rsid w:val="009C521A"/>
    <w:rsid w:val="009C58E9"/>
    <w:rsid w:val="009C5C7B"/>
    <w:rsid w:val="009C7857"/>
    <w:rsid w:val="009C79FA"/>
    <w:rsid w:val="009D0705"/>
    <w:rsid w:val="009D15B8"/>
    <w:rsid w:val="009D4132"/>
    <w:rsid w:val="009D4A42"/>
    <w:rsid w:val="009D4E6C"/>
    <w:rsid w:val="009D63B6"/>
    <w:rsid w:val="009D67BA"/>
    <w:rsid w:val="009D75A5"/>
    <w:rsid w:val="009E0915"/>
    <w:rsid w:val="009E1607"/>
    <w:rsid w:val="009E1AB9"/>
    <w:rsid w:val="009E1C12"/>
    <w:rsid w:val="009E362D"/>
    <w:rsid w:val="009E5865"/>
    <w:rsid w:val="009E596F"/>
    <w:rsid w:val="009E6376"/>
    <w:rsid w:val="009E6C15"/>
    <w:rsid w:val="009E6C61"/>
    <w:rsid w:val="009F0CA0"/>
    <w:rsid w:val="009F42B9"/>
    <w:rsid w:val="009F49E2"/>
    <w:rsid w:val="009F4D0D"/>
    <w:rsid w:val="009F595C"/>
    <w:rsid w:val="009F5CAC"/>
    <w:rsid w:val="00A01AFC"/>
    <w:rsid w:val="00A0208E"/>
    <w:rsid w:val="00A03A3F"/>
    <w:rsid w:val="00A10E4B"/>
    <w:rsid w:val="00A11D0A"/>
    <w:rsid w:val="00A1347F"/>
    <w:rsid w:val="00A13A9E"/>
    <w:rsid w:val="00A15027"/>
    <w:rsid w:val="00A15D24"/>
    <w:rsid w:val="00A1744D"/>
    <w:rsid w:val="00A17F71"/>
    <w:rsid w:val="00A20392"/>
    <w:rsid w:val="00A20BFB"/>
    <w:rsid w:val="00A21169"/>
    <w:rsid w:val="00A21C18"/>
    <w:rsid w:val="00A25BFD"/>
    <w:rsid w:val="00A25D4C"/>
    <w:rsid w:val="00A269E2"/>
    <w:rsid w:val="00A273E7"/>
    <w:rsid w:val="00A30B3A"/>
    <w:rsid w:val="00A30F4E"/>
    <w:rsid w:val="00A31E41"/>
    <w:rsid w:val="00A3238C"/>
    <w:rsid w:val="00A346F2"/>
    <w:rsid w:val="00A3501F"/>
    <w:rsid w:val="00A3513A"/>
    <w:rsid w:val="00A35BB1"/>
    <w:rsid w:val="00A36252"/>
    <w:rsid w:val="00A36412"/>
    <w:rsid w:val="00A366E8"/>
    <w:rsid w:val="00A37013"/>
    <w:rsid w:val="00A4228D"/>
    <w:rsid w:val="00A42A34"/>
    <w:rsid w:val="00A43529"/>
    <w:rsid w:val="00A439A7"/>
    <w:rsid w:val="00A43B92"/>
    <w:rsid w:val="00A44E96"/>
    <w:rsid w:val="00A461F4"/>
    <w:rsid w:val="00A469C2"/>
    <w:rsid w:val="00A46AE0"/>
    <w:rsid w:val="00A4761C"/>
    <w:rsid w:val="00A47703"/>
    <w:rsid w:val="00A50477"/>
    <w:rsid w:val="00A50593"/>
    <w:rsid w:val="00A5394A"/>
    <w:rsid w:val="00A56D66"/>
    <w:rsid w:val="00A57091"/>
    <w:rsid w:val="00A61B19"/>
    <w:rsid w:val="00A6272E"/>
    <w:rsid w:val="00A62A2D"/>
    <w:rsid w:val="00A62F98"/>
    <w:rsid w:val="00A63487"/>
    <w:rsid w:val="00A651B6"/>
    <w:rsid w:val="00A65376"/>
    <w:rsid w:val="00A65385"/>
    <w:rsid w:val="00A656F3"/>
    <w:rsid w:val="00A6590B"/>
    <w:rsid w:val="00A65DF4"/>
    <w:rsid w:val="00A6682E"/>
    <w:rsid w:val="00A66853"/>
    <w:rsid w:val="00A671D4"/>
    <w:rsid w:val="00A70D9D"/>
    <w:rsid w:val="00A7140E"/>
    <w:rsid w:val="00A72463"/>
    <w:rsid w:val="00A724EF"/>
    <w:rsid w:val="00A727E8"/>
    <w:rsid w:val="00A73A25"/>
    <w:rsid w:val="00A748E7"/>
    <w:rsid w:val="00A75B4F"/>
    <w:rsid w:val="00A8347E"/>
    <w:rsid w:val="00A85E02"/>
    <w:rsid w:val="00A86011"/>
    <w:rsid w:val="00A8603B"/>
    <w:rsid w:val="00A86D68"/>
    <w:rsid w:val="00A87D13"/>
    <w:rsid w:val="00A903A0"/>
    <w:rsid w:val="00A903BC"/>
    <w:rsid w:val="00A90DB1"/>
    <w:rsid w:val="00A92CFC"/>
    <w:rsid w:val="00A92EB5"/>
    <w:rsid w:val="00A935DE"/>
    <w:rsid w:val="00A93DE9"/>
    <w:rsid w:val="00A9413E"/>
    <w:rsid w:val="00A96036"/>
    <w:rsid w:val="00A960ED"/>
    <w:rsid w:val="00A975D0"/>
    <w:rsid w:val="00AA0E61"/>
    <w:rsid w:val="00AA26EB"/>
    <w:rsid w:val="00AA3655"/>
    <w:rsid w:val="00AA3B67"/>
    <w:rsid w:val="00AA6938"/>
    <w:rsid w:val="00AA6A9E"/>
    <w:rsid w:val="00AA768B"/>
    <w:rsid w:val="00AA7AA5"/>
    <w:rsid w:val="00AB05DF"/>
    <w:rsid w:val="00AB12D4"/>
    <w:rsid w:val="00AB1CA4"/>
    <w:rsid w:val="00AB1F6F"/>
    <w:rsid w:val="00AB458A"/>
    <w:rsid w:val="00AB5383"/>
    <w:rsid w:val="00AB6345"/>
    <w:rsid w:val="00AB6F62"/>
    <w:rsid w:val="00AB75B8"/>
    <w:rsid w:val="00AC02EB"/>
    <w:rsid w:val="00AC1432"/>
    <w:rsid w:val="00AC1508"/>
    <w:rsid w:val="00AC152A"/>
    <w:rsid w:val="00AC3971"/>
    <w:rsid w:val="00AC3D0D"/>
    <w:rsid w:val="00AC3D4C"/>
    <w:rsid w:val="00AC3ED3"/>
    <w:rsid w:val="00AC5866"/>
    <w:rsid w:val="00AC699D"/>
    <w:rsid w:val="00AC7652"/>
    <w:rsid w:val="00AD13CA"/>
    <w:rsid w:val="00AD16C4"/>
    <w:rsid w:val="00AD3CF1"/>
    <w:rsid w:val="00AD4C43"/>
    <w:rsid w:val="00AD6773"/>
    <w:rsid w:val="00AD6D96"/>
    <w:rsid w:val="00AD6F7B"/>
    <w:rsid w:val="00AD769D"/>
    <w:rsid w:val="00AE140D"/>
    <w:rsid w:val="00AE262B"/>
    <w:rsid w:val="00AE3AFB"/>
    <w:rsid w:val="00AE774A"/>
    <w:rsid w:val="00AE7F10"/>
    <w:rsid w:val="00AF03E8"/>
    <w:rsid w:val="00AF0D5B"/>
    <w:rsid w:val="00AF2AC1"/>
    <w:rsid w:val="00AF321F"/>
    <w:rsid w:val="00AF55CF"/>
    <w:rsid w:val="00AF610F"/>
    <w:rsid w:val="00AF6821"/>
    <w:rsid w:val="00AF6D22"/>
    <w:rsid w:val="00AF6D42"/>
    <w:rsid w:val="00AF7E4B"/>
    <w:rsid w:val="00B006BD"/>
    <w:rsid w:val="00B01B66"/>
    <w:rsid w:val="00B0220A"/>
    <w:rsid w:val="00B028A4"/>
    <w:rsid w:val="00B036F6"/>
    <w:rsid w:val="00B03C62"/>
    <w:rsid w:val="00B0432F"/>
    <w:rsid w:val="00B06B79"/>
    <w:rsid w:val="00B07CDE"/>
    <w:rsid w:val="00B11266"/>
    <w:rsid w:val="00B14662"/>
    <w:rsid w:val="00B14BC3"/>
    <w:rsid w:val="00B16EDF"/>
    <w:rsid w:val="00B1748A"/>
    <w:rsid w:val="00B20D85"/>
    <w:rsid w:val="00B21FFC"/>
    <w:rsid w:val="00B22E69"/>
    <w:rsid w:val="00B23BE9"/>
    <w:rsid w:val="00B24677"/>
    <w:rsid w:val="00B25556"/>
    <w:rsid w:val="00B2669E"/>
    <w:rsid w:val="00B26E81"/>
    <w:rsid w:val="00B30611"/>
    <w:rsid w:val="00B31342"/>
    <w:rsid w:val="00B32532"/>
    <w:rsid w:val="00B33E32"/>
    <w:rsid w:val="00B35FFD"/>
    <w:rsid w:val="00B366F1"/>
    <w:rsid w:val="00B412AA"/>
    <w:rsid w:val="00B42937"/>
    <w:rsid w:val="00B43965"/>
    <w:rsid w:val="00B44686"/>
    <w:rsid w:val="00B44E3A"/>
    <w:rsid w:val="00B46FBA"/>
    <w:rsid w:val="00B47629"/>
    <w:rsid w:val="00B52C50"/>
    <w:rsid w:val="00B532D9"/>
    <w:rsid w:val="00B53F94"/>
    <w:rsid w:val="00B548DC"/>
    <w:rsid w:val="00B548DF"/>
    <w:rsid w:val="00B550BF"/>
    <w:rsid w:val="00B55F1E"/>
    <w:rsid w:val="00B56213"/>
    <w:rsid w:val="00B5764D"/>
    <w:rsid w:val="00B60C0F"/>
    <w:rsid w:val="00B61E7E"/>
    <w:rsid w:val="00B65DCA"/>
    <w:rsid w:val="00B6659B"/>
    <w:rsid w:val="00B66C37"/>
    <w:rsid w:val="00B70374"/>
    <w:rsid w:val="00B70B51"/>
    <w:rsid w:val="00B711BC"/>
    <w:rsid w:val="00B726DA"/>
    <w:rsid w:val="00B755A4"/>
    <w:rsid w:val="00B768DE"/>
    <w:rsid w:val="00B803A8"/>
    <w:rsid w:val="00B806E9"/>
    <w:rsid w:val="00B82627"/>
    <w:rsid w:val="00B834A4"/>
    <w:rsid w:val="00B83739"/>
    <w:rsid w:val="00B85F8A"/>
    <w:rsid w:val="00B8618D"/>
    <w:rsid w:val="00B863B0"/>
    <w:rsid w:val="00B86750"/>
    <w:rsid w:val="00B867E8"/>
    <w:rsid w:val="00B87D3C"/>
    <w:rsid w:val="00B9098D"/>
    <w:rsid w:val="00B9119E"/>
    <w:rsid w:val="00B92E03"/>
    <w:rsid w:val="00B92E72"/>
    <w:rsid w:val="00B93B2F"/>
    <w:rsid w:val="00B94395"/>
    <w:rsid w:val="00B95466"/>
    <w:rsid w:val="00B95531"/>
    <w:rsid w:val="00B95C3E"/>
    <w:rsid w:val="00B96C98"/>
    <w:rsid w:val="00B97B4E"/>
    <w:rsid w:val="00BA0051"/>
    <w:rsid w:val="00BA2B88"/>
    <w:rsid w:val="00BA4E0C"/>
    <w:rsid w:val="00BB0353"/>
    <w:rsid w:val="00BB2A16"/>
    <w:rsid w:val="00BB61C4"/>
    <w:rsid w:val="00BC212E"/>
    <w:rsid w:val="00BC22DE"/>
    <w:rsid w:val="00BC25DA"/>
    <w:rsid w:val="00BC278D"/>
    <w:rsid w:val="00BC3016"/>
    <w:rsid w:val="00BC3B83"/>
    <w:rsid w:val="00BC40F2"/>
    <w:rsid w:val="00BC4143"/>
    <w:rsid w:val="00BD189A"/>
    <w:rsid w:val="00BD3232"/>
    <w:rsid w:val="00BD44EA"/>
    <w:rsid w:val="00BD578C"/>
    <w:rsid w:val="00BD581A"/>
    <w:rsid w:val="00BD5F23"/>
    <w:rsid w:val="00BD6175"/>
    <w:rsid w:val="00BD6F06"/>
    <w:rsid w:val="00BD6F5C"/>
    <w:rsid w:val="00BE1C66"/>
    <w:rsid w:val="00BE2986"/>
    <w:rsid w:val="00BE3C8A"/>
    <w:rsid w:val="00BE42EA"/>
    <w:rsid w:val="00BE618E"/>
    <w:rsid w:val="00BE6EE8"/>
    <w:rsid w:val="00BE7067"/>
    <w:rsid w:val="00BF5E8A"/>
    <w:rsid w:val="00BF74F5"/>
    <w:rsid w:val="00BF7942"/>
    <w:rsid w:val="00BF7F9F"/>
    <w:rsid w:val="00C01194"/>
    <w:rsid w:val="00C012D1"/>
    <w:rsid w:val="00C01C8A"/>
    <w:rsid w:val="00C0562E"/>
    <w:rsid w:val="00C06853"/>
    <w:rsid w:val="00C10421"/>
    <w:rsid w:val="00C10B53"/>
    <w:rsid w:val="00C1176B"/>
    <w:rsid w:val="00C123CD"/>
    <w:rsid w:val="00C129B4"/>
    <w:rsid w:val="00C14ED4"/>
    <w:rsid w:val="00C1507D"/>
    <w:rsid w:val="00C17CF5"/>
    <w:rsid w:val="00C204A0"/>
    <w:rsid w:val="00C20E07"/>
    <w:rsid w:val="00C20E85"/>
    <w:rsid w:val="00C21134"/>
    <w:rsid w:val="00C21196"/>
    <w:rsid w:val="00C218C0"/>
    <w:rsid w:val="00C22CDF"/>
    <w:rsid w:val="00C22F99"/>
    <w:rsid w:val="00C24CA0"/>
    <w:rsid w:val="00C27934"/>
    <w:rsid w:val="00C30366"/>
    <w:rsid w:val="00C30B7B"/>
    <w:rsid w:val="00C34157"/>
    <w:rsid w:val="00C37DAC"/>
    <w:rsid w:val="00C40EA2"/>
    <w:rsid w:val="00C41D05"/>
    <w:rsid w:val="00C42672"/>
    <w:rsid w:val="00C4277E"/>
    <w:rsid w:val="00C42EBE"/>
    <w:rsid w:val="00C438BD"/>
    <w:rsid w:val="00C44531"/>
    <w:rsid w:val="00C44B57"/>
    <w:rsid w:val="00C45A6D"/>
    <w:rsid w:val="00C46A6D"/>
    <w:rsid w:val="00C502FB"/>
    <w:rsid w:val="00C517C5"/>
    <w:rsid w:val="00C51D27"/>
    <w:rsid w:val="00C52D8F"/>
    <w:rsid w:val="00C53E22"/>
    <w:rsid w:val="00C55585"/>
    <w:rsid w:val="00C55B88"/>
    <w:rsid w:val="00C5646C"/>
    <w:rsid w:val="00C57019"/>
    <w:rsid w:val="00C5710E"/>
    <w:rsid w:val="00C61093"/>
    <w:rsid w:val="00C6145D"/>
    <w:rsid w:val="00C61561"/>
    <w:rsid w:val="00C63296"/>
    <w:rsid w:val="00C63A51"/>
    <w:rsid w:val="00C67163"/>
    <w:rsid w:val="00C6755C"/>
    <w:rsid w:val="00C70102"/>
    <w:rsid w:val="00C70D75"/>
    <w:rsid w:val="00C710EC"/>
    <w:rsid w:val="00C71158"/>
    <w:rsid w:val="00C716E3"/>
    <w:rsid w:val="00C71AA0"/>
    <w:rsid w:val="00C72821"/>
    <w:rsid w:val="00C7326A"/>
    <w:rsid w:val="00C734DC"/>
    <w:rsid w:val="00C7466A"/>
    <w:rsid w:val="00C752E0"/>
    <w:rsid w:val="00C754F3"/>
    <w:rsid w:val="00C763F7"/>
    <w:rsid w:val="00C769F8"/>
    <w:rsid w:val="00C77750"/>
    <w:rsid w:val="00C77F64"/>
    <w:rsid w:val="00C81BFF"/>
    <w:rsid w:val="00C834E8"/>
    <w:rsid w:val="00C84B54"/>
    <w:rsid w:val="00C86FD2"/>
    <w:rsid w:val="00C87370"/>
    <w:rsid w:val="00C90C8A"/>
    <w:rsid w:val="00C919D1"/>
    <w:rsid w:val="00C91E3C"/>
    <w:rsid w:val="00C95E9C"/>
    <w:rsid w:val="00C96A20"/>
    <w:rsid w:val="00C9700D"/>
    <w:rsid w:val="00C97DD6"/>
    <w:rsid w:val="00CA1C63"/>
    <w:rsid w:val="00CA2EAE"/>
    <w:rsid w:val="00CA3286"/>
    <w:rsid w:val="00CA3550"/>
    <w:rsid w:val="00CA404C"/>
    <w:rsid w:val="00CA40A6"/>
    <w:rsid w:val="00CA422A"/>
    <w:rsid w:val="00CA47F7"/>
    <w:rsid w:val="00CA504F"/>
    <w:rsid w:val="00CB0F82"/>
    <w:rsid w:val="00CB2556"/>
    <w:rsid w:val="00CB3D52"/>
    <w:rsid w:val="00CB4153"/>
    <w:rsid w:val="00CB4557"/>
    <w:rsid w:val="00CB4EB6"/>
    <w:rsid w:val="00CB521C"/>
    <w:rsid w:val="00CB6DDB"/>
    <w:rsid w:val="00CB6FA7"/>
    <w:rsid w:val="00CC1695"/>
    <w:rsid w:val="00CC1919"/>
    <w:rsid w:val="00CC1F34"/>
    <w:rsid w:val="00CC2021"/>
    <w:rsid w:val="00CC35A7"/>
    <w:rsid w:val="00CC3A8D"/>
    <w:rsid w:val="00CC3AEF"/>
    <w:rsid w:val="00CC4608"/>
    <w:rsid w:val="00CC4A7F"/>
    <w:rsid w:val="00CC4E82"/>
    <w:rsid w:val="00CC4ED9"/>
    <w:rsid w:val="00CC554B"/>
    <w:rsid w:val="00CC6855"/>
    <w:rsid w:val="00CD1547"/>
    <w:rsid w:val="00CD1F60"/>
    <w:rsid w:val="00CD22BC"/>
    <w:rsid w:val="00CD3E9E"/>
    <w:rsid w:val="00CD3ED9"/>
    <w:rsid w:val="00CD51D7"/>
    <w:rsid w:val="00CD5347"/>
    <w:rsid w:val="00CD632B"/>
    <w:rsid w:val="00CD7284"/>
    <w:rsid w:val="00CD77E4"/>
    <w:rsid w:val="00CE0476"/>
    <w:rsid w:val="00CE11F9"/>
    <w:rsid w:val="00CE1549"/>
    <w:rsid w:val="00CE1CE0"/>
    <w:rsid w:val="00CE3021"/>
    <w:rsid w:val="00CE34DF"/>
    <w:rsid w:val="00CE39BF"/>
    <w:rsid w:val="00CE4D30"/>
    <w:rsid w:val="00CE57F2"/>
    <w:rsid w:val="00CF036A"/>
    <w:rsid w:val="00CF27C0"/>
    <w:rsid w:val="00CF5A99"/>
    <w:rsid w:val="00CF5DA1"/>
    <w:rsid w:val="00CF74E9"/>
    <w:rsid w:val="00D02485"/>
    <w:rsid w:val="00D03821"/>
    <w:rsid w:val="00D03EFE"/>
    <w:rsid w:val="00D055B5"/>
    <w:rsid w:val="00D0601D"/>
    <w:rsid w:val="00D0672E"/>
    <w:rsid w:val="00D13E7C"/>
    <w:rsid w:val="00D15058"/>
    <w:rsid w:val="00D16111"/>
    <w:rsid w:val="00D20EB2"/>
    <w:rsid w:val="00D21461"/>
    <w:rsid w:val="00D21563"/>
    <w:rsid w:val="00D233D2"/>
    <w:rsid w:val="00D234CB"/>
    <w:rsid w:val="00D23649"/>
    <w:rsid w:val="00D24294"/>
    <w:rsid w:val="00D24B9E"/>
    <w:rsid w:val="00D316E7"/>
    <w:rsid w:val="00D31CAB"/>
    <w:rsid w:val="00D32786"/>
    <w:rsid w:val="00D3425C"/>
    <w:rsid w:val="00D343B4"/>
    <w:rsid w:val="00D345AA"/>
    <w:rsid w:val="00D34701"/>
    <w:rsid w:val="00D367E8"/>
    <w:rsid w:val="00D37C92"/>
    <w:rsid w:val="00D37D47"/>
    <w:rsid w:val="00D406DA"/>
    <w:rsid w:val="00D413C4"/>
    <w:rsid w:val="00D43F3F"/>
    <w:rsid w:val="00D44C3C"/>
    <w:rsid w:val="00D458E7"/>
    <w:rsid w:val="00D46713"/>
    <w:rsid w:val="00D469BB"/>
    <w:rsid w:val="00D504BC"/>
    <w:rsid w:val="00D51467"/>
    <w:rsid w:val="00D5234A"/>
    <w:rsid w:val="00D52D2D"/>
    <w:rsid w:val="00D53751"/>
    <w:rsid w:val="00D5429F"/>
    <w:rsid w:val="00D54868"/>
    <w:rsid w:val="00D551A1"/>
    <w:rsid w:val="00D55979"/>
    <w:rsid w:val="00D5643E"/>
    <w:rsid w:val="00D57EDE"/>
    <w:rsid w:val="00D614A8"/>
    <w:rsid w:val="00D63792"/>
    <w:rsid w:val="00D639AB"/>
    <w:rsid w:val="00D65DE7"/>
    <w:rsid w:val="00D670DC"/>
    <w:rsid w:val="00D715AC"/>
    <w:rsid w:val="00D71B78"/>
    <w:rsid w:val="00D739FD"/>
    <w:rsid w:val="00D73C46"/>
    <w:rsid w:val="00D7494F"/>
    <w:rsid w:val="00D77016"/>
    <w:rsid w:val="00D82080"/>
    <w:rsid w:val="00D83270"/>
    <w:rsid w:val="00D8354A"/>
    <w:rsid w:val="00D83903"/>
    <w:rsid w:val="00D8463B"/>
    <w:rsid w:val="00D84F1D"/>
    <w:rsid w:val="00D85677"/>
    <w:rsid w:val="00D85B72"/>
    <w:rsid w:val="00D85BEE"/>
    <w:rsid w:val="00D86D0F"/>
    <w:rsid w:val="00D87B10"/>
    <w:rsid w:val="00D94C17"/>
    <w:rsid w:val="00D97372"/>
    <w:rsid w:val="00DA0B21"/>
    <w:rsid w:val="00DA31B8"/>
    <w:rsid w:val="00DA4036"/>
    <w:rsid w:val="00DA4310"/>
    <w:rsid w:val="00DA4AE5"/>
    <w:rsid w:val="00DA4BB2"/>
    <w:rsid w:val="00DA4E48"/>
    <w:rsid w:val="00DA4F0D"/>
    <w:rsid w:val="00DA5842"/>
    <w:rsid w:val="00DA5A2C"/>
    <w:rsid w:val="00DA7362"/>
    <w:rsid w:val="00DB22C9"/>
    <w:rsid w:val="00DB490E"/>
    <w:rsid w:val="00DB565C"/>
    <w:rsid w:val="00DB6193"/>
    <w:rsid w:val="00DB7A59"/>
    <w:rsid w:val="00DC04F0"/>
    <w:rsid w:val="00DC15D9"/>
    <w:rsid w:val="00DC2FAD"/>
    <w:rsid w:val="00DC352B"/>
    <w:rsid w:val="00DC4DC9"/>
    <w:rsid w:val="00DC556A"/>
    <w:rsid w:val="00DC5A24"/>
    <w:rsid w:val="00DC6954"/>
    <w:rsid w:val="00DC75F9"/>
    <w:rsid w:val="00DC770A"/>
    <w:rsid w:val="00DD02E2"/>
    <w:rsid w:val="00DD2688"/>
    <w:rsid w:val="00DD3179"/>
    <w:rsid w:val="00DD359C"/>
    <w:rsid w:val="00DD49FB"/>
    <w:rsid w:val="00DD5896"/>
    <w:rsid w:val="00DD66C3"/>
    <w:rsid w:val="00DD7D7D"/>
    <w:rsid w:val="00DE0FD2"/>
    <w:rsid w:val="00DE1EE8"/>
    <w:rsid w:val="00DE2C3A"/>
    <w:rsid w:val="00DE3A57"/>
    <w:rsid w:val="00DE668E"/>
    <w:rsid w:val="00DE6A09"/>
    <w:rsid w:val="00DE6FED"/>
    <w:rsid w:val="00DE7541"/>
    <w:rsid w:val="00DE75FC"/>
    <w:rsid w:val="00DE7D44"/>
    <w:rsid w:val="00DF012C"/>
    <w:rsid w:val="00DF0DA7"/>
    <w:rsid w:val="00DF5368"/>
    <w:rsid w:val="00DF57DF"/>
    <w:rsid w:val="00DF5BC8"/>
    <w:rsid w:val="00DF6BF1"/>
    <w:rsid w:val="00DF6D0A"/>
    <w:rsid w:val="00DF6D0D"/>
    <w:rsid w:val="00E01C01"/>
    <w:rsid w:val="00E02943"/>
    <w:rsid w:val="00E04365"/>
    <w:rsid w:val="00E05AE6"/>
    <w:rsid w:val="00E05B83"/>
    <w:rsid w:val="00E1009B"/>
    <w:rsid w:val="00E1033D"/>
    <w:rsid w:val="00E11163"/>
    <w:rsid w:val="00E119F1"/>
    <w:rsid w:val="00E13130"/>
    <w:rsid w:val="00E135EB"/>
    <w:rsid w:val="00E15183"/>
    <w:rsid w:val="00E157A2"/>
    <w:rsid w:val="00E16DC4"/>
    <w:rsid w:val="00E2487A"/>
    <w:rsid w:val="00E30162"/>
    <w:rsid w:val="00E30376"/>
    <w:rsid w:val="00E30902"/>
    <w:rsid w:val="00E30BE9"/>
    <w:rsid w:val="00E30C2D"/>
    <w:rsid w:val="00E317A2"/>
    <w:rsid w:val="00E32305"/>
    <w:rsid w:val="00E325DB"/>
    <w:rsid w:val="00E370F6"/>
    <w:rsid w:val="00E372FE"/>
    <w:rsid w:val="00E37A27"/>
    <w:rsid w:val="00E41319"/>
    <w:rsid w:val="00E427AA"/>
    <w:rsid w:val="00E438DA"/>
    <w:rsid w:val="00E445F1"/>
    <w:rsid w:val="00E45776"/>
    <w:rsid w:val="00E46652"/>
    <w:rsid w:val="00E46BA5"/>
    <w:rsid w:val="00E5028B"/>
    <w:rsid w:val="00E50C9B"/>
    <w:rsid w:val="00E51E41"/>
    <w:rsid w:val="00E55378"/>
    <w:rsid w:val="00E56752"/>
    <w:rsid w:val="00E56B33"/>
    <w:rsid w:val="00E5789B"/>
    <w:rsid w:val="00E60216"/>
    <w:rsid w:val="00E60629"/>
    <w:rsid w:val="00E61019"/>
    <w:rsid w:val="00E620A6"/>
    <w:rsid w:val="00E62152"/>
    <w:rsid w:val="00E63ADF"/>
    <w:rsid w:val="00E63B1C"/>
    <w:rsid w:val="00E64EEA"/>
    <w:rsid w:val="00E653E7"/>
    <w:rsid w:val="00E65570"/>
    <w:rsid w:val="00E65EB9"/>
    <w:rsid w:val="00E6729F"/>
    <w:rsid w:val="00E70667"/>
    <w:rsid w:val="00E7265B"/>
    <w:rsid w:val="00E72C8E"/>
    <w:rsid w:val="00E72FD7"/>
    <w:rsid w:val="00E73215"/>
    <w:rsid w:val="00E752DF"/>
    <w:rsid w:val="00E75E7E"/>
    <w:rsid w:val="00E77018"/>
    <w:rsid w:val="00E77923"/>
    <w:rsid w:val="00E8072C"/>
    <w:rsid w:val="00E826FB"/>
    <w:rsid w:val="00E828C2"/>
    <w:rsid w:val="00E82A08"/>
    <w:rsid w:val="00E8366C"/>
    <w:rsid w:val="00E83807"/>
    <w:rsid w:val="00E85245"/>
    <w:rsid w:val="00E85A74"/>
    <w:rsid w:val="00E86859"/>
    <w:rsid w:val="00E87104"/>
    <w:rsid w:val="00E879DE"/>
    <w:rsid w:val="00E900BD"/>
    <w:rsid w:val="00E92047"/>
    <w:rsid w:val="00E94C7A"/>
    <w:rsid w:val="00E95B47"/>
    <w:rsid w:val="00E966CF"/>
    <w:rsid w:val="00E97046"/>
    <w:rsid w:val="00E97902"/>
    <w:rsid w:val="00EA133F"/>
    <w:rsid w:val="00EA1B1A"/>
    <w:rsid w:val="00EA2278"/>
    <w:rsid w:val="00EA245A"/>
    <w:rsid w:val="00EA2DE8"/>
    <w:rsid w:val="00EA32D4"/>
    <w:rsid w:val="00EA39A7"/>
    <w:rsid w:val="00EA59DC"/>
    <w:rsid w:val="00EA64D3"/>
    <w:rsid w:val="00EB03CB"/>
    <w:rsid w:val="00EB1E3A"/>
    <w:rsid w:val="00EB2277"/>
    <w:rsid w:val="00EB35B2"/>
    <w:rsid w:val="00EB3E71"/>
    <w:rsid w:val="00EB5799"/>
    <w:rsid w:val="00EB656A"/>
    <w:rsid w:val="00EB6F64"/>
    <w:rsid w:val="00EB7580"/>
    <w:rsid w:val="00EB793C"/>
    <w:rsid w:val="00EB7F6A"/>
    <w:rsid w:val="00EC043F"/>
    <w:rsid w:val="00EC3405"/>
    <w:rsid w:val="00EC3A30"/>
    <w:rsid w:val="00EC54C5"/>
    <w:rsid w:val="00EC6465"/>
    <w:rsid w:val="00EC79D5"/>
    <w:rsid w:val="00EC7E3E"/>
    <w:rsid w:val="00ED000B"/>
    <w:rsid w:val="00ED25F8"/>
    <w:rsid w:val="00ED2858"/>
    <w:rsid w:val="00ED42F0"/>
    <w:rsid w:val="00ED4ACB"/>
    <w:rsid w:val="00ED624A"/>
    <w:rsid w:val="00ED630A"/>
    <w:rsid w:val="00ED7267"/>
    <w:rsid w:val="00ED775F"/>
    <w:rsid w:val="00EE1926"/>
    <w:rsid w:val="00EE1D0D"/>
    <w:rsid w:val="00EE1D10"/>
    <w:rsid w:val="00EE26CC"/>
    <w:rsid w:val="00EE3529"/>
    <w:rsid w:val="00EE4415"/>
    <w:rsid w:val="00EE45DE"/>
    <w:rsid w:val="00EE6BC3"/>
    <w:rsid w:val="00EF01F8"/>
    <w:rsid w:val="00EF0B8C"/>
    <w:rsid w:val="00EF1B92"/>
    <w:rsid w:val="00EF20A8"/>
    <w:rsid w:val="00EF2290"/>
    <w:rsid w:val="00EF248B"/>
    <w:rsid w:val="00EF2BFD"/>
    <w:rsid w:val="00EF2D36"/>
    <w:rsid w:val="00EF36B6"/>
    <w:rsid w:val="00EF3E3B"/>
    <w:rsid w:val="00EF406B"/>
    <w:rsid w:val="00EF6630"/>
    <w:rsid w:val="00EF6846"/>
    <w:rsid w:val="00F009E4"/>
    <w:rsid w:val="00F019C7"/>
    <w:rsid w:val="00F03873"/>
    <w:rsid w:val="00F03D98"/>
    <w:rsid w:val="00F04101"/>
    <w:rsid w:val="00F04BE2"/>
    <w:rsid w:val="00F05B38"/>
    <w:rsid w:val="00F07950"/>
    <w:rsid w:val="00F11041"/>
    <w:rsid w:val="00F11127"/>
    <w:rsid w:val="00F1165D"/>
    <w:rsid w:val="00F13843"/>
    <w:rsid w:val="00F1394B"/>
    <w:rsid w:val="00F13AC5"/>
    <w:rsid w:val="00F13DFF"/>
    <w:rsid w:val="00F143A7"/>
    <w:rsid w:val="00F14462"/>
    <w:rsid w:val="00F14E16"/>
    <w:rsid w:val="00F1596C"/>
    <w:rsid w:val="00F15CE0"/>
    <w:rsid w:val="00F17D00"/>
    <w:rsid w:val="00F204B0"/>
    <w:rsid w:val="00F21724"/>
    <w:rsid w:val="00F23973"/>
    <w:rsid w:val="00F2418C"/>
    <w:rsid w:val="00F24D06"/>
    <w:rsid w:val="00F265D3"/>
    <w:rsid w:val="00F27104"/>
    <w:rsid w:val="00F27567"/>
    <w:rsid w:val="00F30D9B"/>
    <w:rsid w:val="00F30DC6"/>
    <w:rsid w:val="00F31214"/>
    <w:rsid w:val="00F31B13"/>
    <w:rsid w:val="00F322D3"/>
    <w:rsid w:val="00F32B5B"/>
    <w:rsid w:val="00F32EB7"/>
    <w:rsid w:val="00F33461"/>
    <w:rsid w:val="00F336BB"/>
    <w:rsid w:val="00F33E99"/>
    <w:rsid w:val="00F34EC5"/>
    <w:rsid w:val="00F356B7"/>
    <w:rsid w:val="00F35996"/>
    <w:rsid w:val="00F35CCC"/>
    <w:rsid w:val="00F37DA2"/>
    <w:rsid w:val="00F414C6"/>
    <w:rsid w:val="00F45A65"/>
    <w:rsid w:val="00F4617A"/>
    <w:rsid w:val="00F50196"/>
    <w:rsid w:val="00F51F0C"/>
    <w:rsid w:val="00F52D4F"/>
    <w:rsid w:val="00F52ED2"/>
    <w:rsid w:val="00F536C3"/>
    <w:rsid w:val="00F537BD"/>
    <w:rsid w:val="00F56023"/>
    <w:rsid w:val="00F563B7"/>
    <w:rsid w:val="00F563BD"/>
    <w:rsid w:val="00F56C1B"/>
    <w:rsid w:val="00F56DCA"/>
    <w:rsid w:val="00F5779F"/>
    <w:rsid w:val="00F57DFD"/>
    <w:rsid w:val="00F61107"/>
    <w:rsid w:val="00F631CC"/>
    <w:rsid w:val="00F63426"/>
    <w:rsid w:val="00F63D0E"/>
    <w:rsid w:val="00F64CF7"/>
    <w:rsid w:val="00F656F3"/>
    <w:rsid w:val="00F7095F"/>
    <w:rsid w:val="00F72AAF"/>
    <w:rsid w:val="00F7457F"/>
    <w:rsid w:val="00F75116"/>
    <w:rsid w:val="00F75ED0"/>
    <w:rsid w:val="00F75FAA"/>
    <w:rsid w:val="00F818EE"/>
    <w:rsid w:val="00F82D0F"/>
    <w:rsid w:val="00F83104"/>
    <w:rsid w:val="00F83126"/>
    <w:rsid w:val="00F84709"/>
    <w:rsid w:val="00F8493A"/>
    <w:rsid w:val="00F84BCD"/>
    <w:rsid w:val="00F84EFF"/>
    <w:rsid w:val="00F86AFB"/>
    <w:rsid w:val="00F86E33"/>
    <w:rsid w:val="00F87299"/>
    <w:rsid w:val="00F91A7C"/>
    <w:rsid w:val="00F92467"/>
    <w:rsid w:val="00F933A4"/>
    <w:rsid w:val="00F973B1"/>
    <w:rsid w:val="00F976A1"/>
    <w:rsid w:val="00FA2039"/>
    <w:rsid w:val="00FA5926"/>
    <w:rsid w:val="00FA6E46"/>
    <w:rsid w:val="00FA7CA6"/>
    <w:rsid w:val="00FB1ABA"/>
    <w:rsid w:val="00FB23BF"/>
    <w:rsid w:val="00FB24CA"/>
    <w:rsid w:val="00FB4C2C"/>
    <w:rsid w:val="00FB5E88"/>
    <w:rsid w:val="00FB61FE"/>
    <w:rsid w:val="00FB689A"/>
    <w:rsid w:val="00FB6B78"/>
    <w:rsid w:val="00FB762D"/>
    <w:rsid w:val="00FC062C"/>
    <w:rsid w:val="00FC1C79"/>
    <w:rsid w:val="00FC2161"/>
    <w:rsid w:val="00FC2BFE"/>
    <w:rsid w:val="00FC4A04"/>
    <w:rsid w:val="00FC6170"/>
    <w:rsid w:val="00FC7396"/>
    <w:rsid w:val="00FC768E"/>
    <w:rsid w:val="00FD00B0"/>
    <w:rsid w:val="00FD0BD6"/>
    <w:rsid w:val="00FD0F3A"/>
    <w:rsid w:val="00FD1B44"/>
    <w:rsid w:val="00FD1EDD"/>
    <w:rsid w:val="00FD2405"/>
    <w:rsid w:val="00FD3922"/>
    <w:rsid w:val="00FD5928"/>
    <w:rsid w:val="00FD69A8"/>
    <w:rsid w:val="00FD6B11"/>
    <w:rsid w:val="00FD79D8"/>
    <w:rsid w:val="00FE0F9B"/>
    <w:rsid w:val="00FE1EF4"/>
    <w:rsid w:val="00FE3473"/>
    <w:rsid w:val="00FE3A37"/>
    <w:rsid w:val="00FE49DB"/>
    <w:rsid w:val="00FE6ECD"/>
    <w:rsid w:val="00FF0079"/>
    <w:rsid w:val="00FF06A8"/>
    <w:rsid w:val="00FF131F"/>
    <w:rsid w:val="00FF1993"/>
    <w:rsid w:val="00FF213C"/>
    <w:rsid w:val="00FF2289"/>
    <w:rsid w:val="00FF4949"/>
    <w:rsid w:val="00FF5BA1"/>
    <w:rsid w:val="00FF6FEF"/>
    <w:rsid w:val="00FF713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29AF93"/>
  <w15:chartTrackingRefBased/>
  <w15:docId w15:val="{8CDDAFF0-C379-4092-B241-9DAA67FE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607"/>
    <w:pPr>
      <w:spacing w:after="120" w:line="360" w:lineRule="auto"/>
      <w:jc w:val="both"/>
    </w:pPr>
    <w:rPr>
      <w:rFonts w:ascii="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rsid w:val="00FB24CA"/>
    <w:rPr>
      <w:vertAlign w:val="superscript"/>
    </w:rPr>
  </w:style>
  <w:style w:type="paragraph" w:styleId="FootnoteText">
    <w:name w:val="footnote text"/>
    <w:basedOn w:val="Normal"/>
    <w:link w:val="FootnoteTextChar"/>
    <w:uiPriority w:val="99"/>
    <w:unhideWhenUsed/>
    <w:rsid w:val="00FB24CA"/>
    <w:pPr>
      <w:spacing w:after="0" w:line="240" w:lineRule="auto"/>
    </w:pPr>
    <w:rPr>
      <w:sz w:val="20"/>
      <w:szCs w:val="20"/>
    </w:rPr>
  </w:style>
  <w:style w:type="character" w:customStyle="1" w:styleId="FootnoteTextChar">
    <w:name w:val="Footnote Text Char"/>
    <w:link w:val="FootnoteText"/>
    <w:uiPriority w:val="99"/>
    <w:rsid w:val="00FB24CA"/>
    <w:rPr>
      <w:rFonts w:ascii="Times New Roman" w:hAnsi="Times New Roman"/>
      <w:sz w:val="20"/>
      <w:szCs w:val="20"/>
    </w:rPr>
  </w:style>
  <w:style w:type="character" w:styleId="PageNumber">
    <w:name w:val="page number"/>
    <w:basedOn w:val="DefaultParagraphFont"/>
    <w:uiPriority w:val="99"/>
    <w:semiHidden/>
    <w:unhideWhenUsed/>
    <w:rsid w:val="00C9700D"/>
  </w:style>
  <w:style w:type="paragraph" w:customStyle="1" w:styleId="Default">
    <w:name w:val="Default"/>
    <w:rsid w:val="00B47629"/>
    <w:pPr>
      <w:autoSpaceDE w:val="0"/>
      <w:autoSpaceDN w:val="0"/>
      <w:adjustRightInd w:val="0"/>
    </w:pPr>
    <w:rPr>
      <w:rFonts w:ascii="Arial" w:hAnsi="Arial" w:cs="Arial"/>
      <w:color w:val="000000"/>
      <w:sz w:val="24"/>
      <w:szCs w:val="24"/>
      <w:lang w:val="en-GB" w:eastAsia="en-US"/>
    </w:rPr>
  </w:style>
  <w:style w:type="paragraph" w:styleId="Footer">
    <w:name w:val="footer"/>
    <w:basedOn w:val="Normal"/>
    <w:link w:val="FooterChar"/>
    <w:uiPriority w:val="99"/>
    <w:unhideWhenUsed/>
    <w:rsid w:val="008460DD"/>
    <w:pPr>
      <w:tabs>
        <w:tab w:val="center" w:pos="4513"/>
        <w:tab w:val="right" w:pos="9026"/>
      </w:tabs>
      <w:spacing w:after="0" w:line="240" w:lineRule="auto"/>
    </w:pPr>
  </w:style>
  <w:style w:type="character" w:customStyle="1" w:styleId="FooterChar">
    <w:name w:val="Footer Char"/>
    <w:link w:val="Footer"/>
    <w:uiPriority w:val="99"/>
    <w:rsid w:val="008460DD"/>
    <w:rPr>
      <w:rFonts w:ascii="Times New Roman" w:hAnsi="Times New Roman"/>
    </w:rPr>
  </w:style>
  <w:style w:type="character" w:styleId="CommentReference">
    <w:name w:val="annotation reference"/>
    <w:uiPriority w:val="99"/>
    <w:semiHidden/>
    <w:unhideWhenUsed/>
    <w:rsid w:val="005367A9"/>
    <w:rPr>
      <w:sz w:val="16"/>
      <w:szCs w:val="16"/>
    </w:rPr>
  </w:style>
  <w:style w:type="paragraph" w:styleId="CommentText">
    <w:name w:val="annotation text"/>
    <w:basedOn w:val="Normal"/>
    <w:link w:val="CommentTextChar"/>
    <w:uiPriority w:val="99"/>
    <w:semiHidden/>
    <w:unhideWhenUsed/>
    <w:rsid w:val="005367A9"/>
    <w:rPr>
      <w:sz w:val="20"/>
      <w:szCs w:val="20"/>
    </w:rPr>
  </w:style>
  <w:style w:type="character" w:customStyle="1" w:styleId="CommentTextChar">
    <w:name w:val="Comment Text Char"/>
    <w:link w:val="CommentText"/>
    <w:uiPriority w:val="99"/>
    <w:semiHidden/>
    <w:rsid w:val="005367A9"/>
    <w:rPr>
      <w:rFonts w:ascii="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5367A9"/>
    <w:rPr>
      <w:b/>
      <w:bCs/>
    </w:rPr>
  </w:style>
  <w:style w:type="character" w:customStyle="1" w:styleId="CommentSubjectChar">
    <w:name w:val="Comment Subject Char"/>
    <w:link w:val="CommentSubject"/>
    <w:uiPriority w:val="99"/>
    <w:semiHidden/>
    <w:rsid w:val="005367A9"/>
    <w:rPr>
      <w:rFonts w:ascii="Times New Roman" w:hAnsi="Times New Roman"/>
      <w:b/>
      <w:bCs/>
      <w:lang w:val="en-GB" w:eastAsia="en-US"/>
    </w:rPr>
  </w:style>
  <w:style w:type="paragraph" w:styleId="Revision">
    <w:name w:val="Revision"/>
    <w:hidden/>
    <w:uiPriority w:val="99"/>
    <w:semiHidden/>
    <w:rsid w:val="001F3FA2"/>
    <w:rPr>
      <w:rFonts w:ascii="Times New Roman" w:hAnsi="Times New Roman"/>
      <w:sz w:val="24"/>
      <w:szCs w:val="24"/>
      <w:lang w:val="en-GB" w:eastAsia="en-US"/>
    </w:rPr>
  </w:style>
  <w:style w:type="character" w:styleId="Hyperlink">
    <w:name w:val="Hyperlink"/>
    <w:basedOn w:val="DefaultParagraphFont"/>
    <w:uiPriority w:val="99"/>
    <w:unhideWhenUsed/>
    <w:rsid w:val="006D13FF"/>
    <w:rPr>
      <w:color w:val="0563C1" w:themeColor="hyperlink"/>
      <w:u w:val="single"/>
    </w:rPr>
  </w:style>
  <w:style w:type="character" w:customStyle="1" w:styleId="UnresolvedMention1">
    <w:name w:val="Unresolved Mention1"/>
    <w:basedOn w:val="DefaultParagraphFont"/>
    <w:uiPriority w:val="99"/>
    <w:semiHidden/>
    <w:unhideWhenUsed/>
    <w:rsid w:val="006D13FF"/>
    <w:rPr>
      <w:color w:val="605E5C"/>
      <w:shd w:val="clear" w:color="auto" w:fill="E1DFDD"/>
    </w:rPr>
  </w:style>
  <w:style w:type="paragraph" w:styleId="BalloonText">
    <w:name w:val="Balloon Text"/>
    <w:basedOn w:val="Normal"/>
    <w:link w:val="BalloonTextChar"/>
    <w:uiPriority w:val="99"/>
    <w:semiHidden/>
    <w:unhideWhenUsed/>
    <w:rsid w:val="00111C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0B"/>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0A6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78075">
      <w:bodyDiv w:val="1"/>
      <w:marLeft w:val="0"/>
      <w:marRight w:val="0"/>
      <w:marTop w:val="0"/>
      <w:marBottom w:val="0"/>
      <w:divBdr>
        <w:top w:val="none" w:sz="0" w:space="0" w:color="auto"/>
        <w:left w:val="none" w:sz="0" w:space="0" w:color="auto"/>
        <w:bottom w:val="none" w:sz="0" w:space="0" w:color="auto"/>
        <w:right w:val="none" w:sz="0" w:space="0" w:color="auto"/>
      </w:divBdr>
    </w:div>
    <w:div w:id="345907219">
      <w:bodyDiv w:val="1"/>
      <w:marLeft w:val="0"/>
      <w:marRight w:val="0"/>
      <w:marTop w:val="0"/>
      <w:marBottom w:val="0"/>
      <w:divBdr>
        <w:top w:val="none" w:sz="0" w:space="0" w:color="auto"/>
        <w:left w:val="none" w:sz="0" w:space="0" w:color="auto"/>
        <w:bottom w:val="none" w:sz="0" w:space="0" w:color="auto"/>
        <w:right w:val="none" w:sz="0" w:space="0" w:color="auto"/>
      </w:divBdr>
    </w:div>
    <w:div w:id="395974944">
      <w:bodyDiv w:val="1"/>
      <w:marLeft w:val="0"/>
      <w:marRight w:val="0"/>
      <w:marTop w:val="0"/>
      <w:marBottom w:val="0"/>
      <w:divBdr>
        <w:top w:val="none" w:sz="0" w:space="0" w:color="auto"/>
        <w:left w:val="none" w:sz="0" w:space="0" w:color="auto"/>
        <w:bottom w:val="none" w:sz="0" w:space="0" w:color="auto"/>
        <w:right w:val="none" w:sz="0" w:space="0" w:color="auto"/>
      </w:divBdr>
    </w:div>
    <w:div w:id="407046103">
      <w:bodyDiv w:val="1"/>
      <w:marLeft w:val="0"/>
      <w:marRight w:val="0"/>
      <w:marTop w:val="0"/>
      <w:marBottom w:val="0"/>
      <w:divBdr>
        <w:top w:val="none" w:sz="0" w:space="0" w:color="auto"/>
        <w:left w:val="none" w:sz="0" w:space="0" w:color="auto"/>
        <w:bottom w:val="none" w:sz="0" w:space="0" w:color="auto"/>
        <w:right w:val="none" w:sz="0" w:space="0" w:color="auto"/>
      </w:divBdr>
    </w:div>
    <w:div w:id="413017168">
      <w:bodyDiv w:val="1"/>
      <w:marLeft w:val="0"/>
      <w:marRight w:val="0"/>
      <w:marTop w:val="0"/>
      <w:marBottom w:val="0"/>
      <w:divBdr>
        <w:top w:val="none" w:sz="0" w:space="0" w:color="auto"/>
        <w:left w:val="none" w:sz="0" w:space="0" w:color="auto"/>
        <w:bottom w:val="none" w:sz="0" w:space="0" w:color="auto"/>
        <w:right w:val="none" w:sz="0" w:space="0" w:color="auto"/>
      </w:divBdr>
    </w:div>
    <w:div w:id="458378034">
      <w:bodyDiv w:val="1"/>
      <w:marLeft w:val="0"/>
      <w:marRight w:val="0"/>
      <w:marTop w:val="0"/>
      <w:marBottom w:val="0"/>
      <w:divBdr>
        <w:top w:val="none" w:sz="0" w:space="0" w:color="auto"/>
        <w:left w:val="none" w:sz="0" w:space="0" w:color="auto"/>
        <w:bottom w:val="none" w:sz="0" w:space="0" w:color="auto"/>
        <w:right w:val="none" w:sz="0" w:space="0" w:color="auto"/>
      </w:divBdr>
    </w:div>
    <w:div w:id="480196772">
      <w:bodyDiv w:val="1"/>
      <w:marLeft w:val="0"/>
      <w:marRight w:val="0"/>
      <w:marTop w:val="0"/>
      <w:marBottom w:val="0"/>
      <w:divBdr>
        <w:top w:val="none" w:sz="0" w:space="0" w:color="auto"/>
        <w:left w:val="none" w:sz="0" w:space="0" w:color="auto"/>
        <w:bottom w:val="none" w:sz="0" w:space="0" w:color="auto"/>
        <w:right w:val="none" w:sz="0" w:space="0" w:color="auto"/>
      </w:divBdr>
    </w:div>
    <w:div w:id="539705868">
      <w:bodyDiv w:val="1"/>
      <w:marLeft w:val="0"/>
      <w:marRight w:val="0"/>
      <w:marTop w:val="0"/>
      <w:marBottom w:val="0"/>
      <w:divBdr>
        <w:top w:val="none" w:sz="0" w:space="0" w:color="auto"/>
        <w:left w:val="none" w:sz="0" w:space="0" w:color="auto"/>
        <w:bottom w:val="none" w:sz="0" w:space="0" w:color="auto"/>
        <w:right w:val="none" w:sz="0" w:space="0" w:color="auto"/>
      </w:divBdr>
    </w:div>
    <w:div w:id="588463558">
      <w:bodyDiv w:val="1"/>
      <w:marLeft w:val="0"/>
      <w:marRight w:val="0"/>
      <w:marTop w:val="0"/>
      <w:marBottom w:val="0"/>
      <w:divBdr>
        <w:top w:val="none" w:sz="0" w:space="0" w:color="auto"/>
        <w:left w:val="none" w:sz="0" w:space="0" w:color="auto"/>
        <w:bottom w:val="none" w:sz="0" w:space="0" w:color="auto"/>
        <w:right w:val="none" w:sz="0" w:space="0" w:color="auto"/>
      </w:divBdr>
    </w:div>
    <w:div w:id="704791282">
      <w:bodyDiv w:val="1"/>
      <w:marLeft w:val="0"/>
      <w:marRight w:val="0"/>
      <w:marTop w:val="0"/>
      <w:marBottom w:val="0"/>
      <w:divBdr>
        <w:top w:val="none" w:sz="0" w:space="0" w:color="auto"/>
        <w:left w:val="none" w:sz="0" w:space="0" w:color="auto"/>
        <w:bottom w:val="none" w:sz="0" w:space="0" w:color="auto"/>
        <w:right w:val="none" w:sz="0" w:space="0" w:color="auto"/>
      </w:divBdr>
    </w:div>
    <w:div w:id="901721910">
      <w:bodyDiv w:val="1"/>
      <w:marLeft w:val="0"/>
      <w:marRight w:val="0"/>
      <w:marTop w:val="0"/>
      <w:marBottom w:val="0"/>
      <w:divBdr>
        <w:top w:val="none" w:sz="0" w:space="0" w:color="auto"/>
        <w:left w:val="none" w:sz="0" w:space="0" w:color="auto"/>
        <w:bottom w:val="none" w:sz="0" w:space="0" w:color="auto"/>
        <w:right w:val="none" w:sz="0" w:space="0" w:color="auto"/>
      </w:divBdr>
    </w:div>
    <w:div w:id="1050769847">
      <w:bodyDiv w:val="1"/>
      <w:marLeft w:val="0"/>
      <w:marRight w:val="0"/>
      <w:marTop w:val="0"/>
      <w:marBottom w:val="0"/>
      <w:divBdr>
        <w:top w:val="none" w:sz="0" w:space="0" w:color="auto"/>
        <w:left w:val="none" w:sz="0" w:space="0" w:color="auto"/>
        <w:bottom w:val="none" w:sz="0" w:space="0" w:color="auto"/>
        <w:right w:val="none" w:sz="0" w:space="0" w:color="auto"/>
      </w:divBdr>
    </w:div>
    <w:div w:id="1119567482">
      <w:bodyDiv w:val="1"/>
      <w:marLeft w:val="0"/>
      <w:marRight w:val="0"/>
      <w:marTop w:val="0"/>
      <w:marBottom w:val="0"/>
      <w:divBdr>
        <w:top w:val="none" w:sz="0" w:space="0" w:color="auto"/>
        <w:left w:val="none" w:sz="0" w:space="0" w:color="auto"/>
        <w:bottom w:val="none" w:sz="0" w:space="0" w:color="auto"/>
        <w:right w:val="none" w:sz="0" w:space="0" w:color="auto"/>
      </w:divBdr>
    </w:div>
    <w:div w:id="1126004428">
      <w:bodyDiv w:val="1"/>
      <w:marLeft w:val="0"/>
      <w:marRight w:val="0"/>
      <w:marTop w:val="0"/>
      <w:marBottom w:val="0"/>
      <w:divBdr>
        <w:top w:val="none" w:sz="0" w:space="0" w:color="auto"/>
        <w:left w:val="none" w:sz="0" w:space="0" w:color="auto"/>
        <w:bottom w:val="none" w:sz="0" w:space="0" w:color="auto"/>
        <w:right w:val="none" w:sz="0" w:space="0" w:color="auto"/>
      </w:divBdr>
    </w:div>
    <w:div w:id="1238591710">
      <w:bodyDiv w:val="1"/>
      <w:marLeft w:val="0"/>
      <w:marRight w:val="0"/>
      <w:marTop w:val="0"/>
      <w:marBottom w:val="0"/>
      <w:divBdr>
        <w:top w:val="none" w:sz="0" w:space="0" w:color="auto"/>
        <w:left w:val="none" w:sz="0" w:space="0" w:color="auto"/>
        <w:bottom w:val="none" w:sz="0" w:space="0" w:color="auto"/>
        <w:right w:val="none" w:sz="0" w:space="0" w:color="auto"/>
      </w:divBdr>
    </w:div>
    <w:div w:id="1304697130">
      <w:bodyDiv w:val="1"/>
      <w:marLeft w:val="0"/>
      <w:marRight w:val="0"/>
      <w:marTop w:val="0"/>
      <w:marBottom w:val="0"/>
      <w:divBdr>
        <w:top w:val="none" w:sz="0" w:space="0" w:color="auto"/>
        <w:left w:val="none" w:sz="0" w:space="0" w:color="auto"/>
        <w:bottom w:val="none" w:sz="0" w:space="0" w:color="auto"/>
        <w:right w:val="none" w:sz="0" w:space="0" w:color="auto"/>
      </w:divBdr>
    </w:div>
    <w:div w:id="1665743984">
      <w:bodyDiv w:val="1"/>
      <w:marLeft w:val="0"/>
      <w:marRight w:val="0"/>
      <w:marTop w:val="0"/>
      <w:marBottom w:val="0"/>
      <w:divBdr>
        <w:top w:val="none" w:sz="0" w:space="0" w:color="auto"/>
        <w:left w:val="none" w:sz="0" w:space="0" w:color="auto"/>
        <w:bottom w:val="none" w:sz="0" w:space="0" w:color="auto"/>
        <w:right w:val="none" w:sz="0" w:space="0" w:color="auto"/>
      </w:divBdr>
    </w:div>
    <w:div w:id="1824156513">
      <w:bodyDiv w:val="1"/>
      <w:marLeft w:val="0"/>
      <w:marRight w:val="0"/>
      <w:marTop w:val="0"/>
      <w:marBottom w:val="0"/>
      <w:divBdr>
        <w:top w:val="none" w:sz="0" w:space="0" w:color="auto"/>
        <w:left w:val="none" w:sz="0" w:space="0" w:color="auto"/>
        <w:bottom w:val="none" w:sz="0" w:space="0" w:color="auto"/>
        <w:right w:val="none" w:sz="0" w:space="0" w:color="auto"/>
      </w:divBdr>
    </w:div>
    <w:div w:id="210175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ngland.nhs.uk/commissioning/wp-content/uploads/sites/12/2016/02/opd-strategy-nov-15.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3DCF2-5FB1-4DFA-8541-97B3D82DB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23</Pages>
  <Words>10682</Words>
  <Characters>60894</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Ailbhe O'Loughlin</dc:creator>
  <cp:keywords/>
  <dc:description/>
  <cp:lastModifiedBy>Ailbhe O'Loughlin</cp:lastModifiedBy>
  <cp:revision>22</cp:revision>
  <dcterms:created xsi:type="dcterms:W3CDTF">2022-09-30T14:25:00Z</dcterms:created>
  <dcterms:modified xsi:type="dcterms:W3CDTF">2024-07-17T08:17:00Z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http://www.zotero.org/styles/oscola</vt:lpwstr>
  </property>
  <property fmtid="{D5CDD505-2E9C-101B-9397-08002B2CF9AE}" pid="19" name="Mendeley Recent Style Name 8_1">
    <vt:lpwstr>OSCOLA (Oxford University Standard for Citation of Legal Authorities)</vt:lpwstr>
  </property>
  <property fmtid="{D5CDD505-2E9C-101B-9397-08002B2CF9AE}" pid="20" name="Mendeley Recent Style Id 9_1">
    <vt:lpwstr>http://www.zotero.org/styles/university-of-york-oscola</vt:lpwstr>
  </property>
  <property fmtid="{D5CDD505-2E9C-101B-9397-08002B2CF9AE}" pid="21" name="Mendeley Recent Style Name 9_1">
    <vt:lpwstr>University of York - OSCOLA</vt:lpwstr>
  </property>
</Properties>
</file>