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E75F1" w14:textId="6AB3322A" w:rsidR="000F336B" w:rsidRPr="00267257" w:rsidRDefault="00267257" w:rsidP="00267257">
      <w:pPr>
        <w:pStyle w:val="NormalWeb"/>
        <w:numPr>
          <w:ilvl w:val="0"/>
          <w:numId w:val="12"/>
        </w:numPr>
        <w:shd w:val="clear" w:color="auto" w:fill="FFFFFF"/>
        <w:spacing w:before="0" w:beforeAutospacing="0" w:after="0" w:afterAutospacing="0" w:line="480" w:lineRule="auto"/>
        <w:rPr>
          <w:color w:val="333333"/>
          <w:lang w:val="en-GB"/>
        </w:rPr>
      </w:pPr>
      <w:r w:rsidRPr="00563AF8">
        <w:rPr>
          <w:b/>
          <w:bCs/>
          <w:color w:val="000000" w:themeColor="text1"/>
          <w:lang w:val="en-GB"/>
        </w:rPr>
        <w:t>Introduction</w:t>
      </w:r>
    </w:p>
    <w:p w14:paraId="522F64E8" w14:textId="309C0240" w:rsidR="000F336B" w:rsidRPr="00563AF8" w:rsidRDefault="00CD294B" w:rsidP="000F336B">
      <w:pPr>
        <w:tabs>
          <w:tab w:val="left" w:pos="10915"/>
        </w:tabs>
        <w:snapToGrid w:val="0"/>
        <w:spacing w:line="480" w:lineRule="auto"/>
        <w:ind w:right="4" w:firstLine="720"/>
        <w:rPr>
          <w:color w:val="000000" w:themeColor="text1"/>
          <w:lang w:val="en-GB"/>
        </w:rPr>
      </w:pPr>
      <w:r w:rsidRPr="00563AF8">
        <w:rPr>
          <w:lang w:val="en-GB"/>
        </w:rPr>
        <w:t>Patient-reported outcome measures (PROMs) are used in mental health research and, increasingly, in measurement-based mental health care, which involves the systematic use of patient-reported outcomes to inform treatment decisions</w:t>
      </w:r>
      <w:r w:rsidR="00231039">
        <w:rPr>
          <w:lang w:val="en-GB"/>
        </w:rPr>
        <w:t xml:space="preserve"> </w:t>
      </w:r>
      <w:r w:rsidR="00A4391C">
        <w:rPr>
          <w:lang w:val="en-GB"/>
        </w:rPr>
        <w:t>(Lewis et al., 2019)</w:t>
      </w:r>
      <w:r w:rsidRPr="00563AF8">
        <w:rPr>
          <w:lang w:val="en-GB"/>
        </w:rPr>
        <w:t xml:space="preserve">. </w:t>
      </w:r>
      <w:r w:rsidR="000F336B" w:rsidRPr="00563AF8">
        <w:rPr>
          <w:lang w:val="en-GB"/>
        </w:rPr>
        <w:t xml:space="preserve">Responses to PROMs that evaluate sensitive mental health information, including depressive symptoms, </w:t>
      </w:r>
      <w:r w:rsidR="008D10ED" w:rsidRPr="00563AF8">
        <w:rPr>
          <w:lang w:val="en-GB"/>
        </w:rPr>
        <w:t xml:space="preserve">however, </w:t>
      </w:r>
      <w:r w:rsidR="000F336B" w:rsidRPr="00563AF8">
        <w:rPr>
          <w:lang w:val="en-GB"/>
        </w:rPr>
        <w:t xml:space="preserve">may be influenced by how </w:t>
      </w:r>
      <w:r w:rsidR="008D10ED" w:rsidRPr="00563AF8">
        <w:rPr>
          <w:lang w:val="en-GB"/>
        </w:rPr>
        <w:t>they</w:t>
      </w:r>
      <w:r w:rsidR="000F336B" w:rsidRPr="00563AF8">
        <w:rPr>
          <w:lang w:val="en-GB"/>
        </w:rPr>
        <w:t xml:space="preserve"> are administered. </w:t>
      </w:r>
      <w:r w:rsidRPr="00563AF8">
        <w:rPr>
          <w:lang w:val="en-GB"/>
        </w:rPr>
        <w:t>A</w:t>
      </w:r>
      <w:r w:rsidR="000F336B" w:rsidRPr="00563AF8">
        <w:rPr>
          <w:lang w:val="en-GB"/>
        </w:rPr>
        <w:t>dministration</w:t>
      </w:r>
      <w:r w:rsidRPr="00563AF8">
        <w:rPr>
          <w:lang w:val="en-GB"/>
        </w:rPr>
        <w:t xml:space="preserve"> modes</w:t>
      </w:r>
      <w:r w:rsidR="000F336B" w:rsidRPr="00563AF8">
        <w:rPr>
          <w:lang w:val="en-GB"/>
        </w:rPr>
        <w:t xml:space="preserve"> may include (1) self-administration via pen-and-paper</w:t>
      </w:r>
      <w:r w:rsidRPr="00563AF8">
        <w:rPr>
          <w:lang w:val="en-GB"/>
        </w:rPr>
        <w:t xml:space="preserve"> or electronic forms via </w:t>
      </w:r>
      <w:r w:rsidR="004026CF" w:rsidRPr="00563AF8">
        <w:rPr>
          <w:lang w:val="en-GB"/>
        </w:rPr>
        <w:t xml:space="preserve">computer, </w:t>
      </w:r>
      <w:r w:rsidR="000F336B" w:rsidRPr="00563AF8">
        <w:rPr>
          <w:lang w:val="en-GB"/>
        </w:rPr>
        <w:t>tablet</w:t>
      </w:r>
      <w:r w:rsidR="004026CF" w:rsidRPr="00563AF8">
        <w:rPr>
          <w:lang w:val="en-GB"/>
        </w:rPr>
        <w:t xml:space="preserve">, </w:t>
      </w:r>
      <w:r w:rsidRPr="00563AF8">
        <w:rPr>
          <w:lang w:val="en-GB"/>
        </w:rPr>
        <w:t xml:space="preserve">or </w:t>
      </w:r>
      <w:r w:rsidR="004026CF" w:rsidRPr="00563AF8">
        <w:rPr>
          <w:lang w:val="en-GB"/>
        </w:rPr>
        <w:t>handheld devices</w:t>
      </w:r>
      <w:r w:rsidRPr="00563AF8">
        <w:rPr>
          <w:lang w:val="en-GB"/>
        </w:rPr>
        <w:t xml:space="preserve"> </w:t>
      </w:r>
      <w:r w:rsidR="000F336B" w:rsidRPr="00563AF8">
        <w:rPr>
          <w:lang w:val="en-GB"/>
        </w:rPr>
        <w:t>and (2) interview-administ</w:t>
      </w:r>
      <w:r w:rsidRPr="00563AF8">
        <w:rPr>
          <w:lang w:val="en-GB"/>
        </w:rPr>
        <w:t>ration</w:t>
      </w:r>
      <w:r w:rsidR="00563AF8" w:rsidRPr="00563AF8">
        <w:rPr>
          <w:lang w:val="en-GB"/>
        </w:rPr>
        <w:t>,</w:t>
      </w:r>
      <w:r w:rsidR="000F336B" w:rsidRPr="00563AF8">
        <w:rPr>
          <w:lang w:val="en-GB"/>
        </w:rPr>
        <w:t xml:space="preserve"> whereby items </w:t>
      </w:r>
      <w:r w:rsidR="005609BF" w:rsidRPr="00563AF8">
        <w:rPr>
          <w:lang w:val="en-GB"/>
        </w:rPr>
        <w:t>are read aloud</w:t>
      </w:r>
      <w:r w:rsidR="000F336B" w:rsidRPr="00563AF8">
        <w:rPr>
          <w:lang w:val="en-GB"/>
        </w:rPr>
        <w:t xml:space="preserve"> in-person or via phone or videoconference. Historically, in-person methods were most commonly used, but </w:t>
      </w:r>
      <w:r w:rsidR="005609BF" w:rsidRPr="00563AF8">
        <w:rPr>
          <w:lang w:val="en-GB"/>
        </w:rPr>
        <w:t>use of</w:t>
      </w:r>
      <w:r w:rsidR="000F336B" w:rsidRPr="00563AF8">
        <w:rPr>
          <w:lang w:val="en-GB"/>
        </w:rPr>
        <w:t xml:space="preserve"> alternative methods has increased in recent years, </w:t>
      </w:r>
      <w:r w:rsidRPr="00563AF8">
        <w:rPr>
          <w:lang w:val="en-GB"/>
        </w:rPr>
        <w:t xml:space="preserve">accelerated by </w:t>
      </w:r>
      <w:r w:rsidR="000F336B" w:rsidRPr="00563AF8">
        <w:rPr>
          <w:lang w:val="en-GB"/>
        </w:rPr>
        <w:t>the COVID-19 pandemic</w:t>
      </w:r>
      <w:r w:rsidR="00314848">
        <w:rPr>
          <w:lang w:val="en-GB"/>
        </w:rPr>
        <w:t xml:space="preserve"> </w:t>
      </w:r>
      <w:r w:rsidR="00E849D6">
        <w:rPr>
          <w:lang w:val="en-GB"/>
        </w:rPr>
        <w:t>(</w:t>
      </w:r>
      <w:r w:rsidR="00E849D6" w:rsidRPr="00563AF8">
        <w:rPr>
          <w:lang w:val="en-GB"/>
        </w:rPr>
        <w:t>Santomauro</w:t>
      </w:r>
      <w:r w:rsidR="00E849D6">
        <w:rPr>
          <w:lang w:val="en-GB"/>
        </w:rPr>
        <w:t xml:space="preserve"> et al., 2021)</w:t>
      </w:r>
      <w:r w:rsidRPr="00563AF8">
        <w:rPr>
          <w:lang w:val="en-GB"/>
        </w:rPr>
        <w:t>.</w:t>
      </w:r>
      <w:r w:rsidR="000F336B" w:rsidRPr="00563AF8">
        <w:rPr>
          <w:lang w:val="en-GB"/>
        </w:rPr>
        <w:t xml:space="preserve"> </w:t>
      </w:r>
      <w:r w:rsidR="000F336B" w:rsidRPr="00563AF8">
        <w:rPr>
          <w:color w:val="000000" w:themeColor="text1"/>
          <w:lang w:val="en-GB"/>
        </w:rPr>
        <w:t xml:space="preserve">It is unclear, however, </w:t>
      </w:r>
      <w:r w:rsidR="008D10ED" w:rsidRPr="00563AF8">
        <w:rPr>
          <w:color w:val="000000" w:themeColor="text1"/>
          <w:lang w:val="en-GB"/>
        </w:rPr>
        <w:t xml:space="preserve">if </w:t>
      </w:r>
      <w:r w:rsidR="000F336B" w:rsidRPr="00563AF8">
        <w:rPr>
          <w:color w:val="000000" w:themeColor="text1"/>
          <w:lang w:val="en-GB"/>
        </w:rPr>
        <w:t xml:space="preserve">different </w:t>
      </w:r>
      <w:r w:rsidRPr="00563AF8">
        <w:rPr>
          <w:color w:val="000000" w:themeColor="text1"/>
          <w:lang w:val="en-GB"/>
        </w:rPr>
        <w:t xml:space="preserve">administration </w:t>
      </w:r>
      <w:r w:rsidR="000F336B" w:rsidRPr="00563AF8">
        <w:rPr>
          <w:color w:val="000000" w:themeColor="text1"/>
          <w:lang w:val="en-GB"/>
        </w:rPr>
        <w:t xml:space="preserve">modes generate </w:t>
      </w:r>
      <w:r w:rsidR="009E52A0" w:rsidRPr="00563AF8">
        <w:rPr>
          <w:color w:val="000000" w:themeColor="text1"/>
          <w:lang w:val="en-GB"/>
        </w:rPr>
        <w:t xml:space="preserve">equivalent and comparable </w:t>
      </w:r>
      <w:r w:rsidR="000F336B" w:rsidRPr="00563AF8">
        <w:rPr>
          <w:color w:val="000000" w:themeColor="text1"/>
          <w:lang w:val="en-GB"/>
        </w:rPr>
        <w:t xml:space="preserve">responses or if </w:t>
      </w:r>
      <w:r w:rsidR="005609BF" w:rsidRPr="00563AF8">
        <w:rPr>
          <w:color w:val="000000" w:themeColor="text1"/>
          <w:lang w:val="en-GB"/>
        </w:rPr>
        <w:t xml:space="preserve">PROM </w:t>
      </w:r>
      <w:r w:rsidR="000F336B" w:rsidRPr="00563AF8">
        <w:rPr>
          <w:color w:val="000000" w:themeColor="text1"/>
          <w:lang w:val="en-GB"/>
        </w:rPr>
        <w:t xml:space="preserve">responses </w:t>
      </w:r>
      <w:r w:rsidR="009E52A0" w:rsidRPr="00563AF8">
        <w:rPr>
          <w:color w:val="000000" w:themeColor="text1"/>
          <w:lang w:val="en-GB"/>
        </w:rPr>
        <w:t xml:space="preserve">may </w:t>
      </w:r>
      <w:r w:rsidR="000F336B" w:rsidRPr="00563AF8">
        <w:rPr>
          <w:color w:val="000000" w:themeColor="text1"/>
          <w:lang w:val="en-GB"/>
        </w:rPr>
        <w:t>differ across modes because of social desirability biases</w:t>
      </w:r>
      <w:r w:rsidR="002C3DA0">
        <w:rPr>
          <w:color w:val="000000" w:themeColor="text1"/>
          <w:lang w:val="en-GB"/>
        </w:rPr>
        <w:t xml:space="preserve"> </w:t>
      </w:r>
      <w:r w:rsidR="00E849D6">
        <w:rPr>
          <w:color w:val="000000" w:themeColor="text1"/>
          <w:lang w:val="en-GB"/>
        </w:rPr>
        <w:t>(</w:t>
      </w:r>
      <w:r w:rsidR="00E849D6" w:rsidRPr="00563AF8">
        <w:rPr>
          <w:lang w:val="en-GB"/>
        </w:rPr>
        <w:t>Kreuter</w:t>
      </w:r>
      <w:r w:rsidR="00E849D6">
        <w:rPr>
          <w:color w:val="000000" w:themeColor="text1"/>
          <w:lang w:val="en-GB"/>
        </w:rPr>
        <w:t xml:space="preserve"> et al., 2008)</w:t>
      </w:r>
      <w:r w:rsidR="009E52A0" w:rsidRPr="00563AF8">
        <w:rPr>
          <w:color w:val="000000" w:themeColor="text1"/>
          <w:lang w:val="en-GB"/>
        </w:rPr>
        <w:t>,</w:t>
      </w:r>
      <w:r w:rsidR="000F336B" w:rsidRPr="00563AF8">
        <w:rPr>
          <w:color w:val="000000" w:themeColor="text1"/>
          <w:lang w:val="en-GB"/>
        </w:rPr>
        <w:t xml:space="preserve"> </w:t>
      </w:r>
      <w:r w:rsidR="009E52A0" w:rsidRPr="00563AF8">
        <w:rPr>
          <w:color w:val="000000" w:themeColor="text1"/>
          <w:lang w:val="en-GB"/>
        </w:rPr>
        <w:t>stigma</w:t>
      </w:r>
      <w:r w:rsidR="002C3DA0">
        <w:rPr>
          <w:color w:val="000000" w:themeColor="text1"/>
          <w:lang w:val="en-GB"/>
        </w:rPr>
        <w:t xml:space="preserve"> </w:t>
      </w:r>
      <w:r w:rsidR="00E849D6">
        <w:rPr>
          <w:color w:val="000000" w:themeColor="text1"/>
          <w:lang w:val="en-GB"/>
        </w:rPr>
        <w:t>(</w:t>
      </w:r>
      <w:r w:rsidR="00E849D6" w:rsidRPr="00563AF8">
        <w:rPr>
          <w:lang w:val="en-GB"/>
        </w:rPr>
        <w:t>Dillman</w:t>
      </w:r>
      <w:r w:rsidR="00E849D6">
        <w:rPr>
          <w:color w:val="000000" w:themeColor="text1"/>
          <w:lang w:val="en-GB"/>
        </w:rPr>
        <w:t xml:space="preserve"> and </w:t>
      </w:r>
      <w:r w:rsidR="00E849D6" w:rsidRPr="00563AF8">
        <w:rPr>
          <w:lang w:val="en-GB"/>
        </w:rPr>
        <w:t>Christian</w:t>
      </w:r>
      <w:r w:rsidR="00E849D6">
        <w:rPr>
          <w:color w:val="000000" w:themeColor="text1"/>
          <w:lang w:val="en-GB"/>
        </w:rPr>
        <w:t>, 2005)</w:t>
      </w:r>
      <w:r w:rsidR="009E52A0" w:rsidRPr="00563AF8">
        <w:rPr>
          <w:color w:val="000000" w:themeColor="text1"/>
          <w:lang w:val="en-GB"/>
        </w:rPr>
        <w:t xml:space="preserve">, </w:t>
      </w:r>
      <w:r w:rsidR="000F336B" w:rsidRPr="00563AF8">
        <w:rPr>
          <w:color w:val="000000" w:themeColor="text1"/>
          <w:lang w:val="en-GB"/>
        </w:rPr>
        <w:t>different respondent or researcher burden</w:t>
      </w:r>
      <w:r w:rsidR="002C3DA0">
        <w:rPr>
          <w:color w:val="000000" w:themeColor="text1"/>
          <w:lang w:val="en-GB"/>
        </w:rPr>
        <w:t xml:space="preserve"> </w:t>
      </w:r>
      <w:r w:rsidR="00FC3DF6">
        <w:rPr>
          <w:color w:val="000000" w:themeColor="text1"/>
          <w:lang w:val="en-GB"/>
        </w:rPr>
        <w:t>(</w:t>
      </w:r>
      <w:r w:rsidR="00FC3DF6" w:rsidRPr="00563AF8">
        <w:rPr>
          <w:lang w:val="en-GB"/>
        </w:rPr>
        <w:t>Greenleaf</w:t>
      </w:r>
      <w:r w:rsidR="00FC3DF6">
        <w:rPr>
          <w:color w:val="000000" w:themeColor="text1"/>
          <w:lang w:val="en-GB"/>
        </w:rPr>
        <w:t xml:space="preserve"> et al., 2017)</w:t>
      </w:r>
      <w:r w:rsidR="009E52A0" w:rsidRPr="00563AF8">
        <w:rPr>
          <w:color w:val="000000" w:themeColor="text1"/>
          <w:lang w:val="en-GB"/>
        </w:rPr>
        <w:t>,</w:t>
      </w:r>
      <w:r w:rsidR="000F336B" w:rsidRPr="00563AF8">
        <w:rPr>
          <w:color w:val="000000" w:themeColor="text1"/>
          <w:lang w:val="en-GB"/>
        </w:rPr>
        <w:t xml:space="preserve"> different visual layouts</w:t>
      </w:r>
      <w:r w:rsidR="002C3DA0">
        <w:rPr>
          <w:color w:val="000000" w:themeColor="text1"/>
          <w:lang w:val="en-GB"/>
        </w:rPr>
        <w:t xml:space="preserve"> </w:t>
      </w:r>
      <w:r w:rsidR="00FC3DF6">
        <w:rPr>
          <w:color w:val="000000" w:themeColor="text1"/>
          <w:lang w:val="en-GB"/>
        </w:rPr>
        <w:t>(</w:t>
      </w:r>
      <w:r w:rsidR="00FC3DF6" w:rsidRPr="00563AF8">
        <w:rPr>
          <w:lang w:val="en-GB"/>
        </w:rPr>
        <w:t>Dillman</w:t>
      </w:r>
      <w:r w:rsidR="00FC3DF6">
        <w:rPr>
          <w:color w:val="000000" w:themeColor="text1"/>
          <w:lang w:val="en-GB"/>
        </w:rPr>
        <w:t xml:space="preserve"> and </w:t>
      </w:r>
      <w:r w:rsidR="00FC3DF6" w:rsidRPr="00563AF8">
        <w:rPr>
          <w:lang w:val="en-GB"/>
        </w:rPr>
        <w:t>Christian</w:t>
      </w:r>
      <w:r w:rsidR="00FC3DF6">
        <w:rPr>
          <w:color w:val="000000" w:themeColor="text1"/>
          <w:lang w:val="en-GB"/>
        </w:rPr>
        <w:t>, 2005)</w:t>
      </w:r>
      <w:r w:rsidR="009E52A0" w:rsidRPr="00563AF8">
        <w:rPr>
          <w:color w:val="000000" w:themeColor="text1"/>
          <w:lang w:val="en-GB"/>
        </w:rPr>
        <w:t>,</w:t>
      </w:r>
      <w:r w:rsidR="000F336B" w:rsidRPr="00563AF8">
        <w:rPr>
          <w:color w:val="000000" w:themeColor="text1"/>
          <w:lang w:val="en-GB"/>
        </w:rPr>
        <w:t xml:space="preserve"> or other factors.</w:t>
      </w:r>
    </w:p>
    <w:p w14:paraId="7F3F079F" w14:textId="0136DCFC" w:rsidR="000F336B" w:rsidRPr="00563AF8" w:rsidRDefault="000F336B" w:rsidP="000F336B">
      <w:pPr>
        <w:tabs>
          <w:tab w:val="left" w:pos="10915"/>
        </w:tabs>
        <w:snapToGrid w:val="0"/>
        <w:spacing w:line="480" w:lineRule="auto"/>
        <w:ind w:right="4" w:firstLine="720"/>
        <w:rPr>
          <w:color w:val="000000" w:themeColor="text1"/>
          <w:lang w:val="en-GB"/>
        </w:rPr>
      </w:pPr>
      <w:r w:rsidRPr="00563AF8">
        <w:rPr>
          <w:color w:val="000000" w:themeColor="text1"/>
          <w:lang w:val="en-GB"/>
        </w:rPr>
        <w:t xml:space="preserve">We </w:t>
      </w:r>
      <w:r w:rsidR="003162D9" w:rsidRPr="00563AF8">
        <w:rPr>
          <w:color w:val="000000" w:themeColor="text1"/>
          <w:lang w:val="en-GB"/>
        </w:rPr>
        <w:t xml:space="preserve">searched PubMed </w:t>
      </w:r>
      <w:r w:rsidR="00E14488">
        <w:rPr>
          <w:color w:val="000000" w:themeColor="text1"/>
          <w:lang w:val="en-GB"/>
        </w:rPr>
        <w:t xml:space="preserve">on January 26, 2024 </w:t>
      </w:r>
      <w:r w:rsidR="003162D9" w:rsidRPr="00563AF8">
        <w:rPr>
          <w:color w:val="000000" w:themeColor="text1"/>
          <w:lang w:val="en-GB"/>
        </w:rPr>
        <w:t xml:space="preserve">and </w:t>
      </w:r>
      <w:r w:rsidRPr="00563AF8">
        <w:rPr>
          <w:color w:val="000000" w:themeColor="text1"/>
          <w:lang w:val="en-GB"/>
        </w:rPr>
        <w:t xml:space="preserve">identified </w:t>
      </w:r>
      <w:r w:rsidR="003162D9" w:rsidRPr="00563AF8">
        <w:rPr>
          <w:color w:val="000000" w:themeColor="text1"/>
          <w:lang w:val="en-GB"/>
        </w:rPr>
        <w:t xml:space="preserve">11 </w:t>
      </w:r>
      <w:r w:rsidRPr="00563AF8">
        <w:rPr>
          <w:color w:val="000000" w:themeColor="text1"/>
          <w:lang w:val="en-GB"/>
        </w:rPr>
        <w:t xml:space="preserve">systematic reviews that </w:t>
      </w:r>
      <w:r w:rsidR="003162D9" w:rsidRPr="00563AF8">
        <w:rPr>
          <w:color w:val="000000" w:themeColor="text1"/>
          <w:lang w:val="en-GB"/>
        </w:rPr>
        <w:t xml:space="preserve">have </w:t>
      </w:r>
      <w:r w:rsidRPr="00563AF8">
        <w:rPr>
          <w:color w:val="000000" w:themeColor="text1"/>
          <w:lang w:val="en-GB"/>
        </w:rPr>
        <w:t xml:space="preserve">compared PROM results obtained via different administration modes. </w:t>
      </w:r>
      <w:r w:rsidR="008D10ED" w:rsidRPr="00563AF8">
        <w:rPr>
          <w:color w:val="000000" w:themeColor="text1"/>
          <w:lang w:val="en-GB"/>
        </w:rPr>
        <w:t xml:space="preserve">See </w:t>
      </w:r>
      <w:r w:rsidR="00170AE9">
        <w:rPr>
          <w:color w:val="000000" w:themeColor="text1"/>
          <w:lang w:val="en-GB"/>
        </w:rPr>
        <w:t>a</w:t>
      </w:r>
      <w:r w:rsidR="008D10ED" w:rsidRPr="00563AF8">
        <w:rPr>
          <w:color w:val="000000" w:themeColor="text1"/>
          <w:lang w:val="en-GB"/>
        </w:rPr>
        <w:t>ppendices pp 2-8 for search terms and characteristics</w:t>
      </w:r>
      <w:r w:rsidR="00563AF8" w:rsidRPr="00563AF8">
        <w:rPr>
          <w:color w:val="000000" w:themeColor="text1"/>
          <w:lang w:val="en-GB"/>
        </w:rPr>
        <w:t xml:space="preserve"> of the 11 systematic reviews</w:t>
      </w:r>
      <w:r w:rsidR="008D10ED" w:rsidRPr="00563AF8">
        <w:rPr>
          <w:color w:val="000000" w:themeColor="text1"/>
          <w:lang w:val="en-GB"/>
        </w:rPr>
        <w:t xml:space="preserve">. </w:t>
      </w:r>
      <w:r w:rsidR="003162D9" w:rsidRPr="00563AF8">
        <w:rPr>
          <w:color w:val="000000" w:themeColor="text1"/>
          <w:lang w:val="en-GB"/>
        </w:rPr>
        <w:t>A</w:t>
      </w:r>
      <w:r w:rsidR="008D10ED" w:rsidRPr="00563AF8">
        <w:rPr>
          <w:color w:val="000000" w:themeColor="text1"/>
          <w:lang w:val="en-GB"/>
        </w:rPr>
        <w:t>mong the 11 reviews, a</w:t>
      </w:r>
      <w:r w:rsidR="003162D9" w:rsidRPr="00563AF8">
        <w:rPr>
          <w:color w:val="000000" w:themeColor="text1"/>
          <w:lang w:val="en-GB"/>
        </w:rPr>
        <w:t xml:space="preserve"> systematic review and meta-analysis of 6 studies did not find statistically significant differences </w:t>
      </w:r>
      <w:r w:rsidR="00147EE3" w:rsidRPr="00563AF8">
        <w:rPr>
          <w:color w:val="000000" w:themeColor="text1"/>
          <w:lang w:val="en-GB"/>
        </w:rPr>
        <w:t xml:space="preserve">in </w:t>
      </w:r>
      <w:r w:rsidR="005609BF" w:rsidRPr="00563AF8">
        <w:rPr>
          <w:color w:val="000000" w:themeColor="text1"/>
          <w:lang w:val="en-GB"/>
        </w:rPr>
        <w:t xml:space="preserve">the </w:t>
      </w:r>
      <w:r w:rsidR="00147EE3" w:rsidRPr="00563AF8">
        <w:rPr>
          <w:color w:val="000000" w:themeColor="text1"/>
          <w:lang w:val="en-GB"/>
        </w:rPr>
        <w:t xml:space="preserve">disclosure of intimate partner violence </w:t>
      </w:r>
      <w:r w:rsidR="003162D9" w:rsidRPr="00563AF8">
        <w:rPr>
          <w:color w:val="000000" w:themeColor="text1"/>
          <w:lang w:val="en-GB"/>
        </w:rPr>
        <w:t xml:space="preserve">between </w:t>
      </w:r>
      <w:r w:rsidR="00147EE3" w:rsidRPr="00563AF8">
        <w:rPr>
          <w:color w:val="000000" w:themeColor="text1"/>
          <w:lang w:val="en-GB"/>
        </w:rPr>
        <w:t xml:space="preserve">face-to-face </w:t>
      </w:r>
      <w:r w:rsidR="005609BF" w:rsidRPr="00563AF8">
        <w:rPr>
          <w:color w:val="000000" w:themeColor="text1"/>
          <w:lang w:val="en-GB"/>
        </w:rPr>
        <w:t>interview</w:t>
      </w:r>
      <w:r w:rsidR="00563AF8" w:rsidRPr="00563AF8">
        <w:rPr>
          <w:color w:val="000000" w:themeColor="text1"/>
          <w:lang w:val="en-GB"/>
        </w:rPr>
        <w:t>-</w:t>
      </w:r>
      <w:r w:rsidR="00147EE3" w:rsidRPr="00563AF8">
        <w:rPr>
          <w:color w:val="000000" w:themeColor="text1"/>
          <w:lang w:val="en-GB"/>
        </w:rPr>
        <w:t>administration, paper-and-pencil self-administration, and computer-assisted self-administration, but each comparison included only 2-3 studies and small numbers of women who disclosed intimate partner violence</w:t>
      </w:r>
      <w:r w:rsidR="00603FF4">
        <w:rPr>
          <w:color w:val="000000" w:themeColor="text1"/>
          <w:lang w:val="en-GB"/>
        </w:rPr>
        <w:t xml:space="preserve"> </w:t>
      </w:r>
      <w:r w:rsidR="00FC3DF6">
        <w:rPr>
          <w:color w:val="000000" w:themeColor="text1"/>
          <w:lang w:val="en-GB"/>
        </w:rPr>
        <w:t>(</w:t>
      </w:r>
      <w:r w:rsidR="00FC3DF6" w:rsidRPr="00563AF8">
        <w:rPr>
          <w:lang w:val="en-GB"/>
        </w:rPr>
        <w:t>Hussain</w:t>
      </w:r>
      <w:r w:rsidR="00FC3DF6">
        <w:rPr>
          <w:color w:val="000000" w:themeColor="text1"/>
          <w:lang w:val="en-GB"/>
        </w:rPr>
        <w:t xml:space="preserve"> et al., 2015)</w:t>
      </w:r>
      <w:r w:rsidR="00147EE3" w:rsidRPr="00563AF8">
        <w:rPr>
          <w:color w:val="000000" w:themeColor="text1"/>
          <w:lang w:val="en-GB"/>
        </w:rPr>
        <w:t>.</w:t>
      </w:r>
      <w:r w:rsidR="008D10ED" w:rsidRPr="00563AF8">
        <w:rPr>
          <w:color w:val="000000" w:themeColor="text1"/>
          <w:lang w:val="en-GB"/>
        </w:rPr>
        <w:t xml:space="preserve"> Among the other 10 systematic reviews, most reported </w:t>
      </w:r>
      <w:r w:rsidR="008D10ED" w:rsidRPr="00563AF8">
        <w:rPr>
          <w:color w:val="000000" w:themeColor="text1"/>
          <w:lang w:val="en-GB"/>
        </w:rPr>
        <w:lastRenderedPageBreak/>
        <w:t xml:space="preserve">that scores were comparable across administration modes; when differences were reported, they were small, and patterns of differences did not repeat consistently across reviews. None of </w:t>
      </w:r>
      <w:r w:rsidR="005609BF" w:rsidRPr="00563AF8">
        <w:rPr>
          <w:color w:val="000000" w:themeColor="text1"/>
          <w:lang w:val="en-GB"/>
        </w:rPr>
        <w:t>the</w:t>
      </w:r>
      <w:r w:rsidR="008D10ED" w:rsidRPr="00563AF8">
        <w:rPr>
          <w:color w:val="000000" w:themeColor="text1"/>
          <w:lang w:val="en-GB"/>
        </w:rPr>
        <w:t xml:space="preserve"> </w:t>
      </w:r>
      <w:r w:rsidR="00563AF8" w:rsidRPr="00563AF8">
        <w:rPr>
          <w:color w:val="000000" w:themeColor="text1"/>
          <w:lang w:val="en-GB"/>
        </w:rPr>
        <w:t xml:space="preserve">systematic </w:t>
      </w:r>
      <w:r w:rsidR="008D10ED" w:rsidRPr="00563AF8">
        <w:rPr>
          <w:color w:val="000000" w:themeColor="text1"/>
          <w:lang w:val="en-GB"/>
        </w:rPr>
        <w:t>reviews, however, focused on mental health symptoms or analysed mental health symptom PROMs separately, and the percentage of mental health symptom PROMs per review was between 0% and 30%.</w:t>
      </w:r>
    </w:p>
    <w:p w14:paraId="30145BD1" w14:textId="7CC64FEF" w:rsidR="000F336B" w:rsidRPr="00563AF8" w:rsidRDefault="000F336B" w:rsidP="000F336B">
      <w:pPr>
        <w:tabs>
          <w:tab w:val="left" w:pos="10915"/>
        </w:tabs>
        <w:snapToGrid w:val="0"/>
        <w:spacing w:line="480" w:lineRule="auto"/>
        <w:ind w:right="4" w:firstLine="720"/>
        <w:rPr>
          <w:color w:val="000000" w:themeColor="text1"/>
          <w:lang w:val="en-GB"/>
        </w:rPr>
      </w:pPr>
      <w:r w:rsidRPr="00563AF8">
        <w:rPr>
          <w:color w:val="000000" w:themeColor="text1"/>
          <w:lang w:val="en-GB"/>
        </w:rPr>
        <w:t xml:space="preserve">The </w:t>
      </w:r>
      <w:r w:rsidR="00563AF8">
        <w:rPr>
          <w:color w:val="000000" w:themeColor="text1"/>
          <w:lang w:val="en-GB"/>
        </w:rPr>
        <w:t>limited</w:t>
      </w:r>
      <w:r w:rsidRPr="00563AF8">
        <w:rPr>
          <w:color w:val="000000" w:themeColor="text1"/>
          <w:lang w:val="en-GB"/>
        </w:rPr>
        <w:t xml:space="preserve"> evidence on whether administration mode may influence mental health PROM</w:t>
      </w:r>
      <w:r w:rsidR="005609BF" w:rsidRPr="00563AF8">
        <w:rPr>
          <w:color w:val="000000" w:themeColor="text1"/>
          <w:lang w:val="en-GB"/>
        </w:rPr>
        <w:t xml:space="preserve"> responses</w:t>
      </w:r>
      <w:r w:rsidRPr="00563AF8">
        <w:rPr>
          <w:color w:val="000000" w:themeColor="text1"/>
          <w:lang w:val="en-GB"/>
        </w:rPr>
        <w:t xml:space="preserve"> is important because theories underlying possible mode-related differences (e.g., social desirability bias) suggest that differences may be largest when measured constructs are sensitive, as with mental health symptoms</w:t>
      </w:r>
      <w:r w:rsidR="008F01A0">
        <w:rPr>
          <w:color w:val="000000" w:themeColor="text1"/>
          <w:lang w:val="en-GB"/>
        </w:rPr>
        <w:t xml:space="preserve"> </w:t>
      </w:r>
      <w:r w:rsidR="00FC3DF6">
        <w:rPr>
          <w:color w:val="000000" w:themeColor="text1"/>
          <w:lang w:val="en-GB"/>
        </w:rPr>
        <w:t>(</w:t>
      </w:r>
      <w:r w:rsidR="00FC3DF6" w:rsidRPr="00563AF8">
        <w:rPr>
          <w:lang w:val="en-GB"/>
        </w:rPr>
        <w:t>Kreuter</w:t>
      </w:r>
      <w:r w:rsidR="00FC3DF6">
        <w:rPr>
          <w:color w:val="000000" w:themeColor="text1"/>
          <w:lang w:val="en-GB"/>
        </w:rPr>
        <w:t xml:space="preserve"> et al., 2008; </w:t>
      </w:r>
      <w:r w:rsidR="00FC3DF6" w:rsidRPr="00563AF8">
        <w:rPr>
          <w:lang w:val="en-GB"/>
        </w:rPr>
        <w:t>Nederhof</w:t>
      </w:r>
      <w:r w:rsidR="00FC3DF6">
        <w:rPr>
          <w:color w:val="000000" w:themeColor="text1"/>
          <w:lang w:val="en-GB"/>
        </w:rPr>
        <w:t xml:space="preserve"> et al., 1985). </w:t>
      </w:r>
      <w:r w:rsidRPr="00563AF8">
        <w:rPr>
          <w:color w:val="000000" w:themeColor="text1"/>
          <w:lang w:val="en-GB"/>
        </w:rPr>
        <w:t xml:space="preserve">In practice, it is difficult to fund and conduct studies where large numbers of participants are administered the same PROM via multiple </w:t>
      </w:r>
      <w:r w:rsidR="005609BF" w:rsidRPr="00563AF8">
        <w:rPr>
          <w:color w:val="000000" w:themeColor="text1"/>
          <w:lang w:val="en-GB"/>
        </w:rPr>
        <w:t xml:space="preserve">modes </w:t>
      </w:r>
      <w:r w:rsidRPr="00563AF8">
        <w:rPr>
          <w:color w:val="000000" w:themeColor="text1"/>
          <w:lang w:val="en-GB"/>
        </w:rPr>
        <w:t xml:space="preserve">(within person) or where participants are randomized to receive the same PROM via different modes (between persons). An alternative is to use large, existing datasets to compare responses on PROMs obtained via different administration modes. </w:t>
      </w:r>
    </w:p>
    <w:p w14:paraId="181340E9" w14:textId="41353216" w:rsidR="000F336B" w:rsidRPr="00563AF8" w:rsidRDefault="000F336B" w:rsidP="000F336B">
      <w:pPr>
        <w:tabs>
          <w:tab w:val="left" w:pos="10915"/>
        </w:tabs>
        <w:snapToGrid w:val="0"/>
        <w:spacing w:line="480" w:lineRule="auto"/>
        <w:ind w:right="4" w:firstLine="720"/>
        <w:rPr>
          <w:color w:val="000000" w:themeColor="text1"/>
          <w:lang w:val="en-GB"/>
        </w:rPr>
      </w:pPr>
      <w:r w:rsidRPr="00563AF8">
        <w:rPr>
          <w:color w:val="000000" w:themeColor="text1"/>
          <w:lang w:val="en-GB"/>
        </w:rPr>
        <w:t>Differential item functioning (DIF) provides a framework to understand whether item responses and scores obtained from PROM</w:t>
      </w:r>
      <w:r w:rsidR="005609BF" w:rsidRPr="00563AF8">
        <w:rPr>
          <w:color w:val="000000" w:themeColor="text1"/>
          <w:lang w:val="en-GB"/>
        </w:rPr>
        <w:t>s</w:t>
      </w:r>
      <w:r w:rsidRPr="00563AF8">
        <w:rPr>
          <w:color w:val="000000" w:themeColor="text1"/>
          <w:lang w:val="en-GB"/>
        </w:rPr>
        <w:t xml:space="preserve"> may be influenced by factors</w:t>
      </w:r>
      <w:r w:rsidR="00952D50" w:rsidRPr="00563AF8">
        <w:rPr>
          <w:color w:val="000000" w:themeColor="text1"/>
          <w:lang w:val="en-GB"/>
        </w:rPr>
        <w:t>, such as administration mode, that are</w:t>
      </w:r>
      <w:r w:rsidRPr="00563AF8">
        <w:rPr>
          <w:color w:val="000000" w:themeColor="text1"/>
          <w:lang w:val="en-GB"/>
        </w:rPr>
        <w:t xml:space="preserve"> unrelated to the construct being measured</w:t>
      </w:r>
      <w:r w:rsidR="00D63B21">
        <w:rPr>
          <w:color w:val="000000" w:themeColor="text1"/>
          <w:lang w:val="en-GB"/>
        </w:rPr>
        <w:t xml:space="preserve"> </w:t>
      </w:r>
      <w:r w:rsidR="00FC3DF6">
        <w:rPr>
          <w:color w:val="000000" w:themeColor="text1"/>
          <w:lang w:val="en-GB"/>
        </w:rPr>
        <w:t>(</w:t>
      </w:r>
      <w:r w:rsidR="00FC3DF6" w:rsidRPr="00563AF8">
        <w:rPr>
          <w:lang w:val="en-GB"/>
        </w:rPr>
        <w:t>Thissen</w:t>
      </w:r>
      <w:r w:rsidR="00FC3DF6">
        <w:rPr>
          <w:color w:val="000000" w:themeColor="text1"/>
          <w:lang w:val="en-GB"/>
        </w:rPr>
        <w:t xml:space="preserve"> et al., 1993)</w:t>
      </w:r>
      <w:r w:rsidR="00952D50" w:rsidRPr="00563AF8">
        <w:rPr>
          <w:color w:val="000000" w:themeColor="text1"/>
          <w:lang w:val="en-GB"/>
        </w:rPr>
        <w:t>.</w:t>
      </w:r>
      <w:r w:rsidRPr="00563AF8">
        <w:rPr>
          <w:color w:val="000000" w:themeColor="text1"/>
          <w:lang w:val="en-GB"/>
        </w:rPr>
        <w:t xml:space="preserve"> When DIF is present, participants with the same level of an underlying construct, such as depression, but who are administered the </w:t>
      </w:r>
      <w:r w:rsidR="005609BF" w:rsidRPr="00563AF8">
        <w:rPr>
          <w:color w:val="000000" w:themeColor="text1"/>
          <w:lang w:val="en-GB"/>
        </w:rPr>
        <w:t xml:space="preserve">PROM </w:t>
      </w:r>
      <w:r w:rsidRPr="00563AF8">
        <w:rPr>
          <w:color w:val="000000" w:themeColor="text1"/>
          <w:lang w:val="en-GB"/>
        </w:rPr>
        <w:t xml:space="preserve">differently, have different expected item scores. If DIF </w:t>
      </w:r>
      <w:r w:rsidR="00952D50" w:rsidRPr="00563AF8">
        <w:rPr>
          <w:color w:val="000000" w:themeColor="text1"/>
          <w:lang w:val="en-GB"/>
        </w:rPr>
        <w:t xml:space="preserve">due to administration mode </w:t>
      </w:r>
      <w:r w:rsidRPr="00563AF8">
        <w:rPr>
          <w:color w:val="000000" w:themeColor="text1"/>
          <w:lang w:val="en-GB"/>
        </w:rPr>
        <w:t xml:space="preserve">is present, responses from </w:t>
      </w:r>
      <w:r w:rsidR="00952D50" w:rsidRPr="00563AF8">
        <w:rPr>
          <w:color w:val="000000" w:themeColor="text1"/>
          <w:lang w:val="en-GB"/>
        </w:rPr>
        <w:t xml:space="preserve">the same PROM administered via different </w:t>
      </w:r>
      <w:r w:rsidRPr="00563AF8">
        <w:rPr>
          <w:color w:val="000000" w:themeColor="text1"/>
          <w:lang w:val="en-GB"/>
        </w:rPr>
        <w:t>modes may not be directly comparable. DIF by administration</w:t>
      </w:r>
      <w:r w:rsidR="00952D50" w:rsidRPr="00563AF8">
        <w:rPr>
          <w:color w:val="000000" w:themeColor="text1"/>
          <w:lang w:val="en-GB"/>
        </w:rPr>
        <w:t xml:space="preserve"> mode</w:t>
      </w:r>
      <w:r w:rsidRPr="00563AF8">
        <w:rPr>
          <w:color w:val="000000" w:themeColor="text1"/>
          <w:lang w:val="en-GB"/>
        </w:rPr>
        <w:t xml:space="preserve"> might </w:t>
      </w:r>
      <w:r w:rsidR="00952D50" w:rsidRPr="00563AF8">
        <w:rPr>
          <w:color w:val="000000" w:themeColor="text1"/>
          <w:lang w:val="en-GB"/>
        </w:rPr>
        <w:t>occur</w:t>
      </w:r>
      <w:r w:rsidRPr="00563AF8">
        <w:rPr>
          <w:color w:val="000000" w:themeColor="text1"/>
          <w:lang w:val="en-GB"/>
        </w:rPr>
        <w:t xml:space="preserve"> if more sensitive experiences or symptoms</w:t>
      </w:r>
      <w:r w:rsidR="00563AF8">
        <w:rPr>
          <w:color w:val="000000" w:themeColor="text1"/>
          <w:lang w:val="en-GB"/>
        </w:rPr>
        <w:t>, such as items about self-harm,</w:t>
      </w:r>
      <w:r w:rsidRPr="00563AF8">
        <w:rPr>
          <w:color w:val="000000" w:themeColor="text1"/>
          <w:lang w:val="en-GB"/>
        </w:rPr>
        <w:t xml:space="preserve"> are differentially </w:t>
      </w:r>
      <w:r w:rsidR="005609BF" w:rsidRPr="00563AF8">
        <w:rPr>
          <w:color w:val="000000" w:themeColor="text1"/>
          <w:lang w:val="en-GB"/>
        </w:rPr>
        <w:lastRenderedPageBreak/>
        <w:t xml:space="preserve">reported </w:t>
      </w:r>
      <w:r w:rsidRPr="00563AF8">
        <w:rPr>
          <w:color w:val="000000" w:themeColor="text1"/>
          <w:lang w:val="en-GB"/>
        </w:rPr>
        <w:t xml:space="preserve">depending on </w:t>
      </w:r>
      <w:r w:rsidR="00765B1A" w:rsidRPr="00563AF8">
        <w:rPr>
          <w:color w:val="000000" w:themeColor="text1"/>
          <w:lang w:val="en-GB"/>
        </w:rPr>
        <w:t xml:space="preserve">factors such as </w:t>
      </w:r>
      <w:r w:rsidR="005609BF" w:rsidRPr="00563AF8">
        <w:rPr>
          <w:color w:val="000000" w:themeColor="text1"/>
          <w:lang w:val="en-GB"/>
        </w:rPr>
        <w:t xml:space="preserve">the level of </w:t>
      </w:r>
      <w:r w:rsidRPr="00563AF8">
        <w:rPr>
          <w:color w:val="000000" w:themeColor="text1"/>
          <w:lang w:val="en-GB"/>
        </w:rPr>
        <w:t>privacy or relative anonymity</w:t>
      </w:r>
      <w:r w:rsidR="00952D50" w:rsidRPr="00563AF8">
        <w:rPr>
          <w:color w:val="000000" w:themeColor="text1"/>
          <w:lang w:val="en-GB"/>
        </w:rPr>
        <w:t xml:space="preserve"> associated with </w:t>
      </w:r>
      <w:r w:rsidRPr="00563AF8">
        <w:rPr>
          <w:color w:val="000000" w:themeColor="text1"/>
          <w:lang w:val="en-GB"/>
        </w:rPr>
        <w:t xml:space="preserve">different administration modes. </w:t>
      </w:r>
    </w:p>
    <w:p w14:paraId="0274320F" w14:textId="42510DEA" w:rsidR="000F336B" w:rsidRPr="00563AF8" w:rsidRDefault="000F336B" w:rsidP="005609BF">
      <w:pPr>
        <w:tabs>
          <w:tab w:val="left" w:pos="10915"/>
        </w:tabs>
        <w:snapToGrid w:val="0"/>
        <w:spacing w:line="480" w:lineRule="auto"/>
        <w:ind w:right="4" w:firstLine="720"/>
        <w:rPr>
          <w:color w:val="000000" w:themeColor="text1"/>
          <w:lang w:val="en-GB"/>
        </w:rPr>
      </w:pPr>
      <w:r w:rsidRPr="00563AF8">
        <w:rPr>
          <w:color w:val="000000" w:themeColor="text1"/>
          <w:lang w:val="en-GB"/>
        </w:rPr>
        <w:t xml:space="preserve">The DEPRESsion Screening Data (DEPRESSD) Project is </w:t>
      </w:r>
      <w:r w:rsidRPr="00563AF8">
        <w:rPr>
          <w:rFonts w:eastAsiaTheme="minorHAnsi"/>
          <w:lang w:val="en-GB"/>
        </w:rPr>
        <w:t xml:space="preserve">an international collaboration </w:t>
      </w:r>
      <w:r w:rsidRPr="00563AF8">
        <w:rPr>
          <w:color w:val="000000" w:themeColor="text1"/>
          <w:lang w:val="en-GB"/>
        </w:rPr>
        <w:t xml:space="preserve">that conducts </w:t>
      </w:r>
      <w:r w:rsidR="005609BF" w:rsidRPr="00563AF8">
        <w:rPr>
          <w:color w:val="000000" w:themeColor="text1"/>
          <w:lang w:val="en-GB"/>
        </w:rPr>
        <w:t>individual participant data meta-analyses (</w:t>
      </w:r>
      <w:r w:rsidRPr="00563AF8">
        <w:rPr>
          <w:color w:val="000000" w:themeColor="text1"/>
          <w:lang w:val="en-GB"/>
        </w:rPr>
        <w:t>IPDMAs</w:t>
      </w:r>
      <w:r w:rsidR="005609BF" w:rsidRPr="00563AF8">
        <w:rPr>
          <w:color w:val="000000" w:themeColor="text1"/>
          <w:lang w:val="en-GB"/>
        </w:rPr>
        <w:t>)</w:t>
      </w:r>
      <w:r w:rsidR="000A7702">
        <w:rPr>
          <w:color w:val="000000" w:themeColor="text1"/>
          <w:lang w:val="en-GB"/>
        </w:rPr>
        <w:t xml:space="preserve"> </w:t>
      </w:r>
      <w:r w:rsidR="001C458D">
        <w:rPr>
          <w:color w:val="000000" w:themeColor="text1"/>
          <w:lang w:val="en-GB"/>
        </w:rPr>
        <w:t>(</w:t>
      </w:r>
      <w:r w:rsidR="001C458D" w:rsidRPr="00563AF8">
        <w:rPr>
          <w:lang w:val="en-GB"/>
        </w:rPr>
        <w:t>Riley</w:t>
      </w:r>
      <w:r w:rsidR="001C458D">
        <w:rPr>
          <w:color w:val="000000" w:themeColor="text1"/>
          <w:lang w:val="en-GB"/>
        </w:rPr>
        <w:t xml:space="preserve"> et al., 2010) </w:t>
      </w:r>
      <w:r w:rsidRPr="00563AF8">
        <w:rPr>
          <w:color w:val="000000" w:themeColor="text1"/>
          <w:lang w:val="en-GB"/>
        </w:rPr>
        <w:t xml:space="preserve">of depression screening questionnaire accuracy. DEPRESSD has synthesized large databases of commonly used depression </w:t>
      </w:r>
      <w:r w:rsidR="00544BA3" w:rsidRPr="00563AF8">
        <w:rPr>
          <w:color w:val="000000" w:themeColor="text1"/>
          <w:lang w:val="en-GB"/>
        </w:rPr>
        <w:t>symptom PROMs</w:t>
      </w:r>
      <w:r w:rsidRPr="00563AF8">
        <w:rPr>
          <w:color w:val="000000" w:themeColor="text1"/>
          <w:lang w:val="en-GB"/>
        </w:rPr>
        <w:t>, including the Patient Health Questionnaire-9 (PHQ-9)</w:t>
      </w:r>
      <w:r w:rsidR="000A7702">
        <w:rPr>
          <w:color w:val="000000" w:themeColor="text1"/>
          <w:lang w:val="en-GB"/>
        </w:rPr>
        <w:t xml:space="preserve"> </w:t>
      </w:r>
      <w:r w:rsidR="001C458D">
        <w:rPr>
          <w:color w:val="000000" w:themeColor="text1"/>
          <w:lang w:val="en-GB"/>
        </w:rPr>
        <w:t xml:space="preserve">(Levis et al., 2019; </w:t>
      </w:r>
      <w:r w:rsidR="001C458D" w:rsidRPr="00563AF8">
        <w:rPr>
          <w:lang w:val="en-GB"/>
        </w:rPr>
        <w:t>Negeri</w:t>
      </w:r>
      <w:r w:rsidR="001C458D">
        <w:rPr>
          <w:color w:val="000000" w:themeColor="text1"/>
          <w:lang w:val="en-GB"/>
        </w:rPr>
        <w:t xml:space="preserve"> et al., 2021)</w:t>
      </w:r>
      <w:r w:rsidR="000A7702">
        <w:rPr>
          <w:color w:val="000000"/>
          <w:lang w:val="en-GB"/>
        </w:rPr>
        <w:t>,</w:t>
      </w:r>
      <w:r w:rsidRPr="00563AF8">
        <w:rPr>
          <w:color w:val="000000" w:themeColor="text1"/>
          <w:lang w:val="en-GB"/>
        </w:rPr>
        <w:t xml:space="preserve"> Edinburgh Postnatal Depression Scale (EPDS)</w:t>
      </w:r>
      <w:r w:rsidR="000A7702">
        <w:rPr>
          <w:color w:val="000000" w:themeColor="text1"/>
          <w:lang w:val="en-GB"/>
        </w:rPr>
        <w:t xml:space="preserve"> </w:t>
      </w:r>
      <w:r w:rsidR="001C458D">
        <w:rPr>
          <w:color w:val="000000" w:themeColor="text1"/>
          <w:lang w:val="en-GB"/>
        </w:rPr>
        <w:t>(Levis et al., 2020</w:t>
      </w:r>
      <w:r w:rsidR="008F2D2B">
        <w:rPr>
          <w:color w:val="000000" w:themeColor="text1"/>
          <w:lang w:val="en-GB"/>
        </w:rPr>
        <w:t>a</w:t>
      </w:r>
      <w:r w:rsidR="001C458D">
        <w:rPr>
          <w:color w:val="000000" w:themeColor="text1"/>
          <w:lang w:val="en-GB"/>
        </w:rPr>
        <w:t>)</w:t>
      </w:r>
      <w:r w:rsidR="000A7702">
        <w:rPr>
          <w:color w:val="000000"/>
          <w:lang w:val="en-GB"/>
        </w:rPr>
        <w:t>,</w:t>
      </w:r>
      <w:r w:rsidRPr="00563AF8">
        <w:rPr>
          <w:color w:val="000000" w:themeColor="text1"/>
          <w:lang w:val="en-GB"/>
        </w:rPr>
        <w:t xml:space="preserve"> and Hospital Anxiety and Depression Scale – Depression subscale (HADS-D)</w:t>
      </w:r>
      <w:r w:rsidR="000A7702">
        <w:rPr>
          <w:color w:val="000000" w:themeColor="text1"/>
          <w:lang w:val="en-GB"/>
        </w:rPr>
        <w:t xml:space="preserve"> </w:t>
      </w:r>
      <w:r w:rsidR="00376267">
        <w:rPr>
          <w:color w:val="000000" w:themeColor="text1"/>
          <w:lang w:val="en-GB"/>
        </w:rPr>
        <w:t>(Wu et al., 2021)</w:t>
      </w:r>
      <w:r w:rsidR="000A7702">
        <w:rPr>
          <w:color w:val="000000"/>
          <w:lang w:val="en-GB"/>
        </w:rPr>
        <w:t>.</w:t>
      </w:r>
      <w:r w:rsidRPr="00563AF8">
        <w:rPr>
          <w:color w:val="000000" w:themeColor="text1"/>
          <w:lang w:val="en-GB"/>
        </w:rPr>
        <w:t xml:space="preserve"> </w:t>
      </w:r>
      <w:r w:rsidR="00563AF8">
        <w:rPr>
          <w:color w:val="000000" w:themeColor="text1"/>
          <w:lang w:val="en-GB"/>
        </w:rPr>
        <w:t>The</w:t>
      </w:r>
      <w:r w:rsidR="00563AF8" w:rsidRPr="00563AF8">
        <w:rPr>
          <w:color w:val="000000" w:themeColor="text1"/>
          <w:lang w:val="en-GB"/>
        </w:rPr>
        <w:t xml:space="preserve"> </w:t>
      </w:r>
      <w:r w:rsidR="00A80C15" w:rsidRPr="00563AF8">
        <w:rPr>
          <w:color w:val="000000" w:themeColor="text1"/>
          <w:lang w:val="en-GB"/>
        </w:rPr>
        <w:t>objective</w:t>
      </w:r>
      <w:r w:rsidR="00563AF8">
        <w:rPr>
          <w:color w:val="000000" w:themeColor="text1"/>
          <w:lang w:val="en-GB"/>
        </w:rPr>
        <w:t xml:space="preserve"> of the present study</w:t>
      </w:r>
      <w:r w:rsidR="00A80C15" w:rsidRPr="00563AF8">
        <w:rPr>
          <w:color w:val="000000" w:themeColor="text1"/>
          <w:lang w:val="en-GB"/>
        </w:rPr>
        <w:t xml:space="preserve"> was to compare</w:t>
      </w:r>
      <w:r w:rsidRPr="00563AF8">
        <w:rPr>
          <w:color w:val="000000" w:themeColor="text1"/>
          <w:lang w:val="en-GB"/>
        </w:rPr>
        <w:t xml:space="preserve"> item responses on the PHQ-9, EPDS, and HADS-D by administration mode</w:t>
      </w:r>
      <w:r w:rsidR="00544BA3" w:rsidRPr="00563AF8">
        <w:rPr>
          <w:color w:val="000000" w:themeColor="text1"/>
          <w:lang w:val="en-GB"/>
        </w:rPr>
        <w:t xml:space="preserve"> and determine if total scores are comparable across administration modes</w:t>
      </w:r>
      <w:r w:rsidRPr="00563AF8">
        <w:rPr>
          <w:color w:val="000000" w:themeColor="text1"/>
          <w:lang w:val="en-GB"/>
        </w:rPr>
        <w:t>. To do this, we first confirmed</w:t>
      </w:r>
      <w:r w:rsidR="00B548C5" w:rsidRPr="00563AF8">
        <w:rPr>
          <w:color w:val="000000" w:themeColor="text1"/>
          <w:lang w:val="en-GB"/>
        </w:rPr>
        <w:t xml:space="preserve"> the</w:t>
      </w:r>
      <w:r w:rsidRPr="00563AF8">
        <w:rPr>
          <w:color w:val="000000" w:themeColor="text1"/>
          <w:lang w:val="en-GB"/>
        </w:rPr>
        <w:t xml:space="preserve"> unidimensionality of all measures. We then assessed DIF on </w:t>
      </w:r>
      <w:r w:rsidR="00544BA3" w:rsidRPr="00563AF8">
        <w:rPr>
          <w:color w:val="000000" w:themeColor="text1"/>
          <w:lang w:val="en-GB"/>
        </w:rPr>
        <w:t>each PROM</w:t>
      </w:r>
      <w:r w:rsidRPr="00563AF8">
        <w:rPr>
          <w:color w:val="000000" w:themeColor="text1"/>
          <w:lang w:val="en-GB"/>
        </w:rPr>
        <w:t xml:space="preserve"> across administration mod</w:t>
      </w:r>
      <w:r w:rsidR="00544BA3" w:rsidRPr="00563AF8">
        <w:rPr>
          <w:color w:val="000000" w:themeColor="text1"/>
          <w:lang w:val="en-GB"/>
        </w:rPr>
        <w:t>es</w:t>
      </w:r>
      <w:r w:rsidRPr="00563AF8">
        <w:rPr>
          <w:color w:val="000000" w:themeColor="text1"/>
          <w:lang w:val="en-GB"/>
        </w:rPr>
        <w:t xml:space="preserve"> and evaluated whether total scores were comparable across modes. We assessed DIF by comparing (1) self-administration versus interview-administration. Then, among respondents for whom </w:t>
      </w:r>
      <w:r w:rsidR="00544BA3" w:rsidRPr="00563AF8">
        <w:rPr>
          <w:color w:val="000000" w:themeColor="text1"/>
          <w:lang w:val="en-GB"/>
        </w:rPr>
        <w:t>a PROM</w:t>
      </w:r>
      <w:r w:rsidRPr="00563AF8">
        <w:rPr>
          <w:color w:val="000000" w:themeColor="text1"/>
          <w:lang w:val="en-GB"/>
        </w:rPr>
        <w:t xml:space="preserve"> was self-administered, we compared (2) administration in research</w:t>
      </w:r>
      <w:r w:rsidR="00544BA3" w:rsidRPr="00563AF8">
        <w:rPr>
          <w:color w:val="000000" w:themeColor="text1"/>
          <w:lang w:val="en-GB"/>
        </w:rPr>
        <w:t xml:space="preserve"> or </w:t>
      </w:r>
      <w:r w:rsidR="00025EE3" w:rsidRPr="00563AF8">
        <w:rPr>
          <w:color w:val="000000" w:themeColor="text1"/>
          <w:lang w:val="en-GB"/>
        </w:rPr>
        <w:t>medical</w:t>
      </w:r>
      <w:r w:rsidRPr="00563AF8">
        <w:rPr>
          <w:color w:val="000000" w:themeColor="text1"/>
          <w:lang w:val="en-GB"/>
        </w:rPr>
        <w:t xml:space="preserve"> settings to private administration outside of a research setting (e.g., home) and (3) administration via pen-and-paper</w:t>
      </w:r>
      <w:r w:rsidR="00544BA3" w:rsidRPr="00563AF8">
        <w:rPr>
          <w:color w:val="000000" w:themeColor="text1"/>
          <w:lang w:val="en-GB"/>
        </w:rPr>
        <w:t xml:space="preserve"> versus electronic forms</w:t>
      </w:r>
      <w:r w:rsidRPr="00563AF8">
        <w:rPr>
          <w:color w:val="000000" w:themeColor="text1"/>
          <w:lang w:val="en-GB"/>
        </w:rPr>
        <w:t xml:space="preserve">. Among interview-administered assessments, we compared (4) in-person versus phone administration. </w:t>
      </w:r>
    </w:p>
    <w:p w14:paraId="3EB1211F" w14:textId="2B9D1645" w:rsidR="000F336B" w:rsidRPr="00563AF8" w:rsidRDefault="00267257" w:rsidP="00267257">
      <w:pPr>
        <w:pStyle w:val="BodyText"/>
        <w:numPr>
          <w:ilvl w:val="0"/>
          <w:numId w:val="12"/>
        </w:numPr>
        <w:spacing w:line="480" w:lineRule="auto"/>
        <w:rPr>
          <w:lang w:val="en-GB"/>
        </w:rPr>
      </w:pPr>
      <w:r w:rsidRPr="00563AF8">
        <w:rPr>
          <w:b/>
          <w:color w:val="000000" w:themeColor="text1"/>
          <w:lang w:val="en-GB"/>
        </w:rPr>
        <w:t>Methods</w:t>
      </w:r>
    </w:p>
    <w:p w14:paraId="2C507A88" w14:textId="05739743" w:rsidR="000F336B" w:rsidRPr="00563AF8" w:rsidRDefault="0024391C" w:rsidP="000F336B">
      <w:pPr>
        <w:spacing w:after="20" w:line="480" w:lineRule="auto"/>
        <w:ind w:firstLine="720"/>
        <w:rPr>
          <w:color w:val="000000" w:themeColor="text1"/>
          <w:lang w:val="en-GB"/>
        </w:rPr>
      </w:pPr>
      <w:r w:rsidRPr="00563AF8">
        <w:rPr>
          <w:color w:val="000000" w:themeColor="text1"/>
          <w:lang w:val="en-GB"/>
        </w:rPr>
        <w:t xml:space="preserve">This was a secondary analysis that used data from IPDMAs on depression screening accuracy of the </w:t>
      </w:r>
      <w:r w:rsidR="000F336B" w:rsidRPr="00563AF8">
        <w:rPr>
          <w:color w:val="000000" w:themeColor="text1"/>
          <w:lang w:val="en-GB"/>
        </w:rPr>
        <w:t>PHQ-9, EPDS, and HADS-D</w:t>
      </w:r>
      <w:r w:rsidR="00152B9B">
        <w:rPr>
          <w:color w:val="000000" w:themeColor="text1"/>
          <w:lang w:val="en-GB"/>
        </w:rPr>
        <w:t xml:space="preserve"> </w:t>
      </w:r>
      <w:r w:rsidR="00AC1ECB">
        <w:rPr>
          <w:color w:val="000000" w:themeColor="text1"/>
          <w:lang w:val="en-GB"/>
        </w:rPr>
        <w:t>(Levis et al., 2019; Levis et al., 2020a; Levis et al., 2020b; Negeri et al., 2021; Wu et al., 2021)</w:t>
      </w:r>
      <w:r w:rsidRPr="00563AF8">
        <w:rPr>
          <w:color w:val="000000" w:themeColor="text1"/>
          <w:lang w:val="en-GB"/>
        </w:rPr>
        <w:t>.</w:t>
      </w:r>
      <w:r w:rsidR="000F336B" w:rsidRPr="00563AF8">
        <w:rPr>
          <w:color w:val="000000" w:themeColor="text1"/>
          <w:lang w:val="en-GB"/>
        </w:rPr>
        <w:t xml:space="preserve"> </w:t>
      </w:r>
      <w:r w:rsidRPr="00563AF8">
        <w:rPr>
          <w:color w:val="000000" w:themeColor="text1"/>
          <w:lang w:val="en-GB"/>
        </w:rPr>
        <w:t xml:space="preserve">The main IPDMAs </w:t>
      </w:r>
      <w:r w:rsidR="000F336B" w:rsidRPr="00563AF8">
        <w:rPr>
          <w:color w:val="000000" w:themeColor="text1"/>
          <w:lang w:val="en-GB"/>
        </w:rPr>
        <w:t xml:space="preserve">were registered in PROSPERO (CRD42014010673, CRD42015024785, CRD42015016761), and protocols were published. We </w:t>
      </w:r>
      <w:r w:rsidR="000F336B" w:rsidRPr="00563AF8">
        <w:rPr>
          <w:color w:val="000000" w:themeColor="text1"/>
          <w:lang w:val="en-GB"/>
        </w:rPr>
        <w:lastRenderedPageBreak/>
        <w:t xml:space="preserve">used databases compiled for those IPDMAs to conduct the present study. </w:t>
      </w:r>
      <w:r w:rsidRPr="00563AF8">
        <w:rPr>
          <w:color w:val="000000" w:themeColor="text1"/>
          <w:lang w:val="en-GB"/>
        </w:rPr>
        <w:t>P</w:t>
      </w:r>
      <w:r w:rsidR="000F336B" w:rsidRPr="00563AF8">
        <w:rPr>
          <w:color w:val="000000" w:themeColor="text1"/>
          <w:lang w:val="en-GB"/>
        </w:rPr>
        <w:t xml:space="preserve">rior to initiation, we posted a protocol </w:t>
      </w:r>
      <w:r w:rsidR="004A7DCA" w:rsidRPr="00563AF8">
        <w:rPr>
          <w:color w:val="000000" w:themeColor="text1"/>
          <w:lang w:val="en-GB"/>
        </w:rPr>
        <w:t>online</w:t>
      </w:r>
      <w:r w:rsidR="000F336B" w:rsidRPr="00563AF8">
        <w:rPr>
          <w:color w:val="000000" w:themeColor="text1"/>
          <w:lang w:val="en-GB"/>
        </w:rPr>
        <w:t xml:space="preserve"> (</w:t>
      </w:r>
      <w:hyperlink r:id="rId11" w:history="1">
        <w:r w:rsidR="000F336B" w:rsidRPr="00563AF8">
          <w:rPr>
            <w:rStyle w:val="Hyperlink"/>
            <w:lang w:val="en-GB"/>
          </w:rPr>
          <w:t>https://osf.io/kp4m6/</w:t>
        </w:r>
      </w:hyperlink>
      <w:r w:rsidR="000F336B" w:rsidRPr="00563AF8">
        <w:rPr>
          <w:lang w:val="en-GB"/>
        </w:rPr>
        <w:t>)</w:t>
      </w:r>
      <w:r w:rsidR="000F336B" w:rsidRPr="00563AF8">
        <w:rPr>
          <w:color w:val="000000" w:themeColor="text1"/>
          <w:lang w:val="en-GB"/>
        </w:rPr>
        <w:t>.</w:t>
      </w:r>
    </w:p>
    <w:p w14:paraId="26797CD6" w14:textId="210CBA74" w:rsidR="000F336B" w:rsidRPr="00563AF8" w:rsidRDefault="000552FC" w:rsidP="000F336B">
      <w:pPr>
        <w:spacing w:line="480" w:lineRule="auto"/>
        <w:rPr>
          <w:b/>
          <w:lang w:val="en-GB"/>
        </w:rPr>
      </w:pPr>
      <w:r>
        <w:rPr>
          <w:b/>
          <w:lang w:val="en-GB"/>
        </w:rPr>
        <w:t xml:space="preserve">2.1. </w:t>
      </w:r>
      <w:r w:rsidR="000F336B" w:rsidRPr="00563AF8">
        <w:rPr>
          <w:b/>
          <w:lang w:val="en-GB"/>
        </w:rPr>
        <w:t xml:space="preserve">Dataset </w:t>
      </w:r>
      <w:r w:rsidR="00463911">
        <w:rPr>
          <w:b/>
          <w:lang w:val="en-GB"/>
        </w:rPr>
        <w:t>e</w:t>
      </w:r>
      <w:r w:rsidR="000F336B" w:rsidRPr="00563AF8">
        <w:rPr>
          <w:b/>
          <w:lang w:val="en-GB"/>
        </w:rPr>
        <w:t>ligibility</w:t>
      </w:r>
    </w:p>
    <w:p w14:paraId="1DB6F7E2" w14:textId="66C85D69" w:rsidR="000F336B" w:rsidRPr="00563AF8" w:rsidRDefault="000F336B" w:rsidP="000F336B">
      <w:pPr>
        <w:spacing w:line="480" w:lineRule="auto"/>
        <w:ind w:firstLine="720"/>
        <w:rPr>
          <w:lang w:val="en-GB"/>
        </w:rPr>
      </w:pPr>
      <w:r w:rsidRPr="00563AF8">
        <w:rPr>
          <w:lang w:val="en-GB"/>
        </w:rPr>
        <w:t xml:space="preserve">For the main PHQ-9, EPDS, and HADS-D </w:t>
      </w:r>
      <w:r w:rsidR="004A7DCA" w:rsidRPr="00563AF8">
        <w:rPr>
          <w:lang w:val="en-GB"/>
        </w:rPr>
        <w:t>IPDMAs</w:t>
      </w:r>
      <w:r w:rsidRPr="00563AF8">
        <w:rPr>
          <w:lang w:val="en-GB"/>
        </w:rPr>
        <w:t xml:space="preserve">, data from articles in any language </w:t>
      </w:r>
      <w:r w:rsidR="0026343B" w:rsidRPr="00563AF8">
        <w:rPr>
          <w:lang w:val="en-GB"/>
        </w:rPr>
        <w:t>we</w:t>
      </w:r>
      <w:r w:rsidRPr="00563AF8">
        <w:rPr>
          <w:lang w:val="en-GB"/>
        </w:rPr>
        <w:t>re eligible for inclusion if (1) they included diagnostic classification for current Major Depressive Disorder or Major Depressive Episode using Diagnostic and Statistical Manual of Mental Disorders (DSM)</w:t>
      </w:r>
      <w:r w:rsidR="000A44ED">
        <w:rPr>
          <w:lang w:val="en-GB"/>
        </w:rPr>
        <w:t xml:space="preserve"> </w:t>
      </w:r>
      <w:r w:rsidR="00FF2FA6">
        <w:rPr>
          <w:lang w:val="en-GB"/>
        </w:rPr>
        <w:t>(</w:t>
      </w:r>
      <w:r w:rsidR="00FF2FA6" w:rsidRPr="00563AF8">
        <w:rPr>
          <w:lang w:val="en-GB"/>
        </w:rPr>
        <w:t>American Psychiatric Association</w:t>
      </w:r>
      <w:r w:rsidR="00FF2FA6">
        <w:rPr>
          <w:lang w:val="en-GB"/>
        </w:rPr>
        <w:t>, 2013)</w:t>
      </w:r>
      <w:r w:rsidRPr="00563AF8">
        <w:rPr>
          <w:vertAlign w:val="superscript"/>
          <w:lang w:val="en-GB"/>
        </w:rPr>
        <w:t xml:space="preserve"> </w:t>
      </w:r>
      <w:r w:rsidRPr="00563AF8">
        <w:rPr>
          <w:lang w:val="en-GB"/>
        </w:rPr>
        <w:t>or International Classification of Diseases (ICD)</w:t>
      </w:r>
      <w:r w:rsidR="000A44ED">
        <w:rPr>
          <w:lang w:val="en-GB"/>
        </w:rPr>
        <w:t xml:space="preserve"> </w:t>
      </w:r>
      <w:r w:rsidR="00FF2FA6">
        <w:rPr>
          <w:lang w:val="en-GB"/>
        </w:rPr>
        <w:t>(</w:t>
      </w:r>
      <w:r w:rsidR="00FF2FA6" w:rsidRPr="00563AF8">
        <w:rPr>
          <w:lang w:val="en-GB"/>
        </w:rPr>
        <w:t>World Health Organization</w:t>
      </w:r>
      <w:r w:rsidR="00FF2FA6">
        <w:rPr>
          <w:lang w:val="en-GB"/>
        </w:rPr>
        <w:t>, 1992)</w:t>
      </w:r>
      <w:r w:rsidRPr="00563AF8">
        <w:rPr>
          <w:lang w:val="en-GB"/>
        </w:rPr>
        <w:t xml:space="preserve"> criteria based on a validated semi-structured or fully structured interview; (2) they include total scores for the PHQ-9, EPDS, or HADS-D</w:t>
      </w:r>
      <w:r w:rsidR="0024391C" w:rsidRPr="00563AF8">
        <w:rPr>
          <w:lang w:val="en-GB"/>
        </w:rPr>
        <w:t xml:space="preserve"> PROMs</w:t>
      </w:r>
      <w:r w:rsidRPr="00563AF8">
        <w:rPr>
          <w:lang w:val="en-GB"/>
        </w:rPr>
        <w:t xml:space="preserve">; (3) the diagnostic interview and </w:t>
      </w:r>
      <w:r w:rsidR="0024391C" w:rsidRPr="00563AF8">
        <w:rPr>
          <w:lang w:val="en-GB"/>
        </w:rPr>
        <w:t>PROM</w:t>
      </w:r>
      <w:r w:rsidRPr="00563AF8">
        <w:rPr>
          <w:lang w:val="en-GB"/>
        </w:rPr>
        <w:t xml:space="preserve"> were administered within two weeks of each other; (4) participants were ≥ 18 years of age and not recruited from youth or psychiatric settings; and (5) participants were not recruited because they were already identified as having symptoms of depression or were receiving treatment for depression since screening is done to identify previously unrecognized cases</w:t>
      </w:r>
      <w:r w:rsidR="009643D3">
        <w:rPr>
          <w:lang w:val="en-GB"/>
        </w:rPr>
        <w:t xml:space="preserve"> </w:t>
      </w:r>
      <w:r w:rsidR="005E5D87">
        <w:rPr>
          <w:lang w:val="en-GB"/>
        </w:rPr>
        <w:t>(Rice and Thombs, 2016; Thombs et al., 2011)</w:t>
      </w:r>
      <w:r w:rsidR="0024391C" w:rsidRPr="00563AF8">
        <w:rPr>
          <w:lang w:val="en-GB"/>
        </w:rPr>
        <w:t>.</w:t>
      </w:r>
      <w:r w:rsidRPr="00563AF8">
        <w:rPr>
          <w:lang w:val="en-GB"/>
        </w:rPr>
        <w:t xml:space="preserve"> Datasets where not all participants were eligible were included if primary data allowed selection of eligible participants. For the present study, we included </w:t>
      </w:r>
      <w:r w:rsidR="0024391C" w:rsidRPr="00563AF8">
        <w:rPr>
          <w:lang w:val="en-GB"/>
        </w:rPr>
        <w:t xml:space="preserve">only </w:t>
      </w:r>
      <w:r w:rsidRPr="00563AF8">
        <w:rPr>
          <w:lang w:val="en-GB"/>
        </w:rPr>
        <w:t>primary datasets with item-level scores because item scores are needed to conduct DIF analyses.</w:t>
      </w:r>
    </w:p>
    <w:p w14:paraId="0F506049" w14:textId="473AED6D" w:rsidR="000F336B" w:rsidRPr="00563AF8" w:rsidRDefault="00463911" w:rsidP="000F336B">
      <w:pPr>
        <w:spacing w:after="20" w:line="480" w:lineRule="auto"/>
        <w:rPr>
          <w:b/>
          <w:color w:val="000000" w:themeColor="text1"/>
          <w:lang w:val="en-GB"/>
        </w:rPr>
      </w:pPr>
      <w:r>
        <w:rPr>
          <w:b/>
          <w:color w:val="000000" w:themeColor="text1"/>
          <w:lang w:val="en-GB"/>
        </w:rPr>
        <w:t>2.2.</w:t>
      </w:r>
      <w:r w:rsidR="000552FC">
        <w:rPr>
          <w:b/>
          <w:color w:val="000000" w:themeColor="text1"/>
          <w:lang w:val="en-GB"/>
        </w:rPr>
        <w:t xml:space="preserve">  </w:t>
      </w:r>
      <w:r w:rsidR="000F336B" w:rsidRPr="00563AF8">
        <w:rPr>
          <w:b/>
          <w:color w:val="000000" w:themeColor="text1"/>
          <w:lang w:val="en-GB"/>
        </w:rPr>
        <w:t xml:space="preserve">Search </w:t>
      </w:r>
      <w:r>
        <w:rPr>
          <w:b/>
          <w:color w:val="000000" w:themeColor="text1"/>
          <w:lang w:val="en-GB"/>
        </w:rPr>
        <w:t>s</w:t>
      </w:r>
      <w:r w:rsidR="000F336B" w:rsidRPr="00563AF8">
        <w:rPr>
          <w:b/>
          <w:color w:val="000000" w:themeColor="text1"/>
          <w:lang w:val="en-GB"/>
        </w:rPr>
        <w:t xml:space="preserve">trategy and </w:t>
      </w:r>
      <w:r>
        <w:rPr>
          <w:b/>
          <w:color w:val="000000" w:themeColor="text1"/>
          <w:lang w:val="en-GB"/>
        </w:rPr>
        <w:t>s</w:t>
      </w:r>
      <w:r w:rsidR="000F336B" w:rsidRPr="00563AF8">
        <w:rPr>
          <w:b/>
          <w:color w:val="000000" w:themeColor="text1"/>
          <w:lang w:val="en-GB"/>
        </w:rPr>
        <w:t xml:space="preserve">tudy </w:t>
      </w:r>
      <w:r>
        <w:rPr>
          <w:b/>
          <w:color w:val="000000" w:themeColor="text1"/>
          <w:lang w:val="en-GB"/>
        </w:rPr>
        <w:t>s</w:t>
      </w:r>
      <w:r w:rsidR="000F336B" w:rsidRPr="00563AF8">
        <w:rPr>
          <w:b/>
          <w:color w:val="000000" w:themeColor="text1"/>
          <w:lang w:val="en-GB"/>
        </w:rPr>
        <w:t>election</w:t>
      </w:r>
    </w:p>
    <w:p w14:paraId="752CBA52" w14:textId="368EEF95" w:rsidR="000F336B" w:rsidRPr="00563AF8" w:rsidRDefault="0024391C" w:rsidP="000F336B">
      <w:pPr>
        <w:spacing w:after="20" w:line="480" w:lineRule="auto"/>
        <w:ind w:firstLine="720"/>
        <w:rPr>
          <w:color w:val="000000" w:themeColor="text1"/>
          <w:lang w:val="en-GB"/>
        </w:rPr>
      </w:pPr>
      <w:r w:rsidRPr="00563AF8">
        <w:rPr>
          <w:lang w:val="en-GB"/>
        </w:rPr>
        <w:t>W</w:t>
      </w:r>
      <w:r w:rsidR="000F336B" w:rsidRPr="00563AF8">
        <w:rPr>
          <w:lang w:val="en-GB"/>
        </w:rPr>
        <w:t>e used peer-reviewed search strateg</w:t>
      </w:r>
      <w:r w:rsidRPr="00563AF8">
        <w:rPr>
          <w:lang w:val="en-GB"/>
        </w:rPr>
        <w:t>ies</w:t>
      </w:r>
      <w:r w:rsidR="00050681">
        <w:rPr>
          <w:lang w:val="en-GB"/>
        </w:rPr>
        <w:t xml:space="preserve"> </w:t>
      </w:r>
      <w:r w:rsidR="00AC4236">
        <w:rPr>
          <w:lang w:val="en-GB"/>
        </w:rPr>
        <w:t>(McGowan et al., 2016)</w:t>
      </w:r>
      <w:r w:rsidR="000F336B" w:rsidRPr="00563AF8">
        <w:rPr>
          <w:lang w:val="en-GB"/>
        </w:rPr>
        <w:t xml:space="preserve"> </w:t>
      </w:r>
      <w:r w:rsidR="00C13797" w:rsidRPr="00563AF8">
        <w:rPr>
          <w:lang w:val="en-GB"/>
        </w:rPr>
        <w:t>developed by a</w:t>
      </w:r>
      <w:r w:rsidR="00563AF8">
        <w:rPr>
          <w:lang w:val="en-GB"/>
        </w:rPr>
        <w:t>n experienced</w:t>
      </w:r>
      <w:r w:rsidR="00C13797" w:rsidRPr="00563AF8">
        <w:rPr>
          <w:lang w:val="en-GB"/>
        </w:rPr>
        <w:t xml:space="preserve"> health sciences librarian</w:t>
      </w:r>
      <w:r w:rsidRPr="00563AF8">
        <w:rPr>
          <w:lang w:val="en-GB"/>
        </w:rPr>
        <w:t xml:space="preserve"> to identify eligible studies for each DEPRESSD database. We </w:t>
      </w:r>
      <w:r w:rsidR="00C13797" w:rsidRPr="00563AF8">
        <w:rPr>
          <w:lang w:val="en-GB"/>
        </w:rPr>
        <w:t xml:space="preserve">searched MEDLINE All (Ovid) PsycINFO (Ovid), and Web of Science Core Collection </w:t>
      </w:r>
      <w:r w:rsidR="000F336B" w:rsidRPr="00563AF8">
        <w:rPr>
          <w:lang w:val="en-GB"/>
        </w:rPr>
        <w:t xml:space="preserve">from </w:t>
      </w:r>
      <w:r w:rsidR="000F336B" w:rsidRPr="00563AF8">
        <w:rPr>
          <w:lang w:val="en-GB" w:eastAsia="zh-CN"/>
        </w:rPr>
        <w:t>January 1, 2000</w:t>
      </w:r>
      <w:r w:rsidR="000F336B" w:rsidRPr="00563AF8">
        <w:rPr>
          <w:lang w:val="en-GB"/>
        </w:rPr>
        <w:t xml:space="preserve"> to May 9, 2018 for the PHQ</w:t>
      </w:r>
      <w:r w:rsidR="00782C81">
        <w:rPr>
          <w:lang w:val="en-GB"/>
        </w:rPr>
        <w:t xml:space="preserve"> </w:t>
      </w:r>
      <w:r w:rsidR="00AC4236">
        <w:rPr>
          <w:lang w:val="en-GB"/>
        </w:rPr>
        <w:t>(Levis et al., 2019; Levis et al., 2020</w:t>
      </w:r>
      <w:r w:rsidR="0020758E">
        <w:rPr>
          <w:lang w:val="en-GB"/>
        </w:rPr>
        <w:t>b</w:t>
      </w:r>
      <w:r w:rsidR="00AC4236">
        <w:rPr>
          <w:lang w:val="en-GB"/>
        </w:rPr>
        <w:t>; Negeri et al., 2021)</w:t>
      </w:r>
      <w:r w:rsidR="000F336B" w:rsidRPr="00563AF8">
        <w:rPr>
          <w:lang w:val="en-GB"/>
        </w:rPr>
        <w:t xml:space="preserve"> inception to October 3, 2018 for the EPDS</w:t>
      </w:r>
      <w:r w:rsidR="00206DCD">
        <w:rPr>
          <w:lang w:val="en-GB"/>
        </w:rPr>
        <w:t xml:space="preserve"> </w:t>
      </w:r>
      <w:r w:rsidR="0020758E">
        <w:rPr>
          <w:lang w:val="en-GB"/>
        </w:rPr>
        <w:t>(Levis et al., 2020a)</w:t>
      </w:r>
      <w:r w:rsidRPr="00563AF8">
        <w:rPr>
          <w:lang w:val="en-GB"/>
        </w:rPr>
        <w:t>,</w:t>
      </w:r>
      <w:r w:rsidR="000F336B" w:rsidRPr="00563AF8">
        <w:rPr>
          <w:lang w:val="en-GB"/>
        </w:rPr>
        <w:t xml:space="preserve"> and inception to </w:t>
      </w:r>
      <w:r w:rsidR="000F336B" w:rsidRPr="00563AF8">
        <w:rPr>
          <w:lang w:val="en-GB"/>
        </w:rPr>
        <w:lastRenderedPageBreak/>
        <w:t>February 21, 2020 for the HADS-D</w:t>
      </w:r>
      <w:r w:rsidR="00206DCD">
        <w:rPr>
          <w:lang w:val="en-GB"/>
        </w:rPr>
        <w:t xml:space="preserve"> </w:t>
      </w:r>
      <w:r w:rsidR="00251F66">
        <w:rPr>
          <w:lang w:val="en-GB"/>
        </w:rPr>
        <w:t>(Wu et al., 2021)</w:t>
      </w:r>
      <w:r w:rsidRPr="00563AF8">
        <w:rPr>
          <w:lang w:val="en-GB"/>
        </w:rPr>
        <w:t>.</w:t>
      </w:r>
      <w:r w:rsidR="000F336B" w:rsidRPr="00563AF8">
        <w:rPr>
          <w:lang w:val="en-GB"/>
        </w:rPr>
        <w:t xml:space="preserve"> </w:t>
      </w:r>
      <w:r w:rsidR="007B501E" w:rsidRPr="00563AF8">
        <w:rPr>
          <w:lang w:val="en-GB"/>
        </w:rPr>
        <w:t xml:space="preserve">See </w:t>
      </w:r>
      <w:r w:rsidR="00170AE9">
        <w:rPr>
          <w:lang w:val="en-GB"/>
        </w:rPr>
        <w:t>a</w:t>
      </w:r>
      <w:r w:rsidR="007B501E" w:rsidRPr="00563AF8">
        <w:rPr>
          <w:lang w:val="en-GB"/>
        </w:rPr>
        <w:t xml:space="preserve">ppendices pp 9-17 for search strategies. </w:t>
      </w:r>
      <w:r w:rsidR="000F336B" w:rsidRPr="00563AF8">
        <w:rPr>
          <w:lang w:val="en-GB"/>
        </w:rPr>
        <w:t>Search results were uploaded into RefWorks (RefWorks-COS, Bethesda, MD, USA). After de-duplication, unique citations were uploaded into DistillerSR (Evidence Partners, Ottawa, Canada). We additionally reviewed reference lists of relevant reviews and queried contributing authors about non-published studies.</w:t>
      </w:r>
      <w:r w:rsidR="00BC181D" w:rsidRPr="00563AF8">
        <w:rPr>
          <w:lang w:val="en-GB"/>
        </w:rPr>
        <w:t xml:space="preserve"> </w:t>
      </w:r>
      <w:r w:rsidR="000F336B" w:rsidRPr="00563AF8">
        <w:rPr>
          <w:lang w:val="en-GB"/>
        </w:rPr>
        <w:t xml:space="preserve">Two investigators reviewed titles and abstracts independently for eligibility. </w:t>
      </w:r>
      <w:r w:rsidR="000F336B" w:rsidRPr="00563AF8">
        <w:rPr>
          <w:color w:val="000000" w:themeColor="text1"/>
          <w:lang w:val="en-GB"/>
        </w:rPr>
        <w:t>If either deemed a study potentially eligible, full-text review was</w:t>
      </w:r>
      <w:r w:rsidR="000F336B" w:rsidRPr="00563AF8">
        <w:rPr>
          <w:lang w:val="en-GB"/>
        </w:rPr>
        <w:t xml:space="preserve"> completed,</w:t>
      </w:r>
      <w:r w:rsidR="000F336B" w:rsidRPr="00563AF8">
        <w:rPr>
          <w:color w:val="000000" w:themeColor="text1"/>
          <w:lang w:val="en-GB"/>
        </w:rPr>
        <w:t xml:space="preserve"> with disagreements resolved by consensus, consulting a third investigator when necessary</w:t>
      </w:r>
      <w:r w:rsidR="000F336B" w:rsidRPr="00563AF8">
        <w:rPr>
          <w:lang w:val="en-GB"/>
        </w:rPr>
        <w:t xml:space="preserve">. </w:t>
      </w:r>
    </w:p>
    <w:p w14:paraId="4FF4BFD1" w14:textId="3AB3540D" w:rsidR="000F336B" w:rsidRPr="00563AF8" w:rsidRDefault="003B319E" w:rsidP="000F336B">
      <w:pPr>
        <w:spacing w:after="20" w:line="480" w:lineRule="auto"/>
        <w:rPr>
          <w:b/>
          <w:color w:val="000000" w:themeColor="text1"/>
          <w:lang w:val="en-GB"/>
        </w:rPr>
      </w:pPr>
      <w:r>
        <w:rPr>
          <w:b/>
          <w:color w:val="000000" w:themeColor="text1"/>
          <w:lang w:val="en-GB"/>
        </w:rPr>
        <w:t xml:space="preserve">2.3. </w:t>
      </w:r>
      <w:r w:rsidR="000F336B" w:rsidRPr="00563AF8">
        <w:rPr>
          <w:b/>
          <w:color w:val="000000" w:themeColor="text1"/>
          <w:lang w:val="en-GB"/>
        </w:rPr>
        <w:t xml:space="preserve">Data </w:t>
      </w:r>
      <w:r>
        <w:rPr>
          <w:b/>
          <w:color w:val="000000" w:themeColor="text1"/>
          <w:lang w:val="en-GB"/>
        </w:rPr>
        <w:t>c</w:t>
      </w:r>
      <w:r w:rsidR="000F336B" w:rsidRPr="00563AF8">
        <w:rPr>
          <w:b/>
          <w:color w:val="000000" w:themeColor="text1"/>
          <w:lang w:val="en-GB"/>
        </w:rPr>
        <w:t xml:space="preserve">ontribution, </w:t>
      </w:r>
      <w:r>
        <w:rPr>
          <w:b/>
          <w:color w:val="000000" w:themeColor="text1"/>
          <w:lang w:val="en-GB"/>
        </w:rPr>
        <w:t>e</w:t>
      </w:r>
      <w:r w:rsidR="000F336B" w:rsidRPr="00563AF8">
        <w:rPr>
          <w:b/>
          <w:color w:val="000000" w:themeColor="text1"/>
          <w:lang w:val="en-GB"/>
        </w:rPr>
        <w:t xml:space="preserve">xtraction, and </w:t>
      </w:r>
      <w:r>
        <w:rPr>
          <w:b/>
          <w:color w:val="000000" w:themeColor="text1"/>
          <w:lang w:val="en-GB"/>
        </w:rPr>
        <w:t>s</w:t>
      </w:r>
      <w:r w:rsidR="000F336B" w:rsidRPr="00563AF8">
        <w:rPr>
          <w:b/>
          <w:color w:val="000000" w:themeColor="text1"/>
          <w:lang w:val="en-GB"/>
        </w:rPr>
        <w:t>ynthesis</w:t>
      </w:r>
    </w:p>
    <w:p w14:paraId="7B6FA1A5" w14:textId="3E08882E" w:rsidR="000F336B" w:rsidRPr="00563AF8" w:rsidRDefault="000F336B" w:rsidP="00563AF8">
      <w:pPr>
        <w:spacing w:line="480" w:lineRule="auto"/>
        <w:ind w:firstLine="720"/>
        <w:rPr>
          <w:lang w:val="en-GB"/>
        </w:rPr>
      </w:pPr>
      <w:r w:rsidRPr="00563AF8">
        <w:rPr>
          <w:lang w:val="en-GB"/>
        </w:rPr>
        <w:t>Authors of eligible datasets were invited to contribute de-identified primary data</w:t>
      </w:r>
      <w:r w:rsidR="00455324" w:rsidRPr="00563AF8">
        <w:rPr>
          <w:lang w:val="en-GB"/>
        </w:rPr>
        <w:t xml:space="preserve">. We </w:t>
      </w:r>
      <w:r w:rsidRPr="00563AF8">
        <w:rPr>
          <w:lang w:val="en-GB"/>
        </w:rPr>
        <w:t>email</w:t>
      </w:r>
      <w:r w:rsidR="00455324" w:rsidRPr="00563AF8">
        <w:rPr>
          <w:lang w:val="en-GB"/>
        </w:rPr>
        <w:t>ed</w:t>
      </w:r>
      <w:r w:rsidRPr="00563AF8">
        <w:rPr>
          <w:lang w:val="en-GB"/>
        </w:rPr>
        <w:t xml:space="preserve"> corresponding authors of eligible primary studies at least three times, as necessary. If no response was received, we emailed co-authors then attempted to contact corresponding authors by phone.</w:t>
      </w:r>
      <w:r w:rsidR="00563AF8">
        <w:rPr>
          <w:lang w:val="en-GB"/>
        </w:rPr>
        <w:t xml:space="preserve"> </w:t>
      </w:r>
      <w:r w:rsidRPr="00563AF8">
        <w:rPr>
          <w:lang w:val="en-GB"/>
        </w:rPr>
        <w:t xml:space="preserve">Individual participant data that were obtained were transferred to a standard format and merged into a single dataset with study-level data. Any discrepancies between published </w:t>
      </w:r>
      <w:r w:rsidR="00BC181D" w:rsidRPr="00563AF8">
        <w:rPr>
          <w:lang w:val="en-GB"/>
        </w:rPr>
        <w:t xml:space="preserve">primary study </w:t>
      </w:r>
      <w:r w:rsidRPr="00563AF8">
        <w:rPr>
          <w:lang w:val="en-GB"/>
        </w:rPr>
        <w:t>results and raw datasets were resolved in consultation with primary study investigators.</w:t>
      </w:r>
    </w:p>
    <w:p w14:paraId="025E955E" w14:textId="7FE88813" w:rsidR="000F336B" w:rsidRPr="00563AF8" w:rsidRDefault="000F336B" w:rsidP="000F336B">
      <w:pPr>
        <w:spacing w:line="480" w:lineRule="auto"/>
        <w:ind w:firstLine="720"/>
        <w:rPr>
          <w:lang w:val="en-GB"/>
        </w:rPr>
      </w:pPr>
      <w:r w:rsidRPr="00563AF8">
        <w:rPr>
          <w:lang w:val="en-GB"/>
        </w:rPr>
        <w:t>Participant-level data included age, sex, major depression status, and item</w:t>
      </w:r>
      <w:r w:rsidR="00D42F84" w:rsidRPr="00563AF8">
        <w:rPr>
          <w:lang w:val="en-GB"/>
        </w:rPr>
        <w:t>-</w:t>
      </w:r>
      <w:r w:rsidRPr="00563AF8">
        <w:rPr>
          <w:lang w:val="en-GB"/>
        </w:rPr>
        <w:t xml:space="preserve">level scores for the PHQ-9, EPDS, or HADS-D. </w:t>
      </w:r>
      <w:r w:rsidR="0014252B" w:rsidRPr="00563AF8">
        <w:rPr>
          <w:lang w:val="en-GB"/>
        </w:rPr>
        <w:t>Study-level data extracted from published reports by two investigators independently</w:t>
      </w:r>
      <w:r w:rsidR="00563AF8">
        <w:rPr>
          <w:lang w:val="en-GB"/>
        </w:rPr>
        <w:t>,</w:t>
      </w:r>
      <w:r w:rsidR="0014252B" w:rsidRPr="00563AF8">
        <w:rPr>
          <w:lang w:val="en-GB"/>
        </w:rPr>
        <w:t xml:space="preserve"> with </w:t>
      </w:r>
      <w:r w:rsidR="00563AF8">
        <w:rPr>
          <w:lang w:val="en-GB"/>
        </w:rPr>
        <w:t xml:space="preserve">any </w:t>
      </w:r>
      <w:r w:rsidR="0014252B" w:rsidRPr="00563AF8">
        <w:rPr>
          <w:lang w:val="en-GB"/>
        </w:rPr>
        <w:t>disagreements resolved by consensus</w:t>
      </w:r>
      <w:r w:rsidR="00563AF8">
        <w:rPr>
          <w:lang w:val="en-GB"/>
        </w:rPr>
        <w:t>,</w:t>
      </w:r>
      <w:r w:rsidR="0014252B" w:rsidRPr="00563AF8">
        <w:rPr>
          <w:lang w:val="en-GB"/>
        </w:rPr>
        <w:t xml:space="preserve"> included c</w:t>
      </w:r>
      <w:r w:rsidRPr="00563AF8">
        <w:rPr>
          <w:lang w:val="en-GB"/>
        </w:rPr>
        <w:t xml:space="preserve">ountry, recruitment setting (non-medical </w:t>
      </w:r>
      <w:r w:rsidR="0014252B" w:rsidRPr="00563AF8">
        <w:rPr>
          <w:lang w:val="en-GB"/>
        </w:rPr>
        <w:t>care</w:t>
      </w:r>
      <w:r w:rsidRPr="00563AF8">
        <w:rPr>
          <w:lang w:val="en-GB"/>
        </w:rPr>
        <w:t>, primary care</w:t>
      </w:r>
      <w:r w:rsidR="0014252B" w:rsidRPr="00563AF8">
        <w:rPr>
          <w:lang w:val="en-GB"/>
        </w:rPr>
        <w:t xml:space="preserve"> or specialty outpatient care</w:t>
      </w:r>
      <w:r w:rsidRPr="00563AF8">
        <w:rPr>
          <w:lang w:val="en-GB"/>
        </w:rPr>
        <w:t>, inpatient</w:t>
      </w:r>
      <w:r w:rsidR="0014252B" w:rsidRPr="00563AF8">
        <w:rPr>
          <w:lang w:val="en-GB"/>
        </w:rPr>
        <w:t xml:space="preserve"> care</w:t>
      </w:r>
      <w:r w:rsidRPr="00563AF8">
        <w:rPr>
          <w:lang w:val="en-GB"/>
        </w:rPr>
        <w:t xml:space="preserve">), </w:t>
      </w:r>
      <w:r w:rsidR="00A966D3" w:rsidRPr="00563AF8">
        <w:rPr>
          <w:lang w:val="en-GB"/>
        </w:rPr>
        <w:t>World Health Organization region, and United Nation</w:t>
      </w:r>
      <w:r w:rsidRPr="00563AF8">
        <w:rPr>
          <w:lang w:val="en-GB"/>
        </w:rPr>
        <w:t xml:space="preserve"> Human Development Index (HDI)</w:t>
      </w:r>
      <w:r w:rsidR="00A966D3" w:rsidRPr="00563AF8">
        <w:rPr>
          <w:lang w:val="en-GB"/>
        </w:rPr>
        <w:t xml:space="preserve"> classification. The HDI is </w:t>
      </w:r>
      <w:r w:rsidRPr="00563AF8">
        <w:rPr>
          <w:lang w:val="en-GB"/>
        </w:rPr>
        <w:t>a statistical composite index that includes indicators of life expectancy, education, and income, for the country in the year of the study publication</w:t>
      </w:r>
      <w:r w:rsidR="000B670E">
        <w:rPr>
          <w:lang w:val="en-GB"/>
        </w:rPr>
        <w:t xml:space="preserve"> </w:t>
      </w:r>
      <w:r w:rsidR="005666D9">
        <w:rPr>
          <w:lang w:val="en-GB"/>
        </w:rPr>
        <w:t>(</w:t>
      </w:r>
      <w:r w:rsidR="005666D9" w:rsidRPr="00563AF8">
        <w:rPr>
          <w:lang w:val="en-GB"/>
        </w:rPr>
        <w:t xml:space="preserve">Human </w:t>
      </w:r>
      <w:r w:rsidR="005666D9" w:rsidRPr="00563AF8">
        <w:rPr>
          <w:lang w:val="en-GB"/>
        </w:rPr>
        <w:lastRenderedPageBreak/>
        <w:t>Development Reports</w:t>
      </w:r>
      <w:r w:rsidR="005666D9">
        <w:rPr>
          <w:lang w:val="en-GB"/>
        </w:rPr>
        <w:t>, n.d.)</w:t>
      </w:r>
      <w:r w:rsidR="00A966D3" w:rsidRPr="00563AF8">
        <w:rPr>
          <w:lang w:val="en-GB"/>
        </w:rPr>
        <w:t>.</w:t>
      </w:r>
      <w:r w:rsidRPr="00563AF8">
        <w:rPr>
          <w:lang w:val="en-GB"/>
        </w:rPr>
        <w:t xml:space="preserve"> For four studies with multiple recruitment settings, recruitment setting was coded at the participant</w:t>
      </w:r>
      <w:r w:rsidR="00563AF8">
        <w:rPr>
          <w:lang w:val="en-GB"/>
        </w:rPr>
        <w:t xml:space="preserve"> </w:t>
      </w:r>
      <w:r w:rsidRPr="00563AF8">
        <w:rPr>
          <w:lang w:val="en-GB"/>
        </w:rPr>
        <w:t>level.</w:t>
      </w:r>
    </w:p>
    <w:p w14:paraId="59E6E86C" w14:textId="522AE76D" w:rsidR="00126ACA" w:rsidRPr="00563AF8" w:rsidRDefault="00126ACA" w:rsidP="000F336B">
      <w:pPr>
        <w:spacing w:line="480" w:lineRule="auto"/>
        <w:ind w:firstLine="720"/>
        <w:rPr>
          <w:lang w:val="en-GB"/>
        </w:rPr>
      </w:pPr>
      <w:r w:rsidRPr="00563AF8">
        <w:rPr>
          <w:lang w:val="en-GB"/>
        </w:rPr>
        <w:t xml:space="preserve">When datasets included statistical weights to reflect sampling procedures, we used provided weights. When studies’ sampling procedures merited weighting, but no weights were available, we constructed appropriate weights using inverse selection probability values based on the sampling procedure. </w:t>
      </w:r>
    </w:p>
    <w:p w14:paraId="0194D845" w14:textId="57636EFD" w:rsidR="000F336B" w:rsidRPr="00563AF8" w:rsidRDefault="00A966D3" w:rsidP="000F336B">
      <w:pPr>
        <w:spacing w:line="480" w:lineRule="auto"/>
        <w:ind w:firstLine="720"/>
        <w:rPr>
          <w:lang w:val="en-GB"/>
        </w:rPr>
      </w:pPr>
      <w:r w:rsidRPr="00563AF8">
        <w:rPr>
          <w:color w:val="000000"/>
          <w:lang w:val="en-GB"/>
        </w:rPr>
        <w:t xml:space="preserve">PROM administration </w:t>
      </w:r>
      <w:r w:rsidR="0038236C" w:rsidRPr="00563AF8">
        <w:rPr>
          <w:color w:val="000000"/>
          <w:lang w:val="en-GB"/>
        </w:rPr>
        <w:t>modes</w:t>
      </w:r>
      <w:r w:rsidR="0038236C" w:rsidRPr="00563AF8">
        <w:rPr>
          <w:lang w:val="en-GB"/>
        </w:rPr>
        <w:t xml:space="preserve"> </w:t>
      </w:r>
      <w:r w:rsidRPr="00563AF8">
        <w:rPr>
          <w:lang w:val="en-GB"/>
        </w:rPr>
        <w:t xml:space="preserve">were extracted </w:t>
      </w:r>
      <w:r w:rsidR="0038236C" w:rsidRPr="00563AF8">
        <w:rPr>
          <w:color w:val="000000"/>
          <w:lang w:val="en-GB"/>
        </w:rPr>
        <w:t xml:space="preserve">from </w:t>
      </w:r>
      <w:r w:rsidR="0038236C" w:rsidRPr="00563AF8">
        <w:rPr>
          <w:lang w:val="en-GB"/>
        </w:rPr>
        <w:t xml:space="preserve">published </w:t>
      </w:r>
      <w:r w:rsidR="00DA2466" w:rsidRPr="00563AF8">
        <w:rPr>
          <w:lang w:val="en-GB"/>
        </w:rPr>
        <w:t xml:space="preserve">study </w:t>
      </w:r>
      <w:r w:rsidR="0038236C" w:rsidRPr="00563AF8">
        <w:rPr>
          <w:lang w:val="en-GB"/>
        </w:rPr>
        <w:t xml:space="preserve">reports by two </w:t>
      </w:r>
      <w:r w:rsidR="0038236C" w:rsidRPr="00563AF8">
        <w:rPr>
          <w:color w:val="000000"/>
          <w:lang w:val="en-GB"/>
        </w:rPr>
        <w:t>independent investigators</w:t>
      </w:r>
      <w:r w:rsidRPr="00563AF8">
        <w:rPr>
          <w:color w:val="000000"/>
          <w:lang w:val="en-GB"/>
        </w:rPr>
        <w:t xml:space="preserve"> with any</w:t>
      </w:r>
      <w:r w:rsidR="0038236C" w:rsidRPr="00563AF8">
        <w:rPr>
          <w:color w:val="000000"/>
          <w:lang w:val="en-GB"/>
        </w:rPr>
        <w:t xml:space="preserve"> disagreements </w:t>
      </w:r>
      <w:r w:rsidR="00DA2466" w:rsidRPr="00563AF8">
        <w:rPr>
          <w:color w:val="000000"/>
          <w:lang w:val="en-GB"/>
        </w:rPr>
        <w:t xml:space="preserve">resolved </w:t>
      </w:r>
      <w:r w:rsidR="0038236C" w:rsidRPr="00563AF8">
        <w:rPr>
          <w:lang w:val="en-GB"/>
        </w:rPr>
        <w:t>by consensus</w:t>
      </w:r>
      <w:r w:rsidR="00563AF8">
        <w:rPr>
          <w:lang w:val="en-GB"/>
        </w:rPr>
        <w:t>, consulting with a third investigator as necessary</w:t>
      </w:r>
      <w:r w:rsidR="0038236C" w:rsidRPr="00563AF8">
        <w:rPr>
          <w:lang w:val="en-GB"/>
        </w:rPr>
        <w:t xml:space="preserve">. </w:t>
      </w:r>
      <w:r w:rsidR="00DA2466" w:rsidRPr="00563AF8">
        <w:rPr>
          <w:lang w:val="en-GB"/>
        </w:rPr>
        <w:t xml:space="preserve">We contacted study authors if </w:t>
      </w:r>
      <w:r w:rsidR="0038236C" w:rsidRPr="00563AF8">
        <w:rPr>
          <w:lang w:val="en-GB"/>
        </w:rPr>
        <w:t>administration</w:t>
      </w:r>
      <w:r w:rsidRPr="00563AF8">
        <w:rPr>
          <w:lang w:val="en-GB"/>
        </w:rPr>
        <w:t xml:space="preserve"> mode</w:t>
      </w:r>
      <w:r w:rsidR="0038236C" w:rsidRPr="00563AF8">
        <w:rPr>
          <w:lang w:val="en-GB"/>
        </w:rPr>
        <w:t xml:space="preserve"> was </w:t>
      </w:r>
      <w:r w:rsidR="00DA2466" w:rsidRPr="00563AF8">
        <w:rPr>
          <w:lang w:val="en-GB"/>
        </w:rPr>
        <w:t xml:space="preserve">not specified or </w:t>
      </w:r>
      <w:r w:rsidR="00563AF8">
        <w:rPr>
          <w:lang w:val="en-GB"/>
        </w:rPr>
        <w:t xml:space="preserve">was </w:t>
      </w:r>
      <w:r w:rsidR="0038236C" w:rsidRPr="00563AF8">
        <w:rPr>
          <w:lang w:val="en-GB"/>
        </w:rPr>
        <w:t xml:space="preserve">unclear. If </w:t>
      </w:r>
      <w:r w:rsidR="00025EE3" w:rsidRPr="00563AF8">
        <w:rPr>
          <w:color w:val="000000"/>
          <w:lang w:val="en-GB"/>
        </w:rPr>
        <w:t>administration mode could not be determined</w:t>
      </w:r>
      <w:r w:rsidR="00563AF8">
        <w:rPr>
          <w:color w:val="000000"/>
          <w:lang w:val="en-GB"/>
        </w:rPr>
        <w:t xml:space="preserve"> and investigators did not respond</w:t>
      </w:r>
      <w:r w:rsidR="00025EE3" w:rsidRPr="00563AF8">
        <w:rPr>
          <w:color w:val="000000"/>
          <w:lang w:val="en-GB"/>
        </w:rPr>
        <w:t xml:space="preserve">, the study </w:t>
      </w:r>
      <w:r w:rsidR="0038236C" w:rsidRPr="00563AF8">
        <w:rPr>
          <w:color w:val="000000"/>
          <w:lang w:val="en-GB"/>
        </w:rPr>
        <w:t>was</w:t>
      </w:r>
      <w:r w:rsidR="0038236C" w:rsidRPr="00563AF8">
        <w:rPr>
          <w:lang w:val="en-GB"/>
        </w:rPr>
        <w:t xml:space="preserve"> not included in </w:t>
      </w:r>
      <w:r w:rsidR="0038236C" w:rsidRPr="00563AF8">
        <w:rPr>
          <w:color w:val="000000"/>
          <w:lang w:val="en-GB"/>
        </w:rPr>
        <w:t>the analyses.</w:t>
      </w:r>
      <w:r w:rsidR="0038236C" w:rsidRPr="00563AF8">
        <w:rPr>
          <w:lang w:val="en-GB"/>
        </w:rPr>
        <w:t xml:space="preserve"> </w:t>
      </w:r>
      <w:r w:rsidR="00025EE3" w:rsidRPr="00563AF8">
        <w:rPr>
          <w:lang w:val="en-GB"/>
        </w:rPr>
        <w:t xml:space="preserve">Administration modes were classified as </w:t>
      </w:r>
      <w:r w:rsidR="000F336B" w:rsidRPr="00563AF8">
        <w:rPr>
          <w:lang w:val="en-GB"/>
        </w:rPr>
        <w:t xml:space="preserve">(a) self-administration in a research or medical </w:t>
      </w:r>
      <w:r w:rsidR="00025EE3" w:rsidRPr="00563AF8">
        <w:rPr>
          <w:lang w:val="en-GB"/>
        </w:rPr>
        <w:t xml:space="preserve">setting with </w:t>
      </w:r>
      <w:r w:rsidR="000F336B" w:rsidRPr="00563AF8">
        <w:rPr>
          <w:lang w:val="en-GB"/>
        </w:rPr>
        <w:t>pen-and-paper</w:t>
      </w:r>
      <w:r w:rsidR="00025EE3" w:rsidRPr="00563AF8">
        <w:rPr>
          <w:lang w:val="en-GB"/>
        </w:rPr>
        <w:t xml:space="preserve"> forms</w:t>
      </w:r>
      <w:r w:rsidR="000F336B" w:rsidRPr="00563AF8">
        <w:rPr>
          <w:lang w:val="en-GB"/>
        </w:rPr>
        <w:t xml:space="preserve">; (b) self-administration </w:t>
      </w:r>
      <w:r w:rsidR="00C75C29" w:rsidRPr="00563AF8">
        <w:rPr>
          <w:lang w:val="en-GB"/>
        </w:rPr>
        <w:t>in a private</w:t>
      </w:r>
      <w:r w:rsidR="00563AF8">
        <w:rPr>
          <w:lang w:val="en-GB"/>
        </w:rPr>
        <w:t xml:space="preserve"> setting</w:t>
      </w:r>
      <w:r w:rsidR="000F336B" w:rsidRPr="00563AF8">
        <w:rPr>
          <w:lang w:val="en-GB"/>
        </w:rPr>
        <w:t xml:space="preserve"> (e.g., at home) </w:t>
      </w:r>
      <w:r w:rsidR="00C75C29" w:rsidRPr="00563AF8">
        <w:rPr>
          <w:lang w:val="en-GB"/>
        </w:rPr>
        <w:t xml:space="preserve">with </w:t>
      </w:r>
      <w:r w:rsidR="000F336B" w:rsidRPr="00563AF8">
        <w:rPr>
          <w:lang w:val="en-GB"/>
        </w:rPr>
        <w:t>pen-and-paper</w:t>
      </w:r>
      <w:r w:rsidR="00C75C29" w:rsidRPr="00563AF8">
        <w:rPr>
          <w:lang w:val="en-GB"/>
        </w:rPr>
        <w:t xml:space="preserve"> forms</w:t>
      </w:r>
      <w:r w:rsidR="000F336B" w:rsidRPr="00563AF8">
        <w:rPr>
          <w:lang w:val="en-GB"/>
        </w:rPr>
        <w:t xml:space="preserve">; (c) self-administration in a </w:t>
      </w:r>
      <w:r w:rsidR="00C75C29" w:rsidRPr="00563AF8">
        <w:rPr>
          <w:lang w:val="en-GB"/>
        </w:rPr>
        <w:t xml:space="preserve">research or medical </w:t>
      </w:r>
      <w:r w:rsidR="000F336B" w:rsidRPr="00563AF8">
        <w:rPr>
          <w:lang w:val="en-GB"/>
        </w:rPr>
        <w:t xml:space="preserve">setting </w:t>
      </w:r>
      <w:r w:rsidR="00C75C29" w:rsidRPr="00563AF8">
        <w:rPr>
          <w:lang w:val="en-GB"/>
        </w:rPr>
        <w:t>with electronic forms</w:t>
      </w:r>
      <w:r w:rsidR="000F336B" w:rsidRPr="00563AF8">
        <w:rPr>
          <w:lang w:val="en-GB"/>
        </w:rPr>
        <w:t xml:space="preserve"> (e.g.</w:t>
      </w:r>
      <w:r w:rsidR="00C75C29" w:rsidRPr="00563AF8">
        <w:rPr>
          <w:lang w:val="en-GB"/>
        </w:rPr>
        <w:t>, handheld device,</w:t>
      </w:r>
      <w:r w:rsidR="000F336B" w:rsidRPr="00563AF8">
        <w:rPr>
          <w:lang w:val="en-GB"/>
        </w:rPr>
        <w:t xml:space="preserve"> tablet, computer); (d) self-administration </w:t>
      </w:r>
      <w:r w:rsidR="00C75C29" w:rsidRPr="00563AF8">
        <w:rPr>
          <w:lang w:val="en-GB"/>
        </w:rPr>
        <w:t>in a private</w:t>
      </w:r>
      <w:r w:rsidR="000F336B" w:rsidRPr="00563AF8">
        <w:rPr>
          <w:lang w:val="en-GB"/>
        </w:rPr>
        <w:t xml:space="preserve"> setting </w:t>
      </w:r>
      <w:r w:rsidR="00C75C29" w:rsidRPr="00563AF8">
        <w:rPr>
          <w:lang w:val="en-GB"/>
        </w:rPr>
        <w:t>with electronic forms</w:t>
      </w:r>
      <w:r w:rsidR="000F336B" w:rsidRPr="00563AF8">
        <w:rPr>
          <w:lang w:val="en-GB"/>
        </w:rPr>
        <w:t>; (e) interview</w:t>
      </w:r>
      <w:r w:rsidR="00165F33" w:rsidRPr="00563AF8">
        <w:rPr>
          <w:lang w:val="en-GB"/>
        </w:rPr>
        <w:t>-</w:t>
      </w:r>
      <w:r w:rsidR="000F336B" w:rsidRPr="00563AF8">
        <w:rPr>
          <w:lang w:val="en-GB"/>
        </w:rPr>
        <w:t>administration face-to-face in any setting; (f) interviewer administration by phone in any setting.</w:t>
      </w:r>
      <w:r w:rsidR="00165F33" w:rsidRPr="00563AF8">
        <w:rPr>
          <w:lang w:val="en-GB"/>
        </w:rPr>
        <w:t xml:space="preserve"> No included studies </w:t>
      </w:r>
      <w:r w:rsidR="00126ACA" w:rsidRPr="00563AF8">
        <w:rPr>
          <w:lang w:val="en-GB"/>
        </w:rPr>
        <w:t>administered PROMs by videoconference.</w:t>
      </w:r>
      <w:r w:rsidR="000F336B" w:rsidRPr="00563AF8">
        <w:rPr>
          <w:lang w:val="en-GB"/>
        </w:rPr>
        <w:t xml:space="preserve"> </w:t>
      </w:r>
    </w:p>
    <w:p w14:paraId="28F5A449" w14:textId="0CAC4E51" w:rsidR="000F336B" w:rsidRPr="000552FC" w:rsidRDefault="000552FC" w:rsidP="000552FC">
      <w:pPr>
        <w:pStyle w:val="ListParagraph"/>
        <w:numPr>
          <w:ilvl w:val="1"/>
          <w:numId w:val="12"/>
        </w:numPr>
        <w:spacing w:line="480" w:lineRule="auto"/>
        <w:rPr>
          <w:rFonts w:ascii="Times New Roman" w:hAnsi="Times New Roman"/>
          <w:b/>
          <w:lang w:val="en-GB"/>
        </w:rPr>
      </w:pPr>
      <w:r>
        <w:rPr>
          <w:rFonts w:ascii="Times New Roman" w:hAnsi="Times New Roman"/>
          <w:b/>
          <w:lang w:val="en-GB"/>
        </w:rPr>
        <w:t xml:space="preserve">  </w:t>
      </w:r>
      <w:r w:rsidR="000F336B" w:rsidRPr="000552FC">
        <w:rPr>
          <w:rFonts w:ascii="Times New Roman" w:hAnsi="Times New Roman"/>
          <w:b/>
          <w:lang w:val="en-GB"/>
        </w:rPr>
        <w:t xml:space="preserve">Statistical </w:t>
      </w:r>
      <w:r>
        <w:rPr>
          <w:rFonts w:ascii="Times New Roman" w:hAnsi="Times New Roman"/>
          <w:b/>
          <w:lang w:val="en-GB"/>
        </w:rPr>
        <w:t>a</w:t>
      </w:r>
      <w:r w:rsidR="000F336B" w:rsidRPr="000552FC">
        <w:rPr>
          <w:rFonts w:ascii="Times New Roman" w:hAnsi="Times New Roman"/>
          <w:b/>
          <w:lang w:val="en-GB"/>
        </w:rPr>
        <w:t>nalyses</w:t>
      </w:r>
    </w:p>
    <w:p w14:paraId="72AC4DDF" w14:textId="6280501A" w:rsidR="000F336B" w:rsidRPr="00563AF8" w:rsidRDefault="000F336B" w:rsidP="000F336B">
      <w:pPr>
        <w:spacing w:after="20" w:line="480" w:lineRule="auto"/>
        <w:ind w:firstLine="720"/>
        <w:rPr>
          <w:lang w:val="en-GB"/>
        </w:rPr>
      </w:pPr>
      <w:r w:rsidRPr="00563AF8">
        <w:rPr>
          <w:lang w:val="en-GB"/>
        </w:rPr>
        <w:t xml:space="preserve">We </w:t>
      </w:r>
      <w:r w:rsidR="00126ACA" w:rsidRPr="00563AF8">
        <w:rPr>
          <w:lang w:val="en-GB"/>
        </w:rPr>
        <w:t>used confirmatory factor analysis (CFA) to ensure that</w:t>
      </w:r>
      <w:r w:rsidRPr="00563AF8">
        <w:rPr>
          <w:lang w:val="en-GB"/>
        </w:rPr>
        <w:t xml:space="preserve"> unidimensional</w:t>
      </w:r>
      <w:r w:rsidR="00126ACA" w:rsidRPr="00563AF8">
        <w:rPr>
          <w:lang w:val="en-GB"/>
        </w:rPr>
        <w:t xml:space="preserve"> factor st</w:t>
      </w:r>
      <w:r w:rsidR="00563AF8">
        <w:rPr>
          <w:lang w:val="en-GB"/>
        </w:rPr>
        <w:t>r</w:t>
      </w:r>
      <w:r w:rsidR="00126ACA" w:rsidRPr="00563AF8">
        <w:rPr>
          <w:lang w:val="en-GB"/>
        </w:rPr>
        <w:t xml:space="preserve">uctures could be </w:t>
      </w:r>
      <w:r w:rsidRPr="00563AF8">
        <w:rPr>
          <w:lang w:val="en-GB"/>
        </w:rPr>
        <w:t>assumed</w:t>
      </w:r>
      <w:r w:rsidR="00126ACA" w:rsidRPr="00563AF8">
        <w:rPr>
          <w:lang w:val="en-GB"/>
        </w:rPr>
        <w:t xml:space="preserve">, separately for each PROM, </w:t>
      </w:r>
      <w:r w:rsidRPr="00563AF8">
        <w:rPr>
          <w:lang w:val="en-GB"/>
        </w:rPr>
        <w:t>using the weighted least squares estimator (diagonal weight matrix), robust standard errors, and a mean- and variance-adjusted chi-square statistic with delta parameterization</w:t>
      </w:r>
      <w:r w:rsidR="00FA5A9D">
        <w:rPr>
          <w:lang w:val="en-GB"/>
        </w:rPr>
        <w:t xml:space="preserve"> </w:t>
      </w:r>
      <w:r w:rsidR="00E60E6B">
        <w:rPr>
          <w:lang w:val="en-GB"/>
        </w:rPr>
        <w:t>(Muthen and Muthen, 2017)</w:t>
      </w:r>
      <w:r w:rsidR="00126ACA" w:rsidRPr="00563AF8">
        <w:rPr>
          <w:lang w:val="en-GB"/>
        </w:rPr>
        <w:t>.</w:t>
      </w:r>
      <w:r w:rsidRPr="00563AF8">
        <w:rPr>
          <w:lang w:val="en-GB"/>
        </w:rPr>
        <w:t xml:space="preserve"> Modification indices were calculated to </w:t>
      </w:r>
      <w:r w:rsidR="00126ACA" w:rsidRPr="00563AF8">
        <w:rPr>
          <w:lang w:val="en-GB"/>
        </w:rPr>
        <w:t xml:space="preserve">identify </w:t>
      </w:r>
      <w:r w:rsidRPr="00563AF8">
        <w:rPr>
          <w:lang w:val="en-GB"/>
        </w:rPr>
        <w:t xml:space="preserve">item pairs for which measurement errors correlated highly. </w:t>
      </w:r>
      <w:r w:rsidRPr="00563AF8">
        <w:rPr>
          <w:lang w:val="en-GB"/>
        </w:rPr>
        <w:lastRenderedPageBreak/>
        <w:t>We allowed error terms of item pairs with high modification indices</w:t>
      </w:r>
      <w:r w:rsidR="00126ACA" w:rsidRPr="00563AF8">
        <w:rPr>
          <w:lang w:val="en-GB"/>
        </w:rPr>
        <w:t xml:space="preserve"> and similar item content or wording</w:t>
      </w:r>
      <w:r w:rsidRPr="00563AF8">
        <w:rPr>
          <w:lang w:val="en-GB"/>
        </w:rPr>
        <w:t xml:space="preserve"> to co-vary until good model fit was attained. We assessed model fit with the </w:t>
      </w:r>
      <w:r w:rsidR="0096631C" w:rsidRPr="00563AF8">
        <w:rPr>
          <w:lang w:val="en-GB"/>
        </w:rPr>
        <w:t>T</w:t>
      </w:r>
      <w:r w:rsidRPr="00563AF8">
        <w:rPr>
          <w:lang w:val="en-GB"/>
        </w:rPr>
        <w:t xml:space="preserve">ucker-Lewis Index (TLI), </w:t>
      </w:r>
      <w:r w:rsidR="0096631C" w:rsidRPr="00563AF8">
        <w:rPr>
          <w:lang w:val="en-GB"/>
        </w:rPr>
        <w:t>c</w:t>
      </w:r>
      <w:r w:rsidRPr="00563AF8">
        <w:rPr>
          <w:lang w:val="en-GB"/>
        </w:rPr>
        <w:t xml:space="preserve">omparative </w:t>
      </w:r>
      <w:r w:rsidR="0096631C" w:rsidRPr="00563AF8">
        <w:rPr>
          <w:lang w:val="en-GB"/>
        </w:rPr>
        <w:t>f</w:t>
      </w:r>
      <w:r w:rsidRPr="00563AF8">
        <w:rPr>
          <w:lang w:val="en-GB"/>
        </w:rPr>
        <w:t xml:space="preserve">it </w:t>
      </w:r>
      <w:r w:rsidR="0096631C" w:rsidRPr="00563AF8">
        <w:rPr>
          <w:lang w:val="en-GB"/>
        </w:rPr>
        <w:t>i</w:t>
      </w:r>
      <w:r w:rsidRPr="00563AF8">
        <w:rPr>
          <w:lang w:val="en-GB"/>
        </w:rPr>
        <w:t xml:space="preserve">ndex (CFI), and </w:t>
      </w:r>
      <w:r w:rsidR="0096631C" w:rsidRPr="00563AF8">
        <w:rPr>
          <w:lang w:val="en-GB"/>
        </w:rPr>
        <w:t>r</w:t>
      </w:r>
      <w:r w:rsidRPr="00563AF8">
        <w:rPr>
          <w:lang w:val="en-GB"/>
        </w:rPr>
        <w:t xml:space="preserve">oot </w:t>
      </w:r>
      <w:r w:rsidR="0096631C" w:rsidRPr="00563AF8">
        <w:rPr>
          <w:lang w:val="en-GB"/>
        </w:rPr>
        <w:t>m</w:t>
      </w:r>
      <w:r w:rsidRPr="00563AF8">
        <w:rPr>
          <w:lang w:val="en-GB"/>
        </w:rPr>
        <w:t xml:space="preserve">ean </w:t>
      </w:r>
      <w:r w:rsidR="0096631C" w:rsidRPr="00563AF8">
        <w:rPr>
          <w:lang w:val="en-GB"/>
        </w:rPr>
        <w:t>s</w:t>
      </w:r>
      <w:r w:rsidRPr="00563AF8">
        <w:rPr>
          <w:lang w:val="en-GB"/>
        </w:rPr>
        <w:t xml:space="preserve">quare </w:t>
      </w:r>
      <w:r w:rsidR="0096631C" w:rsidRPr="00563AF8">
        <w:rPr>
          <w:lang w:val="en-GB"/>
        </w:rPr>
        <w:t>e</w:t>
      </w:r>
      <w:r w:rsidRPr="00563AF8">
        <w:rPr>
          <w:lang w:val="en-GB"/>
        </w:rPr>
        <w:t xml:space="preserve">rror of </w:t>
      </w:r>
      <w:r w:rsidR="0096631C" w:rsidRPr="00563AF8">
        <w:rPr>
          <w:lang w:val="en-GB"/>
        </w:rPr>
        <w:t>a</w:t>
      </w:r>
      <w:r w:rsidRPr="00563AF8">
        <w:rPr>
          <w:lang w:val="en-GB"/>
        </w:rPr>
        <w:t xml:space="preserve">pproximation (RMSEA). Good fit </w:t>
      </w:r>
      <w:r w:rsidR="00563AF8">
        <w:rPr>
          <w:lang w:val="en-GB"/>
        </w:rPr>
        <w:t xml:space="preserve">of </w:t>
      </w:r>
      <w:r w:rsidRPr="00563AF8">
        <w:rPr>
          <w:lang w:val="en-GB"/>
        </w:rPr>
        <w:t xml:space="preserve">models </w:t>
      </w:r>
      <w:r w:rsidR="00563AF8">
        <w:rPr>
          <w:lang w:val="en-GB"/>
        </w:rPr>
        <w:t>was</w:t>
      </w:r>
      <w:r w:rsidR="00563AF8" w:rsidRPr="00563AF8">
        <w:rPr>
          <w:lang w:val="en-GB"/>
        </w:rPr>
        <w:t xml:space="preserve"> </w:t>
      </w:r>
      <w:r w:rsidRPr="00563AF8">
        <w:rPr>
          <w:lang w:val="en-GB"/>
        </w:rPr>
        <w:t>indicated by TLI and CFI ≥ 0.95 and RMSEA ≤ 0.08</w:t>
      </w:r>
      <w:r w:rsidR="0031554A">
        <w:rPr>
          <w:lang w:val="en-GB"/>
        </w:rPr>
        <w:t xml:space="preserve"> </w:t>
      </w:r>
      <w:r w:rsidR="00150426">
        <w:rPr>
          <w:lang w:val="en-GB"/>
        </w:rPr>
        <w:t>(Hu and Bentler, 1999)</w:t>
      </w:r>
      <w:r w:rsidR="00BD2B8A" w:rsidRPr="00563AF8">
        <w:rPr>
          <w:lang w:val="en-GB"/>
        </w:rPr>
        <w:t>.</w:t>
      </w:r>
      <w:r w:rsidRPr="00563AF8">
        <w:rPr>
          <w:lang w:val="en-GB"/>
        </w:rPr>
        <w:t xml:space="preserve"> </w:t>
      </w:r>
    </w:p>
    <w:p w14:paraId="57345D8B" w14:textId="7E691B71" w:rsidR="000F336B" w:rsidRPr="00563AF8" w:rsidRDefault="000F336B" w:rsidP="000F336B">
      <w:pPr>
        <w:spacing w:after="20" w:line="480" w:lineRule="auto"/>
        <w:ind w:firstLine="720"/>
        <w:rPr>
          <w:lang w:val="en-GB"/>
        </w:rPr>
      </w:pPr>
      <w:r w:rsidRPr="00563AF8">
        <w:rPr>
          <w:lang w:val="en-GB"/>
        </w:rPr>
        <w:t xml:space="preserve">To determine whether PHQ-9, EPDS, and HADS-D items, separately, exhibited DIF between administration modes, we used multiple indicator multiple cause (MIMIC) models. The base MIMIC model consists of a </w:t>
      </w:r>
      <w:r w:rsidR="00D42F84" w:rsidRPr="00563AF8">
        <w:rPr>
          <w:lang w:val="en-GB"/>
        </w:rPr>
        <w:t>CFA</w:t>
      </w:r>
      <w:r w:rsidRPr="00563AF8">
        <w:rPr>
          <w:lang w:val="en-GB"/>
        </w:rPr>
        <w:t xml:space="preserve"> model with an added direct effect of administration mode on the depressive symptoms latent factor to control for differences between </w:t>
      </w:r>
      <w:r w:rsidR="00BD2B8A" w:rsidRPr="00563AF8">
        <w:rPr>
          <w:lang w:val="en-GB"/>
        </w:rPr>
        <w:t xml:space="preserve">studies that used different </w:t>
      </w:r>
      <w:r w:rsidRPr="00563AF8">
        <w:rPr>
          <w:lang w:val="en-GB"/>
        </w:rPr>
        <w:t xml:space="preserve">administration </w:t>
      </w:r>
      <w:r w:rsidR="00BD2B8A" w:rsidRPr="00563AF8">
        <w:rPr>
          <w:lang w:val="en-GB"/>
        </w:rPr>
        <w:t xml:space="preserve">mode </w:t>
      </w:r>
      <w:r w:rsidRPr="00563AF8">
        <w:rPr>
          <w:lang w:val="en-GB"/>
        </w:rPr>
        <w:t>on the latent factor. We regressed each item separately on the administration mode variable to assess potential DIF</w:t>
      </w:r>
      <w:r w:rsidR="00C626B8">
        <w:rPr>
          <w:lang w:val="en-GB"/>
        </w:rPr>
        <w:t xml:space="preserve"> </w:t>
      </w:r>
      <w:r w:rsidR="00E4360E">
        <w:rPr>
          <w:lang w:val="en-GB"/>
        </w:rPr>
        <w:t>(</w:t>
      </w:r>
      <w:r w:rsidR="00E4360E" w:rsidRPr="00C16C35">
        <w:t>Kwakkenbos</w:t>
      </w:r>
      <w:r w:rsidR="00F71FC0">
        <w:t xml:space="preserve"> et al.</w:t>
      </w:r>
      <w:r w:rsidR="00E4360E">
        <w:rPr>
          <w:lang w:val="en-GB"/>
        </w:rPr>
        <w:t>, 2013)</w:t>
      </w:r>
      <w:r w:rsidR="00BD2B8A" w:rsidRPr="00563AF8">
        <w:rPr>
          <w:lang w:val="en-GB"/>
        </w:rPr>
        <w:t>.</w:t>
      </w:r>
      <w:r w:rsidRPr="00563AF8">
        <w:rPr>
          <w:lang w:val="en-GB"/>
        </w:rPr>
        <w:t xml:space="preserve"> DIF was confirmed by a statistically significant</w:t>
      </w:r>
      <w:r w:rsidR="000C294A" w:rsidRPr="00563AF8">
        <w:rPr>
          <w:lang w:val="en-GB"/>
        </w:rPr>
        <w:t xml:space="preserve"> (</w:t>
      </w:r>
      <w:r w:rsidR="00BD2B8A" w:rsidRPr="00563AF8">
        <w:rPr>
          <w:lang w:val="en-GB"/>
        </w:rPr>
        <w:t>P</w:t>
      </w:r>
      <w:r w:rsidR="000C294A" w:rsidRPr="00563AF8">
        <w:rPr>
          <w:lang w:val="en-GB"/>
        </w:rPr>
        <w:t xml:space="preserve"> &lt; 0.05) </w:t>
      </w:r>
      <w:r w:rsidR="00A14C06" w:rsidRPr="00563AF8">
        <w:rPr>
          <w:lang w:val="en-GB"/>
        </w:rPr>
        <w:t>association between</w:t>
      </w:r>
      <w:r w:rsidRPr="00563AF8">
        <w:rPr>
          <w:lang w:val="en-GB"/>
        </w:rPr>
        <w:t xml:space="preserve"> </w:t>
      </w:r>
      <w:r w:rsidR="00563AF8">
        <w:rPr>
          <w:lang w:val="en-GB"/>
        </w:rPr>
        <w:t xml:space="preserve">administration </w:t>
      </w:r>
      <w:r w:rsidRPr="00563AF8">
        <w:rPr>
          <w:lang w:val="en-GB"/>
        </w:rPr>
        <w:t xml:space="preserve">mode with the item, controlling for differences in the overall latent factor level. Any item </w:t>
      </w:r>
      <w:r w:rsidR="00BD2B8A" w:rsidRPr="00563AF8">
        <w:rPr>
          <w:lang w:val="en-GB"/>
        </w:rPr>
        <w:t xml:space="preserve">that displayed </w:t>
      </w:r>
      <w:r w:rsidRPr="00563AF8">
        <w:rPr>
          <w:lang w:val="en-GB"/>
        </w:rPr>
        <w:t xml:space="preserve">statistically significant DIF in bivariate analysis was included in a final MIMIC model, with an additional effect between that item and the underlying latent </w:t>
      </w:r>
      <w:r w:rsidR="00563AF8">
        <w:rPr>
          <w:lang w:val="en-GB"/>
        </w:rPr>
        <w:t>depression symptoms factor</w:t>
      </w:r>
      <w:r w:rsidRPr="00563AF8">
        <w:rPr>
          <w:lang w:val="en-GB"/>
        </w:rPr>
        <w:t xml:space="preserve">. All MIMIC models were fit with the variance of the latent factor constrained to be equal to one so that unstandardized factor loadings and </w:t>
      </w:r>
      <w:r w:rsidR="00BD2B8A" w:rsidRPr="00563AF8">
        <w:rPr>
          <w:lang w:val="en-GB"/>
        </w:rPr>
        <w:t xml:space="preserve">latent factor </w:t>
      </w:r>
      <w:r w:rsidRPr="00563AF8">
        <w:rPr>
          <w:lang w:val="en-GB"/>
        </w:rPr>
        <w:t>standardized mean differences would be interpretable.</w:t>
      </w:r>
    </w:p>
    <w:p w14:paraId="0EF58F51" w14:textId="0E4D395B" w:rsidR="000F336B" w:rsidRPr="00563AF8" w:rsidRDefault="000F336B" w:rsidP="000F336B">
      <w:pPr>
        <w:spacing w:after="20" w:line="480" w:lineRule="auto"/>
        <w:ind w:firstLine="720"/>
        <w:rPr>
          <w:lang w:val="en-GB"/>
        </w:rPr>
      </w:pPr>
      <w:r w:rsidRPr="00563AF8">
        <w:rPr>
          <w:lang w:val="en-GB"/>
        </w:rPr>
        <w:t xml:space="preserve">For the PHQ-9, EPDS, and HADS-D, separately, we conducted MIMIC analyses to assess possible DIF for </w:t>
      </w:r>
      <w:r w:rsidRPr="00563AF8">
        <w:rPr>
          <w:color w:val="000000" w:themeColor="text1"/>
          <w:lang w:val="en-GB"/>
        </w:rPr>
        <w:t>(1) self-administration</w:t>
      </w:r>
      <w:r w:rsidR="00352C55" w:rsidRPr="00563AF8">
        <w:rPr>
          <w:color w:val="000000" w:themeColor="text1"/>
          <w:lang w:val="en-GB"/>
        </w:rPr>
        <w:t xml:space="preserve"> versus interview-administration</w:t>
      </w:r>
      <w:r w:rsidR="00A14C06" w:rsidRPr="00563AF8">
        <w:rPr>
          <w:color w:val="000000" w:themeColor="text1"/>
          <w:lang w:val="en-GB"/>
        </w:rPr>
        <w:t>.</w:t>
      </w:r>
      <w:r w:rsidRPr="00563AF8">
        <w:rPr>
          <w:color w:val="000000" w:themeColor="text1"/>
          <w:lang w:val="en-GB"/>
        </w:rPr>
        <w:t xml:space="preserve"> </w:t>
      </w:r>
      <w:r w:rsidR="00A14C06" w:rsidRPr="00563AF8">
        <w:rPr>
          <w:color w:val="000000" w:themeColor="text1"/>
          <w:lang w:val="en-GB"/>
        </w:rPr>
        <w:t>A</w:t>
      </w:r>
      <w:r w:rsidRPr="00563AF8">
        <w:rPr>
          <w:color w:val="000000" w:themeColor="text1"/>
          <w:lang w:val="en-GB"/>
        </w:rPr>
        <w:t xml:space="preserve">mong respondents for whom the questionnaire was self-administered, we compared (2) administration in research </w:t>
      </w:r>
      <w:r w:rsidR="00352C55" w:rsidRPr="00563AF8">
        <w:rPr>
          <w:color w:val="000000" w:themeColor="text1"/>
          <w:lang w:val="en-GB"/>
        </w:rPr>
        <w:t xml:space="preserve">or medical </w:t>
      </w:r>
      <w:r w:rsidRPr="00563AF8">
        <w:rPr>
          <w:color w:val="000000" w:themeColor="text1"/>
          <w:lang w:val="en-GB"/>
        </w:rPr>
        <w:t xml:space="preserve">settings to private administration outside of </w:t>
      </w:r>
      <w:r w:rsidR="00352C55" w:rsidRPr="00563AF8">
        <w:rPr>
          <w:color w:val="000000" w:themeColor="text1"/>
          <w:lang w:val="en-GB"/>
        </w:rPr>
        <w:t>such</w:t>
      </w:r>
      <w:r w:rsidRPr="00563AF8">
        <w:rPr>
          <w:color w:val="000000" w:themeColor="text1"/>
          <w:lang w:val="en-GB"/>
        </w:rPr>
        <w:t xml:space="preserve"> setting</w:t>
      </w:r>
      <w:r w:rsidR="00352C55" w:rsidRPr="00563AF8">
        <w:rPr>
          <w:color w:val="000000" w:themeColor="text1"/>
          <w:lang w:val="en-GB"/>
        </w:rPr>
        <w:t>s</w:t>
      </w:r>
      <w:r w:rsidRPr="00563AF8">
        <w:rPr>
          <w:color w:val="000000" w:themeColor="text1"/>
          <w:lang w:val="en-GB"/>
        </w:rPr>
        <w:t xml:space="preserve"> (e.g., at home) and (3) administration via pen-and-paper</w:t>
      </w:r>
      <w:r w:rsidR="00352C55" w:rsidRPr="00563AF8">
        <w:rPr>
          <w:color w:val="000000" w:themeColor="text1"/>
          <w:lang w:val="en-GB"/>
        </w:rPr>
        <w:t xml:space="preserve"> versus electronic forms</w:t>
      </w:r>
      <w:r w:rsidRPr="00563AF8">
        <w:rPr>
          <w:color w:val="000000" w:themeColor="text1"/>
          <w:lang w:val="en-GB"/>
        </w:rPr>
        <w:t xml:space="preserve">. Among interview-administered </w:t>
      </w:r>
      <w:r w:rsidRPr="00563AF8">
        <w:rPr>
          <w:color w:val="000000" w:themeColor="text1"/>
          <w:lang w:val="en-GB"/>
        </w:rPr>
        <w:lastRenderedPageBreak/>
        <w:t>assessments, we compared (4) in-person versus phone administration.</w:t>
      </w:r>
      <w:r w:rsidRPr="00563AF8">
        <w:rPr>
          <w:lang w:val="en-GB"/>
        </w:rPr>
        <w:t xml:space="preserve"> </w:t>
      </w:r>
      <w:r w:rsidR="00352C55" w:rsidRPr="00563AF8">
        <w:rPr>
          <w:lang w:val="en-GB"/>
        </w:rPr>
        <w:t xml:space="preserve">For the HADS-D, we could not compare self-administration </w:t>
      </w:r>
      <w:r w:rsidRPr="00563AF8">
        <w:rPr>
          <w:lang w:val="en-GB"/>
        </w:rPr>
        <w:t xml:space="preserve">pen-and-paper </w:t>
      </w:r>
      <w:r w:rsidR="00352C55" w:rsidRPr="00563AF8">
        <w:rPr>
          <w:lang w:val="en-GB"/>
        </w:rPr>
        <w:t>versus electronic and interview-administration in-person versus</w:t>
      </w:r>
      <w:r w:rsidRPr="00563AF8">
        <w:rPr>
          <w:lang w:val="en-GB"/>
        </w:rPr>
        <w:t xml:space="preserve"> phone </w:t>
      </w:r>
      <w:r w:rsidR="00352C55" w:rsidRPr="00563AF8">
        <w:rPr>
          <w:lang w:val="en-GB"/>
        </w:rPr>
        <w:t xml:space="preserve">because no studies reported data in </w:t>
      </w:r>
      <w:r w:rsidR="00563AF8">
        <w:rPr>
          <w:lang w:val="en-GB"/>
        </w:rPr>
        <w:t>the required</w:t>
      </w:r>
      <w:r w:rsidR="00563AF8" w:rsidRPr="00563AF8">
        <w:rPr>
          <w:lang w:val="en-GB"/>
        </w:rPr>
        <w:t xml:space="preserve"> </w:t>
      </w:r>
      <w:r w:rsidR="00352C55" w:rsidRPr="00563AF8">
        <w:rPr>
          <w:lang w:val="en-GB"/>
        </w:rPr>
        <w:t xml:space="preserve">categories. </w:t>
      </w:r>
      <w:r w:rsidR="0096631C" w:rsidRPr="00563AF8">
        <w:rPr>
          <w:lang w:val="en-GB"/>
        </w:rPr>
        <w:t>Therefore</w:t>
      </w:r>
      <w:r w:rsidRPr="00563AF8">
        <w:rPr>
          <w:lang w:val="en-GB"/>
        </w:rPr>
        <w:t>, 10 total analyses were conducted.</w:t>
      </w:r>
    </w:p>
    <w:p w14:paraId="7D87C687" w14:textId="439E2323" w:rsidR="000F336B" w:rsidRPr="00563AF8" w:rsidRDefault="000F336B" w:rsidP="000F336B">
      <w:pPr>
        <w:spacing w:after="20" w:line="480" w:lineRule="auto"/>
        <w:ind w:firstLine="720"/>
        <w:rPr>
          <w:lang w:val="en-GB"/>
        </w:rPr>
      </w:pPr>
      <w:r w:rsidRPr="00563AF8">
        <w:rPr>
          <w:lang w:val="en-GB"/>
        </w:rPr>
        <w:t>MIMIC models controlled for participant characteristics potentially related to depressive symptoms, including age (&lt; 45 years, 45 to 65 years, &gt; 65 years</w:t>
      </w:r>
      <w:r w:rsidR="00563AF8">
        <w:rPr>
          <w:lang w:val="en-GB"/>
        </w:rPr>
        <w:t>; not for EPDS</w:t>
      </w:r>
      <w:r w:rsidRPr="00563AF8">
        <w:rPr>
          <w:lang w:val="en-GB"/>
        </w:rPr>
        <w:t>), dichotomized sex or gender (as defined by the primary study data definitions; not for EPDS), HDI (low to medium, high, very high), and health care setting (</w:t>
      </w:r>
      <w:r w:rsidR="00C71063" w:rsidRPr="00563AF8">
        <w:rPr>
          <w:lang w:val="en-GB"/>
        </w:rPr>
        <w:t xml:space="preserve">non-medical care, mixed inpatient and outpatient care, </w:t>
      </w:r>
      <w:r w:rsidRPr="00563AF8">
        <w:rPr>
          <w:lang w:val="en-GB"/>
        </w:rPr>
        <w:t>inpatient care</w:t>
      </w:r>
      <w:r w:rsidR="00C71063" w:rsidRPr="00563AF8">
        <w:rPr>
          <w:lang w:val="en-GB"/>
        </w:rPr>
        <w:t>, outpatient care</w:t>
      </w:r>
      <w:r w:rsidRPr="00563AF8">
        <w:rPr>
          <w:lang w:val="en-GB"/>
        </w:rPr>
        <w:t>).</w:t>
      </w:r>
    </w:p>
    <w:p w14:paraId="5CD81A68" w14:textId="24B6CFB5" w:rsidR="000F336B" w:rsidRPr="00563AF8" w:rsidRDefault="000F336B" w:rsidP="000F336B">
      <w:pPr>
        <w:spacing w:after="20" w:line="480" w:lineRule="auto"/>
        <w:ind w:firstLine="720"/>
        <w:rPr>
          <w:lang w:val="en-GB"/>
        </w:rPr>
      </w:pPr>
      <w:r w:rsidRPr="00563AF8">
        <w:rPr>
          <w:lang w:val="en-GB"/>
        </w:rPr>
        <w:t xml:space="preserve">Because of the large number of participants included in each analysis, we expected to detect statistically significant </w:t>
      </w:r>
      <w:r w:rsidR="0015212B" w:rsidRPr="00563AF8">
        <w:rPr>
          <w:lang w:val="en-GB"/>
        </w:rPr>
        <w:t xml:space="preserve">but potentially low-magnitude, inconsequential </w:t>
      </w:r>
      <w:r w:rsidRPr="00563AF8">
        <w:rPr>
          <w:lang w:val="en-GB"/>
        </w:rPr>
        <w:t>DIF on many items</w:t>
      </w:r>
      <w:r w:rsidR="00AC10E5" w:rsidRPr="00563AF8">
        <w:rPr>
          <w:lang w:val="en-GB"/>
        </w:rPr>
        <w:t>.</w:t>
      </w:r>
      <w:r w:rsidRPr="00563AF8">
        <w:rPr>
          <w:lang w:val="en-GB"/>
        </w:rPr>
        <w:t xml:space="preserve"> </w:t>
      </w:r>
      <w:r w:rsidR="0015212B" w:rsidRPr="00563AF8">
        <w:rPr>
          <w:lang w:val="en-GB"/>
        </w:rPr>
        <w:t>Thus</w:t>
      </w:r>
      <w:r w:rsidRPr="00563AF8">
        <w:rPr>
          <w:lang w:val="en-GB"/>
        </w:rPr>
        <w:t xml:space="preserve">, we assessed the influence of item-level DIF on total scores for each </w:t>
      </w:r>
      <w:r w:rsidR="0015212B" w:rsidRPr="00563AF8">
        <w:rPr>
          <w:lang w:val="en-GB"/>
        </w:rPr>
        <w:t>PROM</w:t>
      </w:r>
      <w:r w:rsidRPr="00563AF8">
        <w:rPr>
          <w:lang w:val="en-GB"/>
        </w:rPr>
        <w:t xml:space="preserve">. First, we calculated the strength of </w:t>
      </w:r>
      <w:r w:rsidR="0015212B" w:rsidRPr="00563AF8">
        <w:rPr>
          <w:lang w:val="en-GB"/>
        </w:rPr>
        <w:t>the association</w:t>
      </w:r>
      <w:r w:rsidRPr="00563AF8">
        <w:rPr>
          <w:lang w:val="en-GB"/>
        </w:rPr>
        <w:t xml:space="preserve"> between latent factor scores obtained from baseline and DIF-adjusted models via the Pearson’s product-moment correlation coefficient and agreement via the intraclass correlation coefficient (ICC).</w:t>
      </w:r>
      <w:r w:rsidR="004703EE" w:rsidRPr="00563AF8">
        <w:rPr>
          <w:lang w:val="en-GB"/>
        </w:rPr>
        <w:t xml:space="preserve"> </w:t>
      </w:r>
      <w:r w:rsidR="005E155E" w:rsidRPr="00563AF8">
        <w:rPr>
          <w:lang w:val="en-GB"/>
        </w:rPr>
        <w:t>Second, we evaluated the standardized mean difference on the latent factor between administration modes in the baseline model and after controlling for DIF.</w:t>
      </w:r>
    </w:p>
    <w:p w14:paraId="697A013D" w14:textId="43F32974" w:rsidR="000F336B" w:rsidRPr="003763F5" w:rsidRDefault="003763F5" w:rsidP="003763F5">
      <w:pPr>
        <w:pStyle w:val="ListParagraph"/>
        <w:numPr>
          <w:ilvl w:val="1"/>
          <w:numId w:val="12"/>
        </w:numPr>
        <w:spacing w:line="480" w:lineRule="auto"/>
        <w:rPr>
          <w:rFonts w:ascii="Times New Roman" w:hAnsi="Times New Roman"/>
          <w:lang w:val="en-GB"/>
        </w:rPr>
      </w:pPr>
      <w:r>
        <w:rPr>
          <w:rFonts w:ascii="Times New Roman" w:hAnsi="Times New Roman"/>
          <w:b/>
          <w:bCs/>
          <w:color w:val="000000"/>
          <w:lang w:val="en-GB"/>
        </w:rPr>
        <w:t xml:space="preserve">  </w:t>
      </w:r>
      <w:r w:rsidR="000F336B" w:rsidRPr="003763F5">
        <w:rPr>
          <w:rFonts w:ascii="Times New Roman" w:hAnsi="Times New Roman"/>
          <w:b/>
          <w:bCs/>
          <w:color w:val="000000"/>
          <w:lang w:val="en-GB"/>
        </w:rPr>
        <w:t>Involvement</w:t>
      </w:r>
      <w:r w:rsidR="004003DE" w:rsidRPr="003763F5">
        <w:rPr>
          <w:rFonts w:ascii="Times New Roman" w:hAnsi="Times New Roman"/>
          <w:b/>
          <w:bCs/>
          <w:color w:val="000000"/>
          <w:lang w:val="en-GB"/>
        </w:rPr>
        <w:t xml:space="preserve"> of </w:t>
      </w:r>
      <w:r>
        <w:rPr>
          <w:rFonts w:ascii="Times New Roman" w:hAnsi="Times New Roman"/>
          <w:b/>
          <w:bCs/>
          <w:color w:val="000000"/>
          <w:lang w:val="en-GB"/>
        </w:rPr>
        <w:t>p</w:t>
      </w:r>
      <w:r w:rsidR="004003DE" w:rsidRPr="003763F5">
        <w:rPr>
          <w:rFonts w:ascii="Times New Roman" w:hAnsi="Times New Roman"/>
          <w:b/>
          <w:bCs/>
          <w:color w:val="000000"/>
          <w:lang w:val="en-GB"/>
        </w:rPr>
        <w:t xml:space="preserve">eople with </w:t>
      </w:r>
      <w:r>
        <w:rPr>
          <w:rFonts w:ascii="Times New Roman" w:hAnsi="Times New Roman"/>
          <w:b/>
          <w:bCs/>
          <w:color w:val="000000"/>
          <w:lang w:val="en-GB"/>
        </w:rPr>
        <w:t>l</w:t>
      </w:r>
      <w:r w:rsidR="004003DE" w:rsidRPr="003763F5">
        <w:rPr>
          <w:rFonts w:ascii="Times New Roman" w:hAnsi="Times New Roman"/>
          <w:b/>
          <w:bCs/>
          <w:color w:val="000000"/>
          <w:lang w:val="en-GB"/>
        </w:rPr>
        <w:t xml:space="preserve">ived </w:t>
      </w:r>
      <w:r>
        <w:rPr>
          <w:rFonts w:ascii="Times New Roman" w:hAnsi="Times New Roman"/>
          <w:b/>
          <w:bCs/>
          <w:color w:val="000000"/>
          <w:lang w:val="en-GB"/>
        </w:rPr>
        <w:t>e</w:t>
      </w:r>
      <w:r w:rsidR="004003DE" w:rsidRPr="003763F5">
        <w:rPr>
          <w:rFonts w:ascii="Times New Roman" w:hAnsi="Times New Roman"/>
          <w:b/>
          <w:bCs/>
          <w:color w:val="000000"/>
          <w:lang w:val="en-GB"/>
        </w:rPr>
        <w:t>xperience</w:t>
      </w:r>
    </w:p>
    <w:p w14:paraId="088E6BDD" w14:textId="144B0C01" w:rsidR="000F336B" w:rsidRPr="00563AF8" w:rsidRDefault="000F336B" w:rsidP="000F336B">
      <w:pPr>
        <w:spacing w:line="480" w:lineRule="auto"/>
        <w:ind w:firstLine="720"/>
        <w:rPr>
          <w:color w:val="000000"/>
          <w:shd w:val="clear" w:color="auto" w:fill="FFFFFF"/>
          <w:lang w:val="en-GB"/>
        </w:rPr>
      </w:pPr>
      <w:r w:rsidRPr="00563AF8">
        <w:rPr>
          <w:color w:val="000000" w:themeColor="text1"/>
          <w:shd w:val="clear" w:color="auto" w:fill="FFFFFF"/>
          <w:lang w:val="en-GB"/>
        </w:rPr>
        <w:t>Dr. Sarah Markham is a member of the DEPRESSD Steering Committee who has lived experience as a</w:t>
      </w:r>
      <w:r w:rsidR="004003DE" w:rsidRPr="00563AF8">
        <w:rPr>
          <w:color w:val="000000" w:themeColor="text1"/>
          <w:shd w:val="clear" w:color="auto" w:fill="FFFFFF"/>
          <w:lang w:val="en-GB"/>
        </w:rPr>
        <w:t xml:space="preserve"> person with major depressive disorder</w:t>
      </w:r>
      <w:r w:rsidRPr="00563AF8">
        <w:rPr>
          <w:color w:val="000000" w:themeColor="text1"/>
          <w:shd w:val="clear" w:color="auto" w:fill="FFFFFF"/>
          <w:lang w:val="en-GB"/>
        </w:rPr>
        <w:t xml:space="preserve">. She </w:t>
      </w:r>
      <w:r w:rsidR="004003DE" w:rsidRPr="00563AF8">
        <w:rPr>
          <w:color w:val="000000" w:themeColor="text1"/>
          <w:shd w:val="clear" w:color="auto" w:fill="FFFFFF"/>
          <w:lang w:val="en-GB"/>
        </w:rPr>
        <w:t>was a co-applicant on the funding proposal that supported this work, provided input into the study</w:t>
      </w:r>
      <w:r w:rsidRPr="00563AF8">
        <w:rPr>
          <w:color w:val="000000" w:themeColor="text1"/>
          <w:shd w:val="clear" w:color="auto" w:fill="FFFFFF"/>
          <w:lang w:val="en-GB"/>
        </w:rPr>
        <w:t xml:space="preserve"> protocol</w:t>
      </w:r>
      <w:r w:rsidR="00563AF8">
        <w:rPr>
          <w:color w:val="000000" w:themeColor="text1"/>
          <w:shd w:val="clear" w:color="auto" w:fill="FFFFFF"/>
          <w:lang w:val="en-GB"/>
        </w:rPr>
        <w:t>,</w:t>
      </w:r>
      <w:r w:rsidR="004003DE" w:rsidRPr="00563AF8">
        <w:rPr>
          <w:color w:val="000000" w:themeColor="text1"/>
          <w:shd w:val="clear" w:color="auto" w:fill="FFFFFF"/>
          <w:lang w:val="en-GB"/>
        </w:rPr>
        <w:t xml:space="preserve"> and provided comments on this</w:t>
      </w:r>
      <w:r w:rsidRPr="00563AF8">
        <w:rPr>
          <w:color w:val="000000" w:themeColor="text1"/>
          <w:shd w:val="clear" w:color="auto" w:fill="FFFFFF"/>
          <w:lang w:val="en-GB"/>
        </w:rPr>
        <w:t xml:space="preserve"> manuscript. </w:t>
      </w:r>
      <w:r w:rsidR="004003DE" w:rsidRPr="00563AF8">
        <w:rPr>
          <w:lang w:val="en-GB"/>
        </w:rPr>
        <w:t>She is a co-author.</w:t>
      </w:r>
      <w:r w:rsidRPr="00563AF8">
        <w:rPr>
          <w:lang w:val="en-GB"/>
        </w:rPr>
        <w:t xml:space="preserve"> </w:t>
      </w:r>
    </w:p>
    <w:p w14:paraId="5ACCA392" w14:textId="367E59EA" w:rsidR="000F336B" w:rsidRPr="00267257" w:rsidRDefault="00267257" w:rsidP="00267257">
      <w:pPr>
        <w:pStyle w:val="ListParagraph"/>
        <w:numPr>
          <w:ilvl w:val="0"/>
          <w:numId w:val="12"/>
        </w:numPr>
        <w:spacing w:line="480" w:lineRule="auto"/>
        <w:rPr>
          <w:rFonts w:ascii="Times New Roman" w:hAnsi="Times New Roman"/>
          <w:b/>
          <w:bCs/>
          <w:lang w:val="en-GB"/>
        </w:rPr>
      </w:pPr>
      <w:r w:rsidRPr="00267257">
        <w:rPr>
          <w:rFonts w:ascii="Times New Roman" w:hAnsi="Times New Roman"/>
          <w:b/>
          <w:bCs/>
          <w:lang w:val="en-GB"/>
        </w:rPr>
        <w:t>Results</w:t>
      </w:r>
    </w:p>
    <w:p w14:paraId="77AC1145" w14:textId="6EDFFA87" w:rsidR="000F336B" w:rsidRPr="00563AF8" w:rsidRDefault="00CE0BFC" w:rsidP="000F336B">
      <w:pPr>
        <w:spacing w:line="480" w:lineRule="auto"/>
        <w:rPr>
          <w:b/>
          <w:bCs/>
          <w:lang w:val="en-GB"/>
        </w:rPr>
      </w:pPr>
      <w:r>
        <w:rPr>
          <w:b/>
          <w:bCs/>
          <w:lang w:val="en-GB"/>
        </w:rPr>
        <w:lastRenderedPageBreak/>
        <w:t xml:space="preserve">3.1.  </w:t>
      </w:r>
      <w:r w:rsidR="000F336B" w:rsidRPr="00563AF8">
        <w:rPr>
          <w:b/>
          <w:bCs/>
          <w:lang w:val="en-GB"/>
        </w:rPr>
        <w:t xml:space="preserve">Sample </w:t>
      </w:r>
      <w:r>
        <w:rPr>
          <w:b/>
          <w:bCs/>
          <w:lang w:val="en-GB"/>
        </w:rPr>
        <w:t>c</w:t>
      </w:r>
      <w:r w:rsidR="000F336B" w:rsidRPr="00563AF8">
        <w:rPr>
          <w:b/>
          <w:bCs/>
          <w:lang w:val="en-GB"/>
        </w:rPr>
        <w:t>haracteristics</w:t>
      </w:r>
    </w:p>
    <w:p w14:paraId="1F1F803A" w14:textId="60DABBE2" w:rsidR="000F336B" w:rsidRPr="00563AF8" w:rsidRDefault="000F336B" w:rsidP="000F336B">
      <w:pPr>
        <w:spacing w:line="480" w:lineRule="auto"/>
        <w:ind w:firstLine="720"/>
        <w:rPr>
          <w:lang w:val="en-GB"/>
        </w:rPr>
      </w:pPr>
      <w:r w:rsidRPr="00563AF8">
        <w:rPr>
          <w:lang w:val="en-GB"/>
        </w:rPr>
        <w:t xml:space="preserve">Analyses </w:t>
      </w:r>
      <w:r w:rsidR="00B7000D" w:rsidRPr="00563AF8">
        <w:rPr>
          <w:lang w:val="en-GB"/>
        </w:rPr>
        <w:t xml:space="preserve">used </w:t>
      </w:r>
      <w:r w:rsidRPr="00563AF8">
        <w:rPr>
          <w:lang w:val="en-GB"/>
        </w:rPr>
        <w:t xml:space="preserve">data from </w:t>
      </w:r>
      <w:r w:rsidR="0026343B" w:rsidRPr="00563AF8">
        <w:rPr>
          <w:lang w:val="en-GB"/>
        </w:rPr>
        <w:t>34,529</w:t>
      </w:r>
      <w:r w:rsidRPr="00563AF8">
        <w:rPr>
          <w:lang w:val="en-GB"/>
        </w:rPr>
        <w:t xml:space="preserve"> participants for the PHQ-9</w:t>
      </w:r>
      <w:r w:rsidR="00166519" w:rsidRPr="00563AF8">
        <w:rPr>
          <w:lang w:val="en-GB"/>
        </w:rPr>
        <w:t xml:space="preserve"> (88 studies)</w:t>
      </w:r>
      <w:r w:rsidRPr="00563AF8">
        <w:rPr>
          <w:lang w:val="en-GB"/>
        </w:rPr>
        <w:t>, 16,813 for the EPDS</w:t>
      </w:r>
      <w:r w:rsidR="00166519" w:rsidRPr="00563AF8">
        <w:rPr>
          <w:lang w:val="en-GB"/>
        </w:rPr>
        <w:t xml:space="preserve"> (41 studies)</w:t>
      </w:r>
      <w:r w:rsidRPr="00563AF8">
        <w:rPr>
          <w:lang w:val="en-GB"/>
        </w:rPr>
        <w:t>, and 16,768 for the HADS-D</w:t>
      </w:r>
      <w:r w:rsidR="00166519" w:rsidRPr="00563AF8">
        <w:rPr>
          <w:lang w:val="en-GB"/>
        </w:rPr>
        <w:t xml:space="preserve"> (69 studies)</w:t>
      </w:r>
      <w:r w:rsidRPr="00563AF8">
        <w:rPr>
          <w:lang w:val="en-GB"/>
        </w:rPr>
        <w:t xml:space="preserve">, including 4,327 individuals </w:t>
      </w:r>
      <w:r w:rsidR="007A1DBA">
        <w:rPr>
          <w:lang w:val="en-GB"/>
        </w:rPr>
        <w:t>with data for more than one PROM</w:t>
      </w:r>
      <w:r w:rsidR="00166519" w:rsidRPr="00563AF8">
        <w:rPr>
          <w:lang w:val="en-GB"/>
        </w:rPr>
        <w:t>. Table 1 shows</w:t>
      </w:r>
      <w:r w:rsidR="005F7D54" w:rsidRPr="00563AF8">
        <w:rPr>
          <w:lang w:val="en-GB"/>
        </w:rPr>
        <w:t xml:space="preserve"> </w:t>
      </w:r>
      <w:r w:rsidR="00166519" w:rsidRPr="00563AF8">
        <w:rPr>
          <w:lang w:val="en-GB"/>
        </w:rPr>
        <w:t xml:space="preserve">participant characteristics. </w:t>
      </w:r>
      <w:r w:rsidR="005F7D54" w:rsidRPr="00563AF8">
        <w:rPr>
          <w:lang w:val="en-GB"/>
        </w:rPr>
        <w:t xml:space="preserve">See </w:t>
      </w:r>
      <w:r w:rsidR="00650CA8">
        <w:rPr>
          <w:lang w:val="en-GB"/>
        </w:rPr>
        <w:t>a</w:t>
      </w:r>
      <w:r w:rsidR="00166519" w:rsidRPr="00563AF8">
        <w:rPr>
          <w:lang w:val="en-GB"/>
        </w:rPr>
        <w:t xml:space="preserve">ppendices pp 18-20 for </w:t>
      </w:r>
      <w:r w:rsidRPr="00563AF8">
        <w:rPr>
          <w:lang w:val="en-GB"/>
        </w:rPr>
        <w:t>flowcharts of included studies and participants</w:t>
      </w:r>
      <w:r w:rsidR="007A1DBA">
        <w:rPr>
          <w:lang w:val="en-GB"/>
        </w:rPr>
        <w:t>. See</w:t>
      </w:r>
      <w:r w:rsidR="00166519" w:rsidRPr="00563AF8">
        <w:rPr>
          <w:lang w:val="en-GB"/>
        </w:rPr>
        <w:t xml:space="preserve"> </w:t>
      </w:r>
      <w:r w:rsidR="005F7D54" w:rsidRPr="00563AF8">
        <w:rPr>
          <w:lang w:val="en-GB"/>
        </w:rPr>
        <w:t>appendices pp 21-46 for characteristics of included studies and mode classifications</w:t>
      </w:r>
      <w:r w:rsidR="007A1DBA">
        <w:rPr>
          <w:lang w:val="en-GB"/>
        </w:rPr>
        <w:t xml:space="preserve"> for each study</w:t>
      </w:r>
      <w:r w:rsidR="005F7D54" w:rsidRPr="00563AF8">
        <w:rPr>
          <w:lang w:val="en-GB"/>
        </w:rPr>
        <w:t xml:space="preserve"> for the PHQ-9, EPDS, and HADS-D.</w:t>
      </w:r>
    </w:p>
    <w:p w14:paraId="1686E3CD" w14:textId="3E42DAC6" w:rsidR="000F336B" w:rsidRPr="00563AF8" w:rsidRDefault="002A7B6A" w:rsidP="000F336B">
      <w:pPr>
        <w:spacing w:line="480" w:lineRule="auto"/>
        <w:rPr>
          <w:lang w:val="en-GB"/>
        </w:rPr>
      </w:pPr>
      <w:r>
        <w:rPr>
          <w:b/>
          <w:bCs/>
          <w:lang w:val="en-GB"/>
        </w:rPr>
        <w:t xml:space="preserve">3.2.  </w:t>
      </w:r>
      <w:r w:rsidR="000F336B" w:rsidRPr="00563AF8">
        <w:rPr>
          <w:b/>
          <w:bCs/>
          <w:lang w:val="en-GB"/>
        </w:rPr>
        <w:t>Unidimensionality</w:t>
      </w:r>
      <w:r w:rsidR="00AF4D50" w:rsidRPr="00563AF8">
        <w:rPr>
          <w:b/>
          <w:bCs/>
          <w:lang w:val="en-GB"/>
        </w:rPr>
        <w:t xml:space="preserve"> of PROMs</w:t>
      </w:r>
    </w:p>
    <w:p w14:paraId="77C5F04E" w14:textId="2778D9EE" w:rsidR="000F336B" w:rsidRPr="00563AF8" w:rsidRDefault="000F336B" w:rsidP="000F336B">
      <w:pPr>
        <w:pStyle w:val="NormalWeb"/>
        <w:spacing w:before="0" w:beforeAutospacing="0" w:after="0" w:afterAutospacing="0" w:line="480" w:lineRule="auto"/>
        <w:ind w:firstLine="720"/>
        <w:rPr>
          <w:color w:val="000000"/>
          <w:lang w:val="en-GB"/>
        </w:rPr>
      </w:pPr>
      <w:r w:rsidRPr="00563AF8">
        <w:rPr>
          <w:color w:val="000000"/>
          <w:lang w:val="en-GB"/>
        </w:rPr>
        <w:t>A unidimensional CFA model of PHQ-9 items, where covariance of item residuals was restricted to zero, resulted in less-than-ideal fit because of relatively high RMSEA (TLI = 0.96</w:t>
      </w:r>
      <w:r w:rsidR="00512EDA" w:rsidRPr="00563AF8">
        <w:rPr>
          <w:color w:val="000000"/>
          <w:lang w:val="en-GB"/>
        </w:rPr>
        <w:t>2</w:t>
      </w:r>
      <w:r w:rsidRPr="00563AF8">
        <w:rPr>
          <w:color w:val="000000"/>
          <w:lang w:val="en-GB"/>
        </w:rPr>
        <w:t>, CFI = 0.97</w:t>
      </w:r>
      <w:r w:rsidR="00512EDA" w:rsidRPr="00563AF8">
        <w:rPr>
          <w:color w:val="000000"/>
          <w:lang w:val="en-GB"/>
        </w:rPr>
        <w:t>2</w:t>
      </w:r>
      <w:r w:rsidRPr="00563AF8">
        <w:rPr>
          <w:color w:val="000000"/>
          <w:lang w:val="en-GB"/>
        </w:rPr>
        <w:t>, RMSEA = 0.08</w:t>
      </w:r>
      <w:r w:rsidR="00512EDA" w:rsidRPr="00563AF8">
        <w:rPr>
          <w:color w:val="000000"/>
          <w:lang w:val="en-GB"/>
        </w:rPr>
        <w:t>3</w:t>
      </w:r>
      <w:r w:rsidRPr="00563AF8">
        <w:rPr>
          <w:color w:val="000000"/>
          <w:lang w:val="en-GB"/>
        </w:rPr>
        <w:t>). Modification indices suggested allowing residual errors of item 3 (sleep disturbances) and item 4 (tired</w:t>
      </w:r>
      <w:r w:rsidR="00AF4D50" w:rsidRPr="00563AF8">
        <w:rPr>
          <w:color w:val="000000"/>
          <w:lang w:val="en-GB"/>
        </w:rPr>
        <w:t xml:space="preserve"> or </w:t>
      </w:r>
      <w:r w:rsidRPr="00563AF8">
        <w:rPr>
          <w:color w:val="000000"/>
          <w:lang w:val="en-GB"/>
        </w:rPr>
        <w:t>little energy) to covary. The CFA model was refitted allowing these residuals to covary, and fit became sufficiently good (TLI = 0.97</w:t>
      </w:r>
      <w:r w:rsidR="00B74CF2" w:rsidRPr="00563AF8">
        <w:rPr>
          <w:color w:val="000000"/>
          <w:lang w:val="en-GB"/>
        </w:rPr>
        <w:t>3</w:t>
      </w:r>
      <w:r w:rsidRPr="00563AF8">
        <w:rPr>
          <w:color w:val="000000"/>
          <w:lang w:val="en-GB"/>
        </w:rPr>
        <w:t>, CFI = 0.98</w:t>
      </w:r>
      <w:r w:rsidR="00B74CF2" w:rsidRPr="00563AF8">
        <w:rPr>
          <w:color w:val="000000"/>
          <w:lang w:val="en-GB"/>
        </w:rPr>
        <w:t>0</w:t>
      </w:r>
      <w:r w:rsidRPr="00563AF8">
        <w:rPr>
          <w:color w:val="000000"/>
          <w:lang w:val="en-GB"/>
        </w:rPr>
        <w:t>, RMSEA = 0.0</w:t>
      </w:r>
      <w:r w:rsidR="00B74CF2" w:rsidRPr="00563AF8">
        <w:rPr>
          <w:color w:val="000000"/>
          <w:lang w:val="en-GB"/>
        </w:rPr>
        <w:t>71</w:t>
      </w:r>
      <w:r w:rsidRPr="00563AF8">
        <w:rPr>
          <w:color w:val="000000"/>
          <w:lang w:val="en-GB"/>
        </w:rPr>
        <w:t>).</w:t>
      </w:r>
      <w:r w:rsidR="00AF4D50" w:rsidRPr="00563AF8">
        <w:rPr>
          <w:color w:val="000000"/>
          <w:lang w:val="en-GB"/>
        </w:rPr>
        <w:t xml:space="preserve"> Similarly</w:t>
      </w:r>
      <w:r w:rsidR="00EC4E27" w:rsidRPr="00563AF8">
        <w:rPr>
          <w:color w:val="000000"/>
          <w:lang w:val="en-GB"/>
        </w:rPr>
        <w:t>,</w:t>
      </w:r>
      <w:r w:rsidR="00AF4D50" w:rsidRPr="00563AF8">
        <w:rPr>
          <w:color w:val="000000"/>
          <w:lang w:val="en-GB"/>
        </w:rPr>
        <w:t xml:space="preserve"> for the EPDS, the initial model </w:t>
      </w:r>
      <w:r w:rsidRPr="00563AF8">
        <w:rPr>
          <w:color w:val="000000"/>
          <w:lang w:val="en-GB"/>
        </w:rPr>
        <w:t>resulted in less-than-ideal fit (TLI = 0.940, CFI = 0.953, RMSEA = 0.114). Modification indices suggested allowing error measurements of items 1 (</w:t>
      </w:r>
      <w:r w:rsidR="00290A7C" w:rsidRPr="00563AF8">
        <w:rPr>
          <w:color w:val="000000"/>
          <w:lang w:val="en-GB"/>
        </w:rPr>
        <w:t>able to laugh</w:t>
      </w:r>
      <w:r w:rsidRPr="00563AF8">
        <w:rPr>
          <w:color w:val="000000"/>
          <w:lang w:val="en-GB"/>
        </w:rPr>
        <w:t xml:space="preserve">) and 2 (enjoyment of things) plus items 4 (anxious) and 5 (scared or panicky) to covary. </w:t>
      </w:r>
      <w:r w:rsidR="00AF4D50" w:rsidRPr="00563AF8">
        <w:rPr>
          <w:color w:val="000000"/>
          <w:lang w:val="en-GB"/>
        </w:rPr>
        <w:t>T</w:t>
      </w:r>
      <w:r w:rsidRPr="00563AF8">
        <w:rPr>
          <w:color w:val="000000"/>
          <w:lang w:val="en-GB"/>
        </w:rPr>
        <w:t xml:space="preserve">he refitted model </w:t>
      </w:r>
      <w:r w:rsidR="00AF4D50" w:rsidRPr="00563AF8">
        <w:rPr>
          <w:color w:val="000000"/>
          <w:lang w:val="en-GB"/>
        </w:rPr>
        <w:t xml:space="preserve">with covarying error terms </w:t>
      </w:r>
      <w:r w:rsidRPr="00563AF8">
        <w:rPr>
          <w:color w:val="000000"/>
          <w:lang w:val="en-GB"/>
        </w:rPr>
        <w:t>indicated a good fit (TLI = 0.980, CFI = 0.985, RMSEA = 0.066).</w:t>
      </w:r>
      <w:r w:rsidR="00AF4D50" w:rsidRPr="00563AF8">
        <w:rPr>
          <w:color w:val="000000"/>
          <w:lang w:val="en-GB"/>
        </w:rPr>
        <w:t xml:space="preserve"> </w:t>
      </w:r>
      <w:r w:rsidRPr="00563AF8">
        <w:rPr>
          <w:color w:val="000000"/>
          <w:lang w:val="en-GB"/>
        </w:rPr>
        <w:t xml:space="preserve">A unidimensional CFA model of the HADS-D, where covariance of item residuals was restricted to zero, resulted in a good fit (TLI = 0.992, CFI = 0.995, RMSEA = 0.041). </w:t>
      </w:r>
    </w:p>
    <w:p w14:paraId="7FA0CF4D" w14:textId="33E0D935" w:rsidR="000F336B" w:rsidRPr="00563AF8" w:rsidRDefault="002A7B6A" w:rsidP="000F336B">
      <w:pPr>
        <w:spacing w:line="480" w:lineRule="auto"/>
        <w:rPr>
          <w:b/>
          <w:bCs/>
          <w:lang w:val="en-GB"/>
        </w:rPr>
      </w:pPr>
      <w:r>
        <w:rPr>
          <w:b/>
          <w:bCs/>
          <w:lang w:val="en-GB"/>
        </w:rPr>
        <w:t xml:space="preserve">3.3.  </w:t>
      </w:r>
      <w:r w:rsidR="000F336B" w:rsidRPr="00563AF8">
        <w:rPr>
          <w:b/>
          <w:bCs/>
          <w:lang w:val="en-GB"/>
        </w:rPr>
        <w:t xml:space="preserve">Differential </w:t>
      </w:r>
      <w:r>
        <w:rPr>
          <w:b/>
          <w:bCs/>
          <w:lang w:val="en-GB"/>
        </w:rPr>
        <w:t>i</w:t>
      </w:r>
      <w:r w:rsidR="000F336B" w:rsidRPr="00563AF8">
        <w:rPr>
          <w:b/>
          <w:bCs/>
          <w:lang w:val="en-GB"/>
        </w:rPr>
        <w:t xml:space="preserve">tem </w:t>
      </w:r>
      <w:r>
        <w:rPr>
          <w:b/>
          <w:bCs/>
          <w:lang w:val="en-GB"/>
        </w:rPr>
        <w:t>f</w:t>
      </w:r>
      <w:r w:rsidR="000F336B" w:rsidRPr="00563AF8">
        <w:rPr>
          <w:b/>
          <w:bCs/>
          <w:lang w:val="en-GB"/>
        </w:rPr>
        <w:t>unctioning</w:t>
      </w:r>
    </w:p>
    <w:p w14:paraId="573DBDA0" w14:textId="65B112A4" w:rsidR="000F336B" w:rsidRPr="00563AF8" w:rsidRDefault="000F336B" w:rsidP="000F336B">
      <w:pPr>
        <w:spacing w:line="480" w:lineRule="auto"/>
        <w:ind w:firstLine="709"/>
        <w:rPr>
          <w:lang w:val="en-GB"/>
        </w:rPr>
      </w:pPr>
      <w:r w:rsidRPr="00563AF8">
        <w:rPr>
          <w:lang w:val="en-GB"/>
        </w:rPr>
        <w:t>Factor loadings for baseline</w:t>
      </w:r>
      <w:r w:rsidR="00DE2F5F" w:rsidRPr="00563AF8">
        <w:rPr>
          <w:lang w:val="en-GB"/>
        </w:rPr>
        <w:t xml:space="preserve"> (unadjusted)</w:t>
      </w:r>
      <w:r w:rsidRPr="00563AF8">
        <w:rPr>
          <w:lang w:val="en-GB"/>
        </w:rPr>
        <w:t xml:space="preserve"> and </w:t>
      </w:r>
      <w:r w:rsidR="00DE2F5F" w:rsidRPr="00563AF8">
        <w:rPr>
          <w:lang w:val="en-GB"/>
        </w:rPr>
        <w:t>final (</w:t>
      </w:r>
      <w:r w:rsidRPr="00563AF8">
        <w:rPr>
          <w:lang w:val="en-GB"/>
        </w:rPr>
        <w:t>DIF-adjusted</w:t>
      </w:r>
      <w:r w:rsidR="00DE2F5F" w:rsidRPr="00563AF8">
        <w:rPr>
          <w:lang w:val="en-GB"/>
        </w:rPr>
        <w:t>)</w:t>
      </w:r>
      <w:r w:rsidRPr="00563AF8">
        <w:rPr>
          <w:lang w:val="en-GB"/>
        </w:rPr>
        <w:t xml:space="preserve"> MIMIC models are shown for all comparisons in </w:t>
      </w:r>
      <w:r w:rsidR="00EC4E27" w:rsidRPr="00563AF8">
        <w:rPr>
          <w:lang w:val="en-GB"/>
        </w:rPr>
        <w:t>appendices pp 47-49</w:t>
      </w:r>
      <w:r w:rsidRPr="00563AF8">
        <w:rPr>
          <w:lang w:val="en-GB"/>
        </w:rPr>
        <w:t xml:space="preserve"> for the PHQ-9, </w:t>
      </w:r>
      <w:r w:rsidR="00EC4E27" w:rsidRPr="00563AF8">
        <w:rPr>
          <w:lang w:val="en-GB"/>
        </w:rPr>
        <w:t>appendic</w:t>
      </w:r>
      <w:r w:rsidR="00352454" w:rsidRPr="00563AF8">
        <w:rPr>
          <w:lang w:val="en-GB"/>
        </w:rPr>
        <w:t>e</w:t>
      </w:r>
      <w:r w:rsidR="00EC4E27" w:rsidRPr="00563AF8">
        <w:rPr>
          <w:lang w:val="en-GB"/>
        </w:rPr>
        <w:t>s pp 50-52</w:t>
      </w:r>
      <w:r w:rsidRPr="00563AF8">
        <w:rPr>
          <w:lang w:val="en-GB"/>
        </w:rPr>
        <w:t xml:space="preserve"> for the </w:t>
      </w:r>
      <w:r w:rsidRPr="00563AF8">
        <w:rPr>
          <w:lang w:val="en-GB"/>
        </w:rPr>
        <w:lastRenderedPageBreak/>
        <w:t xml:space="preserve">EPDS, and </w:t>
      </w:r>
      <w:r w:rsidR="00EC4E27" w:rsidRPr="00563AF8">
        <w:rPr>
          <w:lang w:val="en-GB"/>
        </w:rPr>
        <w:t>appendices pp 53-54</w:t>
      </w:r>
      <w:r w:rsidRPr="00563AF8">
        <w:rPr>
          <w:lang w:val="en-GB"/>
        </w:rPr>
        <w:t xml:space="preserve"> for the HADS-D.</w:t>
      </w:r>
      <w:r w:rsidRPr="00563AF8">
        <w:rPr>
          <w:b/>
          <w:bCs/>
          <w:lang w:val="en-GB"/>
        </w:rPr>
        <w:t xml:space="preserve"> </w:t>
      </w:r>
      <w:r w:rsidR="0064705B" w:rsidRPr="00563AF8">
        <w:rPr>
          <w:lang w:val="en-GB"/>
        </w:rPr>
        <w:t>As shown in the appendices (pp 47-54), a</w:t>
      </w:r>
      <w:r w:rsidRPr="00563AF8">
        <w:rPr>
          <w:lang w:val="en-GB"/>
        </w:rPr>
        <w:t xml:space="preserve">fter controlling for </w:t>
      </w:r>
      <w:r w:rsidR="00EC4E27" w:rsidRPr="00563AF8">
        <w:rPr>
          <w:lang w:val="en-GB"/>
        </w:rPr>
        <w:t xml:space="preserve">age (PHQ-9 and HADS-D only), </w:t>
      </w:r>
      <w:r w:rsidRPr="00563AF8">
        <w:rPr>
          <w:lang w:val="en-GB"/>
        </w:rPr>
        <w:t xml:space="preserve">sex </w:t>
      </w:r>
      <w:r w:rsidR="00EC4E27" w:rsidRPr="00563AF8">
        <w:rPr>
          <w:lang w:val="en-GB"/>
        </w:rPr>
        <w:t xml:space="preserve">or gender </w:t>
      </w:r>
      <w:r w:rsidRPr="00563AF8">
        <w:rPr>
          <w:lang w:val="en-GB"/>
        </w:rPr>
        <w:t xml:space="preserve">(PHQ-9 and HADS-D only), </w:t>
      </w:r>
      <w:r w:rsidR="00EC4E27" w:rsidRPr="00563AF8">
        <w:rPr>
          <w:lang w:val="en-GB"/>
        </w:rPr>
        <w:t>HDI, and health care setting</w:t>
      </w:r>
      <w:r w:rsidRPr="00563AF8">
        <w:rPr>
          <w:lang w:val="en-GB"/>
        </w:rPr>
        <w:t xml:space="preserve">, most items were identified as having statistically significant but </w:t>
      </w:r>
      <w:r w:rsidR="0064705B" w:rsidRPr="00563AF8">
        <w:rPr>
          <w:lang w:val="en-GB"/>
        </w:rPr>
        <w:t>small-</w:t>
      </w:r>
      <w:r w:rsidR="00EC4E27" w:rsidRPr="00563AF8">
        <w:rPr>
          <w:lang w:val="en-GB"/>
        </w:rPr>
        <w:t xml:space="preserve">magnitude </w:t>
      </w:r>
      <w:r w:rsidRPr="00563AF8">
        <w:rPr>
          <w:lang w:val="en-GB"/>
        </w:rPr>
        <w:t>DIF</w:t>
      </w:r>
      <w:r w:rsidR="007A1DBA">
        <w:rPr>
          <w:lang w:val="en-GB"/>
        </w:rPr>
        <w:t xml:space="preserve">. Some items showed larger magnitude DIF, and the largest was for item 4 of the PHQ-9 (tired or little energy) between self-administered pen-and-paper versus electronic. </w:t>
      </w:r>
      <w:r w:rsidR="0064705B" w:rsidRPr="00563AF8">
        <w:rPr>
          <w:lang w:val="en-GB"/>
        </w:rPr>
        <w:t xml:space="preserve">Perhaps the most sensitive items </w:t>
      </w:r>
      <w:r w:rsidR="007A1DBA">
        <w:rPr>
          <w:lang w:val="en-GB"/>
        </w:rPr>
        <w:t xml:space="preserve">for respondents </w:t>
      </w:r>
      <w:r w:rsidR="0064705B" w:rsidRPr="00563AF8">
        <w:rPr>
          <w:lang w:val="en-GB"/>
        </w:rPr>
        <w:t>on the PROMs we evaluated, item 9 of the PHQ-9, which assesses thoughts of death or self-harm, and item 10 of the EPDS, which assesses thoughts of self-harm, had minimal DIF.</w:t>
      </w:r>
    </w:p>
    <w:p w14:paraId="76A07851" w14:textId="552504E7" w:rsidR="000F336B" w:rsidRPr="00563AF8" w:rsidRDefault="0064705B" w:rsidP="000F336B">
      <w:pPr>
        <w:spacing w:line="480" w:lineRule="auto"/>
        <w:ind w:firstLine="709"/>
        <w:rPr>
          <w:lang w:val="en-GB"/>
        </w:rPr>
      </w:pPr>
      <w:r w:rsidRPr="00563AF8">
        <w:rPr>
          <w:lang w:val="en-GB"/>
        </w:rPr>
        <w:t>As shown in Table 2, i</w:t>
      </w:r>
      <w:r w:rsidR="000F336B" w:rsidRPr="00563AF8">
        <w:rPr>
          <w:lang w:val="en-GB"/>
        </w:rPr>
        <w:t xml:space="preserve">n all comparisons for all </w:t>
      </w:r>
      <w:r w:rsidRPr="00563AF8">
        <w:rPr>
          <w:lang w:val="en-GB"/>
        </w:rPr>
        <w:t>PROMs</w:t>
      </w:r>
      <w:r w:rsidR="000F336B" w:rsidRPr="00563AF8">
        <w:rPr>
          <w:lang w:val="en-GB"/>
        </w:rPr>
        <w:t>, latent factor scores obtained from unadjusted and DIF-corrected models were closely aligned. ICCs and correlation coefficients ranged from 0.995 to 1.000 in the 10 analyses we conducted</w:t>
      </w:r>
      <w:r w:rsidRPr="00563AF8">
        <w:rPr>
          <w:lang w:val="en-GB"/>
        </w:rPr>
        <w:t>,</w:t>
      </w:r>
      <w:r w:rsidR="000F336B" w:rsidRPr="00563AF8">
        <w:rPr>
          <w:lang w:val="en-GB"/>
        </w:rPr>
        <w:t xml:space="preserve"> indicating near perfect concordance between </w:t>
      </w:r>
      <w:r w:rsidRPr="00563AF8">
        <w:rPr>
          <w:lang w:val="en-GB"/>
        </w:rPr>
        <w:t xml:space="preserve">latent depression symptom </w:t>
      </w:r>
      <w:r w:rsidR="000F336B" w:rsidRPr="00563AF8">
        <w:rPr>
          <w:lang w:val="en-GB"/>
        </w:rPr>
        <w:t xml:space="preserve">scores </w:t>
      </w:r>
      <w:r w:rsidR="007A1DBA">
        <w:rPr>
          <w:lang w:val="en-GB"/>
        </w:rPr>
        <w:t>when</w:t>
      </w:r>
      <w:r w:rsidR="000F336B" w:rsidRPr="00563AF8">
        <w:rPr>
          <w:lang w:val="en-GB"/>
        </w:rPr>
        <w:t xml:space="preserve"> DIF was </w:t>
      </w:r>
      <w:r w:rsidR="007A1DBA">
        <w:rPr>
          <w:lang w:val="en-GB"/>
        </w:rPr>
        <w:t xml:space="preserve">or was not </w:t>
      </w:r>
      <w:r w:rsidR="000F336B" w:rsidRPr="00563AF8">
        <w:rPr>
          <w:lang w:val="en-GB"/>
        </w:rPr>
        <w:t xml:space="preserve">considered. </w:t>
      </w:r>
      <w:r w:rsidR="00A729BB" w:rsidRPr="00563AF8">
        <w:rPr>
          <w:lang w:val="en-GB"/>
        </w:rPr>
        <w:t xml:space="preserve">As shown in Table 3, consistent with this, </w:t>
      </w:r>
      <w:r w:rsidR="000F336B" w:rsidRPr="00563AF8">
        <w:rPr>
          <w:lang w:val="en-GB"/>
        </w:rPr>
        <w:t>the standardized mean differences on the latent factor between mode of administration in the unadjusted baseline model</w:t>
      </w:r>
      <w:r w:rsidR="00A729BB" w:rsidRPr="00563AF8">
        <w:rPr>
          <w:lang w:val="en-GB"/>
        </w:rPr>
        <w:t>s</w:t>
      </w:r>
      <w:r w:rsidR="000F336B" w:rsidRPr="00563AF8">
        <w:rPr>
          <w:lang w:val="en-GB"/>
        </w:rPr>
        <w:t xml:space="preserve"> and in model controlling for DIF </w:t>
      </w:r>
      <w:r w:rsidR="00A729BB" w:rsidRPr="00563AF8">
        <w:rPr>
          <w:lang w:val="en-GB"/>
        </w:rPr>
        <w:t>were similar.</w:t>
      </w:r>
      <w:r w:rsidR="000F336B" w:rsidRPr="00563AF8">
        <w:rPr>
          <w:color w:val="000000"/>
          <w:shd w:val="clear" w:color="auto" w:fill="FFFFFF"/>
          <w:lang w:val="en-GB"/>
        </w:rPr>
        <w:t xml:space="preserve"> </w:t>
      </w:r>
      <w:r w:rsidR="00A729BB" w:rsidRPr="00563AF8">
        <w:rPr>
          <w:color w:val="000000"/>
          <w:shd w:val="clear" w:color="auto" w:fill="FFFFFF"/>
          <w:lang w:val="en-GB"/>
        </w:rPr>
        <w:t>Unadjusted and adjusted estimates were within 0.05 SMD of each other in 8 of 10 comparisons, 0.07 in one, and 0.13 in another, all minimal to small.</w:t>
      </w:r>
    </w:p>
    <w:p w14:paraId="0534A96D" w14:textId="7E9114F9" w:rsidR="000F336B" w:rsidRPr="001C32EA" w:rsidRDefault="001C32EA" w:rsidP="001C32EA">
      <w:pPr>
        <w:pStyle w:val="ListParagraph"/>
        <w:numPr>
          <w:ilvl w:val="0"/>
          <w:numId w:val="12"/>
        </w:numPr>
        <w:spacing w:line="480" w:lineRule="auto"/>
        <w:rPr>
          <w:rFonts w:ascii="Times New Roman" w:hAnsi="Times New Roman"/>
          <w:b/>
          <w:bCs/>
          <w:lang w:val="en-GB"/>
        </w:rPr>
      </w:pPr>
      <w:r w:rsidRPr="001C32EA">
        <w:rPr>
          <w:rFonts w:ascii="Times New Roman" w:hAnsi="Times New Roman"/>
          <w:b/>
          <w:bCs/>
          <w:lang w:val="en-GB"/>
        </w:rPr>
        <w:t>Discussion</w:t>
      </w:r>
    </w:p>
    <w:p w14:paraId="00864B8D" w14:textId="095CB09D" w:rsidR="00A14C06" w:rsidRPr="00563AF8" w:rsidRDefault="00A14C06" w:rsidP="00A14C06">
      <w:pPr>
        <w:spacing w:line="480" w:lineRule="auto"/>
        <w:ind w:firstLine="720"/>
        <w:rPr>
          <w:color w:val="000000" w:themeColor="text1"/>
          <w:lang w:val="en-GB"/>
        </w:rPr>
      </w:pPr>
      <w:r w:rsidRPr="00563AF8">
        <w:rPr>
          <w:lang w:val="en-GB"/>
        </w:rPr>
        <w:t xml:space="preserve">We evaluated the influence of DIF based on the mode by which </w:t>
      </w:r>
      <w:r w:rsidR="00A729BB" w:rsidRPr="00563AF8">
        <w:rPr>
          <w:lang w:val="en-GB"/>
        </w:rPr>
        <w:t xml:space="preserve">three </w:t>
      </w:r>
      <w:r w:rsidRPr="00563AF8">
        <w:rPr>
          <w:lang w:val="en-GB"/>
        </w:rPr>
        <w:t>depression symptom questionnaires</w:t>
      </w:r>
      <w:r w:rsidR="00A729BB" w:rsidRPr="00563AF8">
        <w:rPr>
          <w:lang w:val="en-GB"/>
        </w:rPr>
        <w:t xml:space="preserve">, </w:t>
      </w:r>
      <w:r w:rsidRPr="00563AF8">
        <w:rPr>
          <w:lang w:val="en-GB"/>
        </w:rPr>
        <w:t xml:space="preserve">the PHQ-9 (N = </w:t>
      </w:r>
      <w:r w:rsidR="0026343B" w:rsidRPr="00563AF8">
        <w:rPr>
          <w:lang w:val="en-GB"/>
        </w:rPr>
        <w:t>34,529</w:t>
      </w:r>
      <w:r w:rsidRPr="00563AF8">
        <w:rPr>
          <w:lang w:val="en-GB"/>
        </w:rPr>
        <w:t>), EPDS (N = 16,813), and HADS-D (N = 16,768)</w:t>
      </w:r>
      <w:r w:rsidR="00A729BB" w:rsidRPr="00563AF8">
        <w:rPr>
          <w:lang w:val="en-GB"/>
        </w:rPr>
        <w:t>, were administered</w:t>
      </w:r>
      <w:r w:rsidRPr="00563AF8">
        <w:rPr>
          <w:lang w:val="en-GB"/>
        </w:rPr>
        <w:t xml:space="preserve"> We compared </w:t>
      </w:r>
      <w:r w:rsidR="00525D10">
        <w:rPr>
          <w:lang w:val="en-GB"/>
        </w:rPr>
        <w:t>(</w:t>
      </w:r>
      <w:r w:rsidRPr="00563AF8">
        <w:rPr>
          <w:color w:val="000000" w:themeColor="text1"/>
          <w:lang w:val="en-GB"/>
        </w:rPr>
        <w:t xml:space="preserve">1) self-administration versus interview-administration. </w:t>
      </w:r>
      <w:r w:rsidR="00A729BB" w:rsidRPr="00563AF8">
        <w:rPr>
          <w:color w:val="000000" w:themeColor="text1"/>
          <w:lang w:val="en-GB"/>
        </w:rPr>
        <w:t>Within</w:t>
      </w:r>
      <w:r w:rsidRPr="00563AF8">
        <w:rPr>
          <w:color w:val="000000" w:themeColor="text1"/>
          <w:lang w:val="en-GB"/>
        </w:rPr>
        <w:t xml:space="preserve"> self-administration, we compared (2) administration in research </w:t>
      </w:r>
      <w:r w:rsidR="00A729BB" w:rsidRPr="00563AF8">
        <w:rPr>
          <w:color w:val="000000" w:themeColor="text1"/>
          <w:lang w:val="en-GB"/>
        </w:rPr>
        <w:t xml:space="preserve">or medical </w:t>
      </w:r>
      <w:r w:rsidRPr="00563AF8">
        <w:rPr>
          <w:color w:val="000000" w:themeColor="text1"/>
          <w:lang w:val="en-GB"/>
        </w:rPr>
        <w:t xml:space="preserve">settings to private administration outside of a research setting (e.g., at home); and (3) </w:t>
      </w:r>
      <w:r w:rsidRPr="00563AF8">
        <w:rPr>
          <w:color w:val="000000" w:themeColor="text1"/>
          <w:lang w:val="en-GB"/>
        </w:rPr>
        <w:lastRenderedPageBreak/>
        <w:t>administration via pen-and-paper</w:t>
      </w:r>
      <w:r w:rsidR="00A729BB" w:rsidRPr="00563AF8">
        <w:rPr>
          <w:color w:val="000000" w:themeColor="text1"/>
          <w:lang w:val="en-GB"/>
        </w:rPr>
        <w:t xml:space="preserve"> forms versus electronic forms</w:t>
      </w:r>
      <w:r w:rsidRPr="00563AF8">
        <w:rPr>
          <w:color w:val="000000" w:themeColor="text1"/>
          <w:lang w:val="en-GB"/>
        </w:rPr>
        <w:t>. Among interview-administered assessments, we compared (4) in-person administration versus phone administration.</w:t>
      </w:r>
    </w:p>
    <w:p w14:paraId="607D33C2" w14:textId="5909E866" w:rsidR="00112C27" w:rsidRPr="00563AF8" w:rsidRDefault="000F336B" w:rsidP="00112C27">
      <w:pPr>
        <w:spacing w:line="480" w:lineRule="auto"/>
        <w:ind w:firstLine="720"/>
        <w:rPr>
          <w:lang w:val="en-GB"/>
        </w:rPr>
      </w:pPr>
      <w:r w:rsidRPr="00563AF8">
        <w:rPr>
          <w:lang w:val="en-GB"/>
        </w:rPr>
        <w:t xml:space="preserve">As expected, given the large sample size in each analysis, we found statistically significant, but </w:t>
      </w:r>
      <w:r w:rsidR="00126C41">
        <w:rPr>
          <w:lang w:val="en-GB"/>
        </w:rPr>
        <w:t xml:space="preserve">mostly </w:t>
      </w:r>
      <w:r w:rsidRPr="00563AF8">
        <w:rPr>
          <w:lang w:val="en-GB"/>
        </w:rPr>
        <w:t>small</w:t>
      </w:r>
      <w:r w:rsidR="00A729BB" w:rsidRPr="00563AF8">
        <w:rPr>
          <w:lang w:val="en-GB"/>
        </w:rPr>
        <w:t xml:space="preserve"> magnitude DIF</w:t>
      </w:r>
      <w:r w:rsidRPr="00563AF8">
        <w:rPr>
          <w:lang w:val="en-GB"/>
        </w:rPr>
        <w:t>. The presence of DIF did not meaningfully influence latent depression</w:t>
      </w:r>
      <w:r w:rsidR="00126C41">
        <w:rPr>
          <w:lang w:val="en-GB"/>
        </w:rPr>
        <w:t xml:space="preserve"> symptom</w:t>
      </w:r>
      <w:r w:rsidRPr="00563AF8">
        <w:rPr>
          <w:lang w:val="en-GB"/>
        </w:rPr>
        <w:t xml:space="preserve"> factor levels for any of the measures. Pearson’s correlations and ICCs between latent factor levels that did and did not account for DIF ranged </w:t>
      </w:r>
      <w:r w:rsidR="00A729BB" w:rsidRPr="00563AF8">
        <w:rPr>
          <w:lang w:val="en-GB"/>
        </w:rPr>
        <w:t xml:space="preserve">from </w:t>
      </w:r>
      <w:r w:rsidRPr="00563AF8">
        <w:rPr>
          <w:lang w:val="en-GB"/>
        </w:rPr>
        <w:t xml:space="preserve">0.995 and 1.000, indicating near perfect correlation and near perfect agreement. The standardized mean differences for the latent factor across modes of administration assessed in each model did not meaningfully change between models that did and did not account for DIF, similarly indicating a negligible impact of DIF on latent factor scores. </w:t>
      </w:r>
    </w:p>
    <w:p w14:paraId="330D8C79" w14:textId="081E012A" w:rsidR="000F336B" w:rsidRPr="00563AF8" w:rsidRDefault="000F336B" w:rsidP="000F336B">
      <w:pPr>
        <w:spacing w:line="480" w:lineRule="auto"/>
        <w:ind w:firstLine="720"/>
        <w:rPr>
          <w:lang w:val="en-GB"/>
        </w:rPr>
      </w:pPr>
      <w:r w:rsidRPr="00563AF8">
        <w:rPr>
          <w:lang w:val="en-GB"/>
        </w:rPr>
        <w:t xml:space="preserve">This is by far the largest study that has compared </w:t>
      </w:r>
      <w:r w:rsidR="00EB3025" w:rsidRPr="00563AF8">
        <w:rPr>
          <w:lang w:val="en-GB"/>
        </w:rPr>
        <w:t>mental health symptom PROM</w:t>
      </w:r>
      <w:r w:rsidR="00355F9E">
        <w:rPr>
          <w:lang w:val="en-GB"/>
        </w:rPr>
        <w:t>s</w:t>
      </w:r>
      <w:r w:rsidR="00EB3025" w:rsidRPr="00563AF8">
        <w:rPr>
          <w:lang w:val="en-GB"/>
        </w:rPr>
        <w:t xml:space="preserve"> across administration modes</w:t>
      </w:r>
      <w:r w:rsidRPr="00563AF8">
        <w:rPr>
          <w:rFonts w:eastAsiaTheme="minorEastAsia"/>
          <w:lang w:val="en-GB" w:eastAsia="zh-CN"/>
        </w:rPr>
        <w:t>. We found that the PHQ-9, EPDS, and HADS-D</w:t>
      </w:r>
      <w:r w:rsidRPr="00563AF8" w:rsidDel="002A02CC">
        <w:rPr>
          <w:rFonts w:eastAsiaTheme="minorEastAsia"/>
          <w:lang w:val="en-GB" w:eastAsia="zh-CN"/>
        </w:rPr>
        <w:t xml:space="preserve"> </w:t>
      </w:r>
      <w:r w:rsidRPr="00563AF8">
        <w:rPr>
          <w:rFonts w:eastAsiaTheme="minorEastAsia"/>
          <w:lang w:val="en-GB" w:eastAsia="zh-CN"/>
        </w:rPr>
        <w:t xml:space="preserve">performed similarly across different modes and that total scores were comparable, </w:t>
      </w:r>
      <w:r w:rsidR="00EB3025" w:rsidRPr="00563AF8">
        <w:rPr>
          <w:rFonts w:eastAsiaTheme="minorEastAsia"/>
          <w:lang w:val="en-GB" w:eastAsia="zh-CN"/>
        </w:rPr>
        <w:t xml:space="preserve">which is generally </w:t>
      </w:r>
      <w:r w:rsidRPr="00563AF8">
        <w:rPr>
          <w:rFonts w:eastAsiaTheme="minorEastAsia"/>
          <w:lang w:val="en-GB" w:eastAsia="zh-CN"/>
        </w:rPr>
        <w:t xml:space="preserve">consistent with previous meta-analyses that did not focus on mental health measures </w:t>
      </w:r>
      <w:r w:rsidR="00EB3025" w:rsidRPr="00563AF8">
        <w:rPr>
          <w:rFonts w:eastAsiaTheme="minorEastAsia"/>
          <w:lang w:val="en-GB" w:eastAsia="zh-CN"/>
        </w:rPr>
        <w:t>(</w:t>
      </w:r>
      <w:r w:rsidR="00126C41">
        <w:rPr>
          <w:rFonts w:eastAsiaTheme="minorEastAsia"/>
          <w:lang w:val="en-GB" w:eastAsia="zh-CN"/>
        </w:rPr>
        <w:t xml:space="preserve">see </w:t>
      </w:r>
      <w:r w:rsidR="00EB3025" w:rsidRPr="00563AF8">
        <w:rPr>
          <w:rFonts w:eastAsiaTheme="minorEastAsia"/>
          <w:lang w:val="en-GB" w:eastAsia="zh-CN"/>
        </w:rPr>
        <w:t>appendices pp 3-8)</w:t>
      </w:r>
      <w:r w:rsidRPr="00563AF8">
        <w:rPr>
          <w:rFonts w:eastAsiaTheme="minorEastAsia"/>
          <w:lang w:val="en-GB" w:eastAsia="zh-CN"/>
        </w:rPr>
        <w:t xml:space="preserve">. </w:t>
      </w:r>
    </w:p>
    <w:p w14:paraId="546FE6A8" w14:textId="4F2CDB5D" w:rsidR="00FC5C39" w:rsidRPr="00563AF8" w:rsidRDefault="000F336B" w:rsidP="00FC5C39">
      <w:pPr>
        <w:spacing w:line="480" w:lineRule="auto"/>
        <w:ind w:firstLine="720"/>
        <w:rPr>
          <w:lang w:val="en-GB"/>
        </w:rPr>
      </w:pPr>
      <w:r w:rsidRPr="00563AF8">
        <w:rPr>
          <w:lang w:val="en-GB"/>
        </w:rPr>
        <w:t>This study has several research</w:t>
      </w:r>
      <w:r w:rsidR="00FC5C39" w:rsidRPr="00563AF8">
        <w:rPr>
          <w:lang w:val="en-GB"/>
        </w:rPr>
        <w:t xml:space="preserve"> and clinical</w:t>
      </w:r>
      <w:r w:rsidRPr="00563AF8">
        <w:rPr>
          <w:lang w:val="en-GB"/>
        </w:rPr>
        <w:t xml:space="preserve"> implications. Researchers may </w:t>
      </w:r>
      <w:r w:rsidR="00FC5C39" w:rsidRPr="00563AF8">
        <w:rPr>
          <w:lang w:val="en-GB"/>
        </w:rPr>
        <w:t xml:space="preserve">choose </w:t>
      </w:r>
      <w:r w:rsidRPr="00563AF8">
        <w:rPr>
          <w:lang w:val="en-GB"/>
        </w:rPr>
        <w:t xml:space="preserve">to administer the PHQ-9, EPDS, or HADS-D using </w:t>
      </w:r>
      <w:r w:rsidR="00FC5C39" w:rsidRPr="00563AF8">
        <w:rPr>
          <w:lang w:val="en-GB"/>
        </w:rPr>
        <w:t xml:space="preserve">a range of administration </w:t>
      </w:r>
      <w:r w:rsidRPr="00563AF8">
        <w:rPr>
          <w:lang w:val="en-GB"/>
        </w:rPr>
        <w:t>mode</w:t>
      </w:r>
      <w:r w:rsidR="00FC5C39" w:rsidRPr="00563AF8">
        <w:rPr>
          <w:lang w:val="en-GB"/>
        </w:rPr>
        <w:t>s</w:t>
      </w:r>
      <w:r w:rsidRPr="00563AF8">
        <w:rPr>
          <w:lang w:val="en-GB"/>
        </w:rPr>
        <w:t xml:space="preserve"> without </w:t>
      </w:r>
      <w:r w:rsidR="00126C41">
        <w:rPr>
          <w:lang w:val="en-GB"/>
        </w:rPr>
        <w:t>being concerned that</w:t>
      </w:r>
      <w:r w:rsidR="00126C41" w:rsidRPr="00563AF8">
        <w:rPr>
          <w:lang w:val="en-GB"/>
        </w:rPr>
        <w:t xml:space="preserve"> </w:t>
      </w:r>
      <w:r w:rsidR="008966CC" w:rsidRPr="00563AF8">
        <w:rPr>
          <w:lang w:val="en-GB"/>
        </w:rPr>
        <w:t xml:space="preserve">the measures should be </w:t>
      </w:r>
      <w:r w:rsidRPr="00563AF8">
        <w:rPr>
          <w:lang w:val="en-GB"/>
        </w:rPr>
        <w:t>sco</w:t>
      </w:r>
      <w:r w:rsidR="008966CC" w:rsidRPr="00563AF8">
        <w:rPr>
          <w:lang w:val="en-GB"/>
        </w:rPr>
        <w:t>red differently</w:t>
      </w:r>
      <w:r w:rsidRPr="00563AF8">
        <w:rPr>
          <w:lang w:val="en-GB"/>
        </w:rPr>
        <w:t>.</w:t>
      </w:r>
      <w:r w:rsidR="00FC5C39" w:rsidRPr="00563AF8">
        <w:rPr>
          <w:lang w:val="en-GB"/>
        </w:rPr>
        <w:t xml:space="preserve"> Factors such as research participant preferences, feasibility, and cost can be considered in selecting administration</w:t>
      </w:r>
      <w:r w:rsidR="00126C41">
        <w:rPr>
          <w:lang w:val="en-GB"/>
        </w:rPr>
        <w:t xml:space="preserve"> mode</w:t>
      </w:r>
      <w:r w:rsidR="00FC5C39" w:rsidRPr="00563AF8">
        <w:rPr>
          <w:lang w:val="en-GB"/>
        </w:rPr>
        <w:t xml:space="preserve">. </w:t>
      </w:r>
      <w:r w:rsidRPr="00563AF8">
        <w:rPr>
          <w:lang w:val="en-GB"/>
        </w:rPr>
        <w:t xml:space="preserve">When conducting </w:t>
      </w:r>
      <w:r w:rsidR="00B7000D" w:rsidRPr="00563AF8">
        <w:rPr>
          <w:lang w:val="en-GB"/>
        </w:rPr>
        <w:t xml:space="preserve">primary or </w:t>
      </w:r>
      <w:r w:rsidRPr="00563AF8">
        <w:rPr>
          <w:lang w:val="en-GB"/>
        </w:rPr>
        <w:t xml:space="preserve">secondary analyses, researchers may synthesize evidence and results obtained from </w:t>
      </w:r>
      <w:r w:rsidR="00FC5C39" w:rsidRPr="00563AF8">
        <w:rPr>
          <w:lang w:val="en-GB"/>
        </w:rPr>
        <w:t>these PROMs</w:t>
      </w:r>
      <w:r w:rsidRPr="00563AF8">
        <w:rPr>
          <w:lang w:val="en-GB"/>
        </w:rPr>
        <w:t xml:space="preserve"> across the different </w:t>
      </w:r>
      <w:r w:rsidR="00FC5C39" w:rsidRPr="00563AF8">
        <w:rPr>
          <w:lang w:val="en-GB"/>
        </w:rPr>
        <w:t xml:space="preserve">administration </w:t>
      </w:r>
      <w:r w:rsidRPr="00563AF8">
        <w:rPr>
          <w:lang w:val="en-GB"/>
        </w:rPr>
        <w:t xml:space="preserve">modes. </w:t>
      </w:r>
      <w:r w:rsidR="00FC5C39" w:rsidRPr="00563AF8">
        <w:rPr>
          <w:lang w:val="en-GB"/>
        </w:rPr>
        <w:t>Clinically, depression symptom PROMs are often collected as part of diagnostic assessments or to inform treatment decisions through progress monitoring and measurement-based care</w:t>
      </w:r>
      <w:r w:rsidR="00650CA8">
        <w:rPr>
          <w:lang w:val="en-GB"/>
        </w:rPr>
        <w:t xml:space="preserve"> </w:t>
      </w:r>
      <w:r w:rsidR="00DD10FB">
        <w:rPr>
          <w:lang w:val="en-GB"/>
        </w:rPr>
        <w:t>(Tasca et al., 2019)</w:t>
      </w:r>
      <w:r w:rsidR="00FC5C39" w:rsidRPr="00563AF8">
        <w:rPr>
          <w:lang w:val="en-GB"/>
        </w:rPr>
        <w:t xml:space="preserve">. Based on our results, clinicians may administer the PHQ-9, EPDS, or HADS-D via multiple modes </w:t>
      </w:r>
      <w:r w:rsidR="00FC5C39" w:rsidRPr="00563AF8">
        <w:rPr>
          <w:lang w:val="en-GB"/>
        </w:rPr>
        <w:lastRenderedPageBreak/>
        <w:t>without undue concern that scores will be influenced. For instance, they can be administered in person or as part of a telehealth appointment</w:t>
      </w:r>
      <w:r w:rsidR="00126C41">
        <w:rPr>
          <w:lang w:val="en-GB"/>
        </w:rPr>
        <w:t>, and scores can be interpreted in the same way.</w:t>
      </w:r>
    </w:p>
    <w:p w14:paraId="185462CB" w14:textId="3E69A1CF" w:rsidR="000F336B" w:rsidRPr="00563AF8" w:rsidRDefault="00FC5C39" w:rsidP="00FB2615">
      <w:pPr>
        <w:spacing w:line="480" w:lineRule="auto"/>
        <w:ind w:firstLine="720"/>
        <w:rPr>
          <w:lang w:val="en-GB"/>
        </w:rPr>
      </w:pPr>
      <w:r w:rsidRPr="00563AF8">
        <w:rPr>
          <w:lang w:val="en-GB"/>
        </w:rPr>
        <w:t>There are limitations to consider.</w:t>
      </w:r>
      <w:r w:rsidR="000F336B" w:rsidRPr="00563AF8">
        <w:rPr>
          <w:lang w:val="en-GB"/>
        </w:rPr>
        <w:t xml:space="preserve"> First, in our data synthesis, we were unable to obtain data from all investigators we contacted</w:t>
      </w:r>
      <w:r w:rsidRPr="00563AF8">
        <w:rPr>
          <w:lang w:val="en-GB"/>
        </w:rPr>
        <w:t>. For the</w:t>
      </w:r>
      <w:r w:rsidR="000F336B" w:rsidRPr="00563AF8">
        <w:rPr>
          <w:lang w:val="en-GB"/>
        </w:rPr>
        <w:t xml:space="preserve"> PHQ-9, we could not include data from 3</w:t>
      </w:r>
      <w:r w:rsidR="0026343B" w:rsidRPr="00563AF8">
        <w:rPr>
          <w:lang w:val="en-GB"/>
        </w:rPr>
        <w:t>1</w:t>
      </w:r>
      <w:r w:rsidR="000F336B" w:rsidRPr="00563AF8">
        <w:rPr>
          <w:lang w:val="en-GB"/>
        </w:rPr>
        <w:t xml:space="preserve"> of 126 </w:t>
      </w:r>
      <w:r w:rsidRPr="00563AF8">
        <w:rPr>
          <w:lang w:val="en-GB"/>
        </w:rPr>
        <w:t xml:space="preserve">eligible </w:t>
      </w:r>
      <w:r w:rsidR="000F336B" w:rsidRPr="00563AF8">
        <w:rPr>
          <w:lang w:val="en-GB"/>
        </w:rPr>
        <w:t xml:space="preserve">published studies; for </w:t>
      </w:r>
      <w:r w:rsidRPr="00563AF8">
        <w:rPr>
          <w:lang w:val="en-GB"/>
        </w:rPr>
        <w:t xml:space="preserve">the </w:t>
      </w:r>
      <w:r w:rsidR="000F336B" w:rsidRPr="00563AF8">
        <w:rPr>
          <w:lang w:val="en-GB"/>
        </w:rPr>
        <w:t xml:space="preserve">EPDS, 25 of 82; and for </w:t>
      </w:r>
      <w:r w:rsidRPr="00563AF8">
        <w:rPr>
          <w:lang w:val="en-GB"/>
        </w:rPr>
        <w:t xml:space="preserve">the </w:t>
      </w:r>
      <w:r w:rsidR="000F336B" w:rsidRPr="00563AF8">
        <w:rPr>
          <w:lang w:val="en-GB"/>
        </w:rPr>
        <w:t>HADS-D, 72 of 165</w:t>
      </w:r>
      <w:r w:rsidRPr="00563AF8">
        <w:rPr>
          <w:lang w:val="en-GB"/>
        </w:rPr>
        <w:t xml:space="preserve"> (</w:t>
      </w:r>
      <w:r w:rsidR="000F336B" w:rsidRPr="00563AF8">
        <w:rPr>
          <w:lang w:val="en-GB"/>
        </w:rPr>
        <w:t xml:space="preserve">see </w:t>
      </w:r>
      <w:r w:rsidRPr="00563AF8">
        <w:rPr>
          <w:lang w:val="en-GB"/>
        </w:rPr>
        <w:t>appendices pp 18-20</w:t>
      </w:r>
      <w:r w:rsidR="000F336B" w:rsidRPr="00563AF8">
        <w:rPr>
          <w:lang w:val="en-GB"/>
        </w:rPr>
        <w:t xml:space="preserve">). However, pooled estimates of </w:t>
      </w:r>
      <w:r w:rsidRPr="00563AF8">
        <w:rPr>
          <w:lang w:val="en-GB"/>
        </w:rPr>
        <w:t xml:space="preserve">screening </w:t>
      </w:r>
      <w:r w:rsidR="000F336B" w:rsidRPr="00563AF8">
        <w:rPr>
          <w:lang w:val="en-GB"/>
        </w:rPr>
        <w:t xml:space="preserve">accuracy from </w:t>
      </w:r>
      <w:r w:rsidR="00126C41">
        <w:rPr>
          <w:lang w:val="en-GB"/>
        </w:rPr>
        <w:t xml:space="preserve">previous </w:t>
      </w:r>
      <w:r w:rsidR="000F336B" w:rsidRPr="00563AF8">
        <w:rPr>
          <w:lang w:val="en-GB"/>
        </w:rPr>
        <w:t xml:space="preserve">meta-analyses </w:t>
      </w:r>
      <w:r w:rsidRPr="00563AF8">
        <w:rPr>
          <w:lang w:val="en-GB"/>
        </w:rPr>
        <w:t xml:space="preserve">in these datasets that incorporated </w:t>
      </w:r>
      <w:r w:rsidR="000F336B" w:rsidRPr="00563AF8">
        <w:rPr>
          <w:lang w:val="en-GB"/>
        </w:rPr>
        <w:t>aggregate</w:t>
      </w:r>
      <w:r w:rsidRPr="00563AF8">
        <w:rPr>
          <w:lang w:val="en-GB"/>
        </w:rPr>
        <w:t xml:space="preserve"> and IPDMA data</w:t>
      </w:r>
      <w:r w:rsidR="000F336B" w:rsidRPr="00563AF8">
        <w:rPr>
          <w:lang w:val="en-GB"/>
        </w:rPr>
        <w:t xml:space="preserve"> versus analyses that only used IPDMA were similar</w:t>
      </w:r>
      <w:r w:rsidR="00434A76">
        <w:rPr>
          <w:lang w:val="en-GB"/>
        </w:rPr>
        <w:t xml:space="preserve"> </w:t>
      </w:r>
      <w:r w:rsidR="009579EA">
        <w:rPr>
          <w:lang w:val="en-GB"/>
        </w:rPr>
        <w:t>(Levis et al., 2020a; Negeri et al., 2021; Wu et al., 2021)</w:t>
      </w:r>
      <w:r w:rsidRPr="00563AF8">
        <w:rPr>
          <w:lang w:val="en-GB"/>
        </w:rPr>
        <w:t>.</w:t>
      </w:r>
      <w:r w:rsidR="000F336B" w:rsidRPr="00563AF8">
        <w:rPr>
          <w:lang w:val="en-GB"/>
        </w:rPr>
        <w:t xml:space="preserve"> Second, the </w:t>
      </w:r>
      <w:r w:rsidRPr="00563AF8">
        <w:rPr>
          <w:lang w:val="en-GB"/>
        </w:rPr>
        <w:t>datasets that we analy</w:t>
      </w:r>
      <w:r w:rsidR="00126C41">
        <w:rPr>
          <w:lang w:val="en-GB"/>
        </w:rPr>
        <w:t>s</w:t>
      </w:r>
      <w:r w:rsidRPr="00563AF8">
        <w:rPr>
          <w:lang w:val="en-GB"/>
        </w:rPr>
        <w:t>ed</w:t>
      </w:r>
      <w:r w:rsidR="000F336B" w:rsidRPr="00563AF8">
        <w:rPr>
          <w:lang w:val="en-GB"/>
        </w:rPr>
        <w:t xml:space="preserve">, although providing the best evidence available on this topic to date, were not originally designed </w:t>
      </w:r>
      <w:r w:rsidRPr="00563AF8">
        <w:rPr>
          <w:lang w:val="en-GB"/>
        </w:rPr>
        <w:t>to compare administration mode</w:t>
      </w:r>
      <w:r w:rsidR="000F336B" w:rsidRPr="00563AF8">
        <w:rPr>
          <w:lang w:val="en-GB"/>
        </w:rPr>
        <w:t xml:space="preserve">. </w:t>
      </w:r>
      <w:r w:rsidRPr="00563AF8">
        <w:rPr>
          <w:lang w:val="en-GB"/>
        </w:rPr>
        <w:t>Large</w:t>
      </w:r>
      <w:r w:rsidR="00126C41">
        <w:rPr>
          <w:lang w:val="en-GB"/>
        </w:rPr>
        <w:t>,</w:t>
      </w:r>
      <w:r w:rsidR="000F336B" w:rsidRPr="00563AF8">
        <w:rPr>
          <w:lang w:val="en-GB"/>
        </w:rPr>
        <w:t xml:space="preserve"> randomi</w:t>
      </w:r>
      <w:r w:rsidR="005E58AC" w:rsidRPr="00563AF8">
        <w:rPr>
          <w:lang w:val="en-GB"/>
        </w:rPr>
        <w:t>s</w:t>
      </w:r>
      <w:r w:rsidR="000F336B" w:rsidRPr="00563AF8">
        <w:rPr>
          <w:lang w:val="en-GB"/>
        </w:rPr>
        <w:t xml:space="preserve">ed experiments </w:t>
      </w:r>
      <w:r w:rsidRPr="00563AF8">
        <w:rPr>
          <w:lang w:val="en-GB"/>
        </w:rPr>
        <w:t xml:space="preserve">that </w:t>
      </w:r>
      <w:r w:rsidR="000F336B" w:rsidRPr="00563AF8">
        <w:rPr>
          <w:lang w:val="en-GB"/>
        </w:rPr>
        <w:t xml:space="preserve">assess the </w:t>
      </w:r>
      <w:r w:rsidR="005E58AC" w:rsidRPr="00563AF8">
        <w:rPr>
          <w:lang w:val="en-GB"/>
        </w:rPr>
        <w:t xml:space="preserve">effects </w:t>
      </w:r>
      <w:r w:rsidR="000F336B" w:rsidRPr="00563AF8">
        <w:rPr>
          <w:lang w:val="en-GB"/>
        </w:rPr>
        <w:t xml:space="preserve">of different </w:t>
      </w:r>
      <w:r w:rsidR="005E58AC" w:rsidRPr="00563AF8">
        <w:rPr>
          <w:lang w:val="en-GB"/>
        </w:rPr>
        <w:t xml:space="preserve">administration </w:t>
      </w:r>
      <w:r w:rsidR="000F336B" w:rsidRPr="00563AF8">
        <w:rPr>
          <w:lang w:val="en-GB"/>
        </w:rPr>
        <w:t>modes for these scales</w:t>
      </w:r>
      <w:r w:rsidR="005E58AC" w:rsidRPr="00563AF8">
        <w:rPr>
          <w:lang w:val="en-GB"/>
        </w:rPr>
        <w:t xml:space="preserve"> would provide strong evidence</w:t>
      </w:r>
      <w:r w:rsidR="000F336B" w:rsidRPr="00563AF8">
        <w:rPr>
          <w:lang w:val="en-GB"/>
        </w:rPr>
        <w:t xml:space="preserve">. </w:t>
      </w:r>
      <w:r w:rsidR="005E58AC" w:rsidRPr="00563AF8">
        <w:rPr>
          <w:lang w:val="en-GB"/>
        </w:rPr>
        <w:t xml:space="preserve">Third, the datasets that we compiled for our IPDMAs </w:t>
      </w:r>
      <w:r w:rsidR="00126C41">
        <w:rPr>
          <w:lang w:val="en-GB"/>
        </w:rPr>
        <w:t>excluded</w:t>
      </w:r>
      <w:r w:rsidR="005E58AC" w:rsidRPr="00563AF8">
        <w:rPr>
          <w:lang w:val="en-GB"/>
        </w:rPr>
        <w:t xml:space="preserve"> participants </w:t>
      </w:r>
      <w:r w:rsidR="00126C41">
        <w:rPr>
          <w:lang w:val="en-GB"/>
        </w:rPr>
        <w:t xml:space="preserve">known to be </w:t>
      </w:r>
      <w:r w:rsidR="005E58AC" w:rsidRPr="00563AF8">
        <w:rPr>
          <w:lang w:val="en-GB"/>
        </w:rPr>
        <w:t xml:space="preserve">undergoing depression treatment, although approximately </w:t>
      </w:r>
      <w:r w:rsidR="00526B07" w:rsidRPr="00563AF8">
        <w:rPr>
          <w:lang w:val="en-GB"/>
        </w:rPr>
        <w:t>10% of participants across PROM</w:t>
      </w:r>
      <w:r w:rsidR="00126C41">
        <w:rPr>
          <w:lang w:val="en-GB"/>
        </w:rPr>
        <w:t xml:space="preserve"> datasets</w:t>
      </w:r>
      <w:r w:rsidR="00526B07" w:rsidRPr="00563AF8">
        <w:rPr>
          <w:lang w:val="en-GB"/>
        </w:rPr>
        <w:t xml:space="preserve"> met criteria for major depression, which is likely similar to what would occur in many non-specialist settings where mental health care is provided. Fourth</w:t>
      </w:r>
      <w:r w:rsidR="000F336B" w:rsidRPr="00563AF8">
        <w:rPr>
          <w:lang w:val="en-GB"/>
        </w:rPr>
        <w:t xml:space="preserve">, for the HADS-D, we were unable to conduct comparison between </w:t>
      </w:r>
      <w:r w:rsidR="00526B07" w:rsidRPr="00563AF8">
        <w:rPr>
          <w:lang w:val="en-GB"/>
        </w:rPr>
        <w:t>self-administration</w:t>
      </w:r>
      <w:r w:rsidR="000F336B" w:rsidRPr="00563AF8">
        <w:rPr>
          <w:lang w:val="en-GB"/>
        </w:rPr>
        <w:t xml:space="preserve"> pen-and-paper </w:t>
      </w:r>
      <w:r w:rsidR="00526B07" w:rsidRPr="00563AF8">
        <w:rPr>
          <w:lang w:val="en-GB"/>
        </w:rPr>
        <w:t xml:space="preserve">and electronic </w:t>
      </w:r>
      <w:r w:rsidR="000F336B" w:rsidRPr="00563AF8">
        <w:rPr>
          <w:lang w:val="en-GB"/>
        </w:rPr>
        <w:t xml:space="preserve">modes </w:t>
      </w:r>
      <w:r w:rsidR="00526B07" w:rsidRPr="00563AF8">
        <w:rPr>
          <w:lang w:val="en-GB"/>
        </w:rPr>
        <w:t xml:space="preserve">and between in-person and phone interviews </w:t>
      </w:r>
      <w:r w:rsidR="000F336B" w:rsidRPr="00563AF8">
        <w:rPr>
          <w:lang w:val="en-GB"/>
        </w:rPr>
        <w:t xml:space="preserve">due to a lack of data. </w:t>
      </w:r>
      <w:r w:rsidR="00FB2615">
        <w:rPr>
          <w:lang w:val="en-GB"/>
        </w:rPr>
        <w:t xml:space="preserve">Fifth, we assessed the influence of administration mode on continuous measure scores and not diagnostic accuracy compared to a reference standard. A future study could address diagnostic accuracy, but, presently, given the very high correlations between unadjusted and DIF-adjusted scores, it would be reasonable to assume that mode may not influence accuracy. Sixth, our focus in this manuscript was on DIF, and we investigated observed differences in item-level parameters and their impact on total scores. This is consistent with the overall unidimensionality of the measures </w:t>
      </w:r>
      <w:r w:rsidR="00FB2615">
        <w:rPr>
          <w:lang w:val="en-GB"/>
        </w:rPr>
        <w:lastRenderedPageBreak/>
        <w:t xml:space="preserve">we studied and the use of their total scores in practice. A multigroup confirmatory factor analysis could be used in future research to determine whether the underlying factor structure is consistent across modes of administration and if measurement invariance is achieved. </w:t>
      </w:r>
    </w:p>
    <w:p w14:paraId="1F9FA9C2" w14:textId="021F5B83" w:rsidR="00F159E6" w:rsidRPr="00563AF8" w:rsidRDefault="00526B07" w:rsidP="000F336B">
      <w:pPr>
        <w:spacing w:line="480" w:lineRule="auto"/>
        <w:ind w:firstLine="720"/>
        <w:rPr>
          <w:lang w:val="en-GB"/>
        </w:rPr>
      </w:pPr>
      <w:r w:rsidRPr="00563AF8">
        <w:rPr>
          <w:lang w:val="en-GB"/>
        </w:rPr>
        <w:t>In conclusion, w</w:t>
      </w:r>
      <w:r w:rsidR="000F336B" w:rsidRPr="00563AF8">
        <w:rPr>
          <w:lang w:val="en-GB"/>
        </w:rPr>
        <w:t>e investigated whether mode of administration used for depressive symptom</w:t>
      </w:r>
      <w:r w:rsidR="00320460" w:rsidRPr="00563AF8">
        <w:rPr>
          <w:lang w:val="en-GB"/>
        </w:rPr>
        <w:t xml:space="preserve"> PROM</w:t>
      </w:r>
      <w:r w:rsidR="00355F9E">
        <w:rPr>
          <w:lang w:val="en-GB"/>
        </w:rPr>
        <w:t>s</w:t>
      </w:r>
      <w:r w:rsidR="000F336B" w:rsidRPr="00563AF8">
        <w:rPr>
          <w:lang w:val="en-GB"/>
        </w:rPr>
        <w:t xml:space="preserve">, specifically the PHQ-9, EPDS, and HADS-D, resulted in </w:t>
      </w:r>
      <w:r w:rsidR="00320460" w:rsidRPr="00563AF8">
        <w:rPr>
          <w:lang w:val="en-GB"/>
        </w:rPr>
        <w:t xml:space="preserve">substantively </w:t>
      </w:r>
      <w:r w:rsidR="000F336B" w:rsidRPr="00563AF8">
        <w:rPr>
          <w:lang w:val="en-GB"/>
        </w:rPr>
        <w:t>different score</w:t>
      </w:r>
      <w:r w:rsidR="00320460" w:rsidRPr="00563AF8">
        <w:rPr>
          <w:lang w:val="en-GB"/>
        </w:rPr>
        <w:t xml:space="preserve"> estimates</w:t>
      </w:r>
      <w:r w:rsidR="000F336B" w:rsidRPr="00563AF8">
        <w:rPr>
          <w:lang w:val="en-GB"/>
        </w:rPr>
        <w:t xml:space="preserve"> if the </w:t>
      </w:r>
      <w:r w:rsidR="00320460" w:rsidRPr="00563AF8">
        <w:rPr>
          <w:lang w:val="en-GB"/>
        </w:rPr>
        <w:t xml:space="preserve">PROMs were </w:t>
      </w:r>
      <w:r w:rsidR="000F336B" w:rsidRPr="00563AF8">
        <w:rPr>
          <w:lang w:val="en-GB"/>
        </w:rPr>
        <w:t xml:space="preserve">administered through </w:t>
      </w:r>
      <w:r w:rsidR="00320460" w:rsidRPr="00563AF8">
        <w:rPr>
          <w:lang w:val="en-GB"/>
        </w:rPr>
        <w:t xml:space="preserve">(1) </w:t>
      </w:r>
      <w:r w:rsidR="000F336B" w:rsidRPr="00563AF8">
        <w:rPr>
          <w:lang w:val="en-GB"/>
        </w:rPr>
        <w:t>self-</w:t>
      </w:r>
      <w:r w:rsidR="00320460" w:rsidRPr="00563AF8">
        <w:rPr>
          <w:lang w:val="en-GB"/>
        </w:rPr>
        <w:t xml:space="preserve">administration versus </w:t>
      </w:r>
      <w:r w:rsidR="000F336B" w:rsidRPr="00563AF8">
        <w:rPr>
          <w:lang w:val="en-GB"/>
        </w:rPr>
        <w:t xml:space="preserve">interview, </w:t>
      </w:r>
      <w:r w:rsidR="00320460" w:rsidRPr="00563AF8">
        <w:rPr>
          <w:lang w:val="en-GB"/>
        </w:rPr>
        <w:t xml:space="preserve">(2) </w:t>
      </w:r>
      <w:r w:rsidR="000F336B" w:rsidRPr="00563AF8">
        <w:rPr>
          <w:lang w:val="en-GB"/>
        </w:rPr>
        <w:t xml:space="preserve">in research </w:t>
      </w:r>
      <w:r w:rsidR="00320460" w:rsidRPr="00563AF8">
        <w:rPr>
          <w:lang w:val="en-GB"/>
        </w:rPr>
        <w:t xml:space="preserve">or medical </w:t>
      </w:r>
      <w:r w:rsidR="000F336B" w:rsidRPr="00563AF8">
        <w:rPr>
          <w:lang w:val="en-GB"/>
        </w:rPr>
        <w:t xml:space="preserve">settings </w:t>
      </w:r>
      <w:r w:rsidR="00320460" w:rsidRPr="00563AF8">
        <w:rPr>
          <w:lang w:val="en-GB"/>
        </w:rPr>
        <w:t xml:space="preserve">versus in private settings </w:t>
      </w:r>
      <w:r w:rsidR="000F336B" w:rsidRPr="00563AF8">
        <w:rPr>
          <w:lang w:val="en-GB"/>
        </w:rPr>
        <w:t>for self-administ</w:t>
      </w:r>
      <w:r w:rsidR="00320460" w:rsidRPr="00563AF8">
        <w:rPr>
          <w:lang w:val="en-GB"/>
        </w:rPr>
        <w:t>ration</w:t>
      </w:r>
      <w:r w:rsidR="00295360" w:rsidRPr="00563AF8">
        <w:rPr>
          <w:lang w:val="en-GB"/>
        </w:rPr>
        <w:t xml:space="preserve">, (3) with </w:t>
      </w:r>
      <w:r w:rsidR="000F336B" w:rsidRPr="00563AF8">
        <w:rPr>
          <w:lang w:val="en-GB"/>
        </w:rPr>
        <w:t xml:space="preserve">pen-and-paper </w:t>
      </w:r>
      <w:r w:rsidR="00295360" w:rsidRPr="00563AF8">
        <w:rPr>
          <w:lang w:val="en-GB"/>
        </w:rPr>
        <w:t xml:space="preserve">or electronic forms in </w:t>
      </w:r>
      <w:r w:rsidR="000F336B" w:rsidRPr="00563AF8">
        <w:rPr>
          <w:lang w:val="en-GB"/>
        </w:rPr>
        <w:t>self-</w:t>
      </w:r>
      <w:r w:rsidR="00295360" w:rsidRPr="00563AF8">
        <w:rPr>
          <w:lang w:val="en-GB"/>
        </w:rPr>
        <w:t>administration</w:t>
      </w:r>
      <w:r w:rsidR="000F336B" w:rsidRPr="00563AF8">
        <w:rPr>
          <w:lang w:val="en-GB"/>
        </w:rPr>
        <w:t xml:space="preserve">, and </w:t>
      </w:r>
      <w:r w:rsidR="00295360" w:rsidRPr="00563AF8">
        <w:rPr>
          <w:lang w:val="en-GB"/>
        </w:rPr>
        <w:t xml:space="preserve">(4) </w:t>
      </w:r>
      <w:r w:rsidR="000F336B" w:rsidRPr="00563AF8">
        <w:rPr>
          <w:lang w:val="en-GB"/>
        </w:rPr>
        <w:t xml:space="preserve">through in-person </w:t>
      </w:r>
      <w:r w:rsidR="00295360" w:rsidRPr="00563AF8">
        <w:rPr>
          <w:lang w:val="en-GB"/>
        </w:rPr>
        <w:t>versus phone interviews</w:t>
      </w:r>
      <w:r w:rsidR="000F336B" w:rsidRPr="00563AF8">
        <w:rPr>
          <w:lang w:val="en-GB"/>
        </w:rPr>
        <w:t xml:space="preserve">. We found that, despite statistically significant DIF </w:t>
      </w:r>
      <w:r w:rsidR="00126C41">
        <w:rPr>
          <w:lang w:val="en-GB"/>
        </w:rPr>
        <w:t>on</w:t>
      </w:r>
      <w:r w:rsidR="00126C41" w:rsidRPr="00563AF8">
        <w:rPr>
          <w:lang w:val="en-GB"/>
        </w:rPr>
        <w:t xml:space="preserve"> </w:t>
      </w:r>
      <w:r w:rsidR="000F336B" w:rsidRPr="00563AF8">
        <w:rPr>
          <w:lang w:val="en-GB"/>
        </w:rPr>
        <w:t xml:space="preserve">items across </w:t>
      </w:r>
      <w:r w:rsidR="00126C41">
        <w:rPr>
          <w:lang w:val="en-GB"/>
        </w:rPr>
        <w:t xml:space="preserve">administration </w:t>
      </w:r>
      <w:r w:rsidR="000F336B" w:rsidRPr="00563AF8">
        <w:rPr>
          <w:lang w:val="en-GB"/>
        </w:rPr>
        <w:t xml:space="preserve">modes, the overall </w:t>
      </w:r>
      <w:r w:rsidR="00295360" w:rsidRPr="00563AF8">
        <w:rPr>
          <w:lang w:val="en-GB"/>
        </w:rPr>
        <w:t xml:space="preserve">influence </w:t>
      </w:r>
      <w:r w:rsidR="000F336B" w:rsidRPr="00563AF8">
        <w:rPr>
          <w:lang w:val="en-GB"/>
        </w:rPr>
        <w:t xml:space="preserve">of different </w:t>
      </w:r>
      <w:r w:rsidR="00295360" w:rsidRPr="00563AF8">
        <w:rPr>
          <w:lang w:val="en-GB"/>
        </w:rPr>
        <w:t xml:space="preserve">administration </w:t>
      </w:r>
      <w:r w:rsidR="000F336B" w:rsidRPr="00563AF8">
        <w:rPr>
          <w:lang w:val="en-GB"/>
        </w:rPr>
        <w:t xml:space="preserve">modes </w:t>
      </w:r>
      <w:r w:rsidR="00295360" w:rsidRPr="00563AF8">
        <w:rPr>
          <w:lang w:val="en-GB"/>
        </w:rPr>
        <w:t xml:space="preserve">on total PROM scores </w:t>
      </w:r>
      <w:r w:rsidR="000F336B" w:rsidRPr="00563AF8">
        <w:rPr>
          <w:lang w:val="en-GB"/>
        </w:rPr>
        <w:t xml:space="preserve">was negligible. Our findings suggest that </w:t>
      </w:r>
      <w:r w:rsidR="00295360" w:rsidRPr="00563AF8">
        <w:rPr>
          <w:lang w:val="en-GB"/>
        </w:rPr>
        <w:t xml:space="preserve">that </w:t>
      </w:r>
      <w:r w:rsidR="000F336B" w:rsidRPr="00563AF8">
        <w:rPr>
          <w:lang w:val="en-GB"/>
        </w:rPr>
        <w:t xml:space="preserve">scores on sensitive mental health measures, specifically the PHQ-9, EPDS, and HADS-D, are not influenced meaningfully by </w:t>
      </w:r>
      <w:r w:rsidR="00295360" w:rsidRPr="00563AF8">
        <w:rPr>
          <w:lang w:val="en-GB"/>
        </w:rPr>
        <w:t xml:space="preserve">administration </w:t>
      </w:r>
      <w:r w:rsidR="000F336B" w:rsidRPr="00563AF8">
        <w:rPr>
          <w:lang w:val="en-GB"/>
        </w:rPr>
        <w:t>mode.</w:t>
      </w:r>
      <w:r w:rsidR="000F336B" w:rsidRPr="00563AF8" w:rsidDel="00130B3D">
        <w:rPr>
          <w:lang w:val="en-GB"/>
        </w:rPr>
        <w:t xml:space="preserve"> </w:t>
      </w:r>
      <w:r w:rsidR="00F159E6" w:rsidRPr="00563AF8">
        <w:rPr>
          <w:lang w:val="en-GB"/>
        </w:rPr>
        <w:br w:type="page"/>
      </w:r>
    </w:p>
    <w:p w14:paraId="031DE893" w14:textId="157B7491" w:rsidR="009F06D1" w:rsidRDefault="009F06D1" w:rsidP="009F06D1">
      <w:pPr>
        <w:spacing w:line="480" w:lineRule="auto"/>
        <w:rPr>
          <w:b/>
          <w:color w:val="000000"/>
          <w:lang w:val="en-GB" w:eastAsia="zh-CN"/>
        </w:rPr>
      </w:pPr>
      <w:r>
        <w:rPr>
          <w:b/>
          <w:color w:val="000000"/>
          <w:lang w:val="en-GB" w:eastAsia="zh-CN"/>
        </w:rPr>
        <w:lastRenderedPageBreak/>
        <w:t>Statement of Ethics</w:t>
      </w:r>
    </w:p>
    <w:p w14:paraId="09BBF345" w14:textId="3C33A555" w:rsidR="009F06D1" w:rsidRPr="00563AF8" w:rsidRDefault="009F06D1" w:rsidP="00600F65">
      <w:pPr>
        <w:spacing w:line="480" w:lineRule="auto"/>
        <w:ind w:firstLine="720"/>
        <w:rPr>
          <w:b/>
          <w:color w:val="000000"/>
          <w:lang w:val="en-GB" w:eastAsia="zh-CN"/>
        </w:rPr>
      </w:pPr>
      <w:r w:rsidRPr="00563AF8">
        <w:rPr>
          <w:bCs/>
          <w:color w:val="000000"/>
          <w:lang w:val="en-GB" w:eastAsia="zh-CN"/>
        </w:rPr>
        <w:t>The Research Ethics Committee of the Jewish General Hospital declared that research ethics approval was not required since the study involved IPDMA of de-identified previously collected data. However, for each included dataset, we confirmed that the original study received ethics approval and that participants provided informed consent.</w:t>
      </w:r>
    </w:p>
    <w:p w14:paraId="4470F907" w14:textId="77777777" w:rsidR="009F06D1" w:rsidRDefault="009F06D1" w:rsidP="00F159E6">
      <w:pPr>
        <w:spacing w:line="480" w:lineRule="auto"/>
        <w:rPr>
          <w:b/>
          <w:bCs/>
          <w:color w:val="000000" w:themeColor="text1"/>
          <w:lang w:val="en-GB"/>
        </w:rPr>
      </w:pPr>
    </w:p>
    <w:p w14:paraId="07924A81" w14:textId="77777777" w:rsidR="009F06D1" w:rsidRPr="00563AF8" w:rsidRDefault="009F06D1" w:rsidP="009F06D1">
      <w:pPr>
        <w:spacing w:line="480" w:lineRule="auto"/>
        <w:rPr>
          <w:b/>
          <w:bCs/>
          <w:lang w:val="en-GB"/>
        </w:rPr>
      </w:pPr>
      <w:r w:rsidRPr="00563AF8">
        <w:rPr>
          <w:b/>
          <w:bCs/>
          <w:lang w:val="en-GB"/>
        </w:rPr>
        <w:t>Declaration of interests</w:t>
      </w:r>
    </w:p>
    <w:p w14:paraId="1240F462" w14:textId="77777777" w:rsidR="009F06D1" w:rsidRPr="00563AF8" w:rsidRDefault="009F06D1" w:rsidP="00600F65">
      <w:pPr>
        <w:spacing w:line="480" w:lineRule="auto"/>
        <w:ind w:firstLine="720"/>
        <w:rPr>
          <w:color w:val="000000" w:themeColor="text1"/>
          <w:lang w:val="en-GB"/>
        </w:rPr>
      </w:pPr>
      <w:r w:rsidRPr="00563AF8">
        <w:rPr>
          <w:bCs/>
          <w:lang w:val="en-GB"/>
        </w:rPr>
        <w:t xml:space="preserve">All authors have completed the ICJME uniform disclosure form. </w:t>
      </w:r>
      <w:r w:rsidRPr="00563AF8">
        <w:rPr>
          <w:color w:val="000000" w:themeColor="text1"/>
          <w:lang w:val="en-GB"/>
        </w:rPr>
        <w:t>Dr. Vigod declares that she receives royalties from UpToDate, outside the submitted work.</w:t>
      </w:r>
      <w:r w:rsidRPr="00563AF8">
        <w:rPr>
          <w:lang w:val="en-GB"/>
        </w:rPr>
        <w:t xml:space="preserve"> </w:t>
      </w:r>
      <w:r w:rsidRPr="00563AF8">
        <w:rPr>
          <w:color w:val="000000" w:themeColor="text1"/>
          <w:lang w:val="en-GB"/>
        </w:rPr>
        <w:t xml:space="preserve">Dr. Beck CT declares that she receives royalties for her Postpartum Depression Screening Scale published by Western Psychological Services. Dr. Bernstein declares that he has consulted to Abbvie Canada, Amgen Canada, Bristol Myers Squibb Canada, Eli Lilly , Ferring Canada, JAMP Pharmaceuticals, Janssen Canada, Pendopharm Canada, Pfizer Canada, Sandoz Canada, Takeda Canada. He has also received unrestricted educational grants from Abbvie Canada, Bristol Myers Squibb Canada, Eli Lilly, Ferring Canada, Organon Canada, Janssen Canada, Pfizer Canada, and Takeda Canada; as well as been on speaker’s bureau of Abbvie Canada, Janssen Canada, Takeda Canada and Pfizer Canada, all outside the submitted work. Dr. Chan J CN is a steering committee member and/or consultant of Astra Zeneca, Bayer, Lilly, MSD and Pfizer. She has received sponsorships and honorarium for giving lectures and providing consultancy and her affiliated institution has received research grants from these companies. Dr. Chan LF declares personal fees and non-financial support from Otsuka, Lundbeck, and Johnson and Johnson; and non-financial support from Ortho-McNeil-Janssen, and Menarini, outside the submitted work. Dr. Hegerl declares that within the last three years, he was an advisory board member for Janssen </w:t>
      </w:r>
      <w:r w:rsidRPr="00563AF8">
        <w:rPr>
          <w:color w:val="000000" w:themeColor="text1"/>
          <w:lang w:val="en-GB"/>
        </w:rPr>
        <w:lastRenderedPageBreak/>
        <w:t>and received a research grant from Medice, all outside the submitted work. Dr. Howard declares that she has received personal fees from NICE Scientific Advice, outside the submitted work. Dr. Inagaki declares that he has received personal fees from Meiji, Mochida, Takeda, Novartis, Yoshitomi, Pfizer, Eisai, Otsuka, MSD, Sumitomo Dainippon, Janssen, and Eli Lilly, all outside of the submitted work. Dr. Marrie declares that she is a co-investigator on a study funded in part by Biogen Idec and Roche (no funds to her), outside the submitted work. Dr. Pugh declares that she received salary support from Pfizer-Astella and Millennium, outside the submitted work. Dr. Sultan declares funding from Sanofi-Aventis Corporation, during conduct of the primary study. Dr. Sundström-Poromaa declares that she has served on advisory boards and acted as invited speaker at scientific meetings for MSD, Novo Nordisk, Bayer Health Care, and Lundbeck A/S. Dr. Lynne Wagner declares that she receives personal fees from Celgene, outside the submitted work. Dr. Yonkers declares that she receives royalties from UpTodate, outside the submitted work. All other authors declare no support from any organization for the submitted work; no financial relationships with any organizations that might have an interest in the submitted work in the previous 3 years; and no other relationships or activities that could appear to have influenced the submitted work.</w:t>
      </w:r>
    </w:p>
    <w:p w14:paraId="704C8F68" w14:textId="6D871442" w:rsidR="005C4CAB" w:rsidRPr="00563AF8" w:rsidRDefault="005C4CAB" w:rsidP="005C4CAB">
      <w:pPr>
        <w:spacing w:line="480" w:lineRule="auto"/>
        <w:rPr>
          <w:b/>
          <w:bCs/>
          <w:color w:val="000000" w:themeColor="text1"/>
          <w:lang w:val="en-GB"/>
        </w:rPr>
      </w:pPr>
      <w:r w:rsidRPr="00563AF8">
        <w:rPr>
          <w:b/>
          <w:bCs/>
          <w:color w:val="000000" w:themeColor="text1"/>
          <w:lang w:val="en-GB"/>
        </w:rPr>
        <w:t xml:space="preserve">Funding </w:t>
      </w:r>
      <w:r>
        <w:rPr>
          <w:b/>
          <w:bCs/>
          <w:color w:val="000000" w:themeColor="text1"/>
          <w:lang w:val="en-GB"/>
        </w:rPr>
        <w:t>Sources</w:t>
      </w:r>
    </w:p>
    <w:p w14:paraId="44266ACA" w14:textId="77777777" w:rsidR="005C4CAB" w:rsidRPr="00563AF8" w:rsidRDefault="005C4CAB" w:rsidP="005C4CAB">
      <w:pPr>
        <w:spacing w:line="480" w:lineRule="auto"/>
        <w:ind w:firstLine="567"/>
        <w:rPr>
          <w:szCs w:val="28"/>
          <w:lang w:val="en-GB"/>
        </w:rPr>
      </w:pPr>
      <w:r w:rsidRPr="00563AF8">
        <w:rPr>
          <w:color w:val="000000" w:themeColor="text1"/>
          <w:lang w:val="en-GB"/>
        </w:rPr>
        <w:t>Compilation of the datasets used in this study was funded by the Canadian Institutes of Health Research (KRS-134297, PCG-155468, PJT-162206, KRS-140994, KRS-144045, PJT-183746), and the analyses were funded by the New Frontiers in Research Fund (NFRFR-2021-00336). Dr. Patten was supported by the Cuthbertson &amp; Fischer Chair in Pediatric Mental Health. Dr. Thombs was supported by a Tier 1. Canada Research Chair, outside of the present work.</w:t>
      </w:r>
    </w:p>
    <w:p w14:paraId="10DB9157" w14:textId="77777777" w:rsidR="005C4CAB" w:rsidRPr="00563AF8" w:rsidRDefault="005C4CAB" w:rsidP="005C4CAB">
      <w:pPr>
        <w:spacing w:line="480" w:lineRule="auto"/>
        <w:ind w:firstLine="567"/>
        <w:rPr>
          <w:color w:val="000000" w:themeColor="text1"/>
          <w:lang w:val="en-GB"/>
        </w:rPr>
      </w:pPr>
      <w:r w:rsidRPr="00563AF8">
        <w:rPr>
          <w:color w:val="000000" w:themeColor="text1"/>
          <w:lang w:val="en-GB"/>
        </w:rPr>
        <w:lastRenderedPageBreak/>
        <w:t xml:space="preserve">The primary studies by Fiest et al., Patten et al., Amoozegar et al. and Prisnie et al. were supported by the Cumming School of Medicine, University of Calgary, and Alberta Health Services through the Calgary Health Trust, as well as the Hotchkiss Brain Institute. Dr. Jetté was supported by a Canada Research Chair in Neurological Health Services Research and an AIHS Population Health Investigator Award. She is Icahn School of Medicine at Mount Sinai Bludhorn Professor of International Medicine. The primary study by Alvarado et al. was supported by the Ministry of Health of Chile. The primary study by Amtmann et al. was supported by a grant from the Department of Education (NIDRR grant number H133B080025) and by the National Multiple Sclerosis Society (MB 0008). Collection of data for the study by Arroll et al. was supported by a project grant from the Health Research Council of New Zealand. Data collection for the study by Ayalon et al. was supported from a grant from Lundbeck International. The primary study by Khamseh et al. was supported by a grant (M-288) from Tehran University of Medical Sciences. The primary study by Barnes et al. was supported by a grant from the Health Foundation (1665/608). The primary study by Beck, CT et al. was supported by the Patrick and Catherine Weldon Donaghue Medical Research Foundation and the University of Connecticut Research Foundation. The primary studies by Marrie et al. and Bernstein et al. were supported by CIHR (THC-135234) and Crohn's and Colitis Canada. Dr. Marrie was supported by the Waugh Family Chair in Multiple Sclerosis and the Research Manitoba Chair during the conduct of the study. Dr. Bernstein was supported in part by the Bingham Chair in Gastroenterology. The primary studies by Kohrt et al. and Nakku et al. were output of the PRogramme for Improving Mental health carE (PRIME) and were supported by the UK Department for International Development (201446). The views expressed do not necessarily reflect the UK Government’s official policies. The primary study by Helle et al. was supported by the Werner Otto </w:t>
      </w:r>
      <w:r w:rsidRPr="00563AF8">
        <w:rPr>
          <w:color w:val="000000" w:themeColor="text1"/>
          <w:lang w:val="en-GB"/>
        </w:rPr>
        <w:lastRenderedPageBreak/>
        <w:t xml:space="preserve">Foundation, the Kroschke Foundation, and the Feindt Foundation. The primary study by Bombardier et al. was supported by the Department of Education, National Institute on Disability and Rehabilitation Research, Spinal Cord Injury Model Systems: University of Washington (grant no. H133N060033), Baylor College of Medicine (grant no. H133N060003), and University of Michigan (grant no. H133N060032).The primary study by Buji et al. was supported by grants from the UKMMC Fundamental Research Fund (FF-2015-051) and the Fundamental Research Grant Scheme by the Malaysian Ministry of Higher Education (FRGS/2/2014/SKK09/UKM/02/1). The primary study by Butnoriene et al. was supported by a grant from the Research Concil of Lithuania (LIG-03/2011). Collection of data for the primary study by Kiely et al. was supported by National Health and Medical Research Council (grant number 1002160) and Safe Work Australia. Dr. Butterworth was supported by Australian Research Council Future Fellowship FT130101444. Collection of data for the primary study by Zhang et al. was supported by the European Foundation for Study of Diabetes, the Chinese Diabetes Society, Lilly Foundation, Asia Diabetes Foundation and Liao Wun Yuk Diabetes Memorial Fund. The primary study by Chen et al. was supported by the National Science Council, Taiwan (NSC 96 –2314-B-182A-090-MY2).The primary study by Chibanda et al. was supported by a grant from Grand Challenges Canada (0087-04).. The primary study by Chorwe-Sungani et al. was supported by the University of Malawi through grant QZA-0484 NORHED 2013. The primary study by Cheung et al. was supported by the Waikato Clinical School, University of Auckland, the Waikato Medical Research Foundation and the Waikato Respiratory Research Fund. The primary study by Conway et al. was supported by the Institute of Health and Biomedical Innovation at Queensland University of Technology and the Sigma Theta Tau International Honour Society of Nursing (ID: 8580). Dr. Conwell received support from NIMH </w:t>
      </w:r>
      <w:r w:rsidRPr="00563AF8">
        <w:rPr>
          <w:color w:val="000000" w:themeColor="text1"/>
          <w:lang w:val="en-GB"/>
        </w:rPr>
        <w:lastRenderedPageBreak/>
        <w:t xml:space="preserve">(R24MH071604) and the Centers for Disease Control and Prevention (R49 CE002093).The primary study by Figueira et al. was supported by the Brazilian Ministry of Health and by the National Counsel of Technological and Scientific Development (CNPq) (Grant no. 403433/2004-5). The primary study by Couto et al. was supported by the National Counsel of Technological and Scientific Development (CNPq) (Grant no. 444254/2014-5) and the Minas Gerais State Research Foundation (FAPEMIG) (Grant no. APQ-01954-14). The primary study by Cukor et al. was supported in part by a Promoting Psychological Research and Training on Health-Disparities Issues at Ethnic Minority Serving Institutions Grants (ProDIGs) awarded to Dr. Cukor from the American Psychological Association. The primary study by De la Torre et al. was supported by a Research Grant ""Ramón Carrillo-Arturo Oñativa for Multicentric Studies” (2015) from the commission “Salud Investiga” of the Ministry of Health and Social Action of Argentina (Grant n° 1853).The primary study by de Figueiredo et al. was supported by Fundação de Amparo à Pesquisa do Estado de São Paulo.724: The primary study by Grool et al. was supported by a programme grant from The Netherlands Heart Foundation (2007B027). The primary study by Zuithoff et al. was supported by The European Commission (PREDICTQL4-CT2002-00683) and The Netherlands Organization for Scientific Research (ZonMw 016.046.360). The primary study by De Souza et al. was supported by Birmingham and Solihull Mental Health Foundation Trust. Collection of data for the primary study by Delgadillo et al. was supported by grant from St. Anne’s Community Services, Leeds, United Kingdom. The primary study by Dorow et al. was supported by the German Federal Ministry of Education and Research (Grant/Award Number: 01GY1155A). Collection of data for the primary study by Fann et al. was supported by grant RO1 HD39415 from the US National Center for Medical Rehabilitation Research. The primary study by Tissot et al. was supported by the Swiss National </w:t>
      </w:r>
      <w:r w:rsidRPr="00563AF8">
        <w:rPr>
          <w:color w:val="000000" w:themeColor="text1"/>
          <w:lang w:val="en-GB"/>
        </w:rPr>
        <w:lastRenderedPageBreak/>
        <w:t xml:space="preserve">Science Foundation (grant 32003B 125493). The primary study by Fernandes et al. was supported by grants from the Child: Care Health and Development Trust and the Department of Psychiatry, University of Oxford, Oxford, UK, and by the Ashok Ranganathan Bursary from Exeter College, University of Oxford. Dr. Fernandes is supported by a University of Southampton National Institute for Health Research (NIHR) academic clinical fellowship in Pediatrics. The primary study by van Heyningen et al. was supported by the Medical Research Council of South Africa (fund no. 415865), Cordaid Netherlands (Project 103/ 10002 G Sub 7) and the Truworths Community Foundation Trust, South Africa. The primary study by Tendais et al. was supported under the project POCI/SAU-ESP/56397/2004 by the Operational Program Science and Innovation 2010 (POCI 2010) of the Community Support Board III and by the European Community Fund FEDER. The primary study by Fischer et al. was funded by the German Federal Ministry of Education and Research (01GY1150). The primary study by Fisher et al. was supported by grants from the National Health and Medical Research Council (APP1026550), the Australian Government Department of Social Services - Families, Housing, Community Services and Indigenous Affairs, and the Victorian Department of Education and Early Childhood Development. Dr. Fisher was supported by a Monash Professorial Fellowship and the Jean Hailes Professorial Fellowship, which is supported by a grant to the Jean Hailes Foundation from the H and L Hecht Trust managed by Perpetual Trustees. The primary study by Gagnon et al. was supported by the Drummond Foundation and the Department of Psychiatry, University Health Network. The primary study by Akechi et al. was supported in part by a Grant-in-Aid for Cancer Research (11-2) from the Japanese Ministry of Health, Labour and Welfare and a Grant-in-Aid for Young Scientists (B) from the Japanese Ministry of Education, Culture, Sports, Science and Technology. The primary study by Kugaya et al. was supported in part by a </w:t>
      </w:r>
      <w:r w:rsidRPr="00563AF8">
        <w:rPr>
          <w:color w:val="000000" w:themeColor="text1"/>
          <w:lang w:val="en-GB"/>
        </w:rPr>
        <w:lastRenderedPageBreak/>
        <w:t xml:space="preserve">Grant-in-Aid for Cancer Research (9-31) and the Second-Term Comprehensive 10-year Strategy for Cancer Control from the Japanese Ministry of Health, Labour and Welfare. The primary study Ryan et al. was supported by the Irish Cancer Society (Grant CRP08GAL).The primary study by Baron et al. was supported by the National Income Dynamics Study (NIDS), at the University of Cape Town, South Africa. The NIDS is implemented by the Southern Africa Labour and Development Research Unit, and is funded by the Department of Planning, Monitoring and Evaluation. The funding body was involved in the design of the primary study. Data for the primary study by Gelaye et al. was supported by a grant from the NIH (T37 MD001449). The primary study by Gholizadeh et al. was supported by University of Technology Sydney under UTS Research Reestablishment Grants. The primary study by Grassi et al. was supported by the European Commission DG Health and Consumer Protection (Agreement with the University of Ferrara — SI2.307317 2000CVGG2-026), the University of Ferrara, and the Fondazione Cassa di Risparmio di Ferrara.  The primary study by Green et al. (2018) was supported by a grant from the Duke Global Health Institute (453-0751). The primary study by Eack et al. was funded by the NIMH (R24 MH56858).732: Collection of data for the primary study by Hobfoll et al. was made possible in part from grants from NIMH (RO1 MH073687) and the Ohio Board of Regents. Dr. Hall received support from a grant awarded by the Research and Development Administration Office, University of Macau (MYRG2015-00109-FSS). The primary study by Garabiles et al. was supported by the Macao (SAR) Government, through the University of Macau RSKTO grants: MYRG-2014-111.The primary study by Hantsoo et al. was supported by K23 MH107831-02, Brain and Behavior Research Foundation NARSAD Young Investigator Award. The primary study by Haroz et al. was supported by the United States Agency for International Development Victims of Torture Fund: AID-DFD A-00-08-00308. Dr. </w:t>
      </w:r>
      <w:r w:rsidRPr="00563AF8">
        <w:rPr>
          <w:color w:val="000000" w:themeColor="text1"/>
          <w:lang w:val="en-GB"/>
        </w:rPr>
        <w:lastRenderedPageBreak/>
        <w:t xml:space="preserve">Haroz was supported by a NIMH T32 predoctoral training grant (MH014592-38) and postdoctoral training grant (MH103210) during the conduct of primary study.Collection of data provided by Drs. Härter and Reuter was supported by the Federal Ministry of Education and Research (grants No. 01 GD 9802/4 and 01 GD 0101) and by the Federation of German Pension Insurance Institute. The primary study by Henkel et al. was funded by the German Ministry of Research and Education. The primary study by Hides et al. was funded by the Perpetual Trustees, Flora and Frank Leith Charitable Trust, Jack Brockhoff Foundation, Grosvenor Settlement, Sunshine Foundation and Danks Trust. The primary study by Howard et al. was supported by the National Institute for Health Research (NIHR) under its Programme Grants for Applied Research Programme (Grant Reference Numbers RP-PG-1210-12002 and RP-DG-1108-10012) and by the South London Clinical Research Network. The views expressed are those of the authors and not necessarily those of the NHS, the NIHR or the Department of Health and Social Care. Collection of data for the primary study by Hyphantis et al. (2014) was supported by grant from the National Strategic Reference Framework, European Union, and the Greek Ministry of Education, Lifelong Learning and Religious Affairs (ARISTEIA-ABREVIATE, 1259). The primary study by Paika et al. was supported by the European Economic Area (EEA) Financial Mechanism 2009–2014 (EEA GR07/3767) and National funds as part of the program “Dissimilarity, Inequality and Social Integration” (132324/I4-25/8/2015). The primary study by Inagaki et al. was supported by the Ministry of Health, Labour and Welfare, Japan. The primary study by Twist et al. was funded by the UK National Institute for Health Research under its Programme Grants for Applied Research Programme (grant reference number RP-PG-0606-1142). The primary study by Kim et al. was supported by a grant from the Korean Mental Health Technology R&amp;D Project, Ministry of Health &amp; Welfare, Republic of Korea (HM14C2567), an </w:t>
      </w:r>
      <w:r w:rsidRPr="00563AF8">
        <w:rPr>
          <w:color w:val="000000" w:themeColor="text1"/>
          <w:lang w:val="en-GB"/>
        </w:rPr>
        <w:lastRenderedPageBreak/>
        <w:t xml:space="preserve">Institute for Information &amp; Communications Technology Promotion grant funded by the Korea government (MSIP) (B0132- 15-1003: the development of skin adhesive patches for the monitoring and prediction of mental disorders), and by the Original Technology Research Program for Brain Science through the National Research Foundation of Korea (NRF) funded by the Ministry of Education, Science and Technology (NRF-2016M3C7A1947307). The primary study by Kettunen et al. was supported with an Annual EVO Financing (Special government subsidies from the Ministry of Health and Welfare, Finland) by North Karelia Central Hospital and Päijät-Häme Central Hospital. Dr. Kiely was supported by funding from an Australian National Health and Medical Research Council fellowship (grant number 1088313). The primary study by Jang et al. was supported by a grant from the Korea Health 21 R&amp;D, Ministry of Health and Welfare, Republic of Korea. The primary study by Kang et al. was supported by Basic Science Research Program through the National Research Foundation of Korea (NRF) funded by the Ministry of Education, Science and Technology (2009-0087344), and was supported by a Grant of the Korea Health 21 R&amp;D, Ministry of Health and Welfare, Republic of Korea (A102065). The primary study by Douven et al. was supported by Maastricht University, Health Foundation Limburg, and the Adriana van Rinsum-Ponsen Stichting. The primary study by Janssen et al. was supported by the European Regional Development Fund as part of OP-ZUID; the Province of Limburg; the department of Economic Affairs of the Netherlands (31O.041); Stichting the Weijerhorst, the Pearl String Initiative Diabetes; the Cardiovascular Center Maastricht Cardiovasculair Research Institute Maastricht; School of Nutrition, Toxicology and Metabolism; Stichting Annadal; and Health Foundation Limburg. The primary study by Phillips et al. was supported by a scholarship from the National Health and Medical and Research Council (NHMRC)The primary study by Lamers et al. was funded by the Netherlands </w:t>
      </w:r>
      <w:r w:rsidRPr="00563AF8">
        <w:rPr>
          <w:color w:val="000000" w:themeColor="text1"/>
          <w:lang w:val="en-GB"/>
        </w:rPr>
        <w:lastRenderedPageBreak/>
        <w:t xml:space="preserve">Organisation for Health Research and development (grant number 945-03-047). The primary study by Lara et al. was supported by the Consejo Nacional de Ciencia y Tecnología/National Council for Science and Technology (CB-2009-133923-H). The primary study by Liu et al. (2011) was funded by a grant from the National Health Research Institute, Republic of China (NHRI-EX97-9706PI).The primary study by Lotrakul et al. was supported by the Faculty of Medicine, Ramathibodi Hospital, Mahidol University, Bangkok, Thailand (grant number 49086).502: The primary studies by Osório et al. (2012) were funded by Reitoria de Pesquisa da Universidade de São Paulo (grant number 09.1.01689.17.7) and Banco Santander (grant number 10.1.01232.17.9). The primary study by Love et al. (2004) was supported by the Kathleen Cuningham Foundation (National Breast Cancer Foundation), the Cancer Council of Victoria and the National Health and Medical Research Council. The primary study by Love et al. (2002) was supported by a grant from the Bethlehem Griffiths Research Foundation. Dr. Bernd Löwe received research grants from Pf izer, Germany, and from the medical faculty of the University of Heidelberg, Germany (project 121/2000) for the study by Gräfe et al. The primary study by Roomruangwong et al. was supported by the Ratchadaphiseksomphot Endowment Fund 2013 of Chulalongkorn University (CU-56-457-HR). Collection of data for the primary study by Williams et al. was supported by a NIMH grant to Dr. Marsh (RO1-MH069666). The primary study by Martínez et al. was supported by Iniciativa Científica Milenio, Chile, process # IS130005 and by Fondo Nacional de Desarrollo Científico y Tecnológico, Chile, process # 1130230. Dr. Marx was supported by the Department of Defense (W81XWH-08-2- 0100/W81XWH-08-2-0102 and W81XWH-12- 2-0117/W81XWH-12-2-0121). The primary study by Matsuoka et al. was supported by the Japanese Ministry of Health, Labor, and Welfare through Research on Psychiatric and Neurological Disease and Mental Health (16190501, </w:t>
      </w:r>
      <w:r w:rsidRPr="00563AF8">
        <w:rPr>
          <w:color w:val="000000" w:themeColor="text1"/>
          <w:lang w:val="en-GB"/>
        </w:rPr>
        <w:lastRenderedPageBreak/>
        <w:t>19230701 and 20300701). The primary study by Hartung et al. was supported by the German Cancer Aid within the psychosocial oncology funding priority program (grant number 107465). The primary study by Mohd Sidik et al. was funded under the Research University Grant Scheme from Universiti Putra Malaysia, Malaysia and the Postgraduate Research Student Support Accounts of the University of Auckland, New Zealand. The primary study by Santos et al. was funded by the National Program for Centers of Excellence (PRONEX/FAPERGS/CNPq, Brazil). The primary study by Muramatsu et al. (2007) was supported by an educational grant from Pfizer US Pharmaceutical Inc. The primary study by Muramatsu et al. (2018) was supported by grants from Niigata Seiryo University.The primary study by Nakić Radoš et al. was supported by the Croatian Ministry of Science, Education, and Sports (134-0000000-2421). The primary study by Usuda et al. was supported by Grant-in-Aid for Young Scientists (A) from the Japan Society for the Promotion of Science (primary investigator: Daisuke Nishi, MD, PhD), and by an Intramural Research Grant for Neurological and Psychiatric Disorders from the National Center of Neurology and Psychiatry, Japan. The primary study by McFarlane et al. was supported by an Australian Government National Health and Medical Research Council program grant. Dr. O'Donnell was supported by grants from NHMRC Program (1073041) during the conduct of the study. The primary study by O'Rourke et al. was supported by the Scottish Home and Health Department, Stroke Association, and Medical Research Council. Dr. Osório was supported by Productivity Grants (PQ-CNPq-2 -number 301321/2016-7). The primary study by Sia et al. (PIs: Pasco and Williams) was supported by the Victorian Health Promotion Foundation (ID 91-0095) and the National Health and Medical Research Council (ID 299831; 251638; 454356, 509103;</w:t>
      </w:r>
      <w:r w:rsidRPr="00563AF8">
        <w:rPr>
          <w:lang w:val="en-GB"/>
        </w:rPr>
        <w:t xml:space="preserve"> </w:t>
      </w:r>
      <w:r w:rsidRPr="00563AF8">
        <w:rPr>
          <w:color w:val="000000" w:themeColor="text1"/>
          <w:lang w:val="en-GB"/>
        </w:rPr>
        <w:t xml:space="preserve">628582; 1026265). Williams is supported by a NHMRC Emerging Leader Fellowship (1174060). The primary study by Pawlby et al. was supported by a Medical Research Council </w:t>
      </w:r>
      <w:r w:rsidRPr="00563AF8">
        <w:rPr>
          <w:color w:val="000000" w:themeColor="text1"/>
          <w:lang w:val="en-GB"/>
        </w:rPr>
        <w:lastRenderedPageBreak/>
        <w:t xml:space="preserve">UK Project Grant (number G89292999N). Collection of primary data for the study by Pence et al. was provided by NIMH (R34MH084673). The primary study by Persoons et al. was partly funded by a grant from the Belgian Ministry of Public Health and Social Affairs and supported by a limited grant from Pfizer Belgium. The primary study by Picardi et al. was supported by funds for current research from the Italian Ministry of Health. The primary study by Gould et al. was supported by the Transport Accident Commission Grant. The primary study by Wagner et al. was supported by grants U10CA21661, U10CA180868, U10CA180822, and U10CA37422 from the National Cancer Institute. The study was also funded in part by a grant from the Pennsylvania Department of Health. The department specifically declaims responsibility for any analyses, interpretations, or conclusions of the primary study. The primary study by Bayon-Perez et al. was supported by a grant from the Instituto de Investigación Hospital 12 de Octubre (i + 12). Dr. Pulido was an investigator from the Intensification of Research Activity Program of the Instituto de Investigación Hospital 12 de Octubre (i + 12) during the conduct of the study. The primary study by Quispel et al. was supported by Stichting Achmea Gezondheid (grant number z-282).The primary study by Reme et al. was supported by the Research Council of Norway. The primary study by Rochat et al. was supported by grants from the University of Oxford (HQ5035), the Tuixen Foundation (9940), the Wellcome Trust (082384/Z/07/Z and 071571), and the American Psychological Association. The primary study by Rooney et al. was funded by the United Kingdom National Health Service Lothian Neuro-Oncology Endowment Fund. The primary study by Schwarzbold et al. was supported by PRONEX Program (NENASC Project) and PPSUS Program of Fundaçao de Amparo a esquisa e Inovacao do Estado de Santa Catarina (FAPESC) and the National Science and Technology Institute for Translational Medicine (INCT-TM). Dr. Shaaban was supported by funding from Universiti Sains Malaysia. The </w:t>
      </w:r>
      <w:r w:rsidRPr="00563AF8">
        <w:rPr>
          <w:color w:val="000000" w:themeColor="text1"/>
          <w:lang w:val="en-GB"/>
        </w:rPr>
        <w:lastRenderedPageBreak/>
        <w:t xml:space="preserve">primary study by Schellekens et al. was supported by the Dutch Cancer Society (KUN 2011-5077) and Alpe d’HuZes Foundation. The primary study by Shinn et al. was supported by grant NCI K07 CA 093512 and the Lance Armstrong Foundation. The primary study by Sidebottom et al. was funded by a grant from the United States Department of Health and Human Services, Health Resources and Services Administration (grant number R40MC07840). The primary study by Simard et al. was supported by IDEA grants from the Canadian Prostate Cancer Research Initiative and the Canadian Breast Cancer Research Alliance, as well as a studentship from the Canadian Institutes of Health Research. The primary study by Singer et al. (2009) was supported by a grant from the German Federal Ministry for Education and Research (no. 01ZZ0106). 2297: The primary study by Singer et al. (2008) was supported by grants from the German Federal Ministry for Education and Research (# 7DZAIQTX) and of the University of Leipzig (# formel. 1-57). The primary study by Meyer et al. was supported by the Federal Ministry of Education and Research (BMBF). The primary study by Comasco et al. was supported by funds from the Swedish Research Council (VR: 521-2013-2339, VR:523-2014-2342), the Swedish Council for Working Life and Social Research (FAS: 2011-0627), the Marta Lundqvist Foundation (2013, 2014), and the Swedish Society of Medicine (SLS-331991). The primary study by Smith-Nielsen et al. was supported by a grant from the charitable foundation Tryg Foundation (Grant ID no 107616). The primary study by Spangenberg et al. was supported by a junior research grant from the medical faculty, University of Leipzig. The primary study by Stafford et al. (2014) was supported in part by seed funding from the Western and Central Melbourne Integrated Cancer Service. The primary study by Stafford et al. (2007) was supported by the University of Melbourne. Dr. Stafford received PhD scholarship funding from the University of Melbourne. The primary study by Prenoveau et al. was supported by The Wellcome Trust (grant number </w:t>
      </w:r>
      <w:r w:rsidRPr="00563AF8">
        <w:rPr>
          <w:color w:val="000000" w:themeColor="text1"/>
          <w:lang w:val="en-GB"/>
        </w:rPr>
        <w:lastRenderedPageBreak/>
        <w:t xml:space="preserve">071571). The primary study by Stewart et al. was supported by Professor Francis Creed's Journal of Psychosomatic Research Editorship fund (BA00457) administered through University of Manchester. Dr. Stewart was supported by MRC GCRF grant MR/S035818/1. The primary study by Phan et al. was supported by The Government of Western Australia, Department of Health (Grant number G1000794). The primary study by Su et al. was supported by grants from the Department of Health (DOH94F044 and DOH95F022) and the China Medical University and Hospital (CMU94-105, DMR-92-92 and DMR94-46).The primary study by Tandon et al. was funded by the Thomas Wilson Sanitarium. The primary study by de Oliveira et al. was supported by CNPq and Fapemig, Brazil. The primary study by Pedroso et al. (2018) was supported by FAPEMIG (APq-03539-13). The primary study by Pedroso et al. (2016) was supported by Fundação de Amparo à Pesquisa do Estado de Minas Gerais (Fapemig) (APq-03539-13). The primary study by Tiringer et al. was supported by the Hungarian Research Council (ETT 395).The primary study by Tran et al. was supported by the Myer Foundation who funded the study under its Beyond Australia scheme. Dr. Tran was supported by an early career fellowship from the Australian National Health and Medical Research Council. The primary study by Tschorn et al. is part of the study “CDCare - Supply of patients with coronary artery disease and comorbid Depression: A Patient Oriented Needs Analysis"". CDCare was funded by the Federal Ministry of Education and Research (BMBF; 01GY1154). The primary study by Turner et al. was supported by a bequest from Jennie Thomas through Hunter Medical Research Institute. The study by van Steenbergen-Weijenburg et al. was funded by Innovatiefonds Zorgverzekeraars.  The primary study by Volker et al. was supported by The Netherlands organization for Health Research and Development (ZonMw) and from Achmea SZ, a Dutch insurance company. Dr. van Heyningen was supported by the National Research Foundation of South Africa and the </w:t>
      </w:r>
      <w:r w:rsidRPr="00563AF8">
        <w:rPr>
          <w:color w:val="000000" w:themeColor="text1"/>
          <w:lang w:val="en-GB"/>
        </w:rPr>
        <w:lastRenderedPageBreak/>
        <w:t>Harry Crossley Foundation. VHYTHE001/ 1232209. The study by Wittkampf et al. was funded by The Netherlands Organization for Health Research and Development (ZonMw) Mental Health Program (nos. 100.003.005 and 100.002.021) and the Academic Medical Center/University of Amsterdam.  The primary study by Vega-Dienstmaier et al. was supported by Tejada Family Foundation, Inc, and Peruvian-American Endowment, Inc. The primary study by Lee et al. (2017) was supported by a grant from the Kaohsiung Chang Gung Memorial Hospital, Taiwan (CMRPG8A0581). The primary study by Lee et al. (2016) was supported by a grant from Kaohsiung Chang Gung Memorial Hospital, Taiwan (CMRPG891321). The primary study by Liu et al. (2015) was supported by CIHR (MOP-114970).The primary study by Thombs et al. was done with data from the Heart and Soul Study. The Heart and Soul Study was funded by the Department of Veterans Epidemiology Merit Review Program, the Department of Veterans Affairs Health Services Research and Development service, the National Heart Lung and Blood Institute (R01 HL079235), the American Federation for Aging Research, the Robert Wood Johnson Foundation, and the Ischemia Research and Education Foundation. The primary study by Yonkers et al. was supported by a National Institute of Child Health and Human Development grant (5 R01HD045735)The primary study by Liu et al. (2016) was supported by Shanghai Municipal Health and Family Planning Commission Bureau-level Project - Preliminary Exploration of Depression Risk Prediction Model for Outpatients in General Hospitals (Project No. 2010105).</w:t>
      </w:r>
    </w:p>
    <w:p w14:paraId="23C8B472" w14:textId="77777777" w:rsidR="005C4CAB" w:rsidRDefault="005C4CAB" w:rsidP="00F159E6">
      <w:pPr>
        <w:spacing w:line="480" w:lineRule="auto"/>
        <w:rPr>
          <w:b/>
          <w:bCs/>
          <w:color w:val="000000" w:themeColor="text1"/>
          <w:lang w:val="en-GB"/>
        </w:rPr>
      </w:pPr>
    </w:p>
    <w:p w14:paraId="07E8F453" w14:textId="77777777" w:rsidR="009F06D1" w:rsidRDefault="009F06D1" w:rsidP="00F159E6">
      <w:pPr>
        <w:spacing w:line="480" w:lineRule="auto"/>
        <w:rPr>
          <w:b/>
          <w:bCs/>
          <w:color w:val="000000" w:themeColor="text1"/>
          <w:lang w:val="en-GB"/>
        </w:rPr>
      </w:pPr>
    </w:p>
    <w:p w14:paraId="1B38F1EF" w14:textId="4C65EA47" w:rsidR="00F159E6" w:rsidRPr="00563AF8" w:rsidRDefault="00F159E6" w:rsidP="00F159E6">
      <w:pPr>
        <w:spacing w:line="480" w:lineRule="auto"/>
        <w:rPr>
          <w:b/>
          <w:bCs/>
          <w:color w:val="000000" w:themeColor="text1"/>
          <w:lang w:val="en-GB"/>
        </w:rPr>
      </w:pPr>
      <w:r w:rsidRPr="00563AF8">
        <w:rPr>
          <w:b/>
          <w:bCs/>
          <w:color w:val="000000" w:themeColor="text1"/>
          <w:lang w:val="en-GB"/>
        </w:rPr>
        <w:t>Author Contributions</w:t>
      </w:r>
    </w:p>
    <w:p w14:paraId="72A62980" w14:textId="2ADB63E3" w:rsidR="00F159E6" w:rsidRPr="00563AF8" w:rsidRDefault="00F159E6" w:rsidP="003C0639">
      <w:pPr>
        <w:spacing w:line="480" w:lineRule="auto"/>
        <w:ind w:firstLine="567"/>
        <w:rPr>
          <w:rFonts w:eastAsiaTheme="minorEastAsia"/>
          <w:color w:val="000000" w:themeColor="text1"/>
          <w:lang w:val="en-GB" w:eastAsia="zh-CN"/>
        </w:rPr>
      </w:pPr>
      <w:r w:rsidRPr="00563AF8">
        <w:rPr>
          <w:color w:val="000000" w:themeColor="text1"/>
          <w:lang w:val="en-GB"/>
        </w:rPr>
        <w:lastRenderedPageBreak/>
        <w:t>DH, YW, BLevis, JPAI, YT, SBP, RCZ, PC, SG, SV, DA</w:t>
      </w:r>
      <w:r w:rsidR="00287C35" w:rsidRPr="00563AF8">
        <w:rPr>
          <w:color w:val="000000" w:themeColor="text1"/>
          <w:lang w:val="en-GB"/>
        </w:rPr>
        <w:t>kena</w:t>
      </w:r>
      <w:r w:rsidRPr="00563AF8">
        <w:rPr>
          <w:color w:val="000000" w:themeColor="text1"/>
          <w:lang w:val="en-GB"/>
        </w:rPr>
        <w:t xml:space="preserve">, ABenedetti, and BDT, and were responsible for the study conception and design. </w:t>
      </w:r>
      <w:r w:rsidR="000B050B" w:rsidRPr="00563AF8">
        <w:rPr>
          <w:color w:val="000000" w:themeColor="text1"/>
          <w:lang w:val="en-GB"/>
        </w:rPr>
        <w:t>JB</w:t>
      </w:r>
      <w:r w:rsidR="003118BF" w:rsidRPr="00563AF8">
        <w:rPr>
          <w:color w:val="000000" w:themeColor="text1"/>
          <w:lang w:val="en-GB"/>
        </w:rPr>
        <w:t>oruff</w:t>
      </w:r>
      <w:r w:rsidR="000B050B" w:rsidRPr="00563AF8">
        <w:rPr>
          <w:color w:val="000000" w:themeColor="text1"/>
          <w:lang w:val="en-GB"/>
        </w:rPr>
        <w:t xml:space="preserve"> designed and conducted the database searches</w:t>
      </w:r>
      <w:r w:rsidR="00E868DB" w:rsidRPr="00563AF8">
        <w:rPr>
          <w:color w:val="000000" w:themeColor="text1"/>
          <w:lang w:val="en-GB"/>
        </w:rPr>
        <w:t xml:space="preserve">. </w:t>
      </w:r>
      <w:r w:rsidRPr="00563AF8">
        <w:rPr>
          <w:color w:val="000000" w:themeColor="text1"/>
          <w:lang w:val="en-GB"/>
        </w:rPr>
        <w:t>YW, BLevis, SFan, YS, and BDT contributed to data extraction, coding, evaluation of included studies, and data synthesis. DH, MX, DR, ABenedetti</w:t>
      </w:r>
      <w:r w:rsidR="003C0639" w:rsidRPr="00563AF8">
        <w:rPr>
          <w:color w:val="000000" w:themeColor="text1"/>
          <w:lang w:val="en-GB"/>
        </w:rPr>
        <w:t>, and BDT</w:t>
      </w:r>
      <w:r w:rsidRPr="00563AF8">
        <w:rPr>
          <w:color w:val="000000" w:themeColor="text1"/>
          <w:lang w:val="en-GB"/>
        </w:rPr>
        <w:t xml:space="preserve"> contributed to data analysis and interpretation. SM is a knowledge user consultant. DH drafted the manuscript, with the support of YW, SF, D</w:t>
      </w:r>
      <w:r w:rsidR="00B33AF9" w:rsidRPr="00563AF8">
        <w:rPr>
          <w:color w:val="000000" w:themeColor="text1"/>
          <w:lang w:val="en-GB"/>
        </w:rPr>
        <w:t>B</w:t>
      </w:r>
      <w:r w:rsidRPr="00563AF8">
        <w:rPr>
          <w:color w:val="000000" w:themeColor="text1"/>
          <w:lang w:val="en-GB"/>
        </w:rPr>
        <w:t>R, ABenedetti</w:t>
      </w:r>
      <w:r w:rsidR="003C0639" w:rsidRPr="00563AF8">
        <w:rPr>
          <w:color w:val="000000" w:themeColor="text1"/>
          <w:lang w:val="en-GB"/>
        </w:rPr>
        <w:t>, and BDT.</w:t>
      </w:r>
    </w:p>
    <w:p w14:paraId="6B92FEDF" w14:textId="503B24C0" w:rsidR="00F159E6" w:rsidRPr="00563AF8" w:rsidRDefault="00F159E6" w:rsidP="001D7B64">
      <w:pPr>
        <w:spacing w:line="480" w:lineRule="auto"/>
        <w:ind w:firstLine="567"/>
        <w:rPr>
          <w:color w:val="000000" w:themeColor="text1"/>
          <w:lang w:val="en-GB"/>
        </w:rPr>
      </w:pPr>
      <w:r w:rsidRPr="00563AF8">
        <w:rPr>
          <w:color w:val="000000" w:themeColor="text1"/>
          <w:lang w:val="en-GB"/>
        </w:rPr>
        <w:t xml:space="preserve">Members of the DEPRESSD </w:t>
      </w:r>
      <w:r w:rsidR="003C0639" w:rsidRPr="00563AF8">
        <w:rPr>
          <w:color w:val="000000" w:themeColor="text1"/>
          <w:lang w:val="en-GB"/>
        </w:rPr>
        <w:t xml:space="preserve">Collaboration </w:t>
      </w:r>
      <w:r w:rsidRPr="00563AF8">
        <w:rPr>
          <w:color w:val="000000" w:themeColor="text1"/>
          <w:lang w:val="en-GB"/>
        </w:rPr>
        <w:t xml:space="preserve">Group contributed: </w:t>
      </w:r>
    </w:p>
    <w:p w14:paraId="01489618" w14:textId="593C4B91" w:rsidR="00F159E6" w:rsidRPr="00563AF8" w:rsidRDefault="00496BB4" w:rsidP="003C0639">
      <w:pPr>
        <w:spacing w:line="480" w:lineRule="auto"/>
        <w:ind w:firstLine="567"/>
        <w:rPr>
          <w:color w:val="000000" w:themeColor="text1"/>
          <w:shd w:val="clear" w:color="auto" w:fill="FFFFFF"/>
          <w:lang w:val="en-GB"/>
        </w:rPr>
      </w:pPr>
      <w:r w:rsidRPr="00126C41">
        <w:rPr>
          <w:color w:val="000000" w:themeColor="text1"/>
          <w:lang w:val="en-GB"/>
        </w:rPr>
        <w:t xml:space="preserve">To data extraction, coding, and synthesis: MA, PMB, MJC, CH, MIhman, AK, ZN, DNeupane, KER, XWY. Via the design and conduct of database searches: LAK. As knowledge user consultants: MHenry, ZI, CGL, NDM. By contributing included datasets: SBP, SAA, RA, DAmtmann, BA, LA, HRB, JBarnes, KRB, CTB, CNB, CB, CHB, BB, NBD, RIB, ABunevicius, PB, CC, GC, MHC, JCNC, LFC, CKC, DChibanda, GCS, KC, RMC, AC, YC, HC, TCeC, DCukor, FMD, JMdMvG, JDS, MGD, VE, JRF, NF, EF, GF, PPF, MFernandes, SField, BF, FHF, JRWF, AJF, MFujimori, DF, PG, MG, BG, LGholizadeh, LJG, FGS, LGrassi, EPG, CGG, BJH, LHantsoo, EEH, MHärter, UH, NH, AH, LHides, SEH, SH, LMH, TH, MIG, MInagaki, JJ, HJJ, NJ, MJ, PAK, MEK, KMK, SWK, MKjærgaard, JK, BAK, HHK, ZK, YK, FL, MAL, AAL, HFLA, SIL, MLöbner, WLL, MLotrakul, SRL, AWLove, BLöwe, NPL, CL, MM, UFM, RAM, LM, PM, BPM, YM, AMcGuire, AMehnert, IM, SMS, JMN, KM, SNR, LN, CJN, CGN, DNishi, MLO, SJO, FLO, APabst, JAP, SJP, JP, BWP, PP, IP, APicardi, JLP, SLP, FP, TJQ, CQ, SDR, SER, KR, SGRH, AGR, ISS, RMS, MPJS, MLS, VSC, JS, DJS, LSharpe, EHS, ASidebottom, SSimard, SSinger, ASkalkidou, JSN, LSpangenberg, LStafford, AStein, RCS, NAS, KPS, SSultan, ISP, SCS, KS, MTadinac, PLLT, SDT, MTR, ALT, ITendais, ITiringer, ATöreki, TDT, KT, MTschorn, ATurner, MSV, CMvdFC, TvH, JMVD, MW, LIW, </w:t>
      </w:r>
      <w:r w:rsidRPr="00126C41">
        <w:rPr>
          <w:color w:val="000000" w:themeColor="text1"/>
          <w:lang w:val="en-GB"/>
        </w:rPr>
        <w:lastRenderedPageBreak/>
        <w:t>LJWang, JLW, DW, SBW, JW, MAW, BW, LJWilliams, KWinkley, KWynter, MY, KAY, QZZ, YZ.</w:t>
      </w:r>
    </w:p>
    <w:p w14:paraId="58B2CB8B" w14:textId="13429578" w:rsidR="00F159E6" w:rsidRPr="00563AF8" w:rsidRDefault="00F159E6" w:rsidP="003C0639">
      <w:pPr>
        <w:spacing w:line="480" w:lineRule="auto"/>
        <w:ind w:firstLine="567"/>
        <w:rPr>
          <w:color w:val="000000" w:themeColor="text1"/>
          <w:lang w:val="en-GB"/>
        </w:rPr>
      </w:pPr>
      <w:r w:rsidRPr="00563AF8">
        <w:rPr>
          <w:color w:val="000000" w:themeColor="text1"/>
          <w:shd w:val="clear" w:color="auto" w:fill="FFFFFF"/>
          <w:lang w:val="en-GB"/>
        </w:rPr>
        <w:t xml:space="preserve">All authors, including group authors, provided a critical review and approved the final manuscript. </w:t>
      </w:r>
      <w:r w:rsidR="00253D6C" w:rsidRPr="00563AF8">
        <w:rPr>
          <w:color w:val="000000" w:themeColor="text1"/>
          <w:shd w:val="clear" w:color="auto" w:fill="FFFFFF"/>
          <w:lang w:val="en-GB"/>
        </w:rPr>
        <w:t>DH</w:t>
      </w:r>
      <w:r w:rsidR="003C0639" w:rsidRPr="00563AF8">
        <w:rPr>
          <w:color w:val="000000" w:themeColor="text1"/>
          <w:shd w:val="clear" w:color="auto" w:fill="FFFFFF"/>
          <w:lang w:val="en-GB"/>
        </w:rPr>
        <w:t xml:space="preserve"> </w:t>
      </w:r>
      <w:r w:rsidRPr="00563AF8">
        <w:rPr>
          <w:color w:val="000000" w:themeColor="text1"/>
          <w:lang w:val="en-GB"/>
        </w:rPr>
        <w:t>had full access to all the data in the study and take</w:t>
      </w:r>
      <w:r w:rsidR="0089097C" w:rsidRPr="00563AF8">
        <w:rPr>
          <w:color w:val="000000" w:themeColor="text1"/>
          <w:lang w:val="en-GB"/>
        </w:rPr>
        <w:t>s</w:t>
      </w:r>
      <w:r w:rsidRPr="00563AF8">
        <w:rPr>
          <w:color w:val="000000" w:themeColor="text1"/>
          <w:lang w:val="en-GB"/>
        </w:rPr>
        <w:t xml:space="preserve"> responsibility for the integrity of the data and the accuracy of the data analyses. The corresponding author attests that all listed authors meet authorship criteria and that no others meeting the criteria have been omitted.</w:t>
      </w:r>
    </w:p>
    <w:p w14:paraId="239116D9" w14:textId="77777777" w:rsidR="003C0639" w:rsidRPr="00563AF8" w:rsidRDefault="003C0639" w:rsidP="00F159E6">
      <w:pPr>
        <w:spacing w:line="480" w:lineRule="auto"/>
        <w:rPr>
          <w:b/>
          <w:bCs/>
          <w:color w:val="000000" w:themeColor="text1"/>
          <w:lang w:val="en-GB"/>
        </w:rPr>
      </w:pPr>
    </w:p>
    <w:p w14:paraId="109DC92B" w14:textId="2773B001" w:rsidR="005C4CAB" w:rsidRDefault="00F159E6" w:rsidP="00352454">
      <w:pPr>
        <w:spacing w:line="480" w:lineRule="auto"/>
        <w:rPr>
          <w:b/>
          <w:bCs/>
          <w:color w:val="000000"/>
          <w:lang w:val="en-GB" w:eastAsia="zh-CN"/>
        </w:rPr>
      </w:pPr>
      <w:r w:rsidRPr="00563AF8">
        <w:rPr>
          <w:b/>
          <w:bCs/>
          <w:color w:val="000000"/>
          <w:lang w:val="en-GB" w:eastAsia="zh-CN"/>
        </w:rPr>
        <w:t xml:space="preserve">Data </w:t>
      </w:r>
      <w:r w:rsidR="0013502E">
        <w:rPr>
          <w:b/>
          <w:bCs/>
          <w:color w:val="000000"/>
          <w:lang w:val="en-GB" w:eastAsia="zh-CN"/>
        </w:rPr>
        <w:t>S</w:t>
      </w:r>
      <w:r w:rsidRPr="00563AF8">
        <w:rPr>
          <w:b/>
          <w:bCs/>
          <w:color w:val="000000"/>
          <w:lang w:val="en-GB" w:eastAsia="zh-CN"/>
        </w:rPr>
        <w:t>haring</w:t>
      </w:r>
    </w:p>
    <w:p w14:paraId="1299A844" w14:textId="1C33CF29" w:rsidR="00DC01FC" w:rsidRPr="00563AF8" w:rsidRDefault="00F159E6" w:rsidP="00600F65">
      <w:pPr>
        <w:spacing w:line="480" w:lineRule="auto"/>
        <w:ind w:firstLine="567"/>
        <w:rPr>
          <w:rFonts w:eastAsia="MS Mincho"/>
          <w:b/>
          <w:bCs/>
          <w:lang w:val="en-GB"/>
        </w:rPr>
      </w:pPr>
      <w:r w:rsidRPr="00563AF8">
        <w:rPr>
          <w:bCs/>
          <w:color w:val="000000"/>
          <w:lang w:val="en-GB" w:eastAsia="zh-CN"/>
        </w:rPr>
        <w:t>Requests to access data should be made to the corresponding author.</w:t>
      </w:r>
    </w:p>
    <w:p w14:paraId="705ACFE9" w14:textId="77777777" w:rsidR="00252BE9" w:rsidRPr="00563AF8" w:rsidRDefault="00252BE9">
      <w:pPr>
        <w:rPr>
          <w:rFonts w:eastAsia="MS Mincho"/>
          <w:b/>
          <w:bCs/>
          <w:lang w:val="en-GB"/>
        </w:rPr>
      </w:pPr>
      <w:r w:rsidRPr="00563AF8">
        <w:rPr>
          <w:b/>
          <w:bCs/>
          <w:lang w:val="en-GB"/>
        </w:rPr>
        <w:br w:type="page"/>
      </w:r>
    </w:p>
    <w:p w14:paraId="636BFAFC" w14:textId="356B3327" w:rsidR="00FD4808" w:rsidRPr="00563AF8" w:rsidRDefault="00F80BA7" w:rsidP="00BF7247">
      <w:pPr>
        <w:pStyle w:val="ListParagraph"/>
        <w:spacing w:line="480" w:lineRule="auto"/>
        <w:ind w:left="567" w:hanging="567"/>
        <w:rPr>
          <w:rFonts w:ascii="Times New Roman" w:hAnsi="Times New Roman"/>
          <w:b/>
          <w:bCs/>
          <w:lang w:val="en-GB"/>
        </w:rPr>
      </w:pPr>
      <w:r w:rsidRPr="00563AF8">
        <w:rPr>
          <w:rFonts w:ascii="Times New Roman" w:hAnsi="Times New Roman"/>
          <w:b/>
          <w:bCs/>
          <w:lang w:val="en-GB"/>
        </w:rPr>
        <w:lastRenderedPageBreak/>
        <w:t>References</w:t>
      </w:r>
    </w:p>
    <w:p w14:paraId="4EE944CD" w14:textId="6A0372E5" w:rsidR="007D7231" w:rsidRPr="00182CB0" w:rsidRDefault="007D7231" w:rsidP="00B96B5C">
      <w:pPr>
        <w:pStyle w:val="Bibliography"/>
        <w:tabs>
          <w:tab w:val="clear" w:pos="260"/>
        </w:tabs>
        <w:spacing w:after="0" w:line="480" w:lineRule="auto"/>
        <w:ind w:left="567" w:hanging="567"/>
        <w:rPr>
          <w:lang w:val="fr-FR"/>
        </w:rPr>
      </w:pPr>
      <w:r w:rsidRPr="00563AF8">
        <w:rPr>
          <w:lang w:val="en-GB"/>
        </w:rPr>
        <w:t>American Psychiatric Association</w:t>
      </w:r>
      <w:r w:rsidR="00182CB0">
        <w:rPr>
          <w:lang w:val="en-GB"/>
        </w:rPr>
        <w:t xml:space="preserve">, </w:t>
      </w:r>
      <w:r w:rsidR="00182CB0" w:rsidRPr="00563AF8">
        <w:rPr>
          <w:lang w:val="en-GB"/>
        </w:rPr>
        <w:t>2013</w:t>
      </w:r>
      <w:r w:rsidR="00182CB0">
        <w:rPr>
          <w:lang w:val="en-GB"/>
        </w:rPr>
        <w:t xml:space="preserve">. </w:t>
      </w:r>
      <w:r w:rsidRPr="00563AF8">
        <w:rPr>
          <w:lang w:val="en-GB"/>
        </w:rPr>
        <w:t xml:space="preserve">Diagnostic and Statistical Manual of Mental Disorders, </w:t>
      </w:r>
      <w:r w:rsidR="00182CB0">
        <w:rPr>
          <w:lang w:val="en-GB"/>
        </w:rPr>
        <w:t xml:space="preserve">fifth </w:t>
      </w:r>
      <w:r>
        <w:rPr>
          <w:lang w:val="en-GB"/>
        </w:rPr>
        <w:t>ed</w:t>
      </w:r>
      <w:r w:rsidRPr="00563AF8">
        <w:rPr>
          <w:lang w:val="en-GB"/>
        </w:rPr>
        <w:t xml:space="preserve">. </w:t>
      </w:r>
      <w:r w:rsidR="00182CB0" w:rsidRPr="00182CB0">
        <w:rPr>
          <w:lang w:val="fr-FR"/>
        </w:rPr>
        <w:t>Arlington, VA.</w:t>
      </w:r>
      <w:r w:rsidRPr="00182CB0">
        <w:rPr>
          <w:lang w:val="fr-FR"/>
        </w:rPr>
        <w:t xml:space="preserve"> </w:t>
      </w:r>
      <w:r w:rsidR="00182CB0" w:rsidRPr="00182CB0">
        <w:rPr>
          <w:lang w:val="fr-FR"/>
        </w:rPr>
        <w:t>https://doi.org/10.1176/appi.books.9780890425596</w:t>
      </w:r>
      <w:r w:rsidR="00E20E5E">
        <w:rPr>
          <w:lang w:val="fr-FR"/>
        </w:rPr>
        <w:t>.</w:t>
      </w:r>
    </w:p>
    <w:p w14:paraId="62142542" w14:textId="5B69B736" w:rsidR="007D7231" w:rsidRPr="007346D1" w:rsidRDefault="007D7231" w:rsidP="007D7231">
      <w:pPr>
        <w:pStyle w:val="Bibliography"/>
        <w:tabs>
          <w:tab w:val="clear" w:pos="260"/>
        </w:tabs>
        <w:spacing w:after="0" w:line="480" w:lineRule="auto"/>
        <w:ind w:left="567" w:hanging="567"/>
        <w:rPr>
          <w:lang w:val="en-CA"/>
        </w:rPr>
      </w:pPr>
      <w:r w:rsidRPr="00182CB0">
        <w:rPr>
          <w:lang w:val="en-CA"/>
        </w:rPr>
        <w:t>Dillman</w:t>
      </w:r>
      <w:r w:rsidR="00182CB0" w:rsidRPr="00182CB0">
        <w:rPr>
          <w:lang w:val="en-CA"/>
        </w:rPr>
        <w:t>,</w:t>
      </w:r>
      <w:r w:rsidRPr="00182CB0">
        <w:rPr>
          <w:lang w:val="en-CA"/>
        </w:rPr>
        <w:t xml:space="preserve"> D</w:t>
      </w:r>
      <w:r w:rsidR="00182CB0" w:rsidRPr="00182CB0">
        <w:rPr>
          <w:lang w:val="en-CA"/>
        </w:rPr>
        <w:t>.</w:t>
      </w:r>
      <w:r w:rsidRPr="00182CB0">
        <w:rPr>
          <w:lang w:val="en-CA"/>
        </w:rPr>
        <w:t>A</w:t>
      </w:r>
      <w:r w:rsidR="00182CB0" w:rsidRPr="00182CB0">
        <w:rPr>
          <w:lang w:val="en-CA"/>
        </w:rPr>
        <w:t>.</w:t>
      </w:r>
      <w:r w:rsidRPr="00182CB0">
        <w:rPr>
          <w:lang w:val="en-CA"/>
        </w:rPr>
        <w:t>, Christian</w:t>
      </w:r>
      <w:r w:rsidR="00182CB0" w:rsidRPr="00182CB0">
        <w:rPr>
          <w:lang w:val="en-CA"/>
        </w:rPr>
        <w:t>,</w:t>
      </w:r>
      <w:r w:rsidRPr="00182CB0">
        <w:rPr>
          <w:lang w:val="en-CA"/>
        </w:rPr>
        <w:t xml:space="preserve"> L</w:t>
      </w:r>
      <w:r w:rsidR="00182CB0" w:rsidRPr="00182CB0">
        <w:rPr>
          <w:lang w:val="en-CA"/>
        </w:rPr>
        <w:t>.</w:t>
      </w:r>
      <w:r w:rsidRPr="00182CB0">
        <w:rPr>
          <w:lang w:val="en-CA"/>
        </w:rPr>
        <w:t>M.</w:t>
      </w:r>
      <w:r w:rsidR="00182CB0" w:rsidRPr="00182CB0">
        <w:rPr>
          <w:lang w:val="en-CA"/>
        </w:rPr>
        <w:t xml:space="preserve">, </w:t>
      </w:r>
      <w:r w:rsidR="00182CB0">
        <w:rPr>
          <w:lang w:val="en-CA"/>
        </w:rPr>
        <w:t>2005.</w:t>
      </w:r>
      <w:r w:rsidRPr="00182CB0">
        <w:rPr>
          <w:lang w:val="en-CA"/>
        </w:rPr>
        <w:t xml:space="preserve"> </w:t>
      </w:r>
      <w:r w:rsidRPr="00563AF8">
        <w:rPr>
          <w:lang w:val="en-GB"/>
        </w:rPr>
        <w:t xml:space="preserve">Survey </w:t>
      </w:r>
      <w:r>
        <w:rPr>
          <w:lang w:val="en-GB"/>
        </w:rPr>
        <w:t>m</w:t>
      </w:r>
      <w:r w:rsidRPr="00563AF8">
        <w:rPr>
          <w:lang w:val="en-GB"/>
        </w:rPr>
        <w:t xml:space="preserve">ode as a </w:t>
      </w:r>
      <w:r>
        <w:rPr>
          <w:lang w:val="en-GB"/>
        </w:rPr>
        <w:t>s</w:t>
      </w:r>
      <w:r w:rsidRPr="00563AF8">
        <w:rPr>
          <w:lang w:val="en-GB"/>
        </w:rPr>
        <w:t xml:space="preserve">ource of </w:t>
      </w:r>
      <w:r>
        <w:rPr>
          <w:lang w:val="en-GB"/>
        </w:rPr>
        <w:t>i</w:t>
      </w:r>
      <w:r w:rsidRPr="00563AF8">
        <w:rPr>
          <w:lang w:val="en-GB"/>
        </w:rPr>
        <w:t xml:space="preserve">nstability in </w:t>
      </w:r>
      <w:r>
        <w:rPr>
          <w:lang w:val="en-GB"/>
        </w:rPr>
        <w:t>r</w:t>
      </w:r>
      <w:r w:rsidRPr="00563AF8">
        <w:rPr>
          <w:lang w:val="en-GB"/>
        </w:rPr>
        <w:t xml:space="preserve">esponses across </w:t>
      </w:r>
      <w:r>
        <w:rPr>
          <w:lang w:val="en-GB"/>
        </w:rPr>
        <w:t>s</w:t>
      </w:r>
      <w:r w:rsidRPr="00563AF8">
        <w:rPr>
          <w:lang w:val="en-GB"/>
        </w:rPr>
        <w:t xml:space="preserve">urveys. </w:t>
      </w:r>
      <w:r w:rsidRPr="00600F65">
        <w:rPr>
          <w:lang w:val="en-GB"/>
        </w:rPr>
        <w:t>Field Methods</w:t>
      </w:r>
      <w:r>
        <w:rPr>
          <w:lang w:val="en-GB"/>
        </w:rPr>
        <w:t>.</w:t>
      </w:r>
      <w:r w:rsidRPr="00563AF8">
        <w:rPr>
          <w:lang w:val="en-GB"/>
        </w:rPr>
        <w:t xml:space="preserve"> </w:t>
      </w:r>
      <w:r w:rsidRPr="007346D1">
        <w:rPr>
          <w:lang w:val="en-CA"/>
        </w:rPr>
        <w:t>17</w:t>
      </w:r>
      <w:r w:rsidR="00182CB0" w:rsidRPr="007346D1">
        <w:rPr>
          <w:lang w:val="en-CA"/>
        </w:rPr>
        <w:t xml:space="preserve">, </w:t>
      </w:r>
      <w:r w:rsidRPr="007346D1">
        <w:rPr>
          <w:lang w:val="en-CA"/>
        </w:rPr>
        <w:t>30–52.</w:t>
      </w:r>
      <w:r w:rsidR="00182CB0" w:rsidRPr="007346D1">
        <w:rPr>
          <w:lang w:val="en-CA"/>
        </w:rPr>
        <w:t xml:space="preserve"> https://doi.org/10.1177/1525822X04269550</w:t>
      </w:r>
      <w:r w:rsidR="00340EF1" w:rsidRPr="007346D1">
        <w:rPr>
          <w:lang w:val="en-CA"/>
        </w:rPr>
        <w:t>.</w:t>
      </w:r>
    </w:p>
    <w:p w14:paraId="58D0E9CC" w14:textId="1C6E471F" w:rsidR="007D7231" w:rsidRDefault="007D7231" w:rsidP="00B96B5C">
      <w:pPr>
        <w:pStyle w:val="Bibliography"/>
        <w:tabs>
          <w:tab w:val="clear" w:pos="260"/>
        </w:tabs>
        <w:spacing w:after="0" w:line="480" w:lineRule="auto"/>
        <w:ind w:left="567" w:hanging="567"/>
        <w:rPr>
          <w:lang w:val="en-GB"/>
        </w:rPr>
      </w:pPr>
      <w:r w:rsidRPr="007346D1">
        <w:rPr>
          <w:lang w:val="en-CA"/>
        </w:rPr>
        <w:t>Greenleaf</w:t>
      </w:r>
      <w:r w:rsidR="00340EF1" w:rsidRPr="007346D1">
        <w:rPr>
          <w:lang w:val="en-CA"/>
        </w:rPr>
        <w:t>,</w:t>
      </w:r>
      <w:r w:rsidRPr="007346D1">
        <w:rPr>
          <w:lang w:val="en-CA"/>
        </w:rPr>
        <w:t xml:space="preserve"> A</w:t>
      </w:r>
      <w:r w:rsidR="00340EF1" w:rsidRPr="007346D1">
        <w:rPr>
          <w:lang w:val="en-CA"/>
        </w:rPr>
        <w:t>.</w:t>
      </w:r>
      <w:r w:rsidRPr="007346D1">
        <w:rPr>
          <w:lang w:val="en-CA"/>
        </w:rPr>
        <w:t>R</w:t>
      </w:r>
      <w:r w:rsidR="00340EF1" w:rsidRPr="007346D1">
        <w:rPr>
          <w:lang w:val="en-CA"/>
        </w:rPr>
        <w:t>.</w:t>
      </w:r>
      <w:r w:rsidRPr="007346D1">
        <w:rPr>
          <w:lang w:val="en-CA"/>
        </w:rPr>
        <w:t>, Gibson</w:t>
      </w:r>
      <w:r w:rsidR="00340EF1" w:rsidRPr="007346D1">
        <w:rPr>
          <w:lang w:val="en-CA"/>
        </w:rPr>
        <w:t>,</w:t>
      </w:r>
      <w:r w:rsidRPr="007346D1">
        <w:rPr>
          <w:lang w:val="en-CA"/>
        </w:rPr>
        <w:t xml:space="preserve"> D</w:t>
      </w:r>
      <w:r w:rsidR="00340EF1" w:rsidRPr="007346D1">
        <w:rPr>
          <w:lang w:val="en-CA"/>
        </w:rPr>
        <w:t>.</w:t>
      </w:r>
      <w:r w:rsidRPr="007346D1">
        <w:rPr>
          <w:lang w:val="en-CA"/>
        </w:rPr>
        <w:t>G</w:t>
      </w:r>
      <w:r w:rsidR="00340EF1" w:rsidRPr="007346D1">
        <w:rPr>
          <w:lang w:val="en-CA"/>
        </w:rPr>
        <w:t>.</w:t>
      </w:r>
      <w:r w:rsidRPr="007346D1">
        <w:rPr>
          <w:lang w:val="en-CA"/>
        </w:rPr>
        <w:t>, Khattar</w:t>
      </w:r>
      <w:r w:rsidR="00340EF1" w:rsidRPr="007346D1">
        <w:rPr>
          <w:lang w:val="en-CA"/>
        </w:rPr>
        <w:t>,</w:t>
      </w:r>
      <w:r w:rsidRPr="007346D1">
        <w:rPr>
          <w:lang w:val="en-CA"/>
        </w:rPr>
        <w:t xml:space="preserve"> C</w:t>
      </w:r>
      <w:r w:rsidR="00340EF1" w:rsidRPr="007346D1">
        <w:rPr>
          <w:lang w:val="en-CA"/>
        </w:rPr>
        <w:t>.</w:t>
      </w:r>
      <w:r w:rsidRPr="007346D1">
        <w:rPr>
          <w:lang w:val="en-CA"/>
        </w:rPr>
        <w:t>, Labrique</w:t>
      </w:r>
      <w:r w:rsidR="00340EF1" w:rsidRPr="007346D1">
        <w:rPr>
          <w:lang w:val="en-CA"/>
        </w:rPr>
        <w:t>,</w:t>
      </w:r>
      <w:r w:rsidRPr="007346D1">
        <w:rPr>
          <w:lang w:val="en-CA"/>
        </w:rPr>
        <w:t xml:space="preserve"> A</w:t>
      </w:r>
      <w:r w:rsidR="00340EF1" w:rsidRPr="007346D1">
        <w:rPr>
          <w:lang w:val="en-CA"/>
        </w:rPr>
        <w:t>.</w:t>
      </w:r>
      <w:r w:rsidRPr="007346D1">
        <w:rPr>
          <w:lang w:val="en-CA"/>
        </w:rPr>
        <w:t>B</w:t>
      </w:r>
      <w:r w:rsidR="00340EF1" w:rsidRPr="007346D1">
        <w:rPr>
          <w:lang w:val="en-CA"/>
        </w:rPr>
        <w:t>.</w:t>
      </w:r>
      <w:r w:rsidRPr="007346D1">
        <w:rPr>
          <w:lang w:val="en-CA"/>
        </w:rPr>
        <w:t>, Pariyo</w:t>
      </w:r>
      <w:r w:rsidR="00340EF1" w:rsidRPr="007346D1">
        <w:rPr>
          <w:lang w:val="en-CA"/>
        </w:rPr>
        <w:t>,</w:t>
      </w:r>
      <w:r w:rsidRPr="007346D1">
        <w:rPr>
          <w:lang w:val="en-CA"/>
        </w:rPr>
        <w:t xml:space="preserve"> G</w:t>
      </w:r>
      <w:r w:rsidR="00340EF1" w:rsidRPr="007346D1">
        <w:rPr>
          <w:lang w:val="en-CA"/>
        </w:rPr>
        <w:t>.</w:t>
      </w:r>
      <w:r w:rsidRPr="007346D1">
        <w:rPr>
          <w:lang w:val="en-CA"/>
        </w:rPr>
        <w:t>W.</w:t>
      </w:r>
      <w:r w:rsidR="00340EF1" w:rsidRPr="007346D1">
        <w:rPr>
          <w:lang w:val="en-CA"/>
        </w:rPr>
        <w:t>, 2017.</w:t>
      </w:r>
      <w:r w:rsidRPr="007346D1">
        <w:rPr>
          <w:lang w:val="en-CA"/>
        </w:rPr>
        <w:t xml:space="preserve"> </w:t>
      </w:r>
      <w:r w:rsidRPr="00563AF8">
        <w:rPr>
          <w:lang w:val="en-GB"/>
        </w:rPr>
        <w:t xml:space="preserve">Building the </w:t>
      </w:r>
      <w:r>
        <w:rPr>
          <w:lang w:val="en-GB"/>
        </w:rPr>
        <w:t>e</w:t>
      </w:r>
      <w:r w:rsidRPr="00563AF8">
        <w:rPr>
          <w:lang w:val="en-GB"/>
        </w:rPr>
        <w:t xml:space="preserve">vidence </w:t>
      </w:r>
      <w:r>
        <w:rPr>
          <w:lang w:val="en-GB"/>
        </w:rPr>
        <w:t>b</w:t>
      </w:r>
      <w:r w:rsidRPr="00563AF8">
        <w:rPr>
          <w:lang w:val="en-GB"/>
        </w:rPr>
        <w:t xml:space="preserve">ase for </w:t>
      </w:r>
      <w:r>
        <w:rPr>
          <w:lang w:val="en-GB"/>
        </w:rPr>
        <w:t>r</w:t>
      </w:r>
      <w:r w:rsidRPr="00563AF8">
        <w:rPr>
          <w:lang w:val="en-GB"/>
        </w:rPr>
        <w:t xml:space="preserve">emote </w:t>
      </w:r>
      <w:r>
        <w:rPr>
          <w:lang w:val="en-GB"/>
        </w:rPr>
        <w:t>d</w:t>
      </w:r>
      <w:r w:rsidRPr="00563AF8">
        <w:rPr>
          <w:lang w:val="en-GB"/>
        </w:rPr>
        <w:t xml:space="preserve">ata </w:t>
      </w:r>
      <w:r>
        <w:rPr>
          <w:lang w:val="en-GB"/>
        </w:rPr>
        <w:t>c</w:t>
      </w:r>
      <w:r w:rsidRPr="00563AF8">
        <w:rPr>
          <w:lang w:val="en-GB"/>
        </w:rPr>
        <w:t xml:space="preserve">ollection in </w:t>
      </w:r>
      <w:r>
        <w:rPr>
          <w:lang w:val="en-GB"/>
        </w:rPr>
        <w:t>l</w:t>
      </w:r>
      <w:r w:rsidRPr="00563AF8">
        <w:rPr>
          <w:lang w:val="en-GB"/>
        </w:rPr>
        <w:t xml:space="preserve">ow- and </w:t>
      </w:r>
      <w:r>
        <w:rPr>
          <w:lang w:val="en-GB"/>
        </w:rPr>
        <w:t>m</w:t>
      </w:r>
      <w:r w:rsidRPr="00563AF8">
        <w:rPr>
          <w:lang w:val="en-GB"/>
        </w:rPr>
        <w:t>iddle-</w:t>
      </w:r>
      <w:r>
        <w:rPr>
          <w:lang w:val="en-GB"/>
        </w:rPr>
        <w:t>i</w:t>
      </w:r>
      <w:r w:rsidRPr="00563AF8">
        <w:rPr>
          <w:lang w:val="en-GB"/>
        </w:rPr>
        <w:t xml:space="preserve">ncome </w:t>
      </w:r>
      <w:r>
        <w:rPr>
          <w:lang w:val="en-GB"/>
        </w:rPr>
        <w:t>c</w:t>
      </w:r>
      <w:r w:rsidRPr="00563AF8">
        <w:rPr>
          <w:lang w:val="en-GB"/>
        </w:rPr>
        <w:t xml:space="preserve">ountries: </w:t>
      </w:r>
      <w:r>
        <w:rPr>
          <w:lang w:val="en-GB"/>
        </w:rPr>
        <w:t>c</w:t>
      </w:r>
      <w:r w:rsidRPr="00563AF8">
        <w:rPr>
          <w:lang w:val="en-GB"/>
        </w:rPr>
        <w:t xml:space="preserve">omparing </w:t>
      </w:r>
      <w:r>
        <w:rPr>
          <w:lang w:val="en-GB"/>
        </w:rPr>
        <w:t>r</w:t>
      </w:r>
      <w:r w:rsidRPr="00563AF8">
        <w:rPr>
          <w:lang w:val="en-GB"/>
        </w:rPr>
        <w:t xml:space="preserve">eliability and </w:t>
      </w:r>
      <w:r>
        <w:rPr>
          <w:lang w:val="en-GB"/>
        </w:rPr>
        <w:t>a</w:t>
      </w:r>
      <w:r w:rsidRPr="00563AF8">
        <w:rPr>
          <w:lang w:val="en-GB"/>
        </w:rPr>
        <w:t xml:space="preserve">ccuracy </w:t>
      </w:r>
      <w:r>
        <w:rPr>
          <w:lang w:val="en-GB"/>
        </w:rPr>
        <w:t>a</w:t>
      </w:r>
      <w:r w:rsidRPr="00563AF8">
        <w:rPr>
          <w:lang w:val="en-GB"/>
        </w:rPr>
        <w:t xml:space="preserve">cross </w:t>
      </w:r>
      <w:r>
        <w:rPr>
          <w:lang w:val="en-GB"/>
        </w:rPr>
        <w:t>s</w:t>
      </w:r>
      <w:r w:rsidRPr="00563AF8">
        <w:rPr>
          <w:lang w:val="en-GB"/>
        </w:rPr>
        <w:t xml:space="preserve">urvey </w:t>
      </w:r>
      <w:r>
        <w:rPr>
          <w:lang w:val="en-GB"/>
        </w:rPr>
        <w:t>m</w:t>
      </w:r>
      <w:r w:rsidRPr="00563AF8">
        <w:rPr>
          <w:lang w:val="en-GB"/>
        </w:rPr>
        <w:t xml:space="preserve">odalities. </w:t>
      </w:r>
      <w:r w:rsidRPr="00600F65">
        <w:rPr>
          <w:lang w:val="en-GB"/>
        </w:rPr>
        <w:t>J</w:t>
      </w:r>
      <w:r w:rsidR="00340EF1">
        <w:rPr>
          <w:lang w:val="en-GB"/>
        </w:rPr>
        <w:t>.</w:t>
      </w:r>
      <w:r w:rsidRPr="00600F65">
        <w:rPr>
          <w:lang w:val="en-GB"/>
        </w:rPr>
        <w:t xml:space="preserve"> Med</w:t>
      </w:r>
      <w:r w:rsidR="00340EF1">
        <w:rPr>
          <w:lang w:val="en-GB"/>
        </w:rPr>
        <w:t>.</w:t>
      </w:r>
      <w:r w:rsidRPr="00600F65">
        <w:rPr>
          <w:lang w:val="en-GB"/>
        </w:rPr>
        <w:t xml:space="preserve"> Internet</w:t>
      </w:r>
      <w:r w:rsidR="00340EF1">
        <w:rPr>
          <w:lang w:val="en-GB"/>
        </w:rPr>
        <w:t>.</w:t>
      </w:r>
      <w:r w:rsidRPr="00600F65">
        <w:rPr>
          <w:lang w:val="en-GB"/>
        </w:rPr>
        <w:t xml:space="preserve"> Res</w:t>
      </w:r>
      <w:r>
        <w:rPr>
          <w:lang w:val="en-GB"/>
        </w:rPr>
        <w:t>.</w:t>
      </w:r>
      <w:r w:rsidR="00340EF1">
        <w:rPr>
          <w:lang w:val="en-GB"/>
        </w:rPr>
        <w:t xml:space="preserve"> </w:t>
      </w:r>
      <w:r w:rsidRPr="00600F65">
        <w:rPr>
          <w:lang w:val="en-GB"/>
        </w:rPr>
        <w:t>19</w:t>
      </w:r>
      <w:r w:rsidR="00340EF1">
        <w:rPr>
          <w:lang w:val="en-GB"/>
        </w:rPr>
        <w:t xml:space="preserve">, </w:t>
      </w:r>
      <w:r w:rsidRPr="00563AF8">
        <w:rPr>
          <w:lang w:val="en-GB"/>
        </w:rPr>
        <w:t>e140.</w:t>
      </w:r>
      <w:r w:rsidR="00340EF1">
        <w:rPr>
          <w:lang w:val="en-GB"/>
        </w:rPr>
        <w:t xml:space="preserve"> </w:t>
      </w:r>
      <w:r w:rsidR="00340EF1" w:rsidRPr="00340EF1">
        <w:rPr>
          <w:lang w:val="en-GB"/>
        </w:rPr>
        <w:t>https://doi.org/10.2196/jmir.7331</w:t>
      </w:r>
      <w:r w:rsidR="00340EF1">
        <w:rPr>
          <w:lang w:val="en-GB"/>
        </w:rPr>
        <w:t>.</w:t>
      </w:r>
    </w:p>
    <w:p w14:paraId="1F35EFFD" w14:textId="77777777" w:rsidR="00C46B17" w:rsidRDefault="00F80BA7" w:rsidP="00C46B17">
      <w:pPr>
        <w:spacing w:line="480" w:lineRule="auto"/>
        <w:rPr>
          <w:lang w:val="en-GB" w:eastAsia="zh-CN"/>
        </w:rPr>
      </w:pPr>
      <w:r w:rsidRPr="007D7231">
        <w:rPr>
          <w:lang w:val="en-GB" w:eastAsia="zh-CN"/>
        </w:rPr>
        <w:t>Hu</w:t>
      </w:r>
      <w:r w:rsidR="00C46B17">
        <w:rPr>
          <w:lang w:val="en-GB" w:eastAsia="zh-CN"/>
        </w:rPr>
        <w:t>,</w:t>
      </w:r>
      <w:r w:rsidRPr="007D7231">
        <w:rPr>
          <w:lang w:val="en-GB" w:eastAsia="zh-CN"/>
        </w:rPr>
        <w:t xml:space="preserve"> L</w:t>
      </w:r>
      <w:r w:rsidR="00C46B17">
        <w:rPr>
          <w:lang w:val="en-GB" w:eastAsia="zh-CN"/>
        </w:rPr>
        <w:t>.</w:t>
      </w:r>
      <w:r w:rsidRPr="007D7231">
        <w:rPr>
          <w:lang w:val="en-GB" w:eastAsia="zh-CN"/>
        </w:rPr>
        <w:t>, Bentler</w:t>
      </w:r>
      <w:r w:rsidR="00C46B17">
        <w:rPr>
          <w:lang w:val="en-GB" w:eastAsia="zh-CN"/>
        </w:rPr>
        <w:t>,</w:t>
      </w:r>
      <w:r w:rsidRPr="007D7231">
        <w:rPr>
          <w:lang w:val="en-GB" w:eastAsia="zh-CN"/>
        </w:rPr>
        <w:t xml:space="preserve"> P</w:t>
      </w:r>
      <w:r w:rsidR="00C46B17">
        <w:rPr>
          <w:lang w:val="en-GB" w:eastAsia="zh-CN"/>
        </w:rPr>
        <w:t>.</w:t>
      </w:r>
      <w:r w:rsidRPr="007D7231">
        <w:rPr>
          <w:lang w:val="en-GB" w:eastAsia="zh-CN"/>
        </w:rPr>
        <w:t>M.</w:t>
      </w:r>
      <w:r w:rsidR="00C46B17">
        <w:rPr>
          <w:lang w:val="en-GB" w:eastAsia="zh-CN"/>
        </w:rPr>
        <w:t>,</w:t>
      </w:r>
      <w:r w:rsidRPr="007D7231">
        <w:rPr>
          <w:lang w:val="en-GB" w:eastAsia="zh-CN"/>
        </w:rPr>
        <w:t xml:space="preserve"> </w:t>
      </w:r>
      <w:r w:rsidR="00C46B17">
        <w:rPr>
          <w:lang w:val="en-GB" w:eastAsia="zh-CN"/>
        </w:rPr>
        <w:t xml:space="preserve">1999. </w:t>
      </w:r>
      <w:r w:rsidRPr="007D7231">
        <w:rPr>
          <w:lang w:val="en-GB" w:eastAsia="zh-CN"/>
        </w:rPr>
        <w:t xml:space="preserve">Cutoff criteria for fit indexes in covariance structure analysis: </w:t>
      </w:r>
    </w:p>
    <w:p w14:paraId="24788D8D" w14:textId="77777777" w:rsidR="00C46B17" w:rsidRDefault="00F80BA7" w:rsidP="00C46B17">
      <w:pPr>
        <w:spacing w:line="480" w:lineRule="auto"/>
        <w:ind w:firstLine="567"/>
        <w:rPr>
          <w:lang w:val="en-GB" w:eastAsia="zh-CN"/>
        </w:rPr>
      </w:pPr>
      <w:r w:rsidRPr="007D7231">
        <w:rPr>
          <w:lang w:val="en-GB" w:eastAsia="zh-CN"/>
        </w:rPr>
        <w:t>Conventional criteria versus new alternatives. Struct</w:t>
      </w:r>
      <w:r w:rsidR="00C46B17">
        <w:rPr>
          <w:lang w:val="en-GB" w:eastAsia="zh-CN"/>
        </w:rPr>
        <w:t>.</w:t>
      </w:r>
      <w:r w:rsidRPr="007D7231">
        <w:rPr>
          <w:lang w:val="en-GB" w:eastAsia="zh-CN"/>
        </w:rPr>
        <w:t xml:space="preserve"> Equ</w:t>
      </w:r>
      <w:r w:rsidR="00C46B17">
        <w:rPr>
          <w:lang w:val="en-GB" w:eastAsia="zh-CN"/>
        </w:rPr>
        <w:t>.</w:t>
      </w:r>
      <w:r w:rsidRPr="007D7231">
        <w:rPr>
          <w:lang w:val="en-GB" w:eastAsia="zh-CN"/>
        </w:rPr>
        <w:t xml:space="preserve"> Model</w:t>
      </w:r>
      <w:r w:rsidR="00C46B17">
        <w:rPr>
          <w:lang w:val="en-GB" w:eastAsia="zh-CN"/>
        </w:rPr>
        <w:t>ing</w:t>
      </w:r>
      <w:r w:rsidRPr="007D7231">
        <w:rPr>
          <w:lang w:val="en-GB" w:eastAsia="zh-CN"/>
        </w:rPr>
        <w:t>. 6</w:t>
      </w:r>
      <w:r w:rsidR="00C46B17">
        <w:rPr>
          <w:lang w:val="en-GB" w:eastAsia="zh-CN"/>
        </w:rPr>
        <w:t xml:space="preserve">, </w:t>
      </w:r>
      <w:r w:rsidRPr="007D7231">
        <w:rPr>
          <w:lang w:val="en-GB" w:eastAsia="zh-CN"/>
        </w:rPr>
        <w:t>1–55.</w:t>
      </w:r>
      <w:r w:rsidR="00C46B17">
        <w:rPr>
          <w:lang w:val="en-GB" w:eastAsia="zh-CN"/>
        </w:rPr>
        <w:t xml:space="preserve"> </w:t>
      </w:r>
    </w:p>
    <w:p w14:paraId="16D681D5" w14:textId="7344763A" w:rsidR="00F80BA7" w:rsidRDefault="00C46B17" w:rsidP="00C46B17">
      <w:pPr>
        <w:spacing w:line="480" w:lineRule="auto"/>
        <w:ind w:firstLine="567"/>
        <w:rPr>
          <w:lang w:val="en-GB" w:eastAsia="zh-CN"/>
        </w:rPr>
      </w:pPr>
      <w:r w:rsidRPr="00C46B17">
        <w:rPr>
          <w:lang w:val="en-GB" w:eastAsia="zh-CN"/>
        </w:rPr>
        <w:t>https://doi.org/10.1080/10705519909540118</w:t>
      </w:r>
      <w:r>
        <w:rPr>
          <w:lang w:val="en-GB" w:eastAsia="zh-CN"/>
        </w:rPr>
        <w:t>.</w:t>
      </w:r>
    </w:p>
    <w:p w14:paraId="0BF282EE" w14:textId="22848CA8" w:rsidR="00F80BA7" w:rsidRDefault="00F80BA7" w:rsidP="00F80BA7">
      <w:pPr>
        <w:pStyle w:val="Bibliography"/>
        <w:tabs>
          <w:tab w:val="clear" w:pos="260"/>
        </w:tabs>
        <w:spacing w:after="0" w:line="480" w:lineRule="auto"/>
        <w:ind w:left="567" w:hanging="567"/>
        <w:rPr>
          <w:lang w:val="en-GB"/>
        </w:rPr>
      </w:pPr>
      <w:r w:rsidRPr="00563AF8">
        <w:rPr>
          <w:lang w:val="en-GB"/>
        </w:rPr>
        <w:t>Human Development Reports</w:t>
      </w:r>
      <w:r w:rsidR="00C46B17">
        <w:rPr>
          <w:lang w:val="en-GB"/>
        </w:rPr>
        <w:t>, n.d.</w:t>
      </w:r>
      <w:r w:rsidRPr="00563AF8">
        <w:rPr>
          <w:lang w:val="en-GB"/>
        </w:rPr>
        <w:t xml:space="preserve"> Human Development Index (HDI)</w:t>
      </w:r>
      <w:r w:rsidR="00C46B17">
        <w:rPr>
          <w:lang w:val="en-GB"/>
        </w:rPr>
        <w:t>.</w:t>
      </w:r>
      <w:r w:rsidRPr="00563AF8">
        <w:rPr>
          <w:lang w:val="en-GB"/>
        </w:rPr>
        <w:t xml:space="preserve"> </w:t>
      </w:r>
      <w:r w:rsidR="00C46B17" w:rsidRPr="00563AF8">
        <w:rPr>
          <w:lang w:val="en-GB"/>
        </w:rPr>
        <w:t>http://hdr.undp.org/en/content/human-development-index-hdi</w:t>
      </w:r>
      <w:r w:rsidR="00C46B17">
        <w:rPr>
          <w:lang w:val="en-GB"/>
        </w:rPr>
        <w:t xml:space="preserve"> (accessed</w:t>
      </w:r>
      <w:r w:rsidRPr="00563AF8">
        <w:rPr>
          <w:lang w:val="en-GB"/>
        </w:rPr>
        <w:t xml:space="preserve"> </w:t>
      </w:r>
      <w:r w:rsidR="00176DC8">
        <w:rPr>
          <w:lang w:val="en-GB"/>
        </w:rPr>
        <w:t xml:space="preserve">28 February </w:t>
      </w:r>
      <w:r>
        <w:rPr>
          <w:lang w:val="en-GB"/>
        </w:rPr>
        <w:t>2024</w:t>
      </w:r>
      <w:r w:rsidR="00C46B17">
        <w:rPr>
          <w:lang w:val="en-GB"/>
        </w:rPr>
        <w:t>)</w:t>
      </w:r>
      <w:r w:rsidRPr="00563AF8">
        <w:rPr>
          <w:lang w:val="en-GB"/>
        </w:rPr>
        <w:t>.</w:t>
      </w:r>
      <w:r>
        <w:rPr>
          <w:lang w:val="en-GB"/>
        </w:rPr>
        <w:t xml:space="preserve"> </w:t>
      </w:r>
    </w:p>
    <w:p w14:paraId="596576DD" w14:textId="2D85162A" w:rsidR="00ED3084" w:rsidRDefault="007D7231" w:rsidP="00F80BA7">
      <w:pPr>
        <w:pStyle w:val="Bibliography"/>
        <w:tabs>
          <w:tab w:val="clear" w:pos="260"/>
        </w:tabs>
        <w:spacing w:after="0" w:line="480" w:lineRule="auto"/>
        <w:ind w:left="0" w:firstLine="0"/>
        <w:rPr>
          <w:lang w:val="en-GB"/>
        </w:rPr>
      </w:pPr>
      <w:r w:rsidRPr="00563AF8">
        <w:rPr>
          <w:lang w:val="en-GB"/>
        </w:rPr>
        <w:t>Hussain</w:t>
      </w:r>
      <w:r w:rsidR="00ED3084">
        <w:rPr>
          <w:lang w:val="en-GB"/>
        </w:rPr>
        <w:t>,</w:t>
      </w:r>
      <w:r w:rsidRPr="00563AF8">
        <w:rPr>
          <w:lang w:val="en-GB"/>
        </w:rPr>
        <w:t xml:space="preserve"> N</w:t>
      </w:r>
      <w:r w:rsidR="00ED3084">
        <w:rPr>
          <w:lang w:val="en-GB"/>
        </w:rPr>
        <w:t>.</w:t>
      </w:r>
      <w:r w:rsidRPr="00563AF8">
        <w:rPr>
          <w:lang w:val="en-GB"/>
        </w:rPr>
        <w:t>, Sprague</w:t>
      </w:r>
      <w:r w:rsidR="00ED3084">
        <w:rPr>
          <w:lang w:val="en-GB"/>
        </w:rPr>
        <w:t>,</w:t>
      </w:r>
      <w:r w:rsidRPr="00563AF8">
        <w:rPr>
          <w:lang w:val="en-GB"/>
        </w:rPr>
        <w:t xml:space="preserve"> S</w:t>
      </w:r>
      <w:r w:rsidR="00ED3084">
        <w:rPr>
          <w:lang w:val="en-GB"/>
        </w:rPr>
        <w:t>.</w:t>
      </w:r>
      <w:r w:rsidRPr="00563AF8">
        <w:rPr>
          <w:lang w:val="en-GB"/>
        </w:rPr>
        <w:t>, Madden</w:t>
      </w:r>
      <w:r w:rsidR="00ED3084">
        <w:rPr>
          <w:lang w:val="en-GB"/>
        </w:rPr>
        <w:t>,</w:t>
      </w:r>
      <w:r w:rsidRPr="00563AF8">
        <w:rPr>
          <w:lang w:val="en-GB"/>
        </w:rPr>
        <w:t xml:space="preserve"> K</w:t>
      </w:r>
      <w:r w:rsidR="00ED3084">
        <w:rPr>
          <w:lang w:val="en-GB"/>
        </w:rPr>
        <w:t>.</w:t>
      </w:r>
      <w:r w:rsidRPr="00563AF8">
        <w:rPr>
          <w:lang w:val="en-GB"/>
        </w:rPr>
        <w:t>, Hussain</w:t>
      </w:r>
      <w:r w:rsidR="00ED3084">
        <w:rPr>
          <w:lang w:val="en-GB"/>
        </w:rPr>
        <w:t>,</w:t>
      </w:r>
      <w:r w:rsidRPr="00563AF8">
        <w:rPr>
          <w:lang w:val="en-GB"/>
        </w:rPr>
        <w:t xml:space="preserve"> F</w:t>
      </w:r>
      <w:r w:rsidR="00ED3084">
        <w:rPr>
          <w:lang w:val="en-GB"/>
        </w:rPr>
        <w:t>.</w:t>
      </w:r>
      <w:r w:rsidRPr="00563AF8">
        <w:rPr>
          <w:lang w:val="en-GB"/>
        </w:rPr>
        <w:t>N</w:t>
      </w:r>
      <w:r w:rsidR="00ED3084">
        <w:rPr>
          <w:lang w:val="en-GB"/>
        </w:rPr>
        <w:t>.</w:t>
      </w:r>
      <w:r w:rsidRPr="00563AF8">
        <w:rPr>
          <w:lang w:val="en-GB"/>
        </w:rPr>
        <w:t>, Pindiprolu</w:t>
      </w:r>
      <w:r w:rsidR="00ED3084">
        <w:rPr>
          <w:lang w:val="en-GB"/>
        </w:rPr>
        <w:t>,</w:t>
      </w:r>
      <w:r w:rsidRPr="00563AF8">
        <w:rPr>
          <w:lang w:val="en-GB"/>
        </w:rPr>
        <w:t xml:space="preserve"> B</w:t>
      </w:r>
      <w:r w:rsidR="00ED3084">
        <w:rPr>
          <w:lang w:val="en-GB"/>
        </w:rPr>
        <w:t>.</w:t>
      </w:r>
      <w:r w:rsidRPr="00563AF8">
        <w:rPr>
          <w:lang w:val="en-GB"/>
        </w:rPr>
        <w:t>, Bhandari</w:t>
      </w:r>
      <w:r w:rsidR="00ED3084">
        <w:rPr>
          <w:lang w:val="en-GB"/>
        </w:rPr>
        <w:t>,</w:t>
      </w:r>
      <w:r w:rsidRPr="00563AF8">
        <w:rPr>
          <w:lang w:val="en-GB"/>
        </w:rPr>
        <w:t xml:space="preserve"> M.</w:t>
      </w:r>
      <w:r w:rsidR="00ED3084">
        <w:rPr>
          <w:lang w:val="en-GB"/>
        </w:rPr>
        <w:t>, 2015.</w:t>
      </w:r>
      <w:r w:rsidRPr="00563AF8">
        <w:rPr>
          <w:lang w:val="en-GB"/>
        </w:rPr>
        <w:t xml:space="preserve"> </w:t>
      </w:r>
    </w:p>
    <w:p w14:paraId="192F492B" w14:textId="54C09439" w:rsidR="007D7231" w:rsidRPr="007346D1" w:rsidRDefault="00ED3084" w:rsidP="00ED3084">
      <w:pPr>
        <w:pStyle w:val="Bibliography"/>
        <w:tabs>
          <w:tab w:val="clear" w:pos="260"/>
        </w:tabs>
        <w:spacing w:after="0" w:line="480" w:lineRule="auto"/>
        <w:ind w:left="567" w:firstLine="0"/>
        <w:rPr>
          <w:lang w:val="fr-FR"/>
        </w:rPr>
      </w:pPr>
      <w:r>
        <w:rPr>
          <w:lang w:val="en-GB"/>
        </w:rPr>
        <w:t>A c</w:t>
      </w:r>
      <w:r w:rsidR="007D7231" w:rsidRPr="00563AF8">
        <w:rPr>
          <w:lang w:val="en-GB"/>
        </w:rPr>
        <w:t xml:space="preserve">omparison of the </w:t>
      </w:r>
      <w:r w:rsidR="007D7231">
        <w:rPr>
          <w:lang w:val="en-GB"/>
        </w:rPr>
        <w:t>t</w:t>
      </w:r>
      <w:r w:rsidR="007D7231" w:rsidRPr="00563AF8">
        <w:rPr>
          <w:lang w:val="en-GB"/>
        </w:rPr>
        <w:t xml:space="preserve">ypes of </w:t>
      </w:r>
      <w:r w:rsidR="007D7231">
        <w:rPr>
          <w:lang w:val="en-GB"/>
        </w:rPr>
        <w:t>s</w:t>
      </w:r>
      <w:r w:rsidR="007D7231" w:rsidRPr="00563AF8">
        <w:rPr>
          <w:lang w:val="en-GB"/>
        </w:rPr>
        <w:t xml:space="preserve">creening </w:t>
      </w:r>
      <w:r w:rsidR="007D7231">
        <w:rPr>
          <w:lang w:val="en-GB"/>
        </w:rPr>
        <w:t>t</w:t>
      </w:r>
      <w:r w:rsidR="007D7231" w:rsidRPr="00563AF8">
        <w:rPr>
          <w:lang w:val="en-GB"/>
        </w:rPr>
        <w:t xml:space="preserve">ool </w:t>
      </w:r>
      <w:r w:rsidR="007D7231">
        <w:rPr>
          <w:lang w:val="en-GB"/>
        </w:rPr>
        <w:t>a</w:t>
      </w:r>
      <w:r w:rsidR="007D7231" w:rsidRPr="00563AF8">
        <w:rPr>
          <w:lang w:val="en-GB"/>
        </w:rPr>
        <w:t xml:space="preserve">dministration </w:t>
      </w:r>
      <w:r w:rsidR="007D7231">
        <w:rPr>
          <w:lang w:val="en-GB"/>
        </w:rPr>
        <w:t>m</w:t>
      </w:r>
      <w:r w:rsidR="007D7231" w:rsidRPr="00563AF8">
        <w:rPr>
          <w:lang w:val="en-GB"/>
        </w:rPr>
        <w:t xml:space="preserve">ethods </w:t>
      </w:r>
      <w:r w:rsidR="007D7231">
        <w:rPr>
          <w:lang w:val="en-GB"/>
        </w:rPr>
        <w:t>u</w:t>
      </w:r>
      <w:r w:rsidR="007D7231" w:rsidRPr="00563AF8">
        <w:rPr>
          <w:lang w:val="en-GB"/>
        </w:rPr>
        <w:t xml:space="preserve">sed for the </w:t>
      </w:r>
      <w:r w:rsidR="007D7231">
        <w:rPr>
          <w:lang w:val="en-GB"/>
        </w:rPr>
        <w:t>d</w:t>
      </w:r>
      <w:r w:rsidR="007D7231" w:rsidRPr="00563AF8">
        <w:rPr>
          <w:lang w:val="en-GB"/>
        </w:rPr>
        <w:t xml:space="preserve">etection of </w:t>
      </w:r>
      <w:r w:rsidR="007D7231">
        <w:rPr>
          <w:lang w:val="en-GB"/>
        </w:rPr>
        <w:t>i</w:t>
      </w:r>
      <w:r w:rsidR="007D7231" w:rsidRPr="00563AF8">
        <w:rPr>
          <w:lang w:val="en-GB"/>
        </w:rPr>
        <w:t xml:space="preserve">ntimate </w:t>
      </w:r>
      <w:r w:rsidR="007D7231">
        <w:rPr>
          <w:lang w:val="en-GB"/>
        </w:rPr>
        <w:t>p</w:t>
      </w:r>
      <w:r w:rsidR="007D7231" w:rsidRPr="00563AF8">
        <w:rPr>
          <w:lang w:val="en-GB"/>
        </w:rPr>
        <w:t xml:space="preserve">artner </w:t>
      </w:r>
      <w:r w:rsidR="007D7231">
        <w:rPr>
          <w:lang w:val="en-GB"/>
        </w:rPr>
        <w:t>v</w:t>
      </w:r>
      <w:r w:rsidR="007D7231" w:rsidRPr="00563AF8">
        <w:rPr>
          <w:lang w:val="en-GB"/>
        </w:rPr>
        <w:t xml:space="preserve">iolence: </w:t>
      </w:r>
      <w:r w:rsidR="007D7231">
        <w:rPr>
          <w:lang w:val="en-GB"/>
        </w:rPr>
        <w:t>a</w:t>
      </w:r>
      <w:r w:rsidR="007D7231" w:rsidRPr="00563AF8">
        <w:rPr>
          <w:lang w:val="en-GB"/>
        </w:rPr>
        <w:t xml:space="preserve"> </w:t>
      </w:r>
      <w:r w:rsidR="007D7231">
        <w:rPr>
          <w:lang w:val="en-GB"/>
        </w:rPr>
        <w:t>s</w:t>
      </w:r>
      <w:r w:rsidR="007D7231" w:rsidRPr="00563AF8">
        <w:rPr>
          <w:lang w:val="en-GB"/>
        </w:rPr>
        <w:t xml:space="preserve">ystematic </w:t>
      </w:r>
      <w:r w:rsidR="007D7231">
        <w:rPr>
          <w:lang w:val="en-GB"/>
        </w:rPr>
        <w:t>r</w:t>
      </w:r>
      <w:r w:rsidR="007D7231" w:rsidRPr="00563AF8">
        <w:rPr>
          <w:lang w:val="en-GB"/>
        </w:rPr>
        <w:t xml:space="preserve">eview and </w:t>
      </w:r>
      <w:r w:rsidR="007D7231">
        <w:rPr>
          <w:lang w:val="en-GB"/>
        </w:rPr>
        <w:t>m</w:t>
      </w:r>
      <w:r w:rsidR="007D7231" w:rsidRPr="00563AF8">
        <w:rPr>
          <w:lang w:val="en-GB"/>
        </w:rPr>
        <w:t>eta-</w:t>
      </w:r>
      <w:r w:rsidR="007D7231">
        <w:rPr>
          <w:lang w:val="en-GB"/>
        </w:rPr>
        <w:t>a</w:t>
      </w:r>
      <w:r w:rsidR="007D7231" w:rsidRPr="00563AF8">
        <w:rPr>
          <w:lang w:val="en-GB"/>
        </w:rPr>
        <w:t xml:space="preserve">nalysis. </w:t>
      </w:r>
      <w:r w:rsidR="007D7231" w:rsidRPr="007346D1">
        <w:rPr>
          <w:lang w:val="fr-FR"/>
        </w:rPr>
        <w:t>Trauma Violence Abuse. 16</w:t>
      </w:r>
      <w:r w:rsidRPr="007346D1">
        <w:rPr>
          <w:lang w:val="fr-FR"/>
        </w:rPr>
        <w:t xml:space="preserve">, </w:t>
      </w:r>
      <w:r w:rsidR="007D7231" w:rsidRPr="007346D1">
        <w:rPr>
          <w:lang w:val="fr-FR"/>
        </w:rPr>
        <w:t>60–</w:t>
      </w:r>
      <w:r w:rsidR="00996045">
        <w:rPr>
          <w:lang w:val="fr-FR"/>
        </w:rPr>
        <w:t>6</w:t>
      </w:r>
      <w:r w:rsidR="007D7231" w:rsidRPr="007346D1">
        <w:rPr>
          <w:lang w:val="fr-FR"/>
        </w:rPr>
        <w:t>9.</w:t>
      </w:r>
      <w:r w:rsidRPr="007346D1">
        <w:rPr>
          <w:lang w:val="fr-FR"/>
        </w:rPr>
        <w:t xml:space="preserve"> https://doi.org/10.1177/1524838013515759.</w:t>
      </w:r>
    </w:p>
    <w:p w14:paraId="1DA0F390" w14:textId="77777777" w:rsidR="00ED3084" w:rsidRDefault="007D7231" w:rsidP="00ED3084">
      <w:pPr>
        <w:pStyle w:val="Bibliography"/>
        <w:tabs>
          <w:tab w:val="clear" w:pos="260"/>
        </w:tabs>
        <w:spacing w:after="0" w:line="480" w:lineRule="auto"/>
        <w:ind w:left="0" w:firstLine="0"/>
        <w:rPr>
          <w:lang w:val="en-GB"/>
        </w:rPr>
      </w:pPr>
      <w:r w:rsidRPr="00ED3084">
        <w:rPr>
          <w:lang w:val="fr-FR"/>
        </w:rPr>
        <w:t>Kreuter</w:t>
      </w:r>
      <w:r w:rsidR="00ED3084" w:rsidRPr="00ED3084">
        <w:rPr>
          <w:lang w:val="fr-FR"/>
        </w:rPr>
        <w:t>,</w:t>
      </w:r>
      <w:r w:rsidRPr="00ED3084">
        <w:rPr>
          <w:lang w:val="fr-FR"/>
        </w:rPr>
        <w:t xml:space="preserve"> F</w:t>
      </w:r>
      <w:r w:rsidR="00ED3084" w:rsidRPr="00ED3084">
        <w:rPr>
          <w:lang w:val="fr-FR"/>
        </w:rPr>
        <w:t>.</w:t>
      </w:r>
      <w:r w:rsidRPr="00ED3084">
        <w:rPr>
          <w:lang w:val="fr-FR"/>
        </w:rPr>
        <w:t>, Presser</w:t>
      </w:r>
      <w:r w:rsidR="00ED3084" w:rsidRPr="00ED3084">
        <w:rPr>
          <w:lang w:val="fr-FR"/>
        </w:rPr>
        <w:t>,</w:t>
      </w:r>
      <w:r w:rsidRPr="00ED3084">
        <w:rPr>
          <w:lang w:val="fr-FR"/>
        </w:rPr>
        <w:t xml:space="preserve"> S</w:t>
      </w:r>
      <w:r w:rsidR="00ED3084" w:rsidRPr="00ED3084">
        <w:rPr>
          <w:lang w:val="fr-FR"/>
        </w:rPr>
        <w:t>.</w:t>
      </w:r>
      <w:r w:rsidRPr="00ED3084">
        <w:rPr>
          <w:lang w:val="fr-FR"/>
        </w:rPr>
        <w:t>, Tourangeau</w:t>
      </w:r>
      <w:r w:rsidR="00ED3084" w:rsidRPr="00ED3084">
        <w:rPr>
          <w:lang w:val="fr-FR"/>
        </w:rPr>
        <w:t>,</w:t>
      </w:r>
      <w:r w:rsidRPr="00ED3084">
        <w:rPr>
          <w:lang w:val="fr-FR"/>
        </w:rPr>
        <w:t xml:space="preserve"> R.</w:t>
      </w:r>
      <w:r w:rsidR="00ED3084" w:rsidRPr="00ED3084">
        <w:rPr>
          <w:lang w:val="fr-FR"/>
        </w:rPr>
        <w:t>, 2008.</w:t>
      </w:r>
      <w:r w:rsidRPr="00ED3084">
        <w:rPr>
          <w:lang w:val="fr-FR"/>
        </w:rPr>
        <w:t xml:space="preserve"> </w:t>
      </w:r>
      <w:r w:rsidRPr="00563AF8">
        <w:rPr>
          <w:lang w:val="en-GB"/>
        </w:rPr>
        <w:t xml:space="preserve">Social </w:t>
      </w:r>
      <w:r>
        <w:rPr>
          <w:lang w:val="en-GB"/>
        </w:rPr>
        <w:t>d</w:t>
      </w:r>
      <w:r w:rsidRPr="00563AF8">
        <w:rPr>
          <w:lang w:val="en-GB"/>
        </w:rPr>
        <w:t xml:space="preserve">esirability </w:t>
      </w:r>
      <w:r>
        <w:rPr>
          <w:lang w:val="en-GB"/>
        </w:rPr>
        <w:t>b</w:t>
      </w:r>
      <w:r w:rsidRPr="00563AF8">
        <w:rPr>
          <w:lang w:val="en-GB"/>
        </w:rPr>
        <w:t xml:space="preserve">ias in CATI, IVR, and </w:t>
      </w:r>
      <w:r>
        <w:rPr>
          <w:lang w:val="en-GB"/>
        </w:rPr>
        <w:t>w</w:t>
      </w:r>
      <w:r w:rsidRPr="00563AF8">
        <w:rPr>
          <w:lang w:val="en-GB"/>
        </w:rPr>
        <w:t xml:space="preserve">eb </w:t>
      </w:r>
    </w:p>
    <w:p w14:paraId="75C04AEB" w14:textId="341E45D6" w:rsidR="00ED3084" w:rsidRDefault="007D7231" w:rsidP="00ED3084">
      <w:pPr>
        <w:pStyle w:val="Bibliography"/>
        <w:tabs>
          <w:tab w:val="clear" w:pos="260"/>
        </w:tabs>
        <w:spacing w:after="0" w:line="480" w:lineRule="auto"/>
        <w:ind w:left="0" w:firstLine="720"/>
        <w:rPr>
          <w:lang w:val="en-GB"/>
        </w:rPr>
      </w:pPr>
      <w:r>
        <w:rPr>
          <w:lang w:val="en-GB"/>
        </w:rPr>
        <w:t>s</w:t>
      </w:r>
      <w:r w:rsidRPr="00563AF8">
        <w:rPr>
          <w:lang w:val="en-GB"/>
        </w:rPr>
        <w:t xml:space="preserve">urveys: </w:t>
      </w:r>
      <w:r>
        <w:rPr>
          <w:lang w:val="en-GB"/>
        </w:rPr>
        <w:t>t</w:t>
      </w:r>
      <w:r w:rsidRPr="00563AF8">
        <w:rPr>
          <w:lang w:val="en-GB"/>
        </w:rPr>
        <w:t xml:space="preserve">he </w:t>
      </w:r>
      <w:r>
        <w:rPr>
          <w:lang w:val="en-GB"/>
        </w:rPr>
        <w:t>e</w:t>
      </w:r>
      <w:r w:rsidRPr="00563AF8">
        <w:rPr>
          <w:lang w:val="en-GB"/>
        </w:rPr>
        <w:t xml:space="preserve">ffects of </w:t>
      </w:r>
      <w:r>
        <w:rPr>
          <w:lang w:val="en-GB"/>
        </w:rPr>
        <w:t>m</w:t>
      </w:r>
      <w:r w:rsidRPr="00563AF8">
        <w:rPr>
          <w:lang w:val="en-GB"/>
        </w:rPr>
        <w:t xml:space="preserve">ode and </w:t>
      </w:r>
      <w:r>
        <w:rPr>
          <w:lang w:val="en-GB"/>
        </w:rPr>
        <w:t>q</w:t>
      </w:r>
      <w:r w:rsidRPr="00563AF8">
        <w:rPr>
          <w:lang w:val="en-GB"/>
        </w:rPr>
        <w:t xml:space="preserve">uestion </w:t>
      </w:r>
      <w:r>
        <w:rPr>
          <w:lang w:val="en-GB"/>
        </w:rPr>
        <w:t>s</w:t>
      </w:r>
      <w:r w:rsidRPr="00563AF8">
        <w:rPr>
          <w:lang w:val="en-GB"/>
        </w:rPr>
        <w:t xml:space="preserve">ensitivity. </w:t>
      </w:r>
      <w:r w:rsidRPr="00600F65">
        <w:rPr>
          <w:lang w:val="en-GB"/>
        </w:rPr>
        <w:t>Public</w:t>
      </w:r>
      <w:r w:rsidR="00ED3084">
        <w:rPr>
          <w:lang w:val="en-GB"/>
        </w:rPr>
        <w:t>.</w:t>
      </w:r>
      <w:r w:rsidRPr="00600F65">
        <w:rPr>
          <w:lang w:val="en-GB"/>
        </w:rPr>
        <w:t xml:space="preserve"> Opin</w:t>
      </w:r>
      <w:r w:rsidR="00ED3084">
        <w:rPr>
          <w:lang w:val="en-GB"/>
        </w:rPr>
        <w:t>.</w:t>
      </w:r>
      <w:r w:rsidRPr="00600F65">
        <w:rPr>
          <w:lang w:val="en-GB"/>
        </w:rPr>
        <w:t xml:space="preserve"> Q</w:t>
      </w:r>
      <w:r>
        <w:rPr>
          <w:lang w:val="en-GB"/>
        </w:rPr>
        <w:t>.</w:t>
      </w:r>
      <w:r w:rsidRPr="00563AF8">
        <w:rPr>
          <w:lang w:val="en-GB"/>
        </w:rPr>
        <w:t xml:space="preserve"> </w:t>
      </w:r>
      <w:r w:rsidRPr="00600F65">
        <w:rPr>
          <w:lang w:val="en-GB"/>
        </w:rPr>
        <w:t>72</w:t>
      </w:r>
      <w:r w:rsidR="00ED3084">
        <w:rPr>
          <w:lang w:val="en-GB"/>
        </w:rPr>
        <w:t xml:space="preserve">, </w:t>
      </w:r>
      <w:r w:rsidRPr="00563AF8">
        <w:rPr>
          <w:lang w:val="en-GB"/>
        </w:rPr>
        <w:t>847–</w:t>
      </w:r>
      <w:r w:rsidR="00996045">
        <w:rPr>
          <w:lang w:val="en-GB"/>
        </w:rPr>
        <w:t>8</w:t>
      </w:r>
      <w:r w:rsidRPr="00563AF8">
        <w:rPr>
          <w:lang w:val="en-GB"/>
        </w:rPr>
        <w:t>65.</w:t>
      </w:r>
      <w:r w:rsidR="00ED3084">
        <w:rPr>
          <w:lang w:val="en-GB"/>
        </w:rPr>
        <w:t xml:space="preserve"> </w:t>
      </w:r>
    </w:p>
    <w:p w14:paraId="78EC3B25" w14:textId="76BAC263" w:rsidR="007D7231" w:rsidRDefault="00ED3084" w:rsidP="00ED3084">
      <w:pPr>
        <w:pStyle w:val="Bibliography"/>
        <w:tabs>
          <w:tab w:val="clear" w:pos="260"/>
        </w:tabs>
        <w:spacing w:after="0" w:line="480" w:lineRule="auto"/>
        <w:ind w:left="0" w:firstLine="720"/>
        <w:rPr>
          <w:lang w:val="en-GB"/>
        </w:rPr>
      </w:pPr>
      <w:r w:rsidRPr="00ED3084">
        <w:rPr>
          <w:lang w:val="en-GB"/>
        </w:rPr>
        <w:t>https://doi.org/10.1093/poq/nfn063</w:t>
      </w:r>
      <w:r>
        <w:rPr>
          <w:lang w:val="en-GB"/>
        </w:rPr>
        <w:t>.</w:t>
      </w:r>
    </w:p>
    <w:p w14:paraId="675C6FB9" w14:textId="08155D61" w:rsidR="00446103" w:rsidRDefault="007D7231" w:rsidP="00446103">
      <w:pPr>
        <w:spacing w:line="480" w:lineRule="auto"/>
      </w:pPr>
      <w:r w:rsidRPr="00C16C35">
        <w:t>Kwakkenbos</w:t>
      </w:r>
      <w:r w:rsidR="00ED3084">
        <w:t>,</w:t>
      </w:r>
      <w:r w:rsidRPr="00C16C35">
        <w:t xml:space="preserve"> L</w:t>
      </w:r>
      <w:r w:rsidR="00ED3084">
        <w:t>.</w:t>
      </w:r>
      <w:r w:rsidRPr="00C16C35">
        <w:t>, Arthurs</w:t>
      </w:r>
      <w:r w:rsidR="00ED3084">
        <w:t>,</w:t>
      </w:r>
      <w:r w:rsidRPr="00C16C35">
        <w:t xml:space="preserve"> E</w:t>
      </w:r>
      <w:r w:rsidR="00ED3084">
        <w:t>.</w:t>
      </w:r>
      <w:r w:rsidRPr="00C16C35">
        <w:t>, Hoogen</w:t>
      </w:r>
      <w:r w:rsidR="00ED3084">
        <w:t>,</w:t>
      </w:r>
      <w:r w:rsidRPr="00C16C35">
        <w:t xml:space="preserve"> F</w:t>
      </w:r>
      <w:r w:rsidR="00ED3084">
        <w:t>.</w:t>
      </w:r>
      <w:r w:rsidRPr="00C16C35">
        <w:t>H</w:t>
      </w:r>
      <w:r w:rsidR="00ED3084">
        <w:t>.</w:t>
      </w:r>
      <w:r w:rsidRPr="00C16C35">
        <w:t>J</w:t>
      </w:r>
      <w:r w:rsidR="00ED3084">
        <w:t>.</w:t>
      </w:r>
      <w:r w:rsidRPr="00C16C35">
        <w:t>van den</w:t>
      </w:r>
      <w:r w:rsidR="00ED3084">
        <w:t>.</w:t>
      </w:r>
      <w:r w:rsidRPr="00C16C35">
        <w:t xml:space="preserve">, </w:t>
      </w:r>
      <w:r>
        <w:t>Hudson</w:t>
      </w:r>
      <w:r w:rsidR="00ED3084">
        <w:t>,</w:t>
      </w:r>
      <w:r>
        <w:t xml:space="preserve"> M</w:t>
      </w:r>
      <w:r w:rsidR="00ED3084">
        <w:t>.,</w:t>
      </w:r>
      <w:r>
        <w:t xml:space="preserve"> van Lankveld</w:t>
      </w:r>
      <w:r w:rsidR="00ED3084">
        <w:t>,</w:t>
      </w:r>
      <w:r>
        <w:t xml:space="preserve"> W</w:t>
      </w:r>
      <w:r w:rsidR="00ED3084">
        <w:t>.</w:t>
      </w:r>
      <w:r>
        <w:t>G</w:t>
      </w:r>
      <w:r w:rsidR="00ED3084">
        <w:t>.</w:t>
      </w:r>
      <w:r>
        <w:t>J</w:t>
      </w:r>
      <w:r w:rsidR="00ED3084">
        <w:t>.</w:t>
      </w:r>
      <w:r>
        <w:t>M</w:t>
      </w:r>
      <w:r w:rsidR="00ED3084">
        <w:t>.</w:t>
      </w:r>
      <w:r>
        <w:t xml:space="preserve">, </w:t>
      </w:r>
      <w:r w:rsidR="00446103">
        <w:t xml:space="preserve">  </w:t>
      </w:r>
    </w:p>
    <w:p w14:paraId="490146A1" w14:textId="02B9F442" w:rsidR="007D7231" w:rsidRDefault="007D7231" w:rsidP="00446103">
      <w:pPr>
        <w:spacing w:line="480" w:lineRule="auto"/>
        <w:ind w:left="567"/>
      </w:pPr>
      <w:r>
        <w:lastRenderedPageBreak/>
        <w:t>Baron</w:t>
      </w:r>
      <w:r w:rsidR="00ED3084">
        <w:t>,</w:t>
      </w:r>
      <w:r>
        <w:t xml:space="preserve"> M</w:t>
      </w:r>
      <w:r w:rsidR="00ED3084">
        <w:t>.</w:t>
      </w:r>
      <w:r>
        <w:t xml:space="preserve">, et </w:t>
      </w:r>
      <w:r w:rsidRPr="00600F65">
        <w:t>al</w:t>
      </w:r>
      <w:r w:rsidRPr="00C16C35">
        <w:rPr>
          <w:i/>
          <w:iCs/>
        </w:rPr>
        <w:t>.</w:t>
      </w:r>
      <w:r w:rsidR="00ED3084">
        <w:rPr>
          <w:i/>
          <w:iCs/>
        </w:rPr>
        <w:t xml:space="preserve">, </w:t>
      </w:r>
      <w:r w:rsidR="00ED3084">
        <w:t>2013.</w:t>
      </w:r>
      <w:r w:rsidRPr="00C16C35">
        <w:t xml:space="preserve"> Cross-</w:t>
      </w:r>
      <w:r>
        <w:t>l</w:t>
      </w:r>
      <w:r w:rsidRPr="00C16C35">
        <w:t xml:space="preserve">anguage </w:t>
      </w:r>
      <w:r>
        <w:t>m</w:t>
      </w:r>
      <w:r w:rsidRPr="00C16C35">
        <w:t xml:space="preserve">easurement </w:t>
      </w:r>
      <w:r>
        <w:t>e</w:t>
      </w:r>
      <w:r w:rsidRPr="00C16C35">
        <w:t xml:space="preserve">quivalence of the Center for Epidemiologic Studies Depression (CES-D) Scale in </w:t>
      </w:r>
      <w:r>
        <w:t>s</w:t>
      </w:r>
      <w:r w:rsidRPr="00C16C35">
        <w:t xml:space="preserve">ystemic </w:t>
      </w:r>
      <w:r>
        <w:t>s</w:t>
      </w:r>
      <w:r w:rsidRPr="00C16C35">
        <w:t xml:space="preserve">clerosis: </w:t>
      </w:r>
      <w:r>
        <w:t>a</w:t>
      </w:r>
      <w:r w:rsidRPr="00C16C35">
        <w:t xml:space="preserve"> </w:t>
      </w:r>
      <w:r>
        <w:t>c</w:t>
      </w:r>
      <w:r w:rsidRPr="00C16C35">
        <w:t xml:space="preserve">omparison of Canadian and Dutch </w:t>
      </w:r>
      <w:r>
        <w:t>p</w:t>
      </w:r>
      <w:r w:rsidRPr="00C16C35">
        <w:t xml:space="preserve">atients. </w:t>
      </w:r>
      <w:r w:rsidRPr="00600F65">
        <w:t>PLOS ONE</w:t>
      </w:r>
      <w:r>
        <w:t>.</w:t>
      </w:r>
      <w:r w:rsidRPr="00C16C35">
        <w:t xml:space="preserve"> </w:t>
      </w:r>
      <w:r w:rsidRPr="00600F65">
        <w:t>8</w:t>
      </w:r>
      <w:r w:rsidR="00ED3084">
        <w:t xml:space="preserve">, </w:t>
      </w:r>
      <w:r w:rsidRPr="00C16C35">
        <w:t>e53923.</w:t>
      </w:r>
      <w:r w:rsidR="00446103">
        <w:t xml:space="preserve"> </w:t>
      </w:r>
      <w:r w:rsidR="00446103" w:rsidRPr="00446103">
        <w:t>https://doi.org/10.1371/journal.pone.0053923</w:t>
      </w:r>
    </w:p>
    <w:p w14:paraId="5E141BFC" w14:textId="77777777" w:rsidR="00B32924" w:rsidRDefault="007D7231" w:rsidP="00446103">
      <w:pPr>
        <w:pStyle w:val="Bibliography"/>
        <w:tabs>
          <w:tab w:val="clear" w:pos="260"/>
        </w:tabs>
        <w:spacing w:after="0" w:line="480" w:lineRule="auto"/>
        <w:ind w:left="0" w:firstLine="0"/>
        <w:rPr>
          <w:lang w:val="en-GB"/>
        </w:rPr>
      </w:pPr>
      <w:r w:rsidRPr="00563AF8">
        <w:rPr>
          <w:lang w:val="en-GB"/>
        </w:rPr>
        <w:t>Levis</w:t>
      </w:r>
      <w:r w:rsidR="00446103">
        <w:rPr>
          <w:lang w:val="en-GB"/>
        </w:rPr>
        <w:t>,</w:t>
      </w:r>
      <w:r w:rsidRPr="00563AF8">
        <w:rPr>
          <w:lang w:val="en-GB"/>
        </w:rPr>
        <w:t xml:space="preserve"> B</w:t>
      </w:r>
      <w:r w:rsidR="00446103">
        <w:rPr>
          <w:lang w:val="en-GB"/>
        </w:rPr>
        <w:t>.</w:t>
      </w:r>
      <w:r w:rsidRPr="00563AF8">
        <w:rPr>
          <w:lang w:val="en-GB"/>
        </w:rPr>
        <w:t>, Benedetti</w:t>
      </w:r>
      <w:r w:rsidR="00446103">
        <w:rPr>
          <w:lang w:val="en-GB"/>
        </w:rPr>
        <w:t>,</w:t>
      </w:r>
      <w:r w:rsidRPr="00563AF8">
        <w:rPr>
          <w:lang w:val="en-GB"/>
        </w:rPr>
        <w:t xml:space="preserve"> A</w:t>
      </w:r>
      <w:r w:rsidR="00446103">
        <w:rPr>
          <w:lang w:val="en-GB"/>
        </w:rPr>
        <w:t>.</w:t>
      </w:r>
      <w:r w:rsidRPr="00563AF8">
        <w:rPr>
          <w:lang w:val="en-GB"/>
        </w:rPr>
        <w:t>, Thombs</w:t>
      </w:r>
      <w:r w:rsidR="00446103">
        <w:rPr>
          <w:lang w:val="en-GB"/>
        </w:rPr>
        <w:t>,</w:t>
      </w:r>
      <w:r w:rsidRPr="00563AF8">
        <w:rPr>
          <w:lang w:val="en-GB"/>
        </w:rPr>
        <w:t xml:space="preserve"> B</w:t>
      </w:r>
      <w:r w:rsidR="00446103">
        <w:rPr>
          <w:lang w:val="en-GB"/>
        </w:rPr>
        <w:t>.</w:t>
      </w:r>
      <w:r w:rsidRPr="00563AF8">
        <w:rPr>
          <w:lang w:val="en-GB"/>
        </w:rPr>
        <w:t>D</w:t>
      </w:r>
      <w:r w:rsidR="00446103">
        <w:rPr>
          <w:lang w:val="en-GB"/>
        </w:rPr>
        <w:t>.</w:t>
      </w:r>
      <w:r w:rsidRPr="00563AF8">
        <w:rPr>
          <w:lang w:val="en-GB"/>
        </w:rPr>
        <w:t xml:space="preserve">, </w:t>
      </w:r>
      <w:r>
        <w:rPr>
          <w:lang w:val="en-GB"/>
        </w:rPr>
        <w:t xml:space="preserve">DEPRESsion Screening Data (DEPRESSD) </w:t>
      </w:r>
    </w:p>
    <w:p w14:paraId="7CF1124C" w14:textId="18FC29EB" w:rsidR="007D7231" w:rsidRPr="00563AF8" w:rsidRDefault="007D7231" w:rsidP="00B32924">
      <w:pPr>
        <w:pStyle w:val="Bibliography"/>
        <w:tabs>
          <w:tab w:val="clear" w:pos="260"/>
        </w:tabs>
        <w:spacing w:after="0" w:line="480" w:lineRule="auto"/>
        <w:ind w:left="567" w:firstLine="0"/>
        <w:rPr>
          <w:lang w:val="en-GB"/>
        </w:rPr>
      </w:pPr>
      <w:r>
        <w:rPr>
          <w:lang w:val="en-GB"/>
        </w:rPr>
        <w:t>Collaboration</w:t>
      </w:r>
      <w:r w:rsidR="00B32924">
        <w:rPr>
          <w:lang w:val="en-GB"/>
        </w:rPr>
        <w:t>.</w:t>
      </w:r>
      <w:r w:rsidR="00446103">
        <w:rPr>
          <w:lang w:val="en-GB"/>
        </w:rPr>
        <w:t>, 2019.</w:t>
      </w:r>
      <w:r w:rsidRPr="00563AF8">
        <w:rPr>
          <w:lang w:val="en-GB"/>
        </w:rPr>
        <w:t xml:space="preserve"> Accuracy of Patient Health Questionnaire-9 (PHQ-9) for screening to detect major depression: individual participant data meta-analysis. </w:t>
      </w:r>
      <w:r w:rsidRPr="00600F65">
        <w:rPr>
          <w:lang w:val="en-GB"/>
        </w:rPr>
        <w:t>BMJ</w:t>
      </w:r>
      <w:r>
        <w:rPr>
          <w:lang w:val="en-GB"/>
        </w:rPr>
        <w:t>.</w:t>
      </w:r>
      <w:r w:rsidRPr="002A126B">
        <w:rPr>
          <w:lang w:val="en-GB"/>
        </w:rPr>
        <w:t xml:space="preserve"> </w:t>
      </w:r>
      <w:r w:rsidRPr="00600F65">
        <w:rPr>
          <w:lang w:val="en-GB"/>
        </w:rPr>
        <w:t>365</w:t>
      </w:r>
      <w:r w:rsidR="00446103">
        <w:rPr>
          <w:lang w:val="en-GB"/>
        </w:rPr>
        <w:t xml:space="preserve">, </w:t>
      </w:r>
      <w:r>
        <w:rPr>
          <w:lang w:val="en-GB"/>
        </w:rPr>
        <w:t>l</w:t>
      </w:r>
      <w:r w:rsidRPr="00563AF8">
        <w:rPr>
          <w:lang w:val="en-GB"/>
        </w:rPr>
        <w:t>1476.</w:t>
      </w:r>
      <w:r w:rsidR="00B32924">
        <w:rPr>
          <w:lang w:val="en-GB"/>
        </w:rPr>
        <w:t xml:space="preserve"> </w:t>
      </w:r>
      <w:r w:rsidR="00B32924" w:rsidRPr="00B32924">
        <w:rPr>
          <w:lang w:val="en-GB"/>
        </w:rPr>
        <w:t>https://doi.org/10.1136/bmj.l1476</w:t>
      </w:r>
      <w:r w:rsidR="00B32924">
        <w:rPr>
          <w:lang w:val="en-GB"/>
        </w:rPr>
        <w:t>.</w:t>
      </w:r>
    </w:p>
    <w:p w14:paraId="6B854858" w14:textId="70877E10" w:rsidR="007D7231" w:rsidRPr="007346D1" w:rsidRDefault="007D7231" w:rsidP="00B96B5C">
      <w:pPr>
        <w:pStyle w:val="Bibliography"/>
        <w:tabs>
          <w:tab w:val="clear" w:pos="260"/>
        </w:tabs>
        <w:spacing w:after="0" w:line="480" w:lineRule="auto"/>
        <w:ind w:left="567" w:hanging="567"/>
        <w:rPr>
          <w:lang w:val="en-CA"/>
        </w:rPr>
      </w:pPr>
      <w:r w:rsidRPr="00600F65">
        <w:rPr>
          <w:lang w:val="en-CA"/>
        </w:rPr>
        <w:t>Levis</w:t>
      </w:r>
      <w:r w:rsidR="00B32924">
        <w:rPr>
          <w:lang w:val="en-CA"/>
        </w:rPr>
        <w:t>,</w:t>
      </w:r>
      <w:r w:rsidRPr="00600F65">
        <w:rPr>
          <w:lang w:val="en-CA"/>
        </w:rPr>
        <w:t xml:space="preserve"> B</w:t>
      </w:r>
      <w:r w:rsidR="00B32924">
        <w:rPr>
          <w:lang w:val="en-CA"/>
        </w:rPr>
        <w:t>.</w:t>
      </w:r>
      <w:r w:rsidRPr="00600F65">
        <w:rPr>
          <w:lang w:val="en-CA"/>
        </w:rPr>
        <w:t>, Negeri</w:t>
      </w:r>
      <w:r w:rsidR="00B32924">
        <w:rPr>
          <w:lang w:val="en-CA"/>
        </w:rPr>
        <w:t>,</w:t>
      </w:r>
      <w:r w:rsidRPr="00600F65">
        <w:rPr>
          <w:lang w:val="en-CA"/>
        </w:rPr>
        <w:t xml:space="preserve"> Z</w:t>
      </w:r>
      <w:r w:rsidR="00B32924">
        <w:rPr>
          <w:lang w:val="en-CA"/>
        </w:rPr>
        <w:t>.</w:t>
      </w:r>
      <w:r w:rsidRPr="00600F65">
        <w:rPr>
          <w:lang w:val="en-CA"/>
        </w:rPr>
        <w:t>, Sun</w:t>
      </w:r>
      <w:r w:rsidR="00B32924">
        <w:rPr>
          <w:lang w:val="en-CA"/>
        </w:rPr>
        <w:t>,</w:t>
      </w:r>
      <w:r w:rsidRPr="00600F65">
        <w:rPr>
          <w:lang w:val="en-CA"/>
        </w:rPr>
        <w:t xml:space="preserve"> Y</w:t>
      </w:r>
      <w:r w:rsidR="00B32924">
        <w:rPr>
          <w:lang w:val="en-CA"/>
        </w:rPr>
        <w:t>.</w:t>
      </w:r>
      <w:r w:rsidRPr="00600F65">
        <w:rPr>
          <w:lang w:val="en-CA"/>
        </w:rPr>
        <w:t>, Benedetti</w:t>
      </w:r>
      <w:r w:rsidR="00B32924">
        <w:rPr>
          <w:lang w:val="en-CA"/>
        </w:rPr>
        <w:t>,</w:t>
      </w:r>
      <w:r w:rsidRPr="00600F65">
        <w:rPr>
          <w:lang w:val="en-CA"/>
        </w:rPr>
        <w:t xml:space="preserve"> A</w:t>
      </w:r>
      <w:r w:rsidR="00B32924">
        <w:rPr>
          <w:lang w:val="en-CA"/>
        </w:rPr>
        <w:t>.</w:t>
      </w:r>
      <w:r w:rsidRPr="00600F65">
        <w:rPr>
          <w:lang w:val="en-CA"/>
        </w:rPr>
        <w:t>, Thombs</w:t>
      </w:r>
      <w:r w:rsidR="00B32924">
        <w:rPr>
          <w:lang w:val="en-CA"/>
        </w:rPr>
        <w:t>,</w:t>
      </w:r>
      <w:r w:rsidRPr="00600F65">
        <w:rPr>
          <w:lang w:val="en-CA"/>
        </w:rPr>
        <w:t xml:space="preserve"> B</w:t>
      </w:r>
      <w:r w:rsidR="00B32924">
        <w:rPr>
          <w:lang w:val="en-CA"/>
        </w:rPr>
        <w:t>.</w:t>
      </w:r>
      <w:r w:rsidRPr="00600F65">
        <w:rPr>
          <w:lang w:val="en-CA"/>
        </w:rPr>
        <w:t>D</w:t>
      </w:r>
      <w:r w:rsidR="00B32924">
        <w:rPr>
          <w:lang w:val="en-CA"/>
        </w:rPr>
        <w:t>.</w:t>
      </w:r>
      <w:r w:rsidRPr="00600F65">
        <w:rPr>
          <w:lang w:val="en-CA"/>
        </w:rPr>
        <w:t>, DEPRESsion Screening Data</w:t>
      </w:r>
      <w:r>
        <w:rPr>
          <w:lang w:val="en-CA"/>
        </w:rPr>
        <w:t xml:space="preserve"> (DEPRESSD) EPDS Group</w:t>
      </w:r>
      <w:r w:rsidR="00B32924">
        <w:rPr>
          <w:lang w:val="en-CA"/>
        </w:rPr>
        <w:t>., 2020a.</w:t>
      </w:r>
      <w:r w:rsidRPr="00600F65">
        <w:rPr>
          <w:lang w:val="en-CA"/>
        </w:rPr>
        <w:t xml:space="preserve"> </w:t>
      </w:r>
      <w:r w:rsidRPr="00563AF8">
        <w:rPr>
          <w:lang w:val="en-GB"/>
        </w:rPr>
        <w:t xml:space="preserve">Accuracy of the Edinburgh Postnatal Depression Scale (EPDS) for screening to detect major depression among pregnant and postpartum women: systematic review and meta-analysis of individual participant data. </w:t>
      </w:r>
      <w:r w:rsidRPr="007346D1">
        <w:rPr>
          <w:lang w:val="en-CA"/>
        </w:rPr>
        <w:t>BMJ. 371</w:t>
      </w:r>
      <w:r w:rsidR="00B32924" w:rsidRPr="007346D1">
        <w:rPr>
          <w:lang w:val="en-CA"/>
        </w:rPr>
        <w:t xml:space="preserve">, </w:t>
      </w:r>
      <w:r w:rsidRPr="007346D1">
        <w:rPr>
          <w:lang w:val="en-CA"/>
        </w:rPr>
        <w:t>m4022.</w:t>
      </w:r>
      <w:r w:rsidR="00B32924" w:rsidRPr="007346D1">
        <w:rPr>
          <w:lang w:val="en-CA"/>
        </w:rPr>
        <w:t xml:space="preserve"> https://doi.org/10.1136/bmj.m4022.</w:t>
      </w:r>
    </w:p>
    <w:p w14:paraId="2287E903" w14:textId="77777777" w:rsidR="00B32924" w:rsidRDefault="007D7231" w:rsidP="00B32924">
      <w:pPr>
        <w:spacing w:line="480" w:lineRule="auto"/>
        <w:rPr>
          <w:lang w:val="en-CA" w:eastAsia="zh-CN"/>
        </w:rPr>
      </w:pPr>
      <w:r w:rsidRPr="00B32924">
        <w:rPr>
          <w:lang w:val="en-CA" w:eastAsia="zh-CN"/>
        </w:rPr>
        <w:t>Levis</w:t>
      </w:r>
      <w:r w:rsidR="00B32924" w:rsidRPr="00B32924">
        <w:rPr>
          <w:lang w:val="en-CA" w:eastAsia="zh-CN"/>
        </w:rPr>
        <w:t xml:space="preserve">, </w:t>
      </w:r>
      <w:r w:rsidRPr="00B32924">
        <w:rPr>
          <w:lang w:val="en-CA" w:eastAsia="zh-CN"/>
        </w:rPr>
        <w:t>B</w:t>
      </w:r>
      <w:r w:rsidR="00B32924" w:rsidRPr="00B32924">
        <w:rPr>
          <w:lang w:val="en-CA" w:eastAsia="zh-CN"/>
        </w:rPr>
        <w:t>.</w:t>
      </w:r>
      <w:r w:rsidRPr="00B32924">
        <w:rPr>
          <w:lang w:val="en-CA" w:eastAsia="zh-CN"/>
        </w:rPr>
        <w:t>, Sun</w:t>
      </w:r>
      <w:r w:rsidR="00B32924" w:rsidRPr="00B32924">
        <w:rPr>
          <w:lang w:val="en-CA" w:eastAsia="zh-CN"/>
        </w:rPr>
        <w:t>,</w:t>
      </w:r>
      <w:r w:rsidRPr="00B32924">
        <w:rPr>
          <w:lang w:val="en-CA" w:eastAsia="zh-CN"/>
        </w:rPr>
        <w:t xml:space="preserve"> Y</w:t>
      </w:r>
      <w:r w:rsidR="00B32924" w:rsidRPr="00B32924">
        <w:rPr>
          <w:lang w:val="en-CA" w:eastAsia="zh-CN"/>
        </w:rPr>
        <w:t>.</w:t>
      </w:r>
      <w:r w:rsidRPr="00B32924">
        <w:rPr>
          <w:lang w:val="en-CA" w:eastAsia="zh-CN"/>
        </w:rPr>
        <w:t>, He</w:t>
      </w:r>
      <w:r w:rsidR="00B32924" w:rsidRPr="00B32924">
        <w:rPr>
          <w:lang w:val="en-CA" w:eastAsia="zh-CN"/>
        </w:rPr>
        <w:t>,</w:t>
      </w:r>
      <w:r w:rsidRPr="00B32924">
        <w:rPr>
          <w:lang w:val="en-CA" w:eastAsia="zh-CN"/>
        </w:rPr>
        <w:t xml:space="preserve"> C</w:t>
      </w:r>
      <w:r w:rsidR="00B32924" w:rsidRPr="00B32924">
        <w:rPr>
          <w:lang w:val="en-CA" w:eastAsia="zh-CN"/>
        </w:rPr>
        <w:t>.</w:t>
      </w:r>
      <w:r w:rsidRPr="00B32924">
        <w:rPr>
          <w:lang w:val="en-CA" w:eastAsia="zh-CN"/>
        </w:rPr>
        <w:t>, Wu</w:t>
      </w:r>
      <w:r w:rsidR="00B32924" w:rsidRPr="00B32924">
        <w:rPr>
          <w:lang w:val="en-CA" w:eastAsia="zh-CN"/>
        </w:rPr>
        <w:t>,</w:t>
      </w:r>
      <w:r w:rsidRPr="00B32924">
        <w:rPr>
          <w:lang w:val="en-CA" w:eastAsia="zh-CN"/>
        </w:rPr>
        <w:t xml:space="preserve"> Y</w:t>
      </w:r>
      <w:r w:rsidR="00B32924" w:rsidRPr="00B32924">
        <w:rPr>
          <w:lang w:val="en-CA" w:eastAsia="zh-CN"/>
        </w:rPr>
        <w:t>.</w:t>
      </w:r>
      <w:r w:rsidRPr="00B32924">
        <w:rPr>
          <w:lang w:val="en-CA" w:eastAsia="zh-CN"/>
        </w:rPr>
        <w:t>, Krishnan</w:t>
      </w:r>
      <w:r w:rsidR="00B32924">
        <w:rPr>
          <w:lang w:val="en-CA" w:eastAsia="zh-CN"/>
        </w:rPr>
        <w:t>,</w:t>
      </w:r>
      <w:r w:rsidRPr="00B32924">
        <w:rPr>
          <w:lang w:val="en-CA" w:eastAsia="zh-CN"/>
        </w:rPr>
        <w:t xml:space="preserve"> A</w:t>
      </w:r>
      <w:r w:rsidR="00B32924">
        <w:rPr>
          <w:lang w:val="en-CA" w:eastAsia="zh-CN"/>
        </w:rPr>
        <w:t>.</w:t>
      </w:r>
      <w:r w:rsidRPr="00B32924">
        <w:rPr>
          <w:lang w:val="en-CA" w:eastAsia="zh-CN"/>
        </w:rPr>
        <w:t>, Bhandari</w:t>
      </w:r>
      <w:r w:rsidR="00B32924">
        <w:rPr>
          <w:lang w:val="en-CA" w:eastAsia="zh-CN"/>
        </w:rPr>
        <w:t>,</w:t>
      </w:r>
      <w:r w:rsidRPr="00B32924">
        <w:rPr>
          <w:lang w:val="en-CA" w:eastAsia="zh-CN"/>
        </w:rPr>
        <w:t xml:space="preserve"> P</w:t>
      </w:r>
      <w:r w:rsidR="00B32924">
        <w:rPr>
          <w:lang w:val="en-CA" w:eastAsia="zh-CN"/>
        </w:rPr>
        <w:t>.</w:t>
      </w:r>
      <w:r w:rsidRPr="00B32924">
        <w:rPr>
          <w:lang w:val="en-CA" w:eastAsia="zh-CN"/>
        </w:rPr>
        <w:t>M</w:t>
      </w:r>
      <w:r w:rsidR="00B32924">
        <w:rPr>
          <w:lang w:val="en-CA" w:eastAsia="zh-CN"/>
        </w:rPr>
        <w:t>.</w:t>
      </w:r>
      <w:r w:rsidRPr="00B32924">
        <w:rPr>
          <w:lang w:val="en-CA" w:eastAsia="zh-CN"/>
        </w:rPr>
        <w:t>, et al.</w:t>
      </w:r>
      <w:r w:rsidR="00B32924">
        <w:rPr>
          <w:lang w:val="en-CA" w:eastAsia="zh-CN"/>
        </w:rPr>
        <w:t>,</w:t>
      </w:r>
      <w:r w:rsidRPr="00B32924">
        <w:rPr>
          <w:lang w:val="en-CA" w:eastAsia="zh-CN"/>
        </w:rPr>
        <w:t xml:space="preserve"> </w:t>
      </w:r>
      <w:r w:rsidR="00B32924">
        <w:rPr>
          <w:lang w:val="en-CA" w:eastAsia="zh-CN"/>
        </w:rPr>
        <w:t xml:space="preserve">2020b. </w:t>
      </w:r>
      <w:r w:rsidRPr="007D7231">
        <w:rPr>
          <w:lang w:val="en-CA" w:eastAsia="zh-CN"/>
        </w:rPr>
        <w:t xml:space="preserve">Accuracy of the </w:t>
      </w:r>
    </w:p>
    <w:p w14:paraId="6265AACC" w14:textId="3B4A0AAA" w:rsidR="007D7231" w:rsidRPr="007D7231" w:rsidRDefault="007D7231" w:rsidP="00B32924">
      <w:pPr>
        <w:spacing w:line="480" w:lineRule="auto"/>
        <w:ind w:left="720"/>
        <w:rPr>
          <w:lang w:val="en-CA" w:eastAsia="zh-CN"/>
        </w:rPr>
      </w:pPr>
      <w:r w:rsidRPr="007D7231">
        <w:rPr>
          <w:lang w:val="en-CA" w:eastAsia="zh-CN"/>
        </w:rPr>
        <w:t>PHQ-2 alone and in combination with the PHQ-9 for screening to detect major depression: systematic review and meta-analysis. JAMA. 323</w:t>
      </w:r>
      <w:r w:rsidR="00B32924">
        <w:rPr>
          <w:lang w:val="en-CA" w:eastAsia="zh-CN"/>
        </w:rPr>
        <w:t xml:space="preserve">, </w:t>
      </w:r>
      <w:r w:rsidRPr="007D7231">
        <w:rPr>
          <w:lang w:val="en-CA" w:eastAsia="zh-CN"/>
        </w:rPr>
        <w:t>2290</w:t>
      </w:r>
      <w:r w:rsidR="00B32924">
        <w:rPr>
          <w:lang w:val="en-CA" w:eastAsia="zh-CN"/>
        </w:rPr>
        <w:t>-2300</w:t>
      </w:r>
      <w:r w:rsidRPr="007D7231">
        <w:rPr>
          <w:lang w:val="en-CA" w:eastAsia="zh-CN"/>
        </w:rPr>
        <w:t>.</w:t>
      </w:r>
      <w:r w:rsidR="00B32924">
        <w:rPr>
          <w:lang w:val="en-CA" w:eastAsia="zh-CN"/>
        </w:rPr>
        <w:t xml:space="preserve"> </w:t>
      </w:r>
      <w:r w:rsidR="00B32924" w:rsidRPr="00B32924">
        <w:rPr>
          <w:lang w:val="en-CA" w:eastAsia="zh-CN"/>
        </w:rPr>
        <w:t>10.1001/jama.2020.6504</w:t>
      </w:r>
      <w:r w:rsidR="00B32924">
        <w:rPr>
          <w:lang w:val="en-CA" w:eastAsia="zh-CN"/>
        </w:rPr>
        <w:t>.</w:t>
      </w:r>
    </w:p>
    <w:p w14:paraId="30E43751" w14:textId="77777777" w:rsidR="00B32924" w:rsidRDefault="00B96B5C" w:rsidP="00B32924">
      <w:pPr>
        <w:pStyle w:val="Bibliography"/>
        <w:tabs>
          <w:tab w:val="clear" w:pos="260"/>
        </w:tabs>
        <w:spacing w:after="0" w:line="480" w:lineRule="auto"/>
        <w:ind w:left="0" w:firstLine="0"/>
        <w:rPr>
          <w:lang w:val="en-GB"/>
        </w:rPr>
      </w:pPr>
      <w:r w:rsidRPr="00563AF8">
        <w:rPr>
          <w:lang w:val="en-GB"/>
        </w:rPr>
        <w:t>Lewis</w:t>
      </w:r>
      <w:r w:rsidR="00B32924">
        <w:rPr>
          <w:lang w:val="en-GB"/>
        </w:rPr>
        <w:t>,</w:t>
      </w:r>
      <w:r w:rsidRPr="00563AF8">
        <w:rPr>
          <w:lang w:val="en-GB"/>
        </w:rPr>
        <w:t xml:space="preserve"> C</w:t>
      </w:r>
      <w:r w:rsidR="00B32924">
        <w:rPr>
          <w:lang w:val="en-GB"/>
        </w:rPr>
        <w:t>.</w:t>
      </w:r>
      <w:r w:rsidRPr="00563AF8">
        <w:rPr>
          <w:lang w:val="en-GB"/>
        </w:rPr>
        <w:t>C</w:t>
      </w:r>
      <w:r w:rsidR="00B32924">
        <w:rPr>
          <w:lang w:val="en-GB"/>
        </w:rPr>
        <w:t>.</w:t>
      </w:r>
      <w:r w:rsidRPr="00563AF8">
        <w:rPr>
          <w:lang w:val="en-GB"/>
        </w:rPr>
        <w:t>, Boyd</w:t>
      </w:r>
      <w:r w:rsidR="00B32924">
        <w:rPr>
          <w:lang w:val="en-GB"/>
        </w:rPr>
        <w:t>,</w:t>
      </w:r>
      <w:r w:rsidRPr="00563AF8">
        <w:rPr>
          <w:lang w:val="en-GB"/>
        </w:rPr>
        <w:t xml:space="preserve"> M</w:t>
      </w:r>
      <w:r w:rsidR="00B32924">
        <w:rPr>
          <w:lang w:val="en-GB"/>
        </w:rPr>
        <w:t>.</w:t>
      </w:r>
      <w:r w:rsidRPr="00563AF8">
        <w:rPr>
          <w:lang w:val="en-GB"/>
        </w:rPr>
        <w:t>, Puspitasari</w:t>
      </w:r>
      <w:r w:rsidR="00B32924">
        <w:rPr>
          <w:lang w:val="en-GB"/>
        </w:rPr>
        <w:t>,</w:t>
      </w:r>
      <w:r w:rsidRPr="00563AF8">
        <w:rPr>
          <w:lang w:val="en-GB"/>
        </w:rPr>
        <w:t xml:space="preserve"> A</w:t>
      </w:r>
      <w:r w:rsidR="00B32924">
        <w:rPr>
          <w:lang w:val="en-GB"/>
        </w:rPr>
        <w:t>.</w:t>
      </w:r>
      <w:r w:rsidRPr="00563AF8">
        <w:rPr>
          <w:lang w:val="en-GB"/>
        </w:rPr>
        <w:t xml:space="preserve">, </w:t>
      </w:r>
      <w:r w:rsidR="00FC7A63">
        <w:rPr>
          <w:lang w:val="en-GB"/>
        </w:rPr>
        <w:t>Navarro</w:t>
      </w:r>
      <w:r w:rsidR="00B32924">
        <w:rPr>
          <w:lang w:val="en-GB"/>
        </w:rPr>
        <w:t>,</w:t>
      </w:r>
      <w:r w:rsidR="00FC7A63">
        <w:rPr>
          <w:lang w:val="en-GB"/>
        </w:rPr>
        <w:t xml:space="preserve"> E</w:t>
      </w:r>
      <w:r w:rsidR="00B32924">
        <w:rPr>
          <w:lang w:val="en-GB"/>
        </w:rPr>
        <w:t>.</w:t>
      </w:r>
      <w:r w:rsidR="00FC7A63">
        <w:rPr>
          <w:lang w:val="en-GB"/>
        </w:rPr>
        <w:t>, Howard</w:t>
      </w:r>
      <w:r w:rsidR="00B32924">
        <w:rPr>
          <w:lang w:val="en-GB"/>
        </w:rPr>
        <w:t>,</w:t>
      </w:r>
      <w:r w:rsidR="00FC7A63">
        <w:rPr>
          <w:lang w:val="en-GB"/>
        </w:rPr>
        <w:t xml:space="preserve"> J</w:t>
      </w:r>
      <w:r w:rsidR="00B32924">
        <w:rPr>
          <w:lang w:val="en-GB"/>
        </w:rPr>
        <w:t>.</w:t>
      </w:r>
      <w:r w:rsidR="00FC7A63">
        <w:rPr>
          <w:lang w:val="en-GB"/>
        </w:rPr>
        <w:t>, Kassab</w:t>
      </w:r>
      <w:r w:rsidR="00B32924">
        <w:rPr>
          <w:lang w:val="en-GB"/>
        </w:rPr>
        <w:t>,</w:t>
      </w:r>
      <w:r w:rsidR="00FC7A63">
        <w:rPr>
          <w:lang w:val="en-GB"/>
        </w:rPr>
        <w:t xml:space="preserve"> H</w:t>
      </w:r>
      <w:r w:rsidR="00B32924">
        <w:rPr>
          <w:lang w:val="en-GB"/>
        </w:rPr>
        <w:t>.</w:t>
      </w:r>
      <w:r w:rsidR="00FC7A63">
        <w:rPr>
          <w:lang w:val="en-GB"/>
        </w:rPr>
        <w:t xml:space="preserve">, </w:t>
      </w:r>
      <w:r w:rsidRPr="00600F65">
        <w:rPr>
          <w:lang w:val="en-GB"/>
        </w:rPr>
        <w:t>et al</w:t>
      </w:r>
      <w:r w:rsidRPr="00563AF8">
        <w:rPr>
          <w:i/>
          <w:iCs/>
          <w:lang w:val="en-GB"/>
        </w:rPr>
        <w:t>.</w:t>
      </w:r>
      <w:r w:rsidR="00B32924">
        <w:rPr>
          <w:i/>
          <w:iCs/>
          <w:lang w:val="en-GB"/>
        </w:rPr>
        <w:t>,</w:t>
      </w:r>
      <w:r w:rsidR="00B32924">
        <w:rPr>
          <w:lang w:val="en-GB"/>
        </w:rPr>
        <w:t xml:space="preserve"> 2019.</w:t>
      </w:r>
      <w:r w:rsidRPr="00563AF8">
        <w:rPr>
          <w:lang w:val="en-GB"/>
        </w:rPr>
        <w:t xml:space="preserve"> </w:t>
      </w:r>
    </w:p>
    <w:p w14:paraId="3284B987" w14:textId="718A45D2" w:rsidR="00B96B5C" w:rsidRDefault="00B96B5C" w:rsidP="00B32924">
      <w:pPr>
        <w:pStyle w:val="Bibliography"/>
        <w:tabs>
          <w:tab w:val="clear" w:pos="260"/>
        </w:tabs>
        <w:spacing w:after="0" w:line="480" w:lineRule="auto"/>
        <w:ind w:left="567" w:firstLine="0"/>
        <w:rPr>
          <w:lang w:val="en-GB"/>
        </w:rPr>
      </w:pPr>
      <w:r w:rsidRPr="00563AF8">
        <w:rPr>
          <w:lang w:val="en-GB"/>
        </w:rPr>
        <w:t>Implementing</w:t>
      </w:r>
      <w:r w:rsidR="00B32924">
        <w:rPr>
          <w:lang w:val="en-GB"/>
        </w:rPr>
        <w:t xml:space="preserve"> </w:t>
      </w:r>
      <w:r>
        <w:rPr>
          <w:lang w:val="en-GB"/>
        </w:rPr>
        <w:t>m</w:t>
      </w:r>
      <w:r w:rsidRPr="00563AF8">
        <w:rPr>
          <w:lang w:val="en-GB"/>
        </w:rPr>
        <w:t>easurement-</w:t>
      </w:r>
      <w:r>
        <w:rPr>
          <w:lang w:val="en-GB"/>
        </w:rPr>
        <w:t>b</w:t>
      </w:r>
      <w:r w:rsidRPr="00563AF8">
        <w:rPr>
          <w:lang w:val="en-GB"/>
        </w:rPr>
        <w:t xml:space="preserve">ased </w:t>
      </w:r>
      <w:r>
        <w:rPr>
          <w:lang w:val="en-GB"/>
        </w:rPr>
        <w:t>c</w:t>
      </w:r>
      <w:r w:rsidRPr="00563AF8">
        <w:rPr>
          <w:lang w:val="en-GB"/>
        </w:rPr>
        <w:t xml:space="preserve">are in </w:t>
      </w:r>
      <w:r>
        <w:rPr>
          <w:lang w:val="en-GB"/>
        </w:rPr>
        <w:t>b</w:t>
      </w:r>
      <w:r w:rsidRPr="00563AF8">
        <w:rPr>
          <w:lang w:val="en-GB"/>
        </w:rPr>
        <w:t xml:space="preserve">ehavioral </w:t>
      </w:r>
      <w:r>
        <w:rPr>
          <w:lang w:val="en-GB"/>
        </w:rPr>
        <w:t>h</w:t>
      </w:r>
      <w:r w:rsidRPr="00563AF8">
        <w:rPr>
          <w:lang w:val="en-GB"/>
        </w:rPr>
        <w:t xml:space="preserve">ealth: </w:t>
      </w:r>
      <w:r>
        <w:rPr>
          <w:lang w:val="en-GB"/>
        </w:rPr>
        <w:t>a</w:t>
      </w:r>
      <w:r w:rsidRPr="00563AF8">
        <w:rPr>
          <w:lang w:val="en-GB"/>
        </w:rPr>
        <w:t xml:space="preserve"> </w:t>
      </w:r>
      <w:r>
        <w:rPr>
          <w:lang w:val="en-GB"/>
        </w:rPr>
        <w:t>r</w:t>
      </w:r>
      <w:r w:rsidRPr="00563AF8">
        <w:rPr>
          <w:lang w:val="en-GB"/>
        </w:rPr>
        <w:t xml:space="preserve">eview. </w:t>
      </w:r>
      <w:r w:rsidRPr="00600F65">
        <w:rPr>
          <w:lang w:val="en-GB"/>
        </w:rPr>
        <w:t>JAMA Psychiatry</w:t>
      </w:r>
      <w:r w:rsidR="00FC7A63" w:rsidRPr="00600F65">
        <w:rPr>
          <w:lang w:val="en-GB"/>
        </w:rPr>
        <w:t>.</w:t>
      </w:r>
      <w:r w:rsidRPr="00563AF8">
        <w:rPr>
          <w:lang w:val="en-GB"/>
        </w:rPr>
        <w:t xml:space="preserve"> </w:t>
      </w:r>
      <w:r w:rsidRPr="00600F65">
        <w:rPr>
          <w:lang w:val="en-GB"/>
        </w:rPr>
        <w:t>76</w:t>
      </w:r>
      <w:r w:rsidR="00B32924">
        <w:rPr>
          <w:lang w:val="en-GB"/>
        </w:rPr>
        <w:t xml:space="preserve">, </w:t>
      </w:r>
      <w:r w:rsidRPr="00563AF8">
        <w:rPr>
          <w:lang w:val="en-GB"/>
        </w:rPr>
        <w:t>324–</w:t>
      </w:r>
      <w:r w:rsidR="000C4292">
        <w:rPr>
          <w:lang w:val="en-GB"/>
        </w:rPr>
        <w:t>3</w:t>
      </w:r>
      <w:r w:rsidRPr="00563AF8">
        <w:rPr>
          <w:lang w:val="en-GB"/>
        </w:rPr>
        <w:t>35</w:t>
      </w:r>
      <w:r w:rsidR="00B32924">
        <w:rPr>
          <w:lang w:val="en-GB"/>
        </w:rPr>
        <w:t xml:space="preserve">. </w:t>
      </w:r>
      <w:r w:rsidR="000C4292" w:rsidRPr="000C4292">
        <w:rPr>
          <w:lang w:val="en-GB"/>
        </w:rPr>
        <w:t>10.1001/jamapsychiatry.2018.3329</w:t>
      </w:r>
      <w:r w:rsidR="000C4292">
        <w:rPr>
          <w:lang w:val="en-GB"/>
        </w:rPr>
        <w:t>.</w:t>
      </w:r>
    </w:p>
    <w:p w14:paraId="3DEA96B2" w14:textId="4C8A56B4" w:rsidR="005D09CF" w:rsidRPr="00563AF8" w:rsidRDefault="005D09CF" w:rsidP="005D09CF">
      <w:pPr>
        <w:pStyle w:val="Bibliography"/>
        <w:tabs>
          <w:tab w:val="clear" w:pos="260"/>
        </w:tabs>
        <w:spacing w:after="0" w:line="480" w:lineRule="auto"/>
        <w:ind w:left="567" w:hanging="567"/>
        <w:rPr>
          <w:lang w:val="en-GB"/>
        </w:rPr>
      </w:pPr>
      <w:r w:rsidRPr="00563AF8">
        <w:rPr>
          <w:lang w:val="en-GB"/>
        </w:rPr>
        <w:t>McGowan</w:t>
      </w:r>
      <w:r w:rsidR="00D83A04">
        <w:rPr>
          <w:lang w:val="en-GB"/>
        </w:rPr>
        <w:t>,</w:t>
      </w:r>
      <w:r w:rsidRPr="00563AF8">
        <w:rPr>
          <w:lang w:val="en-GB"/>
        </w:rPr>
        <w:t xml:space="preserve"> J</w:t>
      </w:r>
      <w:r w:rsidR="00D83A04">
        <w:rPr>
          <w:lang w:val="en-GB"/>
        </w:rPr>
        <w:t>.</w:t>
      </w:r>
      <w:r w:rsidRPr="00563AF8">
        <w:rPr>
          <w:lang w:val="en-GB"/>
        </w:rPr>
        <w:t>, Sampson</w:t>
      </w:r>
      <w:r w:rsidR="00D83A04">
        <w:rPr>
          <w:lang w:val="en-GB"/>
        </w:rPr>
        <w:t>,</w:t>
      </w:r>
      <w:r w:rsidRPr="00563AF8">
        <w:rPr>
          <w:lang w:val="en-GB"/>
        </w:rPr>
        <w:t xml:space="preserve"> M</w:t>
      </w:r>
      <w:r w:rsidR="00D83A04">
        <w:rPr>
          <w:lang w:val="en-GB"/>
        </w:rPr>
        <w:t>.</w:t>
      </w:r>
      <w:r w:rsidRPr="00563AF8">
        <w:rPr>
          <w:lang w:val="en-GB"/>
        </w:rPr>
        <w:t>, Salzwedel</w:t>
      </w:r>
      <w:r w:rsidR="00D83A04">
        <w:rPr>
          <w:lang w:val="en-GB"/>
        </w:rPr>
        <w:t>,</w:t>
      </w:r>
      <w:r w:rsidRPr="00563AF8">
        <w:rPr>
          <w:lang w:val="en-GB"/>
        </w:rPr>
        <w:t xml:space="preserve"> D</w:t>
      </w:r>
      <w:r w:rsidR="00D83A04">
        <w:rPr>
          <w:lang w:val="en-GB"/>
        </w:rPr>
        <w:t>.</w:t>
      </w:r>
      <w:r w:rsidRPr="00563AF8">
        <w:rPr>
          <w:lang w:val="en-GB"/>
        </w:rPr>
        <w:t>M</w:t>
      </w:r>
      <w:r w:rsidR="00D83A04">
        <w:rPr>
          <w:lang w:val="en-GB"/>
        </w:rPr>
        <w:t>.</w:t>
      </w:r>
      <w:r w:rsidRPr="00563AF8">
        <w:rPr>
          <w:lang w:val="en-GB"/>
        </w:rPr>
        <w:t>, Cogo</w:t>
      </w:r>
      <w:r w:rsidR="00D83A04">
        <w:rPr>
          <w:lang w:val="en-GB"/>
        </w:rPr>
        <w:t>,</w:t>
      </w:r>
      <w:r w:rsidRPr="00563AF8">
        <w:rPr>
          <w:lang w:val="en-GB"/>
        </w:rPr>
        <w:t xml:space="preserve"> E</w:t>
      </w:r>
      <w:r w:rsidR="00D83A04">
        <w:rPr>
          <w:lang w:val="en-GB"/>
        </w:rPr>
        <w:t>.</w:t>
      </w:r>
      <w:r w:rsidRPr="00563AF8">
        <w:rPr>
          <w:lang w:val="en-GB"/>
        </w:rPr>
        <w:t>, Foerster</w:t>
      </w:r>
      <w:r w:rsidR="00D83A04">
        <w:rPr>
          <w:lang w:val="en-GB"/>
        </w:rPr>
        <w:t>,</w:t>
      </w:r>
      <w:r w:rsidRPr="00563AF8">
        <w:rPr>
          <w:lang w:val="en-GB"/>
        </w:rPr>
        <w:t xml:space="preserve"> V</w:t>
      </w:r>
      <w:r w:rsidR="00D83A04">
        <w:rPr>
          <w:lang w:val="en-GB"/>
        </w:rPr>
        <w:t>.</w:t>
      </w:r>
      <w:r w:rsidRPr="00563AF8">
        <w:rPr>
          <w:lang w:val="en-GB"/>
        </w:rPr>
        <w:t>, Lefebvre</w:t>
      </w:r>
      <w:r w:rsidR="00D83A04">
        <w:rPr>
          <w:lang w:val="en-GB"/>
        </w:rPr>
        <w:t>,</w:t>
      </w:r>
      <w:r w:rsidRPr="00563AF8">
        <w:rPr>
          <w:lang w:val="en-GB"/>
        </w:rPr>
        <w:t xml:space="preserve"> C.</w:t>
      </w:r>
      <w:r w:rsidR="00D83A04">
        <w:rPr>
          <w:lang w:val="en-GB"/>
        </w:rPr>
        <w:t>,</w:t>
      </w:r>
      <w:r w:rsidRPr="00563AF8">
        <w:rPr>
          <w:lang w:val="en-GB"/>
        </w:rPr>
        <w:t xml:space="preserve"> </w:t>
      </w:r>
      <w:r w:rsidR="00D83A04">
        <w:rPr>
          <w:lang w:val="en-GB"/>
        </w:rPr>
        <w:t xml:space="preserve">2016. </w:t>
      </w:r>
      <w:r w:rsidRPr="00563AF8">
        <w:rPr>
          <w:lang w:val="en-GB"/>
        </w:rPr>
        <w:t xml:space="preserve">PRESS </w:t>
      </w:r>
      <w:r>
        <w:rPr>
          <w:lang w:val="en-GB"/>
        </w:rPr>
        <w:t>p</w:t>
      </w:r>
      <w:r w:rsidRPr="00563AF8">
        <w:rPr>
          <w:lang w:val="en-GB"/>
        </w:rPr>
        <w:t xml:space="preserve">eer </w:t>
      </w:r>
      <w:r>
        <w:rPr>
          <w:lang w:val="en-GB"/>
        </w:rPr>
        <w:t>r</w:t>
      </w:r>
      <w:r w:rsidRPr="00563AF8">
        <w:rPr>
          <w:lang w:val="en-GB"/>
        </w:rPr>
        <w:t xml:space="preserve">eview of </w:t>
      </w:r>
      <w:r>
        <w:rPr>
          <w:lang w:val="en-GB"/>
        </w:rPr>
        <w:t>e</w:t>
      </w:r>
      <w:r w:rsidRPr="00563AF8">
        <w:rPr>
          <w:lang w:val="en-GB"/>
        </w:rPr>
        <w:t xml:space="preserve">lectronic </w:t>
      </w:r>
      <w:r>
        <w:rPr>
          <w:lang w:val="en-GB"/>
        </w:rPr>
        <w:t>s</w:t>
      </w:r>
      <w:r w:rsidRPr="00563AF8">
        <w:rPr>
          <w:lang w:val="en-GB"/>
        </w:rPr>
        <w:t xml:space="preserve">earch </w:t>
      </w:r>
      <w:r>
        <w:rPr>
          <w:lang w:val="en-GB"/>
        </w:rPr>
        <w:t>s</w:t>
      </w:r>
      <w:r w:rsidRPr="00563AF8">
        <w:rPr>
          <w:lang w:val="en-GB"/>
        </w:rPr>
        <w:t xml:space="preserve">trategies: 2015 </w:t>
      </w:r>
      <w:r>
        <w:rPr>
          <w:lang w:val="en-GB"/>
        </w:rPr>
        <w:t>g</w:t>
      </w:r>
      <w:r w:rsidRPr="00563AF8">
        <w:rPr>
          <w:lang w:val="en-GB"/>
        </w:rPr>
        <w:t>uideline</w:t>
      </w:r>
      <w:r>
        <w:rPr>
          <w:lang w:val="en-GB"/>
        </w:rPr>
        <w:t xml:space="preserve"> s</w:t>
      </w:r>
      <w:r w:rsidRPr="00563AF8">
        <w:rPr>
          <w:lang w:val="en-GB"/>
        </w:rPr>
        <w:t xml:space="preserve">tatement. </w:t>
      </w:r>
      <w:r w:rsidRPr="00600F65">
        <w:rPr>
          <w:lang w:val="en-GB"/>
        </w:rPr>
        <w:t>J</w:t>
      </w:r>
      <w:r w:rsidR="00D83A04">
        <w:rPr>
          <w:lang w:val="en-GB"/>
        </w:rPr>
        <w:t>.</w:t>
      </w:r>
      <w:r w:rsidRPr="00600F65">
        <w:rPr>
          <w:lang w:val="en-GB"/>
        </w:rPr>
        <w:t xml:space="preserve"> Clin Epidemiol</w:t>
      </w:r>
      <w:r>
        <w:rPr>
          <w:lang w:val="en-GB"/>
        </w:rPr>
        <w:t>.</w:t>
      </w:r>
      <w:r w:rsidRPr="00563AF8">
        <w:rPr>
          <w:lang w:val="en-GB"/>
        </w:rPr>
        <w:t xml:space="preserve"> </w:t>
      </w:r>
      <w:r w:rsidRPr="00600F65">
        <w:rPr>
          <w:lang w:val="en-GB"/>
        </w:rPr>
        <w:t>75</w:t>
      </w:r>
      <w:r w:rsidR="00D83A04">
        <w:rPr>
          <w:lang w:val="en-GB"/>
        </w:rPr>
        <w:t xml:space="preserve">, </w:t>
      </w:r>
      <w:r w:rsidRPr="00563AF8">
        <w:rPr>
          <w:lang w:val="en-GB"/>
        </w:rPr>
        <w:t>40–</w:t>
      </w:r>
      <w:r w:rsidR="00D83A04">
        <w:rPr>
          <w:lang w:val="en-GB"/>
        </w:rPr>
        <w:t>4</w:t>
      </w:r>
      <w:r w:rsidRPr="00563AF8">
        <w:rPr>
          <w:lang w:val="en-GB"/>
        </w:rPr>
        <w:t>6.</w:t>
      </w:r>
      <w:r w:rsidR="00D83A04">
        <w:rPr>
          <w:lang w:val="en-GB"/>
        </w:rPr>
        <w:t xml:space="preserve"> </w:t>
      </w:r>
      <w:r w:rsidR="00D83A04" w:rsidRPr="00D83A04">
        <w:rPr>
          <w:lang w:val="en-GB"/>
        </w:rPr>
        <w:t>https://doi.org/10.1016/j.jclinepi.2016.01.021</w:t>
      </w:r>
      <w:r w:rsidR="00D83A04">
        <w:rPr>
          <w:lang w:val="en-GB"/>
        </w:rPr>
        <w:t>.</w:t>
      </w:r>
    </w:p>
    <w:p w14:paraId="6BA40B9E" w14:textId="54D06DB9" w:rsidR="005D09CF" w:rsidRDefault="005D09CF" w:rsidP="005D09CF">
      <w:pPr>
        <w:pStyle w:val="Bibliography"/>
        <w:tabs>
          <w:tab w:val="clear" w:pos="260"/>
        </w:tabs>
        <w:spacing w:after="0" w:line="480" w:lineRule="auto"/>
        <w:ind w:left="567" w:hanging="567"/>
      </w:pPr>
      <w:r w:rsidRPr="00C16C35">
        <w:lastRenderedPageBreak/>
        <w:t>Muthen</w:t>
      </w:r>
      <w:r w:rsidR="00683B22">
        <w:t>,</w:t>
      </w:r>
      <w:r w:rsidRPr="00C16C35">
        <w:t xml:space="preserve"> L</w:t>
      </w:r>
      <w:r w:rsidR="00683B22">
        <w:t>.</w:t>
      </w:r>
      <w:r w:rsidRPr="00C16C35">
        <w:t>, Muthen</w:t>
      </w:r>
      <w:r w:rsidR="00683B22">
        <w:t>,</w:t>
      </w:r>
      <w:r w:rsidRPr="00C16C35">
        <w:t xml:space="preserve"> B</w:t>
      </w:r>
      <w:r w:rsidR="00683B22">
        <w:t>.,</w:t>
      </w:r>
      <w:r>
        <w:t xml:space="preserve"> 2017</w:t>
      </w:r>
      <w:r w:rsidRPr="00C16C35">
        <w:t>. Mplus statistical analysis with latent variables</w:t>
      </w:r>
      <w:r w:rsidR="00683B22">
        <w:t>.</w:t>
      </w:r>
      <w:r>
        <w:t xml:space="preserve"> </w:t>
      </w:r>
      <w:r w:rsidR="00683B22" w:rsidRPr="00C16C35">
        <w:t>https://www.statmodel.com/download/ usersguide/MplusUserGuideVer_8.pdf</w:t>
      </w:r>
      <w:r w:rsidR="00683B22">
        <w:t xml:space="preserve"> (accessed</w:t>
      </w:r>
      <w:r>
        <w:t xml:space="preserve"> </w:t>
      </w:r>
      <w:r w:rsidR="00683B22">
        <w:t xml:space="preserve">28 </w:t>
      </w:r>
      <w:r>
        <w:t>Feb</w:t>
      </w:r>
      <w:r w:rsidR="00683B22">
        <w:t xml:space="preserve">ruary </w:t>
      </w:r>
      <w:r>
        <w:t>2024</w:t>
      </w:r>
      <w:r w:rsidR="00683B22">
        <w:t>)</w:t>
      </w:r>
      <w:r w:rsidRPr="00C16C35">
        <w:t xml:space="preserve">. </w:t>
      </w:r>
    </w:p>
    <w:p w14:paraId="44417510" w14:textId="77777777" w:rsidR="00551FC3" w:rsidRDefault="005D09CF" w:rsidP="00551FC3">
      <w:pPr>
        <w:spacing w:line="480" w:lineRule="auto"/>
        <w:rPr>
          <w:lang w:val="en-GB"/>
        </w:rPr>
      </w:pPr>
      <w:r w:rsidRPr="00563AF8">
        <w:rPr>
          <w:lang w:val="en-GB"/>
        </w:rPr>
        <w:t>Nederhof</w:t>
      </w:r>
      <w:r w:rsidR="00551FC3">
        <w:rPr>
          <w:lang w:val="en-GB"/>
        </w:rPr>
        <w:t>,</w:t>
      </w:r>
      <w:r w:rsidRPr="00563AF8">
        <w:rPr>
          <w:lang w:val="en-GB"/>
        </w:rPr>
        <w:t xml:space="preserve"> A</w:t>
      </w:r>
      <w:r w:rsidR="00551FC3">
        <w:rPr>
          <w:lang w:val="en-GB"/>
        </w:rPr>
        <w:t>.</w:t>
      </w:r>
      <w:r w:rsidRPr="00563AF8">
        <w:rPr>
          <w:lang w:val="en-GB"/>
        </w:rPr>
        <w:t>J.</w:t>
      </w:r>
      <w:r w:rsidR="00551FC3">
        <w:rPr>
          <w:lang w:val="en-GB"/>
        </w:rPr>
        <w:t>, 1985.</w:t>
      </w:r>
      <w:r w:rsidRPr="00563AF8">
        <w:rPr>
          <w:lang w:val="en-GB"/>
        </w:rPr>
        <w:t xml:space="preserve"> Methods of coping with social desirability bias: A review. </w:t>
      </w:r>
      <w:r w:rsidRPr="00600F65">
        <w:rPr>
          <w:lang w:val="en-GB"/>
        </w:rPr>
        <w:t>Eur</w:t>
      </w:r>
      <w:r w:rsidR="00551FC3">
        <w:rPr>
          <w:lang w:val="en-GB"/>
        </w:rPr>
        <w:t>.</w:t>
      </w:r>
      <w:r w:rsidRPr="00600F65">
        <w:rPr>
          <w:lang w:val="en-GB"/>
        </w:rPr>
        <w:t xml:space="preserve"> J</w:t>
      </w:r>
      <w:r w:rsidR="00551FC3">
        <w:rPr>
          <w:lang w:val="en-GB"/>
        </w:rPr>
        <w:t>.</w:t>
      </w:r>
      <w:r w:rsidRPr="00600F65">
        <w:rPr>
          <w:lang w:val="en-GB"/>
        </w:rPr>
        <w:t xml:space="preserve"> Soc</w:t>
      </w:r>
      <w:r w:rsidR="00551FC3">
        <w:rPr>
          <w:lang w:val="en-GB"/>
        </w:rPr>
        <w:t>.</w:t>
      </w:r>
      <w:r w:rsidRPr="00600F65">
        <w:rPr>
          <w:lang w:val="en-GB"/>
        </w:rPr>
        <w:t xml:space="preserve"> </w:t>
      </w:r>
    </w:p>
    <w:p w14:paraId="48D96EE3" w14:textId="6B7A0C94" w:rsidR="005D09CF" w:rsidRPr="007346D1" w:rsidRDefault="005D09CF" w:rsidP="00551FC3">
      <w:pPr>
        <w:spacing w:line="480" w:lineRule="auto"/>
        <w:ind w:firstLine="567"/>
        <w:rPr>
          <w:lang w:val="en-GB"/>
        </w:rPr>
      </w:pPr>
      <w:r w:rsidRPr="007346D1">
        <w:rPr>
          <w:lang w:val="en-GB"/>
        </w:rPr>
        <w:t>Psychol. 15</w:t>
      </w:r>
      <w:r w:rsidR="00551FC3" w:rsidRPr="007346D1">
        <w:rPr>
          <w:lang w:val="en-GB"/>
        </w:rPr>
        <w:t xml:space="preserve">, </w:t>
      </w:r>
      <w:r w:rsidRPr="007346D1">
        <w:rPr>
          <w:lang w:val="en-GB"/>
        </w:rPr>
        <w:t>263–</w:t>
      </w:r>
      <w:r w:rsidR="00551FC3" w:rsidRPr="007346D1">
        <w:rPr>
          <w:lang w:val="en-GB"/>
        </w:rPr>
        <w:t>2</w:t>
      </w:r>
      <w:r w:rsidRPr="007346D1">
        <w:rPr>
          <w:lang w:val="en-GB"/>
        </w:rPr>
        <w:t>80.</w:t>
      </w:r>
      <w:r w:rsidR="00551FC3" w:rsidRPr="007346D1">
        <w:rPr>
          <w:lang w:val="en-GB"/>
        </w:rPr>
        <w:t xml:space="preserve"> https://doi.org/10.1002/ejsp.2420150303.</w:t>
      </w:r>
    </w:p>
    <w:p w14:paraId="49F33941" w14:textId="77777777" w:rsidR="006A28B9" w:rsidRDefault="005D09CF" w:rsidP="00551FC3">
      <w:pPr>
        <w:pStyle w:val="Bibliography"/>
        <w:tabs>
          <w:tab w:val="clear" w:pos="260"/>
        </w:tabs>
        <w:spacing w:after="0" w:line="480" w:lineRule="auto"/>
        <w:ind w:left="0" w:firstLine="0"/>
        <w:rPr>
          <w:lang w:val="en-GB"/>
        </w:rPr>
      </w:pPr>
      <w:r w:rsidRPr="00563AF8">
        <w:rPr>
          <w:lang w:val="en-GB"/>
        </w:rPr>
        <w:t>Negeri</w:t>
      </w:r>
      <w:r w:rsidR="00551FC3">
        <w:rPr>
          <w:lang w:val="en-GB"/>
        </w:rPr>
        <w:t>,</w:t>
      </w:r>
      <w:r w:rsidRPr="00563AF8">
        <w:rPr>
          <w:lang w:val="en-GB"/>
        </w:rPr>
        <w:t xml:space="preserve"> Z</w:t>
      </w:r>
      <w:r w:rsidR="00551FC3">
        <w:rPr>
          <w:lang w:val="en-GB"/>
        </w:rPr>
        <w:t>.</w:t>
      </w:r>
      <w:r w:rsidRPr="00563AF8">
        <w:rPr>
          <w:lang w:val="en-GB"/>
        </w:rPr>
        <w:t>F</w:t>
      </w:r>
      <w:r w:rsidR="00551FC3">
        <w:rPr>
          <w:lang w:val="en-GB"/>
        </w:rPr>
        <w:t>.</w:t>
      </w:r>
      <w:r w:rsidRPr="00563AF8">
        <w:rPr>
          <w:lang w:val="en-GB"/>
        </w:rPr>
        <w:t>, Levis</w:t>
      </w:r>
      <w:r w:rsidR="00551FC3">
        <w:rPr>
          <w:lang w:val="en-GB"/>
        </w:rPr>
        <w:t>,</w:t>
      </w:r>
      <w:r w:rsidRPr="00563AF8">
        <w:rPr>
          <w:lang w:val="en-GB"/>
        </w:rPr>
        <w:t xml:space="preserve"> B</w:t>
      </w:r>
      <w:r w:rsidR="00551FC3">
        <w:rPr>
          <w:lang w:val="en-GB"/>
        </w:rPr>
        <w:t>.</w:t>
      </w:r>
      <w:r w:rsidRPr="00563AF8">
        <w:rPr>
          <w:lang w:val="en-GB"/>
        </w:rPr>
        <w:t>, Sun</w:t>
      </w:r>
      <w:r w:rsidR="00551FC3">
        <w:rPr>
          <w:lang w:val="en-GB"/>
        </w:rPr>
        <w:t>,</w:t>
      </w:r>
      <w:r w:rsidRPr="00563AF8">
        <w:rPr>
          <w:lang w:val="en-GB"/>
        </w:rPr>
        <w:t xml:space="preserve"> Y</w:t>
      </w:r>
      <w:r w:rsidR="00551FC3">
        <w:rPr>
          <w:lang w:val="en-GB"/>
        </w:rPr>
        <w:t>.</w:t>
      </w:r>
      <w:r w:rsidRPr="00563AF8">
        <w:rPr>
          <w:lang w:val="en-GB"/>
        </w:rPr>
        <w:t xml:space="preserve">, </w:t>
      </w:r>
      <w:r>
        <w:rPr>
          <w:lang w:val="en-GB"/>
        </w:rPr>
        <w:t>He</w:t>
      </w:r>
      <w:r w:rsidR="00551FC3">
        <w:rPr>
          <w:lang w:val="en-GB"/>
        </w:rPr>
        <w:t>,</w:t>
      </w:r>
      <w:r>
        <w:rPr>
          <w:lang w:val="en-GB"/>
        </w:rPr>
        <w:t xml:space="preserve"> C</w:t>
      </w:r>
      <w:r w:rsidR="00551FC3">
        <w:rPr>
          <w:lang w:val="en-GB"/>
        </w:rPr>
        <w:t>.</w:t>
      </w:r>
      <w:r>
        <w:rPr>
          <w:lang w:val="en-GB"/>
        </w:rPr>
        <w:t>, Krishnan</w:t>
      </w:r>
      <w:r w:rsidR="00551FC3">
        <w:rPr>
          <w:lang w:val="en-GB"/>
        </w:rPr>
        <w:t>,</w:t>
      </w:r>
      <w:r>
        <w:rPr>
          <w:lang w:val="en-GB"/>
        </w:rPr>
        <w:t xml:space="preserve"> A</w:t>
      </w:r>
      <w:r w:rsidR="00551FC3">
        <w:rPr>
          <w:lang w:val="en-GB"/>
        </w:rPr>
        <w:t>.</w:t>
      </w:r>
      <w:r>
        <w:rPr>
          <w:lang w:val="en-GB"/>
        </w:rPr>
        <w:t>, Wu</w:t>
      </w:r>
      <w:r w:rsidR="00551FC3">
        <w:rPr>
          <w:lang w:val="en-GB"/>
        </w:rPr>
        <w:t>,</w:t>
      </w:r>
      <w:r>
        <w:rPr>
          <w:lang w:val="en-GB"/>
        </w:rPr>
        <w:t xml:space="preserve"> Y</w:t>
      </w:r>
      <w:r w:rsidR="00551FC3">
        <w:rPr>
          <w:lang w:val="en-GB"/>
        </w:rPr>
        <w:t>.</w:t>
      </w:r>
      <w:r>
        <w:rPr>
          <w:lang w:val="en-GB"/>
        </w:rPr>
        <w:t xml:space="preserve">, </w:t>
      </w:r>
      <w:r w:rsidRPr="00600F65">
        <w:rPr>
          <w:lang w:val="en-GB"/>
        </w:rPr>
        <w:t>et al</w:t>
      </w:r>
      <w:r w:rsidRPr="00563AF8">
        <w:rPr>
          <w:i/>
          <w:iCs/>
          <w:lang w:val="en-GB"/>
        </w:rPr>
        <w:t>.</w:t>
      </w:r>
      <w:r w:rsidR="00551FC3">
        <w:rPr>
          <w:lang w:val="en-GB"/>
        </w:rPr>
        <w:t xml:space="preserve">, </w:t>
      </w:r>
      <w:r w:rsidR="006A28B9">
        <w:rPr>
          <w:lang w:val="en-GB"/>
        </w:rPr>
        <w:t>2021.</w:t>
      </w:r>
      <w:r w:rsidRPr="00563AF8">
        <w:rPr>
          <w:lang w:val="en-GB"/>
        </w:rPr>
        <w:t xml:space="preserve"> Accuracy of the </w:t>
      </w:r>
    </w:p>
    <w:p w14:paraId="1BE94068" w14:textId="62289544" w:rsidR="005D09CF" w:rsidRPr="00563AF8" w:rsidRDefault="005D09CF" w:rsidP="006A28B9">
      <w:pPr>
        <w:pStyle w:val="Bibliography"/>
        <w:tabs>
          <w:tab w:val="clear" w:pos="260"/>
        </w:tabs>
        <w:spacing w:after="0" w:line="480" w:lineRule="auto"/>
        <w:ind w:left="567" w:firstLine="0"/>
        <w:rPr>
          <w:lang w:val="en-GB"/>
        </w:rPr>
      </w:pPr>
      <w:r w:rsidRPr="00563AF8">
        <w:rPr>
          <w:lang w:val="en-GB"/>
        </w:rPr>
        <w:t xml:space="preserve">Patient Health Questionnaire-9 for screening to detect major depression: updated systematic review and individual participant data meta-analysis. </w:t>
      </w:r>
      <w:r w:rsidRPr="00600F65">
        <w:rPr>
          <w:lang w:val="en-GB"/>
        </w:rPr>
        <w:t>BMJ</w:t>
      </w:r>
      <w:r>
        <w:rPr>
          <w:lang w:val="en-GB"/>
        </w:rPr>
        <w:t>.</w:t>
      </w:r>
      <w:r w:rsidRPr="00563AF8">
        <w:rPr>
          <w:lang w:val="en-GB"/>
        </w:rPr>
        <w:t xml:space="preserve"> </w:t>
      </w:r>
      <w:r w:rsidRPr="00600F65">
        <w:rPr>
          <w:lang w:val="en-GB"/>
        </w:rPr>
        <w:t>375</w:t>
      </w:r>
      <w:r w:rsidR="006A28B9">
        <w:rPr>
          <w:lang w:val="en-GB"/>
        </w:rPr>
        <w:t xml:space="preserve">, </w:t>
      </w:r>
      <w:r w:rsidRPr="00563AF8">
        <w:rPr>
          <w:lang w:val="en-GB"/>
        </w:rPr>
        <w:t>n2183.</w:t>
      </w:r>
      <w:r w:rsidR="006A28B9">
        <w:rPr>
          <w:lang w:val="en-GB"/>
        </w:rPr>
        <w:t xml:space="preserve"> </w:t>
      </w:r>
      <w:r w:rsidR="006A28B9" w:rsidRPr="006A28B9">
        <w:rPr>
          <w:lang w:val="en-GB"/>
        </w:rPr>
        <w:t>https://doi.org/10.1136/bmj.n2183</w:t>
      </w:r>
      <w:r w:rsidR="006A28B9">
        <w:rPr>
          <w:lang w:val="en-GB"/>
        </w:rPr>
        <w:t>.</w:t>
      </w:r>
    </w:p>
    <w:p w14:paraId="6CA828B7" w14:textId="631EBA40" w:rsidR="005D09CF" w:rsidRPr="00563AF8" w:rsidRDefault="005D09CF" w:rsidP="005D09CF">
      <w:pPr>
        <w:pStyle w:val="Bibliography"/>
        <w:tabs>
          <w:tab w:val="clear" w:pos="260"/>
        </w:tabs>
        <w:spacing w:after="0" w:line="480" w:lineRule="auto"/>
        <w:ind w:left="567" w:hanging="567"/>
        <w:rPr>
          <w:lang w:val="en-GB"/>
        </w:rPr>
      </w:pPr>
      <w:r w:rsidRPr="00563AF8">
        <w:rPr>
          <w:lang w:val="en-GB"/>
        </w:rPr>
        <w:t>Rice</w:t>
      </w:r>
      <w:r w:rsidR="006A28B9">
        <w:rPr>
          <w:lang w:val="en-GB"/>
        </w:rPr>
        <w:t>,</w:t>
      </w:r>
      <w:r w:rsidRPr="00563AF8">
        <w:rPr>
          <w:lang w:val="en-GB"/>
        </w:rPr>
        <w:t xml:space="preserve"> D</w:t>
      </w:r>
      <w:r w:rsidR="006A28B9">
        <w:rPr>
          <w:lang w:val="en-GB"/>
        </w:rPr>
        <w:t>.</w:t>
      </w:r>
      <w:r w:rsidRPr="00563AF8">
        <w:rPr>
          <w:lang w:val="en-GB"/>
        </w:rPr>
        <w:t>B</w:t>
      </w:r>
      <w:r w:rsidR="006A28B9">
        <w:rPr>
          <w:lang w:val="en-GB"/>
        </w:rPr>
        <w:t>.</w:t>
      </w:r>
      <w:r w:rsidRPr="00563AF8">
        <w:rPr>
          <w:lang w:val="en-GB"/>
        </w:rPr>
        <w:t>, Thombs</w:t>
      </w:r>
      <w:r w:rsidR="006A28B9">
        <w:rPr>
          <w:lang w:val="en-GB"/>
        </w:rPr>
        <w:t>,</w:t>
      </w:r>
      <w:r w:rsidRPr="00563AF8">
        <w:rPr>
          <w:lang w:val="en-GB"/>
        </w:rPr>
        <w:t xml:space="preserve"> B</w:t>
      </w:r>
      <w:r w:rsidR="006A28B9">
        <w:rPr>
          <w:lang w:val="en-GB"/>
        </w:rPr>
        <w:t>.</w:t>
      </w:r>
      <w:r w:rsidRPr="00563AF8">
        <w:rPr>
          <w:lang w:val="en-GB"/>
        </w:rPr>
        <w:t>D.</w:t>
      </w:r>
      <w:r w:rsidR="006A28B9">
        <w:rPr>
          <w:lang w:val="en-GB"/>
        </w:rPr>
        <w:t>, 2016.</w:t>
      </w:r>
      <w:r w:rsidRPr="00563AF8">
        <w:rPr>
          <w:lang w:val="en-GB"/>
        </w:rPr>
        <w:t xml:space="preserve"> Risk of </w:t>
      </w:r>
      <w:r>
        <w:rPr>
          <w:lang w:val="en-GB"/>
        </w:rPr>
        <w:t>b</w:t>
      </w:r>
      <w:r w:rsidRPr="00563AF8">
        <w:rPr>
          <w:lang w:val="en-GB"/>
        </w:rPr>
        <w:t xml:space="preserve">ias from </w:t>
      </w:r>
      <w:r>
        <w:rPr>
          <w:lang w:val="en-GB"/>
        </w:rPr>
        <w:t>i</w:t>
      </w:r>
      <w:r w:rsidRPr="00563AF8">
        <w:rPr>
          <w:lang w:val="en-GB"/>
        </w:rPr>
        <w:t xml:space="preserve">nclusion of </w:t>
      </w:r>
      <w:r>
        <w:rPr>
          <w:lang w:val="en-GB"/>
        </w:rPr>
        <w:t>c</w:t>
      </w:r>
      <w:r w:rsidRPr="00563AF8">
        <w:rPr>
          <w:lang w:val="en-GB"/>
        </w:rPr>
        <w:t xml:space="preserve">urrently </w:t>
      </w:r>
      <w:r>
        <w:rPr>
          <w:lang w:val="en-GB"/>
        </w:rPr>
        <w:t>d</w:t>
      </w:r>
      <w:r w:rsidRPr="00563AF8">
        <w:rPr>
          <w:lang w:val="en-GB"/>
        </w:rPr>
        <w:t xml:space="preserve">iagnosed or </w:t>
      </w:r>
      <w:r>
        <w:rPr>
          <w:lang w:val="en-GB"/>
        </w:rPr>
        <w:t>t</w:t>
      </w:r>
      <w:r w:rsidRPr="00563AF8">
        <w:rPr>
          <w:lang w:val="en-GB"/>
        </w:rPr>
        <w:t xml:space="preserve">reated </w:t>
      </w:r>
      <w:r>
        <w:rPr>
          <w:lang w:val="en-GB"/>
        </w:rPr>
        <w:t>p</w:t>
      </w:r>
      <w:r w:rsidRPr="00563AF8">
        <w:rPr>
          <w:lang w:val="en-GB"/>
        </w:rPr>
        <w:t xml:space="preserve">atients in </w:t>
      </w:r>
      <w:r>
        <w:rPr>
          <w:lang w:val="en-GB"/>
        </w:rPr>
        <w:t>s</w:t>
      </w:r>
      <w:r w:rsidRPr="00563AF8">
        <w:rPr>
          <w:lang w:val="en-GB"/>
        </w:rPr>
        <w:t xml:space="preserve">tudies of </w:t>
      </w:r>
      <w:r>
        <w:rPr>
          <w:lang w:val="en-GB"/>
        </w:rPr>
        <w:t>d</w:t>
      </w:r>
      <w:r w:rsidRPr="00563AF8">
        <w:rPr>
          <w:lang w:val="en-GB"/>
        </w:rPr>
        <w:t xml:space="preserve">epression </w:t>
      </w:r>
      <w:r>
        <w:rPr>
          <w:lang w:val="en-GB"/>
        </w:rPr>
        <w:t>s</w:t>
      </w:r>
      <w:r w:rsidRPr="00563AF8">
        <w:rPr>
          <w:lang w:val="en-GB"/>
        </w:rPr>
        <w:t xml:space="preserve">creening </w:t>
      </w:r>
      <w:r>
        <w:rPr>
          <w:lang w:val="en-GB"/>
        </w:rPr>
        <w:t>t</w:t>
      </w:r>
      <w:r w:rsidRPr="00563AF8">
        <w:rPr>
          <w:lang w:val="en-GB"/>
        </w:rPr>
        <w:t xml:space="preserve">ool </w:t>
      </w:r>
      <w:r>
        <w:rPr>
          <w:lang w:val="en-GB"/>
        </w:rPr>
        <w:t>a</w:t>
      </w:r>
      <w:r w:rsidRPr="00563AF8">
        <w:rPr>
          <w:lang w:val="en-GB"/>
        </w:rPr>
        <w:t xml:space="preserve">ccuracy: </w:t>
      </w:r>
      <w:r>
        <w:rPr>
          <w:lang w:val="en-GB"/>
        </w:rPr>
        <w:t>a</w:t>
      </w:r>
      <w:r w:rsidRPr="00563AF8">
        <w:rPr>
          <w:lang w:val="en-GB"/>
        </w:rPr>
        <w:t xml:space="preserve"> </w:t>
      </w:r>
      <w:r>
        <w:rPr>
          <w:lang w:val="en-GB"/>
        </w:rPr>
        <w:t>c</w:t>
      </w:r>
      <w:r w:rsidRPr="00563AF8">
        <w:rPr>
          <w:lang w:val="en-GB"/>
        </w:rPr>
        <w:t>ross-</w:t>
      </w:r>
      <w:r>
        <w:rPr>
          <w:lang w:val="en-GB"/>
        </w:rPr>
        <w:t>s</w:t>
      </w:r>
      <w:r w:rsidRPr="00563AF8">
        <w:rPr>
          <w:lang w:val="en-GB"/>
        </w:rPr>
        <w:t xml:space="preserve">ectional </w:t>
      </w:r>
      <w:r>
        <w:rPr>
          <w:lang w:val="en-GB"/>
        </w:rPr>
        <w:t>a</w:t>
      </w:r>
      <w:r w:rsidRPr="00563AF8">
        <w:rPr>
          <w:lang w:val="en-GB"/>
        </w:rPr>
        <w:t xml:space="preserve">nalysis of </w:t>
      </w:r>
      <w:r>
        <w:rPr>
          <w:lang w:val="en-GB"/>
        </w:rPr>
        <w:t>r</w:t>
      </w:r>
      <w:r w:rsidRPr="00563AF8">
        <w:rPr>
          <w:lang w:val="en-GB"/>
        </w:rPr>
        <w:t xml:space="preserve">ecently </w:t>
      </w:r>
      <w:r>
        <w:rPr>
          <w:lang w:val="en-GB"/>
        </w:rPr>
        <w:t>p</w:t>
      </w:r>
      <w:r w:rsidRPr="00563AF8">
        <w:rPr>
          <w:lang w:val="en-GB"/>
        </w:rPr>
        <w:t xml:space="preserve">ublished </w:t>
      </w:r>
      <w:r>
        <w:rPr>
          <w:lang w:val="en-GB"/>
        </w:rPr>
        <w:t>p</w:t>
      </w:r>
      <w:r w:rsidRPr="00563AF8">
        <w:rPr>
          <w:lang w:val="en-GB"/>
        </w:rPr>
        <w:t xml:space="preserve">rimary </w:t>
      </w:r>
      <w:r>
        <w:rPr>
          <w:lang w:val="en-GB"/>
        </w:rPr>
        <w:t>s</w:t>
      </w:r>
      <w:r w:rsidRPr="00563AF8">
        <w:rPr>
          <w:lang w:val="en-GB"/>
        </w:rPr>
        <w:t xml:space="preserve">tudies and </w:t>
      </w:r>
      <w:r>
        <w:rPr>
          <w:lang w:val="en-GB"/>
        </w:rPr>
        <w:t>m</w:t>
      </w:r>
      <w:r w:rsidRPr="00563AF8">
        <w:rPr>
          <w:lang w:val="en-GB"/>
        </w:rPr>
        <w:t>eta-</w:t>
      </w:r>
      <w:r>
        <w:rPr>
          <w:lang w:val="en-GB"/>
        </w:rPr>
        <w:t>a</w:t>
      </w:r>
      <w:r w:rsidRPr="00563AF8">
        <w:rPr>
          <w:lang w:val="en-GB"/>
        </w:rPr>
        <w:t xml:space="preserve">nalyses. </w:t>
      </w:r>
      <w:r w:rsidRPr="00600F65">
        <w:rPr>
          <w:lang w:val="en-GB"/>
        </w:rPr>
        <w:t>PLOS ONE</w:t>
      </w:r>
      <w:r>
        <w:rPr>
          <w:lang w:val="en-GB"/>
        </w:rPr>
        <w:t>.</w:t>
      </w:r>
      <w:r w:rsidRPr="00563AF8">
        <w:rPr>
          <w:lang w:val="en-GB"/>
        </w:rPr>
        <w:t xml:space="preserve"> </w:t>
      </w:r>
      <w:r w:rsidRPr="00600F65">
        <w:rPr>
          <w:lang w:val="en-GB"/>
        </w:rPr>
        <w:t>11</w:t>
      </w:r>
      <w:r w:rsidR="006A28B9">
        <w:rPr>
          <w:lang w:val="en-GB"/>
        </w:rPr>
        <w:t xml:space="preserve">, </w:t>
      </w:r>
      <w:r w:rsidRPr="00563AF8">
        <w:rPr>
          <w:lang w:val="en-GB"/>
        </w:rPr>
        <w:t>e0150067.</w:t>
      </w:r>
      <w:r w:rsidR="006A28B9">
        <w:rPr>
          <w:lang w:val="en-GB"/>
        </w:rPr>
        <w:t xml:space="preserve"> </w:t>
      </w:r>
      <w:r w:rsidR="006A28B9" w:rsidRPr="006A28B9">
        <w:rPr>
          <w:lang w:val="en-GB"/>
        </w:rPr>
        <w:t>https://doi.org/10.1371/journal.pone.0150067</w:t>
      </w:r>
      <w:r w:rsidR="006A28B9">
        <w:rPr>
          <w:lang w:val="en-GB"/>
        </w:rPr>
        <w:t>.</w:t>
      </w:r>
    </w:p>
    <w:p w14:paraId="44242666" w14:textId="77777777" w:rsidR="008C5C3A" w:rsidRDefault="005D09CF" w:rsidP="008C5C3A">
      <w:pPr>
        <w:spacing w:line="480" w:lineRule="auto"/>
        <w:rPr>
          <w:lang w:val="en-GB"/>
        </w:rPr>
      </w:pPr>
      <w:r w:rsidRPr="00563AF8">
        <w:rPr>
          <w:lang w:val="en-GB"/>
        </w:rPr>
        <w:t>Riley</w:t>
      </w:r>
      <w:r w:rsidR="008C5C3A">
        <w:rPr>
          <w:lang w:val="en-GB"/>
        </w:rPr>
        <w:t>,</w:t>
      </w:r>
      <w:r w:rsidRPr="00563AF8">
        <w:rPr>
          <w:lang w:val="en-GB"/>
        </w:rPr>
        <w:t xml:space="preserve"> R</w:t>
      </w:r>
      <w:r w:rsidR="008C5C3A">
        <w:rPr>
          <w:lang w:val="en-GB"/>
        </w:rPr>
        <w:t>.</w:t>
      </w:r>
      <w:r w:rsidRPr="00563AF8">
        <w:rPr>
          <w:lang w:val="en-GB"/>
        </w:rPr>
        <w:t>D</w:t>
      </w:r>
      <w:r w:rsidR="008C5C3A">
        <w:rPr>
          <w:lang w:val="en-GB"/>
        </w:rPr>
        <w:t>.</w:t>
      </w:r>
      <w:r w:rsidRPr="00563AF8">
        <w:rPr>
          <w:lang w:val="en-GB"/>
        </w:rPr>
        <w:t>, Lambert</w:t>
      </w:r>
      <w:r w:rsidR="008C5C3A">
        <w:rPr>
          <w:lang w:val="en-GB"/>
        </w:rPr>
        <w:t>,</w:t>
      </w:r>
      <w:r w:rsidRPr="00563AF8">
        <w:rPr>
          <w:lang w:val="en-GB"/>
        </w:rPr>
        <w:t xml:space="preserve"> P</w:t>
      </w:r>
      <w:r w:rsidR="008C5C3A">
        <w:rPr>
          <w:lang w:val="en-GB"/>
        </w:rPr>
        <w:t>.</w:t>
      </w:r>
      <w:r w:rsidRPr="00563AF8">
        <w:rPr>
          <w:lang w:val="en-GB"/>
        </w:rPr>
        <w:t>C</w:t>
      </w:r>
      <w:r w:rsidR="008C5C3A">
        <w:rPr>
          <w:lang w:val="en-GB"/>
        </w:rPr>
        <w:t>.</w:t>
      </w:r>
      <w:r w:rsidRPr="00563AF8">
        <w:rPr>
          <w:lang w:val="en-GB"/>
        </w:rPr>
        <w:t>, Abo-Zaid</w:t>
      </w:r>
      <w:r w:rsidR="008C5C3A">
        <w:rPr>
          <w:lang w:val="en-GB"/>
        </w:rPr>
        <w:t>,</w:t>
      </w:r>
      <w:r w:rsidRPr="00563AF8">
        <w:rPr>
          <w:lang w:val="en-GB"/>
        </w:rPr>
        <w:t xml:space="preserve"> G.</w:t>
      </w:r>
      <w:r w:rsidR="008C5C3A">
        <w:rPr>
          <w:lang w:val="en-GB"/>
        </w:rPr>
        <w:t>, 2010.</w:t>
      </w:r>
      <w:r w:rsidRPr="00563AF8">
        <w:rPr>
          <w:lang w:val="en-GB"/>
        </w:rPr>
        <w:t xml:space="preserve"> Meta-analysis of individual participant data: </w:t>
      </w:r>
    </w:p>
    <w:p w14:paraId="601CADDF" w14:textId="1D21C3E9" w:rsidR="005D09CF" w:rsidRDefault="005D09CF" w:rsidP="008C5C3A">
      <w:pPr>
        <w:spacing w:line="480" w:lineRule="auto"/>
        <w:ind w:firstLine="567"/>
        <w:rPr>
          <w:lang w:val="en-GB"/>
        </w:rPr>
      </w:pPr>
      <w:r w:rsidRPr="00563AF8">
        <w:rPr>
          <w:lang w:val="en-GB"/>
        </w:rPr>
        <w:t xml:space="preserve">rationale, conduct, and reporting. </w:t>
      </w:r>
      <w:r w:rsidRPr="00600F65">
        <w:rPr>
          <w:lang w:val="en-GB"/>
        </w:rPr>
        <w:t>BMJ</w:t>
      </w:r>
      <w:r>
        <w:rPr>
          <w:lang w:val="en-GB"/>
        </w:rPr>
        <w:t>.</w:t>
      </w:r>
      <w:r w:rsidRPr="00563AF8">
        <w:rPr>
          <w:lang w:val="en-GB"/>
        </w:rPr>
        <w:t xml:space="preserve"> </w:t>
      </w:r>
      <w:r w:rsidRPr="00600F65">
        <w:rPr>
          <w:lang w:val="en-GB"/>
        </w:rPr>
        <w:t>340</w:t>
      </w:r>
      <w:r w:rsidR="008C5C3A">
        <w:rPr>
          <w:lang w:val="en-GB"/>
        </w:rPr>
        <w:t xml:space="preserve">, </w:t>
      </w:r>
      <w:r w:rsidRPr="002A126B">
        <w:rPr>
          <w:lang w:val="en-GB"/>
        </w:rPr>
        <w:t>c221.</w:t>
      </w:r>
      <w:r w:rsidR="008C5C3A">
        <w:rPr>
          <w:lang w:val="en-GB"/>
        </w:rPr>
        <w:t xml:space="preserve"> </w:t>
      </w:r>
      <w:r w:rsidR="008C5C3A" w:rsidRPr="008C5C3A">
        <w:rPr>
          <w:lang w:val="en-GB"/>
        </w:rPr>
        <w:t>https://doi.org/10.1136/bmj.c221</w:t>
      </w:r>
      <w:r w:rsidR="008C5C3A">
        <w:rPr>
          <w:lang w:val="en-GB"/>
        </w:rPr>
        <w:t>.</w:t>
      </w:r>
    </w:p>
    <w:p w14:paraId="4DA55171" w14:textId="73DCC5D3" w:rsidR="005D09CF" w:rsidRPr="00563AF8" w:rsidRDefault="005D09CF" w:rsidP="005D09CF">
      <w:pPr>
        <w:pStyle w:val="Bibliography"/>
        <w:tabs>
          <w:tab w:val="clear" w:pos="260"/>
        </w:tabs>
        <w:spacing w:after="0" w:line="480" w:lineRule="auto"/>
        <w:ind w:left="567" w:hanging="567"/>
        <w:rPr>
          <w:lang w:val="en-GB"/>
        </w:rPr>
      </w:pPr>
      <w:r w:rsidRPr="00563AF8">
        <w:rPr>
          <w:lang w:val="en-GB"/>
        </w:rPr>
        <w:t>Santomauro</w:t>
      </w:r>
      <w:r w:rsidR="008C5C3A">
        <w:rPr>
          <w:lang w:val="en-GB"/>
        </w:rPr>
        <w:t>,</w:t>
      </w:r>
      <w:r w:rsidRPr="00563AF8">
        <w:rPr>
          <w:lang w:val="en-GB"/>
        </w:rPr>
        <w:t xml:space="preserve"> D</w:t>
      </w:r>
      <w:r w:rsidR="008C5C3A">
        <w:rPr>
          <w:lang w:val="en-GB"/>
        </w:rPr>
        <w:t>.</w:t>
      </w:r>
      <w:r w:rsidRPr="00563AF8">
        <w:rPr>
          <w:lang w:val="en-GB"/>
        </w:rPr>
        <w:t>F</w:t>
      </w:r>
      <w:r w:rsidR="008C5C3A">
        <w:rPr>
          <w:lang w:val="en-GB"/>
        </w:rPr>
        <w:t>.</w:t>
      </w:r>
      <w:r w:rsidRPr="00563AF8">
        <w:rPr>
          <w:lang w:val="en-GB"/>
        </w:rPr>
        <w:t>,</w:t>
      </w:r>
      <w:r w:rsidR="008C5C3A">
        <w:rPr>
          <w:lang w:val="en-GB"/>
        </w:rPr>
        <w:t xml:space="preserve"> </w:t>
      </w:r>
      <w:r w:rsidRPr="00563AF8">
        <w:rPr>
          <w:lang w:val="en-GB"/>
        </w:rPr>
        <w:t>Herrera</w:t>
      </w:r>
      <w:r w:rsidR="008C5C3A">
        <w:rPr>
          <w:lang w:val="en-GB"/>
        </w:rPr>
        <w:t>,</w:t>
      </w:r>
      <w:r w:rsidRPr="00563AF8">
        <w:rPr>
          <w:lang w:val="en-GB"/>
        </w:rPr>
        <w:t xml:space="preserve"> A</w:t>
      </w:r>
      <w:r w:rsidR="008C5C3A">
        <w:rPr>
          <w:lang w:val="en-GB"/>
        </w:rPr>
        <w:t>.</w:t>
      </w:r>
      <w:r w:rsidRPr="00563AF8">
        <w:rPr>
          <w:lang w:val="en-GB"/>
        </w:rPr>
        <w:t>M</w:t>
      </w:r>
      <w:r w:rsidR="008C5C3A">
        <w:rPr>
          <w:lang w:val="en-GB"/>
        </w:rPr>
        <w:t>.M.</w:t>
      </w:r>
      <w:r w:rsidRPr="00563AF8">
        <w:rPr>
          <w:lang w:val="en-GB"/>
        </w:rPr>
        <w:t>, Shadid</w:t>
      </w:r>
      <w:r w:rsidR="008C5C3A">
        <w:rPr>
          <w:lang w:val="en-GB"/>
        </w:rPr>
        <w:t>,</w:t>
      </w:r>
      <w:r w:rsidRPr="00563AF8">
        <w:rPr>
          <w:lang w:val="en-GB"/>
        </w:rPr>
        <w:t xml:space="preserve"> J</w:t>
      </w:r>
      <w:r w:rsidR="008C5C3A">
        <w:rPr>
          <w:lang w:val="en-GB"/>
        </w:rPr>
        <w:t>.</w:t>
      </w:r>
      <w:r w:rsidRPr="00563AF8">
        <w:rPr>
          <w:lang w:val="en-GB"/>
        </w:rPr>
        <w:t xml:space="preserve">, </w:t>
      </w:r>
      <w:r>
        <w:rPr>
          <w:lang w:val="en-GB"/>
        </w:rPr>
        <w:t>Zheng</w:t>
      </w:r>
      <w:r w:rsidR="008C5C3A">
        <w:rPr>
          <w:lang w:val="en-GB"/>
        </w:rPr>
        <w:t>,</w:t>
      </w:r>
      <w:r>
        <w:rPr>
          <w:lang w:val="en-GB"/>
        </w:rPr>
        <w:t xml:space="preserve"> P</w:t>
      </w:r>
      <w:r w:rsidR="008C5C3A">
        <w:rPr>
          <w:lang w:val="en-GB"/>
        </w:rPr>
        <w:t>.</w:t>
      </w:r>
      <w:r>
        <w:rPr>
          <w:lang w:val="en-GB"/>
        </w:rPr>
        <w:t>, Ashbaugh</w:t>
      </w:r>
      <w:r w:rsidR="008C5C3A">
        <w:rPr>
          <w:lang w:val="en-GB"/>
        </w:rPr>
        <w:t>,</w:t>
      </w:r>
      <w:r>
        <w:rPr>
          <w:lang w:val="en-GB"/>
        </w:rPr>
        <w:t xml:space="preserve"> C</w:t>
      </w:r>
      <w:r w:rsidR="008C5C3A">
        <w:rPr>
          <w:lang w:val="en-GB"/>
        </w:rPr>
        <w:t>.</w:t>
      </w:r>
      <w:r>
        <w:rPr>
          <w:lang w:val="en-GB"/>
        </w:rPr>
        <w:t>, Pigott</w:t>
      </w:r>
      <w:r w:rsidR="008C5C3A">
        <w:rPr>
          <w:lang w:val="en-GB"/>
        </w:rPr>
        <w:t>,</w:t>
      </w:r>
      <w:r>
        <w:rPr>
          <w:lang w:val="en-GB"/>
        </w:rPr>
        <w:t xml:space="preserve"> D</w:t>
      </w:r>
      <w:r w:rsidR="008C5C3A">
        <w:rPr>
          <w:lang w:val="en-GB"/>
        </w:rPr>
        <w:t>.</w:t>
      </w:r>
      <w:r>
        <w:rPr>
          <w:lang w:val="en-GB"/>
        </w:rPr>
        <w:t>M</w:t>
      </w:r>
      <w:r w:rsidR="008C5C3A">
        <w:rPr>
          <w:lang w:val="en-GB"/>
        </w:rPr>
        <w:t>.</w:t>
      </w:r>
      <w:r>
        <w:rPr>
          <w:lang w:val="en-GB"/>
        </w:rPr>
        <w:t xml:space="preserve">, </w:t>
      </w:r>
      <w:r w:rsidRPr="00600F65">
        <w:rPr>
          <w:lang w:val="en-GB"/>
        </w:rPr>
        <w:t>et al</w:t>
      </w:r>
      <w:r w:rsidRPr="00563AF8">
        <w:rPr>
          <w:i/>
          <w:iCs/>
          <w:lang w:val="en-GB"/>
        </w:rPr>
        <w:t>.</w:t>
      </w:r>
      <w:r w:rsidR="008C5C3A">
        <w:rPr>
          <w:i/>
          <w:iCs/>
          <w:lang w:val="en-GB"/>
        </w:rPr>
        <w:t>,</w:t>
      </w:r>
      <w:r w:rsidR="00AC0DD6">
        <w:rPr>
          <w:lang w:val="en-GB"/>
        </w:rPr>
        <w:t xml:space="preserve"> </w:t>
      </w:r>
      <w:r w:rsidR="008C5C3A">
        <w:rPr>
          <w:lang w:val="en-GB"/>
        </w:rPr>
        <w:t>2021.</w:t>
      </w:r>
      <w:r w:rsidRPr="00563AF8">
        <w:rPr>
          <w:lang w:val="en-GB"/>
        </w:rPr>
        <w:t xml:space="preserve"> Global prevalence and burden of depressive and anxiety disorders in 204 countries and territories in 2020 due to the COVID-19 pandemic. </w:t>
      </w:r>
      <w:r w:rsidRPr="00600F65">
        <w:rPr>
          <w:lang w:val="en-GB"/>
        </w:rPr>
        <w:t>Lancet</w:t>
      </w:r>
      <w:r>
        <w:rPr>
          <w:lang w:val="en-GB"/>
        </w:rPr>
        <w:t>.</w:t>
      </w:r>
      <w:r w:rsidRPr="00563AF8">
        <w:rPr>
          <w:lang w:val="en-GB"/>
        </w:rPr>
        <w:t xml:space="preserve"> </w:t>
      </w:r>
      <w:r w:rsidR="00AC0DD6">
        <w:rPr>
          <w:lang w:val="en-GB"/>
        </w:rPr>
        <w:t>398, 1700-1712</w:t>
      </w:r>
      <w:r w:rsidRPr="00563AF8">
        <w:rPr>
          <w:lang w:val="en-GB"/>
        </w:rPr>
        <w:t>.</w:t>
      </w:r>
      <w:r w:rsidR="008C5C3A">
        <w:rPr>
          <w:lang w:val="en-GB"/>
        </w:rPr>
        <w:t xml:space="preserve"> </w:t>
      </w:r>
      <w:r w:rsidR="008C5C3A" w:rsidRPr="008C5C3A">
        <w:rPr>
          <w:lang w:val="en-GB"/>
        </w:rPr>
        <w:t>https://doi.org/10.1016/S0140-6736(21)02143-7</w:t>
      </w:r>
      <w:r w:rsidR="008C5C3A">
        <w:rPr>
          <w:lang w:val="en-GB"/>
        </w:rPr>
        <w:t>.</w:t>
      </w:r>
    </w:p>
    <w:p w14:paraId="33F6C90B" w14:textId="2BBB83A2" w:rsidR="005D09CF" w:rsidRPr="00235A73" w:rsidRDefault="005D09CF" w:rsidP="005D09CF">
      <w:pPr>
        <w:pStyle w:val="Bibliography"/>
        <w:tabs>
          <w:tab w:val="clear" w:pos="260"/>
        </w:tabs>
        <w:spacing w:after="0" w:line="480" w:lineRule="auto"/>
        <w:ind w:left="567" w:hanging="567"/>
        <w:rPr>
          <w:lang w:val="en-CA"/>
        </w:rPr>
      </w:pPr>
      <w:r w:rsidRPr="00600F65">
        <w:rPr>
          <w:lang w:val="en-CA"/>
        </w:rPr>
        <w:t>Tasca</w:t>
      </w:r>
      <w:r w:rsidR="00AC0DD6">
        <w:rPr>
          <w:lang w:val="en-CA"/>
        </w:rPr>
        <w:t>,</w:t>
      </w:r>
      <w:r w:rsidRPr="00600F65">
        <w:rPr>
          <w:lang w:val="en-CA"/>
        </w:rPr>
        <w:t xml:space="preserve"> G</w:t>
      </w:r>
      <w:r w:rsidR="00AC0DD6">
        <w:rPr>
          <w:lang w:val="en-CA"/>
        </w:rPr>
        <w:t>.</w:t>
      </w:r>
      <w:r w:rsidRPr="00600F65">
        <w:rPr>
          <w:lang w:val="en-CA"/>
        </w:rPr>
        <w:t>A</w:t>
      </w:r>
      <w:r w:rsidR="00AC0DD6">
        <w:rPr>
          <w:lang w:val="en-CA"/>
        </w:rPr>
        <w:t>.</w:t>
      </w:r>
      <w:r w:rsidRPr="00600F65">
        <w:rPr>
          <w:lang w:val="en-CA"/>
        </w:rPr>
        <w:t>, Angus</w:t>
      </w:r>
      <w:r w:rsidR="00AC0DD6">
        <w:rPr>
          <w:lang w:val="en-CA"/>
        </w:rPr>
        <w:t>,</w:t>
      </w:r>
      <w:r w:rsidRPr="00600F65">
        <w:rPr>
          <w:lang w:val="en-CA"/>
        </w:rPr>
        <w:t xml:space="preserve"> L</w:t>
      </w:r>
      <w:r w:rsidR="00AC0DD6">
        <w:rPr>
          <w:lang w:val="en-CA"/>
        </w:rPr>
        <w:t>.</w:t>
      </w:r>
      <w:r w:rsidRPr="00600F65">
        <w:rPr>
          <w:lang w:val="en-CA"/>
        </w:rPr>
        <w:t>, Bonli</w:t>
      </w:r>
      <w:r w:rsidR="00AC0DD6">
        <w:rPr>
          <w:lang w:val="en-CA"/>
        </w:rPr>
        <w:t>,</w:t>
      </w:r>
      <w:r w:rsidRPr="00600F65">
        <w:rPr>
          <w:lang w:val="en-CA"/>
        </w:rPr>
        <w:t xml:space="preserve"> R</w:t>
      </w:r>
      <w:r w:rsidR="00AC0DD6">
        <w:rPr>
          <w:lang w:val="en-CA"/>
        </w:rPr>
        <w:t>.</w:t>
      </w:r>
      <w:r w:rsidRPr="00600F65">
        <w:rPr>
          <w:lang w:val="en-CA"/>
        </w:rPr>
        <w:t>, Drapeau</w:t>
      </w:r>
      <w:r w:rsidR="00AC0DD6">
        <w:rPr>
          <w:lang w:val="en-CA"/>
        </w:rPr>
        <w:t>,</w:t>
      </w:r>
      <w:r w:rsidRPr="00600F65">
        <w:rPr>
          <w:lang w:val="en-CA"/>
        </w:rPr>
        <w:t xml:space="preserve"> M</w:t>
      </w:r>
      <w:r w:rsidR="00AC0DD6">
        <w:rPr>
          <w:lang w:val="en-CA"/>
        </w:rPr>
        <w:t>.</w:t>
      </w:r>
      <w:r w:rsidRPr="00600F65">
        <w:rPr>
          <w:lang w:val="en-CA"/>
        </w:rPr>
        <w:t>, Fitzpatrick</w:t>
      </w:r>
      <w:r w:rsidR="00AC0DD6">
        <w:rPr>
          <w:lang w:val="en-CA"/>
        </w:rPr>
        <w:t>,</w:t>
      </w:r>
      <w:r w:rsidRPr="00600F65">
        <w:rPr>
          <w:lang w:val="en-CA"/>
        </w:rPr>
        <w:t xml:space="preserve"> M</w:t>
      </w:r>
      <w:r w:rsidR="00AC0DD6">
        <w:rPr>
          <w:lang w:val="en-CA"/>
        </w:rPr>
        <w:t>.</w:t>
      </w:r>
      <w:r w:rsidRPr="00600F65">
        <w:rPr>
          <w:lang w:val="en-CA"/>
        </w:rPr>
        <w:t>, Hunsley</w:t>
      </w:r>
      <w:r w:rsidR="00AC0DD6">
        <w:rPr>
          <w:lang w:val="en-CA"/>
        </w:rPr>
        <w:t>,</w:t>
      </w:r>
      <w:r w:rsidRPr="00600F65">
        <w:rPr>
          <w:lang w:val="en-CA"/>
        </w:rPr>
        <w:t xml:space="preserve"> </w:t>
      </w:r>
      <w:r>
        <w:rPr>
          <w:lang w:val="en-CA"/>
        </w:rPr>
        <w:t>J</w:t>
      </w:r>
      <w:r w:rsidR="00AC0DD6">
        <w:rPr>
          <w:lang w:val="en-CA"/>
        </w:rPr>
        <w:t>.</w:t>
      </w:r>
      <w:r>
        <w:rPr>
          <w:lang w:val="en-CA"/>
        </w:rPr>
        <w:t xml:space="preserve">, </w:t>
      </w:r>
      <w:r w:rsidRPr="00600F65">
        <w:rPr>
          <w:lang w:val="en-CA"/>
        </w:rPr>
        <w:t>et al.</w:t>
      </w:r>
      <w:r w:rsidR="00AC0DD6">
        <w:rPr>
          <w:lang w:val="en-CA"/>
        </w:rPr>
        <w:t>, 2019.</w:t>
      </w:r>
      <w:r w:rsidRPr="00600F65">
        <w:rPr>
          <w:lang w:val="en-CA"/>
        </w:rPr>
        <w:t xml:space="preserve"> </w:t>
      </w:r>
      <w:r w:rsidRPr="00C16C35">
        <w:t xml:space="preserve">Outcome and progress monitoring in psychotherapy: Report of a Canadian Psychological Association Task Force. </w:t>
      </w:r>
      <w:r w:rsidRPr="007346D1">
        <w:rPr>
          <w:lang w:val="en-CA"/>
        </w:rPr>
        <w:t>Can</w:t>
      </w:r>
      <w:r w:rsidR="00AC0DD6" w:rsidRPr="007346D1">
        <w:rPr>
          <w:lang w:val="en-CA"/>
        </w:rPr>
        <w:t>.</w:t>
      </w:r>
      <w:r w:rsidRPr="007346D1">
        <w:rPr>
          <w:lang w:val="en-CA"/>
        </w:rPr>
        <w:t xml:space="preserve"> Psychol</w:t>
      </w:r>
      <w:r w:rsidR="00AC0DD6" w:rsidRPr="007346D1">
        <w:rPr>
          <w:lang w:val="en-CA"/>
        </w:rPr>
        <w:t>.</w:t>
      </w:r>
      <w:r w:rsidRPr="007346D1">
        <w:rPr>
          <w:lang w:val="en-CA"/>
        </w:rPr>
        <w:t xml:space="preserve"> </w:t>
      </w:r>
      <w:r w:rsidRPr="00235A73">
        <w:rPr>
          <w:lang w:val="en-CA"/>
        </w:rPr>
        <w:t>60</w:t>
      </w:r>
      <w:r w:rsidR="00AC0DD6" w:rsidRPr="00235A73">
        <w:rPr>
          <w:lang w:val="en-CA"/>
        </w:rPr>
        <w:t xml:space="preserve">, </w:t>
      </w:r>
      <w:r w:rsidRPr="00235A73">
        <w:rPr>
          <w:lang w:val="en-CA"/>
        </w:rPr>
        <w:t>165–</w:t>
      </w:r>
      <w:r w:rsidR="00AC0DD6" w:rsidRPr="00235A73">
        <w:rPr>
          <w:lang w:val="en-CA"/>
        </w:rPr>
        <w:t>1</w:t>
      </w:r>
      <w:r w:rsidRPr="00235A73">
        <w:rPr>
          <w:lang w:val="en-CA"/>
        </w:rPr>
        <w:t>77.</w:t>
      </w:r>
      <w:r w:rsidR="0063745F" w:rsidRPr="00235A73">
        <w:rPr>
          <w:lang w:val="en-CA"/>
        </w:rPr>
        <w:t xml:space="preserve"> https://psycnet.apa.org/doi/10.1037/cap0000181.</w:t>
      </w:r>
    </w:p>
    <w:p w14:paraId="38D6014B" w14:textId="2372EB24" w:rsidR="005D09CF" w:rsidRPr="00563AF8" w:rsidRDefault="005D09CF" w:rsidP="005D09CF">
      <w:pPr>
        <w:pStyle w:val="Bibliography"/>
        <w:tabs>
          <w:tab w:val="clear" w:pos="260"/>
        </w:tabs>
        <w:spacing w:after="0" w:line="480" w:lineRule="auto"/>
        <w:ind w:left="567" w:hanging="567"/>
        <w:rPr>
          <w:lang w:val="en-GB"/>
        </w:rPr>
      </w:pPr>
      <w:r w:rsidRPr="00563AF8">
        <w:rPr>
          <w:lang w:val="en-GB"/>
        </w:rPr>
        <w:lastRenderedPageBreak/>
        <w:t>Thissen</w:t>
      </w:r>
      <w:r w:rsidR="00235A73">
        <w:rPr>
          <w:lang w:val="en-GB"/>
        </w:rPr>
        <w:t>,</w:t>
      </w:r>
      <w:r w:rsidRPr="00563AF8">
        <w:rPr>
          <w:lang w:val="en-GB"/>
        </w:rPr>
        <w:t xml:space="preserve"> D</w:t>
      </w:r>
      <w:r w:rsidR="00235A73">
        <w:rPr>
          <w:lang w:val="en-GB"/>
        </w:rPr>
        <w:t>.</w:t>
      </w:r>
      <w:r w:rsidRPr="00563AF8">
        <w:rPr>
          <w:lang w:val="en-GB"/>
        </w:rPr>
        <w:t>, Steinberg</w:t>
      </w:r>
      <w:r w:rsidR="00235A73">
        <w:rPr>
          <w:lang w:val="en-GB"/>
        </w:rPr>
        <w:t>,</w:t>
      </w:r>
      <w:r w:rsidRPr="00563AF8">
        <w:rPr>
          <w:lang w:val="en-GB"/>
        </w:rPr>
        <w:t xml:space="preserve"> L</w:t>
      </w:r>
      <w:r w:rsidR="00235A73">
        <w:rPr>
          <w:lang w:val="en-GB"/>
        </w:rPr>
        <w:t>.</w:t>
      </w:r>
      <w:r w:rsidRPr="00563AF8">
        <w:rPr>
          <w:lang w:val="en-GB"/>
        </w:rPr>
        <w:t>, Wainer</w:t>
      </w:r>
      <w:r w:rsidR="00235A73">
        <w:rPr>
          <w:lang w:val="en-GB"/>
        </w:rPr>
        <w:t>,</w:t>
      </w:r>
      <w:r w:rsidRPr="00563AF8">
        <w:rPr>
          <w:lang w:val="en-GB"/>
        </w:rPr>
        <w:t xml:space="preserve"> H.</w:t>
      </w:r>
      <w:r w:rsidR="00235A73">
        <w:rPr>
          <w:lang w:val="en-GB"/>
        </w:rPr>
        <w:t>, 1993.</w:t>
      </w:r>
      <w:r w:rsidRPr="00563AF8">
        <w:rPr>
          <w:lang w:val="en-GB"/>
        </w:rPr>
        <w:t xml:space="preserve"> Detection of differential item functioning using the parameters of item response models</w:t>
      </w:r>
      <w:r w:rsidR="00235A73">
        <w:rPr>
          <w:lang w:val="en-GB"/>
        </w:rPr>
        <w:t>,</w:t>
      </w:r>
      <w:r w:rsidRPr="00563AF8">
        <w:rPr>
          <w:lang w:val="en-GB"/>
        </w:rPr>
        <w:t xml:space="preserve"> </w:t>
      </w:r>
      <w:r w:rsidR="00235A73">
        <w:rPr>
          <w:lang w:val="en-GB"/>
        </w:rPr>
        <w:t>i</w:t>
      </w:r>
      <w:r w:rsidRPr="00563AF8">
        <w:rPr>
          <w:lang w:val="en-GB"/>
        </w:rPr>
        <w:t xml:space="preserve">n: </w:t>
      </w:r>
      <w:r>
        <w:rPr>
          <w:lang w:val="en-GB"/>
        </w:rPr>
        <w:t>Holland</w:t>
      </w:r>
      <w:r w:rsidR="00235A73">
        <w:rPr>
          <w:lang w:val="en-GB"/>
        </w:rPr>
        <w:t>,</w:t>
      </w:r>
      <w:r>
        <w:rPr>
          <w:lang w:val="en-GB"/>
        </w:rPr>
        <w:t xml:space="preserve"> P</w:t>
      </w:r>
      <w:r w:rsidR="00235A73">
        <w:rPr>
          <w:lang w:val="en-GB"/>
        </w:rPr>
        <w:t>.</w:t>
      </w:r>
      <w:r>
        <w:rPr>
          <w:lang w:val="en-GB"/>
        </w:rPr>
        <w:t>W</w:t>
      </w:r>
      <w:r w:rsidR="00235A73">
        <w:rPr>
          <w:lang w:val="en-GB"/>
        </w:rPr>
        <w:t>.</w:t>
      </w:r>
      <w:r>
        <w:rPr>
          <w:lang w:val="en-GB"/>
        </w:rPr>
        <w:t>, Wainer</w:t>
      </w:r>
      <w:r w:rsidR="00235A73">
        <w:rPr>
          <w:lang w:val="en-GB"/>
        </w:rPr>
        <w:t>,</w:t>
      </w:r>
      <w:r>
        <w:rPr>
          <w:lang w:val="en-GB"/>
        </w:rPr>
        <w:t xml:space="preserve"> H</w:t>
      </w:r>
      <w:r w:rsidR="00235A73">
        <w:rPr>
          <w:lang w:val="en-GB"/>
        </w:rPr>
        <w:t>.</w:t>
      </w:r>
      <w:r>
        <w:rPr>
          <w:lang w:val="en-GB"/>
        </w:rPr>
        <w:t>,</w:t>
      </w:r>
      <w:r w:rsidR="00235A73">
        <w:rPr>
          <w:lang w:val="en-GB"/>
        </w:rPr>
        <w:t xml:space="preserve"> (Eds),</w:t>
      </w:r>
      <w:r>
        <w:rPr>
          <w:lang w:val="en-GB"/>
        </w:rPr>
        <w:t xml:space="preserve"> </w:t>
      </w:r>
      <w:r w:rsidRPr="00600F65">
        <w:rPr>
          <w:lang w:val="en-GB"/>
        </w:rPr>
        <w:t>Differential Item Functioning</w:t>
      </w:r>
      <w:r w:rsidRPr="00563AF8">
        <w:rPr>
          <w:lang w:val="en-GB"/>
        </w:rPr>
        <w:t xml:space="preserve">. </w:t>
      </w:r>
      <w:r w:rsidR="00235A73" w:rsidRPr="00563AF8">
        <w:rPr>
          <w:lang w:val="en-GB"/>
        </w:rPr>
        <w:t>Lawrence Erlbaum</w:t>
      </w:r>
      <w:r w:rsidR="00235A73">
        <w:rPr>
          <w:lang w:val="en-GB"/>
        </w:rPr>
        <w:t xml:space="preserve"> Associates Inc.,</w:t>
      </w:r>
      <w:r w:rsidRPr="00563AF8">
        <w:rPr>
          <w:lang w:val="en-GB"/>
        </w:rPr>
        <w:t xml:space="preserve"> </w:t>
      </w:r>
      <w:r w:rsidR="00235A73">
        <w:rPr>
          <w:lang w:val="en-GB"/>
        </w:rPr>
        <w:t xml:space="preserve">New York, pp. </w:t>
      </w:r>
      <w:r w:rsidRPr="00563AF8">
        <w:rPr>
          <w:lang w:val="en-GB"/>
        </w:rPr>
        <w:t>67–113.</w:t>
      </w:r>
    </w:p>
    <w:p w14:paraId="0D055ECC" w14:textId="01069A11" w:rsidR="005D09CF" w:rsidRPr="00563AF8" w:rsidRDefault="005D09CF" w:rsidP="005D09CF">
      <w:pPr>
        <w:pStyle w:val="Bibliography"/>
        <w:tabs>
          <w:tab w:val="clear" w:pos="260"/>
        </w:tabs>
        <w:spacing w:after="0" w:line="480" w:lineRule="auto"/>
        <w:ind w:left="567" w:hanging="567"/>
        <w:rPr>
          <w:lang w:val="en-GB"/>
        </w:rPr>
      </w:pPr>
      <w:r w:rsidRPr="00563AF8">
        <w:rPr>
          <w:lang w:val="en-GB"/>
        </w:rPr>
        <w:t>Thombs</w:t>
      </w:r>
      <w:r w:rsidR="00235A73">
        <w:rPr>
          <w:lang w:val="en-GB"/>
        </w:rPr>
        <w:t>,</w:t>
      </w:r>
      <w:r w:rsidRPr="00563AF8">
        <w:rPr>
          <w:lang w:val="en-GB"/>
        </w:rPr>
        <w:t xml:space="preserve"> B</w:t>
      </w:r>
      <w:r w:rsidR="00235A73">
        <w:rPr>
          <w:lang w:val="en-GB"/>
        </w:rPr>
        <w:t>.</w:t>
      </w:r>
      <w:r w:rsidRPr="00563AF8">
        <w:rPr>
          <w:lang w:val="en-GB"/>
        </w:rPr>
        <w:t>D</w:t>
      </w:r>
      <w:r w:rsidR="00235A73">
        <w:rPr>
          <w:lang w:val="en-GB"/>
        </w:rPr>
        <w:t>.</w:t>
      </w:r>
      <w:r w:rsidRPr="00563AF8">
        <w:rPr>
          <w:lang w:val="en-GB"/>
        </w:rPr>
        <w:t>, Arthurs</w:t>
      </w:r>
      <w:r w:rsidR="00235A73">
        <w:rPr>
          <w:lang w:val="en-GB"/>
        </w:rPr>
        <w:t>,</w:t>
      </w:r>
      <w:r w:rsidRPr="00563AF8">
        <w:rPr>
          <w:lang w:val="en-GB"/>
        </w:rPr>
        <w:t xml:space="preserve"> E</w:t>
      </w:r>
      <w:r w:rsidR="00235A73">
        <w:rPr>
          <w:lang w:val="en-GB"/>
        </w:rPr>
        <w:t>.</w:t>
      </w:r>
      <w:r w:rsidRPr="00563AF8">
        <w:rPr>
          <w:lang w:val="en-GB"/>
        </w:rPr>
        <w:t>, El-Baalbaki</w:t>
      </w:r>
      <w:r w:rsidR="00235A73">
        <w:rPr>
          <w:lang w:val="en-GB"/>
        </w:rPr>
        <w:t>,</w:t>
      </w:r>
      <w:r w:rsidRPr="00563AF8">
        <w:rPr>
          <w:lang w:val="en-GB"/>
        </w:rPr>
        <w:t xml:space="preserve"> G</w:t>
      </w:r>
      <w:r w:rsidR="00235A73">
        <w:rPr>
          <w:lang w:val="en-GB"/>
        </w:rPr>
        <w:t>.</w:t>
      </w:r>
      <w:r w:rsidRPr="00563AF8">
        <w:rPr>
          <w:lang w:val="en-GB"/>
        </w:rPr>
        <w:t>, Meijer</w:t>
      </w:r>
      <w:r w:rsidR="00235A73">
        <w:rPr>
          <w:lang w:val="en-GB"/>
        </w:rPr>
        <w:t>,</w:t>
      </w:r>
      <w:r w:rsidRPr="00563AF8">
        <w:rPr>
          <w:lang w:val="en-GB"/>
        </w:rPr>
        <w:t xml:space="preserve"> A</w:t>
      </w:r>
      <w:r w:rsidR="00235A73">
        <w:rPr>
          <w:lang w:val="en-GB"/>
        </w:rPr>
        <w:t>.</w:t>
      </w:r>
      <w:r w:rsidRPr="00563AF8">
        <w:rPr>
          <w:lang w:val="en-GB"/>
        </w:rPr>
        <w:t>, Ziegelstein</w:t>
      </w:r>
      <w:r w:rsidR="00235A73">
        <w:rPr>
          <w:lang w:val="en-GB"/>
        </w:rPr>
        <w:t>,</w:t>
      </w:r>
      <w:r w:rsidRPr="00563AF8">
        <w:rPr>
          <w:lang w:val="en-GB"/>
        </w:rPr>
        <w:t xml:space="preserve"> R</w:t>
      </w:r>
      <w:r w:rsidR="00235A73">
        <w:rPr>
          <w:lang w:val="en-GB"/>
        </w:rPr>
        <w:t>.</w:t>
      </w:r>
      <w:r w:rsidRPr="00563AF8">
        <w:rPr>
          <w:lang w:val="en-GB"/>
        </w:rPr>
        <w:t>C</w:t>
      </w:r>
      <w:r w:rsidR="00235A73">
        <w:rPr>
          <w:lang w:val="en-GB"/>
        </w:rPr>
        <w:t>.</w:t>
      </w:r>
      <w:r w:rsidRPr="00563AF8">
        <w:rPr>
          <w:lang w:val="en-GB"/>
        </w:rPr>
        <w:t>, Steele</w:t>
      </w:r>
      <w:r w:rsidR="00235A73">
        <w:rPr>
          <w:lang w:val="en-GB"/>
        </w:rPr>
        <w:t>,</w:t>
      </w:r>
      <w:r w:rsidRPr="00563AF8">
        <w:rPr>
          <w:lang w:val="en-GB"/>
        </w:rPr>
        <w:t xml:space="preserve"> R</w:t>
      </w:r>
      <w:r w:rsidR="00235A73">
        <w:rPr>
          <w:lang w:val="en-GB"/>
        </w:rPr>
        <w:t>.</w:t>
      </w:r>
      <w:r w:rsidRPr="00563AF8">
        <w:rPr>
          <w:lang w:val="en-GB"/>
        </w:rPr>
        <w:t>J.</w:t>
      </w:r>
      <w:r w:rsidR="00235A73">
        <w:rPr>
          <w:lang w:val="en-GB"/>
        </w:rPr>
        <w:t>, 2011.</w:t>
      </w:r>
      <w:r w:rsidRPr="00563AF8">
        <w:rPr>
          <w:lang w:val="en-GB"/>
        </w:rPr>
        <w:t xml:space="preserve"> Risk of bias from inclusion of patients who already have diagnosis of or are undergoing treatment for depression in diagnostic accuracy studies of screening tools for depression: systematic review. </w:t>
      </w:r>
      <w:r w:rsidRPr="00600F65">
        <w:rPr>
          <w:lang w:val="en-GB"/>
        </w:rPr>
        <w:t>BMJ</w:t>
      </w:r>
      <w:r>
        <w:rPr>
          <w:lang w:val="en-GB"/>
        </w:rPr>
        <w:t>.</w:t>
      </w:r>
      <w:r w:rsidRPr="00563AF8">
        <w:rPr>
          <w:lang w:val="en-GB"/>
        </w:rPr>
        <w:t xml:space="preserve"> </w:t>
      </w:r>
      <w:r w:rsidRPr="00600F65">
        <w:rPr>
          <w:lang w:val="en-GB"/>
        </w:rPr>
        <w:t>343</w:t>
      </w:r>
      <w:r w:rsidR="00235A73">
        <w:rPr>
          <w:lang w:val="en-GB"/>
        </w:rPr>
        <w:t xml:space="preserve">, </w:t>
      </w:r>
      <w:r w:rsidRPr="00563AF8">
        <w:rPr>
          <w:lang w:val="en-GB"/>
        </w:rPr>
        <w:t>d4825.</w:t>
      </w:r>
      <w:r w:rsidR="00235A73">
        <w:rPr>
          <w:lang w:val="en-GB"/>
        </w:rPr>
        <w:t xml:space="preserve"> </w:t>
      </w:r>
      <w:r w:rsidR="00235A73" w:rsidRPr="00235A73">
        <w:rPr>
          <w:lang w:val="en-GB"/>
        </w:rPr>
        <w:t>https://doi.org/10.1136/bmj.d4825</w:t>
      </w:r>
      <w:r w:rsidR="00235A73">
        <w:rPr>
          <w:lang w:val="en-GB"/>
        </w:rPr>
        <w:t>.</w:t>
      </w:r>
    </w:p>
    <w:p w14:paraId="34E1B10A" w14:textId="77777777" w:rsidR="00235A73" w:rsidRDefault="005D09CF" w:rsidP="00235A73">
      <w:pPr>
        <w:pStyle w:val="Bibliography"/>
        <w:tabs>
          <w:tab w:val="clear" w:pos="260"/>
        </w:tabs>
        <w:spacing w:after="0" w:line="480" w:lineRule="auto"/>
        <w:ind w:left="0" w:firstLine="0"/>
        <w:rPr>
          <w:lang w:val="en-GB"/>
        </w:rPr>
      </w:pPr>
      <w:r w:rsidRPr="00563AF8">
        <w:rPr>
          <w:lang w:val="en-GB"/>
        </w:rPr>
        <w:t>World Health Organization</w:t>
      </w:r>
      <w:r w:rsidR="00235A73">
        <w:rPr>
          <w:lang w:val="en-GB"/>
        </w:rPr>
        <w:t xml:space="preserve">, </w:t>
      </w:r>
      <w:r>
        <w:rPr>
          <w:lang w:val="en-GB"/>
        </w:rPr>
        <w:t>1992</w:t>
      </w:r>
      <w:r w:rsidRPr="00563AF8">
        <w:rPr>
          <w:lang w:val="en-GB"/>
        </w:rPr>
        <w:t xml:space="preserve">. The ICD-10 classification of mental and behavioural </w:t>
      </w:r>
    </w:p>
    <w:p w14:paraId="2CF8518B" w14:textId="2F88C2C6" w:rsidR="005D09CF" w:rsidRPr="00563AF8" w:rsidRDefault="005D09CF" w:rsidP="00235A73">
      <w:pPr>
        <w:pStyle w:val="Bibliography"/>
        <w:tabs>
          <w:tab w:val="clear" w:pos="260"/>
        </w:tabs>
        <w:spacing w:after="0" w:line="480" w:lineRule="auto"/>
        <w:ind w:left="720" w:firstLine="0"/>
        <w:rPr>
          <w:lang w:val="en-GB"/>
        </w:rPr>
      </w:pPr>
      <w:r w:rsidRPr="00563AF8">
        <w:rPr>
          <w:lang w:val="en-GB"/>
        </w:rPr>
        <w:t>disorders: clinical descriptions and diagnostic guidelines</w:t>
      </w:r>
      <w:r w:rsidR="00235A73">
        <w:rPr>
          <w:lang w:val="en-GB"/>
        </w:rPr>
        <w:t xml:space="preserve">. </w:t>
      </w:r>
      <w:hyperlink r:id="rId12" w:history="1">
        <w:r w:rsidR="00235A73" w:rsidRPr="006A39F8">
          <w:rPr>
            <w:rStyle w:val="Hyperlink"/>
            <w:lang w:val="en-GB"/>
          </w:rPr>
          <w:t>https://apps.who.int/iris/handle/10665/37958</w:t>
        </w:r>
      </w:hyperlink>
      <w:r w:rsidR="00235A73">
        <w:rPr>
          <w:lang w:val="en-GB"/>
        </w:rPr>
        <w:t xml:space="preserve"> (accessed 28</w:t>
      </w:r>
      <w:r w:rsidRPr="00563AF8">
        <w:rPr>
          <w:lang w:val="en-GB"/>
        </w:rPr>
        <w:t xml:space="preserve"> </w:t>
      </w:r>
      <w:r w:rsidR="00235A73">
        <w:rPr>
          <w:lang w:val="en-GB"/>
        </w:rPr>
        <w:t xml:space="preserve">February </w:t>
      </w:r>
      <w:r>
        <w:rPr>
          <w:lang w:val="en-GB"/>
        </w:rPr>
        <w:t>2024</w:t>
      </w:r>
      <w:r w:rsidR="00235A73">
        <w:rPr>
          <w:lang w:val="en-GB"/>
        </w:rPr>
        <w:t>)</w:t>
      </w:r>
      <w:r>
        <w:rPr>
          <w:lang w:val="en-GB"/>
        </w:rPr>
        <w:t>.</w:t>
      </w:r>
      <w:r w:rsidRPr="00563AF8">
        <w:rPr>
          <w:lang w:val="en-GB"/>
        </w:rPr>
        <w:t xml:space="preserve"> </w:t>
      </w:r>
    </w:p>
    <w:p w14:paraId="7E1A2CD7" w14:textId="77777777" w:rsidR="00235A73" w:rsidRDefault="00B96B5C" w:rsidP="00235A73">
      <w:pPr>
        <w:pStyle w:val="Bibliography"/>
        <w:tabs>
          <w:tab w:val="clear" w:pos="260"/>
        </w:tabs>
        <w:spacing w:after="0" w:line="480" w:lineRule="auto"/>
        <w:ind w:left="0" w:firstLine="0"/>
        <w:rPr>
          <w:lang w:val="en-GB"/>
        </w:rPr>
      </w:pPr>
      <w:r w:rsidRPr="00600F65">
        <w:rPr>
          <w:lang w:val="en-CA"/>
        </w:rPr>
        <w:t>Wu</w:t>
      </w:r>
      <w:r w:rsidR="00235A73">
        <w:rPr>
          <w:lang w:val="en-CA"/>
        </w:rPr>
        <w:t>,</w:t>
      </w:r>
      <w:r w:rsidRPr="00600F65">
        <w:rPr>
          <w:lang w:val="en-CA"/>
        </w:rPr>
        <w:t xml:space="preserve"> Y</w:t>
      </w:r>
      <w:r w:rsidR="00235A73">
        <w:rPr>
          <w:lang w:val="en-CA"/>
        </w:rPr>
        <w:t>.</w:t>
      </w:r>
      <w:r w:rsidRPr="00600F65">
        <w:rPr>
          <w:lang w:val="en-CA"/>
        </w:rPr>
        <w:t>, Levis</w:t>
      </w:r>
      <w:r w:rsidR="00235A73">
        <w:rPr>
          <w:lang w:val="en-CA"/>
        </w:rPr>
        <w:t>,</w:t>
      </w:r>
      <w:r w:rsidRPr="00600F65">
        <w:rPr>
          <w:lang w:val="en-CA"/>
        </w:rPr>
        <w:t xml:space="preserve"> B</w:t>
      </w:r>
      <w:r w:rsidR="00235A73">
        <w:rPr>
          <w:lang w:val="en-CA"/>
        </w:rPr>
        <w:t>.</w:t>
      </w:r>
      <w:r w:rsidRPr="00600F65">
        <w:rPr>
          <w:lang w:val="en-CA"/>
        </w:rPr>
        <w:t>, Sun</w:t>
      </w:r>
      <w:r w:rsidR="00235A73">
        <w:rPr>
          <w:lang w:val="en-CA"/>
        </w:rPr>
        <w:t>,</w:t>
      </w:r>
      <w:r w:rsidRPr="00600F65">
        <w:rPr>
          <w:lang w:val="en-CA"/>
        </w:rPr>
        <w:t xml:space="preserve"> Y</w:t>
      </w:r>
      <w:r w:rsidR="00235A73">
        <w:rPr>
          <w:lang w:val="en-CA"/>
        </w:rPr>
        <w:t>.</w:t>
      </w:r>
      <w:r w:rsidRPr="00600F65">
        <w:rPr>
          <w:lang w:val="en-CA"/>
        </w:rPr>
        <w:t xml:space="preserve">, </w:t>
      </w:r>
      <w:r w:rsidR="00680AA2" w:rsidRPr="00600F65">
        <w:rPr>
          <w:lang w:val="en-CA"/>
        </w:rPr>
        <w:t>He</w:t>
      </w:r>
      <w:r w:rsidR="00235A73">
        <w:rPr>
          <w:lang w:val="en-CA"/>
        </w:rPr>
        <w:t>,</w:t>
      </w:r>
      <w:r w:rsidR="00680AA2" w:rsidRPr="00600F65">
        <w:rPr>
          <w:lang w:val="en-CA"/>
        </w:rPr>
        <w:t xml:space="preserve"> C</w:t>
      </w:r>
      <w:r w:rsidR="00235A73">
        <w:rPr>
          <w:lang w:val="en-CA"/>
        </w:rPr>
        <w:t>.</w:t>
      </w:r>
      <w:r w:rsidR="00680AA2" w:rsidRPr="00600F65">
        <w:rPr>
          <w:lang w:val="en-CA"/>
        </w:rPr>
        <w:t>, Krishnan</w:t>
      </w:r>
      <w:r w:rsidR="00235A73">
        <w:rPr>
          <w:lang w:val="en-CA"/>
        </w:rPr>
        <w:t>,</w:t>
      </w:r>
      <w:r w:rsidR="00680AA2" w:rsidRPr="00600F65">
        <w:rPr>
          <w:lang w:val="en-CA"/>
        </w:rPr>
        <w:t xml:space="preserve"> A</w:t>
      </w:r>
      <w:r w:rsidR="00235A73">
        <w:rPr>
          <w:lang w:val="en-CA"/>
        </w:rPr>
        <w:t>.</w:t>
      </w:r>
      <w:r w:rsidR="00680AA2" w:rsidRPr="00600F65">
        <w:rPr>
          <w:lang w:val="en-CA"/>
        </w:rPr>
        <w:t>, Neupane</w:t>
      </w:r>
      <w:r w:rsidR="00235A73">
        <w:rPr>
          <w:lang w:val="en-CA"/>
        </w:rPr>
        <w:t>,</w:t>
      </w:r>
      <w:r w:rsidR="00680AA2" w:rsidRPr="00600F65">
        <w:rPr>
          <w:lang w:val="en-CA"/>
        </w:rPr>
        <w:t xml:space="preserve"> D</w:t>
      </w:r>
      <w:r w:rsidR="00235A73">
        <w:rPr>
          <w:lang w:val="en-CA"/>
        </w:rPr>
        <w:t>.</w:t>
      </w:r>
      <w:r w:rsidR="00680AA2" w:rsidRPr="00600F65">
        <w:rPr>
          <w:lang w:val="en-CA"/>
        </w:rPr>
        <w:t xml:space="preserve">, </w:t>
      </w:r>
      <w:r w:rsidRPr="00600F65">
        <w:rPr>
          <w:lang w:val="en-CA"/>
        </w:rPr>
        <w:t>et al</w:t>
      </w:r>
      <w:r w:rsidRPr="00600F65">
        <w:rPr>
          <w:i/>
          <w:iCs/>
          <w:lang w:val="en-CA"/>
        </w:rPr>
        <w:t>.</w:t>
      </w:r>
      <w:r w:rsidR="00235A73">
        <w:rPr>
          <w:lang w:val="en-CA"/>
        </w:rPr>
        <w:t>, 2021.</w:t>
      </w:r>
      <w:r w:rsidRPr="00600F65">
        <w:rPr>
          <w:lang w:val="en-CA"/>
        </w:rPr>
        <w:t xml:space="preserve"> </w:t>
      </w:r>
      <w:r w:rsidRPr="00563AF8">
        <w:rPr>
          <w:lang w:val="en-GB"/>
        </w:rPr>
        <w:t xml:space="preserve">Accuracy of the </w:t>
      </w:r>
    </w:p>
    <w:p w14:paraId="6348D0CB" w14:textId="0D88FDEF" w:rsidR="00B96B5C" w:rsidRPr="00563AF8" w:rsidRDefault="00B96B5C" w:rsidP="00235A73">
      <w:pPr>
        <w:pStyle w:val="Bibliography"/>
        <w:tabs>
          <w:tab w:val="clear" w:pos="260"/>
        </w:tabs>
        <w:spacing w:after="0" w:line="480" w:lineRule="auto"/>
        <w:ind w:left="720" w:firstLine="0"/>
        <w:rPr>
          <w:lang w:val="en-GB"/>
        </w:rPr>
      </w:pPr>
      <w:r w:rsidRPr="00563AF8">
        <w:rPr>
          <w:lang w:val="en-GB"/>
        </w:rPr>
        <w:t xml:space="preserve">Hospital Anxiety and Depression Scale Depression subscale (HADS-D) to screen for major depression: systematic review and individual participant data meta-analysis. </w:t>
      </w:r>
      <w:r w:rsidRPr="00600F65">
        <w:rPr>
          <w:lang w:val="en-GB"/>
        </w:rPr>
        <w:t>BMJ</w:t>
      </w:r>
      <w:r w:rsidR="00680AA2">
        <w:rPr>
          <w:lang w:val="en-GB"/>
        </w:rPr>
        <w:t>.</w:t>
      </w:r>
      <w:r w:rsidRPr="00563AF8">
        <w:rPr>
          <w:lang w:val="en-GB"/>
        </w:rPr>
        <w:t xml:space="preserve"> </w:t>
      </w:r>
      <w:r w:rsidRPr="00600F65">
        <w:rPr>
          <w:lang w:val="en-GB"/>
        </w:rPr>
        <w:t>373</w:t>
      </w:r>
      <w:r w:rsidR="00235A73">
        <w:rPr>
          <w:lang w:val="en-GB"/>
        </w:rPr>
        <w:t xml:space="preserve">, </w:t>
      </w:r>
      <w:r w:rsidRPr="00563AF8">
        <w:rPr>
          <w:lang w:val="en-GB"/>
        </w:rPr>
        <w:t>n972.</w:t>
      </w:r>
      <w:r w:rsidR="00A751ED">
        <w:rPr>
          <w:lang w:val="en-GB"/>
        </w:rPr>
        <w:t xml:space="preserve"> </w:t>
      </w:r>
      <w:r w:rsidR="00A751ED" w:rsidRPr="00A751ED">
        <w:rPr>
          <w:lang w:val="en-GB"/>
        </w:rPr>
        <w:t>https://doi.org/10.1136/bmj.n972</w:t>
      </w:r>
      <w:r w:rsidR="00A751ED">
        <w:rPr>
          <w:lang w:val="en-GB"/>
        </w:rPr>
        <w:t>.</w:t>
      </w:r>
    </w:p>
    <w:p w14:paraId="7B7EDA87" w14:textId="2F4E1B98" w:rsidR="00B96B5C" w:rsidRPr="00563AF8" w:rsidRDefault="00B96B5C" w:rsidP="00B96B5C">
      <w:pPr>
        <w:pStyle w:val="Bibliography"/>
        <w:tabs>
          <w:tab w:val="clear" w:pos="260"/>
        </w:tabs>
        <w:spacing w:after="0" w:line="480" w:lineRule="auto"/>
        <w:ind w:left="567" w:hanging="567"/>
        <w:rPr>
          <w:lang w:val="en-GB"/>
        </w:rPr>
      </w:pPr>
    </w:p>
    <w:p w14:paraId="496BC98B" w14:textId="626B41F5" w:rsidR="00B96B5C" w:rsidRPr="00563AF8" w:rsidRDefault="00B96B5C" w:rsidP="00B96B5C">
      <w:pPr>
        <w:pStyle w:val="Bibliography"/>
        <w:tabs>
          <w:tab w:val="clear" w:pos="260"/>
        </w:tabs>
        <w:spacing w:after="0" w:line="480" w:lineRule="auto"/>
        <w:ind w:left="567" w:hanging="567"/>
        <w:rPr>
          <w:lang w:val="en-GB"/>
        </w:rPr>
      </w:pPr>
      <w:r w:rsidRPr="006B0984">
        <w:rPr>
          <w:lang w:val="en-GB"/>
        </w:rPr>
        <w:t xml:space="preserve"> </w:t>
      </w:r>
    </w:p>
    <w:p w14:paraId="015337B0" w14:textId="20E85B5A" w:rsidR="00B96B5C" w:rsidRPr="00563AF8" w:rsidRDefault="00B96B5C" w:rsidP="00B96B5C">
      <w:pPr>
        <w:pStyle w:val="Bibliography"/>
        <w:tabs>
          <w:tab w:val="clear" w:pos="260"/>
        </w:tabs>
        <w:spacing w:after="0" w:line="480" w:lineRule="auto"/>
        <w:ind w:left="567" w:hanging="567"/>
        <w:rPr>
          <w:lang w:val="en-GB"/>
        </w:rPr>
      </w:pPr>
    </w:p>
    <w:p w14:paraId="6F9E4E72" w14:textId="5A416C56" w:rsidR="00C16C35" w:rsidRPr="00C16C35" w:rsidRDefault="00C16C35" w:rsidP="00BF7247">
      <w:pPr>
        <w:pStyle w:val="Bibliography"/>
        <w:tabs>
          <w:tab w:val="clear" w:pos="260"/>
        </w:tabs>
        <w:spacing w:after="0" w:line="480" w:lineRule="auto"/>
        <w:ind w:left="567" w:hanging="567"/>
      </w:pPr>
    </w:p>
    <w:p w14:paraId="27345EF5" w14:textId="4285C85C" w:rsidR="00C16C35" w:rsidRPr="00C16C35" w:rsidRDefault="00C16C35" w:rsidP="00BF7247">
      <w:pPr>
        <w:pStyle w:val="Bibliography"/>
        <w:tabs>
          <w:tab w:val="clear" w:pos="260"/>
        </w:tabs>
        <w:spacing w:after="0" w:line="480" w:lineRule="auto"/>
        <w:ind w:left="567" w:hanging="567"/>
      </w:pPr>
      <w:r w:rsidRPr="00C16C35">
        <w:tab/>
      </w:r>
    </w:p>
    <w:p w14:paraId="3AE9FD95" w14:textId="0265293D" w:rsidR="00DF6032" w:rsidRPr="00563AF8" w:rsidRDefault="00DF6032" w:rsidP="00BF7247">
      <w:pPr>
        <w:pStyle w:val="Bibliography"/>
        <w:tabs>
          <w:tab w:val="clear" w:pos="260"/>
        </w:tabs>
        <w:spacing w:after="0" w:line="480" w:lineRule="auto"/>
        <w:ind w:left="567" w:hanging="567"/>
        <w:rPr>
          <w:rFonts w:ascii="Cambria" w:eastAsia="MS Mincho" w:hAnsi="Cambria"/>
          <w:lang w:val="en-GB"/>
        </w:rPr>
      </w:pPr>
      <w:r w:rsidRPr="00563AF8">
        <w:rPr>
          <w:rFonts w:ascii="Cambria" w:eastAsia="MS Mincho" w:hAnsi="Cambria"/>
          <w:lang w:val="en-GB"/>
        </w:rPr>
        <w:br w:type="page"/>
      </w:r>
    </w:p>
    <w:p w14:paraId="69935696" w14:textId="5861B330" w:rsidR="00DF6032" w:rsidRPr="00563AF8" w:rsidRDefault="00DF6032" w:rsidP="00DF6032">
      <w:pPr>
        <w:ind w:left="142"/>
        <w:rPr>
          <w:b/>
          <w:bCs/>
          <w:lang w:val="en-GB"/>
        </w:rPr>
      </w:pPr>
      <w:r w:rsidRPr="00563AF8">
        <w:rPr>
          <w:b/>
          <w:bCs/>
          <w:lang w:val="en-GB"/>
        </w:rPr>
        <w:lastRenderedPageBreak/>
        <w:t>Table 1: Participant Characteristics</w:t>
      </w:r>
    </w:p>
    <w:p w14:paraId="546DB985" w14:textId="77777777" w:rsidR="00DF6032" w:rsidRPr="00563AF8" w:rsidRDefault="00DF6032" w:rsidP="00DF6032">
      <w:pPr>
        <w:rPr>
          <w:b/>
          <w:bCs/>
          <w:lang w:val="en-GB"/>
        </w:rPr>
      </w:pPr>
    </w:p>
    <w:tbl>
      <w:tblPr>
        <w:tblStyle w:val="PlainTable4"/>
        <w:tblW w:w="9090" w:type="dxa"/>
        <w:jc w:val="center"/>
        <w:tblLook w:val="06A0" w:firstRow="1" w:lastRow="0" w:firstColumn="1" w:lastColumn="0" w:noHBand="1" w:noVBand="1"/>
      </w:tblPr>
      <w:tblGrid>
        <w:gridCol w:w="5004"/>
        <w:gridCol w:w="1401"/>
        <w:gridCol w:w="1343"/>
        <w:gridCol w:w="1252"/>
        <w:gridCol w:w="90"/>
      </w:tblGrid>
      <w:tr w:rsidR="00DF6032" w:rsidRPr="000C2FD5" w14:paraId="6B9A594E" w14:textId="77777777" w:rsidTr="00FC5EF1">
        <w:trPr>
          <w:gridAfter w:val="1"/>
          <w:cnfStyle w:val="100000000000" w:firstRow="1" w:lastRow="0" w:firstColumn="0" w:lastColumn="0" w:oddVBand="0" w:evenVBand="0" w:oddHBand="0" w:evenHBand="0" w:firstRowFirstColumn="0" w:firstRowLastColumn="0" w:lastRowFirstColumn="0" w:lastRowLastColumn="0"/>
          <w:wAfter w:w="90" w:type="dxa"/>
          <w:jc w:val="center"/>
        </w:trPr>
        <w:tc>
          <w:tcPr>
            <w:cnfStyle w:val="001000000000" w:firstRow="0" w:lastRow="0" w:firstColumn="1" w:lastColumn="0" w:oddVBand="0" w:evenVBand="0" w:oddHBand="0" w:evenHBand="0" w:firstRowFirstColumn="0" w:firstRowLastColumn="0" w:lastRowFirstColumn="0" w:lastRowLastColumn="0"/>
            <w:tcW w:w="5004" w:type="dxa"/>
            <w:tcBorders>
              <w:top w:val="single" w:sz="18" w:space="0" w:color="auto"/>
            </w:tcBorders>
            <w:hideMark/>
          </w:tcPr>
          <w:p w14:paraId="1072F4EB" w14:textId="77777777" w:rsidR="00DF6032" w:rsidRPr="00563AF8" w:rsidRDefault="00DF6032" w:rsidP="00FC5EF1">
            <w:pPr>
              <w:spacing w:before="40" w:after="40"/>
              <w:rPr>
                <w:kern w:val="0"/>
                <w:sz w:val="18"/>
                <w:szCs w:val="18"/>
                <w:lang w:val="en-GB"/>
                <w14:ligatures w14:val="none"/>
              </w:rPr>
            </w:pPr>
          </w:p>
        </w:tc>
        <w:tc>
          <w:tcPr>
            <w:tcW w:w="3996" w:type="dxa"/>
            <w:gridSpan w:val="3"/>
            <w:tcBorders>
              <w:top w:val="single" w:sz="18" w:space="0" w:color="auto"/>
              <w:bottom w:val="single" w:sz="4" w:space="0" w:color="auto"/>
            </w:tcBorders>
            <w:hideMark/>
          </w:tcPr>
          <w:p w14:paraId="252A876E" w14:textId="77777777" w:rsidR="00DF6032" w:rsidRPr="00563AF8" w:rsidRDefault="00DF6032" w:rsidP="00FC5EF1">
            <w:pPr>
              <w:spacing w:before="40" w:after="40"/>
              <w:jc w:val="center"/>
              <w:cnfStyle w:val="100000000000" w:firstRow="1"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N (%) or Mean (SD)</w:t>
            </w:r>
          </w:p>
        </w:tc>
      </w:tr>
      <w:tr w:rsidR="00DF6032" w:rsidRPr="000C2FD5" w14:paraId="71605C4A" w14:textId="77777777" w:rsidTr="00FC5EF1">
        <w:trPr>
          <w:gridAfter w:val="1"/>
          <w:wAfter w:w="90" w:type="dxa"/>
          <w:jc w:val="center"/>
        </w:trPr>
        <w:tc>
          <w:tcPr>
            <w:cnfStyle w:val="001000000000" w:firstRow="0" w:lastRow="0" w:firstColumn="1" w:lastColumn="0" w:oddVBand="0" w:evenVBand="0" w:oddHBand="0" w:evenHBand="0" w:firstRowFirstColumn="0" w:firstRowLastColumn="0" w:lastRowFirstColumn="0" w:lastRowLastColumn="0"/>
            <w:tcW w:w="5004" w:type="dxa"/>
            <w:tcBorders>
              <w:bottom w:val="single" w:sz="4" w:space="0" w:color="auto"/>
            </w:tcBorders>
            <w:hideMark/>
          </w:tcPr>
          <w:p w14:paraId="1B60F714" w14:textId="77777777" w:rsidR="00DF6032" w:rsidRPr="00563AF8" w:rsidRDefault="00DF6032" w:rsidP="00FC5EF1">
            <w:pPr>
              <w:spacing w:before="40" w:after="40"/>
              <w:rPr>
                <w:kern w:val="0"/>
                <w:sz w:val="18"/>
                <w:szCs w:val="18"/>
                <w:lang w:val="en-GB"/>
                <w14:ligatures w14:val="none"/>
              </w:rPr>
            </w:pPr>
          </w:p>
        </w:tc>
        <w:tc>
          <w:tcPr>
            <w:tcW w:w="1401" w:type="dxa"/>
            <w:tcBorders>
              <w:top w:val="single" w:sz="4" w:space="0" w:color="auto"/>
              <w:bottom w:val="single" w:sz="4" w:space="0" w:color="auto"/>
            </w:tcBorders>
            <w:hideMark/>
          </w:tcPr>
          <w:p w14:paraId="71F389E9"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b/>
                <w:bCs/>
                <w:kern w:val="0"/>
                <w:sz w:val="18"/>
                <w:szCs w:val="18"/>
                <w:lang w:val="en-GB"/>
                <w14:ligatures w14:val="none"/>
              </w:rPr>
            </w:pPr>
            <w:r w:rsidRPr="00563AF8">
              <w:rPr>
                <w:b/>
                <w:bCs/>
                <w:sz w:val="18"/>
                <w:szCs w:val="18"/>
                <w:lang w:val="en-GB"/>
              </w:rPr>
              <w:t>PHQ-9</w:t>
            </w:r>
          </w:p>
        </w:tc>
        <w:tc>
          <w:tcPr>
            <w:tcW w:w="1343" w:type="dxa"/>
            <w:tcBorders>
              <w:top w:val="single" w:sz="4" w:space="0" w:color="auto"/>
              <w:bottom w:val="single" w:sz="4" w:space="0" w:color="auto"/>
            </w:tcBorders>
            <w:hideMark/>
          </w:tcPr>
          <w:p w14:paraId="26FEB312"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b/>
                <w:bCs/>
                <w:kern w:val="0"/>
                <w:sz w:val="18"/>
                <w:szCs w:val="18"/>
                <w:lang w:val="en-GB"/>
                <w14:ligatures w14:val="none"/>
              </w:rPr>
            </w:pPr>
            <w:r w:rsidRPr="00563AF8">
              <w:rPr>
                <w:b/>
                <w:bCs/>
                <w:sz w:val="18"/>
                <w:szCs w:val="18"/>
                <w:lang w:val="en-GB"/>
              </w:rPr>
              <w:t>EPDS</w:t>
            </w:r>
          </w:p>
        </w:tc>
        <w:tc>
          <w:tcPr>
            <w:tcW w:w="1252" w:type="dxa"/>
            <w:tcBorders>
              <w:top w:val="single" w:sz="4" w:space="0" w:color="auto"/>
              <w:bottom w:val="single" w:sz="4" w:space="0" w:color="auto"/>
            </w:tcBorders>
            <w:hideMark/>
          </w:tcPr>
          <w:p w14:paraId="14288419"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b/>
                <w:bCs/>
                <w:kern w:val="0"/>
                <w:sz w:val="18"/>
                <w:szCs w:val="18"/>
                <w:lang w:val="en-GB"/>
                <w14:ligatures w14:val="none"/>
              </w:rPr>
            </w:pPr>
            <w:r w:rsidRPr="00563AF8">
              <w:rPr>
                <w:b/>
                <w:bCs/>
                <w:sz w:val="18"/>
                <w:szCs w:val="18"/>
                <w:lang w:val="en-GB"/>
              </w:rPr>
              <w:t>HADS-D</w:t>
            </w:r>
          </w:p>
        </w:tc>
      </w:tr>
      <w:tr w:rsidR="00DF6032" w:rsidRPr="000C2FD5" w14:paraId="67B06D69" w14:textId="77777777" w:rsidTr="00FC5EF1">
        <w:trPr>
          <w:gridAfter w:val="1"/>
          <w:wAfter w:w="90" w:type="dxa"/>
          <w:jc w:val="center"/>
        </w:trPr>
        <w:tc>
          <w:tcPr>
            <w:cnfStyle w:val="001000000000" w:firstRow="0" w:lastRow="0" w:firstColumn="1" w:lastColumn="0" w:oddVBand="0" w:evenVBand="0" w:oddHBand="0" w:evenHBand="0" w:firstRowFirstColumn="0" w:firstRowLastColumn="0" w:lastRowFirstColumn="0" w:lastRowLastColumn="0"/>
            <w:tcW w:w="5004" w:type="dxa"/>
            <w:tcBorders>
              <w:top w:val="single" w:sz="4" w:space="0" w:color="auto"/>
            </w:tcBorders>
            <w:hideMark/>
          </w:tcPr>
          <w:p w14:paraId="18C17F57" w14:textId="77777777" w:rsidR="00DF6032" w:rsidRPr="00563AF8" w:rsidRDefault="00DF6032" w:rsidP="00FC5EF1">
            <w:pPr>
              <w:spacing w:before="40" w:after="40"/>
              <w:rPr>
                <w:kern w:val="0"/>
                <w:sz w:val="18"/>
                <w:szCs w:val="18"/>
                <w:lang w:val="en-GB"/>
                <w14:ligatures w14:val="none"/>
              </w:rPr>
            </w:pPr>
            <w:r w:rsidRPr="00563AF8">
              <w:rPr>
                <w:sz w:val="18"/>
                <w:szCs w:val="18"/>
                <w:lang w:val="en-GB"/>
              </w:rPr>
              <w:t>Total participants</w:t>
            </w:r>
          </w:p>
        </w:tc>
        <w:tc>
          <w:tcPr>
            <w:tcW w:w="1401" w:type="dxa"/>
            <w:tcBorders>
              <w:top w:val="single" w:sz="4" w:space="0" w:color="auto"/>
            </w:tcBorders>
            <w:hideMark/>
          </w:tcPr>
          <w:p w14:paraId="523EFB34"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34,529</w:t>
            </w:r>
          </w:p>
        </w:tc>
        <w:tc>
          <w:tcPr>
            <w:tcW w:w="1343" w:type="dxa"/>
            <w:tcBorders>
              <w:top w:val="single" w:sz="4" w:space="0" w:color="auto"/>
            </w:tcBorders>
            <w:hideMark/>
          </w:tcPr>
          <w:p w14:paraId="5537E87C"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16,813</w:t>
            </w:r>
          </w:p>
        </w:tc>
        <w:tc>
          <w:tcPr>
            <w:tcW w:w="1252" w:type="dxa"/>
            <w:tcBorders>
              <w:top w:val="single" w:sz="4" w:space="0" w:color="auto"/>
            </w:tcBorders>
            <w:hideMark/>
          </w:tcPr>
          <w:p w14:paraId="5CDEBAC8"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16,768</w:t>
            </w:r>
          </w:p>
        </w:tc>
      </w:tr>
      <w:tr w:rsidR="00DF6032" w:rsidRPr="000C2FD5" w14:paraId="1A515C99"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76623E6A" w14:textId="77777777" w:rsidR="00DF6032" w:rsidRPr="00563AF8" w:rsidRDefault="00DF6032" w:rsidP="00FC5EF1">
            <w:pPr>
              <w:spacing w:before="40" w:after="40"/>
              <w:rPr>
                <w:kern w:val="0"/>
                <w:sz w:val="18"/>
                <w:szCs w:val="18"/>
                <w:lang w:val="en-GB"/>
                <w14:ligatures w14:val="none"/>
              </w:rPr>
            </w:pPr>
            <w:r w:rsidRPr="00563AF8">
              <w:rPr>
                <w:sz w:val="18"/>
                <w:szCs w:val="18"/>
                <w:lang w:val="en-GB"/>
              </w:rPr>
              <w:t>Age</w:t>
            </w:r>
          </w:p>
        </w:tc>
        <w:tc>
          <w:tcPr>
            <w:tcW w:w="1401" w:type="dxa"/>
            <w:hideMark/>
          </w:tcPr>
          <w:p w14:paraId="32017094" w14:textId="77777777" w:rsidR="00DF6032" w:rsidRPr="00563AF8" w:rsidRDefault="00DF6032" w:rsidP="00FC5EF1">
            <w:pPr>
              <w:spacing w:before="40" w:after="40"/>
              <w:jc w:val="right"/>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c>
          <w:tcPr>
            <w:tcW w:w="1343" w:type="dxa"/>
            <w:hideMark/>
          </w:tcPr>
          <w:p w14:paraId="7C48B235" w14:textId="77777777" w:rsidR="00DF6032" w:rsidRPr="00563AF8" w:rsidRDefault="00DF6032" w:rsidP="00FC5EF1">
            <w:pPr>
              <w:spacing w:before="40" w:after="40"/>
              <w:jc w:val="right"/>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c>
          <w:tcPr>
            <w:tcW w:w="1342" w:type="dxa"/>
            <w:gridSpan w:val="2"/>
            <w:hideMark/>
          </w:tcPr>
          <w:p w14:paraId="0BE9904C" w14:textId="77777777" w:rsidR="00DF6032" w:rsidRPr="00563AF8" w:rsidRDefault="00DF6032" w:rsidP="00FC5EF1">
            <w:pPr>
              <w:spacing w:before="40" w:after="40"/>
              <w:jc w:val="right"/>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r>
      <w:tr w:rsidR="00DF6032" w:rsidRPr="000C2FD5" w14:paraId="1173F579"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3E5A1AC5" w14:textId="77777777" w:rsidR="00DF6032" w:rsidRPr="00563AF8" w:rsidRDefault="00DF6032" w:rsidP="00FC5EF1">
            <w:pPr>
              <w:spacing w:before="40" w:after="40"/>
              <w:ind w:left="321"/>
              <w:rPr>
                <w:b w:val="0"/>
                <w:bCs w:val="0"/>
                <w:kern w:val="0"/>
                <w:sz w:val="18"/>
                <w:szCs w:val="18"/>
                <w:lang w:val="en-GB"/>
                <w14:ligatures w14:val="none"/>
              </w:rPr>
            </w:pPr>
            <w:r w:rsidRPr="00563AF8">
              <w:rPr>
                <w:sz w:val="18"/>
                <w:szCs w:val="18"/>
                <w:lang w:val="en-GB"/>
              </w:rPr>
              <w:t>18 - 24</w:t>
            </w:r>
          </w:p>
        </w:tc>
        <w:tc>
          <w:tcPr>
            <w:tcW w:w="1401" w:type="dxa"/>
            <w:hideMark/>
          </w:tcPr>
          <w:p w14:paraId="21C1D275"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2,871 (8.3%)</w:t>
            </w:r>
          </w:p>
        </w:tc>
        <w:tc>
          <w:tcPr>
            <w:tcW w:w="1343" w:type="dxa"/>
            <w:hideMark/>
          </w:tcPr>
          <w:p w14:paraId="23B392A5"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3,202 (19.0%)</w:t>
            </w:r>
          </w:p>
        </w:tc>
        <w:tc>
          <w:tcPr>
            <w:tcW w:w="1342" w:type="dxa"/>
            <w:gridSpan w:val="2"/>
            <w:hideMark/>
          </w:tcPr>
          <w:p w14:paraId="3B0D8A00"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588 (3.5%)</w:t>
            </w:r>
          </w:p>
        </w:tc>
      </w:tr>
      <w:tr w:rsidR="00DF6032" w:rsidRPr="000C2FD5" w14:paraId="6BDBC7FF"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289CE3C6" w14:textId="77777777" w:rsidR="00DF6032" w:rsidRPr="00563AF8" w:rsidRDefault="00DF6032" w:rsidP="00FC5EF1">
            <w:pPr>
              <w:spacing w:before="40" w:after="40"/>
              <w:ind w:left="321"/>
              <w:rPr>
                <w:b w:val="0"/>
                <w:bCs w:val="0"/>
                <w:kern w:val="0"/>
                <w:sz w:val="18"/>
                <w:szCs w:val="18"/>
                <w:lang w:val="en-GB"/>
                <w14:ligatures w14:val="none"/>
              </w:rPr>
            </w:pPr>
            <w:r w:rsidRPr="00563AF8">
              <w:rPr>
                <w:sz w:val="18"/>
                <w:szCs w:val="18"/>
                <w:lang w:val="en-GB"/>
              </w:rPr>
              <w:t>25 - 34</w:t>
            </w:r>
          </w:p>
        </w:tc>
        <w:tc>
          <w:tcPr>
            <w:tcW w:w="1401" w:type="dxa"/>
            <w:hideMark/>
          </w:tcPr>
          <w:p w14:paraId="25DADAFA"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6,908 (20.0%)</w:t>
            </w:r>
          </w:p>
        </w:tc>
        <w:tc>
          <w:tcPr>
            <w:tcW w:w="1343" w:type="dxa"/>
            <w:hideMark/>
          </w:tcPr>
          <w:p w14:paraId="580F7D90"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9,217 (54.8%)</w:t>
            </w:r>
          </w:p>
        </w:tc>
        <w:tc>
          <w:tcPr>
            <w:tcW w:w="1342" w:type="dxa"/>
            <w:gridSpan w:val="2"/>
            <w:hideMark/>
          </w:tcPr>
          <w:p w14:paraId="6550E7DC"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1,177 (7.0%)</w:t>
            </w:r>
          </w:p>
        </w:tc>
      </w:tr>
      <w:tr w:rsidR="00DF6032" w:rsidRPr="000C2FD5" w14:paraId="51DE28F6"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6994831C" w14:textId="77777777" w:rsidR="00DF6032" w:rsidRPr="00563AF8" w:rsidRDefault="00DF6032" w:rsidP="00FC5EF1">
            <w:pPr>
              <w:spacing w:before="40" w:after="40"/>
              <w:ind w:left="321"/>
              <w:rPr>
                <w:b w:val="0"/>
                <w:bCs w:val="0"/>
                <w:kern w:val="0"/>
                <w:sz w:val="18"/>
                <w:szCs w:val="18"/>
                <w:lang w:val="en-GB"/>
                <w14:ligatures w14:val="none"/>
              </w:rPr>
            </w:pPr>
            <w:r w:rsidRPr="00563AF8">
              <w:rPr>
                <w:sz w:val="18"/>
                <w:szCs w:val="18"/>
                <w:lang w:val="en-GB"/>
              </w:rPr>
              <w:t>35 - 44</w:t>
            </w:r>
          </w:p>
        </w:tc>
        <w:tc>
          <w:tcPr>
            <w:tcW w:w="1401" w:type="dxa"/>
            <w:hideMark/>
          </w:tcPr>
          <w:p w14:paraId="0176C495"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6,675(19.3%)</w:t>
            </w:r>
          </w:p>
        </w:tc>
        <w:tc>
          <w:tcPr>
            <w:tcW w:w="1343" w:type="dxa"/>
            <w:hideMark/>
          </w:tcPr>
          <w:p w14:paraId="446041D3"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4,316 (25.7)</w:t>
            </w:r>
          </w:p>
        </w:tc>
        <w:tc>
          <w:tcPr>
            <w:tcW w:w="1342" w:type="dxa"/>
            <w:gridSpan w:val="2"/>
            <w:hideMark/>
          </w:tcPr>
          <w:p w14:paraId="3BCA1040"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2,098 (12.5%)</w:t>
            </w:r>
          </w:p>
        </w:tc>
      </w:tr>
      <w:tr w:rsidR="00DF6032" w:rsidRPr="000C2FD5" w14:paraId="63ED0A6D"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52D64AAB" w14:textId="77777777" w:rsidR="00DF6032" w:rsidRPr="00563AF8" w:rsidRDefault="00DF6032" w:rsidP="00FC5EF1">
            <w:pPr>
              <w:spacing w:before="40" w:after="40"/>
              <w:ind w:left="321"/>
              <w:rPr>
                <w:b w:val="0"/>
                <w:bCs w:val="0"/>
                <w:kern w:val="0"/>
                <w:sz w:val="18"/>
                <w:szCs w:val="18"/>
                <w:lang w:val="en-GB"/>
                <w14:ligatures w14:val="none"/>
              </w:rPr>
            </w:pPr>
            <w:r w:rsidRPr="00563AF8">
              <w:rPr>
                <w:sz w:val="18"/>
                <w:szCs w:val="18"/>
                <w:lang w:val="en-GB"/>
              </w:rPr>
              <w:t>45 - 54</w:t>
            </w:r>
          </w:p>
        </w:tc>
        <w:tc>
          <w:tcPr>
            <w:tcW w:w="1401" w:type="dxa"/>
            <w:hideMark/>
          </w:tcPr>
          <w:p w14:paraId="01FB7225"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6,573 (19.0%)</w:t>
            </w:r>
          </w:p>
        </w:tc>
        <w:tc>
          <w:tcPr>
            <w:tcW w:w="1343" w:type="dxa"/>
            <w:hideMark/>
          </w:tcPr>
          <w:p w14:paraId="265697C3"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63 (0.4%)</w:t>
            </w:r>
          </w:p>
        </w:tc>
        <w:tc>
          <w:tcPr>
            <w:tcW w:w="1342" w:type="dxa"/>
            <w:gridSpan w:val="2"/>
            <w:hideMark/>
          </w:tcPr>
          <w:p w14:paraId="6308CEA9"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3,432 (20.5%)</w:t>
            </w:r>
          </w:p>
        </w:tc>
      </w:tr>
      <w:tr w:rsidR="00DF6032" w:rsidRPr="000C2FD5" w14:paraId="03491A93"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17B5DA0E" w14:textId="77777777" w:rsidR="00DF6032" w:rsidRPr="00563AF8" w:rsidRDefault="00DF6032" w:rsidP="00FC5EF1">
            <w:pPr>
              <w:spacing w:before="40" w:after="40"/>
              <w:ind w:left="321"/>
              <w:rPr>
                <w:b w:val="0"/>
                <w:bCs w:val="0"/>
                <w:kern w:val="0"/>
                <w:sz w:val="18"/>
                <w:szCs w:val="18"/>
                <w:lang w:val="en-GB"/>
                <w14:ligatures w14:val="none"/>
              </w:rPr>
            </w:pPr>
            <w:r w:rsidRPr="00563AF8">
              <w:rPr>
                <w:sz w:val="18"/>
                <w:szCs w:val="18"/>
                <w:lang w:val="en-GB"/>
              </w:rPr>
              <w:t>55 - 64</w:t>
            </w:r>
          </w:p>
        </w:tc>
        <w:tc>
          <w:tcPr>
            <w:tcW w:w="1401" w:type="dxa"/>
            <w:hideMark/>
          </w:tcPr>
          <w:p w14:paraId="367B187D"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5,748 (16.6%)</w:t>
            </w:r>
          </w:p>
        </w:tc>
        <w:tc>
          <w:tcPr>
            <w:tcW w:w="1343" w:type="dxa"/>
            <w:hideMark/>
          </w:tcPr>
          <w:p w14:paraId="2B673F3D"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w:t>
            </w:r>
          </w:p>
        </w:tc>
        <w:tc>
          <w:tcPr>
            <w:tcW w:w="1342" w:type="dxa"/>
            <w:gridSpan w:val="2"/>
            <w:hideMark/>
          </w:tcPr>
          <w:p w14:paraId="32F1DA1B"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3,847 (22.9%)</w:t>
            </w:r>
          </w:p>
        </w:tc>
      </w:tr>
      <w:tr w:rsidR="00DF6032" w:rsidRPr="000C2FD5" w14:paraId="143DEF79"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268D27EF" w14:textId="77777777" w:rsidR="00DF6032" w:rsidRPr="00563AF8" w:rsidRDefault="00DF6032" w:rsidP="00FC5EF1">
            <w:pPr>
              <w:spacing w:before="40" w:after="40"/>
              <w:ind w:left="321"/>
              <w:rPr>
                <w:b w:val="0"/>
                <w:bCs w:val="0"/>
                <w:kern w:val="0"/>
                <w:sz w:val="18"/>
                <w:szCs w:val="18"/>
                <w:lang w:val="en-GB"/>
                <w14:ligatures w14:val="none"/>
              </w:rPr>
            </w:pPr>
            <w:r w:rsidRPr="00563AF8">
              <w:rPr>
                <w:sz w:val="18"/>
                <w:szCs w:val="18"/>
                <w:lang w:val="en-GB"/>
              </w:rPr>
              <w:t>65 - 74</w:t>
            </w:r>
          </w:p>
        </w:tc>
        <w:tc>
          <w:tcPr>
            <w:tcW w:w="1401" w:type="dxa"/>
            <w:hideMark/>
          </w:tcPr>
          <w:p w14:paraId="1041CDF4"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3,478 (10.1%)</w:t>
            </w:r>
          </w:p>
        </w:tc>
        <w:tc>
          <w:tcPr>
            <w:tcW w:w="1343" w:type="dxa"/>
            <w:hideMark/>
          </w:tcPr>
          <w:p w14:paraId="4786B0C1"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w:t>
            </w:r>
          </w:p>
        </w:tc>
        <w:tc>
          <w:tcPr>
            <w:tcW w:w="1342" w:type="dxa"/>
            <w:gridSpan w:val="2"/>
            <w:hideMark/>
          </w:tcPr>
          <w:p w14:paraId="1537AEE9"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3,203 (19.1%)</w:t>
            </w:r>
          </w:p>
        </w:tc>
      </w:tr>
      <w:tr w:rsidR="00DF6032" w:rsidRPr="000C2FD5" w14:paraId="48425E6D"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2718ABBB" w14:textId="77777777" w:rsidR="00DF6032" w:rsidRPr="00563AF8" w:rsidRDefault="00DF6032" w:rsidP="00FC5EF1">
            <w:pPr>
              <w:spacing w:before="40" w:after="40"/>
              <w:ind w:left="321"/>
              <w:rPr>
                <w:b w:val="0"/>
                <w:bCs w:val="0"/>
                <w:kern w:val="0"/>
                <w:sz w:val="18"/>
                <w:szCs w:val="18"/>
                <w:lang w:val="en-GB"/>
                <w14:ligatures w14:val="none"/>
              </w:rPr>
            </w:pPr>
            <w:r w:rsidRPr="00563AF8">
              <w:rPr>
                <w:sz w:val="18"/>
                <w:szCs w:val="18"/>
                <w:lang w:val="en-GB"/>
              </w:rPr>
              <w:t>&gt; 74</w:t>
            </w:r>
          </w:p>
        </w:tc>
        <w:tc>
          <w:tcPr>
            <w:tcW w:w="1401" w:type="dxa"/>
            <w:hideMark/>
          </w:tcPr>
          <w:p w14:paraId="7880F64D"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2,276 (6.6%)</w:t>
            </w:r>
          </w:p>
        </w:tc>
        <w:tc>
          <w:tcPr>
            <w:tcW w:w="1343" w:type="dxa"/>
            <w:hideMark/>
          </w:tcPr>
          <w:p w14:paraId="0675F238"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w:t>
            </w:r>
          </w:p>
        </w:tc>
        <w:tc>
          <w:tcPr>
            <w:tcW w:w="1342" w:type="dxa"/>
            <w:gridSpan w:val="2"/>
            <w:hideMark/>
          </w:tcPr>
          <w:p w14:paraId="75DA06C3"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2,423 (14.5%)</w:t>
            </w:r>
          </w:p>
        </w:tc>
      </w:tr>
      <w:tr w:rsidR="00DF6032" w:rsidRPr="000C2FD5" w14:paraId="550B5FF2"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352D518B" w14:textId="77777777" w:rsidR="00DF6032" w:rsidRPr="00563AF8" w:rsidRDefault="00DF6032" w:rsidP="00FC5EF1">
            <w:pPr>
              <w:spacing w:before="40" w:after="40"/>
              <w:ind w:left="321"/>
              <w:rPr>
                <w:b w:val="0"/>
                <w:bCs w:val="0"/>
                <w:kern w:val="0"/>
                <w:sz w:val="18"/>
                <w:szCs w:val="18"/>
                <w:lang w:val="en-GB"/>
                <w14:ligatures w14:val="none"/>
              </w:rPr>
            </w:pPr>
            <w:r w:rsidRPr="00563AF8">
              <w:rPr>
                <w:sz w:val="18"/>
                <w:szCs w:val="18"/>
                <w:lang w:val="en-GB"/>
              </w:rPr>
              <w:t>Missing</w:t>
            </w:r>
          </w:p>
        </w:tc>
        <w:tc>
          <w:tcPr>
            <w:tcW w:w="1401" w:type="dxa"/>
            <w:hideMark/>
          </w:tcPr>
          <w:p w14:paraId="269E0216"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c>
          <w:tcPr>
            <w:tcW w:w="1343" w:type="dxa"/>
            <w:hideMark/>
          </w:tcPr>
          <w:p w14:paraId="16C2CF80"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15 (0.1%)</w:t>
            </w:r>
          </w:p>
        </w:tc>
        <w:tc>
          <w:tcPr>
            <w:tcW w:w="1342" w:type="dxa"/>
            <w:gridSpan w:val="2"/>
            <w:hideMark/>
          </w:tcPr>
          <w:p w14:paraId="4A9F1C3E"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w:t>
            </w:r>
          </w:p>
        </w:tc>
      </w:tr>
      <w:tr w:rsidR="00DF6032" w:rsidRPr="000C2FD5" w14:paraId="772603A4"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306CB68F" w14:textId="77777777" w:rsidR="00DF6032" w:rsidRPr="00563AF8" w:rsidRDefault="00DF6032" w:rsidP="00FC5EF1">
            <w:pPr>
              <w:spacing w:before="40" w:after="40"/>
              <w:rPr>
                <w:kern w:val="0"/>
                <w:sz w:val="18"/>
                <w:szCs w:val="18"/>
                <w:lang w:val="en-GB"/>
                <w14:ligatures w14:val="none"/>
              </w:rPr>
            </w:pPr>
            <w:r w:rsidRPr="00563AF8">
              <w:rPr>
                <w:sz w:val="18"/>
                <w:szCs w:val="18"/>
                <w:lang w:val="en-GB"/>
              </w:rPr>
              <w:t>Sex</w:t>
            </w:r>
          </w:p>
        </w:tc>
        <w:tc>
          <w:tcPr>
            <w:tcW w:w="1401" w:type="dxa"/>
            <w:hideMark/>
          </w:tcPr>
          <w:p w14:paraId="55A45826"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c>
          <w:tcPr>
            <w:tcW w:w="1343" w:type="dxa"/>
            <w:hideMark/>
          </w:tcPr>
          <w:p w14:paraId="1CD69F98"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c>
          <w:tcPr>
            <w:tcW w:w="1342" w:type="dxa"/>
            <w:gridSpan w:val="2"/>
            <w:hideMark/>
          </w:tcPr>
          <w:p w14:paraId="70B5525F"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r>
      <w:tr w:rsidR="00DF6032" w:rsidRPr="000C2FD5" w14:paraId="180DD834" w14:textId="77777777" w:rsidTr="00FC5EF1">
        <w:trPr>
          <w:trHeight w:val="307"/>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0866919C" w14:textId="77777777" w:rsidR="00DF6032" w:rsidRPr="00563AF8" w:rsidRDefault="00DF6032" w:rsidP="00FC5EF1">
            <w:pPr>
              <w:spacing w:before="40" w:after="40"/>
              <w:ind w:left="320"/>
              <w:rPr>
                <w:b w:val="0"/>
                <w:bCs w:val="0"/>
                <w:kern w:val="0"/>
                <w:sz w:val="18"/>
                <w:szCs w:val="18"/>
                <w:lang w:val="en-GB"/>
                <w14:ligatures w14:val="none"/>
              </w:rPr>
            </w:pPr>
            <w:r w:rsidRPr="00563AF8">
              <w:rPr>
                <w:sz w:val="18"/>
                <w:szCs w:val="18"/>
                <w:lang w:val="en-GB"/>
              </w:rPr>
              <w:t>Female</w:t>
            </w:r>
          </w:p>
        </w:tc>
        <w:tc>
          <w:tcPr>
            <w:tcW w:w="1401" w:type="dxa"/>
            <w:hideMark/>
          </w:tcPr>
          <w:p w14:paraId="61ECB7DB"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20,372 (59.0%)</w:t>
            </w:r>
          </w:p>
        </w:tc>
        <w:tc>
          <w:tcPr>
            <w:tcW w:w="1343" w:type="dxa"/>
            <w:hideMark/>
          </w:tcPr>
          <w:p w14:paraId="51563083"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16,813 (100%)</w:t>
            </w:r>
          </w:p>
        </w:tc>
        <w:tc>
          <w:tcPr>
            <w:tcW w:w="1342" w:type="dxa"/>
            <w:gridSpan w:val="2"/>
            <w:hideMark/>
          </w:tcPr>
          <w:p w14:paraId="728FF744"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8,859 (52.8%)</w:t>
            </w:r>
          </w:p>
        </w:tc>
      </w:tr>
      <w:tr w:rsidR="00DF6032" w:rsidRPr="000C2FD5" w14:paraId="52122947" w14:textId="77777777" w:rsidTr="00FC5EF1">
        <w:trPr>
          <w:trHeight w:val="433"/>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662BF6F7" w14:textId="77777777" w:rsidR="00DF6032" w:rsidRPr="00563AF8" w:rsidRDefault="00DF6032" w:rsidP="00FC5EF1">
            <w:pPr>
              <w:spacing w:before="40" w:after="40"/>
              <w:ind w:left="320"/>
              <w:rPr>
                <w:kern w:val="0"/>
                <w:sz w:val="18"/>
                <w:szCs w:val="18"/>
                <w:lang w:val="en-GB"/>
                <w14:ligatures w14:val="none"/>
              </w:rPr>
            </w:pPr>
            <w:r w:rsidRPr="00563AF8">
              <w:rPr>
                <w:sz w:val="18"/>
                <w:szCs w:val="18"/>
                <w:lang w:val="en-GB"/>
              </w:rPr>
              <w:t>Male</w:t>
            </w:r>
          </w:p>
        </w:tc>
        <w:tc>
          <w:tcPr>
            <w:tcW w:w="1401" w:type="dxa"/>
            <w:hideMark/>
          </w:tcPr>
          <w:p w14:paraId="3FAE44C9"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14,157 (41.0%)</w:t>
            </w:r>
          </w:p>
        </w:tc>
        <w:tc>
          <w:tcPr>
            <w:tcW w:w="1343" w:type="dxa"/>
            <w:hideMark/>
          </w:tcPr>
          <w:p w14:paraId="1B91B1CE"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w:t>
            </w:r>
          </w:p>
        </w:tc>
        <w:tc>
          <w:tcPr>
            <w:tcW w:w="1342" w:type="dxa"/>
            <w:gridSpan w:val="2"/>
            <w:hideMark/>
          </w:tcPr>
          <w:p w14:paraId="3F5EFD0F"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7,909 (47.2%)</w:t>
            </w:r>
          </w:p>
          <w:p w14:paraId="3A1EFE65"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r>
      <w:tr w:rsidR="00DF6032" w:rsidRPr="000C2FD5" w14:paraId="32F15971"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1DC678AA" w14:textId="77777777" w:rsidR="00DF6032" w:rsidRPr="00563AF8" w:rsidRDefault="00DF6032" w:rsidP="00FC5EF1">
            <w:pPr>
              <w:spacing w:before="40" w:after="40"/>
              <w:rPr>
                <w:kern w:val="0"/>
                <w:sz w:val="18"/>
                <w:szCs w:val="18"/>
                <w:lang w:val="en-GB"/>
                <w14:ligatures w14:val="none"/>
              </w:rPr>
            </w:pPr>
            <w:r w:rsidRPr="00563AF8">
              <w:rPr>
                <w:sz w:val="18"/>
                <w:szCs w:val="18"/>
                <w:lang w:val="en-GB"/>
              </w:rPr>
              <w:t>Region where the study was conducted</w:t>
            </w:r>
            <w:r w:rsidRPr="00563AF8">
              <w:rPr>
                <w:sz w:val="18"/>
                <w:szCs w:val="18"/>
                <w:vertAlign w:val="superscript"/>
                <w:lang w:val="en-GB"/>
              </w:rPr>
              <w:t>a</w:t>
            </w:r>
          </w:p>
        </w:tc>
        <w:tc>
          <w:tcPr>
            <w:tcW w:w="1401" w:type="dxa"/>
            <w:hideMark/>
          </w:tcPr>
          <w:p w14:paraId="620FCC80"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c>
          <w:tcPr>
            <w:tcW w:w="1343" w:type="dxa"/>
            <w:hideMark/>
          </w:tcPr>
          <w:p w14:paraId="132533ED"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c>
          <w:tcPr>
            <w:tcW w:w="1342" w:type="dxa"/>
            <w:gridSpan w:val="2"/>
            <w:hideMark/>
          </w:tcPr>
          <w:p w14:paraId="1545D461"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r>
      <w:tr w:rsidR="00DF6032" w:rsidRPr="000C2FD5" w14:paraId="67B8CB62"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70011379" w14:textId="77777777" w:rsidR="00DF6032" w:rsidRPr="00563AF8" w:rsidRDefault="00DF6032" w:rsidP="00FC5EF1">
            <w:pPr>
              <w:spacing w:before="40" w:after="40"/>
              <w:ind w:left="320"/>
              <w:rPr>
                <w:b w:val="0"/>
                <w:bCs w:val="0"/>
                <w:kern w:val="0"/>
                <w:sz w:val="18"/>
                <w:szCs w:val="18"/>
                <w:lang w:val="en-GB"/>
                <w14:ligatures w14:val="none"/>
              </w:rPr>
            </w:pPr>
            <w:r w:rsidRPr="00563AF8">
              <w:rPr>
                <w:sz w:val="18"/>
                <w:szCs w:val="18"/>
                <w:lang w:val="en-GB"/>
              </w:rPr>
              <w:t>African Region</w:t>
            </w:r>
          </w:p>
        </w:tc>
        <w:tc>
          <w:tcPr>
            <w:tcW w:w="1401" w:type="dxa"/>
            <w:hideMark/>
          </w:tcPr>
          <w:p w14:paraId="7454F779"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color w:val="222222"/>
                <w:kern w:val="0"/>
                <w:sz w:val="18"/>
                <w:szCs w:val="18"/>
                <w:lang w:val="en-GB"/>
                <w14:ligatures w14:val="none"/>
              </w:rPr>
            </w:pPr>
            <w:r w:rsidRPr="00563AF8">
              <w:rPr>
                <w:color w:val="222222"/>
                <w:sz w:val="18"/>
                <w:szCs w:val="18"/>
                <w:lang w:val="en-GB"/>
              </w:rPr>
              <w:t>4,302 (12.5</w:t>
            </w:r>
            <w:r w:rsidRPr="00563AF8">
              <w:rPr>
                <w:sz w:val="18"/>
                <w:szCs w:val="18"/>
                <w:lang w:val="en-GB"/>
              </w:rPr>
              <w:t>%</w:t>
            </w:r>
            <w:r w:rsidRPr="00563AF8">
              <w:rPr>
                <w:color w:val="222222"/>
                <w:sz w:val="18"/>
                <w:szCs w:val="18"/>
                <w:lang w:val="en-GB"/>
              </w:rPr>
              <w:t>)</w:t>
            </w:r>
          </w:p>
        </w:tc>
        <w:tc>
          <w:tcPr>
            <w:tcW w:w="1343" w:type="dxa"/>
            <w:hideMark/>
          </w:tcPr>
          <w:p w14:paraId="7AA6DA29"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923 (5.5%)</w:t>
            </w:r>
          </w:p>
        </w:tc>
        <w:tc>
          <w:tcPr>
            <w:tcW w:w="1342" w:type="dxa"/>
            <w:gridSpan w:val="2"/>
            <w:hideMark/>
          </w:tcPr>
          <w:p w14:paraId="6E0C44D0"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0 (0%)</w:t>
            </w:r>
          </w:p>
        </w:tc>
      </w:tr>
      <w:tr w:rsidR="00DF6032" w:rsidRPr="000C2FD5" w14:paraId="1D08CE47"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375F5721" w14:textId="77777777" w:rsidR="00DF6032" w:rsidRPr="00563AF8" w:rsidRDefault="00DF6032" w:rsidP="00FC5EF1">
            <w:pPr>
              <w:spacing w:before="40" w:after="40"/>
              <w:ind w:left="320"/>
              <w:rPr>
                <w:b w:val="0"/>
                <w:bCs w:val="0"/>
                <w:kern w:val="0"/>
                <w:sz w:val="18"/>
                <w:szCs w:val="18"/>
                <w:lang w:val="en-GB"/>
                <w14:ligatures w14:val="none"/>
              </w:rPr>
            </w:pPr>
            <w:r w:rsidRPr="00563AF8">
              <w:rPr>
                <w:sz w:val="18"/>
                <w:szCs w:val="18"/>
                <w:lang w:val="en-GB"/>
              </w:rPr>
              <w:t>Eastern Mediterranean Region</w:t>
            </w:r>
          </w:p>
        </w:tc>
        <w:tc>
          <w:tcPr>
            <w:tcW w:w="1401" w:type="dxa"/>
            <w:hideMark/>
          </w:tcPr>
          <w:p w14:paraId="5F9E4F60"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200 (0.6%)</w:t>
            </w:r>
          </w:p>
        </w:tc>
        <w:tc>
          <w:tcPr>
            <w:tcW w:w="1343" w:type="dxa"/>
            <w:hideMark/>
          </w:tcPr>
          <w:p w14:paraId="5757ED2A"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40 (0.2%)</w:t>
            </w:r>
          </w:p>
        </w:tc>
        <w:tc>
          <w:tcPr>
            <w:tcW w:w="1342" w:type="dxa"/>
            <w:gridSpan w:val="2"/>
            <w:hideMark/>
          </w:tcPr>
          <w:p w14:paraId="6332558C"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135 (0.8%)</w:t>
            </w:r>
          </w:p>
        </w:tc>
      </w:tr>
      <w:tr w:rsidR="00DF6032" w:rsidRPr="000C2FD5" w14:paraId="47D1C2EC"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75DE3B47" w14:textId="77777777" w:rsidR="00DF6032" w:rsidRPr="00563AF8" w:rsidRDefault="00DF6032" w:rsidP="00FC5EF1">
            <w:pPr>
              <w:spacing w:before="40" w:after="40"/>
              <w:ind w:left="320"/>
              <w:rPr>
                <w:b w:val="0"/>
                <w:bCs w:val="0"/>
                <w:kern w:val="0"/>
                <w:sz w:val="18"/>
                <w:szCs w:val="18"/>
                <w:lang w:val="en-GB"/>
                <w14:ligatures w14:val="none"/>
              </w:rPr>
            </w:pPr>
            <w:r w:rsidRPr="00563AF8">
              <w:rPr>
                <w:sz w:val="18"/>
                <w:szCs w:val="18"/>
                <w:lang w:val="en-GB"/>
              </w:rPr>
              <w:t>European Region</w:t>
            </w:r>
          </w:p>
        </w:tc>
        <w:tc>
          <w:tcPr>
            <w:tcW w:w="1401" w:type="dxa"/>
            <w:hideMark/>
          </w:tcPr>
          <w:p w14:paraId="6995098D"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6,018 (17.4%)</w:t>
            </w:r>
          </w:p>
        </w:tc>
        <w:tc>
          <w:tcPr>
            <w:tcW w:w="1343" w:type="dxa"/>
            <w:hideMark/>
          </w:tcPr>
          <w:p w14:paraId="159C62AE"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4,495 (26.7%)</w:t>
            </w:r>
          </w:p>
        </w:tc>
        <w:tc>
          <w:tcPr>
            <w:tcW w:w="1342" w:type="dxa"/>
            <w:gridSpan w:val="2"/>
            <w:hideMark/>
          </w:tcPr>
          <w:p w14:paraId="2B827BBD"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9,676 (57.7%)</w:t>
            </w:r>
          </w:p>
        </w:tc>
      </w:tr>
      <w:tr w:rsidR="00DF6032" w:rsidRPr="000C2FD5" w14:paraId="65D07131"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552FB997" w14:textId="77777777" w:rsidR="00DF6032" w:rsidRPr="00563AF8" w:rsidRDefault="00DF6032" w:rsidP="00FC5EF1">
            <w:pPr>
              <w:spacing w:before="40" w:after="40"/>
              <w:ind w:left="320"/>
              <w:rPr>
                <w:b w:val="0"/>
                <w:bCs w:val="0"/>
                <w:kern w:val="0"/>
                <w:sz w:val="18"/>
                <w:szCs w:val="18"/>
                <w:lang w:val="en-GB"/>
                <w14:ligatures w14:val="none"/>
              </w:rPr>
            </w:pPr>
            <w:r w:rsidRPr="00563AF8">
              <w:rPr>
                <w:sz w:val="18"/>
                <w:szCs w:val="18"/>
                <w:lang w:val="en-GB"/>
              </w:rPr>
              <w:t>Region of Americas</w:t>
            </w:r>
          </w:p>
        </w:tc>
        <w:tc>
          <w:tcPr>
            <w:tcW w:w="1401" w:type="dxa"/>
            <w:hideMark/>
          </w:tcPr>
          <w:p w14:paraId="22EFB83D"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10,268 (29.7%)</w:t>
            </w:r>
          </w:p>
        </w:tc>
        <w:tc>
          <w:tcPr>
            <w:tcW w:w="1343" w:type="dxa"/>
            <w:hideMark/>
          </w:tcPr>
          <w:p w14:paraId="617BC297"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8,910 (53.0%)</w:t>
            </w:r>
          </w:p>
        </w:tc>
        <w:tc>
          <w:tcPr>
            <w:tcW w:w="1342" w:type="dxa"/>
            <w:gridSpan w:val="2"/>
            <w:hideMark/>
          </w:tcPr>
          <w:p w14:paraId="63E5112A"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1,967 (11.7%)</w:t>
            </w:r>
          </w:p>
        </w:tc>
      </w:tr>
      <w:tr w:rsidR="00DF6032" w:rsidRPr="000C2FD5" w14:paraId="1F46C853"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08934516" w14:textId="77777777" w:rsidR="00DF6032" w:rsidRPr="00563AF8" w:rsidRDefault="00DF6032" w:rsidP="00FC5EF1">
            <w:pPr>
              <w:spacing w:before="40" w:after="40"/>
              <w:ind w:left="320"/>
              <w:rPr>
                <w:b w:val="0"/>
                <w:bCs w:val="0"/>
                <w:kern w:val="0"/>
                <w:sz w:val="18"/>
                <w:szCs w:val="18"/>
                <w:lang w:val="en-GB"/>
                <w14:ligatures w14:val="none"/>
              </w:rPr>
            </w:pPr>
            <w:r w:rsidRPr="00563AF8">
              <w:rPr>
                <w:sz w:val="18"/>
                <w:szCs w:val="18"/>
                <w:lang w:val="en-GB"/>
              </w:rPr>
              <w:t>South-East Asia Region</w:t>
            </w:r>
          </w:p>
        </w:tc>
        <w:tc>
          <w:tcPr>
            <w:tcW w:w="1401" w:type="dxa"/>
            <w:hideMark/>
          </w:tcPr>
          <w:p w14:paraId="14CE2022"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834 (2.4%)</w:t>
            </w:r>
          </w:p>
        </w:tc>
        <w:tc>
          <w:tcPr>
            <w:tcW w:w="1343" w:type="dxa"/>
            <w:hideMark/>
          </w:tcPr>
          <w:p w14:paraId="42B3623D"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1,106 (6.6%)</w:t>
            </w:r>
          </w:p>
        </w:tc>
        <w:tc>
          <w:tcPr>
            <w:tcW w:w="1342" w:type="dxa"/>
            <w:gridSpan w:val="2"/>
            <w:hideMark/>
          </w:tcPr>
          <w:p w14:paraId="76CC863D"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0 (0%)</w:t>
            </w:r>
          </w:p>
        </w:tc>
      </w:tr>
      <w:tr w:rsidR="00DF6032" w:rsidRPr="000C2FD5" w14:paraId="0DB8D303"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797FDCDC" w14:textId="77777777" w:rsidR="00DF6032" w:rsidRPr="00563AF8" w:rsidRDefault="00DF6032" w:rsidP="00FC5EF1">
            <w:pPr>
              <w:spacing w:before="40" w:after="40"/>
              <w:ind w:left="320"/>
              <w:rPr>
                <w:b w:val="0"/>
                <w:bCs w:val="0"/>
                <w:kern w:val="0"/>
                <w:sz w:val="18"/>
                <w:szCs w:val="18"/>
                <w:lang w:val="en-GB"/>
                <w14:ligatures w14:val="none"/>
              </w:rPr>
            </w:pPr>
            <w:r w:rsidRPr="00563AF8">
              <w:rPr>
                <w:sz w:val="18"/>
                <w:szCs w:val="18"/>
                <w:lang w:val="en-GB"/>
              </w:rPr>
              <w:t>Western Pacific Region</w:t>
            </w:r>
          </w:p>
        </w:tc>
        <w:tc>
          <w:tcPr>
            <w:tcW w:w="1401" w:type="dxa"/>
            <w:hideMark/>
          </w:tcPr>
          <w:p w14:paraId="3948D36A"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12,907 (37.4%)</w:t>
            </w:r>
          </w:p>
        </w:tc>
        <w:tc>
          <w:tcPr>
            <w:tcW w:w="1343" w:type="dxa"/>
            <w:hideMark/>
          </w:tcPr>
          <w:p w14:paraId="39E36E23"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1,339 (8.0%)</w:t>
            </w:r>
          </w:p>
        </w:tc>
        <w:tc>
          <w:tcPr>
            <w:tcW w:w="1342" w:type="dxa"/>
            <w:gridSpan w:val="2"/>
            <w:hideMark/>
          </w:tcPr>
          <w:p w14:paraId="65050C61"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4,990 (29.8%)</w:t>
            </w:r>
          </w:p>
        </w:tc>
      </w:tr>
      <w:tr w:rsidR="00DF6032" w:rsidRPr="000C2FD5" w14:paraId="6B910FA2"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0683D18A" w14:textId="77777777" w:rsidR="00DF6032" w:rsidRPr="00563AF8" w:rsidRDefault="00DF6032" w:rsidP="00FC5EF1">
            <w:pPr>
              <w:spacing w:before="40" w:after="40"/>
              <w:rPr>
                <w:kern w:val="0"/>
                <w:sz w:val="18"/>
                <w:szCs w:val="18"/>
                <w:lang w:val="en-GB"/>
                <w14:ligatures w14:val="none"/>
              </w:rPr>
            </w:pPr>
            <w:r w:rsidRPr="00563AF8">
              <w:rPr>
                <w:sz w:val="18"/>
                <w:szCs w:val="18"/>
                <w:lang w:val="en-GB"/>
              </w:rPr>
              <w:t>Human Development Index</w:t>
            </w:r>
            <w:r w:rsidRPr="00563AF8">
              <w:rPr>
                <w:sz w:val="18"/>
                <w:szCs w:val="18"/>
                <w:vertAlign w:val="superscript"/>
                <w:lang w:val="en-GB"/>
              </w:rPr>
              <w:t>b</w:t>
            </w:r>
          </w:p>
        </w:tc>
        <w:tc>
          <w:tcPr>
            <w:tcW w:w="1401" w:type="dxa"/>
            <w:hideMark/>
          </w:tcPr>
          <w:p w14:paraId="0A0A5E7F"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c>
          <w:tcPr>
            <w:tcW w:w="1343" w:type="dxa"/>
            <w:hideMark/>
          </w:tcPr>
          <w:p w14:paraId="4AD7ECED"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c>
          <w:tcPr>
            <w:tcW w:w="1342" w:type="dxa"/>
            <w:gridSpan w:val="2"/>
            <w:hideMark/>
          </w:tcPr>
          <w:p w14:paraId="58A9222D"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r>
      <w:tr w:rsidR="00DF6032" w:rsidRPr="000C2FD5" w14:paraId="595071E0"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37119A49" w14:textId="77777777" w:rsidR="00DF6032" w:rsidRPr="00563AF8" w:rsidRDefault="00DF6032" w:rsidP="00FC5EF1">
            <w:pPr>
              <w:spacing w:before="40" w:after="40"/>
              <w:ind w:left="320"/>
              <w:rPr>
                <w:b w:val="0"/>
                <w:bCs w:val="0"/>
                <w:kern w:val="0"/>
                <w:sz w:val="18"/>
                <w:szCs w:val="18"/>
                <w:lang w:val="en-GB"/>
                <w14:ligatures w14:val="none"/>
              </w:rPr>
            </w:pPr>
            <w:r w:rsidRPr="00563AF8">
              <w:rPr>
                <w:sz w:val="18"/>
                <w:szCs w:val="18"/>
                <w:lang w:val="en-GB"/>
              </w:rPr>
              <w:t>Very high</w:t>
            </w:r>
          </w:p>
        </w:tc>
        <w:tc>
          <w:tcPr>
            <w:tcW w:w="1401" w:type="dxa"/>
            <w:hideMark/>
          </w:tcPr>
          <w:p w14:paraId="3958B3AB"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26,144 (75.7%)</w:t>
            </w:r>
          </w:p>
        </w:tc>
        <w:tc>
          <w:tcPr>
            <w:tcW w:w="1343" w:type="dxa"/>
            <w:hideMark/>
          </w:tcPr>
          <w:p w14:paraId="1AF17619"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13,426 (79.9%)</w:t>
            </w:r>
          </w:p>
        </w:tc>
        <w:tc>
          <w:tcPr>
            <w:tcW w:w="1342" w:type="dxa"/>
            <w:gridSpan w:val="2"/>
            <w:hideMark/>
          </w:tcPr>
          <w:p w14:paraId="3C4C61CB"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16,379 (97.7%)</w:t>
            </w:r>
          </w:p>
        </w:tc>
      </w:tr>
      <w:tr w:rsidR="00DF6032" w:rsidRPr="000C2FD5" w14:paraId="50378D84"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7E2D8300" w14:textId="77777777" w:rsidR="00DF6032" w:rsidRPr="00563AF8" w:rsidRDefault="00DF6032" w:rsidP="00FC5EF1">
            <w:pPr>
              <w:spacing w:before="40" w:after="40"/>
              <w:ind w:left="320"/>
              <w:rPr>
                <w:b w:val="0"/>
                <w:bCs w:val="0"/>
                <w:kern w:val="0"/>
                <w:sz w:val="18"/>
                <w:szCs w:val="18"/>
                <w:lang w:val="en-GB"/>
                <w14:ligatures w14:val="none"/>
              </w:rPr>
            </w:pPr>
            <w:r w:rsidRPr="00563AF8">
              <w:rPr>
                <w:sz w:val="18"/>
                <w:szCs w:val="18"/>
                <w:lang w:val="en-GB"/>
              </w:rPr>
              <w:t>High</w:t>
            </w:r>
          </w:p>
        </w:tc>
        <w:tc>
          <w:tcPr>
            <w:tcW w:w="1401" w:type="dxa"/>
            <w:hideMark/>
          </w:tcPr>
          <w:p w14:paraId="33079508"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4,750 (13.8%)</w:t>
            </w:r>
          </w:p>
        </w:tc>
        <w:tc>
          <w:tcPr>
            <w:tcW w:w="1343" w:type="dxa"/>
            <w:hideMark/>
          </w:tcPr>
          <w:p w14:paraId="44ED1B76"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2,002 (11.9%)</w:t>
            </w:r>
          </w:p>
        </w:tc>
        <w:tc>
          <w:tcPr>
            <w:tcW w:w="1342" w:type="dxa"/>
            <w:gridSpan w:val="2"/>
            <w:hideMark/>
          </w:tcPr>
          <w:p w14:paraId="5743699D"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389 (2.3%)</w:t>
            </w:r>
          </w:p>
        </w:tc>
      </w:tr>
      <w:tr w:rsidR="00DF6032" w:rsidRPr="000C2FD5" w14:paraId="0C588345"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7E3CE6DA" w14:textId="77777777" w:rsidR="00DF6032" w:rsidRPr="00563AF8" w:rsidRDefault="00DF6032" w:rsidP="00FC5EF1">
            <w:pPr>
              <w:spacing w:before="40" w:after="40"/>
              <w:ind w:left="320"/>
              <w:rPr>
                <w:b w:val="0"/>
                <w:bCs w:val="0"/>
                <w:kern w:val="0"/>
                <w:sz w:val="18"/>
                <w:szCs w:val="18"/>
                <w:lang w:val="en-GB"/>
                <w14:ligatures w14:val="none"/>
              </w:rPr>
            </w:pPr>
            <w:r w:rsidRPr="00563AF8">
              <w:rPr>
                <w:sz w:val="18"/>
                <w:szCs w:val="18"/>
                <w:lang w:val="en-GB"/>
              </w:rPr>
              <w:t>Low or medium</w:t>
            </w:r>
          </w:p>
        </w:tc>
        <w:tc>
          <w:tcPr>
            <w:tcW w:w="1401" w:type="dxa"/>
            <w:hideMark/>
          </w:tcPr>
          <w:p w14:paraId="01713A9A"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3,635 (10.5%)</w:t>
            </w:r>
          </w:p>
        </w:tc>
        <w:tc>
          <w:tcPr>
            <w:tcW w:w="1343" w:type="dxa"/>
            <w:hideMark/>
          </w:tcPr>
          <w:p w14:paraId="6FE1CDBB"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1,385 (8.2%)</w:t>
            </w:r>
          </w:p>
        </w:tc>
        <w:tc>
          <w:tcPr>
            <w:tcW w:w="1342" w:type="dxa"/>
            <w:gridSpan w:val="2"/>
            <w:hideMark/>
          </w:tcPr>
          <w:p w14:paraId="449E6A15"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0 (0%)</w:t>
            </w:r>
          </w:p>
        </w:tc>
      </w:tr>
      <w:tr w:rsidR="00DF6032" w:rsidRPr="000C2FD5" w14:paraId="0B8636DB"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3AB0A72A" w14:textId="77777777" w:rsidR="00DF6032" w:rsidRPr="00563AF8" w:rsidRDefault="00DF6032" w:rsidP="00FC5EF1">
            <w:pPr>
              <w:spacing w:before="40" w:after="40"/>
              <w:rPr>
                <w:kern w:val="0"/>
                <w:sz w:val="18"/>
                <w:szCs w:val="18"/>
                <w:lang w:val="en-GB"/>
                <w14:ligatures w14:val="none"/>
              </w:rPr>
            </w:pPr>
            <w:r w:rsidRPr="00563AF8">
              <w:rPr>
                <w:sz w:val="18"/>
                <w:szCs w:val="18"/>
                <w:lang w:val="en-GB"/>
              </w:rPr>
              <w:t>Setting</w:t>
            </w:r>
          </w:p>
        </w:tc>
        <w:tc>
          <w:tcPr>
            <w:tcW w:w="1401" w:type="dxa"/>
            <w:hideMark/>
          </w:tcPr>
          <w:p w14:paraId="2609B978"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c>
          <w:tcPr>
            <w:tcW w:w="1343" w:type="dxa"/>
            <w:hideMark/>
          </w:tcPr>
          <w:p w14:paraId="5E1D07CF"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c>
          <w:tcPr>
            <w:tcW w:w="1342" w:type="dxa"/>
            <w:gridSpan w:val="2"/>
            <w:hideMark/>
          </w:tcPr>
          <w:p w14:paraId="1AC17A86"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r>
      <w:tr w:rsidR="00DF6032" w:rsidRPr="000C2FD5" w14:paraId="43E5A534"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36F330AC" w14:textId="77777777" w:rsidR="00DF6032" w:rsidRPr="00563AF8" w:rsidRDefault="00DF6032" w:rsidP="00FC5EF1">
            <w:pPr>
              <w:spacing w:before="40" w:after="40"/>
              <w:ind w:left="320"/>
              <w:rPr>
                <w:b w:val="0"/>
                <w:bCs w:val="0"/>
                <w:kern w:val="0"/>
                <w:sz w:val="18"/>
                <w:szCs w:val="18"/>
                <w:lang w:val="en-GB"/>
                <w14:ligatures w14:val="none"/>
              </w:rPr>
            </w:pPr>
            <w:r w:rsidRPr="00563AF8">
              <w:rPr>
                <w:sz w:val="18"/>
                <w:szCs w:val="18"/>
                <w:lang w:val="en-GB"/>
              </w:rPr>
              <w:t>Non-medical care</w:t>
            </w:r>
          </w:p>
        </w:tc>
        <w:tc>
          <w:tcPr>
            <w:tcW w:w="1401" w:type="dxa"/>
            <w:hideMark/>
          </w:tcPr>
          <w:p w14:paraId="2A9F0A68"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10,654 (30.9%)</w:t>
            </w:r>
          </w:p>
        </w:tc>
        <w:tc>
          <w:tcPr>
            <w:tcW w:w="1343" w:type="dxa"/>
            <w:hideMark/>
          </w:tcPr>
          <w:p w14:paraId="325EFC0B"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28 (0.2%)</w:t>
            </w:r>
          </w:p>
        </w:tc>
        <w:tc>
          <w:tcPr>
            <w:tcW w:w="1342" w:type="dxa"/>
            <w:gridSpan w:val="2"/>
            <w:hideMark/>
          </w:tcPr>
          <w:p w14:paraId="00F7F7AF"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 xml:space="preserve">1,813 (10.8%) </w:t>
            </w:r>
          </w:p>
        </w:tc>
      </w:tr>
      <w:tr w:rsidR="00DF6032" w:rsidRPr="000C2FD5" w14:paraId="1FA8F57E"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5BFF914F" w14:textId="77777777" w:rsidR="00DF6032" w:rsidRPr="00563AF8" w:rsidRDefault="00DF6032" w:rsidP="00FC5EF1">
            <w:pPr>
              <w:spacing w:before="40" w:after="40"/>
              <w:ind w:left="320"/>
              <w:rPr>
                <w:b w:val="0"/>
                <w:bCs w:val="0"/>
                <w:kern w:val="0"/>
                <w:sz w:val="18"/>
                <w:szCs w:val="18"/>
                <w:lang w:val="en-GB"/>
                <w14:ligatures w14:val="none"/>
              </w:rPr>
            </w:pPr>
            <w:r w:rsidRPr="00563AF8">
              <w:rPr>
                <w:sz w:val="18"/>
                <w:szCs w:val="18"/>
                <w:lang w:val="en-GB"/>
              </w:rPr>
              <w:t>Mixed inpatient and outpatient care</w:t>
            </w:r>
          </w:p>
        </w:tc>
        <w:tc>
          <w:tcPr>
            <w:tcW w:w="1401" w:type="dxa"/>
            <w:hideMark/>
          </w:tcPr>
          <w:p w14:paraId="76766BB2"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130 (0.4%)</w:t>
            </w:r>
          </w:p>
        </w:tc>
        <w:tc>
          <w:tcPr>
            <w:tcW w:w="1343" w:type="dxa"/>
            <w:hideMark/>
          </w:tcPr>
          <w:p w14:paraId="380E905D"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972 (5.8%)</w:t>
            </w:r>
          </w:p>
        </w:tc>
        <w:tc>
          <w:tcPr>
            <w:tcW w:w="1342" w:type="dxa"/>
            <w:gridSpan w:val="2"/>
            <w:hideMark/>
          </w:tcPr>
          <w:p w14:paraId="21C50DA3"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247 (1.5%)</w:t>
            </w:r>
          </w:p>
        </w:tc>
      </w:tr>
      <w:tr w:rsidR="00DF6032" w:rsidRPr="000C2FD5" w14:paraId="000C7029"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2FDE9CFE" w14:textId="77777777" w:rsidR="00DF6032" w:rsidRPr="00563AF8" w:rsidRDefault="00DF6032" w:rsidP="00FC5EF1">
            <w:pPr>
              <w:spacing w:before="40" w:after="40"/>
              <w:ind w:left="320"/>
              <w:rPr>
                <w:b w:val="0"/>
                <w:bCs w:val="0"/>
                <w:kern w:val="0"/>
                <w:sz w:val="18"/>
                <w:szCs w:val="18"/>
                <w:lang w:val="en-GB"/>
                <w14:ligatures w14:val="none"/>
              </w:rPr>
            </w:pPr>
            <w:r w:rsidRPr="00563AF8">
              <w:rPr>
                <w:sz w:val="18"/>
                <w:szCs w:val="18"/>
                <w:lang w:val="en-GB"/>
              </w:rPr>
              <w:t>Inpatient care</w:t>
            </w:r>
          </w:p>
        </w:tc>
        <w:tc>
          <w:tcPr>
            <w:tcW w:w="1401" w:type="dxa"/>
            <w:hideMark/>
          </w:tcPr>
          <w:p w14:paraId="0A399B49"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2,929 (8.5%)</w:t>
            </w:r>
          </w:p>
        </w:tc>
        <w:tc>
          <w:tcPr>
            <w:tcW w:w="1343" w:type="dxa"/>
            <w:hideMark/>
          </w:tcPr>
          <w:p w14:paraId="5F06FF48"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504 (3.0%)</w:t>
            </w:r>
          </w:p>
        </w:tc>
        <w:tc>
          <w:tcPr>
            <w:tcW w:w="1342" w:type="dxa"/>
            <w:gridSpan w:val="2"/>
            <w:hideMark/>
          </w:tcPr>
          <w:p w14:paraId="2A7C5D1A"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7,498 (44.7%)</w:t>
            </w:r>
          </w:p>
        </w:tc>
      </w:tr>
      <w:tr w:rsidR="00DF6032" w:rsidRPr="000C2FD5" w14:paraId="0B5F46B5"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783793D5" w14:textId="77777777" w:rsidR="00DF6032" w:rsidRPr="00563AF8" w:rsidRDefault="00DF6032" w:rsidP="00FC5EF1">
            <w:pPr>
              <w:spacing w:before="40" w:after="40"/>
              <w:ind w:left="320"/>
              <w:rPr>
                <w:b w:val="0"/>
                <w:bCs w:val="0"/>
                <w:kern w:val="0"/>
                <w:sz w:val="18"/>
                <w:szCs w:val="18"/>
                <w:lang w:val="en-GB"/>
                <w14:ligatures w14:val="none"/>
              </w:rPr>
            </w:pPr>
            <w:r w:rsidRPr="00563AF8">
              <w:rPr>
                <w:sz w:val="18"/>
                <w:szCs w:val="18"/>
                <w:lang w:val="en-GB"/>
              </w:rPr>
              <w:t>Outpatient care</w:t>
            </w:r>
          </w:p>
        </w:tc>
        <w:tc>
          <w:tcPr>
            <w:tcW w:w="1401" w:type="dxa"/>
            <w:hideMark/>
          </w:tcPr>
          <w:p w14:paraId="072F4267"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20,816 (60.3%)</w:t>
            </w:r>
          </w:p>
        </w:tc>
        <w:tc>
          <w:tcPr>
            <w:tcW w:w="1343" w:type="dxa"/>
            <w:hideMark/>
          </w:tcPr>
          <w:p w14:paraId="3B131973"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15,309 (91.1%)</w:t>
            </w:r>
          </w:p>
        </w:tc>
        <w:tc>
          <w:tcPr>
            <w:tcW w:w="1342" w:type="dxa"/>
            <w:gridSpan w:val="2"/>
            <w:hideMark/>
          </w:tcPr>
          <w:p w14:paraId="66C414CF"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7,210 (43.0%)</w:t>
            </w:r>
          </w:p>
        </w:tc>
      </w:tr>
      <w:tr w:rsidR="00DF6032" w:rsidRPr="000C2FD5" w14:paraId="3B1B24BB"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61284ABE" w14:textId="77777777" w:rsidR="00DF6032" w:rsidRPr="00563AF8" w:rsidRDefault="00DF6032" w:rsidP="00FC5EF1">
            <w:pPr>
              <w:spacing w:before="40" w:after="40"/>
              <w:rPr>
                <w:kern w:val="0"/>
                <w:sz w:val="18"/>
                <w:szCs w:val="18"/>
                <w:lang w:val="en-GB"/>
                <w14:ligatures w14:val="none"/>
              </w:rPr>
            </w:pPr>
            <w:r w:rsidRPr="00563AF8">
              <w:rPr>
                <w:sz w:val="18"/>
                <w:szCs w:val="18"/>
                <w:lang w:val="en-GB"/>
              </w:rPr>
              <w:t>Administration mode</w:t>
            </w:r>
          </w:p>
        </w:tc>
        <w:tc>
          <w:tcPr>
            <w:tcW w:w="1401" w:type="dxa"/>
            <w:hideMark/>
          </w:tcPr>
          <w:p w14:paraId="61C855AE"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c>
          <w:tcPr>
            <w:tcW w:w="1343" w:type="dxa"/>
            <w:hideMark/>
          </w:tcPr>
          <w:p w14:paraId="5D8BDB50"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c>
          <w:tcPr>
            <w:tcW w:w="1342" w:type="dxa"/>
            <w:gridSpan w:val="2"/>
            <w:hideMark/>
          </w:tcPr>
          <w:p w14:paraId="59696381"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r>
      <w:tr w:rsidR="00DF6032" w:rsidRPr="000C2FD5" w14:paraId="2C54A6DD"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1B5CDDBF" w14:textId="77777777" w:rsidR="00DF6032" w:rsidRPr="00563AF8" w:rsidRDefault="00DF6032" w:rsidP="00FC5EF1">
            <w:pPr>
              <w:spacing w:before="40" w:after="40"/>
              <w:ind w:left="320"/>
              <w:rPr>
                <w:b w:val="0"/>
                <w:bCs w:val="0"/>
                <w:kern w:val="0"/>
                <w:sz w:val="18"/>
                <w:szCs w:val="18"/>
                <w:lang w:val="en-GB"/>
                <w14:ligatures w14:val="none"/>
              </w:rPr>
            </w:pPr>
            <w:r w:rsidRPr="00563AF8">
              <w:rPr>
                <w:sz w:val="18"/>
                <w:szCs w:val="18"/>
                <w:lang w:val="en-GB"/>
              </w:rPr>
              <w:t>Self-administration</w:t>
            </w:r>
          </w:p>
        </w:tc>
        <w:tc>
          <w:tcPr>
            <w:tcW w:w="1401" w:type="dxa"/>
            <w:hideMark/>
          </w:tcPr>
          <w:p w14:paraId="54B3AA9F"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c>
          <w:tcPr>
            <w:tcW w:w="1343" w:type="dxa"/>
            <w:hideMark/>
          </w:tcPr>
          <w:p w14:paraId="0BA5857C"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c>
          <w:tcPr>
            <w:tcW w:w="1342" w:type="dxa"/>
            <w:gridSpan w:val="2"/>
            <w:hideMark/>
          </w:tcPr>
          <w:p w14:paraId="67FE92DA"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r>
      <w:tr w:rsidR="00DF6032" w:rsidRPr="000C2FD5" w14:paraId="70D9D853"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469234D1" w14:textId="77777777" w:rsidR="00DF6032" w:rsidRPr="00563AF8" w:rsidRDefault="00DF6032" w:rsidP="00FC5EF1">
            <w:pPr>
              <w:spacing w:before="40" w:after="40"/>
              <w:ind w:left="745"/>
              <w:rPr>
                <w:b w:val="0"/>
                <w:bCs w:val="0"/>
                <w:kern w:val="0"/>
                <w:sz w:val="18"/>
                <w:szCs w:val="18"/>
                <w:lang w:val="en-GB"/>
                <w14:ligatures w14:val="none"/>
              </w:rPr>
            </w:pPr>
            <w:r w:rsidRPr="00563AF8">
              <w:rPr>
                <w:sz w:val="18"/>
                <w:szCs w:val="18"/>
                <w:lang w:val="en-GB"/>
              </w:rPr>
              <w:t>Research or medical setting</w:t>
            </w:r>
          </w:p>
        </w:tc>
        <w:tc>
          <w:tcPr>
            <w:tcW w:w="1401" w:type="dxa"/>
            <w:hideMark/>
          </w:tcPr>
          <w:p w14:paraId="7201092B"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c>
          <w:tcPr>
            <w:tcW w:w="1343" w:type="dxa"/>
            <w:hideMark/>
          </w:tcPr>
          <w:p w14:paraId="2CC9AF42"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c>
          <w:tcPr>
            <w:tcW w:w="1342" w:type="dxa"/>
            <w:gridSpan w:val="2"/>
            <w:hideMark/>
          </w:tcPr>
          <w:p w14:paraId="50553B89"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r>
      <w:tr w:rsidR="00DF6032" w:rsidRPr="000C2FD5" w14:paraId="44F44AE2"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704CD505" w14:textId="77777777" w:rsidR="00DF6032" w:rsidRPr="00563AF8" w:rsidRDefault="00DF6032" w:rsidP="00FC5EF1">
            <w:pPr>
              <w:spacing w:before="40" w:after="40"/>
              <w:ind w:left="1170"/>
              <w:rPr>
                <w:b w:val="0"/>
                <w:bCs w:val="0"/>
                <w:kern w:val="0"/>
                <w:sz w:val="18"/>
                <w:szCs w:val="18"/>
                <w:lang w:val="en-GB"/>
                <w14:ligatures w14:val="none"/>
              </w:rPr>
            </w:pPr>
            <w:r w:rsidRPr="00563AF8">
              <w:rPr>
                <w:sz w:val="18"/>
                <w:szCs w:val="18"/>
                <w:lang w:val="en-GB"/>
              </w:rPr>
              <w:t>Pen-and-paper</w:t>
            </w:r>
          </w:p>
        </w:tc>
        <w:tc>
          <w:tcPr>
            <w:tcW w:w="1401" w:type="dxa"/>
            <w:hideMark/>
          </w:tcPr>
          <w:p w14:paraId="4E951E2C"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15,176 (44.0%)</w:t>
            </w:r>
          </w:p>
        </w:tc>
        <w:tc>
          <w:tcPr>
            <w:tcW w:w="1343" w:type="dxa"/>
            <w:hideMark/>
          </w:tcPr>
          <w:p w14:paraId="49B3537A"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2,618 (15.6%)</w:t>
            </w:r>
          </w:p>
        </w:tc>
        <w:tc>
          <w:tcPr>
            <w:tcW w:w="1342" w:type="dxa"/>
            <w:gridSpan w:val="2"/>
            <w:hideMark/>
          </w:tcPr>
          <w:p w14:paraId="7F9652D2"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9,721 (58.0%)</w:t>
            </w:r>
          </w:p>
        </w:tc>
      </w:tr>
      <w:tr w:rsidR="00DF6032" w:rsidRPr="000C2FD5" w14:paraId="53E0FC53"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6AE99F09" w14:textId="77777777" w:rsidR="00DF6032" w:rsidRPr="00563AF8" w:rsidRDefault="00DF6032" w:rsidP="00FC5EF1">
            <w:pPr>
              <w:spacing w:before="40" w:after="40"/>
              <w:ind w:left="1170"/>
              <w:rPr>
                <w:b w:val="0"/>
                <w:bCs w:val="0"/>
                <w:kern w:val="0"/>
                <w:sz w:val="18"/>
                <w:szCs w:val="18"/>
                <w:lang w:val="en-GB"/>
                <w14:ligatures w14:val="none"/>
              </w:rPr>
            </w:pPr>
            <w:r w:rsidRPr="00563AF8">
              <w:rPr>
                <w:sz w:val="18"/>
                <w:szCs w:val="18"/>
                <w:lang w:val="en-GB"/>
              </w:rPr>
              <w:t>Electronic</w:t>
            </w:r>
          </w:p>
        </w:tc>
        <w:tc>
          <w:tcPr>
            <w:tcW w:w="1401" w:type="dxa"/>
            <w:hideMark/>
          </w:tcPr>
          <w:p w14:paraId="1F86FB6E"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369 (1.1%)</w:t>
            </w:r>
          </w:p>
        </w:tc>
        <w:tc>
          <w:tcPr>
            <w:tcW w:w="1343" w:type="dxa"/>
            <w:hideMark/>
          </w:tcPr>
          <w:p w14:paraId="186878D0"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450 (2.7%)</w:t>
            </w:r>
          </w:p>
        </w:tc>
        <w:tc>
          <w:tcPr>
            <w:tcW w:w="1342" w:type="dxa"/>
            <w:gridSpan w:val="2"/>
            <w:hideMark/>
          </w:tcPr>
          <w:p w14:paraId="7AEF92D5"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164 (1.0%)</w:t>
            </w:r>
          </w:p>
        </w:tc>
      </w:tr>
      <w:tr w:rsidR="00DF6032" w:rsidRPr="000C2FD5" w14:paraId="73D318E4"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793CDB3C" w14:textId="77777777" w:rsidR="00DF6032" w:rsidRPr="00563AF8" w:rsidRDefault="00DF6032" w:rsidP="00FC5EF1">
            <w:pPr>
              <w:spacing w:before="40" w:after="40"/>
              <w:ind w:left="745"/>
              <w:rPr>
                <w:b w:val="0"/>
                <w:bCs w:val="0"/>
                <w:kern w:val="0"/>
                <w:sz w:val="18"/>
                <w:szCs w:val="18"/>
                <w:lang w:val="en-GB"/>
                <w14:ligatures w14:val="none"/>
              </w:rPr>
            </w:pPr>
            <w:r w:rsidRPr="00563AF8">
              <w:rPr>
                <w:sz w:val="18"/>
                <w:szCs w:val="18"/>
                <w:lang w:val="en-GB"/>
              </w:rPr>
              <w:t>Private setting (e.g., home)</w:t>
            </w:r>
          </w:p>
        </w:tc>
        <w:tc>
          <w:tcPr>
            <w:tcW w:w="1401" w:type="dxa"/>
            <w:hideMark/>
          </w:tcPr>
          <w:p w14:paraId="2EB379E5"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c>
          <w:tcPr>
            <w:tcW w:w="1343" w:type="dxa"/>
            <w:hideMark/>
          </w:tcPr>
          <w:p w14:paraId="36580BA7"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c>
          <w:tcPr>
            <w:tcW w:w="1342" w:type="dxa"/>
            <w:gridSpan w:val="2"/>
            <w:hideMark/>
          </w:tcPr>
          <w:p w14:paraId="6AC3C7C1"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r>
      <w:tr w:rsidR="00DF6032" w:rsidRPr="000C2FD5" w14:paraId="0C658AFB"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046EE49C" w14:textId="77777777" w:rsidR="00DF6032" w:rsidRPr="00563AF8" w:rsidRDefault="00DF6032" w:rsidP="00FC5EF1">
            <w:pPr>
              <w:spacing w:before="40" w:after="40"/>
              <w:ind w:left="1170"/>
              <w:rPr>
                <w:b w:val="0"/>
                <w:bCs w:val="0"/>
                <w:kern w:val="0"/>
                <w:sz w:val="18"/>
                <w:szCs w:val="18"/>
                <w:lang w:val="en-GB"/>
                <w14:ligatures w14:val="none"/>
              </w:rPr>
            </w:pPr>
            <w:r w:rsidRPr="00563AF8">
              <w:rPr>
                <w:sz w:val="18"/>
                <w:szCs w:val="18"/>
                <w:lang w:val="en-GB"/>
              </w:rPr>
              <w:t>Pen-and-paper </w:t>
            </w:r>
          </w:p>
        </w:tc>
        <w:tc>
          <w:tcPr>
            <w:tcW w:w="1401" w:type="dxa"/>
            <w:hideMark/>
          </w:tcPr>
          <w:p w14:paraId="2D44D8DD"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4,571 (13.2%)</w:t>
            </w:r>
          </w:p>
        </w:tc>
        <w:tc>
          <w:tcPr>
            <w:tcW w:w="1343" w:type="dxa"/>
            <w:hideMark/>
          </w:tcPr>
          <w:p w14:paraId="454065DC"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2,013 (12.0%)</w:t>
            </w:r>
          </w:p>
        </w:tc>
        <w:tc>
          <w:tcPr>
            <w:tcW w:w="1342" w:type="dxa"/>
            <w:gridSpan w:val="2"/>
            <w:hideMark/>
          </w:tcPr>
          <w:p w14:paraId="52907F04"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3,697 (22.0%)</w:t>
            </w:r>
          </w:p>
        </w:tc>
      </w:tr>
      <w:tr w:rsidR="00DF6032" w:rsidRPr="000C2FD5" w14:paraId="6F6FB590"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2E918073" w14:textId="77777777" w:rsidR="00DF6032" w:rsidRPr="00563AF8" w:rsidRDefault="00DF6032" w:rsidP="00FC5EF1">
            <w:pPr>
              <w:spacing w:before="40" w:after="40"/>
              <w:ind w:left="1170"/>
              <w:rPr>
                <w:b w:val="0"/>
                <w:bCs w:val="0"/>
                <w:kern w:val="0"/>
                <w:sz w:val="18"/>
                <w:szCs w:val="18"/>
                <w:lang w:val="en-GB"/>
                <w14:ligatures w14:val="none"/>
              </w:rPr>
            </w:pPr>
            <w:r w:rsidRPr="00563AF8">
              <w:rPr>
                <w:sz w:val="18"/>
                <w:szCs w:val="18"/>
                <w:lang w:val="en-GB"/>
              </w:rPr>
              <w:t>Electronic</w:t>
            </w:r>
          </w:p>
        </w:tc>
        <w:tc>
          <w:tcPr>
            <w:tcW w:w="1401" w:type="dxa"/>
            <w:hideMark/>
          </w:tcPr>
          <w:p w14:paraId="1EF97746"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1,142 (3.3%)</w:t>
            </w:r>
          </w:p>
        </w:tc>
        <w:tc>
          <w:tcPr>
            <w:tcW w:w="1343" w:type="dxa"/>
            <w:hideMark/>
          </w:tcPr>
          <w:p w14:paraId="63617472"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0 (0%)</w:t>
            </w:r>
          </w:p>
        </w:tc>
        <w:tc>
          <w:tcPr>
            <w:tcW w:w="1342" w:type="dxa"/>
            <w:gridSpan w:val="2"/>
            <w:hideMark/>
          </w:tcPr>
          <w:p w14:paraId="2CBD2636"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0 (0%)</w:t>
            </w:r>
          </w:p>
        </w:tc>
      </w:tr>
      <w:tr w:rsidR="00DF6032" w:rsidRPr="000C2FD5" w14:paraId="20CE4114"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2B954E40" w14:textId="77777777" w:rsidR="00DF6032" w:rsidRPr="00563AF8" w:rsidRDefault="00DF6032" w:rsidP="00FC5EF1">
            <w:pPr>
              <w:spacing w:before="40" w:after="40"/>
              <w:ind w:left="320"/>
              <w:rPr>
                <w:b w:val="0"/>
                <w:bCs w:val="0"/>
                <w:kern w:val="0"/>
                <w:sz w:val="18"/>
                <w:szCs w:val="18"/>
                <w:lang w:val="en-GB"/>
                <w14:ligatures w14:val="none"/>
              </w:rPr>
            </w:pPr>
            <w:r w:rsidRPr="00563AF8">
              <w:rPr>
                <w:sz w:val="18"/>
                <w:szCs w:val="18"/>
                <w:lang w:val="en-GB"/>
              </w:rPr>
              <w:t>Interview-administration</w:t>
            </w:r>
          </w:p>
        </w:tc>
        <w:tc>
          <w:tcPr>
            <w:tcW w:w="1401" w:type="dxa"/>
            <w:hideMark/>
          </w:tcPr>
          <w:p w14:paraId="19E7A752"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c>
          <w:tcPr>
            <w:tcW w:w="1343" w:type="dxa"/>
            <w:hideMark/>
          </w:tcPr>
          <w:p w14:paraId="670AC5DC"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c>
          <w:tcPr>
            <w:tcW w:w="1342" w:type="dxa"/>
            <w:gridSpan w:val="2"/>
            <w:hideMark/>
          </w:tcPr>
          <w:p w14:paraId="2355774B"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p>
        </w:tc>
      </w:tr>
      <w:tr w:rsidR="00DF6032" w:rsidRPr="000C2FD5" w14:paraId="6EECC79B"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23A36506" w14:textId="77777777" w:rsidR="00DF6032" w:rsidRPr="00563AF8" w:rsidRDefault="00DF6032" w:rsidP="00FC5EF1">
            <w:pPr>
              <w:spacing w:before="40" w:after="40"/>
              <w:ind w:left="745"/>
              <w:rPr>
                <w:b w:val="0"/>
                <w:bCs w:val="0"/>
                <w:kern w:val="0"/>
                <w:sz w:val="18"/>
                <w:szCs w:val="18"/>
                <w:lang w:val="en-GB"/>
                <w14:ligatures w14:val="none"/>
              </w:rPr>
            </w:pPr>
            <w:r w:rsidRPr="00563AF8">
              <w:rPr>
                <w:sz w:val="18"/>
                <w:szCs w:val="18"/>
                <w:lang w:val="en-GB"/>
              </w:rPr>
              <w:t>In-person</w:t>
            </w:r>
          </w:p>
        </w:tc>
        <w:tc>
          <w:tcPr>
            <w:tcW w:w="1401" w:type="dxa"/>
            <w:hideMark/>
          </w:tcPr>
          <w:p w14:paraId="4E6758F7"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7,494 (21.7)</w:t>
            </w:r>
          </w:p>
        </w:tc>
        <w:tc>
          <w:tcPr>
            <w:tcW w:w="1343" w:type="dxa"/>
            <w:hideMark/>
          </w:tcPr>
          <w:p w14:paraId="6DCCE800"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10,169 (60.4%)</w:t>
            </w:r>
          </w:p>
        </w:tc>
        <w:tc>
          <w:tcPr>
            <w:tcW w:w="1342" w:type="dxa"/>
            <w:gridSpan w:val="2"/>
            <w:hideMark/>
          </w:tcPr>
          <w:p w14:paraId="68ED33E5"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2,653 (15.8%)</w:t>
            </w:r>
          </w:p>
        </w:tc>
      </w:tr>
      <w:tr w:rsidR="00DF6032" w:rsidRPr="000C2FD5" w14:paraId="644E8BDF"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tcPr>
          <w:p w14:paraId="0CB28956" w14:textId="308E09FC" w:rsidR="00DF6032" w:rsidRPr="00563AF8" w:rsidRDefault="00DF6032" w:rsidP="00FC5EF1">
            <w:pPr>
              <w:spacing w:before="40" w:after="40"/>
              <w:ind w:left="745"/>
              <w:rPr>
                <w:kern w:val="0"/>
                <w:sz w:val="18"/>
                <w:szCs w:val="18"/>
                <w:lang w:val="en-GB"/>
                <w14:ligatures w14:val="none"/>
              </w:rPr>
            </w:pPr>
            <w:r w:rsidRPr="00563AF8">
              <w:rPr>
                <w:sz w:val="18"/>
                <w:szCs w:val="18"/>
                <w:lang w:val="en-GB"/>
              </w:rPr>
              <w:t>Videoconference</w:t>
            </w:r>
          </w:p>
        </w:tc>
        <w:tc>
          <w:tcPr>
            <w:tcW w:w="1401" w:type="dxa"/>
          </w:tcPr>
          <w:p w14:paraId="384B5DD1"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0 (0%)</w:t>
            </w:r>
          </w:p>
        </w:tc>
        <w:tc>
          <w:tcPr>
            <w:tcW w:w="1343" w:type="dxa"/>
          </w:tcPr>
          <w:p w14:paraId="3E5AEFE5"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0 (0%)</w:t>
            </w:r>
          </w:p>
        </w:tc>
        <w:tc>
          <w:tcPr>
            <w:tcW w:w="1342" w:type="dxa"/>
            <w:gridSpan w:val="2"/>
          </w:tcPr>
          <w:p w14:paraId="41B1FD48"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0 (0%)</w:t>
            </w:r>
          </w:p>
        </w:tc>
      </w:tr>
      <w:tr w:rsidR="00DF6032" w:rsidRPr="000C2FD5" w14:paraId="3FF3D57C"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3458C640" w14:textId="77777777" w:rsidR="00DF6032" w:rsidRPr="00563AF8" w:rsidRDefault="00DF6032" w:rsidP="00FC5EF1">
            <w:pPr>
              <w:spacing w:before="40" w:after="40"/>
              <w:ind w:left="745"/>
              <w:rPr>
                <w:b w:val="0"/>
                <w:bCs w:val="0"/>
                <w:kern w:val="0"/>
                <w:sz w:val="18"/>
                <w:szCs w:val="18"/>
                <w:lang w:val="en-GB"/>
                <w14:ligatures w14:val="none"/>
              </w:rPr>
            </w:pPr>
            <w:r w:rsidRPr="00563AF8">
              <w:rPr>
                <w:sz w:val="18"/>
                <w:szCs w:val="18"/>
                <w:lang w:val="en-GB"/>
              </w:rPr>
              <w:lastRenderedPageBreak/>
              <w:t>Phone</w:t>
            </w:r>
          </w:p>
        </w:tc>
        <w:tc>
          <w:tcPr>
            <w:tcW w:w="1401" w:type="dxa"/>
            <w:hideMark/>
          </w:tcPr>
          <w:p w14:paraId="4CBA4FBA"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5,185 (15.0%)</w:t>
            </w:r>
          </w:p>
        </w:tc>
        <w:tc>
          <w:tcPr>
            <w:tcW w:w="1343" w:type="dxa"/>
            <w:hideMark/>
          </w:tcPr>
          <w:p w14:paraId="2291818B"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731 (4.3%)</w:t>
            </w:r>
          </w:p>
        </w:tc>
        <w:tc>
          <w:tcPr>
            <w:tcW w:w="1342" w:type="dxa"/>
            <w:gridSpan w:val="2"/>
            <w:hideMark/>
          </w:tcPr>
          <w:p w14:paraId="43236559"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0 (0%)</w:t>
            </w:r>
          </w:p>
        </w:tc>
      </w:tr>
      <w:tr w:rsidR="00DF6032" w:rsidRPr="000C2FD5" w14:paraId="4516F556"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hideMark/>
          </w:tcPr>
          <w:p w14:paraId="0851BAD6" w14:textId="77777777" w:rsidR="00DF6032" w:rsidRPr="00563AF8" w:rsidRDefault="00DF6032" w:rsidP="00FC5EF1">
            <w:pPr>
              <w:spacing w:before="40" w:after="40"/>
              <w:ind w:left="745"/>
              <w:rPr>
                <w:b w:val="0"/>
                <w:bCs w:val="0"/>
                <w:kern w:val="0"/>
                <w:sz w:val="18"/>
                <w:szCs w:val="18"/>
                <w:lang w:val="en-GB"/>
                <w14:ligatures w14:val="none"/>
              </w:rPr>
            </w:pPr>
            <w:r w:rsidRPr="00563AF8">
              <w:rPr>
                <w:sz w:val="18"/>
                <w:szCs w:val="18"/>
                <w:lang w:val="en-GB"/>
              </w:rPr>
              <w:t>Mixed Methods</w:t>
            </w:r>
          </w:p>
        </w:tc>
        <w:tc>
          <w:tcPr>
            <w:tcW w:w="1401" w:type="dxa"/>
            <w:hideMark/>
          </w:tcPr>
          <w:p w14:paraId="42794D7A"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592 (1.7%)</w:t>
            </w:r>
          </w:p>
        </w:tc>
        <w:tc>
          <w:tcPr>
            <w:tcW w:w="1343" w:type="dxa"/>
            <w:hideMark/>
          </w:tcPr>
          <w:p w14:paraId="429E21D4"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832 (4.9%)</w:t>
            </w:r>
          </w:p>
        </w:tc>
        <w:tc>
          <w:tcPr>
            <w:tcW w:w="1342" w:type="dxa"/>
            <w:gridSpan w:val="2"/>
            <w:hideMark/>
          </w:tcPr>
          <w:p w14:paraId="47849A0E"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533 (3.2%)</w:t>
            </w:r>
          </w:p>
        </w:tc>
      </w:tr>
      <w:tr w:rsidR="00DF6032" w:rsidRPr="000C2FD5" w14:paraId="593D2CED" w14:textId="77777777" w:rsidTr="00FC5EF1">
        <w:trPr>
          <w:jc w:val="center"/>
        </w:trPr>
        <w:tc>
          <w:tcPr>
            <w:cnfStyle w:val="001000000000" w:firstRow="0" w:lastRow="0" w:firstColumn="1" w:lastColumn="0" w:oddVBand="0" w:evenVBand="0" w:oddHBand="0" w:evenHBand="0" w:firstRowFirstColumn="0" w:firstRowLastColumn="0" w:lastRowFirstColumn="0" w:lastRowLastColumn="0"/>
            <w:tcW w:w="5004" w:type="dxa"/>
          </w:tcPr>
          <w:p w14:paraId="1CCEAD73" w14:textId="77777777" w:rsidR="00DF6032" w:rsidRPr="00563AF8" w:rsidDel="00AE3C26" w:rsidRDefault="00DF6032" w:rsidP="00FC5EF1">
            <w:pPr>
              <w:spacing w:before="40" w:after="40"/>
              <w:rPr>
                <w:kern w:val="0"/>
                <w:sz w:val="18"/>
                <w:szCs w:val="18"/>
                <w:lang w:val="en-GB"/>
                <w14:ligatures w14:val="none"/>
              </w:rPr>
            </w:pPr>
            <w:r w:rsidRPr="00563AF8">
              <w:rPr>
                <w:sz w:val="18"/>
                <w:szCs w:val="18"/>
                <w:lang w:val="en-GB"/>
              </w:rPr>
              <w:t>Major depression based on diagnostic interview</w:t>
            </w:r>
          </w:p>
        </w:tc>
        <w:tc>
          <w:tcPr>
            <w:tcW w:w="1401" w:type="dxa"/>
          </w:tcPr>
          <w:p w14:paraId="3FE0DA03"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3,757 (10.9%)</w:t>
            </w:r>
          </w:p>
        </w:tc>
        <w:tc>
          <w:tcPr>
            <w:tcW w:w="1343" w:type="dxa"/>
          </w:tcPr>
          <w:p w14:paraId="301878A3"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1,630 (9.7%)</w:t>
            </w:r>
          </w:p>
        </w:tc>
        <w:tc>
          <w:tcPr>
            <w:tcW w:w="1342" w:type="dxa"/>
            <w:gridSpan w:val="2"/>
          </w:tcPr>
          <w:p w14:paraId="35D8CCFF"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1,676 (9.7%)</w:t>
            </w:r>
          </w:p>
        </w:tc>
      </w:tr>
      <w:tr w:rsidR="00DF6032" w:rsidRPr="000C2FD5" w14:paraId="4EF94B63" w14:textId="77777777" w:rsidTr="00FC5EF1">
        <w:trPr>
          <w:gridAfter w:val="1"/>
          <w:wAfter w:w="90" w:type="dxa"/>
          <w:jc w:val="center"/>
        </w:trPr>
        <w:tc>
          <w:tcPr>
            <w:cnfStyle w:val="001000000000" w:firstRow="0" w:lastRow="0" w:firstColumn="1" w:lastColumn="0" w:oddVBand="0" w:evenVBand="0" w:oddHBand="0" w:evenHBand="0" w:firstRowFirstColumn="0" w:firstRowLastColumn="0" w:lastRowFirstColumn="0" w:lastRowLastColumn="0"/>
            <w:tcW w:w="5004" w:type="dxa"/>
            <w:tcBorders>
              <w:bottom w:val="single" w:sz="18" w:space="0" w:color="auto"/>
            </w:tcBorders>
            <w:hideMark/>
          </w:tcPr>
          <w:p w14:paraId="1AF15538" w14:textId="77777777" w:rsidR="00DF6032" w:rsidRPr="00563AF8" w:rsidRDefault="00DF6032" w:rsidP="00FC5EF1">
            <w:pPr>
              <w:spacing w:before="40" w:after="40"/>
              <w:rPr>
                <w:kern w:val="0"/>
                <w:sz w:val="18"/>
                <w:szCs w:val="18"/>
                <w:lang w:val="en-GB"/>
                <w14:ligatures w14:val="none"/>
              </w:rPr>
            </w:pPr>
            <w:r w:rsidRPr="00563AF8">
              <w:rPr>
                <w:sz w:val="18"/>
                <w:szCs w:val="18"/>
                <w:lang w:val="en-GB"/>
              </w:rPr>
              <w:t>Total PHQ-9, EPDS, or HADS-D score</w:t>
            </w:r>
          </w:p>
        </w:tc>
        <w:tc>
          <w:tcPr>
            <w:tcW w:w="1401" w:type="dxa"/>
            <w:tcBorders>
              <w:bottom w:val="single" w:sz="18" w:space="0" w:color="auto"/>
            </w:tcBorders>
            <w:hideMark/>
          </w:tcPr>
          <w:p w14:paraId="375F0602"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5.3 (5.4)</w:t>
            </w:r>
          </w:p>
        </w:tc>
        <w:tc>
          <w:tcPr>
            <w:tcW w:w="1343" w:type="dxa"/>
            <w:tcBorders>
              <w:bottom w:val="single" w:sz="18" w:space="0" w:color="auto"/>
            </w:tcBorders>
            <w:hideMark/>
          </w:tcPr>
          <w:p w14:paraId="53764B33"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6.4 (5.6)</w:t>
            </w:r>
          </w:p>
        </w:tc>
        <w:tc>
          <w:tcPr>
            <w:tcW w:w="1252" w:type="dxa"/>
            <w:tcBorders>
              <w:bottom w:val="single" w:sz="18" w:space="0" w:color="auto"/>
            </w:tcBorders>
            <w:hideMark/>
          </w:tcPr>
          <w:p w14:paraId="7C2FC083" w14:textId="77777777" w:rsidR="00DF6032" w:rsidRPr="00563AF8" w:rsidRDefault="00DF6032" w:rsidP="00FC5EF1">
            <w:pPr>
              <w:spacing w:before="40" w:after="40"/>
              <w:jc w:val="center"/>
              <w:cnfStyle w:val="000000000000" w:firstRow="0" w:lastRow="0" w:firstColumn="0" w:lastColumn="0" w:oddVBand="0" w:evenVBand="0" w:oddHBand="0" w:evenHBand="0" w:firstRowFirstColumn="0" w:firstRowLastColumn="0" w:lastRowFirstColumn="0" w:lastRowLastColumn="0"/>
              <w:rPr>
                <w:kern w:val="0"/>
                <w:sz w:val="18"/>
                <w:szCs w:val="18"/>
                <w:lang w:val="en-GB"/>
                <w14:ligatures w14:val="none"/>
              </w:rPr>
            </w:pPr>
            <w:r w:rsidRPr="00563AF8">
              <w:rPr>
                <w:sz w:val="18"/>
                <w:szCs w:val="18"/>
                <w:lang w:val="en-GB"/>
              </w:rPr>
              <w:t>6.0 (4.0)</w:t>
            </w:r>
          </w:p>
        </w:tc>
      </w:tr>
    </w:tbl>
    <w:p w14:paraId="4CCE0116" w14:textId="77777777" w:rsidR="00DF6032" w:rsidRPr="00563AF8" w:rsidRDefault="00DF6032" w:rsidP="00DF6032">
      <w:pPr>
        <w:ind w:left="142" w:right="288"/>
        <w:rPr>
          <w:color w:val="000000"/>
          <w:sz w:val="18"/>
          <w:szCs w:val="18"/>
          <w:lang w:val="en-GB"/>
        </w:rPr>
      </w:pPr>
      <w:r w:rsidRPr="00563AF8">
        <w:rPr>
          <w:color w:val="000000"/>
          <w:sz w:val="18"/>
          <w:szCs w:val="18"/>
          <w:lang w:val="en-GB"/>
        </w:rPr>
        <w:t>PHQ-9: Patient Health Questionnaire-9; EPDS: Edinburgh Postnatal Depression Scale; HADS-D: Hospital Anxiety and Depression Scale – Depression subscale.</w:t>
      </w:r>
    </w:p>
    <w:p w14:paraId="160C86F5" w14:textId="4025377E" w:rsidR="00DF6032" w:rsidRPr="00563AF8" w:rsidRDefault="00DF6032" w:rsidP="00DF6032">
      <w:pPr>
        <w:ind w:left="142" w:right="288"/>
        <w:rPr>
          <w:color w:val="000000"/>
          <w:sz w:val="18"/>
          <w:szCs w:val="18"/>
          <w:lang w:val="en-GB"/>
        </w:rPr>
      </w:pPr>
      <w:r w:rsidRPr="00563AF8">
        <w:rPr>
          <w:color w:val="000000"/>
          <w:sz w:val="18"/>
          <w:szCs w:val="18"/>
          <w:vertAlign w:val="superscript"/>
          <w:lang w:val="en-GB"/>
        </w:rPr>
        <w:t>a</w:t>
      </w:r>
      <w:r w:rsidRPr="00563AF8">
        <w:rPr>
          <w:color w:val="000000"/>
          <w:sz w:val="18"/>
          <w:szCs w:val="18"/>
          <w:lang w:val="en-GB"/>
        </w:rPr>
        <w:t>Regions based on World Health Organization designations (</w:t>
      </w:r>
      <w:hyperlink r:id="rId13" w:tooltip="Original URL: http://www.who.int/countries  Click to follow link." w:history="1">
        <w:r w:rsidRPr="00563AF8">
          <w:rPr>
            <w:rStyle w:val="Hyperlink"/>
            <w:color w:val="0078D7"/>
            <w:sz w:val="18"/>
            <w:szCs w:val="18"/>
            <w:lang w:val="en-GB"/>
          </w:rPr>
          <w:t>www.who.int/countries</w:t>
        </w:r>
      </w:hyperlink>
      <w:r w:rsidRPr="00563AF8">
        <w:rPr>
          <w:sz w:val="18"/>
          <w:szCs w:val="18"/>
          <w:lang w:val="en-GB"/>
        </w:rPr>
        <w:t xml:space="preserve">); </w:t>
      </w:r>
      <w:r w:rsidRPr="00563AF8">
        <w:rPr>
          <w:sz w:val="18"/>
          <w:szCs w:val="18"/>
          <w:vertAlign w:val="superscript"/>
          <w:lang w:val="en-GB"/>
        </w:rPr>
        <w:t>b</w:t>
      </w:r>
      <w:r w:rsidRPr="00563AF8">
        <w:rPr>
          <w:sz w:val="18"/>
          <w:szCs w:val="18"/>
          <w:lang w:val="en-GB"/>
        </w:rPr>
        <w:t>United Nations Human Development Index.</w:t>
      </w:r>
    </w:p>
    <w:p w14:paraId="79A20FEF" w14:textId="77777777" w:rsidR="00DF6032" w:rsidRPr="00563AF8" w:rsidRDefault="00DF6032" w:rsidP="00DF6032">
      <w:pPr>
        <w:ind w:left="993"/>
        <w:rPr>
          <w:b/>
          <w:bCs/>
          <w:lang w:val="en-GB"/>
        </w:rPr>
        <w:sectPr w:rsidR="00DF6032" w:rsidRPr="00563AF8" w:rsidSect="00B40E07">
          <w:footerReference w:type="even" r:id="rId14"/>
          <w:footerReference w:type="default" r:id="rId15"/>
          <w:pgSz w:w="12240" w:h="15840"/>
          <w:pgMar w:top="1440" w:right="1440" w:bottom="1440" w:left="1440" w:header="708" w:footer="708" w:gutter="0"/>
          <w:cols w:space="708"/>
          <w:docGrid w:linePitch="360"/>
        </w:sectPr>
      </w:pPr>
    </w:p>
    <w:p w14:paraId="594A4719" w14:textId="77777777" w:rsidR="00DF6032" w:rsidRPr="00563AF8" w:rsidRDefault="00DF6032" w:rsidP="00DF6032">
      <w:pPr>
        <w:ind w:left="-1276"/>
        <w:rPr>
          <w:b/>
          <w:bCs/>
          <w:lang w:val="en-GB"/>
        </w:rPr>
      </w:pPr>
      <w:r w:rsidRPr="00563AF8">
        <w:rPr>
          <w:b/>
          <w:bCs/>
          <w:color w:val="000000"/>
          <w:lang w:val="en-GB"/>
        </w:rPr>
        <w:lastRenderedPageBreak/>
        <w:t>Table 2: Correlation and Intraclass Correlation Coefficients for the PHQ-9, EPDS, and HADS-D</w:t>
      </w:r>
    </w:p>
    <w:p w14:paraId="11966CEA" w14:textId="77777777" w:rsidR="00DF6032" w:rsidRPr="00563AF8" w:rsidRDefault="00DF6032" w:rsidP="00DF6032">
      <w:pPr>
        <w:rPr>
          <w:b/>
          <w:bCs/>
          <w:color w:val="000000"/>
          <w:lang w:val="en-GB"/>
        </w:rPr>
      </w:pPr>
    </w:p>
    <w:tbl>
      <w:tblPr>
        <w:tblW w:w="15451" w:type="dxa"/>
        <w:tblInd w:w="-1291" w:type="dxa"/>
        <w:tblCellMar>
          <w:left w:w="0" w:type="dxa"/>
          <w:right w:w="0" w:type="dxa"/>
        </w:tblCellMar>
        <w:tblLook w:val="04A0" w:firstRow="1" w:lastRow="0" w:firstColumn="1" w:lastColumn="0" w:noHBand="0" w:noVBand="1"/>
      </w:tblPr>
      <w:tblGrid>
        <w:gridCol w:w="1843"/>
        <w:gridCol w:w="2268"/>
        <w:gridCol w:w="2268"/>
        <w:gridCol w:w="2268"/>
        <w:gridCol w:w="2268"/>
        <w:gridCol w:w="2268"/>
        <w:gridCol w:w="2268"/>
      </w:tblGrid>
      <w:tr w:rsidR="00DF6032" w:rsidRPr="000C2FD5" w14:paraId="5D4F2343" w14:textId="77777777" w:rsidTr="00FC5EF1">
        <w:trPr>
          <w:trHeight w:val="315"/>
        </w:trPr>
        <w:tc>
          <w:tcPr>
            <w:tcW w:w="1843" w:type="dxa"/>
            <w:tcBorders>
              <w:top w:val="single" w:sz="18" w:space="0" w:color="auto"/>
              <w:bottom w:val="single" w:sz="4" w:space="0" w:color="auto"/>
            </w:tcBorders>
            <w:tcMar>
              <w:top w:w="30" w:type="dxa"/>
              <w:left w:w="45" w:type="dxa"/>
              <w:bottom w:w="30" w:type="dxa"/>
              <w:right w:w="45" w:type="dxa"/>
            </w:tcMar>
            <w:vAlign w:val="center"/>
            <w:hideMark/>
          </w:tcPr>
          <w:p w14:paraId="52DD16E3" w14:textId="77777777" w:rsidR="00DF6032" w:rsidRPr="00563AF8" w:rsidRDefault="00DF6032" w:rsidP="00FC5EF1">
            <w:pPr>
              <w:jc w:val="center"/>
              <w:rPr>
                <w:sz w:val="18"/>
                <w:szCs w:val="18"/>
                <w:lang w:val="en-GB"/>
              </w:rPr>
            </w:pPr>
          </w:p>
        </w:tc>
        <w:tc>
          <w:tcPr>
            <w:tcW w:w="4536" w:type="dxa"/>
            <w:gridSpan w:val="2"/>
            <w:tcBorders>
              <w:top w:val="single" w:sz="18" w:space="0" w:color="auto"/>
              <w:bottom w:val="single" w:sz="4" w:space="0" w:color="auto"/>
            </w:tcBorders>
            <w:tcMar>
              <w:top w:w="30" w:type="dxa"/>
              <w:left w:w="45" w:type="dxa"/>
              <w:bottom w:w="30" w:type="dxa"/>
              <w:right w:w="45" w:type="dxa"/>
            </w:tcMar>
            <w:vAlign w:val="center"/>
            <w:hideMark/>
          </w:tcPr>
          <w:p w14:paraId="06C3E00E" w14:textId="77777777" w:rsidR="00DF6032" w:rsidRPr="00563AF8" w:rsidRDefault="00DF6032" w:rsidP="00FC5EF1">
            <w:pPr>
              <w:jc w:val="center"/>
              <w:rPr>
                <w:b/>
                <w:bCs/>
                <w:sz w:val="18"/>
                <w:szCs w:val="18"/>
                <w:lang w:val="en-GB"/>
              </w:rPr>
            </w:pPr>
            <w:r w:rsidRPr="00563AF8">
              <w:rPr>
                <w:b/>
                <w:bCs/>
                <w:sz w:val="18"/>
                <w:szCs w:val="18"/>
                <w:lang w:val="en-GB"/>
              </w:rPr>
              <w:t>PHQ-9</w:t>
            </w:r>
          </w:p>
        </w:tc>
        <w:tc>
          <w:tcPr>
            <w:tcW w:w="4536" w:type="dxa"/>
            <w:gridSpan w:val="2"/>
            <w:tcBorders>
              <w:top w:val="single" w:sz="18" w:space="0" w:color="auto"/>
              <w:bottom w:val="single" w:sz="4" w:space="0" w:color="auto"/>
            </w:tcBorders>
            <w:tcMar>
              <w:top w:w="30" w:type="dxa"/>
              <w:left w:w="45" w:type="dxa"/>
              <w:bottom w:w="30" w:type="dxa"/>
              <w:right w:w="45" w:type="dxa"/>
            </w:tcMar>
            <w:vAlign w:val="center"/>
            <w:hideMark/>
          </w:tcPr>
          <w:p w14:paraId="2377278B" w14:textId="77777777" w:rsidR="00DF6032" w:rsidRPr="00563AF8" w:rsidRDefault="00DF6032" w:rsidP="00FC5EF1">
            <w:pPr>
              <w:jc w:val="center"/>
              <w:rPr>
                <w:b/>
                <w:bCs/>
                <w:sz w:val="18"/>
                <w:szCs w:val="18"/>
                <w:lang w:val="en-GB"/>
              </w:rPr>
            </w:pPr>
            <w:r w:rsidRPr="00563AF8">
              <w:rPr>
                <w:b/>
                <w:bCs/>
                <w:sz w:val="18"/>
                <w:szCs w:val="18"/>
                <w:lang w:val="en-GB"/>
              </w:rPr>
              <w:t>EPDS</w:t>
            </w:r>
          </w:p>
        </w:tc>
        <w:tc>
          <w:tcPr>
            <w:tcW w:w="4536" w:type="dxa"/>
            <w:gridSpan w:val="2"/>
            <w:tcBorders>
              <w:top w:val="single" w:sz="18" w:space="0" w:color="auto"/>
              <w:bottom w:val="single" w:sz="4" w:space="0" w:color="auto"/>
            </w:tcBorders>
            <w:tcMar>
              <w:top w:w="30" w:type="dxa"/>
              <w:left w:w="45" w:type="dxa"/>
              <w:bottom w:w="30" w:type="dxa"/>
              <w:right w:w="45" w:type="dxa"/>
            </w:tcMar>
            <w:vAlign w:val="center"/>
            <w:hideMark/>
          </w:tcPr>
          <w:p w14:paraId="2D34CAA7" w14:textId="77777777" w:rsidR="00DF6032" w:rsidRPr="00563AF8" w:rsidRDefault="00DF6032" w:rsidP="00FC5EF1">
            <w:pPr>
              <w:jc w:val="center"/>
              <w:rPr>
                <w:b/>
                <w:bCs/>
                <w:sz w:val="18"/>
                <w:szCs w:val="18"/>
                <w:lang w:val="en-GB"/>
              </w:rPr>
            </w:pPr>
            <w:r w:rsidRPr="00563AF8">
              <w:rPr>
                <w:b/>
                <w:bCs/>
                <w:sz w:val="18"/>
                <w:szCs w:val="18"/>
                <w:lang w:val="en-GB"/>
              </w:rPr>
              <w:t>HADS-D</w:t>
            </w:r>
          </w:p>
        </w:tc>
      </w:tr>
      <w:tr w:rsidR="00DF6032" w:rsidRPr="000C2FD5" w14:paraId="59ACF450" w14:textId="77777777" w:rsidTr="00FC5EF1">
        <w:trPr>
          <w:trHeight w:val="315"/>
        </w:trPr>
        <w:tc>
          <w:tcPr>
            <w:tcW w:w="1843" w:type="dxa"/>
            <w:tcBorders>
              <w:top w:val="single" w:sz="4" w:space="0" w:color="auto"/>
              <w:bottom w:val="single" w:sz="4" w:space="0" w:color="auto"/>
            </w:tcBorders>
            <w:tcMar>
              <w:top w:w="30" w:type="dxa"/>
              <w:left w:w="45" w:type="dxa"/>
              <w:bottom w:w="30" w:type="dxa"/>
              <w:right w:w="45" w:type="dxa"/>
            </w:tcMar>
            <w:hideMark/>
          </w:tcPr>
          <w:p w14:paraId="40089CD4" w14:textId="77777777" w:rsidR="00DF6032" w:rsidRPr="00563AF8" w:rsidRDefault="00DF6032" w:rsidP="00FC5EF1">
            <w:pPr>
              <w:jc w:val="center"/>
              <w:rPr>
                <w:b/>
                <w:bCs/>
                <w:sz w:val="18"/>
                <w:szCs w:val="18"/>
                <w:lang w:val="en-GB"/>
              </w:rPr>
            </w:pPr>
            <w:r w:rsidRPr="00563AF8">
              <w:rPr>
                <w:b/>
                <w:bCs/>
                <w:sz w:val="18"/>
                <w:szCs w:val="18"/>
                <w:lang w:val="en-GB"/>
              </w:rPr>
              <w:t>Comparison</w:t>
            </w:r>
          </w:p>
        </w:tc>
        <w:tc>
          <w:tcPr>
            <w:tcW w:w="2268" w:type="dxa"/>
            <w:tcBorders>
              <w:top w:val="single" w:sz="4" w:space="0" w:color="auto"/>
              <w:bottom w:val="single" w:sz="4" w:space="0" w:color="auto"/>
            </w:tcBorders>
            <w:tcMar>
              <w:top w:w="30" w:type="dxa"/>
              <w:left w:w="45" w:type="dxa"/>
              <w:bottom w:w="30" w:type="dxa"/>
              <w:right w:w="45" w:type="dxa"/>
            </w:tcMar>
            <w:vAlign w:val="center"/>
            <w:hideMark/>
          </w:tcPr>
          <w:p w14:paraId="2575428A" w14:textId="3EA2AE78" w:rsidR="00DF6032" w:rsidRPr="00563AF8" w:rsidRDefault="009F26CB" w:rsidP="00FC5EF1">
            <w:pPr>
              <w:jc w:val="center"/>
              <w:rPr>
                <w:b/>
                <w:bCs/>
                <w:sz w:val="18"/>
                <w:szCs w:val="18"/>
                <w:lang w:val="en-GB"/>
              </w:rPr>
            </w:pPr>
            <w:r w:rsidRPr="00563AF8">
              <w:rPr>
                <w:b/>
                <w:bCs/>
                <w:sz w:val="18"/>
                <w:szCs w:val="18"/>
                <w:lang w:val="en-GB"/>
              </w:rPr>
              <w:t>Pearson c</w:t>
            </w:r>
            <w:r w:rsidR="00DF6032" w:rsidRPr="00563AF8">
              <w:rPr>
                <w:b/>
                <w:bCs/>
                <w:sz w:val="18"/>
                <w:szCs w:val="18"/>
                <w:lang w:val="en-GB"/>
              </w:rPr>
              <w:t xml:space="preserve">orrelation </w:t>
            </w:r>
          </w:p>
          <w:p w14:paraId="1E867397" w14:textId="1FFD7715" w:rsidR="00DF6032" w:rsidRPr="00563AF8" w:rsidRDefault="00DF6032" w:rsidP="00FC5EF1">
            <w:pPr>
              <w:jc w:val="center"/>
              <w:rPr>
                <w:b/>
                <w:bCs/>
                <w:sz w:val="18"/>
                <w:szCs w:val="18"/>
                <w:lang w:val="en-GB"/>
              </w:rPr>
            </w:pPr>
            <w:r w:rsidRPr="00563AF8">
              <w:rPr>
                <w:b/>
                <w:bCs/>
                <w:sz w:val="18"/>
                <w:szCs w:val="18"/>
                <w:lang w:val="en-GB"/>
              </w:rPr>
              <w:t xml:space="preserve">(95% </w:t>
            </w:r>
            <w:r w:rsidR="009F26CB" w:rsidRPr="00563AF8">
              <w:rPr>
                <w:b/>
                <w:bCs/>
                <w:sz w:val="18"/>
                <w:szCs w:val="18"/>
                <w:lang w:val="en-GB"/>
              </w:rPr>
              <w:t>c</w:t>
            </w:r>
            <w:r w:rsidRPr="00563AF8">
              <w:rPr>
                <w:b/>
                <w:bCs/>
                <w:sz w:val="18"/>
                <w:szCs w:val="18"/>
                <w:lang w:val="en-GB"/>
              </w:rPr>
              <w:t xml:space="preserve">onfidence </w:t>
            </w:r>
            <w:r w:rsidR="009F26CB" w:rsidRPr="00563AF8">
              <w:rPr>
                <w:b/>
                <w:bCs/>
                <w:sz w:val="18"/>
                <w:szCs w:val="18"/>
                <w:lang w:val="en-GB"/>
              </w:rPr>
              <w:t>i</w:t>
            </w:r>
            <w:r w:rsidRPr="00563AF8">
              <w:rPr>
                <w:b/>
                <w:bCs/>
                <w:sz w:val="18"/>
                <w:szCs w:val="18"/>
                <w:lang w:val="en-GB"/>
              </w:rPr>
              <w:t>nterval)</w:t>
            </w:r>
          </w:p>
        </w:tc>
        <w:tc>
          <w:tcPr>
            <w:tcW w:w="2268" w:type="dxa"/>
            <w:tcBorders>
              <w:top w:val="single" w:sz="4" w:space="0" w:color="auto"/>
              <w:bottom w:val="single" w:sz="4" w:space="0" w:color="auto"/>
            </w:tcBorders>
            <w:tcMar>
              <w:top w:w="30" w:type="dxa"/>
              <w:left w:w="45" w:type="dxa"/>
              <w:bottom w:w="30" w:type="dxa"/>
              <w:right w:w="45" w:type="dxa"/>
            </w:tcMar>
            <w:vAlign w:val="center"/>
            <w:hideMark/>
          </w:tcPr>
          <w:p w14:paraId="270D17F6" w14:textId="77777777" w:rsidR="00DF6032" w:rsidRPr="00563AF8" w:rsidRDefault="00DF6032" w:rsidP="00FC5EF1">
            <w:pPr>
              <w:jc w:val="center"/>
              <w:rPr>
                <w:b/>
                <w:bCs/>
                <w:sz w:val="18"/>
                <w:szCs w:val="18"/>
                <w:lang w:val="en-GB"/>
              </w:rPr>
            </w:pPr>
            <w:r w:rsidRPr="00563AF8">
              <w:rPr>
                <w:b/>
                <w:bCs/>
                <w:sz w:val="18"/>
                <w:szCs w:val="18"/>
                <w:lang w:val="en-GB"/>
              </w:rPr>
              <w:t>ICC</w:t>
            </w:r>
          </w:p>
          <w:p w14:paraId="3C5D035F" w14:textId="51A9DB33" w:rsidR="00DF6032" w:rsidRPr="00563AF8" w:rsidRDefault="00DF6032" w:rsidP="00FC5EF1">
            <w:pPr>
              <w:jc w:val="center"/>
              <w:rPr>
                <w:b/>
                <w:bCs/>
                <w:sz w:val="18"/>
                <w:szCs w:val="18"/>
                <w:lang w:val="en-GB"/>
              </w:rPr>
            </w:pPr>
            <w:r w:rsidRPr="00563AF8">
              <w:rPr>
                <w:b/>
                <w:bCs/>
                <w:sz w:val="18"/>
                <w:szCs w:val="18"/>
                <w:lang w:val="en-GB"/>
              </w:rPr>
              <w:t xml:space="preserve">(95% </w:t>
            </w:r>
            <w:r w:rsidR="009F26CB" w:rsidRPr="00563AF8">
              <w:rPr>
                <w:b/>
                <w:bCs/>
                <w:sz w:val="18"/>
                <w:szCs w:val="18"/>
                <w:lang w:val="en-GB"/>
              </w:rPr>
              <w:t>c</w:t>
            </w:r>
            <w:r w:rsidRPr="00563AF8">
              <w:rPr>
                <w:b/>
                <w:bCs/>
                <w:sz w:val="18"/>
                <w:szCs w:val="18"/>
                <w:lang w:val="en-GB"/>
              </w:rPr>
              <w:t xml:space="preserve">onfidence </w:t>
            </w:r>
            <w:r w:rsidR="009F26CB" w:rsidRPr="00563AF8">
              <w:rPr>
                <w:b/>
                <w:bCs/>
                <w:sz w:val="18"/>
                <w:szCs w:val="18"/>
                <w:lang w:val="en-GB"/>
              </w:rPr>
              <w:t>i</w:t>
            </w:r>
            <w:r w:rsidRPr="00563AF8">
              <w:rPr>
                <w:b/>
                <w:bCs/>
                <w:sz w:val="18"/>
                <w:szCs w:val="18"/>
                <w:lang w:val="en-GB"/>
              </w:rPr>
              <w:t>nterval)</w:t>
            </w:r>
          </w:p>
        </w:tc>
        <w:tc>
          <w:tcPr>
            <w:tcW w:w="2268" w:type="dxa"/>
            <w:tcBorders>
              <w:top w:val="single" w:sz="4" w:space="0" w:color="auto"/>
              <w:bottom w:val="single" w:sz="4" w:space="0" w:color="auto"/>
            </w:tcBorders>
            <w:tcMar>
              <w:top w:w="30" w:type="dxa"/>
              <w:left w:w="45" w:type="dxa"/>
              <w:bottom w:w="30" w:type="dxa"/>
              <w:right w:w="45" w:type="dxa"/>
            </w:tcMar>
            <w:vAlign w:val="center"/>
            <w:hideMark/>
          </w:tcPr>
          <w:p w14:paraId="631A2D4C" w14:textId="77777777" w:rsidR="009F26CB" w:rsidRPr="00563AF8" w:rsidRDefault="009F26CB" w:rsidP="009F26CB">
            <w:pPr>
              <w:jc w:val="center"/>
              <w:rPr>
                <w:b/>
                <w:bCs/>
                <w:sz w:val="18"/>
                <w:szCs w:val="18"/>
                <w:lang w:val="en-GB"/>
              </w:rPr>
            </w:pPr>
            <w:r w:rsidRPr="00563AF8">
              <w:rPr>
                <w:b/>
                <w:bCs/>
                <w:sz w:val="18"/>
                <w:szCs w:val="18"/>
                <w:lang w:val="en-GB"/>
              </w:rPr>
              <w:t xml:space="preserve">Pearson correlation </w:t>
            </w:r>
          </w:p>
          <w:p w14:paraId="456E1323" w14:textId="5DDC1964" w:rsidR="00DF6032" w:rsidRPr="00563AF8" w:rsidRDefault="009F26CB" w:rsidP="00FC5EF1">
            <w:pPr>
              <w:jc w:val="center"/>
              <w:rPr>
                <w:b/>
                <w:bCs/>
                <w:sz w:val="18"/>
                <w:szCs w:val="18"/>
                <w:lang w:val="en-GB"/>
              </w:rPr>
            </w:pPr>
            <w:r w:rsidRPr="00563AF8">
              <w:rPr>
                <w:b/>
                <w:bCs/>
                <w:sz w:val="18"/>
                <w:szCs w:val="18"/>
                <w:lang w:val="en-GB"/>
              </w:rPr>
              <w:t>(95% confidence interval)</w:t>
            </w:r>
          </w:p>
        </w:tc>
        <w:tc>
          <w:tcPr>
            <w:tcW w:w="2268" w:type="dxa"/>
            <w:tcBorders>
              <w:top w:val="single" w:sz="4" w:space="0" w:color="auto"/>
              <w:bottom w:val="single" w:sz="4" w:space="0" w:color="auto"/>
            </w:tcBorders>
            <w:tcMar>
              <w:top w:w="30" w:type="dxa"/>
              <w:left w:w="45" w:type="dxa"/>
              <w:bottom w:w="30" w:type="dxa"/>
              <w:right w:w="45" w:type="dxa"/>
            </w:tcMar>
            <w:vAlign w:val="center"/>
            <w:hideMark/>
          </w:tcPr>
          <w:p w14:paraId="2AE0F67D" w14:textId="77777777" w:rsidR="00DF6032" w:rsidRPr="00563AF8" w:rsidRDefault="00DF6032" w:rsidP="00FC5EF1">
            <w:pPr>
              <w:jc w:val="center"/>
              <w:rPr>
                <w:b/>
                <w:bCs/>
                <w:sz w:val="18"/>
                <w:szCs w:val="18"/>
                <w:lang w:val="en-GB"/>
              </w:rPr>
            </w:pPr>
            <w:r w:rsidRPr="00563AF8">
              <w:rPr>
                <w:b/>
                <w:bCs/>
                <w:sz w:val="18"/>
                <w:szCs w:val="18"/>
                <w:lang w:val="en-GB"/>
              </w:rPr>
              <w:t>ICC</w:t>
            </w:r>
          </w:p>
          <w:p w14:paraId="135CEBE9" w14:textId="5FC6EEFD" w:rsidR="00DF6032" w:rsidRPr="00563AF8" w:rsidRDefault="009F26CB" w:rsidP="00FC5EF1">
            <w:pPr>
              <w:jc w:val="center"/>
              <w:rPr>
                <w:b/>
                <w:bCs/>
                <w:sz w:val="18"/>
                <w:szCs w:val="18"/>
                <w:lang w:val="en-GB"/>
              </w:rPr>
            </w:pPr>
            <w:r w:rsidRPr="00563AF8">
              <w:rPr>
                <w:b/>
                <w:bCs/>
                <w:sz w:val="18"/>
                <w:szCs w:val="18"/>
                <w:lang w:val="en-GB"/>
              </w:rPr>
              <w:t>(95% confidence interval)</w:t>
            </w:r>
          </w:p>
        </w:tc>
        <w:tc>
          <w:tcPr>
            <w:tcW w:w="2268" w:type="dxa"/>
            <w:tcBorders>
              <w:top w:val="single" w:sz="4" w:space="0" w:color="auto"/>
              <w:bottom w:val="single" w:sz="4" w:space="0" w:color="auto"/>
            </w:tcBorders>
            <w:tcMar>
              <w:top w:w="30" w:type="dxa"/>
              <w:left w:w="45" w:type="dxa"/>
              <w:bottom w:w="30" w:type="dxa"/>
              <w:right w:w="45" w:type="dxa"/>
            </w:tcMar>
            <w:vAlign w:val="center"/>
            <w:hideMark/>
          </w:tcPr>
          <w:p w14:paraId="1D84EFEA" w14:textId="77777777" w:rsidR="009F26CB" w:rsidRPr="00563AF8" w:rsidRDefault="009F26CB" w:rsidP="009F26CB">
            <w:pPr>
              <w:jc w:val="center"/>
              <w:rPr>
                <w:b/>
                <w:bCs/>
                <w:sz w:val="18"/>
                <w:szCs w:val="18"/>
                <w:lang w:val="en-GB"/>
              </w:rPr>
            </w:pPr>
            <w:r w:rsidRPr="00563AF8">
              <w:rPr>
                <w:b/>
                <w:bCs/>
                <w:sz w:val="18"/>
                <w:szCs w:val="18"/>
                <w:lang w:val="en-GB"/>
              </w:rPr>
              <w:t xml:space="preserve">Pearson correlation </w:t>
            </w:r>
          </w:p>
          <w:p w14:paraId="2F3140D7" w14:textId="1D6E65C9" w:rsidR="00DF6032" w:rsidRPr="00563AF8" w:rsidRDefault="009F26CB" w:rsidP="00FC5EF1">
            <w:pPr>
              <w:jc w:val="center"/>
              <w:rPr>
                <w:b/>
                <w:bCs/>
                <w:sz w:val="18"/>
                <w:szCs w:val="18"/>
                <w:lang w:val="en-GB"/>
              </w:rPr>
            </w:pPr>
            <w:r w:rsidRPr="00563AF8">
              <w:rPr>
                <w:b/>
                <w:bCs/>
                <w:sz w:val="18"/>
                <w:szCs w:val="18"/>
                <w:lang w:val="en-GB"/>
              </w:rPr>
              <w:t>(95% confidence interval)</w:t>
            </w:r>
          </w:p>
        </w:tc>
        <w:tc>
          <w:tcPr>
            <w:tcW w:w="2268" w:type="dxa"/>
            <w:tcBorders>
              <w:top w:val="single" w:sz="4" w:space="0" w:color="auto"/>
              <w:bottom w:val="single" w:sz="4" w:space="0" w:color="auto"/>
            </w:tcBorders>
            <w:tcMar>
              <w:top w:w="30" w:type="dxa"/>
              <w:left w:w="45" w:type="dxa"/>
              <w:bottom w:w="30" w:type="dxa"/>
              <w:right w:w="45" w:type="dxa"/>
            </w:tcMar>
            <w:vAlign w:val="center"/>
            <w:hideMark/>
          </w:tcPr>
          <w:p w14:paraId="0F91480F" w14:textId="77777777" w:rsidR="00DF6032" w:rsidRPr="00563AF8" w:rsidRDefault="00DF6032" w:rsidP="00FC5EF1">
            <w:pPr>
              <w:jc w:val="center"/>
              <w:rPr>
                <w:b/>
                <w:bCs/>
                <w:sz w:val="18"/>
                <w:szCs w:val="18"/>
                <w:lang w:val="en-GB"/>
              </w:rPr>
            </w:pPr>
            <w:r w:rsidRPr="00563AF8">
              <w:rPr>
                <w:b/>
                <w:bCs/>
                <w:sz w:val="18"/>
                <w:szCs w:val="18"/>
                <w:lang w:val="en-GB"/>
              </w:rPr>
              <w:t>ICC</w:t>
            </w:r>
          </w:p>
          <w:p w14:paraId="538613A8" w14:textId="2F4381A0" w:rsidR="00DF6032" w:rsidRPr="00563AF8" w:rsidRDefault="009F26CB" w:rsidP="00FC5EF1">
            <w:pPr>
              <w:jc w:val="center"/>
              <w:rPr>
                <w:b/>
                <w:bCs/>
                <w:sz w:val="18"/>
                <w:szCs w:val="18"/>
                <w:lang w:val="en-GB"/>
              </w:rPr>
            </w:pPr>
            <w:r w:rsidRPr="00563AF8">
              <w:rPr>
                <w:b/>
                <w:bCs/>
                <w:sz w:val="18"/>
                <w:szCs w:val="18"/>
                <w:lang w:val="en-GB"/>
              </w:rPr>
              <w:t>(95% confidence interval)</w:t>
            </w:r>
          </w:p>
        </w:tc>
      </w:tr>
      <w:tr w:rsidR="00DF6032" w:rsidRPr="000C2FD5" w14:paraId="1F3CC5F1" w14:textId="77777777" w:rsidTr="00FC5EF1">
        <w:trPr>
          <w:trHeight w:val="315"/>
        </w:trPr>
        <w:tc>
          <w:tcPr>
            <w:tcW w:w="1843" w:type="dxa"/>
            <w:tcBorders>
              <w:top w:val="single" w:sz="4" w:space="0" w:color="auto"/>
            </w:tcBorders>
            <w:tcMar>
              <w:top w:w="30" w:type="dxa"/>
              <w:left w:w="45" w:type="dxa"/>
              <w:bottom w:w="30" w:type="dxa"/>
              <w:right w:w="45" w:type="dxa"/>
            </w:tcMar>
            <w:vAlign w:val="center"/>
            <w:hideMark/>
          </w:tcPr>
          <w:p w14:paraId="5B258A8F" w14:textId="4BD0940B" w:rsidR="00DF6032" w:rsidRPr="00563AF8" w:rsidRDefault="00DF6032" w:rsidP="00FC5EF1">
            <w:pPr>
              <w:rPr>
                <w:sz w:val="18"/>
                <w:szCs w:val="18"/>
                <w:lang w:val="en-GB"/>
              </w:rPr>
            </w:pPr>
            <w:r w:rsidRPr="00563AF8">
              <w:rPr>
                <w:sz w:val="18"/>
                <w:szCs w:val="18"/>
                <w:lang w:val="en-GB"/>
              </w:rPr>
              <w:t>Self-</w:t>
            </w:r>
            <w:r w:rsidR="007004F0" w:rsidRPr="00563AF8">
              <w:rPr>
                <w:sz w:val="18"/>
                <w:szCs w:val="18"/>
                <w:lang w:val="en-GB"/>
              </w:rPr>
              <w:t xml:space="preserve"> versus interview-</w:t>
            </w:r>
            <w:r w:rsidRPr="00563AF8">
              <w:rPr>
                <w:sz w:val="18"/>
                <w:szCs w:val="18"/>
                <w:lang w:val="en-GB"/>
              </w:rPr>
              <w:t>administration</w:t>
            </w:r>
          </w:p>
        </w:tc>
        <w:tc>
          <w:tcPr>
            <w:tcW w:w="2268" w:type="dxa"/>
            <w:tcBorders>
              <w:top w:val="single" w:sz="4" w:space="0" w:color="auto"/>
            </w:tcBorders>
            <w:tcMar>
              <w:top w:w="30" w:type="dxa"/>
              <w:left w:w="45" w:type="dxa"/>
              <w:bottom w:w="30" w:type="dxa"/>
              <w:right w:w="45" w:type="dxa"/>
            </w:tcMar>
            <w:vAlign w:val="center"/>
            <w:hideMark/>
          </w:tcPr>
          <w:p w14:paraId="4A41868F" w14:textId="77777777" w:rsidR="00DF6032" w:rsidRPr="00563AF8" w:rsidRDefault="00DF6032" w:rsidP="00FC5EF1">
            <w:pPr>
              <w:jc w:val="center"/>
              <w:rPr>
                <w:sz w:val="18"/>
                <w:szCs w:val="18"/>
                <w:lang w:val="en-GB"/>
              </w:rPr>
            </w:pPr>
            <w:r w:rsidRPr="00563AF8">
              <w:rPr>
                <w:sz w:val="18"/>
                <w:szCs w:val="18"/>
                <w:lang w:val="en-GB"/>
              </w:rPr>
              <w:t>0.999 (0.999, 0.999)</w:t>
            </w:r>
          </w:p>
        </w:tc>
        <w:tc>
          <w:tcPr>
            <w:tcW w:w="2268" w:type="dxa"/>
            <w:tcBorders>
              <w:top w:val="single" w:sz="4" w:space="0" w:color="auto"/>
            </w:tcBorders>
            <w:tcMar>
              <w:top w:w="30" w:type="dxa"/>
              <w:left w:w="45" w:type="dxa"/>
              <w:bottom w:w="30" w:type="dxa"/>
              <w:right w:w="45" w:type="dxa"/>
            </w:tcMar>
            <w:vAlign w:val="center"/>
            <w:hideMark/>
          </w:tcPr>
          <w:p w14:paraId="4ED40A65" w14:textId="77777777" w:rsidR="00DF6032" w:rsidRPr="00563AF8" w:rsidRDefault="00DF6032" w:rsidP="00FC5EF1">
            <w:pPr>
              <w:jc w:val="center"/>
              <w:rPr>
                <w:sz w:val="18"/>
                <w:szCs w:val="18"/>
                <w:lang w:val="en-GB"/>
              </w:rPr>
            </w:pPr>
            <w:r w:rsidRPr="00563AF8">
              <w:rPr>
                <w:sz w:val="18"/>
                <w:szCs w:val="18"/>
                <w:lang w:val="en-GB"/>
              </w:rPr>
              <w:t>1.000 (1.000, 1.000)</w:t>
            </w:r>
          </w:p>
        </w:tc>
        <w:tc>
          <w:tcPr>
            <w:tcW w:w="2268" w:type="dxa"/>
            <w:tcBorders>
              <w:top w:val="single" w:sz="4" w:space="0" w:color="auto"/>
            </w:tcBorders>
            <w:tcMar>
              <w:top w:w="30" w:type="dxa"/>
              <w:left w:w="45" w:type="dxa"/>
              <w:bottom w:w="30" w:type="dxa"/>
              <w:right w:w="45" w:type="dxa"/>
            </w:tcMar>
            <w:vAlign w:val="center"/>
            <w:hideMark/>
          </w:tcPr>
          <w:p w14:paraId="379F947E" w14:textId="77777777" w:rsidR="00DF6032" w:rsidRPr="00563AF8" w:rsidRDefault="00DF6032" w:rsidP="00FC5EF1">
            <w:pPr>
              <w:jc w:val="center"/>
              <w:rPr>
                <w:sz w:val="18"/>
                <w:szCs w:val="18"/>
                <w:lang w:val="en-GB"/>
              </w:rPr>
            </w:pPr>
            <w:r w:rsidRPr="00563AF8">
              <w:rPr>
                <w:sz w:val="18"/>
                <w:szCs w:val="18"/>
                <w:lang w:val="en-GB"/>
              </w:rPr>
              <w:t>1.000 (1.000, 1.000)</w:t>
            </w:r>
          </w:p>
        </w:tc>
        <w:tc>
          <w:tcPr>
            <w:tcW w:w="2268" w:type="dxa"/>
            <w:tcBorders>
              <w:top w:val="single" w:sz="4" w:space="0" w:color="auto"/>
            </w:tcBorders>
            <w:tcMar>
              <w:top w:w="30" w:type="dxa"/>
              <w:left w:w="45" w:type="dxa"/>
              <w:bottom w:w="30" w:type="dxa"/>
              <w:right w:w="45" w:type="dxa"/>
            </w:tcMar>
            <w:vAlign w:val="center"/>
            <w:hideMark/>
          </w:tcPr>
          <w:p w14:paraId="00106A69" w14:textId="77777777" w:rsidR="00DF6032" w:rsidRPr="00563AF8" w:rsidRDefault="00DF6032" w:rsidP="00FC5EF1">
            <w:pPr>
              <w:jc w:val="center"/>
              <w:rPr>
                <w:sz w:val="18"/>
                <w:szCs w:val="18"/>
                <w:lang w:val="en-GB"/>
              </w:rPr>
            </w:pPr>
            <w:r w:rsidRPr="00563AF8">
              <w:rPr>
                <w:sz w:val="18"/>
                <w:szCs w:val="18"/>
                <w:lang w:val="en-GB"/>
              </w:rPr>
              <w:t>1.000 (1.000, 1.000)</w:t>
            </w:r>
          </w:p>
        </w:tc>
        <w:tc>
          <w:tcPr>
            <w:tcW w:w="2268" w:type="dxa"/>
            <w:tcBorders>
              <w:top w:val="single" w:sz="4" w:space="0" w:color="auto"/>
            </w:tcBorders>
            <w:tcMar>
              <w:top w:w="30" w:type="dxa"/>
              <w:left w:w="45" w:type="dxa"/>
              <w:bottom w:w="30" w:type="dxa"/>
              <w:right w:w="45" w:type="dxa"/>
            </w:tcMar>
            <w:vAlign w:val="center"/>
            <w:hideMark/>
          </w:tcPr>
          <w:p w14:paraId="10CF004F" w14:textId="77777777" w:rsidR="00DF6032" w:rsidRPr="00563AF8" w:rsidRDefault="00DF6032" w:rsidP="00FC5EF1">
            <w:pPr>
              <w:jc w:val="center"/>
              <w:rPr>
                <w:sz w:val="18"/>
                <w:szCs w:val="18"/>
                <w:lang w:val="en-GB"/>
              </w:rPr>
            </w:pPr>
            <w:r w:rsidRPr="00563AF8">
              <w:rPr>
                <w:sz w:val="18"/>
                <w:szCs w:val="18"/>
                <w:lang w:val="en-GB"/>
              </w:rPr>
              <w:t>1.000 (1.000, 1.000)</w:t>
            </w:r>
          </w:p>
        </w:tc>
        <w:tc>
          <w:tcPr>
            <w:tcW w:w="2268" w:type="dxa"/>
            <w:tcBorders>
              <w:top w:val="single" w:sz="4" w:space="0" w:color="auto"/>
            </w:tcBorders>
            <w:tcMar>
              <w:top w:w="30" w:type="dxa"/>
              <w:left w:w="45" w:type="dxa"/>
              <w:bottom w:w="30" w:type="dxa"/>
              <w:right w:w="45" w:type="dxa"/>
            </w:tcMar>
            <w:vAlign w:val="center"/>
            <w:hideMark/>
          </w:tcPr>
          <w:p w14:paraId="704B9916" w14:textId="77777777" w:rsidR="00DF6032" w:rsidRPr="00563AF8" w:rsidRDefault="00DF6032" w:rsidP="00FC5EF1">
            <w:pPr>
              <w:jc w:val="center"/>
              <w:rPr>
                <w:sz w:val="18"/>
                <w:szCs w:val="18"/>
                <w:lang w:val="en-GB"/>
              </w:rPr>
            </w:pPr>
            <w:r w:rsidRPr="00563AF8">
              <w:rPr>
                <w:sz w:val="18"/>
                <w:szCs w:val="18"/>
                <w:lang w:val="en-GB"/>
              </w:rPr>
              <w:t>1.000 (1.000, 1.000)</w:t>
            </w:r>
          </w:p>
        </w:tc>
      </w:tr>
      <w:tr w:rsidR="00F263F6" w:rsidRPr="000C2FD5" w14:paraId="167042C4" w14:textId="77777777" w:rsidTr="00352454">
        <w:trPr>
          <w:trHeight w:val="315"/>
        </w:trPr>
        <w:tc>
          <w:tcPr>
            <w:tcW w:w="1843" w:type="dxa"/>
            <w:tcMar>
              <w:top w:w="30" w:type="dxa"/>
              <w:left w:w="45" w:type="dxa"/>
              <w:bottom w:w="30" w:type="dxa"/>
              <w:right w:w="45" w:type="dxa"/>
            </w:tcMar>
            <w:vAlign w:val="center"/>
          </w:tcPr>
          <w:p w14:paraId="79827402" w14:textId="24364BCA" w:rsidR="00F263F6" w:rsidRPr="00563AF8" w:rsidRDefault="00F263F6" w:rsidP="00F263F6">
            <w:pPr>
              <w:rPr>
                <w:sz w:val="18"/>
                <w:szCs w:val="18"/>
                <w:lang w:val="en-GB"/>
              </w:rPr>
            </w:pPr>
            <w:r w:rsidRPr="00563AF8">
              <w:rPr>
                <w:sz w:val="18"/>
                <w:szCs w:val="18"/>
                <w:lang w:val="en-GB"/>
              </w:rPr>
              <w:t xml:space="preserve">Self-administration: Research or medical versus private </w:t>
            </w:r>
          </w:p>
        </w:tc>
        <w:tc>
          <w:tcPr>
            <w:tcW w:w="2268" w:type="dxa"/>
            <w:tcMar>
              <w:top w:w="30" w:type="dxa"/>
              <w:left w:w="45" w:type="dxa"/>
              <w:bottom w:w="30" w:type="dxa"/>
              <w:right w:w="45" w:type="dxa"/>
            </w:tcMar>
            <w:vAlign w:val="center"/>
          </w:tcPr>
          <w:p w14:paraId="1CA9592E" w14:textId="520644BF" w:rsidR="00F263F6" w:rsidRPr="00563AF8" w:rsidRDefault="00F263F6" w:rsidP="00F263F6">
            <w:pPr>
              <w:jc w:val="center"/>
              <w:rPr>
                <w:sz w:val="18"/>
                <w:szCs w:val="18"/>
                <w:lang w:val="en-GB"/>
              </w:rPr>
            </w:pPr>
            <w:r w:rsidRPr="00563AF8">
              <w:rPr>
                <w:sz w:val="18"/>
                <w:szCs w:val="18"/>
                <w:lang w:val="en-GB"/>
              </w:rPr>
              <w:t>0.999 (0.999, 0.999)</w:t>
            </w:r>
          </w:p>
        </w:tc>
        <w:tc>
          <w:tcPr>
            <w:tcW w:w="2268" w:type="dxa"/>
            <w:tcMar>
              <w:top w:w="30" w:type="dxa"/>
              <w:left w:w="45" w:type="dxa"/>
              <w:bottom w:w="30" w:type="dxa"/>
              <w:right w:w="45" w:type="dxa"/>
            </w:tcMar>
            <w:vAlign w:val="center"/>
          </w:tcPr>
          <w:p w14:paraId="27CEF548" w14:textId="55882E59" w:rsidR="00F263F6" w:rsidRPr="00563AF8" w:rsidRDefault="00F263F6" w:rsidP="00F263F6">
            <w:pPr>
              <w:jc w:val="center"/>
              <w:rPr>
                <w:sz w:val="18"/>
                <w:szCs w:val="18"/>
                <w:lang w:val="en-GB"/>
              </w:rPr>
            </w:pPr>
            <w:r w:rsidRPr="00563AF8">
              <w:rPr>
                <w:sz w:val="18"/>
                <w:szCs w:val="18"/>
                <w:lang w:val="en-GB"/>
              </w:rPr>
              <w:t>1.000 (1.000, 1.000)</w:t>
            </w:r>
          </w:p>
        </w:tc>
        <w:tc>
          <w:tcPr>
            <w:tcW w:w="2268" w:type="dxa"/>
            <w:tcMar>
              <w:top w:w="30" w:type="dxa"/>
              <w:left w:w="45" w:type="dxa"/>
              <w:bottom w:w="30" w:type="dxa"/>
              <w:right w:w="45" w:type="dxa"/>
            </w:tcMar>
            <w:vAlign w:val="center"/>
          </w:tcPr>
          <w:p w14:paraId="49A48E24" w14:textId="6466F9CD" w:rsidR="00F263F6" w:rsidRPr="00563AF8" w:rsidRDefault="00F263F6" w:rsidP="00F263F6">
            <w:pPr>
              <w:jc w:val="center"/>
              <w:rPr>
                <w:sz w:val="18"/>
                <w:szCs w:val="18"/>
                <w:lang w:val="en-GB"/>
              </w:rPr>
            </w:pPr>
            <w:r w:rsidRPr="00563AF8">
              <w:rPr>
                <w:sz w:val="18"/>
                <w:szCs w:val="18"/>
                <w:lang w:val="en-GB"/>
              </w:rPr>
              <w:t>1.000 (1.000, 1.000)</w:t>
            </w:r>
          </w:p>
        </w:tc>
        <w:tc>
          <w:tcPr>
            <w:tcW w:w="2268" w:type="dxa"/>
            <w:tcMar>
              <w:top w:w="30" w:type="dxa"/>
              <w:left w:w="45" w:type="dxa"/>
              <w:bottom w:w="30" w:type="dxa"/>
              <w:right w:w="45" w:type="dxa"/>
            </w:tcMar>
            <w:vAlign w:val="center"/>
          </w:tcPr>
          <w:p w14:paraId="48EDE3C1" w14:textId="5D8A15C5" w:rsidR="00F263F6" w:rsidRPr="00563AF8" w:rsidRDefault="00F263F6" w:rsidP="00F263F6">
            <w:pPr>
              <w:jc w:val="center"/>
              <w:rPr>
                <w:sz w:val="18"/>
                <w:szCs w:val="18"/>
                <w:lang w:val="en-GB"/>
              </w:rPr>
            </w:pPr>
            <w:r w:rsidRPr="00563AF8">
              <w:rPr>
                <w:sz w:val="18"/>
                <w:szCs w:val="18"/>
                <w:lang w:val="en-GB"/>
              </w:rPr>
              <w:t>1.000 (1.000, 1.000)</w:t>
            </w:r>
          </w:p>
        </w:tc>
        <w:tc>
          <w:tcPr>
            <w:tcW w:w="2268" w:type="dxa"/>
            <w:tcMar>
              <w:top w:w="30" w:type="dxa"/>
              <w:left w:w="45" w:type="dxa"/>
              <w:bottom w:w="30" w:type="dxa"/>
              <w:right w:w="45" w:type="dxa"/>
            </w:tcMar>
            <w:vAlign w:val="center"/>
          </w:tcPr>
          <w:p w14:paraId="6B8D1EBC" w14:textId="56602F95" w:rsidR="00F263F6" w:rsidRPr="00563AF8" w:rsidRDefault="00F263F6" w:rsidP="00F263F6">
            <w:pPr>
              <w:jc w:val="center"/>
              <w:rPr>
                <w:sz w:val="18"/>
                <w:szCs w:val="18"/>
                <w:lang w:val="en-GB"/>
              </w:rPr>
            </w:pPr>
            <w:r w:rsidRPr="00563AF8">
              <w:rPr>
                <w:sz w:val="18"/>
                <w:szCs w:val="18"/>
                <w:lang w:val="en-GB"/>
              </w:rPr>
              <w:t>1.000 (1.000, 1.000)</w:t>
            </w:r>
          </w:p>
        </w:tc>
        <w:tc>
          <w:tcPr>
            <w:tcW w:w="2268" w:type="dxa"/>
            <w:tcMar>
              <w:top w:w="30" w:type="dxa"/>
              <w:left w:w="45" w:type="dxa"/>
              <w:bottom w:w="30" w:type="dxa"/>
              <w:right w:w="45" w:type="dxa"/>
            </w:tcMar>
            <w:vAlign w:val="center"/>
          </w:tcPr>
          <w:p w14:paraId="1FE10457" w14:textId="430E574C" w:rsidR="00F263F6" w:rsidRPr="00563AF8" w:rsidRDefault="00F263F6" w:rsidP="00F263F6">
            <w:pPr>
              <w:jc w:val="center"/>
              <w:rPr>
                <w:sz w:val="18"/>
                <w:szCs w:val="18"/>
                <w:lang w:val="en-GB"/>
              </w:rPr>
            </w:pPr>
            <w:r w:rsidRPr="00563AF8">
              <w:rPr>
                <w:sz w:val="18"/>
                <w:szCs w:val="18"/>
                <w:lang w:val="en-GB"/>
              </w:rPr>
              <w:t>1.000 (1.000, 1.000)</w:t>
            </w:r>
          </w:p>
        </w:tc>
      </w:tr>
      <w:tr w:rsidR="00F263F6" w:rsidRPr="000C2FD5" w14:paraId="13FB4D33" w14:textId="77777777" w:rsidTr="00352454">
        <w:trPr>
          <w:trHeight w:val="315"/>
        </w:trPr>
        <w:tc>
          <w:tcPr>
            <w:tcW w:w="1843" w:type="dxa"/>
            <w:tcMar>
              <w:top w:w="30" w:type="dxa"/>
              <w:left w:w="45" w:type="dxa"/>
              <w:bottom w:w="30" w:type="dxa"/>
              <w:right w:w="45" w:type="dxa"/>
            </w:tcMar>
            <w:vAlign w:val="center"/>
          </w:tcPr>
          <w:p w14:paraId="6BBE25C7" w14:textId="4B739CDE" w:rsidR="00F263F6" w:rsidRPr="00563AF8" w:rsidRDefault="00F263F6" w:rsidP="00F263F6">
            <w:pPr>
              <w:rPr>
                <w:sz w:val="18"/>
                <w:szCs w:val="18"/>
                <w:lang w:val="en-GB"/>
              </w:rPr>
            </w:pPr>
            <w:r w:rsidRPr="00563AF8">
              <w:rPr>
                <w:sz w:val="18"/>
                <w:szCs w:val="18"/>
                <w:lang w:val="en-GB"/>
              </w:rPr>
              <w:t>Self-administration:</w:t>
            </w:r>
            <w:r w:rsidRPr="00563AF8">
              <w:rPr>
                <w:sz w:val="18"/>
                <w:szCs w:val="18"/>
                <w:lang w:val="en-GB"/>
              </w:rPr>
              <w:br/>
              <w:t>pen-and-paper versus electronic</w:t>
            </w:r>
          </w:p>
        </w:tc>
        <w:tc>
          <w:tcPr>
            <w:tcW w:w="2268" w:type="dxa"/>
            <w:tcMar>
              <w:top w:w="30" w:type="dxa"/>
              <w:left w:w="45" w:type="dxa"/>
              <w:bottom w:w="30" w:type="dxa"/>
              <w:right w:w="45" w:type="dxa"/>
            </w:tcMar>
            <w:vAlign w:val="center"/>
          </w:tcPr>
          <w:p w14:paraId="78BC358E" w14:textId="2D55D521" w:rsidR="00F263F6" w:rsidRPr="00563AF8" w:rsidRDefault="00F263F6" w:rsidP="00F263F6">
            <w:pPr>
              <w:jc w:val="center"/>
              <w:rPr>
                <w:sz w:val="18"/>
                <w:szCs w:val="18"/>
                <w:lang w:val="en-GB"/>
              </w:rPr>
            </w:pPr>
            <w:r w:rsidRPr="00563AF8">
              <w:rPr>
                <w:sz w:val="18"/>
                <w:szCs w:val="18"/>
                <w:lang w:val="en-GB"/>
              </w:rPr>
              <w:t>0.997 (0.997, 0.997)</w:t>
            </w:r>
          </w:p>
        </w:tc>
        <w:tc>
          <w:tcPr>
            <w:tcW w:w="2268" w:type="dxa"/>
            <w:tcMar>
              <w:top w:w="30" w:type="dxa"/>
              <w:left w:w="45" w:type="dxa"/>
              <w:bottom w:w="30" w:type="dxa"/>
              <w:right w:w="45" w:type="dxa"/>
            </w:tcMar>
            <w:vAlign w:val="center"/>
          </w:tcPr>
          <w:p w14:paraId="675F88F0" w14:textId="50DE1CB8" w:rsidR="00F263F6" w:rsidRPr="00563AF8" w:rsidRDefault="00F263F6" w:rsidP="00F263F6">
            <w:pPr>
              <w:jc w:val="center"/>
              <w:rPr>
                <w:sz w:val="18"/>
                <w:szCs w:val="18"/>
                <w:lang w:val="en-GB"/>
              </w:rPr>
            </w:pPr>
            <w:r w:rsidRPr="00563AF8">
              <w:rPr>
                <w:sz w:val="18"/>
                <w:szCs w:val="18"/>
                <w:lang w:val="en-GB"/>
              </w:rPr>
              <w:t>0.999 (0.999, 0.999)</w:t>
            </w:r>
          </w:p>
        </w:tc>
        <w:tc>
          <w:tcPr>
            <w:tcW w:w="2268" w:type="dxa"/>
            <w:tcMar>
              <w:top w:w="30" w:type="dxa"/>
              <w:left w:w="45" w:type="dxa"/>
              <w:bottom w:w="30" w:type="dxa"/>
              <w:right w:w="45" w:type="dxa"/>
            </w:tcMar>
            <w:vAlign w:val="center"/>
          </w:tcPr>
          <w:p w14:paraId="57153EDF" w14:textId="74008E7D" w:rsidR="00F263F6" w:rsidRPr="00563AF8" w:rsidRDefault="00F263F6" w:rsidP="00F263F6">
            <w:pPr>
              <w:jc w:val="center"/>
              <w:rPr>
                <w:sz w:val="18"/>
                <w:szCs w:val="18"/>
                <w:lang w:val="en-GB"/>
              </w:rPr>
            </w:pPr>
            <w:r w:rsidRPr="00563AF8">
              <w:rPr>
                <w:sz w:val="18"/>
                <w:szCs w:val="18"/>
                <w:lang w:val="en-GB"/>
              </w:rPr>
              <w:t>0.998 (0.998, 0.998)</w:t>
            </w:r>
          </w:p>
        </w:tc>
        <w:tc>
          <w:tcPr>
            <w:tcW w:w="2268" w:type="dxa"/>
            <w:tcMar>
              <w:top w:w="30" w:type="dxa"/>
              <w:left w:w="45" w:type="dxa"/>
              <w:bottom w:w="30" w:type="dxa"/>
              <w:right w:w="45" w:type="dxa"/>
            </w:tcMar>
            <w:vAlign w:val="center"/>
          </w:tcPr>
          <w:p w14:paraId="6519C920" w14:textId="546754D5" w:rsidR="00F263F6" w:rsidRPr="00563AF8" w:rsidRDefault="00F263F6" w:rsidP="00F263F6">
            <w:pPr>
              <w:jc w:val="center"/>
              <w:rPr>
                <w:sz w:val="18"/>
                <w:szCs w:val="18"/>
                <w:lang w:val="en-GB"/>
              </w:rPr>
            </w:pPr>
            <w:r w:rsidRPr="00563AF8">
              <w:rPr>
                <w:sz w:val="18"/>
                <w:szCs w:val="18"/>
                <w:lang w:val="en-GB"/>
              </w:rPr>
              <w:t>0.995 (0.995, 0.995)</w:t>
            </w:r>
          </w:p>
        </w:tc>
        <w:tc>
          <w:tcPr>
            <w:tcW w:w="2268" w:type="dxa"/>
            <w:tcMar>
              <w:top w:w="30" w:type="dxa"/>
              <w:left w:w="45" w:type="dxa"/>
              <w:bottom w:w="30" w:type="dxa"/>
              <w:right w:w="45" w:type="dxa"/>
            </w:tcMar>
            <w:vAlign w:val="center"/>
          </w:tcPr>
          <w:p w14:paraId="2945C1D8" w14:textId="1B2E604C" w:rsidR="00F263F6" w:rsidRPr="00563AF8" w:rsidRDefault="00F263F6" w:rsidP="00F263F6">
            <w:pPr>
              <w:jc w:val="center"/>
              <w:rPr>
                <w:sz w:val="18"/>
                <w:szCs w:val="18"/>
                <w:lang w:val="en-GB"/>
              </w:rPr>
            </w:pPr>
            <w:r w:rsidRPr="00563AF8">
              <w:rPr>
                <w:sz w:val="18"/>
                <w:szCs w:val="18"/>
                <w:lang w:val="en-GB"/>
              </w:rPr>
              <w:t>-----</w:t>
            </w:r>
          </w:p>
        </w:tc>
        <w:tc>
          <w:tcPr>
            <w:tcW w:w="2268" w:type="dxa"/>
            <w:tcMar>
              <w:top w:w="30" w:type="dxa"/>
              <w:left w:w="45" w:type="dxa"/>
              <w:bottom w:w="30" w:type="dxa"/>
              <w:right w:w="45" w:type="dxa"/>
            </w:tcMar>
            <w:vAlign w:val="center"/>
          </w:tcPr>
          <w:p w14:paraId="742A408D" w14:textId="5D31132F" w:rsidR="00F263F6" w:rsidRPr="00563AF8" w:rsidRDefault="00F263F6" w:rsidP="00F263F6">
            <w:pPr>
              <w:jc w:val="center"/>
              <w:rPr>
                <w:sz w:val="18"/>
                <w:szCs w:val="18"/>
                <w:lang w:val="en-GB"/>
              </w:rPr>
            </w:pPr>
            <w:r w:rsidRPr="00563AF8">
              <w:rPr>
                <w:sz w:val="18"/>
                <w:szCs w:val="18"/>
                <w:lang w:val="en-GB"/>
              </w:rPr>
              <w:t>-----</w:t>
            </w:r>
          </w:p>
        </w:tc>
      </w:tr>
      <w:tr w:rsidR="00F263F6" w:rsidRPr="000C2FD5" w14:paraId="4AE9F1E4" w14:textId="77777777" w:rsidTr="00352454">
        <w:trPr>
          <w:trHeight w:val="315"/>
        </w:trPr>
        <w:tc>
          <w:tcPr>
            <w:tcW w:w="1843" w:type="dxa"/>
            <w:tcBorders>
              <w:bottom w:val="single" w:sz="18" w:space="0" w:color="auto"/>
            </w:tcBorders>
            <w:tcMar>
              <w:top w:w="30" w:type="dxa"/>
              <w:left w:w="45" w:type="dxa"/>
              <w:bottom w:w="30" w:type="dxa"/>
              <w:right w:w="45" w:type="dxa"/>
            </w:tcMar>
            <w:vAlign w:val="center"/>
          </w:tcPr>
          <w:p w14:paraId="2ACD4744" w14:textId="6D16BB11" w:rsidR="00F263F6" w:rsidRPr="00563AF8" w:rsidRDefault="00F263F6" w:rsidP="00F263F6">
            <w:pPr>
              <w:rPr>
                <w:sz w:val="18"/>
                <w:szCs w:val="18"/>
                <w:lang w:val="en-GB"/>
              </w:rPr>
            </w:pPr>
            <w:r w:rsidRPr="00563AF8">
              <w:rPr>
                <w:sz w:val="18"/>
                <w:szCs w:val="18"/>
                <w:lang w:val="en-GB"/>
              </w:rPr>
              <w:t>Interview-administration: In-person versus phone</w:t>
            </w:r>
          </w:p>
        </w:tc>
        <w:tc>
          <w:tcPr>
            <w:tcW w:w="2268" w:type="dxa"/>
            <w:tcBorders>
              <w:bottom w:val="single" w:sz="18" w:space="0" w:color="auto"/>
            </w:tcBorders>
            <w:tcMar>
              <w:top w:w="30" w:type="dxa"/>
              <w:left w:w="45" w:type="dxa"/>
              <w:bottom w:w="30" w:type="dxa"/>
              <w:right w:w="45" w:type="dxa"/>
            </w:tcMar>
            <w:vAlign w:val="center"/>
          </w:tcPr>
          <w:p w14:paraId="2033B5DA" w14:textId="1C135D1C" w:rsidR="00F263F6" w:rsidRPr="00563AF8" w:rsidRDefault="00F263F6" w:rsidP="00F263F6">
            <w:pPr>
              <w:jc w:val="center"/>
              <w:rPr>
                <w:sz w:val="18"/>
                <w:szCs w:val="18"/>
                <w:lang w:val="en-GB"/>
              </w:rPr>
            </w:pPr>
            <w:r w:rsidRPr="00563AF8">
              <w:rPr>
                <w:sz w:val="18"/>
                <w:szCs w:val="18"/>
                <w:lang w:val="en-GB"/>
              </w:rPr>
              <w:t>0.999 (0.999, 0.999)</w:t>
            </w:r>
          </w:p>
        </w:tc>
        <w:tc>
          <w:tcPr>
            <w:tcW w:w="2268" w:type="dxa"/>
            <w:tcBorders>
              <w:bottom w:val="single" w:sz="18" w:space="0" w:color="auto"/>
            </w:tcBorders>
            <w:tcMar>
              <w:top w:w="30" w:type="dxa"/>
              <w:left w:w="45" w:type="dxa"/>
              <w:bottom w:w="30" w:type="dxa"/>
              <w:right w:w="45" w:type="dxa"/>
            </w:tcMar>
            <w:vAlign w:val="center"/>
          </w:tcPr>
          <w:p w14:paraId="7AD41DDF" w14:textId="2DE7BE3C" w:rsidR="00F263F6" w:rsidRPr="00563AF8" w:rsidRDefault="00F263F6" w:rsidP="00F263F6">
            <w:pPr>
              <w:jc w:val="center"/>
              <w:rPr>
                <w:sz w:val="18"/>
                <w:szCs w:val="18"/>
                <w:lang w:val="en-GB"/>
              </w:rPr>
            </w:pPr>
            <w:r w:rsidRPr="00563AF8">
              <w:rPr>
                <w:sz w:val="18"/>
                <w:szCs w:val="18"/>
                <w:lang w:val="en-GB"/>
              </w:rPr>
              <w:t>1.000 (1.000, 1.000)</w:t>
            </w:r>
          </w:p>
        </w:tc>
        <w:tc>
          <w:tcPr>
            <w:tcW w:w="2268" w:type="dxa"/>
            <w:tcBorders>
              <w:bottom w:val="single" w:sz="18" w:space="0" w:color="auto"/>
            </w:tcBorders>
            <w:tcMar>
              <w:top w:w="30" w:type="dxa"/>
              <w:left w:w="45" w:type="dxa"/>
              <w:bottom w:w="30" w:type="dxa"/>
              <w:right w:w="45" w:type="dxa"/>
            </w:tcMar>
            <w:vAlign w:val="center"/>
          </w:tcPr>
          <w:p w14:paraId="368ADE43" w14:textId="2E79CD14" w:rsidR="00F263F6" w:rsidRPr="00563AF8" w:rsidRDefault="00F263F6" w:rsidP="00F263F6">
            <w:pPr>
              <w:jc w:val="center"/>
              <w:rPr>
                <w:sz w:val="18"/>
                <w:szCs w:val="18"/>
                <w:lang w:val="en-GB"/>
              </w:rPr>
            </w:pPr>
            <w:r w:rsidRPr="00563AF8">
              <w:rPr>
                <w:sz w:val="18"/>
                <w:szCs w:val="18"/>
                <w:lang w:val="en-GB"/>
              </w:rPr>
              <w:t>1.000 (1.000, 1.000)</w:t>
            </w:r>
          </w:p>
        </w:tc>
        <w:tc>
          <w:tcPr>
            <w:tcW w:w="2268" w:type="dxa"/>
            <w:tcBorders>
              <w:bottom w:val="single" w:sz="18" w:space="0" w:color="auto"/>
            </w:tcBorders>
            <w:tcMar>
              <w:top w:w="30" w:type="dxa"/>
              <w:left w:w="45" w:type="dxa"/>
              <w:bottom w:w="30" w:type="dxa"/>
              <w:right w:w="45" w:type="dxa"/>
            </w:tcMar>
            <w:vAlign w:val="center"/>
          </w:tcPr>
          <w:p w14:paraId="087D79B3" w14:textId="11BD4479" w:rsidR="00F263F6" w:rsidRPr="00563AF8" w:rsidRDefault="00F263F6" w:rsidP="00F263F6">
            <w:pPr>
              <w:jc w:val="center"/>
              <w:rPr>
                <w:sz w:val="18"/>
                <w:szCs w:val="18"/>
                <w:lang w:val="en-GB"/>
              </w:rPr>
            </w:pPr>
            <w:r w:rsidRPr="00563AF8">
              <w:rPr>
                <w:sz w:val="18"/>
                <w:szCs w:val="18"/>
                <w:lang w:val="en-GB"/>
              </w:rPr>
              <w:t>0.999 (0.999, 0.999)</w:t>
            </w:r>
          </w:p>
        </w:tc>
        <w:tc>
          <w:tcPr>
            <w:tcW w:w="2268" w:type="dxa"/>
            <w:tcBorders>
              <w:bottom w:val="single" w:sz="18" w:space="0" w:color="auto"/>
            </w:tcBorders>
            <w:tcMar>
              <w:top w:w="30" w:type="dxa"/>
              <w:left w:w="45" w:type="dxa"/>
              <w:bottom w:w="30" w:type="dxa"/>
              <w:right w:w="45" w:type="dxa"/>
            </w:tcMar>
            <w:vAlign w:val="center"/>
          </w:tcPr>
          <w:p w14:paraId="11486EBC" w14:textId="77777777" w:rsidR="00F263F6" w:rsidRPr="00563AF8" w:rsidRDefault="00F263F6" w:rsidP="00F263F6">
            <w:pPr>
              <w:jc w:val="center"/>
              <w:rPr>
                <w:sz w:val="18"/>
                <w:szCs w:val="18"/>
                <w:lang w:val="en-GB"/>
              </w:rPr>
            </w:pPr>
            <w:r w:rsidRPr="00563AF8">
              <w:rPr>
                <w:sz w:val="18"/>
                <w:szCs w:val="18"/>
                <w:lang w:val="en-GB"/>
              </w:rPr>
              <w:t>-----</w:t>
            </w:r>
          </w:p>
          <w:p w14:paraId="50B274D5" w14:textId="24F87F05" w:rsidR="00F263F6" w:rsidRPr="00563AF8" w:rsidRDefault="00F263F6" w:rsidP="00F263F6">
            <w:pPr>
              <w:jc w:val="center"/>
              <w:rPr>
                <w:sz w:val="18"/>
                <w:szCs w:val="18"/>
                <w:lang w:val="en-GB"/>
              </w:rPr>
            </w:pPr>
          </w:p>
        </w:tc>
        <w:tc>
          <w:tcPr>
            <w:tcW w:w="2268" w:type="dxa"/>
            <w:tcBorders>
              <w:bottom w:val="single" w:sz="18" w:space="0" w:color="auto"/>
            </w:tcBorders>
            <w:tcMar>
              <w:top w:w="30" w:type="dxa"/>
              <w:left w:w="45" w:type="dxa"/>
              <w:bottom w:w="30" w:type="dxa"/>
              <w:right w:w="45" w:type="dxa"/>
            </w:tcMar>
            <w:vAlign w:val="center"/>
          </w:tcPr>
          <w:p w14:paraId="6939010B" w14:textId="6C2DAAF8" w:rsidR="00F263F6" w:rsidRPr="00563AF8" w:rsidRDefault="00F263F6" w:rsidP="00F263F6">
            <w:pPr>
              <w:jc w:val="center"/>
              <w:rPr>
                <w:sz w:val="18"/>
                <w:szCs w:val="18"/>
                <w:lang w:val="en-GB"/>
              </w:rPr>
            </w:pPr>
            <w:r w:rsidRPr="00563AF8">
              <w:rPr>
                <w:sz w:val="18"/>
                <w:szCs w:val="18"/>
                <w:lang w:val="en-GB"/>
              </w:rPr>
              <w:t>-----</w:t>
            </w:r>
          </w:p>
        </w:tc>
      </w:tr>
    </w:tbl>
    <w:p w14:paraId="0BF18B14" w14:textId="6A7416BB" w:rsidR="00DF6032" w:rsidRPr="00563AF8" w:rsidRDefault="00DF6032" w:rsidP="00DF6032">
      <w:pPr>
        <w:ind w:left="-1260"/>
        <w:rPr>
          <w:color w:val="000000"/>
          <w:sz w:val="20"/>
          <w:szCs w:val="20"/>
          <w:lang w:val="en-GB"/>
        </w:rPr>
      </w:pPr>
      <w:r w:rsidRPr="00563AF8">
        <w:rPr>
          <w:color w:val="000000"/>
          <w:sz w:val="20"/>
          <w:szCs w:val="20"/>
          <w:lang w:val="en-GB"/>
        </w:rPr>
        <w:t xml:space="preserve">EPDS: Edinburgh Postnatal Depression Scale; HADS-D: Hospital Anxiety and Depression Scale - Depression subscale; </w:t>
      </w:r>
      <w:r w:rsidR="007004F0" w:rsidRPr="00563AF8">
        <w:rPr>
          <w:color w:val="000000"/>
          <w:sz w:val="20"/>
          <w:szCs w:val="20"/>
          <w:lang w:val="en-GB"/>
        </w:rPr>
        <w:t>ICC: Intraclass Correlation Coefficient; PHQ-9: Patient Health Questionnaire-9</w:t>
      </w:r>
    </w:p>
    <w:p w14:paraId="6FFAE1AC" w14:textId="156C5BBA" w:rsidR="00EC4E27" w:rsidRPr="00563AF8" w:rsidRDefault="00EC4E27">
      <w:pPr>
        <w:rPr>
          <w:lang w:val="en-GB" w:eastAsia="zh-CN"/>
        </w:rPr>
      </w:pPr>
      <w:r w:rsidRPr="00563AF8">
        <w:rPr>
          <w:lang w:val="en-GB"/>
        </w:rPr>
        <w:br w:type="page"/>
      </w:r>
    </w:p>
    <w:p w14:paraId="16FB7E44" w14:textId="19CA4169" w:rsidR="00EC4E27" w:rsidRPr="00563AF8" w:rsidRDefault="00EC4E27" w:rsidP="00EC4E27">
      <w:pPr>
        <w:ind w:left="-1276"/>
        <w:rPr>
          <w:b/>
          <w:bCs/>
          <w:lang w:val="en-GB"/>
        </w:rPr>
      </w:pPr>
      <w:r w:rsidRPr="00563AF8">
        <w:rPr>
          <w:b/>
          <w:bCs/>
          <w:color w:val="000000"/>
          <w:lang w:val="en-GB"/>
        </w:rPr>
        <w:lastRenderedPageBreak/>
        <w:t xml:space="preserve">Table 3: </w:t>
      </w:r>
      <w:r w:rsidR="0064705B" w:rsidRPr="00563AF8">
        <w:rPr>
          <w:b/>
          <w:bCs/>
          <w:color w:val="000000"/>
          <w:lang w:val="en-GB"/>
        </w:rPr>
        <w:t>Standardized mean difference</w:t>
      </w:r>
      <w:r w:rsidR="007004F0" w:rsidRPr="00563AF8">
        <w:rPr>
          <w:b/>
          <w:bCs/>
          <w:color w:val="000000"/>
          <w:lang w:val="en-GB"/>
        </w:rPr>
        <w:t xml:space="preserve"> (SMD)</w:t>
      </w:r>
      <w:r w:rsidR="0064705B" w:rsidRPr="00563AF8">
        <w:rPr>
          <w:b/>
          <w:bCs/>
          <w:color w:val="000000"/>
          <w:lang w:val="en-GB"/>
        </w:rPr>
        <w:t xml:space="preserve"> </w:t>
      </w:r>
      <w:r w:rsidR="007004F0" w:rsidRPr="00563AF8">
        <w:rPr>
          <w:b/>
          <w:bCs/>
          <w:color w:val="000000"/>
          <w:lang w:val="en-GB"/>
        </w:rPr>
        <w:t>based on administration mode with and without DIF adjustment</w:t>
      </w:r>
    </w:p>
    <w:p w14:paraId="4927B545" w14:textId="77777777" w:rsidR="00EC4E27" w:rsidRPr="00563AF8" w:rsidRDefault="00EC4E27" w:rsidP="00EC4E27">
      <w:pPr>
        <w:rPr>
          <w:b/>
          <w:bCs/>
          <w:color w:val="000000"/>
          <w:lang w:val="en-GB"/>
        </w:rPr>
      </w:pPr>
    </w:p>
    <w:tbl>
      <w:tblPr>
        <w:tblW w:w="15451" w:type="dxa"/>
        <w:tblInd w:w="-1291" w:type="dxa"/>
        <w:tblCellMar>
          <w:left w:w="0" w:type="dxa"/>
          <w:right w:w="0" w:type="dxa"/>
        </w:tblCellMar>
        <w:tblLook w:val="04A0" w:firstRow="1" w:lastRow="0" w:firstColumn="1" w:lastColumn="0" w:noHBand="0" w:noVBand="1"/>
      </w:tblPr>
      <w:tblGrid>
        <w:gridCol w:w="1843"/>
        <w:gridCol w:w="2268"/>
        <w:gridCol w:w="2268"/>
        <w:gridCol w:w="2268"/>
        <w:gridCol w:w="2268"/>
        <w:gridCol w:w="2268"/>
        <w:gridCol w:w="2268"/>
      </w:tblGrid>
      <w:tr w:rsidR="00EC4E27" w:rsidRPr="000C2FD5" w14:paraId="6C70F7BE" w14:textId="77777777" w:rsidTr="00FC5EF1">
        <w:trPr>
          <w:trHeight w:val="315"/>
        </w:trPr>
        <w:tc>
          <w:tcPr>
            <w:tcW w:w="1843" w:type="dxa"/>
            <w:tcBorders>
              <w:top w:val="single" w:sz="18" w:space="0" w:color="auto"/>
              <w:bottom w:val="single" w:sz="4" w:space="0" w:color="auto"/>
            </w:tcBorders>
            <w:tcMar>
              <w:top w:w="30" w:type="dxa"/>
              <w:left w:w="45" w:type="dxa"/>
              <w:bottom w:w="30" w:type="dxa"/>
              <w:right w:w="45" w:type="dxa"/>
            </w:tcMar>
            <w:vAlign w:val="center"/>
            <w:hideMark/>
          </w:tcPr>
          <w:p w14:paraId="1361E53F" w14:textId="77777777" w:rsidR="00EC4E27" w:rsidRPr="00563AF8" w:rsidRDefault="00EC4E27" w:rsidP="00FC5EF1">
            <w:pPr>
              <w:jc w:val="center"/>
              <w:rPr>
                <w:sz w:val="18"/>
                <w:szCs w:val="18"/>
                <w:lang w:val="en-GB"/>
              </w:rPr>
            </w:pPr>
          </w:p>
        </w:tc>
        <w:tc>
          <w:tcPr>
            <w:tcW w:w="4536" w:type="dxa"/>
            <w:gridSpan w:val="2"/>
            <w:tcBorders>
              <w:top w:val="single" w:sz="18" w:space="0" w:color="auto"/>
              <w:bottom w:val="single" w:sz="4" w:space="0" w:color="auto"/>
            </w:tcBorders>
            <w:tcMar>
              <w:top w:w="30" w:type="dxa"/>
              <w:left w:w="45" w:type="dxa"/>
              <w:bottom w:w="30" w:type="dxa"/>
              <w:right w:w="45" w:type="dxa"/>
            </w:tcMar>
            <w:vAlign w:val="center"/>
            <w:hideMark/>
          </w:tcPr>
          <w:p w14:paraId="2DA458D0" w14:textId="77777777" w:rsidR="00EC4E27" w:rsidRPr="00563AF8" w:rsidRDefault="00EC4E27" w:rsidP="00FC5EF1">
            <w:pPr>
              <w:jc w:val="center"/>
              <w:rPr>
                <w:b/>
                <w:bCs/>
                <w:sz w:val="18"/>
                <w:szCs w:val="18"/>
                <w:lang w:val="en-GB"/>
              </w:rPr>
            </w:pPr>
            <w:r w:rsidRPr="00563AF8">
              <w:rPr>
                <w:b/>
                <w:bCs/>
                <w:sz w:val="18"/>
                <w:szCs w:val="18"/>
                <w:lang w:val="en-GB"/>
              </w:rPr>
              <w:t>PHQ-9</w:t>
            </w:r>
          </w:p>
        </w:tc>
        <w:tc>
          <w:tcPr>
            <w:tcW w:w="4536" w:type="dxa"/>
            <w:gridSpan w:val="2"/>
            <w:tcBorders>
              <w:top w:val="single" w:sz="18" w:space="0" w:color="auto"/>
              <w:bottom w:val="single" w:sz="4" w:space="0" w:color="auto"/>
            </w:tcBorders>
            <w:tcMar>
              <w:top w:w="30" w:type="dxa"/>
              <w:left w:w="45" w:type="dxa"/>
              <w:bottom w:w="30" w:type="dxa"/>
              <w:right w:w="45" w:type="dxa"/>
            </w:tcMar>
            <w:vAlign w:val="center"/>
            <w:hideMark/>
          </w:tcPr>
          <w:p w14:paraId="14EFDC83" w14:textId="77777777" w:rsidR="00EC4E27" w:rsidRPr="00563AF8" w:rsidRDefault="00EC4E27" w:rsidP="00FC5EF1">
            <w:pPr>
              <w:jc w:val="center"/>
              <w:rPr>
                <w:b/>
                <w:bCs/>
                <w:sz w:val="18"/>
                <w:szCs w:val="18"/>
                <w:lang w:val="en-GB"/>
              </w:rPr>
            </w:pPr>
            <w:r w:rsidRPr="00563AF8">
              <w:rPr>
                <w:b/>
                <w:bCs/>
                <w:sz w:val="18"/>
                <w:szCs w:val="18"/>
                <w:lang w:val="en-GB"/>
              </w:rPr>
              <w:t>EPDS</w:t>
            </w:r>
          </w:p>
        </w:tc>
        <w:tc>
          <w:tcPr>
            <w:tcW w:w="4536" w:type="dxa"/>
            <w:gridSpan w:val="2"/>
            <w:tcBorders>
              <w:top w:val="single" w:sz="18" w:space="0" w:color="auto"/>
              <w:bottom w:val="single" w:sz="4" w:space="0" w:color="auto"/>
            </w:tcBorders>
            <w:tcMar>
              <w:top w:w="30" w:type="dxa"/>
              <w:left w:w="45" w:type="dxa"/>
              <w:bottom w:w="30" w:type="dxa"/>
              <w:right w:w="45" w:type="dxa"/>
            </w:tcMar>
            <w:vAlign w:val="center"/>
            <w:hideMark/>
          </w:tcPr>
          <w:p w14:paraId="50EB42DD" w14:textId="77777777" w:rsidR="00EC4E27" w:rsidRPr="00563AF8" w:rsidRDefault="00EC4E27" w:rsidP="00FC5EF1">
            <w:pPr>
              <w:jc w:val="center"/>
              <w:rPr>
                <w:b/>
                <w:bCs/>
                <w:sz w:val="18"/>
                <w:szCs w:val="18"/>
                <w:lang w:val="en-GB"/>
              </w:rPr>
            </w:pPr>
            <w:r w:rsidRPr="00563AF8">
              <w:rPr>
                <w:b/>
                <w:bCs/>
                <w:sz w:val="18"/>
                <w:szCs w:val="18"/>
                <w:lang w:val="en-GB"/>
              </w:rPr>
              <w:t>HADS-D</w:t>
            </w:r>
          </w:p>
        </w:tc>
      </w:tr>
      <w:tr w:rsidR="00EC4E27" w:rsidRPr="000C2FD5" w14:paraId="0B47DE0A" w14:textId="77777777" w:rsidTr="00FC5EF1">
        <w:trPr>
          <w:trHeight w:val="315"/>
        </w:trPr>
        <w:tc>
          <w:tcPr>
            <w:tcW w:w="1843" w:type="dxa"/>
            <w:tcBorders>
              <w:top w:val="single" w:sz="4" w:space="0" w:color="auto"/>
              <w:bottom w:val="single" w:sz="4" w:space="0" w:color="auto"/>
            </w:tcBorders>
            <w:tcMar>
              <w:top w:w="30" w:type="dxa"/>
              <w:left w:w="45" w:type="dxa"/>
              <w:bottom w:w="30" w:type="dxa"/>
              <w:right w:w="45" w:type="dxa"/>
            </w:tcMar>
            <w:hideMark/>
          </w:tcPr>
          <w:p w14:paraId="44DD1D99" w14:textId="77777777" w:rsidR="00EC4E27" w:rsidRPr="00563AF8" w:rsidRDefault="00EC4E27" w:rsidP="00FC5EF1">
            <w:pPr>
              <w:jc w:val="center"/>
              <w:rPr>
                <w:b/>
                <w:bCs/>
                <w:sz w:val="18"/>
                <w:szCs w:val="18"/>
                <w:lang w:val="en-GB"/>
              </w:rPr>
            </w:pPr>
            <w:r w:rsidRPr="00563AF8">
              <w:rPr>
                <w:b/>
                <w:bCs/>
                <w:sz w:val="18"/>
                <w:szCs w:val="18"/>
                <w:lang w:val="en-GB"/>
              </w:rPr>
              <w:t>Comparison</w:t>
            </w:r>
          </w:p>
        </w:tc>
        <w:tc>
          <w:tcPr>
            <w:tcW w:w="2268" w:type="dxa"/>
            <w:tcBorders>
              <w:top w:val="single" w:sz="4" w:space="0" w:color="auto"/>
              <w:bottom w:val="single" w:sz="4" w:space="0" w:color="auto"/>
            </w:tcBorders>
            <w:tcMar>
              <w:top w:w="30" w:type="dxa"/>
              <w:left w:w="45" w:type="dxa"/>
              <w:bottom w:w="30" w:type="dxa"/>
              <w:right w:w="45" w:type="dxa"/>
            </w:tcMar>
            <w:vAlign w:val="center"/>
            <w:hideMark/>
          </w:tcPr>
          <w:p w14:paraId="71C54DDF" w14:textId="0298FAC6" w:rsidR="00EC4E27" w:rsidRPr="00563AF8" w:rsidRDefault="007004F0" w:rsidP="00FC5EF1">
            <w:pPr>
              <w:jc w:val="center"/>
              <w:rPr>
                <w:b/>
                <w:bCs/>
                <w:sz w:val="18"/>
                <w:szCs w:val="18"/>
                <w:lang w:val="en-GB"/>
              </w:rPr>
            </w:pPr>
            <w:r w:rsidRPr="00563AF8">
              <w:rPr>
                <w:b/>
                <w:bCs/>
                <w:sz w:val="18"/>
                <w:szCs w:val="18"/>
                <w:lang w:val="en-GB"/>
              </w:rPr>
              <w:t>Unadjusted SMD</w:t>
            </w:r>
          </w:p>
          <w:p w14:paraId="3949554E" w14:textId="41D9348D" w:rsidR="00EC4E27" w:rsidRPr="00563AF8" w:rsidRDefault="009F26CB" w:rsidP="00FC5EF1">
            <w:pPr>
              <w:jc w:val="center"/>
              <w:rPr>
                <w:b/>
                <w:bCs/>
                <w:sz w:val="18"/>
                <w:szCs w:val="18"/>
                <w:lang w:val="en-GB"/>
              </w:rPr>
            </w:pPr>
            <w:r w:rsidRPr="00563AF8">
              <w:rPr>
                <w:b/>
                <w:bCs/>
                <w:sz w:val="18"/>
                <w:szCs w:val="18"/>
                <w:lang w:val="en-GB"/>
              </w:rPr>
              <w:t>(95% confidence interval)</w:t>
            </w:r>
          </w:p>
        </w:tc>
        <w:tc>
          <w:tcPr>
            <w:tcW w:w="2268" w:type="dxa"/>
            <w:tcBorders>
              <w:top w:val="single" w:sz="4" w:space="0" w:color="auto"/>
              <w:bottom w:val="single" w:sz="4" w:space="0" w:color="auto"/>
            </w:tcBorders>
            <w:tcMar>
              <w:top w:w="30" w:type="dxa"/>
              <w:left w:w="45" w:type="dxa"/>
              <w:bottom w:w="30" w:type="dxa"/>
              <w:right w:w="45" w:type="dxa"/>
            </w:tcMar>
            <w:vAlign w:val="center"/>
            <w:hideMark/>
          </w:tcPr>
          <w:p w14:paraId="4D5A5D63" w14:textId="44C1EF06" w:rsidR="00EC4E27" w:rsidRPr="00563AF8" w:rsidRDefault="009F26CB" w:rsidP="00FC5EF1">
            <w:pPr>
              <w:jc w:val="center"/>
              <w:rPr>
                <w:b/>
                <w:bCs/>
                <w:sz w:val="18"/>
                <w:szCs w:val="18"/>
                <w:lang w:val="en-GB"/>
              </w:rPr>
            </w:pPr>
            <w:r w:rsidRPr="00563AF8">
              <w:rPr>
                <w:b/>
                <w:bCs/>
                <w:sz w:val="18"/>
                <w:szCs w:val="18"/>
                <w:lang w:val="en-GB"/>
              </w:rPr>
              <w:t>DIF-adjusted SMD</w:t>
            </w:r>
          </w:p>
          <w:p w14:paraId="1EBD86D1" w14:textId="5EFB95F0" w:rsidR="00EC4E27" w:rsidRPr="00563AF8" w:rsidRDefault="009F26CB" w:rsidP="00FC5EF1">
            <w:pPr>
              <w:jc w:val="center"/>
              <w:rPr>
                <w:b/>
                <w:bCs/>
                <w:sz w:val="18"/>
                <w:szCs w:val="18"/>
                <w:lang w:val="en-GB"/>
              </w:rPr>
            </w:pPr>
            <w:r w:rsidRPr="00563AF8">
              <w:rPr>
                <w:b/>
                <w:bCs/>
                <w:sz w:val="18"/>
                <w:szCs w:val="18"/>
                <w:lang w:val="en-GB"/>
              </w:rPr>
              <w:t>(95% confidence interval)</w:t>
            </w:r>
          </w:p>
        </w:tc>
        <w:tc>
          <w:tcPr>
            <w:tcW w:w="2268" w:type="dxa"/>
            <w:tcBorders>
              <w:top w:val="single" w:sz="4" w:space="0" w:color="auto"/>
              <w:bottom w:val="single" w:sz="4" w:space="0" w:color="auto"/>
            </w:tcBorders>
            <w:tcMar>
              <w:top w:w="30" w:type="dxa"/>
              <w:left w:w="45" w:type="dxa"/>
              <w:bottom w:w="30" w:type="dxa"/>
              <w:right w:w="45" w:type="dxa"/>
            </w:tcMar>
            <w:vAlign w:val="center"/>
            <w:hideMark/>
          </w:tcPr>
          <w:p w14:paraId="5831D942" w14:textId="77777777" w:rsidR="009F26CB" w:rsidRPr="00563AF8" w:rsidRDefault="009F26CB" w:rsidP="009F26CB">
            <w:pPr>
              <w:jc w:val="center"/>
              <w:rPr>
                <w:b/>
                <w:bCs/>
                <w:sz w:val="18"/>
                <w:szCs w:val="18"/>
                <w:lang w:val="en-GB"/>
              </w:rPr>
            </w:pPr>
            <w:r w:rsidRPr="00563AF8">
              <w:rPr>
                <w:b/>
                <w:bCs/>
                <w:sz w:val="18"/>
                <w:szCs w:val="18"/>
                <w:lang w:val="en-GB"/>
              </w:rPr>
              <w:t>Unadjusted SMD</w:t>
            </w:r>
          </w:p>
          <w:p w14:paraId="0FE9D62C" w14:textId="25B23A9C" w:rsidR="00EC4E27" w:rsidRPr="00563AF8" w:rsidRDefault="009F26CB" w:rsidP="00FC5EF1">
            <w:pPr>
              <w:jc w:val="center"/>
              <w:rPr>
                <w:b/>
                <w:bCs/>
                <w:sz w:val="18"/>
                <w:szCs w:val="18"/>
                <w:lang w:val="en-GB"/>
              </w:rPr>
            </w:pPr>
            <w:r w:rsidRPr="00563AF8">
              <w:rPr>
                <w:b/>
                <w:bCs/>
                <w:sz w:val="18"/>
                <w:szCs w:val="18"/>
                <w:lang w:val="en-GB"/>
              </w:rPr>
              <w:t>(95% confidence interval)</w:t>
            </w:r>
          </w:p>
        </w:tc>
        <w:tc>
          <w:tcPr>
            <w:tcW w:w="2268" w:type="dxa"/>
            <w:tcBorders>
              <w:top w:val="single" w:sz="4" w:space="0" w:color="auto"/>
              <w:bottom w:val="single" w:sz="4" w:space="0" w:color="auto"/>
            </w:tcBorders>
            <w:tcMar>
              <w:top w:w="30" w:type="dxa"/>
              <w:left w:w="45" w:type="dxa"/>
              <w:bottom w:w="30" w:type="dxa"/>
              <w:right w:w="45" w:type="dxa"/>
            </w:tcMar>
            <w:vAlign w:val="center"/>
            <w:hideMark/>
          </w:tcPr>
          <w:p w14:paraId="1DDD7918" w14:textId="77777777" w:rsidR="00352454" w:rsidRPr="00563AF8" w:rsidRDefault="00352454" w:rsidP="00352454">
            <w:pPr>
              <w:jc w:val="center"/>
              <w:rPr>
                <w:b/>
                <w:bCs/>
                <w:sz w:val="18"/>
                <w:szCs w:val="18"/>
                <w:lang w:val="en-GB"/>
              </w:rPr>
            </w:pPr>
            <w:r w:rsidRPr="00563AF8">
              <w:rPr>
                <w:b/>
                <w:bCs/>
                <w:sz w:val="18"/>
                <w:szCs w:val="18"/>
                <w:lang w:val="en-GB"/>
              </w:rPr>
              <w:t>DIF-adjusted SMD</w:t>
            </w:r>
          </w:p>
          <w:p w14:paraId="1CDC22E2" w14:textId="417F282C" w:rsidR="00EC4E27" w:rsidRPr="00563AF8" w:rsidRDefault="009F26CB" w:rsidP="00FC5EF1">
            <w:pPr>
              <w:jc w:val="center"/>
              <w:rPr>
                <w:b/>
                <w:bCs/>
                <w:sz w:val="18"/>
                <w:szCs w:val="18"/>
                <w:lang w:val="en-GB"/>
              </w:rPr>
            </w:pPr>
            <w:r w:rsidRPr="00563AF8">
              <w:rPr>
                <w:b/>
                <w:bCs/>
                <w:sz w:val="18"/>
                <w:szCs w:val="18"/>
                <w:lang w:val="en-GB"/>
              </w:rPr>
              <w:t>(95% confidence interval)</w:t>
            </w:r>
          </w:p>
        </w:tc>
        <w:tc>
          <w:tcPr>
            <w:tcW w:w="2268" w:type="dxa"/>
            <w:tcBorders>
              <w:top w:val="single" w:sz="4" w:space="0" w:color="auto"/>
              <w:bottom w:val="single" w:sz="4" w:space="0" w:color="auto"/>
            </w:tcBorders>
            <w:tcMar>
              <w:top w:w="30" w:type="dxa"/>
              <w:left w:w="45" w:type="dxa"/>
              <w:bottom w:w="30" w:type="dxa"/>
              <w:right w:w="45" w:type="dxa"/>
            </w:tcMar>
            <w:vAlign w:val="center"/>
            <w:hideMark/>
          </w:tcPr>
          <w:p w14:paraId="69514D12" w14:textId="77777777" w:rsidR="009F26CB" w:rsidRPr="00563AF8" w:rsidRDefault="009F26CB" w:rsidP="009F26CB">
            <w:pPr>
              <w:jc w:val="center"/>
              <w:rPr>
                <w:b/>
                <w:bCs/>
                <w:sz w:val="18"/>
                <w:szCs w:val="18"/>
                <w:lang w:val="en-GB"/>
              </w:rPr>
            </w:pPr>
            <w:r w:rsidRPr="00563AF8">
              <w:rPr>
                <w:b/>
                <w:bCs/>
                <w:sz w:val="18"/>
                <w:szCs w:val="18"/>
                <w:lang w:val="en-GB"/>
              </w:rPr>
              <w:t>Unadjusted SMD</w:t>
            </w:r>
          </w:p>
          <w:p w14:paraId="71A9913E" w14:textId="05D51FD2" w:rsidR="00EC4E27" w:rsidRPr="00563AF8" w:rsidRDefault="009F26CB" w:rsidP="00FC5EF1">
            <w:pPr>
              <w:jc w:val="center"/>
              <w:rPr>
                <w:b/>
                <w:bCs/>
                <w:sz w:val="18"/>
                <w:szCs w:val="18"/>
                <w:lang w:val="en-GB"/>
              </w:rPr>
            </w:pPr>
            <w:r w:rsidRPr="00563AF8">
              <w:rPr>
                <w:b/>
                <w:bCs/>
                <w:sz w:val="18"/>
                <w:szCs w:val="18"/>
                <w:lang w:val="en-GB"/>
              </w:rPr>
              <w:t>(95% confidence interval)</w:t>
            </w:r>
          </w:p>
        </w:tc>
        <w:tc>
          <w:tcPr>
            <w:tcW w:w="2268" w:type="dxa"/>
            <w:tcBorders>
              <w:top w:val="single" w:sz="4" w:space="0" w:color="auto"/>
              <w:bottom w:val="single" w:sz="4" w:space="0" w:color="auto"/>
            </w:tcBorders>
            <w:tcMar>
              <w:top w:w="30" w:type="dxa"/>
              <w:left w:w="45" w:type="dxa"/>
              <w:bottom w:w="30" w:type="dxa"/>
              <w:right w:w="45" w:type="dxa"/>
            </w:tcMar>
            <w:vAlign w:val="center"/>
            <w:hideMark/>
          </w:tcPr>
          <w:p w14:paraId="6E88F3B1" w14:textId="77777777" w:rsidR="00352454" w:rsidRPr="00563AF8" w:rsidRDefault="00352454" w:rsidP="00352454">
            <w:pPr>
              <w:jc w:val="center"/>
              <w:rPr>
                <w:b/>
                <w:bCs/>
                <w:sz w:val="18"/>
                <w:szCs w:val="18"/>
                <w:lang w:val="en-GB"/>
              </w:rPr>
            </w:pPr>
            <w:r w:rsidRPr="00563AF8">
              <w:rPr>
                <w:b/>
                <w:bCs/>
                <w:sz w:val="18"/>
                <w:szCs w:val="18"/>
                <w:lang w:val="en-GB"/>
              </w:rPr>
              <w:t>DIF-adjusted SMD</w:t>
            </w:r>
          </w:p>
          <w:p w14:paraId="5E9B6A3F" w14:textId="5C3274C2" w:rsidR="00EC4E27" w:rsidRPr="00563AF8" w:rsidRDefault="009F26CB" w:rsidP="00FC5EF1">
            <w:pPr>
              <w:jc w:val="center"/>
              <w:rPr>
                <w:b/>
                <w:bCs/>
                <w:sz w:val="18"/>
                <w:szCs w:val="18"/>
                <w:lang w:val="en-GB"/>
              </w:rPr>
            </w:pPr>
            <w:r w:rsidRPr="00563AF8">
              <w:rPr>
                <w:b/>
                <w:bCs/>
                <w:sz w:val="18"/>
                <w:szCs w:val="18"/>
                <w:lang w:val="en-GB"/>
              </w:rPr>
              <w:t>(95% confidence interval)</w:t>
            </w:r>
          </w:p>
        </w:tc>
      </w:tr>
      <w:tr w:rsidR="00F263F6" w:rsidRPr="000C2FD5" w14:paraId="496CD0B3" w14:textId="77777777" w:rsidTr="00FC5EF1">
        <w:trPr>
          <w:trHeight w:val="315"/>
        </w:trPr>
        <w:tc>
          <w:tcPr>
            <w:tcW w:w="1843" w:type="dxa"/>
            <w:tcBorders>
              <w:top w:val="single" w:sz="4" w:space="0" w:color="auto"/>
            </w:tcBorders>
            <w:tcMar>
              <w:top w:w="30" w:type="dxa"/>
              <w:left w:w="45" w:type="dxa"/>
              <w:bottom w:w="30" w:type="dxa"/>
              <w:right w:w="45" w:type="dxa"/>
            </w:tcMar>
            <w:vAlign w:val="center"/>
            <w:hideMark/>
          </w:tcPr>
          <w:p w14:paraId="5F1DCF5E" w14:textId="16B61C88" w:rsidR="00F263F6" w:rsidRPr="00563AF8" w:rsidRDefault="00F263F6" w:rsidP="00F263F6">
            <w:pPr>
              <w:rPr>
                <w:sz w:val="18"/>
                <w:szCs w:val="18"/>
                <w:lang w:val="en-GB"/>
              </w:rPr>
            </w:pPr>
            <w:r w:rsidRPr="00563AF8">
              <w:rPr>
                <w:sz w:val="18"/>
                <w:szCs w:val="18"/>
                <w:lang w:val="en-GB"/>
              </w:rPr>
              <w:t>Self- versus interview-administration</w:t>
            </w:r>
          </w:p>
        </w:tc>
        <w:tc>
          <w:tcPr>
            <w:tcW w:w="2268" w:type="dxa"/>
            <w:tcBorders>
              <w:top w:val="single" w:sz="4" w:space="0" w:color="auto"/>
            </w:tcBorders>
            <w:tcMar>
              <w:top w:w="30" w:type="dxa"/>
              <w:left w:w="45" w:type="dxa"/>
              <w:bottom w:w="30" w:type="dxa"/>
              <w:right w:w="45" w:type="dxa"/>
            </w:tcMar>
            <w:vAlign w:val="center"/>
            <w:hideMark/>
          </w:tcPr>
          <w:p w14:paraId="15A929A9" w14:textId="63715004" w:rsidR="00F263F6" w:rsidRPr="00563AF8" w:rsidRDefault="00B138FA" w:rsidP="00F263F6">
            <w:pPr>
              <w:jc w:val="center"/>
              <w:rPr>
                <w:sz w:val="18"/>
                <w:szCs w:val="18"/>
                <w:lang w:val="en-GB"/>
              </w:rPr>
            </w:pPr>
            <w:r w:rsidRPr="00563AF8">
              <w:rPr>
                <w:rFonts w:eastAsia="SimSun"/>
                <w:color w:val="000000"/>
                <w:sz w:val="18"/>
                <w:szCs w:val="18"/>
                <w:lang w:val="en-GB"/>
              </w:rPr>
              <w:t>-0.057 (-0.086, -0.027)</w:t>
            </w:r>
          </w:p>
        </w:tc>
        <w:tc>
          <w:tcPr>
            <w:tcW w:w="2268" w:type="dxa"/>
            <w:tcBorders>
              <w:top w:val="single" w:sz="4" w:space="0" w:color="auto"/>
            </w:tcBorders>
            <w:tcMar>
              <w:top w:w="30" w:type="dxa"/>
              <w:left w:w="45" w:type="dxa"/>
              <w:bottom w:w="30" w:type="dxa"/>
              <w:right w:w="45" w:type="dxa"/>
            </w:tcMar>
            <w:vAlign w:val="center"/>
            <w:hideMark/>
          </w:tcPr>
          <w:p w14:paraId="15AFEA13" w14:textId="0D1795A7" w:rsidR="00F263F6" w:rsidRPr="00563AF8" w:rsidRDefault="00F55293" w:rsidP="00F263F6">
            <w:pPr>
              <w:jc w:val="center"/>
              <w:rPr>
                <w:sz w:val="18"/>
                <w:szCs w:val="18"/>
                <w:lang w:val="en-GB"/>
              </w:rPr>
            </w:pPr>
            <w:r w:rsidRPr="00563AF8">
              <w:rPr>
                <w:rFonts w:eastAsia="SimSun"/>
                <w:color w:val="000000"/>
                <w:sz w:val="18"/>
                <w:szCs w:val="18"/>
                <w:lang w:val="en-GB"/>
              </w:rPr>
              <w:t>-0.013 (-0.062, 0.038)</w:t>
            </w:r>
          </w:p>
        </w:tc>
        <w:tc>
          <w:tcPr>
            <w:tcW w:w="2268" w:type="dxa"/>
            <w:tcBorders>
              <w:top w:val="single" w:sz="4" w:space="0" w:color="auto"/>
            </w:tcBorders>
            <w:tcMar>
              <w:top w:w="30" w:type="dxa"/>
              <w:left w:w="45" w:type="dxa"/>
              <w:bottom w:w="30" w:type="dxa"/>
              <w:right w:w="45" w:type="dxa"/>
            </w:tcMar>
            <w:vAlign w:val="center"/>
            <w:hideMark/>
          </w:tcPr>
          <w:p w14:paraId="18B39ECA" w14:textId="5CD4E63B" w:rsidR="00F263F6" w:rsidRPr="00563AF8" w:rsidRDefault="00F55293" w:rsidP="00F263F6">
            <w:pPr>
              <w:jc w:val="center"/>
              <w:rPr>
                <w:sz w:val="18"/>
                <w:szCs w:val="18"/>
                <w:lang w:val="en-GB"/>
              </w:rPr>
            </w:pPr>
            <w:r w:rsidRPr="00563AF8">
              <w:rPr>
                <w:rFonts w:eastAsia="SimSun"/>
                <w:color w:val="000000"/>
                <w:sz w:val="18"/>
                <w:szCs w:val="18"/>
                <w:lang w:val="en-GB"/>
              </w:rPr>
              <w:t>0.273 (0.233, 0.314)</w:t>
            </w:r>
          </w:p>
        </w:tc>
        <w:tc>
          <w:tcPr>
            <w:tcW w:w="2268" w:type="dxa"/>
            <w:tcBorders>
              <w:top w:val="single" w:sz="4" w:space="0" w:color="auto"/>
            </w:tcBorders>
            <w:tcMar>
              <w:top w:w="30" w:type="dxa"/>
              <w:left w:w="45" w:type="dxa"/>
              <w:bottom w:w="30" w:type="dxa"/>
              <w:right w:w="45" w:type="dxa"/>
            </w:tcMar>
            <w:vAlign w:val="center"/>
            <w:hideMark/>
          </w:tcPr>
          <w:p w14:paraId="3DDF7497" w14:textId="6E9158F8" w:rsidR="00F263F6" w:rsidRPr="00563AF8" w:rsidRDefault="00F55293" w:rsidP="00F263F6">
            <w:pPr>
              <w:jc w:val="center"/>
              <w:rPr>
                <w:sz w:val="18"/>
                <w:szCs w:val="18"/>
                <w:lang w:val="en-GB"/>
              </w:rPr>
            </w:pPr>
            <w:r w:rsidRPr="00563AF8">
              <w:rPr>
                <w:rFonts w:eastAsia="SimSun"/>
                <w:color w:val="000000"/>
                <w:sz w:val="18"/>
                <w:szCs w:val="18"/>
                <w:lang w:val="en-GB"/>
              </w:rPr>
              <w:t>0.276 (0.226, 0.326)</w:t>
            </w:r>
          </w:p>
        </w:tc>
        <w:tc>
          <w:tcPr>
            <w:tcW w:w="2268" w:type="dxa"/>
            <w:tcBorders>
              <w:top w:val="single" w:sz="4" w:space="0" w:color="auto"/>
            </w:tcBorders>
            <w:tcMar>
              <w:top w:w="30" w:type="dxa"/>
              <w:left w:w="45" w:type="dxa"/>
              <w:bottom w:w="30" w:type="dxa"/>
              <w:right w:w="45" w:type="dxa"/>
            </w:tcMar>
            <w:vAlign w:val="center"/>
            <w:hideMark/>
          </w:tcPr>
          <w:p w14:paraId="40888A17" w14:textId="590F25BE" w:rsidR="00F263F6" w:rsidRPr="00563AF8" w:rsidRDefault="00F55293" w:rsidP="00F263F6">
            <w:pPr>
              <w:jc w:val="center"/>
              <w:rPr>
                <w:sz w:val="18"/>
                <w:szCs w:val="18"/>
                <w:lang w:val="en-GB"/>
              </w:rPr>
            </w:pPr>
            <w:r w:rsidRPr="00563AF8">
              <w:rPr>
                <w:rFonts w:eastAsia="SimSun"/>
                <w:color w:val="000000"/>
                <w:sz w:val="18"/>
                <w:szCs w:val="18"/>
                <w:lang w:val="en-GB"/>
              </w:rPr>
              <w:t>0.022 (-0.026, 0.071)</w:t>
            </w:r>
          </w:p>
        </w:tc>
        <w:tc>
          <w:tcPr>
            <w:tcW w:w="2268" w:type="dxa"/>
            <w:tcBorders>
              <w:top w:val="single" w:sz="4" w:space="0" w:color="auto"/>
            </w:tcBorders>
            <w:tcMar>
              <w:top w:w="30" w:type="dxa"/>
              <w:left w:w="45" w:type="dxa"/>
              <w:bottom w:w="30" w:type="dxa"/>
              <w:right w:w="45" w:type="dxa"/>
            </w:tcMar>
            <w:vAlign w:val="center"/>
            <w:hideMark/>
          </w:tcPr>
          <w:p w14:paraId="512667E6" w14:textId="3527C968" w:rsidR="00F263F6" w:rsidRPr="00563AF8" w:rsidRDefault="00F55293" w:rsidP="00F263F6">
            <w:pPr>
              <w:jc w:val="center"/>
              <w:rPr>
                <w:sz w:val="18"/>
                <w:szCs w:val="18"/>
                <w:lang w:val="en-GB"/>
              </w:rPr>
            </w:pPr>
            <w:r w:rsidRPr="00563AF8">
              <w:rPr>
                <w:rFonts w:eastAsia="SimSun"/>
                <w:color w:val="000000"/>
                <w:sz w:val="18"/>
                <w:szCs w:val="18"/>
                <w:lang w:val="en-GB"/>
              </w:rPr>
              <w:t>0.009 (-0.042, 0.061)</w:t>
            </w:r>
          </w:p>
        </w:tc>
      </w:tr>
      <w:tr w:rsidR="00F263F6" w:rsidRPr="000C2FD5" w14:paraId="6ED6BED3" w14:textId="77777777" w:rsidTr="00FC5EF1">
        <w:trPr>
          <w:trHeight w:val="315"/>
        </w:trPr>
        <w:tc>
          <w:tcPr>
            <w:tcW w:w="1843" w:type="dxa"/>
            <w:tcMar>
              <w:top w:w="30" w:type="dxa"/>
              <w:left w:w="45" w:type="dxa"/>
              <w:bottom w:w="30" w:type="dxa"/>
              <w:right w:w="45" w:type="dxa"/>
            </w:tcMar>
            <w:vAlign w:val="center"/>
            <w:hideMark/>
          </w:tcPr>
          <w:p w14:paraId="6E8F3D50" w14:textId="52667D63" w:rsidR="00F263F6" w:rsidRPr="00563AF8" w:rsidRDefault="00F263F6" w:rsidP="00F263F6">
            <w:pPr>
              <w:rPr>
                <w:sz w:val="18"/>
                <w:szCs w:val="18"/>
                <w:lang w:val="en-GB"/>
              </w:rPr>
            </w:pPr>
            <w:r w:rsidRPr="00563AF8">
              <w:rPr>
                <w:sz w:val="18"/>
                <w:szCs w:val="18"/>
                <w:lang w:val="en-GB"/>
              </w:rPr>
              <w:t xml:space="preserve">Self-administration: Research or medical versus private </w:t>
            </w:r>
          </w:p>
        </w:tc>
        <w:tc>
          <w:tcPr>
            <w:tcW w:w="2268" w:type="dxa"/>
            <w:tcMar>
              <w:top w:w="30" w:type="dxa"/>
              <w:left w:w="45" w:type="dxa"/>
              <w:bottom w:w="30" w:type="dxa"/>
              <w:right w:w="45" w:type="dxa"/>
            </w:tcMar>
            <w:vAlign w:val="center"/>
            <w:hideMark/>
          </w:tcPr>
          <w:p w14:paraId="0830218C" w14:textId="40E51A4D" w:rsidR="00F263F6" w:rsidRPr="00563AF8" w:rsidRDefault="00B138FA" w:rsidP="00F263F6">
            <w:pPr>
              <w:jc w:val="center"/>
              <w:rPr>
                <w:sz w:val="18"/>
                <w:szCs w:val="18"/>
                <w:lang w:val="en-GB"/>
              </w:rPr>
            </w:pPr>
            <w:r w:rsidRPr="00563AF8">
              <w:rPr>
                <w:rFonts w:eastAsia="SimSun"/>
                <w:color w:val="000000"/>
                <w:sz w:val="18"/>
                <w:szCs w:val="18"/>
                <w:lang w:val="en-GB"/>
              </w:rPr>
              <w:t>0.238 (0.188, 0.289)</w:t>
            </w:r>
          </w:p>
        </w:tc>
        <w:tc>
          <w:tcPr>
            <w:tcW w:w="2268" w:type="dxa"/>
            <w:tcMar>
              <w:top w:w="30" w:type="dxa"/>
              <w:left w:w="45" w:type="dxa"/>
              <w:bottom w:w="30" w:type="dxa"/>
              <w:right w:w="45" w:type="dxa"/>
            </w:tcMar>
            <w:vAlign w:val="center"/>
            <w:hideMark/>
          </w:tcPr>
          <w:p w14:paraId="3983B886" w14:textId="302EE5EC" w:rsidR="00F263F6" w:rsidRPr="00563AF8" w:rsidRDefault="00F55293" w:rsidP="00F263F6">
            <w:pPr>
              <w:jc w:val="center"/>
              <w:rPr>
                <w:sz w:val="18"/>
                <w:szCs w:val="18"/>
                <w:lang w:val="en-GB"/>
              </w:rPr>
            </w:pPr>
            <w:r w:rsidRPr="00563AF8">
              <w:rPr>
                <w:rFonts w:eastAsia="SimSun"/>
                <w:color w:val="000000"/>
                <w:sz w:val="18"/>
                <w:szCs w:val="18"/>
                <w:lang w:val="en-GB"/>
              </w:rPr>
              <w:t>0.229 (0.177, 0.281)</w:t>
            </w:r>
          </w:p>
        </w:tc>
        <w:tc>
          <w:tcPr>
            <w:tcW w:w="2268" w:type="dxa"/>
            <w:tcMar>
              <w:top w:w="30" w:type="dxa"/>
              <w:left w:w="45" w:type="dxa"/>
              <w:bottom w:w="30" w:type="dxa"/>
              <w:right w:w="45" w:type="dxa"/>
            </w:tcMar>
            <w:vAlign w:val="center"/>
            <w:hideMark/>
          </w:tcPr>
          <w:p w14:paraId="0D4ABD28" w14:textId="1237626F" w:rsidR="00F263F6" w:rsidRPr="00563AF8" w:rsidRDefault="00F55293" w:rsidP="00F263F6">
            <w:pPr>
              <w:jc w:val="center"/>
              <w:rPr>
                <w:sz w:val="18"/>
                <w:szCs w:val="18"/>
                <w:lang w:val="en-GB"/>
              </w:rPr>
            </w:pPr>
            <w:r w:rsidRPr="00563AF8">
              <w:rPr>
                <w:rFonts w:eastAsia="SimSun"/>
                <w:color w:val="000000"/>
                <w:sz w:val="18"/>
                <w:szCs w:val="18"/>
                <w:lang w:val="en-GB"/>
              </w:rPr>
              <w:t>0.123 (0.028, 0.217)</w:t>
            </w:r>
          </w:p>
        </w:tc>
        <w:tc>
          <w:tcPr>
            <w:tcW w:w="2268" w:type="dxa"/>
            <w:tcMar>
              <w:top w:w="30" w:type="dxa"/>
              <w:left w:w="45" w:type="dxa"/>
              <w:bottom w:w="30" w:type="dxa"/>
              <w:right w:w="45" w:type="dxa"/>
            </w:tcMar>
            <w:vAlign w:val="center"/>
            <w:hideMark/>
          </w:tcPr>
          <w:p w14:paraId="07475E28" w14:textId="71C7EBAD" w:rsidR="00F263F6" w:rsidRPr="00563AF8" w:rsidRDefault="00F55293" w:rsidP="00F263F6">
            <w:pPr>
              <w:jc w:val="center"/>
              <w:rPr>
                <w:sz w:val="18"/>
                <w:szCs w:val="18"/>
                <w:lang w:val="en-GB"/>
              </w:rPr>
            </w:pPr>
            <w:r w:rsidRPr="00563AF8">
              <w:rPr>
                <w:rFonts w:eastAsia="SimSun"/>
                <w:color w:val="000000"/>
                <w:sz w:val="18"/>
                <w:szCs w:val="18"/>
                <w:lang w:val="en-GB"/>
              </w:rPr>
              <w:t>0.157 (0.055, 0.259)</w:t>
            </w:r>
          </w:p>
        </w:tc>
        <w:tc>
          <w:tcPr>
            <w:tcW w:w="2268" w:type="dxa"/>
            <w:tcMar>
              <w:top w:w="30" w:type="dxa"/>
              <w:left w:w="45" w:type="dxa"/>
              <w:bottom w:w="30" w:type="dxa"/>
              <w:right w:w="45" w:type="dxa"/>
            </w:tcMar>
            <w:vAlign w:val="center"/>
            <w:hideMark/>
          </w:tcPr>
          <w:p w14:paraId="4316DADA" w14:textId="01AC6DEC" w:rsidR="00F263F6" w:rsidRPr="00563AF8" w:rsidRDefault="00F55293" w:rsidP="00F263F6">
            <w:pPr>
              <w:jc w:val="center"/>
              <w:rPr>
                <w:sz w:val="18"/>
                <w:szCs w:val="18"/>
                <w:lang w:val="en-GB"/>
              </w:rPr>
            </w:pPr>
            <w:r w:rsidRPr="00563AF8">
              <w:rPr>
                <w:rFonts w:eastAsia="SimSun"/>
                <w:color w:val="000000"/>
                <w:sz w:val="18"/>
                <w:szCs w:val="18"/>
                <w:lang w:val="en-GB"/>
              </w:rPr>
              <w:t>0.000 (-0.044, 0.045)</w:t>
            </w:r>
          </w:p>
        </w:tc>
        <w:tc>
          <w:tcPr>
            <w:tcW w:w="2268" w:type="dxa"/>
            <w:tcMar>
              <w:top w:w="30" w:type="dxa"/>
              <w:left w:w="45" w:type="dxa"/>
              <w:bottom w:w="30" w:type="dxa"/>
              <w:right w:w="45" w:type="dxa"/>
            </w:tcMar>
            <w:vAlign w:val="center"/>
            <w:hideMark/>
          </w:tcPr>
          <w:p w14:paraId="5ED6BB27" w14:textId="4F01B752" w:rsidR="00F263F6" w:rsidRPr="00563AF8" w:rsidRDefault="00F55293" w:rsidP="00F263F6">
            <w:pPr>
              <w:jc w:val="center"/>
              <w:rPr>
                <w:sz w:val="18"/>
                <w:szCs w:val="18"/>
                <w:lang w:val="en-GB"/>
              </w:rPr>
            </w:pPr>
            <w:r w:rsidRPr="00563AF8">
              <w:rPr>
                <w:rFonts w:eastAsia="SimSun"/>
                <w:color w:val="000000"/>
                <w:sz w:val="18"/>
                <w:szCs w:val="18"/>
                <w:lang w:val="en-GB"/>
              </w:rPr>
              <w:t>-0.008 (-0.063, 0.047)</w:t>
            </w:r>
          </w:p>
        </w:tc>
      </w:tr>
      <w:tr w:rsidR="00F263F6" w:rsidRPr="000C2FD5" w14:paraId="6040A8F4" w14:textId="77777777" w:rsidTr="00FC5EF1">
        <w:trPr>
          <w:trHeight w:val="315"/>
        </w:trPr>
        <w:tc>
          <w:tcPr>
            <w:tcW w:w="1843" w:type="dxa"/>
            <w:tcMar>
              <w:top w:w="30" w:type="dxa"/>
              <w:left w:w="45" w:type="dxa"/>
              <w:bottom w:w="30" w:type="dxa"/>
              <w:right w:w="45" w:type="dxa"/>
            </w:tcMar>
            <w:vAlign w:val="center"/>
            <w:hideMark/>
          </w:tcPr>
          <w:p w14:paraId="3F63A7ED" w14:textId="0FE2B4AA" w:rsidR="00F263F6" w:rsidRPr="00563AF8" w:rsidRDefault="00F263F6" w:rsidP="00F263F6">
            <w:pPr>
              <w:rPr>
                <w:sz w:val="18"/>
                <w:szCs w:val="18"/>
                <w:lang w:val="en-GB"/>
              </w:rPr>
            </w:pPr>
            <w:r w:rsidRPr="00563AF8">
              <w:rPr>
                <w:sz w:val="18"/>
                <w:szCs w:val="18"/>
                <w:lang w:val="en-GB"/>
              </w:rPr>
              <w:t>Self-administration:</w:t>
            </w:r>
            <w:r w:rsidRPr="00563AF8">
              <w:rPr>
                <w:sz w:val="18"/>
                <w:szCs w:val="18"/>
                <w:lang w:val="en-GB"/>
              </w:rPr>
              <w:br/>
              <w:t>pen-and-paper versus electronic</w:t>
            </w:r>
          </w:p>
        </w:tc>
        <w:tc>
          <w:tcPr>
            <w:tcW w:w="2268" w:type="dxa"/>
            <w:tcMar>
              <w:top w:w="30" w:type="dxa"/>
              <w:left w:w="45" w:type="dxa"/>
              <w:bottom w:w="30" w:type="dxa"/>
              <w:right w:w="45" w:type="dxa"/>
            </w:tcMar>
            <w:vAlign w:val="center"/>
            <w:hideMark/>
          </w:tcPr>
          <w:p w14:paraId="6D2E11ED" w14:textId="454F0A70" w:rsidR="00F263F6" w:rsidRPr="00563AF8" w:rsidRDefault="00B138FA" w:rsidP="00F263F6">
            <w:pPr>
              <w:jc w:val="center"/>
              <w:rPr>
                <w:sz w:val="18"/>
                <w:szCs w:val="18"/>
                <w:lang w:val="en-GB"/>
              </w:rPr>
            </w:pPr>
            <w:r w:rsidRPr="00563AF8">
              <w:rPr>
                <w:rFonts w:eastAsia="SimSun"/>
                <w:color w:val="000000"/>
                <w:sz w:val="18"/>
                <w:szCs w:val="18"/>
                <w:lang w:val="en-GB"/>
              </w:rPr>
              <w:t>0.274 (0.208, 0.341)</w:t>
            </w:r>
          </w:p>
        </w:tc>
        <w:tc>
          <w:tcPr>
            <w:tcW w:w="2268" w:type="dxa"/>
            <w:tcMar>
              <w:top w:w="30" w:type="dxa"/>
              <w:left w:w="45" w:type="dxa"/>
              <w:bottom w:w="30" w:type="dxa"/>
              <w:right w:w="45" w:type="dxa"/>
            </w:tcMar>
            <w:vAlign w:val="center"/>
            <w:hideMark/>
          </w:tcPr>
          <w:p w14:paraId="1B72A158" w14:textId="045034CC" w:rsidR="00F263F6" w:rsidRPr="00563AF8" w:rsidRDefault="00F55293" w:rsidP="00F263F6">
            <w:pPr>
              <w:jc w:val="center"/>
              <w:rPr>
                <w:sz w:val="18"/>
                <w:szCs w:val="18"/>
                <w:lang w:val="en-GB"/>
              </w:rPr>
            </w:pPr>
            <w:r w:rsidRPr="00563AF8">
              <w:rPr>
                <w:rFonts w:eastAsia="SimSun"/>
                <w:color w:val="000000"/>
                <w:sz w:val="18"/>
                <w:szCs w:val="18"/>
                <w:lang w:val="en-GB"/>
              </w:rPr>
              <w:t>0.144 (0.047, 0.240)</w:t>
            </w:r>
          </w:p>
        </w:tc>
        <w:tc>
          <w:tcPr>
            <w:tcW w:w="2268" w:type="dxa"/>
            <w:tcMar>
              <w:top w:w="30" w:type="dxa"/>
              <w:left w:w="45" w:type="dxa"/>
              <w:bottom w:w="30" w:type="dxa"/>
              <w:right w:w="45" w:type="dxa"/>
            </w:tcMar>
            <w:vAlign w:val="center"/>
            <w:hideMark/>
          </w:tcPr>
          <w:p w14:paraId="17A46458" w14:textId="14061BE0" w:rsidR="00F263F6" w:rsidRPr="00563AF8" w:rsidRDefault="00F55293" w:rsidP="00F263F6">
            <w:pPr>
              <w:jc w:val="center"/>
              <w:rPr>
                <w:sz w:val="18"/>
                <w:szCs w:val="18"/>
                <w:lang w:val="en-GB"/>
              </w:rPr>
            </w:pPr>
            <w:r w:rsidRPr="00563AF8">
              <w:rPr>
                <w:rFonts w:eastAsia="SimSun"/>
                <w:color w:val="000000"/>
                <w:sz w:val="18"/>
                <w:szCs w:val="18"/>
                <w:lang w:val="en-GB"/>
              </w:rPr>
              <w:t>-0.206 (-0.326, -0.087)</w:t>
            </w:r>
          </w:p>
        </w:tc>
        <w:tc>
          <w:tcPr>
            <w:tcW w:w="2268" w:type="dxa"/>
            <w:tcMar>
              <w:top w:w="30" w:type="dxa"/>
              <w:left w:w="45" w:type="dxa"/>
              <w:bottom w:w="30" w:type="dxa"/>
              <w:right w:w="45" w:type="dxa"/>
            </w:tcMar>
            <w:vAlign w:val="center"/>
            <w:hideMark/>
          </w:tcPr>
          <w:p w14:paraId="18AA405D" w14:textId="496828D5" w:rsidR="00F263F6" w:rsidRPr="00563AF8" w:rsidRDefault="00F55293" w:rsidP="00F263F6">
            <w:pPr>
              <w:jc w:val="center"/>
              <w:rPr>
                <w:sz w:val="18"/>
                <w:szCs w:val="18"/>
                <w:lang w:val="en-GB"/>
              </w:rPr>
            </w:pPr>
            <w:r w:rsidRPr="00563AF8">
              <w:rPr>
                <w:rFonts w:eastAsia="SimSun"/>
                <w:color w:val="000000"/>
                <w:sz w:val="18"/>
                <w:szCs w:val="18"/>
                <w:lang w:val="en-GB"/>
              </w:rPr>
              <w:t>-0.140 (-0.298, 0.017)</w:t>
            </w:r>
          </w:p>
        </w:tc>
        <w:tc>
          <w:tcPr>
            <w:tcW w:w="2268" w:type="dxa"/>
            <w:tcMar>
              <w:top w:w="30" w:type="dxa"/>
              <w:left w:w="45" w:type="dxa"/>
              <w:bottom w:w="30" w:type="dxa"/>
              <w:right w:w="45" w:type="dxa"/>
            </w:tcMar>
            <w:vAlign w:val="center"/>
            <w:hideMark/>
          </w:tcPr>
          <w:p w14:paraId="5673F2B2" w14:textId="3BF33FA8" w:rsidR="00F263F6" w:rsidRPr="00563AF8" w:rsidRDefault="00F55293" w:rsidP="00F263F6">
            <w:pPr>
              <w:jc w:val="center"/>
              <w:rPr>
                <w:sz w:val="18"/>
                <w:szCs w:val="18"/>
                <w:lang w:val="en-GB"/>
              </w:rPr>
            </w:pPr>
            <w:r w:rsidRPr="00563AF8">
              <w:rPr>
                <w:sz w:val="18"/>
                <w:szCs w:val="18"/>
                <w:lang w:val="en-GB"/>
              </w:rPr>
              <w:t>-----</w:t>
            </w:r>
          </w:p>
        </w:tc>
        <w:tc>
          <w:tcPr>
            <w:tcW w:w="2268" w:type="dxa"/>
            <w:tcMar>
              <w:top w:w="30" w:type="dxa"/>
              <w:left w:w="45" w:type="dxa"/>
              <w:bottom w:w="30" w:type="dxa"/>
              <w:right w:w="45" w:type="dxa"/>
            </w:tcMar>
            <w:vAlign w:val="center"/>
            <w:hideMark/>
          </w:tcPr>
          <w:p w14:paraId="3932785F" w14:textId="7DDDE66C" w:rsidR="00F263F6" w:rsidRPr="00563AF8" w:rsidRDefault="00F55293" w:rsidP="00F263F6">
            <w:pPr>
              <w:jc w:val="center"/>
              <w:rPr>
                <w:sz w:val="18"/>
                <w:szCs w:val="18"/>
                <w:lang w:val="en-GB"/>
              </w:rPr>
            </w:pPr>
            <w:r w:rsidRPr="00563AF8">
              <w:rPr>
                <w:sz w:val="18"/>
                <w:szCs w:val="18"/>
                <w:lang w:val="en-GB"/>
              </w:rPr>
              <w:t>-----</w:t>
            </w:r>
          </w:p>
        </w:tc>
      </w:tr>
      <w:tr w:rsidR="00F263F6" w:rsidRPr="000C2FD5" w14:paraId="33009974" w14:textId="77777777" w:rsidTr="00FC5EF1">
        <w:trPr>
          <w:trHeight w:val="315"/>
        </w:trPr>
        <w:tc>
          <w:tcPr>
            <w:tcW w:w="1843" w:type="dxa"/>
            <w:tcBorders>
              <w:bottom w:val="single" w:sz="18" w:space="0" w:color="auto"/>
            </w:tcBorders>
            <w:tcMar>
              <w:top w:w="30" w:type="dxa"/>
              <w:left w:w="45" w:type="dxa"/>
              <w:bottom w:w="30" w:type="dxa"/>
              <w:right w:w="45" w:type="dxa"/>
            </w:tcMar>
            <w:vAlign w:val="center"/>
            <w:hideMark/>
          </w:tcPr>
          <w:p w14:paraId="2B9E8DAE" w14:textId="44DDA7A2" w:rsidR="00F263F6" w:rsidRPr="00563AF8" w:rsidRDefault="00F263F6" w:rsidP="00F263F6">
            <w:pPr>
              <w:rPr>
                <w:sz w:val="18"/>
                <w:szCs w:val="18"/>
                <w:lang w:val="en-GB"/>
              </w:rPr>
            </w:pPr>
            <w:r w:rsidRPr="00563AF8">
              <w:rPr>
                <w:sz w:val="18"/>
                <w:szCs w:val="18"/>
                <w:lang w:val="en-GB"/>
              </w:rPr>
              <w:t>Interview-administration: In-person versus phone</w:t>
            </w:r>
          </w:p>
        </w:tc>
        <w:tc>
          <w:tcPr>
            <w:tcW w:w="2268" w:type="dxa"/>
            <w:tcBorders>
              <w:bottom w:val="single" w:sz="18" w:space="0" w:color="auto"/>
            </w:tcBorders>
            <w:tcMar>
              <w:top w:w="30" w:type="dxa"/>
              <w:left w:w="45" w:type="dxa"/>
              <w:bottom w:w="30" w:type="dxa"/>
              <w:right w:w="45" w:type="dxa"/>
            </w:tcMar>
            <w:vAlign w:val="center"/>
            <w:hideMark/>
          </w:tcPr>
          <w:p w14:paraId="7CAE1B68" w14:textId="0674C8FF" w:rsidR="00F263F6" w:rsidRPr="00563AF8" w:rsidRDefault="00B138FA" w:rsidP="00F263F6">
            <w:pPr>
              <w:jc w:val="center"/>
              <w:rPr>
                <w:sz w:val="18"/>
                <w:szCs w:val="18"/>
                <w:lang w:val="en-GB"/>
              </w:rPr>
            </w:pPr>
            <w:r w:rsidRPr="00563AF8">
              <w:rPr>
                <w:rFonts w:eastAsia="SimSun"/>
                <w:color w:val="000000"/>
                <w:sz w:val="18"/>
                <w:szCs w:val="18"/>
                <w:lang w:val="en-GB"/>
              </w:rPr>
              <w:t>0.597 (0.521, 0.674)</w:t>
            </w:r>
          </w:p>
        </w:tc>
        <w:tc>
          <w:tcPr>
            <w:tcW w:w="2268" w:type="dxa"/>
            <w:tcBorders>
              <w:bottom w:val="single" w:sz="18" w:space="0" w:color="auto"/>
            </w:tcBorders>
            <w:tcMar>
              <w:top w:w="30" w:type="dxa"/>
              <w:left w:w="45" w:type="dxa"/>
              <w:bottom w:w="30" w:type="dxa"/>
              <w:right w:w="45" w:type="dxa"/>
            </w:tcMar>
            <w:vAlign w:val="center"/>
            <w:hideMark/>
          </w:tcPr>
          <w:p w14:paraId="3E5E64C2" w14:textId="494F9BA1" w:rsidR="00F263F6" w:rsidRPr="00563AF8" w:rsidRDefault="00F55293" w:rsidP="00F263F6">
            <w:pPr>
              <w:jc w:val="center"/>
              <w:rPr>
                <w:sz w:val="18"/>
                <w:szCs w:val="18"/>
                <w:lang w:val="en-GB"/>
              </w:rPr>
            </w:pPr>
            <w:r w:rsidRPr="00563AF8">
              <w:rPr>
                <w:rFonts w:eastAsia="SimSun"/>
                <w:color w:val="000000"/>
                <w:sz w:val="18"/>
                <w:szCs w:val="18"/>
                <w:lang w:val="en-GB"/>
              </w:rPr>
              <w:t>0.638 (0.526, 0.750)</w:t>
            </w:r>
          </w:p>
        </w:tc>
        <w:tc>
          <w:tcPr>
            <w:tcW w:w="2268" w:type="dxa"/>
            <w:tcBorders>
              <w:bottom w:val="single" w:sz="18" w:space="0" w:color="auto"/>
            </w:tcBorders>
            <w:tcMar>
              <w:top w:w="30" w:type="dxa"/>
              <w:left w:w="45" w:type="dxa"/>
              <w:bottom w:w="30" w:type="dxa"/>
              <w:right w:w="45" w:type="dxa"/>
            </w:tcMar>
            <w:vAlign w:val="center"/>
            <w:hideMark/>
          </w:tcPr>
          <w:p w14:paraId="464C499B" w14:textId="0E1243C9" w:rsidR="00F263F6" w:rsidRPr="00563AF8" w:rsidRDefault="00F55293" w:rsidP="00F263F6">
            <w:pPr>
              <w:jc w:val="center"/>
              <w:rPr>
                <w:sz w:val="18"/>
                <w:szCs w:val="18"/>
                <w:lang w:val="en-GB"/>
              </w:rPr>
            </w:pPr>
            <w:r w:rsidRPr="00563AF8">
              <w:rPr>
                <w:rFonts w:eastAsia="SimSun"/>
                <w:color w:val="000000"/>
                <w:sz w:val="18"/>
                <w:szCs w:val="18"/>
                <w:lang w:val="en-GB"/>
              </w:rPr>
              <w:t>-0.380 (-0.467, -0.292)</w:t>
            </w:r>
          </w:p>
        </w:tc>
        <w:tc>
          <w:tcPr>
            <w:tcW w:w="2268" w:type="dxa"/>
            <w:tcBorders>
              <w:bottom w:val="single" w:sz="18" w:space="0" w:color="auto"/>
            </w:tcBorders>
            <w:tcMar>
              <w:top w:w="30" w:type="dxa"/>
              <w:left w:w="45" w:type="dxa"/>
              <w:bottom w:w="30" w:type="dxa"/>
              <w:right w:w="45" w:type="dxa"/>
            </w:tcMar>
            <w:vAlign w:val="center"/>
            <w:hideMark/>
          </w:tcPr>
          <w:p w14:paraId="77B0A50F" w14:textId="6DBF36C1" w:rsidR="00F263F6" w:rsidRPr="00563AF8" w:rsidRDefault="00F55293" w:rsidP="00F263F6">
            <w:pPr>
              <w:jc w:val="center"/>
              <w:rPr>
                <w:sz w:val="18"/>
                <w:szCs w:val="18"/>
                <w:lang w:val="en-GB"/>
              </w:rPr>
            </w:pPr>
            <w:r w:rsidRPr="00563AF8">
              <w:rPr>
                <w:rFonts w:eastAsia="SimSun"/>
                <w:color w:val="000000"/>
                <w:sz w:val="18"/>
                <w:szCs w:val="18"/>
                <w:lang w:val="en-GB"/>
              </w:rPr>
              <w:t>-0.367 (-0.497, -0.237)</w:t>
            </w:r>
          </w:p>
        </w:tc>
        <w:tc>
          <w:tcPr>
            <w:tcW w:w="2268" w:type="dxa"/>
            <w:tcBorders>
              <w:bottom w:val="single" w:sz="18" w:space="0" w:color="auto"/>
            </w:tcBorders>
            <w:tcMar>
              <w:top w:w="30" w:type="dxa"/>
              <w:left w:w="45" w:type="dxa"/>
              <w:bottom w:w="30" w:type="dxa"/>
              <w:right w:w="45" w:type="dxa"/>
            </w:tcMar>
            <w:vAlign w:val="center"/>
            <w:hideMark/>
          </w:tcPr>
          <w:p w14:paraId="4EB923EA" w14:textId="77777777" w:rsidR="00F263F6" w:rsidRPr="00563AF8" w:rsidRDefault="00F263F6" w:rsidP="00F263F6">
            <w:pPr>
              <w:jc w:val="center"/>
              <w:rPr>
                <w:sz w:val="18"/>
                <w:szCs w:val="18"/>
                <w:lang w:val="en-GB"/>
              </w:rPr>
            </w:pPr>
            <w:r w:rsidRPr="00563AF8">
              <w:rPr>
                <w:sz w:val="18"/>
                <w:szCs w:val="18"/>
                <w:lang w:val="en-GB"/>
              </w:rPr>
              <w:t>-----</w:t>
            </w:r>
          </w:p>
        </w:tc>
        <w:tc>
          <w:tcPr>
            <w:tcW w:w="2268" w:type="dxa"/>
            <w:tcBorders>
              <w:bottom w:val="single" w:sz="18" w:space="0" w:color="auto"/>
            </w:tcBorders>
            <w:tcMar>
              <w:top w:w="30" w:type="dxa"/>
              <w:left w:w="45" w:type="dxa"/>
              <w:bottom w:w="30" w:type="dxa"/>
              <w:right w:w="45" w:type="dxa"/>
            </w:tcMar>
            <w:vAlign w:val="center"/>
            <w:hideMark/>
          </w:tcPr>
          <w:p w14:paraId="2FA39E67" w14:textId="77777777" w:rsidR="00F263F6" w:rsidRPr="00563AF8" w:rsidRDefault="00F263F6" w:rsidP="00F263F6">
            <w:pPr>
              <w:jc w:val="center"/>
              <w:rPr>
                <w:sz w:val="18"/>
                <w:szCs w:val="18"/>
                <w:lang w:val="en-GB"/>
              </w:rPr>
            </w:pPr>
            <w:r w:rsidRPr="00563AF8">
              <w:rPr>
                <w:sz w:val="18"/>
                <w:szCs w:val="18"/>
                <w:lang w:val="en-GB"/>
              </w:rPr>
              <w:t>-----</w:t>
            </w:r>
          </w:p>
        </w:tc>
      </w:tr>
    </w:tbl>
    <w:p w14:paraId="79079EF9" w14:textId="05508DCD" w:rsidR="00A86176" w:rsidRPr="00563AF8" w:rsidRDefault="007004F0" w:rsidP="00352454">
      <w:pPr>
        <w:pStyle w:val="Bibliography"/>
        <w:ind w:left="-1276" w:firstLine="0"/>
        <w:rPr>
          <w:lang w:val="en-GB"/>
        </w:rPr>
      </w:pPr>
      <w:r w:rsidRPr="00563AF8">
        <w:rPr>
          <w:color w:val="000000"/>
          <w:sz w:val="20"/>
          <w:szCs w:val="20"/>
          <w:lang w:val="en-GB"/>
        </w:rPr>
        <w:t>EPDS: Edinburgh Postnatal Depression Scale; HADS-D: Hospital Anxiety and Depression Scale - Depression subscale; ICC: Intraclass Correlation Coefficient; PHQ-9: Patient Health Questionnaire-9; SMD: standardized mean difference</w:t>
      </w:r>
    </w:p>
    <w:sectPr w:rsidR="00A86176" w:rsidRPr="00563AF8" w:rsidSect="00B40E07">
      <w:footerReference w:type="even" r:id="rId16"/>
      <w:foot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B6260" w14:textId="77777777" w:rsidR="004A464C" w:rsidRDefault="004A464C" w:rsidP="00A1201A">
      <w:r>
        <w:separator/>
      </w:r>
    </w:p>
  </w:endnote>
  <w:endnote w:type="continuationSeparator" w:id="0">
    <w:p w14:paraId="2A89A216" w14:textId="77777777" w:rsidR="004A464C" w:rsidRDefault="004A464C" w:rsidP="00A1201A">
      <w:r>
        <w:continuationSeparator/>
      </w:r>
    </w:p>
  </w:endnote>
  <w:endnote w:type="continuationNotice" w:id="1">
    <w:p w14:paraId="34CB1038" w14:textId="77777777" w:rsidR="004A464C" w:rsidRDefault="004A4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2EFF" w:usb1="D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7095285"/>
      <w:docPartObj>
        <w:docPartGallery w:val="Page Numbers (Bottom of Page)"/>
        <w:docPartUnique/>
      </w:docPartObj>
    </w:sdtPr>
    <w:sdtEndPr>
      <w:rPr>
        <w:rStyle w:val="PageNumber"/>
      </w:rPr>
    </w:sdtEndPr>
    <w:sdtContent>
      <w:p w14:paraId="4C712A2C" w14:textId="77777777" w:rsidR="00DF6032" w:rsidRDefault="00DF6032" w:rsidP="004F6C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C6BC4C2" w14:textId="77777777" w:rsidR="00DF6032" w:rsidRDefault="00DF6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6620199"/>
      <w:docPartObj>
        <w:docPartGallery w:val="Page Numbers (Bottom of Page)"/>
        <w:docPartUnique/>
      </w:docPartObj>
    </w:sdtPr>
    <w:sdtEndPr>
      <w:rPr>
        <w:rStyle w:val="PageNumber"/>
      </w:rPr>
    </w:sdtEndPr>
    <w:sdtContent>
      <w:p w14:paraId="5DBDFFD5" w14:textId="77777777" w:rsidR="00DF6032" w:rsidRDefault="00DF6032" w:rsidP="004F6C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D0C648C" w14:textId="77777777" w:rsidR="00DF6032" w:rsidRDefault="00DF60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6154291"/>
      <w:docPartObj>
        <w:docPartGallery w:val="Page Numbers (Bottom of Page)"/>
        <w:docPartUnique/>
      </w:docPartObj>
    </w:sdtPr>
    <w:sdtEndPr>
      <w:rPr>
        <w:rStyle w:val="PageNumber"/>
      </w:rPr>
    </w:sdtEndPr>
    <w:sdtContent>
      <w:p w14:paraId="2DB30302" w14:textId="4127F601" w:rsidR="00A1201A" w:rsidRDefault="00A120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159E6">
          <w:rPr>
            <w:rStyle w:val="PageNumber"/>
            <w:noProof/>
          </w:rPr>
          <w:t>44</w:t>
        </w:r>
        <w:r>
          <w:rPr>
            <w:rStyle w:val="PageNumber"/>
          </w:rPr>
          <w:fldChar w:fldCharType="end"/>
        </w:r>
      </w:p>
    </w:sdtContent>
  </w:sdt>
  <w:p w14:paraId="75A74946" w14:textId="77777777" w:rsidR="00A1201A" w:rsidRDefault="00A1201A" w:rsidP="00C71901">
    <w:pPr>
      <w:pStyle w:val="Footer"/>
      <w:ind w:right="360"/>
    </w:pPr>
  </w:p>
  <w:p w14:paraId="244547F6" w14:textId="77777777" w:rsidR="00DF0626" w:rsidRDefault="00DF062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3466738"/>
      <w:docPartObj>
        <w:docPartGallery w:val="Page Numbers (Bottom of Page)"/>
        <w:docPartUnique/>
      </w:docPartObj>
    </w:sdtPr>
    <w:sdtEndPr>
      <w:rPr>
        <w:rStyle w:val="PageNumber"/>
      </w:rPr>
    </w:sdtEndPr>
    <w:sdtContent>
      <w:p w14:paraId="6194B370" w14:textId="7EB05FCB" w:rsidR="00A1201A" w:rsidRDefault="00A120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C243E">
          <w:rPr>
            <w:rStyle w:val="PageNumber"/>
            <w:noProof/>
          </w:rPr>
          <w:t>33</w:t>
        </w:r>
        <w:r>
          <w:rPr>
            <w:rStyle w:val="PageNumber"/>
          </w:rPr>
          <w:fldChar w:fldCharType="end"/>
        </w:r>
      </w:p>
    </w:sdtContent>
  </w:sdt>
  <w:p w14:paraId="1E1332E8" w14:textId="77777777" w:rsidR="00A1201A" w:rsidRDefault="00A1201A" w:rsidP="00C71901">
    <w:pPr>
      <w:pStyle w:val="Footer"/>
      <w:ind w:right="360"/>
    </w:pPr>
  </w:p>
  <w:p w14:paraId="39B5F6AF" w14:textId="77777777" w:rsidR="00DF0626" w:rsidRDefault="00DF06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A57DE" w14:textId="77777777" w:rsidR="004A464C" w:rsidRDefault="004A464C" w:rsidP="00A1201A">
      <w:r>
        <w:separator/>
      </w:r>
    </w:p>
  </w:footnote>
  <w:footnote w:type="continuationSeparator" w:id="0">
    <w:p w14:paraId="7978BAC8" w14:textId="77777777" w:rsidR="004A464C" w:rsidRDefault="004A464C" w:rsidP="00A1201A">
      <w:r>
        <w:continuationSeparator/>
      </w:r>
    </w:p>
  </w:footnote>
  <w:footnote w:type="continuationNotice" w:id="1">
    <w:p w14:paraId="1EDEAC77" w14:textId="77777777" w:rsidR="004A464C" w:rsidRDefault="004A46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052E"/>
    <w:multiLevelType w:val="multilevel"/>
    <w:tmpl w:val="C22A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37A35"/>
    <w:multiLevelType w:val="multilevel"/>
    <w:tmpl w:val="1702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F47B88"/>
    <w:multiLevelType w:val="hybridMultilevel"/>
    <w:tmpl w:val="B92683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BD7FC5"/>
    <w:multiLevelType w:val="multilevel"/>
    <w:tmpl w:val="E916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65BA7"/>
    <w:multiLevelType w:val="hybridMultilevel"/>
    <w:tmpl w:val="E0C2F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EC48B0"/>
    <w:multiLevelType w:val="hybridMultilevel"/>
    <w:tmpl w:val="8F4A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974AD"/>
    <w:multiLevelType w:val="hybridMultilevel"/>
    <w:tmpl w:val="E00CAB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4D033A"/>
    <w:multiLevelType w:val="hybridMultilevel"/>
    <w:tmpl w:val="F4422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6C35D4"/>
    <w:multiLevelType w:val="multilevel"/>
    <w:tmpl w:val="4F40ACC4"/>
    <w:lvl w:ilvl="0">
      <w:start w:val="1"/>
      <w:numFmt w:val="decimal"/>
      <w:lvlText w:val="%1."/>
      <w:lvlJc w:val="left"/>
      <w:pPr>
        <w:ind w:left="360" w:hanging="360"/>
      </w:pPr>
      <w:rPr>
        <w:rFonts w:hint="default"/>
        <w:b/>
        <w:color w:val="000000" w:themeColor="text1"/>
      </w:rPr>
    </w:lvl>
    <w:lvl w:ilvl="1">
      <w:start w:val="4"/>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E3750B9"/>
    <w:multiLevelType w:val="multilevel"/>
    <w:tmpl w:val="3030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CC44A6"/>
    <w:multiLevelType w:val="hybridMultilevel"/>
    <w:tmpl w:val="A858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51C33"/>
    <w:multiLevelType w:val="hybridMultilevel"/>
    <w:tmpl w:val="F7AA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134445">
    <w:abstractNumId w:val="6"/>
  </w:num>
  <w:num w:numId="2" w16cid:durableId="761529373">
    <w:abstractNumId w:val="4"/>
  </w:num>
  <w:num w:numId="3" w16cid:durableId="1459030885">
    <w:abstractNumId w:val="2"/>
  </w:num>
  <w:num w:numId="4" w16cid:durableId="448208397">
    <w:abstractNumId w:val="1"/>
  </w:num>
  <w:num w:numId="5" w16cid:durableId="505169533">
    <w:abstractNumId w:val="9"/>
  </w:num>
  <w:num w:numId="6" w16cid:durableId="1448348485">
    <w:abstractNumId w:val="0"/>
  </w:num>
  <w:num w:numId="7" w16cid:durableId="2058242178">
    <w:abstractNumId w:val="3"/>
  </w:num>
  <w:num w:numId="8" w16cid:durableId="1347093878">
    <w:abstractNumId w:val="11"/>
  </w:num>
  <w:num w:numId="9" w16cid:durableId="179197963">
    <w:abstractNumId w:val="10"/>
  </w:num>
  <w:num w:numId="10" w16cid:durableId="1873951815">
    <w:abstractNumId w:val="5"/>
  </w:num>
  <w:num w:numId="11" w16cid:durableId="351076787">
    <w:abstractNumId w:val="7"/>
  </w:num>
  <w:num w:numId="12" w16cid:durableId="18715287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zKxMDQxNzM2MjRX0lEKTi0uzszPAykwrgUAtyWTsiwAAAA="/>
  </w:docVars>
  <w:rsids>
    <w:rsidRoot w:val="003978C4"/>
    <w:rsid w:val="0000003B"/>
    <w:rsid w:val="000004AF"/>
    <w:rsid w:val="0000121D"/>
    <w:rsid w:val="000018B5"/>
    <w:rsid w:val="00002441"/>
    <w:rsid w:val="00002A0D"/>
    <w:rsid w:val="00003B13"/>
    <w:rsid w:val="000067C2"/>
    <w:rsid w:val="00010941"/>
    <w:rsid w:val="00011408"/>
    <w:rsid w:val="00011C9F"/>
    <w:rsid w:val="000125C2"/>
    <w:rsid w:val="00012CE0"/>
    <w:rsid w:val="00012D3B"/>
    <w:rsid w:val="00014D84"/>
    <w:rsid w:val="000151CB"/>
    <w:rsid w:val="000158C3"/>
    <w:rsid w:val="0001688F"/>
    <w:rsid w:val="00017440"/>
    <w:rsid w:val="000175EE"/>
    <w:rsid w:val="00017CBC"/>
    <w:rsid w:val="00020265"/>
    <w:rsid w:val="0002183F"/>
    <w:rsid w:val="0002332C"/>
    <w:rsid w:val="00023C24"/>
    <w:rsid w:val="00023FE3"/>
    <w:rsid w:val="000246DC"/>
    <w:rsid w:val="00024A08"/>
    <w:rsid w:val="00025EE3"/>
    <w:rsid w:val="000272B1"/>
    <w:rsid w:val="00030F6B"/>
    <w:rsid w:val="0003141D"/>
    <w:rsid w:val="0003187A"/>
    <w:rsid w:val="00031B49"/>
    <w:rsid w:val="00031F31"/>
    <w:rsid w:val="00032371"/>
    <w:rsid w:val="0003368C"/>
    <w:rsid w:val="00034167"/>
    <w:rsid w:val="00034628"/>
    <w:rsid w:val="00034BE9"/>
    <w:rsid w:val="00036197"/>
    <w:rsid w:val="000377C0"/>
    <w:rsid w:val="00041A74"/>
    <w:rsid w:val="00041CD8"/>
    <w:rsid w:val="00041F03"/>
    <w:rsid w:val="00041F8C"/>
    <w:rsid w:val="00042CF2"/>
    <w:rsid w:val="00047A5D"/>
    <w:rsid w:val="00047F9A"/>
    <w:rsid w:val="0005002A"/>
    <w:rsid w:val="00050681"/>
    <w:rsid w:val="000511E2"/>
    <w:rsid w:val="00052BE1"/>
    <w:rsid w:val="00053E9E"/>
    <w:rsid w:val="000552DF"/>
    <w:rsid w:val="000552FC"/>
    <w:rsid w:val="000568C5"/>
    <w:rsid w:val="00057919"/>
    <w:rsid w:val="00060097"/>
    <w:rsid w:val="0006052C"/>
    <w:rsid w:val="0006173A"/>
    <w:rsid w:val="00062FD2"/>
    <w:rsid w:val="0006304B"/>
    <w:rsid w:val="000634D8"/>
    <w:rsid w:val="0006460B"/>
    <w:rsid w:val="000676CA"/>
    <w:rsid w:val="00067DEB"/>
    <w:rsid w:val="00071078"/>
    <w:rsid w:val="00071161"/>
    <w:rsid w:val="00071330"/>
    <w:rsid w:val="0007222E"/>
    <w:rsid w:val="000739CC"/>
    <w:rsid w:val="00073D11"/>
    <w:rsid w:val="00073E6A"/>
    <w:rsid w:val="000742FA"/>
    <w:rsid w:val="00075D8B"/>
    <w:rsid w:val="00075F8C"/>
    <w:rsid w:val="000763CE"/>
    <w:rsid w:val="000806BD"/>
    <w:rsid w:val="00081EC7"/>
    <w:rsid w:val="000821E7"/>
    <w:rsid w:val="00082D32"/>
    <w:rsid w:val="00083D84"/>
    <w:rsid w:val="00084DCB"/>
    <w:rsid w:val="0008508D"/>
    <w:rsid w:val="00091120"/>
    <w:rsid w:val="00094754"/>
    <w:rsid w:val="00094940"/>
    <w:rsid w:val="000965B1"/>
    <w:rsid w:val="000973C1"/>
    <w:rsid w:val="0009765D"/>
    <w:rsid w:val="00097A09"/>
    <w:rsid w:val="000A057C"/>
    <w:rsid w:val="000A177B"/>
    <w:rsid w:val="000A44ED"/>
    <w:rsid w:val="000A58D2"/>
    <w:rsid w:val="000A6758"/>
    <w:rsid w:val="000A684D"/>
    <w:rsid w:val="000A7702"/>
    <w:rsid w:val="000B050B"/>
    <w:rsid w:val="000B0B39"/>
    <w:rsid w:val="000B0F35"/>
    <w:rsid w:val="000B3756"/>
    <w:rsid w:val="000B5949"/>
    <w:rsid w:val="000B5B37"/>
    <w:rsid w:val="000B5D7D"/>
    <w:rsid w:val="000B670E"/>
    <w:rsid w:val="000B71BF"/>
    <w:rsid w:val="000C02DF"/>
    <w:rsid w:val="000C2457"/>
    <w:rsid w:val="000C294A"/>
    <w:rsid w:val="000C2A6E"/>
    <w:rsid w:val="000C2DD5"/>
    <w:rsid w:val="000C2FD5"/>
    <w:rsid w:val="000C34ED"/>
    <w:rsid w:val="000C4013"/>
    <w:rsid w:val="000C4292"/>
    <w:rsid w:val="000C4C2C"/>
    <w:rsid w:val="000C4E32"/>
    <w:rsid w:val="000C51F9"/>
    <w:rsid w:val="000C7991"/>
    <w:rsid w:val="000D0095"/>
    <w:rsid w:val="000D06F0"/>
    <w:rsid w:val="000D113E"/>
    <w:rsid w:val="000D469E"/>
    <w:rsid w:val="000D4D79"/>
    <w:rsid w:val="000D4E00"/>
    <w:rsid w:val="000D4F75"/>
    <w:rsid w:val="000D5DAF"/>
    <w:rsid w:val="000D6888"/>
    <w:rsid w:val="000D6A44"/>
    <w:rsid w:val="000D6B66"/>
    <w:rsid w:val="000D767E"/>
    <w:rsid w:val="000D7944"/>
    <w:rsid w:val="000E0546"/>
    <w:rsid w:val="000E0C16"/>
    <w:rsid w:val="000E197D"/>
    <w:rsid w:val="000E255C"/>
    <w:rsid w:val="000E3B93"/>
    <w:rsid w:val="000E4000"/>
    <w:rsid w:val="000E427D"/>
    <w:rsid w:val="000E4639"/>
    <w:rsid w:val="000E5568"/>
    <w:rsid w:val="000E5C76"/>
    <w:rsid w:val="000E62ED"/>
    <w:rsid w:val="000F08BD"/>
    <w:rsid w:val="000F336B"/>
    <w:rsid w:val="000F69C9"/>
    <w:rsid w:val="000F72BC"/>
    <w:rsid w:val="000F7989"/>
    <w:rsid w:val="000F7FB1"/>
    <w:rsid w:val="001006C0"/>
    <w:rsid w:val="00101086"/>
    <w:rsid w:val="001037F8"/>
    <w:rsid w:val="00103939"/>
    <w:rsid w:val="00103C8D"/>
    <w:rsid w:val="00103FBB"/>
    <w:rsid w:val="0010422B"/>
    <w:rsid w:val="00104512"/>
    <w:rsid w:val="00106C45"/>
    <w:rsid w:val="00106DB7"/>
    <w:rsid w:val="001118E0"/>
    <w:rsid w:val="00111BC3"/>
    <w:rsid w:val="00111F85"/>
    <w:rsid w:val="001122DC"/>
    <w:rsid w:val="001124BB"/>
    <w:rsid w:val="00112C01"/>
    <w:rsid w:val="00112C27"/>
    <w:rsid w:val="001133C3"/>
    <w:rsid w:val="00114494"/>
    <w:rsid w:val="00116B67"/>
    <w:rsid w:val="0012007A"/>
    <w:rsid w:val="00120F7D"/>
    <w:rsid w:val="001229F1"/>
    <w:rsid w:val="00122F6E"/>
    <w:rsid w:val="00123783"/>
    <w:rsid w:val="001249D0"/>
    <w:rsid w:val="00126ACA"/>
    <w:rsid w:val="00126C41"/>
    <w:rsid w:val="00127AC6"/>
    <w:rsid w:val="0013000E"/>
    <w:rsid w:val="00130B3D"/>
    <w:rsid w:val="00130C1D"/>
    <w:rsid w:val="00130F7D"/>
    <w:rsid w:val="00133054"/>
    <w:rsid w:val="00133EBF"/>
    <w:rsid w:val="001340AD"/>
    <w:rsid w:val="001340DB"/>
    <w:rsid w:val="0013502E"/>
    <w:rsid w:val="0013552D"/>
    <w:rsid w:val="00135BA5"/>
    <w:rsid w:val="00135C0E"/>
    <w:rsid w:val="001376BE"/>
    <w:rsid w:val="00140621"/>
    <w:rsid w:val="0014252B"/>
    <w:rsid w:val="001439DE"/>
    <w:rsid w:val="0014559E"/>
    <w:rsid w:val="00145870"/>
    <w:rsid w:val="00145B58"/>
    <w:rsid w:val="00146062"/>
    <w:rsid w:val="00146137"/>
    <w:rsid w:val="001469FF"/>
    <w:rsid w:val="001475E5"/>
    <w:rsid w:val="00147EE3"/>
    <w:rsid w:val="00150426"/>
    <w:rsid w:val="00150432"/>
    <w:rsid w:val="001517FD"/>
    <w:rsid w:val="0015212B"/>
    <w:rsid w:val="00152B9B"/>
    <w:rsid w:val="00152F29"/>
    <w:rsid w:val="001538AE"/>
    <w:rsid w:val="00153A3F"/>
    <w:rsid w:val="0015443B"/>
    <w:rsid w:val="001560BE"/>
    <w:rsid w:val="001568DE"/>
    <w:rsid w:val="001573C3"/>
    <w:rsid w:val="00160CAD"/>
    <w:rsid w:val="00161779"/>
    <w:rsid w:val="0016281A"/>
    <w:rsid w:val="0016312E"/>
    <w:rsid w:val="0016347E"/>
    <w:rsid w:val="00164FFF"/>
    <w:rsid w:val="001650FC"/>
    <w:rsid w:val="00165F33"/>
    <w:rsid w:val="00166519"/>
    <w:rsid w:val="00166C4E"/>
    <w:rsid w:val="001675D0"/>
    <w:rsid w:val="0017014E"/>
    <w:rsid w:val="00170201"/>
    <w:rsid w:val="001702A2"/>
    <w:rsid w:val="00170526"/>
    <w:rsid w:val="00170AE9"/>
    <w:rsid w:val="00171727"/>
    <w:rsid w:val="00172887"/>
    <w:rsid w:val="00172AED"/>
    <w:rsid w:val="00172F1D"/>
    <w:rsid w:val="00176D8A"/>
    <w:rsid w:val="00176DC8"/>
    <w:rsid w:val="0017724F"/>
    <w:rsid w:val="00180190"/>
    <w:rsid w:val="001802F3"/>
    <w:rsid w:val="0018137D"/>
    <w:rsid w:val="001816D7"/>
    <w:rsid w:val="00181F5D"/>
    <w:rsid w:val="00182CB0"/>
    <w:rsid w:val="0018511F"/>
    <w:rsid w:val="00185EDA"/>
    <w:rsid w:val="00187218"/>
    <w:rsid w:val="00187FB3"/>
    <w:rsid w:val="0019063B"/>
    <w:rsid w:val="00191EB4"/>
    <w:rsid w:val="00191FFD"/>
    <w:rsid w:val="00194B17"/>
    <w:rsid w:val="0019597A"/>
    <w:rsid w:val="0019684B"/>
    <w:rsid w:val="00196EAF"/>
    <w:rsid w:val="00197B30"/>
    <w:rsid w:val="00197E01"/>
    <w:rsid w:val="001A0231"/>
    <w:rsid w:val="001A02D4"/>
    <w:rsid w:val="001A1336"/>
    <w:rsid w:val="001A1AEB"/>
    <w:rsid w:val="001A1E63"/>
    <w:rsid w:val="001A3921"/>
    <w:rsid w:val="001A3CC8"/>
    <w:rsid w:val="001A444B"/>
    <w:rsid w:val="001A5108"/>
    <w:rsid w:val="001A5B3F"/>
    <w:rsid w:val="001A5D53"/>
    <w:rsid w:val="001A692F"/>
    <w:rsid w:val="001A6F65"/>
    <w:rsid w:val="001A6FF2"/>
    <w:rsid w:val="001A7179"/>
    <w:rsid w:val="001A7419"/>
    <w:rsid w:val="001B3B8A"/>
    <w:rsid w:val="001B58BA"/>
    <w:rsid w:val="001B6AAC"/>
    <w:rsid w:val="001B6AFC"/>
    <w:rsid w:val="001B6BE8"/>
    <w:rsid w:val="001B7984"/>
    <w:rsid w:val="001C002B"/>
    <w:rsid w:val="001C32EA"/>
    <w:rsid w:val="001C458D"/>
    <w:rsid w:val="001C48C6"/>
    <w:rsid w:val="001C4CA5"/>
    <w:rsid w:val="001C56F4"/>
    <w:rsid w:val="001C5A04"/>
    <w:rsid w:val="001C639E"/>
    <w:rsid w:val="001C6D92"/>
    <w:rsid w:val="001C765C"/>
    <w:rsid w:val="001D0C10"/>
    <w:rsid w:val="001D0D9B"/>
    <w:rsid w:val="001D5E0A"/>
    <w:rsid w:val="001D67BA"/>
    <w:rsid w:val="001D753B"/>
    <w:rsid w:val="001D7B64"/>
    <w:rsid w:val="001D7C43"/>
    <w:rsid w:val="001E0973"/>
    <w:rsid w:val="001E1F0B"/>
    <w:rsid w:val="001E25D1"/>
    <w:rsid w:val="001E276D"/>
    <w:rsid w:val="001E3A91"/>
    <w:rsid w:val="001E3EA5"/>
    <w:rsid w:val="001E41D3"/>
    <w:rsid w:val="001E4B55"/>
    <w:rsid w:val="001E5FEC"/>
    <w:rsid w:val="001E728D"/>
    <w:rsid w:val="001F103F"/>
    <w:rsid w:val="001F2859"/>
    <w:rsid w:val="001F2C4C"/>
    <w:rsid w:val="001F3DA1"/>
    <w:rsid w:val="001F41A4"/>
    <w:rsid w:val="001F48BA"/>
    <w:rsid w:val="001F533D"/>
    <w:rsid w:val="001F59F4"/>
    <w:rsid w:val="001F5B3C"/>
    <w:rsid w:val="002010B6"/>
    <w:rsid w:val="00201156"/>
    <w:rsid w:val="00202629"/>
    <w:rsid w:val="0020262B"/>
    <w:rsid w:val="00202A4E"/>
    <w:rsid w:val="00204205"/>
    <w:rsid w:val="002046DD"/>
    <w:rsid w:val="002055BC"/>
    <w:rsid w:val="00206DCD"/>
    <w:rsid w:val="0020758E"/>
    <w:rsid w:val="002076CA"/>
    <w:rsid w:val="0020771B"/>
    <w:rsid w:val="002078F5"/>
    <w:rsid w:val="0021084D"/>
    <w:rsid w:val="002109EE"/>
    <w:rsid w:val="00211BD1"/>
    <w:rsid w:val="002129EE"/>
    <w:rsid w:val="00213CA9"/>
    <w:rsid w:val="00214DB8"/>
    <w:rsid w:val="00215664"/>
    <w:rsid w:val="00215752"/>
    <w:rsid w:val="00217197"/>
    <w:rsid w:val="002171D5"/>
    <w:rsid w:val="00217258"/>
    <w:rsid w:val="002178F1"/>
    <w:rsid w:val="00217B2C"/>
    <w:rsid w:val="002235F4"/>
    <w:rsid w:val="002244DB"/>
    <w:rsid w:val="00225E0E"/>
    <w:rsid w:val="002269BD"/>
    <w:rsid w:val="00226A6B"/>
    <w:rsid w:val="00226AA1"/>
    <w:rsid w:val="00231039"/>
    <w:rsid w:val="00231341"/>
    <w:rsid w:val="00231C3F"/>
    <w:rsid w:val="00231CBF"/>
    <w:rsid w:val="00232445"/>
    <w:rsid w:val="00232C80"/>
    <w:rsid w:val="00232F49"/>
    <w:rsid w:val="0023558C"/>
    <w:rsid w:val="0023571F"/>
    <w:rsid w:val="00235A73"/>
    <w:rsid w:val="00236423"/>
    <w:rsid w:val="00236BB1"/>
    <w:rsid w:val="0024026F"/>
    <w:rsid w:val="002410A0"/>
    <w:rsid w:val="0024150E"/>
    <w:rsid w:val="00241B5E"/>
    <w:rsid w:val="0024382F"/>
    <w:rsid w:val="0024391C"/>
    <w:rsid w:val="00244F4D"/>
    <w:rsid w:val="0024533E"/>
    <w:rsid w:val="002456EC"/>
    <w:rsid w:val="0024642B"/>
    <w:rsid w:val="002469B2"/>
    <w:rsid w:val="00246BA2"/>
    <w:rsid w:val="00247BD3"/>
    <w:rsid w:val="00250099"/>
    <w:rsid w:val="00251287"/>
    <w:rsid w:val="00251B7D"/>
    <w:rsid w:val="00251F66"/>
    <w:rsid w:val="00252BE9"/>
    <w:rsid w:val="00253192"/>
    <w:rsid w:val="00253BEB"/>
    <w:rsid w:val="00253D6C"/>
    <w:rsid w:val="00254F64"/>
    <w:rsid w:val="0025576A"/>
    <w:rsid w:val="00256879"/>
    <w:rsid w:val="00256D23"/>
    <w:rsid w:val="00257087"/>
    <w:rsid w:val="0025714C"/>
    <w:rsid w:val="00257452"/>
    <w:rsid w:val="00260C15"/>
    <w:rsid w:val="0026305A"/>
    <w:rsid w:val="0026343B"/>
    <w:rsid w:val="00264ED9"/>
    <w:rsid w:val="00266177"/>
    <w:rsid w:val="00267010"/>
    <w:rsid w:val="00267257"/>
    <w:rsid w:val="00270CAA"/>
    <w:rsid w:val="00270CAB"/>
    <w:rsid w:val="00275997"/>
    <w:rsid w:val="002759E8"/>
    <w:rsid w:val="00276D57"/>
    <w:rsid w:val="00277596"/>
    <w:rsid w:val="00277FF3"/>
    <w:rsid w:val="00280DE7"/>
    <w:rsid w:val="00281B22"/>
    <w:rsid w:val="00281F6F"/>
    <w:rsid w:val="002820DA"/>
    <w:rsid w:val="00283375"/>
    <w:rsid w:val="00283517"/>
    <w:rsid w:val="002839AB"/>
    <w:rsid w:val="00283BF6"/>
    <w:rsid w:val="0028471D"/>
    <w:rsid w:val="00284FFD"/>
    <w:rsid w:val="00287133"/>
    <w:rsid w:val="00287A82"/>
    <w:rsid w:val="00287C35"/>
    <w:rsid w:val="002908B3"/>
    <w:rsid w:val="00290A31"/>
    <w:rsid w:val="00290A7C"/>
    <w:rsid w:val="00290CDF"/>
    <w:rsid w:val="00292E04"/>
    <w:rsid w:val="00293FDE"/>
    <w:rsid w:val="002952D6"/>
    <w:rsid w:val="00295360"/>
    <w:rsid w:val="00296E66"/>
    <w:rsid w:val="002978C0"/>
    <w:rsid w:val="002979E3"/>
    <w:rsid w:val="002A02CC"/>
    <w:rsid w:val="002A126B"/>
    <w:rsid w:val="002A1941"/>
    <w:rsid w:val="002A1D10"/>
    <w:rsid w:val="002A2CB5"/>
    <w:rsid w:val="002A3660"/>
    <w:rsid w:val="002A439A"/>
    <w:rsid w:val="002A4B8F"/>
    <w:rsid w:val="002A68B7"/>
    <w:rsid w:val="002A7592"/>
    <w:rsid w:val="002A7B6A"/>
    <w:rsid w:val="002B08AA"/>
    <w:rsid w:val="002B1988"/>
    <w:rsid w:val="002B1B07"/>
    <w:rsid w:val="002B237F"/>
    <w:rsid w:val="002B3354"/>
    <w:rsid w:val="002B5F77"/>
    <w:rsid w:val="002B6099"/>
    <w:rsid w:val="002B63A9"/>
    <w:rsid w:val="002C0435"/>
    <w:rsid w:val="002C09CC"/>
    <w:rsid w:val="002C1A79"/>
    <w:rsid w:val="002C1C92"/>
    <w:rsid w:val="002C20A3"/>
    <w:rsid w:val="002C297A"/>
    <w:rsid w:val="002C372A"/>
    <w:rsid w:val="002C38DA"/>
    <w:rsid w:val="002C3DA0"/>
    <w:rsid w:val="002C4038"/>
    <w:rsid w:val="002C4B45"/>
    <w:rsid w:val="002C581B"/>
    <w:rsid w:val="002C5D3B"/>
    <w:rsid w:val="002C5D3E"/>
    <w:rsid w:val="002C5F30"/>
    <w:rsid w:val="002C669D"/>
    <w:rsid w:val="002C6BE7"/>
    <w:rsid w:val="002C6CEF"/>
    <w:rsid w:val="002C7AB1"/>
    <w:rsid w:val="002D0502"/>
    <w:rsid w:val="002D137E"/>
    <w:rsid w:val="002D17B6"/>
    <w:rsid w:val="002D19EE"/>
    <w:rsid w:val="002D1E20"/>
    <w:rsid w:val="002D223B"/>
    <w:rsid w:val="002D35F2"/>
    <w:rsid w:val="002D38B6"/>
    <w:rsid w:val="002D5D8F"/>
    <w:rsid w:val="002D7C19"/>
    <w:rsid w:val="002E1951"/>
    <w:rsid w:val="002E1B69"/>
    <w:rsid w:val="002E1CFF"/>
    <w:rsid w:val="002E1FBC"/>
    <w:rsid w:val="002E3144"/>
    <w:rsid w:val="002E5145"/>
    <w:rsid w:val="002E5661"/>
    <w:rsid w:val="002E5DF8"/>
    <w:rsid w:val="002E6497"/>
    <w:rsid w:val="002E6872"/>
    <w:rsid w:val="002E7053"/>
    <w:rsid w:val="002F1E02"/>
    <w:rsid w:val="002F1EBD"/>
    <w:rsid w:val="002F38C1"/>
    <w:rsid w:val="002F49F6"/>
    <w:rsid w:val="002F4CA7"/>
    <w:rsid w:val="002F523D"/>
    <w:rsid w:val="002F5BA2"/>
    <w:rsid w:val="002F5C24"/>
    <w:rsid w:val="002F6509"/>
    <w:rsid w:val="00300262"/>
    <w:rsid w:val="003016B5"/>
    <w:rsid w:val="00301805"/>
    <w:rsid w:val="003019DA"/>
    <w:rsid w:val="00301D99"/>
    <w:rsid w:val="003057B4"/>
    <w:rsid w:val="00307EE7"/>
    <w:rsid w:val="003109F0"/>
    <w:rsid w:val="00310C82"/>
    <w:rsid w:val="003118BF"/>
    <w:rsid w:val="0031367B"/>
    <w:rsid w:val="00313A07"/>
    <w:rsid w:val="00313D94"/>
    <w:rsid w:val="003140C5"/>
    <w:rsid w:val="00314264"/>
    <w:rsid w:val="00314848"/>
    <w:rsid w:val="00314F13"/>
    <w:rsid w:val="00315292"/>
    <w:rsid w:val="0031554A"/>
    <w:rsid w:val="00315D4B"/>
    <w:rsid w:val="003162D9"/>
    <w:rsid w:val="00316414"/>
    <w:rsid w:val="00316863"/>
    <w:rsid w:val="003169B9"/>
    <w:rsid w:val="00320460"/>
    <w:rsid w:val="00320CDD"/>
    <w:rsid w:val="00320DBF"/>
    <w:rsid w:val="00321083"/>
    <w:rsid w:val="0032235A"/>
    <w:rsid w:val="003223D6"/>
    <w:rsid w:val="00323E87"/>
    <w:rsid w:val="00323F2C"/>
    <w:rsid w:val="00325AF4"/>
    <w:rsid w:val="00326E44"/>
    <w:rsid w:val="0033021D"/>
    <w:rsid w:val="00332AB5"/>
    <w:rsid w:val="0033459B"/>
    <w:rsid w:val="003352D2"/>
    <w:rsid w:val="0033532F"/>
    <w:rsid w:val="00337F90"/>
    <w:rsid w:val="00340312"/>
    <w:rsid w:val="00340EF1"/>
    <w:rsid w:val="003415F9"/>
    <w:rsid w:val="00341CB9"/>
    <w:rsid w:val="00343B42"/>
    <w:rsid w:val="00344F46"/>
    <w:rsid w:val="00345ED7"/>
    <w:rsid w:val="00346DDE"/>
    <w:rsid w:val="00346E9B"/>
    <w:rsid w:val="00347D14"/>
    <w:rsid w:val="003516BF"/>
    <w:rsid w:val="003516CF"/>
    <w:rsid w:val="00351F24"/>
    <w:rsid w:val="00352454"/>
    <w:rsid w:val="00352981"/>
    <w:rsid w:val="00352C55"/>
    <w:rsid w:val="00352EAC"/>
    <w:rsid w:val="0035325F"/>
    <w:rsid w:val="003532FA"/>
    <w:rsid w:val="003538D9"/>
    <w:rsid w:val="0035402A"/>
    <w:rsid w:val="00354953"/>
    <w:rsid w:val="00355F9E"/>
    <w:rsid w:val="00356420"/>
    <w:rsid w:val="0035706F"/>
    <w:rsid w:val="003607E0"/>
    <w:rsid w:val="003613C9"/>
    <w:rsid w:val="0036173D"/>
    <w:rsid w:val="0036200A"/>
    <w:rsid w:val="00362400"/>
    <w:rsid w:val="003633FD"/>
    <w:rsid w:val="0036397A"/>
    <w:rsid w:val="00365D82"/>
    <w:rsid w:val="00365E60"/>
    <w:rsid w:val="0036601B"/>
    <w:rsid w:val="00366AF2"/>
    <w:rsid w:val="00366FE4"/>
    <w:rsid w:val="00367A44"/>
    <w:rsid w:val="00370097"/>
    <w:rsid w:val="0037138B"/>
    <w:rsid w:val="00372C22"/>
    <w:rsid w:val="00373B10"/>
    <w:rsid w:val="00375685"/>
    <w:rsid w:val="00375EDB"/>
    <w:rsid w:val="00376267"/>
    <w:rsid w:val="003763F5"/>
    <w:rsid w:val="00376B6F"/>
    <w:rsid w:val="003775E4"/>
    <w:rsid w:val="003815E1"/>
    <w:rsid w:val="00381953"/>
    <w:rsid w:val="00382321"/>
    <w:rsid w:val="0038236C"/>
    <w:rsid w:val="003847AA"/>
    <w:rsid w:val="003849D9"/>
    <w:rsid w:val="00384BE9"/>
    <w:rsid w:val="00384CCB"/>
    <w:rsid w:val="00385B1A"/>
    <w:rsid w:val="00385D04"/>
    <w:rsid w:val="00386492"/>
    <w:rsid w:val="0038724C"/>
    <w:rsid w:val="00391A13"/>
    <w:rsid w:val="0039262E"/>
    <w:rsid w:val="0039271E"/>
    <w:rsid w:val="00393252"/>
    <w:rsid w:val="00393E86"/>
    <w:rsid w:val="00395363"/>
    <w:rsid w:val="00395E59"/>
    <w:rsid w:val="0039638E"/>
    <w:rsid w:val="003978C4"/>
    <w:rsid w:val="003A025D"/>
    <w:rsid w:val="003A06B4"/>
    <w:rsid w:val="003A12E8"/>
    <w:rsid w:val="003A27FD"/>
    <w:rsid w:val="003A332D"/>
    <w:rsid w:val="003A37AB"/>
    <w:rsid w:val="003A39A5"/>
    <w:rsid w:val="003A47E9"/>
    <w:rsid w:val="003A4A31"/>
    <w:rsid w:val="003A5425"/>
    <w:rsid w:val="003A782B"/>
    <w:rsid w:val="003A7C62"/>
    <w:rsid w:val="003A7FA4"/>
    <w:rsid w:val="003B2234"/>
    <w:rsid w:val="003B2A54"/>
    <w:rsid w:val="003B319E"/>
    <w:rsid w:val="003B32DD"/>
    <w:rsid w:val="003B36CE"/>
    <w:rsid w:val="003B434C"/>
    <w:rsid w:val="003B6521"/>
    <w:rsid w:val="003C0123"/>
    <w:rsid w:val="003C0639"/>
    <w:rsid w:val="003C203A"/>
    <w:rsid w:val="003C4776"/>
    <w:rsid w:val="003C4B33"/>
    <w:rsid w:val="003C520D"/>
    <w:rsid w:val="003C5E45"/>
    <w:rsid w:val="003C6322"/>
    <w:rsid w:val="003C7CBE"/>
    <w:rsid w:val="003D25FA"/>
    <w:rsid w:val="003D2F78"/>
    <w:rsid w:val="003D34C8"/>
    <w:rsid w:val="003D3ED4"/>
    <w:rsid w:val="003D4193"/>
    <w:rsid w:val="003D43B4"/>
    <w:rsid w:val="003D4FE3"/>
    <w:rsid w:val="003D5AF8"/>
    <w:rsid w:val="003D5BC6"/>
    <w:rsid w:val="003D6BAE"/>
    <w:rsid w:val="003D75C8"/>
    <w:rsid w:val="003D7BC3"/>
    <w:rsid w:val="003E0306"/>
    <w:rsid w:val="003E0FCB"/>
    <w:rsid w:val="003E128D"/>
    <w:rsid w:val="003E1C25"/>
    <w:rsid w:val="003E1C80"/>
    <w:rsid w:val="003E1EE3"/>
    <w:rsid w:val="003E3F48"/>
    <w:rsid w:val="003E4F76"/>
    <w:rsid w:val="003E5511"/>
    <w:rsid w:val="003E578E"/>
    <w:rsid w:val="003E62FD"/>
    <w:rsid w:val="003E6639"/>
    <w:rsid w:val="003E6D66"/>
    <w:rsid w:val="003E743D"/>
    <w:rsid w:val="003F09BE"/>
    <w:rsid w:val="003F1904"/>
    <w:rsid w:val="003F27D8"/>
    <w:rsid w:val="003F35B6"/>
    <w:rsid w:val="003F4280"/>
    <w:rsid w:val="003F56D2"/>
    <w:rsid w:val="003F5FC0"/>
    <w:rsid w:val="003F7A22"/>
    <w:rsid w:val="004003DE"/>
    <w:rsid w:val="00400BEE"/>
    <w:rsid w:val="004016FB"/>
    <w:rsid w:val="004026CF"/>
    <w:rsid w:val="00403474"/>
    <w:rsid w:val="00403F6A"/>
    <w:rsid w:val="00404696"/>
    <w:rsid w:val="00404701"/>
    <w:rsid w:val="00405208"/>
    <w:rsid w:val="00406DE6"/>
    <w:rsid w:val="004106FC"/>
    <w:rsid w:val="0041105F"/>
    <w:rsid w:val="004110BC"/>
    <w:rsid w:val="00411E6B"/>
    <w:rsid w:val="00412645"/>
    <w:rsid w:val="004129E3"/>
    <w:rsid w:val="00412BD5"/>
    <w:rsid w:val="004133A9"/>
    <w:rsid w:val="00413B78"/>
    <w:rsid w:val="00413E6E"/>
    <w:rsid w:val="0041773F"/>
    <w:rsid w:val="00417C5F"/>
    <w:rsid w:val="0042001F"/>
    <w:rsid w:val="00420816"/>
    <w:rsid w:val="00422369"/>
    <w:rsid w:val="00423565"/>
    <w:rsid w:val="00423B79"/>
    <w:rsid w:val="00424047"/>
    <w:rsid w:val="00424AAC"/>
    <w:rsid w:val="0042573E"/>
    <w:rsid w:val="004262AC"/>
    <w:rsid w:val="004277BB"/>
    <w:rsid w:val="00430C86"/>
    <w:rsid w:val="00431001"/>
    <w:rsid w:val="00434A76"/>
    <w:rsid w:val="00435D23"/>
    <w:rsid w:val="004361D4"/>
    <w:rsid w:val="00437956"/>
    <w:rsid w:val="00437EAD"/>
    <w:rsid w:val="00440950"/>
    <w:rsid w:val="00440FF4"/>
    <w:rsid w:val="00442AE1"/>
    <w:rsid w:val="004433BF"/>
    <w:rsid w:val="00443DAC"/>
    <w:rsid w:val="00444CBD"/>
    <w:rsid w:val="00446103"/>
    <w:rsid w:val="004509A6"/>
    <w:rsid w:val="00451806"/>
    <w:rsid w:val="0045204D"/>
    <w:rsid w:val="00453801"/>
    <w:rsid w:val="004539D7"/>
    <w:rsid w:val="00455184"/>
    <w:rsid w:val="00455324"/>
    <w:rsid w:val="0045544C"/>
    <w:rsid w:val="00456787"/>
    <w:rsid w:val="00456817"/>
    <w:rsid w:val="004573DD"/>
    <w:rsid w:val="00457C67"/>
    <w:rsid w:val="0046100A"/>
    <w:rsid w:val="004617A5"/>
    <w:rsid w:val="004619ED"/>
    <w:rsid w:val="00461F03"/>
    <w:rsid w:val="00462539"/>
    <w:rsid w:val="00462E7D"/>
    <w:rsid w:val="00463911"/>
    <w:rsid w:val="00465C2D"/>
    <w:rsid w:val="00465F1C"/>
    <w:rsid w:val="004662F0"/>
    <w:rsid w:val="00467CB9"/>
    <w:rsid w:val="00467FDC"/>
    <w:rsid w:val="004703EE"/>
    <w:rsid w:val="00471C04"/>
    <w:rsid w:val="004733FB"/>
    <w:rsid w:val="004738D6"/>
    <w:rsid w:val="00474774"/>
    <w:rsid w:val="00475147"/>
    <w:rsid w:val="00476EBA"/>
    <w:rsid w:val="00477030"/>
    <w:rsid w:val="0047725F"/>
    <w:rsid w:val="00483245"/>
    <w:rsid w:val="00484EF1"/>
    <w:rsid w:val="00484F3C"/>
    <w:rsid w:val="00485E7D"/>
    <w:rsid w:val="00487261"/>
    <w:rsid w:val="004875CA"/>
    <w:rsid w:val="00490248"/>
    <w:rsid w:val="0049061B"/>
    <w:rsid w:val="004907A8"/>
    <w:rsid w:val="00491A95"/>
    <w:rsid w:val="004926E5"/>
    <w:rsid w:val="00494281"/>
    <w:rsid w:val="004949B1"/>
    <w:rsid w:val="004966C6"/>
    <w:rsid w:val="00496BB4"/>
    <w:rsid w:val="004973EF"/>
    <w:rsid w:val="004A06C8"/>
    <w:rsid w:val="004A464C"/>
    <w:rsid w:val="004A5C44"/>
    <w:rsid w:val="004A5DE1"/>
    <w:rsid w:val="004A6758"/>
    <w:rsid w:val="004A7DCA"/>
    <w:rsid w:val="004B096A"/>
    <w:rsid w:val="004B125A"/>
    <w:rsid w:val="004B17B6"/>
    <w:rsid w:val="004B17D4"/>
    <w:rsid w:val="004B19E6"/>
    <w:rsid w:val="004B3678"/>
    <w:rsid w:val="004B38E1"/>
    <w:rsid w:val="004B3D55"/>
    <w:rsid w:val="004B4FD7"/>
    <w:rsid w:val="004B5CC6"/>
    <w:rsid w:val="004C30FD"/>
    <w:rsid w:val="004C58E1"/>
    <w:rsid w:val="004C7773"/>
    <w:rsid w:val="004D202C"/>
    <w:rsid w:val="004D25A6"/>
    <w:rsid w:val="004D3E61"/>
    <w:rsid w:val="004D50C3"/>
    <w:rsid w:val="004D681B"/>
    <w:rsid w:val="004D6B7A"/>
    <w:rsid w:val="004E2AB7"/>
    <w:rsid w:val="004E3AC1"/>
    <w:rsid w:val="004E7CF4"/>
    <w:rsid w:val="004F06FF"/>
    <w:rsid w:val="004F132B"/>
    <w:rsid w:val="004F2CCA"/>
    <w:rsid w:val="004F30F5"/>
    <w:rsid w:val="004F32D9"/>
    <w:rsid w:val="004F3C62"/>
    <w:rsid w:val="004F412C"/>
    <w:rsid w:val="004F4C0E"/>
    <w:rsid w:val="004F4EEF"/>
    <w:rsid w:val="004F50A1"/>
    <w:rsid w:val="004F5E01"/>
    <w:rsid w:val="004F68C4"/>
    <w:rsid w:val="005004E3"/>
    <w:rsid w:val="00500D25"/>
    <w:rsid w:val="00500F81"/>
    <w:rsid w:val="00501650"/>
    <w:rsid w:val="0050196A"/>
    <w:rsid w:val="005023D9"/>
    <w:rsid w:val="00503E44"/>
    <w:rsid w:val="00504761"/>
    <w:rsid w:val="005048F7"/>
    <w:rsid w:val="005050AD"/>
    <w:rsid w:val="00506F8A"/>
    <w:rsid w:val="00506FB0"/>
    <w:rsid w:val="00507541"/>
    <w:rsid w:val="005076A8"/>
    <w:rsid w:val="005105BC"/>
    <w:rsid w:val="00510866"/>
    <w:rsid w:val="00510952"/>
    <w:rsid w:val="00510D43"/>
    <w:rsid w:val="00510D53"/>
    <w:rsid w:val="00511993"/>
    <w:rsid w:val="00512EDA"/>
    <w:rsid w:val="00512FD0"/>
    <w:rsid w:val="005140D5"/>
    <w:rsid w:val="00514290"/>
    <w:rsid w:val="0051445B"/>
    <w:rsid w:val="00516CCD"/>
    <w:rsid w:val="00521533"/>
    <w:rsid w:val="005233DE"/>
    <w:rsid w:val="00523DC3"/>
    <w:rsid w:val="00524224"/>
    <w:rsid w:val="00525666"/>
    <w:rsid w:val="00525BF3"/>
    <w:rsid w:val="00525D10"/>
    <w:rsid w:val="0052672A"/>
    <w:rsid w:val="00526B07"/>
    <w:rsid w:val="005273E7"/>
    <w:rsid w:val="0052769A"/>
    <w:rsid w:val="00530CFB"/>
    <w:rsid w:val="0053105A"/>
    <w:rsid w:val="005313C5"/>
    <w:rsid w:val="005328C0"/>
    <w:rsid w:val="00532EE2"/>
    <w:rsid w:val="00533103"/>
    <w:rsid w:val="00534541"/>
    <w:rsid w:val="005345FD"/>
    <w:rsid w:val="0053529A"/>
    <w:rsid w:val="00535759"/>
    <w:rsid w:val="0053608C"/>
    <w:rsid w:val="005362D5"/>
    <w:rsid w:val="005378C6"/>
    <w:rsid w:val="005401D8"/>
    <w:rsid w:val="00541640"/>
    <w:rsid w:val="005417BE"/>
    <w:rsid w:val="00542214"/>
    <w:rsid w:val="00542622"/>
    <w:rsid w:val="0054358B"/>
    <w:rsid w:val="00543908"/>
    <w:rsid w:val="005441B7"/>
    <w:rsid w:val="00544BA3"/>
    <w:rsid w:val="00546313"/>
    <w:rsid w:val="00546BA4"/>
    <w:rsid w:val="00547D55"/>
    <w:rsid w:val="00550847"/>
    <w:rsid w:val="005509F9"/>
    <w:rsid w:val="00551C70"/>
    <w:rsid w:val="00551FC3"/>
    <w:rsid w:val="00552877"/>
    <w:rsid w:val="0055347C"/>
    <w:rsid w:val="005540EC"/>
    <w:rsid w:val="0055529D"/>
    <w:rsid w:val="005554F3"/>
    <w:rsid w:val="005555DD"/>
    <w:rsid w:val="00555CBC"/>
    <w:rsid w:val="005609BF"/>
    <w:rsid w:val="005626E3"/>
    <w:rsid w:val="00562CEC"/>
    <w:rsid w:val="00563AF8"/>
    <w:rsid w:val="00564830"/>
    <w:rsid w:val="00564DE9"/>
    <w:rsid w:val="005653CB"/>
    <w:rsid w:val="0056653E"/>
    <w:rsid w:val="005666D9"/>
    <w:rsid w:val="005669CC"/>
    <w:rsid w:val="00566F39"/>
    <w:rsid w:val="00567410"/>
    <w:rsid w:val="00567E5D"/>
    <w:rsid w:val="00573263"/>
    <w:rsid w:val="00573AF0"/>
    <w:rsid w:val="00573F74"/>
    <w:rsid w:val="005759BF"/>
    <w:rsid w:val="00575D01"/>
    <w:rsid w:val="00576026"/>
    <w:rsid w:val="00576118"/>
    <w:rsid w:val="00577E92"/>
    <w:rsid w:val="00580669"/>
    <w:rsid w:val="00580A6B"/>
    <w:rsid w:val="00582C37"/>
    <w:rsid w:val="005831E6"/>
    <w:rsid w:val="00585CC0"/>
    <w:rsid w:val="00585EDC"/>
    <w:rsid w:val="00587030"/>
    <w:rsid w:val="0059106D"/>
    <w:rsid w:val="0059173F"/>
    <w:rsid w:val="00592094"/>
    <w:rsid w:val="00592DBD"/>
    <w:rsid w:val="005935F2"/>
    <w:rsid w:val="005938C0"/>
    <w:rsid w:val="005941EC"/>
    <w:rsid w:val="00594378"/>
    <w:rsid w:val="00594950"/>
    <w:rsid w:val="00595B87"/>
    <w:rsid w:val="00596726"/>
    <w:rsid w:val="0059689F"/>
    <w:rsid w:val="00597172"/>
    <w:rsid w:val="00597D48"/>
    <w:rsid w:val="005A257A"/>
    <w:rsid w:val="005A25E6"/>
    <w:rsid w:val="005A2684"/>
    <w:rsid w:val="005A4D84"/>
    <w:rsid w:val="005A5535"/>
    <w:rsid w:val="005A5E28"/>
    <w:rsid w:val="005A6A3F"/>
    <w:rsid w:val="005A7E71"/>
    <w:rsid w:val="005B32F6"/>
    <w:rsid w:val="005B3834"/>
    <w:rsid w:val="005B4E50"/>
    <w:rsid w:val="005B7CE8"/>
    <w:rsid w:val="005C188F"/>
    <w:rsid w:val="005C2080"/>
    <w:rsid w:val="005C2D12"/>
    <w:rsid w:val="005C3AD5"/>
    <w:rsid w:val="005C4CAB"/>
    <w:rsid w:val="005C5147"/>
    <w:rsid w:val="005C5855"/>
    <w:rsid w:val="005C58D3"/>
    <w:rsid w:val="005C5B42"/>
    <w:rsid w:val="005C5D41"/>
    <w:rsid w:val="005C66DE"/>
    <w:rsid w:val="005C7129"/>
    <w:rsid w:val="005C73B1"/>
    <w:rsid w:val="005C7D0F"/>
    <w:rsid w:val="005D05F5"/>
    <w:rsid w:val="005D09CF"/>
    <w:rsid w:val="005D0EAA"/>
    <w:rsid w:val="005D38DF"/>
    <w:rsid w:val="005D51F0"/>
    <w:rsid w:val="005D5480"/>
    <w:rsid w:val="005D5503"/>
    <w:rsid w:val="005D6849"/>
    <w:rsid w:val="005D6D78"/>
    <w:rsid w:val="005D7071"/>
    <w:rsid w:val="005D7427"/>
    <w:rsid w:val="005D7E61"/>
    <w:rsid w:val="005E0F87"/>
    <w:rsid w:val="005E0FED"/>
    <w:rsid w:val="005E155E"/>
    <w:rsid w:val="005E22F5"/>
    <w:rsid w:val="005E2A4C"/>
    <w:rsid w:val="005E478D"/>
    <w:rsid w:val="005E4B72"/>
    <w:rsid w:val="005E585F"/>
    <w:rsid w:val="005E58AC"/>
    <w:rsid w:val="005E5D87"/>
    <w:rsid w:val="005E6891"/>
    <w:rsid w:val="005E6C9F"/>
    <w:rsid w:val="005E716E"/>
    <w:rsid w:val="005E77D3"/>
    <w:rsid w:val="005E78D5"/>
    <w:rsid w:val="005F0761"/>
    <w:rsid w:val="005F126F"/>
    <w:rsid w:val="005F14C3"/>
    <w:rsid w:val="005F25CC"/>
    <w:rsid w:val="005F26AD"/>
    <w:rsid w:val="005F2D74"/>
    <w:rsid w:val="005F41A1"/>
    <w:rsid w:val="005F4346"/>
    <w:rsid w:val="005F4E22"/>
    <w:rsid w:val="005F5211"/>
    <w:rsid w:val="005F563F"/>
    <w:rsid w:val="005F57BD"/>
    <w:rsid w:val="005F5FEC"/>
    <w:rsid w:val="005F685A"/>
    <w:rsid w:val="005F7D54"/>
    <w:rsid w:val="00600F65"/>
    <w:rsid w:val="006010D3"/>
    <w:rsid w:val="006035AD"/>
    <w:rsid w:val="00603715"/>
    <w:rsid w:val="00603FF4"/>
    <w:rsid w:val="0060428C"/>
    <w:rsid w:val="006056DB"/>
    <w:rsid w:val="00607A2C"/>
    <w:rsid w:val="006102AE"/>
    <w:rsid w:val="00610FA4"/>
    <w:rsid w:val="00611D72"/>
    <w:rsid w:val="00612DD4"/>
    <w:rsid w:val="0061563E"/>
    <w:rsid w:val="00616C83"/>
    <w:rsid w:val="00617303"/>
    <w:rsid w:val="0062217F"/>
    <w:rsid w:val="0062296D"/>
    <w:rsid w:val="006229F8"/>
    <w:rsid w:val="00622A02"/>
    <w:rsid w:val="00622EDD"/>
    <w:rsid w:val="006239FD"/>
    <w:rsid w:val="0062527D"/>
    <w:rsid w:val="00625957"/>
    <w:rsid w:val="00626140"/>
    <w:rsid w:val="00627328"/>
    <w:rsid w:val="006301E1"/>
    <w:rsid w:val="00631BD7"/>
    <w:rsid w:val="006324F0"/>
    <w:rsid w:val="00632A82"/>
    <w:rsid w:val="00633BCD"/>
    <w:rsid w:val="00635B28"/>
    <w:rsid w:val="00635FF6"/>
    <w:rsid w:val="006360BD"/>
    <w:rsid w:val="0063745F"/>
    <w:rsid w:val="00644086"/>
    <w:rsid w:val="00645B8C"/>
    <w:rsid w:val="00646FF3"/>
    <w:rsid w:val="0064705B"/>
    <w:rsid w:val="00647554"/>
    <w:rsid w:val="00647DA8"/>
    <w:rsid w:val="00650CA8"/>
    <w:rsid w:val="00652C60"/>
    <w:rsid w:val="006539C7"/>
    <w:rsid w:val="006548F8"/>
    <w:rsid w:val="00654F09"/>
    <w:rsid w:val="00655123"/>
    <w:rsid w:val="00655B82"/>
    <w:rsid w:val="006568C7"/>
    <w:rsid w:val="00660CC7"/>
    <w:rsid w:val="0066253D"/>
    <w:rsid w:val="00664606"/>
    <w:rsid w:val="00665164"/>
    <w:rsid w:val="0066574A"/>
    <w:rsid w:val="00665C83"/>
    <w:rsid w:val="00666881"/>
    <w:rsid w:val="00667259"/>
    <w:rsid w:val="00670A07"/>
    <w:rsid w:val="00670E74"/>
    <w:rsid w:val="0067122A"/>
    <w:rsid w:val="00671EEB"/>
    <w:rsid w:val="0067462D"/>
    <w:rsid w:val="006754C2"/>
    <w:rsid w:val="00675AA5"/>
    <w:rsid w:val="00676651"/>
    <w:rsid w:val="006808BA"/>
    <w:rsid w:val="00680AA2"/>
    <w:rsid w:val="0068166A"/>
    <w:rsid w:val="006827E8"/>
    <w:rsid w:val="00683548"/>
    <w:rsid w:val="006835EC"/>
    <w:rsid w:val="006836EC"/>
    <w:rsid w:val="00683B22"/>
    <w:rsid w:val="00683EF9"/>
    <w:rsid w:val="006849B7"/>
    <w:rsid w:val="00684F6E"/>
    <w:rsid w:val="00686696"/>
    <w:rsid w:val="00687217"/>
    <w:rsid w:val="006875CB"/>
    <w:rsid w:val="00690AE9"/>
    <w:rsid w:val="00691D29"/>
    <w:rsid w:val="00693663"/>
    <w:rsid w:val="006958D3"/>
    <w:rsid w:val="006958F7"/>
    <w:rsid w:val="00696B93"/>
    <w:rsid w:val="00697ADE"/>
    <w:rsid w:val="006A1308"/>
    <w:rsid w:val="006A135D"/>
    <w:rsid w:val="006A194F"/>
    <w:rsid w:val="006A2370"/>
    <w:rsid w:val="006A28B9"/>
    <w:rsid w:val="006A2946"/>
    <w:rsid w:val="006A47E1"/>
    <w:rsid w:val="006A55F5"/>
    <w:rsid w:val="006B01F4"/>
    <w:rsid w:val="006B0B12"/>
    <w:rsid w:val="006B1817"/>
    <w:rsid w:val="006B30E3"/>
    <w:rsid w:val="006B346F"/>
    <w:rsid w:val="006B4CB4"/>
    <w:rsid w:val="006B5D70"/>
    <w:rsid w:val="006B6E4D"/>
    <w:rsid w:val="006B6F45"/>
    <w:rsid w:val="006C046B"/>
    <w:rsid w:val="006C0BE6"/>
    <w:rsid w:val="006C0F0C"/>
    <w:rsid w:val="006C227C"/>
    <w:rsid w:val="006C2864"/>
    <w:rsid w:val="006C2FCC"/>
    <w:rsid w:val="006C386B"/>
    <w:rsid w:val="006C3C2A"/>
    <w:rsid w:val="006C5287"/>
    <w:rsid w:val="006C7F45"/>
    <w:rsid w:val="006D119D"/>
    <w:rsid w:val="006D14DA"/>
    <w:rsid w:val="006D1D0F"/>
    <w:rsid w:val="006D24F3"/>
    <w:rsid w:val="006D425A"/>
    <w:rsid w:val="006D457A"/>
    <w:rsid w:val="006D4720"/>
    <w:rsid w:val="006D50C2"/>
    <w:rsid w:val="006D695F"/>
    <w:rsid w:val="006D7565"/>
    <w:rsid w:val="006E0D2C"/>
    <w:rsid w:val="006E10E3"/>
    <w:rsid w:val="006E19AB"/>
    <w:rsid w:val="006E1B00"/>
    <w:rsid w:val="006E2478"/>
    <w:rsid w:val="006E2803"/>
    <w:rsid w:val="006E3A68"/>
    <w:rsid w:val="006E3D11"/>
    <w:rsid w:val="006E5AB7"/>
    <w:rsid w:val="006E7A40"/>
    <w:rsid w:val="006F131E"/>
    <w:rsid w:val="006F3592"/>
    <w:rsid w:val="006F3680"/>
    <w:rsid w:val="006F37FF"/>
    <w:rsid w:val="006F3E1C"/>
    <w:rsid w:val="006F4202"/>
    <w:rsid w:val="006F4574"/>
    <w:rsid w:val="006F46E5"/>
    <w:rsid w:val="006F498F"/>
    <w:rsid w:val="006F74F6"/>
    <w:rsid w:val="006F76BA"/>
    <w:rsid w:val="006F7FC9"/>
    <w:rsid w:val="007004F0"/>
    <w:rsid w:val="00702439"/>
    <w:rsid w:val="00703B5C"/>
    <w:rsid w:val="00704828"/>
    <w:rsid w:val="00705436"/>
    <w:rsid w:val="00706070"/>
    <w:rsid w:val="00706E2D"/>
    <w:rsid w:val="00706EDC"/>
    <w:rsid w:val="00707625"/>
    <w:rsid w:val="00707F8F"/>
    <w:rsid w:val="00710D99"/>
    <w:rsid w:val="0071147E"/>
    <w:rsid w:val="00712FE1"/>
    <w:rsid w:val="0071490E"/>
    <w:rsid w:val="00714D2E"/>
    <w:rsid w:val="00714FAF"/>
    <w:rsid w:val="00715B6E"/>
    <w:rsid w:val="007162A3"/>
    <w:rsid w:val="007164CB"/>
    <w:rsid w:val="00717789"/>
    <w:rsid w:val="00717DCD"/>
    <w:rsid w:val="00720A27"/>
    <w:rsid w:val="00720DCB"/>
    <w:rsid w:val="00721871"/>
    <w:rsid w:val="00721E93"/>
    <w:rsid w:val="00722DE6"/>
    <w:rsid w:val="00723BB2"/>
    <w:rsid w:val="00724F67"/>
    <w:rsid w:val="00726677"/>
    <w:rsid w:val="00726F1F"/>
    <w:rsid w:val="00730335"/>
    <w:rsid w:val="00730377"/>
    <w:rsid w:val="007307B1"/>
    <w:rsid w:val="00731A53"/>
    <w:rsid w:val="00732B62"/>
    <w:rsid w:val="00733238"/>
    <w:rsid w:val="0073352A"/>
    <w:rsid w:val="0073412F"/>
    <w:rsid w:val="007346D1"/>
    <w:rsid w:val="00734984"/>
    <w:rsid w:val="00735714"/>
    <w:rsid w:val="00737E08"/>
    <w:rsid w:val="00737F7D"/>
    <w:rsid w:val="00740373"/>
    <w:rsid w:val="00743532"/>
    <w:rsid w:val="007436B0"/>
    <w:rsid w:val="0074428E"/>
    <w:rsid w:val="007452D8"/>
    <w:rsid w:val="00747C0A"/>
    <w:rsid w:val="007500FD"/>
    <w:rsid w:val="00751507"/>
    <w:rsid w:val="00753410"/>
    <w:rsid w:val="00755E95"/>
    <w:rsid w:val="007570AC"/>
    <w:rsid w:val="007616EC"/>
    <w:rsid w:val="007620CA"/>
    <w:rsid w:val="0076218A"/>
    <w:rsid w:val="00762E16"/>
    <w:rsid w:val="00765945"/>
    <w:rsid w:val="00765B1A"/>
    <w:rsid w:val="00766CE1"/>
    <w:rsid w:val="0076759D"/>
    <w:rsid w:val="00767A27"/>
    <w:rsid w:val="0077071D"/>
    <w:rsid w:val="00771499"/>
    <w:rsid w:val="00773366"/>
    <w:rsid w:val="007739FF"/>
    <w:rsid w:val="0077780A"/>
    <w:rsid w:val="007808FD"/>
    <w:rsid w:val="00781357"/>
    <w:rsid w:val="00781421"/>
    <w:rsid w:val="00781651"/>
    <w:rsid w:val="00782C81"/>
    <w:rsid w:val="007830F1"/>
    <w:rsid w:val="007854C5"/>
    <w:rsid w:val="007859AB"/>
    <w:rsid w:val="0078672C"/>
    <w:rsid w:val="00787030"/>
    <w:rsid w:val="007874C4"/>
    <w:rsid w:val="007878A2"/>
    <w:rsid w:val="00787D02"/>
    <w:rsid w:val="00792C4A"/>
    <w:rsid w:val="00793E24"/>
    <w:rsid w:val="00794808"/>
    <w:rsid w:val="00795464"/>
    <w:rsid w:val="00795D15"/>
    <w:rsid w:val="00797E26"/>
    <w:rsid w:val="007A0B10"/>
    <w:rsid w:val="007A0EF2"/>
    <w:rsid w:val="007A17EB"/>
    <w:rsid w:val="007A1DBA"/>
    <w:rsid w:val="007A1E51"/>
    <w:rsid w:val="007A25B1"/>
    <w:rsid w:val="007A25B6"/>
    <w:rsid w:val="007A2A4C"/>
    <w:rsid w:val="007A313C"/>
    <w:rsid w:val="007A36A8"/>
    <w:rsid w:val="007A39F6"/>
    <w:rsid w:val="007A43DA"/>
    <w:rsid w:val="007A4745"/>
    <w:rsid w:val="007A53E1"/>
    <w:rsid w:val="007A6CE7"/>
    <w:rsid w:val="007A7876"/>
    <w:rsid w:val="007A7CF4"/>
    <w:rsid w:val="007A7FB8"/>
    <w:rsid w:val="007A7FEA"/>
    <w:rsid w:val="007B068C"/>
    <w:rsid w:val="007B2A15"/>
    <w:rsid w:val="007B30DC"/>
    <w:rsid w:val="007B501E"/>
    <w:rsid w:val="007B553A"/>
    <w:rsid w:val="007B591C"/>
    <w:rsid w:val="007C08C1"/>
    <w:rsid w:val="007C0C8B"/>
    <w:rsid w:val="007C0D2B"/>
    <w:rsid w:val="007C0E2E"/>
    <w:rsid w:val="007C1A51"/>
    <w:rsid w:val="007C2455"/>
    <w:rsid w:val="007C32CD"/>
    <w:rsid w:val="007C43E5"/>
    <w:rsid w:val="007C473C"/>
    <w:rsid w:val="007C477A"/>
    <w:rsid w:val="007C5663"/>
    <w:rsid w:val="007C6BF1"/>
    <w:rsid w:val="007C6ECE"/>
    <w:rsid w:val="007C6FD5"/>
    <w:rsid w:val="007D1306"/>
    <w:rsid w:val="007D19F6"/>
    <w:rsid w:val="007D2835"/>
    <w:rsid w:val="007D2DA1"/>
    <w:rsid w:val="007D4F47"/>
    <w:rsid w:val="007D5BEF"/>
    <w:rsid w:val="007D7231"/>
    <w:rsid w:val="007D7954"/>
    <w:rsid w:val="007E13FC"/>
    <w:rsid w:val="007E2859"/>
    <w:rsid w:val="007E3508"/>
    <w:rsid w:val="007E4D21"/>
    <w:rsid w:val="007E6673"/>
    <w:rsid w:val="007E68C1"/>
    <w:rsid w:val="007E7FCA"/>
    <w:rsid w:val="007F0AC1"/>
    <w:rsid w:val="007F0D30"/>
    <w:rsid w:val="007F1347"/>
    <w:rsid w:val="007F3988"/>
    <w:rsid w:val="007F4C1C"/>
    <w:rsid w:val="007F4D10"/>
    <w:rsid w:val="007F4E7F"/>
    <w:rsid w:val="00800916"/>
    <w:rsid w:val="0080121E"/>
    <w:rsid w:val="00805466"/>
    <w:rsid w:val="00806078"/>
    <w:rsid w:val="008068DC"/>
    <w:rsid w:val="00814428"/>
    <w:rsid w:val="00814922"/>
    <w:rsid w:val="00815315"/>
    <w:rsid w:val="008179DC"/>
    <w:rsid w:val="0082143C"/>
    <w:rsid w:val="00821C7F"/>
    <w:rsid w:val="00822599"/>
    <w:rsid w:val="008238A7"/>
    <w:rsid w:val="00827B02"/>
    <w:rsid w:val="0083208A"/>
    <w:rsid w:val="00832957"/>
    <w:rsid w:val="00834A7A"/>
    <w:rsid w:val="00834C30"/>
    <w:rsid w:val="00836DA6"/>
    <w:rsid w:val="00836E90"/>
    <w:rsid w:val="00837C30"/>
    <w:rsid w:val="00843194"/>
    <w:rsid w:val="00843FB6"/>
    <w:rsid w:val="00844E21"/>
    <w:rsid w:val="00845248"/>
    <w:rsid w:val="00846D4A"/>
    <w:rsid w:val="0084725A"/>
    <w:rsid w:val="00847377"/>
    <w:rsid w:val="00851626"/>
    <w:rsid w:val="008516DA"/>
    <w:rsid w:val="008524B9"/>
    <w:rsid w:val="00853A5E"/>
    <w:rsid w:val="00853F6B"/>
    <w:rsid w:val="00855D27"/>
    <w:rsid w:val="0085688F"/>
    <w:rsid w:val="00857249"/>
    <w:rsid w:val="0086167D"/>
    <w:rsid w:val="008618B1"/>
    <w:rsid w:val="008637ED"/>
    <w:rsid w:val="0086512A"/>
    <w:rsid w:val="008658D6"/>
    <w:rsid w:val="00866316"/>
    <w:rsid w:val="0086644E"/>
    <w:rsid w:val="00867B75"/>
    <w:rsid w:val="00872060"/>
    <w:rsid w:val="008720CF"/>
    <w:rsid w:val="0087286E"/>
    <w:rsid w:val="008740D5"/>
    <w:rsid w:val="008759F1"/>
    <w:rsid w:val="00875CA2"/>
    <w:rsid w:val="00875E2E"/>
    <w:rsid w:val="0087619E"/>
    <w:rsid w:val="00880D7A"/>
    <w:rsid w:val="0088115B"/>
    <w:rsid w:val="00881711"/>
    <w:rsid w:val="00881DBF"/>
    <w:rsid w:val="0088260D"/>
    <w:rsid w:val="00882E9A"/>
    <w:rsid w:val="00883BC6"/>
    <w:rsid w:val="00884969"/>
    <w:rsid w:val="00885F48"/>
    <w:rsid w:val="00886651"/>
    <w:rsid w:val="008873B1"/>
    <w:rsid w:val="00890948"/>
    <w:rsid w:val="0089097C"/>
    <w:rsid w:val="008917D2"/>
    <w:rsid w:val="00892015"/>
    <w:rsid w:val="00894E56"/>
    <w:rsid w:val="00895108"/>
    <w:rsid w:val="008966CC"/>
    <w:rsid w:val="008966E7"/>
    <w:rsid w:val="00896DBB"/>
    <w:rsid w:val="00897108"/>
    <w:rsid w:val="008973EA"/>
    <w:rsid w:val="008976F7"/>
    <w:rsid w:val="008A09B3"/>
    <w:rsid w:val="008A0CEA"/>
    <w:rsid w:val="008A17C9"/>
    <w:rsid w:val="008A2025"/>
    <w:rsid w:val="008A40E5"/>
    <w:rsid w:val="008A4813"/>
    <w:rsid w:val="008A6B23"/>
    <w:rsid w:val="008A71F4"/>
    <w:rsid w:val="008B06D7"/>
    <w:rsid w:val="008B093B"/>
    <w:rsid w:val="008B1649"/>
    <w:rsid w:val="008B1DBC"/>
    <w:rsid w:val="008B2A91"/>
    <w:rsid w:val="008B2B7C"/>
    <w:rsid w:val="008B3A97"/>
    <w:rsid w:val="008B4B5B"/>
    <w:rsid w:val="008B5C91"/>
    <w:rsid w:val="008B694F"/>
    <w:rsid w:val="008C00A3"/>
    <w:rsid w:val="008C1E20"/>
    <w:rsid w:val="008C3425"/>
    <w:rsid w:val="008C5134"/>
    <w:rsid w:val="008C5C3A"/>
    <w:rsid w:val="008C5D33"/>
    <w:rsid w:val="008C69CF"/>
    <w:rsid w:val="008C6D07"/>
    <w:rsid w:val="008D00B4"/>
    <w:rsid w:val="008D068D"/>
    <w:rsid w:val="008D099C"/>
    <w:rsid w:val="008D0D29"/>
    <w:rsid w:val="008D10ED"/>
    <w:rsid w:val="008D169A"/>
    <w:rsid w:val="008D1DE2"/>
    <w:rsid w:val="008D23DF"/>
    <w:rsid w:val="008D3319"/>
    <w:rsid w:val="008D3BFE"/>
    <w:rsid w:val="008D4270"/>
    <w:rsid w:val="008D48E4"/>
    <w:rsid w:val="008D6314"/>
    <w:rsid w:val="008D6EBF"/>
    <w:rsid w:val="008D7505"/>
    <w:rsid w:val="008E0030"/>
    <w:rsid w:val="008E1EA2"/>
    <w:rsid w:val="008E41D2"/>
    <w:rsid w:val="008E46C0"/>
    <w:rsid w:val="008E4CD2"/>
    <w:rsid w:val="008E50F2"/>
    <w:rsid w:val="008E5CA5"/>
    <w:rsid w:val="008E63E4"/>
    <w:rsid w:val="008E712A"/>
    <w:rsid w:val="008E7BA5"/>
    <w:rsid w:val="008F01A0"/>
    <w:rsid w:val="008F24A1"/>
    <w:rsid w:val="008F2802"/>
    <w:rsid w:val="008F2BE6"/>
    <w:rsid w:val="008F2D2B"/>
    <w:rsid w:val="008F2FFC"/>
    <w:rsid w:val="008F4685"/>
    <w:rsid w:val="008F658D"/>
    <w:rsid w:val="008F6E06"/>
    <w:rsid w:val="008F7C3F"/>
    <w:rsid w:val="00900496"/>
    <w:rsid w:val="00900D38"/>
    <w:rsid w:val="00900DFD"/>
    <w:rsid w:val="00901321"/>
    <w:rsid w:val="00901830"/>
    <w:rsid w:val="009028F4"/>
    <w:rsid w:val="00902DA0"/>
    <w:rsid w:val="00903232"/>
    <w:rsid w:val="00904769"/>
    <w:rsid w:val="00904C10"/>
    <w:rsid w:val="00904EF8"/>
    <w:rsid w:val="00906EE4"/>
    <w:rsid w:val="00907FE6"/>
    <w:rsid w:val="009101AE"/>
    <w:rsid w:val="00910613"/>
    <w:rsid w:val="00910AB7"/>
    <w:rsid w:val="00910FD5"/>
    <w:rsid w:val="009115A6"/>
    <w:rsid w:val="0091232A"/>
    <w:rsid w:val="00913D04"/>
    <w:rsid w:val="009142DE"/>
    <w:rsid w:val="0091441B"/>
    <w:rsid w:val="00915A60"/>
    <w:rsid w:val="00915ACF"/>
    <w:rsid w:val="00915DAE"/>
    <w:rsid w:val="0091733B"/>
    <w:rsid w:val="00920B1A"/>
    <w:rsid w:val="009237DB"/>
    <w:rsid w:val="00925FF1"/>
    <w:rsid w:val="009269B3"/>
    <w:rsid w:val="009269D3"/>
    <w:rsid w:val="009302DB"/>
    <w:rsid w:val="00931DFA"/>
    <w:rsid w:val="00932D94"/>
    <w:rsid w:val="0093337B"/>
    <w:rsid w:val="00937049"/>
    <w:rsid w:val="009411A1"/>
    <w:rsid w:val="00941E2F"/>
    <w:rsid w:val="00943583"/>
    <w:rsid w:val="00944421"/>
    <w:rsid w:val="0094594F"/>
    <w:rsid w:val="00945DF3"/>
    <w:rsid w:val="00950683"/>
    <w:rsid w:val="00951579"/>
    <w:rsid w:val="009517BC"/>
    <w:rsid w:val="009517E5"/>
    <w:rsid w:val="00952D50"/>
    <w:rsid w:val="00952DF4"/>
    <w:rsid w:val="00952F59"/>
    <w:rsid w:val="0095366F"/>
    <w:rsid w:val="009537F8"/>
    <w:rsid w:val="0095381D"/>
    <w:rsid w:val="00953EC3"/>
    <w:rsid w:val="00954EA7"/>
    <w:rsid w:val="00954FCA"/>
    <w:rsid w:val="00955C88"/>
    <w:rsid w:val="00956728"/>
    <w:rsid w:val="00956F6C"/>
    <w:rsid w:val="009571A4"/>
    <w:rsid w:val="009579EA"/>
    <w:rsid w:val="009600E2"/>
    <w:rsid w:val="0096101B"/>
    <w:rsid w:val="009617CD"/>
    <w:rsid w:val="00962739"/>
    <w:rsid w:val="00962990"/>
    <w:rsid w:val="00963294"/>
    <w:rsid w:val="009643D3"/>
    <w:rsid w:val="00965237"/>
    <w:rsid w:val="0096631C"/>
    <w:rsid w:val="009665A8"/>
    <w:rsid w:val="00967DA3"/>
    <w:rsid w:val="00971CA0"/>
    <w:rsid w:val="00971E66"/>
    <w:rsid w:val="009729DD"/>
    <w:rsid w:val="00973613"/>
    <w:rsid w:val="00973825"/>
    <w:rsid w:val="00973986"/>
    <w:rsid w:val="00973FA4"/>
    <w:rsid w:val="00977A82"/>
    <w:rsid w:val="009801AB"/>
    <w:rsid w:val="00981AF1"/>
    <w:rsid w:val="00983590"/>
    <w:rsid w:val="0098376A"/>
    <w:rsid w:val="0098392E"/>
    <w:rsid w:val="00985566"/>
    <w:rsid w:val="0098728A"/>
    <w:rsid w:val="00987FD0"/>
    <w:rsid w:val="00990885"/>
    <w:rsid w:val="00995561"/>
    <w:rsid w:val="00996045"/>
    <w:rsid w:val="00996755"/>
    <w:rsid w:val="009A12F3"/>
    <w:rsid w:val="009A1518"/>
    <w:rsid w:val="009A1C56"/>
    <w:rsid w:val="009A1DC7"/>
    <w:rsid w:val="009A1E39"/>
    <w:rsid w:val="009A23B5"/>
    <w:rsid w:val="009A4F44"/>
    <w:rsid w:val="009A5C2C"/>
    <w:rsid w:val="009A67F8"/>
    <w:rsid w:val="009A758A"/>
    <w:rsid w:val="009B1052"/>
    <w:rsid w:val="009B251E"/>
    <w:rsid w:val="009B391F"/>
    <w:rsid w:val="009B48CC"/>
    <w:rsid w:val="009B4D74"/>
    <w:rsid w:val="009B4FA2"/>
    <w:rsid w:val="009B510E"/>
    <w:rsid w:val="009B5BD0"/>
    <w:rsid w:val="009B621A"/>
    <w:rsid w:val="009B62D0"/>
    <w:rsid w:val="009C0010"/>
    <w:rsid w:val="009C0527"/>
    <w:rsid w:val="009C1458"/>
    <w:rsid w:val="009C1584"/>
    <w:rsid w:val="009C18B1"/>
    <w:rsid w:val="009C31CF"/>
    <w:rsid w:val="009C35B6"/>
    <w:rsid w:val="009C4B6A"/>
    <w:rsid w:val="009C5148"/>
    <w:rsid w:val="009C5316"/>
    <w:rsid w:val="009C603B"/>
    <w:rsid w:val="009C604E"/>
    <w:rsid w:val="009C6055"/>
    <w:rsid w:val="009C7947"/>
    <w:rsid w:val="009D00B0"/>
    <w:rsid w:val="009D2932"/>
    <w:rsid w:val="009D2C82"/>
    <w:rsid w:val="009D3E8B"/>
    <w:rsid w:val="009D56F0"/>
    <w:rsid w:val="009D5C97"/>
    <w:rsid w:val="009D5DA0"/>
    <w:rsid w:val="009D62EA"/>
    <w:rsid w:val="009D676E"/>
    <w:rsid w:val="009D78A6"/>
    <w:rsid w:val="009E1FB1"/>
    <w:rsid w:val="009E1FD7"/>
    <w:rsid w:val="009E3F5D"/>
    <w:rsid w:val="009E468E"/>
    <w:rsid w:val="009E4CAA"/>
    <w:rsid w:val="009E52A0"/>
    <w:rsid w:val="009E5AD8"/>
    <w:rsid w:val="009E5AE4"/>
    <w:rsid w:val="009E6111"/>
    <w:rsid w:val="009E695C"/>
    <w:rsid w:val="009E716F"/>
    <w:rsid w:val="009F05A8"/>
    <w:rsid w:val="009F06D1"/>
    <w:rsid w:val="009F1257"/>
    <w:rsid w:val="009F12F3"/>
    <w:rsid w:val="009F26CB"/>
    <w:rsid w:val="009F27B1"/>
    <w:rsid w:val="009F2DD6"/>
    <w:rsid w:val="009F38F6"/>
    <w:rsid w:val="009F38FA"/>
    <w:rsid w:val="009F5872"/>
    <w:rsid w:val="009F7BA1"/>
    <w:rsid w:val="00A007B6"/>
    <w:rsid w:val="00A00D3E"/>
    <w:rsid w:val="00A0270E"/>
    <w:rsid w:val="00A03186"/>
    <w:rsid w:val="00A03C73"/>
    <w:rsid w:val="00A0467C"/>
    <w:rsid w:val="00A04896"/>
    <w:rsid w:val="00A057F8"/>
    <w:rsid w:val="00A05C6E"/>
    <w:rsid w:val="00A05F8B"/>
    <w:rsid w:val="00A07644"/>
    <w:rsid w:val="00A1041B"/>
    <w:rsid w:val="00A114B5"/>
    <w:rsid w:val="00A1174E"/>
    <w:rsid w:val="00A1201A"/>
    <w:rsid w:val="00A12644"/>
    <w:rsid w:val="00A13C9F"/>
    <w:rsid w:val="00A14019"/>
    <w:rsid w:val="00A14C06"/>
    <w:rsid w:val="00A21150"/>
    <w:rsid w:val="00A214DB"/>
    <w:rsid w:val="00A22309"/>
    <w:rsid w:val="00A22AED"/>
    <w:rsid w:val="00A22AFB"/>
    <w:rsid w:val="00A24859"/>
    <w:rsid w:val="00A24872"/>
    <w:rsid w:val="00A24C98"/>
    <w:rsid w:val="00A24E5A"/>
    <w:rsid w:val="00A25285"/>
    <w:rsid w:val="00A31C82"/>
    <w:rsid w:val="00A3223C"/>
    <w:rsid w:val="00A32F6C"/>
    <w:rsid w:val="00A367F7"/>
    <w:rsid w:val="00A41D5A"/>
    <w:rsid w:val="00A42E23"/>
    <w:rsid w:val="00A4391C"/>
    <w:rsid w:val="00A43F0E"/>
    <w:rsid w:val="00A44B54"/>
    <w:rsid w:val="00A45570"/>
    <w:rsid w:val="00A46CDC"/>
    <w:rsid w:val="00A46FC2"/>
    <w:rsid w:val="00A512AE"/>
    <w:rsid w:val="00A5150B"/>
    <w:rsid w:val="00A515B4"/>
    <w:rsid w:val="00A51DD7"/>
    <w:rsid w:val="00A529A0"/>
    <w:rsid w:val="00A52DEB"/>
    <w:rsid w:val="00A536D9"/>
    <w:rsid w:val="00A5429B"/>
    <w:rsid w:val="00A548E2"/>
    <w:rsid w:val="00A55066"/>
    <w:rsid w:val="00A55E10"/>
    <w:rsid w:val="00A5678B"/>
    <w:rsid w:val="00A575FE"/>
    <w:rsid w:val="00A602AD"/>
    <w:rsid w:val="00A62757"/>
    <w:rsid w:val="00A62E03"/>
    <w:rsid w:val="00A63860"/>
    <w:rsid w:val="00A64BC4"/>
    <w:rsid w:val="00A6576D"/>
    <w:rsid w:val="00A71194"/>
    <w:rsid w:val="00A7178C"/>
    <w:rsid w:val="00A723E7"/>
    <w:rsid w:val="00A729BB"/>
    <w:rsid w:val="00A72B06"/>
    <w:rsid w:val="00A751ED"/>
    <w:rsid w:val="00A75BAC"/>
    <w:rsid w:val="00A76FF1"/>
    <w:rsid w:val="00A7720C"/>
    <w:rsid w:val="00A777FC"/>
    <w:rsid w:val="00A77B7B"/>
    <w:rsid w:val="00A80588"/>
    <w:rsid w:val="00A80C15"/>
    <w:rsid w:val="00A80F8C"/>
    <w:rsid w:val="00A811CE"/>
    <w:rsid w:val="00A812FC"/>
    <w:rsid w:val="00A816FA"/>
    <w:rsid w:val="00A81B9C"/>
    <w:rsid w:val="00A8271E"/>
    <w:rsid w:val="00A82BB3"/>
    <w:rsid w:val="00A831B2"/>
    <w:rsid w:val="00A83486"/>
    <w:rsid w:val="00A83F48"/>
    <w:rsid w:val="00A84B2F"/>
    <w:rsid w:val="00A84C6D"/>
    <w:rsid w:val="00A84CC2"/>
    <w:rsid w:val="00A86176"/>
    <w:rsid w:val="00A8748B"/>
    <w:rsid w:val="00A87D02"/>
    <w:rsid w:val="00A87D4A"/>
    <w:rsid w:val="00A907DE"/>
    <w:rsid w:val="00A91021"/>
    <w:rsid w:val="00A91828"/>
    <w:rsid w:val="00A91D5F"/>
    <w:rsid w:val="00A92A1A"/>
    <w:rsid w:val="00A93FFA"/>
    <w:rsid w:val="00A966D3"/>
    <w:rsid w:val="00A96F85"/>
    <w:rsid w:val="00A97E3A"/>
    <w:rsid w:val="00AA12C5"/>
    <w:rsid w:val="00AA48B3"/>
    <w:rsid w:val="00AA4949"/>
    <w:rsid w:val="00AA6B76"/>
    <w:rsid w:val="00AA6DF1"/>
    <w:rsid w:val="00AA7F4E"/>
    <w:rsid w:val="00AB2450"/>
    <w:rsid w:val="00AB3253"/>
    <w:rsid w:val="00AB42F8"/>
    <w:rsid w:val="00AB4450"/>
    <w:rsid w:val="00AB5D01"/>
    <w:rsid w:val="00AB5F48"/>
    <w:rsid w:val="00AB7D9A"/>
    <w:rsid w:val="00AC0DD6"/>
    <w:rsid w:val="00AC10E5"/>
    <w:rsid w:val="00AC1ECB"/>
    <w:rsid w:val="00AC246A"/>
    <w:rsid w:val="00AC311C"/>
    <w:rsid w:val="00AC4236"/>
    <w:rsid w:val="00AC5333"/>
    <w:rsid w:val="00AC5D0A"/>
    <w:rsid w:val="00AC604E"/>
    <w:rsid w:val="00AC60C4"/>
    <w:rsid w:val="00AC6358"/>
    <w:rsid w:val="00AC75AF"/>
    <w:rsid w:val="00AC7CF9"/>
    <w:rsid w:val="00AD19D7"/>
    <w:rsid w:val="00AD1EB2"/>
    <w:rsid w:val="00AD4245"/>
    <w:rsid w:val="00AD47D8"/>
    <w:rsid w:val="00AD4867"/>
    <w:rsid w:val="00AD5ED7"/>
    <w:rsid w:val="00AD73B3"/>
    <w:rsid w:val="00AE075A"/>
    <w:rsid w:val="00AE3C80"/>
    <w:rsid w:val="00AE457A"/>
    <w:rsid w:val="00AE45E4"/>
    <w:rsid w:val="00AE6342"/>
    <w:rsid w:val="00AE67F4"/>
    <w:rsid w:val="00AE7023"/>
    <w:rsid w:val="00AF2550"/>
    <w:rsid w:val="00AF2AC8"/>
    <w:rsid w:val="00AF3050"/>
    <w:rsid w:val="00AF4BB8"/>
    <w:rsid w:val="00AF4D50"/>
    <w:rsid w:val="00AF5691"/>
    <w:rsid w:val="00AF61EF"/>
    <w:rsid w:val="00AF6846"/>
    <w:rsid w:val="00AF690C"/>
    <w:rsid w:val="00AF6BD0"/>
    <w:rsid w:val="00B00CB3"/>
    <w:rsid w:val="00B01790"/>
    <w:rsid w:val="00B01888"/>
    <w:rsid w:val="00B01B0B"/>
    <w:rsid w:val="00B024C7"/>
    <w:rsid w:val="00B03044"/>
    <w:rsid w:val="00B03279"/>
    <w:rsid w:val="00B0403E"/>
    <w:rsid w:val="00B057AA"/>
    <w:rsid w:val="00B06600"/>
    <w:rsid w:val="00B10552"/>
    <w:rsid w:val="00B1079B"/>
    <w:rsid w:val="00B11106"/>
    <w:rsid w:val="00B1318F"/>
    <w:rsid w:val="00B13805"/>
    <w:rsid w:val="00B138FA"/>
    <w:rsid w:val="00B13904"/>
    <w:rsid w:val="00B142AA"/>
    <w:rsid w:val="00B14E5E"/>
    <w:rsid w:val="00B153E7"/>
    <w:rsid w:val="00B15C37"/>
    <w:rsid w:val="00B168B2"/>
    <w:rsid w:val="00B175C9"/>
    <w:rsid w:val="00B17960"/>
    <w:rsid w:val="00B20741"/>
    <w:rsid w:val="00B211F8"/>
    <w:rsid w:val="00B21CF8"/>
    <w:rsid w:val="00B21E50"/>
    <w:rsid w:val="00B25594"/>
    <w:rsid w:val="00B260E2"/>
    <w:rsid w:val="00B27BBB"/>
    <w:rsid w:val="00B27C95"/>
    <w:rsid w:val="00B315A9"/>
    <w:rsid w:val="00B32924"/>
    <w:rsid w:val="00B32F6A"/>
    <w:rsid w:val="00B33ABF"/>
    <w:rsid w:val="00B33AF9"/>
    <w:rsid w:val="00B34754"/>
    <w:rsid w:val="00B35069"/>
    <w:rsid w:val="00B37E5A"/>
    <w:rsid w:val="00B402CF"/>
    <w:rsid w:val="00B409D1"/>
    <w:rsid w:val="00B40E07"/>
    <w:rsid w:val="00B40FF2"/>
    <w:rsid w:val="00B42561"/>
    <w:rsid w:val="00B429F3"/>
    <w:rsid w:val="00B45065"/>
    <w:rsid w:val="00B45B30"/>
    <w:rsid w:val="00B45B51"/>
    <w:rsid w:val="00B46EC1"/>
    <w:rsid w:val="00B50207"/>
    <w:rsid w:val="00B506E4"/>
    <w:rsid w:val="00B51F82"/>
    <w:rsid w:val="00B52422"/>
    <w:rsid w:val="00B53263"/>
    <w:rsid w:val="00B536C1"/>
    <w:rsid w:val="00B548C5"/>
    <w:rsid w:val="00B55049"/>
    <w:rsid w:val="00B553FF"/>
    <w:rsid w:val="00B557C6"/>
    <w:rsid w:val="00B55DFB"/>
    <w:rsid w:val="00B564EC"/>
    <w:rsid w:val="00B56506"/>
    <w:rsid w:val="00B61AF3"/>
    <w:rsid w:val="00B63690"/>
    <w:rsid w:val="00B6459D"/>
    <w:rsid w:val="00B649C4"/>
    <w:rsid w:val="00B653D4"/>
    <w:rsid w:val="00B6643F"/>
    <w:rsid w:val="00B66D8D"/>
    <w:rsid w:val="00B7000D"/>
    <w:rsid w:val="00B70A9E"/>
    <w:rsid w:val="00B724B6"/>
    <w:rsid w:val="00B72638"/>
    <w:rsid w:val="00B72AFA"/>
    <w:rsid w:val="00B730AA"/>
    <w:rsid w:val="00B749FE"/>
    <w:rsid w:val="00B74CF2"/>
    <w:rsid w:val="00B77909"/>
    <w:rsid w:val="00B77DAA"/>
    <w:rsid w:val="00B807A2"/>
    <w:rsid w:val="00B81F6E"/>
    <w:rsid w:val="00B83027"/>
    <w:rsid w:val="00B84393"/>
    <w:rsid w:val="00B843CC"/>
    <w:rsid w:val="00B8787D"/>
    <w:rsid w:val="00B91FC3"/>
    <w:rsid w:val="00B92333"/>
    <w:rsid w:val="00B92D06"/>
    <w:rsid w:val="00B93331"/>
    <w:rsid w:val="00B945AF"/>
    <w:rsid w:val="00B946A7"/>
    <w:rsid w:val="00B96B5C"/>
    <w:rsid w:val="00B972D4"/>
    <w:rsid w:val="00B975C8"/>
    <w:rsid w:val="00B97A57"/>
    <w:rsid w:val="00B97B55"/>
    <w:rsid w:val="00B97C2B"/>
    <w:rsid w:val="00BA2887"/>
    <w:rsid w:val="00BA2B19"/>
    <w:rsid w:val="00BA3101"/>
    <w:rsid w:val="00BA3656"/>
    <w:rsid w:val="00BA445A"/>
    <w:rsid w:val="00BA47B5"/>
    <w:rsid w:val="00BA71C7"/>
    <w:rsid w:val="00BA7507"/>
    <w:rsid w:val="00BB0563"/>
    <w:rsid w:val="00BB1667"/>
    <w:rsid w:val="00BB4276"/>
    <w:rsid w:val="00BB5FBD"/>
    <w:rsid w:val="00BB62A5"/>
    <w:rsid w:val="00BB78FA"/>
    <w:rsid w:val="00BC00F6"/>
    <w:rsid w:val="00BC1157"/>
    <w:rsid w:val="00BC181D"/>
    <w:rsid w:val="00BC2ED2"/>
    <w:rsid w:val="00BC506C"/>
    <w:rsid w:val="00BC51AA"/>
    <w:rsid w:val="00BC7E35"/>
    <w:rsid w:val="00BD002C"/>
    <w:rsid w:val="00BD0048"/>
    <w:rsid w:val="00BD1FCC"/>
    <w:rsid w:val="00BD2B8A"/>
    <w:rsid w:val="00BD2DC0"/>
    <w:rsid w:val="00BD325C"/>
    <w:rsid w:val="00BD4B54"/>
    <w:rsid w:val="00BD4C46"/>
    <w:rsid w:val="00BD54B5"/>
    <w:rsid w:val="00BD6604"/>
    <w:rsid w:val="00BD757E"/>
    <w:rsid w:val="00BE261C"/>
    <w:rsid w:val="00BE3426"/>
    <w:rsid w:val="00BE3A18"/>
    <w:rsid w:val="00BE50D6"/>
    <w:rsid w:val="00BF1177"/>
    <w:rsid w:val="00BF16BD"/>
    <w:rsid w:val="00BF2331"/>
    <w:rsid w:val="00BF33C1"/>
    <w:rsid w:val="00BF34C2"/>
    <w:rsid w:val="00BF5D54"/>
    <w:rsid w:val="00BF61A3"/>
    <w:rsid w:val="00BF61B6"/>
    <w:rsid w:val="00BF7247"/>
    <w:rsid w:val="00BF746D"/>
    <w:rsid w:val="00BF77DD"/>
    <w:rsid w:val="00C003DC"/>
    <w:rsid w:val="00C006A4"/>
    <w:rsid w:val="00C00D74"/>
    <w:rsid w:val="00C02AEE"/>
    <w:rsid w:val="00C05C93"/>
    <w:rsid w:val="00C06372"/>
    <w:rsid w:val="00C06B63"/>
    <w:rsid w:val="00C074A2"/>
    <w:rsid w:val="00C07D0A"/>
    <w:rsid w:val="00C11457"/>
    <w:rsid w:val="00C11470"/>
    <w:rsid w:val="00C12A41"/>
    <w:rsid w:val="00C1319A"/>
    <w:rsid w:val="00C13797"/>
    <w:rsid w:val="00C14DA7"/>
    <w:rsid w:val="00C15032"/>
    <w:rsid w:val="00C16AD6"/>
    <w:rsid w:val="00C16C35"/>
    <w:rsid w:val="00C16FE4"/>
    <w:rsid w:val="00C17280"/>
    <w:rsid w:val="00C2082E"/>
    <w:rsid w:val="00C21A9F"/>
    <w:rsid w:val="00C22613"/>
    <w:rsid w:val="00C22DD3"/>
    <w:rsid w:val="00C23FBF"/>
    <w:rsid w:val="00C24462"/>
    <w:rsid w:val="00C2462A"/>
    <w:rsid w:val="00C25FD1"/>
    <w:rsid w:val="00C26715"/>
    <w:rsid w:val="00C315D6"/>
    <w:rsid w:val="00C31C8E"/>
    <w:rsid w:val="00C31D32"/>
    <w:rsid w:val="00C325E5"/>
    <w:rsid w:val="00C32871"/>
    <w:rsid w:val="00C3319F"/>
    <w:rsid w:val="00C336DE"/>
    <w:rsid w:val="00C336EC"/>
    <w:rsid w:val="00C33A5C"/>
    <w:rsid w:val="00C36C63"/>
    <w:rsid w:val="00C404B0"/>
    <w:rsid w:val="00C418E1"/>
    <w:rsid w:val="00C42235"/>
    <w:rsid w:val="00C422B7"/>
    <w:rsid w:val="00C434B5"/>
    <w:rsid w:val="00C43B02"/>
    <w:rsid w:val="00C44BE3"/>
    <w:rsid w:val="00C44EF2"/>
    <w:rsid w:val="00C45867"/>
    <w:rsid w:val="00C462A5"/>
    <w:rsid w:val="00C46B17"/>
    <w:rsid w:val="00C46DA0"/>
    <w:rsid w:val="00C470A5"/>
    <w:rsid w:val="00C47176"/>
    <w:rsid w:val="00C474AA"/>
    <w:rsid w:val="00C47C6E"/>
    <w:rsid w:val="00C50AB5"/>
    <w:rsid w:val="00C51C60"/>
    <w:rsid w:val="00C56B8C"/>
    <w:rsid w:val="00C5764F"/>
    <w:rsid w:val="00C60AE6"/>
    <w:rsid w:val="00C60C92"/>
    <w:rsid w:val="00C61084"/>
    <w:rsid w:val="00C61920"/>
    <w:rsid w:val="00C62066"/>
    <w:rsid w:val="00C626B8"/>
    <w:rsid w:val="00C62832"/>
    <w:rsid w:val="00C6300E"/>
    <w:rsid w:val="00C6389E"/>
    <w:rsid w:val="00C63A78"/>
    <w:rsid w:val="00C63CB8"/>
    <w:rsid w:val="00C64886"/>
    <w:rsid w:val="00C65235"/>
    <w:rsid w:val="00C65776"/>
    <w:rsid w:val="00C65D78"/>
    <w:rsid w:val="00C6648B"/>
    <w:rsid w:val="00C70CD2"/>
    <w:rsid w:val="00C70D98"/>
    <w:rsid w:val="00C71063"/>
    <w:rsid w:val="00C714BE"/>
    <w:rsid w:val="00C71901"/>
    <w:rsid w:val="00C72156"/>
    <w:rsid w:val="00C724AF"/>
    <w:rsid w:val="00C7287F"/>
    <w:rsid w:val="00C73887"/>
    <w:rsid w:val="00C739D5"/>
    <w:rsid w:val="00C73D64"/>
    <w:rsid w:val="00C75C29"/>
    <w:rsid w:val="00C76C99"/>
    <w:rsid w:val="00C76FCE"/>
    <w:rsid w:val="00C801DA"/>
    <w:rsid w:val="00C84686"/>
    <w:rsid w:val="00C8545B"/>
    <w:rsid w:val="00C859B8"/>
    <w:rsid w:val="00C85FB7"/>
    <w:rsid w:val="00C85FCB"/>
    <w:rsid w:val="00C86BF2"/>
    <w:rsid w:val="00C86DE4"/>
    <w:rsid w:val="00C90226"/>
    <w:rsid w:val="00C9061F"/>
    <w:rsid w:val="00C908DE"/>
    <w:rsid w:val="00C93A43"/>
    <w:rsid w:val="00C9510F"/>
    <w:rsid w:val="00C956BC"/>
    <w:rsid w:val="00C95C8F"/>
    <w:rsid w:val="00C9622F"/>
    <w:rsid w:val="00C97140"/>
    <w:rsid w:val="00CA034A"/>
    <w:rsid w:val="00CA03B9"/>
    <w:rsid w:val="00CA04CD"/>
    <w:rsid w:val="00CA2427"/>
    <w:rsid w:val="00CA472D"/>
    <w:rsid w:val="00CA515E"/>
    <w:rsid w:val="00CA54CA"/>
    <w:rsid w:val="00CA6CF5"/>
    <w:rsid w:val="00CA75FC"/>
    <w:rsid w:val="00CA7E4C"/>
    <w:rsid w:val="00CB1F3E"/>
    <w:rsid w:val="00CB206E"/>
    <w:rsid w:val="00CB4AEB"/>
    <w:rsid w:val="00CB4EBD"/>
    <w:rsid w:val="00CB60E8"/>
    <w:rsid w:val="00CB6898"/>
    <w:rsid w:val="00CB7F63"/>
    <w:rsid w:val="00CC17E8"/>
    <w:rsid w:val="00CC198D"/>
    <w:rsid w:val="00CC2070"/>
    <w:rsid w:val="00CC3D9C"/>
    <w:rsid w:val="00CC4FC0"/>
    <w:rsid w:val="00CC5499"/>
    <w:rsid w:val="00CC6043"/>
    <w:rsid w:val="00CC77FC"/>
    <w:rsid w:val="00CD0831"/>
    <w:rsid w:val="00CD0E14"/>
    <w:rsid w:val="00CD1944"/>
    <w:rsid w:val="00CD294B"/>
    <w:rsid w:val="00CD311D"/>
    <w:rsid w:val="00CD3787"/>
    <w:rsid w:val="00CD3D2A"/>
    <w:rsid w:val="00CD47BB"/>
    <w:rsid w:val="00CD681B"/>
    <w:rsid w:val="00CD6E52"/>
    <w:rsid w:val="00CD6F34"/>
    <w:rsid w:val="00CD71D3"/>
    <w:rsid w:val="00CE0B26"/>
    <w:rsid w:val="00CE0BFC"/>
    <w:rsid w:val="00CE0EE2"/>
    <w:rsid w:val="00CE0F87"/>
    <w:rsid w:val="00CE269C"/>
    <w:rsid w:val="00CE3669"/>
    <w:rsid w:val="00CE3A5B"/>
    <w:rsid w:val="00CE49AA"/>
    <w:rsid w:val="00CE5033"/>
    <w:rsid w:val="00CE5BC3"/>
    <w:rsid w:val="00CE655B"/>
    <w:rsid w:val="00CE67B8"/>
    <w:rsid w:val="00CE6BBF"/>
    <w:rsid w:val="00CE7B33"/>
    <w:rsid w:val="00CF045B"/>
    <w:rsid w:val="00CF0F9B"/>
    <w:rsid w:val="00CF10E5"/>
    <w:rsid w:val="00CF1808"/>
    <w:rsid w:val="00CF2086"/>
    <w:rsid w:val="00CF2E82"/>
    <w:rsid w:val="00CF3CBF"/>
    <w:rsid w:val="00CF4130"/>
    <w:rsid w:val="00CF4CF2"/>
    <w:rsid w:val="00CF6F58"/>
    <w:rsid w:val="00D003FC"/>
    <w:rsid w:val="00D00638"/>
    <w:rsid w:val="00D00E8E"/>
    <w:rsid w:val="00D0166F"/>
    <w:rsid w:val="00D01977"/>
    <w:rsid w:val="00D0276C"/>
    <w:rsid w:val="00D02F6A"/>
    <w:rsid w:val="00D046FE"/>
    <w:rsid w:val="00D04D8E"/>
    <w:rsid w:val="00D06758"/>
    <w:rsid w:val="00D07291"/>
    <w:rsid w:val="00D10F32"/>
    <w:rsid w:val="00D110B6"/>
    <w:rsid w:val="00D123D2"/>
    <w:rsid w:val="00D12D65"/>
    <w:rsid w:val="00D12D9B"/>
    <w:rsid w:val="00D12E57"/>
    <w:rsid w:val="00D14B8A"/>
    <w:rsid w:val="00D15D42"/>
    <w:rsid w:val="00D206F5"/>
    <w:rsid w:val="00D2073A"/>
    <w:rsid w:val="00D210FC"/>
    <w:rsid w:val="00D21636"/>
    <w:rsid w:val="00D21718"/>
    <w:rsid w:val="00D21A5A"/>
    <w:rsid w:val="00D221F8"/>
    <w:rsid w:val="00D2321D"/>
    <w:rsid w:val="00D23D2E"/>
    <w:rsid w:val="00D25197"/>
    <w:rsid w:val="00D260CD"/>
    <w:rsid w:val="00D2706F"/>
    <w:rsid w:val="00D30108"/>
    <w:rsid w:val="00D30ECB"/>
    <w:rsid w:val="00D32411"/>
    <w:rsid w:val="00D324A4"/>
    <w:rsid w:val="00D338A9"/>
    <w:rsid w:val="00D342B0"/>
    <w:rsid w:val="00D342F1"/>
    <w:rsid w:val="00D3584C"/>
    <w:rsid w:val="00D363C2"/>
    <w:rsid w:val="00D367B3"/>
    <w:rsid w:val="00D37B9C"/>
    <w:rsid w:val="00D41AE2"/>
    <w:rsid w:val="00D42F84"/>
    <w:rsid w:val="00D435DE"/>
    <w:rsid w:val="00D44452"/>
    <w:rsid w:val="00D44D4E"/>
    <w:rsid w:val="00D44FDB"/>
    <w:rsid w:val="00D4525D"/>
    <w:rsid w:val="00D461E8"/>
    <w:rsid w:val="00D47854"/>
    <w:rsid w:val="00D47A0D"/>
    <w:rsid w:val="00D50511"/>
    <w:rsid w:val="00D505E3"/>
    <w:rsid w:val="00D50AA6"/>
    <w:rsid w:val="00D50BCA"/>
    <w:rsid w:val="00D50D75"/>
    <w:rsid w:val="00D52599"/>
    <w:rsid w:val="00D5393F"/>
    <w:rsid w:val="00D53BB6"/>
    <w:rsid w:val="00D548EB"/>
    <w:rsid w:val="00D54B42"/>
    <w:rsid w:val="00D54D3F"/>
    <w:rsid w:val="00D551A3"/>
    <w:rsid w:val="00D55208"/>
    <w:rsid w:val="00D5534D"/>
    <w:rsid w:val="00D6100D"/>
    <w:rsid w:val="00D61CF8"/>
    <w:rsid w:val="00D6218C"/>
    <w:rsid w:val="00D6285D"/>
    <w:rsid w:val="00D638EA"/>
    <w:rsid w:val="00D63B21"/>
    <w:rsid w:val="00D66D20"/>
    <w:rsid w:val="00D670D5"/>
    <w:rsid w:val="00D7171F"/>
    <w:rsid w:val="00D7178E"/>
    <w:rsid w:val="00D71FD5"/>
    <w:rsid w:val="00D72894"/>
    <w:rsid w:val="00D758E1"/>
    <w:rsid w:val="00D80FB3"/>
    <w:rsid w:val="00D8194A"/>
    <w:rsid w:val="00D8364B"/>
    <w:rsid w:val="00D83A04"/>
    <w:rsid w:val="00D8409A"/>
    <w:rsid w:val="00D84976"/>
    <w:rsid w:val="00D8498B"/>
    <w:rsid w:val="00D8643F"/>
    <w:rsid w:val="00D868E8"/>
    <w:rsid w:val="00D91FA6"/>
    <w:rsid w:val="00D9281B"/>
    <w:rsid w:val="00D92A0A"/>
    <w:rsid w:val="00D935EF"/>
    <w:rsid w:val="00D937E6"/>
    <w:rsid w:val="00D95030"/>
    <w:rsid w:val="00D95472"/>
    <w:rsid w:val="00D9548B"/>
    <w:rsid w:val="00D954A2"/>
    <w:rsid w:val="00D96BE9"/>
    <w:rsid w:val="00D96F0B"/>
    <w:rsid w:val="00DA085F"/>
    <w:rsid w:val="00DA0E58"/>
    <w:rsid w:val="00DA16D2"/>
    <w:rsid w:val="00DA2466"/>
    <w:rsid w:val="00DA3163"/>
    <w:rsid w:val="00DA4310"/>
    <w:rsid w:val="00DA5112"/>
    <w:rsid w:val="00DA6867"/>
    <w:rsid w:val="00DA7AF6"/>
    <w:rsid w:val="00DB1033"/>
    <w:rsid w:val="00DB236B"/>
    <w:rsid w:val="00DB25AE"/>
    <w:rsid w:val="00DB35F4"/>
    <w:rsid w:val="00DB39DA"/>
    <w:rsid w:val="00DB3EB0"/>
    <w:rsid w:val="00DB4267"/>
    <w:rsid w:val="00DB515B"/>
    <w:rsid w:val="00DB61BF"/>
    <w:rsid w:val="00DB6A89"/>
    <w:rsid w:val="00DC01FC"/>
    <w:rsid w:val="00DC0E90"/>
    <w:rsid w:val="00DC246B"/>
    <w:rsid w:val="00DC3CB4"/>
    <w:rsid w:val="00DC4253"/>
    <w:rsid w:val="00DC4AA2"/>
    <w:rsid w:val="00DC5998"/>
    <w:rsid w:val="00DC5C5B"/>
    <w:rsid w:val="00DC6048"/>
    <w:rsid w:val="00DC685C"/>
    <w:rsid w:val="00DD01E2"/>
    <w:rsid w:val="00DD10FB"/>
    <w:rsid w:val="00DD1127"/>
    <w:rsid w:val="00DD14E5"/>
    <w:rsid w:val="00DD1F19"/>
    <w:rsid w:val="00DD2D94"/>
    <w:rsid w:val="00DD6E2E"/>
    <w:rsid w:val="00DD72C0"/>
    <w:rsid w:val="00DE1A6A"/>
    <w:rsid w:val="00DE2F5F"/>
    <w:rsid w:val="00DE3233"/>
    <w:rsid w:val="00DE3B4A"/>
    <w:rsid w:val="00DE506D"/>
    <w:rsid w:val="00DE5321"/>
    <w:rsid w:val="00DE5C37"/>
    <w:rsid w:val="00DE6F33"/>
    <w:rsid w:val="00DE7224"/>
    <w:rsid w:val="00DE74F5"/>
    <w:rsid w:val="00DE7500"/>
    <w:rsid w:val="00DF0626"/>
    <w:rsid w:val="00DF0C60"/>
    <w:rsid w:val="00DF1967"/>
    <w:rsid w:val="00DF4323"/>
    <w:rsid w:val="00DF4680"/>
    <w:rsid w:val="00DF53DF"/>
    <w:rsid w:val="00DF6032"/>
    <w:rsid w:val="00DF7D34"/>
    <w:rsid w:val="00E00F7B"/>
    <w:rsid w:val="00E01646"/>
    <w:rsid w:val="00E019FC"/>
    <w:rsid w:val="00E03C6A"/>
    <w:rsid w:val="00E06D57"/>
    <w:rsid w:val="00E1207D"/>
    <w:rsid w:val="00E130A5"/>
    <w:rsid w:val="00E14488"/>
    <w:rsid w:val="00E15459"/>
    <w:rsid w:val="00E15B6A"/>
    <w:rsid w:val="00E16D64"/>
    <w:rsid w:val="00E174FD"/>
    <w:rsid w:val="00E17FC8"/>
    <w:rsid w:val="00E20162"/>
    <w:rsid w:val="00E20E5E"/>
    <w:rsid w:val="00E21A66"/>
    <w:rsid w:val="00E22A52"/>
    <w:rsid w:val="00E23EC4"/>
    <w:rsid w:val="00E24165"/>
    <w:rsid w:val="00E24D5C"/>
    <w:rsid w:val="00E25ABB"/>
    <w:rsid w:val="00E30288"/>
    <w:rsid w:val="00E31AAB"/>
    <w:rsid w:val="00E31D20"/>
    <w:rsid w:val="00E328E7"/>
    <w:rsid w:val="00E35138"/>
    <w:rsid w:val="00E36197"/>
    <w:rsid w:val="00E361F9"/>
    <w:rsid w:val="00E3757E"/>
    <w:rsid w:val="00E377DB"/>
    <w:rsid w:val="00E37A89"/>
    <w:rsid w:val="00E408B5"/>
    <w:rsid w:val="00E4360E"/>
    <w:rsid w:val="00E44556"/>
    <w:rsid w:val="00E451F5"/>
    <w:rsid w:val="00E45E1F"/>
    <w:rsid w:val="00E46C31"/>
    <w:rsid w:val="00E472A3"/>
    <w:rsid w:val="00E501FB"/>
    <w:rsid w:val="00E50DD8"/>
    <w:rsid w:val="00E5112F"/>
    <w:rsid w:val="00E5117D"/>
    <w:rsid w:val="00E51326"/>
    <w:rsid w:val="00E5416F"/>
    <w:rsid w:val="00E548F8"/>
    <w:rsid w:val="00E5509E"/>
    <w:rsid w:val="00E555AC"/>
    <w:rsid w:val="00E56106"/>
    <w:rsid w:val="00E57BF8"/>
    <w:rsid w:val="00E602AF"/>
    <w:rsid w:val="00E6060B"/>
    <w:rsid w:val="00E60E6B"/>
    <w:rsid w:val="00E61E42"/>
    <w:rsid w:val="00E66169"/>
    <w:rsid w:val="00E678F8"/>
    <w:rsid w:val="00E70EB1"/>
    <w:rsid w:val="00E70F67"/>
    <w:rsid w:val="00E71658"/>
    <w:rsid w:val="00E721D7"/>
    <w:rsid w:val="00E728E7"/>
    <w:rsid w:val="00E72F34"/>
    <w:rsid w:val="00E733F4"/>
    <w:rsid w:val="00E74234"/>
    <w:rsid w:val="00E7463B"/>
    <w:rsid w:val="00E74AD5"/>
    <w:rsid w:val="00E7635C"/>
    <w:rsid w:val="00E76927"/>
    <w:rsid w:val="00E7723F"/>
    <w:rsid w:val="00E81C1E"/>
    <w:rsid w:val="00E849D6"/>
    <w:rsid w:val="00E86855"/>
    <w:rsid w:val="00E86874"/>
    <w:rsid w:val="00E868DB"/>
    <w:rsid w:val="00E86A33"/>
    <w:rsid w:val="00E9293A"/>
    <w:rsid w:val="00E9422E"/>
    <w:rsid w:val="00E94527"/>
    <w:rsid w:val="00E95BA6"/>
    <w:rsid w:val="00E95FBE"/>
    <w:rsid w:val="00E9661A"/>
    <w:rsid w:val="00E968FD"/>
    <w:rsid w:val="00E97C58"/>
    <w:rsid w:val="00EA050D"/>
    <w:rsid w:val="00EA131C"/>
    <w:rsid w:val="00EA24D7"/>
    <w:rsid w:val="00EA30B6"/>
    <w:rsid w:val="00EA3194"/>
    <w:rsid w:val="00EA31AE"/>
    <w:rsid w:val="00EA3CE1"/>
    <w:rsid w:val="00EA4636"/>
    <w:rsid w:val="00EA5979"/>
    <w:rsid w:val="00EA6428"/>
    <w:rsid w:val="00EA7173"/>
    <w:rsid w:val="00EA760F"/>
    <w:rsid w:val="00EA7840"/>
    <w:rsid w:val="00EA7F54"/>
    <w:rsid w:val="00EB06EE"/>
    <w:rsid w:val="00EB0A54"/>
    <w:rsid w:val="00EB2150"/>
    <w:rsid w:val="00EB2544"/>
    <w:rsid w:val="00EB2CC9"/>
    <w:rsid w:val="00EB2F53"/>
    <w:rsid w:val="00EB3025"/>
    <w:rsid w:val="00EB4BB1"/>
    <w:rsid w:val="00EC12FC"/>
    <w:rsid w:val="00EC14F4"/>
    <w:rsid w:val="00EC2987"/>
    <w:rsid w:val="00EC29C6"/>
    <w:rsid w:val="00EC3524"/>
    <w:rsid w:val="00EC46AE"/>
    <w:rsid w:val="00EC4E27"/>
    <w:rsid w:val="00EC6B85"/>
    <w:rsid w:val="00ED2327"/>
    <w:rsid w:val="00ED2440"/>
    <w:rsid w:val="00ED2724"/>
    <w:rsid w:val="00ED3084"/>
    <w:rsid w:val="00ED5F12"/>
    <w:rsid w:val="00ED73DF"/>
    <w:rsid w:val="00ED7CFA"/>
    <w:rsid w:val="00EE06C4"/>
    <w:rsid w:val="00EE1167"/>
    <w:rsid w:val="00EE139C"/>
    <w:rsid w:val="00EE3D87"/>
    <w:rsid w:val="00EE45ED"/>
    <w:rsid w:val="00EE5824"/>
    <w:rsid w:val="00EE7238"/>
    <w:rsid w:val="00EF19EA"/>
    <w:rsid w:val="00EF1B87"/>
    <w:rsid w:val="00EF3D8C"/>
    <w:rsid w:val="00EF4091"/>
    <w:rsid w:val="00EF6B7A"/>
    <w:rsid w:val="00EF7C0F"/>
    <w:rsid w:val="00F000B4"/>
    <w:rsid w:val="00F0125C"/>
    <w:rsid w:val="00F01337"/>
    <w:rsid w:val="00F020BE"/>
    <w:rsid w:val="00F02E25"/>
    <w:rsid w:val="00F03770"/>
    <w:rsid w:val="00F03CE8"/>
    <w:rsid w:val="00F04954"/>
    <w:rsid w:val="00F04FE5"/>
    <w:rsid w:val="00F05190"/>
    <w:rsid w:val="00F05793"/>
    <w:rsid w:val="00F06C16"/>
    <w:rsid w:val="00F073E7"/>
    <w:rsid w:val="00F07719"/>
    <w:rsid w:val="00F104EA"/>
    <w:rsid w:val="00F12882"/>
    <w:rsid w:val="00F12C15"/>
    <w:rsid w:val="00F138F1"/>
    <w:rsid w:val="00F1489D"/>
    <w:rsid w:val="00F159E6"/>
    <w:rsid w:val="00F1676C"/>
    <w:rsid w:val="00F20418"/>
    <w:rsid w:val="00F209D4"/>
    <w:rsid w:val="00F23FA9"/>
    <w:rsid w:val="00F24CBE"/>
    <w:rsid w:val="00F25277"/>
    <w:rsid w:val="00F25E36"/>
    <w:rsid w:val="00F263F6"/>
    <w:rsid w:val="00F26E28"/>
    <w:rsid w:val="00F27441"/>
    <w:rsid w:val="00F27CB1"/>
    <w:rsid w:val="00F27F6E"/>
    <w:rsid w:val="00F3107A"/>
    <w:rsid w:val="00F319FD"/>
    <w:rsid w:val="00F32FBB"/>
    <w:rsid w:val="00F33001"/>
    <w:rsid w:val="00F3502C"/>
    <w:rsid w:val="00F36522"/>
    <w:rsid w:val="00F36D63"/>
    <w:rsid w:val="00F40B1C"/>
    <w:rsid w:val="00F41899"/>
    <w:rsid w:val="00F41BD5"/>
    <w:rsid w:val="00F41DC3"/>
    <w:rsid w:val="00F42264"/>
    <w:rsid w:val="00F4322F"/>
    <w:rsid w:val="00F43657"/>
    <w:rsid w:val="00F45DA7"/>
    <w:rsid w:val="00F465CC"/>
    <w:rsid w:val="00F46800"/>
    <w:rsid w:val="00F47D1A"/>
    <w:rsid w:val="00F50664"/>
    <w:rsid w:val="00F5160D"/>
    <w:rsid w:val="00F519B6"/>
    <w:rsid w:val="00F51F00"/>
    <w:rsid w:val="00F53408"/>
    <w:rsid w:val="00F53CEC"/>
    <w:rsid w:val="00F54142"/>
    <w:rsid w:val="00F54144"/>
    <w:rsid w:val="00F54704"/>
    <w:rsid w:val="00F55293"/>
    <w:rsid w:val="00F55305"/>
    <w:rsid w:val="00F5645A"/>
    <w:rsid w:val="00F56D39"/>
    <w:rsid w:val="00F5737E"/>
    <w:rsid w:val="00F574CF"/>
    <w:rsid w:val="00F61500"/>
    <w:rsid w:val="00F61590"/>
    <w:rsid w:val="00F62FA8"/>
    <w:rsid w:val="00F63F82"/>
    <w:rsid w:val="00F64C56"/>
    <w:rsid w:val="00F653F2"/>
    <w:rsid w:val="00F65512"/>
    <w:rsid w:val="00F663A5"/>
    <w:rsid w:val="00F70B17"/>
    <w:rsid w:val="00F71142"/>
    <w:rsid w:val="00F71886"/>
    <w:rsid w:val="00F71FC0"/>
    <w:rsid w:val="00F755D8"/>
    <w:rsid w:val="00F7595A"/>
    <w:rsid w:val="00F75DAC"/>
    <w:rsid w:val="00F76157"/>
    <w:rsid w:val="00F7640F"/>
    <w:rsid w:val="00F778CD"/>
    <w:rsid w:val="00F80BA7"/>
    <w:rsid w:val="00F81229"/>
    <w:rsid w:val="00F83030"/>
    <w:rsid w:val="00F857A9"/>
    <w:rsid w:val="00F86681"/>
    <w:rsid w:val="00F86A43"/>
    <w:rsid w:val="00F86DF3"/>
    <w:rsid w:val="00F876E8"/>
    <w:rsid w:val="00F87ADB"/>
    <w:rsid w:val="00F90F98"/>
    <w:rsid w:val="00F91011"/>
    <w:rsid w:val="00F91D81"/>
    <w:rsid w:val="00F91F8F"/>
    <w:rsid w:val="00F923D1"/>
    <w:rsid w:val="00F925D8"/>
    <w:rsid w:val="00F93051"/>
    <w:rsid w:val="00F93D89"/>
    <w:rsid w:val="00F95035"/>
    <w:rsid w:val="00FA1C75"/>
    <w:rsid w:val="00FA270F"/>
    <w:rsid w:val="00FA3DE8"/>
    <w:rsid w:val="00FA46E1"/>
    <w:rsid w:val="00FA559E"/>
    <w:rsid w:val="00FA5A9D"/>
    <w:rsid w:val="00FA6854"/>
    <w:rsid w:val="00FA6BFC"/>
    <w:rsid w:val="00FB0C62"/>
    <w:rsid w:val="00FB2051"/>
    <w:rsid w:val="00FB2615"/>
    <w:rsid w:val="00FB2ECA"/>
    <w:rsid w:val="00FB47D7"/>
    <w:rsid w:val="00FB6291"/>
    <w:rsid w:val="00FB72BF"/>
    <w:rsid w:val="00FB7B02"/>
    <w:rsid w:val="00FC0420"/>
    <w:rsid w:val="00FC14CA"/>
    <w:rsid w:val="00FC243E"/>
    <w:rsid w:val="00FC2BF4"/>
    <w:rsid w:val="00FC2C71"/>
    <w:rsid w:val="00FC3DF6"/>
    <w:rsid w:val="00FC460F"/>
    <w:rsid w:val="00FC514B"/>
    <w:rsid w:val="00FC5C39"/>
    <w:rsid w:val="00FC7A63"/>
    <w:rsid w:val="00FD0690"/>
    <w:rsid w:val="00FD2082"/>
    <w:rsid w:val="00FD464C"/>
    <w:rsid w:val="00FD4808"/>
    <w:rsid w:val="00FD5680"/>
    <w:rsid w:val="00FD72E9"/>
    <w:rsid w:val="00FD7951"/>
    <w:rsid w:val="00FE1543"/>
    <w:rsid w:val="00FE2E6F"/>
    <w:rsid w:val="00FE6638"/>
    <w:rsid w:val="00FE69B6"/>
    <w:rsid w:val="00FE7F4F"/>
    <w:rsid w:val="00FF00FD"/>
    <w:rsid w:val="00FF0B3D"/>
    <w:rsid w:val="00FF2391"/>
    <w:rsid w:val="00FF2A04"/>
    <w:rsid w:val="00FF2FA6"/>
    <w:rsid w:val="00FF2FFB"/>
    <w:rsid w:val="00FF3255"/>
    <w:rsid w:val="00FF3DDD"/>
    <w:rsid w:val="00FF4898"/>
    <w:rsid w:val="00FF48FF"/>
    <w:rsid w:val="00FF4CA0"/>
    <w:rsid w:val="00FF5465"/>
    <w:rsid w:val="00FF7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B80A"/>
  <w15:docId w15:val="{3E4EEFE1-F829-AE4E-AF3D-6FC22CBD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28C"/>
    <w:rPr>
      <w:rFonts w:ascii="Times New Roman" w:eastAsia="Times New Roman" w:hAnsi="Times New Roman" w:cs="Times New Roman"/>
      <w:lang w:eastAsia="en-US"/>
    </w:rPr>
  </w:style>
  <w:style w:type="paragraph" w:styleId="Heading1">
    <w:name w:val="heading 1"/>
    <w:basedOn w:val="Normal"/>
    <w:link w:val="Heading1Char"/>
    <w:uiPriority w:val="9"/>
    <w:qFormat/>
    <w:rsid w:val="0042001F"/>
    <w:pPr>
      <w:spacing w:before="100" w:beforeAutospacing="1" w:after="100" w:afterAutospacing="1"/>
      <w:outlineLvl w:val="0"/>
    </w:pPr>
    <w:rPr>
      <w:b/>
      <w:bCs/>
      <w:kern w:val="36"/>
      <w:sz w:val="48"/>
      <w:szCs w:val="48"/>
      <w:lang w:val="en-CA"/>
    </w:rPr>
  </w:style>
  <w:style w:type="paragraph" w:styleId="Heading3">
    <w:name w:val="heading 3"/>
    <w:basedOn w:val="Normal"/>
    <w:next w:val="Normal"/>
    <w:link w:val="Heading3Char"/>
    <w:uiPriority w:val="9"/>
    <w:semiHidden/>
    <w:unhideWhenUsed/>
    <w:qFormat/>
    <w:rsid w:val="003E743D"/>
    <w:pPr>
      <w:keepNext/>
      <w:keepLines/>
      <w:spacing w:before="40"/>
      <w:outlineLvl w:val="2"/>
    </w:pPr>
    <w:rPr>
      <w:rFonts w:asciiTheme="majorHAnsi" w:eastAsiaTheme="majorEastAsia" w:hAnsiTheme="majorHAnsi" w:cstheme="majorBidi"/>
      <w:color w:val="1F3763" w:themeColor="accent1" w:themeShade="7F"/>
      <w:lang w:eastAsia="zh-CN"/>
    </w:rPr>
  </w:style>
  <w:style w:type="paragraph" w:styleId="Heading4">
    <w:name w:val="heading 4"/>
    <w:basedOn w:val="Normal"/>
    <w:next w:val="Normal"/>
    <w:link w:val="Heading4Char"/>
    <w:uiPriority w:val="9"/>
    <w:semiHidden/>
    <w:unhideWhenUsed/>
    <w:qFormat/>
    <w:rsid w:val="0095381D"/>
    <w:pPr>
      <w:keepNext/>
      <w:keepLines/>
      <w:spacing w:before="40"/>
      <w:outlineLvl w:val="3"/>
    </w:pPr>
    <w:rPr>
      <w:rFonts w:asciiTheme="majorHAnsi" w:eastAsiaTheme="majorEastAsia" w:hAnsiTheme="majorHAnsi" w:cstheme="majorBidi"/>
      <w:i/>
      <w:i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E6F"/>
    <w:rPr>
      <w:sz w:val="18"/>
      <w:szCs w:val="18"/>
      <w:lang w:eastAsia="zh-CN"/>
    </w:rPr>
  </w:style>
  <w:style w:type="character" w:customStyle="1" w:styleId="BalloonTextChar">
    <w:name w:val="Balloon Text Char"/>
    <w:basedOn w:val="DefaultParagraphFont"/>
    <w:link w:val="BalloonText"/>
    <w:uiPriority w:val="99"/>
    <w:semiHidden/>
    <w:rsid w:val="00FE2E6F"/>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290A31"/>
    <w:rPr>
      <w:sz w:val="16"/>
      <w:szCs w:val="16"/>
    </w:rPr>
  </w:style>
  <w:style w:type="paragraph" w:styleId="CommentText">
    <w:name w:val="annotation text"/>
    <w:basedOn w:val="Normal"/>
    <w:link w:val="CommentTextChar"/>
    <w:uiPriority w:val="99"/>
    <w:unhideWhenUsed/>
    <w:rsid w:val="00290A31"/>
    <w:rPr>
      <w:sz w:val="20"/>
      <w:szCs w:val="20"/>
      <w:lang w:eastAsia="zh-CN"/>
    </w:rPr>
  </w:style>
  <w:style w:type="character" w:customStyle="1" w:styleId="CommentTextChar">
    <w:name w:val="Comment Text Char"/>
    <w:basedOn w:val="DefaultParagraphFont"/>
    <w:link w:val="CommentText"/>
    <w:uiPriority w:val="99"/>
    <w:rsid w:val="00290A31"/>
    <w:rPr>
      <w:sz w:val="20"/>
      <w:szCs w:val="20"/>
      <w:lang w:val="en-GB"/>
    </w:rPr>
  </w:style>
  <w:style w:type="paragraph" w:styleId="CommentSubject">
    <w:name w:val="annotation subject"/>
    <w:basedOn w:val="CommentText"/>
    <w:next w:val="CommentText"/>
    <w:link w:val="CommentSubjectChar"/>
    <w:uiPriority w:val="99"/>
    <w:semiHidden/>
    <w:unhideWhenUsed/>
    <w:rsid w:val="00290A31"/>
    <w:rPr>
      <w:b/>
      <w:bCs/>
    </w:rPr>
  </w:style>
  <w:style w:type="character" w:customStyle="1" w:styleId="CommentSubjectChar">
    <w:name w:val="Comment Subject Char"/>
    <w:basedOn w:val="CommentTextChar"/>
    <w:link w:val="CommentSubject"/>
    <w:uiPriority w:val="99"/>
    <w:semiHidden/>
    <w:rsid w:val="00290A31"/>
    <w:rPr>
      <w:b/>
      <w:bCs/>
      <w:sz w:val="20"/>
      <w:szCs w:val="20"/>
      <w:lang w:val="en-GB"/>
    </w:rPr>
  </w:style>
  <w:style w:type="paragraph" w:styleId="ListParagraph">
    <w:name w:val="List Paragraph"/>
    <w:basedOn w:val="Normal"/>
    <w:uiPriority w:val="34"/>
    <w:qFormat/>
    <w:rsid w:val="00290A31"/>
    <w:pPr>
      <w:ind w:left="720"/>
      <w:contextualSpacing/>
    </w:pPr>
    <w:rPr>
      <w:rFonts w:ascii="Cambria" w:eastAsia="MS Mincho" w:hAnsi="Cambria"/>
      <w:lang w:eastAsia="zh-CN"/>
    </w:rPr>
  </w:style>
  <w:style w:type="paragraph" w:styleId="Footer">
    <w:name w:val="footer"/>
    <w:basedOn w:val="Normal"/>
    <w:link w:val="FooterChar"/>
    <w:uiPriority w:val="99"/>
    <w:rsid w:val="00D00E8E"/>
    <w:pPr>
      <w:tabs>
        <w:tab w:val="center" w:pos="4320"/>
        <w:tab w:val="right" w:pos="8640"/>
      </w:tabs>
    </w:pPr>
    <w:rPr>
      <w:lang w:eastAsia="zh-CN"/>
    </w:rPr>
  </w:style>
  <w:style w:type="character" w:customStyle="1" w:styleId="FooterChar">
    <w:name w:val="Footer Char"/>
    <w:basedOn w:val="DefaultParagraphFont"/>
    <w:link w:val="Footer"/>
    <w:uiPriority w:val="99"/>
    <w:rsid w:val="00D00E8E"/>
    <w:rPr>
      <w:rFonts w:ascii="Times New Roman" w:eastAsia="Times New Roman" w:hAnsi="Times New Roman" w:cs="Times New Roman"/>
    </w:rPr>
  </w:style>
  <w:style w:type="paragraph" w:customStyle="1" w:styleId="p1">
    <w:name w:val="p1"/>
    <w:basedOn w:val="Normal"/>
    <w:rsid w:val="00FF78E5"/>
    <w:rPr>
      <w:rFonts w:ascii="Times" w:hAnsi="Times"/>
      <w:sz w:val="14"/>
      <w:szCs w:val="14"/>
      <w:lang w:eastAsia="zh-CN"/>
    </w:rPr>
  </w:style>
  <w:style w:type="character" w:customStyle="1" w:styleId="normaltextrun">
    <w:name w:val="normaltextrun"/>
    <w:basedOn w:val="DefaultParagraphFont"/>
    <w:rsid w:val="005A5E28"/>
  </w:style>
  <w:style w:type="character" w:customStyle="1" w:styleId="spellingerror">
    <w:name w:val="spellingerror"/>
    <w:basedOn w:val="DefaultParagraphFont"/>
    <w:rsid w:val="005A5E28"/>
  </w:style>
  <w:style w:type="character" w:customStyle="1" w:styleId="eop">
    <w:name w:val="eop"/>
    <w:basedOn w:val="DefaultParagraphFont"/>
    <w:rsid w:val="005A5E28"/>
  </w:style>
  <w:style w:type="paragraph" w:styleId="BodyText">
    <w:name w:val="Body Text"/>
    <w:basedOn w:val="Normal"/>
    <w:link w:val="BodyTextChar"/>
    <w:rsid w:val="00F32FBB"/>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lang w:eastAsia="zh-CN"/>
    </w:rPr>
  </w:style>
  <w:style w:type="character" w:customStyle="1" w:styleId="BodyTextChar">
    <w:name w:val="Body Text Char"/>
    <w:basedOn w:val="DefaultParagraphFont"/>
    <w:link w:val="BodyText"/>
    <w:rsid w:val="00F32FBB"/>
    <w:rPr>
      <w:rFonts w:ascii="Times New Roman" w:eastAsia="Times New Roman" w:hAnsi="Times New Roman" w:cs="Times New Roman"/>
    </w:rPr>
  </w:style>
  <w:style w:type="paragraph" w:customStyle="1" w:styleId="MediumGrid21">
    <w:name w:val="Medium Grid 21"/>
    <w:uiPriority w:val="1"/>
    <w:qFormat/>
    <w:rsid w:val="00951579"/>
    <w:rPr>
      <w:rFonts w:ascii="Cambria" w:eastAsia="MS Mincho" w:hAnsi="Cambria" w:cs="Times New Roman"/>
      <w:lang w:eastAsia="en-US"/>
    </w:rPr>
  </w:style>
  <w:style w:type="character" w:styleId="Hyperlink">
    <w:name w:val="Hyperlink"/>
    <w:uiPriority w:val="99"/>
    <w:rsid w:val="00762E16"/>
    <w:rPr>
      <w:color w:val="0000FF"/>
      <w:u w:val="single"/>
    </w:rPr>
  </w:style>
  <w:style w:type="paragraph" w:styleId="Revision">
    <w:name w:val="Revision"/>
    <w:hidden/>
    <w:uiPriority w:val="99"/>
    <w:semiHidden/>
    <w:rsid w:val="008D4270"/>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2001F"/>
    <w:rPr>
      <w:rFonts w:ascii="Times New Roman" w:eastAsia="Times New Roman" w:hAnsi="Times New Roman" w:cs="Times New Roman"/>
      <w:b/>
      <w:bCs/>
      <w:kern w:val="36"/>
      <w:sz w:val="48"/>
      <w:szCs w:val="48"/>
      <w:lang w:val="en-CA" w:eastAsia="en-US"/>
    </w:rPr>
  </w:style>
  <w:style w:type="character" w:styleId="PageNumber">
    <w:name w:val="page number"/>
    <w:basedOn w:val="DefaultParagraphFont"/>
    <w:uiPriority w:val="99"/>
    <w:semiHidden/>
    <w:unhideWhenUsed/>
    <w:rsid w:val="00A1201A"/>
  </w:style>
  <w:style w:type="paragraph" w:styleId="Bibliography">
    <w:name w:val="Bibliography"/>
    <w:basedOn w:val="Normal"/>
    <w:next w:val="Normal"/>
    <w:uiPriority w:val="37"/>
    <w:unhideWhenUsed/>
    <w:rsid w:val="005540EC"/>
    <w:pPr>
      <w:tabs>
        <w:tab w:val="left" w:pos="260"/>
      </w:tabs>
      <w:spacing w:after="240"/>
      <w:ind w:left="264" w:hanging="264"/>
    </w:pPr>
    <w:rPr>
      <w:lang w:eastAsia="zh-CN"/>
    </w:rPr>
  </w:style>
  <w:style w:type="character" w:customStyle="1" w:styleId="contribdegrees">
    <w:name w:val="contribdegrees"/>
    <w:basedOn w:val="DefaultParagraphFont"/>
    <w:rsid w:val="00D55208"/>
  </w:style>
  <w:style w:type="character" w:customStyle="1" w:styleId="accordion-tabbedtab-mobile">
    <w:name w:val="accordion-tabbed__tab-mobile"/>
    <w:basedOn w:val="DefaultParagraphFont"/>
    <w:rsid w:val="00D55208"/>
  </w:style>
  <w:style w:type="character" w:customStyle="1" w:styleId="al-author-name-more">
    <w:name w:val="al-author-name-more"/>
    <w:basedOn w:val="DefaultParagraphFont"/>
    <w:rsid w:val="00DE7224"/>
  </w:style>
  <w:style w:type="character" w:customStyle="1" w:styleId="delimiter">
    <w:name w:val="delimiter"/>
    <w:basedOn w:val="DefaultParagraphFont"/>
    <w:rsid w:val="00DE7224"/>
  </w:style>
  <w:style w:type="character" w:customStyle="1" w:styleId="Heading3Char">
    <w:name w:val="Heading 3 Char"/>
    <w:basedOn w:val="DefaultParagraphFont"/>
    <w:link w:val="Heading3"/>
    <w:uiPriority w:val="9"/>
    <w:semiHidden/>
    <w:rsid w:val="003E743D"/>
    <w:rPr>
      <w:rFonts w:asciiTheme="majorHAnsi" w:eastAsiaTheme="majorEastAsia" w:hAnsiTheme="majorHAnsi" w:cstheme="majorBidi"/>
      <w:color w:val="1F3763" w:themeColor="accent1" w:themeShade="7F"/>
    </w:rPr>
  </w:style>
  <w:style w:type="character" w:customStyle="1" w:styleId="UnresolvedMention1">
    <w:name w:val="Unresolved Mention1"/>
    <w:basedOn w:val="DefaultParagraphFont"/>
    <w:uiPriority w:val="99"/>
    <w:semiHidden/>
    <w:unhideWhenUsed/>
    <w:rsid w:val="00412BD5"/>
    <w:rPr>
      <w:color w:val="605E5C"/>
      <w:shd w:val="clear" w:color="auto" w:fill="E1DFDD"/>
    </w:rPr>
  </w:style>
  <w:style w:type="character" w:styleId="FollowedHyperlink">
    <w:name w:val="FollowedHyperlink"/>
    <w:basedOn w:val="DefaultParagraphFont"/>
    <w:uiPriority w:val="99"/>
    <w:semiHidden/>
    <w:unhideWhenUsed/>
    <w:rsid w:val="00412BD5"/>
    <w:rPr>
      <w:color w:val="954F72" w:themeColor="followedHyperlink"/>
      <w:u w:val="single"/>
    </w:rPr>
  </w:style>
  <w:style w:type="paragraph" w:styleId="NoSpacing">
    <w:name w:val="No Spacing"/>
    <w:uiPriority w:val="1"/>
    <w:qFormat/>
    <w:rsid w:val="009A4F44"/>
    <w:rPr>
      <w:rFonts w:eastAsia="SimSun"/>
      <w:sz w:val="22"/>
      <w:szCs w:val="22"/>
      <w:lang w:val="en-CA" w:eastAsia="en-US"/>
    </w:rPr>
  </w:style>
  <w:style w:type="character" w:styleId="Strong">
    <w:name w:val="Strong"/>
    <w:basedOn w:val="DefaultParagraphFont"/>
    <w:uiPriority w:val="22"/>
    <w:qFormat/>
    <w:rsid w:val="00C6648B"/>
    <w:rPr>
      <w:b/>
      <w:bCs/>
    </w:rPr>
  </w:style>
  <w:style w:type="paragraph" w:styleId="NormalWeb">
    <w:name w:val="Normal (Web)"/>
    <w:basedOn w:val="Normal"/>
    <w:uiPriority w:val="99"/>
    <w:unhideWhenUsed/>
    <w:rsid w:val="00DF4323"/>
    <w:pPr>
      <w:spacing w:before="100" w:beforeAutospacing="1" w:after="100" w:afterAutospacing="1"/>
    </w:pPr>
  </w:style>
  <w:style w:type="character" w:customStyle="1" w:styleId="Heading4Char">
    <w:name w:val="Heading 4 Char"/>
    <w:basedOn w:val="DefaultParagraphFont"/>
    <w:link w:val="Heading4"/>
    <w:uiPriority w:val="9"/>
    <w:semiHidden/>
    <w:rsid w:val="0095381D"/>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A77B7B"/>
    <w:pPr>
      <w:tabs>
        <w:tab w:val="center" w:pos="4680"/>
        <w:tab w:val="right" w:pos="9360"/>
      </w:tabs>
    </w:pPr>
  </w:style>
  <w:style w:type="character" w:customStyle="1" w:styleId="HeaderChar">
    <w:name w:val="Header Char"/>
    <w:basedOn w:val="DefaultParagraphFont"/>
    <w:link w:val="Header"/>
    <w:uiPriority w:val="99"/>
    <w:rsid w:val="00A77B7B"/>
    <w:rPr>
      <w:rFonts w:ascii="Times New Roman" w:eastAsia="Times New Roman" w:hAnsi="Times New Roman" w:cs="Times New Roman"/>
      <w:lang w:eastAsia="en-US"/>
    </w:rPr>
  </w:style>
  <w:style w:type="table" w:styleId="PlainTable4">
    <w:name w:val="Plain Table 4"/>
    <w:basedOn w:val="TableNormal"/>
    <w:uiPriority w:val="44"/>
    <w:rsid w:val="00DF6032"/>
    <w:rPr>
      <w:kern w:val="2"/>
      <w:lang w:val="en-CA"/>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235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9446">
      <w:bodyDiv w:val="1"/>
      <w:marLeft w:val="0"/>
      <w:marRight w:val="0"/>
      <w:marTop w:val="0"/>
      <w:marBottom w:val="0"/>
      <w:divBdr>
        <w:top w:val="none" w:sz="0" w:space="0" w:color="auto"/>
        <w:left w:val="none" w:sz="0" w:space="0" w:color="auto"/>
        <w:bottom w:val="none" w:sz="0" w:space="0" w:color="auto"/>
        <w:right w:val="none" w:sz="0" w:space="0" w:color="auto"/>
      </w:divBdr>
    </w:div>
    <w:div w:id="46954996">
      <w:bodyDiv w:val="1"/>
      <w:marLeft w:val="0"/>
      <w:marRight w:val="0"/>
      <w:marTop w:val="0"/>
      <w:marBottom w:val="0"/>
      <w:divBdr>
        <w:top w:val="none" w:sz="0" w:space="0" w:color="auto"/>
        <w:left w:val="none" w:sz="0" w:space="0" w:color="auto"/>
        <w:bottom w:val="none" w:sz="0" w:space="0" w:color="auto"/>
        <w:right w:val="none" w:sz="0" w:space="0" w:color="auto"/>
      </w:divBdr>
    </w:div>
    <w:div w:id="83689940">
      <w:bodyDiv w:val="1"/>
      <w:marLeft w:val="0"/>
      <w:marRight w:val="0"/>
      <w:marTop w:val="0"/>
      <w:marBottom w:val="0"/>
      <w:divBdr>
        <w:top w:val="none" w:sz="0" w:space="0" w:color="auto"/>
        <w:left w:val="none" w:sz="0" w:space="0" w:color="auto"/>
        <w:bottom w:val="none" w:sz="0" w:space="0" w:color="auto"/>
        <w:right w:val="none" w:sz="0" w:space="0" w:color="auto"/>
      </w:divBdr>
    </w:div>
    <w:div w:id="102847109">
      <w:bodyDiv w:val="1"/>
      <w:marLeft w:val="0"/>
      <w:marRight w:val="0"/>
      <w:marTop w:val="0"/>
      <w:marBottom w:val="0"/>
      <w:divBdr>
        <w:top w:val="none" w:sz="0" w:space="0" w:color="auto"/>
        <w:left w:val="none" w:sz="0" w:space="0" w:color="auto"/>
        <w:bottom w:val="none" w:sz="0" w:space="0" w:color="auto"/>
        <w:right w:val="none" w:sz="0" w:space="0" w:color="auto"/>
      </w:divBdr>
    </w:div>
    <w:div w:id="113908566">
      <w:bodyDiv w:val="1"/>
      <w:marLeft w:val="0"/>
      <w:marRight w:val="0"/>
      <w:marTop w:val="0"/>
      <w:marBottom w:val="0"/>
      <w:divBdr>
        <w:top w:val="none" w:sz="0" w:space="0" w:color="auto"/>
        <w:left w:val="none" w:sz="0" w:space="0" w:color="auto"/>
        <w:bottom w:val="none" w:sz="0" w:space="0" w:color="auto"/>
        <w:right w:val="none" w:sz="0" w:space="0" w:color="auto"/>
      </w:divBdr>
    </w:div>
    <w:div w:id="118034272">
      <w:bodyDiv w:val="1"/>
      <w:marLeft w:val="0"/>
      <w:marRight w:val="0"/>
      <w:marTop w:val="0"/>
      <w:marBottom w:val="0"/>
      <w:divBdr>
        <w:top w:val="none" w:sz="0" w:space="0" w:color="auto"/>
        <w:left w:val="none" w:sz="0" w:space="0" w:color="auto"/>
        <w:bottom w:val="none" w:sz="0" w:space="0" w:color="auto"/>
        <w:right w:val="none" w:sz="0" w:space="0" w:color="auto"/>
      </w:divBdr>
    </w:div>
    <w:div w:id="195123515">
      <w:bodyDiv w:val="1"/>
      <w:marLeft w:val="0"/>
      <w:marRight w:val="0"/>
      <w:marTop w:val="0"/>
      <w:marBottom w:val="0"/>
      <w:divBdr>
        <w:top w:val="none" w:sz="0" w:space="0" w:color="auto"/>
        <w:left w:val="none" w:sz="0" w:space="0" w:color="auto"/>
        <w:bottom w:val="none" w:sz="0" w:space="0" w:color="auto"/>
        <w:right w:val="none" w:sz="0" w:space="0" w:color="auto"/>
      </w:divBdr>
    </w:div>
    <w:div w:id="248926132">
      <w:bodyDiv w:val="1"/>
      <w:marLeft w:val="0"/>
      <w:marRight w:val="0"/>
      <w:marTop w:val="0"/>
      <w:marBottom w:val="0"/>
      <w:divBdr>
        <w:top w:val="none" w:sz="0" w:space="0" w:color="auto"/>
        <w:left w:val="none" w:sz="0" w:space="0" w:color="auto"/>
        <w:bottom w:val="none" w:sz="0" w:space="0" w:color="auto"/>
        <w:right w:val="none" w:sz="0" w:space="0" w:color="auto"/>
      </w:divBdr>
    </w:div>
    <w:div w:id="266624473">
      <w:bodyDiv w:val="1"/>
      <w:marLeft w:val="0"/>
      <w:marRight w:val="0"/>
      <w:marTop w:val="0"/>
      <w:marBottom w:val="0"/>
      <w:divBdr>
        <w:top w:val="none" w:sz="0" w:space="0" w:color="auto"/>
        <w:left w:val="none" w:sz="0" w:space="0" w:color="auto"/>
        <w:bottom w:val="none" w:sz="0" w:space="0" w:color="auto"/>
        <w:right w:val="none" w:sz="0" w:space="0" w:color="auto"/>
      </w:divBdr>
      <w:divsChild>
        <w:div w:id="207184389">
          <w:marLeft w:val="0"/>
          <w:marRight w:val="0"/>
          <w:marTop w:val="225"/>
          <w:marBottom w:val="225"/>
          <w:divBdr>
            <w:top w:val="none" w:sz="0" w:space="0" w:color="auto"/>
            <w:left w:val="none" w:sz="0" w:space="0" w:color="auto"/>
            <w:bottom w:val="none" w:sz="0" w:space="0" w:color="auto"/>
            <w:right w:val="none" w:sz="0" w:space="0" w:color="auto"/>
          </w:divBdr>
          <w:divsChild>
            <w:div w:id="1583100048">
              <w:marLeft w:val="0"/>
              <w:marRight w:val="0"/>
              <w:marTop w:val="0"/>
              <w:marBottom w:val="0"/>
              <w:divBdr>
                <w:top w:val="none" w:sz="0" w:space="0" w:color="auto"/>
                <w:left w:val="none" w:sz="0" w:space="0" w:color="auto"/>
                <w:bottom w:val="none" w:sz="0" w:space="0" w:color="auto"/>
                <w:right w:val="none" w:sz="0" w:space="0" w:color="auto"/>
              </w:divBdr>
              <w:divsChild>
                <w:div w:id="520899592">
                  <w:marLeft w:val="0"/>
                  <w:marRight w:val="0"/>
                  <w:marTop w:val="0"/>
                  <w:marBottom w:val="0"/>
                  <w:divBdr>
                    <w:top w:val="none" w:sz="0" w:space="0" w:color="auto"/>
                    <w:left w:val="none" w:sz="0" w:space="0" w:color="auto"/>
                    <w:bottom w:val="none" w:sz="0" w:space="0" w:color="auto"/>
                    <w:right w:val="none" w:sz="0" w:space="0" w:color="auto"/>
                  </w:divBdr>
                  <w:divsChild>
                    <w:div w:id="9831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87880">
      <w:bodyDiv w:val="1"/>
      <w:marLeft w:val="0"/>
      <w:marRight w:val="0"/>
      <w:marTop w:val="0"/>
      <w:marBottom w:val="0"/>
      <w:divBdr>
        <w:top w:val="none" w:sz="0" w:space="0" w:color="auto"/>
        <w:left w:val="none" w:sz="0" w:space="0" w:color="auto"/>
        <w:bottom w:val="none" w:sz="0" w:space="0" w:color="auto"/>
        <w:right w:val="none" w:sz="0" w:space="0" w:color="auto"/>
      </w:divBdr>
    </w:div>
    <w:div w:id="314726195">
      <w:bodyDiv w:val="1"/>
      <w:marLeft w:val="0"/>
      <w:marRight w:val="0"/>
      <w:marTop w:val="0"/>
      <w:marBottom w:val="0"/>
      <w:divBdr>
        <w:top w:val="none" w:sz="0" w:space="0" w:color="auto"/>
        <w:left w:val="none" w:sz="0" w:space="0" w:color="auto"/>
        <w:bottom w:val="none" w:sz="0" w:space="0" w:color="auto"/>
        <w:right w:val="none" w:sz="0" w:space="0" w:color="auto"/>
      </w:divBdr>
    </w:div>
    <w:div w:id="358943247">
      <w:bodyDiv w:val="1"/>
      <w:marLeft w:val="0"/>
      <w:marRight w:val="0"/>
      <w:marTop w:val="0"/>
      <w:marBottom w:val="0"/>
      <w:divBdr>
        <w:top w:val="none" w:sz="0" w:space="0" w:color="auto"/>
        <w:left w:val="none" w:sz="0" w:space="0" w:color="auto"/>
        <w:bottom w:val="none" w:sz="0" w:space="0" w:color="auto"/>
        <w:right w:val="none" w:sz="0" w:space="0" w:color="auto"/>
      </w:divBdr>
    </w:div>
    <w:div w:id="365568068">
      <w:bodyDiv w:val="1"/>
      <w:marLeft w:val="0"/>
      <w:marRight w:val="0"/>
      <w:marTop w:val="0"/>
      <w:marBottom w:val="0"/>
      <w:divBdr>
        <w:top w:val="none" w:sz="0" w:space="0" w:color="auto"/>
        <w:left w:val="none" w:sz="0" w:space="0" w:color="auto"/>
        <w:bottom w:val="none" w:sz="0" w:space="0" w:color="auto"/>
        <w:right w:val="none" w:sz="0" w:space="0" w:color="auto"/>
      </w:divBdr>
    </w:div>
    <w:div w:id="398939087">
      <w:bodyDiv w:val="1"/>
      <w:marLeft w:val="0"/>
      <w:marRight w:val="0"/>
      <w:marTop w:val="0"/>
      <w:marBottom w:val="0"/>
      <w:divBdr>
        <w:top w:val="none" w:sz="0" w:space="0" w:color="auto"/>
        <w:left w:val="none" w:sz="0" w:space="0" w:color="auto"/>
        <w:bottom w:val="none" w:sz="0" w:space="0" w:color="auto"/>
        <w:right w:val="none" w:sz="0" w:space="0" w:color="auto"/>
      </w:divBdr>
    </w:div>
    <w:div w:id="442117184">
      <w:bodyDiv w:val="1"/>
      <w:marLeft w:val="0"/>
      <w:marRight w:val="0"/>
      <w:marTop w:val="0"/>
      <w:marBottom w:val="0"/>
      <w:divBdr>
        <w:top w:val="none" w:sz="0" w:space="0" w:color="auto"/>
        <w:left w:val="none" w:sz="0" w:space="0" w:color="auto"/>
        <w:bottom w:val="none" w:sz="0" w:space="0" w:color="auto"/>
        <w:right w:val="none" w:sz="0" w:space="0" w:color="auto"/>
      </w:divBdr>
    </w:div>
    <w:div w:id="475342788">
      <w:bodyDiv w:val="1"/>
      <w:marLeft w:val="0"/>
      <w:marRight w:val="0"/>
      <w:marTop w:val="0"/>
      <w:marBottom w:val="0"/>
      <w:divBdr>
        <w:top w:val="none" w:sz="0" w:space="0" w:color="auto"/>
        <w:left w:val="none" w:sz="0" w:space="0" w:color="auto"/>
        <w:bottom w:val="none" w:sz="0" w:space="0" w:color="auto"/>
        <w:right w:val="none" w:sz="0" w:space="0" w:color="auto"/>
      </w:divBdr>
    </w:div>
    <w:div w:id="497041620">
      <w:bodyDiv w:val="1"/>
      <w:marLeft w:val="0"/>
      <w:marRight w:val="0"/>
      <w:marTop w:val="0"/>
      <w:marBottom w:val="0"/>
      <w:divBdr>
        <w:top w:val="none" w:sz="0" w:space="0" w:color="auto"/>
        <w:left w:val="none" w:sz="0" w:space="0" w:color="auto"/>
        <w:bottom w:val="none" w:sz="0" w:space="0" w:color="auto"/>
        <w:right w:val="none" w:sz="0" w:space="0" w:color="auto"/>
      </w:divBdr>
    </w:div>
    <w:div w:id="539099962">
      <w:bodyDiv w:val="1"/>
      <w:marLeft w:val="0"/>
      <w:marRight w:val="0"/>
      <w:marTop w:val="0"/>
      <w:marBottom w:val="0"/>
      <w:divBdr>
        <w:top w:val="none" w:sz="0" w:space="0" w:color="auto"/>
        <w:left w:val="none" w:sz="0" w:space="0" w:color="auto"/>
        <w:bottom w:val="none" w:sz="0" w:space="0" w:color="auto"/>
        <w:right w:val="none" w:sz="0" w:space="0" w:color="auto"/>
      </w:divBdr>
    </w:div>
    <w:div w:id="608662184">
      <w:bodyDiv w:val="1"/>
      <w:marLeft w:val="0"/>
      <w:marRight w:val="0"/>
      <w:marTop w:val="0"/>
      <w:marBottom w:val="0"/>
      <w:divBdr>
        <w:top w:val="none" w:sz="0" w:space="0" w:color="auto"/>
        <w:left w:val="none" w:sz="0" w:space="0" w:color="auto"/>
        <w:bottom w:val="none" w:sz="0" w:space="0" w:color="auto"/>
        <w:right w:val="none" w:sz="0" w:space="0" w:color="auto"/>
      </w:divBdr>
    </w:div>
    <w:div w:id="621307374">
      <w:bodyDiv w:val="1"/>
      <w:marLeft w:val="0"/>
      <w:marRight w:val="0"/>
      <w:marTop w:val="0"/>
      <w:marBottom w:val="0"/>
      <w:divBdr>
        <w:top w:val="none" w:sz="0" w:space="0" w:color="auto"/>
        <w:left w:val="none" w:sz="0" w:space="0" w:color="auto"/>
        <w:bottom w:val="none" w:sz="0" w:space="0" w:color="auto"/>
        <w:right w:val="none" w:sz="0" w:space="0" w:color="auto"/>
      </w:divBdr>
    </w:div>
    <w:div w:id="662247510">
      <w:bodyDiv w:val="1"/>
      <w:marLeft w:val="0"/>
      <w:marRight w:val="0"/>
      <w:marTop w:val="0"/>
      <w:marBottom w:val="0"/>
      <w:divBdr>
        <w:top w:val="none" w:sz="0" w:space="0" w:color="auto"/>
        <w:left w:val="none" w:sz="0" w:space="0" w:color="auto"/>
        <w:bottom w:val="none" w:sz="0" w:space="0" w:color="auto"/>
        <w:right w:val="none" w:sz="0" w:space="0" w:color="auto"/>
      </w:divBdr>
      <w:divsChild>
        <w:div w:id="1106657194">
          <w:marLeft w:val="0"/>
          <w:marRight w:val="0"/>
          <w:marTop w:val="0"/>
          <w:marBottom w:val="0"/>
          <w:divBdr>
            <w:top w:val="none" w:sz="0" w:space="0" w:color="auto"/>
            <w:left w:val="none" w:sz="0" w:space="0" w:color="auto"/>
            <w:bottom w:val="none" w:sz="0" w:space="0" w:color="auto"/>
            <w:right w:val="none" w:sz="0" w:space="0" w:color="auto"/>
          </w:divBdr>
          <w:divsChild>
            <w:div w:id="518544115">
              <w:marLeft w:val="0"/>
              <w:marRight w:val="0"/>
              <w:marTop w:val="0"/>
              <w:marBottom w:val="0"/>
              <w:divBdr>
                <w:top w:val="none" w:sz="0" w:space="0" w:color="auto"/>
                <w:left w:val="none" w:sz="0" w:space="0" w:color="auto"/>
                <w:bottom w:val="none" w:sz="0" w:space="0" w:color="auto"/>
                <w:right w:val="none" w:sz="0" w:space="0" w:color="auto"/>
              </w:divBdr>
            </w:div>
          </w:divsChild>
        </w:div>
        <w:div w:id="1154830739">
          <w:marLeft w:val="0"/>
          <w:marRight w:val="0"/>
          <w:marTop w:val="0"/>
          <w:marBottom w:val="150"/>
          <w:divBdr>
            <w:top w:val="none" w:sz="0" w:space="0" w:color="auto"/>
            <w:left w:val="none" w:sz="0" w:space="0" w:color="auto"/>
            <w:bottom w:val="none" w:sz="0" w:space="0" w:color="auto"/>
            <w:right w:val="none" w:sz="0" w:space="0" w:color="auto"/>
          </w:divBdr>
          <w:divsChild>
            <w:div w:id="1784376856">
              <w:marLeft w:val="0"/>
              <w:marRight w:val="0"/>
              <w:marTop w:val="0"/>
              <w:marBottom w:val="0"/>
              <w:divBdr>
                <w:top w:val="none" w:sz="0" w:space="0" w:color="auto"/>
                <w:left w:val="none" w:sz="0" w:space="0" w:color="auto"/>
                <w:bottom w:val="none" w:sz="0" w:space="0" w:color="auto"/>
                <w:right w:val="none" w:sz="0" w:space="0" w:color="auto"/>
              </w:divBdr>
              <w:divsChild>
                <w:div w:id="1281104183">
                  <w:marLeft w:val="0"/>
                  <w:marRight w:val="0"/>
                  <w:marTop w:val="0"/>
                  <w:marBottom w:val="0"/>
                  <w:divBdr>
                    <w:top w:val="none" w:sz="0" w:space="0" w:color="auto"/>
                    <w:left w:val="none" w:sz="0" w:space="0" w:color="auto"/>
                    <w:bottom w:val="none" w:sz="0" w:space="0" w:color="auto"/>
                    <w:right w:val="none" w:sz="0" w:space="0" w:color="auto"/>
                  </w:divBdr>
                  <w:divsChild>
                    <w:div w:id="574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98751">
      <w:bodyDiv w:val="1"/>
      <w:marLeft w:val="0"/>
      <w:marRight w:val="0"/>
      <w:marTop w:val="0"/>
      <w:marBottom w:val="0"/>
      <w:divBdr>
        <w:top w:val="none" w:sz="0" w:space="0" w:color="auto"/>
        <w:left w:val="none" w:sz="0" w:space="0" w:color="auto"/>
        <w:bottom w:val="none" w:sz="0" w:space="0" w:color="auto"/>
        <w:right w:val="none" w:sz="0" w:space="0" w:color="auto"/>
      </w:divBdr>
    </w:div>
    <w:div w:id="772941746">
      <w:bodyDiv w:val="1"/>
      <w:marLeft w:val="0"/>
      <w:marRight w:val="0"/>
      <w:marTop w:val="0"/>
      <w:marBottom w:val="0"/>
      <w:divBdr>
        <w:top w:val="none" w:sz="0" w:space="0" w:color="auto"/>
        <w:left w:val="none" w:sz="0" w:space="0" w:color="auto"/>
        <w:bottom w:val="none" w:sz="0" w:space="0" w:color="auto"/>
        <w:right w:val="none" w:sz="0" w:space="0" w:color="auto"/>
      </w:divBdr>
      <w:divsChild>
        <w:div w:id="982389988">
          <w:marLeft w:val="0"/>
          <w:marRight w:val="0"/>
          <w:marTop w:val="0"/>
          <w:marBottom w:val="0"/>
          <w:divBdr>
            <w:top w:val="none" w:sz="0" w:space="0" w:color="auto"/>
            <w:left w:val="none" w:sz="0" w:space="0" w:color="auto"/>
            <w:bottom w:val="none" w:sz="0" w:space="0" w:color="auto"/>
            <w:right w:val="none" w:sz="0" w:space="0" w:color="auto"/>
          </w:divBdr>
        </w:div>
        <w:div w:id="1323466452">
          <w:marLeft w:val="0"/>
          <w:marRight w:val="0"/>
          <w:marTop w:val="0"/>
          <w:marBottom w:val="0"/>
          <w:divBdr>
            <w:top w:val="none" w:sz="0" w:space="0" w:color="auto"/>
            <w:left w:val="none" w:sz="0" w:space="0" w:color="auto"/>
            <w:bottom w:val="none" w:sz="0" w:space="0" w:color="auto"/>
            <w:right w:val="none" w:sz="0" w:space="0" w:color="auto"/>
          </w:divBdr>
        </w:div>
        <w:div w:id="1905526218">
          <w:marLeft w:val="0"/>
          <w:marRight w:val="0"/>
          <w:marTop w:val="0"/>
          <w:marBottom w:val="0"/>
          <w:divBdr>
            <w:top w:val="none" w:sz="0" w:space="0" w:color="auto"/>
            <w:left w:val="none" w:sz="0" w:space="0" w:color="auto"/>
            <w:bottom w:val="none" w:sz="0" w:space="0" w:color="auto"/>
            <w:right w:val="none" w:sz="0" w:space="0" w:color="auto"/>
          </w:divBdr>
        </w:div>
      </w:divsChild>
    </w:div>
    <w:div w:id="786509305">
      <w:bodyDiv w:val="1"/>
      <w:marLeft w:val="0"/>
      <w:marRight w:val="0"/>
      <w:marTop w:val="0"/>
      <w:marBottom w:val="0"/>
      <w:divBdr>
        <w:top w:val="none" w:sz="0" w:space="0" w:color="auto"/>
        <w:left w:val="none" w:sz="0" w:space="0" w:color="auto"/>
        <w:bottom w:val="none" w:sz="0" w:space="0" w:color="auto"/>
        <w:right w:val="none" w:sz="0" w:space="0" w:color="auto"/>
      </w:divBdr>
    </w:div>
    <w:div w:id="820343054">
      <w:bodyDiv w:val="1"/>
      <w:marLeft w:val="0"/>
      <w:marRight w:val="0"/>
      <w:marTop w:val="0"/>
      <w:marBottom w:val="0"/>
      <w:divBdr>
        <w:top w:val="none" w:sz="0" w:space="0" w:color="auto"/>
        <w:left w:val="none" w:sz="0" w:space="0" w:color="auto"/>
        <w:bottom w:val="none" w:sz="0" w:space="0" w:color="auto"/>
        <w:right w:val="none" w:sz="0" w:space="0" w:color="auto"/>
      </w:divBdr>
    </w:div>
    <w:div w:id="831026241">
      <w:bodyDiv w:val="1"/>
      <w:marLeft w:val="0"/>
      <w:marRight w:val="0"/>
      <w:marTop w:val="0"/>
      <w:marBottom w:val="0"/>
      <w:divBdr>
        <w:top w:val="none" w:sz="0" w:space="0" w:color="auto"/>
        <w:left w:val="none" w:sz="0" w:space="0" w:color="auto"/>
        <w:bottom w:val="none" w:sz="0" w:space="0" w:color="auto"/>
        <w:right w:val="none" w:sz="0" w:space="0" w:color="auto"/>
      </w:divBdr>
      <w:divsChild>
        <w:div w:id="716391899">
          <w:marLeft w:val="0"/>
          <w:marRight w:val="0"/>
          <w:marTop w:val="0"/>
          <w:marBottom w:val="0"/>
          <w:divBdr>
            <w:top w:val="none" w:sz="0" w:space="0" w:color="auto"/>
            <w:left w:val="none" w:sz="0" w:space="0" w:color="auto"/>
            <w:bottom w:val="none" w:sz="0" w:space="0" w:color="auto"/>
            <w:right w:val="none" w:sz="0" w:space="0" w:color="auto"/>
          </w:divBdr>
        </w:div>
        <w:div w:id="1546790622">
          <w:marLeft w:val="0"/>
          <w:marRight w:val="0"/>
          <w:marTop w:val="0"/>
          <w:marBottom w:val="0"/>
          <w:divBdr>
            <w:top w:val="none" w:sz="0" w:space="0" w:color="auto"/>
            <w:left w:val="none" w:sz="0" w:space="0" w:color="auto"/>
            <w:bottom w:val="none" w:sz="0" w:space="0" w:color="auto"/>
            <w:right w:val="none" w:sz="0" w:space="0" w:color="auto"/>
          </w:divBdr>
          <w:divsChild>
            <w:div w:id="2071616417">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843283307">
      <w:bodyDiv w:val="1"/>
      <w:marLeft w:val="0"/>
      <w:marRight w:val="0"/>
      <w:marTop w:val="0"/>
      <w:marBottom w:val="0"/>
      <w:divBdr>
        <w:top w:val="none" w:sz="0" w:space="0" w:color="auto"/>
        <w:left w:val="none" w:sz="0" w:space="0" w:color="auto"/>
        <w:bottom w:val="none" w:sz="0" w:space="0" w:color="auto"/>
        <w:right w:val="none" w:sz="0" w:space="0" w:color="auto"/>
      </w:divBdr>
    </w:div>
    <w:div w:id="902636829">
      <w:bodyDiv w:val="1"/>
      <w:marLeft w:val="0"/>
      <w:marRight w:val="0"/>
      <w:marTop w:val="0"/>
      <w:marBottom w:val="0"/>
      <w:divBdr>
        <w:top w:val="none" w:sz="0" w:space="0" w:color="auto"/>
        <w:left w:val="none" w:sz="0" w:space="0" w:color="auto"/>
        <w:bottom w:val="none" w:sz="0" w:space="0" w:color="auto"/>
        <w:right w:val="none" w:sz="0" w:space="0" w:color="auto"/>
      </w:divBdr>
    </w:div>
    <w:div w:id="929850516">
      <w:bodyDiv w:val="1"/>
      <w:marLeft w:val="0"/>
      <w:marRight w:val="0"/>
      <w:marTop w:val="0"/>
      <w:marBottom w:val="0"/>
      <w:divBdr>
        <w:top w:val="none" w:sz="0" w:space="0" w:color="auto"/>
        <w:left w:val="none" w:sz="0" w:space="0" w:color="auto"/>
        <w:bottom w:val="none" w:sz="0" w:space="0" w:color="auto"/>
        <w:right w:val="none" w:sz="0" w:space="0" w:color="auto"/>
      </w:divBdr>
    </w:div>
    <w:div w:id="975839269">
      <w:bodyDiv w:val="1"/>
      <w:marLeft w:val="0"/>
      <w:marRight w:val="0"/>
      <w:marTop w:val="0"/>
      <w:marBottom w:val="0"/>
      <w:divBdr>
        <w:top w:val="none" w:sz="0" w:space="0" w:color="auto"/>
        <w:left w:val="none" w:sz="0" w:space="0" w:color="auto"/>
        <w:bottom w:val="none" w:sz="0" w:space="0" w:color="auto"/>
        <w:right w:val="none" w:sz="0" w:space="0" w:color="auto"/>
      </w:divBdr>
    </w:div>
    <w:div w:id="1009714282">
      <w:bodyDiv w:val="1"/>
      <w:marLeft w:val="0"/>
      <w:marRight w:val="0"/>
      <w:marTop w:val="0"/>
      <w:marBottom w:val="0"/>
      <w:divBdr>
        <w:top w:val="none" w:sz="0" w:space="0" w:color="auto"/>
        <w:left w:val="none" w:sz="0" w:space="0" w:color="auto"/>
        <w:bottom w:val="none" w:sz="0" w:space="0" w:color="auto"/>
        <w:right w:val="none" w:sz="0" w:space="0" w:color="auto"/>
      </w:divBdr>
    </w:div>
    <w:div w:id="1017583418">
      <w:bodyDiv w:val="1"/>
      <w:marLeft w:val="0"/>
      <w:marRight w:val="0"/>
      <w:marTop w:val="0"/>
      <w:marBottom w:val="0"/>
      <w:divBdr>
        <w:top w:val="none" w:sz="0" w:space="0" w:color="auto"/>
        <w:left w:val="none" w:sz="0" w:space="0" w:color="auto"/>
        <w:bottom w:val="none" w:sz="0" w:space="0" w:color="auto"/>
        <w:right w:val="none" w:sz="0" w:space="0" w:color="auto"/>
      </w:divBdr>
    </w:div>
    <w:div w:id="1033770377">
      <w:bodyDiv w:val="1"/>
      <w:marLeft w:val="0"/>
      <w:marRight w:val="0"/>
      <w:marTop w:val="0"/>
      <w:marBottom w:val="0"/>
      <w:divBdr>
        <w:top w:val="none" w:sz="0" w:space="0" w:color="auto"/>
        <w:left w:val="none" w:sz="0" w:space="0" w:color="auto"/>
        <w:bottom w:val="none" w:sz="0" w:space="0" w:color="auto"/>
        <w:right w:val="none" w:sz="0" w:space="0" w:color="auto"/>
      </w:divBdr>
    </w:div>
    <w:div w:id="1049501242">
      <w:bodyDiv w:val="1"/>
      <w:marLeft w:val="0"/>
      <w:marRight w:val="0"/>
      <w:marTop w:val="0"/>
      <w:marBottom w:val="0"/>
      <w:divBdr>
        <w:top w:val="none" w:sz="0" w:space="0" w:color="auto"/>
        <w:left w:val="none" w:sz="0" w:space="0" w:color="auto"/>
        <w:bottom w:val="none" w:sz="0" w:space="0" w:color="auto"/>
        <w:right w:val="none" w:sz="0" w:space="0" w:color="auto"/>
      </w:divBdr>
    </w:div>
    <w:div w:id="1051151145">
      <w:bodyDiv w:val="1"/>
      <w:marLeft w:val="0"/>
      <w:marRight w:val="0"/>
      <w:marTop w:val="0"/>
      <w:marBottom w:val="0"/>
      <w:divBdr>
        <w:top w:val="none" w:sz="0" w:space="0" w:color="auto"/>
        <w:left w:val="none" w:sz="0" w:space="0" w:color="auto"/>
        <w:bottom w:val="none" w:sz="0" w:space="0" w:color="auto"/>
        <w:right w:val="none" w:sz="0" w:space="0" w:color="auto"/>
      </w:divBdr>
    </w:div>
    <w:div w:id="1052847701">
      <w:bodyDiv w:val="1"/>
      <w:marLeft w:val="0"/>
      <w:marRight w:val="0"/>
      <w:marTop w:val="0"/>
      <w:marBottom w:val="0"/>
      <w:divBdr>
        <w:top w:val="none" w:sz="0" w:space="0" w:color="auto"/>
        <w:left w:val="none" w:sz="0" w:space="0" w:color="auto"/>
        <w:bottom w:val="none" w:sz="0" w:space="0" w:color="auto"/>
        <w:right w:val="none" w:sz="0" w:space="0" w:color="auto"/>
      </w:divBdr>
    </w:div>
    <w:div w:id="1053232062">
      <w:bodyDiv w:val="1"/>
      <w:marLeft w:val="0"/>
      <w:marRight w:val="0"/>
      <w:marTop w:val="0"/>
      <w:marBottom w:val="0"/>
      <w:divBdr>
        <w:top w:val="none" w:sz="0" w:space="0" w:color="auto"/>
        <w:left w:val="none" w:sz="0" w:space="0" w:color="auto"/>
        <w:bottom w:val="none" w:sz="0" w:space="0" w:color="auto"/>
        <w:right w:val="none" w:sz="0" w:space="0" w:color="auto"/>
      </w:divBdr>
    </w:div>
    <w:div w:id="1067656255">
      <w:bodyDiv w:val="1"/>
      <w:marLeft w:val="0"/>
      <w:marRight w:val="0"/>
      <w:marTop w:val="0"/>
      <w:marBottom w:val="0"/>
      <w:divBdr>
        <w:top w:val="none" w:sz="0" w:space="0" w:color="auto"/>
        <w:left w:val="none" w:sz="0" w:space="0" w:color="auto"/>
        <w:bottom w:val="none" w:sz="0" w:space="0" w:color="auto"/>
        <w:right w:val="none" w:sz="0" w:space="0" w:color="auto"/>
      </w:divBdr>
    </w:div>
    <w:div w:id="1070730618">
      <w:bodyDiv w:val="1"/>
      <w:marLeft w:val="0"/>
      <w:marRight w:val="0"/>
      <w:marTop w:val="0"/>
      <w:marBottom w:val="0"/>
      <w:divBdr>
        <w:top w:val="none" w:sz="0" w:space="0" w:color="auto"/>
        <w:left w:val="none" w:sz="0" w:space="0" w:color="auto"/>
        <w:bottom w:val="none" w:sz="0" w:space="0" w:color="auto"/>
        <w:right w:val="none" w:sz="0" w:space="0" w:color="auto"/>
      </w:divBdr>
    </w:div>
    <w:div w:id="1082872751">
      <w:bodyDiv w:val="1"/>
      <w:marLeft w:val="0"/>
      <w:marRight w:val="0"/>
      <w:marTop w:val="0"/>
      <w:marBottom w:val="0"/>
      <w:divBdr>
        <w:top w:val="none" w:sz="0" w:space="0" w:color="auto"/>
        <w:left w:val="none" w:sz="0" w:space="0" w:color="auto"/>
        <w:bottom w:val="none" w:sz="0" w:space="0" w:color="auto"/>
        <w:right w:val="none" w:sz="0" w:space="0" w:color="auto"/>
      </w:divBdr>
      <w:divsChild>
        <w:div w:id="27026360">
          <w:marLeft w:val="0"/>
          <w:marRight w:val="0"/>
          <w:marTop w:val="0"/>
          <w:marBottom w:val="0"/>
          <w:divBdr>
            <w:top w:val="none" w:sz="0" w:space="0" w:color="auto"/>
            <w:left w:val="none" w:sz="0" w:space="0" w:color="auto"/>
            <w:bottom w:val="none" w:sz="0" w:space="0" w:color="auto"/>
            <w:right w:val="none" w:sz="0" w:space="0" w:color="auto"/>
          </w:divBdr>
          <w:divsChild>
            <w:div w:id="2250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24238">
      <w:bodyDiv w:val="1"/>
      <w:marLeft w:val="0"/>
      <w:marRight w:val="0"/>
      <w:marTop w:val="0"/>
      <w:marBottom w:val="0"/>
      <w:divBdr>
        <w:top w:val="none" w:sz="0" w:space="0" w:color="auto"/>
        <w:left w:val="none" w:sz="0" w:space="0" w:color="auto"/>
        <w:bottom w:val="none" w:sz="0" w:space="0" w:color="auto"/>
        <w:right w:val="none" w:sz="0" w:space="0" w:color="auto"/>
      </w:divBdr>
    </w:div>
    <w:div w:id="1111626802">
      <w:bodyDiv w:val="1"/>
      <w:marLeft w:val="0"/>
      <w:marRight w:val="0"/>
      <w:marTop w:val="0"/>
      <w:marBottom w:val="0"/>
      <w:divBdr>
        <w:top w:val="none" w:sz="0" w:space="0" w:color="auto"/>
        <w:left w:val="none" w:sz="0" w:space="0" w:color="auto"/>
        <w:bottom w:val="none" w:sz="0" w:space="0" w:color="auto"/>
        <w:right w:val="none" w:sz="0" w:space="0" w:color="auto"/>
      </w:divBdr>
    </w:div>
    <w:div w:id="1117599039">
      <w:bodyDiv w:val="1"/>
      <w:marLeft w:val="0"/>
      <w:marRight w:val="0"/>
      <w:marTop w:val="0"/>
      <w:marBottom w:val="0"/>
      <w:divBdr>
        <w:top w:val="none" w:sz="0" w:space="0" w:color="auto"/>
        <w:left w:val="none" w:sz="0" w:space="0" w:color="auto"/>
        <w:bottom w:val="none" w:sz="0" w:space="0" w:color="auto"/>
        <w:right w:val="none" w:sz="0" w:space="0" w:color="auto"/>
      </w:divBdr>
    </w:div>
    <w:div w:id="1135610755">
      <w:bodyDiv w:val="1"/>
      <w:marLeft w:val="0"/>
      <w:marRight w:val="0"/>
      <w:marTop w:val="0"/>
      <w:marBottom w:val="0"/>
      <w:divBdr>
        <w:top w:val="none" w:sz="0" w:space="0" w:color="auto"/>
        <w:left w:val="none" w:sz="0" w:space="0" w:color="auto"/>
        <w:bottom w:val="none" w:sz="0" w:space="0" w:color="auto"/>
        <w:right w:val="none" w:sz="0" w:space="0" w:color="auto"/>
      </w:divBdr>
      <w:divsChild>
        <w:div w:id="160628776">
          <w:marLeft w:val="0"/>
          <w:marRight w:val="0"/>
          <w:marTop w:val="0"/>
          <w:marBottom w:val="0"/>
          <w:divBdr>
            <w:top w:val="none" w:sz="0" w:space="0" w:color="auto"/>
            <w:left w:val="none" w:sz="0" w:space="0" w:color="auto"/>
            <w:bottom w:val="none" w:sz="0" w:space="0" w:color="auto"/>
            <w:right w:val="none" w:sz="0" w:space="0" w:color="auto"/>
          </w:divBdr>
        </w:div>
        <w:div w:id="311562623">
          <w:marLeft w:val="0"/>
          <w:marRight w:val="0"/>
          <w:marTop w:val="0"/>
          <w:marBottom w:val="0"/>
          <w:divBdr>
            <w:top w:val="none" w:sz="0" w:space="0" w:color="auto"/>
            <w:left w:val="none" w:sz="0" w:space="0" w:color="auto"/>
            <w:bottom w:val="none" w:sz="0" w:space="0" w:color="auto"/>
            <w:right w:val="none" w:sz="0" w:space="0" w:color="auto"/>
          </w:divBdr>
        </w:div>
        <w:div w:id="333142622">
          <w:marLeft w:val="0"/>
          <w:marRight w:val="0"/>
          <w:marTop w:val="0"/>
          <w:marBottom w:val="0"/>
          <w:divBdr>
            <w:top w:val="none" w:sz="0" w:space="0" w:color="auto"/>
            <w:left w:val="none" w:sz="0" w:space="0" w:color="auto"/>
            <w:bottom w:val="none" w:sz="0" w:space="0" w:color="auto"/>
            <w:right w:val="none" w:sz="0" w:space="0" w:color="auto"/>
          </w:divBdr>
        </w:div>
        <w:div w:id="706026835">
          <w:marLeft w:val="0"/>
          <w:marRight w:val="0"/>
          <w:marTop w:val="0"/>
          <w:marBottom w:val="0"/>
          <w:divBdr>
            <w:top w:val="none" w:sz="0" w:space="0" w:color="auto"/>
            <w:left w:val="none" w:sz="0" w:space="0" w:color="auto"/>
            <w:bottom w:val="none" w:sz="0" w:space="0" w:color="auto"/>
            <w:right w:val="none" w:sz="0" w:space="0" w:color="auto"/>
          </w:divBdr>
        </w:div>
        <w:div w:id="904922027">
          <w:marLeft w:val="0"/>
          <w:marRight w:val="0"/>
          <w:marTop w:val="0"/>
          <w:marBottom w:val="0"/>
          <w:divBdr>
            <w:top w:val="none" w:sz="0" w:space="0" w:color="auto"/>
            <w:left w:val="none" w:sz="0" w:space="0" w:color="auto"/>
            <w:bottom w:val="none" w:sz="0" w:space="0" w:color="auto"/>
            <w:right w:val="none" w:sz="0" w:space="0" w:color="auto"/>
          </w:divBdr>
        </w:div>
        <w:div w:id="1498810533">
          <w:marLeft w:val="0"/>
          <w:marRight w:val="0"/>
          <w:marTop w:val="0"/>
          <w:marBottom w:val="0"/>
          <w:divBdr>
            <w:top w:val="none" w:sz="0" w:space="0" w:color="auto"/>
            <w:left w:val="none" w:sz="0" w:space="0" w:color="auto"/>
            <w:bottom w:val="none" w:sz="0" w:space="0" w:color="auto"/>
            <w:right w:val="none" w:sz="0" w:space="0" w:color="auto"/>
          </w:divBdr>
        </w:div>
      </w:divsChild>
    </w:div>
    <w:div w:id="1142306085">
      <w:bodyDiv w:val="1"/>
      <w:marLeft w:val="0"/>
      <w:marRight w:val="0"/>
      <w:marTop w:val="0"/>
      <w:marBottom w:val="0"/>
      <w:divBdr>
        <w:top w:val="none" w:sz="0" w:space="0" w:color="auto"/>
        <w:left w:val="none" w:sz="0" w:space="0" w:color="auto"/>
        <w:bottom w:val="none" w:sz="0" w:space="0" w:color="auto"/>
        <w:right w:val="none" w:sz="0" w:space="0" w:color="auto"/>
      </w:divBdr>
    </w:div>
    <w:div w:id="1153720607">
      <w:bodyDiv w:val="1"/>
      <w:marLeft w:val="0"/>
      <w:marRight w:val="0"/>
      <w:marTop w:val="0"/>
      <w:marBottom w:val="0"/>
      <w:divBdr>
        <w:top w:val="none" w:sz="0" w:space="0" w:color="auto"/>
        <w:left w:val="none" w:sz="0" w:space="0" w:color="auto"/>
        <w:bottom w:val="none" w:sz="0" w:space="0" w:color="auto"/>
        <w:right w:val="none" w:sz="0" w:space="0" w:color="auto"/>
      </w:divBdr>
    </w:div>
    <w:div w:id="1216938572">
      <w:bodyDiv w:val="1"/>
      <w:marLeft w:val="0"/>
      <w:marRight w:val="0"/>
      <w:marTop w:val="0"/>
      <w:marBottom w:val="0"/>
      <w:divBdr>
        <w:top w:val="none" w:sz="0" w:space="0" w:color="auto"/>
        <w:left w:val="none" w:sz="0" w:space="0" w:color="auto"/>
        <w:bottom w:val="none" w:sz="0" w:space="0" w:color="auto"/>
        <w:right w:val="none" w:sz="0" w:space="0" w:color="auto"/>
      </w:divBdr>
    </w:div>
    <w:div w:id="1225334466">
      <w:bodyDiv w:val="1"/>
      <w:marLeft w:val="0"/>
      <w:marRight w:val="0"/>
      <w:marTop w:val="0"/>
      <w:marBottom w:val="0"/>
      <w:divBdr>
        <w:top w:val="none" w:sz="0" w:space="0" w:color="auto"/>
        <w:left w:val="none" w:sz="0" w:space="0" w:color="auto"/>
        <w:bottom w:val="none" w:sz="0" w:space="0" w:color="auto"/>
        <w:right w:val="none" w:sz="0" w:space="0" w:color="auto"/>
      </w:divBdr>
    </w:div>
    <w:div w:id="1237860577">
      <w:bodyDiv w:val="1"/>
      <w:marLeft w:val="0"/>
      <w:marRight w:val="0"/>
      <w:marTop w:val="0"/>
      <w:marBottom w:val="0"/>
      <w:divBdr>
        <w:top w:val="none" w:sz="0" w:space="0" w:color="auto"/>
        <w:left w:val="none" w:sz="0" w:space="0" w:color="auto"/>
        <w:bottom w:val="none" w:sz="0" w:space="0" w:color="auto"/>
        <w:right w:val="none" w:sz="0" w:space="0" w:color="auto"/>
      </w:divBdr>
    </w:div>
    <w:div w:id="1253468164">
      <w:bodyDiv w:val="1"/>
      <w:marLeft w:val="0"/>
      <w:marRight w:val="0"/>
      <w:marTop w:val="0"/>
      <w:marBottom w:val="0"/>
      <w:divBdr>
        <w:top w:val="none" w:sz="0" w:space="0" w:color="auto"/>
        <w:left w:val="none" w:sz="0" w:space="0" w:color="auto"/>
        <w:bottom w:val="none" w:sz="0" w:space="0" w:color="auto"/>
        <w:right w:val="none" w:sz="0" w:space="0" w:color="auto"/>
      </w:divBdr>
    </w:div>
    <w:div w:id="1351756240">
      <w:bodyDiv w:val="1"/>
      <w:marLeft w:val="0"/>
      <w:marRight w:val="0"/>
      <w:marTop w:val="0"/>
      <w:marBottom w:val="0"/>
      <w:divBdr>
        <w:top w:val="none" w:sz="0" w:space="0" w:color="auto"/>
        <w:left w:val="none" w:sz="0" w:space="0" w:color="auto"/>
        <w:bottom w:val="none" w:sz="0" w:space="0" w:color="auto"/>
        <w:right w:val="none" w:sz="0" w:space="0" w:color="auto"/>
      </w:divBdr>
    </w:div>
    <w:div w:id="1406874601">
      <w:bodyDiv w:val="1"/>
      <w:marLeft w:val="0"/>
      <w:marRight w:val="0"/>
      <w:marTop w:val="0"/>
      <w:marBottom w:val="0"/>
      <w:divBdr>
        <w:top w:val="none" w:sz="0" w:space="0" w:color="auto"/>
        <w:left w:val="none" w:sz="0" w:space="0" w:color="auto"/>
        <w:bottom w:val="none" w:sz="0" w:space="0" w:color="auto"/>
        <w:right w:val="none" w:sz="0" w:space="0" w:color="auto"/>
      </w:divBdr>
    </w:div>
    <w:div w:id="1460689700">
      <w:bodyDiv w:val="1"/>
      <w:marLeft w:val="0"/>
      <w:marRight w:val="0"/>
      <w:marTop w:val="0"/>
      <w:marBottom w:val="0"/>
      <w:divBdr>
        <w:top w:val="none" w:sz="0" w:space="0" w:color="auto"/>
        <w:left w:val="none" w:sz="0" w:space="0" w:color="auto"/>
        <w:bottom w:val="none" w:sz="0" w:space="0" w:color="auto"/>
        <w:right w:val="none" w:sz="0" w:space="0" w:color="auto"/>
      </w:divBdr>
    </w:div>
    <w:div w:id="1479034447">
      <w:bodyDiv w:val="1"/>
      <w:marLeft w:val="0"/>
      <w:marRight w:val="0"/>
      <w:marTop w:val="0"/>
      <w:marBottom w:val="0"/>
      <w:divBdr>
        <w:top w:val="none" w:sz="0" w:space="0" w:color="auto"/>
        <w:left w:val="none" w:sz="0" w:space="0" w:color="auto"/>
        <w:bottom w:val="none" w:sz="0" w:space="0" w:color="auto"/>
        <w:right w:val="none" w:sz="0" w:space="0" w:color="auto"/>
      </w:divBdr>
    </w:div>
    <w:div w:id="1507281422">
      <w:bodyDiv w:val="1"/>
      <w:marLeft w:val="0"/>
      <w:marRight w:val="0"/>
      <w:marTop w:val="0"/>
      <w:marBottom w:val="0"/>
      <w:divBdr>
        <w:top w:val="none" w:sz="0" w:space="0" w:color="auto"/>
        <w:left w:val="none" w:sz="0" w:space="0" w:color="auto"/>
        <w:bottom w:val="none" w:sz="0" w:space="0" w:color="auto"/>
        <w:right w:val="none" w:sz="0" w:space="0" w:color="auto"/>
      </w:divBdr>
    </w:div>
    <w:div w:id="1529442189">
      <w:bodyDiv w:val="1"/>
      <w:marLeft w:val="0"/>
      <w:marRight w:val="0"/>
      <w:marTop w:val="0"/>
      <w:marBottom w:val="0"/>
      <w:divBdr>
        <w:top w:val="none" w:sz="0" w:space="0" w:color="auto"/>
        <w:left w:val="none" w:sz="0" w:space="0" w:color="auto"/>
        <w:bottom w:val="none" w:sz="0" w:space="0" w:color="auto"/>
        <w:right w:val="none" w:sz="0" w:space="0" w:color="auto"/>
      </w:divBdr>
    </w:div>
    <w:div w:id="1545365766">
      <w:bodyDiv w:val="1"/>
      <w:marLeft w:val="0"/>
      <w:marRight w:val="0"/>
      <w:marTop w:val="0"/>
      <w:marBottom w:val="0"/>
      <w:divBdr>
        <w:top w:val="none" w:sz="0" w:space="0" w:color="auto"/>
        <w:left w:val="none" w:sz="0" w:space="0" w:color="auto"/>
        <w:bottom w:val="none" w:sz="0" w:space="0" w:color="auto"/>
        <w:right w:val="none" w:sz="0" w:space="0" w:color="auto"/>
      </w:divBdr>
    </w:div>
    <w:div w:id="1570991491">
      <w:bodyDiv w:val="1"/>
      <w:marLeft w:val="0"/>
      <w:marRight w:val="0"/>
      <w:marTop w:val="0"/>
      <w:marBottom w:val="0"/>
      <w:divBdr>
        <w:top w:val="none" w:sz="0" w:space="0" w:color="auto"/>
        <w:left w:val="none" w:sz="0" w:space="0" w:color="auto"/>
        <w:bottom w:val="none" w:sz="0" w:space="0" w:color="auto"/>
        <w:right w:val="none" w:sz="0" w:space="0" w:color="auto"/>
      </w:divBdr>
    </w:div>
    <w:div w:id="1612740915">
      <w:bodyDiv w:val="1"/>
      <w:marLeft w:val="0"/>
      <w:marRight w:val="0"/>
      <w:marTop w:val="0"/>
      <w:marBottom w:val="0"/>
      <w:divBdr>
        <w:top w:val="none" w:sz="0" w:space="0" w:color="auto"/>
        <w:left w:val="none" w:sz="0" w:space="0" w:color="auto"/>
        <w:bottom w:val="none" w:sz="0" w:space="0" w:color="auto"/>
        <w:right w:val="none" w:sz="0" w:space="0" w:color="auto"/>
      </w:divBdr>
    </w:div>
    <w:div w:id="1736202799">
      <w:bodyDiv w:val="1"/>
      <w:marLeft w:val="0"/>
      <w:marRight w:val="0"/>
      <w:marTop w:val="0"/>
      <w:marBottom w:val="0"/>
      <w:divBdr>
        <w:top w:val="none" w:sz="0" w:space="0" w:color="auto"/>
        <w:left w:val="none" w:sz="0" w:space="0" w:color="auto"/>
        <w:bottom w:val="none" w:sz="0" w:space="0" w:color="auto"/>
        <w:right w:val="none" w:sz="0" w:space="0" w:color="auto"/>
      </w:divBdr>
    </w:div>
    <w:div w:id="1812558828">
      <w:bodyDiv w:val="1"/>
      <w:marLeft w:val="0"/>
      <w:marRight w:val="0"/>
      <w:marTop w:val="0"/>
      <w:marBottom w:val="0"/>
      <w:divBdr>
        <w:top w:val="none" w:sz="0" w:space="0" w:color="auto"/>
        <w:left w:val="none" w:sz="0" w:space="0" w:color="auto"/>
        <w:bottom w:val="none" w:sz="0" w:space="0" w:color="auto"/>
        <w:right w:val="none" w:sz="0" w:space="0" w:color="auto"/>
      </w:divBdr>
    </w:div>
    <w:div w:id="1855455282">
      <w:bodyDiv w:val="1"/>
      <w:marLeft w:val="0"/>
      <w:marRight w:val="0"/>
      <w:marTop w:val="0"/>
      <w:marBottom w:val="0"/>
      <w:divBdr>
        <w:top w:val="none" w:sz="0" w:space="0" w:color="auto"/>
        <w:left w:val="none" w:sz="0" w:space="0" w:color="auto"/>
        <w:bottom w:val="none" w:sz="0" w:space="0" w:color="auto"/>
        <w:right w:val="none" w:sz="0" w:space="0" w:color="auto"/>
      </w:divBdr>
    </w:div>
    <w:div w:id="1870727270">
      <w:bodyDiv w:val="1"/>
      <w:marLeft w:val="0"/>
      <w:marRight w:val="0"/>
      <w:marTop w:val="0"/>
      <w:marBottom w:val="0"/>
      <w:divBdr>
        <w:top w:val="none" w:sz="0" w:space="0" w:color="auto"/>
        <w:left w:val="none" w:sz="0" w:space="0" w:color="auto"/>
        <w:bottom w:val="none" w:sz="0" w:space="0" w:color="auto"/>
        <w:right w:val="none" w:sz="0" w:space="0" w:color="auto"/>
      </w:divBdr>
    </w:div>
    <w:div w:id="1893885182">
      <w:bodyDiv w:val="1"/>
      <w:marLeft w:val="0"/>
      <w:marRight w:val="0"/>
      <w:marTop w:val="0"/>
      <w:marBottom w:val="0"/>
      <w:divBdr>
        <w:top w:val="none" w:sz="0" w:space="0" w:color="auto"/>
        <w:left w:val="none" w:sz="0" w:space="0" w:color="auto"/>
        <w:bottom w:val="none" w:sz="0" w:space="0" w:color="auto"/>
        <w:right w:val="none" w:sz="0" w:space="0" w:color="auto"/>
      </w:divBdr>
    </w:div>
    <w:div w:id="1925845230">
      <w:bodyDiv w:val="1"/>
      <w:marLeft w:val="0"/>
      <w:marRight w:val="0"/>
      <w:marTop w:val="0"/>
      <w:marBottom w:val="0"/>
      <w:divBdr>
        <w:top w:val="none" w:sz="0" w:space="0" w:color="auto"/>
        <w:left w:val="none" w:sz="0" w:space="0" w:color="auto"/>
        <w:bottom w:val="none" w:sz="0" w:space="0" w:color="auto"/>
        <w:right w:val="none" w:sz="0" w:space="0" w:color="auto"/>
      </w:divBdr>
    </w:div>
    <w:div w:id="1946425758">
      <w:bodyDiv w:val="1"/>
      <w:marLeft w:val="0"/>
      <w:marRight w:val="0"/>
      <w:marTop w:val="0"/>
      <w:marBottom w:val="0"/>
      <w:divBdr>
        <w:top w:val="none" w:sz="0" w:space="0" w:color="auto"/>
        <w:left w:val="none" w:sz="0" w:space="0" w:color="auto"/>
        <w:bottom w:val="none" w:sz="0" w:space="0" w:color="auto"/>
        <w:right w:val="none" w:sz="0" w:space="0" w:color="auto"/>
      </w:divBdr>
      <w:divsChild>
        <w:div w:id="221987144">
          <w:marLeft w:val="0"/>
          <w:marRight w:val="0"/>
          <w:marTop w:val="0"/>
          <w:marBottom w:val="0"/>
          <w:divBdr>
            <w:top w:val="none" w:sz="0" w:space="0" w:color="auto"/>
            <w:left w:val="none" w:sz="0" w:space="0" w:color="auto"/>
            <w:bottom w:val="none" w:sz="0" w:space="0" w:color="auto"/>
            <w:right w:val="none" w:sz="0" w:space="0" w:color="auto"/>
          </w:divBdr>
          <w:divsChild>
            <w:div w:id="1534266226">
              <w:marLeft w:val="0"/>
              <w:marRight w:val="0"/>
              <w:marTop w:val="0"/>
              <w:marBottom w:val="0"/>
              <w:divBdr>
                <w:top w:val="none" w:sz="0" w:space="0" w:color="auto"/>
                <w:left w:val="none" w:sz="0" w:space="0" w:color="auto"/>
                <w:bottom w:val="none" w:sz="0" w:space="0" w:color="auto"/>
                <w:right w:val="none" w:sz="0" w:space="0" w:color="auto"/>
              </w:divBdr>
              <w:divsChild>
                <w:div w:id="11847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22634">
      <w:bodyDiv w:val="1"/>
      <w:marLeft w:val="0"/>
      <w:marRight w:val="0"/>
      <w:marTop w:val="0"/>
      <w:marBottom w:val="0"/>
      <w:divBdr>
        <w:top w:val="none" w:sz="0" w:space="0" w:color="auto"/>
        <w:left w:val="none" w:sz="0" w:space="0" w:color="auto"/>
        <w:bottom w:val="none" w:sz="0" w:space="0" w:color="auto"/>
        <w:right w:val="none" w:sz="0" w:space="0" w:color="auto"/>
      </w:divBdr>
    </w:div>
    <w:div w:id="2041779208">
      <w:bodyDiv w:val="1"/>
      <w:marLeft w:val="0"/>
      <w:marRight w:val="0"/>
      <w:marTop w:val="0"/>
      <w:marBottom w:val="0"/>
      <w:divBdr>
        <w:top w:val="none" w:sz="0" w:space="0" w:color="auto"/>
        <w:left w:val="none" w:sz="0" w:space="0" w:color="auto"/>
        <w:bottom w:val="none" w:sz="0" w:space="0" w:color="auto"/>
        <w:right w:val="none" w:sz="0" w:space="0" w:color="auto"/>
      </w:divBdr>
    </w:div>
    <w:div w:id="2067533796">
      <w:bodyDiv w:val="1"/>
      <w:marLeft w:val="0"/>
      <w:marRight w:val="0"/>
      <w:marTop w:val="0"/>
      <w:marBottom w:val="0"/>
      <w:divBdr>
        <w:top w:val="none" w:sz="0" w:space="0" w:color="auto"/>
        <w:left w:val="none" w:sz="0" w:space="0" w:color="auto"/>
        <w:bottom w:val="none" w:sz="0" w:space="0" w:color="auto"/>
        <w:right w:val="none" w:sz="0" w:space="0" w:color="auto"/>
      </w:divBdr>
      <w:divsChild>
        <w:div w:id="62067449">
          <w:marLeft w:val="0"/>
          <w:marRight w:val="0"/>
          <w:marTop w:val="0"/>
          <w:marBottom w:val="0"/>
          <w:divBdr>
            <w:top w:val="none" w:sz="0" w:space="0" w:color="auto"/>
            <w:left w:val="none" w:sz="0" w:space="0" w:color="auto"/>
            <w:bottom w:val="none" w:sz="0" w:space="0" w:color="auto"/>
            <w:right w:val="none" w:sz="0" w:space="0" w:color="auto"/>
          </w:divBdr>
        </w:div>
        <w:div w:id="543098857">
          <w:marLeft w:val="0"/>
          <w:marRight w:val="0"/>
          <w:marTop w:val="0"/>
          <w:marBottom w:val="0"/>
          <w:divBdr>
            <w:top w:val="none" w:sz="0" w:space="0" w:color="auto"/>
            <w:left w:val="none" w:sz="0" w:space="0" w:color="auto"/>
            <w:bottom w:val="none" w:sz="0" w:space="0" w:color="auto"/>
            <w:right w:val="none" w:sz="0" w:space="0" w:color="auto"/>
          </w:divBdr>
        </w:div>
        <w:div w:id="988900827">
          <w:marLeft w:val="0"/>
          <w:marRight w:val="0"/>
          <w:marTop w:val="0"/>
          <w:marBottom w:val="0"/>
          <w:divBdr>
            <w:top w:val="none" w:sz="0" w:space="0" w:color="auto"/>
            <w:left w:val="none" w:sz="0" w:space="0" w:color="auto"/>
            <w:bottom w:val="none" w:sz="0" w:space="0" w:color="auto"/>
            <w:right w:val="none" w:sz="0" w:space="0" w:color="auto"/>
          </w:divBdr>
        </w:div>
        <w:div w:id="1467700138">
          <w:marLeft w:val="0"/>
          <w:marRight w:val="0"/>
          <w:marTop w:val="0"/>
          <w:marBottom w:val="0"/>
          <w:divBdr>
            <w:top w:val="none" w:sz="0" w:space="0" w:color="auto"/>
            <w:left w:val="none" w:sz="0" w:space="0" w:color="auto"/>
            <w:bottom w:val="none" w:sz="0" w:space="0" w:color="auto"/>
            <w:right w:val="none" w:sz="0" w:space="0" w:color="auto"/>
          </w:divBdr>
        </w:div>
        <w:div w:id="19987997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n01.safelinks.protection.outlook.com/?url=http%3A%2F%2Fwww.who.int%2Fcountries&amp;data=05%7C02%7Cbrett.thombs%40mcgill.ca%7C3bebd15c9c4b46d17d1108dbf8e08a1e%7Ccd31967152e74a68afa9fcf8f89f09ea%7C0%7C0%7C638377415519987332%7CUnknown%7CTWFpbGZsb3d8eyJWIjoiMC4wLjAwMDAiLCJQIjoiV2luMzIiLCJBTiI6Ik1haWwiLCJXVCI6Mn0%3D%7C3000%7C%7C%7C&amp;sdata=FIreo2qspMvYBcJGaWTonXY8XpCmXRkmubHRM8UIL84%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handle/10665/37958"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f.io/kp4m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E85D535367034992809F6091208B8E" ma:contentTypeVersion="12" ma:contentTypeDescription="Create a new document." ma:contentTypeScope="" ma:versionID="c8dcb40d5b28df0928a0c5d72040d9a0">
  <xsd:schema xmlns:xsd="http://www.w3.org/2001/XMLSchema" xmlns:xs="http://www.w3.org/2001/XMLSchema" xmlns:p="http://schemas.microsoft.com/office/2006/metadata/properties" xmlns:ns2="b2ac3cff-345f-4119-ad00-9d9edaa1866e" xmlns:ns3="9b8e478c-fc08-48e6-8355-3a2ea1b8cf79" targetNamespace="http://schemas.microsoft.com/office/2006/metadata/properties" ma:root="true" ma:fieldsID="3272a7eb5a9e0938625bc1fdd664e334" ns2:_="" ns3:_="">
    <xsd:import namespace="b2ac3cff-345f-4119-ad00-9d9edaa1866e"/>
    <xsd:import namespace="9b8e478c-fc08-48e6-8355-3a2ea1b8cf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c3cff-345f-4119-ad00-9d9edaa18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8e478c-fc08-48e6-8355-3a2ea1b8c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FB0CD-0EA1-4CF3-A70E-B0071131E93A}">
  <ds:schemaRefs>
    <ds:schemaRef ds:uri="http://schemas.microsoft.com/sharepoint/v3/contenttype/forms"/>
  </ds:schemaRefs>
</ds:datastoreItem>
</file>

<file path=customXml/itemProps2.xml><?xml version="1.0" encoding="utf-8"?>
<ds:datastoreItem xmlns:ds="http://schemas.openxmlformats.org/officeDocument/2006/customXml" ds:itemID="{3C7A94CB-F889-4704-B9CC-091C76F9DD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626C60-7369-4240-B6D3-14AF89E44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c3cff-345f-4119-ad00-9d9edaa1866e"/>
    <ds:schemaRef ds:uri="9b8e478c-fc08-48e6-8355-3a2ea1b8c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F282B-3264-412B-9103-2A75F047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10173</Words>
  <Characters>57988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68025</CharactersWithSpaces>
  <SharedDoc>false</SharedDoc>
  <HLinks>
    <vt:vector size="6" baseType="variant">
      <vt:variant>
        <vt:i4>4849682</vt:i4>
      </vt:variant>
      <vt:variant>
        <vt:i4>48</vt:i4>
      </vt:variant>
      <vt:variant>
        <vt:i4>0</vt:i4>
      </vt:variant>
      <vt:variant>
        <vt:i4>5</vt:i4>
      </vt:variant>
      <vt:variant>
        <vt:lpwstr>https://osf.io/kp4m6/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Wu</dc:creator>
  <cp:keywords/>
  <dc:description/>
  <cp:lastModifiedBy>Jo Orchard</cp:lastModifiedBy>
  <cp:revision>2</cp:revision>
  <dcterms:created xsi:type="dcterms:W3CDTF">2024-07-15T13:57:00Z</dcterms:created>
  <dcterms:modified xsi:type="dcterms:W3CDTF">2024-07-15T13:57:00Z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zotero-version="6.0.33"&gt;&lt;session id="v3ZTvn0z"/&gt;&lt;style id="http://www.zotero.org/styles/the-lancet" hasBibliography="1" bibliographyStyleHasBeenSet="1"/&gt;&lt;prefs&gt;&lt;pref name="fieldType" value="Field"/&gt;&lt;pref name="automaticJournalAbbrev</vt:lpwstr>
  </property>
  <property fmtid="{D5CDD505-2E9C-101B-9397-08002B2CF9AE}" pid="3" name="ZOTERO_PREF_2">
    <vt:lpwstr>iations" value="true"/&gt;&lt;pref name="delayCitationUpdates" value="true"/&gt;&lt;pref name="dontAskDelayCitationUpdates" value="true"/&gt;&lt;/prefs&gt;&lt;/data&gt;</vt:lpwstr>
  </property>
  <property fmtid="{D5CDD505-2E9C-101B-9397-08002B2CF9AE}" pid="4" name="ContentTypeId">
    <vt:lpwstr>0x0101006EE85D535367034992809F6091208B8E</vt:lpwstr>
  </property>
</Properties>
</file>