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04DC30" w14:textId="7403FA38" w:rsidR="00BD673C" w:rsidRPr="00954075" w:rsidRDefault="00BD673C" w:rsidP="00A74D12">
      <w:pPr>
        <w:pStyle w:val="SMHeading"/>
      </w:pPr>
      <w:r w:rsidRPr="00954075">
        <w:t xml:space="preserve">Effects of vegetation restoration on soil </w:t>
      </w:r>
      <w:r w:rsidRPr="00954075">
        <w:rPr>
          <w:rFonts w:hint="eastAsia"/>
        </w:rPr>
        <w:t>properties</w:t>
      </w:r>
      <w:r w:rsidRPr="00954075">
        <w:t xml:space="preserve"> and vegetation attributes in </w:t>
      </w:r>
      <w:r>
        <w:rPr>
          <w:rFonts w:hint="eastAsia"/>
          <w:lang w:eastAsia="zh-CN"/>
        </w:rPr>
        <w:t>t</w:t>
      </w:r>
      <w:r>
        <w:t>he arid and semi-arid</w:t>
      </w:r>
      <w:r w:rsidRPr="00954075">
        <w:t xml:space="preserve"> region</w:t>
      </w:r>
      <w:r>
        <w:t>s</w:t>
      </w:r>
      <w:r w:rsidRPr="00954075">
        <w:t xml:space="preserve"> of China</w:t>
      </w:r>
    </w:p>
    <w:p w14:paraId="477FE37F" w14:textId="77777777" w:rsidR="00BD673C" w:rsidRDefault="00BD673C" w:rsidP="00A74D12"/>
    <w:p w14:paraId="1047529C" w14:textId="01C6AFF6" w:rsidR="00BD673C" w:rsidRPr="00824ABE" w:rsidRDefault="00BD673C" w:rsidP="00A74D12">
      <w:r w:rsidRPr="00824ABE">
        <w:t>Wenxin Zhou</w:t>
      </w:r>
      <w:r w:rsidRPr="00824ABE">
        <w:rPr>
          <w:vertAlign w:val="superscript"/>
        </w:rPr>
        <w:t>1,2</w:t>
      </w:r>
      <w:r w:rsidRPr="00824ABE">
        <w:t>, Changjia Li</w:t>
      </w:r>
      <w:r w:rsidRPr="00824ABE">
        <w:rPr>
          <w:vertAlign w:val="superscript"/>
        </w:rPr>
        <w:t>1,2</w:t>
      </w:r>
      <w:r w:rsidRPr="00824ABE">
        <w:t>*, S</w:t>
      </w:r>
      <w:r w:rsidRPr="00824ABE">
        <w:rPr>
          <w:rFonts w:hint="eastAsia"/>
        </w:rPr>
        <w:t>huai</w:t>
      </w:r>
      <w:r w:rsidRPr="00824ABE">
        <w:t xml:space="preserve"> Wang</w:t>
      </w:r>
      <w:r w:rsidRPr="00824ABE">
        <w:rPr>
          <w:vertAlign w:val="superscript"/>
        </w:rPr>
        <w:t>1,2</w:t>
      </w:r>
      <w:r w:rsidRPr="00824ABE">
        <w:t xml:space="preserve">, </w:t>
      </w:r>
      <w:bookmarkStart w:id="0" w:name="_Hlk56617020"/>
      <w:r w:rsidRPr="00824ABE">
        <w:t>Zhuobing Ren</w:t>
      </w:r>
      <w:r w:rsidRPr="00824ABE">
        <w:rPr>
          <w:vertAlign w:val="superscript"/>
        </w:rPr>
        <w:t>1,2</w:t>
      </w:r>
      <w:r>
        <w:t xml:space="preserve">, </w:t>
      </w:r>
      <w:r w:rsidRPr="00824ABE">
        <w:t>Lindsay C. Stringer</w:t>
      </w:r>
      <w:r w:rsidRPr="00824ABE">
        <w:rPr>
          <w:vertAlign w:val="superscript"/>
        </w:rPr>
        <w:t>3</w:t>
      </w:r>
      <w:r w:rsidR="00A74D12">
        <w:rPr>
          <w:vertAlign w:val="superscript"/>
        </w:rPr>
        <w:t>,4</w:t>
      </w:r>
    </w:p>
    <w:bookmarkEnd w:id="0"/>
    <w:p w14:paraId="1B38EB7D" w14:textId="77777777" w:rsidR="00BD673C" w:rsidRDefault="00BD673C" w:rsidP="00A74D12"/>
    <w:p w14:paraId="71AED274" w14:textId="77777777" w:rsidR="00BD673C" w:rsidRDefault="00BD673C" w:rsidP="00A74D12">
      <w:r>
        <w:t>1. State Key Laboratory of Earth Surface Processes and Resource Ecology, Faculty of Geographical Science, Beijing Normal University, Beijing, China</w:t>
      </w:r>
    </w:p>
    <w:p w14:paraId="5ACCA73F" w14:textId="77777777" w:rsidR="00BD673C" w:rsidRDefault="00BD673C" w:rsidP="00A74D12">
      <w:r>
        <w:t>2. Institute of Land Surface System and Sustainable Development, Faculty of Geographical Science, Beijing Normal University, Beijing, China.</w:t>
      </w:r>
    </w:p>
    <w:p w14:paraId="47CF948C" w14:textId="77777777" w:rsidR="00A74D12" w:rsidRDefault="00BD673C" w:rsidP="00A74D12">
      <w:r>
        <w:t>3. Department of Environment and Geography, University of York, York, UK</w:t>
      </w:r>
    </w:p>
    <w:p w14:paraId="78390682" w14:textId="48FDB32D" w:rsidR="00BD673C" w:rsidRDefault="00A74D12" w:rsidP="00A74D12">
      <w:r>
        <w:t xml:space="preserve">4. </w:t>
      </w:r>
      <w:r w:rsidR="004160BB" w:rsidRPr="004160BB">
        <w:t>York Environmental Sustainability Institute, University of York, York, UK</w:t>
      </w:r>
      <w:r w:rsidR="00BD673C">
        <w:t>.</w:t>
      </w:r>
    </w:p>
    <w:p w14:paraId="3EBB9546" w14:textId="77777777" w:rsidR="00BD673C" w:rsidRDefault="00BD673C" w:rsidP="00A74D12"/>
    <w:p w14:paraId="3D5A7592" w14:textId="77777777" w:rsidR="00BD673C" w:rsidRDefault="00BD673C" w:rsidP="00A74D12">
      <w:r w:rsidRPr="00824ABE">
        <w:rPr>
          <w:sz w:val="22"/>
        </w:rPr>
        <w:t xml:space="preserve">*Correspondence: </w:t>
      </w:r>
      <w:r w:rsidRPr="00FD0975">
        <w:t>changjia.li@bnu.edu.cn</w:t>
      </w:r>
      <w:r>
        <w:br w:type="page"/>
      </w:r>
    </w:p>
    <w:p w14:paraId="525D4565" w14:textId="77777777" w:rsidR="00BD673C" w:rsidRDefault="00BD673C" w:rsidP="00A74D12">
      <w:pPr>
        <w:pStyle w:val="1"/>
        <w:spacing w:before="163" w:after="163"/>
      </w:pPr>
      <w:r>
        <w:lastRenderedPageBreak/>
        <w:t>Abstract</w:t>
      </w:r>
    </w:p>
    <w:p w14:paraId="5F3C07FC" w14:textId="7C9259D0" w:rsidR="00BD673C" w:rsidRPr="00DB4318" w:rsidRDefault="00BD673C" w:rsidP="00A74D12">
      <w:pPr>
        <w:rPr>
          <w:rFonts w:ascii="Times New Roman" w:hAnsi="Times New Roman" w:cs="Times New Roman"/>
        </w:rPr>
      </w:pPr>
      <w:r>
        <w:t xml:space="preserve">Driven by </w:t>
      </w:r>
      <w:r w:rsidRPr="00954075">
        <w:t>the goal of reversing desertification and recover</w:t>
      </w:r>
      <w:r>
        <w:t>ing</w:t>
      </w:r>
      <w:r w:rsidRPr="00954075">
        <w:t xml:space="preserve"> degraded lands</w:t>
      </w:r>
      <w:r>
        <w:t>, a</w:t>
      </w:r>
      <w:r w:rsidRPr="00954075">
        <w:t xml:space="preserve"> wide range of vegetation restoration</w:t>
      </w:r>
      <w:r>
        <w:t xml:space="preserve"> practices (such as planting and fencing) </w:t>
      </w:r>
      <w:r w:rsidRPr="00954075">
        <w:t>have been implemented</w:t>
      </w:r>
      <w:r>
        <w:t xml:space="preserve"> in China’s </w:t>
      </w:r>
      <w:r w:rsidRPr="00954075">
        <w:t>dryland</w:t>
      </w:r>
      <w:r>
        <w:t>s. It is essential to examine the effects of</w:t>
      </w:r>
      <w:r w:rsidRPr="00616FB4">
        <w:t xml:space="preserve"> vegetation restor</w:t>
      </w:r>
      <w:r>
        <w:t xml:space="preserve">ation and environmental factors on </w:t>
      </w:r>
      <w:r w:rsidRPr="00616FB4">
        <w:t xml:space="preserve">soil </w:t>
      </w:r>
      <w:r>
        <w:t xml:space="preserve">fertilities to </w:t>
      </w:r>
      <w:r w:rsidRPr="00954075">
        <w:t>optimize restoration approach</w:t>
      </w:r>
      <w:r>
        <w:t>es. H</w:t>
      </w:r>
      <w:r w:rsidRPr="007B52F6">
        <w:t>owever, quantitative evaluat</w:t>
      </w:r>
      <w:r>
        <w:t xml:space="preserve">ion </w:t>
      </w:r>
      <w:r w:rsidRPr="000B3045">
        <w:t>on this topic is insufficient due to a lack of long-term field monitoring data</w:t>
      </w:r>
      <w:r w:rsidRPr="007B52F6">
        <w:t>.</w:t>
      </w:r>
      <w:r>
        <w:t xml:space="preserve"> This study </w:t>
      </w:r>
      <w:r w:rsidRPr="000B3045">
        <w:t xml:space="preserve">evaluated </w:t>
      </w:r>
      <w:r>
        <w:rPr>
          <w:szCs w:val="22"/>
        </w:rPr>
        <w:t>the effects of sandy steppe restoration and sand dune fixation</w:t>
      </w:r>
      <w:r w:rsidRPr="005B1C72">
        <w:rPr>
          <w:szCs w:val="22"/>
        </w:rPr>
        <w:t xml:space="preserve"> </w:t>
      </w:r>
      <w:r>
        <w:rPr>
          <w:szCs w:val="22"/>
        </w:rPr>
        <w:t>in the semi-arid desert, and natural/artificial vegetation restoration in the arid desert on soil and plant characteristics using long-term (2005-2015) data from t</w:t>
      </w:r>
      <w:r w:rsidRPr="007E7600">
        <w:rPr>
          <w:szCs w:val="22"/>
        </w:rPr>
        <w:t xml:space="preserve">he Naiman </w:t>
      </w:r>
      <w:r w:rsidRPr="00125E3D">
        <w:rPr>
          <w:szCs w:val="22"/>
        </w:rPr>
        <w:t xml:space="preserve">Research </w:t>
      </w:r>
      <w:r>
        <w:rPr>
          <w:szCs w:val="22"/>
        </w:rPr>
        <w:t>Station</w:t>
      </w:r>
      <w:r w:rsidRPr="007E7600">
        <w:rPr>
          <w:szCs w:val="22"/>
        </w:rPr>
        <w:t xml:space="preserve"> </w:t>
      </w:r>
      <w:r>
        <w:rPr>
          <w:szCs w:val="22"/>
        </w:rPr>
        <w:t>located in the semi-arid region</w:t>
      </w:r>
      <w:r w:rsidRPr="007E7600">
        <w:rPr>
          <w:szCs w:val="22"/>
        </w:rPr>
        <w:t xml:space="preserve"> and Shapotou </w:t>
      </w:r>
      <w:r w:rsidRPr="00125E3D">
        <w:rPr>
          <w:szCs w:val="22"/>
        </w:rPr>
        <w:t xml:space="preserve">Research </w:t>
      </w:r>
      <w:r w:rsidRPr="007E7600">
        <w:rPr>
          <w:szCs w:val="22"/>
        </w:rPr>
        <w:t>Station</w:t>
      </w:r>
      <w:r>
        <w:rPr>
          <w:szCs w:val="22"/>
        </w:rPr>
        <w:t xml:space="preserve"> in the arid region of China’s drylands. R</w:t>
      </w:r>
      <w:r>
        <w:rPr>
          <w:rFonts w:hint="eastAsia"/>
        </w:rPr>
        <w:t>e</w:t>
      </w:r>
      <w:r>
        <w:t>sults showed the s</w:t>
      </w:r>
      <w:r w:rsidRPr="00865D70">
        <w:t>andy steppe</w:t>
      </w:r>
      <w:r>
        <w:t xml:space="preserve"> had </w:t>
      </w:r>
      <w:r w:rsidRPr="00865D70">
        <w:t>highe</w:t>
      </w:r>
      <w:r>
        <w:t xml:space="preserve">r </w:t>
      </w:r>
      <w:r w:rsidRPr="00753A64">
        <w:t xml:space="preserve">soil </w:t>
      </w:r>
      <w:r>
        <w:t xml:space="preserve">nutrient contents, vegetation biomass and </w:t>
      </w:r>
      <w:r w:rsidRPr="00865D70">
        <w:t xml:space="preserve">rate </w:t>
      </w:r>
      <w:r>
        <w:t>of</w:t>
      </w:r>
      <w:r w:rsidRPr="00865D70">
        <w:t xml:space="preserve"> accumulating soil </w:t>
      </w:r>
      <w:r>
        <w:t xml:space="preserve">organic matter (OM) than the </w:t>
      </w:r>
      <w:r w:rsidRPr="00865D70">
        <w:t>fixed dune and moving dune</w:t>
      </w:r>
      <w:r>
        <w:t>. S</w:t>
      </w:r>
      <w:r w:rsidRPr="00753A64">
        <w:t xml:space="preserve">oil </w:t>
      </w:r>
      <w:r>
        <w:t xml:space="preserve">nutrient contents and vegetation biomass of the natural vegetation of </w:t>
      </w:r>
      <w:r w:rsidRPr="00DD0DAF">
        <w:rPr>
          <w:i/>
        </w:rPr>
        <w:t>Artemisia ordosica</w:t>
      </w:r>
      <w:r w:rsidRPr="00DD0DAF">
        <w:t xml:space="preserve"> </w:t>
      </w:r>
      <w:r>
        <w:t>were higher than those of the artificial restoration</w:t>
      </w:r>
      <w:r w:rsidRPr="00860D41">
        <w:t xml:space="preserve"> </w:t>
      </w:r>
      <w:r>
        <w:t xml:space="preserve">of </w:t>
      </w:r>
      <w:r w:rsidRPr="00DD0DAF">
        <w:rPr>
          <w:i/>
        </w:rPr>
        <w:t>Artemisia ordosica</w:t>
      </w:r>
      <w:r w:rsidRPr="00865D70">
        <w:t xml:space="preserve"> </w:t>
      </w:r>
      <w:r w:rsidRPr="00DD0DAF">
        <w:t>since 1956</w:t>
      </w:r>
      <w:r>
        <w:t xml:space="preserve">. </w:t>
      </w:r>
      <w:r w:rsidR="00A74D12">
        <w:t>A</w:t>
      </w:r>
      <w:r w:rsidRPr="00865D70">
        <w:t xml:space="preserve">rtificial </w:t>
      </w:r>
      <w:r w:rsidR="00A74D12">
        <w:t>restoration</w:t>
      </w:r>
      <w:r w:rsidR="00A74D12" w:rsidRPr="00865D70">
        <w:t xml:space="preserve"> </w:t>
      </w:r>
      <w:r w:rsidRPr="00865D70">
        <w:t xml:space="preserve">had </w:t>
      </w:r>
      <w:r>
        <w:t xml:space="preserve">a </w:t>
      </w:r>
      <w:r w:rsidRPr="00865D70">
        <w:t>higher rate of accumulat</w:t>
      </w:r>
      <w:r>
        <w:t>ing</w:t>
      </w:r>
      <w:r w:rsidRPr="00865D70">
        <w:t xml:space="preserve"> soil </w:t>
      </w:r>
      <w:r>
        <w:t>OM, total nitrogen (TN)</w:t>
      </w:r>
      <w:r w:rsidRPr="00865D70">
        <w:t xml:space="preserve"> </w:t>
      </w:r>
      <w:r>
        <w:t>and grass litter biomass than natural</w:t>
      </w:r>
      <w:r w:rsidR="00A74D12">
        <w:t xml:space="preserve"> restoration</w:t>
      </w:r>
      <w:r w:rsidRPr="00865D70">
        <w:t>.</w:t>
      </w:r>
      <w:r>
        <w:t xml:space="preserve"> Soil water indirectly</w:t>
      </w:r>
      <w:r w:rsidDel="00145FC4">
        <w:t xml:space="preserve"> </w:t>
      </w:r>
      <w:r>
        <w:t xml:space="preserve">affected soil OM by affecting vegetation. Grass diversity was the main influencing factor on soil OM variance in the semi-arid Naiman desert while shrub diversity was the main factor in the arid Shapotou </w:t>
      </w:r>
      <w:r>
        <w:lastRenderedPageBreak/>
        <w:t xml:space="preserve">desert. </w:t>
      </w:r>
      <w:bookmarkStart w:id="1" w:name="_Hlk134196826"/>
      <w:r>
        <w:rPr>
          <w:szCs w:val="22"/>
        </w:rPr>
        <w:t xml:space="preserve">These findings indicate that </w:t>
      </w:r>
      <w:r w:rsidRPr="00C176A0">
        <w:rPr>
          <w:szCs w:val="22"/>
        </w:rPr>
        <w:t xml:space="preserve">sand fixation </w:t>
      </w:r>
      <w:r>
        <w:rPr>
          <w:rFonts w:hint="eastAsia"/>
          <w:szCs w:val="22"/>
        </w:rPr>
        <w:t>i</w:t>
      </w:r>
      <w:r w:rsidRPr="00461F64">
        <w:rPr>
          <w:szCs w:val="22"/>
        </w:rPr>
        <w:t xml:space="preserve">n semi-arid deserts </w:t>
      </w:r>
      <w:r w:rsidRPr="00C176A0">
        <w:rPr>
          <w:szCs w:val="22"/>
        </w:rPr>
        <w:t xml:space="preserve">and vegetation restoration </w:t>
      </w:r>
      <w:r>
        <w:rPr>
          <w:szCs w:val="22"/>
        </w:rPr>
        <w:t xml:space="preserve">in arid deserts </w:t>
      </w:r>
      <w:r w:rsidRPr="00C176A0">
        <w:rPr>
          <w:szCs w:val="22"/>
        </w:rPr>
        <w:t>bring benefits for soil nutrient accumulation and vegetation</w:t>
      </w:r>
      <w:bookmarkEnd w:id="1"/>
      <w:r w:rsidRPr="00C176A0">
        <w:rPr>
          <w:szCs w:val="22"/>
        </w:rPr>
        <w:t xml:space="preserve"> improvemen</w:t>
      </w:r>
      <w:r>
        <w:rPr>
          <w:szCs w:val="22"/>
        </w:rPr>
        <w:t xml:space="preserve">t, and </w:t>
      </w:r>
      <w:r w:rsidRPr="00C176A0">
        <w:rPr>
          <w:szCs w:val="22"/>
        </w:rPr>
        <w:t>natural restoration is preferable to artificial restoration</w:t>
      </w:r>
      <w:r>
        <w:t xml:space="preserve">. </w:t>
      </w:r>
      <w:r>
        <w:rPr>
          <w:szCs w:val="22"/>
        </w:rPr>
        <w:t xml:space="preserve">Results can be used to </w:t>
      </w:r>
      <w:r w:rsidRPr="00671D32">
        <w:rPr>
          <w:szCs w:val="22"/>
        </w:rPr>
        <w:t>formulate</w:t>
      </w:r>
      <w:r>
        <w:rPr>
          <w:szCs w:val="22"/>
        </w:rPr>
        <w:t xml:space="preserve"> </w:t>
      </w:r>
      <w:r>
        <w:rPr>
          <w:rFonts w:hint="eastAsia"/>
          <w:szCs w:val="22"/>
        </w:rPr>
        <w:t>s</w:t>
      </w:r>
      <w:r>
        <w:rPr>
          <w:szCs w:val="22"/>
        </w:rPr>
        <w:t xml:space="preserve">ustainable vegetation restoration </w:t>
      </w:r>
      <w:r w:rsidRPr="00671D32">
        <w:rPr>
          <w:szCs w:val="22"/>
        </w:rPr>
        <w:t>strategies</w:t>
      </w:r>
      <w:r>
        <w:rPr>
          <w:szCs w:val="22"/>
        </w:rPr>
        <w:t xml:space="preserve">, </w:t>
      </w:r>
      <w:r w:rsidRPr="00985005">
        <w:rPr>
          <w:szCs w:val="22"/>
        </w:rPr>
        <w:t xml:space="preserve">such as </w:t>
      </w:r>
      <w:r>
        <w:rPr>
          <w:szCs w:val="22"/>
        </w:rPr>
        <w:t>encouraging natural restoration, considering local resource constraints, and giving p</w:t>
      </w:r>
      <w:r w:rsidRPr="0013775D">
        <w:rPr>
          <w:szCs w:val="22"/>
        </w:rPr>
        <w:t xml:space="preserve">riority to </w:t>
      </w:r>
      <w:r w:rsidRPr="00D427F2">
        <w:t>restor</w:t>
      </w:r>
      <w:r>
        <w:t>ing</w:t>
      </w:r>
      <w:r w:rsidRPr="00D427F2">
        <w:t xml:space="preserve"> shrubs</w:t>
      </w:r>
      <w:r>
        <w:t xml:space="preserve"> in arid areas with limited water.</w:t>
      </w:r>
    </w:p>
    <w:p w14:paraId="1D0B35A7" w14:textId="77777777" w:rsidR="00BD673C" w:rsidRDefault="00BD673C" w:rsidP="00A74D12"/>
    <w:p w14:paraId="5215F8BF" w14:textId="77777777" w:rsidR="00BD673C" w:rsidRPr="00A91739" w:rsidRDefault="00BD673C" w:rsidP="00A74D12">
      <w:pPr>
        <w:rPr>
          <w:szCs w:val="22"/>
        </w:rPr>
      </w:pPr>
      <w:r>
        <w:rPr>
          <w:b/>
          <w:szCs w:val="22"/>
        </w:rPr>
        <w:t>Keywords:</w:t>
      </w:r>
      <w:r>
        <w:rPr>
          <w:szCs w:val="22"/>
        </w:rPr>
        <w:t xml:space="preserve"> S</w:t>
      </w:r>
      <w:r w:rsidRPr="00DC2476">
        <w:rPr>
          <w:szCs w:val="22"/>
        </w:rPr>
        <w:t xml:space="preserve">oil </w:t>
      </w:r>
      <w:r w:rsidRPr="00A91739">
        <w:rPr>
          <w:rFonts w:hint="eastAsia"/>
          <w:szCs w:val="22"/>
        </w:rPr>
        <w:t>physicochemical</w:t>
      </w:r>
      <w:r w:rsidRPr="00DC2476">
        <w:rPr>
          <w:rFonts w:hint="eastAsia"/>
          <w:szCs w:val="22"/>
        </w:rPr>
        <w:t xml:space="preserve"> propert</w:t>
      </w:r>
      <w:r>
        <w:rPr>
          <w:rFonts w:hint="eastAsia"/>
          <w:szCs w:val="22"/>
        </w:rPr>
        <w:t>y</w:t>
      </w:r>
      <w:r>
        <w:rPr>
          <w:szCs w:val="22"/>
        </w:rPr>
        <w:t>, vegetation characteristic, ecological recovery, sand fixation, semi-arid desert, arid desert</w:t>
      </w:r>
    </w:p>
    <w:p w14:paraId="2FF49041" w14:textId="77777777" w:rsidR="00BD673C" w:rsidRPr="005E32AD" w:rsidRDefault="00BD673C" w:rsidP="00A74D12"/>
    <w:p w14:paraId="544ED16C" w14:textId="77777777" w:rsidR="00BD673C" w:rsidRDefault="00BD673C" w:rsidP="00A74D12">
      <w:pPr>
        <w:pStyle w:val="1"/>
        <w:spacing w:before="163" w:after="163"/>
      </w:pPr>
      <w:r>
        <w:t>1. Introduction</w:t>
      </w:r>
    </w:p>
    <w:p w14:paraId="6EC504D5" w14:textId="6230DB46" w:rsidR="00BD673C" w:rsidRDefault="00BD673C" w:rsidP="00A74D12">
      <w:r w:rsidRPr="00954075">
        <w:t xml:space="preserve">Drylands are </w:t>
      </w:r>
      <w:r w:rsidRPr="002B6783">
        <w:t xml:space="preserve">defined as </w:t>
      </w:r>
      <w:r w:rsidRPr="00954075">
        <w:t xml:space="preserve">regions </w:t>
      </w:r>
      <w:r>
        <w:t>with</w:t>
      </w:r>
      <w:r w:rsidRPr="00954075">
        <w:t xml:space="preserve"> the aridity index (AI</w:t>
      </w:r>
      <w:r>
        <w:t>), i.e., the</w:t>
      </w:r>
      <w:r w:rsidRPr="00954075">
        <w:t xml:space="preserve"> ratio of mean annual precipitation to mean annual evapotranspiration</w:t>
      </w:r>
      <w:r>
        <w:t xml:space="preserve">, </w:t>
      </w:r>
      <w:r w:rsidRPr="002B6783">
        <w:t>less than</w:t>
      </w:r>
      <w:r w:rsidRPr="00954075">
        <w:t xml:space="preserve"> 0.65</w:t>
      </w:r>
      <w:r>
        <w:t>,</w:t>
      </w:r>
      <w:r w:rsidRPr="00954075">
        <w:t xml:space="preserve"> </w:t>
      </w:r>
      <w:r>
        <w:t>covering</w:t>
      </w:r>
      <w:r w:rsidRPr="002B6783">
        <w:t xml:space="preserve"> hyper-arid, arid, semi-arid to dry sub-humid</w:t>
      </w:r>
      <w:r>
        <w:t xml:space="preserve"> regions</w:t>
      </w:r>
      <w:r w:rsidRPr="00954075">
        <w:t xml:space="preserve"> </w:t>
      </w:r>
      <w:r w:rsidRPr="00954075">
        <w:rPr>
          <w:noProof/>
        </w:rPr>
        <w:t>(Reynolds et al., 2007b)</w:t>
      </w:r>
      <w:r w:rsidRPr="00954075">
        <w:t xml:space="preserve">. </w:t>
      </w:r>
      <w:r>
        <w:rPr>
          <w:szCs w:val="22"/>
        </w:rPr>
        <w:t xml:space="preserve">Drylands </w:t>
      </w:r>
      <w:r w:rsidRPr="008A61FA">
        <w:rPr>
          <w:szCs w:val="22"/>
        </w:rPr>
        <w:t>constitute</w:t>
      </w:r>
      <w:r>
        <w:rPr>
          <w:szCs w:val="22"/>
        </w:rPr>
        <w:t xml:space="preserve"> </w:t>
      </w:r>
      <w:r w:rsidRPr="002B6783">
        <w:rPr>
          <w:szCs w:val="22"/>
        </w:rPr>
        <w:t>approximately</w:t>
      </w:r>
      <w:r>
        <w:rPr>
          <w:szCs w:val="22"/>
        </w:rPr>
        <w:t xml:space="preserve"> 41% of the land surface worldwide </w:t>
      </w:r>
      <w:r>
        <w:rPr>
          <w:noProof/>
          <w:szCs w:val="22"/>
        </w:rPr>
        <w:t>(Cherlet et al., 2018)</w:t>
      </w:r>
      <w:r>
        <w:rPr>
          <w:szCs w:val="22"/>
        </w:rPr>
        <w:t xml:space="preserve">, and </w:t>
      </w:r>
      <w:r w:rsidRPr="002B6783">
        <w:rPr>
          <w:szCs w:val="22"/>
        </w:rPr>
        <w:t xml:space="preserve">are </w:t>
      </w:r>
      <w:r w:rsidRPr="008A61FA">
        <w:rPr>
          <w:szCs w:val="22"/>
        </w:rPr>
        <w:t>inhabited by</w:t>
      </w:r>
      <w:r w:rsidRPr="002B6783">
        <w:rPr>
          <w:szCs w:val="22"/>
        </w:rPr>
        <w:t xml:space="preserve"> more than</w:t>
      </w:r>
      <w:r>
        <w:rPr>
          <w:szCs w:val="22"/>
        </w:rPr>
        <w:t xml:space="preserve"> 38% of the total population </w:t>
      </w:r>
      <w:r>
        <w:rPr>
          <w:noProof/>
          <w:szCs w:val="22"/>
        </w:rPr>
        <w:t>(Reynolds et al., 2007b)</w:t>
      </w:r>
      <w:r>
        <w:rPr>
          <w:szCs w:val="22"/>
        </w:rPr>
        <w:t xml:space="preserve">. Drylands, characterized by </w:t>
      </w:r>
      <w:r w:rsidRPr="008A61FA">
        <w:rPr>
          <w:szCs w:val="22"/>
        </w:rPr>
        <w:t xml:space="preserve">a combination of low and </w:t>
      </w:r>
      <w:r>
        <w:rPr>
          <w:rFonts w:hint="eastAsia"/>
          <w:szCs w:val="22"/>
        </w:rPr>
        <w:t>high</w:t>
      </w:r>
      <w:r>
        <w:rPr>
          <w:szCs w:val="22"/>
        </w:rPr>
        <w:t xml:space="preserve">ly variable </w:t>
      </w:r>
      <w:r w:rsidRPr="008A61FA">
        <w:rPr>
          <w:szCs w:val="22"/>
        </w:rPr>
        <w:t>precipitation</w:t>
      </w:r>
      <w:r>
        <w:rPr>
          <w:szCs w:val="22"/>
        </w:rPr>
        <w:t xml:space="preserve">, </w:t>
      </w:r>
      <w:r>
        <w:rPr>
          <w:rFonts w:hint="eastAsia"/>
          <w:szCs w:val="22"/>
        </w:rPr>
        <w:t>high</w:t>
      </w:r>
      <w:r>
        <w:rPr>
          <w:szCs w:val="22"/>
        </w:rPr>
        <w:t xml:space="preserve"> evaporation, nutrient-poor soils, sparse vegetation, and fragile ecological environments, are</w:t>
      </w:r>
      <w:r w:rsidRPr="007310B9">
        <w:rPr>
          <w:szCs w:val="22"/>
        </w:rPr>
        <w:t xml:space="preserve"> highly </w:t>
      </w:r>
      <w:r w:rsidRPr="008A61FA">
        <w:rPr>
          <w:szCs w:val="22"/>
        </w:rPr>
        <w:t>vulnerable</w:t>
      </w:r>
      <w:r w:rsidRPr="007310B9">
        <w:rPr>
          <w:szCs w:val="22"/>
        </w:rPr>
        <w:t xml:space="preserve"> to desertification</w:t>
      </w:r>
      <w:r>
        <w:rPr>
          <w:szCs w:val="22"/>
        </w:rPr>
        <w:t xml:space="preserve"> </w:t>
      </w:r>
      <w:r>
        <w:rPr>
          <w:noProof/>
          <w:szCs w:val="22"/>
        </w:rPr>
        <w:t>(Maestre et al., 2021)</w:t>
      </w:r>
      <w:r>
        <w:rPr>
          <w:szCs w:val="22"/>
        </w:rPr>
        <w:t xml:space="preserve">. </w:t>
      </w:r>
      <w:r w:rsidRPr="00954075">
        <w:t xml:space="preserve">Desertification is a </w:t>
      </w:r>
      <w:r>
        <w:rPr>
          <w:rFonts w:hint="eastAsia"/>
        </w:rPr>
        <w:t>serious</w:t>
      </w:r>
      <w:r>
        <w:t xml:space="preserve"> </w:t>
      </w:r>
      <w:r w:rsidRPr="00954075">
        <w:t xml:space="preserve">land </w:t>
      </w:r>
      <w:r w:rsidRPr="00954075">
        <w:lastRenderedPageBreak/>
        <w:t xml:space="preserve">degradation problem in </w:t>
      </w:r>
      <w:r>
        <w:rPr>
          <w:rFonts w:hint="eastAsia"/>
        </w:rPr>
        <w:t>arid and semi-arid</w:t>
      </w:r>
      <w:r>
        <w:t xml:space="preserve"> regions</w:t>
      </w:r>
      <w:r w:rsidRPr="00954075">
        <w:t xml:space="preserve"> </w:t>
      </w:r>
      <w:r w:rsidRPr="00954075">
        <w:rPr>
          <w:noProof/>
        </w:rPr>
        <w:t>(Dregne, 2002)</w:t>
      </w:r>
      <w:r w:rsidRPr="00954075">
        <w:t xml:space="preserve">, mainly </w:t>
      </w:r>
      <w:r>
        <w:t>caused by</w:t>
      </w:r>
      <w:r w:rsidRPr="00954075">
        <w:t xml:space="preserve"> overgrazing, clear-cutting and extensive cultivation of the natural grasslands </w:t>
      </w:r>
      <w:r w:rsidRPr="00954075">
        <w:rPr>
          <w:noProof/>
        </w:rPr>
        <w:t>(Reynolds et al., 2007a)</w:t>
      </w:r>
      <w:r w:rsidRPr="00954075">
        <w:t xml:space="preserve">. </w:t>
      </w:r>
      <w:r>
        <w:t>A</w:t>
      </w:r>
      <w:r w:rsidRPr="00954075">
        <w:t xml:space="preserve"> wide range of vegetation restoration ha</w:t>
      </w:r>
      <w:r>
        <w:t>s</w:t>
      </w:r>
      <w:r w:rsidRPr="00954075">
        <w:t xml:space="preserve"> been developed and implemented </w:t>
      </w:r>
      <w:r>
        <w:t>to combat</w:t>
      </w:r>
      <w:r w:rsidRPr="00954075">
        <w:t xml:space="preserve"> desertification </w:t>
      </w:r>
      <w:r>
        <w:rPr>
          <w:noProof/>
        </w:rPr>
        <w:t>(Bestelmeyer et al., 2015; Li et al., 2021; Al-Obaidi et al., 2022)</w:t>
      </w:r>
      <w:r>
        <w:t>, among</w:t>
      </w:r>
      <w:r w:rsidRPr="00954075">
        <w:t xml:space="preserve"> </w:t>
      </w:r>
      <w:r>
        <w:t>which, p</w:t>
      </w:r>
      <w:r w:rsidRPr="00954075">
        <w:t xml:space="preserve">lanting and fencing </w:t>
      </w:r>
      <w:r w:rsidRPr="00954075">
        <w:rPr>
          <w:rFonts w:hint="eastAsia"/>
        </w:rPr>
        <w:t>a</w:t>
      </w:r>
      <w:r w:rsidRPr="00954075">
        <w:t>re common and effective form</w:t>
      </w:r>
      <w:r>
        <w:t>s</w:t>
      </w:r>
      <w:r w:rsidRPr="00954075">
        <w:t xml:space="preserve"> </w:t>
      </w:r>
      <w:r w:rsidRPr="00954075">
        <w:rPr>
          <w:noProof/>
        </w:rPr>
        <w:t>(Fry et al., 2017; Hu et al., 2022b)</w:t>
      </w:r>
      <w:r w:rsidRPr="00954075">
        <w:t xml:space="preserve">. </w:t>
      </w:r>
      <w:r>
        <w:t>However,</w:t>
      </w:r>
      <w:r w:rsidRPr="004733C6">
        <w:t xml:space="preserve"> </w:t>
      </w:r>
      <w:r>
        <w:t xml:space="preserve">large-scale </w:t>
      </w:r>
      <w:r w:rsidRPr="004733C6">
        <w:t>monoculture plantations may result in a reduction in biodiversity and productivity and a risk of degradation of ecosystem functions</w:t>
      </w:r>
      <w:r>
        <w:t>, and fail to</w:t>
      </w:r>
      <w:r w:rsidRPr="004733C6">
        <w:t xml:space="preserve"> meet the require</w:t>
      </w:r>
      <w:r>
        <w:t xml:space="preserve">ments of sustainable development in the long run </w:t>
      </w:r>
      <w:r>
        <w:rPr>
          <w:noProof/>
        </w:rPr>
        <w:t>(Zhang et al., 2021)</w:t>
      </w:r>
      <w:r>
        <w:t xml:space="preserve">. </w:t>
      </w:r>
      <w:r w:rsidRPr="00A62D25">
        <w:t xml:space="preserve">It is imperative to </w:t>
      </w:r>
      <w:r w:rsidRPr="008A61FA">
        <w:t>conduct research aim</w:t>
      </w:r>
      <w:r>
        <w:t>ing</w:t>
      </w:r>
      <w:r w:rsidRPr="008A61FA">
        <w:t xml:space="preserve"> at refining and optimizing the approach of vegetation restoration, </w:t>
      </w:r>
      <w:r>
        <w:t>and</w:t>
      </w:r>
      <w:r w:rsidRPr="008A61FA">
        <w:t xml:space="preserve"> to </w:t>
      </w:r>
      <w:r>
        <w:t>improve</w:t>
      </w:r>
      <w:r w:rsidRPr="008A61FA">
        <w:t xml:space="preserve"> </w:t>
      </w:r>
      <w:r>
        <w:t xml:space="preserve">public </w:t>
      </w:r>
      <w:r w:rsidRPr="008A61FA">
        <w:t xml:space="preserve">understanding of the long-term sustainability of </w:t>
      </w:r>
      <w:r>
        <w:t>vegetation restoration</w:t>
      </w:r>
      <w:r w:rsidRPr="008A61FA">
        <w:t xml:space="preserve"> in arid and semi-arid regions.</w:t>
      </w:r>
    </w:p>
    <w:p w14:paraId="17574F1A" w14:textId="77777777" w:rsidR="00BD673C" w:rsidRDefault="00BD673C" w:rsidP="00A74D12"/>
    <w:p w14:paraId="0B824555" w14:textId="77777777" w:rsidR="00BD673C" w:rsidRPr="00954075" w:rsidRDefault="00BD673C" w:rsidP="00A74D12">
      <w:r>
        <w:t xml:space="preserve">The drylands of Northern China have </w:t>
      </w:r>
      <w:r w:rsidRPr="00942E18">
        <w:t xml:space="preserve">undergone severe desertification </w:t>
      </w:r>
      <w:r>
        <w:t>s</w:t>
      </w:r>
      <w:r w:rsidRPr="00954075">
        <w:t xml:space="preserve">ince </w:t>
      </w:r>
      <w:r w:rsidRPr="006B3B48">
        <w:t xml:space="preserve">the </w:t>
      </w:r>
      <w:r>
        <w:t>late</w:t>
      </w:r>
      <w:r w:rsidRPr="006B3B48">
        <w:t xml:space="preserve"> </w:t>
      </w:r>
      <w:r>
        <w:t>20th</w:t>
      </w:r>
      <w:r w:rsidRPr="006B3B48">
        <w:t xml:space="preserve"> century</w:t>
      </w:r>
      <w:r>
        <w:t xml:space="preserve">, characterized by the </w:t>
      </w:r>
      <w:r w:rsidRPr="00F26CC5">
        <w:t>conversion of</w:t>
      </w:r>
      <w:r>
        <w:t xml:space="preserve"> large areas of sandy steppes to sand dunes, </w:t>
      </w:r>
      <w:r w:rsidRPr="00F26CC5">
        <w:t>and fixed sand dunes to mobile sand dunes</w:t>
      </w:r>
      <w:r>
        <w:t xml:space="preserve"> </w:t>
      </w:r>
      <w:r>
        <w:rPr>
          <w:noProof/>
        </w:rPr>
        <w:t>(Zhang et al., 2004)</w:t>
      </w:r>
      <w:r>
        <w:t xml:space="preserve">. To </w:t>
      </w:r>
      <w:r w:rsidRPr="006B3B48">
        <w:t>reduce</w:t>
      </w:r>
      <w:r>
        <w:t xml:space="preserve"> </w:t>
      </w:r>
      <w:r w:rsidRPr="006B3B48">
        <w:t>losses</w:t>
      </w:r>
      <w:r>
        <w:t xml:space="preserve"> caused by </w:t>
      </w:r>
      <w:r w:rsidRPr="006B3B48">
        <w:t>wind erosion and sand dune movement</w:t>
      </w:r>
      <w:r>
        <w:t xml:space="preserve">, sand fixation </w:t>
      </w:r>
      <w:r w:rsidRPr="006B3B48">
        <w:t xml:space="preserve">measures have been developed and implemented </w:t>
      </w:r>
      <w:r>
        <w:t>to prevent</w:t>
      </w:r>
      <w:r w:rsidRPr="006B3B48">
        <w:t xml:space="preserve"> grassland de</w:t>
      </w:r>
      <w:r>
        <w:t xml:space="preserve">gradation </w:t>
      </w:r>
      <w:r>
        <w:rPr>
          <w:noProof/>
        </w:rPr>
        <w:t>(Li et al., 2009; Zuo et al., 2009)</w:t>
      </w:r>
      <w:r>
        <w:t xml:space="preserve">. For example, the </w:t>
      </w:r>
      <w:r w:rsidRPr="006B3B48">
        <w:t>straw</w:t>
      </w:r>
      <w:r>
        <w:t xml:space="preserve"> checkerboard is a low-cost and</w:t>
      </w:r>
      <w:r w:rsidRPr="00D3455C">
        <w:t xml:space="preserve"> easy-to-use measure</w:t>
      </w:r>
      <w:r>
        <w:t>, which places the s</w:t>
      </w:r>
      <w:r w:rsidRPr="00D3455C">
        <w:t>traw from wheat, rice, and other plants</w:t>
      </w:r>
      <w:r>
        <w:t xml:space="preserve"> </w:t>
      </w:r>
      <w:r w:rsidRPr="00D3455C">
        <w:t>in the shape of a checkerboard</w:t>
      </w:r>
      <w:r>
        <w:t xml:space="preserve"> </w:t>
      </w:r>
      <w:r w:rsidRPr="00D3455C">
        <w:t xml:space="preserve">with sides of </w:t>
      </w:r>
      <w:r w:rsidRPr="00D3455C">
        <w:lastRenderedPageBreak/>
        <w:t>1.0</w:t>
      </w:r>
      <w:r>
        <w:t xml:space="preserve"> -</w:t>
      </w:r>
      <w:r w:rsidRPr="00D3455C">
        <w:t xml:space="preserve"> 3.0 m, with one half buried in the sand and the other half exposed</w:t>
      </w:r>
      <w:r>
        <w:t xml:space="preserve"> (about 20 cm high) </w:t>
      </w:r>
      <w:r>
        <w:rPr>
          <w:noProof/>
        </w:rPr>
        <w:t>(Zhang et al., 2018)</w:t>
      </w:r>
      <w:r>
        <w:t xml:space="preserve">. The </w:t>
      </w:r>
      <w:r w:rsidRPr="006B3B48">
        <w:t>straw</w:t>
      </w:r>
      <w:r>
        <w:t xml:space="preserve"> checkerboard construction and shrub planting </w:t>
      </w:r>
      <w:r w:rsidRPr="006B3B48">
        <w:t>establish</w:t>
      </w:r>
      <w:r>
        <w:t xml:space="preserve"> </w:t>
      </w:r>
      <w:r w:rsidRPr="00942E18">
        <w:t>a physical barrier that helps to reduce wind speed and prevent sand movement</w:t>
      </w:r>
      <w:r>
        <w:t xml:space="preserve"> </w:t>
      </w:r>
      <w:r>
        <w:rPr>
          <w:noProof/>
        </w:rPr>
        <w:t>(Zhang et al., 2004)</w:t>
      </w:r>
      <w:r w:rsidRPr="00942E18">
        <w:t>.</w:t>
      </w:r>
      <w:r>
        <w:t xml:space="preserve"> Grazing exclusion</w:t>
      </w:r>
      <w:r w:rsidRPr="00942E18">
        <w:t xml:space="preserve"> on light and moderately </w:t>
      </w:r>
      <w:r>
        <w:rPr>
          <w:rFonts w:hint="eastAsia"/>
        </w:rPr>
        <w:t>de</w:t>
      </w:r>
      <w:r>
        <w:t xml:space="preserve">graded </w:t>
      </w:r>
      <w:r w:rsidRPr="00942E18">
        <w:t>grasslands</w:t>
      </w:r>
      <w:r>
        <w:t xml:space="preserve"> is</w:t>
      </w:r>
      <w:r w:rsidRPr="00942E18">
        <w:t xml:space="preserve"> </w:t>
      </w:r>
      <w:r>
        <w:t xml:space="preserve">also an </w:t>
      </w:r>
      <w:r w:rsidRPr="00942E18">
        <w:t xml:space="preserve">effective measure to </w:t>
      </w:r>
      <w:r>
        <w:rPr>
          <w:rFonts w:hint="eastAsia"/>
        </w:rPr>
        <w:t>prevent</w:t>
      </w:r>
      <w:r>
        <w:t xml:space="preserve"> </w:t>
      </w:r>
      <w:r w:rsidRPr="00942E18">
        <w:t>vegetation</w:t>
      </w:r>
      <w:r>
        <w:t xml:space="preserve"> degradation </w:t>
      </w:r>
      <w:r>
        <w:rPr>
          <w:noProof/>
        </w:rPr>
        <w:t>(Fry et al., 2017)</w:t>
      </w:r>
      <w:r>
        <w:t xml:space="preserve">. These measures </w:t>
      </w:r>
      <w:r w:rsidRPr="007310B9">
        <w:t xml:space="preserve">improved </w:t>
      </w:r>
      <w:r>
        <w:t xml:space="preserve">the </w:t>
      </w:r>
      <w:r w:rsidRPr="007310B9">
        <w:t xml:space="preserve">physical and chemical properties </w:t>
      </w:r>
      <w:r>
        <w:t>of soil</w:t>
      </w:r>
      <w:r w:rsidRPr="007310B9">
        <w:t xml:space="preserve"> and </w:t>
      </w:r>
      <w:r w:rsidRPr="00D3455C">
        <w:t>facili</w:t>
      </w:r>
      <w:r>
        <w:t>tated</w:t>
      </w:r>
      <w:r w:rsidRPr="00D3455C">
        <w:t xml:space="preserve"> </w:t>
      </w:r>
      <w:r>
        <w:t xml:space="preserve">the </w:t>
      </w:r>
      <w:r w:rsidRPr="00D3455C">
        <w:t>establishment and spread</w:t>
      </w:r>
      <w:r>
        <w:t xml:space="preserve"> of </w:t>
      </w:r>
      <w:r w:rsidRPr="00D3455C">
        <w:t>plant</w:t>
      </w:r>
      <w:r>
        <w:t>s</w:t>
      </w:r>
      <w:r w:rsidRPr="00D3455C">
        <w:t xml:space="preserve"> </w:t>
      </w:r>
      <w:r>
        <w:rPr>
          <w:noProof/>
        </w:rPr>
        <w:t>(Zhang et al., 2018)</w:t>
      </w:r>
      <w:r w:rsidRPr="007310B9">
        <w:t>.</w:t>
      </w:r>
      <w:r>
        <w:t xml:space="preserve"> In the process of the restoration</w:t>
      </w:r>
      <w:r w:rsidRPr="0092385F">
        <w:t xml:space="preserve"> from mo</w:t>
      </w:r>
      <w:r>
        <w:t>ving</w:t>
      </w:r>
      <w:r w:rsidRPr="0092385F">
        <w:t xml:space="preserve"> dune to fixed dune to sandy grassland</w:t>
      </w:r>
      <w:r>
        <w:t xml:space="preserve">, </w:t>
      </w:r>
      <w:r w:rsidRPr="0092385F">
        <w:t xml:space="preserve">the </w:t>
      </w:r>
      <w:r>
        <w:t>vegetation</w:t>
      </w:r>
      <w:r w:rsidRPr="0092385F">
        <w:t xml:space="preserve"> communities</w:t>
      </w:r>
      <w:r>
        <w:t xml:space="preserve"> experience</w:t>
      </w:r>
      <w:r w:rsidRPr="0092385F">
        <w:t xml:space="preserve"> a complex succession</w:t>
      </w:r>
      <w:r>
        <w:t xml:space="preserve">, which in turn divers the habitat changes </w:t>
      </w:r>
      <w:r>
        <w:rPr>
          <w:noProof/>
        </w:rPr>
        <w:t>(Li et al., 2007)</w:t>
      </w:r>
      <w:r>
        <w:t xml:space="preserve">. However, the </w:t>
      </w:r>
      <w:r w:rsidRPr="00AE1930">
        <w:t>relat</w:t>
      </w:r>
      <w:r>
        <w:t>ive long-term effects of sand fixation and vegetation restoration</w:t>
      </w:r>
      <w:r w:rsidRPr="00AE1930">
        <w:t xml:space="preserve"> measures o</w:t>
      </w:r>
      <w:r>
        <w:t>n soil and vegetation restoration</w:t>
      </w:r>
      <w:r w:rsidRPr="00AE1930">
        <w:t xml:space="preserve"> remain unclear</w:t>
      </w:r>
      <w:r>
        <w:t>.</w:t>
      </w:r>
    </w:p>
    <w:p w14:paraId="1FAA79CA" w14:textId="77777777" w:rsidR="00BD673C" w:rsidRPr="00954075" w:rsidRDefault="00BD673C" w:rsidP="00A74D12"/>
    <w:p w14:paraId="6A0EFECA" w14:textId="0758F449" w:rsidR="00BD673C" w:rsidRDefault="00BD673C" w:rsidP="00A74D12">
      <w:r w:rsidRPr="00954075">
        <w:t xml:space="preserve">Since </w:t>
      </w:r>
      <w:r w:rsidRPr="006B3B48">
        <w:t xml:space="preserve">the </w:t>
      </w:r>
      <w:r>
        <w:t>1980s</w:t>
      </w:r>
      <w:r w:rsidRPr="00954075">
        <w:t xml:space="preserve">, large-scale ecological conservation and restoration projects have been implemented in China's drylands, including </w:t>
      </w:r>
      <w:r w:rsidRPr="0033248C">
        <w:t xml:space="preserve">the Grain-to-Green Program (GGP), the Three North Shelterbelt Project (TNSP), and the Natural Forest Protection Program (NFPP) </w:t>
      </w:r>
      <w:r>
        <w:rPr>
          <w:noProof/>
        </w:rPr>
        <w:t>(Chang et al., 2011; Li et al., 2021)</w:t>
      </w:r>
      <w:r>
        <w:t xml:space="preserve">. </w:t>
      </w:r>
      <w:r w:rsidRPr="0033248C">
        <w:t xml:space="preserve">These vegetation restorations </w:t>
      </w:r>
      <w:r>
        <w:t>plant</w:t>
      </w:r>
      <w:r w:rsidRPr="00954075">
        <w:t xml:space="preserve"> trees</w:t>
      </w:r>
      <w:r>
        <w:t>, shrubs</w:t>
      </w:r>
      <w:r w:rsidRPr="00954075">
        <w:t xml:space="preserve"> and grass, and </w:t>
      </w:r>
      <w:r>
        <w:t xml:space="preserve">enclose mountains and grasslands for </w:t>
      </w:r>
      <w:r w:rsidRPr="00954075">
        <w:t>natural restoration</w:t>
      </w:r>
      <w:r>
        <w:t xml:space="preserve"> </w:t>
      </w:r>
      <w:r>
        <w:rPr>
          <w:noProof/>
        </w:rPr>
        <w:t>(Huang et al., 2020)</w:t>
      </w:r>
      <w:r w:rsidRPr="00954075">
        <w:t xml:space="preserve">. </w:t>
      </w:r>
      <w:r>
        <w:t xml:space="preserve">These measures had been proven to have a positive effect on the improvement of soil quality, </w:t>
      </w:r>
      <w:r>
        <w:lastRenderedPageBreak/>
        <w:t xml:space="preserve">the increase of vegetation cover, and the </w:t>
      </w:r>
      <w:r w:rsidRPr="002A4ABB">
        <w:t>revers</w:t>
      </w:r>
      <w:r>
        <w:t>al of</w:t>
      </w:r>
      <w:r w:rsidRPr="002A4ABB">
        <w:t xml:space="preserve"> ecosystem degradation</w:t>
      </w:r>
      <w:r>
        <w:t xml:space="preserve"> in previous studies </w:t>
      </w:r>
      <w:r>
        <w:rPr>
          <w:noProof/>
        </w:rPr>
        <w:t>(Jones et al., 2018; Huang et al., 2020)</w:t>
      </w:r>
      <w:r>
        <w:t>, but t</w:t>
      </w:r>
      <w:r w:rsidRPr="00811197">
        <w:t xml:space="preserve">he choice between natural and artificial restoration methods remains </w:t>
      </w:r>
      <w:r>
        <w:t xml:space="preserve">controversial. </w:t>
      </w:r>
      <w:r>
        <w:rPr>
          <w:noProof/>
        </w:rPr>
        <w:t>Xu and Zhang (2021)</w:t>
      </w:r>
      <w:r>
        <w:t xml:space="preserve"> </w:t>
      </w:r>
      <w:r w:rsidRPr="00954075">
        <w:t xml:space="preserve">found that in the short term of </w:t>
      </w:r>
      <w:r>
        <w:t>fewer</w:t>
      </w:r>
      <w:r w:rsidRPr="00954075">
        <w:t xml:space="preserve"> than 10 years, vegetation coverage in the planted areas increased faster than that </w:t>
      </w:r>
      <w:r>
        <w:t>in</w:t>
      </w:r>
      <w:r w:rsidRPr="00954075">
        <w:t xml:space="preserve"> the natural restoration areas, but in the long term of more than 20 years, the growth rate in the planted areas decreased and </w:t>
      </w:r>
      <w:r>
        <w:t>almost remained unchanged</w:t>
      </w:r>
      <w:r w:rsidRPr="00954075">
        <w:t xml:space="preserve"> in areas under natural restoration</w:t>
      </w:r>
      <w:r>
        <w:t>. N</w:t>
      </w:r>
      <w:r w:rsidRPr="00811197">
        <w:t>atural restoration</w:t>
      </w:r>
      <w:r>
        <w:t xml:space="preserve"> is more stable and more effective to </w:t>
      </w:r>
      <w:r w:rsidRPr="00811197">
        <w:t>enhanc</w:t>
      </w:r>
      <w:r>
        <w:t>e</w:t>
      </w:r>
      <w:r w:rsidRPr="00811197">
        <w:t xml:space="preserve"> biodiversity</w:t>
      </w:r>
      <w:r>
        <w:t>, while a</w:t>
      </w:r>
      <w:r w:rsidRPr="00316296">
        <w:t>rtificial restoration can provide rapid and visible results</w:t>
      </w:r>
      <w:r>
        <w:t xml:space="preserve"> </w:t>
      </w:r>
      <w:r>
        <w:rPr>
          <w:noProof/>
        </w:rPr>
        <w:t>(Li et al., 2018)</w:t>
      </w:r>
      <w:r>
        <w:t>.</w:t>
      </w:r>
      <w:r w:rsidRPr="00F26CC5">
        <w:t xml:space="preserve"> </w:t>
      </w:r>
      <w:r>
        <w:t>On the other hand,</w:t>
      </w:r>
      <w:r w:rsidRPr="008A61FA">
        <w:t xml:space="preserve"> </w:t>
      </w:r>
      <w:r>
        <w:t>a</w:t>
      </w:r>
      <w:r w:rsidRPr="008A61FA">
        <w:t xml:space="preserve">rtificial cultivation may lead to a series of risks </w:t>
      </w:r>
      <w:r>
        <w:t xml:space="preserve">including exotic species invasion </w:t>
      </w:r>
      <w:r>
        <w:rPr>
          <w:noProof/>
        </w:rPr>
        <w:t>(Wang et al., 2013)</w:t>
      </w:r>
      <w:r>
        <w:t xml:space="preserve"> and</w:t>
      </w:r>
      <w:r w:rsidRPr="008A61FA">
        <w:t xml:space="preserve"> excessive consumption of groundwater</w:t>
      </w:r>
      <w:r>
        <w:t xml:space="preserve"> </w:t>
      </w:r>
      <w:r>
        <w:rPr>
          <w:noProof/>
        </w:rPr>
        <w:t>(Zucca et al., 2021)</w:t>
      </w:r>
      <w:r>
        <w:t>. Therefore, i</w:t>
      </w:r>
      <w:r w:rsidRPr="002A4ABB">
        <w:t xml:space="preserve">t is essential to assess the dynamics of soil nutrients </w:t>
      </w:r>
      <w:r>
        <w:t xml:space="preserve">and vegetation characteristics of natural restoration and </w:t>
      </w:r>
      <w:r w:rsidRPr="00F26CC5">
        <w:t>artificial restoration</w:t>
      </w:r>
      <w:r>
        <w:t>, for</w:t>
      </w:r>
      <w:r w:rsidRPr="00C944B9">
        <w:t xml:space="preserve"> </w:t>
      </w:r>
      <w:r>
        <w:t>further identifying and preventing</w:t>
      </w:r>
      <w:r w:rsidRPr="00F26CC5">
        <w:t xml:space="preserve"> the risk of artificial restoration</w:t>
      </w:r>
      <w:r>
        <w:t>.</w:t>
      </w:r>
    </w:p>
    <w:p w14:paraId="5C51855D" w14:textId="77777777" w:rsidR="00BD673C" w:rsidRDefault="00BD673C" w:rsidP="00A74D12"/>
    <w:p w14:paraId="3E7635E6" w14:textId="77777777" w:rsidR="00BD673C" w:rsidRDefault="00BD673C" w:rsidP="00A74D12">
      <w:r>
        <w:rPr>
          <w:rFonts w:hint="eastAsia"/>
        </w:rPr>
        <w:t>S</w:t>
      </w:r>
      <w:r>
        <w:t xml:space="preserve">oil organic matter (OM) </w:t>
      </w:r>
      <w:r w:rsidRPr="00501A0B">
        <w:t>play</w:t>
      </w:r>
      <w:r>
        <w:t>s</w:t>
      </w:r>
      <w:r w:rsidRPr="00501A0B">
        <w:t xml:space="preserve"> an important role in maintaining soil quality, regulating biogeochemistry cycles</w:t>
      </w:r>
      <w:r>
        <w:t xml:space="preserve"> </w:t>
      </w:r>
      <w:r>
        <w:rPr>
          <w:noProof/>
        </w:rPr>
        <w:t>(Finzi et al., 2011)</w:t>
      </w:r>
      <w:r>
        <w:t xml:space="preserve">, enhancing crop production </w:t>
      </w:r>
      <w:r>
        <w:rPr>
          <w:noProof/>
        </w:rPr>
        <w:t>(Dessalegn et al., 2014)</w:t>
      </w:r>
      <w:r w:rsidRPr="00501A0B">
        <w:t xml:space="preserve">, controlling net primary productivity, assembling plant species distributions </w:t>
      </w:r>
      <w:r>
        <w:rPr>
          <w:noProof/>
        </w:rPr>
        <w:t>(John et al., 2007)</w:t>
      </w:r>
      <w:r w:rsidRPr="00501A0B">
        <w:t>, and mitigating global warmi</w:t>
      </w:r>
      <w:r>
        <w:t xml:space="preserve">ng through soil C sequestration </w:t>
      </w:r>
      <w:r>
        <w:rPr>
          <w:noProof/>
        </w:rPr>
        <w:t>(Lal, 2019)</w:t>
      </w:r>
      <w:r w:rsidRPr="00501A0B">
        <w:t>.</w:t>
      </w:r>
      <w:r>
        <w:t xml:space="preserve"> Land degradation results</w:t>
      </w:r>
      <w:r w:rsidRPr="00044B28">
        <w:t xml:space="preserve"> in </w:t>
      </w:r>
      <w:r w:rsidRPr="00044B28">
        <w:lastRenderedPageBreak/>
        <w:t>a net loss of soil carbon to the atmosphere</w:t>
      </w:r>
      <w:r>
        <w:t xml:space="preserve">, thereby increasing </w:t>
      </w:r>
      <w:r w:rsidRPr="00044B28">
        <w:t>greenhouse gas emissions</w:t>
      </w:r>
      <w:r>
        <w:t xml:space="preserve"> </w:t>
      </w:r>
      <w:r>
        <w:rPr>
          <w:noProof/>
        </w:rPr>
        <w:t>(Lal, 2004)</w:t>
      </w:r>
      <w:r>
        <w:t xml:space="preserve">, while the process of soil OM loss can be reversed by vegetation restoration </w:t>
      </w:r>
      <w:r>
        <w:rPr>
          <w:noProof/>
        </w:rPr>
        <w:t>(Wang et al., 2011; Hu et al., 2018)</w:t>
      </w:r>
      <w:r>
        <w:t xml:space="preserve">. However, </w:t>
      </w:r>
      <w:r w:rsidRPr="004A764B">
        <w:t xml:space="preserve">the effects of vegetation restoration types </w:t>
      </w:r>
      <w:r>
        <w:t xml:space="preserve">and environmental factors on soil OM </w:t>
      </w:r>
      <w:r w:rsidRPr="004A764B">
        <w:t>may vary</w:t>
      </w:r>
      <w:r>
        <w:t xml:space="preserve"> along the aridity gradient </w:t>
      </w:r>
      <w:r>
        <w:rPr>
          <w:noProof/>
        </w:rPr>
        <w:t>(Huang et al., 2020)</w:t>
      </w:r>
      <w:r>
        <w:t>.</w:t>
      </w:r>
      <w:r w:rsidRPr="004A764B">
        <w:t xml:space="preserve"> </w:t>
      </w:r>
      <w:r>
        <w:t xml:space="preserve">In this case, </w:t>
      </w:r>
      <w:r w:rsidRPr="00616FB4">
        <w:t xml:space="preserve">in order to make more accurate predictions about </w:t>
      </w:r>
      <w:r>
        <w:t>soil nutrient accumulation for sustainable land management, it is</w:t>
      </w:r>
      <w:r w:rsidRPr="00616FB4">
        <w:t xml:space="preserve"> crucial</w:t>
      </w:r>
      <w:r>
        <w:t xml:space="preserve"> to have a </w:t>
      </w:r>
      <w:r>
        <w:rPr>
          <w:rFonts w:hint="eastAsia"/>
        </w:rPr>
        <w:t>better</w:t>
      </w:r>
      <w:r w:rsidRPr="00616FB4">
        <w:t xml:space="preserve"> understanding of the influence of different methods of vegetation restor</w:t>
      </w:r>
      <w:r>
        <w:t>ation and environmental factors as well as their</w:t>
      </w:r>
      <w:r w:rsidRPr="00616FB4">
        <w:rPr>
          <w:color w:val="1C1D1E"/>
          <w:shd w:val="clear" w:color="auto" w:fill="FFFFFF"/>
        </w:rPr>
        <w:t xml:space="preserve"> </w:t>
      </w:r>
      <w:r>
        <w:rPr>
          <w:color w:val="1C1D1E"/>
          <w:shd w:val="clear" w:color="auto" w:fill="FFFFFF"/>
        </w:rPr>
        <w:t>interactions</w:t>
      </w:r>
      <w:r>
        <w:t xml:space="preserve"> </w:t>
      </w:r>
      <w:r w:rsidRPr="00616FB4">
        <w:t xml:space="preserve">on the sequestration of soil </w:t>
      </w:r>
      <w:r>
        <w:t>OM in different degrees of aridity</w:t>
      </w:r>
      <w:r w:rsidRPr="00616FB4">
        <w:t>.</w:t>
      </w:r>
    </w:p>
    <w:p w14:paraId="57FE8EB9" w14:textId="77777777" w:rsidR="00BD673C" w:rsidRDefault="00BD673C" w:rsidP="00A74D12"/>
    <w:p w14:paraId="5BB624B3" w14:textId="708CA39A" w:rsidR="00BD673C" w:rsidRDefault="00BD673C" w:rsidP="00A74D12">
      <w:r w:rsidRPr="00062187">
        <w:rPr>
          <w:szCs w:val="22"/>
        </w:rPr>
        <w:t>The hypothes</w:t>
      </w:r>
      <w:r>
        <w:rPr>
          <w:szCs w:val="22"/>
        </w:rPr>
        <w:t>e</w:t>
      </w:r>
      <w:r w:rsidRPr="00062187">
        <w:rPr>
          <w:szCs w:val="22"/>
        </w:rPr>
        <w:t xml:space="preserve">s of this study </w:t>
      </w:r>
      <w:r>
        <w:rPr>
          <w:szCs w:val="22"/>
        </w:rPr>
        <w:t>are as follows: i</w:t>
      </w:r>
      <w:r w:rsidRPr="000A45A8">
        <w:rPr>
          <w:szCs w:val="22"/>
        </w:rPr>
        <w:t xml:space="preserve">) </w:t>
      </w:r>
      <w:r>
        <w:t xml:space="preserve">sand fixation and vegetation restoration </w:t>
      </w:r>
      <w:r w:rsidRPr="0036696F">
        <w:t>bring benefits for soil nutrient accumulation</w:t>
      </w:r>
      <w:r>
        <w:t xml:space="preserve"> </w:t>
      </w:r>
      <w:r w:rsidRPr="0036696F">
        <w:t>and vegetation improvement</w:t>
      </w:r>
      <w:r>
        <w:rPr>
          <w:szCs w:val="22"/>
        </w:rPr>
        <w:t>;</w:t>
      </w:r>
      <w:r w:rsidRPr="000A45A8">
        <w:rPr>
          <w:szCs w:val="22"/>
        </w:rPr>
        <w:t xml:space="preserve"> </w:t>
      </w:r>
      <w:r>
        <w:rPr>
          <w:szCs w:val="22"/>
        </w:rPr>
        <w:t>ii</w:t>
      </w:r>
      <w:r w:rsidRPr="000A45A8">
        <w:rPr>
          <w:szCs w:val="22"/>
        </w:rPr>
        <w:t xml:space="preserve">) </w:t>
      </w:r>
      <w:r w:rsidRPr="004A764B">
        <w:rPr>
          <w:szCs w:val="22"/>
        </w:rPr>
        <w:t xml:space="preserve">natural </w:t>
      </w:r>
      <w:r>
        <w:rPr>
          <w:szCs w:val="22"/>
        </w:rPr>
        <w:t xml:space="preserve">vegetation </w:t>
      </w:r>
      <w:r w:rsidRPr="004A764B">
        <w:rPr>
          <w:szCs w:val="22"/>
        </w:rPr>
        <w:t>restoration is prefera</w:t>
      </w:r>
      <w:r>
        <w:rPr>
          <w:szCs w:val="22"/>
        </w:rPr>
        <w:t>ble to artificial restoration for</w:t>
      </w:r>
      <w:r w:rsidRPr="004A764B">
        <w:rPr>
          <w:szCs w:val="22"/>
        </w:rPr>
        <w:t xml:space="preserve"> soil fertility and vegetation biomass improvements</w:t>
      </w:r>
      <w:r>
        <w:rPr>
          <w:szCs w:val="22"/>
        </w:rPr>
        <w:t xml:space="preserve">; and iii) </w:t>
      </w:r>
      <w:r w:rsidRPr="00C100F2">
        <w:rPr>
          <w:szCs w:val="22"/>
        </w:rPr>
        <w:t xml:space="preserve">the effects of vegetation restoration types and environmental factors on soil OM </w:t>
      </w:r>
      <w:r>
        <w:rPr>
          <w:szCs w:val="22"/>
        </w:rPr>
        <w:t>varies</w:t>
      </w:r>
      <w:r w:rsidRPr="00C100F2">
        <w:rPr>
          <w:szCs w:val="22"/>
        </w:rPr>
        <w:t xml:space="preserve"> </w:t>
      </w:r>
      <w:r>
        <w:rPr>
          <w:szCs w:val="22"/>
        </w:rPr>
        <w:t xml:space="preserve">in semi-arid deserts and arid deserts. </w:t>
      </w:r>
      <w:r w:rsidRPr="002E0516">
        <w:rPr>
          <w:szCs w:val="22"/>
        </w:rPr>
        <w:t>Th</w:t>
      </w:r>
      <w:r>
        <w:rPr>
          <w:szCs w:val="22"/>
        </w:rPr>
        <w:t>e</w:t>
      </w:r>
      <w:r w:rsidRPr="002E0516">
        <w:rPr>
          <w:szCs w:val="22"/>
        </w:rPr>
        <w:t>s</w:t>
      </w:r>
      <w:r>
        <w:rPr>
          <w:szCs w:val="22"/>
        </w:rPr>
        <w:t>e</w:t>
      </w:r>
      <w:r w:rsidRPr="002E0516">
        <w:rPr>
          <w:szCs w:val="22"/>
        </w:rPr>
        <w:t xml:space="preserve"> hypothes</w:t>
      </w:r>
      <w:r>
        <w:rPr>
          <w:szCs w:val="22"/>
        </w:rPr>
        <w:t>e</w:t>
      </w:r>
      <w:r w:rsidRPr="002E0516">
        <w:rPr>
          <w:szCs w:val="22"/>
        </w:rPr>
        <w:t xml:space="preserve">s </w:t>
      </w:r>
      <w:r>
        <w:rPr>
          <w:szCs w:val="22"/>
        </w:rPr>
        <w:t>were</w:t>
      </w:r>
      <w:r w:rsidRPr="002E0516">
        <w:rPr>
          <w:szCs w:val="22"/>
        </w:rPr>
        <w:t xml:space="preserve"> </w:t>
      </w:r>
      <w:r>
        <w:rPr>
          <w:szCs w:val="22"/>
        </w:rPr>
        <w:t xml:space="preserve">hereby </w:t>
      </w:r>
      <w:r w:rsidRPr="002E0516">
        <w:rPr>
          <w:szCs w:val="22"/>
        </w:rPr>
        <w:t xml:space="preserve">tested </w:t>
      </w:r>
      <w:r>
        <w:rPr>
          <w:szCs w:val="22"/>
        </w:rPr>
        <w:t>through</w:t>
      </w:r>
      <w:r w:rsidRPr="002E0516">
        <w:rPr>
          <w:szCs w:val="22"/>
        </w:rPr>
        <w:t xml:space="preserve"> </w:t>
      </w:r>
      <w:r>
        <w:rPr>
          <w:szCs w:val="22"/>
        </w:rPr>
        <w:t xml:space="preserve">the </w:t>
      </w:r>
      <w:r w:rsidRPr="002E0516">
        <w:rPr>
          <w:szCs w:val="22"/>
        </w:rPr>
        <w:t xml:space="preserve">analysis of </w:t>
      </w:r>
      <w:r>
        <w:rPr>
          <w:szCs w:val="22"/>
        </w:rPr>
        <w:t xml:space="preserve">10 </w:t>
      </w:r>
      <w:r w:rsidRPr="002E0516">
        <w:rPr>
          <w:szCs w:val="22"/>
        </w:rPr>
        <w:t>years</w:t>
      </w:r>
      <w:r>
        <w:rPr>
          <w:szCs w:val="22"/>
        </w:rPr>
        <w:t xml:space="preserve"> of </w:t>
      </w:r>
      <w:r w:rsidRPr="002E0516">
        <w:rPr>
          <w:szCs w:val="22"/>
        </w:rPr>
        <w:t xml:space="preserve">field monitoring </w:t>
      </w:r>
      <w:r>
        <w:rPr>
          <w:szCs w:val="22"/>
        </w:rPr>
        <w:t xml:space="preserve">of </w:t>
      </w:r>
      <w:r w:rsidRPr="002E0516">
        <w:rPr>
          <w:szCs w:val="22"/>
        </w:rPr>
        <w:t>soil properties</w:t>
      </w:r>
      <w:r>
        <w:rPr>
          <w:szCs w:val="22"/>
        </w:rPr>
        <w:t xml:space="preserve"> and vegetation attributes</w:t>
      </w:r>
      <w:r w:rsidRPr="002E0516">
        <w:rPr>
          <w:szCs w:val="22"/>
        </w:rPr>
        <w:t>.</w:t>
      </w:r>
      <w:r>
        <w:rPr>
          <w:szCs w:val="22"/>
        </w:rPr>
        <w:t xml:space="preserve"> The specific objectives of this study were: i) to assess the effects of the </w:t>
      </w:r>
      <w:r>
        <w:rPr>
          <w:rFonts w:hint="eastAsia"/>
        </w:rPr>
        <w:t>restoration</w:t>
      </w:r>
      <w:r w:rsidRPr="00753A64">
        <w:t xml:space="preserve"> of sandy</w:t>
      </w:r>
      <w:r>
        <w:t xml:space="preserve"> steppe</w:t>
      </w:r>
      <w:r w:rsidRPr="00753A64">
        <w:t xml:space="preserve"> and fixation of moving dunes </w:t>
      </w:r>
      <w:r>
        <w:rPr>
          <w:szCs w:val="22"/>
        </w:rPr>
        <w:t xml:space="preserve">on soil physicochemical properties and vegetation attributes in semi-arid deserts; ii) to </w:t>
      </w:r>
      <w:r>
        <w:rPr>
          <w:szCs w:val="22"/>
        </w:rPr>
        <w:lastRenderedPageBreak/>
        <w:t>investigate the effects of natural/artificial vegetation restoration on soil physicochemical properties and vegetation attributes in arid deserts;</w:t>
      </w:r>
      <w:r w:rsidRPr="00C100F2">
        <w:rPr>
          <w:szCs w:val="22"/>
        </w:rPr>
        <w:t xml:space="preserve"> </w:t>
      </w:r>
      <w:r>
        <w:rPr>
          <w:szCs w:val="22"/>
        </w:rPr>
        <w:t xml:space="preserve">and iii) to </w:t>
      </w:r>
      <w:r>
        <w:rPr>
          <w:color w:val="1C1D1E"/>
          <w:shd w:val="clear" w:color="auto" w:fill="FFFFFF"/>
        </w:rPr>
        <w:t xml:space="preserve">identify the environmental factors affecting soil OM accumulation for different vegetation restoration types in arid and semi-arid deserts. Overall, </w:t>
      </w:r>
      <w:r>
        <w:rPr>
          <w:szCs w:val="22"/>
        </w:rPr>
        <w:t xml:space="preserve">the findings of this study provide valuable new </w:t>
      </w:r>
      <w:r>
        <w:rPr>
          <w:rFonts w:hint="eastAsia"/>
          <w:szCs w:val="22"/>
        </w:rPr>
        <w:t>insights</w:t>
      </w:r>
      <w:r>
        <w:rPr>
          <w:szCs w:val="22"/>
        </w:rPr>
        <w:t xml:space="preserve"> into optimizing</w:t>
      </w:r>
      <w:r w:rsidRPr="0052211D">
        <w:rPr>
          <w:szCs w:val="22"/>
        </w:rPr>
        <w:t xml:space="preserve"> vegetation restoration</w:t>
      </w:r>
      <w:r>
        <w:rPr>
          <w:szCs w:val="22"/>
        </w:rPr>
        <w:t xml:space="preserve"> strategies to</w:t>
      </w:r>
      <w:r w:rsidRPr="00F26CC5">
        <w:t xml:space="preserve"> ensure the effectiveness and sustainability of </w:t>
      </w:r>
      <w:r>
        <w:t>degraded land recovery.</w:t>
      </w:r>
    </w:p>
    <w:p w14:paraId="75AACA87" w14:textId="77777777" w:rsidR="00BD673C" w:rsidRPr="002A4ABB" w:rsidRDefault="00BD673C" w:rsidP="00A74D12"/>
    <w:p w14:paraId="3428A5A3" w14:textId="77777777" w:rsidR="00BD673C" w:rsidRDefault="00BD673C" w:rsidP="00A74D12">
      <w:pPr>
        <w:pStyle w:val="1"/>
        <w:spacing w:before="163" w:after="163"/>
      </w:pPr>
      <w:r>
        <w:t xml:space="preserve">2. </w:t>
      </w:r>
      <w:r w:rsidRPr="001374B0">
        <w:t>Material and methods</w:t>
      </w:r>
    </w:p>
    <w:p w14:paraId="16673D27" w14:textId="77777777" w:rsidR="00BD673C" w:rsidRDefault="00BD673C" w:rsidP="00A74D12">
      <w:pPr>
        <w:pStyle w:val="2"/>
        <w:spacing w:before="163" w:after="163"/>
      </w:pPr>
      <w:r>
        <w:t xml:space="preserve">2.1 </w:t>
      </w:r>
      <w:r w:rsidRPr="005176D8">
        <w:t>S</w:t>
      </w:r>
      <w:r w:rsidRPr="005176D8">
        <w:rPr>
          <w:rFonts w:hint="eastAsia"/>
        </w:rPr>
        <w:t>t</w:t>
      </w:r>
      <w:r w:rsidRPr="005176D8">
        <w:t>udy site</w:t>
      </w:r>
    </w:p>
    <w:p w14:paraId="11A1B9F7" w14:textId="1F2B621C" w:rsidR="00BD673C" w:rsidRPr="00B036AD" w:rsidRDefault="00BD673C" w:rsidP="00A74D12">
      <w:r w:rsidRPr="00B036AD">
        <w:t xml:space="preserve">This study was conducted across the </w:t>
      </w:r>
      <w:r>
        <w:t>arid and semi-arid</w:t>
      </w:r>
      <w:r w:rsidRPr="00B036AD">
        <w:t xml:space="preserve"> region</w:t>
      </w:r>
      <w:r>
        <w:t>s</w:t>
      </w:r>
      <w:r w:rsidRPr="00B036AD">
        <w:t xml:space="preserve"> of China’s </w:t>
      </w:r>
      <w:r w:rsidRPr="00B036AD">
        <w:rPr>
          <w:rFonts w:hint="eastAsia"/>
        </w:rPr>
        <w:t>dr</w:t>
      </w:r>
      <w:r w:rsidRPr="00B036AD">
        <w:t>ylands, which cover approximately 2.5 million and 2.0 million km</w:t>
      </w:r>
      <w:r w:rsidRPr="00B036AD">
        <w:rPr>
          <w:vertAlign w:val="superscript"/>
        </w:rPr>
        <w:t>2</w:t>
      </w:r>
      <w:r w:rsidRPr="00B036AD">
        <w:t>, accounting for 26% and 21% of China’s terrestrial surface, respectively (</w:t>
      </w:r>
      <w:r>
        <w:t xml:space="preserve">Fig. </w:t>
      </w:r>
      <w:r w:rsidRPr="00B036AD">
        <w:t>1)</w:t>
      </w:r>
      <w:r>
        <w:t>,</w:t>
      </w:r>
      <w:r w:rsidRPr="00B036AD">
        <w:t xml:space="preserve"> </w:t>
      </w:r>
      <w:r>
        <w:t>where the p</w:t>
      </w:r>
      <w:r w:rsidRPr="00B036AD">
        <w:t>recipitation is low, with a mean annual rainfall of 406.0 mm (</w:t>
      </w:r>
      <w:r>
        <w:t>s</w:t>
      </w:r>
      <w:r w:rsidRPr="00B036AD">
        <w:t>tandard deviation: 34.1 mm) and 128.73 mm (</w:t>
      </w:r>
      <w:r>
        <w:t>s</w:t>
      </w:r>
      <w:r w:rsidRPr="00B036AD">
        <w:t xml:space="preserve">tandard deviation: 13.6 mm) reported between 1980 and 2015, respectively </w:t>
      </w:r>
      <w:r w:rsidRPr="00B036AD">
        <w:rPr>
          <w:noProof/>
        </w:rPr>
        <w:t>(Li et al., 2021)</w:t>
      </w:r>
      <w:r w:rsidRPr="00B036AD">
        <w:t xml:space="preserve">. </w:t>
      </w:r>
      <w:r>
        <w:t>Meanwhile, d</w:t>
      </w:r>
      <w:r w:rsidRPr="00B036AD">
        <w:t>eserts cover approximately 0.8 million km</w:t>
      </w:r>
      <w:r w:rsidRPr="00B036AD">
        <w:rPr>
          <w:vertAlign w:val="superscript"/>
        </w:rPr>
        <w:t>2</w:t>
      </w:r>
      <w:r w:rsidRPr="00B036AD">
        <w:t xml:space="preserve">, accounting for 17% of the </w:t>
      </w:r>
      <w:r>
        <w:t>arid and semi-arid</w:t>
      </w:r>
      <w:r w:rsidRPr="00B036AD">
        <w:t xml:space="preserve"> region</w:t>
      </w:r>
      <w:r>
        <w:t>s</w:t>
      </w:r>
      <w:r w:rsidRPr="00B036AD">
        <w:t xml:space="preserve"> of China’s </w:t>
      </w:r>
      <w:r w:rsidRPr="00B036AD">
        <w:rPr>
          <w:rFonts w:hint="eastAsia"/>
        </w:rPr>
        <w:t>dr</w:t>
      </w:r>
      <w:r w:rsidRPr="00B036AD">
        <w:t xml:space="preserve">ylands. Desert ecosystems have </w:t>
      </w:r>
      <w:r>
        <w:t xml:space="preserve">an </w:t>
      </w:r>
      <w:r w:rsidRPr="00B036AD">
        <w:t xml:space="preserve">annual average precipitation </w:t>
      </w:r>
      <w:r>
        <w:t xml:space="preserve">of </w:t>
      </w:r>
      <w:r w:rsidRPr="00B036AD">
        <w:t xml:space="preserve">less than 200 mm and evapotranspiration </w:t>
      </w:r>
      <w:r>
        <w:t xml:space="preserve">of </w:t>
      </w:r>
      <w:r w:rsidRPr="00B036AD">
        <w:t xml:space="preserve">more than 700 mm </w:t>
      </w:r>
      <w:r>
        <w:rPr>
          <w:noProof/>
        </w:rPr>
        <w:t>(Jin et al., 2007; Chang et al., 2015)</w:t>
      </w:r>
      <w:r w:rsidRPr="00B036AD">
        <w:t xml:space="preserve">. There are 4 deserts (Horqin Desert, </w:t>
      </w:r>
      <w:r w:rsidRPr="00B036AD">
        <w:lastRenderedPageBreak/>
        <w:t>Hulunbeier Desert</w:t>
      </w:r>
      <w:r w:rsidRPr="00B036AD">
        <w:rPr>
          <w:rFonts w:hint="eastAsia"/>
        </w:rPr>
        <w:t>,</w:t>
      </w:r>
      <w:r w:rsidRPr="00B036AD">
        <w:t xml:space="preserve"> Otindag Desert and Mu Us Desert) in the semi-arid region and 5 deserts (Kubuqi Desert</w:t>
      </w:r>
      <w:r w:rsidRPr="00B036AD">
        <w:rPr>
          <w:rFonts w:hint="eastAsia"/>
        </w:rPr>
        <w:t>,</w:t>
      </w:r>
      <w:r w:rsidRPr="00B036AD">
        <w:t xml:space="preserve"> Ulan Buh Desert</w:t>
      </w:r>
      <w:r w:rsidRPr="00B036AD">
        <w:rPr>
          <w:rFonts w:hint="eastAsia"/>
        </w:rPr>
        <w:t>,</w:t>
      </w:r>
      <w:r w:rsidRPr="00B036AD">
        <w:t xml:space="preserve"> Tenger Desert</w:t>
      </w:r>
      <w:r w:rsidRPr="00B036AD">
        <w:rPr>
          <w:rFonts w:hint="eastAsia"/>
        </w:rPr>
        <w:t>,</w:t>
      </w:r>
      <w:r w:rsidRPr="00B036AD">
        <w:t xml:space="preserve"> Badainjaran Desert and Gurbantunggut Desert) in the arid region from east to west (</w:t>
      </w:r>
      <w:r>
        <w:t xml:space="preserve">Fig. </w:t>
      </w:r>
      <w:r w:rsidRPr="00B036AD">
        <w:t>1a). The deserts have low</w:t>
      </w:r>
      <w:r>
        <w:t>-</w:t>
      </w:r>
      <w:r w:rsidRPr="00B036AD">
        <w:t>level surface vegetation (generally &lt; 40%), and Arenosols</w:t>
      </w:r>
      <w:r>
        <w:t>, with high</w:t>
      </w:r>
      <w:r w:rsidRPr="00B036AD">
        <w:t xml:space="preserve"> vulnerab</w:t>
      </w:r>
      <w:r>
        <w:t xml:space="preserve">ility </w:t>
      </w:r>
      <w:r w:rsidRPr="00B036AD">
        <w:t>to wind erosion</w:t>
      </w:r>
      <w:r>
        <w:t>,</w:t>
      </w:r>
      <w:r w:rsidRPr="00B036AD">
        <w:t xml:space="preserve"> are the main soil types as reported by the FAO/UNESCO taxonomy </w:t>
      </w:r>
      <w:r>
        <w:rPr>
          <w:noProof/>
        </w:rPr>
        <w:t>(Pan et al., 2008; Li et al., 2013)</w:t>
      </w:r>
      <w:r w:rsidRPr="00B036AD">
        <w:t xml:space="preserve">. </w:t>
      </w:r>
      <w:r w:rsidRPr="00B036AD">
        <w:rPr>
          <w:i/>
        </w:rPr>
        <w:t xml:space="preserve">Setaria viridis </w:t>
      </w:r>
      <w:r w:rsidRPr="00B036AD">
        <w:t xml:space="preserve">steppes are common in semi-arid desert steppe areas, </w:t>
      </w:r>
      <w:r w:rsidRPr="00B036AD">
        <w:rPr>
          <w:i/>
        </w:rPr>
        <w:t>Agriophyllum squarrosumand</w:t>
      </w:r>
      <w:r w:rsidRPr="00B036AD">
        <w:t xml:space="preserve"> is the dominant species in semi-arid desert dune</w:t>
      </w:r>
      <w:r>
        <w:t>s</w:t>
      </w:r>
      <w:r w:rsidRPr="00B036AD">
        <w:t xml:space="preserve">, and </w:t>
      </w:r>
      <w:r w:rsidRPr="00B036AD">
        <w:rPr>
          <w:i/>
        </w:rPr>
        <w:t>Caragana microphylla</w:t>
      </w:r>
      <w:r w:rsidRPr="00B036AD">
        <w:t xml:space="preserve"> and </w:t>
      </w:r>
      <w:r w:rsidRPr="00B036AD">
        <w:rPr>
          <w:i/>
        </w:rPr>
        <w:t>Artemisia halodendron</w:t>
      </w:r>
      <w:r w:rsidRPr="00B036AD">
        <w:t xml:space="preserve"> are the main shrubs in the semi-arid desert shrubland </w:t>
      </w:r>
      <w:r w:rsidRPr="00B036AD">
        <w:rPr>
          <w:noProof/>
        </w:rPr>
        <w:t>(Li et al., 2013)</w:t>
      </w:r>
      <w:r w:rsidRPr="00B036AD">
        <w:t xml:space="preserve">. </w:t>
      </w:r>
      <w:r>
        <w:t>Besides, t</w:t>
      </w:r>
      <w:r w:rsidRPr="00B036AD">
        <w:t>he main shrub is</w:t>
      </w:r>
      <w:r w:rsidRPr="00B036AD">
        <w:rPr>
          <w:i/>
        </w:rPr>
        <w:t xml:space="preserve"> Artemisia ordosica</w:t>
      </w:r>
      <w:r w:rsidRPr="00B036AD">
        <w:t xml:space="preserve"> in the arid desert shrubland </w:t>
      </w:r>
      <w:r w:rsidRPr="00B036AD">
        <w:rPr>
          <w:noProof/>
        </w:rPr>
        <w:t>(Pan et al., 2008)</w:t>
      </w:r>
      <w:r w:rsidRPr="00B036AD">
        <w:t>.</w:t>
      </w:r>
    </w:p>
    <w:p w14:paraId="0468066F" w14:textId="77777777" w:rsidR="00BD673C" w:rsidRPr="00B036AD" w:rsidRDefault="00BD673C" w:rsidP="00A74D12"/>
    <w:p w14:paraId="25CB91AA" w14:textId="5E5F8E42" w:rsidR="00BD673C" w:rsidRDefault="00BD673C" w:rsidP="00A74D12">
      <w:r w:rsidRPr="00B036AD">
        <w:t xml:space="preserve">The Chinese Ecosystem Research Network (CERN) </w:t>
      </w:r>
      <w:r w:rsidRPr="00B036AD">
        <w:rPr>
          <w:rFonts w:hint="eastAsia"/>
        </w:rPr>
        <w:t>is</w:t>
      </w:r>
      <w:r w:rsidRPr="00B036AD">
        <w:t xml:space="preserve"> a national network </w:t>
      </w:r>
      <w:r>
        <w:t>of</w:t>
      </w:r>
      <w:r w:rsidRPr="00B036AD">
        <w:t xml:space="preserve"> 40 ecosystem research stations</w:t>
      </w:r>
      <w:r>
        <w:t xml:space="preserve">, which </w:t>
      </w:r>
      <w:r w:rsidRPr="00D759B4">
        <w:t>facilitate</w:t>
      </w:r>
      <w:r>
        <w:t xml:space="preserve">s </w:t>
      </w:r>
      <w:r w:rsidRPr="00B036AD">
        <w:t xml:space="preserve">long-term and </w:t>
      </w:r>
      <w:r w:rsidRPr="00D759B4">
        <w:t>extensive</w:t>
      </w:r>
      <w:r w:rsidRPr="00B036AD">
        <w:t xml:space="preserve"> monitoring of </w:t>
      </w:r>
      <w:r>
        <w:t>typical</w:t>
      </w:r>
      <w:r w:rsidRPr="00B036AD">
        <w:t xml:space="preserve"> ecosystems </w:t>
      </w:r>
      <w:r w:rsidRPr="00D759B4">
        <w:t>across</w:t>
      </w:r>
      <w:r w:rsidRPr="00B036AD">
        <w:t xml:space="preserve"> China </w:t>
      </w:r>
      <w:r w:rsidRPr="00B036AD">
        <w:rPr>
          <w:noProof/>
        </w:rPr>
        <w:t>(Fu et al., 2010; Zhao et al., 2021)</w:t>
      </w:r>
      <w:r w:rsidRPr="00B036AD">
        <w:t xml:space="preserve">. The CERN </w:t>
      </w:r>
      <w:r w:rsidRPr="00B036AD">
        <w:rPr>
          <w:rFonts w:hint="eastAsia"/>
        </w:rPr>
        <w:t>net</w:t>
      </w:r>
      <w:r w:rsidRPr="00B036AD">
        <w:t>work has two desert ecosystem research stations for studying the impact of vegetation restoration across the drylands of China</w:t>
      </w:r>
      <w:r>
        <w:t>,</w:t>
      </w:r>
      <w:r w:rsidRPr="00B036AD">
        <w:t xml:space="preserve"> </w:t>
      </w:r>
      <w:r>
        <w:t>i.e.,</w:t>
      </w:r>
      <w:r w:rsidRPr="00B036AD">
        <w:t xml:space="preserve"> the Naiman Desertification Research Station (NMD) and Shapotou Desert Ecological Research Station (SPD). The</w:t>
      </w:r>
      <w:r>
        <w:t>se</w:t>
      </w:r>
      <w:r w:rsidRPr="00B036AD">
        <w:t xml:space="preserve"> </w:t>
      </w:r>
      <w:r>
        <w:t>two</w:t>
      </w:r>
      <w:r w:rsidRPr="00B036AD">
        <w:t xml:space="preserve"> sites cross from semi-arid desert (NMD) to arid desert (SPD) (latitudinal range from 37°27′N to 43°38′N, longitudinal range from 104°57′E to 37°27′E) (</w:t>
      </w:r>
      <w:r>
        <w:t xml:space="preserve">Fig. </w:t>
      </w:r>
      <w:r w:rsidRPr="00B036AD">
        <w:t>1b). The region ha</w:t>
      </w:r>
      <w:r>
        <w:t>s</w:t>
      </w:r>
      <w:r w:rsidRPr="00B036AD">
        <w:t xml:space="preserve"> a mean </w:t>
      </w:r>
      <w:r w:rsidRPr="00B036AD">
        <w:lastRenderedPageBreak/>
        <w:t>annual temperature rang</w:t>
      </w:r>
      <w:r>
        <w:t>ing</w:t>
      </w:r>
      <w:r w:rsidRPr="00B036AD">
        <w:t xml:space="preserve"> from 3.0 to 9.6 °C (from </w:t>
      </w:r>
      <w:r>
        <w:t xml:space="preserve">the </w:t>
      </w:r>
      <w:r w:rsidRPr="00B036AD">
        <w:t>1970s to 2010s), and mean annual precipitation rang</w:t>
      </w:r>
      <w:r>
        <w:t>ing</w:t>
      </w:r>
      <w:r w:rsidRPr="00B036AD">
        <w:t xml:space="preserve"> from 186 to 500 mm (from 1970s to 2010s) (</w:t>
      </w:r>
      <w:r>
        <w:t>Table S1</w:t>
      </w:r>
      <w:r w:rsidRPr="00B036AD">
        <w:t>). Control-impact paired experiments are set between the sandy steppe, fixed dune and moving dune restoration ecosystem in NMD (</w:t>
      </w:r>
      <w:r>
        <w:t xml:space="preserve">Fig. </w:t>
      </w:r>
      <w:r w:rsidRPr="00B036AD">
        <w:t>1c-e), and natural vegetation and artificial vegetation restoration ecosystem in SPD (</w:t>
      </w:r>
      <w:r>
        <w:t xml:space="preserve">Fig. </w:t>
      </w:r>
      <w:r w:rsidRPr="00B036AD">
        <w:t>1f and g). All vegetation restoration sample sites are managed by enclosure using fences to avoid disturbance from grazing and human logging.</w:t>
      </w:r>
      <w:r>
        <w:t xml:space="preserve"> </w:t>
      </w:r>
    </w:p>
    <w:p w14:paraId="0D9FE939" w14:textId="77777777" w:rsidR="00BD673C" w:rsidRPr="00B036AD" w:rsidRDefault="00BD673C" w:rsidP="00A74D12"/>
    <w:p w14:paraId="4AC2E79A" w14:textId="53907029" w:rsidR="00BD673C" w:rsidRDefault="00BD673C" w:rsidP="00A74D12">
      <w:r>
        <w:t>Table S1</w:t>
      </w:r>
      <w:r w:rsidRPr="00B036AD">
        <w:t xml:space="preserve"> summarizes the key characteristics in the region of each research station. NMD is characterized by sandy steppe, fixed dune and moving dune. The dominant species in the region are </w:t>
      </w:r>
      <w:r w:rsidRPr="00B036AD">
        <w:rPr>
          <w:i/>
        </w:rPr>
        <w:t>Setaria viridis</w:t>
      </w:r>
      <w:r w:rsidRPr="00B036AD">
        <w:t xml:space="preserve"> of </w:t>
      </w:r>
      <w:r>
        <w:t xml:space="preserve">the </w:t>
      </w:r>
      <w:r w:rsidRPr="00B036AD">
        <w:t xml:space="preserve">sandy steppe, </w:t>
      </w:r>
      <w:r w:rsidRPr="00B036AD">
        <w:rPr>
          <w:i/>
        </w:rPr>
        <w:t>Caragana microphyll</w:t>
      </w:r>
      <w:r w:rsidRPr="00B036AD">
        <w:t xml:space="preserve">, </w:t>
      </w:r>
      <w:r w:rsidRPr="00B036AD">
        <w:rPr>
          <w:i/>
        </w:rPr>
        <w:t>Artemisia halodendron</w:t>
      </w:r>
      <w:r w:rsidRPr="00B036AD">
        <w:t xml:space="preserve"> and </w:t>
      </w:r>
      <w:r w:rsidRPr="00B036AD">
        <w:rPr>
          <w:i/>
        </w:rPr>
        <w:t>Setaria viridis</w:t>
      </w:r>
      <w:r w:rsidRPr="00B036AD">
        <w:t xml:space="preserve"> of </w:t>
      </w:r>
      <w:r>
        <w:t xml:space="preserve">the </w:t>
      </w:r>
      <w:r w:rsidRPr="00B036AD">
        <w:t xml:space="preserve">fixed dune, and </w:t>
      </w:r>
      <w:r w:rsidRPr="00B036AD">
        <w:rPr>
          <w:i/>
        </w:rPr>
        <w:t>Agriophyllum squarrosumand</w:t>
      </w:r>
      <w:r w:rsidRPr="00B036AD">
        <w:t xml:space="preserve"> of </w:t>
      </w:r>
      <w:r>
        <w:t xml:space="preserve">the </w:t>
      </w:r>
      <w:r w:rsidRPr="00B036AD">
        <w:t xml:space="preserve">moving dune. The sandy steppe sites comprise a square plot </w:t>
      </w:r>
      <w:r>
        <w:t>covering</w:t>
      </w:r>
      <w:r w:rsidRPr="00B036AD">
        <w:t xml:space="preserve"> an area of 10,000 m</w:t>
      </w:r>
      <w:r w:rsidRPr="00B036AD">
        <w:rPr>
          <w:vertAlign w:val="superscript"/>
        </w:rPr>
        <w:t>2</w:t>
      </w:r>
      <w:r w:rsidRPr="00B036AD">
        <w:t>, and enclosure restoration ha</w:t>
      </w:r>
      <w:r>
        <w:t>s</w:t>
      </w:r>
      <w:r w:rsidRPr="00B036AD">
        <w:t xml:space="preserve"> </w:t>
      </w:r>
      <w:r>
        <w:t xml:space="preserve">been </w:t>
      </w:r>
      <w:r w:rsidRPr="00B036AD">
        <w:t>conducted since 1979 to prevent grazing and human disturbance. The fixed dune sites comprise a square plot with an area of 2,500 m</w:t>
      </w:r>
      <w:r w:rsidRPr="00B036AD">
        <w:rPr>
          <w:vertAlign w:val="superscript"/>
        </w:rPr>
        <w:t>2</w:t>
      </w:r>
      <w:r w:rsidRPr="00B036AD">
        <w:t>, and enclosure sand fixation ha</w:t>
      </w:r>
      <w:r>
        <w:t>s been</w:t>
      </w:r>
      <w:r w:rsidRPr="00B036AD">
        <w:t xml:space="preserve"> conducted </w:t>
      </w:r>
      <w:r>
        <w:t xml:space="preserve">by paving </w:t>
      </w:r>
      <w:r w:rsidRPr="0036696F">
        <w:t xml:space="preserve">straw checkerboard barriers </w:t>
      </w:r>
      <w:r>
        <w:t xml:space="preserve">and planting shrubs (i.e. </w:t>
      </w:r>
      <w:r w:rsidRPr="0036696F">
        <w:rPr>
          <w:i/>
        </w:rPr>
        <w:t>Artemisia halodendron</w:t>
      </w:r>
      <w:r w:rsidRPr="0036696F">
        <w:t xml:space="preserve">) </w:t>
      </w:r>
      <w:r w:rsidRPr="00B036AD">
        <w:t xml:space="preserve">since 1985. The moving dune sites comprise a square plot </w:t>
      </w:r>
      <w:r>
        <w:t>covering</w:t>
      </w:r>
      <w:r w:rsidRPr="00B036AD">
        <w:t xml:space="preserve"> an area of 2,500 m</w:t>
      </w:r>
      <w:r w:rsidRPr="00B036AD">
        <w:rPr>
          <w:vertAlign w:val="superscript"/>
        </w:rPr>
        <w:t>2</w:t>
      </w:r>
      <w:r w:rsidRPr="00B036AD">
        <w:t>, and have been fenced off since 1985</w:t>
      </w:r>
      <w:r>
        <w:t xml:space="preserve"> </w:t>
      </w:r>
      <w:r w:rsidRPr="00B036AD">
        <w:rPr>
          <w:noProof/>
        </w:rPr>
        <w:t>(Li et al., 2013)</w:t>
      </w:r>
      <w:r w:rsidRPr="00B036AD">
        <w:t>.</w:t>
      </w:r>
      <w:r>
        <w:t xml:space="preserve"> </w:t>
      </w:r>
      <w:r w:rsidRPr="00B036AD">
        <w:t>SPD is characterized by natural vegetation ecosystem</w:t>
      </w:r>
      <w:r>
        <w:t>s</w:t>
      </w:r>
      <w:r w:rsidRPr="00B036AD">
        <w:t xml:space="preserve"> and artificial vegetation ecosystem</w:t>
      </w:r>
      <w:r>
        <w:t>s</w:t>
      </w:r>
      <w:r w:rsidRPr="00B036AD">
        <w:t xml:space="preserve">, which </w:t>
      </w:r>
      <w:r>
        <w:lastRenderedPageBreak/>
        <w:t>share</w:t>
      </w:r>
      <w:r w:rsidRPr="00B036AD">
        <w:t xml:space="preserve"> similar soil types, vegetation types and landscape position</w:t>
      </w:r>
      <w:r>
        <w:t>s</w:t>
      </w:r>
      <w:r w:rsidRPr="00B036AD">
        <w:t xml:space="preserve">. The dominant specie in the region is </w:t>
      </w:r>
      <w:r w:rsidRPr="00B036AD">
        <w:rPr>
          <w:i/>
        </w:rPr>
        <w:t>Artemisia ordosica.</w:t>
      </w:r>
      <w:r w:rsidRPr="00B036AD">
        <w:t xml:space="preserve"> The natural vegetation sites comprise a square plot </w:t>
      </w:r>
      <w:r>
        <w:t>covering</w:t>
      </w:r>
      <w:r w:rsidRPr="00B036AD">
        <w:t xml:space="preserve"> an area of 10,000 m</w:t>
      </w:r>
      <w:r w:rsidRPr="00B036AD">
        <w:rPr>
          <w:vertAlign w:val="superscript"/>
        </w:rPr>
        <w:t>2</w:t>
      </w:r>
      <w:r w:rsidRPr="00B036AD">
        <w:t xml:space="preserve">, and have been fenced off since 2005 to prevent grazing and human disturbance. </w:t>
      </w:r>
      <w:r w:rsidRPr="00865CAA">
        <w:t xml:space="preserve">In </w:t>
      </w:r>
      <w:r>
        <w:t xml:space="preserve">the </w:t>
      </w:r>
      <w:r w:rsidRPr="00B036AD">
        <w:t xml:space="preserve">artificial vegetation </w:t>
      </w:r>
      <w:r>
        <w:t>sites, t</w:t>
      </w:r>
      <w:r w:rsidRPr="00B036AD">
        <w:t>he original desert landscape dominated by mobile sand dunes ha</w:t>
      </w:r>
      <w:r>
        <w:t>s</w:t>
      </w:r>
      <w:r w:rsidRPr="00B036AD">
        <w:t xml:space="preserve"> changed to a complex artificial-natural ecosystem (with an area of 222,750 m</w:t>
      </w:r>
      <w:r w:rsidRPr="00B036AD">
        <w:rPr>
          <w:vertAlign w:val="superscript"/>
        </w:rPr>
        <w:t>2</w:t>
      </w:r>
      <w:r w:rsidRPr="00B036AD">
        <w:t xml:space="preserve">) </w:t>
      </w:r>
      <w:r>
        <w:t>through</w:t>
      </w:r>
      <w:r w:rsidRPr="00B036AD">
        <w:t xml:space="preserve"> artificial vegetation restoration since 1956 </w:t>
      </w:r>
      <w:r w:rsidRPr="00B036AD">
        <w:rPr>
          <w:noProof/>
        </w:rPr>
        <w:t>(Pan et al., 2008)</w:t>
      </w:r>
      <w:r w:rsidRPr="00B036AD">
        <w:t>.</w:t>
      </w:r>
    </w:p>
    <w:p w14:paraId="323BEC1E" w14:textId="77777777" w:rsidR="00BD673C" w:rsidRPr="00B036AD" w:rsidRDefault="00BD673C" w:rsidP="00A74D12"/>
    <w:p w14:paraId="3FDE0753" w14:textId="77777777" w:rsidR="00BD673C" w:rsidRDefault="00BD673C" w:rsidP="00A74D12">
      <w:pPr>
        <w:pStyle w:val="2"/>
        <w:spacing w:before="163" w:after="163"/>
      </w:pPr>
      <w:r>
        <w:t>2.2 Soil sampling and vegetation survey</w:t>
      </w:r>
    </w:p>
    <w:p w14:paraId="43CBDF7B" w14:textId="77777777" w:rsidR="00BD673C" w:rsidRPr="00B036AD" w:rsidRDefault="00BD673C" w:rsidP="00A74D12">
      <w:r w:rsidRPr="00B036AD">
        <w:t>Long-term sampling sites were set</w:t>
      </w:r>
      <w:r>
        <w:t xml:space="preserve"> </w:t>
      </w:r>
      <w:r w:rsidRPr="00B036AD">
        <w:t xml:space="preserve">up for the sandy steppe, fixed dune and moving dune ecosystems in NMD, </w:t>
      </w:r>
      <w:r>
        <w:t>as well as</w:t>
      </w:r>
      <w:r w:rsidRPr="00B036AD">
        <w:t xml:space="preserve"> natural vegetation and artificial natural vegetation ecosystems in SPD. The sampling area was 100 m</w:t>
      </w:r>
      <w:r w:rsidRPr="00B036AD">
        <w:rPr>
          <w:rFonts w:asciiTheme="minorEastAsia" w:hAnsiTheme="minorEastAsia" w:hint="eastAsia"/>
        </w:rPr>
        <w:t>◊</w:t>
      </w:r>
      <w:r w:rsidRPr="00B036AD">
        <w:t>100 m in the northwest of each site. The sampling sites were set</w:t>
      </w:r>
      <w:r>
        <w:t xml:space="preserve"> </w:t>
      </w:r>
      <w:r w:rsidRPr="00B036AD">
        <w:t>up approximately 20-30 m away from the fence border to avoid the edge effect. Identical sampling was applied to the selected paired sites</w:t>
      </w:r>
      <w:r>
        <w:t xml:space="preserve"> with</w:t>
      </w:r>
      <w:r w:rsidRPr="00B036AD">
        <w:t xml:space="preserve"> similar soil type</w:t>
      </w:r>
      <w:r>
        <w:t>s</w:t>
      </w:r>
      <w:r w:rsidRPr="00B036AD">
        <w:t xml:space="preserve">, vegetation </w:t>
      </w:r>
      <w:r>
        <w:t xml:space="preserve">types </w:t>
      </w:r>
      <w:r w:rsidRPr="00B036AD">
        <w:t>and landscape position</w:t>
      </w:r>
      <w:r>
        <w:t>s</w:t>
      </w:r>
      <w:r>
        <w:rPr>
          <w:rFonts w:hint="eastAsia"/>
        </w:rPr>
        <w:t>.</w:t>
      </w:r>
      <w:r w:rsidRPr="00B036AD">
        <w:t xml:space="preserve"> </w:t>
      </w:r>
      <w:r>
        <w:t>Soil sampling and vegetation surveys</w:t>
      </w:r>
      <w:r w:rsidRPr="00B036AD">
        <w:t xml:space="preserve"> were carried out in the annual growing season (</w:t>
      </w:r>
      <w:r>
        <w:t xml:space="preserve">from </w:t>
      </w:r>
      <w:r w:rsidRPr="00B036AD">
        <w:t>April to October) from 2005 to 2015. The sampling area was divided into 100 small sampling plots (with an area of 10 m</w:t>
      </w:r>
      <w:r w:rsidRPr="00B036AD">
        <w:rPr>
          <w:rFonts w:asciiTheme="minorEastAsia" w:hAnsiTheme="minorEastAsia" w:hint="eastAsia"/>
        </w:rPr>
        <w:t>◊</w:t>
      </w:r>
      <w:r w:rsidRPr="00B036AD">
        <w:t>10 m).</w:t>
      </w:r>
      <w:r>
        <w:t xml:space="preserve"> S</w:t>
      </w:r>
      <w:r w:rsidRPr="00B036AD">
        <w:t>oil and vegetation sample</w:t>
      </w:r>
      <w:r>
        <w:t>s were</w:t>
      </w:r>
      <w:r w:rsidRPr="00B036AD">
        <w:t xml:space="preserve"> collected from each of the randomly selected 6 plots each year. </w:t>
      </w:r>
      <w:r>
        <w:t>The f</w:t>
      </w:r>
      <w:r w:rsidRPr="00B036AD">
        <w:t xml:space="preserve">irst-year soil samples were collected from plots marked A, and vegetation samples were collected from plots marked </w:t>
      </w:r>
      <w:r w:rsidRPr="00B036AD">
        <w:lastRenderedPageBreak/>
        <w:t>B. The order was changed annually (</w:t>
      </w:r>
      <w:r>
        <w:t>Fig. S1</w:t>
      </w:r>
      <w:r w:rsidRPr="00B036AD">
        <w:t>). At least 6 soil samples were collected in an S</w:t>
      </w:r>
      <w:r>
        <w:t xml:space="preserve"> </w:t>
      </w:r>
      <w:r w:rsidRPr="00B036AD">
        <w:t xml:space="preserve">shape from each sample plot. Vegetation samples were collected 1m </w:t>
      </w:r>
      <w:r w:rsidRPr="00B036AD">
        <w:rPr>
          <w:rFonts w:hint="eastAsia"/>
        </w:rPr>
        <w:t>×</w:t>
      </w:r>
      <w:r w:rsidRPr="00B036AD">
        <w:t xml:space="preserve"> 1m in quadrats randomly selected on each sample line set at 2.5 m intervals on the sample plot. </w:t>
      </w:r>
      <w:r>
        <w:t>S</w:t>
      </w:r>
      <w:r w:rsidRPr="00B036AD">
        <w:t>oil samples were then fully mixed to obtain a single sample for subsequent analysis, and the vegetation statistics of each quadrat were averaged for each sample plot.</w:t>
      </w:r>
    </w:p>
    <w:p w14:paraId="7F4953D6" w14:textId="77777777" w:rsidR="00BD673C" w:rsidRPr="00B036AD" w:rsidRDefault="00BD673C" w:rsidP="00A74D12"/>
    <w:p w14:paraId="3B2236FF" w14:textId="77777777" w:rsidR="00BD673C" w:rsidRPr="00B036AD" w:rsidRDefault="00BD673C" w:rsidP="00A74D12">
      <w:r w:rsidRPr="00D759B4">
        <w:t>In line with the sampling protocols set</w:t>
      </w:r>
      <w:r w:rsidRPr="00B036AD">
        <w:t xml:space="preserve"> by the CERN, soil samples </w:t>
      </w:r>
      <w:r w:rsidRPr="00D759B4">
        <w:t>were collected</w:t>
      </w:r>
      <w:r>
        <w:t xml:space="preserve"> from</w:t>
      </w:r>
      <w:r w:rsidRPr="00B036AD">
        <w:t xml:space="preserve"> each site at five </w:t>
      </w:r>
      <w:r w:rsidRPr="00D759B4">
        <w:t>different</w:t>
      </w:r>
      <w:r>
        <w:t xml:space="preserve"> </w:t>
      </w:r>
      <w:r w:rsidRPr="00B036AD">
        <w:t>depths (0-10 cm, 10-20 cm, 20-40 cm, 40-60 cm, 60-100 cm) using a 4.0 cm-diameter soil sampler</w:t>
      </w:r>
      <w:r>
        <w:t>, and</w:t>
      </w:r>
      <w:r w:rsidRPr="00D759B4">
        <w:t xml:space="preserve"> then were analyzed for various physicochemical properties</w:t>
      </w:r>
      <w:r>
        <w:t>,</w:t>
      </w:r>
      <w:r w:rsidRPr="00B036AD">
        <w:t xml:space="preserve"> including bulk density (g/cm</w:t>
      </w:r>
      <w:r w:rsidRPr="00B036AD">
        <w:rPr>
          <w:vertAlign w:val="superscript"/>
        </w:rPr>
        <w:t>3</w:t>
      </w:r>
      <w:r w:rsidRPr="00B036AD">
        <w:t xml:space="preserve">), </w:t>
      </w:r>
      <w:r>
        <w:t xml:space="preserve">the </w:t>
      </w:r>
      <w:r w:rsidRPr="00B036AD">
        <w:t xml:space="preserve">ratio of silt </w:t>
      </w:r>
      <w:r>
        <w:t>+</w:t>
      </w:r>
      <w:r w:rsidRPr="00B036AD">
        <w:t xml:space="preserve"> clay (</w:t>
      </w:r>
      <w:r>
        <w:t>SC</w:t>
      </w:r>
      <w:r w:rsidRPr="00B036AD">
        <w:t xml:space="preserve">) (%), pH, organic matter (OM) content (g/kg), total nitrogen (TN) content (g/kg), total phosphorus (TP) content (g/kg) and total potassium (TK) content (g/kg). </w:t>
      </w:r>
      <w:r w:rsidRPr="00D759B4">
        <w:t>The samples were collected from</w:t>
      </w:r>
      <w:r>
        <w:t xml:space="preserve"> a</w:t>
      </w:r>
      <w:r w:rsidRPr="00B036AD">
        <w:t xml:space="preserve"> 1.0-m long, 0.7-m wide, and 1.0-m deep pit</w:t>
      </w:r>
      <w:r>
        <w:t xml:space="preserve">, </w:t>
      </w:r>
      <w:r w:rsidRPr="00B036AD">
        <w:t>dug in each sampling plot</w:t>
      </w:r>
      <w:r>
        <w:t>.</w:t>
      </w:r>
      <w:r w:rsidRPr="00B036AD">
        <w:t xml:space="preserve"> </w:t>
      </w:r>
      <w:r>
        <w:t>The bulk density was measured</w:t>
      </w:r>
      <w:r w:rsidRPr="00B036AD">
        <w:t xml:space="preserve"> using a stainless-steel cutting ring </w:t>
      </w:r>
      <w:r w:rsidRPr="007D6EE5">
        <w:t>with a</w:t>
      </w:r>
      <w:r>
        <w:rPr>
          <w:rFonts w:ascii="Segoe UI" w:hAnsi="Segoe UI" w:cs="Segoe UI"/>
          <w:color w:val="374151"/>
          <w:shd w:val="clear" w:color="auto" w:fill="F7F7F8"/>
        </w:rPr>
        <w:t xml:space="preserve"> </w:t>
      </w:r>
      <w:r w:rsidRPr="00B036AD">
        <w:t>5.0</w:t>
      </w:r>
      <w:r>
        <w:t xml:space="preserve"> </w:t>
      </w:r>
      <w:r w:rsidRPr="00B036AD">
        <w:t>cm diameter</w:t>
      </w:r>
      <w:r>
        <w:t>,</w:t>
      </w:r>
      <w:r w:rsidRPr="00B036AD">
        <w:t xml:space="preserve"> 5.0</w:t>
      </w:r>
      <w:r>
        <w:t xml:space="preserve"> </w:t>
      </w:r>
      <w:r w:rsidRPr="00B036AD">
        <w:t>cm height,</w:t>
      </w:r>
      <w:r>
        <w:t xml:space="preserve"> and </w:t>
      </w:r>
      <w:r w:rsidRPr="00B036AD">
        <w:t>100 cm</w:t>
      </w:r>
      <w:r w:rsidRPr="00B036AD">
        <w:rPr>
          <w:vertAlign w:val="superscript"/>
        </w:rPr>
        <w:t>3</w:t>
      </w:r>
      <w:r w:rsidRPr="00B036AD">
        <w:t xml:space="preserve"> volume. </w:t>
      </w:r>
      <w:r>
        <w:t>Before</w:t>
      </w:r>
      <w:r w:rsidRPr="00AE3290">
        <w:t xml:space="preserve"> </w:t>
      </w:r>
      <w:r>
        <w:t xml:space="preserve">the </w:t>
      </w:r>
      <w:r w:rsidRPr="00AE3290">
        <w:t>analysis,</w:t>
      </w:r>
      <w:r>
        <w:t xml:space="preserve"> </w:t>
      </w:r>
      <w:r w:rsidRPr="00AE3290">
        <w:t>the samples</w:t>
      </w:r>
      <w:r w:rsidRPr="00B036AD">
        <w:t xml:space="preserve"> were manually mixed, and </w:t>
      </w:r>
      <w:r w:rsidRPr="00AE3290">
        <w:t>any major live plant material or gravel</w:t>
      </w:r>
      <w:r w:rsidRPr="00B036AD">
        <w:t xml:space="preserve"> (such as visible root residues) </w:t>
      </w:r>
      <w:r>
        <w:t>was</w:t>
      </w:r>
      <w:r w:rsidRPr="00B036AD">
        <w:t xml:space="preserve"> removed </w:t>
      </w:r>
      <w:r>
        <w:t>in advance</w:t>
      </w:r>
      <w:r w:rsidRPr="00B036AD">
        <w:t xml:space="preserve">. </w:t>
      </w:r>
      <w:r w:rsidRPr="00AE3290">
        <w:t>The samples</w:t>
      </w:r>
      <w:r w:rsidRPr="00B036AD">
        <w:t xml:space="preserve"> were air-dried, crushed and sieved through a 2 mm mesh. The samples were </w:t>
      </w:r>
      <w:r>
        <w:t xml:space="preserve">also </w:t>
      </w:r>
      <w:r w:rsidRPr="00B036AD">
        <w:t xml:space="preserve">portioned </w:t>
      </w:r>
      <w:r>
        <w:t>into</w:t>
      </w:r>
      <w:r w:rsidRPr="00B036AD">
        <w:t xml:space="preserve"> subsamples</w:t>
      </w:r>
      <w:r>
        <w:t>,</w:t>
      </w:r>
      <w:r w:rsidRPr="00B036AD">
        <w:t xml:space="preserve"> and 50 g subsamples were ground using a mortar and sieved </w:t>
      </w:r>
      <w:r w:rsidRPr="00AE3290">
        <w:t>through</w:t>
      </w:r>
      <w:r w:rsidRPr="00B036AD">
        <w:t xml:space="preserve"> a 0.25 mm mesh </w:t>
      </w:r>
      <w:r w:rsidRPr="00B036AD">
        <w:lastRenderedPageBreak/>
        <w:t xml:space="preserve">to determine the </w:t>
      </w:r>
      <w:r w:rsidRPr="00AE3290">
        <w:t>content of</w:t>
      </w:r>
      <w:r>
        <w:t xml:space="preserve"> </w:t>
      </w:r>
      <w:r w:rsidRPr="00B036AD">
        <w:t xml:space="preserve">OM, TN, TP and TK. The ratio of silt + clay was determined </w:t>
      </w:r>
      <w:r w:rsidRPr="00AE3290">
        <w:t>using</w:t>
      </w:r>
      <w:r w:rsidRPr="00B036AD">
        <w:t xml:space="preserve"> the pipette method </w:t>
      </w:r>
      <w:r w:rsidRPr="00B036AD">
        <w:rPr>
          <w:noProof/>
        </w:rPr>
        <w:t>(Miller and Miller, 1987)</w:t>
      </w:r>
      <w:r w:rsidRPr="00B036AD">
        <w:t xml:space="preserve">. </w:t>
      </w:r>
      <w:r>
        <w:t>S</w:t>
      </w:r>
      <w:r w:rsidRPr="00B036AD">
        <w:t xml:space="preserve">oil pH was evaluated </w:t>
      </w:r>
      <w:r w:rsidRPr="00AE3290">
        <w:t>using</w:t>
      </w:r>
      <w:r w:rsidRPr="00B036AD">
        <w:t xml:space="preserve"> </w:t>
      </w:r>
      <w:r>
        <w:t xml:space="preserve">the </w:t>
      </w:r>
      <w:r w:rsidRPr="00B036AD">
        <w:t xml:space="preserve">potentiometric method with </w:t>
      </w:r>
      <w:r>
        <w:t xml:space="preserve">a </w:t>
      </w:r>
      <w:r w:rsidRPr="00B036AD">
        <w:t xml:space="preserve">1:2.5 soil-to-water suspension </w:t>
      </w:r>
      <w:r w:rsidRPr="00B036AD">
        <w:rPr>
          <w:noProof/>
        </w:rPr>
        <w:t>(Pansu and Gautheyrou, 2006)</w:t>
      </w:r>
      <w:r w:rsidRPr="00B036AD">
        <w:t xml:space="preserve">. </w:t>
      </w:r>
      <w:r>
        <w:t>The</w:t>
      </w:r>
      <w:r w:rsidRPr="00B036AD">
        <w:t xml:space="preserve"> OM content was </w:t>
      </w:r>
      <w:r w:rsidRPr="00AE3290">
        <w:t>determined</w:t>
      </w:r>
      <w:r>
        <w:t xml:space="preserve"> using</w:t>
      </w:r>
      <w:r w:rsidRPr="00B036AD">
        <w:t xml:space="preserve"> the potassium dichromate oxidation method</w:t>
      </w:r>
      <w:r>
        <w:t xml:space="preserve">, </w:t>
      </w:r>
      <w:r w:rsidRPr="00AE3290">
        <w:t>wherein</w:t>
      </w:r>
      <w:r w:rsidRPr="00B036AD">
        <w:t xml:space="preserve"> </w:t>
      </w:r>
      <w:r>
        <w:t>a</w:t>
      </w:r>
      <w:r w:rsidRPr="00B036AD">
        <w:t xml:space="preserve"> digestion mixture of potassium dichromate </w:t>
      </w:r>
      <w:r>
        <w:t>and</w:t>
      </w:r>
      <w:r w:rsidRPr="00B036AD">
        <w:t xml:space="preserve"> sulfuric acid was added to soil samples and </w:t>
      </w:r>
      <w:r w:rsidRPr="00AE3290">
        <w:t>externally heated</w:t>
      </w:r>
      <w:r w:rsidRPr="00B036AD">
        <w:t xml:space="preserve"> using an electric plate </w:t>
      </w:r>
      <w:r w:rsidRPr="00AE3290">
        <w:t>under reflux</w:t>
      </w:r>
      <w:r>
        <w:t xml:space="preserve"> </w:t>
      </w:r>
      <w:r w:rsidRPr="00B036AD">
        <w:t xml:space="preserve">for 30 minutes at 100 ºC </w:t>
      </w:r>
      <w:r w:rsidRPr="00B036AD">
        <w:rPr>
          <w:noProof/>
        </w:rPr>
        <w:t>(Kalembasa and Jenkinson, 1973)</w:t>
      </w:r>
      <w:r w:rsidRPr="00B036AD">
        <w:t xml:space="preserve">. </w:t>
      </w:r>
      <w:r>
        <w:t>T</w:t>
      </w:r>
      <w:r w:rsidRPr="00B036AD">
        <w:t xml:space="preserve">he Kjeldahl method </w:t>
      </w:r>
      <w:r>
        <w:t xml:space="preserve">was used to </w:t>
      </w:r>
      <w:r w:rsidRPr="00AE3290">
        <w:t>determine the</w:t>
      </w:r>
      <w:r w:rsidRPr="00B036AD">
        <w:t xml:space="preserve"> TN content</w:t>
      </w:r>
      <w:r>
        <w:t xml:space="preserve"> </w:t>
      </w:r>
      <w:r w:rsidRPr="00B036AD">
        <w:rPr>
          <w:noProof/>
        </w:rPr>
        <w:t>(Bremner, 1960)</w:t>
      </w:r>
      <w:r w:rsidRPr="00B036AD">
        <w:t xml:space="preserve">. </w:t>
      </w:r>
      <w:r>
        <w:t>T</w:t>
      </w:r>
      <w:r w:rsidRPr="00B036AD">
        <w:t xml:space="preserve">he antimony anti-colorimetric method </w:t>
      </w:r>
      <w:r w:rsidRPr="008B3ECD">
        <w:t>was employed to</w:t>
      </w:r>
      <w:r>
        <w:t xml:space="preserve"> </w:t>
      </w:r>
      <w:r w:rsidRPr="00B036AD">
        <w:t>measure</w:t>
      </w:r>
      <w:r>
        <w:t xml:space="preserve"> the</w:t>
      </w:r>
      <w:r w:rsidRPr="00B036AD">
        <w:t xml:space="preserve"> TP content after treat</w:t>
      </w:r>
      <w:r>
        <w:t>ing</w:t>
      </w:r>
      <w:r w:rsidRPr="00B036AD">
        <w:t xml:space="preserve"> the samples with sulfuric acid, perchloric acid and molybdenum. </w:t>
      </w:r>
      <w:r w:rsidRPr="008B3ECD">
        <w:t>The reaction of</w:t>
      </w:r>
      <w:r>
        <w:t xml:space="preserve"> p</w:t>
      </w:r>
      <w:r w:rsidRPr="00B036AD">
        <w:t xml:space="preserve">hosphorus minerals and organic phosphorus compounds with sulfuric acid and perchloric acid </w:t>
      </w:r>
      <w:r>
        <w:t>at</w:t>
      </w:r>
      <w:r w:rsidRPr="00B036AD">
        <w:t xml:space="preserve"> high</w:t>
      </w:r>
      <w:r>
        <w:t>-</w:t>
      </w:r>
      <w:r w:rsidRPr="00B036AD">
        <w:t>temperature conditions</w:t>
      </w:r>
      <w:r w:rsidRPr="008B3ECD">
        <w:t xml:space="preserve"> produce</w:t>
      </w:r>
      <w:r>
        <w:t>d</w:t>
      </w:r>
      <w:r w:rsidRPr="00B036AD">
        <w:t xml:space="preserve"> orthophosphate salt</w:t>
      </w:r>
      <w:r>
        <w:t>,</w:t>
      </w:r>
      <w:r w:rsidRPr="00B036AD">
        <w:t xml:space="preserve"> which </w:t>
      </w:r>
      <w:r>
        <w:t>was</w:t>
      </w:r>
      <w:r w:rsidRPr="008B3ECD">
        <w:t xml:space="preserve"> then</w:t>
      </w:r>
      <w:r>
        <w:t xml:space="preserve"> </w:t>
      </w:r>
      <w:r w:rsidRPr="00B036AD">
        <w:t>dissolved in the solution</w:t>
      </w:r>
      <w:r>
        <w:t xml:space="preserve">, </w:t>
      </w:r>
      <w:r w:rsidRPr="008B3ECD">
        <w:t>followed by</w:t>
      </w:r>
      <w:r w:rsidRPr="00B036AD">
        <w:t xml:space="preserve"> </w:t>
      </w:r>
      <w:r>
        <w:t>the use of a</w:t>
      </w:r>
      <w:r w:rsidRPr="00B036AD">
        <w:t xml:space="preserve">nti-colorimetry to determine the TP content </w:t>
      </w:r>
      <w:r w:rsidRPr="00B036AD">
        <w:rPr>
          <w:noProof/>
        </w:rPr>
        <w:t>(Sommers and Nelson, 1972)</w:t>
      </w:r>
      <w:r w:rsidRPr="00B036AD">
        <w:t xml:space="preserve">. </w:t>
      </w:r>
      <w:r>
        <w:t>The</w:t>
      </w:r>
      <w:r w:rsidRPr="00B036AD">
        <w:t xml:space="preserve"> TK content was </w:t>
      </w:r>
      <w:r w:rsidRPr="008B3ECD">
        <w:t>determined using</w:t>
      </w:r>
      <w:r w:rsidRPr="00B036AD">
        <w:t xml:space="preserve"> the sodium carbonate melting method</w:t>
      </w:r>
      <w:r>
        <w:t>, with</w:t>
      </w:r>
      <w:r w:rsidRPr="00B036AD">
        <w:t xml:space="preserve"> </w:t>
      </w:r>
      <w:r>
        <w:t>s</w:t>
      </w:r>
      <w:r w:rsidRPr="00B036AD">
        <w:t>odium carbonate (Na</w:t>
      </w:r>
      <w:r w:rsidRPr="00B036AD">
        <w:rPr>
          <w:vertAlign w:val="subscript"/>
        </w:rPr>
        <w:t>2</w:t>
      </w:r>
      <w:r w:rsidRPr="00B036AD">
        <w:t>CO</w:t>
      </w:r>
      <w:r w:rsidRPr="00B036AD">
        <w:rPr>
          <w:vertAlign w:val="subscript"/>
        </w:rPr>
        <w:t>3</w:t>
      </w:r>
      <w:r w:rsidRPr="00B036AD">
        <w:t xml:space="preserve">) </w:t>
      </w:r>
      <w:r>
        <w:t>taken</w:t>
      </w:r>
      <w:r w:rsidRPr="00B036AD">
        <w:t xml:space="preserve"> as an alkali solvent </w:t>
      </w:r>
      <w:r>
        <w:t>that</w:t>
      </w:r>
      <w:r w:rsidRPr="00B036AD">
        <w:t xml:space="preserve"> melted with soil samples at a high temperature (920°C)</w:t>
      </w:r>
      <w:r>
        <w:t xml:space="preserve"> to</w:t>
      </w:r>
      <w:r w:rsidRPr="00B036AD">
        <w:t xml:space="preserve"> dissolve </w:t>
      </w:r>
      <w:r>
        <w:t xml:space="preserve">the </w:t>
      </w:r>
      <w:r w:rsidRPr="008B3ECD">
        <w:t>potassium</w:t>
      </w:r>
      <w:r>
        <w:t xml:space="preserve"> </w:t>
      </w:r>
      <w:r w:rsidRPr="00B036AD">
        <w:t xml:space="preserve">in the solution </w:t>
      </w:r>
      <w:r w:rsidRPr="00B036AD">
        <w:rPr>
          <w:noProof/>
        </w:rPr>
        <w:t>(Knudsen et al., 1983)</w:t>
      </w:r>
      <w:r w:rsidRPr="00B036AD">
        <w:t>. Soil physicochemical properties were analyzed in the laboratory for each research station.</w:t>
      </w:r>
    </w:p>
    <w:p w14:paraId="2AA4B106" w14:textId="77777777" w:rsidR="00BD673C" w:rsidRPr="00B036AD" w:rsidRDefault="00BD673C" w:rsidP="00A74D12"/>
    <w:p w14:paraId="0B280B99" w14:textId="77777777" w:rsidR="00BD673C" w:rsidRPr="00B036AD" w:rsidRDefault="00BD673C" w:rsidP="00A74D12">
      <w:r w:rsidRPr="00B036AD">
        <w:lastRenderedPageBreak/>
        <w:t>Vegetation attribute</w:t>
      </w:r>
      <w:r>
        <w:t>s</w:t>
      </w:r>
      <w:r w:rsidRPr="00B036AD">
        <w:t xml:space="preserve"> were measured and sampled in a 1 m×1 m quadrat. The diversity, density and coverage were measured by visual observation. The dominant species</w:t>
      </w:r>
      <w:r>
        <w:t>’</w:t>
      </w:r>
      <w:r w:rsidRPr="00B036AD">
        <w:t xml:space="preserve"> height was measured from the ground up to the highest leaves belonging to the vegetative part of the plant using a ruler. The aboveground biomass was estimated via a destructive sampling which remove</w:t>
      </w:r>
      <w:r>
        <w:t>d</w:t>
      </w:r>
      <w:r w:rsidRPr="00B036AD">
        <w:t xml:space="preserve"> all biomass for grass and harvest</w:t>
      </w:r>
      <w:r>
        <w:t>ed</w:t>
      </w:r>
      <w:r w:rsidRPr="00B036AD">
        <w:t xml:space="preserve"> leaves and young twigs for shrub</w:t>
      </w:r>
      <w:r>
        <w:t>s</w:t>
      </w:r>
      <w:r w:rsidRPr="00B036AD">
        <w:t xml:space="preserve"> </w:t>
      </w:r>
      <w:r w:rsidRPr="00B036AD">
        <w:rPr>
          <w:noProof/>
        </w:rPr>
        <w:t>(Maestre et al., 2022)</w:t>
      </w:r>
      <w:r w:rsidRPr="00B036AD">
        <w:t>.</w:t>
      </w:r>
      <w:r w:rsidRPr="00B036AD">
        <w:rPr>
          <w:rFonts w:hint="eastAsia"/>
        </w:rPr>
        <w:t xml:space="preserve"> </w:t>
      </w:r>
      <w:r w:rsidRPr="00B036AD">
        <w:t xml:space="preserve">The underground biomass was estimated using the soil coring method </w:t>
      </w:r>
      <w:r w:rsidRPr="00B036AD">
        <w:rPr>
          <w:noProof/>
        </w:rPr>
        <w:t>(Neill, 1992)</w:t>
      </w:r>
      <w:r w:rsidRPr="00B036AD">
        <w:t xml:space="preserve"> in </w:t>
      </w:r>
      <w:r>
        <w:t xml:space="preserve">a </w:t>
      </w:r>
      <w:r w:rsidRPr="00B036AD">
        <w:t xml:space="preserve">0.4 m depth soil layer for grass and </w:t>
      </w:r>
      <w:r>
        <w:t xml:space="preserve">a </w:t>
      </w:r>
      <w:r w:rsidRPr="00B036AD">
        <w:t>1.0 m depth soil layer for shrub</w:t>
      </w:r>
      <w:r>
        <w:t>s</w:t>
      </w:r>
      <w:r w:rsidRPr="00B036AD">
        <w:t>.</w:t>
      </w:r>
    </w:p>
    <w:p w14:paraId="1A51ACF3" w14:textId="77777777" w:rsidR="00BD673C" w:rsidRPr="00B036AD" w:rsidRDefault="00BD673C" w:rsidP="00A74D12"/>
    <w:p w14:paraId="4A649AE0" w14:textId="77777777" w:rsidR="00BD673C" w:rsidRDefault="00BD673C" w:rsidP="00A74D12">
      <w:pPr>
        <w:pStyle w:val="2"/>
        <w:spacing w:before="163" w:after="163"/>
      </w:pPr>
      <w:r>
        <w:t>2.3 Data analysis</w:t>
      </w:r>
    </w:p>
    <w:p w14:paraId="109670D9" w14:textId="77777777" w:rsidR="00BD673C" w:rsidRPr="00B036AD" w:rsidRDefault="00BD673C" w:rsidP="00A74D12">
      <w:r w:rsidRPr="008B3ECD">
        <w:t>Monthly data on</w:t>
      </w:r>
      <w:r>
        <w:t xml:space="preserve"> a</w:t>
      </w:r>
      <w:r w:rsidRPr="00B036AD">
        <w:t xml:space="preserve">nnual mean precipitation and potential evapotranspiration data </w:t>
      </w:r>
      <w:r w:rsidRPr="008B3ECD">
        <w:t>between</w:t>
      </w:r>
      <w:r w:rsidRPr="00B036AD">
        <w:t xml:space="preserve"> 2005-2015 were </w:t>
      </w:r>
      <w:r w:rsidRPr="008B3ECD">
        <w:t>obtained</w:t>
      </w:r>
      <w:r w:rsidRPr="00B036AD">
        <w:t xml:space="preserve"> from the TerraClimate dataset</w:t>
      </w:r>
      <w:r>
        <w:t xml:space="preserve">, </w:t>
      </w:r>
      <w:r w:rsidRPr="008B3ECD">
        <w:t>a source of information</w:t>
      </w:r>
      <w:r>
        <w:t xml:space="preserve"> on the</w:t>
      </w:r>
      <w:r w:rsidRPr="00B036AD">
        <w:t xml:space="preserve"> monthly climate and climatic water balance </w:t>
      </w:r>
      <w:r>
        <w:t>at</w:t>
      </w:r>
      <w:r w:rsidRPr="00B036AD">
        <w:t xml:space="preserve"> a 4 km spatial resolution for terrestrial surfaces </w:t>
      </w:r>
      <w:r w:rsidRPr="008B3ECD">
        <w:t>worldwide</w:t>
      </w:r>
      <w:r>
        <w:t xml:space="preserve"> </w:t>
      </w:r>
      <w:r w:rsidRPr="00B036AD">
        <w:rPr>
          <w:noProof/>
        </w:rPr>
        <w:t>(Abatzoglou et al., 2018)</w:t>
      </w:r>
      <w:r w:rsidRPr="00B036AD">
        <w:t xml:space="preserve">. Data </w:t>
      </w:r>
      <w:r>
        <w:t>on</w:t>
      </w:r>
      <w:r w:rsidRPr="00B036AD">
        <w:t xml:space="preserve"> soil properties and vegetation attributes for different vegetation restoration ecosystems (sandy steppe vs. fixed dune vs. moving dune in NMD, natural vegetation vs. artificial vegetation in SPD) at each soil depth were tested using the Shapiro–Wilk test for normality. One-way analysis of variance (</w:t>
      </w:r>
      <w:r w:rsidRPr="00B036AD">
        <w:rPr>
          <w:i/>
        </w:rPr>
        <w:t>ANOVA</w:t>
      </w:r>
      <w:r w:rsidRPr="00B036AD">
        <w:t>) with Fisher's least significant difference (</w:t>
      </w:r>
      <w:r w:rsidRPr="00B036AD">
        <w:rPr>
          <w:i/>
        </w:rPr>
        <w:t>LSD</w:t>
      </w:r>
      <w:r w:rsidRPr="00B036AD">
        <w:t xml:space="preserve">) test with Bonferroni correction was conducted to determine </w:t>
      </w:r>
      <w:r>
        <w:t>the</w:t>
      </w:r>
      <w:r w:rsidRPr="00B036AD">
        <w:t xml:space="preserve"> statistica</w:t>
      </w:r>
      <w:r w:rsidRPr="00B036AD">
        <w:rPr>
          <w:rFonts w:hint="eastAsia"/>
        </w:rPr>
        <w:t xml:space="preserve">lly significant difference at </w:t>
      </w:r>
      <w:r w:rsidRPr="00B036AD">
        <w:lastRenderedPageBreak/>
        <w:t xml:space="preserve">the </w:t>
      </w:r>
      <w:r w:rsidRPr="00B036AD">
        <w:rPr>
          <w:rFonts w:hint="eastAsia"/>
          <w:i/>
        </w:rPr>
        <w:t>p</w:t>
      </w:r>
      <w:r w:rsidRPr="00B036AD">
        <w:rPr>
          <w:rFonts w:hint="eastAsia"/>
        </w:rPr>
        <w:t xml:space="preserve">=0.05 level </w:t>
      </w:r>
      <w:r w:rsidRPr="00B036AD">
        <w:t>for</w:t>
      </w:r>
      <w:r w:rsidRPr="00B036AD">
        <w:rPr>
          <w:rFonts w:hint="eastAsia"/>
        </w:rPr>
        <w:t xml:space="preserve"> the means of the variables.</w:t>
      </w:r>
    </w:p>
    <w:p w14:paraId="7673F6C4" w14:textId="77777777" w:rsidR="00BD673C" w:rsidRPr="00B036AD" w:rsidRDefault="00BD673C" w:rsidP="00A74D12"/>
    <w:p w14:paraId="59CEB769" w14:textId="77777777" w:rsidR="00BD673C" w:rsidRPr="00B036AD" w:rsidRDefault="00BD673C" w:rsidP="00A74D12">
      <w:r w:rsidRPr="00B036AD">
        <w:rPr>
          <w:rFonts w:hint="eastAsia"/>
        </w:rPr>
        <w:t>F</w:t>
      </w:r>
      <w:r w:rsidRPr="00B036AD">
        <w:t>or the time series of soil properties and vegetation attributes in different vegetation restoration ecosystems from 2005 to 2015, the variation of soil properties along the aridity index gradient was evaluate</w:t>
      </w:r>
      <w:r>
        <w:t>d</w:t>
      </w:r>
      <w:r w:rsidRPr="00B036AD">
        <w:t xml:space="preserve"> </w:t>
      </w:r>
      <w:r>
        <w:t xml:space="preserve">using </w:t>
      </w:r>
      <w:r w:rsidRPr="00B036AD">
        <w:t xml:space="preserve">linear regression analysis. Ordinary least-squares regression analysis was performed to estimate the linear trends, and the slope coefficient of the fitted regression line was computed. The significance of the linear regression equation was tested using F-test, and the statistical significance was determined at </w:t>
      </w:r>
      <w:r w:rsidRPr="00B036AD">
        <w:rPr>
          <w:i/>
        </w:rPr>
        <w:t>p</w:t>
      </w:r>
      <w:r w:rsidRPr="00B036AD">
        <w:t xml:space="preserve">=0.05. </w:t>
      </w:r>
    </w:p>
    <w:p w14:paraId="6A5F1ADF" w14:textId="77777777" w:rsidR="00BD673C" w:rsidRPr="00B036AD" w:rsidRDefault="00BD673C" w:rsidP="00A74D12"/>
    <w:p w14:paraId="5D96D425" w14:textId="77777777" w:rsidR="00BD673C" w:rsidRPr="00B036AD" w:rsidRDefault="00BD673C" w:rsidP="00A74D12">
      <w:r>
        <w:t>T</w:t>
      </w:r>
      <w:r w:rsidRPr="00B036AD">
        <w:t xml:space="preserve">he mechanism of environmental factors (such as precipitation and vegetation </w:t>
      </w:r>
      <w:r w:rsidRPr="00B036AD">
        <w:rPr>
          <w:rFonts w:hint="eastAsia"/>
        </w:rPr>
        <w:t>variables)</w:t>
      </w:r>
      <w:r w:rsidRPr="00B036AD">
        <w:t xml:space="preserve"> affecting soil properties </w:t>
      </w:r>
      <w:r>
        <w:t xml:space="preserve">was </w:t>
      </w:r>
      <w:r w:rsidRPr="00247A50">
        <w:t xml:space="preserve">explored using the </w:t>
      </w:r>
      <w:r>
        <w:t>s</w:t>
      </w:r>
      <w:r w:rsidRPr="00B036AD">
        <w:t xml:space="preserve">tructural equation model (SEM) </w:t>
      </w:r>
      <w:r w:rsidRPr="00B036AD">
        <w:rPr>
          <w:noProof/>
        </w:rPr>
        <w:t>(Grace, 2006)</w:t>
      </w:r>
      <w:r w:rsidRPr="00B036AD">
        <w:t xml:space="preserve">. The net effect of one variable on another </w:t>
      </w:r>
      <w:r>
        <w:t>was</w:t>
      </w:r>
      <w:r w:rsidRPr="00B036AD">
        <w:t xml:space="preserve"> calculated by summing all the direct and indirect paths between the two variables</w:t>
      </w:r>
      <w:r>
        <w:t>, with</w:t>
      </w:r>
      <w:r w:rsidRPr="00B036AD">
        <w:t xml:space="preserve"> </w:t>
      </w:r>
      <w:r>
        <w:t>a</w:t>
      </w:r>
      <w:r w:rsidRPr="00B036AD">
        <w:t xml:space="preserve"> ratio of chi-square to freedom (</w:t>
      </w:r>
      <w:r w:rsidRPr="00B036AD">
        <w:rPr>
          <w:rFonts w:hint="eastAsia"/>
        </w:rPr>
        <w:t>χ</w:t>
      </w:r>
      <w:r w:rsidRPr="00B036AD">
        <w:t>2/Df) is less than 5</w:t>
      </w:r>
      <w:r>
        <w:t xml:space="preserve"> indicating</w:t>
      </w:r>
      <w:r w:rsidRPr="00B036AD">
        <w:t xml:space="preserve"> the well </w:t>
      </w:r>
      <w:r>
        <w:t>fit of</w:t>
      </w:r>
      <w:r w:rsidRPr="00B036AD">
        <w:t xml:space="preserve"> </w:t>
      </w:r>
      <w:r>
        <w:t xml:space="preserve">the </w:t>
      </w:r>
      <w:r w:rsidRPr="00B036AD">
        <w:t xml:space="preserve">model </w:t>
      </w:r>
      <w:r w:rsidRPr="00B036AD">
        <w:rPr>
          <w:noProof/>
        </w:rPr>
        <w:t>(Schumacker and Lomax, 2004)</w:t>
      </w:r>
      <w:r w:rsidRPr="00B036AD">
        <w:t xml:space="preserve">. </w:t>
      </w:r>
      <w:r>
        <w:t>A g</w:t>
      </w:r>
      <w:r w:rsidRPr="00B036AD">
        <w:t xml:space="preserve">eneral linear model (GLM) was performed to determine variation in soil OM content that was explained by the influencing variables </w:t>
      </w:r>
      <w:r w:rsidRPr="00B036AD">
        <w:rPr>
          <w:noProof/>
        </w:rPr>
        <w:t>(Zhang et al., 2019)</w:t>
      </w:r>
      <w:r>
        <w:t>,</w:t>
      </w:r>
      <w:r w:rsidRPr="00B036AD">
        <w:t xml:space="preserve"> </w:t>
      </w:r>
      <w:r>
        <w:t>with a</w:t>
      </w:r>
      <w:r w:rsidRPr="00B036AD">
        <w:t xml:space="preserve"> smaller Akaike information criterion (AIC) and Bayesian Information Criterion (BIC)</w:t>
      </w:r>
      <w:r>
        <w:t xml:space="preserve"> representing</w:t>
      </w:r>
      <w:r w:rsidRPr="00B036AD">
        <w:t xml:space="preserve"> </w:t>
      </w:r>
      <w:r>
        <w:t>a</w:t>
      </w:r>
      <w:r w:rsidRPr="00B036AD">
        <w:t xml:space="preserve"> better model fit. Data analysis was conducted using SPSS 26.0 software.</w:t>
      </w:r>
    </w:p>
    <w:p w14:paraId="7E55884C" w14:textId="77777777" w:rsidR="00BD673C" w:rsidRPr="007D4EB5" w:rsidRDefault="00BD673C" w:rsidP="00A74D12"/>
    <w:p w14:paraId="325ACB4A" w14:textId="77777777" w:rsidR="00BD673C" w:rsidRDefault="00BD673C" w:rsidP="00A74D12">
      <w:pPr>
        <w:pStyle w:val="1"/>
        <w:spacing w:before="163" w:after="163"/>
      </w:pPr>
      <w:r>
        <w:t>3. Results</w:t>
      </w:r>
    </w:p>
    <w:p w14:paraId="60359D23" w14:textId="77777777" w:rsidR="00BD673C" w:rsidRDefault="00BD673C" w:rsidP="00A74D12">
      <w:pPr>
        <w:pStyle w:val="2"/>
        <w:spacing w:before="163" w:after="163"/>
      </w:pPr>
      <w:r>
        <w:t>3.1 E</w:t>
      </w:r>
      <w:r>
        <w:rPr>
          <w:rFonts w:hint="eastAsia"/>
        </w:rPr>
        <w:t>ff</w:t>
      </w:r>
      <w:r>
        <w:t xml:space="preserve">ects of </w:t>
      </w:r>
      <w:r>
        <w:rPr>
          <w:rFonts w:hint="eastAsia"/>
        </w:rPr>
        <w:t>san</w:t>
      </w:r>
      <w:r>
        <w:t>d fixation and vegetation restoration on soil properties and vegetation attributes</w:t>
      </w:r>
    </w:p>
    <w:p w14:paraId="03DA3DF5" w14:textId="77777777" w:rsidR="00BD673C" w:rsidRDefault="00BD673C" w:rsidP="00A74D12">
      <w:r>
        <w:t>Table 1 showed that soil BD of the sandy steppe was the lowest, which was significantly lower (p&lt;0.05) than that of the fixed dune and moving dune in the 0-100 cm soil profile</w:t>
      </w:r>
      <w:r w:rsidRPr="00C205F6">
        <w:t xml:space="preserve"> </w:t>
      </w:r>
      <w:r>
        <w:t>i</w:t>
      </w:r>
      <w:r w:rsidRPr="00D30146">
        <w:t xml:space="preserve">n the semi-arid </w:t>
      </w:r>
      <w:r>
        <w:t xml:space="preserve">desert </w:t>
      </w:r>
      <w:r w:rsidRPr="00D30146">
        <w:t xml:space="preserve">of </w:t>
      </w:r>
      <w:r>
        <w:t>Horqin Desert (NMD</w:t>
      </w:r>
      <w:r w:rsidRPr="00D30146">
        <w:t>)</w:t>
      </w:r>
      <w:r w:rsidRPr="00447E1B">
        <w:t>.</w:t>
      </w:r>
      <w:r>
        <w:t xml:space="preserve"> The sandy steppe exhibited </w:t>
      </w:r>
      <w:r w:rsidRPr="00887E11">
        <w:t>significantly</w:t>
      </w:r>
      <w:r>
        <w:t xml:space="preserve"> </w:t>
      </w:r>
      <w:r w:rsidRPr="00887E11">
        <w:t>higher</w:t>
      </w:r>
      <w:r>
        <w:t xml:space="preserve"> contents of soil nutrients such as OM and TN (6.59</w:t>
      </w:r>
      <w:r>
        <w:rPr>
          <w:rFonts w:hint="eastAsia"/>
        </w:rPr>
        <w:t>±</w:t>
      </w:r>
      <w:r>
        <w:t>1.90 g/kg</w:t>
      </w:r>
      <w:r>
        <w:rPr>
          <w:rFonts w:hint="eastAsia"/>
        </w:rPr>
        <w:t>,</w:t>
      </w:r>
      <w:r>
        <w:t xml:space="preserve"> 0.46</w:t>
      </w:r>
      <w:r>
        <w:rPr>
          <w:rFonts w:hint="eastAsia"/>
        </w:rPr>
        <w:t>±</w:t>
      </w:r>
      <w:r>
        <w:rPr>
          <w:rFonts w:hint="eastAsia"/>
        </w:rPr>
        <w:t>0</w:t>
      </w:r>
      <w:r>
        <w:t xml:space="preserve">.15 g/kg, respectively) </w:t>
      </w:r>
      <w:r w:rsidRPr="00887E11">
        <w:t xml:space="preserve">compared </w:t>
      </w:r>
      <w:r>
        <w:t>with the fixed dune (2.12</w:t>
      </w:r>
      <w:r>
        <w:rPr>
          <w:rFonts w:hint="eastAsia"/>
        </w:rPr>
        <w:t>±</w:t>
      </w:r>
      <w:r>
        <w:t>1.39 g/kg</w:t>
      </w:r>
      <w:r>
        <w:rPr>
          <w:rFonts w:hint="eastAsia"/>
        </w:rPr>
        <w:t>,</w:t>
      </w:r>
      <w:r>
        <w:t xml:space="preserve"> 0.15</w:t>
      </w:r>
      <w:r>
        <w:rPr>
          <w:rFonts w:hint="eastAsia"/>
        </w:rPr>
        <w:t>±</w:t>
      </w:r>
      <w:r>
        <w:rPr>
          <w:rFonts w:hint="eastAsia"/>
        </w:rPr>
        <w:t>0</w:t>
      </w:r>
      <w:r>
        <w:t xml:space="preserve">.07 g/kg, respectively), </w:t>
      </w:r>
      <w:r w:rsidRPr="00887E11">
        <w:t>while the fixed dune</w:t>
      </w:r>
      <w:r>
        <w:t xml:space="preserve"> </w:t>
      </w:r>
      <w:r w:rsidRPr="00887E11">
        <w:t xml:space="preserve">exhibited significantly higher </w:t>
      </w:r>
      <w:r>
        <w:t>contents than the moving dune (0.62</w:t>
      </w:r>
      <w:r>
        <w:rPr>
          <w:rFonts w:hint="eastAsia"/>
        </w:rPr>
        <w:t>±</w:t>
      </w:r>
      <w:r>
        <w:t>0.45 g/kg</w:t>
      </w:r>
      <w:r>
        <w:rPr>
          <w:rFonts w:hint="eastAsia"/>
        </w:rPr>
        <w:t>,</w:t>
      </w:r>
      <w:r>
        <w:t xml:space="preserve"> 0.08</w:t>
      </w:r>
      <w:r>
        <w:rPr>
          <w:rFonts w:hint="eastAsia"/>
        </w:rPr>
        <w:t>±</w:t>
      </w:r>
      <w:r>
        <w:rPr>
          <w:rFonts w:hint="eastAsia"/>
        </w:rPr>
        <w:t>0</w:t>
      </w:r>
      <w:r>
        <w:t>.06 g/kg, respectively) on the surface 0-10 cm soil layer</w:t>
      </w:r>
      <w:r w:rsidRPr="00D30146">
        <w:t>.</w:t>
      </w:r>
      <w:r>
        <w:t xml:space="preserve"> Soil TP content of the sandy steppe was 0.29</w:t>
      </w:r>
      <w:r>
        <w:rPr>
          <w:rFonts w:hint="eastAsia"/>
        </w:rPr>
        <w:t>±</w:t>
      </w:r>
      <w:r>
        <w:t>0.07 g/kg, which was significantly higher (p&lt;0.05) than that of the moving dune (0.17</w:t>
      </w:r>
      <w:r>
        <w:rPr>
          <w:rFonts w:hint="eastAsia"/>
        </w:rPr>
        <w:t>±</w:t>
      </w:r>
      <w:r>
        <w:t xml:space="preserve">0.10 g/kg). The OM, TN, TP and TK contents and the SC ratio for the sandy steppe were the highest, significantly higher (p&lt;0.05) than those of the fixed dune and moving dune in the 20-100 cm soil layer. The significantly increased slope (p&lt;0.05) of OM content on the surface 0-20 cm soil layer of the sandy steppe (0.004) was higher than that of the fixed dune (0.003), which was higher than that of the moving dune (0.001) from 2005 to 2015 (Fig. 2a). The absolute value of the significantly decreased </w:t>
      </w:r>
      <w:r>
        <w:lastRenderedPageBreak/>
        <w:t>slope (p&lt;0.05) of TK content of the sandy steppe was 0.005, which was lower compared with the value of 0.006 of the fixed dune and moving dune (Fig. 2b).</w:t>
      </w:r>
    </w:p>
    <w:p w14:paraId="6687853E" w14:textId="77777777" w:rsidR="00BD673C" w:rsidRPr="00B13A7C" w:rsidRDefault="00BD673C" w:rsidP="00A74D12"/>
    <w:p w14:paraId="780F7FED" w14:textId="672BB387" w:rsidR="00BD673C" w:rsidRDefault="00BD673C" w:rsidP="00A74D12">
      <w:r>
        <w:t>Table 2 showed that the diversity of grass for the fixed dune was 8.49</w:t>
      </w:r>
      <w:r>
        <w:rPr>
          <w:rFonts w:hint="eastAsia"/>
        </w:rPr>
        <w:t>±</w:t>
      </w:r>
      <w:r>
        <w:rPr>
          <w:rFonts w:hint="eastAsia"/>
        </w:rPr>
        <w:t>3</w:t>
      </w:r>
      <w:r>
        <w:t>.36 species/m</w:t>
      </w:r>
      <w:r w:rsidRPr="0039541C">
        <w:rPr>
          <w:vertAlign w:val="superscript"/>
        </w:rPr>
        <w:t>2</w:t>
      </w:r>
      <w:r>
        <w:t>, which was significantly higher (p&lt;0.05) than 5.51</w:t>
      </w:r>
      <w:r>
        <w:rPr>
          <w:rFonts w:hint="eastAsia"/>
        </w:rPr>
        <w:t>±</w:t>
      </w:r>
      <w:r>
        <w:t>2.19 species/m</w:t>
      </w:r>
      <w:r w:rsidRPr="0039541C">
        <w:rPr>
          <w:vertAlign w:val="superscript"/>
        </w:rPr>
        <w:t>2</w:t>
      </w:r>
      <w:r>
        <w:t xml:space="preserve"> of the sandy steppe and 5.03</w:t>
      </w:r>
      <w:r>
        <w:rPr>
          <w:rFonts w:hint="eastAsia"/>
        </w:rPr>
        <w:t>±</w:t>
      </w:r>
      <w:r>
        <w:t>1.77 species/m</w:t>
      </w:r>
      <w:r w:rsidRPr="0039541C">
        <w:rPr>
          <w:vertAlign w:val="superscript"/>
        </w:rPr>
        <w:t>2</w:t>
      </w:r>
      <w:r>
        <w:t xml:space="preserve"> of the moving dune. Compared with the sandy steppe (199.38</w:t>
      </w:r>
      <w:r>
        <w:rPr>
          <w:rFonts w:hint="eastAsia"/>
        </w:rPr>
        <w:t>±</w:t>
      </w:r>
      <w:r>
        <w:t>188.70/m</w:t>
      </w:r>
      <w:r w:rsidRPr="0039541C">
        <w:rPr>
          <w:vertAlign w:val="superscript"/>
        </w:rPr>
        <w:t>2</w:t>
      </w:r>
      <w:r>
        <w:t>) and fixed dune (214.76</w:t>
      </w:r>
      <w:r>
        <w:rPr>
          <w:rFonts w:hint="eastAsia"/>
        </w:rPr>
        <w:t>±</w:t>
      </w:r>
      <w:r>
        <w:rPr>
          <w:rFonts w:hint="eastAsia"/>
        </w:rPr>
        <w:t>2</w:t>
      </w:r>
      <w:r>
        <w:t>06.30/m</w:t>
      </w:r>
      <w:r w:rsidRPr="0039541C">
        <w:rPr>
          <w:vertAlign w:val="superscript"/>
        </w:rPr>
        <w:t>2</w:t>
      </w:r>
      <w:r>
        <w:t>), the density of grass was significantly lower (p&lt;0.05) of the moving dune (53.3</w:t>
      </w:r>
      <w:r>
        <w:rPr>
          <w:rFonts w:hint="eastAsia"/>
        </w:rPr>
        <w:t>±</w:t>
      </w:r>
      <w:r>
        <w:t>68.47/m</w:t>
      </w:r>
      <w:r w:rsidRPr="0039541C">
        <w:rPr>
          <w:vertAlign w:val="superscript"/>
        </w:rPr>
        <w:t>2</w:t>
      </w:r>
      <w:r>
        <w:t>). The sandy steppe had the highest height of dominant species, coverage, litter mass, AGB and UGB of grass, all of which were significantly higher (p&lt;0.05) than those of the fixed dune and moving dune. The absolute value of the</w:t>
      </w:r>
      <w:r w:rsidRPr="00AB001F">
        <w:t xml:space="preserve"> </w:t>
      </w:r>
      <w:r>
        <w:t>significantly decreased (p&lt;0.05) slope of grass diversity was 0.070</w:t>
      </w:r>
      <w:r w:rsidRPr="0026110F">
        <w:t xml:space="preserve"> </w:t>
      </w:r>
      <w:r>
        <w:t xml:space="preserve">for the fixed dune, which was higher compared with 0.034 for the sandy steppe and 0.028 for the moving dune </w:t>
      </w:r>
      <w:r w:rsidRPr="00DC5274">
        <w:t>from 2005 to 2015</w:t>
      </w:r>
      <w:r>
        <w:t xml:space="preserve"> (Fig. 2c). The AGB of grass for the sandy steppe and moving dune decreased, but slightly increased (p&gt;0.05) for the fixed dune (Fig. 2d). The litter mass and AGB of shrubs for the fixed dune increased significantly (p&lt;0.05), and the increased slope was 0.637 and 3.991, respectively (Fig. 2e and f).</w:t>
      </w:r>
    </w:p>
    <w:p w14:paraId="05AB903A" w14:textId="77777777" w:rsidR="00BD673C" w:rsidRDefault="00BD673C" w:rsidP="00A74D12"/>
    <w:p w14:paraId="21C8AE8E" w14:textId="77777777" w:rsidR="00BD673C" w:rsidRDefault="00BD673C" w:rsidP="00A74D12">
      <w:pPr>
        <w:pStyle w:val="2"/>
        <w:spacing w:before="163" w:after="163"/>
      </w:pPr>
      <w:r>
        <w:t>3.2 E</w:t>
      </w:r>
      <w:r>
        <w:rPr>
          <w:rFonts w:hint="eastAsia"/>
        </w:rPr>
        <w:t>ff</w:t>
      </w:r>
      <w:r>
        <w:t>ects of natural and artificial vegetation restoration on soil properties and vegetation attributes</w:t>
      </w:r>
    </w:p>
    <w:p w14:paraId="2ADD3AE1" w14:textId="6C0171CC" w:rsidR="00BD673C" w:rsidRDefault="00BD673C" w:rsidP="00A74D12">
      <w:r>
        <w:lastRenderedPageBreak/>
        <w:t>Soil BD for the na</w:t>
      </w:r>
      <w:r>
        <w:rPr>
          <w:rFonts w:hint="eastAsia"/>
        </w:rPr>
        <w:t>t</w:t>
      </w:r>
      <w:r>
        <w:t>ural vegetation was 1.44</w:t>
      </w:r>
      <w:r w:rsidRPr="001F5343">
        <w:rPr>
          <w:rFonts w:hint="eastAsia"/>
        </w:rPr>
        <w:t>±</w:t>
      </w:r>
      <w:r w:rsidRPr="001F5343">
        <w:t>0.09</w:t>
      </w:r>
      <w:r>
        <w:t xml:space="preserve"> </w:t>
      </w:r>
      <w:r w:rsidRPr="001F5343">
        <w:t>g/cm</w:t>
      </w:r>
      <w:r w:rsidRPr="007E5B44">
        <w:rPr>
          <w:vertAlign w:val="superscript"/>
        </w:rPr>
        <w:t>3</w:t>
      </w:r>
      <w:r>
        <w:t>, which was significantly lower (p&lt;0.05) than that of the artificial vegetation (1.60</w:t>
      </w:r>
      <w:r w:rsidRPr="001F5343">
        <w:rPr>
          <w:rFonts w:hint="eastAsia"/>
        </w:rPr>
        <w:t>±</w:t>
      </w:r>
      <w:r w:rsidRPr="001F5343">
        <w:t>0.01 g/cm</w:t>
      </w:r>
      <w:r w:rsidRPr="000A00DF">
        <w:rPr>
          <w:vertAlign w:val="superscript"/>
        </w:rPr>
        <w:t>3</w:t>
      </w:r>
      <w:r>
        <w:t>) in the 60-100 cm soil layer i</w:t>
      </w:r>
      <w:r w:rsidRPr="00D30146">
        <w:t xml:space="preserve">n the arid </w:t>
      </w:r>
      <w:r>
        <w:t xml:space="preserve">desert </w:t>
      </w:r>
      <w:r w:rsidRPr="00D30146">
        <w:t xml:space="preserve">of </w:t>
      </w:r>
      <w:r>
        <w:t>Tenger Desert (SPD</w:t>
      </w:r>
      <w:r w:rsidRPr="00D30146">
        <w:t>)</w:t>
      </w:r>
      <w:r>
        <w:t xml:space="preserve"> (Table 1). The contents of soil nutrients such as OM and TN in the 10-20 cm soil layer, the TP content in the 0-100 cm soil profile, and the SC ratio in the 40-100 cm soil layer of the na</w:t>
      </w:r>
      <w:r>
        <w:rPr>
          <w:rFonts w:hint="eastAsia"/>
        </w:rPr>
        <w:t>t</w:t>
      </w:r>
      <w:r>
        <w:t>ural vegetation were significantly higher than those of the artificial vegetation (Table 1). The contents of soil OM and TN</w:t>
      </w:r>
      <w:r w:rsidRPr="000C1A20">
        <w:t xml:space="preserve"> </w:t>
      </w:r>
      <w:r>
        <w:t>on the surface 0-20 cm layer increased</w:t>
      </w:r>
      <w:r w:rsidRPr="006816F9">
        <w:t xml:space="preserve"> </w:t>
      </w:r>
      <w:r>
        <w:t xml:space="preserve">significantly (p&lt;0.05) during 2005-2015, and the increased slope of the natural vegetation was higher than that of the artificial vegetation (Fig. 3a and b). </w:t>
      </w:r>
    </w:p>
    <w:p w14:paraId="0428938C" w14:textId="77777777" w:rsidR="00BD673C" w:rsidRDefault="00BD673C" w:rsidP="00A74D12"/>
    <w:p w14:paraId="23B1121E" w14:textId="096281A7" w:rsidR="00BD673C" w:rsidRDefault="00BD673C" w:rsidP="00A74D12">
      <w:r>
        <w:t>Vegetation attributes such as the diversity, density, dominant species height, coverage and UGB of grass, and diversity and coverage of shrubs for the na</w:t>
      </w:r>
      <w:r>
        <w:rPr>
          <w:rFonts w:hint="eastAsia"/>
        </w:rPr>
        <w:t>t</w:t>
      </w:r>
      <w:r>
        <w:t>ural vegetation were significantly higher than those for the artificial vegetation (Table 2). The density and AGB of grass, and AGB of shrubs decreased from 2005 to 2015 (Fig. 3c, e and f). The decrease trends for the artificial vegetation were significant (p&lt;0.05), whereas the decrease trends for the natural vegetation were moderate (p&gt;0.05). The density of shrubs for the natural vegetation decreased significantly (p&lt;0.05)</w:t>
      </w:r>
      <w:r w:rsidRPr="006816F9">
        <w:t xml:space="preserve"> </w:t>
      </w:r>
      <w:r>
        <w:t>with a slope of -0.003, but increased</w:t>
      </w:r>
      <w:r w:rsidRPr="006816F9">
        <w:t xml:space="preserve"> </w:t>
      </w:r>
      <w:r>
        <w:t xml:space="preserve">significantly (p&lt;0.05) with a slope of 0.007 for </w:t>
      </w:r>
      <w:r>
        <w:rPr>
          <w:rFonts w:hint="eastAsia"/>
        </w:rPr>
        <w:t>t</w:t>
      </w:r>
      <w:r>
        <w:t xml:space="preserve">he artificial vegetation (Fig. 3e). </w:t>
      </w:r>
    </w:p>
    <w:p w14:paraId="5B10BB79" w14:textId="77777777" w:rsidR="00BD673C" w:rsidRDefault="00BD673C" w:rsidP="00A74D12"/>
    <w:p w14:paraId="2BF5021A" w14:textId="77777777" w:rsidR="00BD673C" w:rsidRDefault="00BD673C" w:rsidP="00A74D12">
      <w:pPr>
        <w:pStyle w:val="2"/>
        <w:spacing w:before="163" w:after="163"/>
      </w:pPr>
      <w:r>
        <w:t xml:space="preserve">3.3 </w:t>
      </w:r>
      <w:r w:rsidRPr="000675ED">
        <w:t xml:space="preserve">Effects of environmental factors on </w:t>
      </w:r>
      <w:r>
        <w:t>soil properties</w:t>
      </w:r>
    </w:p>
    <w:p w14:paraId="715E5D8F" w14:textId="1EA432FF" w:rsidR="00BD673C" w:rsidRPr="000675ED" w:rsidRDefault="00BD673C" w:rsidP="00A74D12">
      <w:r>
        <w:t>Precipitation indirectly affected</w:t>
      </w:r>
      <w:r w:rsidRPr="00A85A51">
        <w:t xml:space="preserve"> vegetation </w:t>
      </w:r>
      <w:r>
        <w:t>attribute</w:t>
      </w:r>
      <w:r w:rsidRPr="00A85A51">
        <w:t xml:space="preserve">s and soil properties by </w:t>
      </w:r>
      <w:r>
        <w:t xml:space="preserve">significantly </w:t>
      </w:r>
      <w:r w:rsidRPr="00A85A51">
        <w:t>influencing</w:t>
      </w:r>
      <w:r>
        <w:t xml:space="preserve"> </w:t>
      </w:r>
      <w:r w:rsidRPr="00A85A51">
        <w:t>soil water</w:t>
      </w:r>
      <w:r>
        <w:t xml:space="preserve"> (p&lt;0.05) in the semi-arid desert </w:t>
      </w:r>
      <w:r w:rsidRPr="002E7AB1">
        <w:t xml:space="preserve">of Horqin Desert (NMD) </w:t>
      </w:r>
      <w:r>
        <w:t xml:space="preserve">and the arid desert </w:t>
      </w:r>
      <w:r w:rsidRPr="002E7AB1">
        <w:t xml:space="preserve">of Tenger Desert (SPD) </w:t>
      </w:r>
      <w:r>
        <w:t>(Fig. 4).</w:t>
      </w:r>
      <w:r w:rsidRPr="008A70E0">
        <w:t xml:space="preserve"> </w:t>
      </w:r>
      <w:r>
        <w:t>Soil water had a significantly</w:t>
      </w:r>
      <w:r w:rsidRPr="008A70E0">
        <w:t xml:space="preserve"> positive</w:t>
      </w:r>
      <w:r>
        <w:t xml:space="preserve"> effect on the coverage and AGB of grass (p&lt;0.05) in the semi-arid desert and arid desert (Fig. 4). The AGB of grass had a significantly</w:t>
      </w:r>
      <w:r w:rsidRPr="008A70E0">
        <w:t xml:space="preserve"> </w:t>
      </w:r>
      <w:r>
        <w:t>neg</w:t>
      </w:r>
      <w:r w:rsidRPr="008A70E0">
        <w:t xml:space="preserve">ative </w:t>
      </w:r>
      <w:r>
        <w:t xml:space="preserve">effect on soil bulk density (p&lt;0.05) with a </w:t>
      </w:r>
      <w:r w:rsidRPr="00F32A88">
        <w:t>path coefficient of 0.</w:t>
      </w:r>
      <w:r>
        <w:t>70,</w:t>
      </w:r>
      <w:r w:rsidRPr="00FF5828">
        <w:t xml:space="preserve"> </w:t>
      </w:r>
      <w:r>
        <w:t>and a significantly</w:t>
      </w:r>
      <w:r w:rsidRPr="008A70E0">
        <w:t xml:space="preserve"> positive </w:t>
      </w:r>
      <w:r>
        <w:t>effect on soil TN (p&lt;0.05)</w:t>
      </w:r>
      <w:r w:rsidRPr="00FF5828">
        <w:t xml:space="preserve"> </w:t>
      </w:r>
      <w:r>
        <w:t xml:space="preserve">with a </w:t>
      </w:r>
      <w:r w:rsidRPr="00F32A88">
        <w:t>path coefficient of 0.</w:t>
      </w:r>
      <w:r>
        <w:t>31 for the sandy steppe</w:t>
      </w:r>
      <w:r w:rsidRPr="00F32A88">
        <w:t xml:space="preserve"> </w:t>
      </w:r>
      <w:r>
        <w:t>(Fig. 4a). The coverage of grass</w:t>
      </w:r>
      <w:r w:rsidRPr="00FF5828">
        <w:t xml:space="preserve"> </w:t>
      </w:r>
      <w:r>
        <w:t>had a significantly</w:t>
      </w:r>
      <w:r w:rsidRPr="008A70E0">
        <w:t xml:space="preserve"> positive </w:t>
      </w:r>
      <w:r>
        <w:t>effect on soil TN (p&lt;0.05)</w:t>
      </w:r>
      <w:r w:rsidRPr="00FF5828">
        <w:t xml:space="preserve"> </w:t>
      </w:r>
      <w:r>
        <w:t xml:space="preserve">with a </w:t>
      </w:r>
      <w:r w:rsidRPr="00F32A88">
        <w:t>path coefficient of 0.</w:t>
      </w:r>
      <w:r>
        <w:t xml:space="preserve">37 for the fixed dune (Fig. 4b). Moreover, </w:t>
      </w:r>
      <w:r>
        <w:rPr>
          <w:rFonts w:hint="eastAsia"/>
        </w:rPr>
        <w:t>s</w:t>
      </w:r>
      <w:r>
        <w:t xml:space="preserve">oil water had more significant effects on the </w:t>
      </w:r>
      <w:r w:rsidRPr="00A85A51">
        <w:t xml:space="preserve">vegetation </w:t>
      </w:r>
      <w:r>
        <w:t>attribute</w:t>
      </w:r>
      <w:r w:rsidRPr="00A85A51">
        <w:t>s</w:t>
      </w:r>
      <w:r>
        <w:t xml:space="preserve"> of grass (p&lt;0.05) than on the </w:t>
      </w:r>
      <w:r w:rsidRPr="00A85A51">
        <w:t xml:space="preserve">vegetation </w:t>
      </w:r>
      <w:r>
        <w:t>attribute</w:t>
      </w:r>
      <w:r w:rsidRPr="00A85A51">
        <w:t>s</w:t>
      </w:r>
      <w:r>
        <w:t xml:space="preserve"> of shrubs</w:t>
      </w:r>
      <w:r w:rsidRPr="002E7AB1">
        <w:t xml:space="preserve"> </w:t>
      </w:r>
      <w:r>
        <w:t>(Fig. 4). Soil OM was significantly</w:t>
      </w:r>
      <w:r w:rsidRPr="008A70E0">
        <w:t xml:space="preserve"> positively affect</w:t>
      </w:r>
      <w:r>
        <w:t>ed by s</w:t>
      </w:r>
      <w:r w:rsidRPr="008A70E0">
        <w:t xml:space="preserve">oil water, </w:t>
      </w:r>
      <w:r>
        <w:t xml:space="preserve">silt+clay, and </w:t>
      </w:r>
      <w:r w:rsidRPr="008A70E0">
        <w:t xml:space="preserve">diversity, density, </w:t>
      </w:r>
      <w:r>
        <w:t>litter</w:t>
      </w:r>
      <w:r w:rsidRPr="008A70E0">
        <w:t xml:space="preserve">, </w:t>
      </w:r>
      <w:r>
        <w:t xml:space="preserve">UGB </w:t>
      </w:r>
      <w:r w:rsidRPr="008A70E0">
        <w:t xml:space="preserve">and </w:t>
      </w:r>
      <w:r>
        <w:t>AGB</w:t>
      </w:r>
      <w:r w:rsidRPr="008A70E0">
        <w:t xml:space="preserve"> </w:t>
      </w:r>
      <w:r>
        <w:t>of grass (p&lt;0.05), but significantly</w:t>
      </w:r>
      <w:r w:rsidRPr="008A70E0">
        <w:t xml:space="preserve"> </w:t>
      </w:r>
      <w:r>
        <w:t>neg</w:t>
      </w:r>
      <w:r w:rsidRPr="008A70E0">
        <w:t>atively affect</w:t>
      </w:r>
      <w:r>
        <w:t>ed by soil bulk density (p&lt;0.05), and also significantly affected other soil properties such as the TN and pH (p&lt;0.05) (Fig. 4).</w:t>
      </w:r>
    </w:p>
    <w:p w14:paraId="4C38270B" w14:textId="77777777" w:rsidR="00BD673C" w:rsidRDefault="00BD673C" w:rsidP="00A74D12"/>
    <w:p w14:paraId="213EA0A6" w14:textId="1C451B4F" w:rsidR="00BD673C" w:rsidRDefault="00BD673C" w:rsidP="00A74D12">
      <w:r>
        <w:t xml:space="preserve">The GLM model explained more than 95% and 75% of the total variation in soil OM in the semi-arid desert </w:t>
      </w:r>
      <w:r w:rsidRPr="002E7AB1">
        <w:t xml:space="preserve">of Horqin Desert (NMD) </w:t>
      </w:r>
      <w:r>
        <w:t xml:space="preserve">(Fig. 5a) and the arid desert </w:t>
      </w:r>
      <w:r w:rsidRPr="002E7AB1">
        <w:lastRenderedPageBreak/>
        <w:t>of Tenger Desert (SPD)</w:t>
      </w:r>
      <w:r>
        <w:t xml:space="preserve"> (Fig. 5b), respectively. The primary driver of soil OM variation in the sandy steppe and fixed dune was soil bulk density (occupying 42.06% and 27.76%, respectively), and in the moving dune was grass diversity (accounting for 40.99%) (Fig. 5a). The main driver of soil OM variation in the natural vegetation was soil bulk density and shrub diversity (taking up 20.89% and 19.86%, respectively), and in the artificial vegetation was shrub diversity (occupying 27.17%) (Fig. 5b).</w:t>
      </w:r>
    </w:p>
    <w:p w14:paraId="7AA5B700" w14:textId="77777777" w:rsidR="00BD673C" w:rsidRDefault="00BD673C" w:rsidP="00A74D12"/>
    <w:p w14:paraId="426A6BC4" w14:textId="77777777" w:rsidR="00BD673C" w:rsidRDefault="00BD673C" w:rsidP="00A74D12">
      <w:pPr>
        <w:pStyle w:val="1"/>
        <w:spacing w:before="163" w:after="163"/>
      </w:pPr>
      <w:r>
        <w:t>4. Discussion</w:t>
      </w:r>
    </w:p>
    <w:p w14:paraId="07B52648" w14:textId="77777777" w:rsidR="00BD673C" w:rsidRDefault="00BD673C" w:rsidP="00A74D12">
      <w:pPr>
        <w:pStyle w:val="2"/>
        <w:spacing w:before="163" w:after="163"/>
      </w:pPr>
      <w:r>
        <w:t>4.1 E</w:t>
      </w:r>
      <w:r>
        <w:rPr>
          <w:rFonts w:hint="eastAsia"/>
        </w:rPr>
        <w:t>ff</w:t>
      </w:r>
      <w:r>
        <w:t xml:space="preserve">ects of </w:t>
      </w:r>
      <w:r>
        <w:rPr>
          <w:rFonts w:hint="eastAsia"/>
        </w:rPr>
        <w:t>san</w:t>
      </w:r>
      <w:r>
        <w:t>d fixation and vegetation restoration on soil properties and vegetation attributes</w:t>
      </w:r>
    </w:p>
    <w:p w14:paraId="4B8A5718" w14:textId="77777777" w:rsidR="00BD673C" w:rsidRDefault="00BD673C" w:rsidP="00A74D12">
      <w:r>
        <w:t xml:space="preserve">Sandy steppe had the highest level of </w:t>
      </w:r>
      <w:r w:rsidRPr="00753A64">
        <w:t xml:space="preserve">soil </w:t>
      </w:r>
      <w:r>
        <w:t>OM, TN, TP and TK contents and SC</w:t>
      </w:r>
      <w:r w:rsidRPr="00753A64">
        <w:t xml:space="preserve"> </w:t>
      </w:r>
      <w:r>
        <w:t>ratio, as well as grass density, coverage, dominant species height, litter, AGB and UGB, followed by</w:t>
      </w:r>
      <w:r w:rsidRPr="009161DB">
        <w:t xml:space="preserve"> the fixed dune, </w:t>
      </w:r>
      <w:r>
        <w:t>and finally the moving dune</w:t>
      </w:r>
      <w:r w:rsidRPr="00753A64">
        <w:t xml:space="preserve">, </w:t>
      </w:r>
      <w:r>
        <w:t>while soil BD was opposite</w:t>
      </w:r>
      <w:r w:rsidRPr="00753A64">
        <w:t xml:space="preserve"> </w:t>
      </w:r>
      <w:r>
        <w:t>(following the order of sandy grassland &lt; fixed dune &lt;</w:t>
      </w:r>
      <w:r w:rsidRPr="00753A64">
        <w:t xml:space="preserve"> moving dune</w:t>
      </w:r>
      <w:r>
        <w:t>) (Table 1 and 2). This</w:t>
      </w:r>
      <w:r w:rsidRPr="00753A64">
        <w:t xml:space="preserve"> </w:t>
      </w:r>
      <w:r>
        <w:t>result indicated</w:t>
      </w:r>
      <w:r w:rsidRPr="00753A64">
        <w:t xml:space="preserve"> that the </w:t>
      </w:r>
      <w:r>
        <w:rPr>
          <w:rFonts w:hint="eastAsia"/>
        </w:rPr>
        <w:t>restoration</w:t>
      </w:r>
      <w:r w:rsidRPr="00753A64">
        <w:t xml:space="preserve"> of sandy</w:t>
      </w:r>
      <w:r>
        <w:t xml:space="preserve"> steppe</w:t>
      </w:r>
      <w:r w:rsidRPr="00753A64">
        <w:t xml:space="preserve"> and fixation of moving dunes </w:t>
      </w:r>
      <w:r>
        <w:t xml:space="preserve">in the semi-arid desert </w:t>
      </w:r>
      <w:r w:rsidRPr="0036696F">
        <w:t>c</w:t>
      </w:r>
      <w:r>
        <w:t>ould</w:t>
      </w:r>
      <w:r w:rsidRPr="0036696F">
        <w:t xml:space="preserve"> bring about substantial benefits for soil nutrient accumulation</w:t>
      </w:r>
      <w:r>
        <w:t xml:space="preserve">, </w:t>
      </w:r>
      <w:r w:rsidRPr="00D44DD8">
        <w:t>soil texture</w:t>
      </w:r>
      <w:r w:rsidRPr="0036696F">
        <w:t xml:space="preserve"> </w:t>
      </w:r>
      <w:r>
        <w:t xml:space="preserve">modification, </w:t>
      </w:r>
      <w:r w:rsidRPr="0036696F">
        <w:t>and vegetation improvement</w:t>
      </w:r>
      <w:r>
        <w:t xml:space="preserve">. </w:t>
      </w:r>
      <w:r w:rsidRPr="00217155">
        <w:t xml:space="preserve">During the process of fixation and vegetation restoration of </w:t>
      </w:r>
      <w:r>
        <w:t xml:space="preserve">the </w:t>
      </w:r>
      <w:r w:rsidRPr="00217155">
        <w:t xml:space="preserve">mobile dune in Horqin </w:t>
      </w:r>
      <w:r>
        <w:t xml:space="preserve">Desert, </w:t>
      </w:r>
      <w:r w:rsidRPr="00217155">
        <w:rPr>
          <w:i/>
        </w:rPr>
        <w:t>Agriophyllum squarrosum</w:t>
      </w:r>
      <w:r w:rsidRPr="00217155">
        <w:t xml:space="preserve"> </w:t>
      </w:r>
      <w:r>
        <w:lastRenderedPageBreak/>
        <w:t>beca</w:t>
      </w:r>
      <w:r w:rsidRPr="00217155">
        <w:t>me the pioneer plant species in moving dunes due to its strong adaptability to wind erosion and barren dune environments</w:t>
      </w:r>
      <w:r>
        <w:t xml:space="preserve"> </w:t>
      </w:r>
      <w:r>
        <w:rPr>
          <w:noProof/>
        </w:rPr>
        <w:t>(Zhang et al., 2005; Zuo et al., 2009)</w:t>
      </w:r>
      <w:r w:rsidRPr="00217155">
        <w:t xml:space="preserve">. With the decrease in dune mobility, </w:t>
      </w:r>
      <w:r w:rsidRPr="00217155">
        <w:rPr>
          <w:i/>
        </w:rPr>
        <w:t>Agriophyllum squarrosum</w:t>
      </w:r>
      <w:r w:rsidRPr="00217155">
        <w:t xml:space="preserve"> </w:t>
      </w:r>
      <w:r>
        <w:t>was</w:t>
      </w:r>
      <w:r w:rsidRPr="00217155">
        <w:t xml:space="preserve"> replaced by the shrub </w:t>
      </w:r>
      <w:r w:rsidRPr="00217155">
        <w:rPr>
          <w:i/>
        </w:rPr>
        <w:t>Artemisia halodendron</w:t>
      </w:r>
      <w:r w:rsidRPr="00217155">
        <w:t xml:space="preserve">, </w:t>
      </w:r>
      <w:r>
        <w:t xml:space="preserve">which </w:t>
      </w:r>
      <w:r w:rsidRPr="003027BA">
        <w:t>create</w:t>
      </w:r>
      <w:r>
        <w:t>d</w:t>
      </w:r>
      <w:r w:rsidRPr="003027BA">
        <w:t xml:space="preserve"> nutrient-rich areas</w:t>
      </w:r>
      <w:r>
        <w:t xml:space="preserve"> by</w:t>
      </w:r>
      <w:r w:rsidRPr="00217155">
        <w:t xml:space="preserve"> </w:t>
      </w:r>
      <w:r>
        <w:t>virtue of</w:t>
      </w:r>
      <w:r w:rsidRPr="00217155">
        <w:t xml:space="preserve"> </w:t>
      </w:r>
      <w:r>
        <w:t xml:space="preserve">its </w:t>
      </w:r>
      <w:r w:rsidRPr="00217155">
        <w:t>“</w:t>
      </w:r>
      <w:r>
        <w:t>f</w:t>
      </w:r>
      <w:r w:rsidRPr="00217155">
        <w:t>ertile island effect”</w:t>
      </w:r>
      <w:r>
        <w:t xml:space="preserve"> </w:t>
      </w:r>
      <w:r>
        <w:rPr>
          <w:noProof/>
        </w:rPr>
        <w:t>(Garner and Steinberger, 1989; Zuo et al., 2009)</w:t>
      </w:r>
      <w:r>
        <w:t>.</w:t>
      </w:r>
      <w:r w:rsidRPr="00217155">
        <w:t xml:space="preserve"> With the fixation of dunes and </w:t>
      </w:r>
      <w:r>
        <w:t xml:space="preserve">the </w:t>
      </w:r>
      <w:r w:rsidRPr="00217155">
        <w:t xml:space="preserve">improvement of soil </w:t>
      </w:r>
      <w:r>
        <w:t>fertility</w:t>
      </w:r>
      <w:r w:rsidRPr="00217155">
        <w:t>, the herbaceous plant community expands</w:t>
      </w:r>
      <w:r>
        <w:t xml:space="preserve"> </w:t>
      </w:r>
      <w:r>
        <w:rPr>
          <w:noProof/>
        </w:rPr>
        <w:t>(Zhang et al., 2005)</w:t>
      </w:r>
      <w:r>
        <w:t xml:space="preserve">, which </w:t>
      </w:r>
      <w:r w:rsidRPr="005256A3">
        <w:t>produce</w:t>
      </w:r>
      <w:r>
        <w:t>d</w:t>
      </w:r>
      <w:r w:rsidRPr="005256A3">
        <w:t xml:space="preserve"> more biomass and root systems</w:t>
      </w:r>
      <w:r>
        <w:t xml:space="preserve"> </w:t>
      </w:r>
      <w:r>
        <w:rPr>
          <w:noProof/>
        </w:rPr>
        <w:t>(Wan et al., 2019)</w:t>
      </w:r>
      <w:r>
        <w:t xml:space="preserve">. The growth of plant roots </w:t>
      </w:r>
      <w:r w:rsidRPr="00E625BE">
        <w:t>contribute</w:t>
      </w:r>
      <w:r>
        <w:t>d</w:t>
      </w:r>
      <w:r w:rsidRPr="00E625BE">
        <w:t xml:space="preserve"> to fragment</w:t>
      </w:r>
      <w:r>
        <w:t>ing</w:t>
      </w:r>
      <w:r w:rsidRPr="00E625BE">
        <w:t xml:space="preserve"> soil</w:t>
      </w:r>
      <w:r>
        <w:t>s</w:t>
      </w:r>
      <w:r w:rsidRPr="00E625BE">
        <w:t xml:space="preserve"> and form</w:t>
      </w:r>
      <w:r>
        <w:t>ing</w:t>
      </w:r>
      <w:r w:rsidRPr="00E625BE">
        <w:t xml:space="preserve"> aggregates</w:t>
      </w:r>
      <w:r>
        <w:t>, which increased the</w:t>
      </w:r>
      <w:r w:rsidRPr="00E625BE">
        <w:t xml:space="preserve"> silt and clay content of soil</w:t>
      </w:r>
      <w:r>
        <w:t xml:space="preserve"> </w:t>
      </w:r>
      <w:r>
        <w:rPr>
          <w:noProof/>
        </w:rPr>
        <w:t>(Angers and Caron, 1998; Zhao et al., 2014)</w:t>
      </w:r>
      <w:r>
        <w:t>.</w:t>
      </w:r>
      <w:r w:rsidRPr="00E625BE">
        <w:t xml:space="preserve"> </w:t>
      </w:r>
      <w:r>
        <w:t xml:space="preserve">The </w:t>
      </w:r>
      <w:r w:rsidRPr="00D44DD8">
        <w:t>nutrient up</w:t>
      </w:r>
      <w:r>
        <w:t>-</w:t>
      </w:r>
      <w:r w:rsidRPr="00D44DD8">
        <w:t>take</w:t>
      </w:r>
      <w:r>
        <w:t>n</w:t>
      </w:r>
      <w:r w:rsidRPr="00D44DD8">
        <w:t xml:space="preserve"> by plant roots </w:t>
      </w:r>
      <w:r>
        <w:t xml:space="preserve">and the </w:t>
      </w:r>
      <w:r w:rsidRPr="00D44DD8">
        <w:t>litter decomposition</w:t>
      </w:r>
      <w:r w:rsidRPr="00217155">
        <w:t xml:space="preserve"> process</w:t>
      </w:r>
      <w:r>
        <w:t>es</w:t>
      </w:r>
      <w:r w:rsidRPr="00217155">
        <w:t xml:space="preserve"> </w:t>
      </w:r>
      <w:r>
        <w:t xml:space="preserve">increased soil nutrients </w:t>
      </w:r>
      <w:r>
        <w:rPr>
          <w:noProof/>
        </w:rPr>
        <w:t>(Bardgett and Wardle, 2003; Freschet et al., 2013)</w:t>
      </w:r>
      <w:r>
        <w:t>. Moreover, v</w:t>
      </w:r>
      <w:r w:rsidRPr="002766C4">
        <w:t>egetation cover play</w:t>
      </w:r>
      <w:r>
        <w:t>ed</w:t>
      </w:r>
      <w:r w:rsidRPr="002766C4">
        <w:t xml:space="preserve"> a crucial role in preventing soil resources from being washed away by water or wind</w:t>
      </w:r>
      <w:r>
        <w:t xml:space="preserve"> </w:t>
      </w:r>
      <w:r>
        <w:rPr>
          <w:noProof/>
        </w:rPr>
        <w:t>(Zuazo and Pleguezuelo, 2009)</w:t>
      </w:r>
      <w:r>
        <w:t>. I</w:t>
      </w:r>
      <w:r w:rsidRPr="002766C4">
        <w:t>mproved soil</w:t>
      </w:r>
      <w:r>
        <w:t xml:space="preserve"> </w:t>
      </w:r>
      <w:r w:rsidRPr="002766C4">
        <w:t>fertility</w:t>
      </w:r>
      <w:r>
        <w:t xml:space="preserve"> </w:t>
      </w:r>
      <w:r w:rsidRPr="002766C4">
        <w:t>in turn c</w:t>
      </w:r>
      <w:r>
        <w:t>ould</w:t>
      </w:r>
      <w:r w:rsidRPr="002766C4">
        <w:t xml:space="preserve"> provide the necessary nutrients for vegetation growth, and ultimately </w:t>
      </w:r>
      <w:r>
        <w:t>bring about</w:t>
      </w:r>
      <w:r w:rsidRPr="002766C4">
        <w:t xml:space="preserve"> increased productivity</w:t>
      </w:r>
      <w:r>
        <w:t xml:space="preserve"> </w:t>
      </w:r>
      <w:r>
        <w:rPr>
          <w:noProof/>
        </w:rPr>
        <w:t>(Hu et al., 2022a)</w:t>
      </w:r>
      <w:r>
        <w:t>. Some studies also reported that v</w:t>
      </w:r>
      <w:r w:rsidRPr="002766C4">
        <w:t xml:space="preserve">egetation restoration and sand-fixing </w:t>
      </w:r>
      <w:r>
        <w:t>could</w:t>
      </w:r>
      <w:r w:rsidRPr="002766C4">
        <w:t xml:space="preserve"> </w:t>
      </w:r>
      <w:r>
        <w:t>impose</w:t>
      </w:r>
      <w:r w:rsidRPr="002766C4">
        <w:t xml:space="preserve"> a range of positive effects on ecosystem functioning</w:t>
      </w:r>
      <w:r>
        <w:t xml:space="preserve"> in drylands</w:t>
      </w:r>
      <w:r w:rsidRPr="002766C4">
        <w:t>, including the prevention of further desertification and the reduction of wind erosion</w:t>
      </w:r>
      <w:r>
        <w:t xml:space="preserve"> </w:t>
      </w:r>
      <w:r>
        <w:rPr>
          <w:noProof/>
        </w:rPr>
        <w:t>(Li et al., 2009; Zhang et al., 2018)</w:t>
      </w:r>
      <w:r>
        <w:t>.</w:t>
      </w:r>
    </w:p>
    <w:p w14:paraId="153C23BD" w14:textId="77777777" w:rsidR="00BD673C" w:rsidRDefault="00BD673C" w:rsidP="00A74D12"/>
    <w:p w14:paraId="3F33D257" w14:textId="77777777" w:rsidR="00BD673C" w:rsidRPr="008F39A8" w:rsidRDefault="00BD673C" w:rsidP="00A74D12">
      <w:r>
        <w:lastRenderedPageBreak/>
        <w:t>From 2005 to 2015, s</w:t>
      </w:r>
      <w:r w:rsidRPr="00447E1B">
        <w:t xml:space="preserve">oil </w:t>
      </w:r>
      <w:r>
        <w:t xml:space="preserve">OM content increased, but the TK content decreased (Fig. 2), which was </w:t>
      </w:r>
      <w:r w:rsidRPr="00203692">
        <w:t xml:space="preserve">probably </w:t>
      </w:r>
      <w:r>
        <w:t>attributed to t</w:t>
      </w:r>
      <w:r w:rsidRPr="00945D58">
        <w:t xml:space="preserve">he </w:t>
      </w:r>
      <w:r>
        <w:t>fact that</w:t>
      </w:r>
      <w:r w:rsidRPr="00945D58">
        <w:t xml:space="preserve"> </w:t>
      </w:r>
      <w:r>
        <w:t xml:space="preserve">the </w:t>
      </w:r>
      <w:r w:rsidRPr="00945D58">
        <w:t xml:space="preserve">contents of soil carbon </w:t>
      </w:r>
      <w:r>
        <w:t>matter</w:t>
      </w:r>
      <w:r w:rsidRPr="00945D58">
        <w:t xml:space="preserve"> </w:t>
      </w:r>
      <w:r>
        <w:t>were</w:t>
      </w:r>
      <w:r w:rsidRPr="00945D58">
        <w:t xml:space="preserve"> mainly controlled by biological processes, such as photosynthesis, atmospheric N fixation, and soil enzyme and microbe activity</w:t>
      </w:r>
      <w:r>
        <w:t xml:space="preserve"> </w:t>
      </w:r>
      <w:r>
        <w:rPr>
          <w:noProof/>
        </w:rPr>
        <w:t>(Jiao et al., 2016)</w:t>
      </w:r>
      <w:r w:rsidRPr="00945D58">
        <w:t xml:space="preserve">, while soil </w:t>
      </w:r>
      <w:r>
        <w:t>p</w:t>
      </w:r>
      <w:r w:rsidRPr="006C4EE7">
        <w:t>otassium</w:t>
      </w:r>
      <w:r w:rsidRPr="00945D58">
        <w:t xml:space="preserve"> content </w:t>
      </w:r>
      <w:r>
        <w:t>was</w:t>
      </w:r>
      <w:r w:rsidRPr="00945D58">
        <w:t xml:space="preserve"> primarily derived from physical processes, such as mechanical weathering, and </w:t>
      </w:r>
      <w:r>
        <w:t>was</w:t>
      </w:r>
      <w:r w:rsidRPr="00945D58">
        <w:t xml:space="preserve"> regulated by biological and geochemical processes</w:t>
      </w:r>
      <w:r>
        <w:t xml:space="preserve"> </w:t>
      </w:r>
      <w:r>
        <w:rPr>
          <w:noProof/>
        </w:rPr>
        <w:t>(Delgado-Baquerizo et al., 2013)</w:t>
      </w:r>
      <w:r w:rsidRPr="00945D58">
        <w:t>.</w:t>
      </w:r>
      <w:r>
        <w:t xml:space="preserve"> The </w:t>
      </w:r>
      <w:r w:rsidRPr="006C4EE7">
        <w:t>root exudates</w:t>
      </w:r>
      <w:r>
        <w:t xml:space="preserve"> and litter input of plants could </w:t>
      </w:r>
      <w:r w:rsidRPr="006C4EE7">
        <w:t>increase</w:t>
      </w:r>
      <w:r>
        <w:t xml:space="preserve"> soil OM </w:t>
      </w:r>
      <w:r>
        <w:rPr>
          <w:noProof/>
        </w:rPr>
        <w:t>(Bardgett and Wardle, 2003)</w:t>
      </w:r>
      <w:r>
        <w:t>. On the other hand, t</w:t>
      </w:r>
      <w:r w:rsidRPr="006C4EE7">
        <w:t xml:space="preserve">he absorption of </w:t>
      </w:r>
      <w:r>
        <w:t xml:space="preserve">the </w:t>
      </w:r>
      <w:r w:rsidRPr="006C4EE7">
        <w:t>plant root system</w:t>
      </w:r>
      <w:r>
        <w:t>s</w:t>
      </w:r>
      <w:r w:rsidRPr="006C4EE7">
        <w:t xml:space="preserve"> </w:t>
      </w:r>
      <w:r>
        <w:t>could</w:t>
      </w:r>
      <w:r w:rsidRPr="006C4EE7">
        <w:t xml:space="preserve"> result in a reduction of soil </w:t>
      </w:r>
      <w:r>
        <w:t xml:space="preserve">TK </w:t>
      </w:r>
      <w:r>
        <w:rPr>
          <w:noProof/>
        </w:rPr>
        <w:t>(Finzi et al., 2011)</w:t>
      </w:r>
      <w:r>
        <w:t xml:space="preserve">. Furthermore, it was found that the sandy steppe exhibited the highest increase rate of OM content, followed by the fixed dune, and finally the moving dune. The absolute value of the decreased slope of TK content for the sandy steppe was lower </w:t>
      </w:r>
      <w:r>
        <w:rPr>
          <w:rFonts w:hint="eastAsia"/>
        </w:rPr>
        <w:t>t</w:t>
      </w:r>
      <w:r>
        <w:t>han that for the fixed dune and moving dune (Fig. 2). T</w:t>
      </w:r>
      <w:r>
        <w:rPr>
          <w:rFonts w:hint="eastAsia"/>
        </w:rPr>
        <w:t>h</w:t>
      </w:r>
      <w:r>
        <w:t>ese results indicated that v</w:t>
      </w:r>
      <w:r w:rsidRPr="008C0C29">
        <w:t xml:space="preserve">egetation restoration </w:t>
      </w:r>
      <w:r>
        <w:t>could</w:t>
      </w:r>
      <w:r w:rsidRPr="008C0C29">
        <w:t xml:space="preserve"> improve the increase rate of soil </w:t>
      </w:r>
      <w:r>
        <w:t>OM</w:t>
      </w:r>
      <w:r w:rsidRPr="008C0C29">
        <w:t xml:space="preserve">, </w:t>
      </w:r>
      <w:r>
        <w:t>and</w:t>
      </w:r>
      <w:r w:rsidRPr="008C0C29">
        <w:t xml:space="preserve"> slow down the reduction rate of soil </w:t>
      </w:r>
      <w:r>
        <w:t>TK. Compared with the moving dune,</w:t>
      </w:r>
      <w:r w:rsidRPr="008C0C29">
        <w:t xml:space="preserve"> </w:t>
      </w:r>
      <w:r>
        <w:t>b</w:t>
      </w:r>
      <w:r w:rsidRPr="008C0C29">
        <w:t>etter vegetation cover and stronger root network</w:t>
      </w:r>
      <w:r>
        <w:t>s</w:t>
      </w:r>
      <w:r w:rsidRPr="008C0C29">
        <w:t xml:space="preserve"> in </w:t>
      </w:r>
      <w:r>
        <w:t xml:space="preserve">the </w:t>
      </w:r>
      <w:r w:rsidRPr="008C0C29">
        <w:t xml:space="preserve">sandy </w:t>
      </w:r>
      <w:r>
        <w:t>steppe</w:t>
      </w:r>
      <w:r w:rsidRPr="008C0C29">
        <w:t xml:space="preserve"> and fixed dune increased soil </w:t>
      </w:r>
      <w:r>
        <w:t>OM</w:t>
      </w:r>
      <w:r w:rsidRPr="008C0C29">
        <w:t xml:space="preserve"> input and reduced soil </w:t>
      </w:r>
      <w:r>
        <w:t>TK</w:t>
      </w:r>
      <w:r w:rsidRPr="00D03311">
        <w:t xml:space="preserve"> loss </w:t>
      </w:r>
      <w:r>
        <w:t xml:space="preserve">due to </w:t>
      </w:r>
      <w:r w:rsidRPr="008C0C29">
        <w:t>erosion</w:t>
      </w:r>
      <w:r>
        <w:t xml:space="preserve"> </w:t>
      </w:r>
      <w:r>
        <w:rPr>
          <w:noProof/>
        </w:rPr>
        <w:t>(Su et al., 2005; Zhang et al., 2018)</w:t>
      </w:r>
      <w:r>
        <w:t>. For vegetation, the grass diversity and AGB for the sandy steppe</w:t>
      </w:r>
      <w:r w:rsidRPr="00756793">
        <w:t xml:space="preserve"> </w:t>
      </w:r>
      <w:r>
        <w:t>decreased (Fig. 2), which might indicate p</w:t>
      </w:r>
      <w:r w:rsidRPr="00F536E1">
        <w:t xml:space="preserve">otential risks of </w:t>
      </w:r>
      <w:r>
        <w:t>p</w:t>
      </w:r>
      <w:r w:rsidRPr="00DE7031">
        <w:t>lanting fast-growing plants at high densities</w:t>
      </w:r>
      <w:r>
        <w:t xml:space="preserve">. For example, using </w:t>
      </w:r>
      <w:r w:rsidRPr="00F536E1">
        <w:t>exotic species</w:t>
      </w:r>
      <w:r>
        <w:t xml:space="preserve"> </w:t>
      </w:r>
      <w:r w:rsidRPr="00F536E1">
        <w:t>during ecological restoration</w:t>
      </w:r>
      <w:r>
        <w:t xml:space="preserve"> could </w:t>
      </w:r>
      <w:r w:rsidRPr="00F536E1">
        <w:lastRenderedPageBreak/>
        <w:t xml:space="preserve">lead to </w:t>
      </w:r>
      <w:r>
        <w:t xml:space="preserve">the </w:t>
      </w:r>
      <w:r w:rsidRPr="00F536E1">
        <w:t>unintended</w:t>
      </w:r>
      <w:r w:rsidRPr="00EE554A">
        <w:t xml:space="preserve"> spread of invasive species</w:t>
      </w:r>
      <w:r>
        <w:t xml:space="preserve"> and decrease </w:t>
      </w:r>
      <w:r w:rsidRPr="00EE554A">
        <w:t>biodiversity</w:t>
      </w:r>
      <w:r>
        <w:t xml:space="preserve"> </w:t>
      </w:r>
      <w:r>
        <w:rPr>
          <w:noProof/>
        </w:rPr>
        <w:t>(Wang et al., 2013)</w:t>
      </w:r>
      <w:r>
        <w:t xml:space="preserve">. Another </w:t>
      </w:r>
      <w:r w:rsidRPr="00EE554A">
        <w:t>risk</w:t>
      </w:r>
      <w:r>
        <w:t xml:space="preserve"> could be that the </w:t>
      </w:r>
      <w:r w:rsidRPr="00EE554A">
        <w:t>poor</w:t>
      </w:r>
      <w:r>
        <w:t xml:space="preserve"> </w:t>
      </w:r>
      <w:r w:rsidRPr="00EE554A">
        <w:t>water availability</w:t>
      </w:r>
      <w:r>
        <w:t xml:space="preserve"> and soil fertility in drylands </w:t>
      </w:r>
      <w:r w:rsidRPr="00EE554A">
        <w:t xml:space="preserve">are </w:t>
      </w:r>
      <w:r>
        <w:t>might fail</w:t>
      </w:r>
      <w:r w:rsidRPr="00EE554A">
        <w:t xml:space="preserve"> to support the sustainable growth of restored vegetation</w:t>
      </w:r>
      <w:r>
        <w:t xml:space="preserve"> </w:t>
      </w:r>
      <w:r>
        <w:rPr>
          <w:noProof/>
        </w:rPr>
        <w:t>(Zucca et al., 2021)</w:t>
      </w:r>
      <w:r>
        <w:t>. The AGB of grass, and litter mass and AGB of shrubs for the fixed dune increased (Fig. 2), suggesting the overall</w:t>
      </w:r>
      <w:r w:rsidRPr="0068789A">
        <w:t xml:space="preserve"> </w:t>
      </w:r>
      <w:r>
        <w:t xml:space="preserve">healthy conditions of the </w:t>
      </w:r>
      <w:r w:rsidRPr="00915491">
        <w:t>plant community structure and function</w:t>
      </w:r>
      <w:r>
        <w:t xml:space="preserve"> of sand-fixing vegetation. R</w:t>
      </w:r>
      <w:r w:rsidRPr="00915491">
        <w:t>estoration via succession ha</w:t>
      </w:r>
      <w:r>
        <w:t>d</w:t>
      </w:r>
      <w:r w:rsidRPr="00915491">
        <w:t xml:space="preserve"> </w:t>
      </w:r>
      <w:r>
        <w:t xml:space="preserve">the </w:t>
      </w:r>
      <w:r w:rsidRPr="00915491">
        <w:t>potential for vegetation recovery and desertification control</w:t>
      </w:r>
      <w:r>
        <w:t xml:space="preserve"> </w:t>
      </w:r>
      <w:r>
        <w:rPr>
          <w:noProof/>
        </w:rPr>
        <w:t>(Zhang et al., 2005; Yirdaw et al., 2017)</w:t>
      </w:r>
      <w:r w:rsidRPr="00915491">
        <w:t xml:space="preserve">. </w:t>
      </w:r>
      <w:r>
        <w:t xml:space="preserve">However, the </w:t>
      </w:r>
      <w:r w:rsidRPr="008F39A8">
        <w:t>strong dominance</w:t>
      </w:r>
      <w:r>
        <w:t xml:space="preserve"> of shrubs (i.e. </w:t>
      </w:r>
      <w:r w:rsidRPr="00B036AD">
        <w:rPr>
          <w:i/>
        </w:rPr>
        <w:t>Artemisia halodendron</w:t>
      </w:r>
      <w:r>
        <w:t xml:space="preserve">) contributed to </w:t>
      </w:r>
      <w:r w:rsidRPr="008F39A8">
        <w:t>a decline</w:t>
      </w:r>
      <w:r>
        <w:t xml:space="preserve"> in the </w:t>
      </w:r>
      <w:r w:rsidRPr="008F39A8">
        <w:t>richness</w:t>
      </w:r>
      <w:r>
        <w:t xml:space="preserve"> of grass s</w:t>
      </w:r>
      <w:r w:rsidRPr="008F39A8">
        <w:t>pecies</w:t>
      </w:r>
      <w:r>
        <w:t xml:space="preserve"> </w:t>
      </w:r>
      <w:r>
        <w:rPr>
          <w:noProof/>
        </w:rPr>
        <w:t>(Zhang et al., 2005)</w:t>
      </w:r>
      <w:r>
        <w:t>.</w:t>
      </w:r>
    </w:p>
    <w:p w14:paraId="421934CA" w14:textId="77777777" w:rsidR="00BD673C" w:rsidRPr="00FF0435" w:rsidRDefault="00BD673C" w:rsidP="00A74D12"/>
    <w:p w14:paraId="5C0AF369" w14:textId="77777777" w:rsidR="00BD673C" w:rsidRDefault="00BD673C" w:rsidP="00A74D12">
      <w:pPr>
        <w:pStyle w:val="2"/>
        <w:spacing w:before="163" w:after="163"/>
      </w:pPr>
      <w:r>
        <w:t>4.2 E</w:t>
      </w:r>
      <w:r>
        <w:rPr>
          <w:rFonts w:hint="eastAsia"/>
        </w:rPr>
        <w:t>ff</w:t>
      </w:r>
      <w:r>
        <w:t>ects of natural and artificial vegetation restoration on soil properties and vegetation attributes</w:t>
      </w:r>
    </w:p>
    <w:p w14:paraId="2B28EEAB" w14:textId="74F57625" w:rsidR="00BD673C" w:rsidRDefault="00BD673C" w:rsidP="00A74D12">
      <w:r>
        <w:t>Compared with the artificial restoration vegetation, natural restoration vegetation</w:t>
      </w:r>
      <w:r w:rsidRPr="00753A64">
        <w:t xml:space="preserve"> </w:t>
      </w:r>
      <w:r>
        <w:t xml:space="preserve">had higher </w:t>
      </w:r>
      <w:r w:rsidRPr="00753A64">
        <w:t xml:space="preserve">soil </w:t>
      </w:r>
      <w:r>
        <w:t>OM, TN and TP contents and SC</w:t>
      </w:r>
      <w:r w:rsidRPr="00753A64">
        <w:t xml:space="preserve"> </w:t>
      </w:r>
      <w:r>
        <w:t>ratio, as well as diversity, density, coverage, dominant species height and UGB of grass, and diversity and coverage of shrubs, while soil BD</w:t>
      </w:r>
      <w:r w:rsidRPr="001A64D1">
        <w:t xml:space="preserve"> </w:t>
      </w:r>
      <w:r>
        <w:t>was</w:t>
      </w:r>
      <w:r w:rsidRPr="001A64D1">
        <w:t xml:space="preserve"> opposite</w:t>
      </w:r>
      <w:r w:rsidRPr="00753A64">
        <w:t xml:space="preserve"> </w:t>
      </w:r>
      <w:r>
        <w:t xml:space="preserve">(following the order of natural vegetation &lt; artificial vegetation) (Table 1 and 2). This result indicated that </w:t>
      </w:r>
      <w:r w:rsidRPr="00826ED9">
        <w:t xml:space="preserve">natural restoration </w:t>
      </w:r>
      <w:r>
        <w:t>was</w:t>
      </w:r>
      <w:r w:rsidRPr="00826ED9">
        <w:t xml:space="preserve"> preferable to artificial restoration</w:t>
      </w:r>
      <w:r>
        <w:t xml:space="preserve"> if </w:t>
      </w:r>
      <w:r w:rsidRPr="00826ED9">
        <w:t xml:space="preserve">soil fertility </w:t>
      </w:r>
      <w:r>
        <w:t xml:space="preserve">and vegetation biomass </w:t>
      </w:r>
      <w:r w:rsidRPr="00826ED9">
        <w:t xml:space="preserve">improvements </w:t>
      </w:r>
      <w:r>
        <w:t>were</w:t>
      </w:r>
      <w:r w:rsidRPr="00826ED9">
        <w:t xml:space="preserve"> desired</w:t>
      </w:r>
      <w:r>
        <w:t xml:space="preserve">, which was consistent with previous studies </w:t>
      </w:r>
      <w:r>
        <w:rPr>
          <w:noProof/>
        </w:rPr>
        <w:t xml:space="preserve">(Wang et al., 2015; Hu et al., 2018; Li et al., </w:t>
      </w:r>
      <w:r>
        <w:rPr>
          <w:noProof/>
        </w:rPr>
        <w:lastRenderedPageBreak/>
        <w:t>2018)</w:t>
      </w:r>
      <w:r>
        <w:t>. N</w:t>
      </w:r>
      <w:r w:rsidRPr="000D656D">
        <w:t xml:space="preserve">atural vegetation communities </w:t>
      </w:r>
      <w:r>
        <w:t>had a</w:t>
      </w:r>
      <w:r w:rsidRPr="000D656D">
        <w:t xml:space="preserve"> </w:t>
      </w:r>
      <w:r>
        <w:t>richer</w:t>
      </w:r>
      <w:r w:rsidRPr="000D656D">
        <w:t xml:space="preserve"> species</w:t>
      </w:r>
      <w:r>
        <w:t xml:space="preserve"> diversity</w:t>
      </w:r>
      <w:r w:rsidRPr="000D656D">
        <w:t xml:space="preserve">, </w:t>
      </w:r>
      <w:r>
        <w:t xml:space="preserve">more </w:t>
      </w:r>
      <w:r w:rsidRPr="000D656D">
        <w:t>complete stand structures, and less human disturbance</w:t>
      </w:r>
      <w:r>
        <w:t xml:space="preserve"> than </w:t>
      </w:r>
      <w:r w:rsidRPr="000D656D">
        <w:t>artificial vegetation communities</w:t>
      </w:r>
      <w:r>
        <w:t xml:space="preserve">, which provided </w:t>
      </w:r>
      <w:r w:rsidRPr="00483A78">
        <w:t xml:space="preserve">higher </w:t>
      </w:r>
      <w:r>
        <w:t>soil nutrient</w:t>
      </w:r>
      <w:r w:rsidRPr="00483A78">
        <w:t xml:space="preserve"> input from roots and litter</w:t>
      </w:r>
      <w:r>
        <w:t xml:space="preserve"> </w:t>
      </w:r>
      <w:r>
        <w:rPr>
          <w:noProof/>
        </w:rPr>
        <w:t>(Wang et al., 2015)</w:t>
      </w:r>
      <w:r>
        <w:t xml:space="preserve">. The </w:t>
      </w:r>
      <w:r w:rsidRPr="00483A78">
        <w:t>abundant species</w:t>
      </w:r>
      <w:r>
        <w:t xml:space="preserve"> in n</w:t>
      </w:r>
      <w:r w:rsidRPr="000D656D">
        <w:t>atural</w:t>
      </w:r>
      <w:r>
        <w:t xml:space="preserve"> </w:t>
      </w:r>
      <w:r w:rsidRPr="000D656D">
        <w:t>vegetation</w:t>
      </w:r>
      <w:r w:rsidRPr="002916EB">
        <w:t xml:space="preserve"> </w:t>
      </w:r>
      <w:r w:rsidRPr="000D656D">
        <w:t>communities</w:t>
      </w:r>
      <w:r w:rsidRPr="002916EB">
        <w:t xml:space="preserve"> result</w:t>
      </w:r>
      <w:r>
        <w:t>ed</w:t>
      </w:r>
      <w:r w:rsidRPr="002916EB">
        <w:t xml:space="preserve"> in a greater degree of resilience and adaptability to changing environmental conditions, as well as a lower risk of ecosystem destabilization</w:t>
      </w:r>
      <w:r>
        <w:t xml:space="preserve"> </w:t>
      </w:r>
      <w:r>
        <w:rPr>
          <w:noProof/>
        </w:rPr>
        <w:t>(Bautista et al., 2009; Mayor et al., 2013)</w:t>
      </w:r>
      <w:r w:rsidRPr="002916EB">
        <w:t>.</w:t>
      </w:r>
    </w:p>
    <w:p w14:paraId="5C58E2B2" w14:textId="77777777" w:rsidR="00BD673C" w:rsidRDefault="00BD673C" w:rsidP="00A74D12"/>
    <w:p w14:paraId="58FDB8EE" w14:textId="07C25BA3" w:rsidR="00BD673C" w:rsidRDefault="00BD673C" w:rsidP="00A74D12">
      <w:r>
        <w:t>The increased rates of s</w:t>
      </w:r>
      <w:r w:rsidRPr="00447E1B">
        <w:t xml:space="preserve">oil </w:t>
      </w:r>
      <w:r>
        <w:t xml:space="preserve">OM and TN contents, and shrub density increased from 2005 (restored for 49 years) to 2015 (restored for 59 years) for the artificial vegetation were higher than those of the natural vegetation (Fig. 3), indicating that the </w:t>
      </w:r>
      <w:r w:rsidRPr="00840A3D">
        <w:t>artificial vegetation restoration</w:t>
      </w:r>
      <w:r>
        <w:t xml:space="preserve"> still</w:t>
      </w:r>
      <w:r w:rsidRPr="00840A3D">
        <w:t xml:space="preserve"> ha</w:t>
      </w:r>
      <w:r>
        <w:t>d</w:t>
      </w:r>
      <w:r w:rsidRPr="00840A3D">
        <w:t xml:space="preserve"> a high ecological </w:t>
      </w:r>
      <w:r>
        <w:t>recovery</w:t>
      </w:r>
      <w:r w:rsidRPr="00840A3D">
        <w:t xml:space="preserve"> potential </w:t>
      </w:r>
      <w:r>
        <w:t xml:space="preserve">even </w:t>
      </w:r>
      <w:r w:rsidRPr="00840A3D">
        <w:t>after more tha</w:t>
      </w:r>
      <w:r>
        <w:t>n 50 years of natural succession, while the</w:t>
      </w:r>
      <w:r w:rsidRPr="009A2225">
        <w:t xml:space="preserve"> trend of </w:t>
      </w:r>
      <w:r w:rsidRPr="00840A3D">
        <w:t>ecological</w:t>
      </w:r>
      <w:r w:rsidRPr="009A2225">
        <w:t xml:space="preserve"> development</w:t>
      </w:r>
      <w:r>
        <w:t xml:space="preserve"> of natural</w:t>
      </w:r>
      <w:r w:rsidRPr="00840A3D">
        <w:t xml:space="preserve"> restoration</w:t>
      </w:r>
      <w:r>
        <w:t xml:space="preserve"> was more stable </w:t>
      </w:r>
      <w:r>
        <w:rPr>
          <w:noProof/>
        </w:rPr>
        <w:t>(Xu and Zhang, 2021)</w:t>
      </w:r>
      <w:r>
        <w:t xml:space="preserve">. However, the significant decrease trend of the diversity of grass, and AGB of grass and shrub (Fig. 3) presented </w:t>
      </w:r>
      <w:r w:rsidRPr="00AD295F">
        <w:t>potential</w:t>
      </w:r>
      <w:r>
        <w:t xml:space="preserve"> risks of artificial restoration. An i</w:t>
      </w:r>
      <w:r w:rsidRPr="00B813A5">
        <w:t>nappropriate selection of exotic</w:t>
      </w:r>
      <w:r>
        <w:t xml:space="preserve"> </w:t>
      </w:r>
      <w:r w:rsidRPr="00B813A5">
        <w:t xml:space="preserve">species </w:t>
      </w:r>
      <w:r>
        <w:t>that</w:t>
      </w:r>
      <w:r w:rsidRPr="00B813A5">
        <w:t xml:space="preserve"> outcompete</w:t>
      </w:r>
      <w:r>
        <w:t>d</w:t>
      </w:r>
      <w:r w:rsidRPr="00B813A5">
        <w:t xml:space="preserve"> and exclude</w:t>
      </w:r>
      <w:r>
        <w:t>d</w:t>
      </w:r>
      <w:r w:rsidRPr="00B813A5">
        <w:t xml:space="preserve"> local plants </w:t>
      </w:r>
      <w:r>
        <w:t xml:space="preserve">might </w:t>
      </w:r>
      <w:r w:rsidRPr="00B813A5">
        <w:t>decreas</w:t>
      </w:r>
      <w:r>
        <w:t>e</w:t>
      </w:r>
      <w:r w:rsidRPr="00B813A5">
        <w:t xml:space="preserve"> </w:t>
      </w:r>
      <w:r>
        <w:t xml:space="preserve">the </w:t>
      </w:r>
      <w:r w:rsidRPr="00B813A5">
        <w:t xml:space="preserve">biodiversity </w:t>
      </w:r>
      <w:r>
        <w:t>i</w:t>
      </w:r>
      <w:r w:rsidRPr="00AD295F">
        <w:t>n establishing a new vegetation community</w:t>
      </w:r>
      <w:r>
        <w:t xml:space="preserve"> </w:t>
      </w:r>
      <w:r>
        <w:rPr>
          <w:noProof/>
        </w:rPr>
        <w:t>(Wang et al., 2013)</w:t>
      </w:r>
      <w:r>
        <w:t xml:space="preserve">. Given that the loss of </w:t>
      </w:r>
      <w:r w:rsidRPr="00B813A5">
        <w:t>biodiversity</w:t>
      </w:r>
      <w:r>
        <w:t xml:space="preserve"> reduced </w:t>
      </w:r>
      <w:r w:rsidRPr="00B813A5">
        <w:t>the resilience of ecosystems to changing environments</w:t>
      </w:r>
      <w:r>
        <w:t xml:space="preserve">, </w:t>
      </w:r>
      <w:r w:rsidRPr="00290A87">
        <w:t>the restored vegetation</w:t>
      </w:r>
      <w:r>
        <w:t xml:space="preserve"> failing to </w:t>
      </w:r>
      <w:r w:rsidRPr="00290A87">
        <w:t>resist environmental stressors</w:t>
      </w:r>
      <w:r>
        <w:t xml:space="preserve"> might give rise </w:t>
      </w:r>
      <w:r w:rsidRPr="00290A87">
        <w:t>to</w:t>
      </w:r>
      <w:r>
        <w:t xml:space="preserve"> the </w:t>
      </w:r>
      <w:r w:rsidRPr="00EC32DA">
        <w:lastRenderedPageBreak/>
        <w:t>occur</w:t>
      </w:r>
      <w:r>
        <w:t>rence of t</w:t>
      </w:r>
      <w:r w:rsidRPr="00290A87">
        <w:t>he degradation of the restored ecosystem</w:t>
      </w:r>
      <w:r>
        <w:t xml:space="preserve"> </w:t>
      </w:r>
      <w:r>
        <w:rPr>
          <w:noProof/>
        </w:rPr>
        <w:t>(Török et al., 2020)</w:t>
      </w:r>
      <w:r>
        <w:t xml:space="preserve">. </w:t>
      </w:r>
      <w:r w:rsidRPr="00C40144">
        <w:t>Natural restoration</w:t>
      </w:r>
      <w:r w:rsidRPr="00C40144">
        <w:rPr>
          <w:rFonts w:ascii="Times New Roman" w:eastAsia="宋体" w:hAnsi="Times New Roman" w:cs="Times New Roman"/>
          <w:bCs/>
          <w:color w:val="000000"/>
          <w:kern w:val="0"/>
        </w:rPr>
        <w:t xml:space="preserve"> </w:t>
      </w:r>
      <w:r w:rsidRPr="00C40144">
        <w:rPr>
          <w:bCs/>
        </w:rPr>
        <w:t>allow</w:t>
      </w:r>
      <w:r w:rsidR="004C0AE4">
        <w:rPr>
          <w:bCs/>
        </w:rPr>
        <w:t>ed</w:t>
      </w:r>
      <w:r w:rsidRPr="00C40144">
        <w:rPr>
          <w:bCs/>
        </w:rPr>
        <w:t xml:space="preserve"> for the establishment of a diverse and self-sustaining ecosystem that c</w:t>
      </w:r>
      <w:r w:rsidR="004C0AE4">
        <w:rPr>
          <w:bCs/>
        </w:rPr>
        <w:t>ould</w:t>
      </w:r>
      <w:r w:rsidRPr="00C40144">
        <w:rPr>
          <w:bCs/>
        </w:rPr>
        <w:t xml:space="preserve"> improve soil health, nutrient cycling, and biodiversity (Loidi and Fernández-González, 2012). Additionally, natural restoration </w:t>
      </w:r>
      <w:r w:rsidR="004C0AE4">
        <w:rPr>
          <w:bCs/>
        </w:rPr>
        <w:t>was</w:t>
      </w:r>
      <w:r w:rsidRPr="00C40144">
        <w:rPr>
          <w:bCs/>
        </w:rPr>
        <w:t xml:space="preserve"> often more compatible with local environmental conditions and ha</w:t>
      </w:r>
      <w:r w:rsidR="004C0AE4">
        <w:rPr>
          <w:bCs/>
        </w:rPr>
        <w:t>d</w:t>
      </w:r>
      <w:r w:rsidRPr="00C40144">
        <w:rPr>
          <w:bCs/>
        </w:rPr>
        <w:t xml:space="preserve"> a lower risk of introducing invasive species or disrupting existing ecological processes (Tölgyesi et al., 2022).</w:t>
      </w:r>
    </w:p>
    <w:p w14:paraId="18AC5C61" w14:textId="77777777" w:rsidR="00BD673C" w:rsidRDefault="00BD673C" w:rsidP="00A74D12"/>
    <w:p w14:paraId="2760A784" w14:textId="77777777" w:rsidR="00BD673C" w:rsidRDefault="00BD673C" w:rsidP="00A74D12">
      <w:pPr>
        <w:pStyle w:val="2"/>
        <w:spacing w:before="163" w:after="163"/>
      </w:pPr>
      <w:r>
        <w:t xml:space="preserve">4.3 </w:t>
      </w:r>
      <w:r w:rsidRPr="000675ED">
        <w:t xml:space="preserve">Effects of environmental factors on </w:t>
      </w:r>
      <w:r>
        <w:t>soil properties</w:t>
      </w:r>
    </w:p>
    <w:p w14:paraId="42074839" w14:textId="76687E7D" w:rsidR="00BD673C" w:rsidRDefault="00BD673C" w:rsidP="00A74D12">
      <w:r>
        <w:t>W</w:t>
      </w:r>
      <w:r w:rsidRPr="00EC32DA">
        <w:t>ater is the main factor controlling plant growth</w:t>
      </w:r>
      <w:r>
        <w:t xml:space="preserve"> in drylands</w:t>
      </w:r>
      <w:r w:rsidRPr="00EC32DA">
        <w:t>. Drought stress limits vegetation growth characterized by low soil moisture</w:t>
      </w:r>
      <w:r>
        <w:t xml:space="preserve"> </w:t>
      </w:r>
      <w:r>
        <w:rPr>
          <w:noProof/>
        </w:rPr>
        <w:t>(Liu et al., 2020)</w:t>
      </w:r>
      <w:r w:rsidRPr="00EC32DA">
        <w:t>.</w:t>
      </w:r>
      <w:r>
        <w:t xml:space="preserve"> It was</w:t>
      </w:r>
      <w:r w:rsidRPr="00EC32DA">
        <w:t xml:space="preserve"> found that </w:t>
      </w:r>
      <w:r>
        <w:t>precipitation</w:t>
      </w:r>
      <w:r w:rsidRPr="00EC32DA">
        <w:t xml:space="preserve"> affect</w:t>
      </w:r>
      <w:r>
        <w:t>ed</w:t>
      </w:r>
      <w:r w:rsidRPr="00EC32DA">
        <w:t xml:space="preserve"> vegetation and soil properties indirectly, mainly through its effects on soil </w:t>
      </w:r>
      <w:r>
        <w:rPr>
          <w:rFonts w:hint="eastAsia"/>
        </w:rPr>
        <w:t>water</w:t>
      </w:r>
      <w:r>
        <w:t xml:space="preserve"> (Fig. 4)</w:t>
      </w:r>
      <w:r w:rsidRPr="00EC32DA">
        <w:t>.</w:t>
      </w:r>
      <w:r>
        <w:t xml:space="preserve"> V</w:t>
      </w:r>
      <w:r w:rsidRPr="00FE0B39">
        <w:t>egetation attributes of shrub</w:t>
      </w:r>
      <w:r>
        <w:t>s</w:t>
      </w:r>
      <w:r w:rsidRPr="00FE0B39">
        <w:t xml:space="preserve"> appear</w:t>
      </w:r>
      <w:r>
        <w:t xml:space="preserve">ed </w:t>
      </w:r>
      <w:r w:rsidRPr="00FE0B39">
        <w:t>to be less sensitive to soil water availability</w:t>
      </w:r>
      <w:r>
        <w:t xml:space="preserve"> than those of grass (Fig. 4), which might indicate that shrublands</w:t>
      </w:r>
      <w:r w:rsidRPr="00FE0B39">
        <w:t xml:space="preserve"> </w:t>
      </w:r>
      <w:r>
        <w:t>were</w:t>
      </w:r>
      <w:r w:rsidRPr="00FE0B39">
        <w:t xml:space="preserve"> more resistant to drought than grasslands</w:t>
      </w:r>
      <w:r>
        <w:t xml:space="preserve"> because shrubs could </w:t>
      </w:r>
      <w:r w:rsidRPr="00FE0B39">
        <w:t>access deeper soil water</w:t>
      </w:r>
      <w:r>
        <w:t xml:space="preserve"> </w:t>
      </w:r>
      <w:r>
        <w:rPr>
          <w:noProof/>
        </w:rPr>
        <w:t>(Winkler et al., 2019)</w:t>
      </w:r>
      <w:r>
        <w:t xml:space="preserve">. </w:t>
      </w:r>
      <w:r w:rsidRPr="00906590">
        <w:t xml:space="preserve">Therefore, in areas with higher levels of aridity, shrubs </w:t>
      </w:r>
      <w:r>
        <w:t>were endowed with</w:t>
      </w:r>
      <w:r w:rsidRPr="00906590">
        <w:t xml:space="preserve"> </w:t>
      </w:r>
      <w:r>
        <w:t xml:space="preserve">a </w:t>
      </w:r>
      <w:r w:rsidRPr="00906590">
        <w:t>competitive advantage over herbaceous plants in terms of growth</w:t>
      </w:r>
      <w:r>
        <w:t xml:space="preserve"> </w:t>
      </w:r>
      <w:r>
        <w:rPr>
          <w:noProof/>
        </w:rPr>
        <w:t>(Winkler et al., 2019)</w:t>
      </w:r>
      <w:r>
        <w:t xml:space="preserve">, </w:t>
      </w:r>
      <w:r>
        <w:rPr>
          <w:rFonts w:hint="eastAsia"/>
        </w:rPr>
        <w:t>which</w:t>
      </w:r>
      <w:r>
        <w:t xml:space="preserve"> could explain the present finding that grass diversity was the main </w:t>
      </w:r>
      <w:r w:rsidRPr="004416D1">
        <w:t>influencing</w:t>
      </w:r>
      <w:r>
        <w:t xml:space="preserve"> factor of soil OM variance in semi-arid deserts while the shrub diversity was the main factor in arid deserts (Fig. 5).</w:t>
      </w:r>
      <w:r w:rsidRPr="008A70E0">
        <w:t xml:space="preserve"> </w:t>
      </w:r>
      <w:r w:rsidRPr="008A70E0">
        <w:lastRenderedPageBreak/>
        <w:t xml:space="preserve">Soil water </w:t>
      </w:r>
      <w:r>
        <w:t>was</w:t>
      </w:r>
      <w:r w:rsidRPr="00EC32DA">
        <w:t xml:space="preserve"> the main driving force that</w:t>
      </w:r>
      <w:r w:rsidRPr="008A70E0">
        <w:t xml:space="preserve"> </w:t>
      </w:r>
      <w:bookmarkStart w:id="2" w:name="_GoBack"/>
      <w:bookmarkEnd w:id="2"/>
      <w:r w:rsidRPr="008A70E0">
        <w:t xml:space="preserve">indirectly </w:t>
      </w:r>
      <w:r>
        <w:t xml:space="preserve">affected soil OM, TN, BD and pH </w:t>
      </w:r>
      <w:r w:rsidRPr="008A70E0">
        <w:t xml:space="preserve">by affecting vegetation </w:t>
      </w:r>
      <w:r>
        <w:t xml:space="preserve">attributes (Fig. 4). </w:t>
      </w:r>
      <w:r w:rsidRPr="000E698F">
        <w:t>Soil water has a positive effect on soil OM through facilitating the growth and activity of microorganisms, which in turn increases the decomposition of organic materials and the formation of stable OM (Sierra et al., 2015).</w:t>
      </w:r>
      <w:r>
        <w:t xml:space="preserve"> On the other hand, </w:t>
      </w:r>
      <w:r w:rsidR="007041D7">
        <w:t xml:space="preserve">a </w:t>
      </w:r>
      <w:r>
        <w:t>s</w:t>
      </w:r>
      <w:r w:rsidRPr="00D42F7C">
        <w:t>ufficient supply of soil water c</w:t>
      </w:r>
      <w:r>
        <w:t>ould</w:t>
      </w:r>
      <w:r w:rsidRPr="00D42F7C">
        <w:t xml:space="preserve"> promote the growth of vegetation</w:t>
      </w:r>
      <w:r>
        <w:t xml:space="preserve">. </w:t>
      </w:r>
      <w:r w:rsidRPr="00C252F7">
        <w:t>Good vegetation conditions with high coverage and abundant litter cover and strong root systems c</w:t>
      </w:r>
      <w:r>
        <w:t>ould</w:t>
      </w:r>
      <w:r w:rsidRPr="00C252F7">
        <w:t xml:space="preserve"> improve soil structure</w:t>
      </w:r>
      <w:r>
        <w:t xml:space="preserve"> </w:t>
      </w:r>
      <w:r>
        <w:rPr>
          <w:noProof/>
        </w:rPr>
        <w:t>(Zhao et al., 2014)</w:t>
      </w:r>
      <w:r w:rsidRPr="00C252F7">
        <w:t xml:space="preserve">, soil nutrient accumulation </w:t>
      </w:r>
      <w:r>
        <w:rPr>
          <w:noProof/>
        </w:rPr>
        <w:t>(Bardgett and Wardle, 2003; Martí-Roura et al., 2011)</w:t>
      </w:r>
      <w:r w:rsidRPr="00C252F7">
        <w:t xml:space="preserve"> and soil pH reduction </w:t>
      </w:r>
      <w:r>
        <w:rPr>
          <w:noProof/>
        </w:rPr>
        <w:t>(Mofidi et al., 2013)</w:t>
      </w:r>
      <w:r w:rsidRPr="00C252F7">
        <w:t xml:space="preserve"> through a series of mechanisms, such as litter decomposition and root system actions.</w:t>
      </w:r>
      <w:r>
        <w:t xml:space="preserve"> </w:t>
      </w:r>
      <w:r w:rsidRPr="00C252F7">
        <w:t>In drylands, vegetation cover c</w:t>
      </w:r>
      <w:r>
        <w:t>ould</w:t>
      </w:r>
      <w:r w:rsidRPr="00C252F7">
        <w:t xml:space="preserve"> reduce soil erosion by wind and water through the cover of plants, leaves and litter on the ground surface and the fixation of roots</w:t>
      </w:r>
      <w:r>
        <w:t xml:space="preserve"> </w:t>
      </w:r>
      <w:r>
        <w:rPr>
          <w:noProof/>
        </w:rPr>
        <w:t>(Zhou et al., 2006; Hu et al., 2022b)</w:t>
      </w:r>
      <w:r>
        <w:t xml:space="preserve">, which is also beneficial for the </w:t>
      </w:r>
      <w:r w:rsidRPr="00C252F7">
        <w:t>structure</w:t>
      </w:r>
      <w:r>
        <w:t xml:space="preserve"> and </w:t>
      </w:r>
      <w:r w:rsidRPr="00D42F7C">
        <w:t>nutrient accumulation</w:t>
      </w:r>
      <w:r>
        <w:t xml:space="preserve"> of soil. </w:t>
      </w:r>
    </w:p>
    <w:p w14:paraId="2C6A814F" w14:textId="77777777" w:rsidR="00BD673C" w:rsidRDefault="00BD673C" w:rsidP="00A74D12"/>
    <w:p w14:paraId="0CEF7BEF" w14:textId="1B4817D7" w:rsidR="00BD673C" w:rsidRPr="00343539" w:rsidRDefault="00BD673C" w:rsidP="00A74D12">
      <w:r>
        <w:t xml:space="preserve">Soil OM </w:t>
      </w:r>
      <w:r w:rsidRPr="00D11C4A">
        <w:t xml:space="preserve">sensitivity to soil water </w:t>
      </w:r>
      <w:r>
        <w:t>was</w:t>
      </w:r>
      <w:r w:rsidRPr="00D11C4A">
        <w:t xml:space="preserve"> particularly relevant in arid desert</w:t>
      </w:r>
      <w:r>
        <w:t>s</w:t>
      </w:r>
      <w:r w:rsidRPr="00D11C4A">
        <w:t xml:space="preserve"> </w:t>
      </w:r>
      <w:r>
        <w:t xml:space="preserve">(Fig. 5b). This was because </w:t>
      </w:r>
      <w:r w:rsidRPr="00D11C4A">
        <w:t xml:space="preserve">soil water </w:t>
      </w:r>
      <w:r>
        <w:t>was</w:t>
      </w:r>
      <w:r w:rsidRPr="00D11C4A">
        <w:t xml:space="preserve"> a limiting factor </w:t>
      </w:r>
      <w:r>
        <w:t>on the source of soil OM (litter and</w:t>
      </w:r>
      <w:r w:rsidRPr="00B972CA">
        <w:t xml:space="preserve"> </w:t>
      </w:r>
      <w:r>
        <w:t>r</w:t>
      </w:r>
      <w:r w:rsidRPr="00B972CA">
        <w:t>oot exudates</w:t>
      </w:r>
      <w:r>
        <w:t xml:space="preserve"> from plants) in an arid environment </w:t>
      </w:r>
      <w:r>
        <w:rPr>
          <w:noProof/>
        </w:rPr>
        <w:t>(D'Odorico et al., 2007)</w:t>
      </w:r>
      <w:r>
        <w:t>. In addition, m</w:t>
      </w:r>
      <w:r w:rsidRPr="00C16064">
        <w:t xml:space="preserve">icrobial </w:t>
      </w:r>
      <w:r>
        <w:t>decomposition</w:t>
      </w:r>
      <w:r w:rsidRPr="00C16064">
        <w:t xml:space="preserve"> activity </w:t>
      </w:r>
      <w:r>
        <w:t>was</w:t>
      </w:r>
      <w:r w:rsidRPr="00C16064">
        <w:t xml:space="preserve"> inhibited when soil moisture </w:t>
      </w:r>
      <w:r>
        <w:t>was</w:t>
      </w:r>
      <w:r w:rsidRPr="00C16064">
        <w:t xml:space="preserve"> insufficient </w:t>
      </w:r>
      <w:r>
        <w:rPr>
          <w:noProof/>
        </w:rPr>
        <w:t>(Sierra et al., 2015), which could also limit the content of soil OM</w:t>
      </w:r>
      <w:r w:rsidRPr="00C16064">
        <w:t>.</w:t>
      </w:r>
      <w:r>
        <w:t xml:space="preserve"> It was also found that </w:t>
      </w:r>
      <w:bookmarkStart w:id="3" w:name="_Hlk134180495"/>
      <w:r>
        <w:t>soil OM was significantly</w:t>
      </w:r>
      <w:r w:rsidRPr="008A70E0">
        <w:t xml:space="preserve"> positively affect</w:t>
      </w:r>
      <w:r>
        <w:t xml:space="preserve">ed </w:t>
      </w:r>
      <w:r>
        <w:lastRenderedPageBreak/>
        <w:t xml:space="preserve">by soil silt+clay, </w:t>
      </w:r>
      <w:bookmarkEnd w:id="3"/>
      <w:r>
        <w:t>but significantly</w:t>
      </w:r>
      <w:r w:rsidRPr="008A70E0">
        <w:t xml:space="preserve"> </w:t>
      </w:r>
      <w:r>
        <w:t>neg</w:t>
      </w:r>
      <w:r w:rsidRPr="008A70E0">
        <w:t>atively affect</w:t>
      </w:r>
      <w:r>
        <w:t xml:space="preserve">ed by BD (Fig. 4), the main factor controlling the OM variance (Fig. 5). This indicated that </w:t>
      </w:r>
      <w:r w:rsidRPr="00C16064">
        <w:t xml:space="preserve">soil </w:t>
      </w:r>
      <w:r>
        <w:t>OM</w:t>
      </w:r>
      <w:r w:rsidRPr="00C16064">
        <w:t xml:space="preserve"> </w:t>
      </w:r>
      <w:r>
        <w:t>was</w:t>
      </w:r>
      <w:r w:rsidRPr="00C16064">
        <w:t xml:space="preserve"> closely related to soil structure, aeration, permeability, adsorption and buffering</w:t>
      </w:r>
      <w:r>
        <w:t xml:space="preserve"> </w:t>
      </w:r>
      <w:r>
        <w:rPr>
          <w:noProof/>
        </w:rPr>
        <w:t>(Esmaeilzadeh and Ahangar, 2014)</w:t>
      </w:r>
      <w:r>
        <w:t xml:space="preserve">. </w:t>
      </w:r>
      <w:r w:rsidRPr="00E07796">
        <w:t xml:space="preserve">The small size of </w:t>
      </w:r>
      <w:r>
        <w:t xml:space="preserve">silt and clay particles provided a high surface area for soil </w:t>
      </w:r>
      <w:r w:rsidRPr="00E07796">
        <w:t>OM to bind to</w:t>
      </w:r>
      <w:r w:rsidR="004C0AE4">
        <w:t xml:space="preserve">, increasing the potential for </w:t>
      </w:r>
      <w:r w:rsidRPr="00E07796">
        <w:t>OM accumulation in soil</w:t>
      </w:r>
      <w:r>
        <w:t xml:space="preserve"> </w:t>
      </w:r>
      <w:r>
        <w:rPr>
          <w:noProof/>
        </w:rPr>
        <w:t>(Six et al., 2000)</w:t>
      </w:r>
      <w:r w:rsidRPr="00E07796">
        <w:t>.</w:t>
      </w:r>
      <w:r>
        <w:t xml:space="preserve"> In addition, t</w:t>
      </w:r>
      <w:r w:rsidRPr="00D8321A">
        <w:t xml:space="preserve">he silt and clay particles in the soil </w:t>
      </w:r>
      <w:r>
        <w:t>were</w:t>
      </w:r>
      <w:r w:rsidRPr="00D8321A">
        <w:t xml:space="preserve"> responsible for binding together soil particles, creating stable soil aggregates, and improving soil structure</w:t>
      </w:r>
      <w:r>
        <w:t>s, which reduced</w:t>
      </w:r>
      <w:r w:rsidRPr="00B45878">
        <w:t xml:space="preserve"> </w:t>
      </w:r>
      <w:r>
        <w:t xml:space="preserve">the loss of soil OM </w:t>
      </w:r>
      <w:r>
        <w:rPr>
          <w:noProof/>
        </w:rPr>
        <w:t>(Six et al., 2000)</w:t>
      </w:r>
      <w:r w:rsidRPr="00D8321A">
        <w:t>.</w:t>
      </w:r>
      <w:r>
        <w:t xml:space="preserve"> </w:t>
      </w:r>
      <w:r w:rsidRPr="00C16064" w:rsidDel="00E07796">
        <w:t>Soil with more silt and clay ha</w:t>
      </w:r>
      <w:r w:rsidDel="00E07796">
        <w:t>d</w:t>
      </w:r>
      <w:r w:rsidRPr="00C16064" w:rsidDel="00E07796">
        <w:t xml:space="preserve"> more pore space, resulting in lower soil compactness.</w:t>
      </w:r>
      <w:r>
        <w:t xml:space="preserve"> </w:t>
      </w:r>
      <w:r w:rsidRPr="00C16064">
        <w:t xml:space="preserve">Therefore, soil with </w:t>
      </w:r>
      <w:r>
        <w:t>a lower bulk density</w:t>
      </w:r>
      <w:r w:rsidRPr="00C16064">
        <w:t xml:space="preserve"> c</w:t>
      </w:r>
      <w:r>
        <w:t>ontent had</w:t>
      </w:r>
      <w:r w:rsidRPr="00E07796">
        <w:t xml:space="preserve"> </w:t>
      </w:r>
      <w:r w:rsidRPr="00C16064">
        <w:t>a higher organic matter</w:t>
      </w:r>
      <w:r>
        <w:t xml:space="preserve"> </w:t>
      </w:r>
      <w:r>
        <w:rPr>
          <w:noProof/>
        </w:rPr>
        <w:t>(Bauer, 1974; Indoria et al., 2020)</w:t>
      </w:r>
      <w:r w:rsidRPr="00C16064">
        <w:t>.</w:t>
      </w:r>
      <w:r>
        <w:t xml:space="preserve"> </w:t>
      </w:r>
      <w:r w:rsidRPr="00343539">
        <w:t>These factors work</w:t>
      </w:r>
      <w:r>
        <w:t>ed</w:t>
      </w:r>
      <w:r w:rsidRPr="00343539">
        <w:t xml:space="preserve"> </w:t>
      </w:r>
      <w:r>
        <w:t>jointly</w:t>
      </w:r>
      <w:r w:rsidRPr="00343539">
        <w:t xml:space="preserve"> to affect the water conductivity and water capacity of soil</w:t>
      </w:r>
      <w:r>
        <w:t>s</w:t>
      </w:r>
      <w:r w:rsidRPr="00343539">
        <w:t xml:space="preserve">, affecting physical and chemical properties by affecting </w:t>
      </w:r>
      <w:r>
        <w:t xml:space="preserve">the </w:t>
      </w:r>
      <w:r w:rsidRPr="00343539">
        <w:t xml:space="preserve">water transport </w:t>
      </w:r>
      <w:r>
        <w:rPr>
          <w:noProof/>
        </w:rPr>
        <w:t>(Esmaeilzadeh and Ahangar, 2014)</w:t>
      </w:r>
      <w:r w:rsidRPr="00343539">
        <w:t>.</w:t>
      </w:r>
      <w:r>
        <w:t xml:space="preserve"> Soil OM</w:t>
      </w:r>
      <w:r w:rsidRPr="00C16064">
        <w:t xml:space="preserve"> </w:t>
      </w:r>
      <w:r>
        <w:t>was</w:t>
      </w:r>
      <w:r w:rsidRPr="00C16064">
        <w:t xml:space="preserve"> the source of various nutrients, including a significant portion of organic nitrogen</w:t>
      </w:r>
      <w:r>
        <w:t xml:space="preserve">, </w:t>
      </w:r>
      <w:r w:rsidRPr="00A76E0F">
        <w:t>as the release of mineralized nitrogen and other nutrients can occur during the decomposition process</w:t>
      </w:r>
      <w:r>
        <w:t xml:space="preserve"> </w:t>
      </w:r>
      <w:r>
        <w:rPr>
          <w:noProof/>
        </w:rPr>
        <w:t>(Booth et al., 2005)</w:t>
      </w:r>
      <w:r w:rsidRPr="00A76E0F">
        <w:t>.</w:t>
      </w:r>
      <w:r>
        <w:t xml:space="preserve"> In addition, soil OM </w:t>
      </w:r>
      <w:r w:rsidRPr="00C16064">
        <w:t>c</w:t>
      </w:r>
      <w:r>
        <w:t>ould</w:t>
      </w:r>
      <w:r w:rsidRPr="00C16064">
        <w:t xml:space="preserve"> also </w:t>
      </w:r>
      <w:r>
        <w:t xml:space="preserve">help promote </w:t>
      </w:r>
      <w:r w:rsidRPr="0037517E">
        <w:t>nitrogen immobilization</w:t>
      </w:r>
      <w:r>
        <w:t xml:space="preserve">, as the </w:t>
      </w:r>
      <w:r w:rsidRPr="00A76E0F">
        <w:t>microbes in the soil use</w:t>
      </w:r>
      <w:r>
        <w:t>d</w:t>
      </w:r>
      <w:r w:rsidRPr="00A76E0F">
        <w:t xml:space="preserve"> up available nitrogen to break down the high-carbon </w:t>
      </w:r>
      <w:r>
        <w:t>organic matter</w:t>
      </w:r>
      <w:r w:rsidRPr="00A76E0F">
        <w:t xml:space="preserve">, leading to a temporary immobilization of nitrogen that </w:t>
      </w:r>
      <w:r>
        <w:t>could</w:t>
      </w:r>
      <w:r w:rsidRPr="00A76E0F">
        <w:t xml:space="preserve"> reduce the availability of this nutrient for plants</w:t>
      </w:r>
      <w:r>
        <w:t xml:space="preserve"> </w:t>
      </w:r>
      <w:r>
        <w:rPr>
          <w:noProof/>
        </w:rPr>
        <w:t>(Barrett and Burke, 2000)</w:t>
      </w:r>
      <w:r w:rsidRPr="00C16064">
        <w:t xml:space="preserve">. </w:t>
      </w:r>
      <w:r w:rsidRPr="00926ABE">
        <w:t xml:space="preserve">The decomposition of </w:t>
      </w:r>
      <w:r>
        <w:t>OM</w:t>
      </w:r>
      <w:r w:rsidRPr="00926ABE">
        <w:t xml:space="preserve"> release</w:t>
      </w:r>
      <w:r>
        <w:t>d</w:t>
      </w:r>
      <w:r w:rsidRPr="00926ABE">
        <w:t xml:space="preserve"> ions such </w:t>
      </w:r>
      <w:r w:rsidRPr="00926ABE">
        <w:lastRenderedPageBreak/>
        <w:t>as hydrogen (H</w:t>
      </w:r>
      <w:r w:rsidRPr="00926ABE">
        <w:rPr>
          <w:vertAlign w:val="superscript"/>
        </w:rPr>
        <w:t>+</w:t>
      </w:r>
      <w:r w:rsidRPr="00926ABE">
        <w:t>) and hydroxide (OH</w:t>
      </w:r>
      <w:r w:rsidRPr="00926ABE">
        <w:rPr>
          <w:vertAlign w:val="superscript"/>
        </w:rPr>
        <w:t>-</w:t>
      </w:r>
      <w:r w:rsidRPr="00926ABE">
        <w:t xml:space="preserve">), </w:t>
      </w:r>
      <w:r>
        <w:t>thereby</w:t>
      </w:r>
      <w:r w:rsidRPr="00926ABE">
        <w:t xml:space="preserve"> affect</w:t>
      </w:r>
      <w:r>
        <w:t>ing</w:t>
      </w:r>
      <w:r w:rsidRPr="00926ABE">
        <w:t xml:space="preserve"> soil pH</w:t>
      </w:r>
      <w:r>
        <w:t xml:space="preserve"> (Fig 4)</w:t>
      </w:r>
      <w:r w:rsidRPr="00926ABE">
        <w:t>.</w:t>
      </w:r>
      <w:r>
        <w:t xml:space="preserve"> Soil</w:t>
      </w:r>
      <w:r w:rsidRPr="00926ABE">
        <w:t xml:space="preserve"> </w:t>
      </w:r>
      <w:r>
        <w:t>OM</w:t>
      </w:r>
      <w:r w:rsidRPr="00926ABE">
        <w:t xml:space="preserve"> c</w:t>
      </w:r>
      <w:r>
        <w:t>ould</w:t>
      </w:r>
      <w:r w:rsidRPr="00926ABE">
        <w:t xml:space="preserve"> also help to stabilize pH by absorbing excess H</w:t>
      </w:r>
      <w:r w:rsidRPr="00926ABE">
        <w:rPr>
          <w:vertAlign w:val="superscript"/>
        </w:rPr>
        <w:t>+</w:t>
      </w:r>
      <w:r>
        <w:t xml:space="preserve"> </w:t>
      </w:r>
      <w:r>
        <w:rPr>
          <w:noProof/>
        </w:rPr>
        <w:t>(Yan et al., 1996; Zhou et al., 2019)</w:t>
      </w:r>
      <w:r w:rsidRPr="00926ABE">
        <w:t xml:space="preserve">. </w:t>
      </w:r>
    </w:p>
    <w:p w14:paraId="5A723732" w14:textId="77777777" w:rsidR="00BD673C" w:rsidRPr="00B813A5" w:rsidRDefault="00BD673C" w:rsidP="00A74D12"/>
    <w:p w14:paraId="6ABC5BEB" w14:textId="77777777" w:rsidR="00BD673C" w:rsidRDefault="00BD673C" w:rsidP="00A74D12">
      <w:pPr>
        <w:pStyle w:val="2"/>
        <w:spacing w:before="163" w:after="163"/>
      </w:pPr>
      <w:r>
        <w:t>4.4 Implications</w:t>
      </w:r>
    </w:p>
    <w:p w14:paraId="571F2FA5" w14:textId="37C7569E" w:rsidR="00BD673C" w:rsidRDefault="00BD673C" w:rsidP="00A74D12">
      <w:r w:rsidRPr="007552D6">
        <w:t>The positive effect of sand fixation and vegetation restoration on soil nutrient accumulation and vegetation growth</w:t>
      </w:r>
      <w:r w:rsidRPr="00F12478">
        <w:t xml:space="preserve"> </w:t>
      </w:r>
      <w:r>
        <w:t>was hereby proved. S</w:t>
      </w:r>
      <w:r w:rsidRPr="007018BD">
        <w:t>and fixation</w:t>
      </w:r>
      <w:r>
        <w:t xml:space="preserve"> and</w:t>
      </w:r>
      <w:r w:rsidRPr="007018BD">
        <w:t xml:space="preserve"> </w:t>
      </w:r>
      <w:r>
        <w:t>v</w:t>
      </w:r>
      <w:r w:rsidRPr="00F12478">
        <w:t>egetation restoration</w:t>
      </w:r>
      <w:r>
        <w:t xml:space="preserve"> should be encouraged </w:t>
      </w:r>
      <w:r>
        <w:rPr>
          <w:rFonts w:hint="eastAsia"/>
        </w:rPr>
        <w:t>t</w:t>
      </w:r>
      <w:r>
        <w:t>o combat</w:t>
      </w:r>
      <w:r w:rsidRPr="00F12478">
        <w:t xml:space="preserve"> desertification</w:t>
      </w:r>
      <w:r>
        <w:t xml:space="preserve">. </w:t>
      </w:r>
      <w:r w:rsidRPr="007018BD">
        <w:t>In areas where sand dunes are mobile</w:t>
      </w:r>
      <w:r>
        <w:t xml:space="preserve">, </w:t>
      </w:r>
      <w:r w:rsidRPr="007018BD">
        <w:t>sand fixation</w:t>
      </w:r>
      <w:r>
        <w:t xml:space="preserve"> such as planting </w:t>
      </w:r>
      <w:r w:rsidRPr="007018BD">
        <w:t>straw checkerboard</w:t>
      </w:r>
      <w:r>
        <w:t xml:space="preserve"> </w:t>
      </w:r>
      <w:r w:rsidRPr="007018BD">
        <w:t>help</w:t>
      </w:r>
      <w:r>
        <w:t>s</w:t>
      </w:r>
      <w:r w:rsidRPr="007018BD">
        <w:t xml:space="preserve"> stabilize the soil, reduce erosion, and increase soil moisture retention, which in turn promote</w:t>
      </w:r>
      <w:r>
        <w:rPr>
          <w:rFonts w:hint="eastAsia"/>
        </w:rPr>
        <w:t>s</w:t>
      </w:r>
      <w:r w:rsidRPr="007018BD">
        <w:t xml:space="preserve"> vegetation growth</w:t>
      </w:r>
      <w:r>
        <w:t xml:space="preserve"> </w:t>
      </w:r>
      <w:r>
        <w:rPr>
          <w:noProof/>
        </w:rPr>
        <w:t>(Zhang et al., 2018)</w:t>
      </w:r>
      <w:r w:rsidRPr="007018BD">
        <w:t>.</w:t>
      </w:r>
      <w:r>
        <w:t xml:space="preserve"> </w:t>
      </w:r>
      <w:r w:rsidRPr="007018BD">
        <w:t xml:space="preserve">The establishment of vegetation </w:t>
      </w:r>
      <w:r>
        <w:t xml:space="preserve">especially shrubs </w:t>
      </w:r>
      <w:r w:rsidRPr="007018BD">
        <w:t>lead</w:t>
      </w:r>
      <w:r>
        <w:t>s</w:t>
      </w:r>
      <w:r w:rsidRPr="007018BD">
        <w:t xml:space="preserve"> to an increase in soil nutrient accumulation,</w:t>
      </w:r>
      <w:r>
        <w:t xml:space="preserve"> </w:t>
      </w:r>
      <w:r w:rsidRPr="007018BD">
        <w:t xml:space="preserve">as the roots help break up compacted soil and </w:t>
      </w:r>
      <w:r>
        <w:t xml:space="preserve">their </w:t>
      </w:r>
      <w:r w:rsidRPr="007018BD">
        <w:t>exudates increase organic matter content,</w:t>
      </w:r>
      <w:r>
        <w:t xml:space="preserve"> and litters </w:t>
      </w:r>
      <w:r w:rsidRPr="007018BD">
        <w:t>provide organic matter inputs</w:t>
      </w:r>
      <w:r>
        <w:t xml:space="preserve"> </w:t>
      </w:r>
      <w:r w:rsidRPr="0029239F">
        <w:t>(Zuo et al., 2009)</w:t>
      </w:r>
      <w:r>
        <w:t xml:space="preserve">. </w:t>
      </w:r>
      <w:r w:rsidRPr="0029239F">
        <w:t xml:space="preserve">After the dunes are fixed and soil fertility improves, the restoration of herbaceous plants should be </w:t>
      </w:r>
      <w:r>
        <w:t>emphasized</w:t>
      </w:r>
      <w:r w:rsidRPr="0029239F">
        <w:t xml:space="preserve"> to provide higher root biomass for the soil</w:t>
      </w:r>
      <w:r>
        <w:t xml:space="preserve"> </w:t>
      </w:r>
      <w:r w:rsidRPr="0029239F">
        <w:t>(Zhang et al., 2005).</w:t>
      </w:r>
    </w:p>
    <w:p w14:paraId="6273AEA5" w14:textId="77777777" w:rsidR="00BD673C" w:rsidRDefault="00BD673C" w:rsidP="00A74D12">
      <w:pPr>
        <w:rPr>
          <w:highlight w:val="yellow"/>
        </w:rPr>
      </w:pPr>
    </w:p>
    <w:p w14:paraId="0AFFEAC1" w14:textId="1AB61C52" w:rsidR="00BD673C" w:rsidRDefault="00BD673C" w:rsidP="00A74D12">
      <w:r>
        <w:t>T</w:t>
      </w:r>
      <w:r w:rsidRPr="00095C5F">
        <w:t xml:space="preserve">he </w:t>
      </w:r>
      <w:r>
        <w:t xml:space="preserve">higher </w:t>
      </w:r>
      <w:r w:rsidRPr="00095C5F">
        <w:t xml:space="preserve">increase </w:t>
      </w:r>
      <w:r>
        <w:t>rate</w:t>
      </w:r>
      <w:r w:rsidRPr="00095C5F">
        <w:t xml:space="preserve">s </w:t>
      </w:r>
      <w:r>
        <w:t xml:space="preserve">of soil OM and TN </w:t>
      </w:r>
      <w:r w:rsidRPr="00095C5F">
        <w:t>for the artificial vegetation</w:t>
      </w:r>
      <w:r>
        <w:t xml:space="preserve"> indicated the </w:t>
      </w:r>
      <w:r w:rsidRPr="00E32D21">
        <w:t>higher recovery potential</w:t>
      </w:r>
      <w:r>
        <w:t xml:space="preserve"> of </w:t>
      </w:r>
      <w:r w:rsidRPr="00E32D21">
        <w:t>artificial restoration</w:t>
      </w:r>
      <w:r>
        <w:t xml:space="preserve">, </w:t>
      </w:r>
      <w:r w:rsidRPr="00E32D21">
        <w:t xml:space="preserve">while the </w:t>
      </w:r>
      <w:r>
        <w:t xml:space="preserve">steady trends of the diversity and AGB of grass, dominant species height of grass and </w:t>
      </w:r>
      <w:r>
        <w:lastRenderedPageBreak/>
        <w:t xml:space="preserve">shrub indicated the better stability of natural vegetation. </w:t>
      </w:r>
      <w:r w:rsidRPr="006B2A70">
        <w:t xml:space="preserve">While artificial restoration could produce rapid results, </w:t>
      </w:r>
      <w:r w:rsidR="007041D7">
        <w:t>it</w:t>
      </w:r>
      <w:r w:rsidRPr="006B2A70">
        <w:t xml:space="preserve"> may not be as stable in the long term, as there were potential risks of artificial restoration.</w:t>
      </w:r>
      <w:r>
        <w:t xml:space="preserve"> Therefore, t</w:t>
      </w:r>
      <w:r w:rsidRPr="00E32D21">
        <w:t>he short-term and long-term effects should be considered wh</w:t>
      </w:r>
      <w:r>
        <w:t>ile</w:t>
      </w:r>
      <w:r w:rsidRPr="00E32D21">
        <w:t xml:space="preserve"> choosing vegetation restoration strategies and determining the intensity of planting</w:t>
      </w:r>
      <w:r>
        <w:t xml:space="preserve"> </w:t>
      </w:r>
      <w:r>
        <w:rPr>
          <w:noProof/>
        </w:rPr>
        <w:t>(Xu and Zhang, 2021)</w:t>
      </w:r>
      <w:r>
        <w:t xml:space="preserve">. </w:t>
      </w:r>
      <w:r w:rsidRPr="00965A3A">
        <w:t>Artificial intervention could be carried out in the early stage of restoration, and then the restoration ecosystem should follow a long-term natural succession process while monitoring the vegetation growth status, species composition and soil quality within protected and fenced measures.</w:t>
      </w:r>
    </w:p>
    <w:p w14:paraId="16DD966D" w14:textId="77777777" w:rsidR="00BD673C" w:rsidRDefault="00BD673C" w:rsidP="00A74D12"/>
    <w:p w14:paraId="4DE0A2CC" w14:textId="55462A60" w:rsidR="00BD673C" w:rsidRDefault="00BD673C" w:rsidP="00A74D12">
      <w:r>
        <w:t xml:space="preserve">The </w:t>
      </w:r>
      <w:r w:rsidRPr="005040E9">
        <w:t>selection of</w:t>
      </w:r>
      <w:r>
        <w:t xml:space="preserve"> v</w:t>
      </w:r>
      <w:r w:rsidRPr="005040E9">
        <w:t>egetation restoration</w:t>
      </w:r>
      <w:r>
        <w:t xml:space="preserve"> methods </w:t>
      </w:r>
      <w:r w:rsidRPr="00F12478">
        <w:t xml:space="preserve">must </w:t>
      </w:r>
      <w:r>
        <w:t xml:space="preserve">take into </w:t>
      </w:r>
      <w:r w:rsidRPr="00F12478">
        <w:t xml:space="preserve">account </w:t>
      </w:r>
      <w:r w:rsidR="007242C6">
        <w:t>local vegetation conditions</w:t>
      </w:r>
      <w:r w:rsidRPr="00F12478">
        <w:t>,</w:t>
      </w:r>
      <w:r>
        <w:t xml:space="preserve"> climate, and</w:t>
      </w:r>
      <w:r w:rsidR="007242C6">
        <w:t xml:space="preserve"> water resources</w:t>
      </w:r>
      <w:r>
        <w:t>.</w:t>
      </w:r>
      <w:r w:rsidRPr="006B2A70">
        <w:t xml:space="preserve"> </w:t>
      </w:r>
      <w:r>
        <w:t>For example, i</w:t>
      </w:r>
      <w:r w:rsidRPr="007B1E3E">
        <w:t xml:space="preserve">n order to avoid </w:t>
      </w:r>
      <w:r>
        <w:t>exotic</w:t>
      </w:r>
      <w:r w:rsidRPr="007B1E3E">
        <w:t xml:space="preserve"> species invasion and biodiversity decline</w:t>
      </w:r>
      <w:r>
        <w:t xml:space="preserve">, </w:t>
      </w:r>
      <w:r w:rsidRPr="007B1E3E">
        <w:t>priority</w:t>
      </w:r>
      <w:r>
        <w:t xml:space="preserve"> </w:t>
      </w:r>
      <w:r w:rsidRPr="007B1E3E">
        <w:t>should be given</w:t>
      </w:r>
      <w:r w:rsidRPr="00EE554A">
        <w:t xml:space="preserve"> </w:t>
      </w:r>
      <w:r>
        <w:t xml:space="preserve">to </w:t>
      </w:r>
      <w:r w:rsidRPr="00EE554A">
        <w:t>the use of native species</w:t>
      </w:r>
      <w:r>
        <w:t xml:space="preserve">. The </w:t>
      </w:r>
      <w:r w:rsidRPr="00D427F2">
        <w:t xml:space="preserve">restoration of shrubs </w:t>
      </w:r>
      <w:r>
        <w:t xml:space="preserve">should be </w:t>
      </w:r>
      <w:r w:rsidRPr="00D427F2">
        <w:t xml:space="preserve">emphasized in arid </w:t>
      </w:r>
      <w:r>
        <w:t>deserts, because of their higher-level</w:t>
      </w:r>
      <w:r w:rsidRPr="00D427F2">
        <w:t xml:space="preserve"> resistan</w:t>
      </w:r>
      <w:r>
        <w:t>ce</w:t>
      </w:r>
      <w:r w:rsidRPr="00D427F2">
        <w:t xml:space="preserve"> to drought </w:t>
      </w:r>
      <w:r>
        <w:t>than grass. C</w:t>
      </w:r>
      <w:r w:rsidRPr="00E32D21">
        <w:t>limate change should be projected during the recovery period, informing the selection of species with climatic niche requirements appropriate to current and future climatic conditions</w:t>
      </w:r>
      <w:r>
        <w:t xml:space="preserve"> </w:t>
      </w:r>
      <w:r>
        <w:rPr>
          <w:noProof/>
        </w:rPr>
        <w:t>(Havrilla et al., 2020)</w:t>
      </w:r>
      <w:r w:rsidRPr="00E32D21">
        <w:t xml:space="preserve">. </w:t>
      </w:r>
      <w:r w:rsidRPr="007B1E3E">
        <w:t>The optimal state of vegetation restoration ultimately depend</w:t>
      </w:r>
      <w:r>
        <w:t>ed</w:t>
      </w:r>
      <w:r w:rsidRPr="007B1E3E">
        <w:t xml:space="preserve"> on the long-term resource </w:t>
      </w:r>
      <w:r>
        <w:t xml:space="preserve">endowment and carrying capacity </w:t>
      </w:r>
      <w:r>
        <w:rPr>
          <w:noProof/>
        </w:rPr>
        <w:t xml:space="preserve">(Xu et al., 2020), </w:t>
      </w:r>
      <w:r w:rsidRPr="00541373">
        <w:rPr>
          <w:noProof/>
        </w:rPr>
        <w:t>to ensure that restoration efforts do not exceed the available resources</w:t>
      </w:r>
      <w:r w:rsidRPr="007B1E3E">
        <w:t>.</w:t>
      </w:r>
      <w:r>
        <w:rPr>
          <w:rFonts w:hint="eastAsia"/>
        </w:rPr>
        <w:t xml:space="preserve"> </w:t>
      </w:r>
      <w:r w:rsidRPr="00607D3F">
        <w:t>For the long-term success of revegetation</w:t>
      </w:r>
      <w:r>
        <w:t xml:space="preserve"> in </w:t>
      </w:r>
      <w:r>
        <w:lastRenderedPageBreak/>
        <w:t xml:space="preserve">drylands, </w:t>
      </w:r>
      <w:r w:rsidRPr="00472553">
        <w:t>vegetation species and planting density</w:t>
      </w:r>
      <w:r>
        <w:t xml:space="preserve"> </w:t>
      </w:r>
      <w:r w:rsidRPr="00472553">
        <w:t>should be matched to sustainable water resource</w:t>
      </w:r>
      <w:r w:rsidR="007041D7">
        <w:t>s</w:t>
      </w:r>
      <w:r>
        <w:t xml:space="preserve">, </w:t>
      </w:r>
      <w:r w:rsidRPr="00472553">
        <w:t>i.e. the vegetation water use threshold should be less than the difference between precipitation and human economic and social water demand</w:t>
      </w:r>
      <w:r>
        <w:t xml:space="preserve"> </w:t>
      </w:r>
      <w:r>
        <w:rPr>
          <w:noProof/>
        </w:rPr>
        <w:t>(Feng et al., 2016)</w:t>
      </w:r>
      <w:r>
        <w:t>. The o</w:t>
      </w:r>
      <w:r w:rsidRPr="00216366">
        <w:t>ptimal vegetation cover hypothesis by the tradeoff of water supply and water demand</w:t>
      </w:r>
      <w:r>
        <w:t xml:space="preserve"> </w:t>
      </w:r>
      <w:r>
        <w:rPr>
          <w:noProof/>
        </w:rPr>
        <w:t>(Mo et al., 2016)</w:t>
      </w:r>
      <w:r>
        <w:t xml:space="preserve"> could be </w:t>
      </w:r>
      <w:r w:rsidRPr="005E5DD9">
        <w:t xml:space="preserve">used as a theoretical </w:t>
      </w:r>
      <w:r>
        <w:t>model</w:t>
      </w:r>
      <w:r w:rsidRPr="005E5DD9">
        <w:t xml:space="preserve"> for restoration in </w:t>
      </w:r>
      <w:r>
        <w:t>drylands. Overall, t</w:t>
      </w:r>
      <w:r w:rsidRPr="00B813A5">
        <w:t xml:space="preserve">he aim of </w:t>
      </w:r>
      <w:r>
        <w:t xml:space="preserve">sustainable </w:t>
      </w:r>
      <w:r w:rsidRPr="00B813A5">
        <w:t xml:space="preserve">restoration </w:t>
      </w:r>
      <w:r>
        <w:t>should be</w:t>
      </w:r>
      <w:r w:rsidRPr="00B813A5">
        <w:t xml:space="preserve"> </w:t>
      </w:r>
      <w:r>
        <w:t>to improve soil health and structure, increase biodiversity, and enhance</w:t>
      </w:r>
      <w:r w:rsidRPr="006F222A">
        <w:t xml:space="preserve"> local livelihoods</w:t>
      </w:r>
      <w:r>
        <w:t>.</w:t>
      </w:r>
    </w:p>
    <w:p w14:paraId="3DD245B9" w14:textId="77777777" w:rsidR="00BD673C" w:rsidRDefault="00BD673C" w:rsidP="00A74D12"/>
    <w:p w14:paraId="46C9AD56" w14:textId="77777777" w:rsidR="00BD673C" w:rsidRDefault="00BD673C" w:rsidP="00A74D12">
      <w:pPr>
        <w:pStyle w:val="1"/>
        <w:spacing w:before="163" w:after="163"/>
      </w:pPr>
      <w:r>
        <w:t>5. Conclusion</w:t>
      </w:r>
      <w:r>
        <w:rPr>
          <w:rFonts w:hint="eastAsia"/>
        </w:rPr>
        <w:t>s</w:t>
      </w:r>
    </w:p>
    <w:p w14:paraId="420BA1FF" w14:textId="176CB461" w:rsidR="00BD673C" w:rsidRDefault="00BD673C" w:rsidP="00A74D12">
      <w:r>
        <w:t>In semi-arid deserts, sandy steppe had the highest level of</w:t>
      </w:r>
      <w:r w:rsidRPr="00753A64">
        <w:t xml:space="preserve"> soil</w:t>
      </w:r>
      <w:r>
        <w:t xml:space="preserve"> nutrients and vegetation biomass, followed by</w:t>
      </w:r>
      <w:r w:rsidRPr="00906590">
        <w:t xml:space="preserve"> fixed dune, </w:t>
      </w:r>
      <w:r>
        <w:t xml:space="preserve">and finally </w:t>
      </w:r>
      <w:r w:rsidRPr="00906590">
        <w:t>the moving dune</w:t>
      </w:r>
      <w:r>
        <w:t>. The sandy steppe had a higher increase rate of OM content (slope of 0.004), followed by the fixed dune slope of 0.003, and finally the moving dune (slope of 0.001). The decrease rate of the TK content for the sandy steppe (absolute slope of 0.005) was lower than that for the fixed dune and the moving dune (absolute slope of 0.006). The grass diversity and AGB for the sandy steppe decreased while the AGB of grass, litter mass and AGB of shrubs for the fixed dune increased. In arid deserts, natural restoration vegetation had higher</w:t>
      </w:r>
      <w:r w:rsidRPr="00753A64">
        <w:t xml:space="preserve"> soil </w:t>
      </w:r>
      <w:r>
        <w:t>nutrients and vegetation biomass. The increased rates of s</w:t>
      </w:r>
      <w:r w:rsidRPr="00447E1B">
        <w:t xml:space="preserve">oil </w:t>
      </w:r>
      <w:r>
        <w:t xml:space="preserve">OM and TN contents, and shrub density for the artificial vegetation were higher than those </w:t>
      </w:r>
      <w:r>
        <w:lastRenderedPageBreak/>
        <w:t>for the natural vegetation. The diversity of grass, and AGB of grass and shrub for the artificial vegetation decreased.</w:t>
      </w:r>
    </w:p>
    <w:p w14:paraId="535280BD" w14:textId="77777777" w:rsidR="00BD673C" w:rsidRDefault="00BD673C" w:rsidP="00A74D12"/>
    <w:p w14:paraId="1F21A8FB" w14:textId="47BABDCC" w:rsidR="00BD673C" w:rsidRDefault="00BD673C" w:rsidP="00A74D12">
      <w:r>
        <w:t>Precipitation</w:t>
      </w:r>
      <w:r w:rsidRPr="00EC32DA">
        <w:t xml:space="preserve"> affect</w:t>
      </w:r>
      <w:r>
        <w:t>ed</w:t>
      </w:r>
      <w:r w:rsidRPr="00EC32DA">
        <w:t xml:space="preserve"> vegetation and soil properties indirectly, mainly through its effects on soil </w:t>
      </w:r>
      <w:r>
        <w:rPr>
          <w:rFonts w:hint="eastAsia"/>
        </w:rPr>
        <w:t>water</w:t>
      </w:r>
      <w:r w:rsidRPr="00EC32DA">
        <w:t>.</w:t>
      </w:r>
      <w:r>
        <w:t xml:space="preserve"> The v</w:t>
      </w:r>
      <w:r w:rsidRPr="00FE0B39">
        <w:t>egetation attributes of shrub</w:t>
      </w:r>
      <w:r>
        <w:t>s</w:t>
      </w:r>
      <w:r w:rsidRPr="00FE0B39">
        <w:t xml:space="preserve"> appear</w:t>
      </w:r>
      <w:r>
        <w:t xml:space="preserve">ed </w:t>
      </w:r>
      <w:r w:rsidRPr="00FE0B39">
        <w:t>to be less sensitive to soil water availability</w:t>
      </w:r>
      <w:r>
        <w:t xml:space="preserve"> than those of grass.</w:t>
      </w:r>
      <w:r w:rsidRPr="008A70E0">
        <w:t xml:space="preserve"> Soil </w:t>
      </w:r>
      <w:r>
        <w:t xml:space="preserve">water </w:t>
      </w:r>
      <w:r w:rsidRPr="008A70E0">
        <w:t xml:space="preserve">indirectly </w:t>
      </w:r>
      <w:r>
        <w:t xml:space="preserve">affected soil </w:t>
      </w:r>
      <w:r w:rsidRPr="00C252F7">
        <w:t xml:space="preserve">physical and chemical </w:t>
      </w:r>
      <w:r>
        <w:t xml:space="preserve">properties (such as </w:t>
      </w:r>
      <w:r w:rsidR="007041D7">
        <w:t xml:space="preserve">OM, </w:t>
      </w:r>
      <w:r>
        <w:t xml:space="preserve">TN, BD and pH) </w:t>
      </w:r>
      <w:r w:rsidRPr="008A70E0">
        <w:t xml:space="preserve">by affecting vegetation </w:t>
      </w:r>
      <w:r>
        <w:t>attributes.</w:t>
      </w:r>
      <w:r w:rsidRPr="00343539">
        <w:t xml:space="preserve"> </w:t>
      </w:r>
      <w:r>
        <w:t xml:space="preserve">Grass diversity was the main </w:t>
      </w:r>
      <w:r w:rsidRPr="004416D1">
        <w:t>influencing</w:t>
      </w:r>
      <w:r>
        <w:t xml:space="preserve"> factor (accounting for 29.97%) of soil OM variance in semi-arid deserts while shrub diversity was the main factor (accounting for 23.52%) in arid deserts.</w:t>
      </w:r>
      <w:r w:rsidRPr="008A70E0">
        <w:t xml:space="preserve"> </w:t>
      </w:r>
      <w:r>
        <w:t>S</w:t>
      </w:r>
      <w:r w:rsidRPr="00343539">
        <w:t>oil OM was significantly positively affected by soil water</w:t>
      </w:r>
      <w:r>
        <w:t xml:space="preserve"> with a slope &gt; 0.80</w:t>
      </w:r>
      <w:r w:rsidRPr="00343539">
        <w:t xml:space="preserve">. The direct effect of soil water on OM </w:t>
      </w:r>
      <w:r>
        <w:t>was</w:t>
      </w:r>
      <w:r w:rsidRPr="00343539">
        <w:t xml:space="preserve"> greater than the indirect effect by affecting vegetation </w:t>
      </w:r>
      <w:r>
        <w:t>which</w:t>
      </w:r>
      <w:r w:rsidRPr="00343539">
        <w:t xml:space="preserve"> in turn affect</w:t>
      </w:r>
      <w:r>
        <w:t>ed</w:t>
      </w:r>
      <w:r w:rsidRPr="00343539">
        <w:t xml:space="preserve"> </w:t>
      </w:r>
      <w:r>
        <w:t xml:space="preserve">the </w:t>
      </w:r>
      <w:r w:rsidRPr="00343539">
        <w:t xml:space="preserve">OM, and </w:t>
      </w:r>
      <w:r>
        <w:t xml:space="preserve">the </w:t>
      </w:r>
      <w:r w:rsidRPr="00343539">
        <w:t xml:space="preserve">OM sensitivity to soil water </w:t>
      </w:r>
      <w:r>
        <w:t>was</w:t>
      </w:r>
      <w:r w:rsidRPr="00343539">
        <w:t xml:space="preserve"> particularly relevant in arid desert</w:t>
      </w:r>
      <w:r>
        <w:t>s</w:t>
      </w:r>
      <w:r w:rsidRPr="00343539">
        <w:t>.</w:t>
      </w:r>
      <w:r>
        <w:t xml:space="preserve"> Soil OM was significantly</w:t>
      </w:r>
      <w:r w:rsidRPr="008A70E0">
        <w:t xml:space="preserve"> positively affect</w:t>
      </w:r>
      <w:r>
        <w:t>ed by soil silt+clay, but significantly</w:t>
      </w:r>
      <w:r w:rsidRPr="008A70E0">
        <w:t xml:space="preserve"> </w:t>
      </w:r>
      <w:r>
        <w:t>neg</w:t>
      </w:r>
      <w:r w:rsidRPr="008A70E0">
        <w:t>atively affect</w:t>
      </w:r>
      <w:r>
        <w:t>ed by BD, and also affected other soil properties such as TN and pH. F</w:t>
      </w:r>
      <w:r w:rsidRPr="007F7FC2">
        <w:t>indings provide</w:t>
      </w:r>
      <w:r>
        <w:t>d</w:t>
      </w:r>
      <w:r w:rsidRPr="007F7FC2">
        <w:t xml:space="preserve"> information on the effect of </w:t>
      </w:r>
      <w:r>
        <w:t xml:space="preserve">sand fixation and </w:t>
      </w:r>
      <w:r w:rsidRPr="007F7FC2">
        <w:t xml:space="preserve">vegetation restoration </w:t>
      </w:r>
      <w:r>
        <w:t>on</w:t>
      </w:r>
      <w:r w:rsidRPr="007F7FC2">
        <w:t xml:space="preserve"> soil nutrient accumulation</w:t>
      </w:r>
      <w:r>
        <w:t xml:space="preserve"> </w:t>
      </w:r>
      <w:r>
        <w:rPr>
          <w:rFonts w:hint="eastAsia"/>
        </w:rPr>
        <w:t>a</w:t>
      </w:r>
      <w:r>
        <w:t xml:space="preserve">nd vegetation biomass increase, and suggested that the </w:t>
      </w:r>
      <w:r>
        <w:rPr>
          <w:szCs w:val="22"/>
        </w:rPr>
        <w:t xml:space="preserve">natural restoration should be encouraged with considering local resource constraints, and the shrub </w:t>
      </w:r>
      <w:r w:rsidRPr="00D427F2">
        <w:t>restor</w:t>
      </w:r>
      <w:r>
        <w:t>ing</w:t>
      </w:r>
      <w:r>
        <w:rPr>
          <w:szCs w:val="22"/>
        </w:rPr>
        <w:t xml:space="preserve"> should be given p</w:t>
      </w:r>
      <w:r w:rsidRPr="0013775D">
        <w:rPr>
          <w:szCs w:val="22"/>
        </w:rPr>
        <w:t xml:space="preserve">riority </w:t>
      </w:r>
      <w:r>
        <w:t>in arid areas.</w:t>
      </w:r>
    </w:p>
    <w:p w14:paraId="695C623F" w14:textId="77777777" w:rsidR="00BD673C" w:rsidRDefault="00BD673C" w:rsidP="00A74D12"/>
    <w:p w14:paraId="18320C84" w14:textId="77777777" w:rsidR="00BD673C" w:rsidRDefault="00BD673C" w:rsidP="00A74D12">
      <w:pPr>
        <w:pStyle w:val="1"/>
        <w:spacing w:before="163" w:after="163"/>
      </w:pPr>
      <w:r>
        <w:lastRenderedPageBreak/>
        <w:t>Acknowledgments</w:t>
      </w:r>
    </w:p>
    <w:p w14:paraId="5316E092" w14:textId="77777777" w:rsidR="00BD673C" w:rsidRDefault="00BD673C" w:rsidP="00A74D12">
      <w:r>
        <w:t>This research is jointly funded by the National Natural Science Foundation of China Project (grants 41991235, 42007052), and the Fundamental Research Funds for the Central Universities.</w:t>
      </w:r>
    </w:p>
    <w:p w14:paraId="2FB218DB" w14:textId="77777777" w:rsidR="00BD673C" w:rsidRDefault="00BD673C" w:rsidP="00A74D12"/>
    <w:p w14:paraId="5E705EE6" w14:textId="77777777" w:rsidR="00BD673C" w:rsidRDefault="00BD673C" w:rsidP="00A74D12">
      <w:pPr>
        <w:pStyle w:val="1"/>
        <w:spacing w:before="163" w:after="163"/>
      </w:pPr>
      <w:r>
        <w:t>Reference</w:t>
      </w:r>
    </w:p>
    <w:p w14:paraId="17F5997D" w14:textId="77777777" w:rsidR="00BD673C" w:rsidRPr="00E347AD" w:rsidRDefault="00BD673C" w:rsidP="00A74D12">
      <w:pPr>
        <w:pStyle w:val="EndNoteBibliography"/>
        <w:spacing w:line="480" w:lineRule="auto"/>
        <w:ind w:left="720" w:hanging="720"/>
      </w:pPr>
      <w:r w:rsidRPr="00E347AD">
        <w:t>Abatzoglou, J.T., Dobrowski, S.Z.P., Sean A. , Hegewisch, K.C., 2018. TerraClimate, a high-resolution global dataset of monthly climate and climatic water balance from 1958–2015. Scientific Data. 5(1), 170191. https://doi.org/10.1038/sdata.2017.191.</w:t>
      </w:r>
    </w:p>
    <w:p w14:paraId="440E1485" w14:textId="77777777" w:rsidR="00BD673C" w:rsidRPr="00E347AD" w:rsidRDefault="00BD673C" w:rsidP="00A74D12">
      <w:pPr>
        <w:pStyle w:val="EndNoteBibliography"/>
        <w:spacing w:line="480" w:lineRule="auto"/>
        <w:ind w:left="720" w:hanging="720"/>
      </w:pPr>
      <w:r w:rsidRPr="00E347AD">
        <w:t>Al-Obaidi, J.R., Yahya Allawi, M., Salim Al-Taie, B., Alobaidi, K.H., Al-Khayri, J.M., Abdullah, S., Ahmad-Kamil, E.I., 2022. The environmental, economic, and social development impact of desertification in Iraq: a review on desertification control measures and mitigation strategies. Environmental Monitoring and Assessment. 194(6), 440. https://doi.org/10.1007/s10661-022-10102-y.</w:t>
      </w:r>
    </w:p>
    <w:p w14:paraId="6B36106D" w14:textId="77777777" w:rsidR="00BD673C" w:rsidRPr="00E347AD" w:rsidRDefault="00BD673C" w:rsidP="00A74D12">
      <w:pPr>
        <w:pStyle w:val="EndNoteBibliography"/>
        <w:spacing w:line="480" w:lineRule="auto"/>
        <w:ind w:left="720" w:hanging="720"/>
      </w:pPr>
      <w:r w:rsidRPr="00E347AD">
        <w:t>Angers, D.A., Caron, J., 1998. Plant-induced changes in soil structure: Processes and feedbacks. In: N. Van Breemen (Ed.), Plant-induced soil changes: Processes and feedbacks. Springer Netherlands, Dordrecht, pp. 55-72. https://doi.org/10.1007/978-94-017-2691-7_3.</w:t>
      </w:r>
    </w:p>
    <w:p w14:paraId="142104D6" w14:textId="77777777" w:rsidR="00BD673C" w:rsidRPr="00E347AD" w:rsidRDefault="00BD673C" w:rsidP="00A74D12">
      <w:pPr>
        <w:pStyle w:val="EndNoteBibliography"/>
        <w:spacing w:line="480" w:lineRule="auto"/>
        <w:ind w:left="720" w:hanging="720"/>
      </w:pPr>
      <w:r w:rsidRPr="00E347AD">
        <w:lastRenderedPageBreak/>
        <w:t>Bardgett, R.D., Wardle, D.A., 2003. Herbivore</w:t>
      </w:r>
      <w:r w:rsidRPr="00E347AD">
        <w:rPr>
          <w:rFonts w:ascii="微软雅黑" w:eastAsia="微软雅黑" w:hAnsi="微软雅黑" w:cs="微软雅黑" w:hint="eastAsia"/>
        </w:rPr>
        <w:t>‐</w:t>
      </w:r>
      <w:r w:rsidRPr="00E347AD">
        <w:t>mediated linkages between aboveground and belowground communities. Ecology. 84(9), 2258-2268. https://doi.org/10.1890/02-0274.</w:t>
      </w:r>
    </w:p>
    <w:p w14:paraId="51C3341F" w14:textId="77777777" w:rsidR="00BD673C" w:rsidRPr="00E347AD" w:rsidRDefault="00BD673C" w:rsidP="00A74D12">
      <w:pPr>
        <w:pStyle w:val="EndNoteBibliography"/>
        <w:spacing w:line="480" w:lineRule="auto"/>
        <w:ind w:left="720" w:hanging="720"/>
      </w:pPr>
      <w:r w:rsidRPr="00E347AD">
        <w:t>Barrett, J.E., Burke, I.C., 2000. Potential nitrogen immobilization in grassland soils across a soil organic matter gradient. Soil Biology and Biochemistry. 32(11), 1707-1716. https://doi.org/10.1016/S0038-0717(00)00089-4.</w:t>
      </w:r>
    </w:p>
    <w:p w14:paraId="48B373CF" w14:textId="77777777" w:rsidR="00BD673C" w:rsidRPr="00E347AD" w:rsidRDefault="00BD673C" w:rsidP="00A74D12">
      <w:pPr>
        <w:pStyle w:val="EndNoteBibliography"/>
        <w:spacing w:line="480" w:lineRule="auto"/>
        <w:ind w:left="720" w:hanging="720"/>
      </w:pPr>
      <w:r w:rsidRPr="00E347AD">
        <w:t>Bauer, A., 1974. Influence of soil organic matter on bulk density and available water capacity of soils. Farm Research. 31(5). http://hdl.handle.net/10365/24299.</w:t>
      </w:r>
    </w:p>
    <w:p w14:paraId="276EB148" w14:textId="77777777" w:rsidR="00BD673C" w:rsidRPr="00E347AD" w:rsidRDefault="00BD673C" w:rsidP="00A74D12">
      <w:pPr>
        <w:pStyle w:val="EndNoteBibliography"/>
        <w:spacing w:line="480" w:lineRule="auto"/>
        <w:ind w:left="720" w:hanging="720"/>
      </w:pPr>
      <w:r w:rsidRPr="00E347AD">
        <w:t xml:space="preserve">Bautista, S., Aronson, J., Vallejo, V.R., 2009. Land restoration to combat desertification. Innovative Approaches, Quality Control and Project Evaluation. </w:t>
      </w:r>
    </w:p>
    <w:p w14:paraId="5C93CBE8" w14:textId="25B747FE" w:rsidR="00BD673C" w:rsidRDefault="00BD673C" w:rsidP="00A74D12">
      <w:pPr>
        <w:pStyle w:val="EndNoteBibliography"/>
        <w:spacing w:line="480" w:lineRule="auto"/>
        <w:ind w:left="720" w:hanging="720"/>
      </w:pPr>
      <w:r w:rsidRPr="00E347AD">
        <w:t xml:space="preserve">Bestelmeyer, B.T., Okin, G.S., Duniway, M.C., Archer, S.R., Sayre, N.F., Williamson, J.C., Herrick, J.E., 2015. Desertification, land use, and the transformation of global drylands. Frontiers in Ecology and the Environment. 13(1), 28-36. </w:t>
      </w:r>
      <w:r w:rsidR="00150B58" w:rsidRPr="008478B8">
        <w:t>https://doi.org/10.1890/140162</w:t>
      </w:r>
      <w:r w:rsidRPr="00E347AD">
        <w:t>.</w:t>
      </w:r>
    </w:p>
    <w:p w14:paraId="2CD331DF" w14:textId="4C80B0A7" w:rsidR="00150B58" w:rsidRPr="00E347AD" w:rsidRDefault="00150B58" w:rsidP="00A74D12">
      <w:pPr>
        <w:pStyle w:val="EndNoteBibliography"/>
        <w:spacing w:line="480" w:lineRule="auto"/>
        <w:ind w:left="720" w:hanging="720"/>
      </w:pPr>
      <w:r w:rsidRPr="00150B58">
        <w:t>Booth, M.S., Stark, J.M., Rastetter, E., 2005. Controls on Nitrogen Cycling in Terrestrial Ecosystems: A Synthetic Analysis of Literature Data. Ecological Monographs. 75(2), 139-157. https://doi.org/10.1890/04-0988.</w:t>
      </w:r>
    </w:p>
    <w:p w14:paraId="2D025854" w14:textId="77777777" w:rsidR="00BD673C" w:rsidRPr="00E347AD" w:rsidRDefault="00BD673C" w:rsidP="00A74D12">
      <w:pPr>
        <w:pStyle w:val="EndNoteBibliography"/>
        <w:spacing w:line="480" w:lineRule="auto"/>
        <w:ind w:left="720" w:hanging="720"/>
      </w:pPr>
      <w:r w:rsidRPr="00E347AD">
        <w:lastRenderedPageBreak/>
        <w:t>Bremner, J.M., 1960. Determination of nitrogen in soil by the Kjeldahl method. The Journal of Agricultural Science. 55(1), 11-33. https://doi.org/10.1017/S0021859600021572.</w:t>
      </w:r>
    </w:p>
    <w:p w14:paraId="4E034836" w14:textId="77777777" w:rsidR="00BD673C" w:rsidRPr="00E347AD" w:rsidRDefault="00BD673C" w:rsidP="00A74D12">
      <w:pPr>
        <w:pStyle w:val="EndNoteBibliography"/>
        <w:spacing w:line="480" w:lineRule="auto"/>
        <w:ind w:left="720" w:hanging="720"/>
      </w:pPr>
      <w:r w:rsidRPr="00E347AD">
        <w:t>Chang, R., Fu, B., Liu, G., Liu, S., 2011. Soil Carbon Sequestration Potential for “Grain for Green” Project in Loess Plateau, China. Environmental Management. 48(6), 1158-1172. https://doi.org/10.1007/s00267-011-9682-8.</w:t>
      </w:r>
    </w:p>
    <w:p w14:paraId="6EF61435" w14:textId="77777777" w:rsidR="00BD673C" w:rsidRPr="00E347AD" w:rsidRDefault="00BD673C" w:rsidP="00A74D12">
      <w:pPr>
        <w:pStyle w:val="EndNoteBibliography"/>
        <w:spacing w:line="480" w:lineRule="auto"/>
        <w:ind w:left="720" w:hanging="720"/>
      </w:pPr>
      <w:r w:rsidRPr="00E347AD">
        <w:t>Chang, X., Zhao, W., Zeng, F., 2015. Crop evapotranspiration-based irrigation management during the growing season in the arid region of northwestern China. Environmental Monitoring and Assessment. 187(11), 699. https://doi.org/10.1007/s10661-015-4920-9.</w:t>
      </w:r>
    </w:p>
    <w:p w14:paraId="7172383A" w14:textId="77777777" w:rsidR="00BD673C" w:rsidRPr="00E347AD" w:rsidRDefault="00BD673C" w:rsidP="00A74D12">
      <w:pPr>
        <w:pStyle w:val="EndNoteBibliography"/>
        <w:spacing w:line="480" w:lineRule="auto"/>
        <w:ind w:left="720" w:hanging="720"/>
      </w:pPr>
      <w:r w:rsidRPr="00E347AD">
        <w:t>Cherlet, M., Hill, J., Sommer, S., Reynolds, J., Von Maltitz, G., Hutchinson, C., 2018. World atlas of desertification : rethinking land degradation and sustainable land management. European Commission Joint Research Centre. https://doi.org/doi/10.2760/06292.</w:t>
      </w:r>
    </w:p>
    <w:p w14:paraId="45E3F664" w14:textId="77777777" w:rsidR="00BD673C" w:rsidRPr="00E347AD" w:rsidRDefault="00BD673C" w:rsidP="00A74D12">
      <w:pPr>
        <w:pStyle w:val="EndNoteBibliography"/>
        <w:spacing w:line="480" w:lineRule="auto"/>
        <w:ind w:left="720" w:hanging="720"/>
      </w:pPr>
      <w:r w:rsidRPr="00E347AD">
        <w:t>D'Odorico, P., Caylor, K., Okin, G.S., Scanlon, T.M., 2007. On soil moisture–vegetation feedbacks and their possible effects on the dynamics of dryland ecosystems. 112(G4). https://doi.org/10.1029/2006JG000379.</w:t>
      </w:r>
    </w:p>
    <w:p w14:paraId="557034C4" w14:textId="77777777" w:rsidR="00BD673C" w:rsidRPr="00E347AD" w:rsidRDefault="00BD673C" w:rsidP="00A74D12">
      <w:pPr>
        <w:pStyle w:val="EndNoteBibliography"/>
        <w:spacing w:line="480" w:lineRule="auto"/>
        <w:ind w:left="720" w:hanging="720"/>
      </w:pPr>
      <w:r w:rsidRPr="00E347AD">
        <w:t xml:space="preserve">Delgado-Baquerizo, M., Maestre, F.T., Gallardo, A., Bowker, M.A., Wallenstein, M.D., Quero, J.L., Ochoa, V., Gozalo, B., García-Gómez, M., Soliveres, S., García-Palacios, P., Berdugo, M., Valencia, E., </w:t>
      </w:r>
      <w:r w:rsidRPr="00E347AD">
        <w:lastRenderedPageBreak/>
        <w:t>Escolar, C., Arredondo, T., Barraza-Zepeda, C., Bran, D., Carreira, J.A., Chaieb, M., Conceição, A.A., Derak, M., Eldridge, D.J., Escudero, A., Espinosa, C.I., Gaitán, J., Gatica, M.G., Gómez-González, S., Guzman, E., Gutiérrez, J.R., Florentino, A., Hepper, E., Hernández, R.M., Huber-Sannwald, E., Jankju, M., Liu, J., Mau, R.L., Miriti, M., Monerris, J., Naseri, K., Noumi, Z., Polo, V., Prina, A., Pucheta, E., Ramírez, E., Ramírez-Collantes, D.A., Romão, R., Tighe, M., Torres, D., Torres-Díaz, C., Ungar, E.D., Val, J., Wamiti, W., Wang, D., Zaady, E., 2013. Decoupling of soil nutrient cycles as a function of aridity in global drylands. Nature. 502(7473), 672-676. https://doi.org/10.1038/nature12670.</w:t>
      </w:r>
    </w:p>
    <w:p w14:paraId="4CA52642" w14:textId="77777777" w:rsidR="00BD673C" w:rsidRPr="00E347AD" w:rsidRDefault="00BD673C" w:rsidP="00A74D12">
      <w:pPr>
        <w:pStyle w:val="EndNoteBibliography"/>
        <w:spacing w:line="480" w:lineRule="auto"/>
        <w:ind w:left="720" w:hanging="720"/>
      </w:pPr>
      <w:r w:rsidRPr="00E347AD">
        <w:t>Dessalegn, D., Beyene, S., Ram, N., Walley, F., Gala, T.S., 2014. Effects of topography and land use on soil characteristics along the toposequence of Ele watershed in southern Ethiopia. CATENA. 115, 47-54. https://doi.org/10.1016/j.catena.2013.11.007.</w:t>
      </w:r>
    </w:p>
    <w:p w14:paraId="76B990C2" w14:textId="77777777" w:rsidR="00BD673C" w:rsidRPr="00E347AD" w:rsidRDefault="00BD673C" w:rsidP="00A74D12">
      <w:pPr>
        <w:pStyle w:val="EndNoteBibliography"/>
        <w:spacing w:line="480" w:lineRule="auto"/>
        <w:ind w:left="720" w:hanging="720"/>
      </w:pPr>
      <w:r w:rsidRPr="00E347AD">
        <w:t>Dregne, H.E., 2002. Land Degradation in the Drylands. Arid Land Research and Management. 16(2), 99-132. https://doi.org/10.1080/153249802317304422.</w:t>
      </w:r>
    </w:p>
    <w:p w14:paraId="47F35A10" w14:textId="1E3F61B7" w:rsidR="00BD673C" w:rsidRDefault="00BD673C" w:rsidP="00A74D12">
      <w:pPr>
        <w:pStyle w:val="EndNoteBibliography"/>
        <w:spacing w:line="480" w:lineRule="auto"/>
        <w:ind w:left="720" w:hanging="720"/>
      </w:pPr>
      <w:r w:rsidRPr="00E347AD">
        <w:t xml:space="preserve">Esmaeilzadeh, J., Ahangar, A.G., 2014. Influence of soil organic matter content on soil physical, chemical and biological properties. The International Journal of Plant, Animal Environmental Sciences. 4(4). </w:t>
      </w:r>
    </w:p>
    <w:p w14:paraId="00946AF9" w14:textId="7E96F342" w:rsidR="00150B58" w:rsidRPr="00E347AD" w:rsidRDefault="00150B58" w:rsidP="00A74D12">
      <w:pPr>
        <w:pStyle w:val="EndNoteBibliography"/>
        <w:spacing w:line="480" w:lineRule="auto"/>
        <w:ind w:left="720" w:hanging="720"/>
      </w:pPr>
      <w:r w:rsidRPr="00150B58">
        <w:lastRenderedPageBreak/>
        <w:t>Feng, X., Fu, B., Piao, S., Wang, S., Ciais, P., Zeng, Z., Lü, Y., Zeng, Y., Li, Y., Jiang, X., Wu, B., 2016. Revegetation in China’s Loess Plateau is approaching sustainable water resource limits. Nature Climate Change. 6(11), 1019-1022. https://doi.org/10.1038/nclimate3092.</w:t>
      </w:r>
    </w:p>
    <w:p w14:paraId="5DD2EDC1" w14:textId="77777777" w:rsidR="00BD673C" w:rsidRPr="00E347AD" w:rsidRDefault="00BD673C" w:rsidP="00A74D12">
      <w:pPr>
        <w:pStyle w:val="EndNoteBibliography"/>
        <w:spacing w:line="480" w:lineRule="auto"/>
        <w:ind w:left="720" w:hanging="720"/>
      </w:pPr>
      <w:r w:rsidRPr="00E347AD">
        <w:t>Finzi, A.C., Austin, A.T., Cleland, E.E., Frey, S.D., Houlton, B.Z., Wallenstein, M.D., 2011. Responses and feedbacks of coupled biogeochemical cycles to climate change: examples from terrestrial ecosystems. Frontiers in Ecology and the Environment. 9(1), 61-67. https://doi.org/10.1890/100001.</w:t>
      </w:r>
    </w:p>
    <w:p w14:paraId="7FF7EC10" w14:textId="77777777" w:rsidR="00BD673C" w:rsidRPr="00E347AD" w:rsidRDefault="00BD673C" w:rsidP="00A74D12">
      <w:pPr>
        <w:pStyle w:val="EndNoteBibliography"/>
        <w:spacing w:line="480" w:lineRule="auto"/>
        <w:ind w:left="720" w:hanging="720"/>
      </w:pPr>
      <w:r w:rsidRPr="00E347AD">
        <w:t>Freschet, G.T., Cornwell, W.K., Wardle, D.A., Elumeeva, T.G., Liu, W., Jackson, B.G., Onipchenko, V.G., Soudzilovskaia, N.A., Tao, J., Cornelissen, J.H.C., 2013. Linking litter decomposition of above- and below-ground organs to plant–soil feedbacks worldwide. Journal of Ecology. 101(4), 943-952. https://doi.org/10.1111/1365-2745.12092.</w:t>
      </w:r>
    </w:p>
    <w:p w14:paraId="652811AE" w14:textId="77777777" w:rsidR="00BD673C" w:rsidRPr="00E347AD" w:rsidRDefault="00BD673C" w:rsidP="00A74D12">
      <w:pPr>
        <w:pStyle w:val="EndNoteBibliography"/>
        <w:spacing w:line="480" w:lineRule="auto"/>
        <w:ind w:left="720" w:hanging="720"/>
      </w:pPr>
      <w:r w:rsidRPr="00E347AD">
        <w:t>Fry, E.L., Pilgrim, E.S., Tallowin, J.R.B., Smith, R.S., Mortimer, S.R., Beaumont, D.A., Simkin, J., Harris, S.J., Shiel, R.S., Quirk, H., Harrison, K.A., Lawson, C.S., Hobbs, P.J., Bardgett, R.D., 2017. Plant, soil and microbial controls on grassland diversity restoration: a long-term, multi-site mesocosm experiment. Journal of Applied Ecology. 54(5), 1320-1330. https://doi.org/10.1111/1365-2664.12869.</w:t>
      </w:r>
    </w:p>
    <w:p w14:paraId="4D3B2164" w14:textId="77777777" w:rsidR="00BD673C" w:rsidRPr="00E347AD" w:rsidRDefault="00BD673C" w:rsidP="00A74D12">
      <w:pPr>
        <w:pStyle w:val="EndNoteBibliography"/>
        <w:spacing w:line="480" w:lineRule="auto"/>
        <w:ind w:left="720" w:hanging="720"/>
      </w:pPr>
      <w:r w:rsidRPr="00E347AD">
        <w:t xml:space="preserve">Fu, B., Li, S., Yu, X., Yang, P., Yu, G., Feng, R., Zhuang, X., 2010. Chinese </w:t>
      </w:r>
      <w:r w:rsidRPr="00E347AD">
        <w:lastRenderedPageBreak/>
        <w:t>ecosystem research network: Progress and perspectives. Ecological Complexity. 7(2), 225-233. https://doi.org/10.1016/j.ecocom.2010.02.007.</w:t>
      </w:r>
    </w:p>
    <w:p w14:paraId="707CE9B8" w14:textId="77777777" w:rsidR="00BD673C" w:rsidRPr="00E347AD" w:rsidRDefault="00BD673C" w:rsidP="00A74D12">
      <w:pPr>
        <w:pStyle w:val="EndNoteBibliography"/>
        <w:spacing w:line="480" w:lineRule="auto"/>
        <w:ind w:left="720" w:hanging="720"/>
      </w:pPr>
      <w:r w:rsidRPr="00E347AD">
        <w:t>Garner, W., Steinberger, Y., 1989. A proposed mechanism for the formation of ‘Fertile Islands’ in the desert ecosystem. Journal of Arid Environments. 16(3), 257-262. https://doi.org/10.1016/S0140-1963(18)30941-8.</w:t>
      </w:r>
    </w:p>
    <w:p w14:paraId="031F235F" w14:textId="77777777" w:rsidR="00BD673C" w:rsidRPr="00E347AD" w:rsidRDefault="00BD673C" w:rsidP="00A74D12">
      <w:pPr>
        <w:pStyle w:val="EndNoteBibliography"/>
        <w:spacing w:line="480" w:lineRule="auto"/>
        <w:ind w:left="720" w:hanging="720"/>
      </w:pPr>
      <w:r w:rsidRPr="00E347AD">
        <w:t xml:space="preserve">Grace, J.B., 2006. Structural Equation Modeling and Natural Systems. Cambridge University Press. https://doi.org/10.1017/cbo9780511617799 </w:t>
      </w:r>
    </w:p>
    <w:p w14:paraId="5C9C99CC" w14:textId="77777777" w:rsidR="00BD673C" w:rsidRPr="00E347AD" w:rsidRDefault="00BD673C" w:rsidP="00A74D12">
      <w:pPr>
        <w:pStyle w:val="EndNoteBibliography"/>
        <w:spacing w:line="480" w:lineRule="auto"/>
        <w:ind w:left="720" w:hanging="720"/>
      </w:pPr>
      <w:r w:rsidRPr="00E347AD">
        <w:t>Havrilla, C.A., Munson, S.M., McCormick, M.L., Laushman, K.M., Balazs, K.R., Butterfield, B.J., 2020. RestoreNet: An emerging restoration network reveals controls on seeding success across dryland ecosystems. Journal of Applied Ecology. 57(11), 2191-2202. https://doi.org/10.1111/1365-2664.13715.</w:t>
      </w:r>
    </w:p>
    <w:p w14:paraId="7EC52058" w14:textId="77777777" w:rsidR="00BD673C" w:rsidRPr="00E347AD" w:rsidRDefault="00BD673C" w:rsidP="00A74D12">
      <w:pPr>
        <w:pStyle w:val="EndNoteBibliography"/>
        <w:spacing w:line="480" w:lineRule="auto"/>
        <w:ind w:left="720" w:hanging="720"/>
      </w:pPr>
      <w:r w:rsidRPr="00E347AD">
        <w:t>Hu, J., Zhou, Q., Cao, Q., Hu, J., 2022a. Effects of ecological restoration measures on vegetation and soil properties in semi-humid sandy land on the southeast Qinghai-Tibetan Plateau, China. Global Ecology and Conservation. 33, e02000. https://doi.org/10.1016/j.gecco.2022.e02000.</w:t>
      </w:r>
    </w:p>
    <w:p w14:paraId="6B76BCC3" w14:textId="77777777" w:rsidR="00BD673C" w:rsidRPr="00E347AD" w:rsidRDefault="00BD673C" w:rsidP="00A74D12">
      <w:pPr>
        <w:pStyle w:val="EndNoteBibliography"/>
        <w:spacing w:line="480" w:lineRule="auto"/>
        <w:ind w:left="720" w:hanging="720"/>
      </w:pPr>
      <w:r w:rsidRPr="00E347AD">
        <w:t xml:space="preserve">Hu, P.-L., Liu, S.-J., Ye, Y.-Y., Zhang, W., Wang, K.-L., Su, Y.-R., 2018. Effects of environmental factors on soil organic carbon under natural or </w:t>
      </w:r>
      <w:r w:rsidRPr="00E347AD">
        <w:lastRenderedPageBreak/>
        <w:t>managed vegetation restoration. Land Degradation &amp; Development. 29(3), 387-397. https://doi.org/10.1002/ldr.2876.</w:t>
      </w:r>
    </w:p>
    <w:p w14:paraId="45347B27" w14:textId="77777777" w:rsidR="00BD673C" w:rsidRPr="00E347AD" w:rsidRDefault="00BD673C" w:rsidP="00A74D12">
      <w:pPr>
        <w:pStyle w:val="EndNoteBibliography"/>
        <w:spacing w:line="480" w:lineRule="auto"/>
        <w:ind w:left="720" w:hanging="720"/>
      </w:pPr>
      <w:r w:rsidRPr="00E347AD">
        <w:t>Hu, Z., Song, X., Wang, M., Ma, J., Zhang, Y., Xu, H.-J., Hu, Z., Zhu, X., Liu, H., Ma, J., Yu, Q., Ostle, N.J., Li, Y., Yue, C., 2022b. Aridity influences root versus shoot contributions to steppe grassland soil carbon stock and its stability. Geoderma. 413, 115744. https://doi.org/10.1016/j.geoderma.2022.115744.</w:t>
      </w:r>
    </w:p>
    <w:p w14:paraId="096559D1" w14:textId="77777777" w:rsidR="00BD673C" w:rsidRPr="00E347AD" w:rsidRDefault="00BD673C" w:rsidP="00A74D12">
      <w:pPr>
        <w:pStyle w:val="EndNoteBibliography"/>
        <w:spacing w:line="480" w:lineRule="auto"/>
        <w:ind w:left="720" w:hanging="720"/>
      </w:pPr>
      <w:r w:rsidRPr="00E347AD">
        <w:t>Huang, C., Zeng, Y., Wang, L., Wang, S., 2020. Responses of soil nutrients to vegetation restoration in China. Regional Environmental Change. 20(3), 82. https://doi.org/10.1007/s10113-020-01679-6.</w:t>
      </w:r>
    </w:p>
    <w:p w14:paraId="103367D1" w14:textId="77777777" w:rsidR="00BD673C" w:rsidRPr="00E347AD" w:rsidRDefault="00BD673C" w:rsidP="00A74D12">
      <w:pPr>
        <w:pStyle w:val="EndNoteBibliography"/>
        <w:spacing w:line="480" w:lineRule="auto"/>
        <w:ind w:left="720" w:hanging="720"/>
      </w:pPr>
      <w:r w:rsidRPr="00E347AD">
        <w:t>Indoria, A.K., Sharma, K.L., Reddy, K.S., 2020. Chapter 18 - Hydraulic properties of soil under warming climate. In: M.N.V. Prasad, M. Pietrzykowski (Eds.), Climate Change and Soil Interactions. Elsevier, pp. 473-508. https://doi.org/10.1016/B978-0-12-818032-7.00018-7.</w:t>
      </w:r>
    </w:p>
    <w:p w14:paraId="1F227BF1" w14:textId="77777777" w:rsidR="00BD673C" w:rsidRPr="00E347AD" w:rsidRDefault="00BD673C" w:rsidP="00A74D12">
      <w:pPr>
        <w:pStyle w:val="EndNoteBibliography"/>
        <w:spacing w:line="480" w:lineRule="auto"/>
        <w:ind w:left="720" w:hanging="720"/>
      </w:pPr>
      <w:r w:rsidRPr="00E347AD">
        <w:t>Jiao, F., Shi, X.-R., Han, F.-P., Yuan, Z.-Y., 2016. Increasing aridity, temperature and soil pH induce soil C-N-P imbalance in grasslands. Scientific Reports. 6(1), 19601. https://doi.org/10.1038/srep19601.</w:t>
      </w:r>
    </w:p>
    <w:p w14:paraId="08F99D2D" w14:textId="77777777" w:rsidR="00BD673C" w:rsidRPr="00E347AD" w:rsidRDefault="00BD673C" w:rsidP="00A74D12">
      <w:pPr>
        <w:pStyle w:val="EndNoteBibliography"/>
        <w:spacing w:line="480" w:lineRule="auto"/>
        <w:ind w:left="720" w:hanging="720"/>
      </w:pPr>
      <w:r w:rsidRPr="00E347AD">
        <w:t>Jin, Z., Qi, Y.-c., Dong, Y.-s., 2007. Storage of biomass and net primary productivity in desert shrubland of Artemisia ordosica on Ordos Plateau of Inner Mongolia, China. Journal of Forestry Research. 18(4), 298-300. https://doi.org/10.1007/s11676-007-0059-z.</w:t>
      </w:r>
    </w:p>
    <w:p w14:paraId="6B0F8BE8" w14:textId="77777777" w:rsidR="00BD673C" w:rsidRPr="00E347AD" w:rsidRDefault="00BD673C" w:rsidP="00A74D12">
      <w:pPr>
        <w:pStyle w:val="EndNoteBibliography"/>
        <w:spacing w:line="480" w:lineRule="auto"/>
        <w:ind w:left="720" w:hanging="720"/>
      </w:pPr>
      <w:r w:rsidRPr="00E347AD">
        <w:lastRenderedPageBreak/>
        <w:t>John, R., Dalling, J.W., Harms, K.E., Yavitt, J.B., Stallard, R.F., Mirabello, M., Hubbell, S.P., Valencia, R., Navarrete, H., Vallejo, M., 2007. Soil nutrients influence spatial distributions of tropical tree species. Proceedings of the National Academy of Sciences. 104(3), 864-869. https://doi.org/10.1073/pnas.0604666104.</w:t>
      </w:r>
    </w:p>
    <w:p w14:paraId="4E7724D6" w14:textId="77777777" w:rsidR="00BD673C" w:rsidRPr="00E347AD" w:rsidRDefault="00BD673C" w:rsidP="00A74D12">
      <w:pPr>
        <w:pStyle w:val="EndNoteBibliography"/>
        <w:spacing w:line="480" w:lineRule="auto"/>
        <w:ind w:left="720" w:hanging="720"/>
      </w:pPr>
      <w:r w:rsidRPr="00E347AD">
        <w:t>Jones, H.P., Jones, P.C., Barbier, E.B., Blackburn, R.C., Rey Benayas, J.M., Holl, K.D., McCrackin, M., Meli, P., Montoya, D., Mateos, D.M., 2018. Restoration and repair of Earth's damaged ecosystems. 285(1873), 20172577. https://royalsocietypublishing.org/doi/abs/10.1098/rspb.2017.2577.</w:t>
      </w:r>
    </w:p>
    <w:p w14:paraId="4BCD12C3" w14:textId="77777777" w:rsidR="00BD673C" w:rsidRPr="00E347AD" w:rsidRDefault="00BD673C" w:rsidP="00A74D12">
      <w:pPr>
        <w:pStyle w:val="EndNoteBibliography"/>
        <w:spacing w:line="480" w:lineRule="auto"/>
        <w:ind w:left="720" w:hanging="720"/>
      </w:pPr>
      <w:r w:rsidRPr="00E347AD">
        <w:t>Kalembasa, S.J., Jenkinson, D.S., 1973. A comparative study of titrimetric and gravimetric methods for the determination of organic carbon in soil. Journal of the Science of Food and Agriculture. 24(9), 1085-1090. https://doi.org/10.1002/jsfa.2740240910.</w:t>
      </w:r>
    </w:p>
    <w:p w14:paraId="1555A7B2" w14:textId="77777777" w:rsidR="00BD673C" w:rsidRPr="00E347AD" w:rsidRDefault="00BD673C" w:rsidP="00A74D12">
      <w:pPr>
        <w:pStyle w:val="EndNoteBibliography"/>
        <w:spacing w:line="480" w:lineRule="auto"/>
        <w:ind w:left="720" w:hanging="720"/>
      </w:pPr>
      <w:r w:rsidRPr="00E347AD">
        <w:t>Knudsen, D., Peterson, G.A., Pratt, P.F., 1983. Lithium, Sodium, and Potassium. In Methods of Soil Analysis. https://doi.org/10.2134/agronmonogr9.2.2ed.c13.</w:t>
      </w:r>
    </w:p>
    <w:p w14:paraId="120F1DE0" w14:textId="77777777" w:rsidR="00BD673C" w:rsidRPr="00E347AD" w:rsidRDefault="00BD673C" w:rsidP="00A74D12">
      <w:pPr>
        <w:pStyle w:val="EndNoteBibliography"/>
        <w:spacing w:line="480" w:lineRule="auto"/>
        <w:ind w:left="720" w:hanging="720"/>
      </w:pPr>
      <w:r w:rsidRPr="00E347AD">
        <w:t>Lal, R., 2019. Accelerated soil erosion as a source of atmospheric CO2. Soil Tillage Research. 188, 35-40. https://doi.org/10.1016/j.still.2018.02.001.</w:t>
      </w:r>
    </w:p>
    <w:p w14:paraId="68F9D56B" w14:textId="77777777" w:rsidR="00BD673C" w:rsidRPr="00E347AD" w:rsidRDefault="00BD673C" w:rsidP="00A74D12">
      <w:pPr>
        <w:pStyle w:val="EndNoteBibliography"/>
        <w:spacing w:line="480" w:lineRule="auto"/>
        <w:ind w:left="720" w:hanging="720"/>
      </w:pPr>
      <w:r w:rsidRPr="00E347AD">
        <w:t xml:space="preserve">Lal, R., 2004. Carbon Sequestration in Dryland Ecosystems. Environmental </w:t>
      </w:r>
      <w:r w:rsidRPr="00E347AD">
        <w:lastRenderedPageBreak/>
        <w:t>Management. 33(4), 528-544. https://doi.org/10.1007/s00267-003-9110-9.</w:t>
      </w:r>
    </w:p>
    <w:p w14:paraId="537D48CE" w14:textId="77777777" w:rsidR="00BD673C" w:rsidRPr="00E347AD" w:rsidRDefault="00BD673C" w:rsidP="00A74D12">
      <w:pPr>
        <w:pStyle w:val="EndNoteBibliography"/>
        <w:spacing w:line="480" w:lineRule="auto"/>
        <w:ind w:left="720" w:hanging="720"/>
      </w:pPr>
      <w:r w:rsidRPr="00E347AD">
        <w:t>Li, C., Fu, B., Wang, S., Stringer, L.C., Wang, Y., Li, Z., Liu, Y., Zhou, W., 2021. Drivers and impacts of changes in China’s drylands. Nature Reviews Earth &amp; Environment. 2(12), 858-873. https://doi.org/10.1038/s43017-021-00226-z.</w:t>
      </w:r>
    </w:p>
    <w:p w14:paraId="085EE600" w14:textId="77777777" w:rsidR="00BD673C" w:rsidRPr="00E347AD" w:rsidRDefault="00BD673C" w:rsidP="00A74D12">
      <w:pPr>
        <w:pStyle w:val="EndNoteBibliography"/>
        <w:spacing w:line="480" w:lineRule="auto"/>
        <w:ind w:left="720" w:hanging="720"/>
      </w:pPr>
      <w:r w:rsidRPr="00E347AD">
        <w:t>Li, J., Li, Z., Guo, M., Li, P., Cheng, S., Yuan, B., 2018. Effects of vegetation restoration on soil physical properties of abandoned farmland on the Loess Plateau, China. Environmental Earth Sciences. 77(5), 205. https://doi.org/10.1007/s12665-018-7385-7.</w:t>
      </w:r>
    </w:p>
    <w:p w14:paraId="3BAA3557" w14:textId="77777777" w:rsidR="00BD673C" w:rsidRPr="00E347AD" w:rsidRDefault="00BD673C" w:rsidP="00A74D12">
      <w:pPr>
        <w:pStyle w:val="EndNoteBibliography"/>
        <w:spacing w:line="480" w:lineRule="auto"/>
        <w:ind w:left="720" w:hanging="720"/>
      </w:pPr>
      <w:r w:rsidRPr="00E347AD">
        <w:t>Li, Y., Cui, J., Zhang, T., Okuro, T., Drake, S., 2009. Effectiveness of sand-fixing measures on desert land restoration in Kerqin Sandy Land, northern China. Ecological Engineering. 35(1), 118-127. https://doi.org/10.1016/j.ecoleng.2008.09.013.</w:t>
      </w:r>
    </w:p>
    <w:p w14:paraId="0BCD0BF2" w14:textId="77777777" w:rsidR="00BD673C" w:rsidRPr="00E347AD" w:rsidRDefault="00BD673C" w:rsidP="00A74D12">
      <w:pPr>
        <w:pStyle w:val="EndNoteBibliography"/>
        <w:spacing w:line="480" w:lineRule="auto"/>
        <w:ind w:left="720" w:hanging="720"/>
      </w:pPr>
      <w:r w:rsidRPr="00E347AD">
        <w:t>Li, Y., Han, J., Wang, S., Brandle, J., Lian, J., Luo, Y., Zhang, F., 2013. Soil organic carbon and total nitrogen storage under different land uses in the Naiman Banner, a semiarid degraded region of northern China. Canadian Journal of Soil Science. 94(1), 9-20. https://doi.org/10.4141/cjss2013-074.</w:t>
      </w:r>
    </w:p>
    <w:p w14:paraId="54500560" w14:textId="77777777" w:rsidR="00BD673C" w:rsidRPr="00E347AD" w:rsidRDefault="00BD673C" w:rsidP="00A74D12">
      <w:pPr>
        <w:pStyle w:val="EndNoteBibliography"/>
        <w:spacing w:line="480" w:lineRule="auto"/>
        <w:ind w:left="720" w:hanging="720"/>
      </w:pPr>
      <w:r w:rsidRPr="00E347AD">
        <w:t xml:space="preserve">Li, Y., Zhang, Q.W., Reicosky, D.C., Lindstrom, M.J., Bai, L.Y., Li, L., 2007. Changes in soil organic carbon induced by tillage and water erosion on </w:t>
      </w:r>
      <w:r w:rsidRPr="00E347AD">
        <w:lastRenderedPageBreak/>
        <w:t>a steep cultivated hillslope in the Chinese Loess Plateau from 1898–1954 and 1954–1998. Journal of Geophysical Research: Biogeosciences. 112(G1). https://doi.org/10.1029/2005JG000107.</w:t>
      </w:r>
    </w:p>
    <w:p w14:paraId="1CEB1223" w14:textId="7C23AC82" w:rsidR="00BD673C" w:rsidRDefault="00BD673C" w:rsidP="00A74D12">
      <w:pPr>
        <w:pStyle w:val="EndNoteBibliography"/>
        <w:spacing w:line="480" w:lineRule="auto"/>
        <w:ind w:left="720" w:hanging="720"/>
      </w:pPr>
      <w:r w:rsidRPr="00E347AD">
        <w:t xml:space="preserve">Liu, L., Gudmundsson, L., Hauser, M., Qin, D., Li, S., Seneviratne, S.I., 2020. Soil moisture dominates dryness stress on ecosystem production globally. Nature Communications. 11(1), 4892. </w:t>
      </w:r>
      <w:r w:rsidR="00150B58" w:rsidRPr="008478B8">
        <w:t>https://doi.org/10.1038/s41467-020-18631-1</w:t>
      </w:r>
      <w:r w:rsidRPr="00E347AD">
        <w:t>.</w:t>
      </w:r>
    </w:p>
    <w:p w14:paraId="06AE8F28" w14:textId="45B7532C" w:rsidR="00150B58" w:rsidRPr="00E347AD" w:rsidRDefault="00150B58" w:rsidP="00A74D12">
      <w:pPr>
        <w:pStyle w:val="EndNoteBibliography"/>
        <w:spacing w:line="480" w:lineRule="auto"/>
        <w:ind w:left="720" w:hanging="720"/>
      </w:pPr>
      <w:r w:rsidRPr="00150B58">
        <w:t>Loidi, J., Fernández-González, F., 2012. Potential natural vegetation: reburying or reboring? Journal of Vegetation Science. 23(3), 596-604. https://doi.org/10.1111/j.1654-1103.2012.01387.x.</w:t>
      </w:r>
    </w:p>
    <w:p w14:paraId="01238F87" w14:textId="77777777" w:rsidR="00BD673C" w:rsidRPr="00E347AD" w:rsidRDefault="00BD673C" w:rsidP="00A74D12">
      <w:pPr>
        <w:pStyle w:val="EndNoteBibliography"/>
        <w:spacing w:line="480" w:lineRule="auto"/>
        <w:ind w:left="720" w:hanging="720"/>
      </w:pPr>
      <w:r w:rsidRPr="00E347AD">
        <w:t>Maestre, F.T., Benito, B.M., Berdugo, M., Concostrina-Zubiri, L., Delgado-Baquerizo, M., Eldridge, D.J., Guirado, E., Gross, N., Kéfi, S., Le Bagousse-Pinguet, Y., Ochoa-Hueso, R., Soliveres, S., 2021. Biogeography of global drylands. New Phytologist. 231(2), 540-558. https://doi.org/10.1111/nph.17395.</w:t>
      </w:r>
    </w:p>
    <w:p w14:paraId="4C45D41B" w14:textId="77777777" w:rsidR="00BD673C" w:rsidRPr="00E347AD" w:rsidRDefault="00BD673C" w:rsidP="00A74D12">
      <w:pPr>
        <w:pStyle w:val="EndNoteBibliography"/>
        <w:spacing w:line="480" w:lineRule="auto"/>
        <w:ind w:left="720" w:hanging="720"/>
      </w:pPr>
      <w:r w:rsidRPr="00E347AD">
        <w:t>Maestre, F.T., Eldridge, D.J., Gross, N., Le Bagousse-Pinguet, Y., Saiz, H., Gozalo, B., Ochoa, V., Gaitán, J.J., 2022. The BIODESERT survey: assessing the impacts of grazing on the structure and functioning of global drylands. Web Ecol. 22(2), 75-96. https://doi.org/10.5194/we-22-75-2022.</w:t>
      </w:r>
    </w:p>
    <w:p w14:paraId="2DE6F424" w14:textId="77777777" w:rsidR="00BD673C" w:rsidRPr="00E347AD" w:rsidRDefault="00BD673C" w:rsidP="00A74D12">
      <w:pPr>
        <w:pStyle w:val="EndNoteBibliography"/>
        <w:spacing w:line="480" w:lineRule="auto"/>
        <w:ind w:left="720" w:hanging="720"/>
      </w:pPr>
      <w:r w:rsidRPr="00E347AD">
        <w:t xml:space="preserve">Martí-Roura, M., Casals, P., Romanyà, J., 2011. Temporal changes in soil </w:t>
      </w:r>
      <w:r w:rsidRPr="00E347AD">
        <w:lastRenderedPageBreak/>
        <w:t>organic C under Mediterranean shrublands and grasslands: impact of fire and drought. Plant and Soil. 338(1), 289-300. https://doi.org/10.1007/s11104-010-0485-0.</w:t>
      </w:r>
    </w:p>
    <w:p w14:paraId="1030D057" w14:textId="77777777" w:rsidR="00BD673C" w:rsidRPr="00E347AD" w:rsidRDefault="00BD673C" w:rsidP="00A74D12">
      <w:pPr>
        <w:pStyle w:val="EndNoteBibliography"/>
        <w:spacing w:line="480" w:lineRule="auto"/>
        <w:ind w:left="720" w:hanging="720"/>
      </w:pPr>
      <w:r w:rsidRPr="00E347AD">
        <w:t>Mayor, Á.G., Kéfi, S., Bautista, S., Rodríguez, F., Cartení, F., Rietkerk, M., 2013. Feedbacks between vegetation pattern and resource loss dramatically decrease ecosystem resilience and restoration potential in a simple dryland model. Landscape Ecology. 28(5), 931-942. https://doi.org/10.1007/s10980-013-9870-4.</w:t>
      </w:r>
    </w:p>
    <w:p w14:paraId="3BB5431E" w14:textId="77777777" w:rsidR="00BD673C" w:rsidRPr="00E347AD" w:rsidRDefault="00BD673C" w:rsidP="00A74D12">
      <w:pPr>
        <w:pStyle w:val="EndNoteBibliography"/>
        <w:spacing w:line="480" w:lineRule="auto"/>
        <w:ind w:left="720" w:hanging="720"/>
      </w:pPr>
      <w:r w:rsidRPr="00E347AD">
        <w:t>Miller, W.P., Miller, D.M., 1987. A micro</w:t>
      </w:r>
      <w:r w:rsidRPr="00E347AD">
        <w:rPr>
          <w:rFonts w:ascii="微软雅黑" w:eastAsia="微软雅黑" w:hAnsi="微软雅黑" w:cs="微软雅黑" w:hint="eastAsia"/>
        </w:rPr>
        <w:t>‐</w:t>
      </w:r>
      <w:r w:rsidRPr="00E347AD">
        <w:t>pipette method for soil mechanical analysis. Communications in Soil Science and Plant Analysis. 18(1), 1-15. https://doi.org/10.1080/00103628709367799.</w:t>
      </w:r>
    </w:p>
    <w:p w14:paraId="33DCA181" w14:textId="77777777" w:rsidR="00BD673C" w:rsidRPr="00E347AD" w:rsidRDefault="00BD673C" w:rsidP="00A74D12">
      <w:pPr>
        <w:pStyle w:val="EndNoteBibliography"/>
        <w:spacing w:line="480" w:lineRule="auto"/>
        <w:ind w:left="720" w:hanging="720"/>
      </w:pPr>
      <w:r w:rsidRPr="00E347AD">
        <w:t>Mo, K., Cong, Z., Lei, H., 2016. Optimal vegetation cover in the Horqin Sands, China. Ecohydrology. 9(4), 700-711. https://doi.org/10.1002/eco.1668.</w:t>
      </w:r>
    </w:p>
    <w:p w14:paraId="322C8FE8" w14:textId="77777777" w:rsidR="00BD673C" w:rsidRPr="00E347AD" w:rsidRDefault="00BD673C" w:rsidP="00A74D12">
      <w:pPr>
        <w:pStyle w:val="EndNoteBibliography"/>
        <w:spacing w:line="480" w:lineRule="auto"/>
        <w:ind w:left="720" w:hanging="720"/>
      </w:pPr>
      <w:r w:rsidRPr="00E347AD">
        <w:t>Mofidi, M., Jafari, M., Tavili, A., Rashtbari, M., Alijanpour, A., 2013. Grazing Exclusion Effect on Soil and Vegetation Properties in Imam Kandi Rangelands, Iran. Arid Land Research and Management. 27(1), 32-40. https://doi.org/10.1080/15324982.2012.719575.</w:t>
      </w:r>
    </w:p>
    <w:p w14:paraId="72997A0A" w14:textId="77777777" w:rsidR="00BD673C" w:rsidRPr="00E347AD" w:rsidRDefault="00BD673C" w:rsidP="00A74D12">
      <w:pPr>
        <w:pStyle w:val="EndNoteBibliography"/>
        <w:spacing w:line="480" w:lineRule="auto"/>
        <w:ind w:left="720" w:hanging="720"/>
      </w:pPr>
      <w:r w:rsidRPr="00E347AD">
        <w:t>Neill, C., 1992. Comparison of Soil Coring and Ingrowth Methods for Measuring Belowground Production. Ecology. 73(5), 1918-1921. https://doi.org/10.2307/1940044.</w:t>
      </w:r>
    </w:p>
    <w:p w14:paraId="04EBCBC5" w14:textId="77777777" w:rsidR="00BD673C" w:rsidRPr="00E347AD" w:rsidRDefault="00BD673C" w:rsidP="00A74D12">
      <w:pPr>
        <w:pStyle w:val="EndNoteBibliography"/>
        <w:spacing w:line="480" w:lineRule="auto"/>
        <w:ind w:left="720" w:hanging="720"/>
      </w:pPr>
      <w:r w:rsidRPr="00E347AD">
        <w:t xml:space="preserve">Pan, Y.X., Wang, X.P., Jia, R.L., Chen, Y.W., He, M.Z., 2008. Spatial variability </w:t>
      </w:r>
      <w:r w:rsidRPr="00E347AD">
        <w:lastRenderedPageBreak/>
        <w:t>of surface soil moisture content in a re-vegetated desert area in Shapotou, Northern China. Journal of Arid Environments. 72(9), 1675-1683. https://doi.org/10.1016/j.jaridenv.2008.03.010.</w:t>
      </w:r>
    </w:p>
    <w:p w14:paraId="64F4FB0A" w14:textId="77777777" w:rsidR="00BD673C" w:rsidRPr="00E347AD" w:rsidRDefault="00BD673C" w:rsidP="00A74D12">
      <w:pPr>
        <w:pStyle w:val="EndNoteBibliography"/>
        <w:spacing w:line="480" w:lineRule="auto"/>
        <w:ind w:left="720" w:hanging="720"/>
      </w:pPr>
      <w:r w:rsidRPr="00E347AD">
        <w:t>Pansu, M., Gautheyrou, J., 2006. pH measurement. Springer. https://doi.org/10.1007/978-3-540-31211-6_15.</w:t>
      </w:r>
    </w:p>
    <w:p w14:paraId="254F8A7F" w14:textId="77777777" w:rsidR="00BD673C" w:rsidRPr="00E347AD" w:rsidRDefault="00BD673C" w:rsidP="00A74D12">
      <w:pPr>
        <w:pStyle w:val="EndNoteBibliography"/>
        <w:spacing w:line="480" w:lineRule="auto"/>
        <w:ind w:left="720" w:hanging="720"/>
      </w:pPr>
      <w:r w:rsidRPr="00E347AD">
        <w:t>Reynolds, J.F., Maestre, F.T., Kemp, P.R., Stafford-Smith, D.M., Lambin, E., 2007a. Natural and Human Dimensions of Land Degradation in Drylands: Causes and Consequences. In: J.G. Canadell, D.E. Pataki, L.F. Pitelka (Eds.), Terrestrial Ecosystems in a Changing World. Springer Berlin Heidelberg, Berlin, Heidelberg, pp. 247-257. https://doi.org/10.1007/978-3-540-32730-1_20.</w:t>
      </w:r>
    </w:p>
    <w:p w14:paraId="7780F822" w14:textId="77777777" w:rsidR="00BD673C" w:rsidRPr="00E347AD" w:rsidRDefault="00BD673C" w:rsidP="00A74D12">
      <w:pPr>
        <w:pStyle w:val="EndNoteBibliography"/>
        <w:spacing w:line="480" w:lineRule="auto"/>
        <w:ind w:left="720" w:hanging="720"/>
      </w:pPr>
      <w:r w:rsidRPr="00E347AD">
        <w:t>Reynolds, J.F., Smith, D.M.S., Lambin, E.F., Turner, B.L., Mortimore, M., Batterbury, S.P.J., Downing, T.E., Dowlatabadi, H., Fernández, R.J., Herrick, J.E., Huber-Sannwald, E., Jiang, H., Leemans, R., Lynam, T., Maestre, F.T., Ayarza, M., Walker, B., 2007b. Global Desertification: Building a Science for Dryland Development. Science. 316(5826), 847-851. https://doi.org/10.1126/science.1131634.</w:t>
      </w:r>
    </w:p>
    <w:p w14:paraId="29BC33ED" w14:textId="77777777" w:rsidR="00BD673C" w:rsidRPr="00E347AD" w:rsidRDefault="00BD673C" w:rsidP="00A74D12">
      <w:pPr>
        <w:pStyle w:val="EndNoteBibliography"/>
        <w:spacing w:line="480" w:lineRule="auto"/>
        <w:ind w:left="720" w:hanging="720"/>
      </w:pPr>
      <w:r w:rsidRPr="00E347AD">
        <w:t xml:space="preserve">Schumacker, R.E., Lomax, R.G., 2004. A beginner's guide to structural equation modeling. psychology press. https://doi.org/10.4324/9780203851319 </w:t>
      </w:r>
    </w:p>
    <w:p w14:paraId="3420E370" w14:textId="77DAF08B" w:rsidR="00BD673C" w:rsidRDefault="00BD673C" w:rsidP="00A74D12">
      <w:pPr>
        <w:pStyle w:val="EndNoteBibliography"/>
        <w:spacing w:line="480" w:lineRule="auto"/>
        <w:ind w:left="720" w:hanging="720"/>
      </w:pPr>
      <w:r w:rsidRPr="00E347AD">
        <w:t xml:space="preserve">Sierra, C.A., Trumbore, S.E., Davidson, E.A., Vicca, S., Janssens, I., 2015. </w:t>
      </w:r>
      <w:r w:rsidRPr="00E347AD">
        <w:lastRenderedPageBreak/>
        <w:t xml:space="preserve">Sensitivity of decomposition rates of soil organic matter with respect to simultaneous changes in temperature and moisture. Journal of Advances in Modeling Earth Systems. 7(1), 335-356. </w:t>
      </w:r>
      <w:r w:rsidR="00150B58" w:rsidRPr="008478B8">
        <w:t>https://doi.org/10.1002/2014MS000358</w:t>
      </w:r>
      <w:r w:rsidRPr="00E347AD">
        <w:t>.</w:t>
      </w:r>
    </w:p>
    <w:p w14:paraId="5C426BF0" w14:textId="4B1E47A4" w:rsidR="00150B58" w:rsidRPr="00E347AD" w:rsidRDefault="00150B58" w:rsidP="00A74D12">
      <w:pPr>
        <w:pStyle w:val="EndNoteBibliography"/>
        <w:spacing w:line="480" w:lineRule="auto"/>
        <w:ind w:left="720" w:hanging="720"/>
      </w:pPr>
      <w:r w:rsidRPr="00150B58">
        <w:t>Six, J., Paustian, K., Elliott, E.T., Combrink, C., 2000. Soil Structure and Organic Matter I. Distribution of Aggregate-Size Classes and Aggregate-Associated Carbon. 64(2), 681-689. https://doi.org/10.2136/sssaj2000.642681x.</w:t>
      </w:r>
    </w:p>
    <w:p w14:paraId="6CC21F72" w14:textId="77777777" w:rsidR="00BD673C" w:rsidRPr="00E347AD" w:rsidRDefault="00BD673C" w:rsidP="00A74D12">
      <w:pPr>
        <w:pStyle w:val="EndNoteBibliography"/>
        <w:spacing w:line="480" w:lineRule="auto"/>
        <w:ind w:left="720" w:hanging="720"/>
      </w:pPr>
      <w:r w:rsidRPr="00E347AD">
        <w:t>Sommers, L.E., Nelson, D.W., 1972. Determination of Total Phosphorus in Soils: A Rapid Perchloric Acid Digestion Procedure. Soil Science Society of America Journal. 36(6), 902-904. https://doi.org/10.2136/sssaj1972.03615995003600060020x.</w:t>
      </w:r>
    </w:p>
    <w:p w14:paraId="6E3D377F" w14:textId="7BB298CF" w:rsidR="00BD673C" w:rsidRDefault="00BD673C" w:rsidP="00A74D12">
      <w:pPr>
        <w:pStyle w:val="EndNoteBibliography"/>
        <w:spacing w:line="480" w:lineRule="auto"/>
        <w:ind w:left="720" w:hanging="720"/>
      </w:pPr>
      <w:r w:rsidRPr="00E347AD">
        <w:t xml:space="preserve">Su, Y.Z., Zhang, T.H., Li, Y.L., Wang, F., 2005. Changes in Soil Properties After Establishment of Artemisia halodendron and Caragana microphylla on Shifting Sand Dunes in Semiarid Horqin Sandy Land, Northern China. Environmental Management. 36(2), 272-281. </w:t>
      </w:r>
      <w:r w:rsidR="00150B58" w:rsidRPr="008478B8">
        <w:t>https://doi.org/10.1007/s00267-004-4083-x</w:t>
      </w:r>
      <w:r w:rsidRPr="00E347AD">
        <w:t>.</w:t>
      </w:r>
    </w:p>
    <w:p w14:paraId="201A6BA3" w14:textId="00BEAAAA" w:rsidR="00150B58" w:rsidRPr="00E347AD" w:rsidRDefault="00150B58" w:rsidP="00A74D12">
      <w:pPr>
        <w:pStyle w:val="EndNoteBibliography"/>
        <w:spacing w:line="480" w:lineRule="auto"/>
        <w:ind w:left="720" w:hanging="720"/>
      </w:pPr>
      <w:r w:rsidRPr="00150B58">
        <w:t>Tölgyesi, C., Buisson, E., Helm, A., Temperton, V.M., Török, P., 2022. Urgent need for updating the slogan of global climate actions from “tree planting” to “restore native vegetation”. Restoration Ecology. 30(3), e13594. https://doi.org/10.1111/rec.13594.</w:t>
      </w:r>
    </w:p>
    <w:p w14:paraId="3D86F04F" w14:textId="77777777" w:rsidR="00BD673C" w:rsidRPr="00E347AD" w:rsidRDefault="00BD673C" w:rsidP="00A74D12">
      <w:pPr>
        <w:pStyle w:val="EndNoteBibliography"/>
        <w:spacing w:line="480" w:lineRule="auto"/>
        <w:ind w:left="720" w:hanging="720"/>
      </w:pPr>
      <w:r w:rsidRPr="00E347AD">
        <w:lastRenderedPageBreak/>
        <w:t>Török, P., Bullock, J.M., Jiménez-Alfaro, B., Sonkoly, J., 2020. The importance of dispersal and species establishment in vegetation dynamics and resilience. Journal of Vegetation Science. 31(6), 935-942. https://doi.org/10.1111/jvs.12958.</w:t>
      </w:r>
    </w:p>
    <w:p w14:paraId="7CBDD333" w14:textId="77777777" w:rsidR="00BD673C" w:rsidRPr="00E347AD" w:rsidRDefault="00BD673C" w:rsidP="00A74D12">
      <w:pPr>
        <w:pStyle w:val="EndNoteBibliography"/>
        <w:spacing w:line="480" w:lineRule="auto"/>
        <w:ind w:left="720" w:hanging="720"/>
      </w:pPr>
      <w:r w:rsidRPr="00E347AD">
        <w:t>Wan, Q., Zhu, G., Guo, H., Zhang, Y., Pan, H., Yong, L., Ma, H., 2019. Influence of Vegetation Coverage and Climate Environment on Soil Organic Carbon in the Qilian Mountains. Scientific Reports. 9(1), 17623. https://doi.org/10.1038/s41598-019-53837-4.</w:t>
      </w:r>
    </w:p>
    <w:p w14:paraId="195C36D4" w14:textId="77777777" w:rsidR="00BD673C" w:rsidRPr="00E347AD" w:rsidRDefault="00BD673C" w:rsidP="00A74D12">
      <w:pPr>
        <w:pStyle w:val="EndNoteBibliography"/>
        <w:spacing w:line="480" w:lineRule="auto"/>
        <w:ind w:left="720" w:hanging="720"/>
      </w:pPr>
      <w:r w:rsidRPr="00E347AD">
        <w:t>Wang, S., Wilkes, A., Zhang, Z., Chang, X., Lang, R., Wang, Y., Niu, H., 2011. Management and land use change effects on soil carbon in northern China's grasslands: a synthesis. Agriculture, Ecosystems &amp; Environment. 142(3), 329-340. https://doi.org/10.1016/j.agee.2011.06.002.</w:t>
      </w:r>
    </w:p>
    <w:p w14:paraId="01B01AB1" w14:textId="77777777" w:rsidR="00BD673C" w:rsidRPr="00E347AD" w:rsidRDefault="00BD673C" w:rsidP="00A74D12">
      <w:pPr>
        <w:pStyle w:val="EndNoteBibliography"/>
        <w:spacing w:line="480" w:lineRule="auto"/>
        <w:ind w:left="720" w:hanging="720"/>
      </w:pPr>
      <w:r w:rsidRPr="00E347AD">
        <w:t>Wang, X., Wang, Y., Wang, Y., 2013. Use of exotic species during ecological restoration can produce effects that resemble vegetation invasions and other unintended consequences. Ecological Engineering. 52, 247-251. https://doi.org/10.1016/j.ecoleng.2012.11.007.</w:t>
      </w:r>
    </w:p>
    <w:p w14:paraId="5BFCAA34" w14:textId="77777777" w:rsidR="00BD673C" w:rsidRPr="00E347AD" w:rsidRDefault="00BD673C" w:rsidP="00A74D12">
      <w:pPr>
        <w:pStyle w:val="EndNoteBibliography"/>
        <w:spacing w:line="480" w:lineRule="auto"/>
        <w:ind w:left="720" w:hanging="720"/>
      </w:pPr>
      <w:r w:rsidRPr="00E347AD">
        <w:t xml:space="preserve">Wang, Z., Guo, S., Sun, Q., Li, N., Jiang, J., Wang, R., Zhang, Y., Liu, Q., Wu, D., Li, R., Du, L., Zhao, M., 2015. Soil organic carbon sequestration potential of artificial and natural vegetation in the hilly regions of Loess Plateau. Ecological Engineering. 82, 547-554. </w:t>
      </w:r>
      <w:r w:rsidRPr="00E347AD">
        <w:lastRenderedPageBreak/>
        <w:t>https://doi.org/10.1016/j.ecoleng.2015.05.031.</w:t>
      </w:r>
    </w:p>
    <w:p w14:paraId="071A65B0" w14:textId="77777777" w:rsidR="00BD673C" w:rsidRPr="00E347AD" w:rsidRDefault="00BD673C" w:rsidP="00A74D12">
      <w:pPr>
        <w:pStyle w:val="EndNoteBibliography"/>
        <w:spacing w:line="480" w:lineRule="auto"/>
        <w:ind w:left="720" w:hanging="720"/>
      </w:pPr>
      <w:r w:rsidRPr="00E347AD">
        <w:t>Winkler, D.E., Belnap, J., Hoover, D., Reed, S.C., Duniway, M.C., 2019. Shrub persistence and increased grass mortality in response to drought in dryland systems. Global Change Biology. 25(9), 3121-3135. https://doi.org/10.1111/gcb.14667.</w:t>
      </w:r>
    </w:p>
    <w:p w14:paraId="1ABBBE6C" w14:textId="77777777" w:rsidR="00BD673C" w:rsidRPr="00E347AD" w:rsidRDefault="00BD673C" w:rsidP="00A74D12">
      <w:pPr>
        <w:pStyle w:val="EndNoteBibliography"/>
        <w:spacing w:line="480" w:lineRule="auto"/>
        <w:ind w:left="720" w:hanging="720"/>
      </w:pPr>
      <w:r w:rsidRPr="00E347AD">
        <w:t>Xu, X., Zhang, D., 2021. Comparing the long-term effects of artificial and natural vegetation restoration strategies: A case-study of Wuqi and its adjacent counties in northern China. Land Degradation &amp; Development. 32(14), 3930-3945. https://doi.org/10.1002/ldr.4018.</w:t>
      </w:r>
    </w:p>
    <w:p w14:paraId="2F84F287" w14:textId="77777777" w:rsidR="00BD673C" w:rsidRPr="00E347AD" w:rsidRDefault="00BD673C" w:rsidP="00A74D12">
      <w:pPr>
        <w:pStyle w:val="EndNoteBibliography"/>
        <w:spacing w:line="480" w:lineRule="auto"/>
        <w:ind w:left="720" w:hanging="720"/>
      </w:pPr>
      <w:r w:rsidRPr="00E347AD">
        <w:t>Xu, X., Zhang, D., Zhang, Y., Yao, S., Zhang, J., 2020. Evaluating the vegetation restoration potential achievement of ecological projects: A case study of Yan’an, China. Land Use Policy. 90, 104293. https://doi.org/10.1016/j.landusepol.2019.104293.</w:t>
      </w:r>
    </w:p>
    <w:p w14:paraId="1A58EEDA" w14:textId="77777777" w:rsidR="00BD673C" w:rsidRPr="00E347AD" w:rsidRDefault="00BD673C" w:rsidP="00A74D12">
      <w:pPr>
        <w:pStyle w:val="EndNoteBibliography"/>
        <w:spacing w:line="480" w:lineRule="auto"/>
        <w:ind w:left="720" w:hanging="720"/>
      </w:pPr>
      <w:r w:rsidRPr="00E347AD">
        <w:t>Yan, F., Schubert, S., Mengel, K., 1996. Soil pH increase due to biological decarboxylation of organic anions. Soil Biology and Biochemistry. 28(4), 617-624. https://doi.org/10.1016/0038-0717(95)00180-8.</w:t>
      </w:r>
    </w:p>
    <w:p w14:paraId="60CFD173" w14:textId="77777777" w:rsidR="00BD673C" w:rsidRPr="00E347AD" w:rsidRDefault="00BD673C" w:rsidP="00A74D12">
      <w:pPr>
        <w:pStyle w:val="EndNoteBibliography"/>
        <w:spacing w:line="480" w:lineRule="auto"/>
        <w:ind w:left="720" w:hanging="720"/>
      </w:pPr>
      <w:r w:rsidRPr="00E347AD">
        <w:t>Yirdaw, E., Tigabu, M., Monge Monge, A.A., 2017. Rehabilitation of degraded dryland ecosystems–review. Silva Fennica. 51(1B). https://doi.org/10.14214/sf.1673.</w:t>
      </w:r>
    </w:p>
    <w:p w14:paraId="1FA301B8" w14:textId="77777777" w:rsidR="00BD673C" w:rsidRPr="00E347AD" w:rsidRDefault="00BD673C" w:rsidP="00A74D12">
      <w:pPr>
        <w:pStyle w:val="EndNoteBibliography"/>
        <w:spacing w:line="480" w:lineRule="auto"/>
        <w:ind w:left="720" w:hanging="720"/>
      </w:pPr>
      <w:r w:rsidRPr="00E347AD">
        <w:t xml:space="preserve">Zhang, J., Fu, B., Stafford-Smith, M., Wang, S., Zhao, W., 2021. Improve forest restoration initiatives to meet Sustainable Development Goal 15. </w:t>
      </w:r>
      <w:r w:rsidRPr="00E347AD">
        <w:lastRenderedPageBreak/>
        <w:t>Nature Ecology &amp; Evolution. 5(1), 10-13. https://doi.org/10.1038/s41559-020-01332-9.</w:t>
      </w:r>
    </w:p>
    <w:p w14:paraId="4B85BA9F" w14:textId="77777777" w:rsidR="00BD673C" w:rsidRPr="00E347AD" w:rsidRDefault="00BD673C" w:rsidP="00A74D12">
      <w:pPr>
        <w:pStyle w:val="EndNoteBibliography"/>
        <w:spacing w:line="480" w:lineRule="auto"/>
        <w:ind w:left="720" w:hanging="720"/>
      </w:pPr>
      <w:r w:rsidRPr="00E347AD">
        <w:t>Zhang, J., Zhao, H., Zhang, T., Zhao, X., Drake, S., 2005. Community succession along a chronosequence of vegetation restoration on sand dunes in Horqin Sandy Land. Journal of Arid Environments. 62(4), 555-566. https://doi.org/10.1016/j.jaridenv.2005.01.016.</w:t>
      </w:r>
    </w:p>
    <w:p w14:paraId="64554A3D" w14:textId="77777777" w:rsidR="00BD673C" w:rsidRPr="00E347AD" w:rsidRDefault="00BD673C" w:rsidP="00A74D12">
      <w:pPr>
        <w:pStyle w:val="EndNoteBibliography"/>
        <w:spacing w:line="480" w:lineRule="auto"/>
        <w:ind w:left="720" w:hanging="720"/>
      </w:pPr>
      <w:r w:rsidRPr="00E347AD">
        <w:t>Zhang, S., Ding, G.D., Yu, M.H., Gao, G.L., Zhao, Y.Y., Wu, G.H., Wang, L., 2018. Effect of Straw Checkerboards on Wind Proofing, Sand Fixation, and Ecological Restoration in Shifting Sandy Land. International journal of environmental research and public health. 15(10). https://doi.org/10.3390/ijerph15102184.</w:t>
      </w:r>
    </w:p>
    <w:p w14:paraId="370DF641" w14:textId="77777777" w:rsidR="00BD673C" w:rsidRPr="00E347AD" w:rsidRDefault="00BD673C" w:rsidP="00A74D12">
      <w:pPr>
        <w:pStyle w:val="EndNoteBibliography"/>
        <w:spacing w:line="480" w:lineRule="auto"/>
        <w:ind w:left="720" w:hanging="720"/>
      </w:pPr>
      <w:r w:rsidRPr="00E347AD">
        <w:t>Zhang, T.-H., Zhao, H.-L., Li, S.-G., Li, F.-R., Shirato, Y., Ohkuro, T., Taniyama, I., 2004. A comparison of different measures for stabilizing moving sand dunes in the Horqin Sandy Land of Inner Mongolia, China. Journal of Arid Environments. 58(2), 203-214. https://doi.org/10.1016/j.jaridenv.2003.08.003.</w:t>
      </w:r>
    </w:p>
    <w:p w14:paraId="2DACEB43" w14:textId="77777777" w:rsidR="00BD673C" w:rsidRPr="00E347AD" w:rsidRDefault="00BD673C" w:rsidP="00A74D12">
      <w:pPr>
        <w:pStyle w:val="EndNoteBibliography"/>
        <w:spacing w:line="480" w:lineRule="auto"/>
        <w:ind w:left="720" w:hanging="720"/>
      </w:pPr>
      <w:r w:rsidRPr="00E347AD">
        <w:t>Zhang, Y., Xu, X., Li, Z., Liu, M., Xu, C., Zhang, R., Luo, W., 2019. Effects of vegetation restoration on soil quality in degraded karst landscapes of southwest China. Science of The Total Environment. 650, 2657-2665. https://doi.org/10.1016/j.scitotenv.2018.09.372.</w:t>
      </w:r>
    </w:p>
    <w:p w14:paraId="5DCA4666" w14:textId="77777777" w:rsidR="00BD673C" w:rsidRPr="00E347AD" w:rsidRDefault="00BD673C" w:rsidP="00A74D12">
      <w:pPr>
        <w:pStyle w:val="EndNoteBibliography"/>
        <w:spacing w:line="480" w:lineRule="auto"/>
        <w:ind w:left="720" w:hanging="720"/>
      </w:pPr>
      <w:r w:rsidRPr="00E347AD">
        <w:t xml:space="preserve">Zhao, N.-N., Guggenberger, G., Shibistova, O., Thao, D.T., Shi, W.J., Li, X.G., </w:t>
      </w:r>
      <w:r w:rsidRPr="00E347AD">
        <w:lastRenderedPageBreak/>
        <w:t>2014. Aspect-vegetation complex effects on biochemical characteristics and decomposability of soil organic carbon on the eastern Qinghai-Tibetan Plateau. Plant and Soil. 384(1), 289-301. https://doi.org/10.1007/s11104-014-2210-x.</w:t>
      </w:r>
    </w:p>
    <w:p w14:paraId="33FBA7D3" w14:textId="77777777" w:rsidR="00BD673C" w:rsidRPr="00E347AD" w:rsidRDefault="00BD673C" w:rsidP="00A74D12">
      <w:pPr>
        <w:pStyle w:val="EndNoteBibliography"/>
        <w:spacing w:line="480" w:lineRule="auto"/>
        <w:ind w:left="720" w:hanging="720"/>
      </w:pPr>
      <w:r w:rsidRPr="00E347AD">
        <w:t>Zhao, W., Yu, X., Xu, C., 2021. Social-ecological system management in drylands: experiences from Chinese Ecosystem Research Network. Current Opinion in Environmental Sustainability. 48, 93-102. https://doi.org/10.1016/j.cosust.2020.11.006.</w:t>
      </w:r>
    </w:p>
    <w:p w14:paraId="58620B4A" w14:textId="77777777" w:rsidR="00BD673C" w:rsidRPr="00E347AD" w:rsidRDefault="00BD673C" w:rsidP="00A74D12">
      <w:pPr>
        <w:pStyle w:val="EndNoteBibliography"/>
        <w:spacing w:line="480" w:lineRule="auto"/>
        <w:ind w:left="720" w:hanging="720"/>
      </w:pPr>
      <w:r w:rsidRPr="00E347AD">
        <w:t>Zhou, W., Han, G., Liu, M., Li, X., 2019. Effects of soil pH and texture on soil carbon and nitrogen in soil profiles under different land uses in Mun River Basin, Northeast Thailand. PeerJ. 7, e7880. https://doi.org/10.7717/peerj.7880.</w:t>
      </w:r>
    </w:p>
    <w:p w14:paraId="4457F438" w14:textId="77777777" w:rsidR="00BD673C" w:rsidRPr="00E347AD" w:rsidRDefault="00BD673C" w:rsidP="00A74D12">
      <w:pPr>
        <w:pStyle w:val="EndNoteBibliography"/>
        <w:spacing w:line="480" w:lineRule="auto"/>
        <w:ind w:left="720" w:hanging="720"/>
      </w:pPr>
      <w:r w:rsidRPr="00E347AD">
        <w:t>Zhou, Z.C., Shangguan, Z.P., Zhao, D., 2006. Modeling vegetation coverage and soil erosion in the Loess Plateau Area of China. Ecological Modelling. 198(1), 263-268. https://doi.org/10.1016/j.ecolmodel.2006.04.019.</w:t>
      </w:r>
    </w:p>
    <w:p w14:paraId="7D40D61E" w14:textId="77777777" w:rsidR="00BD673C" w:rsidRPr="00E347AD" w:rsidRDefault="00BD673C" w:rsidP="00A74D12">
      <w:pPr>
        <w:pStyle w:val="EndNoteBibliography"/>
        <w:spacing w:line="480" w:lineRule="auto"/>
        <w:ind w:left="720" w:hanging="720"/>
      </w:pPr>
      <w:r w:rsidRPr="00E347AD">
        <w:t>Zuazo, V.c.H.D., Pleguezuelo, C.R.o.R., 2009. Soil-Erosion and Runoff Prevention by Plant Covers: A Review. In: E. Lichtfouse, M. Navarrete, P. Debaeke, S. Véronique, C. Alberola (Eds.), Sustainable Agriculture. Springer Netherlands, Dordrecht, pp. 785-811. https://doi.org/10.1007/978-90-481-2666-8_48.</w:t>
      </w:r>
    </w:p>
    <w:p w14:paraId="3B632B91" w14:textId="77777777" w:rsidR="00BD673C" w:rsidRPr="00E347AD" w:rsidRDefault="00BD673C" w:rsidP="00A74D12">
      <w:pPr>
        <w:pStyle w:val="EndNoteBibliography"/>
        <w:spacing w:line="480" w:lineRule="auto"/>
        <w:ind w:left="720" w:hanging="720"/>
      </w:pPr>
      <w:r w:rsidRPr="00E347AD">
        <w:lastRenderedPageBreak/>
        <w:t>Zucca, C., Middleton, N., Kang, U., Liniger, H., 2021. Shrinking water bodies as hotspots of sand and dust storms: The role of land degradation and sustainable soil and water management. CATENA. 207, 105669. https://doi.org/10.1016/j.catena.2021.105669.</w:t>
      </w:r>
    </w:p>
    <w:p w14:paraId="668B3E74" w14:textId="77777777" w:rsidR="00BD673C" w:rsidRPr="00E347AD" w:rsidRDefault="00BD673C" w:rsidP="00A74D12">
      <w:pPr>
        <w:pStyle w:val="EndNoteBibliography"/>
        <w:spacing w:line="480" w:lineRule="auto"/>
        <w:ind w:left="720" w:hanging="720"/>
      </w:pPr>
      <w:r w:rsidRPr="00E347AD">
        <w:t>Zuo, X., Zhao, X., Zhao, H., Zhang, T., Guo, Y., Li, Y., Huang, Y., 2009. Spatial heterogeneity of soil properties and vegetation–soil relationships following vegetation restoration of mobile dunes in Horqin Sandy Land, Northern China. Plant and Soil. 318(1), 153-167. https://doi.org/10.1007/s11104-008-9826-7.</w:t>
      </w:r>
    </w:p>
    <w:p w14:paraId="06E7CDBF" w14:textId="77777777" w:rsidR="00BD673C" w:rsidRPr="00E347AD" w:rsidRDefault="00BD673C" w:rsidP="00A74D12">
      <w:pPr>
        <w:pStyle w:val="EndNoteBibliography"/>
        <w:spacing w:line="480" w:lineRule="auto"/>
        <w:ind w:left="720" w:hanging="720"/>
      </w:pPr>
      <w:r w:rsidRPr="00E347AD">
        <w:br w:type="page"/>
      </w:r>
    </w:p>
    <w:p w14:paraId="05CCD78E" w14:textId="77777777" w:rsidR="00BD673C" w:rsidRDefault="00BD673C" w:rsidP="00A74D12">
      <w:pPr>
        <w:pStyle w:val="1"/>
        <w:spacing w:before="163" w:after="163"/>
        <w:jc w:val="left"/>
      </w:pPr>
      <w:r>
        <w:lastRenderedPageBreak/>
        <w:t>Figures</w:t>
      </w:r>
    </w:p>
    <w:p w14:paraId="1E761AC9" w14:textId="77777777" w:rsidR="00BD673C" w:rsidRDefault="00BD673C" w:rsidP="00A74D12">
      <w:pPr>
        <w:jc w:val="left"/>
      </w:pPr>
      <w:r>
        <w:rPr>
          <w:noProof/>
        </w:rPr>
        <w:drawing>
          <wp:inline distT="0" distB="0" distL="0" distR="0" wp14:anchorId="6E80F608" wp14:editId="646B8C03">
            <wp:extent cx="5250075" cy="5921829"/>
            <wp:effectExtent l="0" t="0" r="8255"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462" cy="5939184"/>
                    </a:xfrm>
                    <a:prstGeom prst="rect">
                      <a:avLst/>
                    </a:prstGeom>
                    <a:noFill/>
                  </pic:spPr>
                </pic:pic>
              </a:graphicData>
            </a:graphic>
          </wp:inline>
        </w:drawing>
      </w:r>
    </w:p>
    <w:p w14:paraId="33EE4D56" w14:textId="62101AF1" w:rsidR="00BD673C" w:rsidRPr="007E5B44" w:rsidRDefault="00BD673C" w:rsidP="008478B8">
      <w:pPr>
        <w:spacing w:line="360" w:lineRule="auto"/>
        <w:jc w:val="left"/>
        <w:rPr>
          <w:b/>
          <w:sz w:val="21"/>
          <w:szCs w:val="21"/>
        </w:rPr>
      </w:pPr>
      <w:r>
        <w:rPr>
          <w:b/>
          <w:sz w:val="21"/>
          <w:szCs w:val="21"/>
        </w:rPr>
        <w:t xml:space="preserve">Fig. </w:t>
      </w:r>
      <w:r w:rsidRPr="007E5B44">
        <w:rPr>
          <w:b/>
          <w:sz w:val="21"/>
          <w:szCs w:val="21"/>
        </w:rPr>
        <w:t>1.</w:t>
      </w:r>
      <w:r w:rsidRPr="007E5B44">
        <w:rPr>
          <w:sz w:val="21"/>
          <w:szCs w:val="21"/>
        </w:rPr>
        <w:t xml:space="preserve"> (a) Distributions of major ecosystems and main deserts in China’s drylands</w:t>
      </w:r>
      <w:r>
        <w:rPr>
          <w:sz w:val="21"/>
          <w:szCs w:val="21"/>
        </w:rPr>
        <w:t>;</w:t>
      </w:r>
      <w:r w:rsidRPr="007E5B44">
        <w:rPr>
          <w:sz w:val="21"/>
          <w:szCs w:val="21"/>
        </w:rPr>
        <w:t xml:space="preserve"> (b) Spatial distributions of Naiman Desertification Research Station (NMD) and Shapotou Desert Ecological Research Station (SPD) of the Chinese Ecosystem Research Network (CERN) in China’s drylands</w:t>
      </w:r>
      <w:r>
        <w:rPr>
          <w:sz w:val="21"/>
          <w:szCs w:val="21"/>
        </w:rPr>
        <w:t>;</w:t>
      </w:r>
      <w:r w:rsidRPr="007E5B44">
        <w:rPr>
          <w:sz w:val="21"/>
          <w:szCs w:val="21"/>
        </w:rPr>
        <w:t xml:space="preserve"> Sandy steppe (c), fixed dune (d) and moving dune (e) in NMD</w:t>
      </w:r>
      <w:r>
        <w:rPr>
          <w:sz w:val="21"/>
          <w:szCs w:val="21"/>
        </w:rPr>
        <w:t>, and n</w:t>
      </w:r>
      <w:r w:rsidRPr="007E5B44">
        <w:rPr>
          <w:sz w:val="21"/>
          <w:szCs w:val="21"/>
        </w:rPr>
        <w:t>atural vegetation (f) and artificial vegetation (g) in SPD. (Figure</w:t>
      </w:r>
      <w:r>
        <w:rPr>
          <w:sz w:val="21"/>
          <w:szCs w:val="21"/>
        </w:rPr>
        <w:t>s</w:t>
      </w:r>
      <w:r w:rsidRPr="007E5B44">
        <w:rPr>
          <w:sz w:val="21"/>
          <w:szCs w:val="21"/>
        </w:rPr>
        <w:t xml:space="preserve"> ad</w:t>
      </w:r>
      <w:r>
        <w:rPr>
          <w:sz w:val="21"/>
          <w:szCs w:val="21"/>
        </w:rPr>
        <w:t>a</w:t>
      </w:r>
      <w:r w:rsidRPr="007E5B44">
        <w:rPr>
          <w:sz w:val="21"/>
          <w:szCs w:val="21"/>
        </w:rPr>
        <w:t xml:space="preserve">pted from http://www.cern.ac.cn) </w:t>
      </w:r>
      <w:r w:rsidRPr="007E5B44">
        <w:rPr>
          <w:sz w:val="21"/>
          <w:szCs w:val="21"/>
        </w:rPr>
        <w:br w:type="page"/>
      </w:r>
    </w:p>
    <w:p w14:paraId="5819BE8C" w14:textId="77777777" w:rsidR="00BD673C" w:rsidRDefault="00BD673C" w:rsidP="00A74D12">
      <w:pPr>
        <w:jc w:val="left"/>
      </w:pPr>
      <w:r>
        <w:rPr>
          <w:noProof/>
        </w:rPr>
        <w:lastRenderedPageBreak/>
        <w:drawing>
          <wp:inline distT="0" distB="0" distL="0" distR="0" wp14:anchorId="0CE739B7" wp14:editId="1D9DE72B">
            <wp:extent cx="5249010" cy="7557004"/>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7835" cy="7584107"/>
                    </a:xfrm>
                    <a:prstGeom prst="rect">
                      <a:avLst/>
                    </a:prstGeom>
                    <a:noFill/>
                  </pic:spPr>
                </pic:pic>
              </a:graphicData>
            </a:graphic>
          </wp:inline>
        </w:drawing>
      </w:r>
    </w:p>
    <w:p w14:paraId="6EAFE6AF" w14:textId="77777777" w:rsidR="00BD673C" w:rsidRPr="00851C48" w:rsidRDefault="00BD673C" w:rsidP="008478B8">
      <w:pPr>
        <w:spacing w:line="360" w:lineRule="auto"/>
        <w:jc w:val="left"/>
        <w:rPr>
          <w:sz w:val="21"/>
          <w:szCs w:val="21"/>
        </w:rPr>
      </w:pPr>
      <w:r w:rsidRPr="00C96996">
        <w:rPr>
          <w:b/>
          <w:sz w:val="21"/>
          <w:szCs w:val="21"/>
        </w:rPr>
        <w:t xml:space="preserve">Fig. </w:t>
      </w:r>
      <w:r>
        <w:rPr>
          <w:b/>
          <w:sz w:val="21"/>
          <w:szCs w:val="21"/>
        </w:rPr>
        <w:t>2</w:t>
      </w:r>
      <w:r w:rsidRPr="00554FA0">
        <w:rPr>
          <w:b/>
          <w:sz w:val="21"/>
          <w:szCs w:val="21"/>
        </w:rPr>
        <w:t>.</w:t>
      </w:r>
      <w:r w:rsidRPr="00554FA0">
        <w:rPr>
          <w:sz w:val="21"/>
          <w:szCs w:val="21"/>
        </w:rPr>
        <w:t xml:space="preserve"> Variation of soil properties and vegetation attributes for the sandy steppe, fixed dune and moving dune in the semi-arid desert of Horqin Desert (NMD) over time (year) as determined by linear fit: (a) pH; (ab) organic matter (OM) content, ; (c) organic matter (OM) content; and (bd) total potassium (TK) content, (c) diversity of grass, (d) </w:t>
      </w:r>
      <w:r w:rsidRPr="00554FA0">
        <w:rPr>
          <w:sz w:val="21"/>
          <w:szCs w:val="21"/>
        </w:rPr>
        <w:lastRenderedPageBreak/>
        <w:t>a</w:t>
      </w:r>
      <w:r w:rsidRPr="005F36DC">
        <w:rPr>
          <w:sz w:val="21"/>
          <w:szCs w:val="21"/>
        </w:rPr>
        <w:t>boveground biomass (AGB) of grass, (e) litter mass of shrub</w:t>
      </w:r>
      <w:r>
        <w:rPr>
          <w:sz w:val="21"/>
          <w:szCs w:val="21"/>
        </w:rPr>
        <w:t>s</w:t>
      </w:r>
      <w:r w:rsidRPr="005F36DC">
        <w:rPr>
          <w:sz w:val="21"/>
          <w:szCs w:val="21"/>
        </w:rPr>
        <w:t>;</w:t>
      </w:r>
      <w:r w:rsidRPr="00A805EA">
        <w:rPr>
          <w:sz w:val="21"/>
          <w:szCs w:val="21"/>
        </w:rPr>
        <w:t xml:space="preserve"> and (f) aboveground biomass (AGB) of shrub</w:t>
      </w:r>
      <w:r>
        <w:rPr>
          <w:sz w:val="21"/>
          <w:szCs w:val="21"/>
        </w:rPr>
        <w:t>s</w:t>
      </w:r>
      <w:r w:rsidRPr="00A805EA">
        <w:rPr>
          <w:sz w:val="21"/>
          <w:szCs w:val="21"/>
        </w:rPr>
        <w:t>. Slope&gt;0 indicates that the valu</w:t>
      </w:r>
      <w:r w:rsidRPr="00CD2700">
        <w:rPr>
          <w:sz w:val="21"/>
          <w:szCs w:val="21"/>
        </w:rPr>
        <w:t>e increases over time, while slope&lt;0 indicates that the v</w:t>
      </w:r>
      <w:r w:rsidRPr="00851C48">
        <w:rPr>
          <w:sz w:val="21"/>
          <w:szCs w:val="21"/>
        </w:rPr>
        <w:t>alue decreases over time.</w:t>
      </w:r>
      <w:r w:rsidRPr="00851C48">
        <w:rPr>
          <w:sz w:val="21"/>
          <w:szCs w:val="21"/>
        </w:rPr>
        <w:br w:type="page"/>
      </w:r>
    </w:p>
    <w:p w14:paraId="6D31C201" w14:textId="77777777" w:rsidR="00BD673C" w:rsidRDefault="00BD673C" w:rsidP="00A74D12">
      <w:pPr>
        <w:jc w:val="left"/>
      </w:pPr>
      <w:r>
        <w:rPr>
          <w:noProof/>
        </w:rPr>
        <w:lastRenderedPageBreak/>
        <w:drawing>
          <wp:inline distT="0" distB="0" distL="0" distR="0" wp14:anchorId="4DBA0D40" wp14:editId="759B25AA">
            <wp:extent cx="5271770" cy="6720311"/>
            <wp:effectExtent l="0" t="0" r="508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823" cy="6753523"/>
                    </a:xfrm>
                    <a:prstGeom prst="rect">
                      <a:avLst/>
                    </a:prstGeom>
                    <a:noFill/>
                  </pic:spPr>
                </pic:pic>
              </a:graphicData>
            </a:graphic>
          </wp:inline>
        </w:drawing>
      </w:r>
    </w:p>
    <w:p w14:paraId="28EC9913" w14:textId="1EE6759B" w:rsidR="00BD673C" w:rsidRPr="005F36DC" w:rsidRDefault="00BD673C" w:rsidP="008478B8">
      <w:pPr>
        <w:spacing w:line="360" w:lineRule="auto"/>
        <w:jc w:val="left"/>
        <w:rPr>
          <w:sz w:val="21"/>
          <w:szCs w:val="21"/>
        </w:rPr>
      </w:pPr>
      <w:r>
        <w:rPr>
          <w:b/>
          <w:sz w:val="21"/>
          <w:szCs w:val="21"/>
        </w:rPr>
        <w:t>Fig. 3</w:t>
      </w:r>
      <w:r w:rsidRPr="005F36DC">
        <w:rPr>
          <w:b/>
          <w:sz w:val="21"/>
          <w:szCs w:val="21"/>
        </w:rPr>
        <w:t>.</w:t>
      </w:r>
      <w:r w:rsidRPr="005F36DC">
        <w:rPr>
          <w:sz w:val="21"/>
          <w:szCs w:val="21"/>
        </w:rPr>
        <w:t xml:space="preserve"> Variation of soil properties </w:t>
      </w:r>
      <w:r>
        <w:rPr>
          <w:sz w:val="21"/>
          <w:szCs w:val="21"/>
        </w:rPr>
        <w:t xml:space="preserve">and </w:t>
      </w:r>
      <w:r w:rsidRPr="007E5B44">
        <w:rPr>
          <w:sz w:val="21"/>
          <w:szCs w:val="21"/>
        </w:rPr>
        <w:t>vegetation attributes</w:t>
      </w:r>
      <w:r w:rsidRPr="005F36DC">
        <w:rPr>
          <w:sz w:val="21"/>
          <w:szCs w:val="21"/>
        </w:rPr>
        <w:t xml:space="preserve"> for the natural vegetation and artificial vegetation in the arid desert of Tenger Desert (SPD) over</w:t>
      </w:r>
      <w:r w:rsidRPr="005F36DC" w:rsidDel="009161DB">
        <w:rPr>
          <w:sz w:val="21"/>
          <w:szCs w:val="21"/>
        </w:rPr>
        <w:t xml:space="preserve"> </w:t>
      </w:r>
      <w:r w:rsidRPr="005F36DC">
        <w:rPr>
          <w:sz w:val="21"/>
          <w:szCs w:val="21"/>
        </w:rPr>
        <w:t>time (year) as determined by linear fit: (</w:t>
      </w:r>
      <w:r>
        <w:rPr>
          <w:sz w:val="21"/>
          <w:szCs w:val="21"/>
        </w:rPr>
        <w:t>a</w:t>
      </w:r>
      <w:r w:rsidRPr="005F36DC">
        <w:rPr>
          <w:sz w:val="21"/>
          <w:szCs w:val="21"/>
        </w:rPr>
        <w:t>) organic matter (OM) content</w:t>
      </w:r>
      <w:r>
        <w:rPr>
          <w:sz w:val="21"/>
          <w:szCs w:val="21"/>
        </w:rPr>
        <w:t>,</w:t>
      </w:r>
      <w:r w:rsidRPr="005F36DC">
        <w:rPr>
          <w:sz w:val="21"/>
          <w:szCs w:val="21"/>
        </w:rPr>
        <w:t xml:space="preserve"> (</w:t>
      </w:r>
      <w:r>
        <w:rPr>
          <w:sz w:val="21"/>
          <w:szCs w:val="21"/>
        </w:rPr>
        <w:t>b</w:t>
      </w:r>
      <w:r w:rsidRPr="005F36DC">
        <w:rPr>
          <w:sz w:val="21"/>
          <w:szCs w:val="21"/>
        </w:rPr>
        <w:t>) total nitrogen (TN) content</w:t>
      </w:r>
      <w:r>
        <w:rPr>
          <w:sz w:val="21"/>
          <w:szCs w:val="21"/>
        </w:rPr>
        <w:t>,</w:t>
      </w:r>
      <w:r w:rsidRPr="005F36DC">
        <w:rPr>
          <w:sz w:val="21"/>
          <w:szCs w:val="21"/>
        </w:rPr>
        <w:t xml:space="preserve"> </w:t>
      </w:r>
      <w:r>
        <w:rPr>
          <w:sz w:val="21"/>
          <w:szCs w:val="21"/>
        </w:rPr>
        <w:t>(c</w:t>
      </w:r>
      <w:r w:rsidRPr="007E5B44">
        <w:rPr>
          <w:sz w:val="21"/>
          <w:szCs w:val="21"/>
        </w:rPr>
        <w:t>) density of grass</w:t>
      </w:r>
      <w:r>
        <w:rPr>
          <w:sz w:val="21"/>
          <w:szCs w:val="21"/>
        </w:rPr>
        <w:t>,</w:t>
      </w:r>
      <w:r w:rsidRPr="007E5B44">
        <w:rPr>
          <w:sz w:val="21"/>
          <w:szCs w:val="21"/>
        </w:rPr>
        <w:t xml:space="preserve"> (d) aboveground biomass (AGB) of grass</w:t>
      </w:r>
      <w:r>
        <w:rPr>
          <w:sz w:val="21"/>
          <w:szCs w:val="21"/>
        </w:rPr>
        <w:t>,</w:t>
      </w:r>
      <w:r w:rsidRPr="007E5B44">
        <w:rPr>
          <w:sz w:val="21"/>
          <w:szCs w:val="21"/>
        </w:rPr>
        <w:t xml:space="preserve"> (e) density of shrub</w:t>
      </w:r>
      <w:r>
        <w:rPr>
          <w:sz w:val="21"/>
          <w:szCs w:val="21"/>
        </w:rPr>
        <w:t>s, and (f</w:t>
      </w:r>
      <w:r w:rsidRPr="007E5B44">
        <w:rPr>
          <w:sz w:val="21"/>
          <w:szCs w:val="21"/>
        </w:rPr>
        <w:t>) aboveground biomass (AGB) of shrub</w:t>
      </w:r>
      <w:r>
        <w:rPr>
          <w:sz w:val="21"/>
          <w:szCs w:val="21"/>
        </w:rPr>
        <w:t>s</w:t>
      </w:r>
      <w:r w:rsidRPr="007E5B44">
        <w:rPr>
          <w:sz w:val="21"/>
          <w:szCs w:val="21"/>
        </w:rPr>
        <w:t>.</w:t>
      </w:r>
      <w:r w:rsidRPr="005F36DC">
        <w:rPr>
          <w:sz w:val="21"/>
          <w:szCs w:val="21"/>
        </w:rPr>
        <w:t xml:space="preserve"> Slope&gt;0 indicates that the soil property increases over time, while slope&lt;0 indicates that the soil property decreases over time. </w:t>
      </w:r>
      <w:r w:rsidRPr="005F36DC">
        <w:rPr>
          <w:sz w:val="21"/>
          <w:szCs w:val="21"/>
        </w:rPr>
        <w:br w:type="page"/>
      </w:r>
    </w:p>
    <w:p w14:paraId="17B9395C" w14:textId="77777777" w:rsidR="00BD673C" w:rsidRDefault="00BD673C" w:rsidP="00A74D12">
      <w:pPr>
        <w:jc w:val="left"/>
        <w:rPr>
          <w:sz w:val="21"/>
          <w:szCs w:val="21"/>
        </w:rPr>
        <w:sectPr w:rsidR="00BD673C" w:rsidSect="004160BB">
          <w:pgSz w:w="11906" w:h="16838"/>
          <w:pgMar w:top="1440" w:right="1800" w:bottom="1440" w:left="1800" w:header="851" w:footer="992" w:gutter="0"/>
          <w:lnNumType w:countBy="1" w:restart="continuous"/>
          <w:cols w:space="425"/>
          <w:docGrid w:type="lines" w:linePitch="326"/>
        </w:sectPr>
      </w:pPr>
    </w:p>
    <w:p w14:paraId="37DA2E87" w14:textId="1D904742" w:rsidR="00BD673C" w:rsidRDefault="00BD673C" w:rsidP="00A74D12">
      <w:pPr>
        <w:jc w:val="left"/>
      </w:pPr>
      <w:r>
        <w:rPr>
          <w:noProof/>
        </w:rPr>
        <w:lastRenderedPageBreak/>
        <w:drawing>
          <wp:inline distT="0" distB="0" distL="0" distR="0" wp14:anchorId="5C00EDA8" wp14:editId="2AAA2C76">
            <wp:extent cx="8819148" cy="5133329"/>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71970" cy="5164075"/>
                    </a:xfrm>
                    <a:prstGeom prst="rect">
                      <a:avLst/>
                    </a:prstGeom>
                    <a:noFill/>
                  </pic:spPr>
                </pic:pic>
              </a:graphicData>
            </a:graphic>
          </wp:inline>
        </w:drawing>
      </w:r>
    </w:p>
    <w:p w14:paraId="4837BC0C" w14:textId="5A0847DC" w:rsidR="00BD673C" w:rsidRDefault="00BD673C" w:rsidP="008478B8">
      <w:pPr>
        <w:spacing w:line="360" w:lineRule="auto"/>
        <w:jc w:val="left"/>
        <w:rPr>
          <w:sz w:val="21"/>
          <w:szCs w:val="21"/>
        </w:rPr>
        <w:sectPr w:rsidR="00BD673C" w:rsidSect="00A74D12">
          <w:pgSz w:w="16838" w:h="11906" w:orient="landscape"/>
          <w:pgMar w:top="1800" w:right="1440" w:bottom="1800" w:left="1440" w:header="851" w:footer="992" w:gutter="0"/>
          <w:lnNumType w:countBy="1" w:restart="continuous"/>
          <w:cols w:space="425"/>
          <w:docGrid w:type="lines" w:linePitch="326"/>
        </w:sectPr>
      </w:pPr>
      <w:r>
        <w:rPr>
          <w:b/>
          <w:sz w:val="21"/>
          <w:szCs w:val="21"/>
        </w:rPr>
        <w:lastRenderedPageBreak/>
        <w:t>Fig. 4</w:t>
      </w:r>
      <w:r w:rsidRPr="007E5B44">
        <w:rPr>
          <w:b/>
          <w:sz w:val="21"/>
          <w:szCs w:val="21"/>
        </w:rPr>
        <w:t>.</w:t>
      </w:r>
      <w:r w:rsidRPr="007E5B44">
        <w:rPr>
          <w:sz w:val="21"/>
          <w:szCs w:val="21"/>
        </w:rPr>
        <w:t xml:space="preserve"> The hypothesized causal relationships among climate factors (precipitation), vegetation attributes (diversity, density, coverage, litter, aboveground biomass (AGB), and underground biomass (UGB) of grass and shrub) and soil properties (soil water, silt+clay, bulk density, organic matter (OM), total nitrogen (TN), and pH) determined by structural equation model (SEM) for the sandy steppe (a), fixed dune (b) and moving dune (c) in the semi-arid desert of Horqin Desert (NMD)</w:t>
      </w:r>
      <w:r>
        <w:rPr>
          <w:sz w:val="21"/>
          <w:szCs w:val="21"/>
        </w:rPr>
        <w:t xml:space="preserve"> and for the natural vegetation (d) and artificial vegetation (e) in </w:t>
      </w:r>
      <w:r w:rsidRPr="007E5B44">
        <w:rPr>
          <w:sz w:val="21"/>
          <w:szCs w:val="21"/>
        </w:rPr>
        <w:t xml:space="preserve">the arid desert of Tenger Desert (SPD). Each arrow represents a hypothesized direct causal relationship in the direction of the arrow. An indirect causal relationship occurs when a variable is connected to another through an intermediate variable. Numbers on arrows are standardized coefficients. The black arrow indicates a positive relationship, </w:t>
      </w:r>
      <w:r>
        <w:rPr>
          <w:sz w:val="21"/>
          <w:szCs w:val="21"/>
        </w:rPr>
        <w:t>while</w:t>
      </w:r>
      <w:r w:rsidRPr="007E5B44">
        <w:rPr>
          <w:sz w:val="21"/>
          <w:szCs w:val="21"/>
        </w:rPr>
        <w:t xml:space="preserve"> the red arrow indicates a negative relationship. The thickness of the arrows indicates the size of the causal relationship. *, ** and *** indicate </w:t>
      </w:r>
      <w:r>
        <w:rPr>
          <w:sz w:val="21"/>
          <w:szCs w:val="21"/>
        </w:rPr>
        <w:t xml:space="preserve">that </w:t>
      </w:r>
      <w:r w:rsidRPr="007E5B44">
        <w:rPr>
          <w:sz w:val="21"/>
          <w:szCs w:val="21"/>
        </w:rPr>
        <w:t>the relationship is significant at the p=0.05, 0.01 and 0.001 levels, respectively.</w:t>
      </w:r>
    </w:p>
    <w:p w14:paraId="1D35EB62" w14:textId="4B74553B" w:rsidR="00BD673C" w:rsidRDefault="00BD673C" w:rsidP="008478B8">
      <w:pPr>
        <w:jc w:val="center"/>
      </w:pPr>
      <w:r>
        <w:rPr>
          <w:noProof/>
        </w:rPr>
        <w:lastRenderedPageBreak/>
        <w:drawing>
          <wp:inline distT="0" distB="0" distL="0" distR="0" wp14:anchorId="7747B504" wp14:editId="2E8478B1">
            <wp:extent cx="3359257" cy="6657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798" cy="6706614"/>
                    </a:xfrm>
                    <a:prstGeom prst="rect">
                      <a:avLst/>
                    </a:prstGeom>
                    <a:noFill/>
                  </pic:spPr>
                </pic:pic>
              </a:graphicData>
            </a:graphic>
          </wp:inline>
        </w:drawing>
      </w:r>
    </w:p>
    <w:p w14:paraId="3893CBF8" w14:textId="21AC0CF1" w:rsidR="00BD673C" w:rsidRDefault="00BD673C" w:rsidP="008478B8">
      <w:pPr>
        <w:spacing w:line="360" w:lineRule="auto"/>
        <w:jc w:val="left"/>
        <w:rPr>
          <w:sz w:val="21"/>
          <w:szCs w:val="21"/>
        </w:rPr>
        <w:sectPr w:rsidR="00BD673C" w:rsidSect="00A74D12">
          <w:pgSz w:w="11906" w:h="16838"/>
          <w:pgMar w:top="1440" w:right="1800" w:bottom="1440" w:left="1800" w:header="851" w:footer="992" w:gutter="0"/>
          <w:lnNumType w:countBy="1" w:restart="continuous"/>
          <w:cols w:space="425"/>
          <w:docGrid w:type="lines" w:linePitch="312"/>
        </w:sectPr>
      </w:pPr>
      <w:r>
        <w:rPr>
          <w:b/>
          <w:sz w:val="21"/>
          <w:szCs w:val="21"/>
        </w:rPr>
        <w:t>Fig. 5</w:t>
      </w:r>
      <w:r w:rsidRPr="007E5B44">
        <w:rPr>
          <w:b/>
          <w:sz w:val="21"/>
          <w:szCs w:val="21"/>
        </w:rPr>
        <w:t xml:space="preserve">. </w:t>
      </w:r>
      <w:r>
        <w:rPr>
          <w:sz w:val="21"/>
          <w:szCs w:val="21"/>
        </w:rPr>
        <w:t>The r</w:t>
      </w:r>
      <w:r w:rsidRPr="007E5B44">
        <w:rPr>
          <w:sz w:val="21"/>
          <w:szCs w:val="21"/>
        </w:rPr>
        <w:t>elative contribution of environmental factors to OM determined by the general linear model (GLM) for the sandy steppe, fixed dune and moving dune in the semi-arid desert of Horqin Desert (NMD) (a)</w:t>
      </w:r>
      <w:r>
        <w:rPr>
          <w:sz w:val="21"/>
          <w:szCs w:val="21"/>
        </w:rPr>
        <w:t>;</w:t>
      </w:r>
      <w:r w:rsidRPr="007E5B44">
        <w:rPr>
          <w:sz w:val="21"/>
          <w:szCs w:val="21"/>
        </w:rPr>
        <w:t xml:space="preserve"> and for the natural vegetation and artificial vegetation in the arid desert of Tenger Desert (SPD) (b).</w:t>
      </w:r>
    </w:p>
    <w:p w14:paraId="1904B9DF" w14:textId="77777777" w:rsidR="00BD673C" w:rsidRDefault="00BD673C" w:rsidP="00A74D12">
      <w:pPr>
        <w:pStyle w:val="1"/>
        <w:spacing w:before="163" w:after="163"/>
        <w:jc w:val="left"/>
      </w:pPr>
      <w:r>
        <w:lastRenderedPageBreak/>
        <w:t>Tables</w:t>
      </w:r>
    </w:p>
    <w:p w14:paraId="655B4C24" w14:textId="60793D6F" w:rsidR="00BD673C" w:rsidRDefault="00BD673C" w:rsidP="00A74D12">
      <w:pPr>
        <w:jc w:val="left"/>
        <w:rPr>
          <w:kern w:val="0"/>
          <w:sz w:val="21"/>
          <w:szCs w:val="21"/>
        </w:rPr>
      </w:pPr>
      <w:r>
        <w:rPr>
          <w:b/>
          <w:sz w:val="21"/>
          <w:szCs w:val="21"/>
        </w:rPr>
        <w:t>Table 1</w:t>
      </w:r>
      <w:r w:rsidRPr="007E5B44">
        <w:rPr>
          <w:b/>
          <w:sz w:val="21"/>
          <w:szCs w:val="21"/>
        </w:rPr>
        <w:t>.</w:t>
      </w:r>
      <w:r w:rsidRPr="007E5B44">
        <w:rPr>
          <w:sz w:val="21"/>
          <w:szCs w:val="21"/>
        </w:rPr>
        <w:t xml:space="preserve"> Comparisons of soil properties (mean</w:t>
      </w:r>
      <w:r w:rsidRPr="007E5B44">
        <w:rPr>
          <w:rFonts w:hint="eastAsia"/>
          <w:sz w:val="21"/>
          <w:szCs w:val="21"/>
        </w:rPr>
        <w:t>±</w:t>
      </w:r>
      <w:r w:rsidRPr="007E5B44">
        <w:rPr>
          <w:sz w:val="21"/>
          <w:szCs w:val="21"/>
        </w:rPr>
        <w:t>standard error)</w:t>
      </w:r>
      <w:r w:rsidRPr="005F2E6C">
        <w:rPr>
          <w:sz w:val="21"/>
          <w:szCs w:val="21"/>
        </w:rPr>
        <w:t xml:space="preserve"> </w:t>
      </w:r>
      <w:r w:rsidRPr="007E5B44">
        <w:rPr>
          <w:sz w:val="21"/>
          <w:szCs w:val="21"/>
        </w:rPr>
        <w:t xml:space="preserve">across different soil depths for the sandy steppe, fixed dune and moving dune in the semi-arid desert of Horqin </w:t>
      </w:r>
      <w:r w:rsidRPr="007E5B44">
        <w:rPr>
          <w:kern w:val="0"/>
          <w:sz w:val="21"/>
          <w:szCs w:val="21"/>
        </w:rPr>
        <w:t>Desert (NMD)</w:t>
      </w:r>
      <w:r>
        <w:rPr>
          <w:kern w:val="0"/>
          <w:sz w:val="21"/>
          <w:szCs w:val="21"/>
        </w:rPr>
        <w:t xml:space="preserve">, and </w:t>
      </w:r>
      <w:r w:rsidRPr="007E5B44">
        <w:rPr>
          <w:sz w:val="21"/>
          <w:szCs w:val="21"/>
        </w:rPr>
        <w:t>for the natural vegetation and artificial vegetation in the arid desert of Tenger Desert (SPD)</w:t>
      </w:r>
    </w:p>
    <w:tbl>
      <w:tblPr>
        <w:tblW w:w="0" w:type="auto"/>
        <w:tblLayout w:type="fixed"/>
        <w:tblLook w:val="04A0" w:firstRow="1" w:lastRow="0" w:firstColumn="1" w:lastColumn="0" w:noHBand="0" w:noVBand="1"/>
      </w:tblPr>
      <w:tblGrid>
        <w:gridCol w:w="942"/>
        <w:gridCol w:w="901"/>
        <w:gridCol w:w="567"/>
        <w:gridCol w:w="1701"/>
        <w:gridCol w:w="567"/>
        <w:gridCol w:w="1559"/>
        <w:gridCol w:w="567"/>
        <w:gridCol w:w="1560"/>
        <w:gridCol w:w="567"/>
        <w:gridCol w:w="1559"/>
        <w:gridCol w:w="567"/>
        <w:gridCol w:w="2126"/>
      </w:tblGrid>
      <w:tr w:rsidR="00BD673C" w:rsidRPr="00851C48" w14:paraId="774ED8C9" w14:textId="77777777" w:rsidTr="00A74D12">
        <w:trPr>
          <w:trHeight w:val="300"/>
        </w:trPr>
        <w:tc>
          <w:tcPr>
            <w:tcW w:w="942" w:type="dxa"/>
            <w:vMerge w:val="restart"/>
            <w:tcBorders>
              <w:top w:val="single" w:sz="4" w:space="0" w:color="auto"/>
              <w:left w:val="nil"/>
              <w:bottom w:val="single" w:sz="8" w:space="0" w:color="000000"/>
              <w:right w:val="nil"/>
            </w:tcBorders>
            <w:shd w:val="clear" w:color="auto" w:fill="auto"/>
            <w:noWrap/>
            <w:vAlign w:val="center"/>
            <w:hideMark/>
          </w:tcPr>
          <w:p w14:paraId="7A8500C1" w14:textId="77777777" w:rsidR="00BD673C" w:rsidRPr="00851C48" w:rsidRDefault="00BD673C" w:rsidP="00A74D12">
            <w:pPr>
              <w:widowControl/>
              <w:spacing w:line="240" w:lineRule="auto"/>
              <w:jc w:val="center"/>
              <w:rPr>
                <w:rFonts w:eastAsia="等线"/>
                <w:color w:val="000000"/>
                <w:kern w:val="0"/>
                <w:sz w:val="21"/>
                <w:szCs w:val="21"/>
              </w:rPr>
            </w:pPr>
            <w:r w:rsidRPr="00851C48">
              <w:rPr>
                <w:rFonts w:eastAsia="等线"/>
                <w:color w:val="000000"/>
                <w:kern w:val="0"/>
                <w:sz w:val="21"/>
                <w:szCs w:val="21"/>
              </w:rPr>
              <w:t>Soil property</w:t>
            </w:r>
          </w:p>
        </w:tc>
        <w:tc>
          <w:tcPr>
            <w:tcW w:w="901" w:type="dxa"/>
            <w:vMerge w:val="restart"/>
            <w:tcBorders>
              <w:top w:val="single" w:sz="4" w:space="0" w:color="auto"/>
              <w:left w:val="nil"/>
              <w:bottom w:val="single" w:sz="8" w:space="0" w:color="000000"/>
              <w:right w:val="nil"/>
            </w:tcBorders>
            <w:shd w:val="clear" w:color="auto" w:fill="auto"/>
            <w:noWrap/>
            <w:vAlign w:val="center"/>
            <w:hideMark/>
          </w:tcPr>
          <w:p w14:paraId="5B7AD9BB" w14:textId="77777777" w:rsidR="00BD673C" w:rsidRPr="00851C48" w:rsidRDefault="00BD673C" w:rsidP="00A74D12">
            <w:pPr>
              <w:widowControl/>
              <w:spacing w:line="240" w:lineRule="auto"/>
              <w:jc w:val="center"/>
              <w:rPr>
                <w:rFonts w:eastAsia="等线"/>
                <w:color w:val="000000"/>
                <w:kern w:val="0"/>
                <w:sz w:val="21"/>
                <w:szCs w:val="21"/>
              </w:rPr>
            </w:pPr>
            <w:r w:rsidRPr="00851C48">
              <w:rPr>
                <w:rFonts w:eastAsia="等线"/>
                <w:color w:val="000000"/>
                <w:kern w:val="0"/>
                <w:sz w:val="21"/>
                <w:szCs w:val="21"/>
              </w:rPr>
              <w:t>Depth (cm)</w:t>
            </w:r>
          </w:p>
        </w:tc>
        <w:tc>
          <w:tcPr>
            <w:tcW w:w="6521" w:type="dxa"/>
            <w:gridSpan w:val="6"/>
            <w:tcBorders>
              <w:top w:val="single" w:sz="4" w:space="0" w:color="auto"/>
              <w:left w:val="nil"/>
              <w:bottom w:val="single" w:sz="8" w:space="0" w:color="auto"/>
              <w:right w:val="single" w:sz="4" w:space="0" w:color="auto"/>
            </w:tcBorders>
            <w:shd w:val="clear" w:color="auto" w:fill="auto"/>
            <w:noWrap/>
            <w:vAlign w:val="center"/>
            <w:hideMark/>
          </w:tcPr>
          <w:p w14:paraId="12FFD140" w14:textId="77777777" w:rsidR="00BD673C" w:rsidRPr="00851C48" w:rsidRDefault="00BD673C" w:rsidP="00A74D12">
            <w:pPr>
              <w:widowControl/>
              <w:spacing w:line="240" w:lineRule="auto"/>
              <w:jc w:val="center"/>
              <w:rPr>
                <w:rFonts w:eastAsia="等线"/>
                <w:color w:val="000000"/>
                <w:kern w:val="0"/>
                <w:sz w:val="22"/>
                <w:szCs w:val="22"/>
              </w:rPr>
            </w:pPr>
            <w:r w:rsidRPr="00851C48">
              <w:rPr>
                <w:rFonts w:eastAsia="等线"/>
                <w:color w:val="000000"/>
                <w:kern w:val="0"/>
                <w:sz w:val="22"/>
                <w:szCs w:val="22"/>
              </w:rPr>
              <w:t>NMD</w:t>
            </w:r>
          </w:p>
        </w:tc>
        <w:tc>
          <w:tcPr>
            <w:tcW w:w="4819" w:type="dxa"/>
            <w:gridSpan w:val="4"/>
            <w:tcBorders>
              <w:top w:val="single" w:sz="4" w:space="0" w:color="auto"/>
              <w:left w:val="single" w:sz="4" w:space="0" w:color="auto"/>
              <w:bottom w:val="single" w:sz="8" w:space="0" w:color="auto"/>
              <w:right w:val="nil"/>
            </w:tcBorders>
            <w:shd w:val="clear" w:color="auto" w:fill="auto"/>
            <w:noWrap/>
            <w:vAlign w:val="center"/>
            <w:hideMark/>
          </w:tcPr>
          <w:p w14:paraId="7B0B3074" w14:textId="77777777" w:rsidR="00BD673C" w:rsidRPr="00851C48" w:rsidRDefault="00BD673C" w:rsidP="00A74D12">
            <w:pPr>
              <w:widowControl/>
              <w:spacing w:line="240" w:lineRule="auto"/>
              <w:jc w:val="center"/>
              <w:rPr>
                <w:rFonts w:eastAsia="等线"/>
                <w:color w:val="000000"/>
                <w:kern w:val="0"/>
                <w:sz w:val="22"/>
                <w:szCs w:val="22"/>
              </w:rPr>
            </w:pPr>
            <w:r w:rsidRPr="00851C48">
              <w:rPr>
                <w:rFonts w:eastAsia="等线"/>
                <w:color w:val="000000"/>
                <w:kern w:val="0"/>
                <w:sz w:val="22"/>
                <w:szCs w:val="22"/>
              </w:rPr>
              <w:t>SPD</w:t>
            </w:r>
          </w:p>
        </w:tc>
      </w:tr>
      <w:tr w:rsidR="00BD673C" w:rsidRPr="00851C48" w14:paraId="3608ED76" w14:textId="77777777" w:rsidTr="00A74D12">
        <w:trPr>
          <w:trHeight w:val="300"/>
        </w:trPr>
        <w:tc>
          <w:tcPr>
            <w:tcW w:w="942" w:type="dxa"/>
            <w:vMerge/>
            <w:tcBorders>
              <w:top w:val="nil"/>
              <w:left w:val="nil"/>
              <w:bottom w:val="single" w:sz="8" w:space="0" w:color="000000"/>
              <w:right w:val="nil"/>
            </w:tcBorders>
            <w:vAlign w:val="center"/>
            <w:hideMark/>
          </w:tcPr>
          <w:p w14:paraId="26DF8098"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vMerge/>
            <w:tcBorders>
              <w:top w:val="nil"/>
              <w:left w:val="nil"/>
              <w:bottom w:val="single" w:sz="8" w:space="0" w:color="000000"/>
              <w:right w:val="nil"/>
            </w:tcBorders>
            <w:vAlign w:val="center"/>
            <w:hideMark/>
          </w:tcPr>
          <w:p w14:paraId="67551E82" w14:textId="77777777" w:rsidR="00BD673C" w:rsidRPr="00851C48" w:rsidRDefault="00BD673C" w:rsidP="00A74D12">
            <w:pPr>
              <w:widowControl/>
              <w:spacing w:line="240" w:lineRule="auto"/>
              <w:jc w:val="left"/>
              <w:rPr>
                <w:rFonts w:eastAsia="等线"/>
                <w:color w:val="000000"/>
                <w:kern w:val="0"/>
                <w:sz w:val="21"/>
                <w:szCs w:val="21"/>
              </w:rPr>
            </w:pPr>
          </w:p>
        </w:tc>
        <w:tc>
          <w:tcPr>
            <w:tcW w:w="2268" w:type="dxa"/>
            <w:gridSpan w:val="2"/>
            <w:tcBorders>
              <w:top w:val="single" w:sz="8" w:space="0" w:color="auto"/>
              <w:left w:val="nil"/>
              <w:bottom w:val="single" w:sz="8" w:space="0" w:color="auto"/>
              <w:right w:val="nil"/>
            </w:tcBorders>
            <w:shd w:val="clear" w:color="auto" w:fill="auto"/>
            <w:noWrap/>
            <w:vAlign w:val="center"/>
            <w:hideMark/>
          </w:tcPr>
          <w:p w14:paraId="4780528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Sandy steppe</w:t>
            </w:r>
          </w:p>
        </w:tc>
        <w:tc>
          <w:tcPr>
            <w:tcW w:w="2126" w:type="dxa"/>
            <w:gridSpan w:val="2"/>
            <w:tcBorders>
              <w:top w:val="single" w:sz="8" w:space="0" w:color="auto"/>
              <w:left w:val="nil"/>
              <w:bottom w:val="single" w:sz="8" w:space="0" w:color="auto"/>
              <w:right w:val="nil"/>
            </w:tcBorders>
            <w:shd w:val="clear" w:color="auto" w:fill="auto"/>
            <w:noWrap/>
            <w:vAlign w:val="center"/>
            <w:hideMark/>
          </w:tcPr>
          <w:p w14:paraId="20EA845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Fixed dune</w:t>
            </w:r>
          </w:p>
        </w:tc>
        <w:tc>
          <w:tcPr>
            <w:tcW w:w="2127" w:type="dxa"/>
            <w:gridSpan w:val="2"/>
            <w:tcBorders>
              <w:top w:val="single" w:sz="8" w:space="0" w:color="auto"/>
              <w:left w:val="nil"/>
              <w:bottom w:val="single" w:sz="8" w:space="0" w:color="auto"/>
              <w:right w:val="single" w:sz="4" w:space="0" w:color="auto"/>
            </w:tcBorders>
            <w:shd w:val="clear" w:color="auto" w:fill="auto"/>
            <w:noWrap/>
            <w:vAlign w:val="center"/>
            <w:hideMark/>
          </w:tcPr>
          <w:p w14:paraId="5FE4F1F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Moving dune</w:t>
            </w:r>
          </w:p>
        </w:tc>
        <w:tc>
          <w:tcPr>
            <w:tcW w:w="2126" w:type="dxa"/>
            <w:gridSpan w:val="2"/>
            <w:tcBorders>
              <w:top w:val="single" w:sz="8" w:space="0" w:color="auto"/>
              <w:left w:val="single" w:sz="4" w:space="0" w:color="auto"/>
              <w:bottom w:val="single" w:sz="8" w:space="0" w:color="auto"/>
              <w:right w:val="nil"/>
            </w:tcBorders>
            <w:shd w:val="clear" w:color="auto" w:fill="auto"/>
            <w:noWrap/>
            <w:vAlign w:val="center"/>
            <w:hideMark/>
          </w:tcPr>
          <w:p w14:paraId="6D24BA6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Natural vegetation</w:t>
            </w:r>
          </w:p>
        </w:tc>
        <w:tc>
          <w:tcPr>
            <w:tcW w:w="2693" w:type="dxa"/>
            <w:gridSpan w:val="2"/>
            <w:tcBorders>
              <w:top w:val="single" w:sz="8" w:space="0" w:color="auto"/>
              <w:left w:val="nil"/>
              <w:bottom w:val="single" w:sz="8" w:space="0" w:color="auto"/>
              <w:right w:val="nil"/>
            </w:tcBorders>
            <w:shd w:val="clear" w:color="auto" w:fill="auto"/>
            <w:noWrap/>
            <w:vAlign w:val="center"/>
            <w:hideMark/>
          </w:tcPr>
          <w:p w14:paraId="350FB113" w14:textId="2636BAE5"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Artificial vegetation</w:t>
            </w:r>
          </w:p>
        </w:tc>
      </w:tr>
      <w:tr w:rsidR="00BD673C" w:rsidRPr="00851C48" w14:paraId="551179D5" w14:textId="77777777" w:rsidTr="00A74D12">
        <w:trPr>
          <w:trHeight w:val="300"/>
        </w:trPr>
        <w:tc>
          <w:tcPr>
            <w:tcW w:w="942" w:type="dxa"/>
            <w:vMerge/>
            <w:tcBorders>
              <w:top w:val="nil"/>
              <w:left w:val="nil"/>
              <w:bottom w:val="single" w:sz="8" w:space="0" w:color="000000"/>
              <w:right w:val="nil"/>
            </w:tcBorders>
            <w:vAlign w:val="center"/>
            <w:hideMark/>
          </w:tcPr>
          <w:p w14:paraId="0F8A8D41"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vMerge/>
            <w:tcBorders>
              <w:top w:val="nil"/>
              <w:left w:val="nil"/>
              <w:bottom w:val="single" w:sz="8" w:space="0" w:color="000000"/>
              <w:right w:val="nil"/>
            </w:tcBorders>
            <w:vAlign w:val="center"/>
            <w:hideMark/>
          </w:tcPr>
          <w:p w14:paraId="5159B1BB" w14:textId="77777777" w:rsidR="00BD673C" w:rsidRPr="00851C48" w:rsidRDefault="00BD673C" w:rsidP="00A74D12">
            <w:pPr>
              <w:widowControl/>
              <w:spacing w:line="240" w:lineRule="auto"/>
              <w:jc w:val="left"/>
              <w:rPr>
                <w:rFonts w:eastAsia="等线"/>
                <w:color w:val="000000"/>
                <w:kern w:val="0"/>
                <w:sz w:val="21"/>
                <w:szCs w:val="21"/>
              </w:rPr>
            </w:pPr>
          </w:p>
        </w:tc>
        <w:tc>
          <w:tcPr>
            <w:tcW w:w="567" w:type="dxa"/>
            <w:tcBorders>
              <w:top w:val="nil"/>
              <w:left w:val="nil"/>
              <w:bottom w:val="single" w:sz="8" w:space="0" w:color="auto"/>
              <w:right w:val="nil"/>
            </w:tcBorders>
            <w:shd w:val="clear" w:color="auto" w:fill="auto"/>
            <w:noWrap/>
            <w:vAlign w:val="center"/>
            <w:hideMark/>
          </w:tcPr>
          <w:p w14:paraId="790438D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N</w:t>
            </w:r>
          </w:p>
        </w:tc>
        <w:tc>
          <w:tcPr>
            <w:tcW w:w="1701" w:type="dxa"/>
            <w:tcBorders>
              <w:top w:val="nil"/>
              <w:left w:val="nil"/>
              <w:bottom w:val="single" w:sz="8" w:space="0" w:color="auto"/>
              <w:right w:val="nil"/>
            </w:tcBorders>
            <w:shd w:val="clear" w:color="auto" w:fill="auto"/>
            <w:noWrap/>
            <w:vAlign w:val="center"/>
            <w:hideMark/>
          </w:tcPr>
          <w:p w14:paraId="320544C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Mean</w:t>
            </w:r>
            <w:r w:rsidRPr="00851C48">
              <w:rPr>
                <w:rFonts w:ascii="等线" w:eastAsia="等线" w:hAnsi="等线" w:hint="eastAsia"/>
                <w:color w:val="000000"/>
                <w:kern w:val="0"/>
                <w:sz w:val="21"/>
                <w:szCs w:val="21"/>
              </w:rPr>
              <w:t>±</w:t>
            </w:r>
            <w:r w:rsidRPr="00851C48">
              <w:rPr>
                <w:rFonts w:eastAsia="等线"/>
                <w:color w:val="000000"/>
                <w:kern w:val="0"/>
                <w:sz w:val="21"/>
                <w:szCs w:val="21"/>
              </w:rPr>
              <w:t>standard error</w:t>
            </w:r>
          </w:p>
        </w:tc>
        <w:tc>
          <w:tcPr>
            <w:tcW w:w="567" w:type="dxa"/>
            <w:tcBorders>
              <w:top w:val="nil"/>
              <w:left w:val="nil"/>
              <w:bottom w:val="single" w:sz="8" w:space="0" w:color="auto"/>
              <w:right w:val="nil"/>
            </w:tcBorders>
            <w:shd w:val="clear" w:color="auto" w:fill="auto"/>
            <w:noWrap/>
            <w:vAlign w:val="center"/>
            <w:hideMark/>
          </w:tcPr>
          <w:p w14:paraId="0F2C7AC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N</w:t>
            </w:r>
          </w:p>
        </w:tc>
        <w:tc>
          <w:tcPr>
            <w:tcW w:w="1559" w:type="dxa"/>
            <w:tcBorders>
              <w:top w:val="nil"/>
              <w:left w:val="nil"/>
              <w:bottom w:val="single" w:sz="8" w:space="0" w:color="auto"/>
              <w:right w:val="nil"/>
            </w:tcBorders>
            <w:shd w:val="clear" w:color="auto" w:fill="auto"/>
            <w:noWrap/>
            <w:vAlign w:val="center"/>
            <w:hideMark/>
          </w:tcPr>
          <w:p w14:paraId="38701BF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Mean</w:t>
            </w:r>
            <w:r w:rsidRPr="00851C48">
              <w:rPr>
                <w:rFonts w:ascii="等线" w:eastAsia="等线" w:hAnsi="等线" w:hint="eastAsia"/>
                <w:color w:val="000000"/>
                <w:kern w:val="0"/>
                <w:sz w:val="21"/>
                <w:szCs w:val="21"/>
              </w:rPr>
              <w:t>±</w:t>
            </w:r>
            <w:r w:rsidRPr="00851C48">
              <w:rPr>
                <w:rFonts w:eastAsia="等线"/>
                <w:color w:val="000000"/>
                <w:kern w:val="0"/>
                <w:sz w:val="21"/>
                <w:szCs w:val="21"/>
              </w:rPr>
              <w:t>standard error</w:t>
            </w:r>
          </w:p>
        </w:tc>
        <w:tc>
          <w:tcPr>
            <w:tcW w:w="567" w:type="dxa"/>
            <w:tcBorders>
              <w:top w:val="nil"/>
              <w:left w:val="nil"/>
              <w:bottom w:val="single" w:sz="8" w:space="0" w:color="auto"/>
              <w:right w:val="nil"/>
            </w:tcBorders>
            <w:shd w:val="clear" w:color="auto" w:fill="auto"/>
            <w:noWrap/>
            <w:vAlign w:val="center"/>
            <w:hideMark/>
          </w:tcPr>
          <w:p w14:paraId="3FEE62A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N</w:t>
            </w:r>
          </w:p>
        </w:tc>
        <w:tc>
          <w:tcPr>
            <w:tcW w:w="1560" w:type="dxa"/>
            <w:tcBorders>
              <w:top w:val="nil"/>
              <w:left w:val="nil"/>
              <w:bottom w:val="single" w:sz="8" w:space="0" w:color="auto"/>
              <w:right w:val="single" w:sz="4" w:space="0" w:color="auto"/>
            </w:tcBorders>
            <w:shd w:val="clear" w:color="auto" w:fill="auto"/>
            <w:noWrap/>
            <w:vAlign w:val="center"/>
            <w:hideMark/>
          </w:tcPr>
          <w:p w14:paraId="374B347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Mean</w:t>
            </w:r>
            <w:r w:rsidRPr="00851C48">
              <w:rPr>
                <w:rFonts w:ascii="等线" w:eastAsia="等线" w:hAnsi="等线" w:hint="eastAsia"/>
                <w:color w:val="000000"/>
                <w:kern w:val="0"/>
                <w:sz w:val="21"/>
                <w:szCs w:val="21"/>
              </w:rPr>
              <w:t>±</w:t>
            </w:r>
            <w:r w:rsidRPr="00851C48">
              <w:rPr>
                <w:rFonts w:eastAsia="等线"/>
                <w:color w:val="000000"/>
                <w:kern w:val="0"/>
                <w:sz w:val="21"/>
                <w:szCs w:val="21"/>
              </w:rPr>
              <w:t>standard error</w:t>
            </w:r>
          </w:p>
        </w:tc>
        <w:tc>
          <w:tcPr>
            <w:tcW w:w="567" w:type="dxa"/>
            <w:tcBorders>
              <w:top w:val="nil"/>
              <w:left w:val="single" w:sz="4" w:space="0" w:color="auto"/>
              <w:bottom w:val="single" w:sz="8" w:space="0" w:color="auto"/>
              <w:right w:val="nil"/>
            </w:tcBorders>
            <w:shd w:val="clear" w:color="auto" w:fill="auto"/>
            <w:noWrap/>
            <w:vAlign w:val="center"/>
            <w:hideMark/>
          </w:tcPr>
          <w:p w14:paraId="5B27F7D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N</w:t>
            </w:r>
          </w:p>
        </w:tc>
        <w:tc>
          <w:tcPr>
            <w:tcW w:w="1559" w:type="dxa"/>
            <w:tcBorders>
              <w:top w:val="nil"/>
              <w:left w:val="nil"/>
              <w:bottom w:val="single" w:sz="8" w:space="0" w:color="auto"/>
              <w:right w:val="nil"/>
            </w:tcBorders>
            <w:shd w:val="clear" w:color="auto" w:fill="auto"/>
            <w:noWrap/>
            <w:vAlign w:val="center"/>
            <w:hideMark/>
          </w:tcPr>
          <w:p w14:paraId="275AF72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Mean</w:t>
            </w:r>
            <w:r w:rsidRPr="00851C48">
              <w:rPr>
                <w:rFonts w:ascii="等线" w:eastAsia="等线" w:hAnsi="等线" w:hint="eastAsia"/>
                <w:color w:val="000000"/>
                <w:kern w:val="0"/>
                <w:sz w:val="21"/>
                <w:szCs w:val="21"/>
              </w:rPr>
              <w:t>±</w:t>
            </w:r>
            <w:r w:rsidRPr="00851C48">
              <w:rPr>
                <w:rFonts w:eastAsia="等线"/>
                <w:color w:val="000000"/>
                <w:kern w:val="0"/>
                <w:sz w:val="21"/>
                <w:szCs w:val="21"/>
              </w:rPr>
              <w:t>standard error</w:t>
            </w:r>
          </w:p>
        </w:tc>
        <w:tc>
          <w:tcPr>
            <w:tcW w:w="567" w:type="dxa"/>
            <w:tcBorders>
              <w:top w:val="nil"/>
              <w:left w:val="nil"/>
              <w:bottom w:val="single" w:sz="8" w:space="0" w:color="auto"/>
              <w:right w:val="nil"/>
            </w:tcBorders>
            <w:shd w:val="clear" w:color="auto" w:fill="auto"/>
            <w:noWrap/>
            <w:vAlign w:val="center"/>
            <w:hideMark/>
          </w:tcPr>
          <w:p w14:paraId="67C9428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N</w:t>
            </w:r>
          </w:p>
        </w:tc>
        <w:tc>
          <w:tcPr>
            <w:tcW w:w="2126" w:type="dxa"/>
            <w:tcBorders>
              <w:top w:val="nil"/>
              <w:left w:val="nil"/>
              <w:bottom w:val="single" w:sz="8" w:space="0" w:color="auto"/>
              <w:right w:val="nil"/>
            </w:tcBorders>
            <w:shd w:val="clear" w:color="auto" w:fill="auto"/>
            <w:noWrap/>
            <w:vAlign w:val="center"/>
            <w:hideMark/>
          </w:tcPr>
          <w:p w14:paraId="2F0B06D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Mean</w:t>
            </w:r>
            <w:r w:rsidRPr="00851C48">
              <w:rPr>
                <w:rFonts w:ascii="等线" w:eastAsia="等线" w:hAnsi="等线" w:hint="eastAsia"/>
                <w:color w:val="000000"/>
                <w:kern w:val="0"/>
                <w:sz w:val="21"/>
                <w:szCs w:val="21"/>
              </w:rPr>
              <w:t>±</w:t>
            </w:r>
            <w:r w:rsidRPr="00851C48">
              <w:rPr>
                <w:rFonts w:eastAsia="等线"/>
                <w:color w:val="000000"/>
                <w:kern w:val="0"/>
                <w:sz w:val="21"/>
                <w:szCs w:val="21"/>
              </w:rPr>
              <w:t>standard error</w:t>
            </w:r>
          </w:p>
        </w:tc>
      </w:tr>
      <w:tr w:rsidR="00BD673C" w:rsidRPr="00851C48" w14:paraId="3D5708D9" w14:textId="77777777" w:rsidTr="00A74D12">
        <w:trPr>
          <w:trHeight w:val="285"/>
        </w:trPr>
        <w:tc>
          <w:tcPr>
            <w:tcW w:w="942" w:type="dxa"/>
            <w:vMerge w:val="restart"/>
            <w:tcBorders>
              <w:top w:val="nil"/>
              <w:left w:val="nil"/>
              <w:bottom w:val="nil"/>
              <w:right w:val="nil"/>
            </w:tcBorders>
            <w:shd w:val="clear" w:color="auto" w:fill="auto"/>
            <w:noWrap/>
            <w:vAlign w:val="center"/>
            <w:hideMark/>
          </w:tcPr>
          <w:p w14:paraId="1A7BCE8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BD (g/cm</w:t>
            </w:r>
            <w:r w:rsidRPr="00851C48">
              <w:rPr>
                <w:rFonts w:eastAsia="等线"/>
                <w:color w:val="000000"/>
                <w:kern w:val="0"/>
                <w:sz w:val="21"/>
                <w:szCs w:val="21"/>
                <w:vertAlign w:val="superscript"/>
              </w:rPr>
              <w:t>3</w:t>
            </w:r>
            <w:r w:rsidRPr="00851C48">
              <w:rPr>
                <w:rFonts w:eastAsia="等线"/>
                <w:color w:val="000000"/>
                <w:kern w:val="0"/>
                <w:sz w:val="21"/>
                <w:szCs w:val="21"/>
              </w:rPr>
              <w:t>)</w:t>
            </w:r>
          </w:p>
        </w:tc>
        <w:tc>
          <w:tcPr>
            <w:tcW w:w="901" w:type="dxa"/>
            <w:tcBorders>
              <w:top w:val="nil"/>
              <w:left w:val="nil"/>
              <w:bottom w:val="nil"/>
              <w:right w:val="nil"/>
            </w:tcBorders>
            <w:shd w:val="clear" w:color="auto" w:fill="auto"/>
            <w:noWrap/>
            <w:vAlign w:val="center"/>
            <w:hideMark/>
          </w:tcPr>
          <w:p w14:paraId="1AAEC4F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p>
        </w:tc>
        <w:tc>
          <w:tcPr>
            <w:tcW w:w="567" w:type="dxa"/>
            <w:tcBorders>
              <w:top w:val="nil"/>
              <w:left w:val="nil"/>
              <w:bottom w:val="nil"/>
              <w:right w:val="nil"/>
            </w:tcBorders>
            <w:shd w:val="clear" w:color="auto" w:fill="auto"/>
            <w:noWrap/>
            <w:vAlign w:val="center"/>
            <w:hideMark/>
          </w:tcPr>
          <w:p w14:paraId="3DC7333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1701" w:type="dxa"/>
            <w:tcBorders>
              <w:top w:val="nil"/>
              <w:left w:val="nil"/>
              <w:bottom w:val="nil"/>
              <w:right w:val="nil"/>
            </w:tcBorders>
            <w:shd w:val="clear" w:color="auto" w:fill="auto"/>
            <w:noWrap/>
            <w:vAlign w:val="center"/>
            <w:hideMark/>
          </w:tcPr>
          <w:p w14:paraId="1E0485A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1.43</w:t>
            </w:r>
            <w:r w:rsidRPr="00851C48">
              <w:rPr>
                <w:rFonts w:ascii="等线" w:eastAsia="等线" w:hAnsi="等线" w:hint="eastAsia"/>
                <w:color w:val="000000"/>
                <w:kern w:val="0"/>
                <w:sz w:val="21"/>
                <w:szCs w:val="21"/>
              </w:rPr>
              <w:t>±</w:t>
            </w:r>
            <w:r w:rsidRPr="00851C48">
              <w:rPr>
                <w:rFonts w:eastAsia="等线"/>
                <w:color w:val="000000"/>
                <w:kern w:val="0"/>
                <w:sz w:val="21"/>
                <w:szCs w:val="21"/>
              </w:rPr>
              <w:t>0.10 b</w:t>
            </w:r>
          </w:p>
        </w:tc>
        <w:tc>
          <w:tcPr>
            <w:tcW w:w="567" w:type="dxa"/>
            <w:tcBorders>
              <w:top w:val="nil"/>
              <w:left w:val="nil"/>
              <w:bottom w:val="nil"/>
              <w:right w:val="nil"/>
            </w:tcBorders>
            <w:shd w:val="clear" w:color="auto" w:fill="auto"/>
            <w:noWrap/>
            <w:vAlign w:val="center"/>
            <w:hideMark/>
          </w:tcPr>
          <w:p w14:paraId="2E87DB6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1559" w:type="dxa"/>
            <w:tcBorders>
              <w:top w:val="nil"/>
              <w:left w:val="nil"/>
              <w:bottom w:val="nil"/>
              <w:right w:val="nil"/>
            </w:tcBorders>
            <w:shd w:val="clear" w:color="auto" w:fill="auto"/>
            <w:noWrap/>
            <w:vAlign w:val="center"/>
            <w:hideMark/>
          </w:tcPr>
          <w:p w14:paraId="2CF94E7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1.57</w:t>
            </w:r>
            <w:r w:rsidRPr="00851C48">
              <w:rPr>
                <w:rFonts w:ascii="等线" w:eastAsia="等线" w:hAnsi="等线" w:hint="eastAsia"/>
                <w:color w:val="000000"/>
                <w:kern w:val="0"/>
                <w:sz w:val="21"/>
                <w:szCs w:val="21"/>
              </w:rPr>
              <w:t>±</w:t>
            </w:r>
            <w:r w:rsidRPr="00851C48">
              <w:rPr>
                <w:rFonts w:eastAsia="等线"/>
                <w:color w:val="000000"/>
                <w:kern w:val="0"/>
                <w:sz w:val="21"/>
                <w:szCs w:val="21"/>
              </w:rPr>
              <w:t>0.07 a</w:t>
            </w:r>
          </w:p>
        </w:tc>
        <w:tc>
          <w:tcPr>
            <w:tcW w:w="567" w:type="dxa"/>
            <w:tcBorders>
              <w:top w:val="nil"/>
              <w:left w:val="nil"/>
              <w:bottom w:val="nil"/>
              <w:right w:val="nil"/>
            </w:tcBorders>
            <w:shd w:val="clear" w:color="auto" w:fill="auto"/>
            <w:noWrap/>
            <w:vAlign w:val="center"/>
            <w:hideMark/>
          </w:tcPr>
          <w:p w14:paraId="7345219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1560" w:type="dxa"/>
            <w:tcBorders>
              <w:top w:val="nil"/>
              <w:left w:val="nil"/>
              <w:bottom w:val="nil"/>
              <w:right w:val="single" w:sz="4" w:space="0" w:color="auto"/>
            </w:tcBorders>
            <w:shd w:val="clear" w:color="auto" w:fill="auto"/>
            <w:noWrap/>
            <w:vAlign w:val="center"/>
            <w:hideMark/>
          </w:tcPr>
          <w:p w14:paraId="3E25CA2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1.61</w:t>
            </w:r>
            <w:r w:rsidRPr="00851C48">
              <w:rPr>
                <w:rFonts w:ascii="等线" w:eastAsia="等线" w:hAnsi="等线" w:hint="eastAsia"/>
                <w:color w:val="000000"/>
                <w:kern w:val="0"/>
                <w:sz w:val="21"/>
                <w:szCs w:val="21"/>
              </w:rPr>
              <w:t>±</w:t>
            </w:r>
            <w:r w:rsidRPr="00851C48">
              <w:rPr>
                <w:rFonts w:eastAsia="等线"/>
                <w:color w:val="000000"/>
                <w:kern w:val="0"/>
                <w:sz w:val="21"/>
                <w:szCs w:val="21"/>
              </w:rPr>
              <w:t>0.09 a</w:t>
            </w:r>
          </w:p>
        </w:tc>
        <w:tc>
          <w:tcPr>
            <w:tcW w:w="567" w:type="dxa"/>
            <w:tcBorders>
              <w:top w:val="nil"/>
              <w:left w:val="single" w:sz="4" w:space="0" w:color="auto"/>
              <w:bottom w:val="nil"/>
              <w:right w:val="nil"/>
            </w:tcBorders>
            <w:shd w:val="clear" w:color="auto" w:fill="auto"/>
            <w:noWrap/>
            <w:vAlign w:val="center"/>
            <w:hideMark/>
          </w:tcPr>
          <w:p w14:paraId="4AC964E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B31D6B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1.43±0.10 a</w:t>
            </w:r>
          </w:p>
        </w:tc>
        <w:tc>
          <w:tcPr>
            <w:tcW w:w="567" w:type="dxa"/>
            <w:tcBorders>
              <w:top w:val="nil"/>
              <w:left w:val="nil"/>
              <w:bottom w:val="nil"/>
              <w:right w:val="nil"/>
            </w:tcBorders>
            <w:shd w:val="clear" w:color="auto" w:fill="auto"/>
            <w:noWrap/>
            <w:vAlign w:val="center"/>
            <w:hideMark/>
          </w:tcPr>
          <w:p w14:paraId="3207765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19</w:t>
            </w:r>
          </w:p>
        </w:tc>
        <w:tc>
          <w:tcPr>
            <w:tcW w:w="2126" w:type="dxa"/>
            <w:tcBorders>
              <w:top w:val="nil"/>
              <w:left w:val="nil"/>
              <w:bottom w:val="nil"/>
              <w:right w:val="nil"/>
            </w:tcBorders>
            <w:shd w:val="clear" w:color="auto" w:fill="auto"/>
            <w:noWrap/>
            <w:vAlign w:val="center"/>
            <w:hideMark/>
          </w:tcPr>
          <w:p w14:paraId="63548AA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1.44±0.03 a</w:t>
            </w:r>
          </w:p>
        </w:tc>
      </w:tr>
      <w:tr w:rsidR="00BD673C" w:rsidRPr="00851C48" w14:paraId="5E985DE9" w14:textId="77777777" w:rsidTr="00A74D12">
        <w:trPr>
          <w:trHeight w:val="285"/>
        </w:trPr>
        <w:tc>
          <w:tcPr>
            <w:tcW w:w="942" w:type="dxa"/>
            <w:vMerge/>
            <w:tcBorders>
              <w:top w:val="nil"/>
              <w:left w:val="nil"/>
              <w:bottom w:val="nil"/>
              <w:right w:val="nil"/>
            </w:tcBorders>
            <w:vAlign w:val="center"/>
            <w:hideMark/>
          </w:tcPr>
          <w:p w14:paraId="4EFB35D0"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164C434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10-20</w:t>
            </w:r>
          </w:p>
        </w:tc>
        <w:tc>
          <w:tcPr>
            <w:tcW w:w="567" w:type="dxa"/>
            <w:tcBorders>
              <w:top w:val="nil"/>
              <w:left w:val="nil"/>
              <w:bottom w:val="nil"/>
              <w:right w:val="nil"/>
            </w:tcBorders>
            <w:shd w:val="clear" w:color="auto" w:fill="auto"/>
            <w:noWrap/>
            <w:vAlign w:val="center"/>
            <w:hideMark/>
          </w:tcPr>
          <w:p w14:paraId="06BCF48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1701" w:type="dxa"/>
            <w:tcBorders>
              <w:top w:val="nil"/>
              <w:left w:val="nil"/>
              <w:bottom w:val="nil"/>
              <w:right w:val="nil"/>
            </w:tcBorders>
            <w:shd w:val="clear" w:color="auto" w:fill="auto"/>
            <w:noWrap/>
            <w:vAlign w:val="center"/>
            <w:hideMark/>
          </w:tcPr>
          <w:p w14:paraId="19FD7F5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1.45</w:t>
            </w:r>
            <w:r w:rsidRPr="00851C48">
              <w:rPr>
                <w:rFonts w:ascii="等线" w:eastAsia="等线" w:hAnsi="等线" w:hint="eastAsia"/>
                <w:color w:val="000000"/>
                <w:kern w:val="0"/>
                <w:sz w:val="21"/>
                <w:szCs w:val="21"/>
              </w:rPr>
              <w:t>±</w:t>
            </w:r>
            <w:r w:rsidRPr="00851C48">
              <w:rPr>
                <w:rFonts w:eastAsia="等线"/>
                <w:color w:val="000000"/>
                <w:kern w:val="0"/>
                <w:sz w:val="21"/>
                <w:szCs w:val="21"/>
              </w:rPr>
              <w:t>0.11 b</w:t>
            </w:r>
          </w:p>
        </w:tc>
        <w:tc>
          <w:tcPr>
            <w:tcW w:w="567" w:type="dxa"/>
            <w:tcBorders>
              <w:top w:val="nil"/>
              <w:left w:val="nil"/>
              <w:bottom w:val="nil"/>
              <w:right w:val="nil"/>
            </w:tcBorders>
            <w:shd w:val="clear" w:color="auto" w:fill="auto"/>
            <w:noWrap/>
            <w:vAlign w:val="center"/>
            <w:hideMark/>
          </w:tcPr>
          <w:p w14:paraId="2D0AEB1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1559" w:type="dxa"/>
            <w:tcBorders>
              <w:top w:val="nil"/>
              <w:left w:val="nil"/>
              <w:bottom w:val="nil"/>
              <w:right w:val="nil"/>
            </w:tcBorders>
            <w:shd w:val="clear" w:color="auto" w:fill="auto"/>
            <w:noWrap/>
            <w:vAlign w:val="center"/>
            <w:hideMark/>
          </w:tcPr>
          <w:p w14:paraId="16E9E44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1.59</w:t>
            </w:r>
            <w:r w:rsidRPr="00851C48">
              <w:rPr>
                <w:rFonts w:ascii="等线" w:eastAsia="等线" w:hAnsi="等线" w:hint="eastAsia"/>
                <w:color w:val="000000"/>
                <w:kern w:val="0"/>
                <w:sz w:val="21"/>
                <w:szCs w:val="21"/>
              </w:rPr>
              <w:t>±</w:t>
            </w:r>
            <w:r w:rsidRPr="00851C48">
              <w:rPr>
                <w:rFonts w:eastAsia="等线"/>
                <w:color w:val="000000"/>
                <w:kern w:val="0"/>
                <w:sz w:val="21"/>
                <w:szCs w:val="21"/>
              </w:rPr>
              <w:t>0.07 a</w:t>
            </w:r>
          </w:p>
        </w:tc>
        <w:tc>
          <w:tcPr>
            <w:tcW w:w="567" w:type="dxa"/>
            <w:tcBorders>
              <w:top w:val="nil"/>
              <w:left w:val="nil"/>
              <w:bottom w:val="nil"/>
              <w:right w:val="nil"/>
            </w:tcBorders>
            <w:shd w:val="clear" w:color="auto" w:fill="auto"/>
            <w:noWrap/>
            <w:vAlign w:val="center"/>
            <w:hideMark/>
          </w:tcPr>
          <w:p w14:paraId="25E7CC4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1560" w:type="dxa"/>
            <w:tcBorders>
              <w:top w:val="nil"/>
              <w:left w:val="nil"/>
              <w:bottom w:val="nil"/>
              <w:right w:val="single" w:sz="4" w:space="0" w:color="auto"/>
            </w:tcBorders>
            <w:shd w:val="clear" w:color="auto" w:fill="auto"/>
            <w:noWrap/>
            <w:vAlign w:val="center"/>
            <w:hideMark/>
          </w:tcPr>
          <w:p w14:paraId="489511D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1.62</w:t>
            </w:r>
            <w:r w:rsidRPr="00851C48">
              <w:rPr>
                <w:rFonts w:ascii="等线" w:eastAsia="等线" w:hAnsi="等线" w:hint="eastAsia"/>
                <w:color w:val="000000"/>
                <w:kern w:val="0"/>
                <w:sz w:val="21"/>
                <w:szCs w:val="21"/>
              </w:rPr>
              <w:t>±</w:t>
            </w:r>
            <w:r w:rsidRPr="00851C48">
              <w:rPr>
                <w:rFonts w:eastAsia="等线"/>
                <w:color w:val="000000"/>
                <w:kern w:val="0"/>
                <w:sz w:val="21"/>
                <w:szCs w:val="21"/>
              </w:rPr>
              <w:t>0.06 a</w:t>
            </w:r>
          </w:p>
        </w:tc>
        <w:tc>
          <w:tcPr>
            <w:tcW w:w="567" w:type="dxa"/>
            <w:tcBorders>
              <w:top w:val="nil"/>
              <w:left w:val="single" w:sz="4" w:space="0" w:color="auto"/>
              <w:bottom w:val="nil"/>
              <w:right w:val="nil"/>
            </w:tcBorders>
            <w:shd w:val="clear" w:color="auto" w:fill="auto"/>
            <w:noWrap/>
            <w:vAlign w:val="center"/>
            <w:hideMark/>
          </w:tcPr>
          <w:p w14:paraId="19D95E1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42FB3FB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1.52±0.06 a</w:t>
            </w:r>
          </w:p>
        </w:tc>
        <w:tc>
          <w:tcPr>
            <w:tcW w:w="567" w:type="dxa"/>
            <w:tcBorders>
              <w:top w:val="nil"/>
              <w:left w:val="nil"/>
              <w:bottom w:val="nil"/>
              <w:right w:val="nil"/>
            </w:tcBorders>
            <w:shd w:val="clear" w:color="auto" w:fill="auto"/>
            <w:noWrap/>
            <w:vAlign w:val="center"/>
            <w:hideMark/>
          </w:tcPr>
          <w:p w14:paraId="3BC7510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19</w:t>
            </w:r>
          </w:p>
        </w:tc>
        <w:tc>
          <w:tcPr>
            <w:tcW w:w="2126" w:type="dxa"/>
            <w:tcBorders>
              <w:top w:val="nil"/>
              <w:left w:val="nil"/>
              <w:bottom w:val="nil"/>
              <w:right w:val="nil"/>
            </w:tcBorders>
            <w:shd w:val="clear" w:color="auto" w:fill="auto"/>
            <w:noWrap/>
            <w:vAlign w:val="center"/>
            <w:hideMark/>
          </w:tcPr>
          <w:p w14:paraId="687B55D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1.50±0.02 a</w:t>
            </w:r>
          </w:p>
        </w:tc>
      </w:tr>
      <w:tr w:rsidR="00BD673C" w:rsidRPr="00851C48" w14:paraId="63B923CF" w14:textId="77777777" w:rsidTr="00A74D12">
        <w:trPr>
          <w:trHeight w:val="285"/>
        </w:trPr>
        <w:tc>
          <w:tcPr>
            <w:tcW w:w="942" w:type="dxa"/>
            <w:vMerge/>
            <w:tcBorders>
              <w:top w:val="nil"/>
              <w:left w:val="nil"/>
              <w:bottom w:val="nil"/>
              <w:right w:val="nil"/>
            </w:tcBorders>
            <w:vAlign w:val="center"/>
            <w:hideMark/>
          </w:tcPr>
          <w:p w14:paraId="1657A0D1"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3AC13E5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20-40</w:t>
            </w:r>
          </w:p>
        </w:tc>
        <w:tc>
          <w:tcPr>
            <w:tcW w:w="567" w:type="dxa"/>
            <w:tcBorders>
              <w:top w:val="nil"/>
              <w:left w:val="nil"/>
              <w:bottom w:val="nil"/>
              <w:right w:val="nil"/>
            </w:tcBorders>
            <w:shd w:val="clear" w:color="auto" w:fill="auto"/>
            <w:noWrap/>
            <w:vAlign w:val="center"/>
            <w:hideMark/>
          </w:tcPr>
          <w:p w14:paraId="2281E70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701" w:type="dxa"/>
            <w:tcBorders>
              <w:top w:val="nil"/>
              <w:left w:val="nil"/>
              <w:bottom w:val="nil"/>
              <w:right w:val="nil"/>
            </w:tcBorders>
            <w:shd w:val="clear" w:color="auto" w:fill="auto"/>
            <w:noWrap/>
            <w:vAlign w:val="center"/>
            <w:hideMark/>
          </w:tcPr>
          <w:p w14:paraId="6C88B35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1.31</w:t>
            </w:r>
            <w:r w:rsidRPr="00851C48">
              <w:rPr>
                <w:rFonts w:ascii="等线" w:eastAsia="等线" w:hAnsi="等线" w:hint="eastAsia"/>
                <w:color w:val="000000"/>
                <w:kern w:val="0"/>
                <w:sz w:val="21"/>
                <w:szCs w:val="21"/>
              </w:rPr>
              <w:t>±</w:t>
            </w:r>
            <w:r w:rsidRPr="00851C48">
              <w:rPr>
                <w:rFonts w:eastAsia="等线"/>
                <w:color w:val="000000"/>
                <w:kern w:val="0"/>
                <w:sz w:val="21"/>
                <w:szCs w:val="21"/>
              </w:rPr>
              <w:t>0.15 b</w:t>
            </w:r>
          </w:p>
        </w:tc>
        <w:tc>
          <w:tcPr>
            <w:tcW w:w="567" w:type="dxa"/>
            <w:tcBorders>
              <w:top w:val="nil"/>
              <w:left w:val="nil"/>
              <w:bottom w:val="nil"/>
              <w:right w:val="nil"/>
            </w:tcBorders>
            <w:shd w:val="clear" w:color="auto" w:fill="auto"/>
            <w:noWrap/>
            <w:vAlign w:val="center"/>
            <w:hideMark/>
          </w:tcPr>
          <w:p w14:paraId="5354C22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59" w:type="dxa"/>
            <w:tcBorders>
              <w:top w:val="nil"/>
              <w:left w:val="nil"/>
              <w:bottom w:val="nil"/>
              <w:right w:val="nil"/>
            </w:tcBorders>
            <w:shd w:val="clear" w:color="auto" w:fill="auto"/>
            <w:noWrap/>
            <w:vAlign w:val="center"/>
            <w:hideMark/>
          </w:tcPr>
          <w:p w14:paraId="75A86EB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1.50</w:t>
            </w:r>
            <w:r w:rsidRPr="00851C48">
              <w:rPr>
                <w:rFonts w:ascii="等线" w:eastAsia="等线" w:hAnsi="等线" w:hint="eastAsia"/>
                <w:color w:val="000000"/>
                <w:kern w:val="0"/>
                <w:sz w:val="21"/>
                <w:szCs w:val="21"/>
              </w:rPr>
              <w:t>±</w:t>
            </w:r>
            <w:r w:rsidRPr="00851C48">
              <w:rPr>
                <w:rFonts w:eastAsia="等线"/>
                <w:color w:val="000000"/>
                <w:kern w:val="0"/>
                <w:sz w:val="21"/>
                <w:szCs w:val="21"/>
              </w:rPr>
              <w:t>0.11 a</w:t>
            </w:r>
          </w:p>
        </w:tc>
        <w:tc>
          <w:tcPr>
            <w:tcW w:w="567" w:type="dxa"/>
            <w:tcBorders>
              <w:top w:val="nil"/>
              <w:left w:val="nil"/>
              <w:bottom w:val="nil"/>
              <w:right w:val="nil"/>
            </w:tcBorders>
            <w:shd w:val="clear" w:color="auto" w:fill="auto"/>
            <w:noWrap/>
            <w:vAlign w:val="center"/>
            <w:hideMark/>
          </w:tcPr>
          <w:p w14:paraId="59AD211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60" w:type="dxa"/>
            <w:tcBorders>
              <w:top w:val="nil"/>
              <w:left w:val="nil"/>
              <w:bottom w:val="nil"/>
              <w:right w:val="single" w:sz="4" w:space="0" w:color="auto"/>
            </w:tcBorders>
            <w:shd w:val="clear" w:color="auto" w:fill="auto"/>
            <w:noWrap/>
            <w:vAlign w:val="center"/>
            <w:hideMark/>
          </w:tcPr>
          <w:p w14:paraId="61DABCA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1.57</w:t>
            </w:r>
            <w:r w:rsidRPr="00851C48">
              <w:rPr>
                <w:rFonts w:ascii="等线" w:eastAsia="等线" w:hAnsi="等线" w:hint="eastAsia"/>
                <w:color w:val="000000"/>
                <w:kern w:val="0"/>
                <w:sz w:val="21"/>
                <w:szCs w:val="21"/>
              </w:rPr>
              <w:t>±</w:t>
            </w:r>
            <w:r w:rsidRPr="00851C48">
              <w:rPr>
                <w:rFonts w:eastAsia="等线"/>
                <w:color w:val="000000"/>
                <w:kern w:val="0"/>
                <w:sz w:val="21"/>
                <w:szCs w:val="21"/>
              </w:rPr>
              <w:t>0.07 a</w:t>
            </w:r>
          </w:p>
        </w:tc>
        <w:tc>
          <w:tcPr>
            <w:tcW w:w="567" w:type="dxa"/>
            <w:tcBorders>
              <w:top w:val="nil"/>
              <w:left w:val="single" w:sz="4" w:space="0" w:color="auto"/>
              <w:bottom w:val="nil"/>
              <w:right w:val="nil"/>
            </w:tcBorders>
            <w:shd w:val="clear" w:color="auto" w:fill="auto"/>
            <w:noWrap/>
            <w:vAlign w:val="center"/>
            <w:hideMark/>
          </w:tcPr>
          <w:p w14:paraId="1F83477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59" w:type="dxa"/>
            <w:tcBorders>
              <w:top w:val="nil"/>
              <w:left w:val="nil"/>
              <w:bottom w:val="nil"/>
              <w:right w:val="nil"/>
            </w:tcBorders>
            <w:shd w:val="clear" w:color="auto" w:fill="auto"/>
            <w:noWrap/>
            <w:vAlign w:val="center"/>
            <w:hideMark/>
          </w:tcPr>
          <w:p w14:paraId="0A58F44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1.50±0.05 a</w:t>
            </w:r>
          </w:p>
        </w:tc>
        <w:tc>
          <w:tcPr>
            <w:tcW w:w="567" w:type="dxa"/>
            <w:tcBorders>
              <w:top w:val="nil"/>
              <w:left w:val="nil"/>
              <w:bottom w:val="nil"/>
              <w:right w:val="nil"/>
            </w:tcBorders>
            <w:shd w:val="clear" w:color="auto" w:fill="auto"/>
            <w:noWrap/>
            <w:vAlign w:val="center"/>
            <w:hideMark/>
          </w:tcPr>
          <w:p w14:paraId="119EFD3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w:t>
            </w:r>
          </w:p>
        </w:tc>
        <w:tc>
          <w:tcPr>
            <w:tcW w:w="2126" w:type="dxa"/>
            <w:tcBorders>
              <w:top w:val="nil"/>
              <w:left w:val="nil"/>
              <w:bottom w:val="nil"/>
              <w:right w:val="nil"/>
            </w:tcBorders>
            <w:shd w:val="clear" w:color="auto" w:fill="auto"/>
            <w:noWrap/>
            <w:vAlign w:val="center"/>
            <w:hideMark/>
          </w:tcPr>
          <w:p w14:paraId="1B63EE4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1.54±0.02 a</w:t>
            </w:r>
          </w:p>
        </w:tc>
      </w:tr>
      <w:tr w:rsidR="00BD673C" w:rsidRPr="00851C48" w14:paraId="40550BC7" w14:textId="77777777" w:rsidTr="00A74D12">
        <w:trPr>
          <w:trHeight w:val="285"/>
        </w:trPr>
        <w:tc>
          <w:tcPr>
            <w:tcW w:w="942" w:type="dxa"/>
            <w:vMerge/>
            <w:tcBorders>
              <w:top w:val="nil"/>
              <w:left w:val="nil"/>
              <w:bottom w:val="nil"/>
              <w:right w:val="nil"/>
            </w:tcBorders>
            <w:vAlign w:val="center"/>
            <w:hideMark/>
          </w:tcPr>
          <w:p w14:paraId="509FAC5E"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18A468C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40-60</w:t>
            </w:r>
          </w:p>
        </w:tc>
        <w:tc>
          <w:tcPr>
            <w:tcW w:w="567" w:type="dxa"/>
            <w:tcBorders>
              <w:top w:val="nil"/>
              <w:left w:val="nil"/>
              <w:bottom w:val="nil"/>
              <w:right w:val="nil"/>
            </w:tcBorders>
            <w:shd w:val="clear" w:color="auto" w:fill="auto"/>
            <w:noWrap/>
            <w:vAlign w:val="center"/>
            <w:hideMark/>
          </w:tcPr>
          <w:p w14:paraId="7654002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701" w:type="dxa"/>
            <w:tcBorders>
              <w:top w:val="nil"/>
              <w:left w:val="nil"/>
              <w:bottom w:val="nil"/>
              <w:right w:val="nil"/>
            </w:tcBorders>
            <w:shd w:val="clear" w:color="auto" w:fill="auto"/>
            <w:noWrap/>
            <w:vAlign w:val="center"/>
            <w:hideMark/>
          </w:tcPr>
          <w:p w14:paraId="0F96563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1.29</w:t>
            </w:r>
            <w:r w:rsidRPr="00851C48">
              <w:rPr>
                <w:rFonts w:ascii="等线" w:eastAsia="等线" w:hAnsi="等线" w:hint="eastAsia"/>
                <w:color w:val="000000"/>
                <w:kern w:val="0"/>
                <w:sz w:val="21"/>
                <w:szCs w:val="21"/>
              </w:rPr>
              <w:t>±</w:t>
            </w:r>
            <w:r w:rsidRPr="00851C48">
              <w:rPr>
                <w:rFonts w:eastAsia="等线"/>
                <w:color w:val="000000"/>
                <w:kern w:val="0"/>
                <w:sz w:val="21"/>
                <w:szCs w:val="21"/>
              </w:rPr>
              <w:t>0.08 b</w:t>
            </w:r>
          </w:p>
        </w:tc>
        <w:tc>
          <w:tcPr>
            <w:tcW w:w="567" w:type="dxa"/>
            <w:tcBorders>
              <w:top w:val="nil"/>
              <w:left w:val="nil"/>
              <w:bottom w:val="nil"/>
              <w:right w:val="nil"/>
            </w:tcBorders>
            <w:shd w:val="clear" w:color="auto" w:fill="auto"/>
            <w:noWrap/>
            <w:vAlign w:val="center"/>
            <w:hideMark/>
          </w:tcPr>
          <w:p w14:paraId="157686F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59" w:type="dxa"/>
            <w:tcBorders>
              <w:top w:val="nil"/>
              <w:left w:val="nil"/>
              <w:bottom w:val="nil"/>
              <w:right w:val="nil"/>
            </w:tcBorders>
            <w:shd w:val="clear" w:color="auto" w:fill="auto"/>
            <w:noWrap/>
            <w:vAlign w:val="center"/>
            <w:hideMark/>
          </w:tcPr>
          <w:p w14:paraId="7F24D61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1.52</w:t>
            </w:r>
            <w:r w:rsidRPr="00851C48">
              <w:rPr>
                <w:rFonts w:ascii="等线" w:eastAsia="等线" w:hAnsi="等线" w:hint="eastAsia"/>
                <w:color w:val="000000"/>
                <w:kern w:val="0"/>
                <w:sz w:val="21"/>
                <w:szCs w:val="21"/>
              </w:rPr>
              <w:t>±</w:t>
            </w:r>
            <w:r w:rsidRPr="00851C48">
              <w:rPr>
                <w:rFonts w:eastAsia="等线"/>
                <w:color w:val="000000"/>
                <w:kern w:val="0"/>
                <w:sz w:val="21"/>
                <w:szCs w:val="21"/>
              </w:rPr>
              <w:t>0.07 a</w:t>
            </w:r>
          </w:p>
        </w:tc>
        <w:tc>
          <w:tcPr>
            <w:tcW w:w="567" w:type="dxa"/>
            <w:tcBorders>
              <w:top w:val="nil"/>
              <w:left w:val="nil"/>
              <w:bottom w:val="nil"/>
              <w:right w:val="nil"/>
            </w:tcBorders>
            <w:shd w:val="clear" w:color="auto" w:fill="auto"/>
            <w:noWrap/>
            <w:vAlign w:val="center"/>
            <w:hideMark/>
          </w:tcPr>
          <w:p w14:paraId="4337510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60" w:type="dxa"/>
            <w:tcBorders>
              <w:top w:val="nil"/>
              <w:left w:val="nil"/>
              <w:bottom w:val="nil"/>
              <w:right w:val="single" w:sz="4" w:space="0" w:color="auto"/>
            </w:tcBorders>
            <w:shd w:val="clear" w:color="auto" w:fill="auto"/>
            <w:noWrap/>
            <w:vAlign w:val="center"/>
            <w:hideMark/>
          </w:tcPr>
          <w:p w14:paraId="3C2C7DC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1.56</w:t>
            </w:r>
            <w:r w:rsidRPr="00851C48">
              <w:rPr>
                <w:rFonts w:ascii="等线" w:eastAsia="等线" w:hAnsi="等线" w:hint="eastAsia"/>
                <w:color w:val="000000"/>
                <w:kern w:val="0"/>
                <w:sz w:val="21"/>
                <w:szCs w:val="21"/>
              </w:rPr>
              <w:t>±</w:t>
            </w:r>
            <w:r w:rsidRPr="00851C48">
              <w:rPr>
                <w:rFonts w:eastAsia="等线"/>
                <w:color w:val="000000"/>
                <w:kern w:val="0"/>
                <w:sz w:val="21"/>
                <w:szCs w:val="21"/>
              </w:rPr>
              <w:t>0.10 a</w:t>
            </w:r>
          </w:p>
        </w:tc>
        <w:tc>
          <w:tcPr>
            <w:tcW w:w="567" w:type="dxa"/>
            <w:tcBorders>
              <w:top w:val="nil"/>
              <w:left w:val="single" w:sz="4" w:space="0" w:color="auto"/>
              <w:bottom w:val="nil"/>
              <w:right w:val="nil"/>
            </w:tcBorders>
            <w:shd w:val="clear" w:color="auto" w:fill="auto"/>
            <w:noWrap/>
            <w:vAlign w:val="center"/>
            <w:hideMark/>
          </w:tcPr>
          <w:p w14:paraId="11E29F1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59" w:type="dxa"/>
            <w:tcBorders>
              <w:top w:val="nil"/>
              <w:left w:val="nil"/>
              <w:bottom w:val="nil"/>
              <w:right w:val="nil"/>
            </w:tcBorders>
            <w:shd w:val="clear" w:color="auto" w:fill="auto"/>
            <w:noWrap/>
            <w:vAlign w:val="center"/>
            <w:hideMark/>
          </w:tcPr>
          <w:p w14:paraId="3DFD7CE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1.49±0.04 a</w:t>
            </w:r>
          </w:p>
        </w:tc>
        <w:tc>
          <w:tcPr>
            <w:tcW w:w="567" w:type="dxa"/>
            <w:tcBorders>
              <w:top w:val="nil"/>
              <w:left w:val="nil"/>
              <w:bottom w:val="nil"/>
              <w:right w:val="nil"/>
            </w:tcBorders>
            <w:shd w:val="clear" w:color="auto" w:fill="auto"/>
            <w:noWrap/>
            <w:vAlign w:val="center"/>
            <w:hideMark/>
          </w:tcPr>
          <w:p w14:paraId="40AEBF4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w:t>
            </w:r>
          </w:p>
        </w:tc>
        <w:tc>
          <w:tcPr>
            <w:tcW w:w="2126" w:type="dxa"/>
            <w:tcBorders>
              <w:top w:val="nil"/>
              <w:left w:val="nil"/>
              <w:bottom w:val="nil"/>
              <w:right w:val="nil"/>
            </w:tcBorders>
            <w:shd w:val="clear" w:color="auto" w:fill="auto"/>
            <w:noWrap/>
            <w:vAlign w:val="center"/>
            <w:hideMark/>
          </w:tcPr>
          <w:p w14:paraId="0AECFA9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1.56±0.02 a</w:t>
            </w:r>
          </w:p>
        </w:tc>
      </w:tr>
      <w:tr w:rsidR="00BD673C" w:rsidRPr="00851C48" w14:paraId="769510B9" w14:textId="77777777" w:rsidTr="00A74D12">
        <w:trPr>
          <w:trHeight w:val="285"/>
        </w:trPr>
        <w:tc>
          <w:tcPr>
            <w:tcW w:w="942" w:type="dxa"/>
            <w:vMerge/>
            <w:tcBorders>
              <w:top w:val="nil"/>
              <w:left w:val="nil"/>
              <w:bottom w:val="nil"/>
              <w:right w:val="nil"/>
            </w:tcBorders>
            <w:vAlign w:val="center"/>
            <w:hideMark/>
          </w:tcPr>
          <w:p w14:paraId="19B1A43E"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4EF694E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60-100</w:t>
            </w:r>
          </w:p>
        </w:tc>
        <w:tc>
          <w:tcPr>
            <w:tcW w:w="567" w:type="dxa"/>
            <w:tcBorders>
              <w:top w:val="nil"/>
              <w:left w:val="nil"/>
              <w:bottom w:val="nil"/>
              <w:right w:val="nil"/>
            </w:tcBorders>
            <w:shd w:val="clear" w:color="auto" w:fill="auto"/>
            <w:noWrap/>
            <w:vAlign w:val="center"/>
            <w:hideMark/>
          </w:tcPr>
          <w:p w14:paraId="64BBF6A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701" w:type="dxa"/>
            <w:tcBorders>
              <w:top w:val="nil"/>
              <w:left w:val="nil"/>
              <w:bottom w:val="nil"/>
              <w:right w:val="nil"/>
            </w:tcBorders>
            <w:shd w:val="clear" w:color="auto" w:fill="auto"/>
            <w:noWrap/>
            <w:vAlign w:val="center"/>
            <w:hideMark/>
          </w:tcPr>
          <w:p w14:paraId="19F1509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1.28</w:t>
            </w:r>
            <w:r w:rsidRPr="00851C48">
              <w:rPr>
                <w:rFonts w:ascii="等线" w:eastAsia="等线" w:hAnsi="等线" w:hint="eastAsia"/>
                <w:color w:val="000000"/>
                <w:kern w:val="0"/>
                <w:sz w:val="21"/>
                <w:szCs w:val="21"/>
              </w:rPr>
              <w:t>±</w:t>
            </w:r>
            <w:r w:rsidRPr="00851C48">
              <w:rPr>
                <w:rFonts w:eastAsia="等线"/>
                <w:color w:val="000000"/>
                <w:kern w:val="0"/>
                <w:sz w:val="21"/>
                <w:szCs w:val="21"/>
              </w:rPr>
              <w:t>0.06 b</w:t>
            </w:r>
          </w:p>
        </w:tc>
        <w:tc>
          <w:tcPr>
            <w:tcW w:w="567" w:type="dxa"/>
            <w:tcBorders>
              <w:top w:val="nil"/>
              <w:left w:val="nil"/>
              <w:bottom w:val="nil"/>
              <w:right w:val="nil"/>
            </w:tcBorders>
            <w:shd w:val="clear" w:color="auto" w:fill="auto"/>
            <w:noWrap/>
            <w:vAlign w:val="center"/>
            <w:hideMark/>
          </w:tcPr>
          <w:p w14:paraId="59AE4D8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59" w:type="dxa"/>
            <w:tcBorders>
              <w:top w:val="nil"/>
              <w:left w:val="nil"/>
              <w:bottom w:val="nil"/>
              <w:right w:val="nil"/>
            </w:tcBorders>
            <w:shd w:val="clear" w:color="auto" w:fill="auto"/>
            <w:noWrap/>
            <w:vAlign w:val="center"/>
            <w:hideMark/>
          </w:tcPr>
          <w:p w14:paraId="0EE0501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1.51</w:t>
            </w:r>
            <w:r w:rsidRPr="00851C48">
              <w:rPr>
                <w:rFonts w:ascii="等线" w:eastAsia="等线" w:hAnsi="等线" w:hint="eastAsia"/>
                <w:color w:val="000000"/>
                <w:kern w:val="0"/>
                <w:sz w:val="21"/>
                <w:szCs w:val="21"/>
              </w:rPr>
              <w:t>±</w:t>
            </w:r>
            <w:r w:rsidRPr="00851C48">
              <w:rPr>
                <w:rFonts w:eastAsia="等线"/>
                <w:color w:val="000000"/>
                <w:kern w:val="0"/>
                <w:sz w:val="21"/>
                <w:szCs w:val="21"/>
              </w:rPr>
              <w:t>0.11 a</w:t>
            </w:r>
          </w:p>
        </w:tc>
        <w:tc>
          <w:tcPr>
            <w:tcW w:w="567" w:type="dxa"/>
            <w:tcBorders>
              <w:top w:val="nil"/>
              <w:left w:val="nil"/>
              <w:bottom w:val="nil"/>
              <w:right w:val="nil"/>
            </w:tcBorders>
            <w:shd w:val="clear" w:color="auto" w:fill="auto"/>
            <w:noWrap/>
            <w:vAlign w:val="center"/>
            <w:hideMark/>
          </w:tcPr>
          <w:p w14:paraId="4E6D505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60" w:type="dxa"/>
            <w:tcBorders>
              <w:top w:val="nil"/>
              <w:left w:val="nil"/>
              <w:bottom w:val="nil"/>
              <w:right w:val="single" w:sz="4" w:space="0" w:color="auto"/>
            </w:tcBorders>
            <w:shd w:val="clear" w:color="auto" w:fill="auto"/>
            <w:noWrap/>
            <w:vAlign w:val="center"/>
            <w:hideMark/>
          </w:tcPr>
          <w:p w14:paraId="52B0904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1.56</w:t>
            </w:r>
            <w:r w:rsidRPr="00851C48">
              <w:rPr>
                <w:rFonts w:ascii="等线" w:eastAsia="等线" w:hAnsi="等线" w:hint="eastAsia"/>
                <w:color w:val="000000"/>
                <w:kern w:val="0"/>
                <w:sz w:val="21"/>
                <w:szCs w:val="21"/>
              </w:rPr>
              <w:t>±</w:t>
            </w:r>
            <w:r w:rsidRPr="00851C48">
              <w:rPr>
                <w:rFonts w:eastAsia="等线"/>
                <w:color w:val="000000"/>
                <w:kern w:val="0"/>
                <w:sz w:val="21"/>
                <w:szCs w:val="21"/>
              </w:rPr>
              <w:t>0.09 a</w:t>
            </w:r>
          </w:p>
        </w:tc>
        <w:tc>
          <w:tcPr>
            <w:tcW w:w="567" w:type="dxa"/>
            <w:tcBorders>
              <w:top w:val="nil"/>
              <w:left w:val="single" w:sz="4" w:space="0" w:color="auto"/>
              <w:bottom w:val="nil"/>
              <w:right w:val="nil"/>
            </w:tcBorders>
            <w:shd w:val="clear" w:color="auto" w:fill="auto"/>
            <w:noWrap/>
            <w:vAlign w:val="center"/>
            <w:hideMark/>
          </w:tcPr>
          <w:p w14:paraId="5A9B7F6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w:t>
            </w:r>
          </w:p>
        </w:tc>
        <w:tc>
          <w:tcPr>
            <w:tcW w:w="1559" w:type="dxa"/>
            <w:tcBorders>
              <w:top w:val="nil"/>
              <w:left w:val="nil"/>
              <w:bottom w:val="nil"/>
              <w:right w:val="nil"/>
            </w:tcBorders>
            <w:shd w:val="clear" w:color="auto" w:fill="auto"/>
            <w:noWrap/>
            <w:vAlign w:val="center"/>
            <w:hideMark/>
          </w:tcPr>
          <w:p w14:paraId="1A73988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1.44±0.09 b</w:t>
            </w:r>
          </w:p>
        </w:tc>
        <w:tc>
          <w:tcPr>
            <w:tcW w:w="567" w:type="dxa"/>
            <w:tcBorders>
              <w:top w:val="nil"/>
              <w:left w:val="nil"/>
              <w:bottom w:val="nil"/>
              <w:right w:val="nil"/>
            </w:tcBorders>
            <w:shd w:val="clear" w:color="auto" w:fill="auto"/>
            <w:noWrap/>
            <w:vAlign w:val="center"/>
            <w:hideMark/>
          </w:tcPr>
          <w:p w14:paraId="5FAFC53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w:t>
            </w:r>
          </w:p>
        </w:tc>
        <w:tc>
          <w:tcPr>
            <w:tcW w:w="2126" w:type="dxa"/>
            <w:tcBorders>
              <w:top w:val="nil"/>
              <w:left w:val="nil"/>
              <w:bottom w:val="nil"/>
              <w:right w:val="nil"/>
            </w:tcBorders>
            <w:shd w:val="clear" w:color="auto" w:fill="auto"/>
            <w:noWrap/>
            <w:vAlign w:val="center"/>
            <w:hideMark/>
          </w:tcPr>
          <w:p w14:paraId="752DBC1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1.60±0.01 a</w:t>
            </w:r>
          </w:p>
        </w:tc>
      </w:tr>
      <w:tr w:rsidR="00BD673C" w:rsidRPr="00851C48" w14:paraId="4CA5CA29" w14:textId="77777777" w:rsidTr="00A74D12">
        <w:trPr>
          <w:trHeight w:val="285"/>
        </w:trPr>
        <w:tc>
          <w:tcPr>
            <w:tcW w:w="942" w:type="dxa"/>
            <w:vMerge w:val="restart"/>
            <w:tcBorders>
              <w:top w:val="nil"/>
              <w:left w:val="nil"/>
              <w:bottom w:val="nil"/>
              <w:right w:val="nil"/>
            </w:tcBorders>
            <w:shd w:val="clear" w:color="auto" w:fill="auto"/>
            <w:noWrap/>
            <w:vAlign w:val="center"/>
            <w:hideMark/>
          </w:tcPr>
          <w:p w14:paraId="4FAF71B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OM (g/kg)</w:t>
            </w:r>
          </w:p>
        </w:tc>
        <w:tc>
          <w:tcPr>
            <w:tcW w:w="901" w:type="dxa"/>
            <w:tcBorders>
              <w:top w:val="nil"/>
              <w:left w:val="nil"/>
              <w:bottom w:val="nil"/>
              <w:right w:val="nil"/>
            </w:tcBorders>
            <w:shd w:val="clear" w:color="auto" w:fill="auto"/>
            <w:noWrap/>
            <w:vAlign w:val="center"/>
            <w:hideMark/>
          </w:tcPr>
          <w:p w14:paraId="18AAFBC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p>
        </w:tc>
        <w:tc>
          <w:tcPr>
            <w:tcW w:w="567" w:type="dxa"/>
            <w:tcBorders>
              <w:top w:val="nil"/>
              <w:left w:val="nil"/>
              <w:bottom w:val="nil"/>
              <w:right w:val="nil"/>
            </w:tcBorders>
            <w:shd w:val="clear" w:color="auto" w:fill="auto"/>
            <w:noWrap/>
            <w:vAlign w:val="center"/>
            <w:hideMark/>
          </w:tcPr>
          <w:p w14:paraId="72891FB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701" w:type="dxa"/>
            <w:tcBorders>
              <w:top w:val="nil"/>
              <w:left w:val="nil"/>
              <w:bottom w:val="nil"/>
              <w:right w:val="nil"/>
            </w:tcBorders>
            <w:shd w:val="clear" w:color="auto" w:fill="auto"/>
            <w:noWrap/>
            <w:vAlign w:val="center"/>
            <w:hideMark/>
          </w:tcPr>
          <w:p w14:paraId="11935C7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6.59</w:t>
            </w:r>
            <w:r w:rsidRPr="00851C48">
              <w:rPr>
                <w:rFonts w:ascii="等线" w:eastAsia="等线" w:hAnsi="等线" w:hint="eastAsia"/>
                <w:color w:val="000000"/>
                <w:kern w:val="0"/>
                <w:sz w:val="21"/>
                <w:szCs w:val="21"/>
              </w:rPr>
              <w:t>±</w:t>
            </w:r>
            <w:r w:rsidRPr="00851C48">
              <w:rPr>
                <w:rFonts w:eastAsia="等线"/>
                <w:color w:val="000000"/>
                <w:kern w:val="0"/>
                <w:sz w:val="21"/>
                <w:szCs w:val="21"/>
              </w:rPr>
              <w:t>1.90 a</w:t>
            </w:r>
          </w:p>
        </w:tc>
        <w:tc>
          <w:tcPr>
            <w:tcW w:w="567" w:type="dxa"/>
            <w:tcBorders>
              <w:top w:val="nil"/>
              <w:left w:val="nil"/>
              <w:bottom w:val="nil"/>
              <w:right w:val="nil"/>
            </w:tcBorders>
            <w:shd w:val="clear" w:color="auto" w:fill="auto"/>
            <w:noWrap/>
            <w:vAlign w:val="center"/>
            <w:hideMark/>
          </w:tcPr>
          <w:p w14:paraId="5D4F341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59" w:type="dxa"/>
            <w:tcBorders>
              <w:top w:val="nil"/>
              <w:left w:val="nil"/>
              <w:bottom w:val="nil"/>
              <w:right w:val="nil"/>
            </w:tcBorders>
            <w:shd w:val="clear" w:color="auto" w:fill="auto"/>
            <w:noWrap/>
            <w:vAlign w:val="center"/>
            <w:hideMark/>
          </w:tcPr>
          <w:p w14:paraId="428E680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2.12</w:t>
            </w:r>
            <w:r w:rsidRPr="00851C48">
              <w:rPr>
                <w:rFonts w:ascii="等线" w:eastAsia="等线" w:hAnsi="等线" w:hint="eastAsia"/>
                <w:color w:val="000000"/>
                <w:kern w:val="0"/>
                <w:sz w:val="21"/>
                <w:szCs w:val="21"/>
              </w:rPr>
              <w:t>±</w:t>
            </w:r>
            <w:r w:rsidRPr="00851C48">
              <w:rPr>
                <w:rFonts w:eastAsia="等线"/>
                <w:color w:val="000000"/>
                <w:kern w:val="0"/>
                <w:sz w:val="21"/>
                <w:szCs w:val="21"/>
              </w:rPr>
              <w:t>1.39 b</w:t>
            </w:r>
          </w:p>
        </w:tc>
        <w:tc>
          <w:tcPr>
            <w:tcW w:w="567" w:type="dxa"/>
            <w:tcBorders>
              <w:top w:val="nil"/>
              <w:left w:val="nil"/>
              <w:bottom w:val="nil"/>
              <w:right w:val="nil"/>
            </w:tcBorders>
            <w:shd w:val="clear" w:color="auto" w:fill="auto"/>
            <w:noWrap/>
            <w:vAlign w:val="center"/>
            <w:hideMark/>
          </w:tcPr>
          <w:p w14:paraId="6C393F7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60" w:type="dxa"/>
            <w:tcBorders>
              <w:top w:val="nil"/>
              <w:left w:val="nil"/>
              <w:bottom w:val="nil"/>
              <w:right w:val="single" w:sz="4" w:space="0" w:color="auto"/>
            </w:tcBorders>
            <w:shd w:val="clear" w:color="auto" w:fill="auto"/>
            <w:noWrap/>
            <w:vAlign w:val="center"/>
            <w:hideMark/>
          </w:tcPr>
          <w:p w14:paraId="6B4576A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0.62</w:t>
            </w:r>
            <w:r w:rsidRPr="00851C48">
              <w:rPr>
                <w:rFonts w:ascii="等线" w:eastAsia="等线" w:hAnsi="等线" w:hint="eastAsia"/>
                <w:color w:val="000000"/>
                <w:kern w:val="0"/>
                <w:sz w:val="21"/>
                <w:szCs w:val="21"/>
              </w:rPr>
              <w:t>±</w:t>
            </w:r>
            <w:r w:rsidRPr="00851C48">
              <w:rPr>
                <w:rFonts w:eastAsia="等线"/>
                <w:color w:val="000000"/>
                <w:kern w:val="0"/>
                <w:sz w:val="21"/>
                <w:szCs w:val="21"/>
              </w:rPr>
              <w:t>0.45 c</w:t>
            </w:r>
          </w:p>
        </w:tc>
        <w:tc>
          <w:tcPr>
            <w:tcW w:w="567" w:type="dxa"/>
            <w:tcBorders>
              <w:top w:val="nil"/>
              <w:left w:val="single" w:sz="4" w:space="0" w:color="auto"/>
              <w:bottom w:val="nil"/>
              <w:right w:val="nil"/>
            </w:tcBorders>
            <w:shd w:val="clear" w:color="auto" w:fill="auto"/>
            <w:noWrap/>
            <w:vAlign w:val="center"/>
            <w:hideMark/>
          </w:tcPr>
          <w:p w14:paraId="62E6A3C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33</w:t>
            </w:r>
          </w:p>
        </w:tc>
        <w:tc>
          <w:tcPr>
            <w:tcW w:w="1559" w:type="dxa"/>
            <w:tcBorders>
              <w:top w:val="nil"/>
              <w:left w:val="nil"/>
              <w:bottom w:val="nil"/>
              <w:right w:val="nil"/>
            </w:tcBorders>
            <w:shd w:val="clear" w:color="auto" w:fill="auto"/>
            <w:noWrap/>
            <w:vAlign w:val="center"/>
            <w:hideMark/>
          </w:tcPr>
          <w:p w14:paraId="4526473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4.15±0.85 a</w:t>
            </w:r>
          </w:p>
        </w:tc>
        <w:tc>
          <w:tcPr>
            <w:tcW w:w="567" w:type="dxa"/>
            <w:tcBorders>
              <w:top w:val="nil"/>
              <w:left w:val="nil"/>
              <w:bottom w:val="nil"/>
              <w:right w:val="nil"/>
            </w:tcBorders>
            <w:shd w:val="clear" w:color="auto" w:fill="auto"/>
            <w:noWrap/>
            <w:vAlign w:val="center"/>
            <w:hideMark/>
          </w:tcPr>
          <w:p w14:paraId="6887B43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81</w:t>
            </w:r>
          </w:p>
        </w:tc>
        <w:tc>
          <w:tcPr>
            <w:tcW w:w="2126" w:type="dxa"/>
            <w:tcBorders>
              <w:top w:val="nil"/>
              <w:left w:val="nil"/>
              <w:bottom w:val="nil"/>
              <w:right w:val="nil"/>
            </w:tcBorders>
            <w:shd w:val="clear" w:color="auto" w:fill="auto"/>
            <w:noWrap/>
            <w:vAlign w:val="center"/>
            <w:hideMark/>
          </w:tcPr>
          <w:p w14:paraId="391A9A7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3.88±2.47 a</w:t>
            </w:r>
          </w:p>
        </w:tc>
      </w:tr>
      <w:tr w:rsidR="00BD673C" w:rsidRPr="00851C48" w14:paraId="44A17AA4" w14:textId="77777777" w:rsidTr="00A74D12">
        <w:trPr>
          <w:trHeight w:val="285"/>
        </w:trPr>
        <w:tc>
          <w:tcPr>
            <w:tcW w:w="942" w:type="dxa"/>
            <w:vMerge/>
            <w:tcBorders>
              <w:top w:val="nil"/>
              <w:left w:val="nil"/>
              <w:bottom w:val="nil"/>
              <w:right w:val="nil"/>
            </w:tcBorders>
            <w:vAlign w:val="center"/>
            <w:hideMark/>
          </w:tcPr>
          <w:p w14:paraId="0F496070"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0D055E7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10-20</w:t>
            </w:r>
          </w:p>
        </w:tc>
        <w:tc>
          <w:tcPr>
            <w:tcW w:w="567" w:type="dxa"/>
            <w:tcBorders>
              <w:top w:val="nil"/>
              <w:left w:val="nil"/>
              <w:bottom w:val="nil"/>
              <w:right w:val="nil"/>
            </w:tcBorders>
            <w:shd w:val="clear" w:color="auto" w:fill="auto"/>
            <w:noWrap/>
            <w:vAlign w:val="center"/>
            <w:hideMark/>
          </w:tcPr>
          <w:p w14:paraId="2206A4E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701" w:type="dxa"/>
            <w:tcBorders>
              <w:top w:val="nil"/>
              <w:left w:val="nil"/>
              <w:bottom w:val="nil"/>
              <w:right w:val="nil"/>
            </w:tcBorders>
            <w:shd w:val="clear" w:color="auto" w:fill="auto"/>
            <w:noWrap/>
            <w:vAlign w:val="center"/>
            <w:hideMark/>
          </w:tcPr>
          <w:p w14:paraId="73F1BE7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4.14</w:t>
            </w:r>
            <w:r w:rsidRPr="00851C48">
              <w:rPr>
                <w:rFonts w:ascii="等线" w:eastAsia="等线" w:hAnsi="等线" w:hint="eastAsia"/>
                <w:color w:val="000000"/>
                <w:kern w:val="0"/>
                <w:sz w:val="21"/>
                <w:szCs w:val="21"/>
              </w:rPr>
              <w:t>±</w:t>
            </w:r>
            <w:r w:rsidRPr="00851C48">
              <w:rPr>
                <w:rFonts w:eastAsia="等线"/>
                <w:color w:val="000000"/>
                <w:kern w:val="0"/>
                <w:sz w:val="21"/>
                <w:szCs w:val="21"/>
              </w:rPr>
              <w:t>1.66 a</w:t>
            </w:r>
          </w:p>
        </w:tc>
        <w:tc>
          <w:tcPr>
            <w:tcW w:w="567" w:type="dxa"/>
            <w:tcBorders>
              <w:top w:val="nil"/>
              <w:left w:val="nil"/>
              <w:bottom w:val="nil"/>
              <w:right w:val="nil"/>
            </w:tcBorders>
            <w:shd w:val="clear" w:color="auto" w:fill="auto"/>
            <w:noWrap/>
            <w:vAlign w:val="center"/>
            <w:hideMark/>
          </w:tcPr>
          <w:p w14:paraId="1C248EB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59" w:type="dxa"/>
            <w:tcBorders>
              <w:top w:val="nil"/>
              <w:left w:val="nil"/>
              <w:bottom w:val="nil"/>
              <w:right w:val="nil"/>
            </w:tcBorders>
            <w:shd w:val="clear" w:color="auto" w:fill="auto"/>
            <w:noWrap/>
            <w:vAlign w:val="center"/>
            <w:hideMark/>
          </w:tcPr>
          <w:p w14:paraId="4183878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1.15</w:t>
            </w:r>
            <w:r w:rsidRPr="00851C48">
              <w:rPr>
                <w:rFonts w:ascii="等线" w:eastAsia="等线" w:hAnsi="等线" w:hint="eastAsia"/>
                <w:color w:val="000000"/>
                <w:kern w:val="0"/>
                <w:sz w:val="21"/>
                <w:szCs w:val="21"/>
              </w:rPr>
              <w:t>±</w:t>
            </w:r>
            <w:r w:rsidRPr="00851C48">
              <w:rPr>
                <w:rFonts w:eastAsia="等线"/>
                <w:color w:val="000000"/>
                <w:kern w:val="0"/>
                <w:sz w:val="21"/>
                <w:szCs w:val="21"/>
              </w:rPr>
              <w:t>0.46 b</w:t>
            </w:r>
          </w:p>
        </w:tc>
        <w:tc>
          <w:tcPr>
            <w:tcW w:w="567" w:type="dxa"/>
            <w:tcBorders>
              <w:top w:val="nil"/>
              <w:left w:val="nil"/>
              <w:bottom w:val="nil"/>
              <w:right w:val="nil"/>
            </w:tcBorders>
            <w:shd w:val="clear" w:color="auto" w:fill="auto"/>
            <w:noWrap/>
            <w:vAlign w:val="center"/>
            <w:hideMark/>
          </w:tcPr>
          <w:p w14:paraId="6DF219D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60" w:type="dxa"/>
            <w:tcBorders>
              <w:top w:val="nil"/>
              <w:left w:val="nil"/>
              <w:bottom w:val="nil"/>
              <w:right w:val="single" w:sz="4" w:space="0" w:color="auto"/>
            </w:tcBorders>
            <w:shd w:val="clear" w:color="auto" w:fill="auto"/>
            <w:noWrap/>
            <w:vAlign w:val="center"/>
            <w:hideMark/>
          </w:tcPr>
          <w:p w14:paraId="7BD6D70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0.63</w:t>
            </w:r>
            <w:r w:rsidRPr="00851C48">
              <w:rPr>
                <w:rFonts w:ascii="等线" w:eastAsia="等线" w:hAnsi="等线" w:hint="eastAsia"/>
                <w:color w:val="000000"/>
                <w:kern w:val="0"/>
                <w:sz w:val="21"/>
                <w:szCs w:val="21"/>
              </w:rPr>
              <w:t>±</w:t>
            </w:r>
            <w:r w:rsidRPr="00851C48">
              <w:rPr>
                <w:rFonts w:eastAsia="等线"/>
                <w:color w:val="000000"/>
                <w:kern w:val="0"/>
                <w:sz w:val="21"/>
                <w:szCs w:val="21"/>
              </w:rPr>
              <w:t>0.34 b</w:t>
            </w:r>
          </w:p>
        </w:tc>
        <w:tc>
          <w:tcPr>
            <w:tcW w:w="567" w:type="dxa"/>
            <w:tcBorders>
              <w:top w:val="nil"/>
              <w:left w:val="single" w:sz="4" w:space="0" w:color="auto"/>
              <w:bottom w:val="nil"/>
              <w:right w:val="nil"/>
            </w:tcBorders>
            <w:shd w:val="clear" w:color="auto" w:fill="auto"/>
            <w:noWrap/>
            <w:vAlign w:val="center"/>
            <w:hideMark/>
          </w:tcPr>
          <w:p w14:paraId="7C03F3B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33</w:t>
            </w:r>
          </w:p>
        </w:tc>
        <w:tc>
          <w:tcPr>
            <w:tcW w:w="1559" w:type="dxa"/>
            <w:tcBorders>
              <w:top w:val="nil"/>
              <w:left w:val="nil"/>
              <w:bottom w:val="nil"/>
              <w:right w:val="nil"/>
            </w:tcBorders>
            <w:shd w:val="clear" w:color="auto" w:fill="auto"/>
            <w:noWrap/>
            <w:vAlign w:val="center"/>
            <w:hideMark/>
          </w:tcPr>
          <w:p w14:paraId="3EAAB5E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2.73±0.52 a</w:t>
            </w:r>
          </w:p>
        </w:tc>
        <w:tc>
          <w:tcPr>
            <w:tcW w:w="567" w:type="dxa"/>
            <w:tcBorders>
              <w:top w:val="nil"/>
              <w:left w:val="nil"/>
              <w:bottom w:val="nil"/>
              <w:right w:val="nil"/>
            </w:tcBorders>
            <w:shd w:val="clear" w:color="auto" w:fill="auto"/>
            <w:noWrap/>
            <w:vAlign w:val="center"/>
            <w:hideMark/>
          </w:tcPr>
          <w:p w14:paraId="361094A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81</w:t>
            </w:r>
          </w:p>
        </w:tc>
        <w:tc>
          <w:tcPr>
            <w:tcW w:w="2126" w:type="dxa"/>
            <w:tcBorders>
              <w:top w:val="nil"/>
              <w:left w:val="nil"/>
              <w:bottom w:val="nil"/>
              <w:right w:val="nil"/>
            </w:tcBorders>
            <w:shd w:val="clear" w:color="auto" w:fill="auto"/>
            <w:noWrap/>
            <w:vAlign w:val="center"/>
            <w:hideMark/>
          </w:tcPr>
          <w:p w14:paraId="3524175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1.24±0.36 b</w:t>
            </w:r>
          </w:p>
        </w:tc>
      </w:tr>
      <w:tr w:rsidR="00BD673C" w:rsidRPr="00851C48" w14:paraId="0B71F4E9" w14:textId="77777777" w:rsidTr="00A74D12">
        <w:trPr>
          <w:trHeight w:val="285"/>
        </w:trPr>
        <w:tc>
          <w:tcPr>
            <w:tcW w:w="942" w:type="dxa"/>
            <w:vMerge/>
            <w:tcBorders>
              <w:top w:val="nil"/>
              <w:left w:val="nil"/>
              <w:bottom w:val="nil"/>
              <w:right w:val="nil"/>
            </w:tcBorders>
            <w:vAlign w:val="center"/>
            <w:hideMark/>
          </w:tcPr>
          <w:p w14:paraId="01EACB56"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278748F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20-40</w:t>
            </w:r>
          </w:p>
        </w:tc>
        <w:tc>
          <w:tcPr>
            <w:tcW w:w="567" w:type="dxa"/>
            <w:tcBorders>
              <w:top w:val="nil"/>
              <w:left w:val="nil"/>
              <w:bottom w:val="nil"/>
              <w:right w:val="nil"/>
            </w:tcBorders>
            <w:shd w:val="clear" w:color="auto" w:fill="auto"/>
            <w:noWrap/>
            <w:vAlign w:val="center"/>
            <w:hideMark/>
          </w:tcPr>
          <w:p w14:paraId="0C079B8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1AE577E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4.47</w:t>
            </w:r>
            <w:r w:rsidRPr="00851C48">
              <w:rPr>
                <w:rFonts w:ascii="等线" w:eastAsia="等线" w:hAnsi="等线" w:hint="eastAsia"/>
                <w:color w:val="000000"/>
                <w:kern w:val="0"/>
                <w:sz w:val="21"/>
                <w:szCs w:val="21"/>
              </w:rPr>
              <w:t>±</w:t>
            </w:r>
            <w:r w:rsidRPr="00851C48">
              <w:rPr>
                <w:rFonts w:eastAsia="等线"/>
                <w:color w:val="000000"/>
                <w:kern w:val="0"/>
                <w:sz w:val="21"/>
                <w:szCs w:val="21"/>
              </w:rPr>
              <w:t>1.54 a</w:t>
            </w:r>
          </w:p>
        </w:tc>
        <w:tc>
          <w:tcPr>
            <w:tcW w:w="567" w:type="dxa"/>
            <w:tcBorders>
              <w:top w:val="nil"/>
              <w:left w:val="nil"/>
              <w:bottom w:val="nil"/>
              <w:right w:val="nil"/>
            </w:tcBorders>
            <w:shd w:val="clear" w:color="auto" w:fill="auto"/>
            <w:noWrap/>
            <w:vAlign w:val="center"/>
            <w:hideMark/>
          </w:tcPr>
          <w:p w14:paraId="7036DE0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03F049A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0.89</w:t>
            </w:r>
            <w:r w:rsidRPr="00851C48">
              <w:rPr>
                <w:rFonts w:ascii="等线" w:eastAsia="等线" w:hAnsi="等线" w:hint="eastAsia"/>
                <w:color w:val="000000"/>
                <w:kern w:val="0"/>
                <w:sz w:val="21"/>
                <w:szCs w:val="21"/>
              </w:rPr>
              <w:t>±</w:t>
            </w:r>
            <w:r w:rsidRPr="00851C48">
              <w:rPr>
                <w:rFonts w:eastAsia="等线"/>
                <w:color w:val="000000"/>
                <w:kern w:val="0"/>
                <w:sz w:val="21"/>
                <w:szCs w:val="21"/>
              </w:rPr>
              <w:t>0.33 b</w:t>
            </w:r>
          </w:p>
        </w:tc>
        <w:tc>
          <w:tcPr>
            <w:tcW w:w="567" w:type="dxa"/>
            <w:tcBorders>
              <w:top w:val="nil"/>
              <w:left w:val="nil"/>
              <w:bottom w:val="nil"/>
              <w:right w:val="nil"/>
            </w:tcBorders>
            <w:shd w:val="clear" w:color="auto" w:fill="auto"/>
            <w:noWrap/>
            <w:vAlign w:val="center"/>
            <w:hideMark/>
          </w:tcPr>
          <w:p w14:paraId="3445308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5D62933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0.58</w:t>
            </w:r>
            <w:r w:rsidRPr="00851C48">
              <w:rPr>
                <w:rFonts w:ascii="等线" w:eastAsia="等线" w:hAnsi="等线" w:hint="eastAsia"/>
                <w:color w:val="000000"/>
                <w:kern w:val="0"/>
                <w:sz w:val="21"/>
                <w:szCs w:val="21"/>
              </w:rPr>
              <w:t>±</w:t>
            </w:r>
            <w:r w:rsidRPr="00851C48">
              <w:rPr>
                <w:rFonts w:eastAsia="等线"/>
                <w:color w:val="000000"/>
                <w:kern w:val="0"/>
                <w:sz w:val="21"/>
                <w:szCs w:val="21"/>
              </w:rPr>
              <w:t>0.23 b</w:t>
            </w:r>
          </w:p>
        </w:tc>
        <w:tc>
          <w:tcPr>
            <w:tcW w:w="567" w:type="dxa"/>
            <w:tcBorders>
              <w:top w:val="nil"/>
              <w:left w:val="single" w:sz="4" w:space="0" w:color="auto"/>
              <w:bottom w:val="nil"/>
              <w:right w:val="nil"/>
            </w:tcBorders>
            <w:shd w:val="clear" w:color="auto" w:fill="auto"/>
            <w:noWrap/>
            <w:vAlign w:val="center"/>
            <w:hideMark/>
          </w:tcPr>
          <w:p w14:paraId="29B764D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BA4C2E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1.94±0.75 a</w:t>
            </w:r>
          </w:p>
        </w:tc>
        <w:tc>
          <w:tcPr>
            <w:tcW w:w="567" w:type="dxa"/>
            <w:tcBorders>
              <w:top w:val="nil"/>
              <w:left w:val="nil"/>
              <w:bottom w:val="nil"/>
              <w:right w:val="nil"/>
            </w:tcBorders>
            <w:shd w:val="clear" w:color="auto" w:fill="auto"/>
            <w:noWrap/>
            <w:vAlign w:val="center"/>
            <w:hideMark/>
          </w:tcPr>
          <w:p w14:paraId="7AD7061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2611944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0.81±0.29 a</w:t>
            </w:r>
          </w:p>
        </w:tc>
      </w:tr>
      <w:tr w:rsidR="00BD673C" w:rsidRPr="00851C48" w14:paraId="07DB693A" w14:textId="77777777" w:rsidTr="00A74D12">
        <w:trPr>
          <w:trHeight w:val="285"/>
        </w:trPr>
        <w:tc>
          <w:tcPr>
            <w:tcW w:w="942" w:type="dxa"/>
            <w:vMerge/>
            <w:tcBorders>
              <w:top w:val="nil"/>
              <w:left w:val="nil"/>
              <w:bottom w:val="nil"/>
              <w:right w:val="nil"/>
            </w:tcBorders>
            <w:vAlign w:val="center"/>
            <w:hideMark/>
          </w:tcPr>
          <w:p w14:paraId="2DCD39F4"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35351F0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40-60</w:t>
            </w:r>
          </w:p>
        </w:tc>
        <w:tc>
          <w:tcPr>
            <w:tcW w:w="567" w:type="dxa"/>
            <w:tcBorders>
              <w:top w:val="nil"/>
              <w:left w:val="nil"/>
              <w:bottom w:val="nil"/>
              <w:right w:val="nil"/>
            </w:tcBorders>
            <w:shd w:val="clear" w:color="auto" w:fill="auto"/>
            <w:noWrap/>
            <w:vAlign w:val="center"/>
            <w:hideMark/>
          </w:tcPr>
          <w:p w14:paraId="51F4442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22E6981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3.80</w:t>
            </w:r>
            <w:r w:rsidRPr="00851C48">
              <w:rPr>
                <w:rFonts w:ascii="等线" w:eastAsia="等线" w:hAnsi="等线" w:hint="eastAsia"/>
                <w:color w:val="000000"/>
                <w:kern w:val="0"/>
                <w:sz w:val="21"/>
                <w:szCs w:val="21"/>
              </w:rPr>
              <w:t>±</w:t>
            </w:r>
            <w:r w:rsidRPr="00851C48">
              <w:rPr>
                <w:rFonts w:eastAsia="等线"/>
                <w:color w:val="000000"/>
                <w:kern w:val="0"/>
                <w:sz w:val="21"/>
                <w:szCs w:val="21"/>
              </w:rPr>
              <w:t>1.13 a</w:t>
            </w:r>
          </w:p>
        </w:tc>
        <w:tc>
          <w:tcPr>
            <w:tcW w:w="567" w:type="dxa"/>
            <w:tcBorders>
              <w:top w:val="nil"/>
              <w:left w:val="nil"/>
              <w:bottom w:val="nil"/>
              <w:right w:val="nil"/>
            </w:tcBorders>
            <w:shd w:val="clear" w:color="auto" w:fill="auto"/>
            <w:noWrap/>
            <w:vAlign w:val="center"/>
            <w:hideMark/>
          </w:tcPr>
          <w:p w14:paraId="03660FC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D7872E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0.72</w:t>
            </w:r>
            <w:r w:rsidRPr="00851C48">
              <w:rPr>
                <w:rFonts w:ascii="等线" w:eastAsia="等线" w:hAnsi="等线" w:hint="eastAsia"/>
                <w:color w:val="000000"/>
                <w:kern w:val="0"/>
                <w:sz w:val="21"/>
                <w:szCs w:val="21"/>
              </w:rPr>
              <w:t>±</w:t>
            </w:r>
            <w:r w:rsidRPr="00851C48">
              <w:rPr>
                <w:rFonts w:eastAsia="等线"/>
                <w:color w:val="000000"/>
                <w:kern w:val="0"/>
                <w:sz w:val="21"/>
                <w:szCs w:val="21"/>
              </w:rPr>
              <w:t>0.22 b</w:t>
            </w:r>
          </w:p>
        </w:tc>
        <w:tc>
          <w:tcPr>
            <w:tcW w:w="567" w:type="dxa"/>
            <w:tcBorders>
              <w:top w:val="nil"/>
              <w:left w:val="nil"/>
              <w:bottom w:val="nil"/>
              <w:right w:val="nil"/>
            </w:tcBorders>
            <w:shd w:val="clear" w:color="auto" w:fill="auto"/>
            <w:noWrap/>
            <w:vAlign w:val="center"/>
            <w:hideMark/>
          </w:tcPr>
          <w:p w14:paraId="10DCDC7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04018A5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0.53</w:t>
            </w:r>
            <w:r w:rsidRPr="00851C48">
              <w:rPr>
                <w:rFonts w:ascii="等线" w:eastAsia="等线" w:hAnsi="等线" w:hint="eastAsia"/>
                <w:color w:val="000000"/>
                <w:kern w:val="0"/>
                <w:sz w:val="21"/>
                <w:szCs w:val="21"/>
              </w:rPr>
              <w:t>±</w:t>
            </w:r>
            <w:r w:rsidRPr="00851C48">
              <w:rPr>
                <w:rFonts w:eastAsia="等线"/>
                <w:color w:val="000000"/>
                <w:kern w:val="0"/>
                <w:sz w:val="21"/>
                <w:szCs w:val="21"/>
              </w:rPr>
              <w:t>0.12 b</w:t>
            </w:r>
          </w:p>
        </w:tc>
        <w:tc>
          <w:tcPr>
            <w:tcW w:w="567" w:type="dxa"/>
            <w:tcBorders>
              <w:top w:val="nil"/>
              <w:left w:val="single" w:sz="4" w:space="0" w:color="auto"/>
              <w:bottom w:val="nil"/>
              <w:right w:val="nil"/>
            </w:tcBorders>
            <w:shd w:val="clear" w:color="auto" w:fill="auto"/>
            <w:noWrap/>
            <w:vAlign w:val="center"/>
            <w:hideMark/>
          </w:tcPr>
          <w:p w14:paraId="4A24A9F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B98F5F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1.54±0.72 a</w:t>
            </w:r>
          </w:p>
        </w:tc>
        <w:tc>
          <w:tcPr>
            <w:tcW w:w="567" w:type="dxa"/>
            <w:tcBorders>
              <w:top w:val="nil"/>
              <w:left w:val="nil"/>
              <w:bottom w:val="nil"/>
              <w:right w:val="nil"/>
            </w:tcBorders>
            <w:shd w:val="clear" w:color="auto" w:fill="auto"/>
            <w:noWrap/>
            <w:vAlign w:val="center"/>
            <w:hideMark/>
          </w:tcPr>
          <w:p w14:paraId="3621F0E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4F22DF4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0.59±0.25 a</w:t>
            </w:r>
          </w:p>
        </w:tc>
      </w:tr>
      <w:tr w:rsidR="00BD673C" w:rsidRPr="00851C48" w14:paraId="62C8CFB1" w14:textId="77777777" w:rsidTr="00A74D12">
        <w:trPr>
          <w:trHeight w:val="285"/>
        </w:trPr>
        <w:tc>
          <w:tcPr>
            <w:tcW w:w="942" w:type="dxa"/>
            <w:vMerge/>
            <w:tcBorders>
              <w:top w:val="nil"/>
              <w:left w:val="nil"/>
              <w:bottom w:val="nil"/>
              <w:right w:val="nil"/>
            </w:tcBorders>
            <w:vAlign w:val="center"/>
            <w:hideMark/>
          </w:tcPr>
          <w:p w14:paraId="07609AC9"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201EB3C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60-100</w:t>
            </w:r>
          </w:p>
        </w:tc>
        <w:tc>
          <w:tcPr>
            <w:tcW w:w="567" w:type="dxa"/>
            <w:tcBorders>
              <w:top w:val="nil"/>
              <w:left w:val="nil"/>
              <w:bottom w:val="nil"/>
              <w:right w:val="nil"/>
            </w:tcBorders>
            <w:shd w:val="clear" w:color="auto" w:fill="auto"/>
            <w:noWrap/>
            <w:vAlign w:val="center"/>
            <w:hideMark/>
          </w:tcPr>
          <w:p w14:paraId="54E40AA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4B7959F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3.60</w:t>
            </w:r>
            <w:r w:rsidRPr="00851C48">
              <w:rPr>
                <w:rFonts w:ascii="等线" w:eastAsia="等线" w:hAnsi="等线" w:hint="eastAsia"/>
                <w:color w:val="000000"/>
                <w:kern w:val="0"/>
                <w:sz w:val="21"/>
                <w:szCs w:val="21"/>
              </w:rPr>
              <w:t>±</w:t>
            </w:r>
            <w:r w:rsidRPr="00851C48">
              <w:rPr>
                <w:rFonts w:eastAsia="等线"/>
                <w:color w:val="000000"/>
                <w:kern w:val="0"/>
                <w:sz w:val="21"/>
                <w:szCs w:val="21"/>
              </w:rPr>
              <w:t>1.17 a</w:t>
            </w:r>
          </w:p>
        </w:tc>
        <w:tc>
          <w:tcPr>
            <w:tcW w:w="567" w:type="dxa"/>
            <w:tcBorders>
              <w:top w:val="nil"/>
              <w:left w:val="nil"/>
              <w:bottom w:val="nil"/>
              <w:right w:val="nil"/>
            </w:tcBorders>
            <w:shd w:val="clear" w:color="auto" w:fill="auto"/>
            <w:noWrap/>
            <w:vAlign w:val="center"/>
            <w:hideMark/>
          </w:tcPr>
          <w:p w14:paraId="097D6CD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BC6381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0.66</w:t>
            </w:r>
            <w:r w:rsidRPr="00851C48">
              <w:rPr>
                <w:rFonts w:ascii="等线" w:eastAsia="等线" w:hAnsi="等线" w:hint="eastAsia"/>
                <w:color w:val="000000"/>
                <w:kern w:val="0"/>
                <w:sz w:val="21"/>
                <w:szCs w:val="21"/>
              </w:rPr>
              <w:t>±</w:t>
            </w:r>
            <w:r w:rsidRPr="00851C48">
              <w:rPr>
                <w:rFonts w:eastAsia="等线"/>
                <w:color w:val="000000"/>
                <w:kern w:val="0"/>
                <w:sz w:val="21"/>
                <w:szCs w:val="21"/>
              </w:rPr>
              <w:t>0.18 b</w:t>
            </w:r>
          </w:p>
        </w:tc>
        <w:tc>
          <w:tcPr>
            <w:tcW w:w="567" w:type="dxa"/>
            <w:tcBorders>
              <w:top w:val="nil"/>
              <w:left w:val="nil"/>
              <w:bottom w:val="nil"/>
              <w:right w:val="nil"/>
            </w:tcBorders>
            <w:shd w:val="clear" w:color="auto" w:fill="auto"/>
            <w:noWrap/>
            <w:vAlign w:val="center"/>
            <w:hideMark/>
          </w:tcPr>
          <w:p w14:paraId="6E62DA7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6163063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0.53</w:t>
            </w:r>
            <w:r w:rsidRPr="00851C48">
              <w:rPr>
                <w:rFonts w:ascii="等线" w:eastAsia="等线" w:hAnsi="等线" w:hint="eastAsia"/>
                <w:color w:val="000000"/>
                <w:kern w:val="0"/>
                <w:sz w:val="21"/>
                <w:szCs w:val="21"/>
              </w:rPr>
              <w:t>±</w:t>
            </w:r>
            <w:r w:rsidRPr="00851C48">
              <w:rPr>
                <w:rFonts w:eastAsia="等线"/>
                <w:color w:val="000000"/>
                <w:kern w:val="0"/>
                <w:sz w:val="21"/>
                <w:szCs w:val="21"/>
              </w:rPr>
              <w:t>0.16 b</w:t>
            </w:r>
          </w:p>
        </w:tc>
        <w:tc>
          <w:tcPr>
            <w:tcW w:w="567" w:type="dxa"/>
            <w:tcBorders>
              <w:top w:val="nil"/>
              <w:left w:val="single" w:sz="4" w:space="0" w:color="auto"/>
              <w:bottom w:val="nil"/>
              <w:right w:val="nil"/>
            </w:tcBorders>
            <w:shd w:val="clear" w:color="auto" w:fill="auto"/>
            <w:noWrap/>
            <w:vAlign w:val="center"/>
            <w:hideMark/>
          </w:tcPr>
          <w:p w14:paraId="2EF1DB1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0F70132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1.46±1.06 a</w:t>
            </w:r>
          </w:p>
        </w:tc>
        <w:tc>
          <w:tcPr>
            <w:tcW w:w="567" w:type="dxa"/>
            <w:tcBorders>
              <w:top w:val="nil"/>
              <w:left w:val="nil"/>
              <w:bottom w:val="nil"/>
              <w:right w:val="nil"/>
            </w:tcBorders>
            <w:shd w:val="clear" w:color="auto" w:fill="auto"/>
            <w:noWrap/>
            <w:vAlign w:val="center"/>
            <w:hideMark/>
          </w:tcPr>
          <w:p w14:paraId="599A647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130C87F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0.51±0.16 a</w:t>
            </w:r>
          </w:p>
        </w:tc>
      </w:tr>
      <w:tr w:rsidR="00BD673C" w:rsidRPr="00851C48" w14:paraId="736EB9E4" w14:textId="77777777" w:rsidTr="00A74D12">
        <w:trPr>
          <w:trHeight w:val="285"/>
        </w:trPr>
        <w:tc>
          <w:tcPr>
            <w:tcW w:w="942" w:type="dxa"/>
            <w:vMerge w:val="restart"/>
            <w:tcBorders>
              <w:top w:val="nil"/>
              <w:left w:val="nil"/>
              <w:bottom w:val="nil"/>
              <w:right w:val="nil"/>
            </w:tcBorders>
            <w:shd w:val="clear" w:color="auto" w:fill="auto"/>
            <w:noWrap/>
            <w:vAlign w:val="center"/>
            <w:hideMark/>
          </w:tcPr>
          <w:p w14:paraId="4CD4A5A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TN (g/kg)</w:t>
            </w:r>
          </w:p>
        </w:tc>
        <w:tc>
          <w:tcPr>
            <w:tcW w:w="901" w:type="dxa"/>
            <w:tcBorders>
              <w:top w:val="nil"/>
              <w:left w:val="nil"/>
              <w:bottom w:val="nil"/>
              <w:right w:val="nil"/>
            </w:tcBorders>
            <w:shd w:val="clear" w:color="auto" w:fill="auto"/>
            <w:noWrap/>
            <w:vAlign w:val="center"/>
            <w:hideMark/>
          </w:tcPr>
          <w:p w14:paraId="14E39DC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p>
        </w:tc>
        <w:tc>
          <w:tcPr>
            <w:tcW w:w="567" w:type="dxa"/>
            <w:tcBorders>
              <w:top w:val="nil"/>
              <w:left w:val="nil"/>
              <w:bottom w:val="nil"/>
              <w:right w:val="nil"/>
            </w:tcBorders>
            <w:shd w:val="clear" w:color="auto" w:fill="auto"/>
            <w:noWrap/>
            <w:vAlign w:val="center"/>
            <w:hideMark/>
          </w:tcPr>
          <w:p w14:paraId="7B29D32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701" w:type="dxa"/>
            <w:tcBorders>
              <w:top w:val="nil"/>
              <w:left w:val="nil"/>
              <w:bottom w:val="nil"/>
              <w:right w:val="nil"/>
            </w:tcBorders>
            <w:shd w:val="clear" w:color="auto" w:fill="auto"/>
            <w:noWrap/>
            <w:vAlign w:val="center"/>
            <w:hideMark/>
          </w:tcPr>
          <w:p w14:paraId="0E959D6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0.46</w:t>
            </w:r>
            <w:r w:rsidRPr="00851C48">
              <w:rPr>
                <w:rFonts w:ascii="等线" w:eastAsia="等线" w:hAnsi="等线" w:hint="eastAsia"/>
                <w:color w:val="000000"/>
                <w:kern w:val="0"/>
                <w:sz w:val="21"/>
                <w:szCs w:val="21"/>
              </w:rPr>
              <w:t>±</w:t>
            </w:r>
            <w:r w:rsidRPr="00851C48">
              <w:rPr>
                <w:rFonts w:eastAsia="等线"/>
                <w:color w:val="000000"/>
                <w:kern w:val="0"/>
                <w:sz w:val="21"/>
                <w:szCs w:val="21"/>
              </w:rPr>
              <w:t>0.15 a</w:t>
            </w:r>
          </w:p>
        </w:tc>
        <w:tc>
          <w:tcPr>
            <w:tcW w:w="567" w:type="dxa"/>
            <w:tcBorders>
              <w:top w:val="nil"/>
              <w:left w:val="nil"/>
              <w:bottom w:val="nil"/>
              <w:right w:val="nil"/>
            </w:tcBorders>
            <w:shd w:val="clear" w:color="auto" w:fill="auto"/>
            <w:noWrap/>
            <w:vAlign w:val="center"/>
            <w:hideMark/>
          </w:tcPr>
          <w:p w14:paraId="1CC3B74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59" w:type="dxa"/>
            <w:tcBorders>
              <w:top w:val="nil"/>
              <w:left w:val="nil"/>
              <w:bottom w:val="nil"/>
              <w:right w:val="nil"/>
            </w:tcBorders>
            <w:shd w:val="clear" w:color="auto" w:fill="auto"/>
            <w:noWrap/>
            <w:vAlign w:val="center"/>
            <w:hideMark/>
          </w:tcPr>
          <w:p w14:paraId="1B5C0B1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0.15</w:t>
            </w:r>
            <w:r w:rsidRPr="00851C48">
              <w:rPr>
                <w:rFonts w:ascii="等线" w:eastAsia="等线" w:hAnsi="等线" w:hint="eastAsia"/>
                <w:color w:val="000000"/>
                <w:kern w:val="0"/>
                <w:sz w:val="21"/>
                <w:szCs w:val="21"/>
              </w:rPr>
              <w:t>±</w:t>
            </w:r>
            <w:r w:rsidRPr="00851C48">
              <w:rPr>
                <w:rFonts w:eastAsia="等线"/>
                <w:color w:val="000000"/>
                <w:kern w:val="0"/>
                <w:sz w:val="21"/>
                <w:szCs w:val="21"/>
              </w:rPr>
              <w:t>0.07 b</w:t>
            </w:r>
          </w:p>
        </w:tc>
        <w:tc>
          <w:tcPr>
            <w:tcW w:w="567" w:type="dxa"/>
            <w:tcBorders>
              <w:top w:val="nil"/>
              <w:left w:val="nil"/>
              <w:bottom w:val="nil"/>
              <w:right w:val="nil"/>
            </w:tcBorders>
            <w:shd w:val="clear" w:color="auto" w:fill="auto"/>
            <w:noWrap/>
            <w:vAlign w:val="center"/>
            <w:hideMark/>
          </w:tcPr>
          <w:p w14:paraId="352276C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60" w:type="dxa"/>
            <w:tcBorders>
              <w:top w:val="nil"/>
              <w:left w:val="nil"/>
              <w:bottom w:val="nil"/>
              <w:right w:val="single" w:sz="4" w:space="0" w:color="auto"/>
            </w:tcBorders>
            <w:shd w:val="clear" w:color="auto" w:fill="auto"/>
            <w:noWrap/>
            <w:vAlign w:val="center"/>
            <w:hideMark/>
          </w:tcPr>
          <w:p w14:paraId="0634839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0.08</w:t>
            </w:r>
            <w:r w:rsidRPr="00851C48">
              <w:rPr>
                <w:rFonts w:ascii="等线" w:eastAsia="等线" w:hAnsi="等线" w:hint="eastAsia"/>
                <w:color w:val="000000"/>
                <w:kern w:val="0"/>
                <w:sz w:val="21"/>
                <w:szCs w:val="21"/>
              </w:rPr>
              <w:t>±</w:t>
            </w:r>
            <w:r w:rsidRPr="00851C48">
              <w:rPr>
                <w:rFonts w:eastAsia="等线"/>
                <w:color w:val="000000"/>
                <w:kern w:val="0"/>
                <w:sz w:val="21"/>
                <w:szCs w:val="21"/>
              </w:rPr>
              <w:t>0.06 c</w:t>
            </w:r>
          </w:p>
        </w:tc>
        <w:tc>
          <w:tcPr>
            <w:tcW w:w="567" w:type="dxa"/>
            <w:tcBorders>
              <w:top w:val="nil"/>
              <w:left w:val="single" w:sz="4" w:space="0" w:color="auto"/>
              <w:bottom w:val="nil"/>
              <w:right w:val="nil"/>
            </w:tcBorders>
            <w:shd w:val="clear" w:color="auto" w:fill="auto"/>
            <w:noWrap/>
            <w:vAlign w:val="center"/>
            <w:hideMark/>
          </w:tcPr>
          <w:p w14:paraId="27A83D8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33</w:t>
            </w:r>
          </w:p>
        </w:tc>
        <w:tc>
          <w:tcPr>
            <w:tcW w:w="1559" w:type="dxa"/>
            <w:tcBorders>
              <w:top w:val="nil"/>
              <w:left w:val="nil"/>
              <w:bottom w:val="nil"/>
              <w:right w:val="nil"/>
            </w:tcBorders>
            <w:shd w:val="clear" w:color="auto" w:fill="auto"/>
            <w:noWrap/>
            <w:vAlign w:val="center"/>
            <w:hideMark/>
          </w:tcPr>
          <w:p w14:paraId="7C4C199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0.34±0.05 a</w:t>
            </w:r>
          </w:p>
        </w:tc>
        <w:tc>
          <w:tcPr>
            <w:tcW w:w="567" w:type="dxa"/>
            <w:tcBorders>
              <w:top w:val="nil"/>
              <w:left w:val="nil"/>
              <w:bottom w:val="nil"/>
              <w:right w:val="nil"/>
            </w:tcBorders>
            <w:shd w:val="clear" w:color="auto" w:fill="auto"/>
            <w:noWrap/>
            <w:vAlign w:val="center"/>
            <w:hideMark/>
          </w:tcPr>
          <w:p w14:paraId="0E7E714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81</w:t>
            </w:r>
          </w:p>
        </w:tc>
        <w:tc>
          <w:tcPr>
            <w:tcW w:w="2126" w:type="dxa"/>
            <w:tcBorders>
              <w:top w:val="nil"/>
              <w:left w:val="nil"/>
              <w:bottom w:val="nil"/>
              <w:right w:val="nil"/>
            </w:tcBorders>
            <w:shd w:val="clear" w:color="auto" w:fill="auto"/>
            <w:noWrap/>
            <w:vAlign w:val="center"/>
            <w:hideMark/>
          </w:tcPr>
          <w:p w14:paraId="23CC65E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0.34±0.17 a</w:t>
            </w:r>
          </w:p>
        </w:tc>
      </w:tr>
      <w:tr w:rsidR="00BD673C" w:rsidRPr="00851C48" w14:paraId="0646543B" w14:textId="77777777" w:rsidTr="00A74D12">
        <w:trPr>
          <w:trHeight w:val="285"/>
        </w:trPr>
        <w:tc>
          <w:tcPr>
            <w:tcW w:w="942" w:type="dxa"/>
            <w:vMerge/>
            <w:tcBorders>
              <w:top w:val="nil"/>
              <w:left w:val="nil"/>
              <w:bottom w:val="nil"/>
              <w:right w:val="nil"/>
            </w:tcBorders>
            <w:vAlign w:val="center"/>
            <w:hideMark/>
          </w:tcPr>
          <w:p w14:paraId="79DE51A4"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60EEFD7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10-20</w:t>
            </w:r>
          </w:p>
        </w:tc>
        <w:tc>
          <w:tcPr>
            <w:tcW w:w="567" w:type="dxa"/>
            <w:tcBorders>
              <w:top w:val="nil"/>
              <w:left w:val="nil"/>
              <w:bottom w:val="nil"/>
              <w:right w:val="nil"/>
            </w:tcBorders>
            <w:shd w:val="clear" w:color="auto" w:fill="auto"/>
            <w:noWrap/>
            <w:vAlign w:val="center"/>
            <w:hideMark/>
          </w:tcPr>
          <w:p w14:paraId="4B7F501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701" w:type="dxa"/>
            <w:tcBorders>
              <w:top w:val="nil"/>
              <w:left w:val="nil"/>
              <w:bottom w:val="nil"/>
              <w:right w:val="nil"/>
            </w:tcBorders>
            <w:shd w:val="clear" w:color="auto" w:fill="auto"/>
            <w:noWrap/>
            <w:vAlign w:val="center"/>
            <w:hideMark/>
          </w:tcPr>
          <w:p w14:paraId="6E307E9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0.30</w:t>
            </w:r>
            <w:r w:rsidRPr="00851C48">
              <w:rPr>
                <w:rFonts w:ascii="等线" w:eastAsia="等线" w:hAnsi="等线" w:hint="eastAsia"/>
                <w:color w:val="000000"/>
                <w:kern w:val="0"/>
                <w:sz w:val="21"/>
                <w:szCs w:val="21"/>
              </w:rPr>
              <w:t>±</w:t>
            </w:r>
            <w:r w:rsidRPr="00851C48">
              <w:rPr>
                <w:rFonts w:eastAsia="等线"/>
                <w:color w:val="000000"/>
                <w:kern w:val="0"/>
                <w:sz w:val="21"/>
                <w:szCs w:val="21"/>
              </w:rPr>
              <w:t>0.09 a</w:t>
            </w:r>
          </w:p>
        </w:tc>
        <w:tc>
          <w:tcPr>
            <w:tcW w:w="567" w:type="dxa"/>
            <w:tcBorders>
              <w:top w:val="nil"/>
              <w:left w:val="nil"/>
              <w:bottom w:val="nil"/>
              <w:right w:val="nil"/>
            </w:tcBorders>
            <w:shd w:val="clear" w:color="auto" w:fill="auto"/>
            <w:noWrap/>
            <w:vAlign w:val="center"/>
            <w:hideMark/>
          </w:tcPr>
          <w:p w14:paraId="5575207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59" w:type="dxa"/>
            <w:tcBorders>
              <w:top w:val="nil"/>
              <w:left w:val="nil"/>
              <w:bottom w:val="nil"/>
              <w:right w:val="nil"/>
            </w:tcBorders>
            <w:shd w:val="clear" w:color="auto" w:fill="auto"/>
            <w:noWrap/>
            <w:vAlign w:val="center"/>
            <w:hideMark/>
          </w:tcPr>
          <w:p w14:paraId="096BB60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r w:rsidRPr="00851C48">
              <w:rPr>
                <w:rFonts w:ascii="等线" w:eastAsia="等线" w:hAnsi="等线" w:hint="eastAsia"/>
                <w:color w:val="000000"/>
                <w:kern w:val="0"/>
                <w:sz w:val="21"/>
                <w:szCs w:val="21"/>
              </w:rPr>
              <w:t>±</w:t>
            </w:r>
            <w:r w:rsidRPr="00851C48">
              <w:rPr>
                <w:rFonts w:eastAsia="等线"/>
                <w:color w:val="000000"/>
                <w:kern w:val="0"/>
                <w:sz w:val="21"/>
                <w:szCs w:val="21"/>
              </w:rPr>
              <w:t>0.04 b</w:t>
            </w:r>
          </w:p>
        </w:tc>
        <w:tc>
          <w:tcPr>
            <w:tcW w:w="567" w:type="dxa"/>
            <w:tcBorders>
              <w:top w:val="nil"/>
              <w:left w:val="nil"/>
              <w:bottom w:val="nil"/>
              <w:right w:val="nil"/>
            </w:tcBorders>
            <w:shd w:val="clear" w:color="auto" w:fill="auto"/>
            <w:noWrap/>
            <w:vAlign w:val="center"/>
            <w:hideMark/>
          </w:tcPr>
          <w:p w14:paraId="0432C58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75</w:t>
            </w:r>
          </w:p>
        </w:tc>
        <w:tc>
          <w:tcPr>
            <w:tcW w:w="1560" w:type="dxa"/>
            <w:tcBorders>
              <w:top w:val="nil"/>
              <w:left w:val="nil"/>
              <w:bottom w:val="nil"/>
              <w:right w:val="single" w:sz="4" w:space="0" w:color="auto"/>
            </w:tcBorders>
            <w:shd w:val="clear" w:color="auto" w:fill="auto"/>
            <w:noWrap/>
            <w:vAlign w:val="center"/>
            <w:hideMark/>
          </w:tcPr>
          <w:p w14:paraId="2AD041C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0.06</w:t>
            </w:r>
            <w:r w:rsidRPr="00851C48">
              <w:rPr>
                <w:rFonts w:ascii="等线" w:eastAsia="等线" w:hAnsi="等线" w:hint="eastAsia"/>
                <w:color w:val="000000"/>
                <w:kern w:val="0"/>
                <w:sz w:val="21"/>
                <w:szCs w:val="21"/>
              </w:rPr>
              <w:t>±</w:t>
            </w:r>
            <w:r w:rsidRPr="00851C48">
              <w:rPr>
                <w:rFonts w:eastAsia="等线"/>
                <w:color w:val="000000"/>
                <w:kern w:val="0"/>
                <w:sz w:val="21"/>
                <w:szCs w:val="21"/>
              </w:rPr>
              <w:t>0.03 b</w:t>
            </w:r>
          </w:p>
        </w:tc>
        <w:tc>
          <w:tcPr>
            <w:tcW w:w="567" w:type="dxa"/>
            <w:tcBorders>
              <w:top w:val="nil"/>
              <w:left w:val="single" w:sz="4" w:space="0" w:color="auto"/>
              <w:bottom w:val="nil"/>
              <w:right w:val="nil"/>
            </w:tcBorders>
            <w:shd w:val="clear" w:color="auto" w:fill="auto"/>
            <w:noWrap/>
            <w:vAlign w:val="center"/>
            <w:hideMark/>
          </w:tcPr>
          <w:p w14:paraId="12784D8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33</w:t>
            </w:r>
          </w:p>
        </w:tc>
        <w:tc>
          <w:tcPr>
            <w:tcW w:w="1559" w:type="dxa"/>
            <w:tcBorders>
              <w:top w:val="nil"/>
              <w:left w:val="nil"/>
              <w:bottom w:val="nil"/>
              <w:right w:val="nil"/>
            </w:tcBorders>
            <w:shd w:val="clear" w:color="auto" w:fill="auto"/>
            <w:noWrap/>
            <w:vAlign w:val="center"/>
            <w:hideMark/>
          </w:tcPr>
          <w:p w14:paraId="2C44076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0.25±0.05 a</w:t>
            </w:r>
          </w:p>
        </w:tc>
        <w:tc>
          <w:tcPr>
            <w:tcW w:w="567" w:type="dxa"/>
            <w:tcBorders>
              <w:top w:val="nil"/>
              <w:left w:val="nil"/>
              <w:bottom w:val="nil"/>
              <w:right w:val="nil"/>
            </w:tcBorders>
            <w:shd w:val="clear" w:color="auto" w:fill="auto"/>
            <w:noWrap/>
            <w:vAlign w:val="center"/>
            <w:hideMark/>
          </w:tcPr>
          <w:p w14:paraId="48DC7A1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81</w:t>
            </w:r>
          </w:p>
        </w:tc>
        <w:tc>
          <w:tcPr>
            <w:tcW w:w="2126" w:type="dxa"/>
            <w:tcBorders>
              <w:top w:val="nil"/>
              <w:left w:val="nil"/>
              <w:bottom w:val="nil"/>
              <w:right w:val="nil"/>
            </w:tcBorders>
            <w:shd w:val="clear" w:color="auto" w:fill="auto"/>
            <w:noWrap/>
            <w:vAlign w:val="center"/>
            <w:hideMark/>
          </w:tcPr>
          <w:p w14:paraId="4D45B53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0.13±0.03 b</w:t>
            </w:r>
          </w:p>
        </w:tc>
      </w:tr>
      <w:tr w:rsidR="00BD673C" w:rsidRPr="00851C48" w14:paraId="3E50F47B" w14:textId="77777777" w:rsidTr="00A74D12">
        <w:trPr>
          <w:trHeight w:val="285"/>
        </w:trPr>
        <w:tc>
          <w:tcPr>
            <w:tcW w:w="942" w:type="dxa"/>
            <w:vMerge/>
            <w:tcBorders>
              <w:top w:val="nil"/>
              <w:left w:val="nil"/>
              <w:bottom w:val="nil"/>
              <w:right w:val="nil"/>
            </w:tcBorders>
            <w:vAlign w:val="center"/>
            <w:hideMark/>
          </w:tcPr>
          <w:p w14:paraId="531A0CF6"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297015A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20-40</w:t>
            </w:r>
          </w:p>
        </w:tc>
        <w:tc>
          <w:tcPr>
            <w:tcW w:w="567" w:type="dxa"/>
            <w:tcBorders>
              <w:top w:val="nil"/>
              <w:left w:val="nil"/>
              <w:bottom w:val="nil"/>
              <w:right w:val="nil"/>
            </w:tcBorders>
            <w:shd w:val="clear" w:color="auto" w:fill="auto"/>
            <w:noWrap/>
            <w:vAlign w:val="center"/>
            <w:hideMark/>
          </w:tcPr>
          <w:p w14:paraId="4BFC85A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31A068E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0.31</w:t>
            </w:r>
            <w:r w:rsidRPr="00851C48">
              <w:rPr>
                <w:rFonts w:ascii="等线" w:eastAsia="等线" w:hAnsi="等线" w:hint="eastAsia"/>
                <w:color w:val="000000"/>
                <w:kern w:val="0"/>
                <w:sz w:val="21"/>
                <w:szCs w:val="21"/>
              </w:rPr>
              <w:t>±</w:t>
            </w:r>
            <w:r w:rsidRPr="00851C48">
              <w:rPr>
                <w:rFonts w:eastAsia="等线"/>
                <w:color w:val="000000"/>
                <w:kern w:val="0"/>
                <w:sz w:val="21"/>
                <w:szCs w:val="21"/>
              </w:rPr>
              <w:t>0.05 a</w:t>
            </w:r>
          </w:p>
        </w:tc>
        <w:tc>
          <w:tcPr>
            <w:tcW w:w="567" w:type="dxa"/>
            <w:tcBorders>
              <w:top w:val="nil"/>
              <w:left w:val="nil"/>
              <w:bottom w:val="nil"/>
              <w:right w:val="nil"/>
            </w:tcBorders>
            <w:shd w:val="clear" w:color="auto" w:fill="auto"/>
            <w:noWrap/>
            <w:vAlign w:val="center"/>
            <w:hideMark/>
          </w:tcPr>
          <w:p w14:paraId="71E45A5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606A132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r w:rsidRPr="00851C48">
              <w:rPr>
                <w:rFonts w:ascii="等线" w:eastAsia="等线" w:hAnsi="等线" w:hint="eastAsia"/>
                <w:color w:val="000000"/>
                <w:kern w:val="0"/>
                <w:sz w:val="21"/>
                <w:szCs w:val="21"/>
              </w:rPr>
              <w:t>±</w:t>
            </w:r>
            <w:r w:rsidRPr="00851C48">
              <w:rPr>
                <w:rFonts w:eastAsia="等线"/>
                <w:color w:val="000000"/>
                <w:kern w:val="0"/>
                <w:sz w:val="21"/>
                <w:szCs w:val="21"/>
              </w:rPr>
              <w:t>0.01 b</w:t>
            </w:r>
          </w:p>
        </w:tc>
        <w:tc>
          <w:tcPr>
            <w:tcW w:w="567" w:type="dxa"/>
            <w:tcBorders>
              <w:top w:val="nil"/>
              <w:left w:val="nil"/>
              <w:bottom w:val="nil"/>
              <w:right w:val="nil"/>
            </w:tcBorders>
            <w:shd w:val="clear" w:color="auto" w:fill="auto"/>
            <w:noWrap/>
            <w:vAlign w:val="center"/>
            <w:hideMark/>
          </w:tcPr>
          <w:p w14:paraId="606D48F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5B95BD8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0.08</w:t>
            </w:r>
            <w:r w:rsidRPr="00851C48">
              <w:rPr>
                <w:rFonts w:ascii="等线" w:eastAsia="等线" w:hAnsi="等线" w:hint="eastAsia"/>
                <w:color w:val="000000"/>
                <w:kern w:val="0"/>
                <w:sz w:val="21"/>
                <w:szCs w:val="21"/>
              </w:rPr>
              <w:t>±</w:t>
            </w:r>
            <w:r w:rsidRPr="00851C48">
              <w:rPr>
                <w:rFonts w:eastAsia="等线"/>
                <w:color w:val="000000"/>
                <w:kern w:val="0"/>
                <w:sz w:val="21"/>
                <w:szCs w:val="21"/>
              </w:rPr>
              <w:t>0.02 b</w:t>
            </w:r>
          </w:p>
        </w:tc>
        <w:tc>
          <w:tcPr>
            <w:tcW w:w="567" w:type="dxa"/>
            <w:tcBorders>
              <w:top w:val="nil"/>
              <w:left w:val="single" w:sz="4" w:space="0" w:color="auto"/>
              <w:bottom w:val="nil"/>
              <w:right w:val="nil"/>
            </w:tcBorders>
            <w:shd w:val="clear" w:color="auto" w:fill="auto"/>
            <w:noWrap/>
            <w:vAlign w:val="center"/>
            <w:hideMark/>
          </w:tcPr>
          <w:p w14:paraId="1A94663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4A22301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0.19±0.06 a</w:t>
            </w:r>
          </w:p>
        </w:tc>
        <w:tc>
          <w:tcPr>
            <w:tcW w:w="567" w:type="dxa"/>
            <w:tcBorders>
              <w:top w:val="nil"/>
              <w:left w:val="nil"/>
              <w:bottom w:val="nil"/>
              <w:right w:val="nil"/>
            </w:tcBorders>
            <w:shd w:val="clear" w:color="auto" w:fill="auto"/>
            <w:noWrap/>
            <w:vAlign w:val="center"/>
            <w:hideMark/>
          </w:tcPr>
          <w:p w14:paraId="1C9B893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15ECF3C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0.11±0.03 a</w:t>
            </w:r>
          </w:p>
        </w:tc>
      </w:tr>
      <w:tr w:rsidR="00BD673C" w:rsidRPr="00851C48" w14:paraId="791B7A08" w14:textId="77777777" w:rsidTr="00A74D12">
        <w:trPr>
          <w:trHeight w:val="285"/>
        </w:trPr>
        <w:tc>
          <w:tcPr>
            <w:tcW w:w="942" w:type="dxa"/>
            <w:vMerge/>
            <w:tcBorders>
              <w:top w:val="nil"/>
              <w:left w:val="nil"/>
              <w:bottom w:val="nil"/>
              <w:right w:val="nil"/>
            </w:tcBorders>
            <w:vAlign w:val="center"/>
            <w:hideMark/>
          </w:tcPr>
          <w:p w14:paraId="42BFEEB2"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5834FE9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40-60</w:t>
            </w:r>
          </w:p>
        </w:tc>
        <w:tc>
          <w:tcPr>
            <w:tcW w:w="567" w:type="dxa"/>
            <w:tcBorders>
              <w:top w:val="nil"/>
              <w:left w:val="nil"/>
              <w:bottom w:val="nil"/>
              <w:right w:val="nil"/>
            </w:tcBorders>
            <w:shd w:val="clear" w:color="auto" w:fill="auto"/>
            <w:noWrap/>
            <w:vAlign w:val="center"/>
            <w:hideMark/>
          </w:tcPr>
          <w:p w14:paraId="04182EE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2ECCA01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0.27</w:t>
            </w:r>
            <w:r w:rsidRPr="00851C48">
              <w:rPr>
                <w:rFonts w:ascii="等线" w:eastAsia="等线" w:hAnsi="等线" w:hint="eastAsia"/>
                <w:color w:val="000000"/>
                <w:kern w:val="0"/>
                <w:sz w:val="21"/>
                <w:szCs w:val="21"/>
              </w:rPr>
              <w:t>±</w:t>
            </w:r>
            <w:r w:rsidRPr="00851C48">
              <w:rPr>
                <w:rFonts w:eastAsia="等线"/>
                <w:color w:val="000000"/>
                <w:kern w:val="0"/>
                <w:sz w:val="21"/>
                <w:szCs w:val="21"/>
              </w:rPr>
              <w:t>0.05 a</w:t>
            </w:r>
          </w:p>
        </w:tc>
        <w:tc>
          <w:tcPr>
            <w:tcW w:w="567" w:type="dxa"/>
            <w:tcBorders>
              <w:top w:val="nil"/>
              <w:left w:val="nil"/>
              <w:bottom w:val="nil"/>
              <w:right w:val="nil"/>
            </w:tcBorders>
            <w:shd w:val="clear" w:color="auto" w:fill="auto"/>
            <w:noWrap/>
            <w:vAlign w:val="center"/>
            <w:hideMark/>
          </w:tcPr>
          <w:p w14:paraId="7B26B7C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1765E95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w:t>
            </w:r>
            <w:r w:rsidRPr="00851C48">
              <w:rPr>
                <w:rFonts w:ascii="等线" w:eastAsia="等线" w:hAnsi="等线" w:hint="eastAsia"/>
                <w:color w:val="000000"/>
                <w:kern w:val="0"/>
                <w:sz w:val="21"/>
                <w:szCs w:val="21"/>
              </w:rPr>
              <w:t>±</w:t>
            </w:r>
            <w:r w:rsidRPr="00851C48">
              <w:rPr>
                <w:rFonts w:eastAsia="等线"/>
                <w:color w:val="000000"/>
                <w:kern w:val="0"/>
                <w:sz w:val="21"/>
                <w:szCs w:val="21"/>
              </w:rPr>
              <w:t>0.01 b</w:t>
            </w:r>
          </w:p>
        </w:tc>
        <w:tc>
          <w:tcPr>
            <w:tcW w:w="567" w:type="dxa"/>
            <w:tcBorders>
              <w:top w:val="nil"/>
              <w:left w:val="nil"/>
              <w:bottom w:val="nil"/>
              <w:right w:val="nil"/>
            </w:tcBorders>
            <w:shd w:val="clear" w:color="auto" w:fill="auto"/>
            <w:noWrap/>
            <w:vAlign w:val="center"/>
            <w:hideMark/>
          </w:tcPr>
          <w:p w14:paraId="3BB5C5E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4775650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0.07</w:t>
            </w:r>
            <w:r w:rsidRPr="00851C48">
              <w:rPr>
                <w:rFonts w:ascii="等线" w:eastAsia="等线" w:hAnsi="等线" w:hint="eastAsia"/>
                <w:color w:val="000000"/>
                <w:kern w:val="0"/>
                <w:sz w:val="21"/>
                <w:szCs w:val="21"/>
              </w:rPr>
              <w:t>±</w:t>
            </w:r>
            <w:r w:rsidRPr="00851C48">
              <w:rPr>
                <w:rFonts w:eastAsia="等线"/>
                <w:color w:val="000000"/>
                <w:kern w:val="0"/>
                <w:sz w:val="21"/>
                <w:szCs w:val="21"/>
              </w:rPr>
              <w:t>0.02 b</w:t>
            </w:r>
          </w:p>
        </w:tc>
        <w:tc>
          <w:tcPr>
            <w:tcW w:w="567" w:type="dxa"/>
            <w:tcBorders>
              <w:top w:val="nil"/>
              <w:left w:val="single" w:sz="4" w:space="0" w:color="auto"/>
              <w:bottom w:val="nil"/>
              <w:right w:val="nil"/>
            </w:tcBorders>
            <w:shd w:val="clear" w:color="auto" w:fill="auto"/>
            <w:noWrap/>
            <w:vAlign w:val="center"/>
            <w:hideMark/>
          </w:tcPr>
          <w:p w14:paraId="7DB206B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31B8DC1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0.17±0.06 a</w:t>
            </w:r>
          </w:p>
        </w:tc>
        <w:tc>
          <w:tcPr>
            <w:tcW w:w="567" w:type="dxa"/>
            <w:tcBorders>
              <w:top w:val="nil"/>
              <w:left w:val="nil"/>
              <w:bottom w:val="nil"/>
              <w:right w:val="nil"/>
            </w:tcBorders>
            <w:shd w:val="clear" w:color="auto" w:fill="auto"/>
            <w:noWrap/>
            <w:vAlign w:val="center"/>
            <w:hideMark/>
          </w:tcPr>
          <w:p w14:paraId="1BE06C5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0BA94DD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0.09±0.02 a</w:t>
            </w:r>
          </w:p>
        </w:tc>
      </w:tr>
      <w:tr w:rsidR="00BD673C" w:rsidRPr="00851C48" w14:paraId="0EDFD43B" w14:textId="77777777" w:rsidTr="00A74D12">
        <w:trPr>
          <w:trHeight w:val="285"/>
        </w:trPr>
        <w:tc>
          <w:tcPr>
            <w:tcW w:w="942" w:type="dxa"/>
            <w:vMerge/>
            <w:tcBorders>
              <w:top w:val="nil"/>
              <w:left w:val="nil"/>
              <w:bottom w:val="nil"/>
              <w:right w:val="nil"/>
            </w:tcBorders>
            <w:vAlign w:val="center"/>
            <w:hideMark/>
          </w:tcPr>
          <w:p w14:paraId="2E2571B4"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6D87D65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60-100</w:t>
            </w:r>
          </w:p>
        </w:tc>
        <w:tc>
          <w:tcPr>
            <w:tcW w:w="567" w:type="dxa"/>
            <w:tcBorders>
              <w:top w:val="nil"/>
              <w:left w:val="nil"/>
              <w:bottom w:val="nil"/>
              <w:right w:val="nil"/>
            </w:tcBorders>
            <w:shd w:val="clear" w:color="auto" w:fill="auto"/>
            <w:noWrap/>
            <w:vAlign w:val="center"/>
            <w:hideMark/>
          </w:tcPr>
          <w:p w14:paraId="0F369A2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3CC590C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0.24</w:t>
            </w:r>
            <w:r w:rsidRPr="00851C48">
              <w:rPr>
                <w:rFonts w:ascii="等线" w:eastAsia="等线" w:hAnsi="等线" w:hint="eastAsia"/>
                <w:color w:val="000000"/>
                <w:kern w:val="0"/>
                <w:sz w:val="21"/>
                <w:szCs w:val="21"/>
              </w:rPr>
              <w:t>±</w:t>
            </w:r>
            <w:r w:rsidRPr="00851C48">
              <w:rPr>
                <w:rFonts w:eastAsia="等线"/>
                <w:color w:val="000000"/>
                <w:kern w:val="0"/>
                <w:sz w:val="21"/>
                <w:szCs w:val="21"/>
              </w:rPr>
              <w:t>0.08 a</w:t>
            </w:r>
          </w:p>
        </w:tc>
        <w:tc>
          <w:tcPr>
            <w:tcW w:w="567" w:type="dxa"/>
            <w:tcBorders>
              <w:top w:val="nil"/>
              <w:left w:val="nil"/>
              <w:bottom w:val="nil"/>
              <w:right w:val="nil"/>
            </w:tcBorders>
            <w:shd w:val="clear" w:color="auto" w:fill="auto"/>
            <w:noWrap/>
            <w:vAlign w:val="center"/>
            <w:hideMark/>
          </w:tcPr>
          <w:p w14:paraId="025019B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55F7E2F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0.08</w:t>
            </w:r>
            <w:r w:rsidRPr="00851C48">
              <w:rPr>
                <w:rFonts w:ascii="等线" w:eastAsia="等线" w:hAnsi="等线" w:hint="eastAsia"/>
                <w:color w:val="000000"/>
                <w:kern w:val="0"/>
                <w:sz w:val="21"/>
                <w:szCs w:val="21"/>
              </w:rPr>
              <w:t>±</w:t>
            </w:r>
            <w:r w:rsidRPr="00851C48">
              <w:rPr>
                <w:rFonts w:eastAsia="等线"/>
                <w:color w:val="000000"/>
                <w:kern w:val="0"/>
                <w:sz w:val="21"/>
                <w:szCs w:val="21"/>
              </w:rPr>
              <w:t>0.02 b</w:t>
            </w:r>
          </w:p>
        </w:tc>
        <w:tc>
          <w:tcPr>
            <w:tcW w:w="567" w:type="dxa"/>
            <w:tcBorders>
              <w:top w:val="nil"/>
              <w:left w:val="nil"/>
              <w:bottom w:val="nil"/>
              <w:right w:val="nil"/>
            </w:tcBorders>
            <w:shd w:val="clear" w:color="auto" w:fill="auto"/>
            <w:noWrap/>
            <w:vAlign w:val="center"/>
            <w:hideMark/>
          </w:tcPr>
          <w:p w14:paraId="21CA006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5D7D8F5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0.07</w:t>
            </w:r>
            <w:r w:rsidRPr="00851C48">
              <w:rPr>
                <w:rFonts w:ascii="等线" w:eastAsia="等线" w:hAnsi="等线" w:hint="eastAsia"/>
                <w:color w:val="000000"/>
                <w:kern w:val="0"/>
                <w:sz w:val="21"/>
                <w:szCs w:val="21"/>
              </w:rPr>
              <w:t>±</w:t>
            </w:r>
            <w:r w:rsidRPr="00851C48">
              <w:rPr>
                <w:rFonts w:eastAsia="等线"/>
                <w:color w:val="000000"/>
                <w:kern w:val="0"/>
                <w:sz w:val="21"/>
                <w:szCs w:val="21"/>
              </w:rPr>
              <w:t>0.02 b</w:t>
            </w:r>
          </w:p>
        </w:tc>
        <w:tc>
          <w:tcPr>
            <w:tcW w:w="567" w:type="dxa"/>
            <w:tcBorders>
              <w:top w:val="nil"/>
              <w:left w:val="single" w:sz="4" w:space="0" w:color="auto"/>
              <w:bottom w:val="nil"/>
              <w:right w:val="nil"/>
            </w:tcBorders>
            <w:shd w:val="clear" w:color="auto" w:fill="auto"/>
            <w:noWrap/>
            <w:vAlign w:val="center"/>
            <w:hideMark/>
          </w:tcPr>
          <w:p w14:paraId="34F19B8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33E790F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0.14±0.10 a</w:t>
            </w:r>
          </w:p>
        </w:tc>
        <w:tc>
          <w:tcPr>
            <w:tcW w:w="567" w:type="dxa"/>
            <w:tcBorders>
              <w:top w:val="nil"/>
              <w:left w:val="nil"/>
              <w:bottom w:val="nil"/>
              <w:right w:val="nil"/>
            </w:tcBorders>
            <w:shd w:val="clear" w:color="auto" w:fill="auto"/>
            <w:noWrap/>
            <w:vAlign w:val="center"/>
            <w:hideMark/>
          </w:tcPr>
          <w:p w14:paraId="55B0F2D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0060711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0.08±0.02 a</w:t>
            </w:r>
          </w:p>
        </w:tc>
      </w:tr>
      <w:tr w:rsidR="00BD673C" w:rsidRPr="00851C48" w14:paraId="4F47B546" w14:textId="77777777" w:rsidTr="00A74D12">
        <w:trPr>
          <w:trHeight w:val="285"/>
        </w:trPr>
        <w:tc>
          <w:tcPr>
            <w:tcW w:w="942" w:type="dxa"/>
            <w:vMerge w:val="restart"/>
            <w:tcBorders>
              <w:top w:val="nil"/>
              <w:left w:val="nil"/>
              <w:bottom w:val="nil"/>
              <w:right w:val="nil"/>
            </w:tcBorders>
            <w:shd w:val="clear" w:color="auto" w:fill="auto"/>
            <w:noWrap/>
            <w:vAlign w:val="center"/>
            <w:hideMark/>
          </w:tcPr>
          <w:p w14:paraId="3BDD907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TP (g/kg)</w:t>
            </w:r>
          </w:p>
        </w:tc>
        <w:tc>
          <w:tcPr>
            <w:tcW w:w="901" w:type="dxa"/>
            <w:tcBorders>
              <w:top w:val="nil"/>
              <w:left w:val="nil"/>
              <w:bottom w:val="nil"/>
              <w:right w:val="nil"/>
            </w:tcBorders>
            <w:shd w:val="clear" w:color="auto" w:fill="auto"/>
            <w:noWrap/>
            <w:vAlign w:val="center"/>
            <w:hideMark/>
          </w:tcPr>
          <w:p w14:paraId="3DFCBDF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p>
        </w:tc>
        <w:tc>
          <w:tcPr>
            <w:tcW w:w="567" w:type="dxa"/>
            <w:tcBorders>
              <w:top w:val="nil"/>
              <w:left w:val="nil"/>
              <w:bottom w:val="nil"/>
              <w:right w:val="nil"/>
            </w:tcBorders>
            <w:shd w:val="clear" w:color="auto" w:fill="auto"/>
            <w:noWrap/>
            <w:vAlign w:val="center"/>
            <w:hideMark/>
          </w:tcPr>
          <w:p w14:paraId="2410A5B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701" w:type="dxa"/>
            <w:tcBorders>
              <w:top w:val="nil"/>
              <w:left w:val="nil"/>
              <w:bottom w:val="nil"/>
              <w:right w:val="nil"/>
            </w:tcBorders>
            <w:shd w:val="clear" w:color="auto" w:fill="auto"/>
            <w:noWrap/>
            <w:vAlign w:val="center"/>
            <w:hideMark/>
          </w:tcPr>
          <w:p w14:paraId="2DB32AE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0.29</w:t>
            </w:r>
            <w:r w:rsidRPr="00851C48">
              <w:rPr>
                <w:rFonts w:ascii="等线" w:eastAsia="等线" w:hAnsi="等线" w:hint="eastAsia"/>
                <w:color w:val="000000"/>
                <w:kern w:val="0"/>
                <w:sz w:val="21"/>
                <w:szCs w:val="21"/>
              </w:rPr>
              <w:t>±</w:t>
            </w:r>
            <w:r w:rsidRPr="00851C48">
              <w:rPr>
                <w:rFonts w:eastAsia="等线"/>
                <w:color w:val="000000"/>
                <w:kern w:val="0"/>
                <w:sz w:val="21"/>
                <w:szCs w:val="21"/>
              </w:rPr>
              <w:t>0.07 a</w:t>
            </w:r>
          </w:p>
        </w:tc>
        <w:tc>
          <w:tcPr>
            <w:tcW w:w="567" w:type="dxa"/>
            <w:tcBorders>
              <w:top w:val="nil"/>
              <w:left w:val="nil"/>
              <w:bottom w:val="nil"/>
              <w:right w:val="nil"/>
            </w:tcBorders>
            <w:shd w:val="clear" w:color="auto" w:fill="auto"/>
            <w:noWrap/>
            <w:vAlign w:val="center"/>
            <w:hideMark/>
          </w:tcPr>
          <w:p w14:paraId="4D82120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59" w:type="dxa"/>
            <w:tcBorders>
              <w:top w:val="nil"/>
              <w:left w:val="nil"/>
              <w:bottom w:val="nil"/>
              <w:right w:val="nil"/>
            </w:tcBorders>
            <w:shd w:val="clear" w:color="auto" w:fill="auto"/>
            <w:noWrap/>
            <w:vAlign w:val="center"/>
            <w:hideMark/>
          </w:tcPr>
          <w:p w14:paraId="11FA40C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0.20</w:t>
            </w:r>
            <w:r w:rsidRPr="00851C48">
              <w:rPr>
                <w:rFonts w:ascii="等线" w:eastAsia="等线" w:hAnsi="等线" w:hint="eastAsia"/>
                <w:color w:val="000000"/>
                <w:kern w:val="0"/>
                <w:sz w:val="21"/>
                <w:szCs w:val="21"/>
              </w:rPr>
              <w:t>±</w:t>
            </w:r>
            <w:r w:rsidRPr="00851C48">
              <w:rPr>
                <w:rFonts w:eastAsia="等线"/>
                <w:color w:val="000000"/>
                <w:kern w:val="0"/>
                <w:sz w:val="21"/>
                <w:szCs w:val="21"/>
              </w:rPr>
              <w:t>0.08 ab</w:t>
            </w:r>
          </w:p>
        </w:tc>
        <w:tc>
          <w:tcPr>
            <w:tcW w:w="567" w:type="dxa"/>
            <w:tcBorders>
              <w:top w:val="nil"/>
              <w:left w:val="nil"/>
              <w:bottom w:val="nil"/>
              <w:right w:val="nil"/>
            </w:tcBorders>
            <w:shd w:val="clear" w:color="auto" w:fill="auto"/>
            <w:noWrap/>
            <w:vAlign w:val="center"/>
            <w:hideMark/>
          </w:tcPr>
          <w:p w14:paraId="4894E36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60" w:type="dxa"/>
            <w:tcBorders>
              <w:top w:val="nil"/>
              <w:left w:val="nil"/>
              <w:bottom w:val="nil"/>
              <w:right w:val="single" w:sz="4" w:space="0" w:color="auto"/>
            </w:tcBorders>
            <w:shd w:val="clear" w:color="auto" w:fill="auto"/>
            <w:noWrap/>
            <w:vAlign w:val="center"/>
            <w:hideMark/>
          </w:tcPr>
          <w:p w14:paraId="12E47B4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0.17</w:t>
            </w:r>
            <w:r w:rsidRPr="00851C48">
              <w:rPr>
                <w:rFonts w:ascii="等线" w:eastAsia="等线" w:hAnsi="等线" w:hint="eastAsia"/>
                <w:color w:val="000000"/>
                <w:kern w:val="0"/>
                <w:sz w:val="21"/>
                <w:szCs w:val="21"/>
              </w:rPr>
              <w:t>±</w:t>
            </w:r>
            <w:r w:rsidRPr="00851C48">
              <w:rPr>
                <w:rFonts w:eastAsia="等线"/>
                <w:color w:val="000000"/>
                <w:kern w:val="0"/>
                <w:sz w:val="21"/>
                <w:szCs w:val="21"/>
              </w:rPr>
              <w:t>0.10 b</w:t>
            </w:r>
          </w:p>
        </w:tc>
        <w:tc>
          <w:tcPr>
            <w:tcW w:w="567" w:type="dxa"/>
            <w:tcBorders>
              <w:top w:val="nil"/>
              <w:left w:val="single" w:sz="4" w:space="0" w:color="auto"/>
              <w:bottom w:val="nil"/>
              <w:right w:val="nil"/>
            </w:tcBorders>
            <w:shd w:val="clear" w:color="auto" w:fill="auto"/>
            <w:noWrap/>
            <w:vAlign w:val="center"/>
            <w:hideMark/>
          </w:tcPr>
          <w:p w14:paraId="62590CC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0D4B456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0.24±0.03 a</w:t>
            </w:r>
          </w:p>
        </w:tc>
        <w:tc>
          <w:tcPr>
            <w:tcW w:w="567" w:type="dxa"/>
            <w:tcBorders>
              <w:top w:val="nil"/>
              <w:left w:val="nil"/>
              <w:bottom w:val="nil"/>
              <w:right w:val="nil"/>
            </w:tcBorders>
            <w:shd w:val="clear" w:color="auto" w:fill="auto"/>
            <w:noWrap/>
            <w:vAlign w:val="center"/>
            <w:hideMark/>
          </w:tcPr>
          <w:p w14:paraId="1BB2022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1708FFB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0.18±0.04 b</w:t>
            </w:r>
          </w:p>
        </w:tc>
      </w:tr>
      <w:tr w:rsidR="00BD673C" w:rsidRPr="00851C48" w14:paraId="5A9B07D6" w14:textId="77777777" w:rsidTr="00A74D12">
        <w:trPr>
          <w:trHeight w:val="285"/>
        </w:trPr>
        <w:tc>
          <w:tcPr>
            <w:tcW w:w="942" w:type="dxa"/>
            <w:vMerge/>
            <w:tcBorders>
              <w:top w:val="nil"/>
              <w:left w:val="nil"/>
              <w:bottom w:val="nil"/>
              <w:right w:val="nil"/>
            </w:tcBorders>
            <w:vAlign w:val="center"/>
            <w:hideMark/>
          </w:tcPr>
          <w:p w14:paraId="0D022070"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25A332A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10-20</w:t>
            </w:r>
          </w:p>
        </w:tc>
        <w:tc>
          <w:tcPr>
            <w:tcW w:w="567" w:type="dxa"/>
            <w:tcBorders>
              <w:top w:val="nil"/>
              <w:left w:val="nil"/>
              <w:bottom w:val="nil"/>
              <w:right w:val="nil"/>
            </w:tcBorders>
            <w:shd w:val="clear" w:color="auto" w:fill="auto"/>
            <w:noWrap/>
            <w:vAlign w:val="center"/>
            <w:hideMark/>
          </w:tcPr>
          <w:p w14:paraId="00DAA22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701" w:type="dxa"/>
            <w:tcBorders>
              <w:top w:val="nil"/>
              <w:left w:val="nil"/>
              <w:bottom w:val="nil"/>
              <w:right w:val="nil"/>
            </w:tcBorders>
            <w:shd w:val="clear" w:color="auto" w:fill="auto"/>
            <w:noWrap/>
            <w:vAlign w:val="center"/>
            <w:hideMark/>
          </w:tcPr>
          <w:p w14:paraId="5E8AC30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0.27</w:t>
            </w:r>
            <w:r w:rsidRPr="00851C48">
              <w:rPr>
                <w:rFonts w:ascii="等线" w:eastAsia="等线" w:hAnsi="等线" w:hint="eastAsia"/>
                <w:color w:val="000000"/>
                <w:kern w:val="0"/>
                <w:sz w:val="21"/>
                <w:szCs w:val="21"/>
              </w:rPr>
              <w:t>±</w:t>
            </w:r>
            <w:r w:rsidRPr="00851C48">
              <w:rPr>
                <w:rFonts w:eastAsia="等线"/>
                <w:color w:val="000000"/>
                <w:kern w:val="0"/>
                <w:sz w:val="21"/>
                <w:szCs w:val="21"/>
              </w:rPr>
              <w:t>0.11 a</w:t>
            </w:r>
          </w:p>
        </w:tc>
        <w:tc>
          <w:tcPr>
            <w:tcW w:w="567" w:type="dxa"/>
            <w:tcBorders>
              <w:top w:val="nil"/>
              <w:left w:val="nil"/>
              <w:bottom w:val="nil"/>
              <w:right w:val="nil"/>
            </w:tcBorders>
            <w:shd w:val="clear" w:color="auto" w:fill="auto"/>
            <w:noWrap/>
            <w:vAlign w:val="center"/>
            <w:hideMark/>
          </w:tcPr>
          <w:p w14:paraId="0C69954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59" w:type="dxa"/>
            <w:tcBorders>
              <w:top w:val="nil"/>
              <w:left w:val="nil"/>
              <w:bottom w:val="nil"/>
              <w:right w:val="nil"/>
            </w:tcBorders>
            <w:shd w:val="clear" w:color="auto" w:fill="auto"/>
            <w:noWrap/>
            <w:vAlign w:val="center"/>
            <w:hideMark/>
          </w:tcPr>
          <w:p w14:paraId="498FA12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0.18</w:t>
            </w:r>
            <w:r w:rsidRPr="00851C48">
              <w:rPr>
                <w:rFonts w:ascii="等线" w:eastAsia="等线" w:hAnsi="等线" w:hint="eastAsia"/>
                <w:color w:val="000000"/>
                <w:kern w:val="0"/>
                <w:sz w:val="21"/>
                <w:szCs w:val="21"/>
              </w:rPr>
              <w:t>±</w:t>
            </w:r>
            <w:r w:rsidRPr="00851C48">
              <w:rPr>
                <w:rFonts w:eastAsia="等线"/>
                <w:color w:val="000000"/>
                <w:kern w:val="0"/>
                <w:sz w:val="21"/>
                <w:szCs w:val="21"/>
              </w:rPr>
              <w:t>0.10 a</w:t>
            </w:r>
          </w:p>
        </w:tc>
        <w:tc>
          <w:tcPr>
            <w:tcW w:w="567" w:type="dxa"/>
            <w:tcBorders>
              <w:top w:val="nil"/>
              <w:left w:val="nil"/>
              <w:bottom w:val="nil"/>
              <w:right w:val="nil"/>
            </w:tcBorders>
            <w:shd w:val="clear" w:color="auto" w:fill="auto"/>
            <w:noWrap/>
            <w:vAlign w:val="center"/>
            <w:hideMark/>
          </w:tcPr>
          <w:p w14:paraId="2626140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60" w:type="dxa"/>
            <w:tcBorders>
              <w:top w:val="nil"/>
              <w:left w:val="nil"/>
              <w:bottom w:val="nil"/>
              <w:right w:val="single" w:sz="4" w:space="0" w:color="auto"/>
            </w:tcBorders>
            <w:shd w:val="clear" w:color="auto" w:fill="auto"/>
            <w:noWrap/>
            <w:vAlign w:val="center"/>
            <w:hideMark/>
          </w:tcPr>
          <w:p w14:paraId="1DDB5FF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0.16</w:t>
            </w:r>
            <w:r w:rsidRPr="00851C48">
              <w:rPr>
                <w:rFonts w:ascii="等线" w:eastAsia="等线" w:hAnsi="等线" w:hint="eastAsia"/>
                <w:color w:val="000000"/>
                <w:kern w:val="0"/>
                <w:sz w:val="21"/>
                <w:szCs w:val="21"/>
              </w:rPr>
              <w:t>±</w:t>
            </w:r>
            <w:r w:rsidRPr="00851C48">
              <w:rPr>
                <w:rFonts w:eastAsia="等线"/>
                <w:color w:val="000000"/>
                <w:kern w:val="0"/>
                <w:sz w:val="21"/>
                <w:szCs w:val="21"/>
              </w:rPr>
              <w:t>0.10 a</w:t>
            </w:r>
          </w:p>
        </w:tc>
        <w:tc>
          <w:tcPr>
            <w:tcW w:w="567" w:type="dxa"/>
            <w:tcBorders>
              <w:top w:val="nil"/>
              <w:left w:val="single" w:sz="4" w:space="0" w:color="auto"/>
              <w:bottom w:val="nil"/>
              <w:right w:val="nil"/>
            </w:tcBorders>
            <w:shd w:val="clear" w:color="auto" w:fill="auto"/>
            <w:noWrap/>
            <w:vAlign w:val="center"/>
            <w:hideMark/>
          </w:tcPr>
          <w:p w14:paraId="03FD06C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1CFAEDA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0.21±0.06 a</w:t>
            </w:r>
          </w:p>
        </w:tc>
        <w:tc>
          <w:tcPr>
            <w:tcW w:w="567" w:type="dxa"/>
            <w:tcBorders>
              <w:top w:val="nil"/>
              <w:left w:val="nil"/>
              <w:bottom w:val="nil"/>
              <w:right w:val="nil"/>
            </w:tcBorders>
            <w:shd w:val="clear" w:color="auto" w:fill="auto"/>
            <w:noWrap/>
            <w:vAlign w:val="center"/>
            <w:hideMark/>
          </w:tcPr>
          <w:p w14:paraId="617BA07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5EC8DB8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0.13±0.02 b</w:t>
            </w:r>
          </w:p>
        </w:tc>
      </w:tr>
      <w:tr w:rsidR="00BD673C" w:rsidRPr="00851C48" w14:paraId="4B4456FC" w14:textId="77777777" w:rsidTr="00A74D12">
        <w:trPr>
          <w:trHeight w:val="285"/>
        </w:trPr>
        <w:tc>
          <w:tcPr>
            <w:tcW w:w="942" w:type="dxa"/>
            <w:vMerge/>
            <w:tcBorders>
              <w:top w:val="nil"/>
              <w:left w:val="nil"/>
              <w:bottom w:val="nil"/>
              <w:right w:val="nil"/>
            </w:tcBorders>
            <w:vAlign w:val="center"/>
            <w:hideMark/>
          </w:tcPr>
          <w:p w14:paraId="08887A42"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76C6DD7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20-40</w:t>
            </w:r>
          </w:p>
        </w:tc>
        <w:tc>
          <w:tcPr>
            <w:tcW w:w="567" w:type="dxa"/>
            <w:tcBorders>
              <w:top w:val="nil"/>
              <w:left w:val="nil"/>
              <w:bottom w:val="nil"/>
              <w:right w:val="nil"/>
            </w:tcBorders>
            <w:shd w:val="clear" w:color="auto" w:fill="auto"/>
            <w:noWrap/>
            <w:vAlign w:val="center"/>
            <w:hideMark/>
          </w:tcPr>
          <w:p w14:paraId="462AED8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77E64E9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0.34</w:t>
            </w:r>
            <w:r w:rsidRPr="00851C48">
              <w:rPr>
                <w:rFonts w:ascii="等线" w:eastAsia="等线" w:hAnsi="等线" w:hint="eastAsia"/>
                <w:color w:val="000000"/>
                <w:kern w:val="0"/>
                <w:sz w:val="21"/>
                <w:szCs w:val="21"/>
              </w:rPr>
              <w:t>±</w:t>
            </w:r>
            <w:r w:rsidRPr="00851C48">
              <w:rPr>
                <w:rFonts w:eastAsia="等线"/>
                <w:color w:val="000000"/>
                <w:kern w:val="0"/>
                <w:sz w:val="21"/>
                <w:szCs w:val="21"/>
              </w:rPr>
              <w:t>0.10 a</w:t>
            </w:r>
          </w:p>
        </w:tc>
        <w:tc>
          <w:tcPr>
            <w:tcW w:w="567" w:type="dxa"/>
            <w:tcBorders>
              <w:top w:val="nil"/>
              <w:left w:val="nil"/>
              <w:bottom w:val="nil"/>
              <w:right w:val="nil"/>
            </w:tcBorders>
            <w:shd w:val="clear" w:color="auto" w:fill="auto"/>
            <w:noWrap/>
            <w:vAlign w:val="center"/>
            <w:hideMark/>
          </w:tcPr>
          <w:p w14:paraId="59620A2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12CCB4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w:t>
            </w:r>
            <w:r w:rsidRPr="00851C48">
              <w:rPr>
                <w:rFonts w:ascii="等线" w:eastAsia="等线" w:hAnsi="等线" w:hint="eastAsia"/>
                <w:color w:val="000000"/>
                <w:kern w:val="0"/>
                <w:sz w:val="21"/>
                <w:szCs w:val="21"/>
              </w:rPr>
              <w:t>±</w:t>
            </w:r>
            <w:r w:rsidRPr="00851C48">
              <w:rPr>
                <w:rFonts w:eastAsia="等线"/>
                <w:color w:val="000000"/>
                <w:kern w:val="0"/>
                <w:sz w:val="21"/>
                <w:szCs w:val="21"/>
              </w:rPr>
              <w:t>0.03 b</w:t>
            </w:r>
          </w:p>
        </w:tc>
        <w:tc>
          <w:tcPr>
            <w:tcW w:w="567" w:type="dxa"/>
            <w:tcBorders>
              <w:top w:val="nil"/>
              <w:left w:val="nil"/>
              <w:bottom w:val="nil"/>
              <w:right w:val="nil"/>
            </w:tcBorders>
            <w:shd w:val="clear" w:color="auto" w:fill="auto"/>
            <w:noWrap/>
            <w:vAlign w:val="center"/>
            <w:hideMark/>
          </w:tcPr>
          <w:p w14:paraId="4E7FD48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19087E6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w:t>
            </w:r>
            <w:r w:rsidRPr="00851C48">
              <w:rPr>
                <w:rFonts w:ascii="等线" w:eastAsia="等线" w:hAnsi="等线" w:hint="eastAsia"/>
                <w:color w:val="000000"/>
                <w:kern w:val="0"/>
                <w:sz w:val="21"/>
                <w:szCs w:val="21"/>
              </w:rPr>
              <w:t>±</w:t>
            </w:r>
            <w:r w:rsidRPr="00851C48">
              <w:rPr>
                <w:rFonts w:eastAsia="等线"/>
                <w:color w:val="000000"/>
                <w:kern w:val="0"/>
                <w:sz w:val="21"/>
                <w:szCs w:val="21"/>
              </w:rPr>
              <w:t>0.02 b</w:t>
            </w:r>
          </w:p>
        </w:tc>
        <w:tc>
          <w:tcPr>
            <w:tcW w:w="567" w:type="dxa"/>
            <w:tcBorders>
              <w:top w:val="nil"/>
              <w:left w:val="single" w:sz="4" w:space="0" w:color="auto"/>
              <w:bottom w:val="nil"/>
              <w:right w:val="nil"/>
            </w:tcBorders>
            <w:shd w:val="clear" w:color="auto" w:fill="auto"/>
            <w:noWrap/>
            <w:vAlign w:val="center"/>
            <w:hideMark/>
          </w:tcPr>
          <w:p w14:paraId="75E5327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4CD05C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0.21±0.05 a</w:t>
            </w:r>
          </w:p>
        </w:tc>
        <w:tc>
          <w:tcPr>
            <w:tcW w:w="567" w:type="dxa"/>
            <w:tcBorders>
              <w:top w:val="nil"/>
              <w:left w:val="nil"/>
              <w:bottom w:val="nil"/>
              <w:right w:val="nil"/>
            </w:tcBorders>
            <w:shd w:val="clear" w:color="auto" w:fill="auto"/>
            <w:noWrap/>
            <w:vAlign w:val="center"/>
            <w:hideMark/>
          </w:tcPr>
          <w:p w14:paraId="786345F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1380B24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0.11±0.02 b</w:t>
            </w:r>
          </w:p>
        </w:tc>
      </w:tr>
      <w:tr w:rsidR="00BD673C" w:rsidRPr="00851C48" w14:paraId="18AB570D" w14:textId="77777777" w:rsidTr="00A74D12">
        <w:trPr>
          <w:trHeight w:val="285"/>
        </w:trPr>
        <w:tc>
          <w:tcPr>
            <w:tcW w:w="942" w:type="dxa"/>
            <w:vMerge/>
            <w:tcBorders>
              <w:top w:val="nil"/>
              <w:left w:val="nil"/>
              <w:bottom w:val="nil"/>
              <w:right w:val="nil"/>
            </w:tcBorders>
            <w:vAlign w:val="center"/>
            <w:hideMark/>
          </w:tcPr>
          <w:p w14:paraId="17C9F1CB"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394DAFF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40-60</w:t>
            </w:r>
          </w:p>
        </w:tc>
        <w:tc>
          <w:tcPr>
            <w:tcW w:w="567" w:type="dxa"/>
            <w:tcBorders>
              <w:top w:val="nil"/>
              <w:left w:val="nil"/>
              <w:bottom w:val="nil"/>
              <w:right w:val="nil"/>
            </w:tcBorders>
            <w:shd w:val="clear" w:color="auto" w:fill="auto"/>
            <w:noWrap/>
            <w:vAlign w:val="center"/>
            <w:hideMark/>
          </w:tcPr>
          <w:p w14:paraId="746491E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513E892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0.35</w:t>
            </w:r>
            <w:r w:rsidRPr="00851C48">
              <w:rPr>
                <w:rFonts w:ascii="等线" w:eastAsia="等线" w:hAnsi="等线" w:hint="eastAsia"/>
                <w:color w:val="000000"/>
                <w:kern w:val="0"/>
                <w:sz w:val="21"/>
                <w:szCs w:val="21"/>
              </w:rPr>
              <w:t>±</w:t>
            </w:r>
            <w:r w:rsidRPr="00851C48">
              <w:rPr>
                <w:rFonts w:eastAsia="等线"/>
                <w:color w:val="000000"/>
                <w:kern w:val="0"/>
                <w:sz w:val="21"/>
                <w:szCs w:val="21"/>
              </w:rPr>
              <w:t>0.11 a</w:t>
            </w:r>
          </w:p>
        </w:tc>
        <w:tc>
          <w:tcPr>
            <w:tcW w:w="567" w:type="dxa"/>
            <w:tcBorders>
              <w:top w:val="nil"/>
              <w:left w:val="nil"/>
              <w:bottom w:val="nil"/>
              <w:right w:val="nil"/>
            </w:tcBorders>
            <w:shd w:val="clear" w:color="auto" w:fill="auto"/>
            <w:noWrap/>
            <w:vAlign w:val="center"/>
            <w:hideMark/>
          </w:tcPr>
          <w:p w14:paraId="6720CAE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015C88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w:t>
            </w:r>
            <w:r w:rsidRPr="00851C48">
              <w:rPr>
                <w:rFonts w:ascii="等线" w:eastAsia="等线" w:hAnsi="等线" w:hint="eastAsia"/>
                <w:color w:val="000000"/>
                <w:kern w:val="0"/>
                <w:sz w:val="21"/>
                <w:szCs w:val="21"/>
              </w:rPr>
              <w:t>±</w:t>
            </w:r>
            <w:r w:rsidRPr="00851C48">
              <w:rPr>
                <w:rFonts w:eastAsia="等线"/>
                <w:color w:val="000000"/>
                <w:kern w:val="0"/>
                <w:sz w:val="21"/>
                <w:szCs w:val="21"/>
              </w:rPr>
              <w:t>0.03 b</w:t>
            </w:r>
          </w:p>
        </w:tc>
        <w:tc>
          <w:tcPr>
            <w:tcW w:w="567" w:type="dxa"/>
            <w:tcBorders>
              <w:top w:val="nil"/>
              <w:left w:val="nil"/>
              <w:bottom w:val="nil"/>
              <w:right w:val="nil"/>
            </w:tcBorders>
            <w:shd w:val="clear" w:color="auto" w:fill="auto"/>
            <w:noWrap/>
            <w:vAlign w:val="center"/>
            <w:hideMark/>
          </w:tcPr>
          <w:p w14:paraId="0EBBBCF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534E01D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w:t>
            </w:r>
            <w:r w:rsidRPr="00851C48">
              <w:rPr>
                <w:rFonts w:ascii="等线" w:eastAsia="等线" w:hAnsi="等线" w:hint="eastAsia"/>
                <w:color w:val="000000"/>
                <w:kern w:val="0"/>
                <w:sz w:val="21"/>
                <w:szCs w:val="21"/>
              </w:rPr>
              <w:t>±</w:t>
            </w:r>
            <w:r w:rsidRPr="00851C48">
              <w:rPr>
                <w:rFonts w:eastAsia="等线"/>
                <w:color w:val="000000"/>
                <w:kern w:val="0"/>
                <w:sz w:val="21"/>
                <w:szCs w:val="21"/>
              </w:rPr>
              <w:t>0.02 b</w:t>
            </w:r>
          </w:p>
        </w:tc>
        <w:tc>
          <w:tcPr>
            <w:tcW w:w="567" w:type="dxa"/>
            <w:tcBorders>
              <w:top w:val="nil"/>
              <w:left w:val="single" w:sz="4" w:space="0" w:color="auto"/>
              <w:bottom w:val="nil"/>
              <w:right w:val="nil"/>
            </w:tcBorders>
            <w:shd w:val="clear" w:color="auto" w:fill="auto"/>
            <w:noWrap/>
            <w:vAlign w:val="center"/>
            <w:hideMark/>
          </w:tcPr>
          <w:p w14:paraId="72A8627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40D6BAF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0.20±0.04 a</w:t>
            </w:r>
          </w:p>
        </w:tc>
        <w:tc>
          <w:tcPr>
            <w:tcW w:w="567" w:type="dxa"/>
            <w:tcBorders>
              <w:top w:val="nil"/>
              <w:left w:val="nil"/>
              <w:bottom w:val="nil"/>
              <w:right w:val="nil"/>
            </w:tcBorders>
            <w:shd w:val="clear" w:color="auto" w:fill="auto"/>
            <w:noWrap/>
            <w:vAlign w:val="center"/>
            <w:hideMark/>
          </w:tcPr>
          <w:p w14:paraId="08CF44B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128BCFB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0.10±0.01 b</w:t>
            </w:r>
          </w:p>
        </w:tc>
      </w:tr>
      <w:tr w:rsidR="00BD673C" w:rsidRPr="00851C48" w14:paraId="40348E50" w14:textId="77777777" w:rsidTr="00A74D12">
        <w:trPr>
          <w:trHeight w:val="285"/>
        </w:trPr>
        <w:tc>
          <w:tcPr>
            <w:tcW w:w="942" w:type="dxa"/>
            <w:vMerge/>
            <w:tcBorders>
              <w:top w:val="nil"/>
              <w:left w:val="nil"/>
              <w:bottom w:val="nil"/>
              <w:right w:val="nil"/>
            </w:tcBorders>
            <w:vAlign w:val="center"/>
            <w:hideMark/>
          </w:tcPr>
          <w:p w14:paraId="00374579"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6370EBD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60-100</w:t>
            </w:r>
          </w:p>
        </w:tc>
        <w:tc>
          <w:tcPr>
            <w:tcW w:w="567" w:type="dxa"/>
            <w:tcBorders>
              <w:top w:val="nil"/>
              <w:left w:val="nil"/>
              <w:bottom w:val="nil"/>
              <w:right w:val="nil"/>
            </w:tcBorders>
            <w:shd w:val="clear" w:color="auto" w:fill="auto"/>
            <w:noWrap/>
            <w:vAlign w:val="center"/>
            <w:hideMark/>
          </w:tcPr>
          <w:p w14:paraId="7E13F8A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5F38438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0.35</w:t>
            </w:r>
            <w:r w:rsidRPr="00851C48">
              <w:rPr>
                <w:rFonts w:ascii="等线" w:eastAsia="等线" w:hAnsi="等线" w:hint="eastAsia"/>
                <w:color w:val="000000"/>
                <w:kern w:val="0"/>
                <w:sz w:val="21"/>
                <w:szCs w:val="21"/>
              </w:rPr>
              <w:t>±</w:t>
            </w:r>
            <w:r w:rsidRPr="00851C48">
              <w:rPr>
                <w:rFonts w:eastAsia="等线"/>
                <w:color w:val="000000"/>
                <w:kern w:val="0"/>
                <w:sz w:val="21"/>
                <w:szCs w:val="21"/>
              </w:rPr>
              <w:t>0.14 a</w:t>
            </w:r>
          </w:p>
        </w:tc>
        <w:tc>
          <w:tcPr>
            <w:tcW w:w="567" w:type="dxa"/>
            <w:tcBorders>
              <w:top w:val="nil"/>
              <w:left w:val="nil"/>
              <w:bottom w:val="nil"/>
              <w:right w:val="nil"/>
            </w:tcBorders>
            <w:shd w:val="clear" w:color="auto" w:fill="auto"/>
            <w:noWrap/>
            <w:vAlign w:val="center"/>
            <w:hideMark/>
          </w:tcPr>
          <w:p w14:paraId="0C83E99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3BA5F5C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0.08</w:t>
            </w:r>
            <w:r w:rsidRPr="00851C48">
              <w:rPr>
                <w:rFonts w:ascii="等线" w:eastAsia="等线" w:hAnsi="等线" w:hint="eastAsia"/>
                <w:color w:val="000000"/>
                <w:kern w:val="0"/>
                <w:sz w:val="21"/>
                <w:szCs w:val="21"/>
              </w:rPr>
              <w:t>±</w:t>
            </w:r>
            <w:r w:rsidRPr="00851C48">
              <w:rPr>
                <w:rFonts w:eastAsia="等线"/>
                <w:color w:val="000000"/>
                <w:kern w:val="0"/>
                <w:sz w:val="21"/>
                <w:szCs w:val="21"/>
              </w:rPr>
              <w:t>0.01 b</w:t>
            </w:r>
          </w:p>
        </w:tc>
        <w:tc>
          <w:tcPr>
            <w:tcW w:w="567" w:type="dxa"/>
            <w:tcBorders>
              <w:top w:val="nil"/>
              <w:left w:val="nil"/>
              <w:bottom w:val="nil"/>
              <w:right w:val="nil"/>
            </w:tcBorders>
            <w:shd w:val="clear" w:color="auto" w:fill="auto"/>
            <w:noWrap/>
            <w:vAlign w:val="center"/>
            <w:hideMark/>
          </w:tcPr>
          <w:p w14:paraId="68D22FD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62829B4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0.09</w:t>
            </w:r>
            <w:r w:rsidRPr="00851C48">
              <w:rPr>
                <w:rFonts w:ascii="等线" w:eastAsia="等线" w:hAnsi="等线" w:hint="eastAsia"/>
                <w:color w:val="000000"/>
                <w:kern w:val="0"/>
                <w:sz w:val="21"/>
                <w:szCs w:val="21"/>
              </w:rPr>
              <w:t>±</w:t>
            </w:r>
            <w:r w:rsidRPr="00851C48">
              <w:rPr>
                <w:rFonts w:eastAsia="等线"/>
                <w:color w:val="000000"/>
                <w:kern w:val="0"/>
                <w:sz w:val="21"/>
                <w:szCs w:val="21"/>
              </w:rPr>
              <w:t>0.01 b</w:t>
            </w:r>
          </w:p>
        </w:tc>
        <w:tc>
          <w:tcPr>
            <w:tcW w:w="567" w:type="dxa"/>
            <w:tcBorders>
              <w:top w:val="nil"/>
              <w:left w:val="single" w:sz="4" w:space="0" w:color="auto"/>
              <w:bottom w:val="nil"/>
              <w:right w:val="nil"/>
            </w:tcBorders>
            <w:shd w:val="clear" w:color="auto" w:fill="auto"/>
            <w:noWrap/>
            <w:vAlign w:val="center"/>
            <w:hideMark/>
          </w:tcPr>
          <w:p w14:paraId="478AFD6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3A275A3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0.21±0.04 a</w:t>
            </w:r>
          </w:p>
        </w:tc>
        <w:tc>
          <w:tcPr>
            <w:tcW w:w="567" w:type="dxa"/>
            <w:tcBorders>
              <w:top w:val="nil"/>
              <w:left w:val="nil"/>
              <w:bottom w:val="nil"/>
              <w:right w:val="nil"/>
            </w:tcBorders>
            <w:shd w:val="clear" w:color="auto" w:fill="auto"/>
            <w:noWrap/>
            <w:vAlign w:val="center"/>
            <w:hideMark/>
          </w:tcPr>
          <w:p w14:paraId="12BDB47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12C239E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0.10±0.01 b</w:t>
            </w:r>
          </w:p>
        </w:tc>
      </w:tr>
      <w:tr w:rsidR="00BD673C" w:rsidRPr="00851C48" w14:paraId="7F71E59C" w14:textId="77777777" w:rsidTr="00A74D12">
        <w:trPr>
          <w:trHeight w:val="285"/>
        </w:trPr>
        <w:tc>
          <w:tcPr>
            <w:tcW w:w="942" w:type="dxa"/>
            <w:vMerge w:val="restart"/>
            <w:tcBorders>
              <w:top w:val="nil"/>
              <w:left w:val="nil"/>
              <w:bottom w:val="nil"/>
              <w:right w:val="nil"/>
            </w:tcBorders>
            <w:shd w:val="clear" w:color="auto" w:fill="auto"/>
            <w:noWrap/>
            <w:vAlign w:val="center"/>
            <w:hideMark/>
          </w:tcPr>
          <w:p w14:paraId="3B4477C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TK (g/kg)</w:t>
            </w:r>
          </w:p>
        </w:tc>
        <w:tc>
          <w:tcPr>
            <w:tcW w:w="901" w:type="dxa"/>
            <w:tcBorders>
              <w:top w:val="nil"/>
              <w:left w:val="nil"/>
              <w:bottom w:val="nil"/>
              <w:right w:val="nil"/>
            </w:tcBorders>
            <w:shd w:val="clear" w:color="auto" w:fill="auto"/>
            <w:noWrap/>
            <w:vAlign w:val="center"/>
            <w:hideMark/>
          </w:tcPr>
          <w:p w14:paraId="4CB378D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p>
        </w:tc>
        <w:tc>
          <w:tcPr>
            <w:tcW w:w="567" w:type="dxa"/>
            <w:tcBorders>
              <w:top w:val="nil"/>
              <w:left w:val="nil"/>
              <w:bottom w:val="nil"/>
              <w:right w:val="nil"/>
            </w:tcBorders>
            <w:shd w:val="clear" w:color="auto" w:fill="auto"/>
            <w:noWrap/>
            <w:vAlign w:val="center"/>
            <w:hideMark/>
          </w:tcPr>
          <w:p w14:paraId="1C2F936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701" w:type="dxa"/>
            <w:tcBorders>
              <w:top w:val="nil"/>
              <w:left w:val="nil"/>
              <w:bottom w:val="nil"/>
              <w:right w:val="nil"/>
            </w:tcBorders>
            <w:shd w:val="clear" w:color="auto" w:fill="auto"/>
            <w:noWrap/>
            <w:vAlign w:val="center"/>
            <w:hideMark/>
          </w:tcPr>
          <w:p w14:paraId="6836418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20.99</w:t>
            </w:r>
            <w:r w:rsidRPr="00851C48">
              <w:rPr>
                <w:rFonts w:ascii="等线" w:eastAsia="等线" w:hAnsi="等线" w:hint="eastAsia"/>
                <w:color w:val="000000"/>
                <w:kern w:val="0"/>
                <w:sz w:val="21"/>
                <w:szCs w:val="21"/>
              </w:rPr>
              <w:t>±</w:t>
            </w:r>
            <w:r w:rsidRPr="00851C48">
              <w:rPr>
                <w:rFonts w:eastAsia="等线"/>
                <w:color w:val="000000"/>
                <w:kern w:val="0"/>
                <w:sz w:val="21"/>
                <w:szCs w:val="21"/>
              </w:rPr>
              <w:t>14.25 a</w:t>
            </w:r>
          </w:p>
        </w:tc>
        <w:tc>
          <w:tcPr>
            <w:tcW w:w="567" w:type="dxa"/>
            <w:tcBorders>
              <w:top w:val="nil"/>
              <w:left w:val="nil"/>
              <w:bottom w:val="nil"/>
              <w:right w:val="nil"/>
            </w:tcBorders>
            <w:shd w:val="clear" w:color="auto" w:fill="auto"/>
            <w:noWrap/>
            <w:vAlign w:val="center"/>
            <w:hideMark/>
          </w:tcPr>
          <w:p w14:paraId="047C24C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59" w:type="dxa"/>
            <w:tcBorders>
              <w:top w:val="nil"/>
              <w:left w:val="nil"/>
              <w:bottom w:val="nil"/>
              <w:right w:val="nil"/>
            </w:tcBorders>
            <w:shd w:val="clear" w:color="auto" w:fill="auto"/>
            <w:noWrap/>
            <w:vAlign w:val="center"/>
            <w:hideMark/>
          </w:tcPr>
          <w:p w14:paraId="299C504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6.80</w:t>
            </w:r>
            <w:r w:rsidRPr="00851C48">
              <w:rPr>
                <w:rFonts w:ascii="等线" w:eastAsia="等线" w:hAnsi="等线" w:hint="eastAsia"/>
                <w:color w:val="000000"/>
                <w:kern w:val="0"/>
                <w:sz w:val="21"/>
                <w:szCs w:val="21"/>
              </w:rPr>
              <w:t>±</w:t>
            </w:r>
            <w:r w:rsidRPr="00851C48">
              <w:rPr>
                <w:rFonts w:eastAsia="等线"/>
                <w:color w:val="000000"/>
                <w:kern w:val="0"/>
                <w:sz w:val="21"/>
                <w:szCs w:val="21"/>
              </w:rPr>
              <w:t>2.64 a</w:t>
            </w:r>
          </w:p>
        </w:tc>
        <w:tc>
          <w:tcPr>
            <w:tcW w:w="567" w:type="dxa"/>
            <w:tcBorders>
              <w:top w:val="nil"/>
              <w:left w:val="nil"/>
              <w:bottom w:val="nil"/>
              <w:right w:val="nil"/>
            </w:tcBorders>
            <w:shd w:val="clear" w:color="auto" w:fill="auto"/>
            <w:noWrap/>
            <w:vAlign w:val="center"/>
            <w:hideMark/>
          </w:tcPr>
          <w:p w14:paraId="6CC1313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60" w:type="dxa"/>
            <w:tcBorders>
              <w:top w:val="nil"/>
              <w:left w:val="nil"/>
              <w:bottom w:val="nil"/>
              <w:right w:val="single" w:sz="4" w:space="0" w:color="auto"/>
            </w:tcBorders>
            <w:shd w:val="clear" w:color="auto" w:fill="auto"/>
            <w:noWrap/>
            <w:vAlign w:val="center"/>
            <w:hideMark/>
          </w:tcPr>
          <w:p w14:paraId="4A89573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3.47</w:t>
            </w:r>
            <w:r w:rsidRPr="00851C48">
              <w:rPr>
                <w:rFonts w:ascii="等线" w:eastAsia="等线" w:hAnsi="等线" w:hint="eastAsia"/>
                <w:color w:val="000000"/>
                <w:kern w:val="0"/>
                <w:sz w:val="21"/>
                <w:szCs w:val="21"/>
              </w:rPr>
              <w:t>±</w:t>
            </w:r>
            <w:r w:rsidRPr="00851C48">
              <w:rPr>
                <w:rFonts w:eastAsia="等线"/>
                <w:color w:val="000000"/>
                <w:kern w:val="0"/>
                <w:sz w:val="21"/>
                <w:szCs w:val="21"/>
              </w:rPr>
              <w:t>1.71 a</w:t>
            </w:r>
          </w:p>
        </w:tc>
        <w:tc>
          <w:tcPr>
            <w:tcW w:w="567" w:type="dxa"/>
            <w:tcBorders>
              <w:top w:val="nil"/>
              <w:left w:val="single" w:sz="4" w:space="0" w:color="auto"/>
              <w:bottom w:val="nil"/>
              <w:right w:val="nil"/>
            </w:tcBorders>
            <w:shd w:val="clear" w:color="auto" w:fill="auto"/>
            <w:noWrap/>
            <w:vAlign w:val="center"/>
            <w:hideMark/>
          </w:tcPr>
          <w:p w14:paraId="11E3527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58DF5A4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1.40±0.17 a</w:t>
            </w:r>
          </w:p>
        </w:tc>
        <w:tc>
          <w:tcPr>
            <w:tcW w:w="567" w:type="dxa"/>
            <w:tcBorders>
              <w:top w:val="nil"/>
              <w:left w:val="nil"/>
              <w:bottom w:val="nil"/>
              <w:right w:val="nil"/>
            </w:tcBorders>
            <w:shd w:val="clear" w:color="auto" w:fill="auto"/>
            <w:noWrap/>
            <w:vAlign w:val="center"/>
            <w:hideMark/>
          </w:tcPr>
          <w:p w14:paraId="0B970E5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3D0EE4F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1.73±0.67 a</w:t>
            </w:r>
          </w:p>
        </w:tc>
      </w:tr>
      <w:tr w:rsidR="00BD673C" w:rsidRPr="00851C48" w14:paraId="0A3695AF" w14:textId="77777777" w:rsidTr="00A74D12">
        <w:trPr>
          <w:trHeight w:val="285"/>
        </w:trPr>
        <w:tc>
          <w:tcPr>
            <w:tcW w:w="942" w:type="dxa"/>
            <w:vMerge/>
            <w:tcBorders>
              <w:top w:val="nil"/>
              <w:left w:val="nil"/>
              <w:bottom w:val="nil"/>
              <w:right w:val="nil"/>
            </w:tcBorders>
            <w:vAlign w:val="center"/>
            <w:hideMark/>
          </w:tcPr>
          <w:p w14:paraId="4F829FBC"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6136D81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10-20</w:t>
            </w:r>
          </w:p>
        </w:tc>
        <w:tc>
          <w:tcPr>
            <w:tcW w:w="567" w:type="dxa"/>
            <w:tcBorders>
              <w:top w:val="nil"/>
              <w:left w:val="nil"/>
              <w:bottom w:val="nil"/>
              <w:right w:val="nil"/>
            </w:tcBorders>
            <w:shd w:val="clear" w:color="auto" w:fill="auto"/>
            <w:noWrap/>
            <w:vAlign w:val="center"/>
            <w:hideMark/>
          </w:tcPr>
          <w:p w14:paraId="100DFB8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701" w:type="dxa"/>
            <w:tcBorders>
              <w:top w:val="nil"/>
              <w:left w:val="nil"/>
              <w:bottom w:val="nil"/>
              <w:right w:val="nil"/>
            </w:tcBorders>
            <w:shd w:val="clear" w:color="auto" w:fill="auto"/>
            <w:noWrap/>
            <w:vAlign w:val="center"/>
            <w:hideMark/>
          </w:tcPr>
          <w:p w14:paraId="03770A7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28.08</w:t>
            </w:r>
            <w:r w:rsidRPr="00851C48">
              <w:rPr>
                <w:rFonts w:ascii="等线" w:eastAsia="等线" w:hAnsi="等线" w:hint="eastAsia"/>
                <w:color w:val="000000"/>
                <w:kern w:val="0"/>
                <w:sz w:val="21"/>
                <w:szCs w:val="21"/>
              </w:rPr>
              <w:t>±</w:t>
            </w:r>
            <w:r w:rsidRPr="00851C48">
              <w:rPr>
                <w:rFonts w:eastAsia="等线"/>
                <w:color w:val="000000"/>
                <w:kern w:val="0"/>
                <w:sz w:val="21"/>
                <w:szCs w:val="21"/>
              </w:rPr>
              <w:t>22.90 a</w:t>
            </w:r>
          </w:p>
        </w:tc>
        <w:tc>
          <w:tcPr>
            <w:tcW w:w="567" w:type="dxa"/>
            <w:tcBorders>
              <w:top w:val="nil"/>
              <w:left w:val="nil"/>
              <w:bottom w:val="nil"/>
              <w:right w:val="nil"/>
            </w:tcBorders>
            <w:shd w:val="clear" w:color="auto" w:fill="auto"/>
            <w:noWrap/>
            <w:vAlign w:val="center"/>
            <w:hideMark/>
          </w:tcPr>
          <w:p w14:paraId="08DA29D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59" w:type="dxa"/>
            <w:tcBorders>
              <w:top w:val="nil"/>
              <w:left w:val="nil"/>
              <w:bottom w:val="nil"/>
              <w:right w:val="nil"/>
            </w:tcBorders>
            <w:shd w:val="clear" w:color="auto" w:fill="auto"/>
            <w:noWrap/>
            <w:vAlign w:val="center"/>
            <w:hideMark/>
          </w:tcPr>
          <w:p w14:paraId="3483DB1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5.01</w:t>
            </w:r>
            <w:r w:rsidRPr="00851C48">
              <w:rPr>
                <w:rFonts w:ascii="等线" w:eastAsia="等线" w:hAnsi="等线" w:hint="eastAsia"/>
                <w:color w:val="000000"/>
                <w:kern w:val="0"/>
                <w:sz w:val="21"/>
                <w:szCs w:val="21"/>
              </w:rPr>
              <w:t>±</w:t>
            </w:r>
            <w:r w:rsidRPr="00851C48">
              <w:rPr>
                <w:rFonts w:eastAsia="等线"/>
                <w:color w:val="000000"/>
                <w:kern w:val="0"/>
                <w:sz w:val="21"/>
                <w:szCs w:val="21"/>
              </w:rPr>
              <w:t>2.46 b</w:t>
            </w:r>
          </w:p>
        </w:tc>
        <w:tc>
          <w:tcPr>
            <w:tcW w:w="567" w:type="dxa"/>
            <w:tcBorders>
              <w:top w:val="nil"/>
              <w:left w:val="nil"/>
              <w:bottom w:val="nil"/>
              <w:right w:val="nil"/>
            </w:tcBorders>
            <w:shd w:val="clear" w:color="auto" w:fill="auto"/>
            <w:noWrap/>
            <w:vAlign w:val="center"/>
            <w:hideMark/>
          </w:tcPr>
          <w:p w14:paraId="417823B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w:t>
            </w:r>
          </w:p>
        </w:tc>
        <w:tc>
          <w:tcPr>
            <w:tcW w:w="1560" w:type="dxa"/>
            <w:tcBorders>
              <w:top w:val="nil"/>
              <w:left w:val="nil"/>
              <w:bottom w:val="nil"/>
              <w:right w:val="single" w:sz="4" w:space="0" w:color="auto"/>
            </w:tcBorders>
            <w:shd w:val="clear" w:color="auto" w:fill="auto"/>
            <w:noWrap/>
            <w:vAlign w:val="center"/>
            <w:hideMark/>
          </w:tcPr>
          <w:p w14:paraId="38FE3B8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2.71</w:t>
            </w:r>
            <w:r w:rsidRPr="00851C48">
              <w:rPr>
                <w:rFonts w:ascii="等线" w:eastAsia="等线" w:hAnsi="等线" w:hint="eastAsia"/>
                <w:color w:val="000000"/>
                <w:kern w:val="0"/>
                <w:sz w:val="21"/>
                <w:szCs w:val="21"/>
              </w:rPr>
              <w:t>±</w:t>
            </w:r>
            <w:r w:rsidRPr="00851C48">
              <w:rPr>
                <w:rFonts w:eastAsia="等线"/>
                <w:color w:val="000000"/>
                <w:kern w:val="0"/>
                <w:sz w:val="21"/>
                <w:szCs w:val="21"/>
              </w:rPr>
              <w:t>1.68 b</w:t>
            </w:r>
          </w:p>
        </w:tc>
        <w:tc>
          <w:tcPr>
            <w:tcW w:w="567" w:type="dxa"/>
            <w:tcBorders>
              <w:top w:val="nil"/>
              <w:left w:val="single" w:sz="4" w:space="0" w:color="auto"/>
              <w:bottom w:val="nil"/>
              <w:right w:val="nil"/>
            </w:tcBorders>
            <w:shd w:val="clear" w:color="auto" w:fill="auto"/>
            <w:noWrap/>
            <w:vAlign w:val="center"/>
            <w:hideMark/>
          </w:tcPr>
          <w:p w14:paraId="0C3F92E7"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DF3530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1.37±0.24 a</w:t>
            </w:r>
          </w:p>
        </w:tc>
        <w:tc>
          <w:tcPr>
            <w:tcW w:w="567" w:type="dxa"/>
            <w:tcBorders>
              <w:top w:val="nil"/>
              <w:left w:val="nil"/>
              <w:bottom w:val="nil"/>
              <w:right w:val="nil"/>
            </w:tcBorders>
            <w:shd w:val="clear" w:color="auto" w:fill="auto"/>
            <w:noWrap/>
            <w:vAlign w:val="center"/>
            <w:hideMark/>
          </w:tcPr>
          <w:p w14:paraId="7AC411D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4EED8C9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1.11±0.27 a</w:t>
            </w:r>
          </w:p>
        </w:tc>
      </w:tr>
      <w:tr w:rsidR="00BD673C" w:rsidRPr="00851C48" w14:paraId="1D4E8D72" w14:textId="77777777" w:rsidTr="00A74D12">
        <w:trPr>
          <w:trHeight w:val="285"/>
        </w:trPr>
        <w:tc>
          <w:tcPr>
            <w:tcW w:w="942" w:type="dxa"/>
            <w:vMerge/>
            <w:tcBorders>
              <w:top w:val="nil"/>
              <w:left w:val="nil"/>
              <w:bottom w:val="nil"/>
              <w:right w:val="nil"/>
            </w:tcBorders>
            <w:vAlign w:val="center"/>
            <w:hideMark/>
          </w:tcPr>
          <w:p w14:paraId="6B19097A"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3A8D824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20-40</w:t>
            </w:r>
          </w:p>
        </w:tc>
        <w:tc>
          <w:tcPr>
            <w:tcW w:w="567" w:type="dxa"/>
            <w:tcBorders>
              <w:top w:val="nil"/>
              <w:left w:val="nil"/>
              <w:bottom w:val="nil"/>
              <w:right w:val="nil"/>
            </w:tcBorders>
            <w:shd w:val="clear" w:color="auto" w:fill="auto"/>
            <w:noWrap/>
            <w:vAlign w:val="center"/>
            <w:hideMark/>
          </w:tcPr>
          <w:p w14:paraId="61CBF2D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682F6D5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26.90</w:t>
            </w:r>
            <w:r w:rsidRPr="00851C48">
              <w:rPr>
                <w:rFonts w:ascii="等线" w:eastAsia="等线" w:hAnsi="等线" w:hint="eastAsia"/>
                <w:color w:val="000000"/>
                <w:kern w:val="0"/>
                <w:sz w:val="21"/>
                <w:szCs w:val="21"/>
              </w:rPr>
              <w:t>±</w:t>
            </w:r>
            <w:r w:rsidRPr="00851C48">
              <w:rPr>
                <w:rFonts w:eastAsia="等线"/>
                <w:color w:val="000000"/>
                <w:kern w:val="0"/>
                <w:sz w:val="21"/>
                <w:szCs w:val="21"/>
              </w:rPr>
              <w:t>23.73 a</w:t>
            </w:r>
          </w:p>
        </w:tc>
        <w:tc>
          <w:tcPr>
            <w:tcW w:w="567" w:type="dxa"/>
            <w:tcBorders>
              <w:top w:val="nil"/>
              <w:left w:val="nil"/>
              <w:bottom w:val="nil"/>
              <w:right w:val="nil"/>
            </w:tcBorders>
            <w:shd w:val="clear" w:color="auto" w:fill="auto"/>
            <w:noWrap/>
            <w:vAlign w:val="center"/>
            <w:hideMark/>
          </w:tcPr>
          <w:p w14:paraId="7E831AB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06A3E1F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4.09</w:t>
            </w:r>
            <w:r w:rsidRPr="00851C48">
              <w:rPr>
                <w:rFonts w:ascii="等线" w:eastAsia="等线" w:hAnsi="等线" w:hint="eastAsia"/>
                <w:color w:val="000000"/>
                <w:kern w:val="0"/>
                <w:sz w:val="21"/>
                <w:szCs w:val="21"/>
              </w:rPr>
              <w:t>±</w:t>
            </w:r>
            <w:r w:rsidRPr="00851C48">
              <w:rPr>
                <w:rFonts w:eastAsia="等线"/>
                <w:color w:val="000000"/>
                <w:kern w:val="0"/>
                <w:sz w:val="21"/>
                <w:szCs w:val="21"/>
              </w:rPr>
              <w:t>3.07 b</w:t>
            </w:r>
          </w:p>
        </w:tc>
        <w:tc>
          <w:tcPr>
            <w:tcW w:w="567" w:type="dxa"/>
            <w:tcBorders>
              <w:top w:val="nil"/>
              <w:left w:val="nil"/>
              <w:bottom w:val="nil"/>
              <w:right w:val="nil"/>
            </w:tcBorders>
            <w:shd w:val="clear" w:color="auto" w:fill="auto"/>
            <w:noWrap/>
            <w:vAlign w:val="center"/>
            <w:hideMark/>
          </w:tcPr>
          <w:p w14:paraId="5820059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5F8425C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2.75</w:t>
            </w:r>
            <w:r w:rsidRPr="00851C48">
              <w:rPr>
                <w:rFonts w:ascii="等线" w:eastAsia="等线" w:hAnsi="等线" w:hint="eastAsia"/>
                <w:color w:val="000000"/>
                <w:kern w:val="0"/>
                <w:sz w:val="21"/>
                <w:szCs w:val="21"/>
              </w:rPr>
              <w:t>±</w:t>
            </w:r>
            <w:r w:rsidRPr="00851C48">
              <w:rPr>
                <w:rFonts w:eastAsia="等线"/>
                <w:color w:val="000000"/>
                <w:kern w:val="0"/>
                <w:sz w:val="21"/>
                <w:szCs w:val="21"/>
              </w:rPr>
              <w:t>1.03 b</w:t>
            </w:r>
          </w:p>
        </w:tc>
        <w:tc>
          <w:tcPr>
            <w:tcW w:w="567" w:type="dxa"/>
            <w:tcBorders>
              <w:top w:val="nil"/>
              <w:left w:val="single" w:sz="4" w:space="0" w:color="auto"/>
              <w:bottom w:val="nil"/>
              <w:right w:val="nil"/>
            </w:tcBorders>
            <w:shd w:val="clear" w:color="auto" w:fill="auto"/>
            <w:noWrap/>
            <w:vAlign w:val="center"/>
            <w:hideMark/>
          </w:tcPr>
          <w:p w14:paraId="6BAB64D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9497D5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0.94±0.19 a</w:t>
            </w:r>
          </w:p>
        </w:tc>
        <w:tc>
          <w:tcPr>
            <w:tcW w:w="567" w:type="dxa"/>
            <w:tcBorders>
              <w:top w:val="nil"/>
              <w:left w:val="nil"/>
              <w:bottom w:val="nil"/>
              <w:right w:val="nil"/>
            </w:tcBorders>
            <w:shd w:val="clear" w:color="auto" w:fill="auto"/>
            <w:noWrap/>
            <w:vAlign w:val="center"/>
            <w:hideMark/>
          </w:tcPr>
          <w:p w14:paraId="035AC45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4C2AB42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0.96±0.27 a</w:t>
            </w:r>
          </w:p>
        </w:tc>
      </w:tr>
      <w:tr w:rsidR="00BD673C" w:rsidRPr="00851C48" w14:paraId="0281DDDB" w14:textId="77777777" w:rsidTr="00A74D12">
        <w:trPr>
          <w:trHeight w:val="285"/>
        </w:trPr>
        <w:tc>
          <w:tcPr>
            <w:tcW w:w="942" w:type="dxa"/>
            <w:vMerge/>
            <w:tcBorders>
              <w:top w:val="nil"/>
              <w:left w:val="nil"/>
              <w:bottom w:val="nil"/>
              <w:right w:val="nil"/>
            </w:tcBorders>
            <w:vAlign w:val="center"/>
            <w:hideMark/>
          </w:tcPr>
          <w:p w14:paraId="69950E40"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1650A42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40-60</w:t>
            </w:r>
          </w:p>
        </w:tc>
        <w:tc>
          <w:tcPr>
            <w:tcW w:w="567" w:type="dxa"/>
            <w:tcBorders>
              <w:top w:val="nil"/>
              <w:left w:val="nil"/>
              <w:bottom w:val="nil"/>
              <w:right w:val="nil"/>
            </w:tcBorders>
            <w:shd w:val="clear" w:color="auto" w:fill="auto"/>
            <w:noWrap/>
            <w:vAlign w:val="center"/>
            <w:hideMark/>
          </w:tcPr>
          <w:p w14:paraId="2EB69CD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2EAC168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29.30</w:t>
            </w:r>
            <w:r w:rsidRPr="00851C48">
              <w:rPr>
                <w:rFonts w:ascii="等线" w:eastAsia="等线" w:hAnsi="等线" w:hint="eastAsia"/>
                <w:color w:val="000000"/>
                <w:kern w:val="0"/>
                <w:sz w:val="21"/>
                <w:szCs w:val="21"/>
              </w:rPr>
              <w:t>±</w:t>
            </w:r>
            <w:r w:rsidRPr="00851C48">
              <w:rPr>
                <w:rFonts w:eastAsia="等线"/>
                <w:color w:val="000000"/>
                <w:kern w:val="0"/>
                <w:sz w:val="21"/>
                <w:szCs w:val="21"/>
              </w:rPr>
              <w:t>22.60 a</w:t>
            </w:r>
          </w:p>
        </w:tc>
        <w:tc>
          <w:tcPr>
            <w:tcW w:w="567" w:type="dxa"/>
            <w:tcBorders>
              <w:top w:val="nil"/>
              <w:left w:val="nil"/>
              <w:bottom w:val="nil"/>
              <w:right w:val="nil"/>
            </w:tcBorders>
            <w:shd w:val="clear" w:color="auto" w:fill="auto"/>
            <w:noWrap/>
            <w:vAlign w:val="center"/>
            <w:hideMark/>
          </w:tcPr>
          <w:p w14:paraId="1AE865B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609344A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3.35</w:t>
            </w:r>
            <w:r w:rsidRPr="00851C48">
              <w:rPr>
                <w:rFonts w:ascii="等线" w:eastAsia="等线" w:hAnsi="等线" w:hint="eastAsia"/>
                <w:color w:val="000000"/>
                <w:kern w:val="0"/>
                <w:sz w:val="21"/>
                <w:szCs w:val="21"/>
              </w:rPr>
              <w:t>±</w:t>
            </w:r>
            <w:r w:rsidRPr="00851C48">
              <w:rPr>
                <w:rFonts w:eastAsia="等线"/>
                <w:color w:val="000000"/>
                <w:kern w:val="0"/>
                <w:sz w:val="21"/>
                <w:szCs w:val="21"/>
              </w:rPr>
              <w:t>2.26 b</w:t>
            </w:r>
          </w:p>
        </w:tc>
        <w:tc>
          <w:tcPr>
            <w:tcW w:w="567" w:type="dxa"/>
            <w:tcBorders>
              <w:top w:val="nil"/>
              <w:left w:val="nil"/>
              <w:bottom w:val="nil"/>
              <w:right w:val="nil"/>
            </w:tcBorders>
            <w:shd w:val="clear" w:color="auto" w:fill="auto"/>
            <w:noWrap/>
            <w:vAlign w:val="center"/>
            <w:hideMark/>
          </w:tcPr>
          <w:p w14:paraId="0CBD510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55D9256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2.44</w:t>
            </w:r>
            <w:r w:rsidRPr="00851C48">
              <w:rPr>
                <w:rFonts w:ascii="等线" w:eastAsia="等线" w:hAnsi="等线" w:hint="eastAsia"/>
                <w:color w:val="000000"/>
                <w:kern w:val="0"/>
                <w:sz w:val="21"/>
                <w:szCs w:val="21"/>
              </w:rPr>
              <w:t>±</w:t>
            </w:r>
            <w:r w:rsidRPr="00851C48">
              <w:rPr>
                <w:rFonts w:eastAsia="等线"/>
                <w:color w:val="000000"/>
                <w:kern w:val="0"/>
                <w:sz w:val="21"/>
                <w:szCs w:val="21"/>
              </w:rPr>
              <w:t>1.95 b</w:t>
            </w:r>
          </w:p>
        </w:tc>
        <w:tc>
          <w:tcPr>
            <w:tcW w:w="567" w:type="dxa"/>
            <w:tcBorders>
              <w:top w:val="nil"/>
              <w:left w:val="single" w:sz="4" w:space="0" w:color="auto"/>
              <w:bottom w:val="nil"/>
              <w:right w:val="nil"/>
            </w:tcBorders>
            <w:shd w:val="clear" w:color="auto" w:fill="auto"/>
            <w:noWrap/>
            <w:vAlign w:val="center"/>
            <w:hideMark/>
          </w:tcPr>
          <w:p w14:paraId="067D717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15766B7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0.84±0.26 a</w:t>
            </w:r>
          </w:p>
        </w:tc>
        <w:tc>
          <w:tcPr>
            <w:tcW w:w="567" w:type="dxa"/>
            <w:tcBorders>
              <w:top w:val="nil"/>
              <w:left w:val="nil"/>
              <w:bottom w:val="nil"/>
              <w:right w:val="nil"/>
            </w:tcBorders>
            <w:shd w:val="clear" w:color="auto" w:fill="auto"/>
            <w:noWrap/>
            <w:vAlign w:val="center"/>
            <w:hideMark/>
          </w:tcPr>
          <w:p w14:paraId="7B04DB5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04606EA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0.86±0.18 a</w:t>
            </w:r>
          </w:p>
        </w:tc>
      </w:tr>
      <w:tr w:rsidR="00BD673C" w:rsidRPr="00851C48" w14:paraId="2FC48687" w14:textId="77777777" w:rsidTr="00A74D12">
        <w:trPr>
          <w:trHeight w:val="285"/>
        </w:trPr>
        <w:tc>
          <w:tcPr>
            <w:tcW w:w="942" w:type="dxa"/>
            <w:vMerge/>
            <w:tcBorders>
              <w:top w:val="nil"/>
              <w:left w:val="nil"/>
              <w:bottom w:val="nil"/>
              <w:right w:val="nil"/>
            </w:tcBorders>
            <w:vAlign w:val="center"/>
            <w:hideMark/>
          </w:tcPr>
          <w:p w14:paraId="4B28BE39"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75167C3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60-100</w:t>
            </w:r>
          </w:p>
        </w:tc>
        <w:tc>
          <w:tcPr>
            <w:tcW w:w="567" w:type="dxa"/>
            <w:tcBorders>
              <w:top w:val="nil"/>
              <w:left w:val="nil"/>
              <w:bottom w:val="nil"/>
              <w:right w:val="nil"/>
            </w:tcBorders>
            <w:shd w:val="clear" w:color="auto" w:fill="auto"/>
            <w:noWrap/>
            <w:vAlign w:val="center"/>
            <w:hideMark/>
          </w:tcPr>
          <w:p w14:paraId="7AA8C70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37E7A75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27.43</w:t>
            </w:r>
            <w:r w:rsidRPr="00851C48">
              <w:rPr>
                <w:rFonts w:ascii="等线" w:eastAsia="等线" w:hAnsi="等线" w:hint="eastAsia"/>
                <w:color w:val="000000"/>
                <w:kern w:val="0"/>
                <w:sz w:val="21"/>
                <w:szCs w:val="21"/>
              </w:rPr>
              <w:t>±</w:t>
            </w:r>
            <w:r w:rsidRPr="00851C48">
              <w:rPr>
                <w:rFonts w:eastAsia="等线"/>
                <w:color w:val="000000"/>
                <w:kern w:val="0"/>
                <w:sz w:val="21"/>
                <w:szCs w:val="21"/>
              </w:rPr>
              <w:t>13.59 a</w:t>
            </w:r>
          </w:p>
        </w:tc>
        <w:tc>
          <w:tcPr>
            <w:tcW w:w="567" w:type="dxa"/>
            <w:tcBorders>
              <w:top w:val="nil"/>
              <w:left w:val="nil"/>
              <w:bottom w:val="nil"/>
              <w:right w:val="nil"/>
            </w:tcBorders>
            <w:shd w:val="clear" w:color="auto" w:fill="auto"/>
            <w:noWrap/>
            <w:vAlign w:val="center"/>
            <w:hideMark/>
          </w:tcPr>
          <w:p w14:paraId="4D0C7C9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313A21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3.15</w:t>
            </w:r>
            <w:r w:rsidRPr="00851C48">
              <w:rPr>
                <w:rFonts w:ascii="等线" w:eastAsia="等线" w:hAnsi="等线" w:hint="eastAsia"/>
                <w:color w:val="000000"/>
                <w:kern w:val="0"/>
                <w:sz w:val="21"/>
                <w:szCs w:val="21"/>
              </w:rPr>
              <w:t>±</w:t>
            </w:r>
            <w:r w:rsidRPr="00851C48">
              <w:rPr>
                <w:rFonts w:eastAsia="等线"/>
                <w:color w:val="000000"/>
                <w:kern w:val="0"/>
                <w:sz w:val="21"/>
                <w:szCs w:val="21"/>
              </w:rPr>
              <w:t>1.77 b</w:t>
            </w:r>
          </w:p>
        </w:tc>
        <w:tc>
          <w:tcPr>
            <w:tcW w:w="567" w:type="dxa"/>
            <w:tcBorders>
              <w:top w:val="nil"/>
              <w:left w:val="nil"/>
              <w:bottom w:val="nil"/>
              <w:right w:val="nil"/>
            </w:tcBorders>
            <w:shd w:val="clear" w:color="auto" w:fill="auto"/>
            <w:noWrap/>
            <w:vAlign w:val="center"/>
            <w:hideMark/>
          </w:tcPr>
          <w:p w14:paraId="533E16E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1001B84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1.88</w:t>
            </w:r>
            <w:r w:rsidRPr="00851C48">
              <w:rPr>
                <w:rFonts w:ascii="等线" w:eastAsia="等线" w:hAnsi="等线" w:hint="eastAsia"/>
                <w:color w:val="000000"/>
                <w:kern w:val="0"/>
                <w:sz w:val="21"/>
                <w:szCs w:val="21"/>
              </w:rPr>
              <w:t>±</w:t>
            </w:r>
            <w:r w:rsidRPr="00851C48">
              <w:rPr>
                <w:rFonts w:eastAsia="等线"/>
                <w:color w:val="000000"/>
                <w:kern w:val="0"/>
                <w:sz w:val="21"/>
                <w:szCs w:val="21"/>
              </w:rPr>
              <w:t>0.93 b</w:t>
            </w:r>
          </w:p>
        </w:tc>
        <w:tc>
          <w:tcPr>
            <w:tcW w:w="567" w:type="dxa"/>
            <w:tcBorders>
              <w:top w:val="nil"/>
              <w:left w:val="single" w:sz="4" w:space="0" w:color="auto"/>
              <w:bottom w:val="nil"/>
              <w:right w:val="nil"/>
            </w:tcBorders>
            <w:shd w:val="clear" w:color="auto" w:fill="auto"/>
            <w:noWrap/>
            <w:vAlign w:val="center"/>
            <w:hideMark/>
          </w:tcPr>
          <w:p w14:paraId="2D07F24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4E78B1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0.66±0.35 a</w:t>
            </w:r>
          </w:p>
        </w:tc>
        <w:tc>
          <w:tcPr>
            <w:tcW w:w="567" w:type="dxa"/>
            <w:tcBorders>
              <w:top w:val="nil"/>
              <w:left w:val="nil"/>
              <w:bottom w:val="nil"/>
              <w:right w:val="nil"/>
            </w:tcBorders>
            <w:shd w:val="clear" w:color="auto" w:fill="auto"/>
            <w:noWrap/>
            <w:vAlign w:val="center"/>
            <w:hideMark/>
          </w:tcPr>
          <w:p w14:paraId="61D04C7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w:t>
            </w:r>
          </w:p>
        </w:tc>
        <w:tc>
          <w:tcPr>
            <w:tcW w:w="2126" w:type="dxa"/>
            <w:tcBorders>
              <w:top w:val="nil"/>
              <w:left w:val="nil"/>
              <w:bottom w:val="nil"/>
              <w:right w:val="nil"/>
            </w:tcBorders>
            <w:shd w:val="clear" w:color="auto" w:fill="auto"/>
            <w:noWrap/>
            <w:vAlign w:val="center"/>
            <w:hideMark/>
          </w:tcPr>
          <w:p w14:paraId="0F118FC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0.77±0.19 a</w:t>
            </w:r>
          </w:p>
        </w:tc>
      </w:tr>
      <w:tr w:rsidR="00BD673C" w:rsidRPr="00851C48" w14:paraId="20708A31" w14:textId="77777777" w:rsidTr="00A74D12">
        <w:trPr>
          <w:trHeight w:val="285"/>
        </w:trPr>
        <w:tc>
          <w:tcPr>
            <w:tcW w:w="942" w:type="dxa"/>
            <w:vMerge w:val="restart"/>
            <w:tcBorders>
              <w:top w:val="nil"/>
              <w:left w:val="nil"/>
              <w:bottom w:val="single" w:sz="8" w:space="0" w:color="000000"/>
              <w:right w:val="nil"/>
            </w:tcBorders>
            <w:shd w:val="clear" w:color="auto" w:fill="auto"/>
            <w:noWrap/>
            <w:vAlign w:val="center"/>
            <w:hideMark/>
          </w:tcPr>
          <w:p w14:paraId="2169B15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SC (g/kg)</w:t>
            </w:r>
          </w:p>
        </w:tc>
        <w:tc>
          <w:tcPr>
            <w:tcW w:w="901" w:type="dxa"/>
            <w:tcBorders>
              <w:top w:val="nil"/>
              <w:left w:val="nil"/>
              <w:bottom w:val="nil"/>
              <w:right w:val="nil"/>
            </w:tcBorders>
            <w:shd w:val="clear" w:color="auto" w:fill="auto"/>
            <w:noWrap/>
            <w:vAlign w:val="center"/>
            <w:hideMark/>
          </w:tcPr>
          <w:p w14:paraId="6EC5880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0-10</w:t>
            </w:r>
          </w:p>
        </w:tc>
        <w:tc>
          <w:tcPr>
            <w:tcW w:w="567" w:type="dxa"/>
            <w:tcBorders>
              <w:top w:val="nil"/>
              <w:left w:val="nil"/>
              <w:bottom w:val="nil"/>
              <w:right w:val="nil"/>
            </w:tcBorders>
            <w:shd w:val="clear" w:color="auto" w:fill="auto"/>
            <w:noWrap/>
            <w:vAlign w:val="center"/>
            <w:hideMark/>
          </w:tcPr>
          <w:p w14:paraId="2B009FE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52034AA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1.59</w:t>
            </w:r>
            <w:r w:rsidRPr="00851C48">
              <w:rPr>
                <w:rFonts w:ascii="等线" w:eastAsia="等线" w:hAnsi="等线" w:hint="eastAsia"/>
                <w:color w:val="000000"/>
                <w:kern w:val="0"/>
                <w:sz w:val="21"/>
                <w:szCs w:val="21"/>
              </w:rPr>
              <w:t>±</w:t>
            </w:r>
            <w:r w:rsidRPr="00851C48">
              <w:rPr>
                <w:rFonts w:eastAsia="等线"/>
                <w:color w:val="000000"/>
                <w:kern w:val="0"/>
                <w:sz w:val="21"/>
                <w:szCs w:val="21"/>
              </w:rPr>
              <w:t>0.53 a</w:t>
            </w:r>
          </w:p>
        </w:tc>
        <w:tc>
          <w:tcPr>
            <w:tcW w:w="567" w:type="dxa"/>
            <w:tcBorders>
              <w:top w:val="nil"/>
              <w:left w:val="nil"/>
              <w:bottom w:val="nil"/>
              <w:right w:val="nil"/>
            </w:tcBorders>
            <w:shd w:val="clear" w:color="auto" w:fill="auto"/>
            <w:noWrap/>
            <w:vAlign w:val="center"/>
            <w:hideMark/>
          </w:tcPr>
          <w:p w14:paraId="63535AB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0FCC9A0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0.80</w:t>
            </w:r>
            <w:r w:rsidRPr="00851C48">
              <w:rPr>
                <w:rFonts w:ascii="等线" w:eastAsia="等线" w:hAnsi="等线" w:hint="eastAsia"/>
                <w:color w:val="000000"/>
                <w:kern w:val="0"/>
                <w:sz w:val="21"/>
                <w:szCs w:val="21"/>
              </w:rPr>
              <w:t>±</w:t>
            </w:r>
            <w:r w:rsidRPr="00851C48">
              <w:rPr>
                <w:rFonts w:eastAsia="等线"/>
                <w:color w:val="000000"/>
                <w:kern w:val="0"/>
                <w:sz w:val="21"/>
                <w:szCs w:val="21"/>
              </w:rPr>
              <w:t>0.45 b</w:t>
            </w:r>
          </w:p>
        </w:tc>
        <w:tc>
          <w:tcPr>
            <w:tcW w:w="567" w:type="dxa"/>
            <w:tcBorders>
              <w:top w:val="nil"/>
              <w:left w:val="nil"/>
              <w:bottom w:val="nil"/>
              <w:right w:val="nil"/>
            </w:tcBorders>
            <w:shd w:val="clear" w:color="auto" w:fill="auto"/>
            <w:noWrap/>
            <w:vAlign w:val="center"/>
            <w:hideMark/>
          </w:tcPr>
          <w:p w14:paraId="373D5C6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480DAF4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0.60</w:t>
            </w:r>
            <w:r w:rsidRPr="00851C48">
              <w:rPr>
                <w:rFonts w:ascii="等线" w:eastAsia="等线" w:hAnsi="等线" w:hint="eastAsia"/>
                <w:color w:val="000000"/>
                <w:kern w:val="0"/>
                <w:sz w:val="21"/>
                <w:szCs w:val="21"/>
              </w:rPr>
              <w:t>±</w:t>
            </w:r>
            <w:r w:rsidRPr="00851C48">
              <w:rPr>
                <w:rFonts w:eastAsia="等线"/>
                <w:color w:val="000000"/>
                <w:kern w:val="0"/>
                <w:sz w:val="21"/>
                <w:szCs w:val="21"/>
              </w:rPr>
              <w:t>0.43 b</w:t>
            </w:r>
          </w:p>
        </w:tc>
        <w:tc>
          <w:tcPr>
            <w:tcW w:w="567" w:type="dxa"/>
            <w:tcBorders>
              <w:top w:val="nil"/>
              <w:left w:val="single" w:sz="4" w:space="0" w:color="auto"/>
              <w:bottom w:val="nil"/>
              <w:right w:val="nil"/>
            </w:tcBorders>
            <w:shd w:val="clear" w:color="auto" w:fill="auto"/>
            <w:noWrap/>
            <w:vAlign w:val="center"/>
            <w:hideMark/>
          </w:tcPr>
          <w:p w14:paraId="500B3AC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59DA85E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10.76±2.45 a</w:t>
            </w:r>
          </w:p>
        </w:tc>
        <w:tc>
          <w:tcPr>
            <w:tcW w:w="567" w:type="dxa"/>
            <w:tcBorders>
              <w:top w:val="nil"/>
              <w:left w:val="nil"/>
              <w:bottom w:val="nil"/>
              <w:right w:val="nil"/>
            </w:tcBorders>
            <w:shd w:val="clear" w:color="auto" w:fill="auto"/>
            <w:noWrap/>
            <w:vAlign w:val="center"/>
            <w:hideMark/>
          </w:tcPr>
          <w:p w14:paraId="2F51110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w:t>
            </w:r>
          </w:p>
        </w:tc>
        <w:tc>
          <w:tcPr>
            <w:tcW w:w="2126" w:type="dxa"/>
            <w:tcBorders>
              <w:top w:val="nil"/>
              <w:left w:val="nil"/>
              <w:bottom w:val="nil"/>
              <w:right w:val="nil"/>
            </w:tcBorders>
            <w:shd w:val="clear" w:color="auto" w:fill="auto"/>
            <w:noWrap/>
            <w:vAlign w:val="center"/>
            <w:hideMark/>
          </w:tcPr>
          <w:p w14:paraId="5406B59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14.02±5.52 a</w:t>
            </w:r>
          </w:p>
        </w:tc>
      </w:tr>
      <w:tr w:rsidR="00BD673C" w:rsidRPr="00851C48" w14:paraId="1CF8FD0F" w14:textId="77777777" w:rsidTr="00A74D12">
        <w:trPr>
          <w:trHeight w:val="285"/>
        </w:trPr>
        <w:tc>
          <w:tcPr>
            <w:tcW w:w="942" w:type="dxa"/>
            <w:vMerge/>
            <w:tcBorders>
              <w:top w:val="nil"/>
              <w:left w:val="nil"/>
              <w:bottom w:val="single" w:sz="8" w:space="0" w:color="000000"/>
              <w:right w:val="nil"/>
            </w:tcBorders>
            <w:vAlign w:val="center"/>
            <w:hideMark/>
          </w:tcPr>
          <w:p w14:paraId="18723FB6"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7202EEA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10-20</w:t>
            </w:r>
          </w:p>
        </w:tc>
        <w:tc>
          <w:tcPr>
            <w:tcW w:w="567" w:type="dxa"/>
            <w:tcBorders>
              <w:top w:val="nil"/>
              <w:left w:val="nil"/>
              <w:bottom w:val="nil"/>
              <w:right w:val="nil"/>
            </w:tcBorders>
            <w:shd w:val="clear" w:color="auto" w:fill="auto"/>
            <w:noWrap/>
            <w:vAlign w:val="center"/>
            <w:hideMark/>
          </w:tcPr>
          <w:p w14:paraId="758A45B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54A1A7F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1.25</w:t>
            </w:r>
            <w:r w:rsidRPr="00851C48">
              <w:rPr>
                <w:rFonts w:ascii="等线" w:eastAsia="等线" w:hAnsi="等线" w:hint="eastAsia"/>
                <w:color w:val="000000"/>
                <w:kern w:val="0"/>
                <w:sz w:val="21"/>
                <w:szCs w:val="21"/>
              </w:rPr>
              <w:t>±</w:t>
            </w:r>
            <w:r w:rsidRPr="00851C48">
              <w:rPr>
                <w:rFonts w:eastAsia="等线"/>
                <w:color w:val="000000"/>
                <w:kern w:val="0"/>
                <w:sz w:val="21"/>
                <w:szCs w:val="21"/>
              </w:rPr>
              <w:t>0.45 a</w:t>
            </w:r>
          </w:p>
        </w:tc>
        <w:tc>
          <w:tcPr>
            <w:tcW w:w="567" w:type="dxa"/>
            <w:tcBorders>
              <w:top w:val="nil"/>
              <w:left w:val="nil"/>
              <w:bottom w:val="nil"/>
              <w:right w:val="nil"/>
            </w:tcBorders>
            <w:shd w:val="clear" w:color="auto" w:fill="auto"/>
            <w:noWrap/>
            <w:vAlign w:val="center"/>
            <w:hideMark/>
          </w:tcPr>
          <w:p w14:paraId="58B4AB6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61F987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0.99</w:t>
            </w:r>
            <w:r w:rsidRPr="00851C48">
              <w:rPr>
                <w:rFonts w:ascii="等线" w:eastAsia="等线" w:hAnsi="等线" w:hint="eastAsia"/>
                <w:color w:val="000000"/>
                <w:kern w:val="0"/>
                <w:sz w:val="21"/>
                <w:szCs w:val="21"/>
              </w:rPr>
              <w:t>±</w:t>
            </w:r>
            <w:r w:rsidRPr="00851C48">
              <w:rPr>
                <w:rFonts w:eastAsia="等线"/>
                <w:color w:val="000000"/>
                <w:kern w:val="0"/>
                <w:sz w:val="21"/>
                <w:szCs w:val="21"/>
              </w:rPr>
              <w:t>0.64 ab</w:t>
            </w:r>
          </w:p>
        </w:tc>
        <w:tc>
          <w:tcPr>
            <w:tcW w:w="567" w:type="dxa"/>
            <w:tcBorders>
              <w:top w:val="nil"/>
              <w:left w:val="nil"/>
              <w:bottom w:val="nil"/>
              <w:right w:val="nil"/>
            </w:tcBorders>
            <w:shd w:val="clear" w:color="auto" w:fill="auto"/>
            <w:noWrap/>
            <w:vAlign w:val="center"/>
            <w:hideMark/>
          </w:tcPr>
          <w:p w14:paraId="2529844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44C41FE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0.62</w:t>
            </w:r>
            <w:r w:rsidRPr="00851C48">
              <w:rPr>
                <w:rFonts w:ascii="等线" w:eastAsia="等线" w:hAnsi="等线" w:hint="eastAsia"/>
                <w:color w:val="000000"/>
                <w:kern w:val="0"/>
                <w:sz w:val="21"/>
                <w:szCs w:val="21"/>
              </w:rPr>
              <w:t>±</w:t>
            </w:r>
            <w:r w:rsidRPr="00851C48">
              <w:rPr>
                <w:rFonts w:eastAsia="等线"/>
                <w:color w:val="000000"/>
                <w:kern w:val="0"/>
                <w:sz w:val="21"/>
                <w:szCs w:val="21"/>
              </w:rPr>
              <w:t>0.47 b</w:t>
            </w:r>
          </w:p>
        </w:tc>
        <w:tc>
          <w:tcPr>
            <w:tcW w:w="567" w:type="dxa"/>
            <w:tcBorders>
              <w:top w:val="nil"/>
              <w:left w:val="single" w:sz="4" w:space="0" w:color="auto"/>
              <w:bottom w:val="nil"/>
              <w:right w:val="nil"/>
            </w:tcBorders>
            <w:shd w:val="clear" w:color="auto" w:fill="auto"/>
            <w:noWrap/>
            <w:vAlign w:val="center"/>
            <w:hideMark/>
          </w:tcPr>
          <w:p w14:paraId="3308129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57BF185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5.18±1.34 a</w:t>
            </w:r>
          </w:p>
        </w:tc>
        <w:tc>
          <w:tcPr>
            <w:tcW w:w="567" w:type="dxa"/>
            <w:tcBorders>
              <w:top w:val="nil"/>
              <w:left w:val="nil"/>
              <w:bottom w:val="nil"/>
              <w:right w:val="nil"/>
            </w:tcBorders>
            <w:shd w:val="clear" w:color="auto" w:fill="auto"/>
            <w:noWrap/>
            <w:vAlign w:val="center"/>
            <w:hideMark/>
          </w:tcPr>
          <w:p w14:paraId="5916368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w:t>
            </w:r>
          </w:p>
        </w:tc>
        <w:tc>
          <w:tcPr>
            <w:tcW w:w="2126" w:type="dxa"/>
            <w:tcBorders>
              <w:top w:val="nil"/>
              <w:left w:val="nil"/>
              <w:bottom w:val="nil"/>
              <w:right w:val="nil"/>
            </w:tcBorders>
            <w:shd w:val="clear" w:color="auto" w:fill="auto"/>
            <w:noWrap/>
            <w:vAlign w:val="center"/>
            <w:hideMark/>
          </w:tcPr>
          <w:p w14:paraId="44376A62"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4.86±3.18 a</w:t>
            </w:r>
          </w:p>
        </w:tc>
      </w:tr>
      <w:tr w:rsidR="00BD673C" w:rsidRPr="00851C48" w14:paraId="3158E25D" w14:textId="77777777" w:rsidTr="00A74D12">
        <w:trPr>
          <w:trHeight w:val="285"/>
        </w:trPr>
        <w:tc>
          <w:tcPr>
            <w:tcW w:w="942" w:type="dxa"/>
            <w:vMerge/>
            <w:tcBorders>
              <w:top w:val="nil"/>
              <w:left w:val="nil"/>
              <w:bottom w:val="single" w:sz="8" w:space="0" w:color="000000"/>
              <w:right w:val="nil"/>
            </w:tcBorders>
            <w:vAlign w:val="center"/>
            <w:hideMark/>
          </w:tcPr>
          <w:p w14:paraId="1710D88E"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7C508A96"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20-40</w:t>
            </w:r>
          </w:p>
        </w:tc>
        <w:tc>
          <w:tcPr>
            <w:tcW w:w="567" w:type="dxa"/>
            <w:tcBorders>
              <w:top w:val="nil"/>
              <w:left w:val="nil"/>
              <w:bottom w:val="nil"/>
              <w:right w:val="nil"/>
            </w:tcBorders>
            <w:shd w:val="clear" w:color="auto" w:fill="auto"/>
            <w:noWrap/>
            <w:vAlign w:val="center"/>
            <w:hideMark/>
          </w:tcPr>
          <w:p w14:paraId="38E195E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413F961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0.98</w:t>
            </w:r>
            <w:r w:rsidRPr="00851C48">
              <w:rPr>
                <w:rFonts w:ascii="等线" w:eastAsia="等线" w:hAnsi="等线" w:hint="eastAsia"/>
                <w:color w:val="000000"/>
                <w:kern w:val="0"/>
                <w:sz w:val="21"/>
                <w:szCs w:val="21"/>
              </w:rPr>
              <w:t>±</w:t>
            </w:r>
            <w:r w:rsidRPr="00851C48">
              <w:rPr>
                <w:rFonts w:eastAsia="等线"/>
                <w:color w:val="000000"/>
                <w:kern w:val="0"/>
                <w:sz w:val="21"/>
                <w:szCs w:val="21"/>
              </w:rPr>
              <w:t>0.37 a</w:t>
            </w:r>
          </w:p>
        </w:tc>
        <w:tc>
          <w:tcPr>
            <w:tcW w:w="567" w:type="dxa"/>
            <w:tcBorders>
              <w:top w:val="nil"/>
              <w:left w:val="nil"/>
              <w:bottom w:val="nil"/>
              <w:right w:val="nil"/>
            </w:tcBorders>
            <w:shd w:val="clear" w:color="auto" w:fill="auto"/>
            <w:noWrap/>
            <w:vAlign w:val="center"/>
            <w:hideMark/>
          </w:tcPr>
          <w:p w14:paraId="3F6E5A9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0795D8A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1.13</w:t>
            </w:r>
            <w:r w:rsidRPr="00851C48">
              <w:rPr>
                <w:rFonts w:ascii="等线" w:eastAsia="等线" w:hAnsi="等线" w:hint="eastAsia"/>
                <w:color w:val="000000"/>
                <w:kern w:val="0"/>
                <w:sz w:val="21"/>
                <w:szCs w:val="21"/>
              </w:rPr>
              <w:t>±</w:t>
            </w:r>
            <w:r w:rsidRPr="00851C48">
              <w:rPr>
                <w:rFonts w:eastAsia="等线"/>
                <w:color w:val="000000"/>
                <w:kern w:val="0"/>
                <w:sz w:val="21"/>
                <w:szCs w:val="21"/>
              </w:rPr>
              <w:t>0.30 a</w:t>
            </w:r>
          </w:p>
        </w:tc>
        <w:tc>
          <w:tcPr>
            <w:tcW w:w="567" w:type="dxa"/>
            <w:tcBorders>
              <w:top w:val="nil"/>
              <w:left w:val="nil"/>
              <w:bottom w:val="nil"/>
              <w:right w:val="nil"/>
            </w:tcBorders>
            <w:shd w:val="clear" w:color="auto" w:fill="auto"/>
            <w:noWrap/>
            <w:vAlign w:val="center"/>
            <w:hideMark/>
          </w:tcPr>
          <w:p w14:paraId="1AA44B7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2BEEF54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0.92</w:t>
            </w:r>
            <w:r w:rsidRPr="00851C48">
              <w:rPr>
                <w:rFonts w:ascii="等线" w:eastAsia="等线" w:hAnsi="等线" w:hint="eastAsia"/>
                <w:color w:val="000000"/>
                <w:kern w:val="0"/>
                <w:sz w:val="21"/>
                <w:szCs w:val="21"/>
              </w:rPr>
              <w:t>±</w:t>
            </w:r>
            <w:r w:rsidRPr="00851C48">
              <w:rPr>
                <w:rFonts w:eastAsia="等线"/>
                <w:color w:val="000000"/>
                <w:kern w:val="0"/>
                <w:sz w:val="21"/>
                <w:szCs w:val="21"/>
              </w:rPr>
              <w:t>0.39 a</w:t>
            </w:r>
          </w:p>
        </w:tc>
        <w:tc>
          <w:tcPr>
            <w:tcW w:w="567" w:type="dxa"/>
            <w:tcBorders>
              <w:top w:val="nil"/>
              <w:left w:val="single" w:sz="4" w:space="0" w:color="auto"/>
              <w:bottom w:val="nil"/>
              <w:right w:val="nil"/>
            </w:tcBorders>
            <w:shd w:val="clear" w:color="auto" w:fill="auto"/>
            <w:noWrap/>
            <w:vAlign w:val="center"/>
            <w:hideMark/>
          </w:tcPr>
          <w:p w14:paraId="0945A79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503A7E0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5.85±1.85 a</w:t>
            </w:r>
          </w:p>
        </w:tc>
        <w:tc>
          <w:tcPr>
            <w:tcW w:w="567" w:type="dxa"/>
            <w:tcBorders>
              <w:top w:val="nil"/>
              <w:left w:val="nil"/>
              <w:bottom w:val="nil"/>
              <w:right w:val="nil"/>
            </w:tcBorders>
            <w:shd w:val="clear" w:color="auto" w:fill="auto"/>
            <w:noWrap/>
            <w:vAlign w:val="center"/>
            <w:hideMark/>
          </w:tcPr>
          <w:p w14:paraId="6F00D0C4"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w:t>
            </w:r>
          </w:p>
        </w:tc>
        <w:tc>
          <w:tcPr>
            <w:tcW w:w="2126" w:type="dxa"/>
            <w:tcBorders>
              <w:top w:val="nil"/>
              <w:left w:val="nil"/>
              <w:bottom w:val="nil"/>
              <w:right w:val="nil"/>
            </w:tcBorders>
            <w:shd w:val="clear" w:color="auto" w:fill="auto"/>
            <w:noWrap/>
            <w:vAlign w:val="center"/>
            <w:hideMark/>
          </w:tcPr>
          <w:p w14:paraId="0D55D85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2.70±2.66 a</w:t>
            </w:r>
          </w:p>
        </w:tc>
      </w:tr>
      <w:tr w:rsidR="00BD673C" w:rsidRPr="00851C48" w14:paraId="31D97E80" w14:textId="77777777" w:rsidTr="00A74D12">
        <w:trPr>
          <w:trHeight w:val="285"/>
        </w:trPr>
        <w:tc>
          <w:tcPr>
            <w:tcW w:w="942" w:type="dxa"/>
            <w:vMerge/>
            <w:tcBorders>
              <w:top w:val="nil"/>
              <w:left w:val="nil"/>
              <w:bottom w:val="single" w:sz="8" w:space="0" w:color="000000"/>
              <w:right w:val="nil"/>
            </w:tcBorders>
            <w:vAlign w:val="center"/>
            <w:hideMark/>
          </w:tcPr>
          <w:p w14:paraId="39F0C714"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nil"/>
              <w:right w:val="nil"/>
            </w:tcBorders>
            <w:shd w:val="clear" w:color="auto" w:fill="auto"/>
            <w:noWrap/>
            <w:vAlign w:val="center"/>
            <w:hideMark/>
          </w:tcPr>
          <w:p w14:paraId="6512141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40-60</w:t>
            </w:r>
          </w:p>
        </w:tc>
        <w:tc>
          <w:tcPr>
            <w:tcW w:w="567" w:type="dxa"/>
            <w:tcBorders>
              <w:top w:val="nil"/>
              <w:left w:val="nil"/>
              <w:bottom w:val="nil"/>
              <w:right w:val="nil"/>
            </w:tcBorders>
            <w:shd w:val="clear" w:color="auto" w:fill="auto"/>
            <w:noWrap/>
            <w:vAlign w:val="center"/>
            <w:hideMark/>
          </w:tcPr>
          <w:p w14:paraId="0198CD29"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nil"/>
              <w:right w:val="nil"/>
            </w:tcBorders>
            <w:shd w:val="clear" w:color="auto" w:fill="auto"/>
            <w:noWrap/>
            <w:vAlign w:val="center"/>
            <w:hideMark/>
          </w:tcPr>
          <w:p w14:paraId="5E03507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0.84</w:t>
            </w:r>
            <w:r w:rsidRPr="00851C48">
              <w:rPr>
                <w:rFonts w:ascii="等线" w:eastAsia="等线" w:hAnsi="等线" w:hint="eastAsia"/>
                <w:color w:val="000000"/>
                <w:kern w:val="0"/>
                <w:sz w:val="21"/>
                <w:szCs w:val="21"/>
              </w:rPr>
              <w:t>±</w:t>
            </w:r>
            <w:r w:rsidRPr="00851C48">
              <w:rPr>
                <w:rFonts w:eastAsia="等线"/>
                <w:color w:val="000000"/>
                <w:kern w:val="0"/>
                <w:sz w:val="21"/>
                <w:szCs w:val="21"/>
              </w:rPr>
              <w:t>0.31 a</w:t>
            </w:r>
          </w:p>
        </w:tc>
        <w:tc>
          <w:tcPr>
            <w:tcW w:w="567" w:type="dxa"/>
            <w:tcBorders>
              <w:top w:val="nil"/>
              <w:left w:val="nil"/>
              <w:bottom w:val="nil"/>
              <w:right w:val="nil"/>
            </w:tcBorders>
            <w:shd w:val="clear" w:color="auto" w:fill="auto"/>
            <w:noWrap/>
            <w:vAlign w:val="center"/>
            <w:hideMark/>
          </w:tcPr>
          <w:p w14:paraId="4032FCB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7F16A83C"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0.98</w:t>
            </w:r>
            <w:r w:rsidRPr="00851C48">
              <w:rPr>
                <w:rFonts w:ascii="等线" w:eastAsia="等线" w:hAnsi="等线" w:hint="eastAsia"/>
                <w:color w:val="000000"/>
                <w:kern w:val="0"/>
                <w:sz w:val="21"/>
                <w:szCs w:val="21"/>
              </w:rPr>
              <w:t>±</w:t>
            </w:r>
            <w:r w:rsidRPr="00851C48">
              <w:rPr>
                <w:rFonts w:eastAsia="等线"/>
                <w:color w:val="000000"/>
                <w:kern w:val="0"/>
                <w:sz w:val="21"/>
                <w:szCs w:val="21"/>
              </w:rPr>
              <w:t>0.28 a</w:t>
            </w:r>
          </w:p>
        </w:tc>
        <w:tc>
          <w:tcPr>
            <w:tcW w:w="567" w:type="dxa"/>
            <w:tcBorders>
              <w:top w:val="nil"/>
              <w:left w:val="nil"/>
              <w:bottom w:val="nil"/>
              <w:right w:val="nil"/>
            </w:tcBorders>
            <w:shd w:val="clear" w:color="auto" w:fill="auto"/>
            <w:noWrap/>
            <w:vAlign w:val="center"/>
            <w:hideMark/>
          </w:tcPr>
          <w:p w14:paraId="2341143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nil"/>
              <w:right w:val="single" w:sz="4" w:space="0" w:color="auto"/>
            </w:tcBorders>
            <w:shd w:val="clear" w:color="auto" w:fill="auto"/>
            <w:noWrap/>
            <w:vAlign w:val="center"/>
            <w:hideMark/>
          </w:tcPr>
          <w:p w14:paraId="12B2272E"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0.88</w:t>
            </w:r>
            <w:r w:rsidRPr="00851C48">
              <w:rPr>
                <w:rFonts w:ascii="等线" w:eastAsia="等线" w:hAnsi="等线" w:hint="eastAsia"/>
                <w:color w:val="000000"/>
                <w:kern w:val="0"/>
                <w:sz w:val="21"/>
                <w:szCs w:val="21"/>
              </w:rPr>
              <w:t>±</w:t>
            </w:r>
            <w:r w:rsidRPr="00851C48">
              <w:rPr>
                <w:rFonts w:eastAsia="等线"/>
                <w:color w:val="000000"/>
                <w:kern w:val="0"/>
                <w:sz w:val="21"/>
                <w:szCs w:val="21"/>
              </w:rPr>
              <w:t>0.42 a</w:t>
            </w:r>
          </w:p>
        </w:tc>
        <w:tc>
          <w:tcPr>
            <w:tcW w:w="567" w:type="dxa"/>
            <w:tcBorders>
              <w:top w:val="nil"/>
              <w:left w:val="single" w:sz="4" w:space="0" w:color="auto"/>
              <w:bottom w:val="nil"/>
              <w:right w:val="nil"/>
            </w:tcBorders>
            <w:shd w:val="clear" w:color="auto" w:fill="auto"/>
            <w:noWrap/>
            <w:vAlign w:val="center"/>
            <w:hideMark/>
          </w:tcPr>
          <w:p w14:paraId="5795B9F8"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nil"/>
              <w:right w:val="nil"/>
            </w:tcBorders>
            <w:shd w:val="clear" w:color="auto" w:fill="auto"/>
            <w:noWrap/>
            <w:vAlign w:val="center"/>
            <w:hideMark/>
          </w:tcPr>
          <w:p w14:paraId="260C4A0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7.75±2.34 a</w:t>
            </w:r>
          </w:p>
        </w:tc>
        <w:tc>
          <w:tcPr>
            <w:tcW w:w="567" w:type="dxa"/>
            <w:tcBorders>
              <w:top w:val="nil"/>
              <w:left w:val="nil"/>
              <w:bottom w:val="nil"/>
              <w:right w:val="nil"/>
            </w:tcBorders>
            <w:shd w:val="clear" w:color="auto" w:fill="auto"/>
            <w:noWrap/>
            <w:vAlign w:val="center"/>
            <w:hideMark/>
          </w:tcPr>
          <w:p w14:paraId="40805D0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w:t>
            </w:r>
          </w:p>
        </w:tc>
        <w:tc>
          <w:tcPr>
            <w:tcW w:w="2126" w:type="dxa"/>
            <w:tcBorders>
              <w:top w:val="nil"/>
              <w:left w:val="nil"/>
              <w:bottom w:val="nil"/>
              <w:right w:val="nil"/>
            </w:tcBorders>
            <w:shd w:val="clear" w:color="auto" w:fill="auto"/>
            <w:noWrap/>
            <w:vAlign w:val="center"/>
            <w:hideMark/>
          </w:tcPr>
          <w:p w14:paraId="177D029A"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1.80±2.02 b</w:t>
            </w:r>
          </w:p>
        </w:tc>
      </w:tr>
      <w:tr w:rsidR="00BD673C" w:rsidRPr="00851C48" w14:paraId="71CFAC72" w14:textId="77777777" w:rsidTr="00A74D12">
        <w:trPr>
          <w:trHeight w:val="300"/>
        </w:trPr>
        <w:tc>
          <w:tcPr>
            <w:tcW w:w="942" w:type="dxa"/>
            <w:vMerge/>
            <w:tcBorders>
              <w:top w:val="nil"/>
              <w:left w:val="nil"/>
              <w:bottom w:val="single" w:sz="8" w:space="0" w:color="000000"/>
              <w:right w:val="nil"/>
            </w:tcBorders>
            <w:vAlign w:val="center"/>
            <w:hideMark/>
          </w:tcPr>
          <w:p w14:paraId="7FD6C2F2" w14:textId="77777777" w:rsidR="00BD673C" w:rsidRPr="00851C48" w:rsidRDefault="00BD673C" w:rsidP="00A74D12">
            <w:pPr>
              <w:widowControl/>
              <w:spacing w:line="240" w:lineRule="auto"/>
              <w:jc w:val="left"/>
              <w:rPr>
                <w:rFonts w:eastAsia="等线"/>
                <w:color w:val="000000"/>
                <w:kern w:val="0"/>
                <w:sz w:val="21"/>
                <w:szCs w:val="21"/>
              </w:rPr>
            </w:pPr>
          </w:p>
        </w:tc>
        <w:tc>
          <w:tcPr>
            <w:tcW w:w="901" w:type="dxa"/>
            <w:tcBorders>
              <w:top w:val="nil"/>
              <w:left w:val="nil"/>
              <w:bottom w:val="single" w:sz="8" w:space="0" w:color="auto"/>
              <w:right w:val="nil"/>
            </w:tcBorders>
            <w:shd w:val="clear" w:color="auto" w:fill="auto"/>
            <w:noWrap/>
            <w:vAlign w:val="center"/>
            <w:hideMark/>
          </w:tcPr>
          <w:p w14:paraId="6D01C4E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60-100</w:t>
            </w:r>
          </w:p>
        </w:tc>
        <w:tc>
          <w:tcPr>
            <w:tcW w:w="567" w:type="dxa"/>
            <w:tcBorders>
              <w:top w:val="nil"/>
              <w:left w:val="nil"/>
              <w:bottom w:val="single" w:sz="8" w:space="0" w:color="auto"/>
              <w:right w:val="nil"/>
            </w:tcBorders>
            <w:shd w:val="clear" w:color="auto" w:fill="auto"/>
            <w:noWrap/>
            <w:vAlign w:val="center"/>
            <w:hideMark/>
          </w:tcPr>
          <w:p w14:paraId="77ECEAF3"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701" w:type="dxa"/>
            <w:tcBorders>
              <w:top w:val="nil"/>
              <w:left w:val="nil"/>
              <w:bottom w:val="single" w:sz="8" w:space="0" w:color="auto"/>
              <w:right w:val="nil"/>
            </w:tcBorders>
            <w:shd w:val="clear" w:color="auto" w:fill="auto"/>
            <w:noWrap/>
            <w:vAlign w:val="center"/>
            <w:hideMark/>
          </w:tcPr>
          <w:p w14:paraId="56FE5C4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0.75</w:t>
            </w:r>
            <w:r w:rsidRPr="00851C48">
              <w:rPr>
                <w:rFonts w:ascii="等线" w:eastAsia="等线" w:hAnsi="等线" w:hint="eastAsia"/>
                <w:color w:val="000000"/>
                <w:kern w:val="0"/>
                <w:sz w:val="21"/>
                <w:szCs w:val="21"/>
              </w:rPr>
              <w:t>±</w:t>
            </w:r>
            <w:r w:rsidRPr="00851C48">
              <w:rPr>
                <w:rFonts w:eastAsia="等线"/>
                <w:color w:val="000000"/>
                <w:kern w:val="0"/>
                <w:sz w:val="21"/>
                <w:szCs w:val="21"/>
              </w:rPr>
              <w:t>0.30 a</w:t>
            </w:r>
          </w:p>
        </w:tc>
        <w:tc>
          <w:tcPr>
            <w:tcW w:w="567" w:type="dxa"/>
            <w:tcBorders>
              <w:top w:val="nil"/>
              <w:left w:val="nil"/>
              <w:bottom w:val="single" w:sz="8" w:space="0" w:color="auto"/>
              <w:right w:val="nil"/>
            </w:tcBorders>
            <w:shd w:val="clear" w:color="auto" w:fill="auto"/>
            <w:noWrap/>
            <w:vAlign w:val="center"/>
            <w:hideMark/>
          </w:tcPr>
          <w:p w14:paraId="7727985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single" w:sz="8" w:space="0" w:color="auto"/>
              <w:right w:val="nil"/>
            </w:tcBorders>
            <w:shd w:val="clear" w:color="auto" w:fill="auto"/>
            <w:noWrap/>
            <w:vAlign w:val="center"/>
            <w:hideMark/>
          </w:tcPr>
          <w:p w14:paraId="450D0FE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0.99</w:t>
            </w:r>
            <w:r w:rsidRPr="00851C48">
              <w:rPr>
                <w:rFonts w:ascii="等线" w:eastAsia="等线" w:hAnsi="等线" w:hint="eastAsia"/>
                <w:color w:val="000000"/>
                <w:kern w:val="0"/>
                <w:sz w:val="21"/>
                <w:szCs w:val="21"/>
              </w:rPr>
              <w:t>±</w:t>
            </w:r>
            <w:r w:rsidRPr="00851C48">
              <w:rPr>
                <w:rFonts w:eastAsia="等线"/>
                <w:color w:val="000000"/>
                <w:kern w:val="0"/>
                <w:sz w:val="21"/>
                <w:szCs w:val="21"/>
              </w:rPr>
              <w:t>0.23 a</w:t>
            </w:r>
          </w:p>
        </w:tc>
        <w:tc>
          <w:tcPr>
            <w:tcW w:w="567" w:type="dxa"/>
            <w:tcBorders>
              <w:top w:val="nil"/>
              <w:left w:val="nil"/>
              <w:bottom w:val="single" w:sz="8" w:space="0" w:color="auto"/>
              <w:right w:val="nil"/>
            </w:tcBorders>
            <w:shd w:val="clear" w:color="auto" w:fill="auto"/>
            <w:noWrap/>
            <w:vAlign w:val="center"/>
            <w:hideMark/>
          </w:tcPr>
          <w:p w14:paraId="2129303F"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60" w:type="dxa"/>
            <w:tcBorders>
              <w:top w:val="nil"/>
              <w:left w:val="nil"/>
              <w:bottom w:val="single" w:sz="8" w:space="0" w:color="auto"/>
              <w:right w:val="single" w:sz="4" w:space="0" w:color="auto"/>
            </w:tcBorders>
            <w:shd w:val="clear" w:color="auto" w:fill="auto"/>
            <w:noWrap/>
            <w:vAlign w:val="center"/>
            <w:hideMark/>
          </w:tcPr>
          <w:p w14:paraId="442CB45B"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0.81</w:t>
            </w:r>
            <w:r w:rsidRPr="00851C48">
              <w:rPr>
                <w:rFonts w:ascii="等线" w:eastAsia="等线" w:hAnsi="等线" w:hint="eastAsia"/>
                <w:color w:val="000000"/>
                <w:kern w:val="0"/>
                <w:sz w:val="21"/>
                <w:szCs w:val="21"/>
              </w:rPr>
              <w:t>±</w:t>
            </w:r>
            <w:r w:rsidRPr="00851C48">
              <w:rPr>
                <w:rFonts w:eastAsia="等线"/>
                <w:color w:val="000000"/>
                <w:kern w:val="0"/>
                <w:sz w:val="21"/>
                <w:szCs w:val="21"/>
              </w:rPr>
              <w:t>0.33 a</w:t>
            </w:r>
          </w:p>
        </w:tc>
        <w:tc>
          <w:tcPr>
            <w:tcW w:w="567" w:type="dxa"/>
            <w:tcBorders>
              <w:top w:val="nil"/>
              <w:left w:val="single" w:sz="4" w:space="0" w:color="auto"/>
              <w:bottom w:val="single" w:sz="8" w:space="0" w:color="auto"/>
              <w:right w:val="nil"/>
            </w:tcBorders>
            <w:shd w:val="clear" w:color="auto" w:fill="auto"/>
            <w:noWrap/>
            <w:vAlign w:val="center"/>
            <w:hideMark/>
          </w:tcPr>
          <w:p w14:paraId="020FEE3D"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9</w:t>
            </w:r>
          </w:p>
        </w:tc>
        <w:tc>
          <w:tcPr>
            <w:tcW w:w="1559" w:type="dxa"/>
            <w:tcBorders>
              <w:top w:val="nil"/>
              <w:left w:val="nil"/>
              <w:bottom w:val="single" w:sz="8" w:space="0" w:color="auto"/>
              <w:right w:val="nil"/>
            </w:tcBorders>
            <w:shd w:val="clear" w:color="auto" w:fill="auto"/>
            <w:noWrap/>
            <w:vAlign w:val="center"/>
            <w:hideMark/>
          </w:tcPr>
          <w:p w14:paraId="38335235"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13.55±5.25 a</w:t>
            </w:r>
          </w:p>
        </w:tc>
        <w:tc>
          <w:tcPr>
            <w:tcW w:w="567" w:type="dxa"/>
            <w:tcBorders>
              <w:top w:val="nil"/>
              <w:left w:val="nil"/>
              <w:bottom w:val="single" w:sz="8" w:space="0" w:color="auto"/>
              <w:right w:val="nil"/>
            </w:tcBorders>
            <w:shd w:val="clear" w:color="auto" w:fill="auto"/>
            <w:noWrap/>
            <w:vAlign w:val="center"/>
            <w:hideMark/>
          </w:tcPr>
          <w:p w14:paraId="23E59001"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16</w:t>
            </w:r>
          </w:p>
        </w:tc>
        <w:tc>
          <w:tcPr>
            <w:tcW w:w="2126" w:type="dxa"/>
            <w:tcBorders>
              <w:top w:val="nil"/>
              <w:left w:val="nil"/>
              <w:bottom w:val="single" w:sz="8" w:space="0" w:color="auto"/>
              <w:right w:val="nil"/>
            </w:tcBorders>
            <w:shd w:val="clear" w:color="auto" w:fill="auto"/>
            <w:noWrap/>
            <w:vAlign w:val="center"/>
            <w:hideMark/>
          </w:tcPr>
          <w:p w14:paraId="38D22B30" w14:textId="77777777" w:rsidR="00BD673C" w:rsidRPr="00851C48" w:rsidRDefault="00BD673C" w:rsidP="00A74D12">
            <w:pPr>
              <w:widowControl/>
              <w:spacing w:line="240" w:lineRule="auto"/>
              <w:jc w:val="left"/>
              <w:rPr>
                <w:rFonts w:eastAsia="等线"/>
                <w:color w:val="000000"/>
                <w:kern w:val="0"/>
                <w:sz w:val="21"/>
                <w:szCs w:val="21"/>
              </w:rPr>
            </w:pPr>
            <w:r w:rsidRPr="00851C48">
              <w:rPr>
                <w:rFonts w:eastAsia="等线"/>
                <w:color w:val="000000"/>
                <w:kern w:val="0"/>
                <w:sz w:val="21"/>
                <w:szCs w:val="21"/>
              </w:rPr>
              <w:t>1.30±1.69 b</w:t>
            </w:r>
          </w:p>
        </w:tc>
      </w:tr>
    </w:tbl>
    <w:p w14:paraId="471793B7" w14:textId="1CACA86D" w:rsidR="00BD673C" w:rsidRDefault="00BD673C" w:rsidP="00A74D12">
      <w:pPr>
        <w:jc w:val="left"/>
        <w:rPr>
          <w:sz w:val="21"/>
          <w:szCs w:val="21"/>
        </w:rPr>
        <w:sectPr w:rsidR="00BD673C" w:rsidSect="00A74D12">
          <w:pgSz w:w="16838" w:h="11906" w:orient="landscape"/>
          <w:pgMar w:top="1800" w:right="1440" w:bottom="1800" w:left="1440" w:header="851" w:footer="992" w:gutter="0"/>
          <w:lnNumType w:countBy="1" w:restart="continuous"/>
          <w:cols w:space="425"/>
          <w:docGrid w:type="lines" w:linePitch="326"/>
        </w:sectPr>
      </w:pPr>
      <w:r w:rsidRPr="007E5B44">
        <w:rPr>
          <w:sz w:val="21"/>
          <w:szCs w:val="21"/>
        </w:rPr>
        <w:t>Notes: Soil properties include soil pH, bulk density (BD),</w:t>
      </w:r>
      <w:r>
        <w:rPr>
          <w:sz w:val="21"/>
          <w:szCs w:val="21"/>
        </w:rPr>
        <w:t xml:space="preserve"> </w:t>
      </w:r>
      <w:r w:rsidRPr="007E5B44">
        <w:rPr>
          <w:sz w:val="21"/>
          <w:szCs w:val="21"/>
        </w:rPr>
        <w:t xml:space="preserve">organic matter (OM), total nitrogen (TN), total phosphorus (TP), and total potassium (TK) contents, and </w:t>
      </w:r>
      <w:r>
        <w:rPr>
          <w:sz w:val="21"/>
          <w:szCs w:val="21"/>
        </w:rPr>
        <w:t xml:space="preserve">the </w:t>
      </w:r>
      <w:r w:rsidRPr="007E5B44">
        <w:rPr>
          <w:sz w:val="21"/>
          <w:szCs w:val="21"/>
        </w:rPr>
        <w:t>ratio of silt+clay (SC). Means (± standard error) followed by the same letters indicate insignificant difference</w:t>
      </w:r>
      <w:r>
        <w:rPr>
          <w:sz w:val="21"/>
          <w:szCs w:val="21"/>
        </w:rPr>
        <w:t>s</w:t>
      </w:r>
      <w:r w:rsidRPr="007E5B44">
        <w:rPr>
          <w:sz w:val="21"/>
          <w:szCs w:val="21"/>
        </w:rPr>
        <w:t xml:space="preserve"> among the sandy steppe, fixed dune and moving dune</w:t>
      </w:r>
      <w:r>
        <w:rPr>
          <w:sz w:val="21"/>
          <w:szCs w:val="21"/>
        </w:rPr>
        <w:t>,</w:t>
      </w:r>
      <w:r w:rsidRPr="007E5B44">
        <w:rPr>
          <w:sz w:val="21"/>
          <w:szCs w:val="21"/>
        </w:rPr>
        <w:t xml:space="preserve"> </w:t>
      </w:r>
      <w:r>
        <w:rPr>
          <w:sz w:val="21"/>
          <w:szCs w:val="21"/>
        </w:rPr>
        <w:t xml:space="preserve">and among the natural vegetation </w:t>
      </w:r>
      <w:r w:rsidRPr="007E5B44">
        <w:rPr>
          <w:sz w:val="21"/>
          <w:szCs w:val="21"/>
        </w:rPr>
        <w:t xml:space="preserve">and artificial </w:t>
      </w:r>
      <w:r>
        <w:rPr>
          <w:sz w:val="21"/>
          <w:szCs w:val="21"/>
        </w:rPr>
        <w:t xml:space="preserve">vegetation </w:t>
      </w:r>
      <w:r w:rsidRPr="007E5B44">
        <w:rPr>
          <w:sz w:val="21"/>
          <w:szCs w:val="21"/>
        </w:rPr>
        <w:t>at p&gt;0.05. N is the replication</w:t>
      </w:r>
      <w:r>
        <w:rPr>
          <w:sz w:val="21"/>
          <w:szCs w:val="21"/>
        </w:rPr>
        <w:t>.</w:t>
      </w:r>
    </w:p>
    <w:p w14:paraId="6E8AA886" w14:textId="26C63125" w:rsidR="00BD673C" w:rsidRDefault="00BD673C" w:rsidP="00A74D12">
      <w:pPr>
        <w:jc w:val="left"/>
        <w:rPr>
          <w:kern w:val="0"/>
          <w:sz w:val="21"/>
          <w:szCs w:val="21"/>
        </w:rPr>
      </w:pPr>
      <w:r>
        <w:rPr>
          <w:b/>
          <w:sz w:val="21"/>
          <w:szCs w:val="21"/>
        </w:rPr>
        <w:lastRenderedPageBreak/>
        <w:t>Table 2</w:t>
      </w:r>
      <w:r w:rsidRPr="007E5B44">
        <w:rPr>
          <w:b/>
          <w:sz w:val="21"/>
          <w:szCs w:val="21"/>
        </w:rPr>
        <w:t>.</w:t>
      </w:r>
      <w:r w:rsidRPr="007E5B44">
        <w:rPr>
          <w:sz w:val="21"/>
          <w:szCs w:val="21"/>
        </w:rPr>
        <w:t xml:space="preserve"> Comparisons of vegetation attributes (mean</w:t>
      </w:r>
      <w:r w:rsidRPr="007E5B44">
        <w:rPr>
          <w:rFonts w:hint="eastAsia"/>
          <w:sz w:val="21"/>
          <w:szCs w:val="21"/>
        </w:rPr>
        <w:t>±</w:t>
      </w:r>
      <w:r w:rsidRPr="007E5B44">
        <w:rPr>
          <w:sz w:val="21"/>
          <w:szCs w:val="21"/>
        </w:rPr>
        <w:t xml:space="preserve">standard error) for the sandy steppe, fixed dune and moving dune in the semi-arid desert of Horqin </w:t>
      </w:r>
      <w:r w:rsidRPr="007E5B44">
        <w:rPr>
          <w:kern w:val="0"/>
          <w:sz w:val="21"/>
          <w:szCs w:val="21"/>
        </w:rPr>
        <w:t>Desert (NMD)</w:t>
      </w:r>
      <w:r>
        <w:rPr>
          <w:kern w:val="0"/>
          <w:sz w:val="21"/>
          <w:szCs w:val="21"/>
        </w:rPr>
        <w:t xml:space="preserve">, and </w:t>
      </w:r>
      <w:r w:rsidRPr="007E5B44">
        <w:rPr>
          <w:sz w:val="21"/>
          <w:szCs w:val="21"/>
        </w:rPr>
        <w:t>for the natural vegetation and artificial vegetation in the arid desert of Tenger Desert (SPD)</w:t>
      </w:r>
    </w:p>
    <w:tbl>
      <w:tblPr>
        <w:tblW w:w="5000" w:type="pct"/>
        <w:tblLayout w:type="fixed"/>
        <w:tblLook w:val="04A0" w:firstRow="1" w:lastRow="0" w:firstColumn="1" w:lastColumn="0" w:noHBand="0" w:noVBand="1"/>
      </w:tblPr>
      <w:tblGrid>
        <w:gridCol w:w="1275"/>
        <w:gridCol w:w="1984"/>
        <w:gridCol w:w="566"/>
        <w:gridCol w:w="1561"/>
        <w:gridCol w:w="567"/>
        <w:gridCol w:w="1558"/>
        <w:gridCol w:w="567"/>
        <w:gridCol w:w="1566"/>
        <w:gridCol w:w="567"/>
        <w:gridCol w:w="1558"/>
        <w:gridCol w:w="712"/>
        <w:gridCol w:w="1477"/>
      </w:tblGrid>
      <w:tr w:rsidR="00BD673C" w:rsidRPr="005E32AD" w14:paraId="17CA8851" w14:textId="77777777" w:rsidTr="00A74D12">
        <w:trPr>
          <w:trHeight w:val="300"/>
        </w:trPr>
        <w:tc>
          <w:tcPr>
            <w:tcW w:w="457" w:type="pct"/>
            <w:vMerge w:val="restart"/>
            <w:tcBorders>
              <w:top w:val="single" w:sz="4" w:space="0" w:color="auto"/>
              <w:left w:val="nil"/>
              <w:right w:val="nil"/>
            </w:tcBorders>
            <w:shd w:val="clear" w:color="auto" w:fill="auto"/>
            <w:noWrap/>
            <w:vAlign w:val="center"/>
            <w:hideMark/>
          </w:tcPr>
          <w:p w14:paraId="586FFCBD" w14:textId="77777777" w:rsidR="00BD673C" w:rsidRPr="00DD152D" w:rsidRDefault="00BD673C" w:rsidP="00A74D12">
            <w:pPr>
              <w:spacing w:line="240" w:lineRule="auto"/>
              <w:jc w:val="left"/>
              <w:rPr>
                <w:rFonts w:ascii="Times New Roman" w:eastAsia="宋体" w:hAnsi="Times New Roman" w:cs="Times New Roman"/>
                <w:kern w:val="0"/>
                <w:sz w:val="21"/>
                <w:szCs w:val="21"/>
              </w:rPr>
            </w:pPr>
            <w:r w:rsidRPr="005E32AD">
              <w:rPr>
                <w:rFonts w:eastAsia="等线"/>
                <w:color w:val="000000"/>
                <w:kern w:val="0"/>
                <w:sz w:val="21"/>
                <w:szCs w:val="21"/>
              </w:rPr>
              <w:t>Vegetation type</w:t>
            </w:r>
          </w:p>
        </w:tc>
        <w:tc>
          <w:tcPr>
            <w:tcW w:w="711" w:type="pct"/>
            <w:vMerge w:val="restart"/>
            <w:tcBorders>
              <w:top w:val="single" w:sz="4" w:space="0" w:color="auto"/>
              <w:left w:val="nil"/>
              <w:right w:val="nil"/>
            </w:tcBorders>
            <w:shd w:val="clear" w:color="auto" w:fill="auto"/>
            <w:noWrap/>
            <w:vAlign w:val="center"/>
            <w:hideMark/>
          </w:tcPr>
          <w:p w14:paraId="5B3FB367" w14:textId="77777777" w:rsidR="00BD673C" w:rsidRPr="00DD152D" w:rsidRDefault="00BD673C" w:rsidP="00A74D12">
            <w:pPr>
              <w:spacing w:line="240" w:lineRule="auto"/>
              <w:jc w:val="left"/>
              <w:rPr>
                <w:rFonts w:ascii="Times New Roman" w:eastAsia="Times New Roman" w:hAnsi="Times New Roman" w:cs="Times New Roman"/>
                <w:kern w:val="0"/>
                <w:sz w:val="21"/>
                <w:szCs w:val="21"/>
              </w:rPr>
            </w:pPr>
            <w:r w:rsidRPr="005E32AD">
              <w:rPr>
                <w:rFonts w:eastAsia="等线"/>
                <w:color w:val="000000"/>
                <w:kern w:val="0"/>
                <w:sz w:val="21"/>
                <w:szCs w:val="21"/>
              </w:rPr>
              <w:t>Attribute</w:t>
            </w:r>
          </w:p>
        </w:tc>
        <w:tc>
          <w:tcPr>
            <w:tcW w:w="2287" w:type="pct"/>
            <w:gridSpan w:val="6"/>
            <w:tcBorders>
              <w:top w:val="single" w:sz="4" w:space="0" w:color="auto"/>
              <w:left w:val="nil"/>
              <w:bottom w:val="single" w:sz="8" w:space="0" w:color="auto"/>
              <w:right w:val="single" w:sz="4" w:space="0" w:color="auto"/>
            </w:tcBorders>
            <w:shd w:val="clear" w:color="auto" w:fill="auto"/>
            <w:noWrap/>
            <w:vAlign w:val="center"/>
            <w:hideMark/>
          </w:tcPr>
          <w:p w14:paraId="35D260F8" w14:textId="77777777" w:rsidR="00BD673C" w:rsidRPr="00DD152D" w:rsidRDefault="00BD673C" w:rsidP="00A74D12">
            <w:pPr>
              <w:widowControl/>
              <w:spacing w:line="240" w:lineRule="auto"/>
              <w:jc w:val="center"/>
              <w:rPr>
                <w:rFonts w:eastAsia="等线"/>
                <w:color w:val="000000"/>
                <w:kern w:val="0"/>
                <w:sz w:val="21"/>
                <w:szCs w:val="21"/>
              </w:rPr>
            </w:pPr>
            <w:r w:rsidRPr="00DD152D">
              <w:rPr>
                <w:rFonts w:eastAsia="等线"/>
                <w:color w:val="000000"/>
                <w:kern w:val="0"/>
                <w:sz w:val="21"/>
                <w:szCs w:val="21"/>
              </w:rPr>
              <w:t>NMD</w:t>
            </w:r>
          </w:p>
        </w:tc>
        <w:tc>
          <w:tcPr>
            <w:tcW w:w="1545" w:type="pct"/>
            <w:gridSpan w:val="4"/>
            <w:tcBorders>
              <w:top w:val="single" w:sz="4" w:space="0" w:color="auto"/>
              <w:left w:val="single" w:sz="4" w:space="0" w:color="auto"/>
              <w:bottom w:val="single" w:sz="8" w:space="0" w:color="auto"/>
              <w:right w:val="nil"/>
            </w:tcBorders>
            <w:shd w:val="clear" w:color="auto" w:fill="auto"/>
            <w:noWrap/>
            <w:vAlign w:val="center"/>
            <w:hideMark/>
          </w:tcPr>
          <w:p w14:paraId="62DEC8CF" w14:textId="77777777" w:rsidR="00BD673C" w:rsidRPr="00DD152D" w:rsidRDefault="00BD673C" w:rsidP="00A74D12">
            <w:pPr>
              <w:widowControl/>
              <w:spacing w:line="240" w:lineRule="auto"/>
              <w:jc w:val="center"/>
              <w:rPr>
                <w:rFonts w:eastAsia="等线"/>
                <w:color w:val="000000"/>
                <w:kern w:val="0"/>
                <w:sz w:val="21"/>
                <w:szCs w:val="21"/>
              </w:rPr>
            </w:pPr>
            <w:r w:rsidRPr="00DD152D">
              <w:rPr>
                <w:rFonts w:eastAsia="等线"/>
                <w:color w:val="000000"/>
                <w:kern w:val="0"/>
                <w:sz w:val="21"/>
                <w:szCs w:val="21"/>
              </w:rPr>
              <w:t>SPD</w:t>
            </w:r>
          </w:p>
        </w:tc>
      </w:tr>
      <w:tr w:rsidR="00BD673C" w:rsidRPr="005E32AD" w14:paraId="0CFF6448" w14:textId="77777777" w:rsidTr="00A74D12">
        <w:trPr>
          <w:trHeight w:val="300"/>
        </w:trPr>
        <w:tc>
          <w:tcPr>
            <w:tcW w:w="457" w:type="pct"/>
            <w:vMerge/>
            <w:tcBorders>
              <w:left w:val="nil"/>
              <w:right w:val="nil"/>
            </w:tcBorders>
            <w:shd w:val="clear" w:color="auto" w:fill="auto"/>
            <w:noWrap/>
            <w:vAlign w:val="center"/>
            <w:hideMark/>
          </w:tcPr>
          <w:p w14:paraId="4FDC3A1B"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vMerge/>
            <w:tcBorders>
              <w:left w:val="nil"/>
              <w:right w:val="nil"/>
            </w:tcBorders>
            <w:shd w:val="clear" w:color="auto" w:fill="auto"/>
            <w:noWrap/>
            <w:vAlign w:val="center"/>
            <w:hideMark/>
          </w:tcPr>
          <w:p w14:paraId="4EADFDDE" w14:textId="77777777" w:rsidR="00BD673C" w:rsidRPr="005E32AD" w:rsidRDefault="00BD673C" w:rsidP="00A74D12">
            <w:pPr>
              <w:widowControl/>
              <w:spacing w:line="240" w:lineRule="auto"/>
              <w:jc w:val="left"/>
              <w:rPr>
                <w:rFonts w:eastAsia="等线"/>
                <w:color w:val="000000"/>
                <w:kern w:val="0"/>
                <w:sz w:val="21"/>
                <w:szCs w:val="21"/>
              </w:rPr>
            </w:pPr>
          </w:p>
        </w:tc>
        <w:tc>
          <w:tcPr>
            <w:tcW w:w="762" w:type="pct"/>
            <w:gridSpan w:val="2"/>
            <w:tcBorders>
              <w:top w:val="single" w:sz="8" w:space="0" w:color="auto"/>
              <w:left w:val="nil"/>
              <w:bottom w:val="single" w:sz="8" w:space="0" w:color="auto"/>
              <w:right w:val="nil"/>
            </w:tcBorders>
            <w:shd w:val="clear" w:color="auto" w:fill="auto"/>
            <w:noWrap/>
            <w:vAlign w:val="center"/>
            <w:hideMark/>
          </w:tcPr>
          <w:p w14:paraId="03F1023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Sandy steppe</w:t>
            </w:r>
          </w:p>
        </w:tc>
        <w:tc>
          <w:tcPr>
            <w:tcW w:w="761" w:type="pct"/>
            <w:gridSpan w:val="2"/>
            <w:tcBorders>
              <w:top w:val="single" w:sz="8" w:space="0" w:color="auto"/>
              <w:left w:val="nil"/>
              <w:bottom w:val="single" w:sz="8" w:space="0" w:color="auto"/>
              <w:right w:val="nil"/>
            </w:tcBorders>
            <w:shd w:val="clear" w:color="auto" w:fill="auto"/>
            <w:noWrap/>
            <w:vAlign w:val="center"/>
            <w:hideMark/>
          </w:tcPr>
          <w:p w14:paraId="4FEFE12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Fixed dune</w:t>
            </w:r>
          </w:p>
        </w:tc>
        <w:tc>
          <w:tcPr>
            <w:tcW w:w="764" w:type="pct"/>
            <w:gridSpan w:val="2"/>
            <w:tcBorders>
              <w:top w:val="single" w:sz="8" w:space="0" w:color="auto"/>
              <w:left w:val="nil"/>
              <w:bottom w:val="single" w:sz="8" w:space="0" w:color="auto"/>
              <w:right w:val="single" w:sz="4" w:space="0" w:color="auto"/>
            </w:tcBorders>
            <w:shd w:val="clear" w:color="auto" w:fill="auto"/>
            <w:noWrap/>
            <w:vAlign w:val="center"/>
            <w:hideMark/>
          </w:tcPr>
          <w:p w14:paraId="409CC2A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Moving dune</w:t>
            </w:r>
          </w:p>
        </w:tc>
        <w:tc>
          <w:tcPr>
            <w:tcW w:w="761" w:type="pct"/>
            <w:gridSpan w:val="2"/>
            <w:tcBorders>
              <w:top w:val="single" w:sz="8" w:space="0" w:color="auto"/>
              <w:left w:val="single" w:sz="4" w:space="0" w:color="auto"/>
              <w:bottom w:val="single" w:sz="8" w:space="0" w:color="auto"/>
              <w:right w:val="nil"/>
            </w:tcBorders>
            <w:shd w:val="clear" w:color="auto" w:fill="auto"/>
            <w:noWrap/>
            <w:vAlign w:val="center"/>
            <w:hideMark/>
          </w:tcPr>
          <w:p w14:paraId="58E51AD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Natural vegetation</w:t>
            </w:r>
          </w:p>
        </w:tc>
        <w:tc>
          <w:tcPr>
            <w:tcW w:w="784" w:type="pct"/>
            <w:gridSpan w:val="2"/>
            <w:tcBorders>
              <w:top w:val="single" w:sz="8" w:space="0" w:color="auto"/>
              <w:left w:val="nil"/>
              <w:bottom w:val="single" w:sz="8" w:space="0" w:color="auto"/>
              <w:right w:val="nil"/>
            </w:tcBorders>
            <w:shd w:val="clear" w:color="auto" w:fill="auto"/>
            <w:noWrap/>
            <w:vAlign w:val="center"/>
            <w:hideMark/>
          </w:tcPr>
          <w:p w14:paraId="6843D2EB" w14:textId="1C58203A"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Artificial vegetation</w:t>
            </w:r>
          </w:p>
        </w:tc>
      </w:tr>
      <w:tr w:rsidR="00BD673C" w:rsidRPr="005E32AD" w14:paraId="1F8C47AA" w14:textId="77777777" w:rsidTr="00A74D12">
        <w:trPr>
          <w:trHeight w:val="300"/>
        </w:trPr>
        <w:tc>
          <w:tcPr>
            <w:tcW w:w="457" w:type="pct"/>
            <w:vMerge/>
            <w:tcBorders>
              <w:left w:val="nil"/>
              <w:bottom w:val="single" w:sz="8" w:space="0" w:color="000000"/>
              <w:right w:val="nil"/>
            </w:tcBorders>
            <w:vAlign w:val="center"/>
            <w:hideMark/>
          </w:tcPr>
          <w:p w14:paraId="3CB6C8A4"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vMerge/>
            <w:tcBorders>
              <w:left w:val="nil"/>
              <w:bottom w:val="single" w:sz="8" w:space="0" w:color="000000"/>
              <w:right w:val="nil"/>
            </w:tcBorders>
            <w:vAlign w:val="center"/>
            <w:hideMark/>
          </w:tcPr>
          <w:p w14:paraId="4B3C150B"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nil"/>
              <w:bottom w:val="single" w:sz="8" w:space="0" w:color="auto"/>
              <w:right w:val="nil"/>
            </w:tcBorders>
            <w:shd w:val="clear" w:color="auto" w:fill="auto"/>
            <w:noWrap/>
            <w:vAlign w:val="center"/>
            <w:hideMark/>
          </w:tcPr>
          <w:p w14:paraId="5B001C3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N</w:t>
            </w:r>
          </w:p>
        </w:tc>
        <w:tc>
          <w:tcPr>
            <w:tcW w:w="559" w:type="pct"/>
            <w:tcBorders>
              <w:top w:val="nil"/>
              <w:left w:val="nil"/>
              <w:bottom w:val="single" w:sz="8" w:space="0" w:color="auto"/>
              <w:right w:val="nil"/>
            </w:tcBorders>
            <w:shd w:val="clear" w:color="auto" w:fill="auto"/>
            <w:noWrap/>
            <w:vAlign w:val="center"/>
            <w:hideMark/>
          </w:tcPr>
          <w:p w14:paraId="2E464B6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Mean</w:t>
            </w:r>
            <w:r w:rsidRPr="005E32AD">
              <w:rPr>
                <w:rFonts w:ascii="等线" w:eastAsia="等线" w:hAnsi="等线" w:hint="eastAsia"/>
                <w:color w:val="000000"/>
                <w:kern w:val="0"/>
                <w:sz w:val="21"/>
                <w:szCs w:val="21"/>
              </w:rPr>
              <w:t>±</w:t>
            </w:r>
            <w:r w:rsidRPr="005E32AD">
              <w:rPr>
                <w:rFonts w:eastAsia="等线"/>
                <w:color w:val="000000"/>
                <w:kern w:val="0"/>
                <w:sz w:val="21"/>
                <w:szCs w:val="21"/>
              </w:rPr>
              <w:t>standard error</w:t>
            </w:r>
          </w:p>
        </w:tc>
        <w:tc>
          <w:tcPr>
            <w:tcW w:w="203" w:type="pct"/>
            <w:tcBorders>
              <w:top w:val="nil"/>
              <w:left w:val="nil"/>
              <w:bottom w:val="single" w:sz="8" w:space="0" w:color="auto"/>
              <w:right w:val="nil"/>
            </w:tcBorders>
            <w:shd w:val="clear" w:color="auto" w:fill="auto"/>
            <w:noWrap/>
            <w:vAlign w:val="center"/>
            <w:hideMark/>
          </w:tcPr>
          <w:p w14:paraId="59C8ADA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N</w:t>
            </w:r>
          </w:p>
        </w:tc>
        <w:tc>
          <w:tcPr>
            <w:tcW w:w="558" w:type="pct"/>
            <w:tcBorders>
              <w:top w:val="nil"/>
              <w:left w:val="nil"/>
              <w:bottom w:val="single" w:sz="8" w:space="0" w:color="auto"/>
              <w:right w:val="nil"/>
            </w:tcBorders>
            <w:shd w:val="clear" w:color="auto" w:fill="auto"/>
            <w:noWrap/>
            <w:vAlign w:val="center"/>
            <w:hideMark/>
          </w:tcPr>
          <w:p w14:paraId="02BBA33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Mean</w:t>
            </w:r>
            <w:r w:rsidRPr="005E32AD">
              <w:rPr>
                <w:rFonts w:ascii="等线" w:eastAsia="等线" w:hAnsi="等线" w:hint="eastAsia"/>
                <w:color w:val="000000"/>
                <w:kern w:val="0"/>
                <w:sz w:val="21"/>
                <w:szCs w:val="21"/>
              </w:rPr>
              <w:t>±</w:t>
            </w:r>
            <w:r w:rsidRPr="005E32AD">
              <w:rPr>
                <w:rFonts w:eastAsia="等线"/>
                <w:color w:val="000000"/>
                <w:kern w:val="0"/>
                <w:sz w:val="21"/>
                <w:szCs w:val="21"/>
              </w:rPr>
              <w:t>standard error</w:t>
            </w:r>
          </w:p>
        </w:tc>
        <w:tc>
          <w:tcPr>
            <w:tcW w:w="203" w:type="pct"/>
            <w:tcBorders>
              <w:top w:val="nil"/>
              <w:left w:val="nil"/>
              <w:bottom w:val="single" w:sz="8" w:space="0" w:color="auto"/>
              <w:right w:val="nil"/>
            </w:tcBorders>
            <w:shd w:val="clear" w:color="auto" w:fill="auto"/>
            <w:noWrap/>
            <w:vAlign w:val="center"/>
            <w:hideMark/>
          </w:tcPr>
          <w:p w14:paraId="73710E87"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N</w:t>
            </w:r>
          </w:p>
        </w:tc>
        <w:tc>
          <w:tcPr>
            <w:tcW w:w="561" w:type="pct"/>
            <w:tcBorders>
              <w:top w:val="nil"/>
              <w:left w:val="nil"/>
              <w:bottom w:val="single" w:sz="8" w:space="0" w:color="auto"/>
              <w:right w:val="single" w:sz="4" w:space="0" w:color="auto"/>
            </w:tcBorders>
            <w:shd w:val="clear" w:color="auto" w:fill="auto"/>
            <w:noWrap/>
            <w:vAlign w:val="center"/>
            <w:hideMark/>
          </w:tcPr>
          <w:p w14:paraId="53474EE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Mean</w:t>
            </w:r>
            <w:r w:rsidRPr="005E32AD">
              <w:rPr>
                <w:rFonts w:ascii="等线" w:eastAsia="等线" w:hAnsi="等线" w:hint="eastAsia"/>
                <w:color w:val="000000"/>
                <w:kern w:val="0"/>
                <w:sz w:val="21"/>
                <w:szCs w:val="21"/>
              </w:rPr>
              <w:t>±</w:t>
            </w:r>
            <w:r w:rsidRPr="005E32AD">
              <w:rPr>
                <w:rFonts w:eastAsia="等线"/>
                <w:color w:val="000000"/>
                <w:kern w:val="0"/>
                <w:sz w:val="21"/>
                <w:szCs w:val="21"/>
              </w:rPr>
              <w:t>standard error</w:t>
            </w:r>
          </w:p>
        </w:tc>
        <w:tc>
          <w:tcPr>
            <w:tcW w:w="203" w:type="pct"/>
            <w:tcBorders>
              <w:top w:val="nil"/>
              <w:left w:val="single" w:sz="4" w:space="0" w:color="auto"/>
              <w:bottom w:val="single" w:sz="8" w:space="0" w:color="auto"/>
              <w:right w:val="nil"/>
            </w:tcBorders>
            <w:shd w:val="clear" w:color="auto" w:fill="auto"/>
            <w:noWrap/>
            <w:vAlign w:val="center"/>
            <w:hideMark/>
          </w:tcPr>
          <w:p w14:paraId="71ABAAA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N</w:t>
            </w:r>
          </w:p>
        </w:tc>
        <w:tc>
          <w:tcPr>
            <w:tcW w:w="558" w:type="pct"/>
            <w:tcBorders>
              <w:top w:val="nil"/>
              <w:left w:val="nil"/>
              <w:bottom w:val="single" w:sz="8" w:space="0" w:color="auto"/>
              <w:right w:val="nil"/>
            </w:tcBorders>
            <w:shd w:val="clear" w:color="auto" w:fill="auto"/>
            <w:noWrap/>
            <w:vAlign w:val="center"/>
            <w:hideMark/>
          </w:tcPr>
          <w:p w14:paraId="61BE5FE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Mean</w:t>
            </w:r>
            <w:r w:rsidRPr="005E32AD">
              <w:rPr>
                <w:rFonts w:ascii="等线" w:eastAsia="等线" w:hAnsi="等线" w:hint="eastAsia"/>
                <w:color w:val="000000"/>
                <w:kern w:val="0"/>
                <w:sz w:val="21"/>
                <w:szCs w:val="21"/>
              </w:rPr>
              <w:t>±</w:t>
            </w:r>
            <w:r w:rsidRPr="005E32AD">
              <w:rPr>
                <w:rFonts w:eastAsia="等线"/>
                <w:color w:val="000000"/>
                <w:kern w:val="0"/>
                <w:sz w:val="21"/>
                <w:szCs w:val="21"/>
              </w:rPr>
              <w:t>standard error</w:t>
            </w:r>
          </w:p>
        </w:tc>
        <w:tc>
          <w:tcPr>
            <w:tcW w:w="255" w:type="pct"/>
            <w:tcBorders>
              <w:top w:val="nil"/>
              <w:left w:val="nil"/>
              <w:bottom w:val="single" w:sz="8" w:space="0" w:color="auto"/>
              <w:right w:val="nil"/>
            </w:tcBorders>
            <w:shd w:val="clear" w:color="auto" w:fill="auto"/>
            <w:noWrap/>
            <w:vAlign w:val="center"/>
            <w:hideMark/>
          </w:tcPr>
          <w:p w14:paraId="5F71BA0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N</w:t>
            </w:r>
          </w:p>
        </w:tc>
        <w:tc>
          <w:tcPr>
            <w:tcW w:w="529" w:type="pct"/>
            <w:tcBorders>
              <w:top w:val="nil"/>
              <w:left w:val="nil"/>
              <w:bottom w:val="single" w:sz="8" w:space="0" w:color="auto"/>
              <w:right w:val="nil"/>
            </w:tcBorders>
            <w:shd w:val="clear" w:color="auto" w:fill="auto"/>
            <w:noWrap/>
            <w:vAlign w:val="center"/>
            <w:hideMark/>
          </w:tcPr>
          <w:p w14:paraId="28FA25E3"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Mean</w:t>
            </w:r>
            <w:r w:rsidRPr="005E32AD">
              <w:rPr>
                <w:rFonts w:ascii="等线" w:eastAsia="等线" w:hAnsi="等线" w:hint="eastAsia"/>
                <w:color w:val="000000"/>
                <w:kern w:val="0"/>
                <w:sz w:val="21"/>
                <w:szCs w:val="21"/>
              </w:rPr>
              <w:t>±</w:t>
            </w:r>
            <w:r w:rsidRPr="005E32AD">
              <w:rPr>
                <w:rFonts w:eastAsia="等线"/>
                <w:color w:val="000000"/>
                <w:kern w:val="0"/>
                <w:sz w:val="21"/>
                <w:szCs w:val="21"/>
              </w:rPr>
              <w:t>standard error</w:t>
            </w:r>
          </w:p>
        </w:tc>
      </w:tr>
      <w:tr w:rsidR="00BD673C" w:rsidRPr="005E32AD" w14:paraId="19A6704A" w14:textId="77777777" w:rsidTr="00A74D12">
        <w:trPr>
          <w:trHeight w:val="315"/>
        </w:trPr>
        <w:tc>
          <w:tcPr>
            <w:tcW w:w="457" w:type="pct"/>
            <w:vMerge w:val="restart"/>
            <w:tcBorders>
              <w:top w:val="nil"/>
              <w:left w:val="nil"/>
              <w:bottom w:val="nil"/>
              <w:right w:val="nil"/>
            </w:tcBorders>
            <w:shd w:val="clear" w:color="auto" w:fill="auto"/>
            <w:noWrap/>
            <w:vAlign w:val="center"/>
            <w:hideMark/>
          </w:tcPr>
          <w:p w14:paraId="63A6023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Grass</w:t>
            </w:r>
          </w:p>
        </w:tc>
        <w:tc>
          <w:tcPr>
            <w:tcW w:w="711" w:type="pct"/>
            <w:tcBorders>
              <w:top w:val="nil"/>
              <w:left w:val="nil"/>
              <w:bottom w:val="nil"/>
              <w:right w:val="nil"/>
            </w:tcBorders>
            <w:shd w:val="clear" w:color="auto" w:fill="auto"/>
            <w:noWrap/>
            <w:vAlign w:val="center"/>
            <w:hideMark/>
          </w:tcPr>
          <w:p w14:paraId="72AF3644" w14:textId="77777777" w:rsidR="00BD673C" w:rsidRPr="00C205F6" w:rsidRDefault="00BD673C" w:rsidP="00A74D12">
            <w:pPr>
              <w:widowControl/>
              <w:spacing w:line="240" w:lineRule="auto"/>
              <w:jc w:val="left"/>
              <w:rPr>
                <w:rFonts w:eastAsia="等线"/>
                <w:color w:val="000000"/>
                <w:kern w:val="0"/>
                <w:sz w:val="21"/>
                <w:szCs w:val="21"/>
              </w:rPr>
            </w:pPr>
            <w:r w:rsidRPr="00C205F6">
              <w:rPr>
                <w:rFonts w:eastAsia="等线"/>
                <w:color w:val="000000"/>
                <w:kern w:val="0"/>
                <w:sz w:val="21"/>
                <w:szCs w:val="21"/>
              </w:rPr>
              <w:t>Diversity (number of species/m</w:t>
            </w:r>
            <w:r w:rsidRPr="00C205F6">
              <w:rPr>
                <w:rFonts w:eastAsia="等线"/>
                <w:color w:val="000000"/>
                <w:kern w:val="0"/>
                <w:sz w:val="21"/>
                <w:szCs w:val="21"/>
                <w:vertAlign w:val="superscript"/>
              </w:rPr>
              <w:t>2</w:t>
            </w:r>
            <w:r w:rsidRPr="00C205F6">
              <w:rPr>
                <w:rFonts w:eastAsia="等线"/>
                <w:color w:val="000000"/>
                <w:kern w:val="0"/>
                <w:sz w:val="21"/>
                <w:szCs w:val="21"/>
              </w:rPr>
              <w:t>)</w:t>
            </w:r>
          </w:p>
        </w:tc>
        <w:tc>
          <w:tcPr>
            <w:tcW w:w="203" w:type="pct"/>
            <w:tcBorders>
              <w:top w:val="nil"/>
              <w:left w:val="nil"/>
              <w:bottom w:val="nil"/>
              <w:right w:val="nil"/>
            </w:tcBorders>
            <w:shd w:val="clear" w:color="auto" w:fill="auto"/>
            <w:noWrap/>
            <w:vAlign w:val="center"/>
            <w:hideMark/>
          </w:tcPr>
          <w:p w14:paraId="46C1C371" w14:textId="77777777" w:rsidR="00BD673C" w:rsidRPr="00C205F6" w:rsidRDefault="00BD673C" w:rsidP="00A74D12">
            <w:pPr>
              <w:widowControl/>
              <w:spacing w:line="240" w:lineRule="auto"/>
              <w:jc w:val="left"/>
              <w:rPr>
                <w:rFonts w:eastAsia="等线"/>
                <w:color w:val="000000"/>
                <w:kern w:val="0"/>
                <w:sz w:val="21"/>
                <w:szCs w:val="21"/>
              </w:rPr>
            </w:pPr>
            <w:r w:rsidRPr="00C205F6">
              <w:rPr>
                <w:rFonts w:eastAsia="等线"/>
                <w:color w:val="000000"/>
                <w:kern w:val="0"/>
                <w:sz w:val="21"/>
                <w:szCs w:val="21"/>
              </w:rPr>
              <w:t>35</w:t>
            </w:r>
          </w:p>
        </w:tc>
        <w:tc>
          <w:tcPr>
            <w:tcW w:w="559" w:type="pct"/>
            <w:tcBorders>
              <w:top w:val="nil"/>
              <w:left w:val="nil"/>
              <w:bottom w:val="nil"/>
              <w:right w:val="nil"/>
            </w:tcBorders>
            <w:shd w:val="clear" w:color="auto" w:fill="auto"/>
            <w:noWrap/>
            <w:vAlign w:val="center"/>
            <w:hideMark/>
          </w:tcPr>
          <w:p w14:paraId="12739FE5"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5.51</w:t>
            </w:r>
            <w:r w:rsidRPr="00366292">
              <w:rPr>
                <w:rFonts w:ascii="等线" w:eastAsia="等线" w:hAnsi="等线" w:hint="eastAsia"/>
                <w:color w:val="000000"/>
                <w:kern w:val="0"/>
                <w:sz w:val="21"/>
                <w:szCs w:val="21"/>
              </w:rPr>
              <w:t>±</w:t>
            </w:r>
            <w:r w:rsidRPr="00366292">
              <w:rPr>
                <w:rFonts w:eastAsia="等线"/>
                <w:color w:val="000000"/>
                <w:kern w:val="0"/>
                <w:sz w:val="21"/>
                <w:szCs w:val="21"/>
              </w:rPr>
              <w:t>2.19 b</w:t>
            </w:r>
          </w:p>
        </w:tc>
        <w:tc>
          <w:tcPr>
            <w:tcW w:w="203" w:type="pct"/>
            <w:tcBorders>
              <w:top w:val="nil"/>
              <w:left w:val="nil"/>
              <w:bottom w:val="nil"/>
              <w:right w:val="nil"/>
            </w:tcBorders>
            <w:shd w:val="clear" w:color="auto" w:fill="auto"/>
            <w:noWrap/>
            <w:vAlign w:val="center"/>
            <w:hideMark/>
          </w:tcPr>
          <w:p w14:paraId="78C9BF7F"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35</w:t>
            </w:r>
          </w:p>
        </w:tc>
        <w:tc>
          <w:tcPr>
            <w:tcW w:w="558" w:type="pct"/>
            <w:tcBorders>
              <w:top w:val="nil"/>
              <w:left w:val="nil"/>
              <w:bottom w:val="nil"/>
              <w:right w:val="nil"/>
            </w:tcBorders>
            <w:shd w:val="clear" w:color="auto" w:fill="auto"/>
            <w:noWrap/>
            <w:vAlign w:val="center"/>
            <w:hideMark/>
          </w:tcPr>
          <w:p w14:paraId="6EC46AE3"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8.49</w:t>
            </w:r>
            <w:r w:rsidRPr="005E32AD">
              <w:rPr>
                <w:rFonts w:ascii="等线" w:eastAsia="等线" w:hAnsi="等线" w:hint="eastAsia"/>
                <w:color w:val="000000"/>
                <w:kern w:val="0"/>
                <w:sz w:val="21"/>
                <w:szCs w:val="21"/>
              </w:rPr>
              <w:t>±</w:t>
            </w:r>
            <w:r w:rsidRPr="005E32AD">
              <w:rPr>
                <w:rFonts w:eastAsia="等线"/>
                <w:color w:val="000000"/>
                <w:kern w:val="0"/>
                <w:sz w:val="21"/>
                <w:szCs w:val="21"/>
              </w:rPr>
              <w:t>3.36 a</w:t>
            </w:r>
          </w:p>
        </w:tc>
        <w:tc>
          <w:tcPr>
            <w:tcW w:w="203" w:type="pct"/>
            <w:tcBorders>
              <w:top w:val="nil"/>
              <w:left w:val="nil"/>
              <w:bottom w:val="nil"/>
              <w:right w:val="nil"/>
            </w:tcBorders>
            <w:shd w:val="clear" w:color="auto" w:fill="auto"/>
            <w:noWrap/>
            <w:vAlign w:val="center"/>
            <w:hideMark/>
          </w:tcPr>
          <w:p w14:paraId="00457B2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35</w:t>
            </w:r>
          </w:p>
        </w:tc>
        <w:tc>
          <w:tcPr>
            <w:tcW w:w="561" w:type="pct"/>
            <w:tcBorders>
              <w:top w:val="nil"/>
              <w:left w:val="nil"/>
              <w:bottom w:val="nil"/>
              <w:right w:val="single" w:sz="4" w:space="0" w:color="auto"/>
            </w:tcBorders>
            <w:shd w:val="clear" w:color="auto" w:fill="auto"/>
            <w:noWrap/>
            <w:vAlign w:val="center"/>
            <w:hideMark/>
          </w:tcPr>
          <w:p w14:paraId="049173C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5.03</w:t>
            </w:r>
            <w:r w:rsidRPr="005E32AD">
              <w:rPr>
                <w:rFonts w:ascii="等线" w:eastAsia="等线" w:hAnsi="等线" w:hint="eastAsia"/>
                <w:color w:val="000000"/>
                <w:kern w:val="0"/>
                <w:sz w:val="21"/>
                <w:szCs w:val="21"/>
              </w:rPr>
              <w:t>±</w:t>
            </w:r>
            <w:r w:rsidRPr="005E32AD">
              <w:rPr>
                <w:rFonts w:eastAsia="等线"/>
                <w:color w:val="000000"/>
                <w:kern w:val="0"/>
                <w:sz w:val="21"/>
                <w:szCs w:val="21"/>
              </w:rPr>
              <w:t>1.77 b</w:t>
            </w:r>
          </w:p>
        </w:tc>
        <w:tc>
          <w:tcPr>
            <w:tcW w:w="203" w:type="pct"/>
            <w:tcBorders>
              <w:top w:val="nil"/>
              <w:left w:val="single" w:sz="4" w:space="0" w:color="auto"/>
              <w:bottom w:val="nil"/>
              <w:right w:val="nil"/>
            </w:tcBorders>
            <w:shd w:val="clear" w:color="auto" w:fill="auto"/>
            <w:noWrap/>
            <w:vAlign w:val="center"/>
            <w:hideMark/>
          </w:tcPr>
          <w:p w14:paraId="5B13B4D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49</w:t>
            </w:r>
          </w:p>
        </w:tc>
        <w:tc>
          <w:tcPr>
            <w:tcW w:w="558" w:type="pct"/>
            <w:tcBorders>
              <w:top w:val="nil"/>
              <w:left w:val="nil"/>
              <w:bottom w:val="nil"/>
              <w:right w:val="nil"/>
            </w:tcBorders>
            <w:shd w:val="clear" w:color="auto" w:fill="auto"/>
            <w:noWrap/>
            <w:vAlign w:val="center"/>
            <w:hideMark/>
          </w:tcPr>
          <w:p w14:paraId="1E0DADF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4.65±1.61 a</w:t>
            </w:r>
          </w:p>
        </w:tc>
        <w:tc>
          <w:tcPr>
            <w:tcW w:w="255" w:type="pct"/>
            <w:tcBorders>
              <w:top w:val="nil"/>
              <w:left w:val="nil"/>
              <w:bottom w:val="nil"/>
              <w:right w:val="nil"/>
            </w:tcBorders>
            <w:shd w:val="clear" w:color="auto" w:fill="auto"/>
            <w:noWrap/>
            <w:vAlign w:val="center"/>
            <w:hideMark/>
          </w:tcPr>
          <w:p w14:paraId="0DD82BE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96</w:t>
            </w:r>
          </w:p>
        </w:tc>
        <w:tc>
          <w:tcPr>
            <w:tcW w:w="529" w:type="pct"/>
            <w:tcBorders>
              <w:top w:val="nil"/>
              <w:left w:val="nil"/>
              <w:bottom w:val="nil"/>
              <w:right w:val="nil"/>
            </w:tcBorders>
            <w:shd w:val="clear" w:color="auto" w:fill="auto"/>
            <w:noWrap/>
            <w:vAlign w:val="center"/>
            <w:hideMark/>
          </w:tcPr>
          <w:p w14:paraId="3919463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3.28±1.1 b</w:t>
            </w:r>
          </w:p>
        </w:tc>
      </w:tr>
      <w:tr w:rsidR="00BD673C" w:rsidRPr="005E32AD" w14:paraId="08E5F2FE" w14:textId="77777777" w:rsidTr="00A74D12">
        <w:trPr>
          <w:trHeight w:val="315"/>
        </w:trPr>
        <w:tc>
          <w:tcPr>
            <w:tcW w:w="457" w:type="pct"/>
            <w:vMerge/>
            <w:tcBorders>
              <w:top w:val="nil"/>
              <w:left w:val="nil"/>
              <w:bottom w:val="nil"/>
              <w:right w:val="nil"/>
            </w:tcBorders>
            <w:vAlign w:val="center"/>
            <w:hideMark/>
          </w:tcPr>
          <w:p w14:paraId="212E79FC"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0F0A8DBE"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Density (individual/m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nil"/>
              <w:right w:val="nil"/>
            </w:tcBorders>
            <w:shd w:val="clear" w:color="auto" w:fill="auto"/>
            <w:noWrap/>
            <w:vAlign w:val="center"/>
            <w:hideMark/>
          </w:tcPr>
          <w:p w14:paraId="22EC79A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9" w:type="pct"/>
            <w:tcBorders>
              <w:top w:val="nil"/>
              <w:left w:val="nil"/>
              <w:bottom w:val="nil"/>
              <w:right w:val="nil"/>
            </w:tcBorders>
            <w:shd w:val="clear" w:color="auto" w:fill="auto"/>
            <w:noWrap/>
            <w:vAlign w:val="center"/>
            <w:hideMark/>
          </w:tcPr>
          <w:p w14:paraId="6503EE6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199.38</w:t>
            </w:r>
            <w:r w:rsidRPr="005E32AD">
              <w:rPr>
                <w:rFonts w:ascii="等线" w:eastAsia="等线" w:hAnsi="等线" w:hint="eastAsia"/>
                <w:color w:val="000000"/>
                <w:kern w:val="0"/>
                <w:sz w:val="21"/>
                <w:szCs w:val="21"/>
              </w:rPr>
              <w:t>±</w:t>
            </w:r>
            <w:r w:rsidRPr="005E32AD">
              <w:rPr>
                <w:rFonts w:eastAsia="等线"/>
                <w:color w:val="000000"/>
                <w:kern w:val="0"/>
                <w:sz w:val="21"/>
                <w:szCs w:val="21"/>
              </w:rPr>
              <w:t>188.70 a</w:t>
            </w:r>
          </w:p>
        </w:tc>
        <w:tc>
          <w:tcPr>
            <w:tcW w:w="203" w:type="pct"/>
            <w:tcBorders>
              <w:top w:val="nil"/>
              <w:left w:val="nil"/>
              <w:bottom w:val="nil"/>
              <w:right w:val="nil"/>
            </w:tcBorders>
            <w:shd w:val="clear" w:color="auto" w:fill="auto"/>
            <w:noWrap/>
            <w:vAlign w:val="center"/>
            <w:hideMark/>
          </w:tcPr>
          <w:p w14:paraId="62DD02F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8" w:type="pct"/>
            <w:tcBorders>
              <w:top w:val="nil"/>
              <w:left w:val="nil"/>
              <w:bottom w:val="nil"/>
              <w:right w:val="nil"/>
            </w:tcBorders>
            <w:shd w:val="clear" w:color="auto" w:fill="auto"/>
            <w:noWrap/>
            <w:vAlign w:val="center"/>
            <w:hideMark/>
          </w:tcPr>
          <w:p w14:paraId="53C77DA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214.76</w:t>
            </w:r>
            <w:r w:rsidRPr="005E32AD">
              <w:rPr>
                <w:rFonts w:ascii="等线" w:eastAsia="等线" w:hAnsi="等线" w:hint="eastAsia"/>
                <w:color w:val="000000"/>
                <w:kern w:val="0"/>
                <w:sz w:val="21"/>
                <w:szCs w:val="21"/>
              </w:rPr>
              <w:t>±</w:t>
            </w:r>
            <w:r w:rsidRPr="005E32AD">
              <w:rPr>
                <w:rFonts w:eastAsia="等线"/>
                <w:color w:val="000000"/>
                <w:kern w:val="0"/>
                <w:sz w:val="21"/>
                <w:szCs w:val="21"/>
              </w:rPr>
              <w:t>206.30 a</w:t>
            </w:r>
          </w:p>
        </w:tc>
        <w:tc>
          <w:tcPr>
            <w:tcW w:w="203" w:type="pct"/>
            <w:tcBorders>
              <w:top w:val="nil"/>
              <w:left w:val="nil"/>
              <w:bottom w:val="nil"/>
              <w:right w:val="nil"/>
            </w:tcBorders>
            <w:shd w:val="clear" w:color="auto" w:fill="auto"/>
            <w:noWrap/>
            <w:vAlign w:val="center"/>
            <w:hideMark/>
          </w:tcPr>
          <w:p w14:paraId="272BFA7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61" w:type="pct"/>
            <w:tcBorders>
              <w:top w:val="nil"/>
              <w:left w:val="nil"/>
              <w:bottom w:val="nil"/>
              <w:right w:val="single" w:sz="4" w:space="0" w:color="auto"/>
            </w:tcBorders>
            <w:shd w:val="clear" w:color="auto" w:fill="auto"/>
            <w:noWrap/>
            <w:vAlign w:val="center"/>
            <w:hideMark/>
          </w:tcPr>
          <w:p w14:paraId="5D343A5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53.33</w:t>
            </w:r>
            <w:r w:rsidRPr="005E32AD">
              <w:rPr>
                <w:rFonts w:ascii="等线" w:eastAsia="等线" w:hAnsi="等线" w:hint="eastAsia"/>
                <w:color w:val="000000"/>
                <w:kern w:val="0"/>
                <w:sz w:val="21"/>
                <w:szCs w:val="21"/>
              </w:rPr>
              <w:t>±</w:t>
            </w:r>
            <w:r w:rsidRPr="005E32AD">
              <w:rPr>
                <w:rFonts w:eastAsia="等线"/>
                <w:color w:val="000000"/>
                <w:kern w:val="0"/>
                <w:sz w:val="21"/>
                <w:szCs w:val="21"/>
              </w:rPr>
              <w:t>68.47 b</w:t>
            </w:r>
          </w:p>
        </w:tc>
        <w:tc>
          <w:tcPr>
            <w:tcW w:w="203" w:type="pct"/>
            <w:tcBorders>
              <w:top w:val="nil"/>
              <w:left w:val="single" w:sz="4" w:space="0" w:color="auto"/>
              <w:bottom w:val="nil"/>
              <w:right w:val="nil"/>
            </w:tcBorders>
            <w:shd w:val="clear" w:color="auto" w:fill="auto"/>
            <w:noWrap/>
            <w:vAlign w:val="center"/>
            <w:hideMark/>
          </w:tcPr>
          <w:p w14:paraId="37AEDB4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46</w:t>
            </w:r>
          </w:p>
        </w:tc>
        <w:tc>
          <w:tcPr>
            <w:tcW w:w="558" w:type="pct"/>
            <w:tcBorders>
              <w:top w:val="nil"/>
              <w:left w:val="nil"/>
              <w:bottom w:val="nil"/>
              <w:right w:val="nil"/>
            </w:tcBorders>
            <w:shd w:val="clear" w:color="auto" w:fill="auto"/>
            <w:noWrap/>
            <w:vAlign w:val="center"/>
            <w:hideMark/>
          </w:tcPr>
          <w:p w14:paraId="4A1FB53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291.13±435.64 a</w:t>
            </w:r>
          </w:p>
        </w:tc>
        <w:tc>
          <w:tcPr>
            <w:tcW w:w="255" w:type="pct"/>
            <w:tcBorders>
              <w:top w:val="nil"/>
              <w:left w:val="nil"/>
              <w:bottom w:val="nil"/>
              <w:right w:val="nil"/>
            </w:tcBorders>
            <w:shd w:val="clear" w:color="auto" w:fill="auto"/>
            <w:noWrap/>
            <w:vAlign w:val="center"/>
            <w:hideMark/>
          </w:tcPr>
          <w:p w14:paraId="3D78118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93</w:t>
            </w:r>
          </w:p>
        </w:tc>
        <w:tc>
          <w:tcPr>
            <w:tcW w:w="529" w:type="pct"/>
            <w:tcBorders>
              <w:top w:val="nil"/>
              <w:left w:val="nil"/>
              <w:bottom w:val="nil"/>
              <w:right w:val="nil"/>
            </w:tcBorders>
            <w:shd w:val="clear" w:color="auto" w:fill="auto"/>
            <w:noWrap/>
            <w:vAlign w:val="center"/>
            <w:hideMark/>
          </w:tcPr>
          <w:p w14:paraId="4245C01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91.38±96.1 b</w:t>
            </w:r>
          </w:p>
        </w:tc>
      </w:tr>
      <w:tr w:rsidR="00BD673C" w:rsidRPr="005E32AD" w14:paraId="656ACC94" w14:textId="77777777" w:rsidTr="00A74D12">
        <w:trPr>
          <w:trHeight w:val="285"/>
        </w:trPr>
        <w:tc>
          <w:tcPr>
            <w:tcW w:w="457" w:type="pct"/>
            <w:vMerge/>
            <w:tcBorders>
              <w:top w:val="nil"/>
              <w:left w:val="nil"/>
              <w:bottom w:val="nil"/>
              <w:right w:val="nil"/>
            </w:tcBorders>
            <w:vAlign w:val="center"/>
            <w:hideMark/>
          </w:tcPr>
          <w:p w14:paraId="78A7B131"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5445AA7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Height (cm)</w:t>
            </w:r>
          </w:p>
        </w:tc>
        <w:tc>
          <w:tcPr>
            <w:tcW w:w="203" w:type="pct"/>
            <w:tcBorders>
              <w:top w:val="nil"/>
              <w:left w:val="nil"/>
              <w:bottom w:val="nil"/>
              <w:right w:val="nil"/>
            </w:tcBorders>
            <w:shd w:val="clear" w:color="auto" w:fill="auto"/>
            <w:noWrap/>
            <w:vAlign w:val="center"/>
            <w:hideMark/>
          </w:tcPr>
          <w:p w14:paraId="0FA9BF9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9" w:type="pct"/>
            <w:tcBorders>
              <w:top w:val="nil"/>
              <w:left w:val="nil"/>
              <w:bottom w:val="nil"/>
              <w:right w:val="nil"/>
            </w:tcBorders>
            <w:shd w:val="clear" w:color="auto" w:fill="auto"/>
            <w:noWrap/>
            <w:vAlign w:val="center"/>
            <w:hideMark/>
          </w:tcPr>
          <w:p w14:paraId="7E2809A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52.38</w:t>
            </w:r>
            <w:r w:rsidRPr="005E32AD">
              <w:rPr>
                <w:rFonts w:ascii="等线" w:eastAsia="等线" w:hAnsi="等线" w:hint="eastAsia"/>
                <w:color w:val="000000"/>
                <w:kern w:val="0"/>
                <w:sz w:val="21"/>
                <w:szCs w:val="21"/>
              </w:rPr>
              <w:t>±</w:t>
            </w:r>
            <w:r w:rsidRPr="005E32AD">
              <w:rPr>
                <w:rFonts w:eastAsia="等线"/>
                <w:color w:val="000000"/>
                <w:kern w:val="0"/>
                <w:sz w:val="21"/>
                <w:szCs w:val="21"/>
              </w:rPr>
              <w:t>18.84 a</w:t>
            </w:r>
          </w:p>
        </w:tc>
        <w:tc>
          <w:tcPr>
            <w:tcW w:w="203" w:type="pct"/>
            <w:tcBorders>
              <w:top w:val="nil"/>
              <w:left w:val="nil"/>
              <w:bottom w:val="nil"/>
              <w:right w:val="nil"/>
            </w:tcBorders>
            <w:shd w:val="clear" w:color="auto" w:fill="auto"/>
            <w:noWrap/>
            <w:vAlign w:val="center"/>
            <w:hideMark/>
          </w:tcPr>
          <w:p w14:paraId="61081B6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8" w:type="pct"/>
            <w:tcBorders>
              <w:top w:val="nil"/>
              <w:left w:val="nil"/>
              <w:bottom w:val="nil"/>
              <w:right w:val="nil"/>
            </w:tcBorders>
            <w:shd w:val="clear" w:color="auto" w:fill="auto"/>
            <w:noWrap/>
            <w:vAlign w:val="center"/>
            <w:hideMark/>
          </w:tcPr>
          <w:p w14:paraId="0F10D587"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24.94</w:t>
            </w:r>
            <w:r w:rsidRPr="005E32AD">
              <w:rPr>
                <w:rFonts w:ascii="等线" w:eastAsia="等线" w:hAnsi="等线" w:hint="eastAsia"/>
                <w:color w:val="000000"/>
                <w:kern w:val="0"/>
                <w:sz w:val="21"/>
                <w:szCs w:val="21"/>
              </w:rPr>
              <w:t>±</w:t>
            </w:r>
            <w:r w:rsidRPr="005E32AD">
              <w:rPr>
                <w:rFonts w:eastAsia="等线"/>
                <w:color w:val="000000"/>
                <w:kern w:val="0"/>
                <w:sz w:val="21"/>
                <w:szCs w:val="21"/>
              </w:rPr>
              <w:t>13.40 b</w:t>
            </w:r>
          </w:p>
        </w:tc>
        <w:tc>
          <w:tcPr>
            <w:tcW w:w="203" w:type="pct"/>
            <w:tcBorders>
              <w:top w:val="nil"/>
              <w:left w:val="nil"/>
              <w:bottom w:val="nil"/>
              <w:right w:val="nil"/>
            </w:tcBorders>
            <w:shd w:val="clear" w:color="auto" w:fill="auto"/>
            <w:noWrap/>
            <w:vAlign w:val="center"/>
            <w:hideMark/>
          </w:tcPr>
          <w:p w14:paraId="13DC66F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61" w:type="pct"/>
            <w:tcBorders>
              <w:top w:val="nil"/>
              <w:left w:val="nil"/>
              <w:bottom w:val="nil"/>
              <w:right w:val="single" w:sz="4" w:space="0" w:color="auto"/>
            </w:tcBorders>
            <w:shd w:val="clear" w:color="auto" w:fill="auto"/>
            <w:noWrap/>
            <w:vAlign w:val="center"/>
            <w:hideMark/>
          </w:tcPr>
          <w:p w14:paraId="09672A83"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23.31</w:t>
            </w:r>
            <w:r w:rsidRPr="005E32AD">
              <w:rPr>
                <w:rFonts w:ascii="等线" w:eastAsia="等线" w:hAnsi="等线" w:hint="eastAsia"/>
                <w:color w:val="000000"/>
                <w:kern w:val="0"/>
                <w:sz w:val="21"/>
                <w:szCs w:val="21"/>
              </w:rPr>
              <w:t>±</w:t>
            </w:r>
            <w:r w:rsidRPr="005E32AD">
              <w:rPr>
                <w:rFonts w:eastAsia="等线"/>
                <w:color w:val="000000"/>
                <w:kern w:val="0"/>
                <w:sz w:val="21"/>
                <w:szCs w:val="21"/>
              </w:rPr>
              <w:t>21.42 b</w:t>
            </w:r>
          </w:p>
        </w:tc>
        <w:tc>
          <w:tcPr>
            <w:tcW w:w="203" w:type="pct"/>
            <w:tcBorders>
              <w:top w:val="nil"/>
              <w:left w:val="single" w:sz="4" w:space="0" w:color="auto"/>
              <w:bottom w:val="nil"/>
              <w:right w:val="nil"/>
            </w:tcBorders>
            <w:shd w:val="clear" w:color="auto" w:fill="auto"/>
            <w:noWrap/>
            <w:vAlign w:val="center"/>
            <w:hideMark/>
          </w:tcPr>
          <w:p w14:paraId="55D6A513"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46</w:t>
            </w:r>
          </w:p>
        </w:tc>
        <w:tc>
          <w:tcPr>
            <w:tcW w:w="558" w:type="pct"/>
            <w:tcBorders>
              <w:top w:val="nil"/>
              <w:left w:val="nil"/>
              <w:bottom w:val="nil"/>
              <w:right w:val="nil"/>
            </w:tcBorders>
            <w:shd w:val="clear" w:color="auto" w:fill="auto"/>
            <w:noWrap/>
            <w:vAlign w:val="center"/>
            <w:hideMark/>
          </w:tcPr>
          <w:p w14:paraId="2687C0A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9.98±6.35 a</w:t>
            </w:r>
          </w:p>
        </w:tc>
        <w:tc>
          <w:tcPr>
            <w:tcW w:w="255" w:type="pct"/>
            <w:tcBorders>
              <w:top w:val="nil"/>
              <w:left w:val="nil"/>
              <w:bottom w:val="nil"/>
              <w:right w:val="nil"/>
            </w:tcBorders>
            <w:shd w:val="clear" w:color="auto" w:fill="auto"/>
            <w:noWrap/>
            <w:vAlign w:val="center"/>
            <w:hideMark/>
          </w:tcPr>
          <w:p w14:paraId="40F70FC7"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93</w:t>
            </w:r>
          </w:p>
        </w:tc>
        <w:tc>
          <w:tcPr>
            <w:tcW w:w="529" w:type="pct"/>
            <w:tcBorders>
              <w:top w:val="nil"/>
              <w:left w:val="nil"/>
              <w:bottom w:val="nil"/>
              <w:right w:val="nil"/>
            </w:tcBorders>
            <w:shd w:val="clear" w:color="auto" w:fill="auto"/>
            <w:noWrap/>
            <w:vAlign w:val="center"/>
            <w:hideMark/>
          </w:tcPr>
          <w:p w14:paraId="61250CD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7.73±5.17 b</w:t>
            </w:r>
          </w:p>
        </w:tc>
      </w:tr>
      <w:tr w:rsidR="00BD673C" w:rsidRPr="005E32AD" w14:paraId="59D02D76" w14:textId="77777777" w:rsidTr="00A74D12">
        <w:trPr>
          <w:trHeight w:val="285"/>
        </w:trPr>
        <w:tc>
          <w:tcPr>
            <w:tcW w:w="457" w:type="pct"/>
            <w:vMerge/>
            <w:tcBorders>
              <w:top w:val="nil"/>
              <w:left w:val="nil"/>
              <w:bottom w:val="nil"/>
              <w:right w:val="nil"/>
            </w:tcBorders>
            <w:vAlign w:val="center"/>
            <w:hideMark/>
          </w:tcPr>
          <w:p w14:paraId="4D372B3F"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5882F5C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Coverage (%)</w:t>
            </w:r>
          </w:p>
        </w:tc>
        <w:tc>
          <w:tcPr>
            <w:tcW w:w="203" w:type="pct"/>
            <w:tcBorders>
              <w:top w:val="nil"/>
              <w:left w:val="nil"/>
              <w:bottom w:val="nil"/>
              <w:right w:val="nil"/>
            </w:tcBorders>
            <w:shd w:val="clear" w:color="auto" w:fill="auto"/>
            <w:noWrap/>
            <w:vAlign w:val="center"/>
            <w:hideMark/>
          </w:tcPr>
          <w:p w14:paraId="331C216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9" w:type="pct"/>
            <w:tcBorders>
              <w:top w:val="nil"/>
              <w:left w:val="nil"/>
              <w:bottom w:val="nil"/>
              <w:right w:val="nil"/>
            </w:tcBorders>
            <w:shd w:val="clear" w:color="auto" w:fill="auto"/>
            <w:noWrap/>
            <w:vAlign w:val="center"/>
            <w:hideMark/>
          </w:tcPr>
          <w:p w14:paraId="593AFA4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55.78</w:t>
            </w:r>
            <w:r w:rsidRPr="005E32AD">
              <w:rPr>
                <w:rFonts w:ascii="等线" w:eastAsia="等线" w:hAnsi="等线" w:hint="eastAsia"/>
                <w:color w:val="000000"/>
                <w:kern w:val="0"/>
                <w:sz w:val="21"/>
                <w:szCs w:val="21"/>
              </w:rPr>
              <w:t>±</w:t>
            </w:r>
            <w:r w:rsidRPr="005E32AD">
              <w:rPr>
                <w:rFonts w:eastAsia="等线"/>
                <w:color w:val="000000"/>
                <w:kern w:val="0"/>
                <w:sz w:val="21"/>
                <w:szCs w:val="21"/>
              </w:rPr>
              <w:t>10.05 a</w:t>
            </w:r>
          </w:p>
        </w:tc>
        <w:tc>
          <w:tcPr>
            <w:tcW w:w="203" w:type="pct"/>
            <w:tcBorders>
              <w:top w:val="nil"/>
              <w:left w:val="nil"/>
              <w:bottom w:val="nil"/>
              <w:right w:val="nil"/>
            </w:tcBorders>
            <w:shd w:val="clear" w:color="auto" w:fill="auto"/>
            <w:noWrap/>
            <w:vAlign w:val="center"/>
            <w:hideMark/>
          </w:tcPr>
          <w:p w14:paraId="46A18CE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8" w:type="pct"/>
            <w:tcBorders>
              <w:top w:val="nil"/>
              <w:left w:val="nil"/>
              <w:bottom w:val="nil"/>
              <w:right w:val="nil"/>
            </w:tcBorders>
            <w:shd w:val="clear" w:color="auto" w:fill="auto"/>
            <w:noWrap/>
            <w:vAlign w:val="center"/>
            <w:hideMark/>
          </w:tcPr>
          <w:p w14:paraId="3EA667F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47.31</w:t>
            </w:r>
            <w:r w:rsidRPr="005E32AD">
              <w:rPr>
                <w:rFonts w:ascii="等线" w:eastAsia="等线" w:hAnsi="等线" w:hint="eastAsia"/>
                <w:color w:val="000000"/>
                <w:kern w:val="0"/>
                <w:sz w:val="21"/>
                <w:szCs w:val="21"/>
              </w:rPr>
              <w:t>±</w:t>
            </w:r>
            <w:r w:rsidRPr="005E32AD">
              <w:rPr>
                <w:rFonts w:eastAsia="等线"/>
                <w:color w:val="000000"/>
                <w:kern w:val="0"/>
                <w:sz w:val="21"/>
                <w:szCs w:val="21"/>
              </w:rPr>
              <w:t>15.45 b</w:t>
            </w:r>
          </w:p>
        </w:tc>
        <w:tc>
          <w:tcPr>
            <w:tcW w:w="203" w:type="pct"/>
            <w:tcBorders>
              <w:top w:val="nil"/>
              <w:left w:val="nil"/>
              <w:bottom w:val="nil"/>
              <w:right w:val="nil"/>
            </w:tcBorders>
            <w:shd w:val="clear" w:color="auto" w:fill="auto"/>
            <w:noWrap/>
            <w:vAlign w:val="center"/>
            <w:hideMark/>
          </w:tcPr>
          <w:p w14:paraId="10EF022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61" w:type="pct"/>
            <w:tcBorders>
              <w:top w:val="nil"/>
              <w:left w:val="nil"/>
              <w:bottom w:val="nil"/>
              <w:right w:val="single" w:sz="4" w:space="0" w:color="auto"/>
            </w:tcBorders>
            <w:shd w:val="clear" w:color="auto" w:fill="auto"/>
            <w:noWrap/>
            <w:vAlign w:val="center"/>
            <w:hideMark/>
          </w:tcPr>
          <w:p w14:paraId="3C31D447"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19.44</w:t>
            </w:r>
            <w:r w:rsidRPr="005E32AD">
              <w:rPr>
                <w:rFonts w:ascii="等线" w:eastAsia="等线" w:hAnsi="等线" w:hint="eastAsia"/>
                <w:color w:val="000000"/>
                <w:kern w:val="0"/>
                <w:sz w:val="21"/>
                <w:szCs w:val="21"/>
              </w:rPr>
              <w:t>±</w:t>
            </w:r>
            <w:r w:rsidRPr="005E32AD">
              <w:rPr>
                <w:rFonts w:eastAsia="等线"/>
                <w:color w:val="000000"/>
                <w:kern w:val="0"/>
                <w:sz w:val="21"/>
                <w:szCs w:val="21"/>
              </w:rPr>
              <w:t>11.28 c</w:t>
            </w:r>
          </w:p>
        </w:tc>
        <w:tc>
          <w:tcPr>
            <w:tcW w:w="203" w:type="pct"/>
            <w:tcBorders>
              <w:top w:val="nil"/>
              <w:left w:val="single" w:sz="4" w:space="0" w:color="auto"/>
              <w:bottom w:val="nil"/>
              <w:right w:val="nil"/>
            </w:tcBorders>
            <w:shd w:val="clear" w:color="auto" w:fill="auto"/>
            <w:noWrap/>
            <w:vAlign w:val="center"/>
            <w:hideMark/>
          </w:tcPr>
          <w:p w14:paraId="5EA9804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51</w:t>
            </w:r>
          </w:p>
        </w:tc>
        <w:tc>
          <w:tcPr>
            <w:tcW w:w="558" w:type="pct"/>
            <w:tcBorders>
              <w:top w:val="nil"/>
              <w:left w:val="nil"/>
              <w:bottom w:val="nil"/>
              <w:right w:val="nil"/>
            </w:tcBorders>
            <w:shd w:val="clear" w:color="auto" w:fill="auto"/>
            <w:noWrap/>
            <w:vAlign w:val="center"/>
            <w:hideMark/>
          </w:tcPr>
          <w:p w14:paraId="27AB37D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22.56±14.34 a</w:t>
            </w:r>
          </w:p>
        </w:tc>
        <w:tc>
          <w:tcPr>
            <w:tcW w:w="255" w:type="pct"/>
            <w:tcBorders>
              <w:top w:val="nil"/>
              <w:left w:val="nil"/>
              <w:bottom w:val="nil"/>
              <w:right w:val="nil"/>
            </w:tcBorders>
            <w:shd w:val="clear" w:color="auto" w:fill="auto"/>
            <w:noWrap/>
            <w:vAlign w:val="center"/>
            <w:hideMark/>
          </w:tcPr>
          <w:p w14:paraId="6E8A7D0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103</w:t>
            </w:r>
          </w:p>
        </w:tc>
        <w:tc>
          <w:tcPr>
            <w:tcW w:w="529" w:type="pct"/>
            <w:tcBorders>
              <w:top w:val="nil"/>
              <w:left w:val="nil"/>
              <w:bottom w:val="nil"/>
              <w:right w:val="nil"/>
            </w:tcBorders>
            <w:shd w:val="clear" w:color="auto" w:fill="auto"/>
            <w:noWrap/>
            <w:vAlign w:val="center"/>
            <w:hideMark/>
          </w:tcPr>
          <w:p w14:paraId="51EBB01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15.66±14.44 b</w:t>
            </w:r>
          </w:p>
        </w:tc>
      </w:tr>
      <w:tr w:rsidR="00BD673C" w:rsidRPr="005E32AD" w14:paraId="1288CF4D" w14:textId="77777777" w:rsidTr="00A74D12">
        <w:trPr>
          <w:trHeight w:val="315"/>
        </w:trPr>
        <w:tc>
          <w:tcPr>
            <w:tcW w:w="457" w:type="pct"/>
            <w:vMerge/>
            <w:tcBorders>
              <w:top w:val="nil"/>
              <w:left w:val="nil"/>
              <w:bottom w:val="nil"/>
              <w:right w:val="nil"/>
            </w:tcBorders>
            <w:vAlign w:val="center"/>
            <w:hideMark/>
          </w:tcPr>
          <w:p w14:paraId="226CFB69"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49F5A21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AGB (g/m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nil"/>
              <w:right w:val="nil"/>
            </w:tcBorders>
            <w:shd w:val="clear" w:color="auto" w:fill="auto"/>
            <w:noWrap/>
            <w:vAlign w:val="center"/>
            <w:hideMark/>
          </w:tcPr>
          <w:p w14:paraId="6F57457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9" w:type="pct"/>
            <w:tcBorders>
              <w:top w:val="nil"/>
              <w:left w:val="nil"/>
              <w:bottom w:val="nil"/>
              <w:right w:val="nil"/>
            </w:tcBorders>
            <w:shd w:val="clear" w:color="auto" w:fill="auto"/>
            <w:noWrap/>
            <w:vAlign w:val="center"/>
            <w:hideMark/>
          </w:tcPr>
          <w:p w14:paraId="021181B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142.85</w:t>
            </w:r>
            <w:r w:rsidRPr="005E32AD">
              <w:rPr>
                <w:rFonts w:ascii="等线" w:eastAsia="等线" w:hAnsi="等线" w:hint="eastAsia"/>
                <w:color w:val="000000"/>
                <w:kern w:val="0"/>
                <w:sz w:val="21"/>
                <w:szCs w:val="21"/>
              </w:rPr>
              <w:t>±</w:t>
            </w:r>
            <w:r w:rsidRPr="005E32AD">
              <w:rPr>
                <w:rFonts w:eastAsia="等线"/>
                <w:color w:val="000000"/>
                <w:kern w:val="0"/>
                <w:sz w:val="21"/>
                <w:szCs w:val="21"/>
              </w:rPr>
              <w:t>67.70 a</w:t>
            </w:r>
          </w:p>
        </w:tc>
        <w:tc>
          <w:tcPr>
            <w:tcW w:w="203" w:type="pct"/>
            <w:tcBorders>
              <w:top w:val="nil"/>
              <w:left w:val="nil"/>
              <w:bottom w:val="nil"/>
              <w:right w:val="nil"/>
            </w:tcBorders>
            <w:shd w:val="clear" w:color="auto" w:fill="auto"/>
            <w:noWrap/>
            <w:vAlign w:val="center"/>
            <w:hideMark/>
          </w:tcPr>
          <w:p w14:paraId="74A8F61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58" w:type="pct"/>
            <w:tcBorders>
              <w:top w:val="nil"/>
              <w:left w:val="nil"/>
              <w:bottom w:val="nil"/>
              <w:right w:val="nil"/>
            </w:tcBorders>
            <w:shd w:val="clear" w:color="auto" w:fill="auto"/>
            <w:noWrap/>
            <w:vAlign w:val="center"/>
            <w:hideMark/>
          </w:tcPr>
          <w:p w14:paraId="10F65A5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58.86</w:t>
            </w:r>
            <w:r w:rsidRPr="005E32AD">
              <w:rPr>
                <w:rFonts w:ascii="等线" w:eastAsia="等线" w:hAnsi="等线" w:hint="eastAsia"/>
                <w:color w:val="000000"/>
                <w:kern w:val="0"/>
                <w:sz w:val="21"/>
                <w:szCs w:val="21"/>
              </w:rPr>
              <w:t>±</w:t>
            </w:r>
            <w:r w:rsidRPr="005E32AD">
              <w:rPr>
                <w:rFonts w:eastAsia="等线"/>
                <w:color w:val="000000"/>
                <w:kern w:val="0"/>
                <w:sz w:val="21"/>
                <w:szCs w:val="21"/>
              </w:rPr>
              <w:t>50.45 b</w:t>
            </w:r>
          </w:p>
        </w:tc>
        <w:tc>
          <w:tcPr>
            <w:tcW w:w="203" w:type="pct"/>
            <w:tcBorders>
              <w:top w:val="nil"/>
              <w:left w:val="nil"/>
              <w:bottom w:val="nil"/>
              <w:right w:val="nil"/>
            </w:tcBorders>
            <w:shd w:val="clear" w:color="auto" w:fill="auto"/>
            <w:noWrap/>
            <w:vAlign w:val="center"/>
            <w:hideMark/>
          </w:tcPr>
          <w:p w14:paraId="55F518DE"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45</w:t>
            </w:r>
          </w:p>
        </w:tc>
        <w:tc>
          <w:tcPr>
            <w:tcW w:w="561" w:type="pct"/>
            <w:tcBorders>
              <w:top w:val="nil"/>
              <w:left w:val="nil"/>
              <w:bottom w:val="nil"/>
              <w:right w:val="single" w:sz="4" w:space="0" w:color="auto"/>
            </w:tcBorders>
            <w:shd w:val="clear" w:color="auto" w:fill="auto"/>
            <w:noWrap/>
            <w:vAlign w:val="center"/>
            <w:hideMark/>
          </w:tcPr>
          <w:p w14:paraId="36C7E54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23.40</w:t>
            </w:r>
            <w:r w:rsidRPr="005E32AD">
              <w:rPr>
                <w:rFonts w:ascii="等线" w:eastAsia="等线" w:hAnsi="等线" w:hint="eastAsia"/>
                <w:color w:val="000000"/>
                <w:kern w:val="0"/>
                <w:sz w:val="21"/>
                <w:szCs w:val="21"/>
              </w:rPr>
              <w:t>±</w:t>
            </w:r>
            <w:r w:rsidRPr="005E32AD">
              <w:rPr>
                <w:rFonts w:eastAsia="等线"/>
                <w:color w:val="000000"/>
                <w:kern w:val="0"/>
                <w:sz w:val="21"/>
                <w:szCs w:val="21"/>
              </w:rPr>
              <w:t>29.80 c</w:t>
            </w:r>
          </w:p>
        </w:tc>
        <w:tc>
          <w:tcPr>
            <w:tcW w:w="203" w:type="pct"/>
            <w:tcBorders>
              <w:top w:val="nil"/>
              <w:left w:val="single" w:sz="4" w:space="0" w:color="auto"/>
              <w:bottom w:val="nil"/>
              <w:right w:val="nil"/>
            </w:tcBorders>
            <w:shd w:val="clear" w:color="auto" w:fill="auto"/>
            <w:noWrap/>
            <w:vAlign w:val="center"/>
            <w:hideMark/>
          </w:tcPr>
          <w:p w14:paraId="2DB2919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51</w:t>
            </w:r>
          </w:p>
        </w:tc>
        <w:tc>
          <w:tcPr>
            <w:tcW w:w="558" w:type="pct"/>
            <w:tcBorders>
              <w:top w:val="nil"/>
              <w:left w:val="nil"/>
              <w:bottom w:val="nil"/>
              <w:right w:val="nil"/>
            </w:tcBorders>
            <w:shd w:val="clear" w:color="auto" w:fill="auto"/>
            <w:noWrap/>
            <w:vAlign w:val="center"/>
            <w:hideMark/>
          </w:tcPr>
          <w:p w14:paraId="3688BA7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31.92±18.51 a</w:t>
            </w:r>
          </w:p>
        </w:tc>
        <w:tc>
          <w:tcPr>
            <w:tcW w:w="255" w:type="pct"/>
            <w:tcBorders>
              <w:top w:val="nil"/>
              <w:left w:val="nil"/>
              <w:bottom w:val="nil"/>
              <w:right w:val="nil"/>
            </w:tcBorders>
            <w:shd w:val="clear" w:color="auto" w:fill="auto"/>
            <w:noWrap/>
            <w:vAlign w:val="center"/>
            <w:hideMark/>
          </w:tcPr>
          <w:p w14:paraId="3666CBF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103</w:t>
            </w:r>
          </w:p>
        </w:tc>
        <w:tc>
          <w:tcPr>
            <w:tcW w:w="529" w:type="pct"/>
            <w:tcBorders>
              <w:top w:val="nil"/>
              <w:left w:val="nil"/>
              <w:bottom w:val="nil"/>
              <w:right w:val="nil"/>
            </w:tcBorders>
            <w:shd w:val="clear" w:color="auto" w:fill="auto"/>
            <w:noWrap/>
            <w:vAlign w:val="center"/>
            <w:hideMark/>
          </w:tcPr>
          <w:p w14:paraId="20AC717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30.33±44.96 a</w:t>
            </w:r>
          </w:p>
        </w:tc>
      </w:tr>
      <w:tr w:rsidR="00BD673C" w:rsidRPr="005E32AD" w14:paraId="097CB13F" w14:textId="77777777" w:rsidTr="00A74D12">
        <w:trPr>
          <w:trHeight w:val="315"/>
        </w:trPr>
        <w:tc>
          <w:tcPr>
            <w:tcW w:w="457" w:type="pct"/>
            <w:vMerge/>
            <w:tcBorders>
              <w:top w:val="nil"/>
              <w:left w:val="nil"/>
              <w:bottom w:val="nil"/>
              <w:right w:val="nil"/>
            </w:tcBorders>
            <w:vAlign w:val="center"/>
            <w:hideMark/>
          </w:tcPr>
          <w:p w14:paraId="258568E2"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0A156A8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Litter (g/m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nil"/>
              <w:right w:val="nil"/>
            </w:tcBorders>
            <w:shd w:val="clear" w:color="auto" w:fill="auto"/>
            <w:noWrap/>
            <w:vAlign w:val="center"/>
            <w:hideMark/>
          </w:tcPr>
          <w:p w14:paraId="72A3F73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25</w:t>
            </w:r>
          </w:p>
        </w:tc>
        <w:tc>
          <w:tcPr>
            <w:tcW w:w="559" w:type="pct"/>
            <w:tcBorders>
              <w:top w:val="nil"/>
              <w:left w:val="nil"/>
              <w:bottom w:val="nil"/>
              <w:right w:val="nil"/>
            </w:tcBorders>
            <w:shd w:val="clear" w:color="auto" w:fill="auto"/>
            <w:noWrap/>
            <w:vAlign w:val="center"/>
            <w:hideMark/>
          </w:tcPr>
          <w:p w14:paraId="174FA15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127.02</w:t>
            </w:r>
            <w:r w:rsidRPr="005E32AD">
              <w:rPr>
                <w:rFonts w:ascii="等线" w:eastAsia="等线" w:hAnsi="等线" w:hint="eastAsia"/>
                <w:color w:val="000000"/>
                <w:kern w:val="0"/>
                <w:sz w:val="21"/>
                <w:szCs w:val="21"/>
              </w:rPr>
              <w:t>±</w:t>
            </w:r>
            <w:r w:rsidRPr="005E32AD">
              <w:rPr>
                <w:rFonts w:eastAsia="等线"/>
                <w:color w:val="000000"/>
                <w:kern w:val="0"/>
                <w:sz w:val="21"/>
                <w:szCs w:val="21"/>
              </w:rPr>
              <w:t>113.80 a</w:t>
            </w:r>
          </w:p>
        </w:tc>
        <w:tc>
          <w:tcPr>
            <w:tcW w:w="203" w:type="pct"/>
            <w:tcBorders>
              <w:top w:val="nil"/>
              <w:left w:val="nil"/>
              <w:bottom w:val="nil"/>
              <w:right w:val="nil"/>
            </w:tcBorders>
            <w:shd w:val="clear" w:color="auto" w:fill="auto"/>
            <w:noWrap/>
            <w:vAlign w:val="center"/>
            <w:hideMark/>
          </w:tcPr>
          <w:p w14:paraId="64EE696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23</w:t>
            </w:r>
          </w:p>
        </w:tc>
        <w:tc>
          <w:tcPr>
            <w:tcW w:w="558" w:type="pct"/>
            <w:tcBorders>
              <w:top w:val="nil"/>
              <w:left w:val="nil"/>
              <w:bottom w:val="nil"/>
              <w:right w:val="nil"/>
            </w:tcBorders>
            <w:shd w:val="clear" w:color="auto" w:fill="auto"/>
            <w:noWrap/>
            <w:vAlign w:val="center"/>
            <w:hideMark/>
          </w:tcPr>
          <w:p w14:paraId="294DFDC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41.79</w:t>
            </w:r>
            <w:r w:rsidRPr="005E32AD">
              <w:rPr>
                <w:rFonts w:ascii="等线" w:eastAsia="等线" w:hAnsi="等线" w:hint="eastAsia"/>
                <w:color w:val="000000"/>
                <w:kern w:val="0"/>
                <w:sz w:val="21"/>
                <w:szCs w:val="21"/>
              </w:rPr>
              <w:t>±</w:t>
            </w:r>
            <w:r w:rsidRPr="005E32AD">
              <w:rPr>
                <w:rFonts w:eastAsia="等线"/>
                <w:color w:val="000000"/>
                <w:kern w:val="0"/>
                <w:sz w:val="21"/>
                <w:szCs w:val="21"/>
              </w:rPr>
              <w:t>42.88 b</w:t>
            </w:r>
          </w:p>
        </w:tc>
        <w:tc>
          <w:tcPr>
            <w:tcW w:w="203" w:type="pct"/>
            <w:tcBorders>
              <w:top w:val="nil"/>
              <w:left w:val="nil"/>
              <w:bottom w:val="nil"/>
              <w:right w:val="nil"/>
            </w:tcBorders>
            <w:shd w:val="clear" w:color="auto" w:fill="auto"/>
            <w:noWrap/>
            <w:vAlign w:val="center"/>
            <w:hideMark/>
          </w:tcPr>
          <w:p w14:paraId="300E0DC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22</w:t>
            </w:r>
          </w:p>
        </w:tc>
        <w:tc>
          <w:tcPr>
            <w:tcW w:w="561" w:type="pct"/>
            <w:tcBorders>
              <w:top w:val="nil"/>
              <w:left w:val="nil"/>
              <w:bottom w:val="nil"/>
              <w:right w:val="single" w:sz="4" w:space="0" w:color="auto"/>
            </w:tcBorders>
            <w:shd w:val="clear" w:color="auto" w:fill="auto"/>
            <w:noWrap/>
            <w:vAlign w:val="center"/>
            <w:hideMark/>
          </w:tcPr>
          <w:p w14:paraId="2632FAD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6.10</w:t>
            </w:r>
            <w:r w:rsidRPr="005E32AD">
              <w:rPr>
                <w:rFonts w:ascii="等线" w:eastAsia="等线" w:hAnsi="等线" w:hint="eastAsia"/>
                <w:color w:val="000000"/>
                <w:kern w:val="0"/>
                <w:sz w:val="21"/>
                <w:szCs w:val="21"/>
              </w:rPr>
              <w:t>±</w:t>
            </w:r>
            <w:r w:rsidRPr="005E32AD">
              <w:rPr>
                <w:rFonts w:eastAsia="等线"/>
                <w:color w:val="000000"/>
                <w:kern w:val="0"/>
                <w:sz w:val="21"/>
                <w:szCs w:val="21"/>
              </w:rPr>
              <w:t>6.91 b</w:t>
            </w:r>
          </w:p>
        </w:tc>
        <w:tc>
          <w:tcPr>
            <w:tcW w:w="203" w:type="pct"/>
            <w:tcBorders>
              <w:top w:val="nil"/>
              <w:left w:val="single" w:sz="4" w:space="0" w:color="auto"/>
              <w:bottom w:val="nil"/>
              <w:right w:val="nil"/>
            </w:tcBorders>
            <w:shd w:val="clear" w:color="auto" w:fill="auto"/>
            <w:noWrap/>
            <w:vAlign w:val="center"/>
            <w:hideMark/>
          </w:tcPr>
          <w:p w14:paraId="0CCCB28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49</w:t>
            </w:r>
          </w:p>
        </w:tc>
        <w:tc>
          <w:tcPr>
            <w:tcW w:w="558" w:type="pct"/>
            <w:tcBorders>
              <w:top w:val="nil"/>
              <w:left w:val="nil"/>
              <w:bottom w:val="nil"/>
              <w:right w:val="nil"/>
            </w:tcBorders>
            <w:shd w:val="clear" w:color="auto" w:fill="auto"/>
            <w:noWrap/>
            <w:vAlign w:val="center"/>
            <w:hideMark/>
          </w:tcPr>
          <w:p w14:paraId="23EA1BB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8.30±5.90 a</w:t>
            </w:r>
          </w:p>
        </w:tc>
        <w:tc>
          <w:tcPr>
            <w:tcW w:w="255" w:type="pct"/>
            <w:tcBorders>
              <w:top w:val="nil"/>
              <w:left w:val="nil"/>
              <w:bottom w:val="nil"/>
              <w:right w:val="nil"/>
            </w:tcBorders>
            <w:shd w:val="clear" w:color="auto" w:fill="auto"/>
            <w:noWrap/>
            <w:vAlign w:val="center"/>
            <w:hideMark/>
          </w:tcPr>
          <w:p w14:paraId="6736358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96</w:t>
            </w:r>
          </w:p>
        </w:tc>
        <w:tc>
          <w:tcPr>
            <w:tcW w:w="529" w:type="pct"/>
            <w:tcBorders>
              <w:top w:val="nil"/>
              <w:left w:val="nil"/>
              <w:bottom w:val="nil"/>
              <w:right w:val="nil"/>
            </w:tcBorders>
            <w:shd w:val="clear" w:color="auto" w:fill="auto"/>
            <w:noWrap/>
            <w:vAlign w:val="center"/>
            <w:hideMark/>
          </w:tcPr>
          <w:p w14:paraId="25B0C4D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8.81±9.40 a</w:t>
            </w:r>
          </w:p>
        </w:tc>
      </w:tr>
      <w:tr w:rsidR="00BD673C" w:rsidRPr="005E32AD" w14:paraId="0133F196" w14:textId="77777777" w:rsidTr="00A74D12">
        <w:trPr>
          <w:trHeight w:val="330"/>
        </w:trPr>
        <w:tc>
          <w:tcPr>
            <w:tcW w:w="457" w:type="pct"/>
            <w:vMerge/>
            <w:tcBorders>
              <w:top w:val="nil"/>
              <w:left w:val="nil"/>
              <w:bottom w:val="nil"/>
              <w:right w:val="nil"/>
            </w:tcBorders>
            <w:vAlign w:val="center"/>
            <w:hideMark/>
          </w:tcPr>
          <w:p w14:paraId="0FA86D65"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single" w:sz="8" w:space="0" w:color="auto"/>
              <w:right w:val="nil"/>
            </w:tcBorders>
            <w:shd w:val="clear" w:color="auto" w:fill="auto"/>
            <w:noWrap/>
            <w:vAlign w:val="center"/>
            <w:hideMark/>
          </w:tcPr>
          <w:p w14:paraId="4B79755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UGB (g/m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single" w:sz="8" w:space="0" w:color="auto"/>
              <w:right w:val="nil"/>
            </w:tcBorders>
            <w:shd w:val="clear" w:color="auto" w:fill="auto"/>
            <w:noWrap/>
            <w:vAlign w:val="center"/>
            <w:hideMark/>
          </w:tcPr>
          <w:p w14:paraId="0D964BB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25</w:t>
            </w:r>
          </w:p>
        </w:tc>
        <w:tc>
          <w:tcPr>
            <w:tcW w:w="559" w:type="pct"/>
            <w:tcBorders>
              <w:top w:val="nil"/>
              <w:left w:val="nil"/>
              <w:bottom w:val="single" w:sz="8" w:space="0" w:color="auto"/>
              <w:right w:val="nil"/>
            </w:tcBorders>
            <w:shd w:val="clear" w:color="auto" w:fill="auto"/>
            <w:noWrap/>
            <w:vAlign w:val="center"/>
            <w:hideMark/>
          </w:tcPr>
          <w:p w14:paraId="59E27FA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86.05</w:t>
            </w:r>
            <w:r w:rsidRPr="005E32AD">
              <w:rPr>
                <w:rFonts w:ascii="等线" w:eastAsia="等线" w:hAnsi="等线" w:hint="eastAsia"/>
                <w:color w:val="000000"/>
                <w:kern w:val="0"/>
                <w:sz w:val="21"/>
                <w:szCs w:val="21"/>
              </w:rPr>
              <w:t>±</w:t>
            </w:r>
            <w:r w:rsidRPr="005E32AD">
              <w:rPr>
                <w:rFonts w:eastAsia="等线"/>
                <w:color w:val="000000"/>
                <w:kern w:val="0"/>
                <w:sz w:val="21"/>
                <w:szCs w:val="21"/>
              </w:rPr>
              <w:t>101.95 a</w:t>
            </w:r>
          </w:p>
        </w:tc>
        <w:tc>
          <w:tcPr>
            <w:tcW w:w="203" w:type="pct"/>
            <w:tcBorders>
              <w:top w:val="nil"/>
              <w:left w:val="nil"/>
              <w:bottom w:val="single" w:sz="8" w:space="0" w:color="auto"/>
              <w:right w:val="nil"/>
            </w:tcBorders>
            <w:shd w:val="clear" w:color="auto" w:fill="auto"/>
            <w:noWrap/>
            <w:vAlign w:val="center"/>
            <w:hideMark/>
          </w:tcPr>
          <w:p w14:paraId="6148B01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25</w:t>
            </w:r>
          </w:p>
        </w:tc>
        <w:tc>
          <w:tcPr>
            <w:tcW w:w="558" w:type="pct"/>
            <w:tcBorders>
              <w:top w:val="nil"/>
              <w:left w:val="nil"/>
              <w:bottom w:val="single" w:sz="8" w:space="0" w:color="auto"/>
              <w:right w:val="nil"/>
            </w:tcBorders>
            <w:shd w:val="clear" w:color="auto" w:fill="auto"/>
            <w:noWrap/>
            <w:vAlign w:val="center"/>
            <w:hideMark/>
          </w:tcPr>
          <w:p w14:paraId="3C975A1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35.63</w:t>
            </w:r>
            <w:r w:rsidRPr="005E32AD">
              <w:rPr>
                <w:rFonts w:ascii="等线" w:eastAsia="等线" w:hAnsi="等线" w:hint="eastAsia"/>
                <w:color w:val="000000"/>
                <w:kern w:val="0"/>
                <w:sz w:val="21"/>
                <w:szCs w:val="21"/>
              </w:rPr>
              <w:t>±</w:t>
            </w:r>
            <w:r w:rsidRPr="005E32AD">
              <w:rPr>
                <w:rFonts w:eastAsia="等线"/>
                <w:color w:val="000000"/>
                <w:kern w:val="0"/>
                <w:sz w:val="21"/>
                <w:szCs w:val="21"/>
              </w:rPr>
              <w:t>44.38 b</w:t>
            </w:r>
          </w:p>
        </w:tc>
        <w:tc>
          <w:tcPr>
            <w:tcW w:w="203" w:type="pct"/>
            <w:tcBorders>
              <w:top w:val="nil"/>
              <w:left w:val="nil"/>
              <w:bottom w:val="single" w:sz="8" w:space="0" w:color="auto"/>
              <w:right w:val="nil"/>
            </w:tcBorders>
            <w:shd w:val="clear" w:color="auto" w:fill="auto"/>
            <w:noWrap/>
            <w:vAlign w:val="center"/>
            <w:hideMark/>
          </w:tcPr>
          <w:p w14:paraId="1566E22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25</w:t>
            </w:r>
          </w:p>
        </w:tc>
        <w:tc>
          <w:tcPr>
            <w:tcW w:w="561" w:type="pct"/>
            <w:tcBorders>
              <w:top w:val="nil"/>
              <w:left w:val="nil"/>
              <w:bottom w:val="single" w:sz="8" w:space="0" w:color="auto"/>
              <w:right w:val="single" w:sz="4" w:space="0" w:color="auto"/>
            </w:tcBorders>
            <w:shd w:val="clear" w:color="auto" w:fill="auto"/>
            <w:noWrap/>
            <w:vAlign w:val="center"/>
            <w:hideMark/>
          </w:tcPr>
          <w:p w14:paraId="26FE601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8.03</w:t>
            </w:r>
            <w:r w:rsidRPr="005E32AD">
              <w:rPr>
                <w:rFonts w:ascii="等线" w:eastAsia="等线" w:hAnsi="等线" w:hint="eastAsia"/>
                <w:color w:val="000000"/>
                <w:kern w:val="0"/>
                <w:sz w:val="21"/>
                <w:szCs w:val="21"/>
              </w:rPr>
              <w:t>±</w:t>
            </w:r>
            <w:r w:rsidRPr="005E32AD">
              <w:rPr>
                <w:rFonts w:eastAsia="等线"/>
                <w:color w:val="000000"/>
                <w:kern w:val="0"/>
                <w:sz w:val="21"/>
                <w:szCs w:val="21"/>
              </w:rPr>
              <w:t>11.76 b</w:t>
            </w:r>
          </w:p>
        </w:tc>
        <w:tc>
          <w:tcPr>
            <w:tcW w:w="203" w:type="pct"/>
            <w:tcBorders>
              <w:top w:val="nil"/>
              <w:left w:val="single" w:sz="4" w:space="0" w:color="auto"/>
              <w:bottom w:val="single" w:sz="8" w:space="0" w:color="auto"/>
              <w:right w:val="nil"/>
            </w:tcBorders>
            <w:shd w:val="clear" w:color="auto" w:fill="auto"/>
            <w:noWrap/>
            <w:vAlign w:val="center"/>
            <w:hideMark/>
          </w:tcPr>
          <w:p w14:paraId="07B9F4A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51</w:t>
            </w:r>
          </w:p>
        </w:tc>
        <w:tc>
          <w:tcPr>
            <w:tcW w:w="558" w:type="pct"/>
            <w:tcBorders>
              <w:top w:val="nil"/>
              <w:left w:val="nil"/>
              <w:bottom w:val="single" w:sz="8" w:space="0" w:color="auto"/>
              <w:right w:val="nil"/>
            </w:tcBorders>
            <w:shd w:val="clear" w:color="auto" w:fill="auto"/>
            <w:noWrap/>
            <w:vAlign w:val="center"/>
            <w:hideMark/>
          </w:tcPr>
          <w:p w14:paraId="03EA91E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377.63±189.02 a</w:t>
            </w:r>
          </w:p>
        </w:tc>
        <w:tc>
          <w:tcPr>
            <w:tcW w:w="255" w:type="pct"/>
            <w:tcBorders>
              <w:top w:val="nil"/>
              <w:left w:val="nil"/>
              <w:bottom w:val="single" w:sz="8" w:space="0" w:color="auto"/>
              <w:right w:val="nil"/>
            </w:tcBorders>
            <w:shd w:val="clear" w:color="auto" w:fill="auto"/>
            <w:noWrap/>
            <w:vAlign w:val="center"/>
            <w:hideMark/>
          </w:tcPr>
          <w:p w14:paraId="58EBA3A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103</w:t>
            </w:r>
          </w:p>
        </w:tc>
        <w:tc>
          <w:tcPr>
            <w:tcW w:w="529" w:type="pct"/>
            <w:tcBorders>
              <w:top w:val="nil"/>
              <w:left w:val="nil"/>
              <w:bottom w:val="single" w:sz="8" w:space="0" w:color="auto"/>
              <w:right w:val="nil"/>
            </w:tcBorders>
            <w:shd w:val="clear" w:color="auto" w:fill="auto"/>
            <w:noWrap/>
            <w:vAlign w:val="center"/>
            <w:hideMark/>
          </w:tcPr>
          <w:p w14:paraId="62F236FA"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269.38±159.48 b</w:t>
            </w:r>
          </w:p>
        </w:tc>
      </w:tr>
      <w:tr w:rsidR="00BD673C" w:rsidRPr="005E32AD" w14:paraId="5162FFD3" w14:textId="77777777" w:rsidTr="00A74D12">
        <w:trPr>
          <w:trHeight w:val="315"/>
        </w:trPr>
        <w:tc>
          <w:tcPr>
            <w:tcW w:w="457" w:type="pct"/>
            <w:vMerge w:val="restart"/>
            <w:tcBorders>
              <w:top w:val="nil"/>
              <w:left w:val="nil"/>
              <w:bottom w:val="single" w:sz="8" w:space="0" w:color="000000"/>
              <w:right w:val="nil"/>
            </w:tcBorders>
            <w:shd w:val="clear" w:color="auto" w:fill="auto"/>
            <w:noWrap/>
            <w:vAlign w:val="center"/>
            <w:hideMark/>
          </w:tcPr>
          <w:p w14:paraId="40C7B60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Shrub</w:t>
            </w:r>
          </w:p>
        </w:tc>
        <w:tc>
          <w:tcPr>
            <w:tcW w:w="711" w:type="pct"/>
            <w:tcBorders>
              <w:top w:val="nil"/>
              <w:left w:val="nil"/>
              <w:bottom w:val="nil"/>
              <w:right w:val="nil"/>
            </w:tcBorders>
            <w:shd w:val="clear" w:color="auto" w:fill="auto"/>
            <w:noWrap/>
            <w:vAlign w:val="center"/>
            <w:hideMark/>
          </w:tcPr>
          <w:p w14:paraId="489ED64D" w14:textId="77777777" w:rsidR="00BD673C" w:rsidRPr="00C205F6" w:rsidRDefault="00BD673C" w:rsidP="00A74D12">
            <w:pPr>
              <w:widowControl/>
              <w:spacing w:line="240" w:lineRule="auto"/>
              <w:jc w:val="left"/>
              <w:rPr>
                <w:rFonts w:eastAsia="等线"/>
                <w:color w:val="000000"/>
                <w:kern w:val="0"/>
                <w:sz w:val="21"/>
                <w:szCs w:val="21"/>
              </w:rPr>
            </w:pPr>
            <w:r w:rsidRPr="00C205F6">
              <w:rPr>
                <w:rFonts w:eastAsia="等线"/>
                <w:color w:val="000000"/>
                <w:kern w:val="0"/>
                <w:sz w:val="21"/>
                <w:szCs w:val="21"/>
              </w:rPr>
              <w:t>Diversity (number of species/m</w:t>
            </w:r>
            <w:r w:rsidRPr="00C205F6">
              <w:rPr>
                <w:rFonts w:eastAsia="等线"/>
                <w:color w:val="000000"/>
                <w:kern w:val="0"/>
                <w:sz w:val="21"/>
                <w:szCs w:val="21"/>
                <w:vertAlign w:val="superscript"/>
              </w:rPr>
              <w:t>2</w:t>
            </w:r>
            <w:r w:rsidRPr="00C205F6">
              <w:rPr>
                <w:rFonts w:eastAsia="等线"/>
                <w:color w:val="000000"/>
                <w:kern w:val="0"/>
                <w:sz w:val="21"/>
                <w:szCs w:val="21"/>
              </w:rPr>
              <w:t>)</w:t>
            </w:r>
          </w:p>
        </w:tc>
        <w:tc>
          <w:tcPr>
            <w:tcW w:w="203" w:type="pct"/>
            <w:tcBorders>
              <w:top w:val="nil"/>
              <w:left w:val="nil"/>
              <w:bottom w:val="nil"/>
              <w:right w:val="nil"/>
            </w:tcBorders>
            <w:shd w:val="clear" w:color="auto" w:fill="auto"/>
            <w:vAlign w:val="center"/>
          </w:tcPr>
          <w:p w14:paraId="10903047" w14:textId="77777777" w:rsidR="00BD673C" w:rsidRPr="00C205F6"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nil"/>
              <w:right w:val="nil"/>
            </w:tcBorders>
            <w:shd w:val="clear" w:color="auto" w:fill="auto"/>
            <w:vAlign w:val="center"/>
          </w:tcPr>
          <w:p w14:paraId="0698C147" w14:textId="77777777" w:rsidR="00BD673C" w:rsidRPr="00366292" w:rsidRDefault="00BD673C" w:rsidP="00A74D12">
            <w:pPr>
              <w:widowControl/>
              <w:spacing w:line="240" w:lineRule="auto"/>
              <w:jc w:val="left"/>
              <w:rPr>
                <w:rFonts w:eastAsia="等线"/>
                <w:color w:val="000000"/>
                <w:kern w:val="0"/>
                <w:sz w:val="21"/>
                <w:szCs w:val="21"/>
              </w:rPr>
            </w:pPr>
          </w:p>
        </w:tc>
        <w:tc>
          <w:tcPr>
            <w:tcW w:w="203" w:type="pct"/>
            <w:tcBorders>
              <w:top w:val="nil"/>
              <w:left w:val="nil"/>
              <w:bottom w:val="nil"/>
              <w:right w:val="nil"/>
            </w:tcBorders>
            <w:shd w:val="clear" w:color="auto" w:fill="auto"/>
            <w:noWrap/>
            <w:vAlign w:val="center"/>
            <w:hideMark/>
          </w:tcPr>
          <w:p w14:paraId="2D3B7E16"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26</w:t>
            </w:r>
          </w:p>
        </w:tc>
        <w:tc>
          <w:tcPr>
            <w:tcW w:w="558" w:type="pct"/>
            <w:tcBorders>
              <w:top w:val="nil"/>
              <w:left w:val="nil"/>
              <w:bottom w:val="nil"/>
              <w:right w:val="nil"/>
            </w:tcBorders>
            <w:shd w:val="clear" w:color="auto" w:fill="auto"/>
            <w:noWrap/>
            <w:vAlign w:val="center"/>
            <w:hideMark/>
          </w:tcPr>
          <w:p w14:paraId="5E60DBCC"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1.54</w:t>
            </w:r>
            <w:r w:rsidRPr="00366292">
              <w:rPr>
                <w:rFonts w:ascii="等线" w:eastAsia="等线" w:hAnsi="等线" w:hint="eastAsia"/>
                <w:color w:val="000000"/>
                <w:kern w:val="0"/>
                <w:sz w:val="21"/>
                <w:szCs w:val="21"/>
              </w:rPr>
              <w:t>±</w:t>
            </w:r>
            <w:r w:rsidRPr="00366292">
              <w:rPr>
                <w:rFonts w:eastAsia="等线"/>
                <w:color w:val="000000"/>
                <w:kern w:val="0"/>
                <w:sz w:val="21"/>
                <w:szCs w:val="21"/>
              </w:rPr>
              <w:t>0.51</w:t>
            </w:r>
          </w:p>
        </w:tc>
        <w:tc>
          <w:tcPr>
            <w:tcW w:w="203" w:type="pct"/>
            <w:tcBorders>
              <w:top w:val="nil"/>
              <w:left w:val="nil"/>
              <w:bottom w:val="nil"/>
              <w:right w:val="nil"/>
            </w:tcBorders>
            <w:shd w:val="clear" w:color="auto" w:fill="auto"/>
            <w:vAlign w:val="center"/>
          </w:tcPr>
          <w:p w14:paraId="44DCF7BA" w14:textId="77777777" w:rsidR="00BD673C" w:rsidRPr="005E32AD"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nil"/>
              <w:right w:val="single" w:sz="4" w:space="0" w:color="auto"/>
            </w:tcBorders>
            <w:shd w:val="clear" w:color="auto" w:fill="auto"/>
            <w:noWrap/>
            <w:hideMark/>
          </w:tcPr>
          <w:p w14:paraId="6C187382"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single" w:sz="4" w:space="0" w:color="auto"/>
              <w:bottom w:val="nil"/>
              <w:right w:val="nil"/>
            </w:tcBorders>
            <w:shd w:val="clear" w:color="auto" w:fill="auto"/>
            <w:noWrap/>
            <w:vAlign w:val="center"/>
            <w:hideMark/>
          </w:tcPr>
          <w:p w14:paraId="0114335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51</w:t>
            </w:r>
          </w:p>
        </w:tc>
        <w:tc>
          <w:tcPr>
            <w:tcW w:w="558" w:type="pct"/>
            <w:tcBorders>
              <w:top w:val="nil"/>
              <w:left w:val="nil"/>
              <w:bottom w:val="nil"/>
              <w:right w:val="nil"/>
            </w:tcBorders>
            <w:shd w:val="clear" w:color="auto" w:fill="auto"/>
            <w:noWrap/>
            <w:vAlign w:val="center"/>
            <w:hideMark/>
          </w:tcPr>
          <w:p w14:paraId="7F0381C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0.78±0.26 a</w:t>
            </w:r>
          </w:p>
        </w:tc>
        <w:tc>
          <w:tcPr>
            <w:tcW w:w="255" w:type="pct"/>
            <w:tcBorders>
              <w:top w:val="nil"/>
              <w:left w:val="nil"/>
              <w:bottom w:val="nil"/>
              <w:right w:val="nil"/>
            </w:tcBorders>
            <w:shd w:val="clear" w:color="auto" w:fill="auto"/>
            <w:noWrap/>
            <w:vAlign w:val="center"/>
            <w:hideMark/>
          </w:tcPr>
          <w:p w14:paraId="449686F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102</w:t>
            </w:r>
          </w:p>
        </w:tc>
        <w:tc>
          <w:tcPr>
            <w:tcW w:w="529" w:type="pct"/>
            <w:tcBorders>
              <w:top w:val="nil"/>
              <w:left w:val="nil"/>
              <w:bottom w:val="nil"/>
              <w:right w:val="nil"/>
            </w:tcBorders>
            <w:shd w:val="clear" w:color="auto" w:fill="auto"/>
            <w:noWrap/>
            <w:vAlign w:val="center"/>
            <w:hideMark/>
          </w:tcPr>
          <w:p w14:paraId="5DC45E5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0.55±0.20 b</w:t>
            </w:r>
          </w:p>
        </w:tc>
      </w:tr>
      <w:tr w:rsidR="00BD673C" w:rsidRPr="005E32AD" w14:paraId="48147727" w14:textId="77777777" w:rsidTr="00A74D12">
        <w:trPr>
          <w:trHeight w:val="315"/>
        </w:trPr>
        <w:tc>
          <w:tcPr>
            <w:tcW w:w="457" w:type="pct"/>
            <w:vMerge/>
            <w:tcBorders>
              <w:top w:val="nil"/>
              <w:left w:val="nil"/>
              <w:bottom w:val="single" w:sz="8" w:space="0" w:color="000000"/>
              <w:right w:val="nil"/>
            </w:tcBorders>
            <w:vAlign w:val="center"/>
            <w:hideMark/>
          </w:tcPr>
          <w:p w14:paraId="5DFD168B"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5156CAF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Density (individual/m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nil"/>
              <w:right w:val="nil"/>
            </w:tcBorders>
            <w:shd w:val="clear" w:color="auto" w:fill="auto"/>
            <w:vAlign w:val="center"/>
          </w:tcPr>
          <w:p w14:paraId="09B5DC06" w14:textId="77777777" w:rsidR="00BD673C" w:rsidRPr="005E32AD"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nil"/>
              <w:right w:val="nil"/>
            </w:tcBorders>
            <w:shd w:val="clear" w:color="auto" w:fill="auto"/>
            <w:vAlign w:val="center"/>
          </w:tcPr>
          <w:p w14:paraId="20C687AE"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nil"/>
              <w:bottom w:val="nil"/>
              <w:right w:val="nil"/>
            </w:tcBorders>
            <w:shd w:val="clear" w:color="auto" w:fill="auto"/>
            <w:noWrap/>
            <w:vAlign w:val="center"/>
            <w:hideMark/>
          </w:tcPr>
          <w:p w14:paraId="7B4FEC35"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w:t>
            </w:r>
          </w:p>
        </w:tc>
        <w:tc>
          <w:tcPr>
            <w:tcW w:w="558" w:type="pct"/>
            <w:tcBorders>
              <w:top w:val="nil"/>
              <w:left w:val="nil"/>
              <w:bottom w:val="nil"/>
              <w:right w:val="nil"/>
            </w:tcBorders>
            <w:shd w:val="clear" w:color="auto" w:fill="auto"/>
            <w:noWrap/>
            <w:vAlign w:val="center"/>
            <w:hideMark/>
          </w:tcPr>
          <w:p w14:paraId="4425B0D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0.29</w:t>
            </w:r>
            <w:r w:rsidRPr="005E32AD">
              <w:rPr>
                <w:rFonts w:ascii="等线" w:eastAsia="等线" w:hAnsi="等线" w:hint="eastAsia"/>
                <w:color w:val="000000"/>
                <w:kern w:val="0"/>
                <w:sz w:val="21"/>
                <w:szCs w:val="21"/>
              </w:rPr>
              <w:t>±</w:t>
            </w:r>
            <w:r w:rsidRPr="005E32AD">
              <w:rPr>
                <w:rFonts w:eastAsia="等线"/>
                <w:color w:val="000000"/>
                <w:kern w:val="0"/>
                <w:sz w:val="21"/>
                <w:szCs w:val="21"/>
              </w:rPr>
              <w:t>0.24</w:t>
            </w:r>
          </w:p>
        </w:tc>
        <w:tc>
          <w:tcPr>
            <w:tcW w:w="203" w:type="pct"/>
            <w:tcBorders>
              <w:top w:val="nil"/>
              <w:left w:val="nil"/>
              <w:bottom w:val="nil"/>
              <w:right w:val="nil"/>
            </w:tcBorders>
            <w:shd w:val="clear" w:color="auto" w:fill="auto"/>
            <w:vAlign w:val="center"/>
          </w:tcPr>
          <w:p w14:paraId="74FD8D5A" w14:textId="77777777" w:rsidR="00BD673C" w:rsidRPr="005E32AD"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nil"/>
              <w:right w:val="single" w:sz="4" w:space="0" w:color="auto"/>
            </w:tcBorders>
            <w:shd w:val="clear" w:color="auto" w:fill="auto"/>
            <w:noWrap/>
            <w:hideMark/>
          </w:tcPr>
          <w:p w14:paraId="3E24BBD1"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single" w:sz="4" w:space="0" w:color="auto"/>
              <w:bottom w:val="nil"/>
              <w:right w:val="nil"/>
            </w:tcBorders>
            <w:shd w:val="clear" w:color="auto" w:fill="auto"/>
            <w:noWrap/>
            <w:vAlign w:val="center"/>
            <w:hideMark/>
          </w:tcPr>
          <w:p w14:paraId="2246202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41</w:t>
            </w:r>
          </w:p>
        </w:tc>
        <w:tc>
          <w:tcPr>
            <w:tcW w:w="558" w:type="pct"/>
            <w:tcBorders>
              <w:top w:val="nil"/>
              <w:left w:val="nil"/>
              <w:bottom w:val="nil"/>
              <w:right w:val="nil"/>
            </w:tcBorders>
            <w:shd w:val="clear" w:color="auto" w:fill="auto"/>
            <w:noWrap/>
            <w:vAlign w:val="center"/>
            <w:hideMark/>
          </w:tcPr>
          <w:p w14:paraId="774C998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7.84±25.07 a</w:t>
            </w:r>
          </w:p>
        </w:tc>
        <w:tc>
          <w:tcPr>
            <w:tcW w:w="255" w:type="pct"/>
            <w:tcBorders>
              <w:top w:val="nil"/>
              <w:left w:val="nil"/>
              <w:bottom w:val="nil"/>
              <w:right w:val="nil"/>
            </w:tcBorders>
            <w:shd w:val="clear" w:color="auto" w:fill="auto"/>
            <w:noWrap/>
            <w:vAlign w:val="center"/>
            <w:hideMark/>
          </w:tcPr>
          <w:p w14:paraId="50AC0CE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82</w:t>
            </w:r>
          </w:p>
        </w:tc>
        <w:tc>
          <w:tcPr>
            <w:tcW w:w="529" w:type="pct"/>
            <w:tcBorders>
              <w:top w:val="nil"/>
              <w:left w:val="nil"/>
              <w:bottom w:val="nil"/>
              <w:right w:val="nil"/>
            </w:tcBorders>
            <w:shd w:val="clear" w:color="auto" w:fill="auto"/>
            <w:noWrap/>
            <w:vAlign w:val="center"/>
            <w:hideMark/>
          </w:tcPr>
          <w:p w14:paraId="7377701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8.09±28.76 a</w:t>
            </w:r>
          </w:p>
        </w:tc>
      </w:tr>
      <w:tr w:rsidR="00BD673C" w:rsidRPr="005E32AD" w14:paraId="7B6256C2" w14:textId="77777777" w:rsidTr="00A74D12">
        <w:trPr>
          <w:trHeight w:val="285"/>
        </w:trPr>
        <w:tc>
          <w:tcPr>
            <w:tcW w:w="457" w:type="pct"/>
            <w:vMerge/>
            <w:tcBorders>
              <w:top w:val="nil"/>
              <w:left w:val="nil"/>
              <w:bottom w:val="single" w:sz="8" w:space="0" w:color="000000"/>
              <w:right w:val="nil"/>
            </w:tcBorders>
            <w:vAlign w:val="center"/>
            <w:hideMark/>
          </w:tcPr>
          <w:p w14:paraId="542BE79C"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336140B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Height (m)</w:t>
            </w:r>
          </w:p>
        </w:tc>
        <w:tc>
          <w:tcPr>
            <w:tcW w:w="203" w:type="pct"/>
            <w:tcBorders>
              <w:top w:val="nil"/>
              <w:left w:val="nil"/>
              <w:bottom w:val="nil"/>
              <w:right w:val="nil"/>
            </w:tcBorders>
            <w:shd w:val="clear" w:color="auto" w:fill="auto"/>
            <w:noWrap/>
            <w:hideMark/>
          </w:tcPr>
          <w:p w14:paraId="34FC5551" w14:textId="77777777" w:rsidR="00BD673C" w:rsidRPr="005E32AD"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nil"/>
              <w:right w:val="nil"/>
            </w:tcBorders>
            <w:shd w:val="clear" w:color="auto" w:fill="auto"/>
            <w:noWrap/>
            <w:hideMark/>
          </w:tcPr>
          <w:p w14:paraId="4F61DE0A" w14:textId="77777777" w:rsidR="00BD673C" w:rsidRPr="00DD152D" w:rsidRDefault="00BD673C" w:rsidP="00A74D12">
            <w:pPr>
              <w:widowControl/>
              <w:spacing w:line="240" w:lineRule="auto"/>
              <w:jc w:val="left"/>
              <w:rPr>
                <w:rFonts w:ascii="Times New Roman" w:eastAsia="Times New Roman" w:hAnsi="Times New Roman" w:cs="Times New Roman"/>
                <w:kern w:val="0"/>
                <w:sz w:val="21"/>
                <w:szCs w:val="21"/>
              </w:rPr>
            </w:pPr>
          </w:p>
        </w:tc>
        <w:tc>
          <w:tcPr>
            <w:tcW w:w="203" w:type="pct"/>
            <w:tcBorders>
              <w:top w:val="nil"/>
              <w:left w:val="nil"/>
              <w:bottom w:val="nil"/>
              <w:right w:val="nil"/>
            </w:tcBorders>
            <w:shd w:val="clear" w:color="auto" w:fill="auto"/>
            <w:noWrap/>
            <w:vAlign w:val="center"/>
            <w:hideMark/>
          </w:tcPr>
          <w:p w14:paraId="789008C3"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w:t>
            </w:r>
          </w:p>
        </w:tc>
        <w:tc>
          <w:tcPr>
            <w:tcW w:w="558" w:type="pct"/>
            <w:tcBorders>
              <w:top w:val="nil"/>
              <w:left w:val="nil"/>
              <w:bottom w:val="nil"/>
              <w:right w:val="nil"/>
            </w:tcBorders>
            <w:shd w:val="clear" w:color="auto" w:fill="auto"/>
            <w:noWrap/>
            <w:vAlign w:val="center"/>
            <w:hideMark/>
          </w:tcPr>
          <w:p w14:paraId="48AD0698" w14:textId="77777777" w:rsidR="00BD673C" w:rsidRPr="00C205F6" w:rsidRDefault="00BD673C" w:rsidP="00A74D12">
            <w:pPr>
              <w:widowControl/>
              <w:spacing w:line="240" w:lineRule="auto"/>
              <w:jc w:val="left"/>
              <w:rPr>
                <w:rFonts w:eastAsia="等线"/>
                <w:color w:val="000000"/>
                <w:kern w:val="0"/>
                <w:sz w:val="21"/>
                <w:szCs w:val="21"/>
              </w:rPr>
            </w:pPr>
            <w:r w:rsidRPr="00C205F6">
              <w:rPr>
                <w:rFonts w:eastAsia="等线"/>
                <w:color w:val="000000"/>
                <w:kern w:val="0"/>
                <w:sz w:val="21"/>
                <w:szCs w:val="21"/>
              </w:rPr>
              <w:t>0.69</w:t>
            </w:r>
            <w:r w:rsidRPr="00C205F6">
              <w:rPr>
                <w:rFonts w:ascii="等线" w:eastAsia="等线" w:hAnsi="等线" w:hint="eastAsia"/>
                <w:color w:val="000000"/>
                <w:kern w:val="0"/>
                <w:sz w:val="21"/>
                <w:szCs w:val="21"/>
              </w:rPr>
              <w:t>±</w:t>
            </w:r>
            <w:r w:rsidRPr="00C205F6">
              <w:rPr>
                <w:rFonts w:eastAsia="等线"/>
                <w:color w:val="000000"/>
                <w:kern w:val="0"/>
                <w:sz w:val="21"/>
                <w:szCs w:val="21"/>
              </w:rPr>
              <w:t>0.47</w:t>
            </w:r>
          </w:p>
        </w:tc>
        <w:tc>
          <w:tcPr>
            <w:tcW w:w="203" w:type="pct"/>
            <w:tcBorders>
              <w:top w:val="nil"/>
              <w:left w:val="nil"/>
              <w:bottom w:val="nil"/>
              <w:right w:val="nil"/>
            </w:tcBorders>
            <w:shd w:val="clear" w:color="auto" w:fill="auto"/>
            <w:vAlign w:val="center"/>
          </w:tcPr>
          <w:p w14:paraId="30E2C279" w14:textId="77777777" w:rsidR="00BD673C" w:rsidRPr="00C205F6"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nil"/>
              <w:right w:val="single" w:sz="4" w:space="0" w:color="auto"/>
            </w:tcBorders>
            <w:shd w:val="clear" w:color="auto" w:fill="auto"/>
            <w:noWrap/>
            <w:hideMark/>
          </w:tcPr>
          <w:p w14:paraId="064B59DA" w14:textId="77777777" w:rsidR="00BD673C" w:rsidRPr="00366292" w:rsidRDefault="00BD673C" w:rsidP="00A74D12">
            <w:pPr>
              <w:widowControl/>
              <w:spacing w:line="240" w:lineRule="auto"/>
              <w:jc w:val="left"/>
              <w:rPr>
                <w:rFonts w:eastAsia="等线"/>
                <w:color w:val="000000"/>
                <w:kern w:val="0"/>
                <w:sz w:val="21"/>
                <w:szCs w:val="21"/>
              </w:rPr>
            </w:pPr>
          </w:p>
        </w:tc>
        <w:tc>
          <w:tcPr>
            <w:tcW w:w="203" w:type="pct"/>
            <w:tcBorders>
              <w:top w:val="nil"/>
              <w:left w:val="single" w:sz="4" w:space="0" w:color="auto"/>
              <w:bottom w:val="nil"/>
              <w:right w:val="nil"/>
            </w:tcBorders>
            <w:shd w:val="clear" w:color="auto" w:fill="auto"/>
            <w:noWrap/>
            <w:vAlign w:val="center"/>
            <w:hideMark/>
          </w:tcPr>
          <w:p w14:paraId="13C2B506"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51</w:t>
            </w:r>
          </w:p>
        </w:tc>
        <w:tc>
          <w:tcPr>
            <w:tcW w:w="558" w:type="pct"/>
            <w:tcBorders>
              <w:top w:val="nil"/>
              <w:left w:val="nil"/>
              <w:bottom w:val="nil"/>
              <w:right w:val="nil"/>
            </w:tcBorders>
            <w:shd w:val="clear" w:color="auto" w:fill="auto"/>
            <w:noWrap/>
            <w:vAlign w:val="center"/>
            <w:hideMark/>
          </w:tcPr>
          <w:p w14:paraId="2FA75CD4"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0.74±0.21 a</w:t>
            </w:r>
          </w:p>
        </w:tc>
        <w:tc>
          <w:tcPr>
            <w:tcW w:w="255" w:type="pct"/>
            <w:tcBorders>
              <w:top w:val="nil"/>
              <w:left w:val="nil"/>
              <w:bottom w:val="nil"/>
              <w:right w:val="nil"/>
            </w:tcBorders>
            <w:shd w:val="clear" w:color="auto" w:fill="auto"/>
            <w:noWrap/>
            <w:vAlign w:val="center"/>
            <w:hideMark/>
          </w:tcPr>
          <w:p w14:paraId="42A10CF4" w14:textId="77777777" w:rsidR="00BD673C" w:rsidRPr="00366292" w:rsidRDefault="00BD673C" w:rsidP="00A74D12">
            <w:pPr>
              <w:widowControl/>
              <w:spacing w:line="240" w:lineRule="auto"/>
              <w:jc w:val="left"/>
              <w:rPr>
                <w:rFonts w:eastAsia="等线"/>
                <w:color w:val="000000"/>
                <w:kern w:val="0"/>
                <w:sz w:val="21"/>
                <w:szCs w:val="21"/>
              </w:rPr>
            </w:pPr>
            <w:r w:rsidRPr="00366292">
              <w:rPr>
                <w:rFonts w:eastAsia="等线"/>
                <w:color w:val="000000"/>
                <w:kern w:val="0"/>
                <w:sz w:val="21"/>
                <w:szCs w:val="21"/>
              </w:rPr>
              <w:t>102</w:t>
            </w:r>
          </w:p>
        </w:tc>
        <w:tc>
          <w:tcPr>
            <w:tcW w:w="529" w:type="pct"/>
            <w:tcBorders>
              <w:top w:val="nil"/>
              <w:left w:val="nil"/>
              <w:bottom w:val="nil"/>
              <w:right w:val="nil"/>
            </w:tcBorders>
            <w:shd w:val="clear" w:color="auto" w:fill="auto"/>
            <w:noWrap/>
            <w:vAlign w:val="center"/>
            <w:hideMark/>
          </w:tcPr>
          <w:p w14:paraId="377AC19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0.73±0.29 a</w:t>
            </w:r>
          </w:p>
        </w:tc>
      </w:tr>
      <w:tr w:rsidR="00BD673C" w:rsidRPr="005E32AD" w14:paraId="55686226" w14:textId="77777777" w:rsidTr="00A74D12">
        <w:trPr>
          <w:trHeight w:val="285"/>
        </w:trPr>
        <w:tc>
          <w:tcPr>
            <w:tcW w:w="457" w:type="pct"/>
            <w:vMerge/>
            <w:tcBorders>
              <w:top w:val="nil"/>
              <w:left w:val="nil"/>
              <w:bottom w:val="single" w:sz="8" w:space="0" w:color="000000"/>
              <w:right w:val="nil"/>
            </w:tcBorders>
            <w:vAlign w:val="center"/>
            <w:hideMark/>
          </w:tcPr>
          <w:p w14:paraId="06A74F8F"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5BA3D6D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Coverage (%)</w:t>
            </w:r>
          </w:p>
        </w:tc>
        <w:tc>
          <w:tcPr>
            <w:tcW w:w="203" w:type="pct"/>
            <w:tcBorders>
              <w:top w:val="nil"/>
              <w:left w:val="nil"/>
              <w:bottom w:val="nil"/>
              <w:right w:val="nil"/>
            </w:tcBorders>
            <w:shd w:val="clear" w:color="auto" w:fill="auto"/>
            <w:vAlign w:val="center"/>
          </w:tcPr>
          <w:p w14:paraId="37752722" w14:textId="77777777" w:rsidR="00BD673C" w:rsidRPr="005E32AD"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nil"/>
              <w:right w:val="nil"/>
            </w:tcBorders>
            <w:shd w:val="clear" w:color="auto" w:fill="auto"/>
            <w:noWrap/>
            <w:hideMark/>
          </w:tcPr>
          <w:p w14:paraId="246B0BF6"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nil"/>
              <w:bottom w:val="nil"/>
              <w:right w:val="nil"/>
            </w:tcBorders>
            <w:shd w:val="clear" w:color="auto" w:fill="auto"/>
            <w:noWrap/>
            <w:vAlign w:val="center"/>
            <w:hideMark/>
          </w:tcPr>
          <w:p w14:paraId="39B6903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w:t>
            </w:r>
          </w:p>
        </w:tc>
        <w:tc>
          <w:tcPr>
            <w:tcW w:w="558" w:type="pct"/>
            <w:tcBorders>
              <w:top w:val="nil"/>
              <w:left w:val="nil"/>
              <w:bottom w:val="nil"/>
              <w:right w:val="nil"/>
            </w:tcBorders>
            <w:shd w:val="clear" w:color="auto" w:fill="auto"/>
            <w:noWrap/>
            <w:vAlign w:val="center"/>
            <w:hideMark/>
          </w:tcPr>
          <w:p w14:paraId="2BC7827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17.62</w:t>
            </w:r>
            <w:r w:rsidRPr="005E32AD">
              <w:rPr>
                <w:rFonts w:ascii="等线" w:eastAsia="等线" w:hAnsi="等线" w:hint="eastAsia"/>
                <w:color w:val="000000"/>
                <w:kern w:val="0"/>
                <w:sz w:val="21"/>
                <w:szCs w:val="21"/>
              </w:rPr>
              <w:t>±</w:t>
            </w:r>
            <w:r w:rsidRPr="005E32AD">
              <w:rPr>
                <w:rFonts w:eastAsia="等线"/>
                <w:color w:val="000000"/>
                <w:kern w:val="0"/>
                <w:sz w:val="21"/>
                <w:szCs w:val="21"/>
              </w:rPr>
              <w:t>6.25</w:t>
            </w:r>
          </w:p>
        </w:tc>
        <w:tc>
          <w:tcPr>
            <w:tcW w:w="203" w:type="pct"/>
            <w:tcBorders>
              <w:top w:val="nil"/>
              <w:left w:val="nil"/>
              <w:bottom w:val="nil"/>
              <w:right w:val="nil"/>
            </w:tcBorders>
            <w:shd w:val="clear" w:color="auto" w:fill="auto"/>
            <w:vAlign w:val="center"/>
          </w:tcPr>
          <w:p w14:paraId="1FE606EC" w14:textId="77777777" w:rsidR="00BD673C" w:rsidRPr="005E32AD"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nil"/>
              <w:right w:val="single" w:sz="4" w:space="0" w:color="auto"/>
            </w:tcBorders>
            <w:shd w:val="clear" w:color="auto" w:fill="auto"/>
            <w:noWrap/>
            <w:hideMark/>
          </w:tcPr>
          <w:p w14:paraId="56A45BD5"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single" w:sz="4" w:space="0" w:color="auto"/>
              <w:bottom w:val="nil"/>
              <w:right w:val="nil"/>
            </w:tcBorders>
            <w:shd w:val="clear" w:color="auto" w:fill="auto"/>
            <w:noWrap/>
            <w:vAlign w:val="center"/>
            <w:hideMark/>
          </w:tcPr>
          <w:p w14:paraId="7A63DAE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51</w:t>
            </w:r>
          </w:p>
        </w:tc>
        <w:tc>
          <w:tcPr>
            <w:tcW w:w="558" w:type="pct"/>
            <w:tcBorders>
              <w:top w:val="nil"/>
              <w:left w:val="nil"/>
              <w:bottom w:val="nil"/>
              <w:right w:val="nil"/>
            </w:tcBorders>
            <w:shd w:val="clear" w:color="auto" w:fill="auto"/>
            <w:noWrap/>
            <w:vAlign w:val="center"/>
            <w:hideMark/>
          </w:tcPr>
          <w:p w14:paraId="63D10E8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22.65±10.69 a</w:t>
            </w:r>
          </w:p>
        </w:tc>
        <w:tc>
          <w:tcPr>
            <w:tcW w:w="255" w:type="pct"/>
            <w:tcBorders>
              <w:top w:val="nil"/>
              <w:left w:val="nil"/>
              <w:bottom w:val="nil"/>
              <w:right w:val="nil"/>
            </w:tcBorders>
            <w:shd w:val="clear" w:color="auto" w:fill="auto"/>
            <w:noWrap/>
            <w:vAlign w:val="center"/>
            <w:hideMark/>
          </w:tcPr>
          <w:p w14:paraId="6626552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102</w:t>
            </w:r>
          </w:p>
        </w:tc>
        <w:tc>
          <w:tcPr>
            <w:tcW w:w="529" w:type="pct"/>
            <w:tcBorders>
              <w:top w:val="nil"/>
              <w:left w:val="nil"/>
              <w:bottom w:val="nil"/>
              <w:right w:val="nil"/>
            </w:tcBorders>
            <w:shd w:val="clear" w:color="auto" w:fill="auto"/>
            <w:noWrap/>
            <w:vAlign w:val="center"/>
            <w:hideMark/>
          </w:tcPr>
          <w:p w14:paraId="679EE29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15.70±9.54 b</w:t>
            </w:r>
          </w:p>
        </w:tc>
      </w:tr>
      <w:tr w:rsidR="00BD673C" w:rsidRPr="005E32AD" w14:paraId="5895A71A" w14:textId="77777777" w:rsidTr="00A74D12">
        <w:trPr>
          <w:trHeight w:val="315"/>
        </w:trPr>
        <w:tc>
          <w:tcPr>
            <w:tcW w:w="457" w:type="pct"/>
            <w:vMerge/>
            <w:tcBorders>
              <w:top w:val="nil"/>
              <w:left w:val="nil"/>
              <w:bottom w:val="single" w:sz="8" w:space="0" w:color="000000"/>
              <w:right w:val="nil"/>
            </w:tcBorders>
            <w:vAlign w:val="center"/>
            <w:hideMark/>
          </w:tcPr>
          <w:p w14:paraId="208A1FBA"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6DEFE6D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AGB (g/m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nil"/>
              <w:right w:val="nil"/>
            </w:tcBorders>
            <w:shd w:val="clear" w:color="auto" w:fill="auto"/>
            <w:vAlign w:val="center"/>
          </w:tcPr>
          <w:p w14:paraId="27773F10" w14:textId="77777777" w:rsidR="00BD673C" w:rsidRPr="005E32AD"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nil"/>
              <w:right w:val="nil"/>
            </w:tcBorders>
            <w:shd w:val="clear" w:color="auto" w:fill="auto"/>
            <w:noWrap/>
            <w:hideMark/>
          </w:tcPr>
          <w:p w14:paraId="24BB1FF5"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nil"/>
              <w:bottom w:val="nil"/>
              <w:right w:val="nil"/>
            </w:tcBorders>
            <w:shd w:val="clear" w:color="auto" w:fill="auto"/>
            <w:noWrap/>
            <w:vAlign w:val="center"/>
            <w:hideMark/>
          </w:tcPr>
          <w:p w14:paraId="39C5B6F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w:t>
            </w:r>
          </w:p>
        </w:tc>
        <w:tc>
          <w:tcPr>
            <w:tcW w:w="558" w:type="pct"/>
            <w:tcBorders>
              <w:top w:val="nil"/>
              <w:left w:val="nil"/>
              <w:bottom w:val="nil"/>
              <w:right w:val="nil"/>
            </w:tcBorders>
            <w:shd w:val="clear" w:color="auto" w:fill="auto"/>
            <w:noWrap/>
            <w:vAlign w:val="center"/>
            <w:hideMark/>
          </w:tcPr>
          <w:p w14:paraId="710A28EE"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86.05</w:t>
            </w:r>
            <w:r w:rsidRPr="005E32AD">
              <w:rPr>
                <w:rFonts w:ascii="等线" w:eastAsia="等线" w:hAnsi="等线" w:hint="eastAsia"/>
                <w:color w:val="000000"/>
                <w:kern w:val="0"/>
                <w:sz w:val="21"/>
                <w:szCs w:val="21"/>
              </w:rPr>
              <w:t>±</w:t>
            </w:r>
            <w:r w:rsidRPr="005E32AD">
              <w:rPr>
                <w:rFonts w:eastAsia="等线"/>
                <w:color w:val="000000"/>
                <w:kern w:val="0"/>
                <w:sz w:val="21"/>
                <w:szCs w:val="21"/>
              </w:rPr>
              <w:t>67.07</w:t>
            </w:r>
          </w:p>
        </w:tc>
        <w:tc>
          <w:tcPr>
            <w:tcW w:w="203" w:type="pct"/>
            <w:tcBorders>
              <w:top w:val="nil"/>
              <w:left w:val="nil"/>
              <w:bottom w:val="nil"/>
              <w:right w:val="nil"/>
            </w:tcBorders>
            <w:shd w:val="clear" w:color="auto" w:fill="auto"/>
            <w:vAlign w:val="center"/>
          </w:tcPr>
          <w:p w14:paraId="2DD11990" w14:textId="77777777" w:rsidR="00BD673C" w:rsidRPr="005E32AD"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nil"/>
              <w:right w:val="single" w:sz="4" w:space="0" w:color="auto"/>
            </w:tcBorders>
            <w:shd w:val="clear" w:color="auto" w:fill="auto"/>
            <w:noWrap/>
            <w:hideMark/>
          </w:tcPr>
          <w:p w14:paraId="49CE80C1"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single" w:sz="4" w:space="0" w:color="auto"/>
              <w:bottom w:val="nil"/>
              <w:right w:val="nil"/>
            </w:tcBorders>
            <w:shd w:val="clear" w:color="auto" w:fill="auto"/>
            <w:noWrap/>
            <w:vAlign w:val="center"/>
            <w:hideMark/>
          </w:tcPr>
          <w:p w14:paraId="122E44F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41</w:t>
            </w:r>
          </w:p>
        </w:tc>
        <w:tc>
          <w:tcPr>
            <w:tcW w:w="558" w:type="pct"/>
            <w:tcBorders>
              <w:top w:val="nil"/>
              <w:left w:val="nil"/>
              <w:bottom w:val="nil"/>
              <w:right w:val="nil"/>
            </w:tcBorders>
            <w:shd w:val="clear" w:color="auto" w:fill="auto"/>
            <w:noWrap/>
            <w:vAlign w:val="center"/>
            <w:hideMark/>
          </w:tcPr>
          <w:p w14:paraId="141914FF"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59.86±31.59 a</w:t>
            </w:r>
          </w:p>
        </w:tc>
        <w:tc>
          <w:tcPr>
            <w:tcW w:w="255" w:type="pct"/>
            <w:tcBorders>
              <w:top w:val="nil"/>
              <w:left w:val="nil"/>
              <w:bottom w:val="nil"/>
              <w:right w:val="nil"/>
            </w:tcBorders>
            <w:shd w:val="clear" w:color="auto" w:fill="auto"/>
            <w:noWrap/>
            <w:vAlign w:val="center"/>
            <w:hideMark/>
          </w:tcPr>
          <w:p w14:paraId="21473CE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82</w:t>
            </w:r>
          </w:p>
        </w:tc>
        <w:tc>
          <w:tcPr>
            <w:tcW w:w="529" w:type="pct"/>
            <w:tcBorders>
              <w:top w:val="nil"/>
              <w:left w:val="nil"/>
              <w:bottom w:val="nil"/>
              <w:right w:val="nil"/>
            </w:tcBorders>
            <w:shd w:val="clear" w:color="auto" w:fill="auto"/>
            <w:noWrap/>
            <w:vAlign w:val="center"/>
            <w:hideMark/>
          </w:tcPr>
          <w:p w14:paraId="44F726B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49.55±33.38 a</w:t>
            </w:r>
          </w:p>
        </w:tc>
      </w:tr>
      <w:tr w:rsidR="00BD673C" w:rsidRPr="005E32AD" w14:paraId="66D5886F" w14:textId="77777777" w:rsidTr="00A74D12">
        <w:trPr>
          <w:trHeight w:val="315"/>
        </w:trPr>
        <w:tc>
          <w:tcPr>
            <w:tcW w:w="457" w:type="pct"/>
            <w:vMerge/>
            <w:tcBorders>
              <w:top w:val="nil"/>
              <w:left w:val="nil"/>
              <w:bottom w:val="single" w:sz="8" w:space="0" w:color="000000"/>
              <w:right w:val="nil"/>
            </w:tcBorders>
            <w:vAlign w:val="center"/>
            <w:hideMark/>
          </w:tcPr>
          <w:p w14:paraId="0038821E"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nil"/>
              <w:right w:val="nil"/>
            </w:tcBorders>
            <w:shd w:val="clear" w:color="auto" w:fill="auto"/>
            <w:noWrap/>
            <w:vAlign w:val="center"/>
            <w:hideMark/>
          </w:tcPr>
          <w:p w14:paraId="12E45B1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Litter (g/m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nil"/>
              <w:right w:val="nil"/>
            </w:tcBorders>
            <w:shd w:val="clear" w:color="auto" w:fill="auto"/>
            <w:vAlign w:val="center"/>
          </w:tcPr>
          <w:p w14:paraId="5D866E6C" w14:textId="77777777" w:rsidR="00BD673C" w:rsidRPr="005E32AD"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nil"/>
              <w:right w:val="nil"/>
            </w:tcBorders>
            <w:shd w:val="clear" w:color="auto" w:fill="auto"/>
            <w:noWrap/>
            <w:hideMark/>
          </w:tcPr>
          <w:p w14:paraId="094705E0"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nil"/>
              <w:bottom w:val="nil"/>
              <w:right w:val="nil"/>
            </w:tcBorders>
            <w:shd w:val="clear" w:color="auto" w:fill="auto"/>
            <w:noWrap/>
            <w:vAlign w:val="center"/>
            <w:hideMark/>
          </w:tcPr>
          <w:p w14:paraId="04B929D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w:t>
            </w:r>
          </w:p>
        </w:tc>
        <w:tc>
          <w:tcPr>
            <w:tcW w:w="558" w:type="pct"/>
            <w:tcBorders>
              <w:top w:val="nil"/>
              <w:left w:val="nil"/>
              <w:bottom w:val="nil"/>
              <w:right w:val="nil"/>
            </w:tcBorders>
            <w:shd w:val="clear" w:color="auto" w:fill="auto"/>
            <w:noWrap/>
            <w:vAlign w:val="center"/>
            <w:hideMark/>
          </w:tcPr>
          <w:p w14:paraId="4E879B56"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15.52</w:t>
            </w:r>
            <w:r w:rsidRPr="005E32AD">
              <w:rPr>
                <w:rFonts w:ascii="等线" w:eastAsia="等线" w:hAnsi="等线" w:hint="eastAsia"/>
                <w:color w:val="000000"/>
                <w:kern w:val="0"/>
                <w:sz w:val="21"/>
                <w:szCs w:val="21"/>
              </w:rPr>
              <w:t>±</w:t>
            </w:r>
            <w:r w:rsidRPr="005E32AD">
              <w:rPr>
                <w:rFonts w:eastAsia="等线"/>
                <w:color w:val="000000"/>
                <w:kern w:val="0"/>
                <w:sz w:val="21"/>
                <w:szCs w:val="21"/>
              </w:rPr>
              <w:t>11.36</w:t>
            </w:r>
          </w:p>
        </w:tc>
        <w:tc>
          <w:tcPr>
            <w:tcW w:w="203" w:type="pct"/>
            <w:tcBorders>
              <w:top w:val="nil"/>
              <w:left w:val="nil"/>
              <w:bottom w:val="nil"/>
              <w:right w:val="nil"/>
            </w:tcBorders>
            <w:shd w:val="clear" w:color="auto" w:fill="auto"/>
            <w:vAlign w:val="center"/>
          </w:tcPr>
          <w:p w14:paraId="435F17D8" w14:textId="77777777" w:rsidR="00BD673C" w:rsidRPr="005E32AD"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nil"/>
              <w:right w:val="single" w:sz="4" w:space="0" w:color="auto"/>
            </w:tcBorders>
            <w:shd w:val="clear" w:color="auto" w:fill="auto"/>
            <w:noWrap/>
            <w:hideMark/>
          </w:tcPr>
          <w:p w14:paraId="32229EFF" w14:textId="77777777" w:rsidR="00BD673C" w:rsidRPr="005E32AD" w:rsidRDefault="00BD673C" w:rsidP="00A74D12">
            <w:pPr>
              <w:widowControl/>
              <w:spacing w:line="240" w:lineRule="auto"/>
              <w:jc w:val="left"/>
              <w:rPr>
                <w:rFonts w:eastAsia="等线"/>
                <w:color w:val="000000"/>
                <w:kern w:val="0"/>
                <w:sz w:val="21"/>
                <w:szCs w:val="21"/>
              </w:rPr>
            </w:pPr>
          </w:p>
        </w:tc>
        <w:tc>
          <w:tcPr>
            <w:tcW w:w="203" w:type="pct"/>
            <w:tcBorders>
              <w:top w:val="nil"/>
              <w:left w:val="single" w:sz="4" w:space="0" w:color="auto"/>
              <w:bottom w:val="nil"/>
              <w:right w:val="nil"/>
            </w:tcBorders>
            <w:shd w:val="clear" w:color="auto" w:fill="auto"/>
            <w:noWrap/>
            <w:vAlign w:val="center"/>
            <w:hideMark/>
          </w:tcPr>
          <w:p w14:paraId="753A7B3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49</w:t>
            </w:r>
          </w:p>
        </w:tc>
        <w:tc>
          <w:tcPr>
            <w:tcW w:w="558" w:type="pct"/>
            <w:tcBorders>
              <w:top w:val="nil"/>
              <w:left w:val="nil"/>
              <w:bottom w:val="nil"/>
              <w:right w:val="nil"/>
            </w:tcBorders>
            <w:shd w:val="clear" w:color="auto" w:fill="auto"/>
            <w:noWrap/>
            <w:vAlign w:val="center"/>
            <w:hideMark/>
          </w:tcPr>
          <w:p w14:paraId="5F950FD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5.44±1.70 a</w:t>
            </w:r>
          </w:p>
        </w:tc>
        <w:tc>
          <w:tcPr>
            <w:tcW w:w="255" w:type="pct"/>
            <w:tcBorders>
              <w:top w:val="nil"/>
              <w:left w:val="nil"/>
              <w:bottom w:val="nil"/>
              <w:right w:val="nil"/>
            </w:tcBorders>
            <w:shd w:val="clear" w:color="auto" w:fill="auto"/>
            <w:noWrap/>
            <w:vAlign w:val="center"/>
            <w:hideMark/>
          </w:tcPr>
          <w:p w14:paraId="748DB3D9"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96</w:t>
            </w:r>
          </w:p>
        </w:tc>
        <w:tc>
          <w:tcPr>
            <w:tcW w:w="529" w:type="pct"/>
            <w:tcBorders>
              <w:top w:val="nil"/>
              <w:left w:val="nil"/>
              <w:bottom w:val="nil"/>
              <w:right w:val="nil"/>
            </w:tcBorders>
            <w:shd w:val="clear" w:color="auto" w:fill="auto"/>
            <w:noWrap/>
            <w:vAlign w:val="center"/>
            <w:hideMark/>
          </w:tcPr>
          <w:p w14:paraId="7B3978A0"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5.73±1.79 a</w:t>
            </w:r>
          </w:p>
        </w:tc>
      </w:tr>
      <w:tr w:rsidR="00BD673C" w:rsidRPr="005E32AD" w14:paraId="7E165C17" w14:textId="77777777" w:rsidTr="00A74D12">
        <w:trPr>
          <w:trHeight w:val="330"/>
        </w:trPr>
        <w:tc>
          <w:tcPr>
            <w:tcW w:w="457" w:type="pct"/>
            <w:vMerge/>
            <w:tcBorders>
              <w:top w:val="nil"/>
              <w:left w:val="nil"/>
              <w:bottom w:val="single" w:sz="8" w:space="0" w:color="000000"/>
              <w:right w:val="nil"/>
            </w:tcBorders>
            <w:vAlign w:val="center"/>
            <w:hideMark/>
          </w:tcPr>
          <w:p w14:paraId="28E00356" w14:textId="77777777" w:rsidR="00BD673C" w:rsidRPr="005E32AD" w:rsidRDefault="00BD673C" w:rsidP="00A74D12">
            <w:pPr>
              <w:widowControl/>
              <w:spacing w:line="240" w:lineRule="auto"/>
              <w:jc w:val="left"/>
              <w:rPr>
                <w:rFonts w:eastAsia="等线"/>
                <w:color w:val="000000"/>
                <w:kern w:val="0"/>
                <w:sz w:val="21"/>
                <w:szCs w:val="21"/>
              </w:rPr>
            </w:pPr>
          </w:p>
        </w:tc>
        <w:tc>
          <w:tcPr>
            <w:tcW w:w="711" w:type="pct"/>
            <w:tcBorders>
              <w:top w:val="nil"/>
              <w:left w:val="nil"/>
              <w:bottom w:val="single" w:sz="8" w:space="0" w:color="auto"/>
              <w:right w:val="nil"/>
            </w:tcBorders>
            <w:shd w:val="clear" w:color="auto" w:fill="auto"/>
            <w:noWrap/>
            <w:vAlign w:val="center"/>
            <w:hideMark/>
          </w:tcPr>
          <w:p w14:paraId="34ECBB22"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UGB (g/m</w:t>
            </w:r>
            <w:r w:rsidRPr="005E32AD">
              <w:rPr>
                <w:rFonts w:eastAsia="等线"/>
                <w:color w:val="000000"/>
                <w:kern w:val="0"/>
                <w:sz w:val="21"/>
                <w:szCs w:val="21"/>
                <w:vertAlign w:val="superscript"/>
              </w:rPr>
              <w:t>2</w:t>
            </w:r>
            <w:r w:rsidRPr="005E32AD">
              <w:rPr>
                <w:rFonts w:eastAsia="等线"/>
                <w:color w:val="000000"/>
                <w:kern w:val="0"/>
                <w:sz w:val="21"/>
                <w:szCs w:val="21"/>
              </w:rPr>
              <w:t>)</w:t>
            </w:r>
          </w:p>
        </w:tc>
        <w:tc>
          <w:tcPr>
            <w:tcW w:w="203" w:type="pct"/>
            <w:tcBorders>
              <w:top w:val="nil"/>
              <w:left w:val="nil"/>
              <w:bottom w:val="single" w:sz="8" w:space="0" w:color="auto"/>
              <w:right w:val="nil"/>
            </w:tcBorders>
            <w:shd w:val="clear" w:color="auto" w:fill="auto"/>
            <w:vAlign w:val="center"/>
          </w:tcPr>
          <w:p w14:paraId="78D3C65D" w14:textId="77777777" w:rsidR="00BD673C" w:rsidRPr="005E32AD" w:rsidRDefault="00BD673C" w:rsidP="00A74D12">
            <w:pPr>
              <w:widowControl/>
              <w:spacing w:line="240" w:lineRule="auto"/>
              <w:jc w:val="left"/>
              <w:rPr>
                <w:rFonts w:eastAsia="等线"/>
                <w:color w:val="000000"/>
                <w:kern w:val="0"/>
                <w:sz w:val="21"/>
                <w:szCs w:val="21"/>
              </w:rPr>
            </w:pPr>
          </w:p>
        </w:tc>
        <w:tc>
          <w:tcPr>
            <w:tcW w:w="559" w:type="pct"/>
            <w:tcBorders>
              <w:top w:val="nil"/>
              <w:left w:val="nil"/>
              <w:bottom w:val="single" w:sz="8" w:space="0" w:color="auto"/>
              <w:right w:val="nil"/>
            </w:tcBorders>
            <w:shd w:val="clear" w:color="auto" w:fill="auto"/>
            <w:noWrap/>
            <w:hideMark/>
          </w:tcPr>
          <w:p w14:paraId="6F6DD4C5" w14:textId="77777777" w:rsidR="00BD673C" w:rsidRPr="005E32AD" w:rsidRDefault="00BD673C" w:rsidP="00A74D12">
            <w:pPr>
              <w:widowControl/>
              <w:spacing w:line="240" w:lineRule="auto"/>
              <w:jc w:val="left"/>
              <w:rPr>
                <w:rFonts w:ascii="等线" w:eastAsia="等线" w:hAnsi="等线" w:cs="宋体"/>
                <w:color w:val="000000"/>
                <w:kern w:val="0"/>
                <w:sz w:val="21"/>
                <w:szCs w:val="21"/>
              </w:rPr>
            </w:pPr>
          </w:p>
        </w:tc>
        <w:tc>
          <w:tcPr>
            <w:tcW w:w="203" w:type="pct"/>
            <w:tcBorders>
              <w:top w:val="nil"/>
              <w:left w:val="nil"/>
              <w:bottom w:val="single" w:sz="8" w:space="0" w:color="auto"/>
              <w:right w:val="nil"/>
            </w:tcBorders>
            <w:shd w:val="clear" w:color="auto" w:fill="auto"/>
            <w:noWrap/>
            <w:vAlign w:val="center"/>
            <w:hideMark/>
          </w:tcPr>
          <w:p w14:paraId="6388747D"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26</w:t>
            </w:r>
          </w:p>
        </w:tc>
        <w:tc>
          <w:tcPr>
            <w:tcW w:w="558" w:type="pct"/>
            <w:tcBorders>
              <w:top w:val="nil"/>
              <w:left w:val="nil"/>
              <w:bottom w:val="single" w:sz="8" w:space="0" w:color="auto"/>
              <w:right w:val="nil"/>
            </w:tcBorders>
            <w:shd w:val="clear" w:color="auto" w:fill="auto"/>
            <w:noWrap/>
            <w:vAlign w:val="center"/>
            <w:hideMark/>
          </w:tcPr>
          <w:p w14:paraId="04E9C10C"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33.59</w:t>
            </w:r>
            <w:r w:rsidRPr="005E32AD">
              <w:rPr>
                <w:rFonts w:ascii="等线" w:eastAsia="等线" w:hAnsi="等线" w:hint="eastAsia"/>
                <w:color w:val="000000"/>
                <w:kern w:val="0"/>
                <w:sz w:val="21"/>
                <w:szCs w:val="21"/>
              </w:rPr>
              <w:t>±</w:t>
            </w:r>
            <w:r w:rsidRPr="005E32AD">
              <w:rPr>
                <w:rFonts w:eastAsia="等线"/>
                <w:color w:val="000000"/>
                <w:kern w:val="0"/>
                <w:sz w:val="21"/>
                <w:szCs w:val="21"/>
              </w:rPr>
              <w:t>21.50</w:t>
            </w:r>
          </w:p>
        </w:tc>
        <w:tc>
          <w:tcPr>
            <w:tcW w:w="203" w:type="pct"/>
            <w:tcBorders>
              <w:top w:val="nil"/>
              <w:left w:val="nil"/>
              <w:bottom w:val="single" w:sz="8" w:space="0" w:color="auto"/>
              <w:right w:val="nil"/>
            </w:tcBorders>
            <w:shd w:val="clear" w:color="auto" w:fill="auto"/>
            <w:vAlign w:val="center"/>
          </w:tcPr>
          <w:p w14:paraId="169F907A" w14:textId="77777777" w:rsidR="00BD673C" w:rsidRPr="005E32AD" w:rsidRDefault="00BD673C" w:rsidP="00A74D12">
            <w:pPr>
              <w:widowControl/>
              <w:spacing w:line="240" w:lineRule="auto"/>
              <w:jc w:val="left"/>
              <w:rPr>
                <w:rFonts w:eastAsia="等线"/>
                <w:color w:val="000000"/>
                <w:kern w:val="0"/>
                <w:sz w:val="21"/>
                <w:szCs w:val="21"/>
              </w:rPr>
            </w:pPr>
          </w:p>
        </w:tc>
        <w:tc>
          <w:tcPr>
            <w:tcW w:w="561" w:type="pct"/>
            <w:tcBorders>
              <w:top w:val="nil"/>
              <w:left w:val="nil"/>
              <w:bottom w:val="single" w:sz="8" w:space="0" w:color="auto"/>
              <w:right w:val="single" w:sz="4" w:space="0" w:color="auto"/>
            </w:tcBorders>
            <w:shd w:val="clear" w:color="auto" w:fill="auto"/>
            <w:noWrap/>
            <w:hideMark/>
          </w:tcPr>
          <w:p w14:paraId="027644C2" w14:textId="77777777" w:rsidR="00BD673C" w:rsidRPr="005E32AD" w:rsidRDefault="00BD673C" w:rsidP="00A74D12">
            <w:pPr>
              <w:widowControl/>
              <w:spacing w:line="240" w:lineRule="auto"/>
              <w:jc w:val="left"/>
              <w:rPr>
                <w:rFonts w:ascii="等线" w:eastAsia="等线" w:hAnsi="等线" w:cs="宋体"/>
                <w:color w:val="000000"/>
                <w:kern w:val="0"/>
                <w:sz w:val="21"/>
                <w:szCs w:val="21"/>
              </w:rPr>
            </w:pPr>
          </w:p>
        </w:tc>
        <w:tc>
          <w:tcPr>
            <w:tcW w:w="203" w:type="pct"/>
            <w:tcBorders>
              <w:top w:val="nil"/>
              <w:left w:val="single" w:sz="4" w:space="0" w:color="auto"/>
              <w:bottom w:val="single" w:sz="8" w:space="0" w:color="auto"/>
              <w:right w:val="nil"/>
            </w:tcBorders>
            <w:shd w:val="clear" w:color="auto" w:fill="auto"/>
            <w:noWrap/>
            <w:vAlign w:val="center"/>
            <w:hideMark/>
          </w:tcPr>
          <w:p w14:paraId="0E386EF1"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41</w:t>
            </w:r>
          </w:p>
        </w:tc>
        <w:tc>
          <w:tcPr>
            <w:tcW w:w="558" w:type="pct"/>
            <w:tcBorders>
              <w:top w:val="nil"/>
              <w:left w:val="nil"/>
              <w:bottom w:val="single" w:sz="8" w:space="0" w:color="auto"/>
              <w:right w:val="nil"/>
            </w:tcBorders>
            <w:shd w:val="clear" w:color="auto" w:fill="auto"/>
            <w:noWrap/>
            <w:vAlign w:val="center"/>
            <w:hideMark/>
          </w:tcPr>
          <w:p w14:paraId="2604CA54"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62.48±55.28 a</w:t>
            </w:r>
          </w:p>
        </w:tc>
        <w:tc>
          <w:tcPr>
            <w:tcW w:w="255" w:type="pct"/>
            <w:tcBorders>
              <w:top w:val="nil"/>
              <w:left w:val="nil"/>
              <w:bottom w:val="single" w:sz="8" w:space="0" w:color="auto"/>
              <w:right w:val="nil"/>
            </w:tcBorders>
            <w:shd w:val="clear" w:color="auto" w:fill="auto"/>
            <w:noWrap/>
            <w:vAlign w:val="center"/>
            <w:hideMark/>
          </w:tcPr>
          <w:p w14:paraId="20D2BA88"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82</w:t>
            </w:r>
          </w:p>
        </w:tc>
        <w:tc>
          <w:tcPr>
            <w:tcW w:w="529" w:type="pct"/>
            <w:tcBorders>
              <w:top w:val="nil"/>
              <w:left w:val="nil"/>
              <w:bottom w:val="single" w:sz="8" w:space="0" w:color="auto"/>
              <w:right w:val="nil"/>
            </w:tcBorders>
            <w:shd w:val="clear" w:color="auto" w:fill="auto"/>
            <w:noWrap/>
            <w:vAlign w:val="center"/>
            <w:hideMark/>
          </w:tcPr>
          <w:p w14:paraId="4F4AA7DB" w14:textId="77777777" w:rsidR="00BD673C" w:rsidRPr="005E32AD" w:rsidRDefault="00BD673C" w:rsidP="00A74D12">
            <w:pPr>
              <w:widowControl/>
              <w:spacing w:line="240" w:lineRule="auto"/>
              <w:jc w:val="left"/>
              <w:rPr>
                <w:rFonts w:eastAsia="等线"/>
                <w:color w:val="000000"/>
                <w:kern w:val="0"/>
                <w:sz w:val="21"/>
                <w:szCs w:val="21"/>
              </w:rPr>
            </w:pPr>
            <w:r w:rsidRPr="005E32AD">
              <w:rPr>
                <w:rFonts w:eastAsia="等线"/>
                <w:color w:val="000000"/>
                <w:kern w:val="0"/>
                <w:sz w:val="21"/>
                <w:szCs w:val="21"/>
              </w:rPr>
              <w:t>50.05±22.76 a</w:t>
            </w:r>
          </w:p>
        </w:tc>
      </w:tr>
    </w:tbl>
    <w:p w14:paraId="3AD7CEE6" w14:textId="7BD904FE" w:rsidR="00BD673C" w:rsidRDefault="00BD673C" w:rsidP="00A74D12">
      <w:pPr>
        <w:jc w:val="left"/>
        <w:rPr>
          <w:sz w:val="21"/>
          <w:szCs w:val="21"/>
        </w:rPr>
        <w:sectPr w:rsidR="00BD673C" w:rsidSect="00A74D12">
          <w:pgSz w:w="16838" w:h="11906" w:orient="landscape"/>
          <w:pgMar w:top="1800" w:right="1440" w:bottom="1800" w:left="1440" w:header="851" w:footer="992" w:gutter="0"/>
          <w:lnNumType w:countBy="1" w:restart="continuous"/>
          <w:cols w:space="425"/>
          <w:docGrid w:type="lines" w:linePitch="326"/>
        </w:sectPr>
      </w:pPr>
      <w:r w:rsidRPr="007E5B44">
        <w:rPr>
          <w:sz w:val="21"/>
          <w:szCs w:val="21"/>
        </w:rPr>
        <w:t>Notes: Vegetation attributes include diversity, density, dominant species height (Height), coverage, aboveground biomass (AGB), litter mass (Litter), and underground biomass (UGB) of grass and shrub. Means (± standard error) followed by the same letters indicate insignificant difference</w:t>
      </w:r>
      <w:r>
        <w:rPr>
          <w:sz w:val="21"/>
          <w:szCs w:val="21"/>
        </w:rPr>
        <w:t>s</w:t>
      </w:r>
      <w:r w:rsidRPr="007E5B44">
        <w:rPr>
          <w:sz w:val="21"/>
          <w:szCs w:val="21"/>
        </w:rPr>
        <w:t xml:space="preserve"> among the sandy steppe, fixed dune and moving dune</w:t>
      </w:r>
      <w:r>
        <w:rPr>
          <w:sz w:val="21"/>
          <w:szCs w:val="21"/>
        </w:rPr>
        <w:t>,</w:t>
      </w:r>
      <w:r w:rsidRPr="008F42AD">
        <w:rPr>
          <w:sz w:val="21"/>
          <w:szCs w:val="21"/>
        </w:rPr>
        <w:t xml:space="preserve"> </w:t>
      </w:r>
      <w:r>
        <w:rPr>
          <w:sz w:val="21"/>
          <w:szCs w:val="21"/>
        </w:rPr>
        <w:t xml:space="preserve">and among the natural vegetation </w:t>
      </w:r>
      <w:r w:rsidRPr="007E5B44">
        <w:rPr>
          <w:sz w:val="21"/>
          <w:szCs w:val="21"/>
        </w:rPr>
        <w:t xml:space="preserve">and artificial </w:t>
      </w:r>
      <w:r>
        <w:rPr>
          <w:sz w:val="21"/>
          <w:szCs w:val="21"/>
        </w:rPr>
        <w:t>vegetation</w:t>
      </w:r>
      <w:r w:rsidRPr="007E5B44">
        <w:rPr>
          <w:sz w:val="21"/>
          <w:szCs w:val="21"/>
        </w:rPr>
        <w:t xml:space="preserve"> at p&gt;0.05. N is the replication. </w:t>
      </w:r>
    </w:p>
    <w:p w14:paraId="042920CE" w14:textId="77777777" w:rsidR="00BD673C" w:rsidRDefault="00BD673C" w:rsidP="00A74D12">
      <w:pPr>
        <w:pStyle w:val="1"/>
        <w:spacing w:before="156" w:after="156"/>
        <w:jc w:val="left"/>
      </w:pPr>
      <w:r>
        <w:lastRenderedPageBreak/>
        <w:t>Supplementary information</w:t>
      </w:r>
    </w:p>
    <w:p w14:paraId="38DC2ABF" w14:textId="77777777" w:rsidR="00BD673C" w:rsidRDefault="00BD673C" w:rsidP="008478B8">
      <w:pPr>
        <w:jc w:val="center"/>
      </w:pPr>
      <w:r>
        <w:rPr>
          <w:noProof/>
        </w:rPr>
        <w:drawing>
          <wp:inline distT="0" distB="0" distL="0" distR="0" wp14:anchorId="30CA80AC" wp14:editId="63B715E8">
            <wp:extent cx="3240000" cy="3255702"/>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40000" cy="3255702"/>
                    </a:xfrm>
                    <a:prstGeom prst="rect">
                      <a:avLst/>
                    </a:prstGeom>
                    <a:noFill/>
                  </pic:spPr>
                </pic:pic>
              </a:graphicData>
            </a:graphic>
          </wp:inline>
        </w:drawing>
      </w:r>
    </w:p>
    <w:p w14:paraId="7160A5CB" w14:textId="77777777" w:rsidR="00BD673C" w:rsidRPr="007E5B44" w:rsidRDefault="00BD673C" w:rsidP="00A74D12">
      <w:pPr>
        <w:jc w:val="left"/>
        <w:rPr>
          <w:b/>
          <w:sz w:val="21"/>
          <w:szCs w:val="21"/>
        </w:rPr>
      </w:pPr>
      <w:r>
        <w:rPr>
          <w:b/>
          <w:sz w:val="21"/>
          <w:szCs w:val="21"/>
        </w:rPr>
        <w:t>Fig. S1</w:t>
      </w:r>
      <w:r w:rsidRPr="007E5B44">
        <w:rPr>
          <w:b/>
          <w:sz w:val="21"/>
          <w:szCs w:val="21"/>
        </w:rPr>
        <w:t>.</w:t>
      </w:r>
      <w:r w:rsidRPr="007E5B44">
        <w:rPr>
          <w:sz w:val="21"/>
          <w:szCs w:val="21"/>
        </w:rPr>
        <w:t xml:space="preserve"> The sub-plot layout strategy </w:t>
      </w:r>
      <w:r>
        <w:rPr>
          <w:sz w:val="21"/>
          <w:szCs w:val="21"/>
        </w:rPr>
        <w:t xml:space="preserve">was </w:t>
      </w:r>
      <w:r w:rsidRPr="007E5B44">
        <w:rPr>
          <w:sz w:val="21"/>
          <w:szCs w:val="21"/>
        </w:rPr>
        <w:t>used in soil and vegetation sampling</w:t>
      </w:r>
      <w:r>
        <w:rPr>
          <w:sz w:val="21"/>
          <w:szCs w:val="21"/>
        </w:rPr>
        <w:t>, with</w:t>
      </w:r>
      <w:r w:rsidRPr="007E5B44">
        <w:rPr>
          <w:sz w:val="21"/>
          <w:szCs w:val="21"/>
        </w:rPr>
        <w:t xml:space="preserve"> enclosure lands not drawn to scale. </w:t>
      </w:r>
      <w:r w:rsidRPr="007E5B44">
        <w:rPr>
          <w:sz w:val="21"/>
          <w:szCs w:val="21"/>
        </w:rPr>
        <w:br w:type="page"/>
      </w:r>
    </w:p>
    <w:p w14:paraId="23C556BB" w14:textId="77777777" w:rsidR="00BD673C" w:rsidRPr="007E5B44" w:rsidRDefault="00BD673C" w:rsidP="00A74D12">
      <w:pPr>
        <w:jc w:val="left"/>
        <w:rPr>
          <w:sz w:val="21"/>
          <w:szCs w:val="21"/>
        </w:rPr>
      </w:pPr>
      <w:r w:rsidRPr="007E5B44">
        <w:rPr>
          <w:b/>
          <w:sz w:val="21"/>
          <w:szCs w:val="21"/>
        </w:rPr>
        <w:lastRenderedPageBreak/>
        <w:t xml:space="preserve">Table </w:t>
      </w:r>
      <w:r>
        <w:rPr>
          <w:b/>
          <w:sz w:val="21"/>
          <w:szCs w:val="21"/>
        </w:rPr>
        <w:t>S</w:t>
      </w:r>
      <w:r w:rsidRPr="007E5B44">
        <w:rPr>
          <w:b/>
          <w:sz w:val="21"/>
          <w:szCs w:val="21"/>
        </w:rPr>
        <w:t>1.</w:t>
      </w:r>
      <w:r w:rsidRPr="007E5B44">
        <w:rPr>
          <w:sz w:val="21"/>
          <w:szCs w:val="21"/>
        </w:rPr>
        <w:t xml:space="preserve"> Site information of the two CERN desert research stations (NMD and SPD) in China’s drylands.</w:t>
      </w:r>
    </w:p>
    <w:tbl>
      <w:tblPr>
        <w:tblStyle w:val="1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877"/>
        <w:gridCol w:w="2877"/>
      </w:tblGrid>
      <w:tr w:rsidR="00BD673C" w:rsidRPr="00095C5F" w14:paraId="76952288" w14:textId="77777777" w:rsidTr="00A74D12">
        <w:trPr>
          <w:trHeight w:val="68"/>
          <w:tblHeader/>
        </w:trPr>
        <w:tc>
          <w:tcPr>
            <w:tcW w:w="1536" w:type="pct"/>
            <w:tcBorders>
              <w:top w:val="single" w:sz="8" w:space="0" w:color="auto"/>
              <w:right w:val="single" w:sz="4" w:space="0" w:color="auto"/>
            </w:tcBorders>
            <w:vAlign w:val="center"/>
          </w:tcPr>
          <w:p w14:paraId="649D12AE" w14:textId="77777777" w:rsidR="00BD673C" w:rsidRPr="007E5B44" w:rsidRDefault="00BD673C" w:rsidP="00A74D12">
            <w:pPr>
              <w:spacing w:line="240" w:lineRule="auto"/>
              <w:jc w:val="left"/>
              <w:rPr>
                <w:sz w:val="21"/>
                <w:szCs w:val="21"/>
              </w:rPr>
            </w:pPr>
            <w:r w:rsidRPr="007E5B44">
              <w:rPr>
                <w:sz w:val="21"/>
                <w:szCs w:val="21"/>
              </w:rPr>
              <w:t>Abbreviation</w:t>
            </w:r>
          </w:p>
        </w:tc>
        <w:tc>
          <w:tcPr>
            <w:tcW w:w="1732" w:type="pct"/>
            <w:tcBorders>
              <w:top w:val="single" w:sz="8" w:space="0" w:color="auto"/>
            </w:tcBorders>
            <w:vAlign w:val="center"/>
          </w:tcPr>
          <w:p w14:paraId="78E299BD" w14:textId="77777777" w:rsidR="00BD673C" w:rsidRPr="007E5B44" w:rsidRDefault="00BD673C" w:rsidP="00A74D12">
            <w:pPr>
              <w:spacing w:line="240" w:lineRule="auto"/>
              <w:jc w:val="left"/>
              <w:rPr>
                <w:sz w:val="21"/>
                <w:szCs w:val="21"/>
              </w:rPr>
            </w:pPr>
            <w:r w:rsidRPr="007E5B44">
              <w:rPr>
                <w:sz w:val="21"/>
                <w:szCs w:val="21"/>
              </w:rPr>
              <w:t>NMD</w:t>
            </w:r>
          </w:p>
        </w:tc>
        <w:tc>
          <w:tcPr>
            <w:tcW w:w="1732" w:type="pct"/>
            <w:tcBorders>
              <w:top w:val="single" w:sz="8" w:space="0" w:color="auto"/>
            </w:tcBorders>
            <w:vAlign w:val="center"/>
          </w:tcPr>
          <w:p w14:paraId="2830E385" w14:textId="77777777" w:rsidR="00BD673C" w:rsidRPr="007E5B44" w:rsidRDefault="00BD673C" w:rsidP="00A74D12">
            <w:pPr>
              <w:spacing w:line="240" w:lineRule="auto"/>
              <w:jc w:val="left"/>
              <w:rPr>
                <w:sz w:val="21"/>
                <w:szCs w:val="21"/>
              </w:rPr>
            </w:pPr>
            <w:r w:rsidRPr="007E5B44">
              <w:rPr>
                <w:sz w:val="21"/>
                <w:szCs w:val="21"/>
              </w:rPr>
              <w:t>SPD</w:t>
            </w:r>
          </w:p>
        </w:tc>
      </w:tr>
      <w:tr w:rsidR="00BD673C" w:rsidRPr="00095C5F" w14:paraId="5194978C" w14:textId="77777777" w:rsidTr="00A74D12">
        <w:trPr>
          <w:trHeight w:val="2170"/>
        </w:trPr>
        <w:tc>
          <w:tcPr>
            <w:tcW w:w="1536" w:type="pct"/>
            <w:tcBorders>
              <w:top w:val="single" w:sz="8" w:space="0" w:color="auto"/>
              <w:right w:val="single" w:sz="4" w:space="0" w:color="auto"/>
            </w:tcBorders>
            <w:vAlign w:val="center"/>
          </w:tcPr>
          <w:p w14:paraId="525AA49B" w14:textId="77777777" w:rsidR="00BD673C" w:rsidRPr="007E5B44" w:rsidRDefault="00BD673C" w:rsidP="00A74D12">
            <w:pPr>
              <w:spacing w:line="240" w:lineRule="auto"/>
              <w:jc w:val="left"/>
              <w:rPr>
                <w:sz w:val="21"/>
                <w:szCs w:val="21"/>
              </w:rPr>
            </w:pPr>
            <w:r w:rsidRPr="007E5B44">
              <w:rPr>
                <w:sz w:val="21"/>
                <w:szCs w:val="21"/>
              </w:rPr>
              <w:t>Ecosystem Research Station</w:t>
            </w:r>
          </w:p>
        </w:tc>
        <w:tc>
          <w:tcPr>
            <w:tcW w:w="1732" w:type="pct"/>
            <w:tcBorders>
              <w:top w:val="single" w:sz="8" w:space="0" w:color="auto"/>
            </w:tcBorders>
            <w:vAlign w:val="center"/>
          </w:tcPr>
          <w:p w14:paraId="7A69A90B" w14:textId="77777777" w:rsidR="00BD673C" w:rsidRPr="007E5B44" w:rsidRDefault="00BD673C" w:rsidP="00A74D12">
            <w:pPr>
              <w:spacing w:line="240" w:lineRule="auto"/>
              <w:jc w:val="left"/>
              <w:rPr>
                <w:sz w:val="21"/>
                <w:szCs w:val="21"/>
              </w:rPr>
            </w:pPr>
            <w:r w:rsidRPr="007E5B44">
              <w:rPr>
                <w:sz w:val="21"/>
                <w:szCs w:val="21"/>
              </w:rPr>
              <w:t>Naiman Desertification Research Station</w:t>
            </w:r>
          </w:p>
        </w:tc>
        <w:tc>
          <w:tcPr>
            <w:tcW w:w="1732" w:type="pct"/>
            <w:tcBorders>
              <w:top w:val="single" w:sz="8" w:space="0" w:color="auto"/>
            </w:tcBorders>
            <w:vAlign w:val="center"/>
          </w:tcPr>
          <w:p w14:paraId="428709ED" w14:textId="77777777" w:rsidR="00BD673C" w:rsidRPr="007E5B44" w:rsidRDefault="00BD673C" w:rsidP="00A74D12">
            <w:pPr>
              <w:spacing w:line="240" w:lineRule="auto"/>
              <w:jc w:val="left"/>
              <w:rPr>
                <w:sz w:val="21"/>
                <w:szCs w:val="21"/>
              </w:rPr>
            </w:pPr>
            <w:r w:rsidRPr="007E5B44">
              <w:rPr>
                <w:sz w:val="21"/>
                <w:szCs w:val="21"/>
              </w:rPr>
              <w:t>Shapotou Desert Ecological Research Station</w:t>
            </w:r>
          </w:p>
        </w:tc>
      </w:tr>
      <w:tr w:rsidR="00BD673C" w:rsidRPr="00095C5F" w14:paraId="6EBC048C" w14:textId="77777777" w:rsidTr="00A74D12">
        <w:trPr>
          <w:trHeight w:val="550"/>
        </w:trPr>
        <w:tc>
          <w:tcPr>
            <w:tcW w:w="1536" w:type="pct"/>
            <w:tcBorders>
              <w:right w:val="single" w:sz="4" w:space="0" w:color="auto"/>
            </w:tcBorders>
            <w:vAlign w:val="center"/>
          </w:tcPr>
          <w:p w14:paraId="4C86B684" w14:textId="77777777" w:rsidR="00BD673C" w:rsidRPr="007E5B44" w:rsidRDefault="00BD673C" w:rsidP="00A74D12">
            <w:pPr>
              <w:spacing w:line="240" w:lineRule="auto"/>
              <w:jc w:val="left"/>
              <w:rPr>
                <w:sz w:val="21"/>
                <w:szCs w:val="21"/>
              </w:rPr>
            </w:pPr>
            <w:r w:rsidRPr="007E5B44">
              <w:rPr>
                <w:sz w:val="21"/>
                <w:szCs w:val="21"/>
              </w:rPr>
              <w:t>Location</w:t>
            </w:r>
          </w:p>
        </w:tc>
        <w:tc>
          <w:tcPr>
            <w:tcW w:w="1732" w:type="pct"/>
            <w:vAlign w:val="center"/>
          </w:tcPr>
          <w:p w14:paraId="6714CBEE" w14:textId="77777777" w:rsidR="00BD673C" w:rsidRPr="007E5B44" w:rsidRDefault="00BD673C" w:rsidP="00A74D12">
            <w:pPr>
              <w:spacing w:line="240" w:lineRule="auto"/>
              <w:jc w:val="left"/>
              <w:rPr>
                <w:sz w:val="21"/>
                <w:szCs w:val="21"/>
              </w:rPr>
            </w:pPr>
            <w:r w:rsidRPr="007E5B44">
              <w:rPr>
                <w:sz w:val="21"/>
                <w:szCs w:val="21"/>
              </w:rPr>
              <w:t>Horqin Desert</w:t>
            </w:r>
          </w:p>
        </w:tc>
        <w:tc>
          <w:tcPr>
            <w:tcW w:w="1732" w:type="pct"/>
            <w:vAlign w:val="center"/>
          </w:tcPr>
          <w:p w14:paraId="23E04B78" w14:textId="77777777" w:rsidR="00BD673C" w:rsidRPr="007E5B44" w:rsidRDefault="00BD673C" w:rsidP="00A74D12">
            <w:pPr>
              <w:spacing w:line="240" w:lineRule="auto"/>
              <w:jc w:val="left"/>
              <w:rPr>
                <w:sz w:val="21"/>
                <w:szCs w:val="21"/>
              </w:rPr>
            </w:pPr>
            <w:r w:rsidRPr="007E5B44">
              <w:rPr>
                <w:sz w:val="21"/>
                <w:szCs w:val="21"/>
              </w:rPr>
              <w:t>Tenger Desert</w:t>
            </w:r>
          </w:p>
        </w:tc>
      </w:tr>
      <w:tr w:rsidR="00BD673C" w:rsidRPr="00095C5F" w14:paraId="40D41FE0" w14:textId="77777777" w:rsidTr="00A74D12">
        <w:trPr>
          <w:trHeight w:val="290"/>
        </w:trPr>
        <w:tc>
          <w:tcPr>
            <w:tcW w:w="1536" w:type="pct"/>
            <w:tcBorders>
              <w:right w:val="single" w:sz="4" w:space="0" w:color="auto"/>
            </w:tcBorders>
            <w:vAlign w:val="center"/>
          </w:tcPr>
          <w:p w14:paraId="3E07536A" w14:textId="77777777" w:rsidR="00BD673C" w:rsidRPr="007E5B44" w:rsidRDefault="00BD673C" w:rsidP="00A74D12">
            <w:pPr>
              <w:spacing w:line="240" w:lineRule="auto"/>
              <w:jc w:val="left"/>
              <w:rPr>
                <w:sz w:val="21"/>
                <w:szCs w:val="21"/>
              </w:rPr>
            </w:pPr>
            <w:r w:rsidRPr="007E5B44">
              <w:rPr>
                <w:sz w:val="21"/>
                <w:szCs w:val="21"/>
              </w:rPr>
              <w:t>Latitude and longitude</w:t>
            </w:r>
          </w:p>
        </w:tc>
        <w:tc>
          <w:tcPr>
            <w:tcW w:w="1732" w:type="pct"/>
            <w:vAlign w:val="center"/>
          </w:tcPr>
          <w:p w14:paraId="3A17DA5B" w14:textId="77777777" w:rsidR="00BD673C" w:rsidRPr="007E5B44" w:rsidRDefault="00BD673C" w:rsidP="00A74D12">
            <w:pPr>
              <w:spacing w:line="240" w:lineRule="auto"/>
              <w:jc w:val="left"/>
              <w:rPr>
                <w:sz w:val="21"/>
                <w:szCs w:val="21"/>
              </w:rPr>
            </w:pPr>
            <w:r w:rsidRPr="007E5B44">
              <w:rPr>
                <w:sz w:val="21"/>
                <w:szCs w:val="21"/>
              </w:rPr>
              <w:t>120</w:t>
            </w:r>
            <w:r w:rsidRPr="007E5B44">
              <w:rPr>
                <w:rFonts w:hint="eastAsia"/>
                <w:sz w:val="21"/>
                <w:szCs w:val="21"/>
              </w:rPr>
              <w:t>°</w:t>
            </w:r>
            <w:r w:rsidRPr="007E5B44">
              <w:rPr>
                <w:sz w:val="21"/>
                <w:szCs w:val="21"/>
              </w:rPr>
              <w:t>42</w:t>
            </w:r>
            <w:r w:rsidRPr="007E5B44">
              <w:rPr>
                <w:rFonts w:hint="eastAsia"/>
                <w:sz w:val="21"/>
                <w:szCs w:val="21"/>
              </w:rPr>
              <w:t>′</w:t>
            </w:r>
            <w:r w:rsidRPr="007E5B44">
              <w:rPr>
                <w:sz w:val="21"/>
                <w:szCs w:val="21"/>
              </w:rPr>
              <w:t>E, 43</w:t>
            </w:r>
            <w:r w:rsidRPr="007E5B44">
              <w:rPr>
                <w:rFonts w:hint="eastAsia"/>
                <w:sz w:val="21"/>
                <w:szCs w:val="21"/>
              </w:rPr>
              <w:t>°</w:t>
            </w:r>
            <w:r w:rsidRPr="007E5B44">
              <w:rPr>
                <w:sz w:val="21"/>
                <w:szCs w:val="21"/>
              </w:rPr>
              <w:t>55</w:t>
            </w:r>
            <w:r w:rsidRPr="007E5B44">
              <w:rPr>
                <w:rFonts w:hint="eastAsia"/>
                <w:sz w:val="21"/>
                <w:szCs w:val="21"/>
              </w:rPr>
              <w:t>′</w:t>
            </w:r>
            <w:r w:rsidRPr="007E5B44">
              <w:rPr>
                <w:sz w:val="21"/>
                <w:szCs w:val="21"/>
              </w:rPr>
              <w:t>N</w:t>
            </w:r>
          </w:p>
        </w:tc>
        <w:tc>
          <w:tcPr>
            <w:tcW w:w="1732" w:type="pct"/>
            <w:vAlign w:val="center"/>
          </w:tcPr>
          <w:p w14:paraId="4020AE86" w14:textId="77777777" w:rsidR="00BD673C" w:rsidRPr="007E5B44" w:rsidRDefault="00BD673C" w:rsidP="00A74D12">
            <w:pPr>
              <w:spacing w:line="240" w:lineRule="auto"/>
              <w:jc w:val="left"/>
              <w:rPr>
                <w:sz w:val="21"/>
                <w:szCs w:val="21"/>
              </w:rPr>
            </w:pPr>
            <w:r w:rsidRPr="007E5B44">
              <w:rPr>
                <w:sz w:val="21"/>
                <w:szCs w:val="21"/>
              </w:rPr>
              <w:t>104</w:t>
            </w:r>
            <w:r w:rsidRPr="007E5B44">
              <w:rPr>
                <w:rFonts w:hint="eastAsia"/>
                <w:sz w:val="21"/>
                <w:szCs w:val="21"/>
              </w:rPr>
              <w:t>°</w:t>
            </w:r>
            <w:r w:rsidRPr="007E5B44">
              <w:rPr>
                <w:sz w:val="21"/>
                <w:szCs w:val="21"/>
              </w:rPr>
              <w:t>57</w:t>
            </w:r>
            <w:r w:rsidRPr="007E5B44">
              <w:rPr>
                <w:rFonts w:hint="eastAsia"/>
                <w:sz w:val="21"/>
                <w:szCs w:val="21"/>
              </w:rPr>
              <w:t>′</w:t>
            </w:r>
            <w:r w:rsidRPr="007E5B44">
              <w:rPr>
                <w:sz w:val="21"/>
                <w:szCs w:val="21"/>
              </w:rPr>
              <w:t>E, 37</w:t>
            </w:r>
            <w:r w:rsidRPr="007E5B44">
              <w:rPr>
                <w:rFonts w:hint="eastAsia"/>
                <w:sz w:val="21"/>
                <w:szCs w:val="21"/>
              </w:rPr>
              <w:t>°</w:t>
            </w:r>
            <w:r w:rsidRPr="007E5B44">
              <w:rPr>
                <w:sz w:val="21"/>
                <w:szCs w:val="21"/>
              </w:rPr>
              <w:t>27</w:t>
            </w:r>
            <w:r w:rsidRPr="007E5B44">
              <w:rPr>
                <w:rFonts w:hint="eastAsia"/>
                <w:sz w:val="21"/>
                <w:szCs w:val="21"/>
              </w:rPr>
              <w:t>′</w:t>
            </w:r>
            <w:r w:rsidRPr="007E5B44">
              <w:rPr>
                <w:sz w:val="21"/>
                <w:szCs w:val="21"/>
              </w:rPr>
              <w:t>N</w:t>
            </w:r>
          </w:p>
        </w:tc>
      </w:tr>
      <w:tr w:rsidR="00BD673C" w:rsidRPr="00095C5F" w14:paraId="1863798E" w14:textId="77777777" w:rsidTr="00A74D12">
        <w:trPr>
          <w:trHeight w:val="290"/>
        </w:trPr>
        <w:tc>
          <w:tcPr>
            <w:tcW w:w="1536" w:type="pct"/>
            <w:tcBorders>
              <w:right w:val="single" w:sz="4" w:space="0" w:color="auto"/>
            </w:tcBorders>
            <w:vAlign w:val="center"/>
          </w:tcPr>
          <w:p w14:paraId="24D79C02" w14:textId="77777777" w:rsidR="00BD673C" w:rsidRPr="007E5B44" w:rsidRDefault="00BD673C" w:rsidP="00A74D12">
            <w:pPr>
              <w:spacing w:line="240" w:lineRule="auto"/>
              <w:jc w:val="left"/>
              <w:rPr>
                <w:sz w:val="21"/>
                <w:szCs w:val="21"/>
              </w:rPr>
            </w:pPr>
            <w:r w:rsidRPr="007E5B44">
              <w:rPr>
                <w:sz w:val="21"/>
                <w:szCs w:val="21"/>
              </w:rPr>
              <w:t>Elevation (m)</w:t>
            </w:r>
          </w:p>
        </w:tc>
        <w:tc>
          <w:tcPr>
            <w:tcW w:w="1732" w:type="pct"/>
            <w:vAlign w:val="center"/>
          </w:tcPr>
          <w:p w14:paraId="7E88C513" w14:textId="77777777" w:rsidR="00BD673C" w:rsidRPr="007E5B44" w:rsidRDefault="00BD673C" w:rsidP="00A74D12">
            <w:pPr>
              <w:spacing w:line="240" w:lineRule="auto"/>
              <w:jc w:val="left"/>
              <w:rPr>
                <w:sz w:val="21"/>
                <w:szCs w:val="21"/>
              </w:rPr>
            </w:pPr>
            <w:r w:rsidRPr="007E5B44">
              <w:rPr>
                <w:sz w:val="21"/>
                <w:szCs w:val="21"/>
              </w:rPr>
              <w:t>358</w:t>
            </w:r>
          </w:p>
        </w:tc>
        <w:tc>
          <w:tcPr>
            <w:tcW w:w="1732" w:type="pct"/>
            <w:vAlign w:val="center"/>
          </w:tcPr>
          <w:p w14:paraId="5FFD6DA0" w14:textId="77777777" w:rsidR="00BD673C" w:rsidRPr="007E5B44" w:rsidRDefault="00BD673C" w:rsidP="00A74D12">
            <w:pPr>
              <w:spacing w:line="240" w:lineRule="auto"/>
              <w:jc w:val="left"/>
              <w:rPr>
                <w:sz w:val="21"/>
                <w:szCs w:val="21"/>
              </w:rPr>
            </w:pPr>
            <w:r w:rsidRPr="007E5B44">
              <w:rPr>
                <w:sz w:val="21"/>
                <w:szCs w:val="21"/>
              </w:rPr>
              <w:t>1250</w:t>
            </w:r>
          </w:p>
        </w:tc>
      </w:tr>
      <w:tr w:rsidR="00BD673C" w:rsidRPr="00095C5F" w14:paraId="2644FB58" w14:textId="77777777" w:rsidTr="00A74D12">
        <w:trPr>
          <w:trHeight w:val="550"/>
        </w:trPr>
        <w:tc>
          <w:tcPr>
            <w:tcW w:w="1536" w:type="pct"/>
            <w:tcBorders>
              <w:right w:val="single" w:sz="4" w:space="0" w:color="auto"/>
            </w:tcBorders>
            <w:vAlign w:val="center"/>
          </w:tcPr>
          <w:p w14:paraId="3B3AFBAD" w14:textId="77777777" w:rsidR="00BD673C" w:rsidRPr="007E5B44" w:rsidRDefault="00BD673C" w:rsidP="00A74D12">
            <w:pPr>
              <w:spacing w:line="240" w:lineRule="auto"/>
              <w:jc w:val="left"/>
              <w:rPr>
                <w:sz w:val="21"/>
                <w:szCs w:val="21"/>
              </w:rPr>
            </w:pPr>
            <w:r w:rsidRPr="007E5B44">
              <w:rPr>
                <w:sz w:val="21"/>
                <w:szCs w:val="21"/>
              </w:rPr>
              <w:t>Topography</w:t>
            </w:r>
          </w:p>
        </w:tc>
        <w:tc>
          <w:tcPr>
            <w:tcW w:w="1732" w:type="pct"/>
            <w:vAlign w:val="center"/>
          </w:tcPr>
          <w:p w14:paraId="60D5F370" w14:textId="77777777" w:rsidR="00BD673C" w:rsidRPr="007E5B44" w:rsidRDefault="00BD673C" w:rsidP="00A74D12">
            <w:pPr>
              <w:spacing w:line="240" w:lineRule="auto"/>
              <w:jc w:val="left"/>
              <w:rPr>
                <w:sz w:val="21"/>
                <w:szCs w:val="21"/>
              </w:rPr>
            </w:pPr>
            <w:r w:rsidRPr="007E5B44">
              <w:rPr>
                <w:sz w:val="21"/>
                <w:szCs w:val="21"/>
              </w:rPr>
              <w:t>Plain, and sand dune</w:t>
            </w:r>
          </w:p>
        </w:tc>
        <w:tc>
          <w:tcPr>
            <w:tcW w:w="1732" w:type="pct"/>
            <w:vAlign w:val="center"/>
          </w:tcPr>
          <w:p w14:paraId="0AE8F67E" w14:textId="77777777" w:rsidR="00BD673C" w:rsidRPr="007E5B44" w:rsidRDefault="00BD673C" w:rsidP="00A74D12">
            <w:pPr>
              <w:spacing w:line="240" w:lineRule="auto"/>
              <w:jc w:val="left"/>
              <w:rPr>
                <w:sz w:val="21"/>
                <w:szCs w:val="21"/>
              </w:rPr>
            </w:pPr>
            <w:r w:rsidRPr="007E5B44">
              <w:rPr>
                <w:sz w:val="21"/>
                <w:szCs w:val="21"/>
              </w:rPr>
              <w:t>Plain</w:t>
            </w:r>
          </w:p>
        </w:tc>
      </w:tr>
      <w:tr w:rsidR="00BD673C" w:rsidRPr="00095C5F" w14:paraId="705881CC" w14:textId="77777777" w:rsidTr="00A74D12">
        <w:trPr>
          <w:trHeight w:val="550"/>
        </w:trPr>
        <w:tc>
          <w:tcPr>
            <w:tcW w:w="1536" w:type="pct"/>
            <w:tcBorders>
              <w:right w:val="single" w:sz="4" w:space="0" w:color="auto"/>
            </w:tcBorders>
            <w:vAlign w:val="center"/>
          </w:tcPr>
          <w:p w14:paraId="3F6B21F4" w14:textId="77777777" w:rsidR="00BD673C" w:rsidRPr="007E5B44" w:rsidRDefault="00BD673C" w:rsidP="00A74D12">
            <w:pPr>
              <w:spacing w:line="240" w:lineRule="auto"/>
              <w:jc w:val="left"/>
              <w:rPr>
                <w:sz w:val="21"/>
                <w:szCs w:val="21"/>
              </w:rPr>
            </w:pPr>
            <w:r w:rsidRPr="007E5B44">
              <w:rPr>
                <w:sz w:val="21"/>
                <w:szCs w:val="21"/>
              </w:rPr>
              <w:t>Dryland subtypes</w:t>
            </w:r>
          </w:p>
        </w:tc>
        <w:tc>
          <w:tcPr>
            <w:tcW w:w="1732" w:type="pct"/>
            <w:vAlign w:val="center"/>
          </w:tcPr>
          <w:p w14:paraId="0C027652" w14:textId="77777777" w:rsidR="00BD673C" w:rsidRPr="007E5B44" w:rsidRDefault="00BD673C" w:rsidP="00A74D12">
            <w:pPr>
              <w:spacing w:line="240" w:lineRule="auto"/>
              <w:jc w:val="left"/>
              <w:rPr>
                <w:sz w:val="21"/>
                <w:szCs w:val="21"/>
              </w:rPr>
            </w:pPr>
            <w:r w:rsidRPr="007E5B44">
              <w:rPr>
                <w:sz w:val="21"/>
                <w:szCs w:val="21"/>
              </w:rPr>
              <w:t>Semi-arid</w:t>
            </w:r>
          </w:p>
        </w:tc>
        <w:tc>
          <w:tcPr>
            <w:tcW w:w="1732" w:type="pct"/>
            <w:vAlign w:val="center"/>
          </w:tcPr>
          <w:p w14:paraId="5581D1BF" w14:textId="77777777" w:rsidR="00BD673C" w:rsidRPr="007E5B44" w:rsidRDefault="00BD673C" w:rsidP="00A74D12">
            <w:pPr>
              <w:spacing w:line="240" w:lineRule="auto"/>
              <w:jc w:val="left"/>
              <w:rPr>
                <w:sz w:val="21"/>
                <w:szCs w:val="21"/>
              </w:rPr>
            </w:pPr>
            <w:r w:rsidRPr="007E5B44">
              <w:rPr>
                <w:sz w:val="21"/>
                <w:szCs w:val="21"/>
              </w:rPr>
              <w:t>Arid</w:t>
            </w:r>
          </w:p>
        </w:tc>
      </w:tr>
      <w:tr w:rsidR="00BD673C" w:rsidRPr="00095C5F" w14:paraId="21A385A0" w14:textId="77777777" w:rsidTr="00A74D12">
        <w:trPr>
          <w:trHeight w:val="550"/>
        </w:trPr>
        <w:tc>
          <w:tcPr>
            <w:tcW w:w="1536" w:type="pct"/>
            <w:tcBorders>
              <w:right w:val="single" w:sz="4" w:space="0" w:color="auto"/>
            </w:tcBorders>
            <w:vAlign w:val="center"/>
          </w:tcPr>
          <w:p w14:paraId="0E786127" w14:textId="77777777" w:rsidR="00BD673C" w:rsidRPr="007E5B44" w:rsidRDefault="00BD673C" w:rsidP="00A74D12">
            <w:pPr>
              <w:spacing w:line="240" w:lineRule="auto"/>
              <w:jc w:val="left"/>
              <w:rPr>
                <w:sz w:val="21"/>
                <w:szCs w:val="21"/>
              </w:rPr>
            </w:pPr>
            <w:r w:rsidRPr="007E5B44">
              <w:rPr>
                <w:sz w:val="21"/>
                <w:szCs w:val="21"/>
              </w:rPr>
              <w:t>AI</w:t>
            </w:r>
          </w:p>
        </w:tc>
        <w:tc>
          <w:tcPr>
            <w:tcW w:w="1732" w:type="pct"/>
            <w:vAlign w:val="center"/>
          </w:tcPr>
          <w:p w14:paraId="3B33DA54" w14:textId="77777777" w:rsidR="00BD673C" w:rsidRPr="007E5B44" w:rsidRDefault="00BD673C" w:rsidP="00A74D12">
            <w:pPr>
              <w:spacing w:line="240" w:lineRule="auto"/>
              <w:jc w:val="left"/>
              <w:rPr>
                <w:sz w:val="21"/>
                <w:szCs w:val="21"/>
              </w:rPr>
            </w:pPr>
            <w:r w:rsidRPr="007E5B44">
              <w:rPr>
                <w:sz w:val="21"/>
                <w:szCs w:val="21"/>
              </w:rPr>
              <w:t>0.29</w:t>
            </w:r>
          </w:p>
        </w:tc>
        <w:tc>
          <w:tcPr>
            <w:tcW w:w="1732" w:type="pct"/>
            <w:vAlign w:val="center"/>
          </w:tcPr>
          <w:p w14:paraId="4F4B9517" w14:textId="77777777" w:rsidR="00BD673C" w:rsidRPr="007E5B44" w:rsidRDefault="00BD673C" w:rsidP="00A74D12">
            <w:pPr>
              <w:spacing w:line="240" w:lineRule="auto"/>
              <w:jc w:val="left"/>
              <w:rPr>
                <w:sz w:val="21"/>
                <w:szCs w:val="21"/>
              </w:rPr>
            </w:pPr>
            <w:r w:rsidRPr="007E5B44">
              <w:rPr>
                <w:sz w:val="21"/>
                <w:szCs w:val="21"/>
              </w:rPr>
              <w:t>0.13</w:t>
            </w:r>
          </w:p>
        </w:tc>
      </w:tr>
      <w:tr w:rsidR="00BD673C" w:rsidRPr="00095C5F" w14:paraId="37C1D4D0" w14:textId="77777777" w:rsidTr="00A74D12">
        <w:trPr>
          <w:trHeight w:val="550"/>
        </w:trPr>
        <w:tc>
          <w:tcPr>
            <w:tcW w:w="1536" w:type="pct"/>
            <w:tcBorders>
              <w:right w:val="single" w:sz="4" w:space="0" w:color="auto"/>
            </w:tcBorders>
            <w:vAlign w:val="center"/>
          </w:tcPr>
          <w:p w14:paraId="1949FEAE" w14:textId="77777777" w:rsidR="00BD673C" w:rsidRPr="007E5B44" w:rsidRDefault="00BD673C" w:rsidP="00A74D12">
            <w:pPr>
              <w:spacing w:line="240" w:lineRule="auto"/>
              <w:jc w:val="left"/>
              <w:rPr>
                <w:sz w:val="21"/>
                <w:szCs w:val="21"/>
              </w:rPr>
            </w:pPr>
            <w:r w:rsidRPr="007E5B44">
              <w:rPr>
                <w:sz w:val="21"/>
                <w:szCs w:val="21"/>
              </w:rPr>
              <w:t>Climate type</w:t>
            </w:r>
          </w:p>
        </w:tc>
        <w:tc>
          <w:tcPr>
            <w:tcW w:w="1732" w:type="pct"/>
            <w:vAlign w:val="center"/>
          </w:tcPr>
          <w:p w14:paraId="46BC0B7D" w14:textId="77777777" w:rsidR="00BD673C" w:rsidRPr="007E5B44" w:rsidRDefault="00BD673C" w:rsidP="00A74D12">
            <w:pPr>
              <w:spacing w:line="240" w:lineRule="auto"/>
              <w:jc w:val="left"/>
              <w:rPr>
                <w:sz w:val="21"/>
                <w:szCs w:val="21"/>
              </w:rPr>
            </w:pPr>
            <w:r w:rsidRPr="007E5B44">
              <w:rPr>
                <w:sz w:val="21"/>
                <w:szCs w:val="21"/>
              </w:rPr>
              <w:t>Subhumid and semiarid continental monsoon climate</w:t>
            </w:r>
          </w:p>
        </w:tc>
        <w:tc>
          <w:tcPr>
            <w:tcW w:w="1732" w:type="pct"/>
            <w:vAlign w:val="center"/>
          </w:tcPr>
          <w:p w14:paraId="37118FAE" w14:textId="77777777" w:rsidR="00BD673C" w:rsidRPr="007E5B44" w:rsidRDefault="00BD673C" w:rsidP="00A74D12">
            <w:pPr>
              <w:spacing w:line="240" w:lineRule="auto"/>
              <w:jc w:val="left"/>
              <w:rPr>
                <w:sz w:val="21"/>
                <w:szCs w:val="21"/>
              </w:rPr>
            </w:pPr>
            <w:r w:rsidRPr="007E5B44">
              <w:rPr>
                <w:sz w:val="21"/>
                <w:szCs w:val="21"/>
              </w:rPr>
              <w:t>Arid temperate continental climate</w:t>
            </w:r>
          </w:p>
        </w:tc>
      </w:tr>
      <w:tr w:rsidR="00BD673C" w:rsidRPr="00095C5F" w14:paraId="04A342F7" w14:textId="77777777" w:rsidTr="00A74D12">
        <w:trPr>
          <w:trHeight w:val="1090"/>
        </w:trPr>
        <w:tc>
          <w:tcPr>
            <w:tcW w:w="1536" w:type="pct"/>
            <w:tcBorders>
              <w:right w:val="single" w:sz="4" w:space="0" w:color="auto"/>
            </w:tcBorders>
            <w:vAlign w:val="center"/>
          </w:tcPr>
          <w:p w14:paraId="220DF7CC" w14:textId="77777777" w:rsidR="00BD673C" w:rsidRPr="007E5B44" w:rsidRDefault="00BD673C" w:rsidP="00A74D12">
            <w:pPr>
              <w:spacing w:line="240" w:lineRule="auto"/>
              <w:jc w:val="left"/>
              <w:rPr>
                <w:sz w:val="21"/>
                <w:szCs w:val="21"/>
              </w:rPr>
            </w:pPr>
            <w:r w:rsidRPr="007E5B44">
              <w:rPr>
                <w:sz w:val="21"/>
                <w:szCs w:val="21"/>
              </w:rPr>
              <w:t>Annual mean temperature (</w:t>
            </w:r>
            <w:r w:rsidRPr="007E5B44">
              <w:rPr>
                <w:rFonts w:ascii="微软雅黑" w:eastAsia="微软雅黑" w:hAnsi="微软雅黑" w:cs="微软雅黑" w:hint="eastAsia"/>
                <w:sz w:val="21"/>
                <w:szCs w:val="21"/>
              </w:rPr>
              <w:t>℃</w:t>
            </w:r>
            <w:r w:rsidRPr="007E5B44">
              <w:rPr>
                <w:sz w:val="21"/>
                <w:szCs w:val="21"/>
              </w:rPr>
              <w:t>)</w:t>
            </w:r>
          </w:p>
        </w:tc>
        <w:tc>
          <w:tcPr>
            <w:tcW w:w="1732" w:type="pct"/>
            <w:vAlign w:val="center"/>
          </w:tcPr>
          <w:p w14:paraId="0CE8047C" w14:textId="77777777" w:rsidR="00BD673C" w:rsidRPr="007E5B44" w:rsidRDefault="00BD673C" w:rsidP="00A74D12">
            <w:pPr>
              <w:spacing w:line="240" w:lineRule="auto"/>
              <w:jc w:val="left"/>
              <w:rPr>
                <w:sz w:val="21"/>
                <w:szCs w:val="21"/>
              </w:rPr>
            </w:pPr>
            <w:r w:rsidRPr="007E5B44">
              <w:rPr>
                <w:sz w:val="21"/>
                <w:szCs w:val="21"/>
              </w:rPr>
              <w:t>3-7</w:t>
            </w:r>
          </w:p>
        </w:tc>
        <w:tc>
          <w:tcPr>
            <w:tcW w:w="1732" w:type="pct"/>
            <w:vAlign w:val="center"/>
          </w:tcPr>
          <w:p w14:paraId="3C00C571" w14:textId="77777777" w:rsidR="00BD673C" w:rsidRPr="007E5B44" w:rsidRDefault="00BD673C" w:rsidP="00A74D12">
            <w:pPr>
              <w:spacing w:line="240" w:lineRule="auto"/>
              <w:jc w:val="left"/>
              <w:rPr>
                <w:sz w:val="21"/>
                <w:szCs w:val="21"/>
              </w:rPr>
            </w:pPr>
            <w:r w:rsidRPr="007E5B44">
              <w:rPr>
                <w:sz w:val="21"/>
                <w:szCs w:val="21"/>
              </w:rPr>
              <w:t>9.6</w:t>
            </w:r>
          </w:p>
        </w:tc>
      </w:tr>
      <w:tr w:rsidR="00BD673C" w:rsidRPr="00095C5F" w14:paraId="4519FEED" w14:textId="77777777" w:rsidTr="00A74D12">
        <w:trPr>
          <w:trHeight w:val="820"/>
        </w:trPr>
        <w:tc>
          <w:tcPr>
            <w:tcW w:w="1536" w:type="pct"/>
            <w:tcBorders>
              <w:right w:val="single" w:sz="4" w:space="0" w:color="auto"/>
            </w:tcBorders>
            <w:vAlign w:val="center"/>
          </w:tcPr>
          <w:p w14:paraId="064CB914" w14:textId="77777777" w:rsidR="00BD673C" w:rsidRPr="007E5B44" w:rsidRDefault="00BD673C" w:rsidP="00A74D12">
            <w:pPr>
              <w:spacing w:line="240" w:lineRule="auto"/>
              <w:jc w:val="left"/>
              <w:rPr>
                <w:sz w:val="21"/>
                <w:szCs w:val="21"/>
              </w:rPr>
            </w:pPr>
            <w:r w:rsidRPr="007E5B44">
              <w:rPr>
                <w:sz w:val="21"/>
                <w:szCs w:val="21"/>
              </w:rPr>
              <w:t>Annual precipitation (mm)</w:t>
            </w:r>
          </w:p>
        </w:tc>
        <w:tc>
          <w:tcPr>
            <w:tcW w:w="1732" w:type="pct"/>
            <w:vAlign w:val="center"/>
          </w:tcPr>
          <w:p w14:paraId="4864E259" w14:textId="77777777" w:rsidR="00BD673C" w:rsidRPr="007E5B44" w:rsidRDefault="00BD673C" w:rsidP="00A74D12">
            <w:pPr>
              <w:spacing w:line="240" w:lineRule="auto"/>
              <w:jc w:val="left"/>
              <w:rPr>
                <w:sz w:val="21"/>
                <w:szCs w:val="21"/>
              </w:rPr>
            </w:pPr>
            <w:r w:rsidRPr="007E5B44">
              <w:rPr>
                <w:sz w:val="21"/>
                <w:szCs w:val="21"/>
              </w:rPr>
              <w:t>350-500</w:t>
            </w:r>
          </w:p>
        </w:tc>
        <w:tc>
          <w:tcPr>
            <w:tcW w:w="1732" w:type="pct"/>
            <w:vAlign w:val="center"/>
          </w:tcPr>
          <w:p w14:paraId="614C3F01" w14:textId="77777777" w:rsidR="00BD673C" w:rsidRPr="007E5B44" w:rsidRDefault="00BD673C" w:rsidP="00A74D12">
            <w:pPr>
              <w:spacing w:line="240" w:lineRule="auto"/>
              <w:jc w:val="left"/>
              <w:rPr>
                <w:sz w:val="21"/>
                <w:szCs w:val="21"/>
              </w:rPr>
            </w:pPr>
            <w:r w:rsidRPr="007E5B44">
              <w:rPr>
                <w:sz w:val="21"/>
                <w:szCs w:val="21"/>
              </w:rPr>
              <w:t>186</w:t>
            </w:r>
          </w:p>
        </w:tc>
      </w:tr>
      <w:tr w:rsidR="00BD673C" w:rsidRPr="00095C5F" w14:paraId="69D7FEAD" w14:textId="77777777" w:rsidTr="00A74D12">
        <w:trPr>
          <w:trHeight w:val="820"/>
        </w:trPr>
        <w:tc>
          <w:tcPr>
            <w:tcW w:w="1536" w:type="pct"/>
            <w:tcBorders>
              <w:right w:val="single" w:sz="4" w:space="0" w:color="auto"/>
            </w:tcBorders>
            <w:vAlign w:val="center"/>
          </w:tcPr>
          <w:p w14:paraId="1155A3B7" w14:textId="77777777" w:rsidR="00BD673C" w:rsidRPr="007E5B44" w:rsidRDefault="00BD673C" w:rsidP="00A74D12">
            <w:pPr>
              <w:spacing w:line="240" w:lineRule="auto"/>
              <w:jc w:val="left"/>
              <w:rPr>
                <w:sz w:val="21"/>
                <w:szCs w:val="21"/>
              </w:rPr>
            </w:pPr>
            <w:r w:rsidRPr="007E5B44">
              <w:rPr>
                <w:sz w:val="21"/>
                <w:szCs w:val="21"/>
              </w:rPr>
              <w:t>Ecosystem</w:t>
            </w:r>
          </w:p>
        </w:tc>
        <w:tc>
          <w:tcPr>
            <w:tcW w:w="1732" w:type="pct"/>
            <w:vAlign w:val="center"/>
          </w:tcPr>
          <w:p w14:paraId="1D766040" w14:textId="77777777" w:rsidR="00BD673C" w:rsidRPr="007E5B44" w:rsidRDefault="00BD673C" w:rsidP="00A74D12">
            <w:pPr>
              <w:spacing w:line="240" w:lineRule="auto"/>
              <w:jc w:val="left"/>
              <w:rPr>
                <w:sz w:val="21"/>
                <w:szCs w:val="21"/>
              </w:rPr>
            </w:pPr>
            <w:r w:rsidRPr="007E5B44">
              <w:rPr>
                <w:sz w:val="21"/>
                <w:szCs w:val="21"/>
              </w:rPr>
              <w:t>Desert</w:t>
            </w:r>
          </w:p>
        </w:tc>
        <w:tc>
          <w:tcPr>
            <w:tcW w:w="1732" w:type="pct"/>
            <w:vAlign w:val="center"/>
          </w:tcPr>
          <w:p w14:paraId="615736A3" w14:textId="77777777" w:rsidR="00BD673C" w:rsidRPr="007E5B44" w:rsidRDefault="00BD673C" w:rsidP="00A74D12">
            <w:pPr>
              <w:spacing w:line="240" w:lineRule="auto"/>
              <w:jc w:val="left"/>
              <w:rPr>
                <w:sz w:val="21"/>
                <w:szCs w:val="21"/>
              </w:rPr>
            </w:pPr>
            <w:r w:rsidRPr="007E5B44">
              <w:rPr>
                <w:sz w:val="21"/>
                <w:szCs w:val="21"/>
              </w:rPr>
              <w:t>Desert</w:t>
            </w:r>
          </w:p>
        </w:tc>
      </w:tr>
      <w:tr w:rsidR="00BD673C" w:rsidRPr="00095C5F" w14:paraId="3A5EA953" w14:textId="77777777" w:rsidTr="00A74D12">
        <w:trPr>
          <w:trHeight w:val="550"/>
        </w:trPr>
        <w:tc>
          <w:tcPr>
            <w:tcW w:w="1536" w:type="pct"/>
            <w:tcBorders>
              <w:right w:val="single" w:sz="4" w:space="0" w:color="auto"/>
            </w:tcBorders>
            <w:vAlign w:val="center"/>
          </w:tcPr>
          <w:p w14:paraId="1E522F88" w14:textId="77777777" w:rsidR="00BD673C" w:rsidRPr="007E5B44" w:rsidRDefault="00BD673C" w:rsidP="00A74D12">
            <w:pPr>
              <w:spacing w:line="240" w:lineRule="auto"/>
              <w:jc w:val="left"/>
              <w:rPr>
                <w:sz w:val="21"/>
                <w:szCs w:val="21"/>
              </w:rPr>
            </w:pPr>
            <w:r w:rsidRPr="007E5B44">
              <w:rPr>
                <w:sz w:val="21"/>
                <w:szCs w:val="21"/>
              </w:rPr>
              <w:t>Vegetation type</w:t>
            </w:r>
          </w:p>
        </w:tc>
        <w:tc>
          <w:tcPr>
            <w:tcW w:w="1732" w:type="pct"/>
            <w:vAlign w:val="center"/>
          </w:tcPr>
          <w:p w14:paraId="51F63179" w14:textId="77777777" w:rsidR="00BD673C" w:rsidRPr="007E5B44" w:rsidRDefault="00BD673C" w:rsidP="00A74D12">
            <w:pPr>
              <w:spacing w:line="240" w:lineRule="auto"/>
              <w:jc w:val="left"/>
              <w:rPr>
                <w:sz w:val="21"/>
                <w:szCs w:val="21"/>
              </w:rPr>
            </w:pPr>
            <w:r w:rsidRPr="007E5B44">
              <w:rPr>
                <w:sz w:val="21"/>
                <w:szCs w:val="21"/>
              </w:rPr>
              <w:t>Sandy steppe, fixed sand dune steppe, and moving sand dune steppe</w:t>
            </w:r>
          </w:p>
        </w:tc>
        <w:tc>
          <w:tcPr>
            <w:tcW w:w="1732" w:type="pct"/>
            <w:vAlign w:val="center"/>
          </w:tcPr>
          <w:p w14:paraId="6CD4CA38" w14:textId="77777777" w:rsidR="00BD673C" w:rsidRPr="007E5B44" w:rsidRDefault="00BD673C" w:rsidP="00A74D12">
            <w:pPr>
              <w:spacing w:line="240" w:lineRule="auto"/>
              <w:jc w:val="left"/>
              <w:rPr>
                <w:sz w:val="21"/>
                <w:szCs w:val="21"/>
              </w:rPr>
            </w:pPr>
            <w:r w:rsidRPr="007E5B44">
              <w:rPr>
                <w:sz w:val="21"/>
                <w:szCs w:val="21"/>
              </w:rPr>
              <w:t>Natural vegetation, and artificial natural vegetation</w:t>
            </w:r>
          </w:p>
        </w:tc>
      </w:tr>
      <w:tr w:rsidR="00BD673C" w:rsidRPr="00095C5F" w14:paraId="0B5AF14C" w14:textId="77777777" w:rsidTr="00A74D12">
        <w:trPr>
          <w:trHeight w:val="550"/>
        </w:trPr>
        <w:tc>
          <w:tcPr>
            <w:tcW w:w="1536" w:type="pct"/>
            <w:tcBorders>
              <w:right w:val="single" w:sz="4" w:space="0" w:color="auto"/>
            </w:tcBorders>
            <w:vAlign w:val="center"/>
          </w:tcPr>
          <w:p w14:paraId="5C92AD0B" w14:textId="77777777" w:rsidR="00BD673C" w:rsidRPr="007E5B44" w:rsidRDefault="00BD673C" w:rsidP="00A74D12">
            <w:pPr>
              <w:spacing w:line="240" w:lineRule="auto"/>
              <w:jc w:val="left"/>
              <w:rPr>
                <w:sz w:val="21"/>
                <w:szCs w:val="21"/>
              </w:rPr>
            </w:pPr>
            <w:r w:rsidRPr="007E5B44">
              <w:rPr>
                <w:sz w:val="21"/>
                <w:szCs w:val="21"/>
              </w:rPr>
              <w:t>Dominant species</w:t>
            </w:r>
          </w:p>
        </w:tc>
        <w:tc>
          <w:tcPr>
            <w:tcW w:w="1732" w:type="pct"/>
            <w:vAlign w:val="center"/>
          </w:tcPr>
          <w:p w14:paraId="02055B50" w14:textId="77777777" w:rsidR="00BD673C" w:rsidRPr="007E5B44" w:rsidRDefault="00BD673C" w:rsidP="00A74D12">
            <w:pPr>
              <w:spacing w:line="240" w:lineRule="auto"/>
              <w:jc w:val="left"/>
              <w:rPr>
                <w:sz w:val="21"/>
                <w:szCs w:val="21"/>
              </w:rPr>
            </w:pPr>
            <w:r w:rsidRPr="007E5B44">
              <w:rPr>
                <w:sz w:val="21"/>
                <w:szCs w:val="21"/>
              </w:rPr>
              <w:t>Sandy steppe: Setaria viridis; Fixed dune: Caragana microphyll, Artemisia halodendron and Setaria viridis; Moving dune: Agriophyllum squarrosumand.</w:t>
            </w:r>
          </w:p>
        </w:tc>
        <w:tc>
          <w:tcPr>
            <w:tcW w:w="1732" w:type="pct"/>
            <w:vAlign w:val="center"/>
          </w:tcPr>
          <w:p w14:paraId="228CB726" w14:textId="77777777" w:rsidR="00BD673C" w:rsidRPr="007E5B44" w:rsidRDefault="00BD673C" w:rsidP="00A74D12">
            <w:pPr>
              <w:spacing w:line="240" w:lineRule="auto"/>
              <w:jc w:val="left"/>
              <w:rPr>
                <w:sz w:val="21"/>
                <w:szCs w:val="21"/>
              </w:rPr>
            </w:pPr>
            <w:r w:rsidRPr="007E5B44">
              <w:rPr>
                <w:sz w:val="21"/>
                <w:szCs w:val="21"/>
              </w:rPr>
              <w:t>Artemisia ordosica</w:t>
            </w:r>
          </w:p>
        </w:tc>
      </w:tr>
      <w:tr w:rsidR="00BD673C" w:rsidRPr="00095C5F" w14:paraId="37E5887E" w14:textId="77777777" w:rsidTr="00A74D12">
        <w:trPr>
          <w:trHeight w:val="290"/>
        </w:trPr>
        <w:tc>
          <w:tcPr>
            <w:tcW w:w="1536" w:type="pct"/>
            <w:tcBorders>
              <w:right w:val="single" w:sz="4" w:space="0" w:color="auto"/>
            </w:tcBorders>
            <w:vAlign w:val="center"/>
          </w:tcPr>
          <w:p w14:paraId="3AE7957A" w14:textId="77777777" w:rsidR="00BD673C" w:rsidRPr="007E5B44" w:rsidRDefault="00BD673C" w:rsidP="00A74D12">
            <w:pPr>
              <w:spacing w:line="240" w:lineRule="auto"/>
              <w:jc w:val="left"/>
              <w:rPr>
                <w:sz w:val="21"/>
                <w:szCs w:val="21"/>
              </w:rPr>
            </w:pPr>
            <w:r w:rsidRPr="007E5B44">
              <w:rPr>
                <w:sz w:val="21"/>
                <w:szCs w:val="21"/>
              </w:rPr>
              <w:t>Soil type</w:t>
            </w:r>
          </w:p>
        </w:tc>
        <w:tc>
          <w:tcPr>
            <w:tcW w:w="1732" w:type="pct"/>
            <w:vAlign w:val="center"/>
          </w:tcPr>
          <w:p w14:paraId="615E2AE2" w14:textId="77777777" w:rsidR="00BD673C" w:rsidRPr="007E5B44" w:rsidRDefault="00BD673C" w:rsidP="00A74D12">
            <w:pPr>
              <w:spacing w:line="240" w:lineRule="auto"/>
              <w:jc w:val="left"/>
              <w:rPr>
                <w:sz w:val="21"/>
                <w:szCs w:val="21"/>
              </w:rPr>
            </w:pPr>
            <w:r w:rsidRPr="007E5B44">
              <w:rPr>
                <w:sz w:val="21"/>
                <w:szCs w:val="21"/>
              </w:rPr>
              <w:t>Arenosols</w:t>
            </w:r>
          </w:p>
        </w:tc>
        <w:tc>
          <w:tcPr>
            <w:tcW w:w="1732" w:type="pct"/>
            <w:vAlign w:val="center"/>
          </w:tcPr>
          <w:p w14:paraId="749FF777" w14:textId="77777777" w:rsidR="00BD673C" w:rsidRPr="007E5B44" w:rsidRDefault="00BD673C" w:rsidP="00A74D12">
            <w:pPr>
              <w:spacing w:line="240" w:lineRule="auto"/>
              <w:jc w:val="left"/>
              <w:rPr>
                <w:sz w:val="21"/>
                <w:szCs w:val="21"/>
              </w:rPr>
            </w:pPr>
            <w:r w:rsidRPr="007E5B44">
              <w:rPr>
                <w:sz w:val="21"/>
                <w:szCs w:val="21"/>
              </w:rPr>
              <w:t>Arenosols</w:t>
            </w:r>
          </w:p>
        </w:tc>
      </w:tr>
      <w:tr w:rsidR="00BD673C" w:rsidRPr="00095C5F" w14:paraId="11EF057C" w14:textId="77777777" w:rsidTr="00A74D12">
        <w:trPr>
          <w:trHeight w:val="290"/>
        </w:trPr>
        <w:tc>
          <w:tcPr>
            <w:tcW w:w="1536" w:type="pct"/>
            <w:tcBorders>
              <w:right w:val="single" w:sz="4" w:space="0" w:color="auto"/>
            </w:tcBorders>
            <w:vAlign w:val="center"/>
          </w:tcPr>
          <w:p w14:paraId="7BB211C7" w14:textId="77777777" w:rsidR="00BD673C" w:rsidRPr="007E5B44" w:rsidRDefault="00BD673C" w:rsidP="00A74D12">
            <w:pPr>
              <w:spacing w:line="240" w:lineRule="auto"/>
              <w:jc w:val="left"/>
              <w:rPr>
                <w:sz w:val="21"/>
                <w:szCs w:val="21"/>
              </w:rPr>
            </w:pPr>
            <w:r w:rsidRPr="007E5B44">
              <w:rPr>
                <w:sz w:val="21"/>
                <w:szCs w:val="21"/>
              </w:rPr>
              <w:lastRenderedPageBreak/>
              <w:t>Soil properties and sampling years</w:t>
            </w:r>
          </w:p>
        </w:tc>
        <w:tc>
          <w:tcPr>
            <w:tcW w:w="1732" w:type="pct"/>
            <w:vAlign w:val="center"/>
          </w:tcPr>
          <w:p w14:paraId="7960EE7C" w14:textId="77777777" w:rsidR="00BD673C" w:rsidRPr="007E5B44" w:rsidRDefault="00BD673C" w:rsidP="00A74D12">
            <w:pPr>
              <w:spacing w:line="240" w:lineRule="auto"/>
              <w:jc w:val="left"/>
              <w:rPr>
                <w:sz w:val="21"/>
                <w:szCs w:val="21"/>
              </w:rPr>
            </w:pPr>
            <w:r w:rsidRPr="007E5B44">
              <w:rPr>
                <w:sz w:val="21"/>
                <w:szCs w:val="21"/>
              </w:rPr>
              <w:t>BD, SC, TP, TK: 2005, 2010, 2015; pH: 2005-2006, 2008-2013; OM, TN: 2005-2015</w:t>
            </w:r>
          </w:p>
        </w:tc>
        <w:tc>
          <w:tcPr>
            <w:tcW w:w="1732" w:type="pct"/>
            <w:vAlign w:val="center"/>
          </w:tcPr>
          <w:p w14:paraId="16A9FA2B" w14:textId="77777777" w:rsidR="00BD673C" w:rsidRPr="007E5B44" w:rsidRDefault="00BD673C" w:rsidP="00A74D12">
            <w:pPr>
              <w:spacing w:line="240" w:lineRule="auto"/>
              <w:jc w:val="left"/>
              <w:rPr>
                <w:sz w:val="21"/>
                <w:szCs w:val="21"/>
              </w:rPr>
            </w:pPr>
            <w:r w:rsidRPr="007E5B44">
              <w:rPr>
                <w:sz w:val="21"/>
                <w:szCs w:val="21"/>
              </w:rPr>
              <w:t>BD, SC, TP, TK: 2005, 2010, 2015; pH: 2005, 2007-2010, 2013-2015; OM, TN: 2005-2010, 2013, 2015</w:t>
            </w:r>
          </w:p>
        </w:tc>
      </w:tr>
      <w:tr w:rsidR="00BD673C" w:rsidRPr="00095C5F" w14:paraId="2A189FF5" w14:textId="77777777" w:rsidTr="00A74D12">
        <w:trPr>
          <w:trHeight w:val="290"/>
        </w:trPr>
        <w:tc>
          <w:tcPr>
            <w:tcW w:w="1536" w:type="pct"/>
            <w:tcBorders>
              <w:right w:val="single" w:sz="4" w:space="0" w:color="auto"/>
            </w:tcBorders>
            <w:vAlign w:val="center"/>
          </w:tcPr>
          <w:p w14:paraId="19B232ED" w14:textId="77777777" w:rsidR="00BD673C" w:rsidRPr="007E5B44" w:rsidRDefault="00BD673C" w:rsidP="00A74D12">
            <w:pPr>
              <w:spacing w:line="240" w:lineRule="auto"/>
              <w:jc w:val="left"/>
              <w:rPr>
                <w:sz w:val="21"/>
                <w:szCs w:val="21"/>
              </w:rPr>
            </w:pPr>
            <w:r w:rsidRPr="007E5B44">
              <w:rPr>
                <w:sz w:val="21"/>
                <w:szCs w:val="21"/>
              </w:rPr>
              <w:t>Vegetation attributes and sampling years</w:t>
            </w:r>
          </w:p>
        </w:tc>
        <w:tc>
          <w:tcPr>
            <w:tcW w:w="1732" w:type="pct"/>
            <w:vAlign w:val="center"/>
          </w:tcPr>
          <w:p w14:paraId="64586F82" w14:textId="77777777" w:rsidR="00BD673C" w:rsidRPr="007E5B44" w:rsidRDefault="00BD673C" w:rsidP="00A74D12">
            <w:pPr>
              <w:spacing w:line="240" w:lineRule="auto"/>
              <w:jc w:val="left"/>
              <w:rPr>
                <w:sz w:val="21"/>
                <w:szCs w:val="21"/>
              </w:rPr>
            </w:pPr>
            <w:r w:rsidRPr="007E5B44">
              <w:rPr>
                <w:sz w:val="21"/>
                <w:szCs w:val="21"/>
              </w:rPr>
              <w:t>Grass diversity: 2010, 2013- 2015; Grass density, height, coverage, AGB: 2005, 2010, 2013-2015; Grass litter, UGB, shrub diversity, density, height coverage, AGB, litter, UGB: 2005, 2010, 2015.</w:t>
            </w:r>
          </w:p>
        </w:tc>
        <w:tc>
          <w:tcPr>
            <w:tcW w:w="1732" w:type="pct"/>
            <w:vAlign w:val="center"/>
          </w:tcPr>
          <w:p w14:paraId="2FBABE05" w14:textId="77777777" w:rsidR="00BD673C" w:rsidRPr="007E5B44" w:rsidRDefault="00BD673C" w:rsidP="00A74D12">
            <w:pPr>
              <w:spacing w:line="240" w:lineRule="auto"/>
              <w:jc w:val="left"/>
              <w:rPr>
                <w:sz w:val="21"/>
                <w:szCs w:val="21"/>
              </w:rPr>
            </w:pPr>
            <w:r w:rsidRPr="007E5B44">
              <w:rPr>
                <w:sz w:val="21"/>
                <w:szCs w:val="21"/>
              </w:rPr>
              <w:t xml:space="preserve">Grass diversity, litter: 2006-2012, 2014-2015; Grass density: 2005-2007, 2009-2012, 2014-2015; Grass height: 2005-2009, 2011-2012, 2014-2015; Grass coverage, AGB, UGB: 2005-2012, 2014-2015; Shrub diversity, height, density: 2005-2015; Shrub density, AGB, UGB: 2005-2006, 2009-2015; Shrub litter: 2006-2015. </w:t>
            </w:r>
          </w:p>
        </w:tc>
      </w:tr>
      <w:tr w:rsidR="00BD673C" w:rsidRPr="00095C5F" w14:paraId="0A2E9C55" w14:textId="77777777" w:rsidTr="00A74D12">
        <w:trPr>
          <w:trHeight w:val="290"/>
        </w:trPr>
        <w:tc>
          <w:tcPr>
            <w:tcW w:w="1536" w:type="pct"/>
            <w:tcBorders>
              <w:right w:val="single" w:sz="4" w:space="0" w:color="auto"/>
            </w:tcBorders>
            <w:vAlign w:val="center"/>
          </w:tcPr>
          <w:p w14:paraId="0DBD4130" w14:textId="77777777" w:rsidR="00BD673C" w:rsidRPr="007E5B44" w:rsidRDefault="00BD673C" w:rsidP="00A74D12">
            <w:pPr>
              <w:spacing w:line="240" w:lineRule="auto"/>
              <w:jc w:val="left"/>
              <w:rPr>
                <w:sz w:val="21"/>
                <w:szCs w:val="21"/>
              </w:rPr>
            </w:pPr>
            <w:r w:rsidRPr="007E5B44">
              <w:rPr>
                <w:sz w:val="21"/>
                <w:szCs w:val="21"/>
              </w:rPr>
              <w:t>Management</w:t>
            </w:r>
          </w:p>
        </w:tc>
        <w:tc>
          <w:tcPr>
            <w:tcW w:w="1732" w:type="pct"/>
            <w:vAlign w:val="center"/>
          </w:tcPr>
          <w:p w14:paraId="307A9758" w14:textId="77777777" w:rsidR="00BD673C" w:rsidRPr="007E5B44" w:rsidRDefault="00BD673C" w:rsidP="00A74D12">
            <w:pPr>
              <w:spacing w:line="240" w:lineRule="auto"/>
              <w:jc w:val="left"/>
              <w:rPr>
                <w:sz w:val="21"/>
                <w:szCs w:val="21"/>
              </w:rPr>
            </w:pPr>
            <w:r w:rsidRPr="007E5B44">
              <w:rPr>
                <w:sz w:val="21"/>
                <w:szCs w:val="21"/>
              </w:rPr>
              <w:t>Enclosure</w:t>
            </w:r>
          </w:p>
        </w:tc>
        <w:tc>
          <w:tcPr>
            <w:tcW w:w="1732" w:type="pct"/>
            <w:vAlign w:val="center"/>
          </w:tcPr>
          <w:p w14:paraId="6A0CDAB1" w14:textId="77777777" w:rsidR="00BD673C" w:rsidRPr="007E5B44" w:rsidRDefault="00BD673C" w:rsidP="00A74D12">
            <w:pPr>
              <w:spacing w:line="240" w:lineRule="auto"/>
              <w:jc w:val="left"/>
              <w:rPr>
                <w:sz w:val="21"/>
                <w:szCs w:val="21"/>
              </w:rPr>
            </w:pPr>
            <w:r w:rsidRPr="007E5B44">
              <w:rPr>
                <w:sz w:val="21"/>
                <w:szCs w:val="21"/>
              </w:rPr>
              <w:t>Enclosure</w:t>
            </w:r>
          </w:p>
        </w:tc>
      </w:tr>
      <w:tr w:rsidR="00BD673C" w:rsidRPr="00095C5F" w14:paraId="69188445" w14:textId="77777777" w:rsidTr="00A74D12">
        <w:trPr>
          <w:trHeight w:val="290"/>
        </w:trPr>
        <w:tc>
          <w:tcPr>
            <w:tcW w:w="1536" w:type="pct"/>
            <w:tcBorders>
              <w:bottom w:val="single" w:sz="4" w:space="0" w:color="auto"/>
              <w:right w:val="single" w:sz="4" w:space="0" w:color="auto"/>
            </w:tcBorders>
            <w:vAlign w:val="center"/>
          </w:tcPr>
          <w:p w14:paraId="39302F2A" w14:textId="77777777" w:rsidR="00BD673C" w:rsidRPr="007E5B44" w:rsidRDefault="00BD673C" w:rsidP="00A74D12">
            <w:pPr>
              <w:spacing w:line="240" w:lineRule="auto"/>
              <w:jc w:val="left"/>
              <w:rPr>
                <w:sz w:val="21"/>
                <w:szCs w:val="21"/>
              </w:rPr>
            </w:pPr>
            <w:r w:rsidRPr="007E5B44">
              <w:rPr>
                <w:sz w:val="21"/>
                <w:szCs w:val="21"/>
              </w:rPr>
              <w:t>Starting year of enclosure and restoration</w:t>
            </w:r>
          </w:p>
        </w:tc>
        <w:tc>
          <w:tcPr>
            <w:tcW w:w="1732" w:type="pct"/>
            <w:tcBorders>
              <w:bottom w:val="single" w:sz="4" w:space="0" w:color="auto"/>
            </w:tcBorders>
            <w:vAlign w:val="center"/>
          </w:tcPr>
          <w:p w14:paraId="088E2046" w14:textId="77777777" w:rsidR="00BD673C" w:rsidRPr="007E5B44" w:rsidRDefault="00BD673C" w:rsidP="00A74D12">
            <w:pPr>
              <w:spacing w:line="240" w:lineRule="auto"/>
              <w:jc w:val="left"/>
              <w:rPr>
                <w:sz w:val="21"/>
                <w:szCs w:val="21"/>
              </w:rPr>
            </w:pPr>
            <w:r w:rsidRPr="007E5B44">
              <w:rPr>
                <w:sz w:val="21"/>
                <w:szCs w:val="21"/>
              </w:rPr>
              <w:t>Sandy steppe: 1997; Fixed dune and moving dune: 1985.</w:t>
            </w:r>
          </w:p>
        </w:tc>
        <w:tc>
          <w:tcPr>
            <w:tcW w:w="1732" w:type="pct"/>
            <w:tcBorders>
              <w:bottom w:val="single" w:sz="4" w:space="0" w:color="auto"/>
            </w:tcBorders>
            <w:vAlign w:val="center"/>
          </w:tcPr>
          <w:p w14:paraId="4F78D1E1" w14:textId="01AEF625" w:rsidR="00BD673C" w:rsidRPr="007E5B44" w:rsidRDefault="00BD673C" w:rsidP="00A74D12">
            <w:pPr>
              <w:spacing w:line="240" w:lineRule="auto"/>
              <w:jc w:val="left"/>
              <w:rPr>
                <w:sz w:val="21"/>
                <w:szCs w:val="21"/>
              </w:rPr>
            </w:pPr>
            <w:r w:rsidRPr="007E5B44">
              <w:rPr>
                <w:sz w:val="21"/>
                <w:szCs w:val="21"/>
              </w:rPr>
              <w:t xml:space="preserve">Natural vegetation: 2005; Artificial </w:t>
            </w:r>
            <w:r>
              <w:rPr>
                <w:sz w:val="21"/>
                <w:szCs w:val="21"/>
              </w:rPr>
              <w:t>restoration</w:t>
            </w:r>
            <w:r w:rsidRPr="007E5B44">
              <w:rPr>
                <w:sz w:val="21"/>
                <w:szCs w:val="21"/>
              </w:rPr>
              <w:t>: 1956.</w:t>
            </w:r>
          </w:p>
        </w:tc>
      </w:tr>
    </w:tbl>
    <w:p w14:paraId="6C973B9B" w14:textId="77777777" w:rsidR="00BD673C" w:rsidRPr="00DD152D" w:rsidRDefault="00BD673C" w:rsidP="00A74D12">
      <w:pPr>
        <w:jc w:val="left"/>
        <w:rPr>
          <w:sz w:val="21"/>
          <w:szCs w:val="21"/>
        </w:rPr>
      </w:pPr>
      <w:r w:rsidRPr="007E5B44">
        <w:rPr>
          <w:sz w:val="21"/>
          <w:szCs w:val="21"/>
        </w:rPr>
        <w:t xml:space="preserve">Note: Detailed descriptions are available in </w:t>
      </w:r>
      <w:r w:rsidRPr="007E5B44">
        <w:rPr>
          <w:noProof/>
          <w:sz w:val="21"/>
          <w:szCs w:val="21"/>
        </w:rPr>
        <w:t>Li et al. (2013)</w:t>
      </w:r>
      <w:r w:rsidRPr="007E5B44">
        <w:rPr>
          <w:sz w:val="21"/>
          <w:szCs w:val="21"/>
        </w:rPr>
        <w:t xml:space="preserve"> for NMD and </w:t>
      </w:r>
      <w:r w:rsidRPr="007E5B44">
        <w:rPr>
          <w:noProof/>
          <w:sz w:val="21"/>
          <w:szCs w:val="21"/>
        </w:rPr>
        <w:t>Pan et al. (2008)</w:t>
      </w:r>
      <w:r w:rsidRPr="007E5B44">
        <w:rPr>
          <w:sz w:val="21"/>
          <w:szCs w:val="21"/>
        </w:rPr>
        <w:t xml:space="preserve"> for SPD. Soil properties: soil pH, organic matter (OM), total nitrogen (TN), total phosphorus (TP), total potassium (TK) contents, bulk density (BD), and </w:t>
      </w:r>
      <w:r>
        <w:rPr>
          <w:sz w:val="21"/>
          <w:szCs w:val="21"/>
        </w:rPr>
        <w:t xml:space="preserve">the </w:t>
      </w:r>
      <w:r w:rsidRPr="007E5B44">
        <w:rPr>
          <w:sz w:val="21"/>
          <w:szCs w:val="21"/>
        </w:rPr>
        <w:t>ratio of silt+clay (SC). Vegetation attributes:</w:t>
      </w:r>
      <w:r>
        <w:rPr>
          <w:sz w:val="21"/>
          <w:szCs w:val="21"/>
        </w:rPr>
        <w:t xml:space="preserve"> d</w:t>
      </w:r>
      <w:r w:rsidRPr="007E5B44">
        <w:rPr>
          <w:sz w:val="21"/>
          <w:szCs w:val="21"/>
        </w:rPr>
        <w:t xml:space="preserve">iversity, density, </w:t>
      </w:r>
      <w:r>
        <w:rPr>
          <w:sz w:val="21"/>
          <w:szCs w:val="21"/>
        </w:rPr>
        <w:t xml:space="preserve">the </w:t>
      </w:r>
      <w:r w:rsidRPr="007E5B44">
        <w:rPr>
          <w:sz w:val="21"/>
          <w:szCs w:val="21"/>
        </w:rPr>
        <w:t xml:space="preserve">height of dominant species (height), coverage, aboveground biomass (AGB), </w:t>
      </w:r>
      <w:r>
        <w:rPr>
          <w:sz w:val="21"/>
          <w:szCs w:val="21"/>
        </w:rPr>
        <w:t xml:space="preserve">the </w:t>
      </w:r>
      <w:r w:rsidRPr="007E5B44">
        <w:rPr>
          <w:sz w:val="21"/>
          <w:szCs w:val="21"/>
        </w:rPr>
        <w:t>mass of litter (litter) and underground biomass (UGB) of grass and shrub.</w:t>
      </w:r>
    </w:p>
    <w:p w14:paraId="5F21C79D" w14:textId="77777777" w:rsidR="00F63435" w:rsidRDefault="00F63435"/>
    <w:sectPr w:rsidR="00F63435" w:rsidSect="00A74D12">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127186" w14:textId="77777777" w:rsidR="00CE127F" w:rsidRDefault="00CE127F" w:rsidP="007242C6">
      <w:pPr>
        <w:spacing w:line="240" w:lineRule="auto"/>
      </w:pPr>
      <w:r>
        <w:separator/>
      </w:r>
    </w:p>
  </w:endnote>
  <w:endnote w:type="continuationSeparator" w:id="0">
    <w:p w14:paraId="7FF67098" w14:textId="77777777" w:rsidR="00CE127F" w:rsidRDefault="00CE127F" w:rsidP="007242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725FD" w14:textId="77777777" w:rsidR="00CE127F" w:rsidRDefault="00CE127F" w:rsidP="007242C6">
      <w:pPr>
        <w:spacing w:line="240" w:lineRule="auto"/>
      </w:pPr>
      <w:r>
        <w:separator/>
      </w:r>
    </w:p>
  </w:footnote>
  <w:footnote w:type="continuationSeparator" w:id="0">
    <w:p w14:paraId="498F9C96" w14:textId="77777777" w:rsidR="00CE127F" w:rsidRDefault="00CE127F" w:rsidP="007242C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112BB6"/>
    <w:multiLevelType w:val="multilevel"/>
    <w:tmpl w:val="52112B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rc0MLQ0MjY0MzU1NDVT0lEKTi0uzszPAykwqQUASwIf7SwAAAA="/>
    <w:docVar w:name="EN.InstantFormat" w:val="&lt;ENInstantFormat&gt;&lt;Enabled&gt;1&lt;/Enabled&gt;&lt;ScanUnformatted&gt;1&lt;/ScanUnformatted&gt;&lt;ScanChanges&gt;1&lt;/ScanChanges&gt;&lt;Suspended&gt;1&lt;/Suspended&gt;&lt;/ENInstantFormat&gt;"/>
  </w:docVars>
  <w:rsids>
    <w:rsidRoot w:val="00BD673C"/>
    <w:rsid w:val="00150B58"/>
    <w:rsid w:val="002529E3"/>
    <w:rsid w:val="004160BB"/>
    <w:rsid w:val="00445AD7"/>
    <w:rsid w:val="004C0AE4"/>
    <w:rsid w:val="006161F8"/>
    <w:rsid w:val="007041D7"/>
    <w:rsid w:val="007242C6"/>
    <w:rsid w:val="0072525A"/>
    <w:rsid w:val="007552D6"/>
    <w:rsid w:val="00776B2B"/>
    <w:rsid w:val="00832AAB"/>
    <w:rsid w:val="008453F4"/>
    <w:rsid w:val="008478B8"/>
    <w:rsid w:val="00855124"/>
    <w:rsid w:val="00965A3A"/>
    <w:rsid w:val="009F3737"/>
    <w:rsid w:val="00A74D12"/>
    <w:rsid w:val="00BD673C"/>
    <w:rsid w:val="00C8536D"/>
    <w:rsid w:val="00CB3822"/>
    <w:rsid w:val="00CE127F"/>
    <w:rsid w:val="00D25F60"/>
    <w:rsid w:val="00F63435"/>
    <w:rsid w:val="00F938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B77171"/>
  <w15:chartTrackingRefBased/>
  <w15:docId w15:val="{8F21737F-FFAC-4438-821D-DF5CF49ED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D673C"/>
    <w:pPr>
      <w:widowControl w:val="0"/>
      <w:spacing w:line="480" w:lineRule="auto"/>
      <w:jc w:val="both"/>
    </w:pPr>
    <w:rPr>
      <w:rFonts w:ascii="Arial" w:hAnsi="Arial" w:cs="Arial"/>
      <w:sz w:val="24"/>
      <w:szCs w:val="24"/>
    </w:rPr>
  </w:style>
  <w:style w:type="paragraph" w:styleId="1">
    <w:name w:val="heading 1"/>
    <w:basedOn w:val="a"/>
    <w:next w:val="a"/>
    <w:link w:val="10"/>
    <w:uiPriority w:val="9"/>
    <w:qFormat/>
    <w:rsid w:val="00BD673C"/>
    <w:pPr>
      <w:spacing w:beforeLines="50" w:before="120" w:afterLines="50" w:after="120"/>
      <w:outlineLvl w:val="0"/>
    </w:pPr>
    <w:rPr>
      <w:b/>
      <w:sz w:val="28"/>
      <w:szCs w:val="28"/>
    </w:rPr>
  </w:style>
  <w:style w:type="paragraph" w:styleId="2">
    <w:name w:val="heading 2"/>
    <w:basedOn w:val="a"/>
    <w:next w:val="a"/>
    <w:link w:val="20"/>
    <w:uiPriority w:val="9"/>
    <w:unhideWhenUsed/>
    <w:qFormat/>
    <w:rsid w:val="00BD673C"/>
    <w:pPr>
      <w:spacing w:beforeLines="50" w:before="120" w:afterLines="50" w:after="120"/>
      <w:outlineLvl w:val="1"/>
    </w:pPr>
    <w:rPr>
      <w:b/>
    </w:rPr>
  </w:style>
  <w:style w:type="paragraph" w:styleId="3">
    <w:name w:val="heading 3"/>
    <w:basedOn w:val="a"/>
    <w:next w:val="a"/>
    <w:link w:val="30"/>
    <w:uiPriority w:val="9"/>
    <w:semiHidden/>
    <w:unhideWhenUsed/>
    <w:qFormat/>
    <w:rsid w:val="00BD673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BD673C"/>
    <w:rPr>
      <w:rFonts w:ascii="Arial" w:hAnsi="Arial" w:cs="Arial"/>
      <w:b/>
      <w:sz w:val="28"/>
      <w:szCs w:val="28"/>
    </w:rPr>
  </w:style>
  <w:style w:type="character" w:customStyle="1" w:styleId="20">
    <w:name w:val="标题 2 字符"/>
    <w:basedOn w:val="a0"/>
    <w:link w:val="2"/>
    <w:uiPriority w:val="9"/>
    <w:qFormat/>
    <w:rsid w:val="00BD673C"/>
    <w:rPr>
      <w:rFonts w:ascii="Arial" w:hAnsi="Arial" w:cs="Arial"/>
      <w:b/>
      <w:sz w:val="24"/>
      <w:szCs w:val="24"/>
    </w:rPr>
  </w:style>
  <w:style w:type="character" w:customStyle="1" w:styleId="30">
    <w:name w:val="标题 3 字符"/>
    <w:basedOn w:val="a0"/>
    <w:link w:val="3"/>
    <w:uiPriority w:val="9"/>
    <w:semiHidden/>
    <w:rsid w:val="00BD673C"/>
    <w:rPr>
      <w:rFonts w:ascii="Arial" w:hAnsi="Arial" w:cs="Arial"/>
      <w:b/>
      <w:bCs/>
      <w:sz w:val="32"/>
      <w:szCs w:val="32"/>
    </w:rPr>
  </w:style>
  <w:style w:type="paragraph" w:styleId="a3">
    <w:name w:val="annotation text"/>
    <w:basedOn w:val="a"/>
    <w:link w:val="a4"/>
    <w:uiPriority w:val="99"/>
    <w:unhideWhenUsed/>
    <w:qFormat/>
    <w:rsid w:val="00BD673C"/>
    <w:pPr>
      <w:ind w:firstLineChars="100" w:firstLine="240"/>
      <w:jc w:val="left"/>
    </w:pPr>
    <w:rPr>
      <w:rFonts w:ascii="Times New Roman" w:hAnsi="Times New Roman" w:cs="Times New Roman"/>
    </w:rPr>
  </w:style>
  <w:style w:type="character" w:customStyle="1" w:styleId="a4">
    <w:name w:val="批注文字 字符"/>
    <w:basedOn w:val="a0"/>
    <w:link w:val="a3"/>
    <w:uiPriority w:val="99"/>
    <w:qFormat/>
    <w:rsid w:val="00BD673C"/>
    <w:rPr>
      <w:rFonts w:ascii="Times New Roman" w:hAnsi="Times New Roman" w:cs="Times New Roman"/>
      <w:sz w:val="24"/>
      <w:szCs w:val="24"/>
    </w:rPr>
  </w:style>
  <w:style w:type="character" w:styleId="a5">
    <w:name w:val="annotation reference"/>
    <w:basedOn w:val="a0"/>
    <w:uiPriority w:val="99"/>
    <w:semiHidden/>
    <w:unhideWhenUsed/>
    <w:qFormat/>
    <w:rsid w:val="00BD673C"/>
    <w:rPr>
      <w:sz w:val="21"/>
      <w:szCs w:val="21"/>
    </w:rPr>
  </w:style>
  <w:style w:type="paragraph" w:styleId="a6">
    <w:name w:val="Balloon Text"/>
    <w:basedOn w:val="a"/>
    <w:link w:val="a7"/>
    <w:uiPriority w:val="99"/>
    <w:semiHidden/>
    <w:unhideWhenUsed/>
    <w:rsid w:val="00BD673C"/>
    <w:rPr>
      <w:sz w:val="18"/>
      <w:szCs w:val="18"/>
    </w:rPr>
  </w:style>
  <w:style w:type="character" w:customStyle="1" w:styleId="a7">
    <w:name w:val="批注框文本 字符"/>
    <w:basedOn w:val="a0"/>
    <w:link w:val="a6"/>
    <w:uiPriority w:val="99"/>
    <w:semiHidden/>
    <w:rsid w:val="00BD673C"/>
    <w:rPr>
      <w:rFonts w:ascii="Arial" w:hAnsi="Arial" w:cs="Arial"/>
      <w:sz w:val="18"/>
      <w:szCs w:val="18"/>
    </w:rPr>
  </w:style>
  <w:style w:type="table" w:styleId="a8">
    <w:name w:val="Table Grid"/>
    <w:basedOn w:val="a1"/>
    <w:uiPriority w:val="39"/>
    <w:rsid w:val="00BD67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BD673C"/>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BD673C"/>
    <w:rPr>
      <w:rFonts w:ascii="Arial" w:hAnsi="Arial" w:cs="Arial"/>
      <w:sz w:val="18"/>
      <w:szCs w:val="18"/>
    </w:rPr>
  </w:style>
  <w:style w:type="paragraph" w:styleId="ab">
    <w:name w:val="footer"/>
    <w:basedOn w:val="a"/>
    <w:link w:val="ac"/>
    <w:uiPriority w:val="99"/>
    <w:unhideWhenUsed/>
    <w:rsid w:val="00BD673C"/>
    <w:pPr>
      <w:tabs>
        <w:tab w:val="center" w:pos="4153"/>
        <w:tab w:val="right" w:pos="8306"/>
      </w:tabs>
      <w:snapToGrid w:val="0"/>
      <w:jc w:val="left"/>
    </w:pPr>
    <w:rPr>
      <w:sz w:val="18"/>
      <w:szCs w:val="18"/>
    </w:rPr>
  </w:style>
  <w:style w:type="character" w:customStyle="1" w:styleId="ac">
    <w:name w:val="页脚 字符"/>
    <w:basedOn w:val="a0"/>
    <w:link w:val="ab"/>
    <w:uiPriority w:val="99"/>
    <w:rsid w:val="00BD673C"/>
    <w:rPr>
      <w:rFonts w:ascii="Arial" w:hAnsi="Arial" w:cs="Arial"/>
      <w:sz w:val="18"/>
      <w:szCs w:val="18"/>
    </w:rPr>
  </w:style>
  <w:style w:type="paragraph" w:customStyle="1" w:styleId="EndNoteBibliographyTitle">
    <w:name w:val="EndNote Bibliography Title"/>
    <w:basedOn w:val="a"/>
    <w:link w:val="EndNoteBibliographyTitle0"/>
    <w:rsid w:val="00BD673C"/>
    <w:pPr>
      <w:jc w:val="center"/>
    </w:pPr>
    <w:rPr>
      <w:rFonts w:eastAsia="等线"/>
      <w:noProof/>
    </w:rPr>
  </w:style>
  <w:style w:type="character" w:customStyle="1" w:styleId="EndNoteBibliographyTitle0">
    <w:name w:val="EndNote Bibliography Title 字符"/>
    <w:basedOn w:val="a0"/>
    <w:link w:val="EndNoteBibliographyTitle"/>
    <w:rsid w:val="00BD673C"/>
    <w:rPr>
      <w:rFonts w:ascii="Arial" w:eastAsia="等线" w:hAnsi="Arial" w:cs="Arial"/>
      <w:noProof/>
      <w:sz w:val="24"/>
      <w:szCs w:val="24"/>
    </w:rPr>
  </w:style>
  <w:style w:type="paragraph" w:customStyle="1" w:styleId="EndNoteBibliography">
    <w:name w:val="EndNote Bibliography"/>
    <w:basedOn w:val="a"/>
    <w:link w:val="EndNoteBibliography0"/>
    <w:rsid w:val="00BD673C"/>
    <w:pPr>
      <w:spacing w:line="240" w:lineRule="auto"/>
      <w:jc w:val="left"/>
    </w:pPr>
    <w:rPr>
      <w:rFonts w:eastAsia="等线"/>
      <w:noProof/>
    </w:rPr>
  </w:style>
  <w:style w:type="character" w:customStyle="1" w:styleId="EndNoteBibliography0">
    <w:name w:val="EndNote Bibliography 字符"/>
    <w:basedOn w:val="a0"/>
    <w:link w:val="EndNoteBibliography"/>
    <w:rsid w:val="00BD673C"/>
    <w:rPr>
      <w:rFonts w:ascii="Arial" w:eastAsia="等线" w:hAnsi="Arial" w:cs="Arial"/>
      <w:noProof/>
      <w:sz w:val="24"/>
      <w:szCs w:val="24"/>
    </w:rPr>
  </w:style>
  <w:style w:type="table" w:customStyle="1" w:styleId="11">
    <w:name w:val="网格型1"/>
    <w:basedOn w:val="a1"/>
    <w:next w:val="a8"/>
    <w:uiPriority w:val="39"/>
    <w:qFormat/>
    <w:rsid w:val="00BD673C"/>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Heading">
    <w:name w:val="SM Heading"/>
    <w:basedOn w:val="1"/>
    <w:qFormat/>
    <w:rsid w:val="00BD673C"/>
    <w:pPr>
      <w:keepNext/>
      <w:widowControl/>
      <w:spacing w:beforeLines="0" w:before="240" w:afterLines="0" w:after="60" w:line="360" w:lineRule="auto"/>
      <w:jc w:val="center"/>
    </w:pPr>
    <w:rPr>
      <w:rFonts w:eastAsia="宋体"/>
      <w:bCs/>
      <w:kern w:val="32"/>
      <w:szCs w:val="24"/>
      <w:lang w:eastAsia="en-US"/>
    </w:rPr>
  </w:style>
  <w:style w:type="character" w:styleId="ad">
    <w:name w:val="Hyperlink"/>
    <w:basedOn w:val="a0"/>
    <w:uiPriority w:val="99"/>
    <w:unhideWhenUsed/>
    <w:rsid w:val="00BD673C"/>
    <w:rPr>
      <w:color w:val="0563C1" w:themeColor="hyperlink"/>
      <w:u w:val="single"/>
    </w:rPr>
  </w:style>
  <w:style w:type="paragraph" w:styleId="ae">
    <w:name w:val="List Paragraph"/>
    <w:basedOn w:val="a"/>
    <w:uiPriority w:val="34"/>
    <w:qFormat/>
    <w:rsid w:val="00BD673C"/>
    <w:pPr>
      <w:ind w:firstLineChars="200" w:firstLine="420"/>
    </w:pPr>
    <w:rPr>
      <w:rFonts w:ascii="Times New Roman" w:hAnsi="Times New Roman" w:cs="Times New Roman"/>
    </w:rPr>
  </w:style>
  <w:style w:type="character" w:styleId="af">
    <w:name w:val="line number"/>
    <w:basedOn w:val="a0"/>
    <w:uiPriority w:val="99"/>
    <w:semiHidden/>
    <w:unhideWhenUsed/>
    <w:rsid w:val="00BD673C"/>
  </w:style>
  <w:style w:type="paragraph" w:styleId="af0">
    <w:name w:val="annotation subject"/>
    <w:basedOn w:val="a3"/>
    <w:next w:val="a3"/>
    <w:link w:val="af1"/>
    <w:uiPriority w:val="99"/>
    <w:semiHidden/>
    <w:unhideWhenUsed/>
    <w:rsid w:val="00BD673C"/>
    <w:pPr>
      <w:ind w:firstLineChars="0" w:firstLine="0"/>
    </w:pPr>
    <w:rPr>
      <w:rFonts w:ascii="Arial" w:hAnsi="Arial" w:cs="Arial"/>
      <w:b/>
      <w:bCs/>
    </w:rPr>
  </w:style>
  <w:style w:type="character" w:customStyle="1" w:styleId="af1">
    <w:name w:val="批注主题 字符"/>
    <w:basedOn w:val="a4"/>
    <w:link w:val="af0"/>
    <w:uiPriority w:val="99"/>
    <w:semiHidden/>
    <w:rsid w:val="00BD673C"/>
    <w:rPr>
      <w:rFonts w:ascii="Arial" w:hAnsi="Arial" w:cs="Arial"/>
      <w:b/>
      <w:bCs/>
      <w:sz w:val="24"/>
      <w:szCs w:val="24"/>
    </w:rPr>
  </w:style>
  <w:style w:type="character" w:styleId="af2">
    <w:name w:val="Emphasis"/>
    <w:basedOn w:val="a0"/>
    <w:uiPriority w:val="20"/>
    <w:qFormat/>
    <w:rsid w:val="00BD673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579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63</Pages>
  <Words>11664</Words>
  <Characters>66489</Characters>
  <Application>Microsoft Office Word</Application>
  <DocSecurity>0</DocSecurity>
  <Lines>554</Lines>
  <Paragraphs>155</Paragraphs>
  <ScaleCrop>false</ScaleCrop>
  <Company/>
  <LinksUpToDate>false</LinksUpToDate>
  <CharactersWithSpaces>77998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Wenxin Zhou</dc:creator>
  <cp:keywords/>
  <dc:description/>
  <cp:lastModifiedBy>Wenxin Zhou</cp:lastModifiedBy>
  <cp:revision>4</cp:revision>
  <dcterms:created xsi:type="dcterms:W3CDTF">2023-05-08T14:22:00Z</dcterms:created>
  <dcterms:modified xsi:type="dcterms:W3CDTF">2023-05-17T01:03:00Z</dcterms:modified>
</cp:coreProperties>
</file>