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24843" w14:textId="77777777" w:rsidR="000337C9" w:rsidRPr="000337C9" w:rsidRDefault="000337C9" w:rsidP="000337C9">
      <w:pPr>
        <w:spacing w:line="276" w:lineRule="auto"/>
        <w:contextualSpacing/>
        <w:jc w:val="both"/>
        <w:rPr>
          <w:rFonts w:ascii="Calibri" w:eastAsia="Lucida Sans Unicode" w:hAnsi="Calibri" w:cs="Calibri"/>
          <w:b/>
          <w:bCs/>
          <w:kern w:val="1"/>
          <w:sz w:val="28"/>
          <w:szCs w:val="28"/>
          <w:lang w:val="en-US" w:eastAsia="hi-IN" w:bidi="hi-IN"/>
        </w:rPr>
      </w:pPr>
      <w:r w:rsidRPr="000337C9">
        <w:rPr>
          <w:rFonts w:ascii="Calibri" w:eastAsia="Lucida Sans Unicode" w:hAnsi="Calibri" w:cs="Calibri"/>
          <w:b/>
          <w:bCs/>
          <w:kern w:val="1"/>
          <w:sz w:val="28"/>
          <w:szCs w:val="28"/>
          <w:lang w:val="en-US" w:eastAsia="hi-IN" w:bidi="hi-IN"/>
        </w:rPr>
        <w:t>EAU-EANM-ESTRO-ESUR-ISUP-SIOG Guidelines on Prostate Cancer. Part II—2024 Update: Treatment of Relapsing and Metastatic Prostate Cancer</w:t>
      </w:r>
    </w:p>
    <w:p w14:paraId="542B0895" w14:textId="77777777" w:rsidR="000337C9" w:rsidRPr="000337C9" w:rsidRDefault="000337C9" w:rsidP="000337C9">
      <w:pPr>
        <w:spacing w:line="276" w:lineRule="auto"/>
        <w:contextualSpacing/>
        <w:jc w:val="both"/>
        <w:rPr>
          <w:rFonts w:ascii="Calibri" w:eastAsia="Lucida Sans Unicode" w:hAnsi="Calibri" w:cs="Calibri"/>
          <w:kern w:val="1"/>
          <w:sz w:val="22"/>
          <w:szCs w:val="22"/>
          <w:lang w:eastAsia="hi-IN" w:bidi="hi-IN"/>
        </w:rPr>
      </w:pPr>
    </w:p>
    <w:p w14:paraId="11F51898" w14:textId="7F2722FC" w:rsidR="000337C9" w:rsidRPr="000337C9" w:rsidRDefault="000337C9" w:rsidP="000337C9">
      <w:pPr>
        <w:spacing w:line="276" w:lineRule="auto"/>
        <w:contextualSpacing/>
        <w:jc w:val="both"/>
        <w:rPr>
          <w:rFonts w:ascii="Calibri" w:hAnsi="Calibri" w:cs="Calibri"/>
          <w:sz w:val="22"/>
          <w:szCs w:val="22"/>
        </w:rPr>
      </w:pPr>
      <w:r w:rsidRPr="000337C9">
        <w:rPr>
          <w:rFonts w:ascii="Calibri" w:eastAsia="Lucida Sans Unicode" w:hAnsi="Calibri" w:cs="Calibri"/>
          <w:kern w:val="1"/>
          <w:sz w:val="22"/>
          <w:szCs w:val="22"/>
          <w:lang w:eastAsia="hi-IN" w:bidi="hi-IN"/>
        </w:rPr>
        <w:t>Derya Tilki</w:t>
      </w:r>
      <w:r w:rsidRPr="000337C9">
        <w:rPr>
          <w:rFonts w:ascii="Calibri" w:hAnsi="Calibri" w:cs="Calibri"/>
          <w:sz w:val="22"/>
          <w:szCs w:val="22"/>
          <w:vertAlign w:val="superscript"/>
        </w:rPr>
        <w:t>1,2,3*</w:t>
      </w:r>
      <w:r w:rsidRPr="000337C9">
        <w:rPr>
          <w:rFonts w:ascii="Calibri" w:eastAsia="Lucida Sans Unicode" w:hAnsi="Calibri" w:cs="Calibri"/>
          <w:kern w:val="1"/>
          <w:sz w:val="22"/>
          <w:szCs w:val="22"/>
          <w:lang w:eastAsia="hi-IN" w:bidi="hi-IN"/>
        </w:rPr>
        <w:t>, Roderick C.N</w:t>
      </w:r>
      <w:r w:rsidRPr="000337C9">
        <w:rPr>
          <w:rFonts w:ascii="Calibri" w:hAnsi="Calibri" w:cs="Calibri"/>
          <w:sz w:val="22"/>
          <w:szCs w:val="22"/>
        </w:rPr>
        <w:t>. van den Bergh</w:t>
      </w:r>
      <w:r w:rsidRPr="000337C9">
        <w:rPr>
          <w:rFonts w:ascii="Calibri" w:hAnsi="Calibri" w:cs="Calibri"/>
          <w:sz w:val="22"/>
          <w:szCs w:val="22"/>
          <w:vertAlign w:val="superscript"/>
        </w:rPr>
        <w:t>4</w:t>
      </w:r>
      <w:r w:rsidRPr="000337C9">
        <w:rPr>
          <w:rFonts w:ascii="Calibri" w:hAnsi="Calibri" w:cs="Calibri"/>
          <w:sz w:val="22"/>
          <w:szCs w:val="22"/>
        </w:rPr>
        <w:t>, Erik Briers</w:t>
      </w:r>
      <w:r w:rsidRPr="000337C9">
        <w:rPr>
          <w:rFonts w:ascii="Calibri" w:hAnsi="Calibri" w:cs="Calibri"/>
          <w:sz w:val="22"/>
          <w:szCs w:val="22"/>
          <w:vertAlign w:val="superscript"/>
        </w:rPr>
        <w:t>5</w:t>
      </w:r>
      <w:r w:rsidRPr="000337C9">
        <w:rPr>
          <w:rFonts w:ascii="Calibri" w:hAnsi="Calibri" w:cs="Calibri"/>
          <w:sz w:val="22"/>
          <w:szCs w:val="22"/>
        </w:rPr>
        <w:t>, Thomas Van den Broeck</w:t>
      </w:r>
      <w:r w:rsidRPr="000337C9">
        <w:rPr>
          <w:rFonts w:ascii="Calibri" w:hAnsi="Calibri" w:cs="Calibri"/>
          <w:sz w:val="22"/>
          <w:szCs w:val="22"/>
          <w:vertAlign w:val="superscript"/>
        </w:rPr>
        <w:t>6</w:t>
      </w:r>
      <w:r w:rsidRPr="000337C9">
        <w:rPr>
          <w:rFonts w:ascii="Calibri" w:hAnsi="Calibri" w:cs="Calibri"/>
          <w:sz w:val="22"/>
          <w:szCs w:val="22"/>
        </w:rPr>
        <w:t>, Oliver Brunckhorst</w:t>
      </w:r>
      <w:r w:rsidRPr="000337C9">
        <w:rPr>
          <w:rFonts w:ascii="Calibri" w:hAnsi="Calibri" w:cs="Calibri"/>
          <w:sz w:val="22"/>
          <w:szCs w:val="22"/>
          <w:vertAlign w:val="superscript"/>
        </w:rPr>
        <w:t>7</w:t>
      </w:r>
      <w:r w:rsidRPr="000337C9">
        <w:rPr>
          <w:rFonts w:ascii="Calibri" w:hAnsi="Calibri" w:cs="Calibri"/>
          <w:sz w:val="22"/>
          <w:szCs w:val="22"/>
        </w:rPr>
        <w:t>, Julie Darraugh</w:t>
      </w:r>
      <w:r w:rsidRPr="000337C9">
        <w:rPr>
          <w:rFonts w:ascii="Calibri" w:hAnsi="Calibri" w:cs="Calibri"/>
          <w:sz w:val="22"/>
          <w:szCs w:val="22"/>
          <w:vertAlign w:val="superscript"/>
        </w:rPr>
        <w:t>8</w:t>
      </w:r>
      <w:r w:rsidRPr="000337C9">
        <w:rPr>
          <w:rFonts w:ascii="Calibri" w:hAnsi="Calibri" w:cs="Calibri"/>
          <w:sz w:val="22"/>
          <w:szCs w:val="22"/>
        </w:rPr>
        <w:t>, Daniel Eberli</w:t>
      </w:r>
      <w:r w:rsidRPr="000337C9">
        <w:rPr>
          <w:rFonts w:ascii="Calibri" w:hAnsi="Calibri" w:cs="Calibri"/>
          <w:sz w:val="22"/>
          <w:szCs w:val="22"/>
          <w:vertAlign w:val="superscript"/>
        </w:rPr>
        <w:t>9</w:t>
      </w:r>
      <w:r w:rsidRPr="000337C9">
        <w:rPr>
          <w:rFonts w:ascii="Calibri" w:hAnsi="Calibri" w:cs="Calibri"/>
          <w:sz w:val="22"/>
          <w:szCs w:val="22"/>
        </w:rPr>
        <w:t>, Gert De Meerleer</w:t>
      </w:r>
      <w:r w:rsidRPr="000337C9">
        <w:rPr>
          <w:rFonts w:ascii="Calibri" w:hAnsi="Calibri" w:cs="Calibri"/>
          <w:sz w:val="22"/>
          <w:szCs w:val="22"/>
          <w:vertAlign w:val="superscript"/>
        </w:rPr>
        <w:t>10</w:t>
      </w:r>
      <w:r w:rsidRPr="000337C9">
        <w:rPr>
          <w:rFonts w:ascii="Calibri" w:hAnsi="Calibri" w:cs="Calibri"/>
          <w:sz w:val="22"/>
          <w:szCs w:val="22"/>
        </w:rPr>
        <w:t>, Maria De Santis</w:t>
      </w:r>
      <w:r w:rsidRPr="000337C9">
        <w:rPr>
          <w:rFonts w:ascii="Calibri" w:hAnsi="Calibri" w:cs="Calibri"/>
          <w:sz w:val="22"/>
          <w:szCs w:val="22"/>
          <w:vertAlign w:val="superscript"/>
        </w:rPr>
        <w:t>11</w:t>
      </w:r>
      <w:r w:rsidRPr="000337C9">
        <w:rPr>
          <w:rFonts w:ascii="Calibri" w:hAnsi="Calibri" w:cs="Calibri"/>
          <w:sz w:val="22"/>
          <w:szCs w:val="22"/>
        </w:rPr>
        <w:t>, Andrea Farolfi</w:t>
      </w:r>
      <w:r w:rsidRPr="000337C9">
        <w:rPr>
          <w:rFonts w:ascii="Calibri" w:hAnsi="Calibri" w:cs="Calibri"/>
          <w:sz w:val="22"/>
          <w:szCs w:val="22"/>
          <w:vertAlign w:val="superscript"/>
        </w:rPr>
        <w:t>12</w:t>
      </w:r>
      <w:r w:rsidRPr="000337C9">
        <w:rPr>
          <w:rFonts w:ascii="Calibri" w:hAnsi="Calibri" w:cs="Calibri"/>
          <w:sz w:val="22"/>
          <w:szCs w:val="22"/>
        </w:rPr>
        <w:t>, Giorgio Gandaglia</w:t>
      </w:r>
      <w:r w:rsidRPr="000337C9">
        <w:rPr>
          <w:rFonts w:ascii="Calibri" w:hAnsi="Calibri" w:cs="Calibri"/>
          <w:sz w:val="22"/>
          <w:szCs w:val="22"/>
          <w:vertAlign w:val="superscript"/>
        </w:rPr>
        <w:t>13</w:t>
      </w:r>
      <w:r w:rsidRPr="000337C9">
        <w:rPr>
          <w:rFonts w:ascii="Calibri" w:hAnsi="Calibri" w:cs="Calibri"/>
          <w:sz w:val="22"/>
          <w:szCs w:val="22"/>
        </w:rPr>
        <w:t>, Silke Gillessen</w:t>
      </w:r>
      <w:r w:rsidRPr="000337C9">
        <w:rPr>
          <w:rFonts w:ascii="Calibri" w:hAnsi="Calibri" w:cs="Calibri"/>
          <w:sz w:val="22"/>
          <w:szCs w:val="22"/>
          <w:vertAlign w:val="superscript"/>
        </w:rPr>
        <w:t>14</w:t>
      </w:r>
      <w:r w:rsidRPr="000337C9">
        <w:rPr>
          <w:rFonts w:ascii="Calibri" w:hAnsi="Calibri" w:cs="Calibri"/>
          <w:sz w:val="22"/>
          <w:szCs w:val="22"/>
        </w:rPr>
        <w:t>, Nicos Grivas</w:t>
      </w:r>
      <w:r w:rsidRPr="000337C9">
        <w:rPr>
          <w:rFonts w:ascii="Calibri" w:hAnsi="Calibri" w:cs="Calibri"/>
          <w:sz w:val="22"/>
          <w:szCs w:val="22"/>
          <w:vertAlign w:val="superscript"/>
        </w:rPr>
        <w:t>15</w:t>
      </w:r>
      <w:r w:rsidRPr="000337C9">
        <w:rPr>
          <w:rFonts w:ascii="Calibri" w:hAnsi="Calibri" w:cs="Calibri"/>
          <w:sz w:val="22"/>
          <w:szCs w:val="22"/>
        </w:rPr>
        <w:t>, Ann M. Henry</w:t>
      </w:r>
      <w:r w:rsidRPr="000337C9">
        <w:rPr>
          <w:rFonts w:ascii="Calibri" w:hAnsi="Calibri" w:cs="Calibri"/>
          <w:sz w:val="22"/>
          <w:szCs w:val="22"/>
          <w:vertAlign w:val="superscript"/>
        </w:rPr>
        <w:t>16</w:t>
      </w:r>
      <w:r w:rsidRPr="000337C9">
        <w:rPr>
          <w:rFonts w:ascii="Calibri" w:hAnsi="Calibri" w:cs="Calibri"/>
          <w:sz w:val="22"/>
          <w:szCs w:val="22"/>
        </w:rPr>
        <w:t>, Michael Lardas</w:t>
      </w:r>
      <w:r w:rsidRPr="000337C9">
        <w:rPr>
          <w:rFonts w:ascii="Calibri" w:hAnsi="Calibri" w:cs="Calibri"/>
          <w:sz w:val="22"/>
          <w:szCs w:val="22"/>
          <w:vertAlign w:val="superscript"/>
        </w:rPr>
        <w:t>17</w:t>
      </w:r>
      <w:r w:rsidRPr="000337C9">
        <w:rPr>
          <w:rFonts w:ascii="Calibri" w:hAnsi="Calibri" w:cs="Calibri"/>
          <w:sz w:val="22"/>
          <w:szCs w:val="22"/>
        </w:rPr>
        <w:t>, Geert J.L.H. van Leenders</w:t>
      </w:r>
      <w:r w:rsidRPr="000337C9">
        <w:rPr>
          <w:rFonts w:ascii="Calibri" w:hAnsi="Calibri" w:cs="Calibri"/>
          <w:sz w:val="22"/>
          <w:szCs w:val="22"/>
          <w:vertAlign w:val="superscript"/>
        </w:rPr>
        <w:t>18</w:t>
      </w:r>
      <w:r w:rsidRPr="000337C9">
        <w:rPr>
          <w:rFonts w:ascii="Calibri" w:hAnsi="Calibri" w:cs="Calibri"/>
          <w:sz w:val="22"/>
          <w:szCs w:val="22"/>
        </w:rPr>
        <w:t>, Matthew Liew</w:t>
      </w:r>
      <w:r w:rsidRPr="000337C9">
        <w:rPr>
          <w:rFonts w:ascii="Calibri" w:hAnsi="Calibri" w:cs="Calibri"/>
          <w:sz w:val="22"/>
          <w:szCs w:val="22"/>
          <w:vertAlign w:val="superscript"/>
        </w:rPr>
        <w:t>19</w:t>
      </w:r>
      <w:r w:rsidRPr="000337C9">
        <w:rPr>
          <w:rFonts w:ascii="Calibri" w:hAnsi="Calibri" w:cs="Calibri"/>
          <w:sz w:val="22"/>
          <w:szCs w:val="22"/>
        </w:rPr>
        <w:t>, Estefania Linares Espinos</w:t>
      </w:r>
      <w:r w:rsidRPr="000337C9">
        <w:rPr>
          <w:rFonts w:ascii="Calibri" w:hAnsi="Calibri" w:cs="Calibri"/>
          <w:sz w:val="22"/>
          <w:szCs w:val="22"/>
          <w:vertAlign w:val="superscript"/>
        </w:rPr>
        <w:t>20</w:t>
      </w:r>
      <w:r w:rsidRPr="000337C9">
        <w:rPr>
          <w:rFonts w:ascii="Calibri" w:hAnsi="Calibri" w:cs="Calibri"/>
          <w:sz w:val="22"/>
          <w:szCs w:val="22"/>
        </w:rPr>
        <w:t>, Jan Oldenburg</w:t>
      </w:r>
      <w:r w:rsidRPr="000337C9">
        <w:rPr>
          <w:rFonts w:ascii="Calibri" w:hAnsi="Calibri" w:cs="Calibri"/>
          <w:sz w:val="22"/>
          <w:szCs w:val="22"/>
          <w:vertAlign w:val="superscript"/>
        </w:rPr>
        <w:t>21</w:t>
      </w:r>
      <w:r w:rsidRPr="000337C9">
        <w:rPr>
          <w:rFonts w:ascii="Calibri" w:hAnsi="Calibri" w:cs="Calibri"/>
          <w:sz w:val="22"/>
          <w:szCs w:val="22"/>
        </w:rPr>
        <w:t>, Inge M. van Oort</w:t>
      </w:r>
      <w:r w:rsidRPr="000337C9">
        <w:rPr>
          <w:rFonts w:ascii="Calibri" w:hAnsi="Calibri" w:cs="Calibri"/>
          <w:sz w:val="22"/>
          <w:szCs w:val="22"/>
          <w:vertAlign w:val="superscript"/>
        </w:rPr>
        <w:t>22</w:t>
      </w:r>
      <w:r w:rsidRPr="000337C9">
        <w:rPr>
          <w:rFonts w:ascii="Calibri" w:hAnsi="Calibri" w:cs="Calibri"/>
          <w:sz w:val="22"/>
          <w:szCs w:val="22"/>
        </w:rPr>
        <w:t>, Daniela E. Oprea-Lager</w:t>
      </w:r>
      <w:r w:rsidRPr="000337C9">
        <w:rPr>
          <w:rFonts w:ascii="Calibri" w:hAnsi="Calibri" w:cs="Calibri"/>
          <w:sz w:val="22"/>
          <w:szCs w:val="22"/>
          <w:vertAlign w:val="superscript"/>
        </w:rPr>
        <w:t>23</w:t>
      </w:r>
      <w:r w:rsidRPr="000337C9">
        <w:rPr>
          <w:rFonts w:ascii="Calibri" w:hAnsi="Calibri" w:cs="Calibri"/>
          <w:sz w:val="22"/>
          <w:szCs w:val="22"/>
        </w:rPr>
        <w:t>, Guillaume Ploussard</w:t>
      </w:r>
      <w:r w:rsidRPr="000337C9">
        <w:rPr>
          <w:rFonts w:ascii="Calibri" w:hAnsi="Calibri" w:cs="Calibri"/>
          <w:sz w:val="22"/>
          <w:szCs w:val="22"/>
          <w:vertAlign w:val="superscript"/>
        </w:rPr>
        <w:t>24</w:t>
      </w:r>
      <w:r w:rsidRPr="000337C9">
        <w:rPr>
          <w:rFonts w:ascii="Calibri" w:hAnsi="Calibri" w:cs="Calibri"/>
          <w:sz w:val="22"/>
          <w:szCs w:val="22"/>
        </w:rPr>
        <w:t>, Matthew J. Roberts</w:t>
      </w:r>
      <w:r w:rsidRPr="000337C9">
        <w:rPr>
          <w:rFonts w:ascii="Calibri" w:hAnsi="Calibri" w:cs="Calibri"/>
          <w:sz w:val="22"/>
          <w:szCs w:val="22"/>
          <w:vertAlign w:val="superscript"/>
        </w:rPr>
        <w:t>25</w:t>
      </w:r>
      <w:r w:rsidRPr="000337C9">
        <w:rPr>
          <w:rFonts w:ascii="Calibri" w:hAnsi="Calibri" w:cs="Calibri"/>
          <w:sz w:val="22"/>
          <w:szCs w:val="22"/>
        </w:rPr>
        <w:t>, Olivier Rouvière</w:t>
      </w:r>
      <w:r w:rsidRPr="000337C9">
        <w:rPr>
          <w:rFonts w:ascii="Calibri" w:hAnsi="Calibri" w:cs="Calibri"/>
          <w:sz w:val="22"/>
          <w:szCs w:val="22"/>
          <w:vertAlign w:val="superscript"/>
        </w:rPr>
        <w:t>26</w:t>
      </w:r>
      <w:r w:rsidRPr="000337C9">
        <w:rPr>
          <w:rFonts w:ascii="Calibri" w:hAnsi="Calibri" w:cs="Calibri"/>
          <w:sz w:val="22"/>
          <w:szCs w:val="22"/>
        </w:rPr>
        <w:t>, Ivo G. Schoots</w:t>
      </w:r>
      <w:r w:rsidRPr="000337C9">
        <w:rPr>
          <w:rFonts w:ascii="Calibri" w:hAnsi="Calibri" w:cs="Calibri"/>
          <w:sz w:val="22"/>
          <w:szCs w:val="22"/>
          <w:vertAlign w:val="superscript"/>
        </w:rPr>
        <w:t>27</w:t>
      </w:r>
      <w:r w:rsidRPr="000337C9">
        <w:rPr>
          <w:rFonts w:ascii="Calibri" w:hAnsi="Calibri" w:cs="Calibri"/>
          <w:sz w:val="22"/>
          <w:szCs w:val="22"/>
        </w:rPr>
        <w:t>,</w:t>
      </w:r>
      <w:r w:rsidR="00874EDB">
        <w:rPr>
          <w:rFonts w:ascii="Calibri" w:hAnsi="Calibri" w:cs="Calibri"/>
          <w:sz w:val="22"/>
          <w:szCs w:val="22"/>
        </w:rPr>
        <w:t xml:space="preserve"> </w:t>
      </w:r>
      <w:r w:rsidRPr="000337C9">
        <w:rPr>
          <w:rFonts w:ascii="Calibri" w:hAnsi="Calibri" w:cs="Calibri"/>
          <w:sz w:val="22"/>
          <w:szCs w:val="22"/>
        </w:rPr>
        <w:t>Natasha Schouten</w:t>
      </w:r>
      <w:r w:rsidRPr="000337C9">
        <w:rPr>
          <w:rFonts w:ascii="Calibri" w:hAnsi="Calibri" w:cs="Calibri"/>
          <w:sz w:val="22"/>
          <w:szCs w:val="22"/>
          <w:vertAlign w:val="superscript"/>
        </w:rPr>
        <w:t>8</w:t>
      </w:r>
      <w:r w:rsidRPr="000337C9">
        <w:rPr>
          <w:rFonts w:ascii="Calibri" w:hAnsi="Calibri" w:cs="Calibri"/>
          <w:sz w:val="22"/>
          <w:szCs w:val="22"/>
        </w:rPr>
        <w:t>, Emma J. Smith</w:t>
      </w:r>
      <w:r w:rsidRPr="000337C9">
        <w:rPr>
          <w:rFonts w:ascii="Calibri" w:hAnsi="Calibri" w:cs="Calibri"/>
          <w:sz w:val="22"/>
          <w:szCs w:val="22"/>
          <w:vertAlign w:val="superscript"/>
        </w:rPr>
        <w:t>8</w:t>
      </w:r>
      <w:r w:rsidRPr="000337C9">
        <w:rPr>
          <w:rFonts w:ascii="Calibri" w:hAnsi="Calibri" w:cs="Calibri"/>
          <w:sz w:val="22"/>
          <w:szCs w:val="22"/>
        </w:rPr>
        <w:t>, Johan Stranne</w:t>
      </w:r>
      <w:r w:rsidRPr="000337C9">
        <w:rPr>
          <w:rFonts w:ascii="Calibri" w:hAnsi="Calibri" w:cs="Calibri"/>
          <w:sz w:val="22"/>
          <w:szCs w:val="22"/>
          <w:vertAlign w:val="superscript"/>
        </w:rPr>
        <w:t>28</w:t>
      </w:r>
      <w:r w:rsidRPr="000337C9">
        <w:rPr>
          <w:rFonts w:ascii="Calibri" w:hAnsi="Calibri" w:cs="Calibri"/>
          <w:sz w:val="22"/>
          <w:szCs w:val="22"/>
        </w:rPr>
        <w:t>, Thomas Wiegel</w:t>
      </w:r>
      <w:r w:rsidRPr="000337C9">
        <w:rPr>
          <w:rFonts w:ascii="Calibri" w:hAnsi="Calibri" w:cs="Calibri"/>
          <w:sz w:val="22"/>
          <w:szCs w:val="22"/>
          <w:vertAlign w:val="superscript"/>
        </w:rPr>
        <w:t>29</w:t>
      </w:r>
      <w:r w:rsidRPr="000337C9">
        <w:rPr>
          <w:rFonts w:ascii="Calibri" w:hAnsi="Calibri" w:cs="Calibri"/>
          <w:sz w:val="22"/>
          <w:szCs w:val="22"/>
        </w:rPr>
        <w:t>, Peter-Paul Willemse</w:t>
      </w:r>
      <w:r w:rsidRPr="000337C9">
        <w:rPr>
          <w:rFonts w:ascii="Calibri" w:hAnsi="Calibri" w:cs="Calibri"/>
          <w:sz w:val="22"/>
          <w:szCs w:val="22"/>
          <w:vertAlign w:val="superscript"/>
        </w:rPr>
        <w:t>30</w:t>
      </w:r>
      <w:r w:rsidRPr="000337C9">
        <w:rPr>
          <w:rFonts w:ascii="Calibri" w:hAnsi="Calibri" w:cs="Calibri"/>
          <w:sz w:val="22"/>
          <w:szCs w:val="22"/>
        </w:rPr>
        <w:t>, Philip Cornford</w:t>
      </w:r>
      <w:r w:rsidRPr="000337C9">
        <w:rPr>
          <w:rFonts w:ascii="Calibri" w:hAnsi="Calibri" w:cs="Calibri"/>
          <w:sz w:val="22"/>
          <w:szCs w:val="22"/>
          <w:vertAlign w:val="superscript"/>
        </w:rPr>
        <w:t>31</w:t>
      </w:r>
    </w:p>
    <w:p w14:paraId="02BD383E" w14:textId="77777777" w:rsidR="000337C9" w:rsidRPr="000337C9" w:rsidRDefault="000337C9" w:rsidP="000337C9">
      <w:pPr>
        <w:spacing w:line="276" w:lineRule="auto"/>
        <w:contextualSpacing/>
        <w:jc w:val="both"/>
        <w:rPr>
          <w:rFonts w:ascii="Calibri" w:eastAsia="Lucida Sans Unicode" w:hAnsi="Calibri" w:cs="Calibri"/>
          <w:kern w:val="1"/>
          <w:sz w:val="22"/>
          <w:szCs w:val="22"/>
          <w:lang w:eastAsia="hi-IN" w:bidi="hi-IN"/>
        </w:rPr>
      </w:pPr>
    </w:p>
    <w:p w14:paraId="30235EC4"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1</w:t>
      </w:r>
      <w:r w:rsidRPr="000337C9">
        <w:rPr>
          <w:rFonts w:ascii="Calibri" w:hAnsi="Calibri" w:cs="Calibri"/>
          <w:sz w:val="22"/>
          <w:szCs w:val="22"/>
        </w:rPr>
        <w:t xml:space="preserve">Martini-Klinik Prostate Cancer Center, University Hospital Hamburg Eppendorf, Hamburg, Germany. </w:t>
      </w:r>
    </w:p>
    <w:p w14:paraId="57F7608B"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2</w:t>
      </w:r>
      <w:r w:rsidRPr="000337C9">
        <w:rPr>
          <w:rFonts w:ascii="Calibri" w:hAnsi="Calibri" w:cs="Calibri"/>
          <w:sz w:val="22"/>
          <w:szCs w:val="22"/>
        </w:rPr>
        <w:t>Department of Urology, University Hospital Hamburg-Eppendorf, Hamburg, Germany.</w:t>
      </w:r>
    </w:p>
    <w:p w14:paraId="483F8F16"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3</w:t>
      </w:r>
      <w:r w:rsidRPr="000337C9">
        <w:rPr>
          <w:rFonts w:ascii="Calibri" w:hAnsi="Calibri" w:cs="Calibri"/>
          <w:sz w:val="22"/>
          <w:szCs w:val="22"/>
        </w:rPr>
        <w:t>Department of Urology, Koc University Hospital, Istanbul, Turkey.</w:t>
      </w:r>
    </w:p>
    <w:p w14:paraId="4961099F"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 xml:space="preserve">4 </w:t>
      </w:r>
      <w:r w:rsidRPr="000337C9">
        <w:rPr>
          <w:rFonts w:ascii="Calibri" w:hAnsi="Calibri" w:cs="Calibri"/>
          <w:sz w:val="22"/>
          <w:szCs w:val="22"/>
        </w:rPr>
        <w:t>Department of Urology, St. Antonius Hospital, Utrecht, The Netherlands.</w:t>
      </w:r>
    </w:p>
    <w:p w14:paraId="2ABAEF4E"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 xml:space="preserve">5 </w:t>
      </w:r>
      <w:r w:rsidRPr="000337C9">
        <w:rPr>
          <w:rFonts w:ascii="Calibri" w:hAnsi="Calibri" w:cs="Calibri"/>
          <w:sz w:val="22"/>
          <w:szCs w:val="22"/>
        </w:rPr>
        <w:t>Hasselt, Belgium.</w:t>
      </w:r>
    </w:p>
    <w:p w14:paraId="607B554E"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6</w:t>
      </w:r>
      <w:r w:rsidRPr="000337C9">
        <w:rPr>
          <w:rFonts w:ascii="Calibri" w:hAnsi="Calibri" w:cs="Calibri"/>
          <w:sz w:val="22"/>
          <w:szCs w:val="22"/>
        </w:rPr>
        <w:t xml:space="preserve"> Department of Urology, University Hospitals Leuven, Leuven, Belgium.</w:t>
      </w:r>
    </w:p>
    <w:p w14:paraId="76848699"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 xml:space="preserve">7 </w:t>
      </w:r>
      <w:r w:rsidRPr="000337C9">
        <w:rPr>
          <w:rFonts w:ascii="Calibri" w:hAnsi="Calibri" w:cs="Calibri"/>
          <w:sz w:val="22"/>
          <w:szCs w:val="22"/>
        </w:rPr>
        <w:t>Urology, King's College London, London, UK.</w:t>
      </w:r>
    </w:p>
    <w:p w14:paraId="552C7FAF"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 xml:space="preserve">8 </w:t>
      </w:r>
      <w:r w:rsidRPr="000337C9">
        <w:rPr>
          <w:rFonts w:ascii="Calibri" w:hAnsi="Calibri" w:cs="Calibri"/>
          <w:sz w:val="22"/>
          <w:szCs w:val="22"/>
        </w:rPr>
        <w:t>European Association of Urology, Arnhem, Netherlands.</w:t>
      </w:r>
    </w:p>
    <w:p w14:paraId="272B5031" w14:textId="44ADD3AF"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 xml:space="preserve">9 </w:t>
      </w:r>
      <w:r w:rsidRPr="000337C9">
        <w:rPr>
          <w:rFonts w:ascii="Calibri" w:hAnsi="Calibri" w:cs="Calibri"/>
          <w:sz w:val="22"/>
          <w:szCs w:val="22"/>
        </w:rPr>
        <w:t>Department of Urology, University Hospital Zurich, 8091 Zurich, Switzerland.</w:t>
      </w:r>
    </w:p>
    <w:p w14:paraId="43B025B1"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10</w:t>
      </w:r>
      <w:r w:rsidRPr="000337C9">
        <w:rPr>
          <w:rFonts w:ascii="Calibri" w:hAnsi="Calibri" w:cs="Calibri"/>
          <w:sz w:val="22"/>
          <w:szCs w:val="22"/>
        </w:rPr>
        <w:t xml:space="preserve"> Department of Radiation Oncology, University Hospital Leuven, Leuven, Belgium.</w:t>
      </w:r>
    </w:p>
    <w:p w14:paraId="57A2D27D"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 xml:space="preserve">11 </w:t>
      </w:r>
      <w:r w:rsidRPr="000337C9">
        <w:rPr>
          <w:rFonts w:ascii="Calibri" w:hAnsi="Calibri" w:cs="Calibri"/>
          <w:sz w:val="22"/>
          <w:szCs w:val="22"/>
        </w:rPr>
        <w:t>Department of Urology, Universitätsmedizin Berlin, Berlin, Germany and Department of Urology, Medical University of Vienna, Vienna, Austria</w:t>
      </w:r>
    </w:p>
    <w:p w14:paraId="1C71E16D"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12</w:t>
      </w:r>
      <w:r w:rsidRPr="000337C9">
        <w:rPr>
          <w:rFonts w:ascii="Calibri" w:hAnsi="Calibri" w:cs="Calibri"/>
          <w:sz w:val="22"/>
          <w:szCs w:val="22"/>
        </w:rPr>
        <w:t xml:space="preserve"> Nuclear Medicine Unit, IRCCS Azienda Ospedaliero, University of Bologna, Bologna, Italy</w:t>
      </w:r>
    </w:p>
    <w:p w14:paraId="57E1C82C"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13</w:t>
      </w:r>
      <w:r w:rsidRPr="000337C9">
        <w:rPr>
          <w:rFonts w:ascii="Calibri" w:hAnsi="Calibri" w:cs="Calibri"/>
          <w:color w:val="212121"/>
          <w:sz w:val="22"/>
          <w:szCs w:val="22"/>
          <w:shd w:val="clear" w:color="auto" w:fill="FFFFFF"/>
          <w:vertAlign w:val="superscript"/>
        </w:rPr>
        <w:t xml:space="preserve"> </w:t>
      </w:r>
      <w:r w:rsidRPr="000337C9">
        <w:rPr>
          <w:rFonts w:ascii="Calibri" w:hAnsi="Calibri" w:cs="Calibri"/>
          <w:sz w:val="22"/>
          <w:szCs w:val="22"/>
        </w:rPr>
        <w:t>Unit of Urology/Division of Oncology, URI, IRCCS Ospedale San Raffaele, Milan, Italy; Università Vita-Salute San Raffaele, Milan, Italy.</w:t>
      </w:r>
    </w:p>
    <w:p w14:paraId="0BC914F5"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14</w:t>
      </w:r>
      <w:r w:rsidRPr="000337C9">
        <w:rPr>
          <w:rFonts w:ascii="Calibri" w:hAnsi="Calibri" w:cs="Calibri"/>
          <w:color w:val="212121"/>
          <w:sz w:val="22"/>
          <w:szCs w:val="22"/>
          <w:shd w:val="clear" w:color="auto" w:fill="FFFFFF"/>
        </w:rPr>
        <w:t xml:space="preserve"> </w:t>
      </w:r>
      <w:r w:rsidRPr="000337C9">
        <w:rPr>
          <w:rFonts w:ascii="Calibri" w:hAnsi="Calibri" w:cs="Calibri"/>
          <w:sz w:val="22"/>
          <w:szCs w:val="22"/>
        </w:rPr>
        <w:t>Oncology Institute of Southern Switzerland, Bellinzona, Switzerland; Università della Svizzera Italiana, Lugano, Switzerland; Division of Cancer Sciences, University of Manchester, Manchester, UK.</w:t>
      </w:r>
    </w:p>
    <w:p w14:paraId="3C35ADBB"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15</w:t>
      </w:r>
      <w:r w:rsidRPr="000337C9">
        <w:rPr>
          <w:rFonts w:ascii="Calibri" w:hAnsi="Calibri" w:cs="Calibri"/>
          <w:sz w:val="22"/>
          <w:szCs w:val="22"/>
        </w:rPr>
        <w:t xml:space="preserve"> Department of Urology, Netherlands Cancer Institute, Amsterdam, The Netherlands.</w:t>
      </w:r>
    </w:p>
    <w:p w14:paraId="7256B7A5"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16</w:t>
      </w:r>
      <w:r w:rsidRPr="000337C9">
        <w:rPr>
          <w:rFonts w:ascii="Calibri" w:hAnsi="Calibri" w:cs="Calibri"/>
          <w:color w:val="212121"/>
          <w:sz w:val="22"/>
          <w:szCs w:val="22"/>
          <w:shd w:val="clear" w:color="auto" w:fill="FFFFFF"/>
        </w:rPr>
        <w:t xml:space="preserve"> </w:t>
      </w:r>
      <w:r w:rsidRPr="000337C9">
        <w:rPr>
          <w:rFonts w:ascii="Calibri" w:hAnsi="Calibri" w:cs="Calibri"/>
          <w:sz w:val="22"/>
          <w:szCs w:val="22"/>
        </w:rPr>
        <w:t>Leeds Cancer Centre, St. James's University Hospital and University of Leeds, Leeds, UK.</w:t>
      </w:r>
    </w:p>
    <w:p w14:paraId="03D0378C"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17</w:t>
      </w:r>
      <w:r w:rsidRPr="000337C9">
        <w:rPr>
          <w:rFonts w:ascii="Calibri" w:hAnsi="Calibri" w:cs="Calibri"/>
          <w:color w:val="212121"/>
          <w:sz w:val="22"/>
          <w:szCs w:val="22"/>
          <w:shd w:val="clear" w:color="auto" w:fill="FFFFFF"/>
        </w:rPr>
        <w:t xml:space="preserve"> </w:t>
      </w:r>
      <w:r w:rsidRPr="000337C9">
        <w:rPr>
          <w:rFonts w:ascii="Calibri" w:hAnsi="Calibri" w:cs="Calibri"/>
          <w:sz w:val="22"/>
          <w:szCs w:val="22"/>
        </w:rPr>
        <w:t>Department of Urology, Metropolitan General Hospital, Athens, Greece.</w:t>
      </w:r>
    </w:p>
    <w:p w14:paraId="65EF9A0C"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18</w:t>
      </w:r>
      <w:r w:rsidRPr="000337C9">
        <w:rPr>
          <w:rFonts w:ascii="Calibri" w:hAnsi="Calibri" w:cs="Calibri"/>
          <w:sz w:val="22"/>
          <w:szCs w:val="22"/>
        </w:rPr>
        <w:t xml:space="preserve"> Departments of Pathology, Erasmus University Medical Center, Rotterdam, The Netherlands.</w:t>
      </w:r>
    </w:p>
    <w:p w14:paraId="33F5B44C"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19</w:t>
      </w:r>
      <w:r w:rsidRPr="000337C9">
        <w:rPr>
          <w:rFonts w:ascii="Calibri" w:hAnsi="Calibri" w:cs="Calibri"/>
          <w:sz w:val="22"/>
          <w:szCs w:val="22"/>
        </w:rPr>
        <w:t xml:space="preserve"> Department of Urology, Wrightington, Wigan and Leigh NHS Foundation Trust, Wigan, UK</w:t>
      </w:r>
    </w:p>
    <w:p w14:paraId="74129DB3"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20</w:t>
      </w:r>
      <w:r w:rsidRPr="000337C9">
        <w:rPr>
          <w:rFonts w:ascii="Calibri" w:hAnsi="Calibri" w:cs="Calibri"/>
          <w:sz w:val="22"/>
          <w:szCs w:val="22"/>
        </w:rPr>
        <w:t xml:space="preserve"> Department of Urology, Hospital Universitario La Paz, Madrid, Spain.</w:t>
      </w:r>
    </w:p>
    <w:p w14:paraId="0938D0EB"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21</w:t>
      </w:r>
      <w:r w:rsidRPr="000337C9">
        <w:rPr>
          <w:rFonts w:ascii="Calibri" w:hAnsi="Calibri" w:cs="Calibri"/>
          <w:sz w:val="22"/>
          <w:szCs w:val="22"/>
        </w:rPr>
        <w:t xml:space="preserve"> Akershus University Hospital (Ahus), Lørenskog, Norway.</w:t>
      </w:r>
    </w:p>
    <w:p w14:paraId="63B388A2"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22</w:t>
      </w:r>
      <w:r w:rsidRPr="000337C9">
        <w:rPr>
          <w:rFonts w:ascii="Calibri" w:hAnsi="Calibri" w:cs="Calibri"/>
          <w:color w:val="212121"/>
          <w:sz w:val="22"/>
          <w:szCs w:val="22"/>
          <w:shd w:val="clear" w:color="auto" w:fill="FFFFFF"/>
        </w:rPr>
        <w:t xml:space="preserve"> Department of Urology, Radboud University Medical Center, Nijmegen, Netherlands.</w:t>
      </w:r>
    </w:p>
    <w:p w14:paraId="798D90B4"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23</w:t>
      </w:r>
      <w:r w:rsidRPr="000337C9">
        <w:rPr>
          <w:rFonts w:ascii="Calibri" w:hAnsi="Calibri" w:cs="Calibri"/>
          <w:sz w:val="22"/>
          <w:szCs w:val="22"/>
        </w:rPr>
        <w:t xml:space="preserve"> Department of Radiology and Nuclear Medicine, Amsterdam University Medical Centers, VU Medical Center, Amsterdam, The Netherlands.</w:t>
      </w:r>
    </w:p>
    <w:p w14:paraId="46F55222"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24</w:t>
      </w:r>
      <w:r w:rsidRPr="000337C9">
        <w:rPr>
          <w:rFonts w:ascii="Calibri" w:hAnsi="Calibri" w:cs="Calibri"/>
          <w:sz w:val="22"/>
          <w:szCs w:val="22"/>
        </w:rPr>
        <w:t xml:space="preserve"> Department of Urology, IRCCS San Raffaele Scientific Institute, Milan, Italy; Department of Urology, La Croix du Sud Hospital, Toulouse, France.</w:t>
      </w:r>
    </w:p>
    <w:p w14:paraId="4C5CCF39"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25</w:t>
      </w:r>
      <w:r w:rsidRPr="000337C9">
        <w:rPr>
          <w:rFonts w:ascii="Calibri" w:hAnsi="Calibri" w:cs="Calibri"/>
          <w:sz w:val="22"/>
          <w:szCs w:val="22"/>
        </w:rPr>
        <w:t xml:space="preserve"> Department of Urology, Royal Brisbane and Women's Hospital, Brisbane, Qld, Australia.</w:t>
      </w:r>
    </w:p>
    <w:p w14:paraId="1F8694A0"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26</w:t>
      </w:r>
      <w:r w:rsidRPr="000337C9">
        <w:rPr>
          <w:rFonts w:ascii="Calibri" w:hAnsi="Calibri" w:cs="Calibri"/>
          <w:sz w:val="22"/>
          <w:szCs w:val="22"/>
        </w:rPr>
        <w:t xml:space="preserve"> Hospices Civils de Lyon, Department of Urinary and Vascular Imaging, Hôpital Edouard Herriot, Lyon, France; Faculté de Médecine Lyon Est, Université de Lyon, Université Lyon 1, Lyon, France.</w:t>
      </w:r>
    </w:p>
    <w:p w14:paraId="09008C94"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lastRenderedPageBreak/>
        <w:t>27</w:t>
      </w:r>
      <w:r w:rsidRPr="000337C9">
        <w:rPr>
          <w:rFonts w:ascii="Calibri" w:hAnsi="Calibri" w:cs="Calibri"/>
          <w:color w:val="212121"/>
          <w:sz w:val="22"/>
          <w:szCs w:val="22"/>
          <w:shd w:val="clear" w:color="auto" w:fill="FFFFFF"/>
        </w:rPr>
        <w:t xml:space="preserve"> </w:t>
      </w:r>
      <w:r w:rsidRPr="000337C9">
        <w:rPr>
          <w:rFonts w:ascii="Calibri" w:hAnsi="Calibri" w:cs="Calibri"/>
          <w:sz w:val="22"/>
          <w:szCs w:val="22"/>
        </w:rPr>
        <w:t>Department of Radiology and Nuclear Medicine, Erasmus University Medical Center, Rotterdam, The Netherlands; Department of Radiology, Netherlands Cancer Institute, Amsterdam, The Netherlands.</w:t>
      </w:r>
    </w:p>
    <w:p w14:paraId="751DC40F"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28</w:t>
      </w:r>
      <w:r w:rsidRPr="000337C9">
        <w:rPr>
          <w:rFonts w:ascii="Calibri" w:hAnsi="Calibri" w:cs="Calibri"/>
          <w:color w:val="212121"/>
          <w:sz w:val="22"/>
          <w:szCs w:val="22"/>
          <w:shd w:val="clear" w:color="auto" w:fill="FFFFFF"/>
        </w:rPr>
        <w:t xml:space="preserve"> </w:t>
      </w:r>
      <w:r w:rsidRPr="000337C9">
        <w:rPr>
          <w:rFonts w:ascii="Calibri" w:hAnsi="Calibri" w:cs="Calibri"/>
          <w:sz w:val="22"/>
          <w:szCs w:val="22"/>
        </w:rPr>
        <w:t>Department of Urology, Institute of Clinical Sciences, Sahlgrenska Academy, University of Gothenburg, Gothenburg, Sweden; Department of Urology, Sahlgrenska University Hospital-Västra Götaland, Gothenburg, Sweden.</w:t>
      </w:r>
    </w:p>
    <w:p w14:paraId="11F7596E"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29</w:t>
      </w:r>
      <w:r w:rsidRPr="000337C9">
        <w:rPr>
          <w:rFonts w:ascii="Calibri" w:hAnsi="Calibri" w:cs="Calibri"/>
          <w:sz w:val="22"/>
          <w:szCs w:val="22"/>
        </w:rPr>
        <w:t xml:space="preserve"> Department of Radiation Oncology, University Hospital Ulm, Ulm, Germany</w:t>
      </w:r>
    </w:p>
    <w:p w14:paraId="592E8CAD"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30</w:t>
      </w:r>
      <w:r w:rsidRPr="000337C9">
        <w:rPr>
          <w:rFonts w:ascii="Calibri" w:hAnsi="Calibri" w:cs="Calibri"/>
          <w:color w:val="212121"/>
          <w:sz w:val="22"/>
          <w:szCs w:val="22"/>
          <w:shd w:val="clear" w:color="auto" w:fill="FFFFFF"/>
        </w:rPr>
        <w:t xml:space="preserve"> </w:t>
      </w:r>
      <w:r w:rsidRPr="000337C9">
        <w:rPr>
          <w:rFonts w:ascii="Calibri" w:hAnsi="Calibri" w:cs="Calibri"/>
          <w:sz w:val="22"/>
          <w:szCs w:val="22"/>
        </w:rPr>
        <w:t>Department of Urology, Cancer Center University Medical Center Utrecht, Utrecht, The Netherlands.</w:t>
      </w:r>
    </w:p>
    <w:p w14:paraId="69D7C022" w14:textId="77777777" w:rsidR="000337C9" w:rsidRPr="000337C9" w:rsidRDefault="000337C9" w:rsidP="000337C9">
      <w:pPr>
        <w:spacing w:line="276" w:lineRule="auto"/>
        <w:contextualSpacing/>
        <w:jc w:val="both"/>
        <w:rPr>
          <w:rFonts w:ascii="Calibri" w:hAnsi="Calibri" w:cs="Calibri"/>
          <w:sz w:val="22"/>
          <w:szCs w:val="22"/>
        </w:rPr>
      </w:pPr>
      <w:r w:rsidRPr="000337C9">
        <w:rPr>
          <w:rFonts w:ascii="Calibri" w:hAnsi="Calibri" w:cs="Calibri"/>
          <w:sz w:val="22"/>
          <w:szCs w:val="22"/>
          <w:vertAlign w:val="superscript"/>
        </w:rPr>
        <w:t>31</w:t>
      </w:r>
      <w:r w:rsidRPr="000337C9">
        <w:rPr>
          <w:rFonts w:ascii="Calibri" w:hAnsi="Calibri" w:cs="Calibri"/>
          <w:sz w:val="22"/>
          <w:szCs w:val="22"/>
        </w:rPr>
        <w:t>Department of Urology, Liverpool University Hospitals NHS Trust, Liverpool, UK</w:t>
      </w:r>
    </w:p>
    <w:p w14:paraId="14F2B8CA" w14:textId="77777777" w:rsidR="000337C9" w:rsidRPr="000337C9" w:rsidRDefault="000337C9" w:rsidP="000337C9">
      <w:pPr>
        <w:spacing w:line="276" w:lineRule="auto"/>
        <w:contextualSpacing/>
        <w:jc w:val="both"/>
        <w:rPr>
          <w:rFonts w:ascii="Calibri" w:hAnsi="Calibri" w:cs="Calibri"/>
          <w:sz w:val="22"/>
          <w:szCs w:val="22"/>
        </w:rPr>
      </w:pPr>
    </w:p>
    <w:p w14:paraId="3EA7C818" w14:textId="77777777" w:rsidR="000337C9" w:rsidRPr="000337C9" w:rsidRDefault="000337C9" w:rsidP="000337C9">
      <w:pPr>
        <w:spacing w:line="276" w:lineRule="auto"/>
        <w:contextualSpacing/>
        <w:jc w:val="both"/>
        <w:rPr>
          <w:rFonts w:ascii="Calibri" w:hAnsi="Calibri" w:cs="Calibri"/>
          <w:sz w:val="22"/>
          <w:szCs w:val="22"/>
        </w:rPr>
      </w:pPr>
    </w:p>
    <w:p w14:paraId="45B408BA" w14:textId="77777777" w:rsidR="000337C9" w:rsidRPr="000337C9" w:rsidRDefault="000337C9" w:rsidP="000337C9">
      <w:pPr>
        <w:suppressLineNumbers/>
        <w:spacing w:line="276" w:lineRule="auto"/>
        <w:contextualSpacing/>
        <w:rPr>
          <w:rFonts w:ascii="Calibri" w:hAnsi="Calibri" w:cs="Calibri"/>
          <w:sz w:val="22"/>
          <w:szCs w:val="22"/>
          <w:vertAlign w:val="superscript"/>
          <w:lang w:val="en-US"/>
        </w:rPr>
      </w:pPr>
    </w:p>
    <w:p w14:paraId="26BF9067" w14:textId="77777777" w:rsidR="000337C9" w:rsidRPr="000337C9" w:rsidRDefault="000337C9" w:rsidP="000337C9">
      <w:pPr>
        <w:spacing w:line="276" w:lineRule="auto"/>
        <w:jc w:val="both"/>
        <w:rPr>
          <w:rFonts w:ascii="Calibri" w:hAnsi="Calibri" w:cs="Calibri"/>
          <w:sz w:val="22"/>
          <w:szCs w:val="22"/>
          <w:lang w:val="en-US"/>
        </w:rPr>
      </w:pPr>
      <w:r w:rsidRPr="000337C9">
        <w:rPr>
          <w:rFonts w:ascii="Calibri" w:eastAsia="Arial" w:hAnsi="Calibri" w:cs="Calibri"/>
          <w:b/>
          <w:sz w:val="22"/>
          <w:szCs w:val="22"/>
          <w:lang w:val="en-US"/>
        </w:rPr>
        <w:t>Corresponding author</w:t>
      </w:r>
    </w:p>
    <w:p w14:paraId="1E13882D" w14:textId="77777777" w:rsidR="000337C9" w:rsidRPr="000337C9" w:rsidRDefault="000337C9" w:rsidP="000337C9">
      <w:pPr>
        <w:spacing w:line="276" w:lineRule="auto"/>
        <w:jc w:val="both"/>
        <w:rPr>
          <w:rFonts w:ascii="Calibri" w:hAnsi="Calibri" w:cs="Calibri"/>
          <w:sz w:val="22"/>
          <w:szCs w:val="22"/>
          <w:lang w:val="en-US"/>
        </w:rPr>
      </w:pPr>
      <w:r w:rsidRPr="000337C9">
        <w:rPr>
          <w:rFonts w:ascii="Calibri" w:hAnsi="Calibri" w:cs="Calibri"/>
          <w:sz w:val="22"/>
          <w:szCs w:val="22"/>
          <w:lang w:val="en-US"/>
        </w:rPr>
        <w:t>Derya Tilki</w:t>
      </w:r>
    </w:p>
    <w:p w14:paraId="6E5BE822" w14:textId="77777777" w:rsidR="000337C9" w:rsidRPr="000337C9" w:rsidRDefault="000337C9" w:rsidP="000337C9">
      <w:pPr>
        <w:spacing w:line="276" w:lineRule="auto"/>
        <w:jc w:val="both"/>
        <w:rPr>
          <w:rFonts w:ascii="Calibri" w:hAnsi="Calibri" w:cs="Calibri"/>
          <w:sz w:val="22"/>
          <w:szCs w:val="22"/>
          <w:lang w:val="en-US"/>
        </w:rPr>
      </w:pPr>
      <w:r w:rsidRPr="000337C9">
        <w:rPr>
          <w:rFonts w:ascii="Calibri" w:hAnsi="Calibri" w:cs="Calibri"/>
          <w:sz w:val="22"/>
          <w:szCs w:val="22"/>
          <w:lang w:val="en-US"/>
        </w:rPr>
        <w:t>Martini-Klinik Prostate Cancer Center</w:t>
      </w:r>
    </w:p>
    <w:p w14:paraId="56E54C9F" w14:textId="77777777" w:rsidR="000337C9" w:rsidRPr="000337C9" w:rsidRDefault="000337C9" w:rsidP="000337C9">
      <w:pPr>
        <w:spacing w:line="276" w:lineRule="auto"/>
        <w:jc w:val="both"/>
        <w:rPr>
          <w:rFonts w:ascii="Calibri" w:hAnsi="Calibri" w:cs="Calibri"/>
          <w:sz w:val="22"/>
          <w:szCs w:val="22"/>
          <w:lang w:val="en-US"/>
        </w:rPr>
      </w:pPr>
      <w:r w:rsidRPr="000337C9">
        <w:rPr>
          <w:rFonts w:ascii="Calibri" w:hAnsi="Calibri" w:cs="Calibri"/>
          <w:sz w:val="22"/>
          <w:szCs w:val="22"/>
          <w:lang w:val="en-US"/>
        </w:rPr>
        <w:t xml:space="preserve">University Hospital Hamburg-Eppendorf </w:t>
      </w:r>
    </w:p>
    <w:p w14:paraId="35B95BBC" w14:textId="77777777" w:rsidR="000337C9" w:rsidRPr="000337C9" w:rsidRDefault="000337C9" w:rsidP="000337C9">
      <w:pPr>
        <w:spacing w:line="276" w:lineRule="auto"/>
        <w:jc w:val="both"/>
        <w:rPr>
          <w:rFonts w:ascii="Calibri" w:hAnsi="Calibri" w:cs="Calibri"/>
          <w:sz w:val="22"/>
          <w:szCs w:val="22"/>
          <w:lang w:val="en-US"/>
        </w:rPr>
      </w:pPr>
      <w:r w:rsidRPr="000337C9">
        <w:rPr>
          <w:rFonts w:ascii="Calibri" w:hAnsi="Calibri" w:cs="Calibri"/>
          <w:sz w:val="22"/>
          <w:szCs w:val="22"/>
          <w:lang w:val="en-US"/>
        </w:rPr>
        <w:t>Martinistraße 52</w:t>
      </w:r>
    </w:p>
    <w:p w14:paraId="23010B53" w14:textId="77777777" w:rsidR="000337C9" w:rsidRPr="000337C9" w:rsidRDefault="000337C9" w:rsidP="000337C9">
      <w:pPr>
        <w:spacing w:line="276" w:lineRule="auto"/>
        <w:jc w:val="both"/>
        <w:rPr>
          <w:rFonts w:ascii="Calibri" w:hAnsi="Calibri" w:cs="Calibri"/>
          <w:sz w:val="22"/>
          <w:szCs w:val="22"/>
          <w:lang w:val="en-US"/>
        </w:rPr>
      </w:pPr>
      <w:r w:rsidRPr="000337C9">
        <w:rPr>
          <w:rFonts w:ascii="Calibri" w:hAnsi="Calibri" w:cs="Calibri"/>
          <w:sz w:val="22"/>
          <w:szCs w:val="22"/>
          <w:lang w:val="en-US"/>
        </w:rPr>
        <w:t>20246 Hamburg</w:t>
      </w:r>
    </w:p>
    <w:p w14:paraId="7A1C2253" w14:textId="77777777" w:rsidR="000337C9" w:rsidRPr="000337C9" w:rsidRDefault="000337C9" w:rsidP="000337C9">
      <w:pPr>
        <w:spacing w:line="276" w:lineRule="auto"/>
        <w:jc w:val="both"/>
        <w:rPr>
          <w:rFonts w:ascii="Calibri" w:hAnsi="Calibri" w:cs="Calibri"/>
          <w:sz w:val="22"/>
          <w:szCs w:val="22"/>
          <w:lang w:val="en-US"/>
        </w:rPr>
      </w:pPr>
      <w:r w:rsidRPr="000337C9">
        <w:rPr>
          <w:rFonts w:ascii="Calibri" w:hAnsi="Calibri" w:cs="Calibri"/>
          <w:sz w:val="22"/>
          <w:szCs w:val="22"/>
          <w:lang w:val="en-US"/>
        </w:rPr>
        <w:t>Germany</w:t>
      </w:r>
    </w:p>
    <w:p w14:paraId="245DCCAE" w14:textId="77777777" w:rsidR="000337C9" w:rsidRPr="000337C9" w:rsidRDefault="000337C9" w:rsidP="000337C9">
      <w:pPr>
        <w:spacing w:line="276" w:lineRule="auto"/>
        <w:jc w:val="both"/>
        <w:rPr>
          <w:rFonts w:ascii="Calibri" w:eastAsia="Arial" w:hAnsi="Calibri" w:cs="Calibri"/>
          <w:sz w:val="22"/>
          <w:szCs w:val="22"/>
          <w:lang w:val="en-US"/>
        </w:rPr>
      </w:pPr>
    </w:p>
    <w:p w14:paraId="3D81F2DF" w14:textId="77777777" w:rsidR="000337C9" w:rsidRPr="000337C9" w:rsidRDefault="000337C9" w:rsidP="000337C9">
      <w:pPr>
        <w:spacing w:line="276" w:lineRule="auto"/>
        <w:jc w:val="both"/>
        <w:rPr>
          <w:rFonts w:ascii="Calibri" w:hAnsi="Calibri" w:cs="Calibri"/>
          <w:sz w:val="22"/>
          <w:szCs w:val="22"/>
          <w:lang w:val="en-US"/>
        </w:rPr>
      </w:pPr>
      <w:r w:rsidRPr="000337C9">
        <w:rPr>
          <w:rFonts w:ascii="Calibri" w:eastAsia="Arial" w:hAnsi="Calibri" w:cs="Calibri"/>
          <w:b/>
          <w:sz w:val="22"/>
          <w:szCs w:val="22"/>
          <w:lang w:val="en-US"/>
        </w:rPr>
        <w:t>Word count (abstract):</w:t>
      </w:r>
      <w:r w:rsidRPr="000337C9">
        <w:rPr>
          <w:rFonts w:ascii="Calibri" w:eastAsia="Arial" w:hAnsi="Calibri" w:cs="Calibri"/>
          <w:sz w:val="22"/>
          <w:szCs w:val="22"/>
          <w:lang w:val="en-US"/>
        </w:rPr>
        <w:t xml:space="preserve"> ….</w:t>
      </w:r>
    </w:p>
    <w:p w14:paraId="3D4F2FAD" w14:textId="77777777" w:rsidR="000337C9" w:rsidRPr="000337C9" w:rsidRDefault="000337C9" w:rsidP="000337C9">
      <w:pPr>
        <w:spacing w:line="276" w:lineRule="auto"/>
        <w:jc w:val="both"/>
        <w:rPr>
          <w:rFonts w:ascii="Calibri" w:hAnsi="Calibri" w:cs="Calibri"/>
          <w:strike/>
          <w:sz w:val="22"/>
          <w:szCs w:val="22"/>
          <w:lang w:val="en-US"/>
        </w:rPr>
      </w:pPr>
      <w:r w:rsidRPr="000337C9">
        <w:rPr>
          <w:rFonts w:ascii="Calibri" w:eastAsia="Arial" w:hAnsi="Calibri" w:cs="Calibri"/>
          <w:b/>
          <w:sz w:val="22"/>
          <w:szCs w:val="22"/>
          <w:lang w:val="en-US"/>
        </w:rPr>
        <w:t>Word count (manuscript): …..</w:t>
      </w:r>
    </w:p>
    <w:p w14:paraId="21E4D172" w14:textId="77777777" w:rsidR="000337C9" w:rsidRPr="000337C9" w:rsidRDefault="000337C9" w:rsidP="000337C9">
      <w:pPr>
        <w:spacing w:line="276" w:lineRule="auto"/>
        <w:jc w:val="both"/>
        <w:rPr>
          <w:rFonts w:ascii="Calibri" w:hAnsi="Calibri" w:cs="Calibri"/>
          <w:b/>
          <w:bCs/>
          <w:sz w:val="22"/>
          <w:szCs w:val="22"/>
          <w:u w:val="single"/>
          <w:lang w:val="en-US"/>
        </w:rPr>
      </w:pPr>
    </w:p>
    <w:p w14:paraId="6243D4D5" w14:textId="77777777" w:rsidR="000337C9" w:rsidRPr="000337C9" w:rsidRDefault="000337C9" w:rsidP="000337C9">
      <w:pPr>
        <w:spacing w:line="276" w:lineRule="auto"/>
        <w:jc w:val="both"/>
        <w:rPr>
          <w:rFonts w:ascii="Calibri" w:hAnsi="Calibri" w:cs="Calibri"/>
          <w:b/>
          <w:sz w:val="22"/>
          <w:szCs w:val="22"/>
          <w:lang w:val="en-US"/>
        </w:rPr>
      </w:pPr>
      <w:r w:rsidRPr="000337C9">
        <w:rPr>
          <w:rFonts w:ascii="Calibri" w:hAnsi="Calibri" w:cs="Calibri"/>
          <w:b/>
          <w:bCs/>
          <w:sz w:val="22"/>
          <w:szCs w:val="22"/>
          <w:u w:val="single"/>
          <w:lang w:val="en-US"/>
        </w:rPr>
        <w:br w:type="page"/>
      </w:r>
    </w:p>
    <w:p w14:paraId="5F48E816" w14:textId="77777777" w:rsidR="000337C9" w:rsidRDefault="000337C9" w:rsidP="000337C9">
      <w:pPr>
        <w:spacing w:line="276" w:lineRule="auto"/>
        <w:jc w:val="both"/>
        <w:rPr>
          <w:rFonts w:ascii="Calibri" w:hAnsi="Calibri" w:cs="Calibri"/>
          <w:b/>
          <w:bCs/>
          <w:sz w:val="22"/>
          <w:szCs w:val="22"/>
          <w:lang w:val="en-US"/>
        </w:rPr>
      </w:pPr>
      <w:r w:rsidRPr="000337C9">
        <w:rPr>
          <w:rFonts w:ascii="Calibri" w:hAnsi="Calibri" w:cs="Calibri"/>
          <w:b/>
          <w:bCs/>
          <w:sz w:val="22"/>
          <w:szCs w:val="22"/>
          <w:lang w:val="en-US"/>
        </w:rPr>
        <w:lastRenderedPageBreak/>
        <w:t>ABSTRACT</w:t>
      </w:r>
    </w:p>
    <w:p w14:paraId="4DEC394C" w14:textId="77777777" w:rsidR="000337C9" w:rsidRPr="000337C9" w:rsidRDefault="000337C9" w:rsidP="000337C9">
      <w:pPr>
        <w:spacing w:line="276" w:lineRule="auto"/>
        <w:jc w:val="both"/>
        <w:rPr>
          <w:rFonts w:ascii="Calibri" w:hAnsi="Calibri" w:cs="Calibri"/>
          <w:b/>
          <w:bCs/>
          <w:sz w:val="22"/>
          <w:szCs w:val="22"/>
          <w:lang w:val="en-US"/>
        </w:rPr>
      </w:pPr>
    </w:p>
    <w:p w14:paraId="299E9F65" w14:textId="235A6D3B" w:rsidR="000337C9" w:rsidRDefault="00973EF8" w:rsidP="000337C9">
      <w:pPr>
        <w:spacing w:line="276" w:lineRule="auto"/>
        <w:jc w:val="both"/>
        <w:rPr>
          <w:rFonts w:ascii="Calibri" w:hAnsi="Calibri" w:cs="Calibri"/>
          <w:bCs/>
          <w:sz w:val="22"/>
          <w:szCs w:val="22"/>
          <w:lang w:val="en-US"/>
        </w:rPr>
      </w:pPr>
      <w:r w:rsidRPr="00973EF8">
        <w:rPr>
          <w:rFonts w:ascii="Calibri" w:hAnsi="Calibri" w:cs="Calibri"/>
          <w:b/>
          <w:bCs/>
          <w:sz w:val="22"/>
          <w:szCs w:val="22"/>
          <w:lang w:val="en-US"/>
        </w:rPr>
        <w:t>Background and objective:</w:t>
      </w:r>
      <w:r w:rsidRPr="00973EF8">
        <w:rPr>
          <w:rFonts w:ascii="Calibri" w:hAnsi="Calibri" w:cs="Calibri"/>
          <w:bCs/>
          <w:sz w:val="22"/>
          <w:szCs w:val="22"/>
          <w:lang w:val="en-US"/>
        </w:rPr>
        <w:t xml:space="preserve"> The European Association of Urology (EAU)-European Association of Nuclear Medicine (EANM)-European Society for Radiotherapy and Oncology (ESTRO)-European Society of Urogenital Radiology (ESUR)-International Society of Urological Pathology (ISUP)-International Society of Geriatric Oncology (SIOG) guidelines on the treatment of relapsing, metastatic, and castration-resistantprostate cancer (PCa) have been updated. Here we provide a summary of the 2024 guidelines.</w:t>
      </w:r>
    </w:p>
    <w:p w14:paraId="5F1D26D4" w14:textId="77777777" w:rsidR="00973EF8" w:rsidRPr="000337C9" w:rsidRDefault="00973EF8" w:rsidP="000337C9">
      <w:pPr>
        <w:spacing w:line="276" w:lineRule="auto"/>
        <w:jc w:val="both"/>
        <w:rPr>
          <w:rFonts w:ascii="Calibri" w:hAnsi="Calibri" w:cs="Calibri"/>
          <w:bCs/>
          <w:sz w:val="22"/>
          <w:szCs w:val="22"/>
          <w:lang w:val="en-US"/>
        </w:rPr>
      </w:pPr>
    </w:p>
    <w:p w14:paraId="14A34CCC" w14:textId="5FA42727" w:rsidR="000337C9" w:rsidRDefault="000337C9" w:rsidP="000337C9">
      <w:pPr>
        <w:spacing w:line="276" w:lineRule="auto"/>
        <w:jc w:val="both"/>
        <w:rPr>
          <w:rFonts w:ascii="Calibri" w:hAnsi="Calibri" w:cs="Calibri"/>
          <w:bCs/>
          <w:sz w:val="22"/>
          <w:szCs w:val="22"/>
          <w:lang w:val="en-US"/>
        </w:rPr>
      </w:pPr>
      <w:r w:rsidRPr="000337C9">
        <w:rPr>
          <w:rFonts w:ascii="Calibri" w:hAnsi="Calibri" w:cs="Calibri"/>
          <w:b/>
          <w:sz w:val="22"/>
          <w:szCs w:val="22"/>
          <w:lang w:val="en-US"/>
        </w:rPr>
        <w:t xml:space="preserve">Evidence acquisition: </w:t>
      </w:r>
      <w:r w:rsidR="00973EF8" w:rsidRPr="00973EF8">
        <w:rPr>
          <w:rFonts w:ascii="Calibri" w:hAnsi="Calibri" w:cs="Calibri"/>
          <w:bCs/>
          <w:sz w:val="22"/>
          <w:szCs w:val="22"/>
          <w:lang w:val="en-US"/>
        </w:rPr>
        <w:t>The panel performed a literature review of new data, covering the time frame between 2020 and 2023. The guidelines were updated and</w:t>
      </w:r>
      <w:r w:rsidR="00973EF8">
        <w:rPr>
          <w:rFonts w:ascii="Calibri" w:hAnsi="Calibri" w:cs="Calibri"/>
          <w:bCs/>
          <w:sz w:val="22"/>
          <w:szCs w:val="22"/>
          <w:lang w:val="en-US"/>
        </w:rPr>
        <w:t xml:space="preserve"> a strength rating for each rec</w:t>
      </w:r>
      <w:r w:rsidR="00973EF8" w:rsidRPr="00973EF8">
        <w:rPr>
          <w:rFonts w:ascii="Calibri" w:hAnsi="Calibri" w:cs="Calibri"/>
          <w:bCs/>
          <w:sz w:val="22"/>
          <w:szCs w:val="22"/>
          <w:lang w:val="en-US"/>
        </w:rPr>
        <w:t>ommendation was added on the basis of a systematic review of the evidence.</w:t>
      </w:r>
    </w:p>
    <w:p w14:paraId="78C57A10" w14:textId="0FBF6AD4" w:rsidR="000337C9" w:rsidRPr="000337C9" w:rsidRDefault="000337C9" w:rsidP="000337C9">
      <w:pPr>
        <w:spacing w:line="276" w:lineRule="auto"/>
        <w:jc w:val="both"/>
        <w:rPr>
          <w:rFonts w:ascii="Calibri" w:hAnsi="Calibri" w:cs="Calibri"/>
          <w:bCs/>
          <w:sz w:val="22"/>
          <w:szCs w:val="22"/>
          <w:lang w:val="en-US"/>
        </w:rPr>
      </w:pPr>
    </w:p>
    <w:p w14:paraId="6190B971" w14:textId="4176122C" w:rsidR="000337C9" w:rsidRPr="00973EF8" w:rsidRDefault="000337C9" w:rsidP="000337C9">
      <w:pPr>
        <w:spacing w:line="276" w:lineRule="auto"/>
        <w:jc w:val="both"/>
        <w:rPr>
          <w:rFonts w:ascii="Calibri" w:hAnsi="Calibri" w:cs="Calibri"/>
          <w:bCs/>
          <w:sz w:val="22"/>
          <w:szCs w:val="22"/>
          <w:lang w:val="en-US"/>
        </w:rPr>
      </w:pPr>
      <w:r w:rsidRPr="000337C9">
        <w:rPr>
          <w:rFonts w:ascii="Calibri" w:hAnsi="Calibri" w:cs="Calibri"/>
          <w:b/>
          <w:sz w:val="22"/>
          <w:szCs w:val="22"/>
          <w:lang w:val="en-US"/>
        </w:rPr>
        <w:t>Conclusions</w:t>
      </w:r>
      <w:r w:rsidR="00973EF8">
        <w:rPr>
          <w:rFonts w:ascii="Calibri" w:hAnsi="Calibri" w:cs="Calibri"/>
          <w:b/>
          <w:sz w:val="22"/>
          <w:szCs w:val="22"/>
          <w:lang w:val="en-US"/>
        </w:rPr>
        <w:t xml:space="preserve"> </w:t>
      </w:r>
      <w:r w:rsidR="00973EF8" w:rsidRPr="00973EF8">
        <w:rPr>
          <w:rFonts w:ascii="Calibri" w:hAnsi="Calibri" w:cs="Calibri"/>
          <w:b/>
          <w:sz w:val="22"/>
          <w:szCs w:val="22"/>
          <w:lang w:val="en-US"/>
        </w:rPr>
        <w:t>and clinical implications</w:t>
      </w:r>
      <w:r w:rsidR="00973EF8" w:rsidRPr="00973EF8">
        <w:rPr>
          <w:rFonts w:ascii="Calibri" w:hAnsi="Calibri" w:cs="Calibri"/>
          <w:sz w:val="22"/>
          <w:szCs w:val="22"/>
          <w:lang w:val="en-US"/>
        </w:rPr>
        <w:t>: Evidence for relapsing, metastatic, and castrationresistant PCa is evolving rapidly. These guidelines reflect the multidisciplinary nature of PCa management. The full version is available online (http://uroweb.org/guideline/ prostate-cancer/).</w:t>
      </w:r>
    </w:p>
    <w:p w14:paraId="5E6F319C" w14:textId="77777777" w:rsidR="000337C9" w:rsidRPr="000337C9" w:rsidRDefault="000337C9" w:rsidP="000337C9">
      <w:pPr>
        <w:spacing w:line="276" w:lineRule="auto"/>
        <w:jc w:val="both"/>
        <w:rPr>
          <w:rFonts w:ascii="Calibri" w:hAnsi="Calibri" w:cs="Calibri"/>
          <w:bCs/>
          <w:sz w:val="22"/>
          <w:szCs w:val="22"/>
          <w:lang w:val="en-US"/>
        </w:rPr>
      </w:pPr>
    </w:p>
    <w:p w14:paraId="08270B4E" w14:textId="45F32EC8" w:rsidR="000337C9" w:rsidRPr="000337C9" w:rsidRDefault="000337C9" w:rsidP="000337C9">
      <w:pPr>
        <w:spacing w:line="276" w:lineRule="auto"/>
        <w:jc w:val="both"/>
        <w:rPr>
          <w:rFonts w:ascii="Calibri" w:hAnsi="Calibri" w:cs="Calibri"/>
          <w:bCs/>
          <w:sz w:val="22"/>
          <w:szCs w:val="22"/>
        </w:rPr>
      </w:pPr>
      <w:r w:rsidRPr="000337C9">
        <w:rPr>
          <w:rFonts w:ascii="Calibri" w:hAnsi="Calibri" w:cs="Calibri"/>
          <w:b/>
          <w:sz w:val="22"/>
          <w:szCs w:val="22"/>
          <w:lang w:val="en-US"/>
        </w:rPr>
        <w:t>Patient summary</w:t>
      </w:r>
      <w:r w:rsidRPr="000337C9">
        <w:rPr>
          <w:rFonts w:ascii="Calibri" w:hAnsi="Calibri" w:cs="Calibri"/>
          <w:bCs/>
          <w:sz w:val="22"/>
          <w:szCs w:val="22"/>
          <w:lang w:val="en-US"/>
        </w:rPr>
        <w:t xml:space="preserve">: </w:t>
      </w:r>
      <w:r w:rsidR="00973EF8" w:rsidRPr="00973EF8">
        <w:rPr>
          <w:rFonts w:ascii="Calibri" w:hAnsi="Calibri" w:cs="Calibri"/>
          <w:bCs/>
          <w:sz w:val="22"/>
          <w:szCs w:val="22"/>
          <w:lang w:val="en-US"/>
        </w:rPr>
        <w:t>This article summarises the 2024 guidelines for the treatment of relapsing, metastatic, and castration-resistant prostate cancer. These guidelines are based on evidence and guide doctors in discussing treatment decisions with their patients. The guidelines are updated every year.</w:t>
      </w:r>
    </w:p>
    <w:p w14:paraId="5CE96E59" w14:textId="77777777" w:rsidR="000337C9" w:rsidRDefault="000337C9" w:rsidP="000337C9">
      <w:pPr>
        <w:spacing w:line="276" w:lineRule="auto"/>
        <w:jc w:val="both"/>
        <w:rPr>
          <w:rFonts w:ascii="Calibri" w:hAnsi="Calibri" w:cs="Calibri"/>
          <w:sz w:val="22"/>
          <w:szCs w:val="22"/>
          <w:lang w:val="en-US"/>
        </w:rPr>
      </w:pPr>
    </w:p>
    <w:p w14:paraId="2698F926" w14:textId="77777777" w:rsidR="000337C9" w:rsidRDefault="000337C9" w:rsidP="000337C9">
      <w:pPr>
        <w:spacing w:line="276" w:lineRule="auto"/>
        <w:jc w:val="both"/>
        <w:rPr>
          <w:rFonts w:ascii="Calibri" w:hAnsi="Calibri" w:cs="Calibri"/>
          <w:sz w:val="22"/>
          <w:szCs w:val="22"/>
          <w:lang w:val="en-US"/>
        </w:rPr>
      </w:pPr>
    </w:p>
    <w:p w14:paraId="31A08339" w14:textId="77777777" w:rsidR="000337C9" w:rsidRDefault="000337C9" w:rsidP="000337C9">
      <w:pPr>
        <w:spacing w:line="276" w:lineRule="auto"/>
        <w:jc w:val="both"/>
        <w:rPr>
          <w:rFonts w:ascii="Calibri" w:hAnsi="Calibri" w:cs="Calibri"/>
          <w:sz w:val="22"/>
          <w:szCs w:val="22"/>
          <w:lang w:val="en-US"/>
        </w:rPr>
      </w:pPr>
    </w:p>
    <w:p w14:paraId="54856FA2" w14:textId="77777777" w:rsidR="000337C9" w:rsidRDefault="000337C9" w:rsidP="000337C9">
      <w:pPr>
        <w:spacing w:line="276" w:lineRule="auto"/>
        <w:jc w:val="both"/>
        <w:rPr>
          <w:rFonts w:ascii="Calibri" w:hAnsi="Calibri" w:cs="Calibri"/>
          <w:sz w:val="22"/>
          <w:szCs w:val="22"/>
          <w:lang w:val="en-US"/>
        </w:rPr>
      </w:pPr>
    </w:p>
    <w:p w14:paraId="2BBC17BB" w14:textId="77777777" w:rsidR="000337C9" w:rsidRDefault="000337C9" w:rsidP="000337C9">
      <w:pPr>
        <w:spacing w:line="276" w:lineRule="auto"/>
        <w:jc w:val="both"/>
        <w:rPr>
          <w:rFonts w:ascii="Calibri" w:hAnsi="Calibri" w:cs="Calibri"/>
          <w:sz w:val="22"/>
          <w:szCs w:val="22"/>
          <w:lang w:val="en-US"/>
        </w:rPr>
      </w:pPr>
    </w:p>
    <w:p w14:paraId="669E5169" w14:textId="77777777" w:rsidR="000337C9" w:rsidRDefault="000337C9" w:rsidP="000337C9">
      <w:pPr>
        <w:spacing w:line="276" w:lineRule="auto"/>
        <w:jc w:val="both"/>
        <w:rPr>
          <w:rFonts w:ascii="Calibri" w:hAnsi="Calibri" w:cs="Calibri"/>
          <w:sz w:val="22"/>
          <w:szCs w:val="22"/>
          <w:lang w:val="en-US"/>
        </w:rPr>
      </w:pPr>
    </w:p>
    <w:p w14:paraId="18A1AEA2" w14:textId="77777777" w:rsidR="000337C9" w:rsidRDefault="000337C9" w:rsidP="000337C9">
      <w:pPr>
        <w:spacing w:line="276" w:lineRule="auto"/>
        <w:jc w:val="both"/>
        <w:rPr>
          <w:rFonts w:ascii="Calibri" w:hAnsi="Calibri" w:cs="Calibri"/>
          <w:sz w:val="22"/>
          <w:szCs w:val="22"/>
          <w:lang w:val="en-US"/>
        </w:rPr>
      </w:pPr>
    </w:p>
    <w:p w14:paraId="7A931D9E" w14:textId="77777777" w:rsidR="000337C9" w:rsidRDefault="000337C9" w:rsidP="000337C9">
      <w:pPr>
        <w:spacing w:line="276" w:lineRule="auto"/>
        <w:jc w:val="both"/>
        <w:rPr>
          <w:rFonts w:ascii="Calibri" w:hAnsi="Calibri" w:cs="Calibri"/>
          <w:sz w:val="22"/>
          <w:szCs w:val="22"/>
          <w:lang w:val="en-US"/>
        </w:rPr>
      </w:pPr>
    </w:p>
    <w:p w14:paraId="632FA4CC" w14:textId="77777777" w:rsidR="000337C9" w:rsidRDefault="000337C9" w:rsidP="000337C9">
      <w:pPr>
        <w:spacing w:line="276" w:lineRule="auto"/>
        <w:jc w:val="both"/>
        <w:rPr>
          <w:rFonts w:ascii="Calibri" w:hAnsi="Calibri" w:cs="Calibri"/>
          <w:sz w:val="22"/>
          <w:szCs w:val="22"/>
          <w:lang w:val="en-US"/>
        </w:rPr>
      </w:pPr>
    </w:p>
    <w:p w14:paraId="5831B276" w14:textId="77777777" w:rsidR="000337C9" w:rsidRDefault="000337C9" w:rsidP="000337C9">
      <w:pPr>
        <w:spacing w:line="276" w:lineRule="auto"/>
        <w:jc w:val="both"/>
        <w:rPr>
          <w:rFonts w:ascii="Calibri" w:hAnsi="Calibri" w:cs="Calibri"/>
          <w:sz w:val="22"/>
          <w:szCs w:val="22"/>
          <w:lang w:val="en-US"/>
        </w:rPr>
      </w:pPr>
    </w:p>
    <w:p w14:paraId="3B11D919" w14:textId="77777777" w:rsidR="000337C9" w:rsidRDefault="000337C9" w:rsidP="000337C9">
      <w:pPr>
        <w:spacing w:line="276" w:lineRule="auto"/>
        <w:jc w:val="both"/>
        <w:rPr>
          <w:rFonts w:ascii="Calibri" w:hAnsi="Calibri" w:cs="Calibri"/>
          <w:sz w:val="22"/>
          <w:szCs w:val="22"/>
          <w:lang w:val="en-US"/>
        </w:rPr>
      </w:pPr>
    </w:p>
    <w:p w14:paraId="5C5044C9" w14:textId="77777777" w:rsidR="000337C9" w:rsidRDefault="000337C9" w:rsidP="000337C9">
      <w:pPr>
        <w:spacing w:line="276" w:lineRule="auto"/>
        <w:jc w:val="both"/>
        <w:rPr>
          <w:rFonts w:ascii="Calibri" w:hAnsi="Calibri" w:cs="Calibri"/>
          <w:sz w:val="22"/>
          <w:szCs w:val="22"/>
          <w:lang w:val="en-US"/>
        </w:rPr>
      </w:pPr>
    </w:p>
    <w:p w14:paraId="53B686E3" w14:textId="77777777" w:rsidR="000337C9" w:rsidRDefault="000337C9" w:rsidP="000337C9">
      <w:pPr>
        <w:spacing w:line="276" w:lineRule="auto"/>
        <w:jc w:val="both"/>
        <w:rPr>
          <w:rFonts w:ascii="Calibri" w:hAnsi="Calibri" w:cs="Calibri"/>
          <w:sz w:val="22"/>
          <w:szCs w:val="22"/>
          <w:lang w:val="en-US"/>
        </w:rPr>
      </w:pPr>
    </w:p>
    <w:p w14:paraId="65AC59DE" w14:textId="77777777" w:rsidR="000337C9" w:rsidRDefault="000337C9" w:rsidP="000337C9">
      <w:pPr>
        <w:spacing w:line="276" w:lineRule="auto"/>
        <w:jc w:val="both"/>
        <w:rPr>
          <w:rFonts w:ascii="Calibri" w:hAnsi="Calibri" w:cs="Calibri"/>
          <w:sz w:val="22"/>
          <w:szCs w:val="22"/>
          <w:lang w:val="en-US"/>
        </w:rPr>
      </w:pPr>
    </w:p>
    <w:p w14:paraId="4F85EF9D" w14:textId="77777777" w:rsidR="000337C9" w:rsidRDefault="000337C9" w:rsidP="000337C9">
      <w:pPr>
        <w:spacing w:line="276" w:lineRule="auto"/>
        <w:jc w:val="both"/>
        <w:rPr>
          <w:rFonts w:ascii="Calibri" w:hAnsi="Calibri" w:cs="Calibri"/>
          <w:sz w:val="22"/>
          <w:szCs w:val="22"/>
          <w:lang w:val="en-US"/>
        </w:rPr>
      </w:pPr>
    </w:p>
    <w:p w14:paraId="7E807E38" w14:textId="6234EF3D" w:rsidR="000337C9" w:rsidRDefault="000337C9" w:rsidP="000337C9">
      <w:pPr>
        <w:spacing w:line="276" w:lineRule="auto"/>
        <w:jc w:val="both"/>
        <w:rPr>
          <w:rFonts w:ascii="Calibri" w:hAnsi="Calibri" w:cs="Calibri"/>
          <w:sz w:val="22"/>
          <w:szCs w:val="22"/>
          <w:lang w:val="en-US"/>
        </w:rPr>
      </w:pPr>
    </w:p>
    <w:p w14:paraId="23CAE322" w14:textId="16C45EAF" w:rsidR="00973EF8" w:rsidRDefault="00973EF8" w:rsidP="000337C9">
      <w:pPr>
        <w:spacing w:line="276" w:lineRule="auto"/>
        <w:jc w:val="both"/>
        <w:rPr>
          <w:rFonts w:ascii="Calibri" w:hAnsi="Calibri" w:cs="Calibri"/>
          <w:sz w:val="22"/>
          <w:szCs w:val="22"/>
          <w:lang w:val="en-US"/>
        </w:rPr>
      </w:pPr>
    </w:p>
    <w:p w14:paraId="06711740" w14:textId="53E0E8E4" w:rsidR="00973EF8" w:rsidRDefault="00973EF8" w:rsidP="000337C9">
      <w:pPr>
        <w:spacing w:line="276" w:lineRule="auto"/>
        <w:jc w:val="both"/>
        <w:rPr>
          <w:rFonts w:ascii="Calibri" w:hAnsi="Calibri" w:cs="Calibri"/>
          <w:sz w:val="22"/>
          <w:szCs w:val="22"/>
          <w:lang w:val="en-US"/>
        </w:rPr>
      </w:pPr>
    </w:p>
    <w:p w14:paraId="76536457" w14:textId="4CA7AAF4" w:rsidR="00973EF8" w:rsidRDefault="00973EF8" w:rsidP="000337C9">
      <w:pPr>
        <w:spacing w:line="276" w:lineRule="auto"/>
        <w:jc w:val="both"/>
        <w:rPr>
          <w:rFonts w:ascii="Calibri" w:hAnsi="Calibri" w:cs="Calibri"/>
          <w:sz w:val="22"/>
          <w:szCs w:val="22"/>
          <w:lang w:val="en-US"/>
        </w:rPr>
      </w:pPr>
    </w:p>
    <w:p w14:paraId="57562968" w14:textId="77777777" w:rsidR="00973EF8" w:rsidRDefault="00973EF8" w:rsidP="000337C9">
      <w:pPr>
        <w:spacing w:line="276" w:lineRule="auto"/>
        <w:jc w:val="both"/>
        <w:rPr>
          <w:rFonts w:ascii="Calibri" w:hAnsi="Calibri" w:cs="Calibri"/>
          <w:sz w:val="22"/>
          <w:szCs w:val="22"/>
          <w:lang w:val="en-US"/>
        </w:rPr>
      </w:pPr>
    </w:p>
    <w:p w14:paraId="4F325F6B" w14:textId="77777777" w:rsidR="000337C9" w:rsidRDefault="000337C9" w:rsidP="000337C9">
      <w:pPr>
        <w:spacing w:line="276" w:lineRule="auto"/>
        <w:jc w:val="both"/>
        <w:rPr>
          <w:rFonts w:ascii="Calibri" w:hAnsi="Calibri" w:cs="Calibri"/>
          <w:sz w:val="22"/>
          <w:szCs w:val="22"/>
          <w:lang w:val="en-US"/>
        </w:rPr>
      </w:pPr>
    </w:p>
    <w:p w14:paraId="7EA81FDD" w14:textId="77777777" w:rsidR="000337C9" w:rsidRDefault="000337C9" w:rsidP="000337C9">
      <w:pPr>
        <w:spacing w:line="276" w:lineRule="auto"/>
        <w:jc w:val="both"/>
        <w:rPr>
          <w:rFonts w:ascii="Calibri" w:hAnsi="Calibri" w:cs="Calibri"/>
          <w:sz w:val="22"/>
          <w:szCs w:val="22"/>
          <w:lang w:val="en-US"/>
        </w:rPr>
      </w:pPr>
    </w:p>
    <w:p w14:paraId="5F83A2D3" w14:textId="77777777" w:rsidR="000337C9" w:rsidRPr="000337C9" w:rsidRDefault="000337C9" w:rsidP="000337C9">
      <w:pPr>
        <w:spacing w:line="276" w:lineRule="auto"/>
        <w:jc w:val="both"/>
        <w:rPr>
          <w:rFonts w:ascii="Calibri" w:hAnsi="Calibri" w:cs="Calibri"/>
          <w:sz w:val="22"/>
          <w:szCs w:val="22"/>
          <w:lang w:val="en-US"/>
        </w:rPr>
      </w:pPr>
    </w:p>
    <w:p w14:paraId="023B4352" w14:textId="77777777" w:rsidR="000337C9" w:rsidRPr="000337C9" w:rsidRDefault="000337C9" w:rsidP="000337C9">
      <w:pPr>
        <w:pStyle w:val="ListParagraph"/>
        <w:numPr>
          <w:ilvl w:val="0"/>
          <w:numId w:val="3"/>
        </w:numPr>
        <w:spacing w:line="276" w:lineRule="auto"/>
        <w:jc w:val="both"/>
        <w:rPr>
          <w:rFonts w:ascii="Calibri" w:hAnsi="Calibri" w:cs="Calibri"/>
          <w:b/>
          <w:bCs/>
          <w:color w:val="000000"/>
          <w:sz w:val="22"/>
          <w:szCs w:val="22"/>
          <w:u w:val="single"/>
          <w:lang w:val="en-US"/>
        </w:rPr>
      </w:pPr>
      <w:r w:rsidRPr="000337C9">
        <w:rPr>
          <w:rFonts w:ascii="Calibri" w:hAnsi="Calibri" w:cs="Calibri"/>
          <w:b/>
          <w:bCs/>
          <w:color w:val="000000"/>
          <w:sz w:val="22"/>
          <w:szCs w:val="22"/>
          <w:u w:val="single"/>
          <w:lang w:val="en-US"/>
        </w:rPr>
        <w:lastRenderedPageBreak/>
        <w:t>Introduction</w:t>
      </w:r>
    </w:p>
    <w:p w14:paraId="36926559" w14:textId="77777777" w:rsidR="000337C9" w:rsidRPr="000337C9" w:rsidRDefault="000337C9" w:rsidP="000337C9">
      <w:pPr>
        <w:pStyle w:val="ListParagraph"/>
        <w:spacing w:line="276" w:lineRule="auto"/>
        <w:jc w:val="both"/>
        <w:rPr>
          <w:rFonts w:ascii="Calibri" w:hAnsi="Calibri" w:cs="Calibri"/>
          <w:b/>
          <w:bCs/>
          <w:color w:val="000000"/>
          <w:sz w:val="22"/>
          <w:szCs w:val="22"/>
          <w:u w:val="single"/>
          <w:lang w:val="en-US"/>
        </w:rPr>
      </w:pPr>
    </w:p>
    <w:p w14:paraId="20615057" w14:textId="3C8C356B" w:rsidR="000337C9" w:rsidRDefault="005B4108" w:rsidP="000337C9">
      <w:pPr>
        <w:spacing w:line="276" w:lineRule="auto"/>
        <w:jc w:val="both"/>
        <w:rPr>
          <w:rFonts w:ascii="Calibri" w:hAnsi="Calibri" w:cs="Calibri"/>
          <w:color w:val="000000"/>
          <w:sz w:val="22"/>
          <w:szCs w:val="22"/>
          <w:lang w:val="en-US"/>
        </w:rPr>
      </w:pPr>
      <w:r w:rsidRPr="005B4108">
        <w:rPr>
          <w:rFonts w:ascii="Calibri" w:hAnsi="Calibri" w:cs="Calibri"/>
          <w:color w:val="000000"/>
          <w:sz w:val="22"/>
          <w:szCs w:val="22"/>
          <w:lang w:val="en-US"/>
        </w:rPr>
        <w:t>A prior summary of the European Association of Urology (EAU) guidelines on prostate cancer (PCa) was published in 2020 [1]. This paper summarises the 2024 version of the guidelines on the treatment of relapsing, metastatic, and castration-resistant PCa (CRPC). The guidelines on screening, diagnosis, and treatment of clinically localised and locally advanced PCa are published in a separate paper [2]. To facilitate evaluation of the quality of the information provided, a strength rating was assigned for each recommendation.</w:t>
      </w:r>
    </w:p>
    <w:p w14:paraId="69EA201C" w14:textId="36043FAD" w:rsidR="005B4108" w:rsidRDefault="005B4108" w:rsidP="000337C9">
      <w:pPr>
        <w:spacing w:line="276" w:lineRule="auto"/>
        <w:jc w:val="both"/>
        <w:rPr>
          <w:rFonts w:ascii="Calibri" w:hAnsi="Calibri" w:cs="Calibri"/>
          <w:color w:val="000000"/>
          <w:sz w:val="22"/>
          <w:szCs w:val="22"/>
          <w:lang w:val="en-US"/>
        </w:rPr>
      </w:pPr>
    </w:p>
    <w:p w14:paraId="61389298" w14:textId="08B2CE63" w:rsidR="005B4108" w:rsidRDefault="005B4108" w:rsidP="005B4108">
      <w:pPr>
        <w:pStyle w:val="ListParagraph"/>
        <w:numPr>
          <w:ilvl w:val="0"/>
          <w:numId w:val="3"/>
        </w:numPr>
        <w:spacing w:line="276" w:lineRule="auto"/>
        <w:jc w:val="both"/>
        <w:rPr>
          <w:rFonts w:ascii="Calibri" w:hAnsi="Calibri" w:cs="Calibri"/>
          <w:b/>
          <w:color w:val="000000"/>
          <w:sz w:val="22"/>
          <w:szCs w:val="22"/>
          <w:u w:val="single"/>
          <w:lang w:val="en-US"/>
        </w:rPr>
      </w:pPr>
      <w:r w:rsidRPr="005B4108">
        <w:rPr>
          <w:rFonts w:ascii="Calibri" w:hAnsi="Calibri" w:cs="Calibri"/>
          <w:b/>
          <w:color w:val="000000"/>
          <w:sz w:val="22"/>
          <w:szCs w:val="22"/>
          <w:u w:val="single"/>
          <w:lang w:val="en-US"/>
        </w:rPr>
        <w:t>Methods</w:t>
      </w:r>
    </w:p>
    <w:p w14:paraId="4EA4618A" w14:textId="77777777" w:rsidR="003F4CF7" w:rsidRPr="005B4108" w:rsidRDefault="003F4CF7" w:rsidP="003F4CF7">
      <w:pPr>
        <w:pStyle w:val="ListParagraph"/>
        <w:spacing w:line="276" w:lineRule="auto"/>
        <w:ind w:left="360"/>
        <w:jc w:val="both"/>
        <w:rPr>
          <w:rFonts w:ascii="Calibri" w:hAnsi="Calibri" w:cs="Calibri"/>
          <w:b/>
          <w:color w:val="000000"/>
          <w:sz w:val="22"/>
          <w:szCs w:val="22"/>
          <w:u w:val="single"/>
          <w:lang w:val="en-US"/>
        </w:rPr>
      </w:pPr>
    </w:p>
    <w:p w14:paraId="05E3832E" w14:textId="24625FEA" w:rsidR="005B4108" w:rsidRDefault="005B4108" w:rsidP="005B4108">
      <w:pPr>
        <w:spacing w:line="276" w:lineRule="auto"/>
        <w:jc w:val="both"/>
        <w:rPr>
          <w:rFonts w:ascii="Calibri" w:hAnsi="Calibri" w:cs="Calibri"/>
          <w:color w:val="000000"/>
          <w:sz w:val="22"/>
          <w:szCs w:val="22"/>
          <w:lang w:val="en-US"/>
        </w:rPr>
      </w:pPr>
      <w:r w:rsidRPr="005B4108">
        <w:rPr>
          <w:rFonts w:ascii="Calibri" w:hAnsi="Calibri" w:cs="Calibri"/>
          <w:color w:val="000000"/>
          <w:sz w:val="22"/>
          <w:szCs w:val="22"/>
          <w:lang w:val="en-US"/>
        </w:rPr>
        <w:t>For the 2024 update of the EAU-European Association of Nuclear Medicine (EANM)-European Society for Radiotherapy and Oncology (ESTRO)-European Society of Urogenital Radiology (ESUR)-International Society of Urological Pathology (ISUP)-International Society of Geriatric Oncology (SIOG) guidelines on prostate cancer, new evidence was identified, collated, and appraised via a structured assessment of the literature. Databases searched included Medline, EMBASE, and the Cochrane Libraries. Detailed search strategies are available on the on the EAU website (www. uroweb.org/guidelines). Recommendations in the guidelines were developed by the panel to prioritise clinically important care decisions. The strength of each recommendation was determined according to the balance between desirable and undesirable consequences of alternative management strategies, the quality of the evidence (including certainty of estimates), and the nature and variability of patient values and preferences. Recommendations are strong when the evidence quality is high and/or there is a favourable balance of benefits to harms and patient preferences. Recommendations are weak when the evidence is of lower quality and/or the benefits and patient preferences are less clear [3].</w:t>
      </w:r>
    </w:p>
    <w:p w14:paraId="6D064861" w14:textId="77777777" w:rsidR="0008677A" w:rsidRPr="005B4108" w:rsidRDefault="0008677A" w:rsidP="005B4108">
      <w:pPr>
        <w:spacing w:line="276" w:lineRule="auto"/>
        <w:jc w:val="both"/>
        <w:rPr>
          <w:rFonts w:ascii="Calibri" w:hAnsi="Calibri" w:cs="Calibri"/>
          <w:color w:val="000000"/>
          <w:sz w:val="22"/>
          <w:szCs w:val="22"/>
          <w:lang w:val="en-US"/>
        </w:rPr>
      </w:pPr>
    </w:p>
    <w:p w14:paraId="5053E775" w14:textId="77777777" w:rsidR="000337C9" w:rsidRPr="000337C9" w:rsidRDefault="000337C9" w:rsidP="000337C9">
      <w:pPr>
        <w:pStyle w:val="ListParagraph"/>
        <w:numPr>
          <w:ilvl w:val="0"/>
          <w:numId w:val="3"/>
        </w:numPr>
        <w:spacing w:line="276" w:lineRule="auto"/>
        <w:jc w:val="both"/>
        <w:rPr>
          <w:rFonts w:ascii="Calibri" w:hAnsi="Calibri" w:cs="Calibri"/>
          <w:b/>
          <w:bCs/>
          <w:color w:val="000000"/>
          <w:sz w:val="22"/>
          <w:szCs w:val="22"/>
          <w:u w:val="single"/>
        </w:rPr>
      </w:pPr>
      <w:r w:rsidRPr="005B4108">
        <w:rPr>
          <w:rFonts w:ascii="Calibri" w:hAnsi="Calibri" w:cs="Calibri"/>
          <w:b/>
          <w:bCs/>
          <w:color w:val="000000"/>
          <w:sz w:val="22"/>
          <w:szCs w:val="22"/>
          <w:u w:val="single"/>
        </w:rPr>
        <w:t>Diagnosis and</w:t>
      </w:r>
      <w:r w:rsidRPr="000337C9">
        <w:rPr>
          <w:rFonts w:ascii="Calibri" w:hAnsi="Calibri" w:cs="Calibri"/>
          <w:b/>
          <w:bCs/>
          <w:color w:val="000000"/>
          <w:sz w:val="22"/>
          <w:szCs w:val="22"/>
          <w:u w:val="single"/>
        </w:rPr>
        <w:t xml:space="preserve"> treatment of relapse after curative therapies</w:t>
      </w:r>
    </w:p>
    <w:p w14:paraId="3DE342C7" w14:textId="77777777" w:rsidR="000337C9" w:rsidRPr="000337C9" w:rsidRDefault="000337C9" w:rsidP="000337C9">
      <w:pPr>
        <w:pStyle w:val="ListParagraph"/>
        <w:spacing w:line="276" w:lineRule="auto"/>
        <w:jc w:val="both"/>
        <w:rPr>
          <w:rFonts w:ascii="Calibri" w:hAnsi="Calibri" w:cs="Calibri"/>
          <w:b/>
          <w:bCs/>
          <w:color w:val="000000"/>
          <w:sz w:val="22"/>
          <w:szCs w:val="22"/>
        </w:rPr>
      </w:pPr>
    </w:p>
    <w:p w14:paraId="5285ACE0" w14:textId="4605955D" w:rsidR="000337C9" w:rsidRPr="0008677A" w:rsidRDefault="000337C9" w:rsidP="003F4CF7">
      <w:pPr>
        <w:pStyle w:val="ListParagraph"/>
        <w:numPr>
          <w:ilvl w:val="2"/>
          <w:numId w:val="3"/>
        </w:numPr>
        <w:spacing w:line="276" w:lineRule="auto"/>
        <w:jc w:val="both"/>
        <w:rPr>
          <w:rFonts w:ascii="Calibri" w:hAnsi="Calibri" w:cs="Calibri"/>
          <w:i/>
          <w:spacing w:val="-2"/>
          <w:sz w:val="22"/>
          <w:szCs w:val="22"/>
        </w:rPr>
      </w:pPr>
      <w:r w:rsidRPr="0008677A">
        <w:rPr>
          <w:rFonts w:ascii="Calibri" w:hAnsi="Calibri" w:cs="Calibri"/>
          <w:i/>
          <w:spacing w:val="-2"/>
          <w:sz w:val="22"/>
          <w:szCs w:val="22"/>
        </w:rPr>
        <w:t>Definitions</w:t>
      </w:r>
    </w:p>
    <w:p w14:paraId="6D45EC62" w14:textId="77777777" w:rsidR="000337C9" w:rsidRPr="000337C9" w:rsidRDefault="000337C9" w:rsidP="000337C9">
      <w:pPr>
        <w:pStyle w:val="ListParagraph"/>
        <w:spacing w:line="276" w:lineRule="auto"/>
        <w:ind w:left="1080"/>
        <w:jc w:val="both"/>
        <w:rPr>
          <w:rFonts w:ascii="Calibri" w:hAnsi="Calibri" w:cs="Calibri"/>
          <w:i/>
          <w:spacing w:val="-2"/>
          <w:sz w:val="22"/>
          <w:szCs w:val="22"/>
        </w:rPr>
      </w:pPr>
    </w:p>
    <w:p w14:paraId="745847E3" w14:textId="77777777" w:rsidR="0008677A" w:rsidRPr="0008677A" w:rsidRDefault="0008677A" w:rsidP="0008677A">
      <w:pPr>
        <w:spacing w:line="276" w:lineRule="auto"/>
        <w:jc w:val="both"/>
        <w:rPr>
          <w:rFonts w:ascii="Calibri" w:eastAsia="HelveticaNeue-Roman" w:hAnsi="Calibri" w:cs="Calibri"/>
          <w:noProof/>
          <w:color w:val="000000"/>
          <w:sz w:val="22"/>
          <w:szCs w:val="22"/>
        </w:rPr>
      </w:pPr>
      <w:r w:rsidRPr="0008677A">
        <w:rPr>
          <w:rFonts w:ascii="Calibri" w:eastAsia="HelveticaNeue-Roman" w:hAnsi="Calibri" w:cs="Calibri"/>
          <w:noProof/>
          <w:color w:val="000000"/>
          <w:sz w:val="22"/>
          <w:szCs w:val="22"/>
        </w:rPr>
        <w:t>After radical prostatectomy (RP), the threshold that best predicts further metastases is a prostate-specific antigen (PSA) level &gt;0.4 ng/ml that is rising [4–6]. However, with access to ultrasensitive PSA testing, a rising PSA much below this level will be a cause for concern for patients. The RTOG-ASTRO Phoenix Consensus Conference definition of PSA failure after primary radiotherapy (RT) is ‘‘any PSA increase &gt;2 ng/ml higher than the PSA nadir value, regardless of the serum concentration of the nadir’’ [7]. After high-intensity focused ultrasound (HIFU) or cryotherapy, no PSA endpoints have been validated against clinical progression or survival [8].</w:t>
      </w:r>
    </w:p>
    <w:p w14:paraId="586DA9F3" w14:textId="79CABBEC" w:rsidR="000337C9" w:rsidRPr="000337C9" w:rsidRDefault="0008677A" w:rsidP="0008677A">
      <w:pPr>
        <w:spacing w:line="276" w:lineRule="auto"/>
        <w:jc w:val="both"/>
        <w:rPr>
          <w:rFonts w:ascii="Calibri" w:eastAsia="HelveticaNeue-Roman" w:hAnsi="Calibri" w:cs="Calibri"/>
          <w:noProof/>
          <w:color w:val="000000"/>
          <w:sz w:val="22"/>
          <w:szCs w:val="22"/>
        </w:rPr>
      </w:pPr>
      <w:r w:rsidRPr="0008677A">
        <w:rPr>
          <w:rFonts w:ascii="Calibri" w:eastAsia="HelveticaNeue-Roman" w:hAnsi="Calibri" w:cs="Calibri"/>
          <w:noProof/>
          <w:color w:val="000000"/>
          <w:sz w:val="22"/>
          <w:szCs w:val="22"/>
        </w:rPr>
        <w:t>A systematic review and meta-analysis investigated the impact of biochemical recurrence (BCR) on clinical endpoints and concluded that patients experiencing BCR are at higher risk of developing distant metastases and PCaspecific and overall mortality [8]. However, the effect size of BCR as a risk factor for developing clinical evidence of metastatic spread or mortality is highly variable.</w:t>
      </w:r>
    </w:p>
    <w:p w14:paraId="02D36751" w14:textId="77777777" w:rsidR="0008677A" w:rsidRDefault="0008677A" w:rsidP="000337C9">
      <w:pPr>
        <w:autoSpaceDE w:val="0"/>
        <w:autoSpaceDN w:val="0"/>
        <w:adjustRightInd w:val="0"/>
        <w:spacing w:line="276" w:lineRule="auto"/>
        <w:jc w:val="both"/>
        <w:rPr>
          <w:rFonts w:ascii="Calibri" w:eastAsia="Calibri" w:hAnsi="Calibri" w:cs="Calibri"/>
          <w:b/>
          <w:bCs/>
          <w:noProof/>
          <w:color w:val="000000"/>
          <w:sz w:val="22"/>
          <w:szCs w:val="22"/>
        </w:rPr>
      </w:pPr>
    </w:p>
    <w:p w14:paraId="73C19871" w14:textId="77777777" w:rsidR="0008677A" w:rsidRDefault="0008677A" w:rsidP="000337C9">
      <w:pPr>
        <w:autoSpaceDE w:val="0"/>
        <w:autoSpaceDN w:val="0"/>
        <w:adjustRightInd w:val="0"/>
        <w:spacing w:line="276" w:lineRule="auto"/>
        <w:jc w:val="both"/>
        <w:rPr>
          <w:rFonts w:ascii="Calibri" w:eastAsia="Calibri" w:hAnsi="Calibri" w:cs="Calibri"/>
          <w:b/>
          <w:bCs/>
          <w:noProof/>
          <w:color w:val="000000"/>
          <w:sz w:val="22"/>
          <w:szCs w:val="22"/>
        </w:rPr>
      </w:pPr>
    </w:p>
    <w:p w14:paraId="3E41CBB5" w14:textId="77777777" w:rsidR="0008677A" w:rsidRDefault="0008677A" w:rsidP="000337C9">
      <w:pPr>
        <w:autoSpaceDE w:val="0"/>
        <w:autoSpaceDN w:val="0"/>
        <w:adjustRightInd w:val="0"/>
        <w:spacing w:line="276" w:lineRule="auto"/>
        <w:jc w:val="both"/>
        <w:rPr>
          <w:rFonts w:ascii="Calibri" w:eastAsia="Calibri" w:hAnsi="Calibri" w:cs="Calibri"/>
          <w:b/>
          <w:bCs/>
          <w:noProof/>
          <w:color w:val="000000"/>
          <w:sz w:val="22"/>
          <w:szCs w:val="22"/>
        </w:rPr>
      </w:pPr>
    </w:p>
    <w:p w14:paraId="39B60188" w14:textId="77777777" w:rsidR="0008677A" w:rsidRDefault="0008677A" w:rsidP="000337C9">
      <w:pPr>
        <w:autoSpaceDE w:val="0"/>
        <w:autoSpaceDN w:val="0"/>
        <w:adjustRightInd w:val="0"/>
        <w:spacing w:line="276" w:lineRule="auto"/>
        <w:jc w:val="both"/>
        <w:rPr>
          <w:rFonts w:ascii="Calibri" w:eastAsia="Calibri" w:hAnsi="Calibri" w:cs="Calibri"/>
          <w:b/>
          <w:bCs/>
          <w:noProof/>
          <w:color w:val="000000"/>
          <w:sz w:val="22"/>
          <w:szCs w:val="22"/>
        </w:rPr>
      </w:pPr>
    </w:p>
    <w:p w14:paraId="021DBFAD" w14:textId="5A3B9ECE" w:rsidR="000337C9" w:rsidRPr="000337C9" w:rsidRDefault="000337C9" w:rsidP="000337C9">
      <w:pPr>
        <w:autoSpaceDE w:val="0"/>
        <w:autoSpaceDN w:val="0"/>
        <w:adjustRightInd w:val="0"/>
        <w:spacing w:line="276" w:lineRule="auto"/>
        <w:jc w:val="both"/>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Table 1: E</w:t>
      </w:r>
      <w:r w:rsidR="0008677A">
        <w:rPr>
          <w:rFonts w:ascii="Calibri" w:eastAsia="Calibri" w:hAnsi="Calibri" w:cs="Calibri"/>
          <w:b/>
          <w:bCs/>
          <w:noProof/>
          <w:color w:val="000000"/>
          <w:sz w:val="22"/>
          <w:szCs w:val="22"/>
        </w:rPr>
        <w:t xml:space="preserve">uropean </w:t>
      </w:r>
      <w:r w:rsidRPr="000337C9">
        <w:rPr>
          <w:rFonts w:ascii="Calibri" w:eastAsia="Calibri" w:hAnsi="Calibri" w:cs="Calibri"/>
          <w:b/>
          <w:bCs/>
          <w:noProof/>
          <w:color w:val="000000"/>
          <w:sz w:val="22"/>
          <w:szCs w:val="22"/>
        </w:rPr>
        <w:t>A</w:t>
      </w:r>
      <w:r w:rsidR="0008677A">
        <w:rPr>
          <w:rFonts w:ascii="Calibri" w:eastAsia="Calibri" w:hAnsi="Calibri" w:cs="Calibri"/>
          <w:b/>
          <w:bCs/>
          <w:noProof/>
          <w:color w:val="000000"/>
          <w:sz w:val="22"/>
          <w:szCs w:val="22"/>
        </w:rPr>
        <w:t xml:space="preserve">ssociation of </w:t>
      </w:r>
      <w:r w:rsidRPr="000337C9">
        <w:rPr>
          <w:rFonts w:ascii="Calibri" w:eastAsia="Calibri" w:hAnsi="Calibri" w:cs="Calibri"/>
          <w:b/>
          <w:bCs/>
          <w:noProof/>
          <w:color w:val="000000"/>
          <w:sz w:val="22"/>
          <w:szCs w:val="22"/>
        </w:rPr>
        <w:t>U</w:t>
      </w:r>
      <w:r w:rsidR="0008677A">
        <w:rPr>
          <w:rFonts w:ascii="Calibri" w:eastAsia="Calibri" w:hAnsi="Calibri" w:cs="Calibri"/>
          <w:b/>
          <w:bCs/>
          <w:noProof/>
          <w:color w:val="000000"/>
          <w:sz w:val="22"/>
          <w:szCs w:val="22"/>
        </w:rPr>
        <w:t>rology</w:t>
      </w:r>
      <w:r w:rsidRPr="000337C9">
        <w:rPr>
          <w:rFonts w:ascii="Calibri" w:eastAsia="Calibri" w:hAnsi="Calibri" w:cs="Calibri"/>
          <w:b/>
          <w:bCs/>
          <w:noProof/>
          <w:color w:val="000000"/>
          <w:sz w:val="22"/>
          <w:szCs w:val="22"/>
        </w:rPr>
        <w:t xml:space="preserve"> risk categories for patients developing biochemical recurrence</w:t>
      </w:r>
    </w:p>
    <w:p w14:paraId="4A4EEEA5" w14:textId="77777777" w:rsidR="000337C9" w:rsidRPr="000337C9" w:rsidRDefault="000337C9" w:rsidP="000337C9">
      <w:pPr>
        <w:autoSpaceDE w:val="0"/>
        <w:autoSpaceDN w:val="0"/>
        <w:adjustRightInd w:val="0"/>
        <w:spacing w:line="276" w:lineRule="auto"/>
        <w:jc w:val="both"/>
        <w:rPr>
          <w:rFonts w:ascii="Calibri" w:eastAsia="Calibri" w:hAnsi="Calibri" w:cs="Calibri"/>
          <w:b/>
          <w:bCs/>
          <w:noProof/>
          <w:color w:val="000000"/>
          <w:sz w:val="22"/>
          <w:szCs w:val="22"/>
        </w:rPr>
      </w:pPr>
    </w:p>
    <w:tbl>
      <w:tblPr>
        <w:tblStyle w:val="TableGrid83"/>
        <w:tblW w:w="0" w:type="auto"/>
        <w:tblLook w:val="04A0" w:firstRow="1" w:lastRow="0" w:firstColumn="1" w:lastColumn="0" w:noHBand="0" w:noVBand="1"/>
      </w:tblPr>
      <w:tblGrid>
        <w:gridCol w:w="1373"/>
        <w:gridCol w:w="3688"/>
        <w:gridCol w:w="3955"/>
      </w:tblGrid>
      <w:tr w:rsidR="000337C9" w:rsidRPr="000337C9" w14:paraId="0A15350E" w14:textId="77777777" w:rsidTr="00B83C6E">
        <w:tc>
          <w:tcPr>
            <w:tcW w:w="1373" w:type="dxa"/>
            <w:shd w:val="clear" w:color="auto" w:fill="F2F2F2"/>
          </w:tcPr>
          <w:p w14:paraId="5125FC85" w14:textId="77777777" w:rsidR="000337C9" w:rsidRPr="000337C9" w:rsidRDefault="000337C9" w:rsidP="000337C9">
            <w:pPr>
              <w:autoSpaceDE w:val="0"/>
              <w:autoSpaceDN w:val="0"/>
              <w:adjustRightInd w:val="0"/>
              <w:spacing w:line="276" w:lineRule="auto"/>
              <w:jc w:val="both"/>
              <w:rPr>
                <w:rFonts w:ascii="Calibri" w:eastAsia="HelveticaNeue-Roman" w:hAnsi="Calibri" w:cs="Calibri"/>
                <w:iCs/>
                <w:noProof/>
                <w:color w:val="000000"/>
                <w:sz w:val="22"/>
                <w:szCs w:val="22"/>
              </w:rPr>
            </w:pPr>
            <w:bookmarkStart w:id="0" w:name="_Hlk123043953"/>
          </w:p>
        </w:tc>
        <w:tc>
          <w:tcPr>
            <w:tcW w:w="3688" w:type="dxa"/>
            <w:shd w:val="clear" w:color="auto" w:fill="F2F2F2"/>
          </w:tcPr>
          <w:p w14:paraId="39555D39" w14:textId="78C90B30" w:rsidR="000337C9" w:rsidRPr="000337C9" w:rsidRDefault="000337C9" w:rsidP="000337C9">
            <w:pPr>
              <w:autoSpaceDE w:val="0"/>
              <w:autoSpaceDN w:val="0"/>
              <w:adjustRightInd w:val="0"/>
              <w:spacing w:line="276" w:lineRule="auto"/>
              <w:jc w:val="both"/>
              <w:rPr>
                <w:rFonts w:ascii="Calibri" w:eastAsia="HelveticaNeue-Roman" w:hAnsi="Calibri" w:cs="Calibri"/>
                <w:b/>
                <w:bCs/>
                <w:iCs/>
                <w:noProof/>
                <w:color w:val="000000"/>
                <w:sz w:val="22"/>
                <w:szCs w:val="22"/>
              </w:rPr>
            </w:pPr>
            <w:r w:rsidRPr="000337C9">
              <w:rPr>
                <w:rFonts w:ascii="Calibri" w:eastAsia="HelveticaNeue-Roman" w:hAnsi="Calibri" w:cs="Calibri"/>
                <w:b/>
                <w:bCs/>
                <w:iCs/>
                <w:noProof/>
                <w:color w:val="000000"/>
                <w:sz w:val="22"/>
                <w:szCs w:val="22"/>
              </w:rPr>
              <w:t>EAU Low Risk B</w:t>
            </w:r>
            <w:r w:rsidR="00E234D4">
              <w:rPr>
                <w:rFonts w:ascii="Calibri" w:eastAsia="HelveticaNeue-Roman" w:hAnsi="Calibri" w:cs="Calibri"/>
                <w:b/>
                <w:bCs/>
                <w:iCs/>
                <w:noProof/>
                <w:color w:val="000000"/>
                <w:sz w:val="22"/>
                <w:szCs w:val="22"/>
              </w:rPr>
              <w:t>iochemical recurrence</w:t>
            </w:r>
          </w:p>
        </w:tc>
        <w:tc>
          <w:tcPr>
            <w:tcW w:w="3955" w:type="dxa"/>
            <w:shd w:val="clear" w:color="auto" w:fill="F2F2F2"/>
          </w:tcPr>
          <w:p w14:paraId="1AE6248F" w14:textId="3280A96B" w:rsidR="000337C9" w:rsidRPr="000337C9" w:rsidRDefault="000337C9" w:rsidP="000337C9">
            <w:pPr>
              <w:autoSpaceDE w:val="0"/>
              <w:autoSpaceDN w:val="0"/>
              <w:adjustRightInd w:val="0"/>
              <w:spacing w:line="276" w:lineRule="auto"/>
              <w:jc w:val="both"/>
              <w:rPr>
                <w:rFonts w:ascii="Calibri" w:eastAsia="HelveticaNeue-Roman" w:hAnsi="Calibri" w:cs="Calibri"/>
                <w:b/>
                <w:bCs/>
                <w:iCs/>
                <w:noProof/>
                <w:color w:val="000000"/>
                <w:sz w:val="22"/>
                <w:szCs w:val="22"/>
              </w:rPr>
            </w:pPr>
            <w:r w:rsidRPr="000337C9">
              <w:rPr>
                <w:rFonts w:ascii="Calibri" w:eastAsia="HelveticaNeue-Roman" w:hAnsi="Calibri" w:cs="Calibri"/>
                <w:b/>
                <w:bCs/>
                <w:iCs/>
                <w:noProof/>
                <w:color w:val="000000"/>
                <w:sz w:val="22"/>
                <w:szCs w:val="22"/>
              </w:rPr>
              <w:t>EAU High Risk B</w:t>
            </w:r>
            <w:r w:rsidR="00E234D4">
              <w:rPr>
                <w:rFonts w:ascii="Calibri" w:eastAsia="HelveticaNeue-Roman" w:hAnsi="Calibri" w:cs="Calibri"/>
                <w:b/>
                <w:bCs/>
                <w:iCs/>
                <w:noProof/>
                <w:color w:val="000000"/>
                <w:sz w:val="22"/>
                <w:szCs w:val="22"/>
              </w:rPr>
              <w:t>iochemical recurrence</w:t>
            </w:r>
          </w:p>
        </w:tc>
      </w:tr>
      <w:tr w:rsidR="000337C9" w:rsidRPr="000337C9" w14:paraId="19870F1F" w14:textId="77777777" w:rsidTr="00B83C6E">
        <w:tc>
          <w:tcPr>
            <w:tcW w:w="1373" w:type="dxa"/>
          </w:tcPr>
          <w:p w14:paraId="6AA108EA" w14:textId="77777777" w:rsidR="000337C9" w:rsidRPr="000337C9" w:rsidRDefault="000337C9" w:rsidP="000337C9">
            <w:pPr>
              <w:autoSpaceDE w:val="0"/>
              <w:autoSpaceDN w:val="0"/>
              <w:adjustRightInd w:val="0"/>
              <w:spacing w:line="276" w:lineRule="auto"/>
              <w:jc w:val="both"/>
              <w:rPr>
                <w:rFonts w:ascii="Calibri" w:eastAsia="HelveticaNeue-Roman" w:hAnsi="Calibri" w:cs="Calibri"/>
                <w:b/>
                <w:bCs/>
                <w:iCs/>
                <w:noProof/>
                <w:color w:val="000000"/>
                <w:sz w:val="22"/>
                <w:szCs w:val="22"/>
              </w:rPr>
            </w:pPr>
            <w:r w:rsidRPr="000337C9">
              <w:rPr>
                <w:rFonts w:ascii="Calibri" w:eastAsia="HelveticaNeue-Roman" w:hAnsi="Calibri" w:cs="Calibri"/>
                <w:b/>
                <w:bCs/>
                <w:iCs/>
                <w:noProof/>
                <w:color w:val="000000"/>
                <w:sz w:val="22"/>
                <w:szCs w:val="22"/>
              </w:rPr>
              <w:t>After RP</w:t>
            </w:r>
          </w:p>
        </w:tc>
        <w:tc>
          <w:tcPr>
            <w:tcW w:w="3688" w:type="dxa"/>
            <w:shd w:val="clear" w:color="auto" w:fill="FFFFFF"/>
          </w:tcPr>
          <w:p w14:paraId="3EDFE701" w14:textId="3D9D0EBC" w:rsidR="000337C9" w:rsidRPr="000337C9" w:rsidRDefault="00242726" w:rsidP="000337C9">
            <w:pPr>
              <w:autoSpaceDE w:val="0"/>
              <w:autoSpaceDN w:val="0"/>
              <w:adjustRightInd w:val="0"/>
              <w:spacing w:line="276" w:lineRule="auto"/>
              <w:jc w:val="both"/>
              <w:rPr>
                <w:rFonts w:ascii="Calibri" w:eastAsia="HelveticaNeue-Roman" w:hAnsi="Calibri" w:cs="Calibri"/>
                <w:noProof/>
                <w:color w:val="000000"/>
                <w:sz w:val="22"/>
                <w:szCs w:val="22"/>
              </w:rPr>
            </w:pPr>
            <w:r>
              <w:rPr>
                <w:rFonts w:ascii="Calibri" w:eastAsia="HelveticaNeue-Roman" w:hAnsi="Calibri" w:cs="Calibri"/>
                <w:noProof/>
                <w:color w:val="000000"/>
                <w:sz w:val="22"/>
                <w:szCs w:val="22"/>
              </w:rPr>
              <w:t>PSA-doubling time</w:t>
            </w:r>
            <w:r w:rsidR="000337C9" w:rsidRPr="000337C9">
              <w:rPr>
                <w:rFonts w:ascii="Calibri" w:eastAsia="HelveticaNeue-Roman" w:hAnsi="Calibri" w:cs="Calibri"/>
                <w:noProof/>
                <w:color w:val="000000"/>
                <w:sz w:val="22"/>
                <w:szCs w:val="22"/>
              </w:rPr>
              <w:t xml:space="preserve"> &gt; 1 yr </w:t>
            </w:r>
          </w:p>
          <w:p w14:paraId="2EADDDB7" w14:textId="77777777" w:rsidR="000337C9" w:rsidRPr="000337C9" w:rsidRDefault="000337C9" w:rsidP="000337C9">
            <w:pPr>
              <w:autoSpaceDE w:val="0"/>
              <w:autoSpaceDN w:val="0"/>
              <w:adjustRightInd w:val="0"/>
              <w:spacing w:line="276" w:lineRule="auto"/>
              <w:jc w:val="both"/>
              <w:rPr>
                <w:rFonts w:ascii="Calibri" w:eastAsia="HelveticaNeue-Roman" w:hAnsi="Calibri" w:cs="Calibri"/>
                <w:iCs/>
                <w:noProof/>
                <w:color w:val="000000"/>
                <w:sz w:val="22"/>
                <w:szCs w:val="22"/>
              </w:rPr>
            </w:pPr>
            <w:r w:rsidRPr="000337C9">
              <w:rPr>
                <w:rFonts w:ascii="Calibri" w:eastAsia="HelveticaNeue-Roman" w:hAnsi="Calibri" w:cs="Calibri"/>
                <w:noProof/>
                <w:color w:val="000000"/>
                <w:sz w:val="22"/>
                <w:szCs w:val="22"/>
              </w:rPr>
              <w:t xml:space="preserve">AND </w:t>
            </w:r>
            <w:r w:rsidRPr="000337C9">
              <w:rPr>
                <w:rFonts w:ascii="Calibri" w:eastAsia="HelveticaNeue-Roman" w:hAnsi="Calibri" w:cs="Calibri"/>
                <w:noProof/>
                <w:color w:val="000000"/>
                <w:sz w:val="22"/>
                <w:szCs w:val="22"/>
              </w:rPr>
              <w:br/>
              <w:t xml:space="preserve">pathological ISUP grade </w:t>
            </w:r>
            <w:r w:rsidRPr="000337C9">
              <w:rPr>
                <w:rFonts w:ascii="Calibri" w:eastAsia="HelveticaNeue-Roman" w:hAnsi="Calibri" w:cs="Calibri"/>
                <w:color w:val="000000"/>
                <w:sz w:val="22"/>
                <w:szCs w:val="22"/>
              </w:rPr>
              <w:t>group</w:t>
            </w:r>
            <w:r w:rsidRPr="000337C9">
              <w:rPr>
                <w:rFonts w:ascii="Calibri" w:eastAsia="HelveticaNeue-Roman" w:hAnsi="Calibri" w:cs="Calibri"/>
                <w:noProof/>
                <w:color w:val="000000"/>
                <w:sz w:val="22"/>
                <w:szCs w:val="22"/>
              </w:rPr>
              <w:t xml:space="preserve"> &lt; 4</w:t>
            </w:r>
          </w:p>
        </w:tc>
        <w:tc>
          <w:tcPr>
            <w:tcW w:w="3955" w:type="dxa"/>
            <w:shd w:val="clear" w:color="auto" w:fill="FFFFFF"/>
          </w:tcPr>
          <w:p w14:paraId="5F1F92D7" w14:textId="65920A34" w:rsidR="000337C9" w:rsidRPr="000337C9" w:rsidRDefault="00242726" w:rsidP="000337C9">
            <w:pPr>
              <w:autoSpaceDE w:val="0"/>
              <w:autoSpaceDN w:val="0"/>
              <w:adjustRightInd w:val="0"/>
              <w:spacing w:line="276" w:lineRule="auto"/>
              <w:jc w:val="both"/>
              <w:rPr>
                <w:rFonts w:ascii="Calibri" w:eastAsia="HelveticaNeue-Roman" w:hAnsi="Calibri" w:cs="Calibri"/>
                <w:noProof/>
                <w:color w:val="000000"/>
                <w:sz w:val="22"/>
                <w:szCs w:val="22"/>
              </w:rPr>
            </w:pPr>
            <w:r>
              <w:rPr>
                <w:rFonts w:ascii="Calibri" w:eastAsia="HelveticaNeue-Roman" w:hAnsi="Calibri" w:cs="Calibri"/>
                <w:noProof/>
                <w:color w:val="000000"/>
                <w:sz w:val="22"/>
                <w:szCs w:val="22"/>
              </w:rPr>
              <w:t>PSA-doubling time ≤</w:t>
            </w:r>
            <w:r w:rsidR="000337C9" w:rsidRPr="000337C9">
              <w:rPr>
                <w:rFonts w:ascii="Calibri" w:eastAsia="HelveticaNeue-Roman" w:hAnsi="Calibri" w:cs="Calibri"/>
                <w:noProof/>
                <w:color w:val="000000"/>
                <w:sz w:val="22"/>
                <w:szCs w:val="22"/>
              </w:rPr>
              <w:t xml:space="preserve"> 1 yr </w:t>
            </w:r>
          </w:p>
          <w:p w14:paraId="59512862" w14:textId="77777777" w:rsidR="000337C9" w:rsidRPr="000337C9" w:rsidRDefault="000337C9" w:rsidP="000337C9">
            <w:pPr>
              <w:autoSpaceDE w:val="0"/>
              <w:autoSpaceDN w:val="0"/>
              <w:adjustRightInd w:val="0"/>
              <w:spacing w:line="276" w:lineRule="auto"/>
              <w:jc w:val="both"/>
              <w:rPr>
                <w:rFonts w:ascii="Calibri" w:eastAsia="HelveticaNeue-Roman" w:hAnsi="Calibri" w:cs="Calibri"/>
                <w:iCs/>
                <w:noProof/>
                <w:color w:val="000000"/>
                <w:sz w:val="22"/>
                <w:szCs w:val="22"/>
              </w:rPr>
            </w:pPr>
            <w:r w:rsidRPr="000337C9">
              <w:rPr>
                <w:rFonts w:ascii="Calibri" w:eastAsia="HelveticaNeue-Roman" w:hAnsi="Calibri" w:cs="Calibri"/>
                <w:noProof/>
                <w:color w:val="000000"/>
                <w:sz w:val="22"/>
                <w:szCs w:val="22"/>
              </w:rPr>
              <w:t xml:space="preserve">OR </w:t>
            </w:r>
            <w:r w:rsidRPr="000337C9">
              <w:rPr>
                <w:rFonts w:ascii="Calibri" w:eastAsia="HelveticaNeue-Roman" w:hAnsi="Calibri" w:cs="Calibri"/>
                <w:noProof/>
                <w:color w:val="000000"/>
                <w:sz w:val="22"/>
                <w:szCs w:val="22"/>
              </w:rPr>
              <w:br/>
              <w:t xml:space="preserve">pathological ISUP grade </w:t>
            </w:r>
            <w:r w:rsidRPr="000337C9">
              <w:rPr>
                <w:rFonts w:ascii="Calibri" w:eastAsia="HelveticaNeue-Roman" w:hAnsi="Calibri" w:cs="Calibri"/>
                <w:color w:val="000000"/>
                <w:sz w:val="22"/>
                <w:szCs w:val="22"/>
              </w:rPr>
              <w:t>group</w:t>
            </w:r>
            <w:r w:rsidRPr="000337C9">
              <w:rPr>
                <w:rFonts w:ascii="Calibri" w:eastAsia="HelveticaNeue-Roman" w:hAnsi="Calibri" w:cs="Calibri"/>
                <w:noProof/>
                <w:color w:val="000000"/>
                <w:sz w:val="22"/>
                <w:szCs w:val="22"/>
              </w:rPr>
              <w:t xml:space="preserve"> 4–5</w:t>
            </w:r>
          </w:p>
        </w:tc>
      </w:tr>
      <w:tr w:rsidR="000337C9" w:rsidRPr="000337C9" w14:paraId="6B8E9476" w14:textId="77777777" w:rsidTr="00B83C6E">
        <w:tc>
          <w:tcPr>
            <w:tcW w:w="1373" w:type="dxa"/>
          </w:tcPr>
          <w:p w14:paraId="6D5BD1BB" w14:textId="77777777" w:rsidR="000337C9" w:rsidRPr="000337C9" w:rsidRDefault="000337C9" w:rsidP="000337C9">
            <w:pPr>
              <w:autoSpaceDE w:val="0"/>
              <w:autoSpaceDN w:val="0"/>
              <w:adjustRightInd w:val="0"/>
              <w:spacing w:line="276" w:lineRule="auto"/>
              <w:jc w:val="both"/>
              <w:rPr>
                <w:rFonts w:ascii="Calibri" w:eastAsia="HelveticaNeue-Roman" w:hAnsi="Calibri" w:cs="Calibri"/>
                <w:b/>
                <w:bCs/>
                <w:iCs/>
                <w:noProof/>
                <w:color w:val="000000"/>
                <w:sz w:val="22"/>
                <w:szCs w:val="22"/>
              </w:rPr>
            </w:pPr>
            <w:r w:rsidRPr="000337C9">
              <w:rPr>
                <w:rFonts w:ascii="Calibri" w:eastAsia="HelveticaNeue-Roman" w:hAnsi="Calibri" w:cs="Calibri"/>
                <w:b/>
                <w:bCs/>
                <w:iCs/>
                <w:noProof/>
                <w:color w:val="000000"/>
                <w:sz w:val="22"/>
                <w:szCs w:val="22"/>
              </w:rPr>
              <w:t>After RT</w:t>
            </w:r>
          </w:p>
        </w:tc>
        <w:tc>
          <w:tcPr>
            <w:tcW w:w="3688" w:type="dxa"/>
            <w:shd w:val="clear" w:color="auto" w:fill="FFFFFF"/>
          </w:tcPr>
          <w:p w14:paraId="7689D8FC" w14:textId="77777777" w:rsidR="000337C9" w:rsidRPr="000337C9" w:rsidRDefault="000337C9" w:rsidP="000337C9">
            <w:pPr>
              <w:autoSpaceDE w:val="0"/>
              <w:autoSpaceDN w:val="0"/>
              <w:adjustRightInd w:val="0"/>
              <w:spacing w:line="276" w:lineRule="auto"/>
              <w:jc w:val="both"/>
              <w:rPr>
                <w:rFonts w:ascii="Calibri" w:eastAsia="HelveticaNeue-Roman" w:hAnsi="Calibri" w:cs="Calibri"/>
                <w:noProof/>
                <w:color w:val="000000"/>
                <w:sz w:val="22"/>
                <w:szCs w:val="22"/>
              </w:rPr>
            </w:pPr>
            <w:r w:rsidRPr="000337C9">
              <w:rPr>
                <w:rFonts w:ascii="Calibri" w:eastAsia="HelveticaNeue-Roman" w:hAnsi="Calibri" w:cs="Calibri"/>
                <w:noProof/>
                <w:color w:val="000000"/>
                <w:sz w:val="22"/>
                <w:szCs w:val="22"/>
              </w:rPr>
              <w:t xml:space="preserve">interval to </w:t>
            </w:r>
            <w:r w:rsidRPr="000337C9">
              <w:rPr>
                <w:rFonts w:ascii="Calibri" w:eastAsia="HelveticaNeue-Roman" w:hAnsi="Calibri" w:cs="Calibri"/>
                <w:noProof/>
                <w:color w:val="000000"/>
                <w:sz w:val="22"/>
                <w:szCs w:val="22"/>
                <w:lang w:eastAsia="en-US"/>
              </w:rPr>
              <w:t xml:space="preserve">biochemical failure &gt; </w:t>
            </w:r>
            <w:r w:rsidRPr="000337C9">
              <w:rPr>
                <w:rFonts w:ascii="Calibri" w:eastAsia="HelveticaNeue-Roman" w:hAnsi="Calibri" w:cs="Calibri"/>
                <w:noProof/>
                <w:color w:val="000000"/>
                <w:sz w:val="22"/>
                <w:szCs w:val="22"/>
              </w:rPr>
              <w:t xml:space="preserve">18 mo </w:t>
            </w:r>
          </w:p>
          <w:p w14:paraId="215624AC" w14:textId="77777777" w:rsidR="000337C9" w:rsidRPr="000337C9" w:rsidRDefault="000337C9" w:rsidP="000337C9">
            <w:pPr>
              <w:autoSpaceDE w:val="0"/>
              <w:autoSpaceDN w:val="0"/>
              <w:adjustRightInd w:val="0"/>
              <w:spacing w:line="276" w:lineRule="auto"/>
              <w:jc w:val="both"/>
              <w:rPr>
                <w:rFonts w:ascii="Calibri" w:eastAsia="HelveticaNeue-Roman" w:hAnsi="Calibri" w:cs="Calibri"/>
                <w:iCs/>
                <w:noProof/>
                <w:color w:val="000000"/>
                <w:sz w:val="22"/>
                <w:szCs w:val="22"/>
              </w:rPr>
            </w:pPr>
            <w:r w:rsidRPr="000337C9">
              <w:rPr>
                <w:rFonts w:ascii="Calibri" w:eastAsia="HelveticaNeue-Roman" w:hAnsi="Calibri" w:cs="Calibri"/>
                <w:noProof/>
                <w:color w:val="000000"/>
                <w:sz w:val="22"/>
                <w:szCs w:val="22"/>
              </w:rPr>
              <w:t xml:space="preserve">AND </w:t>
            </w:r>
            <w:r w:rsidRPr="000337C9">
              <w:rPr>
                <w:rFonts w:ascii="Calibri" w:eastAsia="HelveticaNeue-Roman" w:hAnsi="Calibri" w:cs="Calibri"/>
                <w:noProof/>
                <w:color w:val="000000"/>
                <w:sz w:val="22"/>
                <w:szCs w:val="22"/>
              </w:rPr>
              <w:br/>
              <w:t xml:space="preserve">biopsy ISUP grade </w:t>
            </w:r>
            <w:r w:rsidRPr="000337C9">
              <w:rPr>
                <w:rFonts w:ascii="Calibri" w:eastAsia="HelveticaNeue-Roman" w:hAnsi="Calibri" w:cs="Calibri"/>
                <w:color w:val="000000"/>
                <w:sz w:val="22"/>
                <w:szCs w:val="22"/>
              </w:rPr>
              <w:t>group</w:t>
            </w:r>
            <w:r w:rsidRPr="000337C9">
              <w:rPr>
                <w:rFonts w:ascii="Calibri" w:eastAsia="HelveticaNeue-Roman" w:hAnsi="Calibri" w:cs="Calibri"/>
                <w:noProof/>
                <w:color w:val="000000"/>
                <w:sz w:val="22"/>
                <w:szCs w:val="22"/>
              </w:rPr>
              <w:t xml:space="preserve"> &lt; 4</w:t>
            </w:r>
          </w:p>
        </w:tc>
        <w:tc>
          <w:tcPr>
            <w:tcW w:w="3955" w:type="dxa"/>
            <w:shd w:val="clear" w:color="auto" w:fill="FFFFFF"/>
          </w:tcPr>
          <w:p w14:paraId="00C9AE55" w14:textId="012E099D" w:rsidR="000337C9" w:rsidRPr="000337C9" w:rsidRDefault="000337C9" w:rsidP="000337C9">
            <w:pPr>
              <w:autoSpaceDE w:val="0"/>
              <w:autoSpaceDN w:val="0"/>
              <w:adjustRightInd w:val="0"/>
              <w:spacing w:line="276" w:lineRule="auto"/>
              <w:jc w:val="both"/>
              <w:rPr>
                <w:rFonts w:ascii="Calibri" w:eastAsia="HelveticaNeue-Roman" w:hAnsi="Calibri" w:cs="Calibri"/>
                <w:noProof/>
                <w:color w:val="000000"/>
                <w:sz w:val="22"/>
                <w:szCs w:val="22"/>
              </w:rPr>
            </w:pPr>
            <w:r w:rsidRPr="000337C9">
              <w:rPr>
                <w:rFonts w:ascii="Calibri" w:eastAsia="HelveticaNeue-Roman" w:hAnsi="Calibri" w:cs="Calibri"/>
                <w:noProof/>
                <w:color w:val="000000"/>
                <w:sz w:val="22"/>
                <w:szCs w:val="22"/>
              </w:rPr>
              <w:t>i</w:t>
            </w:r>
            <w:r w:rsidR="00242726">
              <w:rPr>
                <w:rFonts w:ascii="Calibri" w:eastAsia="HelveticaNeue-Roman" w:hAnsi="Calibri" w:cs="Calibri"/>
                <w:noProof/>
                <w:color w:val="000000"/>
                <w:sz w:val="22"/>
                <w:szCs w:val="22"/>
              </w:rPr>
              <w:t>nterval to biochemical failure ≤</w:t>
            </w:r>
            <w:r w:rsidRPr="000337C9">
              <w:rPr>
                <w:rFonts w:ascii="Calibri" w:eastAsia="HelveticaNeue-Roman" w:hAnsi="Calibri" w:cs="Calibri"/>
                <w:noProof/>
                <w:color w:val="000000"/>
                <w:sz w:val="22"/>
                <w:szCs w:val="22"/>
              </w:rPr>
              <w:t xml:space="preserve"> 18 mo</w:t>
            </w:r>
          </w:p>
          <w:p w14:paraId="5431B02B" w14:textId="77777777" w:rsidR="000337C9" w:rsidRPr="000337C9" w:rsidRDefault="000337C9" w:rsidP="000337C9">
            <w:pPr>
              <w:autoSpaceDE w:val="0"/>
              <w:autoSpaceDN w:val="0"/>
              <w:adjustRightInd w:val="0"/>
              <w:spacing w:line="276" w:lineRule="auto"/>
              <w:jc w:val="both"/>
              <w:rPr>
                <w:rFonts w:ascii="Calibri" w:eastAsia="HelveticaNeue-Roman" w:hAnsi="Calibri" w:cs="Calibri"/>
                <w:noProof/>
                <w:color w:val="000000"/>
                <w:sz w:val="22"/>
                <w:szCs w:val="22"/>
              </w:rPr>
            </w:pPr>
            <w:r w:rsidRPr="000337C9">
              <w:rPr>
                <w:rFonts w:ascii="Calibri" w:eastAsia="HelveticaNeue-Roman" w:hAnsi="Calibri" w:cs="Calibri"/>
                <w:noProof/>
                <w:color w:val="000000"/>
                <w:sz w:val="22"/>
                <w:szCs w:val="22"/>
              </w:rPr>
              <w:t xml:space="preserve">OR </w:t>
            </w:r>
          </w:p>
          <w:p w14:paraId="114051CB" w14:textId="77777777" w:rsidR="000337C9" w:rsidRPr="000337C9" w:rsidRDefault="000337C9" w:rsidP="000337C9">
            <w:pPr>
              <w:autoSpaceDE w:val="0"/>
              <w:autoSpaceDN w:val="0"/>
              <w:adjustRightInd w:val="0"/>
              <w:spacing w:line="276" w:lineRule="auto"/>
              <w:jc w:val="both"/>
              <w:rPr>
                <w:rFonts w:ascii="Calibri" w:eastAsia="HelveticaNeue-Roman" w:hAnsi="Calibri" w:cs="Calibri"/>
                <w:iCs/>
                <w:noProof/>
                <w:color w:val="000000"/>
                <w:sz w:val="22"/>
                <w:szCs w:val="22"/>
              </w:rPr>
            </w:pPr>
            <w:r w:rsidRPr="000337C9">
              <w:rPr>
                <w:rFonts w:ascii="Calibri" w:eastAsia="HelveticaNeue-Roman" w:hAnsi="Calibri" w:cs="Calibri"/>
                <w:noProof/>
                <w:color w:val="000000"/>
                <w:sz w:val="22"/>
                <w:szCs w:val="22"/>
              </w:rPr>
              <w:t xml:space="preserve">biopsy ISUP grade </w:t>
            </w:r>
            <w:r w:rsidRPr="000337C9">
              <w:rPr>
                <w:rFonts w:ascii="Calibri" w:eastAsia="HelveticaNeue-Roman" w:hAnsi="Calibri" w:cs="Calibri"/>
                <w:color w:val="000000"/>
                <w:sz w:val="22"/>
                <w:szCs w:val="22"/>
              </w:rPr>
              <w:t>group</w:t>
            </w:r>
            <w:r w:rsidRPr="000337C9">
              <w:rPr>
                <w:rFonts w:ascii="Calibri" w:eastAsia="HelveticaNeue-Roman" w:hAnsi="Calibri" w:cs="Calibri"/>
                <w:noProof/>
                <w:color w:val="000000"/>
                <w:sz w:val="22"/>
                <w:szCs w:val="22"/>
              </w:rPr>
              <w:t xml:space="preserve"> 4–5</w:t>
            </w:r>
          </w:p>
        </w:tc>
      </w:tr>
    </w:tbl>
    <w:bookmarkEnd w:id="0"/>
    <w:p w14:paraId="57E26A27" w14:textId="02CE4528" w:rsidR="000337C9" w:rsidRPr="000337C9" w:rsidRDefault="00242726" w:rsidP="00242726">
      <w:pPr>
        <w:spacing w:line="276" w:lineRule="auto"/>
        <w:jc w:val="both"/>
        <w:rPr>
          <w:rFonts w:ascii="Calibri" w:hAnsi="Calibri" w:cs="Calibri"/>
          <w:i/>
          <w:spacing w:val="-2"/>
          <w:sz w:val="22"/>
          <w:szCs w:val="22"/>
        </w:rPr>
      </w:pPr>
      <w:r w:rsidRPr="00242726">
        <w:rPr>
          <w:rFonts w:ascii="Calibri" w:hAnsi="Calibri" w:cs="Calibri"/>
          <w:i/>
          <w:spacing w:val="-2"/>
          <w:sz w:val="22"/>
          <w:szCs w:val="22"/>
        </w:rPr>
        <w:t>ISUP = International Society of Urological Pat</w:t>
      </w:r>
      <w:r>
        <w:rPr>
          <w:rFonts w:ascii="Calibri" w:hAnsi="Calibri" w:cs="Calibri"/>
          <w:i/>
          <w:spacing w:val="-2"/>
          <w:sz w:val="22"/>
          <w:szCs w:val="22"/>
        </w:rPr>
        <w:t xml:space="preserve">hology; PSA = prostate-specific </w:t>
      </w:r>
      <w:r w:rsidRPr="00242726">
        <w:rPr>
          <w:rFonts w:ascii="Calibri" w:hAnsi="Calibri" w:cs="Calibri"/>
          <w:i/>
          <w:spacing w:val="-2"/>
          <w:sz w:val="22"/>
          <w:szCs w:val="22"/>
        </w:rPr>
        <w:t>antigen; RP = radical prostatectomy; RT = radiation therapy.</w:t>
      </w:r>
    </w:p>
    <w:p w14:paraId="35B7A899" w14:textId="77777777" w:rsidR="00242726" w:rsidRDefault="00242726" w:rsidP="000337C9">
      <w:pPr>
        <w:spacing w:line="276" w:lineRule="auto"/>
        <w:jc w:val="both"/>
        <w:rPr>
          <w:rFonts w:ascii="Calibri" w:hAnsi="Calibri" w:cs="Calibri"/>
          <w:spacing w:val="-2"/>
          <w:sz w:val="22"/>
          <w:szCs w:val="22"/>
        </w:rPr>
      </w:pPr>
    </w:p>
    <w:p w14:paraId="240F3A9A" w14:textId="5536E337" w:rsidR="000337C9" w:rsidRDefault="00126332" w:rsidP="000337C9">
      <w:pPr>
        <w:spacing w:line="276" w:lineRule="auto"/>
        <w:jc w:val="both"/>
        <w:rPr>
          <w:rFonts w:ascii="Calibri" w:hAnsi="Calibri" w:cs="Calibri"/>
          <w:spacing w:val="-2"/>
          <w:sz w:val="22"/>
          <w:szCs w:val="22"/>
        </w:rPr>
      </w:pPr>
      <w:r w:rsidRPr="00126332">
        <w:rPr>
          <w:rFonts w:ascii="Calibri" w:hAnsi="Calibri" w:cs="Calibri"/>
          <w:spacing w:val="-2"/>
          <w:sz w:val="22"/>
          <w:szCs w:val="22"/>
        </w:rPr>
        <w:t>On the basis of this meta-analysis, there is a proposal is to stratify patients into two risk categories, since not all patients with BCR will have similar outcomes (Table 1). The prognostic value of stratification as EAU ‘‘low-risk’’ or ‘‘high-risk’’ BCR after RP has been validated in a European cohort [9].</w:t>
      </w:r>
    </w:p>
    <w:p w14:paraId="2366C7ED" w14:textId="77777777" w:rsidR="00126332" w:rsidRPr="00126332" w:rsidRDefault="00126332" w:rsidP="000337C9">
      <w:pPr>
        <w:spacing w:line="276" w:lineRule="auto"/>
        <w:jc w:val="both"/>
        <w:rPr>
          <w:rFonts w:ascii="Calibri" w:hAnsi="Calibri" w:cs="Calibri"/>
          <w:spacing w:val="-2"/>
          <w:sz w:val="22"/>
          <w:szCs w:val="22"/>
        </w:rPr>
      </w:pPr>
    </w:p>
    <w:p w14:paraId="7747F704" w14:textId="07882DD5" w:rsidR="000337C9" w:rsidRDefault="000337C9" w:rsidP="00126332">
      <w:pPr>
        <w:pStyle w:val="ListParagraph"/>
        <w:numPr>
          <w:ilvl w:val="2"/>
          <w:numId w:val="3"/>
        </w:numPr>
        <w:spacing w:line="276" w:lineRule="auto"/>
        <w:rPr>
          <w:rFonts w:ascii="Calibri" w:hAnsi="Calibri" w:cs="Calibri"/>
          <w:i/>
          <w:iCs/>
          <w:color w:val="000000"/>
          <w:sz w:val="22"/>
          <w:szCs w:val="22"/>
        </w:rPr>
      </w:pPr>
      <w:r w:rsidRPr="00126332">
        <w:rPr>
          <w:rFonts w:ascii="Calibri" w:hAnsi="Calibri" w:cs="Calibri"/>
          <w:i/>
          <w:iCs/>
          <w:color w:val="000000"/>
          <w:sz w:val="22"/>
          <w:szCs w:val="22"/>
        </w:rPr>
        <w:t>The role of imaging in PSA-only recurrence</w:t>
      </w:r>
    </w:p>
    <w:p w14:paraId="0E52FFBA" w14:textId="77777777" w:rsidR="00126332" w:rsidRPr="00126332" w:rsidRDefault="00126332" w:rsidP="00126332">
      <w:pPr>
        <w:pStyle w:val="ListParagraph"/>
        <w:spacing w:line="276" w:lineRule="auto"/>
        <w:ind w:left="1800"/>
        <w:rPr>
          <w:rFonts w:ascii="Calibri" w:hAnsi="Calibri" w:cs="Calibri"/>
          <w:i/>
          <w:iCs/>
          <w:color w:val="000000"/>
          <w:sz w:val="22"/>
          <w:szCs w:val="22"/>
        </w:rPr>
      </w:pPr>
    </w:p>
    <w:p w14:paraId="27377AAD" w14:textId="3032D94D" w:rsidR="000337C9" w:rsidRPr="00242726" w:rsidRDefault="00126332" w:rsidP="00242726">
      <w:pPr>
        <w:spacing w:after="367" w:line="276" w:lineRule="auto"/>
        <w:ind w:left="100"/>
        <w:jc w:val="both"/>
        <w:rPr>
          <w:rFonts w:ascii="Calibri" w:hAnsi="Calibri" w:cs="Calibri"/>
          <w:sz w:val="22"/>
          <w:szCs w:val="22"/>
        </w:rPr>
      </w:pPr>
      <w:r w:rsidRPr="00126332">
        <w:rPr>
          <w:rFonts w:ascii="Calibri" w:hAnsi="Calibri" w:cs="Calibri"/>
          <w:sz w:val="22"/>
          <w:szCs w:val="22"/>
        </w:rPr>
        <w:t>After RP,</w:t>
      </w:r>
      <w:r w:rsidRPr="00126332">
        <w:rPr>
          <w:rFonts w:ascii="Calibri" w:hAnsi="Calibri" w:cs="Calibri"/>
          <w:color w:val="000000"/>
          <w:sz w:val="22"/>
          <w:szCs w:val="22"/>
        </w:rPr>
        <w:t xml:space="preserve"> prostate-specific membrane antigen (PSMA) positron emission tomography</w:t>
      </w:r>
      <w:r w:rsidRPr="00126332">
        <w:rPr>
          <w:rFonts w:ascii="Calibri" w:hAnsi="Calibri" w:cs="Calibri"/>
          <w:sz w:val="22"/>
          <w:szCs w:val="22"/>
        </w:rPr>
        <w:t>/</w:t>
      </w:r>
      <w:r w:rsidRPr="00126332">
        <w:rPr>
          <w:rFonts w:ascii="Calibri" w:hAnsi="Calibri" w:cs="Calibri"/>
          <w:color w:val="000000"/>
          <w:sz w:val="22"/>
          <w:szCs w:val="22"/>
        </w:rPr>
        <w:t>computed tomography (</w:t>
      </w:r>
      <w:r w:rsidRPr="00126332">
        <w:rPr>
          <w:rFonts w:ascii="Calibri" w:hAnsi="Calibri" w:cs="Calibri"/>
          <w:sz w:val="22"/>
          <w:szCs w:val="22"/>
        </w:rPr>
        <w:t>PET/</w:t>
      </w:r>
      <w:r w:rsidRPr="00126332">
        <w:rPr>
          <w:rFonts w:ascii="Calibri" w:hAnsi="Calibri" w:cs="Calibri"/>
          <w:color w:val="000000"/>
          <w:sz w:val="22"/>
          <w:szCs w:val="22"/>
        </w:rPr>
        <w:t xml:space="preserve">CT) </w:t>
      </w:r>
      <w:r w:rsidRPr="00126332">
        <w:rPr>
          <w:rFonts w:ascii="Calibri" w:hAnsi="Calibri" w:cs="Calibri"/>
          <w:sz w:val="22"/>
          <w:szCs w:val="22"/>
        </w:rPr>
        <w:t xml:space="preserve">is the imaging modality with the highest sensitivity at low PSA levels and may help in distinguishing patients with recurrences confined to the prostatic fossa from those with distant metastases, which may impact the design </w:t>
      </w:r>
      <w:r w:rsidRPr="00126332">
        <w:rPr>
          <w:rFonts w:ascii="Calibri" w:hAnsi="Calibri" w:cs="Calibri"/>
          <w:color w:val="000000"/>
          <w:sz w:val="22"/>
          <w:szCs w:val="22"/>
        </w:rPr>
        <w:t xml:space="preserve">and </w:t>
      </w:r>
      <w:r w:rsidRPr="00126332">
        <w:rPr>
          <w:rFonts w:ascii="Calibri" w:hAnsi="Calibri" w:cs="Calibri"/>
          <w:sz w:val="22"/>
          <w:szCs w:val="22"/>
        </w:rPr>
        <w:t xml:space="preserve">use of post-RP salvage RT (SRT) </w:t>
      </w:r>
      <w:r w:rsidRPr="00126332">
        <w:rPr>
          <w:rFonts w:ascii="Calibri" w:hAnsi="Calibri" w:cs="Calibri"/>
          <w:color w:val="007FAD"/>
          <w:sz w:val="22"/>
          <w:szCs w:val="22"/>
        </w:rPr>
        <w:t>[10–12]</w:t>
      </w:r>
      <w:r w:rsidRPr="00126332">
        <w:rPr>
          <w:rFonts w:ascii="Calibri" w:hAnsi="Calibri" w:cs="Calibri"/>
          <w:sz w:val="22"/>
          <w:szCs w:val="22"/>
        </w:rPr>
        <w:t xml:space="preserve">. Magnetic resonance imaging (MRI) after RT has shown excellent results in detecting local recurrences and guiding prostate </w:t>
      </w:r>
      <w:r w:rsidRPr="00126332">
        <w:rPr>
          <w:rFonts w:ascii="Calibri" w:hAnsi="Calibri" w:cs="Calibri"/>
          <w:color w:val="000000"/>
          <w:sz w:val="22"/>
          <w:szCs w:val="22"/>
        </w:rPr>
        <w:t xml:space="preserve">biopsy </w:t>
      </w:r>
      <w:r w:rsidRPr="00126332">
        <w:rPr>
          <w:rFonts w:ascii="Calibri" w:hAnsi="Calibri" w:cs="Calibri"/>
          <w:color w:val="007FAD"/>
          <w:sz w:val="22"/>
          <w:szCs w:val="22"/>
        </w:rPr>
        <w:t>[13–15]</w:t>
      </w:r>
      <w:r w:rsidRPr="00126332">
        <w:rPr>
          <w:rFonts w:ascii="Calibri" w:hAnsi="Calibri" w:cs="Calibri"/>
          <w:sz w:val="22"/>
          <w:szCs w:val="22"/>
        </w:rPr>
        <w:t xml:space="preserve">. Given the substantial morbidity of post-RT local salvage treatments, distant metastases must be ruled out in patients with local recurrences who are fit for these salvage therapies. Guidelines for imaging in patients with BCR are summarised in </w:t>
      </w:r>
      <w:r w:rsidRPr="00126332">
        <w:rPr>
          <w:rFonts w:ascii="Calibri" w:hAnsi="Calibri" w:cs="Calibri"/>
          <w:color w:val="007FAD"/>
          <w:sz w:val="22"/>
          <w:szCs w:val="22"/>
        </w:rPr>
        <w:t>Table 2</w:t>
      </w:r>
      <w:r w:rsidR="00242726">
        <w:rPr>
          <w:rFonts w:ascii="Calibri" w:hAnsi="Calibri" w:cs="Calibri"/>
          <w:sz w:val="22"/>
          <w:szCs w:val="22"/>
        </w:rPr>
        <w:t>.</w:t>
      </w:r>
    </w:p>
    <w:p w14:paraId="1669FC85" w14:textId="77777777" w:rsidR="000337C9" w:rsidRPr="000337C9" w:rsidRDefault="000337C9" w:rsidP="000337C9">
      <w:pPr>
        <w:autoSpaceDE w:val="0"/>
        <w:autoSpaceDN w:val="0"/>
        <w:adjustRightInd w:val="0"/>
        <w:spacing w:line="276" w:lineRule="auto"/>
        <w:rPr>
          <w:rFonts w:ascii="Calibri" w:eastAsia="Calibri" w:hAnsi="Calibri" w:cs="Calibri"/>
          <w:i/>
          <w:iCs/>
          <w:color w:val="000000"/>
          <w:sz w:val="22"/>
          <w:szCs w:val="22"/>
        </w:rPr>
      </w:pPr>
      <w:r w:rsidRPr="000337C9">
        <w:rPr>
          <w:rFonts w:ascii="Calibri" w:eastAsia="Calibri" w:hAnsi="Calibri" w:cs="Calibri"/>
          <w:b/>
          <w:bCs/>
          <w:i/>
          <w:iCs/>
          <w:color w:val="000000"/>
          <w:sz w:val="22"/>
          <w:szCs w:val="22"/>
        </w:rPr>
        <w:t>Table 2.</w:t>
      </w:r>
      <w:r w:rsidRPr="000337C9">
        <w:rPr>
          <w:rFonts w:ascii="Calibri" w:eastAsia="Calibri" w:hAnsi="Calibri" w:cs="Calibri"/>
          <w:i/>
          <w:iCs/>
          <w:color w:val="000000"/>
          <w:sz w:val="22"/>
          <w:szCs w:val="22"/>
        </w:rPr>
        <w:t xml:space="preserve"> Summary of evidence and guidelines for imaging in patients with biochemical recurrence</w:t>
      </w:r>
    </w:p>
    <w:p w14:paraId="7B09313C" w14:textId="77777777" w:rsidR="000337C9" w:rsidRPr="000337C9" w:rsidRDefault="000337C9" w:rsidP="000337C9">
      <w:pPr>
        <w:autoSpaceDE w:val="0"/>
        <w:autoSpaceDN w:val="0"/>
        <w:adjustRightInd w:val="0"/>
        <w:spacing w:line="276" w:lineRule="auto"/>
        <w:rPr>
          <w:rFonts w:ascii="Calibri" w:eastAsia="Calibri" w:hAnsi="Calibri" w:cs="Calibri"/>
          <w:i/>
          <w:iCs/>
          <w:color w:val="000000"/>
          <w:sz w:val="22"/>
          <w:szCs w:val="22"/>
        </w:rPr>
      </w:pPr>
    </w:p>
    <w:tbl>
      <w:tblPr>
        <w:tblStyle w:val="TableGrid41"/>
        <w:tblW w:w="0" w:type="auto"/>
        <w:tblLook w:val="04A0" w:firstRow="1" w:lastRow="0" w:firstColumn="1" w:lastColumn="0" w:noHBand="0" w:noVBand="1"/>
      </w:tblPr>
      <w:tblGrid>
        <w:gridCol w:w="7405"/>
        <w:gridCol w:w="1611"/>
      </w:tblGrid>
      <w:tr w:rsidR="000337C9" w:rsidRPr="000337C9" w14:paraId="432921E4" w14:textId="77777777" w:rsidTr="00242726">
        <w:tc>
          <w:tcPr>
            <w:tcW w:w="7405" w:type="dxa"/>
            <w:shd w:val="clear" w:color="auto" w:fill="DBE5F1"/>
          </w:tcPr>
          <w:p w14:paraId="2AB2D078" w14:textId="77777777" w:rsidR="000337C9" w:rsidRPr="000337C9" w:rsidRDefault="000337C9" w:rsidP="000337C9">
            <w:pPr>
              <w:autoSpaceDE w:val="0"/>
              <w:autoSpaceDN w:val="0"/>
              <w:adjustRightInd w:val="0"/>
              <w:spacing w:line="276" w:lineRule="auto"/>
              <w:rPr>
                <w:rFonts w:ascii="Calibri" w:eastAsia="Calibri" w:hAnsi="Calibri" w:cs="Calibri"/>
                <w:b/>
                <w:bCs/>
                <w:color w:val="000000"/>
                <w:sz w:val="22"/>
                <w:szCs w:val="22"/>
              </w:rPr>
            </w:pPr>
            <w:r w:rsidRPr="000337C9">
              <w:rPr>
                <w:rFonts w:ascii="Calibri" w:eastAsia="Calibri" w:hAnsi="Calibri" w:cs="Calibri"/>
                <w:b/>
                <w:bCs/>
                <w:color w:val="000000"/>
                <w:sz w:val="22"/>
                <w:szCs w:val="22"/>
              </w:rPr>
              <w:t xml:space="preserve">Recommendations </w:t>
            </w:r>
          </w:p>
        </w:tc>
        <w:tc>
          <w:tcPr>
            <w:tcW w:w="1611" w:type="dxa"/>
            <w:shd w:val="clear" w:color="auto" w:fill="DBE5F1"/>
          </w:tcPr>
          <w:p w14:paraId="28F4673C" w14:textId="77777777" w:rsidR="000337C9" w:rsidRPr="000337C9" w:rsidRDefault="000337C9" w:rsidP="000337C9">
            <w:pPr>
              <w:autoSpaceDE w:val="0"/>
              <w:autoSpaceDN w:val="0"/>
              <w:adjustRightInd w:val="0"/>
              <w:spacing w:line="276" w:lineRule="auto"/>
              <w:rPr>
                <w:rFonts w:ascii="Calibri" w:eastAsia="Calibri" w:hAnsi="Calibri" w:cs="Calibri"/>
                <w:b/>
                <w:bCs/>
                <w:color w:val="000000"/>
                <w:sz w:val="22"/>
                <w:szCs w:val="22"/>
              </w:rPr>
            </w:pPr>
            <w:r w:rsidRPr="000337C9">
              <w:rPr>
                <w:rFonts w:ascii="Calibri" w:eastAsia="Calibri" w:hAnsi="Calibri" w:cs="Calibri"/>
                <w:b/>
                <w:bCs/>
                <w:color w:val="000000"/>
                <w:sz w:val="22"/>
                <w:szCs w:val="22"/>
              </w:rPr>
              <w:t>Strength rating</w:t>
            </w:r>
          </w:p>
        </w:tc>
      </w:tr>
      <w:tr w:rsidR="000337C9" w:rsidRPr="000337C9" w14:paraId="2FD673A3" w14:textId="77777777" w:rsidTr="00242726">
        <w:tc>
          <w:tcPr>
            <w:tcW w:w="9016" w:type="dxa"/>
            <w:gridSpan w:val="2"/>
            <w:shd w:val="clear" w:color="auto" w:fill="DBE5F1"/>
          </w:tcPr>
          <w:p w14:paraId="1C061168" w14:textId="77777777" w:rsidR="000337C9" w:rsidRPr="000337C9" w:rsidRDefault="000337C9" w:rsidP="000337C9">
            <w:pPr>
              <w:autoSpaceDE w:val="0"/>
              <w:autoSpaceDN w:val="0"/>
              <w:adjustRightInd w:val="0"/>
              <w:spacing w:line="276" w:lineRule="auto"/>
              <w:rPr>
                <w:rFonts w:ascii="Calibri" w:eastAsia="Calibri" w:hAnsi="Calibri" w:cs="Calibri"/>
                <w:b/>
                <w:bCs/>
                <w:i/>
                <w:iCs/>
                <w:color w:val="000000"/>
                <w:sz w:val="22"/>
                <w:szCs w:val="22"/>
              </w:rPr>
            </w:pPr>
            <w:r w:rsidRPr="000337C9">
              <w:rPr>
                <w:rFonts w:ascii="Calibri" w:eastAsia="Calibri" w:hAnsi="Calibri" w:cs="Calibri"/>
                <w:b/>
                <w:bCs/>
                <w:i/>
                <w:iCs/>
                <w:color w:val="000000"/>
                <w:sz w:val="22"/>
                <w:szCs w:val="22"/>
              </w:rPr>
              <w:t>Prostate-specific antigen (PSA) recurrence after radical prostatectomy</w:t>
            </w:r>
          </w:p>
        </w:tc>
      </w:tr>
      <w:tr w:rsidR="000337C9" w:rsidRPr="000337C9" w14:paraId="2941F6AB" w14:textId="77777777" w:rsidTr="00242726">
        <w:tc>
          <w:tcPr>
            <w:tcW w:w="7405" w:type="dxa"/>
            <w:shd w:val="clear" w:color="auto" w:fill="DBE5F1"/>
          </w:tcPr>
          <w:p w14:paraId="511EF82D" w14:textId="77777777" w:rsidR="000337C9" w:rsidRPr="000337C9" w:rsidRDefault="000337C9" w:rsidP="000337C9">
            <w:pPr>
              <w:autoSpaceDE w:val="0"/>
              <w:autoSpaceDN w:val="0"/>
              <w:adjustRightInd w:val="0"/>
              <w:spacing w:line="276" w:lineRule="auto"/>
              <w:rPr>
                <w:rFonts w:ascii="Calibri" w:eastAsia="Calibri" w:hAnsi="Calibri" w:cs="Calibri"/>
                <w:color w:val="000000"/>
                <w:sz w:val="22"/>
                <w:szCs w:val="22"/>
              </w:rPr>
            </w:pPr>
            <w:r w:rsidRPr="000337C9">
              <w:rPr>
                <w:rFonts w:ascii="Calibri" w:eastAsia="Calibri" w:hAnsi="Calibri" w:cs="Calibri"/>
                <w:color w:val="000000"/>
                <w:sz w:val="22"/>
                <w:szCs w:val="22"/>
              </w:rPr>
              <w:t>Perform prostate-specific membrane antigen (PSMA) positron emission tomography/computed tomography (PET/CT) if the PSA level is &gt; 0.2 ng/mL and if the results will influence subsequent treatment decisions (EAU BCR risk groups).</w:t>
            </w:r>
          </w:p>
        </w:tc>
        <w:tc>
          <w:tcPr>
            <w:tcW w:w="1611" w:type="dxa"/>
            <w:shd w:val="clear" w:color="auto" w:fill="DBE5F1"/>
          </w:tcPr>
          <w:p w14:paraId="2C23A686" w14:textId="77777777" w:rsidR="000337C9" w:rsidRPr="000337C9" w:rsidRDefault="000337C9" w:rsidP="000337C9">
            <w:pPr>
              <w:autoSpaceDE w:val="0"/>
              <w:autoSpaceDN w:val="0"/>
              <w:adjustRightInd w:val="0"/>
              <w:spacing w:line="276" w:lineRule="auto"/>
              <w:rPr>
                <w:rFonts w:ascii="Calibri" w:eastAsia="Calibri" w:hAnsi="Calibri" w:cs="Calibri"/>
                <w:color w:val="000000"/>
                <w:sz w:val="22"/>
                <w:szCs w:val="22"/>
              </w:rPr>
            </w:pPr>
            <w:r w:rsidRPr="000337C9">
              <w:rPr>
                <w:rFonts w:ascii="Calibri" w:eastAsia="Calibri" w:hAnsi="Calibri" w:cs="Calibri"/>
                <w:color w:val="000000"/>
                <w:sz w:val="22"/>
                <w:szCs w:val="22"/>
              </w:rPr>
              <w:t>Weak</w:t>
            </w:r>
          </w:p>
          <w:p w14:paraId="6EB823CA" w14:textId="77777777" w:rsidR="000337C9" w:rsidRPr="000337C9" w:rsidRDefault="000337C9" w:rsidP="000337C9">
            <w:pPr>
              <w:autoSpaceDE w:val="0"/>
              <w:autoSpaceDN w:val="0"/>
              <w:adjustRightInd w:val="0"/>
              <w:spacing w:line="276" w:lineRule="auto"/>
              <w:rPr>
                <w:rFonts w:ascii="Calibri" w:eastAsia="Calibri" w:hAnsi="Calibri" w:cs="Calibri"/>
                <w:b/>
                <w:bCs/>
                <w:color w:val="000000"/>
                <w:sz w:val="22"/>
                <w:szCs w:val="22"/>
              </w:rPr>
            </w:pPr>
          </w:p>
        </w:tc>
      </w:tr>
      <w:tr w:rsidR="000337C9" w:rsidRPr="000337C9" w14:paraId="3DF16902" w14:textId="77777777" w:rsidTr="00242726">
        <w:tc>
          <w:tcPr>
            <w:tcW w:w="7405" w:type="dxa"/>
            <w:shd w:val="clear" w:color="auto" w:fill="DBE5F1"/>
          </w:tcPr>
          <w:p w14:paraId="62A0C261" w14:textId="77777777" w:rsidR="000337C9" w:rsidRPr="000337C9" w:rsidRDefault="000337C9" w:rsidP="000337C9">
            <w:pPr>
              <w:autoSpaceDE w:val="0"/>
              <w:autoSpaceDN w:val="0"/>
              <w:adjustRightInd w:val="0"/>
              <w:spacing w:line="276" w:lineRule="auto"/>
              <w:rPr>
                <w:rFonts w:ascii="Calibri" w:eastAsia="Calibri" w:hAnsi="Calibri" w:cs="Calibri"/>
                <w:color w:val="000000"/>
                <w:sz w:val="22"/>
                <w:szCs w:val="22"/>
              </w:rPr>
            </w:pPr>
            <w:r w:rsidRPr="000337C9">
              <w:rPr>
                <w:rFonts w:ascii="Calibri" w:eastAsia="Calibri" w:hAnsi="Calibri" w:cs="Calibri"/>
                <w:color w:val="000000"/>
                <w:sz w:val="22"/>
                <w:szCs w:val="22"/>
              </w:rPr>
              <w:t>In case PSMA PET/CT is not available, and the PSA level is ≥ 1 ng/mL, perform fluciclovine PET/CT or choline PET/CT imaging if the results will influence subsequent treatment decisions.</w:t>
            </w:r>
          </w:p>
        </w:tc>
        <w:tc>
          <w:tcPr>
            <w:tcW w:w="1611" w:type="dxa"/>
            <w:shd w:val="clear" w:color="auto" w:fill="DBE5F1"/>
          </w:tcPr>
          <w:p w14:paraId="4C4DEF49" w14:textId="77777777" w:rsidR="000337C9" w:rsidRPr="000337C9" w:rsidRDefault="000337C9" w:rsidP="000337C9">
            <w:pPr>
              <w:autoSpaceDE w:val="0"/>
              <w:autoSpaceDN w:val="0"/>
              <w:adjustRightInd w:val="0"/>
              <w:spacing w:line="276" w:lineRule="auto"/>
              <w:rPr>
                <w:rFonts w:ascii="Calibri" w:eastAsia="Calibri" w:hAnsi="Calibri" w:cs="Calibri"/>
                <w:color w:val="000000"/>
                <w:sz w:val="22"/>
                <w:szCs w:val="22"/>
              </w:rPr>
            </w:pPr>
            <w:r w:rsidRPr="000337C9">
              <w:rPr>
                <w:rFonts w:ascii="Calibri" w:eastAsia="Calibri" w:hAnsi="Calibri" w:cs="Calibri"/>
                <w:color w:val="000000"/>
                <w:sz w:val="22"/>
                <w:szCs w:val="22"/>
              </w:rPr>
              <w:t>Weak</w:t>
            </w:r>
          </w:p>
          <w:p w14:paraId="64E19A82" w14:textId="77777777" w:rsidR="000337C9" w:rsidRPr="000337C9" w:rsidRDefault="000337C9" w:rsidP="000337C9">
            <w:pPr>
              <w:autoSpaceDE w:val="0"/>
              <w:autoSpaceDN w:val="0"/>
              <w:adjustRightInd w:val="0"/>
              <w:spacing w:line="276" w:lineRule="auto"/>
              <w:rPr>
                <w:rFonts w:ascii="Calibri" w:eastAsia="Calibri" w:hAnsi="Calibri" w:cs="Calibri"/>
                <w:b/>
                <w:bCs/>
                <w:color w:val="000000"/>
                <w:sz w:val="22"/>
                <w:szCs w:val="22"/>
              </w:rPr>
            </w:pPr>
          </w:p>
        </w:tc>
      </w:tr>
      <w:tr w:rsidR="000337C9" w:rsidRPr="000337C9" w14:paraId="170546B2" w14:textId="77777777" w:rsidTr="00242726">
        <w:tc>
          <w:tcPr>
            <w:tcW w:w="9016" w:type="dxa"/>
            <w:gridSpan w:val="2"/>
            <w:shd w:val="clear" w:color="auto" w:fill="DBE5F1"/>
          </w:tcPr>
          <w:p w14:paraId="71564E43" w14:textId="77777777" w:rsidR="000337C9" w:rsidRPr="000337C9" w:rsidRDefault="000337C9" w:rsidP="000337C9">
            <w:pPr>
              <w:autoSpaceDE w:val="0"/>
              <w:autoSpaceDN w:val="0"/>
              <w:adjustRightInd w:val="0"/>
              <w:spacing w:line="276" w:lineRule="auto"/>
              <w:rPr>
                <w:rFonts w:ascii="Calibri" w:eastAsia="Calibri" w:hAnsi="Calibri" w:cs="Calibri"/>
                <w:b/>
                <w:bCs/>
                <w:i/>
                <w:iCs/>
                <w:color w:val="000000"/>
                <w:sz w:val="22"/>
                <w:szCs w:val="22"/>
              </w:rPr>
            </w:pPr>
            <w:r w:rsidRPr="000337C9">
              <w:rPr>
                <w:rFonts w:ascii="Calibri" w:eastAsia="Calibri" w:hAnsi="Calibri" w:cs="Calibri"/>
                <w:b/>
                <w:bCs/>
                <w:i/>
                <w:iCs/>
                <w:color w:val="000000"/>
                <w:sz w:val="22"/>
                <w:szCs w:val="22"/>
              </w:rPr>
              <w:t>PSA recurrence after radiotherapy</w:t>
            </w:r>
          </w:p>
        </w:tc>
      </w:tr>
      <w:tr w:rsidR="000337C9" w:rsidRPr="000337C9" w14:paraId="0C466F49" w14:textId="77777777" w:rsidTr="00242726">
        <w:tc>
          <w:tcPr>
            <w:tcW w:w="7405" w:type="dxa"/>
            <w:shd w:val="clear" w:color="auto" w:fill="DBE5F1"/>
          </w:tcPr>
          <w:p w14:paraId="4075D2EF" w14:textId="77777777" w:rsidR="000337C9" w:rsidRPr="000337C9" w:rsidRDefault="000337C9" w:rsidP="000337C9">
            <w:pPr>
              <w:autoSpaceDE w:val="0"/>
              <w:autoSpaceDN w:val="0"/>
              <w:adjustRightInd w:val="0"/>
              <w:spacing w:line="276" w:lineRule="auto"/>
              <w:rPr>
                <w:rFonts w:ascii="Calibri" w:eastAsia="Calibri" w:hAnsi="Calibri" w:cs="Calibri"/>
                <w:color w:val="000000"/>
                <w:sz w:val="22"/>
                <w:szCs w:val="22"/>
              </w:rPr>
            </w:pPr>
            <w:r w:rsidRPr="000337C9">
              <w:rPr>
                <w:rFonts w:ascii="Calibri" w:eastAsia="Calibri" w:hAnsi="Calibri" w:cs="Calibri"/>
                <w:color w:val="000000"/>
                <w:sz w:val="22"/>
                <w:szCs w:val="22"/>
              </w:rPr>
              <w:t>Perform prostate magnetic resonance imaging to localise abnormal areas and guide biopsies in patients fit for local salvage therapy.</w:t>
            </w:r>
          </w:p>
        </w:tc>
        <w:tc>
          <w:tcPr>
            <w:tcW w:w="1611" w:type="dxa"/>
            <w:shd w:val="clear" w:color="auto" w:fill="DBE5F1"/>
          </w:tcPr>
          <w:p w14:paraId="032A047A" w14:textId="77777777" w:rsidR="000337C9" w:rsidRPr="000337C9" w:rsidRDefault="000337C9" w:rsidP="000337C9">
            <w:pPr>
              <w:autoSpaceDE w:val="0"/>
              <w:autoSpaceDN w:val="0"/>
              <w:adjustRightInd w:val="0"/>
              <w:spacing w:line="276" w:lineRule="auto"/>
              <w:rPr>
                <w:rFonts w:ascii="Calibri" w:eastAsia="Calibri" w:hAnsi="Calibri" w:cs="Calibri"/>
                <w:color w:val="000000"/>
                <w:sz w:val="22"/>
                <w:szCs w:val="22"/>
              </w:rPr>
            </w:pPr>
            <w:r w:rsidRPr="000337C9">
              <w:rPr>
                <w:rFonts w:ascii="Calibri" w:eastAsia="Calibri" w:hAnsi="Calibri" w:cs="Calibri"/>
                <w:color w:val="000000"/>
                <w:sz w:val="22"/>
                <w:szCs w:val="22"/>
              </w:rPr>
              <w:t>Weak</w:t>
            </w:r>
          </w:p>
          <w:p w14:paraId="7DFA7423" w14:textId="77777777" w:rsidR="000337C9" w:rsidRPr="000337C9" w:rsidRDefault="000337C9" w:rsidP="000337C9">
            <w:pPr>
              <w:autoSpaceDE w:val="0"/>
              <w:autoSpaceDN w:val="0"/>
              <w:adjustRightInd w:val="0"/>
              <w:spacing w:line="276" w:lineRule="auto"/>
              <w:rPr>
                <w:rFonts w:ascii="Calibri" w:eastAsia="Calibri" w:hAnsi="Calibri" w:cs="Calibri"/>
                <w:b/>
                <w:bCs/>
                <w:color w:val="000000"/>
                <w:sz w:val="22"/>
                <w:szCs w:val="22"/>
              </w:rPr>
            </w:pPr>
          </w:p>
        </w:tc>
      </w:tr>
      <w:tr w:rsidR="000337C9" w:rsidRPr="000337C9" w14:paraId="0FF2EBF8" w14:textId="77777777" w:rsidTr="00242726">
        <w:tc>
          <w:tcPr>
            <w:tcW w:w="7405" w:type="dxa"/>
            <w:shd w:val="clear" w:color="auto" w:fill="DBE5F1"/>
          </w:tcPr>
          <w:p w14:paraId="052804C9" w14:textId="77777777" w:rsidR="000337C9" w:rsidRPr="000337C9" w:rsidRDefault="000337C9" w:rsidP="000337C9">
            <w:pPr>
              <w:autoSpaceDE w:val="0"/>
              <w:autoSpaceDN w:val="0"/>
              <w:adjustRightInd w:val="0"/>
              <w:spacing w:line="276" w:lineRule="auto"/>
              <w:rPr>
                <w:rFonts w:ascii="Calibri" w:eastAsia="Calibri" w:hAnsi="Calibri" w:cs="Calibri"/>
                <w:color w:val="000000"/>
                <w:sz w:val="22"/>
                <w:szCs w:val="22"/>
              </w:rPr>
            </w:pPr>
            <w:r w:rsidRPr="000337C9">
              <w:rPr>
                <w:rFonts w:ascii="Calibri" w:eastAsia="Calibri" w:hAnsi="Calibri" w:cs="Calibri"/>
                <w:color w:val="000000"/>
                <w:sz w:val="22"/>
                <w:szCs w:val="22"/>
              </w:rPr>
              <w:lastRenderedPageBreak/>
              <w:t xml:space="preserve">Perform PSMA PET/CT (if available) or fluciclovine PET/CT or choline PET/CT in patients fit for curative salvage treatment. </w:t>
            </w:r>
          </w:p>
        </w:tc>
        <w:tc>
          <w:tcPr>
            <w:tcW w:w="1611" w:type="dxa"/>
            <w:shd w:val="clear" w:color="auto" w:fill="DBE5F1"/>
          </w:tcPr>
          <w:p w14:paraId="6B4C4E83" w14:textId="77777777" w:rsidR="000337C9" w:rsidRPr="000337C9" w:rsidRDefault="000337C9" w:rsidP="000337C9">
            <w:pPr>
              <w:autoSpaceDE w:val="0"/>
              <w:autoSpaceDN w:val="0"/>
              <w:adjustRightInd w:val="0"/>
              <w:spacing w:line="276" w:lineRule="auto"/>
              <w:rPr>
                <w:rFonts w:ascii="Calibri" w:eastAsia="Calibri" w:hAnsi="Calibri" w:cs="Calibri"/>
                <w:color w:val="000000"/>
                <w:sz w:val="22"/>
                <w:szCs w:val="22"/>
              </w:rPr>
            </w:pPr>
            <w:r w:rsidRPr="000337C9">
              <w:rPr>
                <w:rFonts w:ascii="Calibri" w:eastAsia="Calibri" w:hAnsi="Calibri" w:cs="Calibri"/>
                <w:color w:val="000000"/>
                <w:sz w:val="22"/>
                <w:szCs w:val="22"/>
              </w:rPr>
              <w:t>Strong</w:t>
            </w:r>
          </w:p>
          <w:p w14:paraId="696CD9F8" w14:textId="77777777" w:rsidR="000337C9" w:rsidRPr="000337C9" w:rsidRDefault="000337C9" w:rsidP="000337C9">
            <w:pPr>
              <w:autoSpaceDE w:val="0"/>
              <w:autoSpaceDN w:val="0"/>
              <w:adjustRightInd w:val="0"/>
              <w:spacing w:line="276" w:lineRule="auto"/>
              <w:rPr>
                <w:rFonts w:ascii="Calibri" w:eastAsia="Calibri" w:hAnsi="Calibri" w:cs="Calibri"/>
                <w:b/>
                <w:bCs/>
                <w:color w:val="000000"/>
                <w:sz w:val="22"/>
                <w:szCs w:val="22"/>
              </w:rPr>
            </w:pPr>
          </w:p>
        </w:tc>
      </w:tr>
    </w:tbl>
    <w:p w14:paraId="755339A5" w14:textId="49545CEA" w:rsidR="000337C9" w:rsidRPr="00242726" w:rsidRDefault="00242726" w:rsidP="00242726">
      <w:pPr>
        <w:autoSpaceDE w:val="0"/>
        <w:autoSpaceDN w:val="0"/>
        <w:adjustRightInd w:val="0"/>
        <w:spacing w:line="276" w:lineRule="auto"/>
        <w:jc w:val="both"/>
        <w:rPr>
          <w:rFonts w:ascii="Calibri" w:eastAsia="HelveticaNeue-Roman" w:hAnsi="Calibri" w:cs="Calibri"/>
          <w:i/>
          <w:color w:val="000000"/>
          <w:sz w:val="22"/>
          <w:szCs w:val="22"/>
        </w:rPr>
      </w:pPr>
      <w:r w:rsidRPr="00242726">
        <w:rPr>
          <w:rFonts w:ascii="Calibri" w:eastAsia="HelveticaNeue-Roman" w:hAnsi="Calibri" w:cs="Calibri"/>
          <w:i/>
          <w:color w:val="000000"/>
          <w:sz w:val="22"/>
          <w:szCs w:val="22"/>
        </w:rPr>
        <w:t>BCR = biochemical recurrence; CT = computed tomography; EAU = European Association of Urology; PET = positron emission tomography; PSMA = prostate-specific membrane antigen; PSA = prostate-specific antigen.</w:t>
      </w:r>
    </w:p>
    <w:p w14:paraId="14D763C2" w14:textId="77777777" w:rsidR="000337C9" w:rsidRPr="000337C9" w:rsidRDefault="000337C9" w:rsidP="000337C9">
      <w:pPr>
        <w:spacing w:line="276" w:lineRule="auto"/>
        <w:rPr>
          <w:rFonts w:ascii="Calibri" w:hAnsi="Calibri" w:cs="Calibri"/>
          <w:i/>
          <w:iCs/>
          <w:color w:val="000000"/>
          <w:sz w:val="22"/>
          <w:szCs w:val="22"/>
        </w:rPr>
      </w:pPr>
    </w:p>
    <w:p w14:paraId="261AC3D9" w14:textId="11A79463" w:rsidR="000337C9" w:rsidRDefault="000337C9" w:rsidP="00126332">
      <w:pPr>
        <w:pStyle w:val="ListParagraph"/>
        <w:numPr>
          <w:ilvl w:val="2"/>
          <w:numId w:val="3"/>
        </w:numPr>
        <w:spacing w:line="276" w:lineRule="auto"/>
        <w:rPr>
          <w:rFonts w:ascii="Calibri" w:hAnsi="Calibri" w:cs="Calibri"/>
          <w:i/>
          <w:iCs/>
          <w:color w:val="000000"/>
          <w:sz w:val="22"/>
          <w:szCs w:val="22"/>
        </w:rPr>
      </w:pPr>
      <w:r w:rsidRPr="00126332">
        <w:rPr>
          <w:rFonts w:ascii="Calibri" w:hAnsi="Calibri" w:cs="Calibri"/>
          <w:i/>
          <w:iCs/>
          <w:color w:val="000000"/>
          <w:sz w:val="22"/>
          <w:szCs w:val="22"/>
        </w:rPr>
        <w:t>Treatment of PSA-only recurrences after radical prostatectomy</w:t>
      </w:r>
    </w:p>
    <w:p w14:paraId="64F45010" w14:textId="77777777" w:rsidR="00B83C6E" w:rsidRDefault="00B83C6E" w:rsidP="00B83C6E">
      <w:pPr>
        <w:pStyle w:val="ListParagraph"/>
        <w:spacing w:line="276" w:lineRule="auto"/>
        <w:ind w:left="1800"/>
        <w:rPr>
          <w:rFonts w:ascii="Calibri" w:hAnsi="Calibri" w:cs="Calibri"/>
          <w:i/>
          <w:iCs/>
          <w:color w:val="000000"/>
          <w:sz w:val="22"/>
          <w:szCs w:val="22"/>
        </w:rPr>
      </w:pPr>
    </w:p>
    <w:p w14:paraId="2B5CBB2C" w14:textId="77777777" w:rsidR="00B83C6E" w:rsidRDefault="00B83C6E" w:rsidP="00B83C6E">
      <w:pPr>
        <w:spacing w:line="276" w:lineRule="auto"/>
        <w:rPr>
          <w:rFonts w:ascii="Calibri" w:hAnsi="Calibri" w:cs="Calibri"/>
          <w:iCs/>
          <w:color w:val="000000"/>
          <w:sz w:val="22"/>
          <w:szCs w:val="22"/>
        </w:rPr>
      </w:pPr>
      <w:r w:rsidRPr="00B83C6E">
        <w:rPr>
          <w:rFonts w:ascii="Calibri" w:hAnsi="Calibri" w:cs="Calibri"/>
          <w:iCs/>
          <w:color w:val="000000"/>
          <w:sz w:val="22"/>
          <w:szCs w:val="22"/>
        </w:rPr>
        <w:t>Early SRT provides the possibility of cure for patients with increasing PSA after RP. The RADICALS, RAVES, and GETUG-AFU 17 trials reported 5-yr biochemical progression–free survival rates of 88%, 87%, and 90%, respectively, for post-RP patients</w:t>
      </w:r>
      <w:r>
        <w:rPr>
          <w:rFonts w:ascii="Calibri" w:hAnsi="Calibri" w:cs="Calibri"/>
          <w:iCs/>
          <w:color w:val="000000"/>
          <w:sz w:val="22"/>
          <w:szCs w:val="22"/>
        </w:rPr>
        <w:t xml:space="preserve"> in the SRT group [16–18]. In a </w:t>
      </w:r>
      <w:r w:rsidRPr="00B83C6E">
        <w:rPr>
          <w:rFonts w:ascii="Calibri" w:hAnsi="Calibri" w:cs="Calibri"/>
          <w:iCs/>
          <w:color w:val="000000"/>
          <w:sz w:val="22"/>
          <w:szCs w:val="22"/>
        </w:rPr>
        <w:t>matched-pair analysis of 1832 patients with BCR (603 received SRT without androgen deprivation therapy [ADT], 1229 had an observational strategy), metastasis-free survival (MFS) and overa</w:t>
      </w:r>
      <w:r>
        <w:rPr>
          <w:rFonts w:ascii="Calibri" w:hAnsi="Calibri" w:cs="Calibri"/>
          <w:iCs/>
          <w:color w:val="000000"/>
          <w:sz w:val="22"/>
          <w:szCs w:val="22"/>
        </w:rPr>
        <w:t xml:space="preserve">ll survival (OS) rates at 15 yr </w:t>
      </w:r>
      <w:r w:rsidRPr="00B83C6E">
        <w:rPr>
          <w:rFonts w:ascii="Calibri" w:hAnsi="Calibri" w:cs="Calibri"/>
          <w:iCs/>
          <w:color w:val="000000"/>
          <w:sz w:val="22"/>
          <w:szCs w:val="22"/>
        </w:rPr>
        <w:t>after RP were 84.3% versus 76</w:t>
      </w:r>
      <w:r>
        <w:rPr>
          <w:rFonts w:ascii="Calibri" w:hAnsi="Calibri" w:cs="Calibri"/>
          <w:iCs/>
          <w:color w:val="000000"/>
          <w:sz w:val="22"/>
          <w:szCs w:val="22"/>
        </w:rPr>
        <w:t xml:space="preserve">.9%, and 85.3% versus 74.4% for </w:t>
      </w:r>
      <w:r w:rsidRPr="00B83C6E">
        <w:rPr>
          <w:rFonts w:ascii="Calibri" w:hAnsi="Calibri" w:cs="Calibri"/>
          <w:iCs/>
          <w:color w:val="000000"/>
          <w:sz w:val="22"/>
          <w:szCs w:val="22"/>
        </w:rPr>
        <w:t>SRT versus no SRT, respecti</w:t>
      </w:r>
      <w:r>
        <w:rPr>
          <w:rFonts w:ascii="Calibri" w:hAnsi="Calibri" w:cs="Calibri"/>
          <w:iCs/>
          <w:color w:val="000000"/>
          <w:sz w:val="22"/>
          <w:szCs w:val="22"/>
        </w:rPr>
        <w:t xml:space="preserve">vely [19]. The PSA level at BCR </w:t>
      </w:r>
      <w:r w:rsidRPr="00B83C6E">
        <w:rPr>
          <w:rFonts w:ascii="Calibri" w:hAnsi="Calibri" w:cs="Calibri"/>
          <w:iCs/>
          <w:color w:val="000000"/>
          <w:sz w:val="22"/>
          <w:szCs w:val="22"/>
        </w:rPr>
        <w:t xml:space="preserve">was prognostic [20]. In a </w:t>
      </w:r>
      <w:r>
        <w:rPr>
          <w:rFonts w:ascii="Calibri" w:hAnsi="Calibri" w:cs="Calibri"/>
          <w:iCs/>
          <w:color w:val="000000"/>
          <w:sz w:val="22"/>
          <w:szCs w:val="22"/>
        </w:rPr>
        <w:t>retrospective multicentre study that included 25,</w:t>
      </w:r>
      <w:r w:rsidRPr="00B83C6E">
        <w:rPr>
          <w:rFonts w:ascii="Calibri" w:hAnsi="Calibri" w:cs="Calibri"/>
          <w:iCs/>
          <w:color w:val="000000"/>
          <w:sz w:val="22"/>
          <w:szCs w:val="22"/>
        </w:rPr>
        <w:t>551 pati</w:t>
      </w:r>
      <w:r>
        <w:rPr>
          <w:rFonts w:ascii="Calibri" w:hAnsi="Calibri" w:cs="Calibri"/>
          <w:iCs/>
          <w:color w:val="000000"/>
          <w:sz w:val="22"/>
          <w:szCs w:val="22"/>
        </w:rPr>
        <w:t xml:space="preserve">ents with at most one high-risk </w:t>
      </w:r>
      <w:r w:rsidRPr="00B83C6E">
        <w:rPr>
          <w:rFonts w:ascii="Calibri" w:hAnsi="Calibri" w:cs="Calibri"/>
          <w:iCs/>
          <w:color w:val="000000"/>
          <w:sz w:val="22"/>
          <w:szCs w:val="22"/>
        </w:rPr>
        <w:t>factor after RP (ISUP grade group 4–5 or pT3/4), SRT initiation at a PSA level &gt;0.25 ng/ml was associated wi</w:t>
      </w:r>
      <w:r>
        <w:rPr>
          <w:rFonts w:ascii="Calibri" w:hAnsi="Calibri" w:cs="Calibri"/>
          <w:iCs/>
          <w:color w:val="000000"/>
          <w:sz w:val="22"/>
          <w:szCs w:val="22"/>
        </w:rPr>
        <w:t xml:space="preserve">th greater </w:t>
      </w:r>
      <w:r w:rsidRPr="00B83C6E">
        <w:rPr>
          <w:rFonts w:ascii="Calibri" w:hAnsi="Calibri" w:cs="Calibri"/>
          <w:iCs/>
          <w:color w:val="000000"/>
          <w:sz w:val="22"/>
          <w:szCs w:val="22"/>
        </w:rPr>
        <w:t>risk of all-cause mortality (a</w:t>
      </w:r>
      <w:r>
        <w:rPr>
          <w:rFonts w:ascii="Calibri" w:hAnsi="Calibri" w:cs="Calibri"/>
          <w:iCs/>
          <w:color w:val="000000"/>
          <w:sz w:val="22"/>
          <w:szCs w:val="22"/>
        </w:rPr>
        <w:t xml:space="preserve">djusted hazard ratio [HR] 1.49, </w:t>
      </w:r>
      <w:r w:rsidRPr="00B83C6E">
        <w:rPr>
          <w:rFonts w:ascii="Calibri" w:hAnsi="Calibri" w:cs="Calibri"/>
          <w:iCs/>
          <w:color w:val="000000"/>
          <w:sz w:val="22"/>
          <w:szCs w:val="22"/>
        </w:rPr>
        <w:t>95% confidence interval [CI] 1.11–2.00; p = 0.008) in comparison to SRT initiation</w:t>
      </w:r>
      <w:r>
        <w:rPr>
          <w:rFonts w:ascii="Calibri" w:hAnsi="Calibri" w:cs="Calibri"/>
          <w:iCs/>
          <w:color w:val="000000"/>
          <w:sz w:val="22"/>
          <w:szCs w:val="22"/>
        </w:rPr>
        <w:t xml:space="preserve"> when PSA </w:t>
      </w:r>
      <w:proofErr w:type="gramStart"/>
      <w:r>
        <w:rPr>
          <w:rFonts w:ascii="Calibri" w:hAnsi="Calibri" w:cs="Calibri"/>
          <w:iCs/>
          <w:color w:val="000000"/>
          <w:sz w:val="22"/>
          <w:szCs w:val="22"/>
        </w:rPr>
        <w:t>was  0.25</w:t>
      </w:r>
      <w:proofErr w:type="gramEnd"/>
      <w:r>
        <w:rPr>
          <w:rFonts w:ascii="Calibri" w:hAnsi="Calibri" w:cs="Calibri"/>
          <w:iCs/>
          <w:color w:val="000000"/>
          <w:sz w:val="22"/>
          <w:szCs w:val="22"/>
        </w:rPr>
        <w:t xml:space="preserve"> mg/ml [21]. </w:t>
      </w:r>
    </w:p>
    <w:p w14:paraId="0FEF2409" w14:textId="6ADFEB8F" w:rsidR="00B83C6E" w:rsidRPr="00B83C6E" w:rsidRDefault="00B83C6E" w:rsidP="00B83C6E">
      <w:pPr>
        <w:spacing w:line="276" w:lineRule="auto"/>
        <w:rPr>
          <w:rFonts w:ascii="Calibri" w:hAnsi="Calibri" w:cs="Calibri"/>
          <w:iCs/>
          <w:color w:val="000000"/>
          <w:sz w:val="22"/>
          <w:szCs w:val="22"/>
        </w:rPr>
      </w:pPr>
      <w:r w:rsidRPr="00B83C6E">
        <w:rPr>
          <w:rFonts w:ascii="Calibri" w:hAnsi="Calibri" w:cs="Calibri"/>
          <w:iCs/>
          <w:color w:val="000000"/>
          <w:sz w:val="22"/>
          <w:szCs w:val="22"/>
        </w:rPr>
        <w:t xml:space="preserve">The EAU BCR risk definitions may be helpful for individualised treatment decisions. </w:t>
      </w:r>
      <w:r>
        <w:rPr>
          <w:rFonts w:ascii="Calibri" w:hAnsi="Calibri" w:cs="Calibri"/>
          <w:iCs/>
          <w:color w:val="000000"/>
          <w:sz w:val="22"/>
          <w:szCs w:val="22"/>
        </w:rPr>
        <w:t xml:space="preserve">Despite the indication for SRT, </w:t>
      </w:r>
      <w:r w:rsidRPr="00B83C6E">
        <w:rPr>
          <w:rFonts w:ascii="Calibri" w:hAnsi="Calibri" w:cs="Calibri"/>
          <w:iCs/>
          <w:color w:val="000000"/>
          <w:sz w:val="22"/>
          <w:szCs w:val="22"/>
        </w:rPr>
        <w:t>a ‘‘wait and see’’ strategy re</w:t>
      </w:r>
      <w:r>
        <w:rPr>
          <w:rFonts w:ascii="Calibri" w:hAnsi="Calibri" w:cs="Calibri"/>
          <w:iCs/>
          <w:color w:val="000000"/>
          <w:sz w:val="22"/>
          <w:szCs w:val="22"/>
        </w:rPr>
        <w:t xml:space="preserve">mains an option for the EAU BCR </w:t>
      </w:r>
      <w:r w:rsidRPr="00B83C6E">
        <w:rPr>
          <w:rFonts w:ascii="Calibri" w:hAnsi="Calibri" w:cs="Calibri"/>
          <w:iCs/>
          <w:color w:val="000000"/>
          <w:sz w:val="22"/>
          <w:szCs w:val="22"/>
        </w:rPr>
        <w:t>low-risk group [22].</w:t>
      </w:r>
    </w:p>
    <w:p w14:paraId="734BBB12" w14:textId="366F6010" w:rsidR="00B83C6E" w:rsidRPr="00B83C6E" w:rsidRDefault="00B83C6E" w:rsidP="00B83C6E">
      <w:pPr>
        <w:spacing w:line="276" w:lineRule="auto"/>
        <w:rPr>
          <w:rFonts w:ascii="Calibri" w:hAnsi="Calibri" w:cs="Calibri"/>
          <w:iCs/>
          <w:color w:val="000000"/>
          <w:sz w:val="22"/>
          <w:szCs w:val="22"/>
        </w:rPr>
      </w:pPr>
      <w:r w:rsidRPr="00B83C6E">
        <w:rPr>
          <w:rFonts w:ascii="Calibri" w:hAnsi="Calibri" w:cs="Calibri"/>
          <w:iCs/>
          <w:color w:val="000000"/>
          <w:sz w:val="22"/>
          <w:szCs w:val="22"/>
        </w:rPr>
        <w:t>Randomised controlled trials (RCTs) comparing SRT combined with ADT versus S</w:t>
      </w:r>
      <w:r>
        <w:rPr>
          <w:rFonts w:ascii="Calibri" w:hAnsi="Calibri" w:cs="Calibri"/>
          <w:iCs/>
          <w:color w:val="000000"/>
          <w:sz w:val="22"/>
          <w:szCs w:val="22"/>
        </w:rPr>
        <w:t xml:space="preserve">RT alone [23–25] are summarised </w:t>
      </w:r>
      <w:r w:rsidRPr="00B83C6E">
        <w:rPr>
          <w:rFonts w:ascii="Calibri" w:hAnsi="Calibri" w:cs="Calibri"/>
          <w:iCs/>
          <w:color w:val="000000"/>
          <w:sz w:val="22"/>
          <w:szCs w:val="22"/>
        </w:rPr>
        <w:t>in Table 3.</w:t>
      </w:r>
    </w:p>
    <w:p w14:paraId="4406D5DA" w14:textId="1FBB1333" w:rsidR="00B83C6E" w:rsidRDefault="00B83C6E" w:rsidP="00B83C6E">
      <w:pPr>
        <w:spacing w:line="276" w:lineRule="auto"/>
        <w:rPr>
          <w:rFonts w:ascii="Calibri" w:hAnsi="Calibri" w:cs="Calibri"/>
          <w:iCs/>
          <w:color w:val="000000"/>
          <w:sz w:val="22"/>
          <w:szCs w:val="22"/>
        </w:rPr>
      </w:pPr>
      <w:r w:rsidRPr="00B83C6E">
        <w:rPr>
          <w:rFonts w:ascii="Calibri" w:hAnsi="Calibri" w:cs="Calibri"/>
          <w:iCs/>
          <w:color w:val="000000"/>
          <w:sz w:val="22"/>
          <w:szCs w:val="22"/>
        </w:rPr>
        <w:t>A systematic review addressing the benefit from combining hormone therapy with SRT suggested risk stratification of patients on the basis o</w:t>
      </w:r>
      <w:r>
        <w:rPr>
          <w:rFonts w:ascii="Calibri" w:hAnsi="Calibri" w:cs="Calibri"/>
          <w:iCs/>
          <w:color w:val="000000"/>
          <w:sz w:val="22"/>
          <w:szCs w:val="22"/>
        </w:rPr>
        <w:t xml:space="preserve">f pre-SRT PSA (&lt;0.5 vs 0.6–1 vs </w:t>
      </w:r>
      <w:r w:rsidRPr="00B83C6E">
        <w:rPr>
          <w:rFonts w:ascii="Calibri" w:hAnsi="Calibri" w:cs="Calibri"/>
          <w:iCs/>
          <w:color w:val="000000"/>
          <w:sz w:val="22"/>
          <w:szCs w:val="22"/>
        </w:rPr>
        <w:t>&gt;1 ng/ml), surgical mar</w:t>
      </w:r>
      <w:r>
        <w:rPr>
          <w:rFonts w:ascii="Calibri" w:hAnsi="Calibri" w:cs="Calibri"/>
          <w:iCs/>
          <w:color w:val="000000"/>
          <w:sz w:val="22"/>
          <w:szCs w:val="22"/>
        </w:rPr>
        <w:t xml:space="preserve">gin status, and ISUP grade as a </w:t>
      </w:r>
      <w:r w:rsidRPr="00B83C6E">
        <w:rPr>
          <w:rFonts w:ascii="Calibri" w:hAnsi="Calibri" w:cs="Calibri"/>
          <w:iCs/>
          <w:color w:val="000000"/>
          <w:sz w:val="22"/>
          <w:szCs w:val="22"/>
        </w:rPr>
        <w:t>framework to individualise tre</w:t>
      </w:r>
      <w:r>
        <w:rPr>
          <w:rFonts w:ascii="Calibri" w:hAnsi="Calibri" w:cs="Calibri"/>
          <w:iCs/>
          <w:color w:val="000000"/>
          <w:sz w:val="22"/>
          <w:szCs w:val="22"/>
        </w:rPr>
        <w:t xml:space="preserve">atment [26]. </w:t>
      </w:r>
      <w:r w:rsidRPr="00B83C6E">
        <w:rPr>
          <w:rFonts w:ascii="Calibri" w:hAnsi="Calibri" w:cs="Calibri"/>
          <w:iCs/>
          <w:color w:val="000000"/>
          <w:sz w:val="22"/>
          <w:szCs w:val="22"/>
        </w:rPr>
        <w:t>A prospective multicen</w:t>
      </w:r>
      <w:r>
        <w:rPr>
          <w:rFonts w:ascii="Calibri" w:hAnsi="Calibri" w:cs="Calibri"/>
          <w:iCs/>
          <w:color w:val="000000"/>
          <w:sz w:val="22"/>
          <w:szCs w:val="22"/>
        </w:rPr>
        <w:t xml:space="preserve">tre study enrolled 260 men with </w:t>
      </w:r>
      <w:r w:rsidRPr="00B83C6E">
        <w:rPr>
          <w:rFonts w:ascii="Calibri" w:hAnsi="Calibri" w:cs="Calibri"/>
          <w:iCs/>
          <w:color w:val="000000"/>
          <w:sz w:val="22"/>
          <w:szCs w:val="22"/>
        </w:rPr>
        <w:t xml:space="preserve">rising PSA after RP </w:t>
      </w:r>
      <w:r>
        <w:rPr>
          <w:rFonts w:ascii="Calibri" w:hAnsi="Calibri" w:cs="Calibri"/>
          <w:iCs/>
          <w:color w:val="000000"/>
          <w:sz w:val="22"/>
          <w:szCs w:val="22"/>
        </w:rPr>
        <w:t xml:space="preserve">between 2015 and 2017. PSMA PET </w:t>
      </w:r>
      <w:r w:rsidRPr="00B83C6E">
        <w:rPr>
          <w:rFonts w:ascii="Calibri" w:hAnsi="Calibri" w:cs="Calibri"/>
          <w:iCs/>
          <w:color w:val="000000"/>
          <w:sz w:val="22"/>
          <w:szCs w:val="22"/>
        </w:rPr>
        <w:t>results were negative in 3</w:t>
      </w:r>
      <w:r>
        <w:rPr>
          <w:rFonts w:ascii="Calibri" w:hAnsi="Calibri" w:cs="Calibri"/>
          <w:iCs/>
          <w:color w:val="000000"/>
          <w:sz w:val="22"/>
          <w:szCs w:val="22"/>
        </w:rPr>
        <w:t xml:space="preserve">4.6% cases and revealed disease </w:t>
      </w:r>
      <w:r w:rsidRPr="00B83C6E">
        <w:rPr>
          <w:rFonts w:ascii="Calibri" w:hAnsi="Calibri" w:cs="Calibri"/>
          <w:iCs/>
          <w:color w:val="000000"/>
          <w:sz w:val="22"/>
          <w:szCs w:val="22"/>
        </w:rPr>
        <w:t xml:space="preserve">confined to the prostatic fossa </w:t>
      </w:r>
      <w:r>
        <w:rPr>
          <w:rFonts w:ascii="Calibri" w:hAnsi="Calibri" w:cs="Calibri"/>
          <w:iCs/>
          <w:color w:val="000000"/>
          <w:sz w:val="22"/>
          <w:szCs w:val="22"/>
        </w:rPr>
        <w:t xml:space="preserve">in 21.5%, disease in the pelvic </w:t>
      </w:r>
      <w:r w:rsidRPr="00B83C6E">
        <w:rPr>
          <w:rFonts w:ascii="Calibri" w:hAnsi="Calibri" w:cs="Calibri"/>
          <w:iCs/>
          <w:color w:val="000000"/>
          <w:sz w:val="22"/>
          <w:szCs w:val="22"/>
        </w:rPr>
        <w:t>lymph nodes (LNs) in 26.2%</w:t>
      </w:r>
      <w:r>
        <w:rPr>
          <w:rFonts w:ascii="Calibri" w:hAnsi="Calibri" w:cs="Calibri"/>
          <w:iCs/>
          <w:color w:val="000000"/>
          <w:sz w:val="22"/>
          <w:szCs w:val="22"/>
        </w:rPr>
        <w:t xml:space="preserve">, and distant disease in 17.7%. </w:t>
      </w:r>
      <w:r w:rsidRPr="00B83C6E">
        <w:rPr>
          <w:rFonts w:ascii="Calibri" w:hAnsi="Calibri" w:cs="Calibri"/>
          <w:iCs/>
          <w:color w:val="000000"/>
          <w:sz w:val="22"/>
          <w:szCs w:val="22"/>
        </w:rPr>
        <w:t>PSMA PET results were highly predictive of progression</w:t>
      </w:r>
      <w:r>
        <w:rPr>
          <w:rFonts w:ascii="Calibri" w:hAnsi="Calibri" w:cs="Calibri"/>
          <w:iCs/>
          <w:color w:val="000000"/>
          <w:sz w:val="22"/>
          <w:szCs w:val="22"/>
        </w:rPr>
        <w:t xml:space="preserve"> </w:t>
      </w:r>
      <w:r w:rsidRPr="00B83C6E">
        <w:rPr>
          <w:rFonts w:ascii="Calibri" w:hAnsi="Calibri" w:cs="Calibri"/>
          <w:iCs/>
          <w:color w:val="000000"/>
          <w:sz w:val="22"/>
          <w:szCs w:val="22"/>
        </w:rPr>
        <w:t>free survival (PFS) at 3 yr</w:t>
      </w:r>
      <w:r>
        <w:rPr>
          <w:rFonts w:ascii="Calibri" w:hAnsi="Calibri" w:cs="Calibri"/>
          <w:iCs/>
          <w:color w:val="000000"/>
          <w:sz w:val="22"/>
          <w:szCs w:val="22"/>
        </w:rPr>
        <w:t xml:space="preserve"> for men undergoing SRT for BCR </w:t>
      </w:r>
      <w:r w:rsidRPr="00B83C6E">
        <w:rPr>
          <w:rFonts w:ascii="Calibri" w:hAnsi="Calibri" w:cs="Calibri"/>
          <w:iCs/>
          <w:color w:val="000000"/>
          <w:sz w:val="22"/>
          <w:szCs w:val="22"/>
        </w:rPr>
        <w:t>after RP. In particular, men</w:t>
      </w:r>
      <w:r>
        <w:rPr>
          <w:rFonts w:ascii="Calibri" w:hAnsi="Calibri" w:cs="Calibri"/>
          <w:iCs/>
          <w:color w:val="000000"/>
          <w:sz w:val="22"/>
          <w:szCs w:val="22"/>
        </w:rPr>
        <w:t xml:space="preserve"> with negative PSMA PET results </w:t>
      </w:r>
      <w:r w:rsidRPr="00B83C6E">
        <w:rPr>
          <w:rFonts w:ascii="Calibri" w:hAnsi="Calibri" w:cs="Calibri"/>
          <w:iCs/>
          <w:color w:val="000000"/>
          <w:sz w:val="22"/>
          <w:szCs w:val="22"/>
        </w:rPr>
        <w:t xml:space="preserve">or disease identified as still confined </w:t>
      </w:r>
      <w:r>
        <w:rPr>
          <w:rFonts w:ascii="Calibri" w:hAnsi="Calibri" w:cs="Calibri"/>
          <w:iCs/>
          <w:color w:val="000000"/>
          <w:sz w:val="22"/>
          <w:szCs w:val="22"/>
        </w:rPr>
        <w:t xml:space="preserve">to the prostatic fossa </w:t>
      </w:r>
      <w:r w:rsidRPr="00B83C6E">
        <w:rPr>
          <w:rFonts w:ascii="Calibri" w:hAnsi="Calibri" w:cs="Calibri"/>
          <w:iCs/>
          <w:color w:val="000000"/>
          <w:sz w:val="22"/>
          <w:szCs w:val="22"/>
        </w:rPr>
        <w:t>experienced high freedom from progression, despite receiving less extensive RT and low</w:t>
      </w:r>
      <w:r>
        <w:rPr>
          <w:rFonts w:ascii="Calibri" w:hAnsi="Calibri" w:cs="Calibri"/>
          <w:iCs/>
          <w:color w:val="000000"/>
          <w:sz w:val="22"/>
          <w:szCs w:val="22"/>
        </w:rPr>
        <w:t xml:space="preserve">er rates of additional ADT than </w:t>
      </w:r>
      <w:r w:rsidRPr="00B83C6E">
        <w:rPr>
          <w:rFonts w:ascii="Calibri" w:hAnsi="Calibri" w:cs="Calibri"/>
          <w:iCs/>
          <w:color w:val="000000"/>
          <w:sz w:val="22"/>
          <w:szCs w:val="22"/>
        </w:rPr>
        <w:t>those with disease outs</w:t>
      </w:r>
      <w:r>
        <w:rPr>
          <w:rFonts w:ascii="Calibri" w:hAnsi="Calibri" w:cs="Calibri"/>
          <w:iCs/>
          <w:color w:val="000000"/>
          <w:sz w:val="22"/>
          <w:szCs w:val="22"/>
        </w:rPr>
        <w:t xml:space="preserve">ide the fossa [27]. PSMA PET/CT </w:t>
      </w:r>
      <w:r w:rsidRPr="00B83C6E">
        <w:rPr>
          <w:rFonts w:ascii="Calibri" w:hAnsi="Calibri" w:cs="Calibri"/>
          <w:iCs/>
          <w:color w:val="000000"/>
          <w:sz w:val="22"/>
          <w:szCs w:val="22"/>
        </w:rPr>
        <w:t>might be able to stratify m</w:t>
      </w:r>
      <w:r>
        <w:rPr>
          <w:rFonts w:ascii="Calibri" w:hAnsi="Calibri" w:cs="Calibri"/>
          <w:iCs/>
          <w:color w:val="000000"/>
          <w:sz w:val="22"/>
          <w:szCs w:val="22"/>
        </w:rPr>
        <w:t xml:space="preserve">en into groups with high versus </w:t>
      </w:r>
      <w:r w:rsidRPr="00B83C6E">
        <w:rPr>
          <w:rFonts w:ascii="Calibri" w:hAnsi="Calibri" w:cs="Calibri"/>
          <w:iCs/>
          <w:color w:val="000000"/>
          <w:sz w:val="22"/>
          <w:szCs w:val="22"/>
        </w:rPr>
        <w:t>poor responses to SRT. Im</w:t>
      </w:r>
      <w:r>
        <w:rPr>
          <w:rFonts w:ascii="Calibri" w:hAnsi="Calibri" w:cs="Calibri"/>
          <w:iCs/>
          <w:color w:val="000000"/>
          <w:sz w:val="22"/>
          <w:szCs w:val="22"/>
        </w:rPr>
        <w:t xml:space="preserve">aging at recurrence should only </w:t>
      </w:r>
      <w:r w:rsidRPr="00B83C6E">
        <w:rPr>
          <w:rFonts w:ascii="Calibri" w:hAnsi="Calibri" w:cs="Calibri"/>
          <w:iCs/>
          <w:color w:val="000000"/>
          <w:sz w:val="22"/>
          <w:szCs w:val="22"/>
        </w:rPr>
        <w:t xml:space="preserve">be performed if the result </w:t>
      </w:r>
      <w:r>
        <w:rPr>
          <w:rFonts w:ascii="Calibri" w:hAnsi="Calibri" w:cs="Calibri"/>
          <w:iCs/>
          <w:color w:val="000000"/>
          <w:sz w:val="22"/>
          <w:szCs w:val="22"/>
        </w:rPr>
        <w:t xml:space="preserve">will affect treatment planning. </w:t>
      </w:r>
      <w:r w:rsidRPr="00B83C6E">
        <w:rPr>
          <w:rFonts w:ascii="Calibri" w:hAnsi="Calibri" w:cs="Calibri"/>
          <w:iCs/>
          <w:color w:val="000000"/>
          <w:sz w:val="22"/>
          <w:szCs w:val="22"/>
        </w:rPr>
        <w:t>Negative PET/CT findings should not delay SRT if it is otherwise indicated. Guideline</w:t>
      </w:r>
      <w:r>
        <w:rPr>
          <w:rFonts w:ascii="Calibri" w:hAnsi="Calibri" w:cs="Calibri"/>
          <w:iCs/>
          <w:color w:val="000000"/>
          <w:sz w:val="22"/>
          <w:szCs w:val="22"/>
        </w:rPr>
        <w:t xml:space="preserve">s for second-line therapy after </w:t>
      </w:r>
      <w:r w:rsidRPr="00B83C6E">
        <w:rPr>
          <w:rFonts w:ascii="Calibri" w:hAnsi="Calibri" w:cs="Calibri"/>
          <w:iCs/>
          <w:color w:val="000000"/>
          <w:sz w:val="22"/>
          <w:szCs w:val="22"/>
        </w:rPr>
        <w:t>treatment with curative intent are summarised in Table 4.</w:t>
      </w:r>
    </w:p>
    <w:p w14:paraId="38603DA8" w14:textId="34E83696" w:rsidR="00B83C6E" w:rsidRPr="00B83C6E" w:rsidRDefault="00B83C6E" w:rsidP="00B83C6E">
      <w:pPr>
        <w:spacing w:line="276" w:lineRule="auto"/>
        <w:rPr>
          <w:rFonts w:ascii="Calibri" w:hAnsi="Calibri" w:cs="Calibri"/>
          <w:iCs/>
          <w:color w:val="000000"/>
          <w:sz w:val="22"/>
          <w:szCs w:val="22"/>
        </w:rPr>
      </w:pPr>
      <w:r w:rsidRPr="00B83C6E">
        <w:rPr>
          <w:rFonts w:ascii="Calibri" w:hAnsi="Calibri" w:cs="Calibri"/>
          <w:iCs/>
          <w:color w:val="000000"/>
          <w:sz w:val="22"/>
          <w:szCs w:val="22"/>
        </w:rPr>
        <w:t>Three prospective</w:t>
      </w:r>
      <w:r>
        <w:rPr>
          <w:rFonts w:ascii="Calibri" w:hAnsi="Calibri" w:cs="Calibri"/>
          <w:iCs/>
          <w:color w:val="000000"/>
          <w:sz w:val="22"/>
          <w:szCs w:val="22"/>
        </w:rPr>
        <w:t xml:space="preserve"> RCTs have compared adjuvant RT </w:t>
      </w:r>
      <w:r w:rsidRPr="00B83C6E">
        <w:rPr>
          <w:rFonts w:ascii="Calibri" w:hAnsi="Calibri" w:cs="Calibri"/>
          <w:iCs/>
          <w:color w:val="000000"/>
          <w:sz w:val="22"/>
          <w:szCs w:val="22"/>
        </w:rPr>
        <w:t xml:space="preserve">(ART) and early SRT </w:t>
      </w:r>
      <w:r>
        <w:rPr>
          <w:rFonts w:ascii="Calibri" w:hAnsi="Calibri" w:cs="Calibri"/>
          <w:iCs/>
          <w:color w:val="000000"/>
          <w:sz w:val="22"/>
          <w:szCs w:val="22"/>
        </w:rPr>
        <w:t xml:space="preserve">(RADICALS [16], RAVES [17], and </w:t>
      </w:r>
      <w:r w:rsidRPr="00B83C6E">
        <w:rPr>
          <w:rFonts w:ascii="Calibri" w:hAnsi="Calibri" w:cs="Calibri"/>
          <w:iCs/>
          <w:color w:val="000000"/>
          <w:sz w:val="22"/>
          <w:szCs w:val="22"/>
        </w:rPr>
        <w:t>GETUG-AFU 17 [18]). In addition, a preplanned meta</w:t>
      </w:r>
      <w:r w:rsidR="00EF20BF">
        <w:rPr>
          <w:rFonts w:ascii="Calibri" w:hAnsi="Calibri" w:cs="Calibri"/>
          <w:iCs/>
          <w:color w:val="000000"/>
          <w:sz w:val="22"/>
          <w:szCs w:val="22"/>
        </w:rPr>
        <w:t>-</w:t>
      </w:r>
      <w:r w:rsidRPr="00B83C6E">
        <w:rPr>
          <w:rFonts w:ascii="Calibri" w:hAnsi="Calibri" w:cs="Calibri"/>
          <w:iCs/>
          <w:color w:val="000000"/>
          <w:sz w:val="22"/>
          <w:szCs w:val="22"/>
        </w:rPr>
        <w:t>analysis of all three tria</w:t>
      </w:r>
      <w:r w:rsidR="00EF20BF">
        <w:rPr>
          <w:rFonts w:ascii="Calibri" w:hAnsi="Calibri" w:cs="Calibri"/>
          <w:iCs/>
          <w:color w:val="000000"/>
          <w:sz w:val="22"/>
          <w:szCs w:val="22"/>
        </w:rPr>
        <w:t xml:space="preserve">ls has been published (Table 5) </w:t>
      </w:r>
      <w:r w:rsidRPr="00B83C6E">
        <w:rPr>
          <w:rFonts w:ascii="Calibri" w:hAnsi="Calibri" w:cs="Calibri"/>
          <w:iCs/>
          <w:color w:val="000000"/>
          <w:sz w:val="22"/>
          <w:szCs w:val="22"/>
        </w:rPr>
        <w:t>[28]. RADICALS-RT include</w:t>
      </w:r>
      <w:r w:rsidR="00EF20BF">
        <w:rPr>
          <w:rFonts w:ascii="Calibri" w:hAnsi="Calibri" w:cs="Calibri"/>
          <w:iCs/>
          <w:color w:val="000000"/>
          <w:sz w:val="22"/>
          <w:szCs w:val="22"/>
        </w:rPr>
        <w:t xml:space="preserve">d 1396 patients with the option </w:t>
      </w:r>
      <w:r w:rsidRPr="00B83C6E">
        <w:rPr>
          <w:rFonts w:ascii="Calibri" w:hAnsi="Calibri" w:cs="Calibri"/>
          <w:iCs/>
          <w:color w:val="000000"/>
          <w:sz w:val="22"/>
          <w:szCs w:val="22"/>
        </w:rPr>
        <w:t>of subsequent inclusion in RADICALS-HT. The primary endpoint was biochemical PFS for RAVES and GETUG-AFU 17,</w:t>
      </w:r>
    </w:p>
    <w:p w14:paraId="078EE22B" w14:textId="4A401947" w:rsidR="00B83C6E" w:rsidRPr="00B83C6E" w:rsidRDefault="00B83C6E" w:rsidP="00B83C6E">
      <w:pPr>
        <w:spacing w:line="276" w:lineRule="auto"/>
        <w:rPr>
          <w:rFonts w:ascii="Calibri" w:hAnsi="Calibri" w:cs="Calibri"/>
          <w:iCs/>
          <w:color w:val="000000"/>
          <w:sz w:val="22"/>
          <w:szCs w:val="22"/>
        </w:rPr>
      </w:pPr>
      <w:proofErr w:type="gramStart"/>
      <w:r w:rsidRPr="00B83C6E">
        <w:rPr>
          <w:rFonts w:ascii="Calibri" w:hAnsi="Calibri" w:cs="Calibri"/>
          <w:iCs/>
          <w:color w:val="000000"/>
          <w:sz w:val="22"/>
          <w:szCs w:val="22"/>
        </w:rPr>
        <w:t>and</w:t>
      </w:r>
      <w:proofErr w:type="gramEnd"/>
      <w:r w:rsidRPr="00B83C6E">
        <w:rPr>
          <w:rFonts w:ascii="Calibri" w:hAnsi="Calibri" w:cs="Calibri"/>
          <w:iCs/>
          <w:color w:val="000000"/>
          <w:sz w:val="22"/>
          <w:szCs w:val="22"/>
        </w:rPr>
        <w:t xml:space="preserve"> MFS for RADICALS-RT</w:t>
      </w:r>
      <w:r w:rsidR="00EF20BF">
        <w:rPr>
          <w:rFonts w:ascii="Calibri" w:hAnsi="Calibri" w:cs="Calibri"/>
          <w:iCs/>
          <w:color w:val="000000"/>
          <w:sz w:val="22"/>
          <w:szCs w:val="22"/>
        </w:rPr>
        <w:t xml:space="preserve">. With median follow-up between </w:t>
      </w:r>
      <w:r w:rsidRPr="00B83C6E">
        <w:rPr>
          <w:rFonts w:ascii="Calibri" w:hAnsi="Calibri" w:cs="Calibri"/>
          <w:iCs/>
          <w:color w:val="000000"/>
          <w:sz w:val="22"/>
          <w:szCs w:val="22"/>
        </w:rPr>
        <w:t>4</w:t>
      </w:r>
      <w:r w:rsidR="00EF20BF">
        <w:rPr>
          <w:rFonts w:ascii="Calibri" w:hAnsi="Calibri" w:cs="Calibri"/>
          <w:iCs/>
          <w:color w:val="000000"/>
          <w:sz w:val="22"/>
          <w:szCs w:val="22"/>
        </w:rPr>
        <w:t xml:space="preserve">.9 yr and 6.25 yr, there was no </w:t>
      </w:r>
      <w:r w:rsidRPr="00B83C6E">
        <w:rPr>
          <w:rFonts w:ascii="Calibri" w:hAnsi="Calibri" w:cs="Calibri"/>
          <w:iCs/>
          <w:color w:val="000000"/>
          <w:sz w:val="22"/>
          <w:szCs w:val="22"/>
        </w:rPr>
        <w:t xml:space="preserve">statistically significant difference in biochemical PFS </w:t>
      </w:r>
      <w:r w:rsidR="00EF20BF">
        <w:rPr>
          <w:rFonts w:ascii="Calibri" w:hAnsi="Calibri" w:cs="Calibri"/>
          <w:iCs/>
          <w:color w:val="000000"/>
          <w:sz w:val="22"/>
          <w:szCs w:val="22"/>
        </w:rPr>
        <w:t xml:space="preserve">between the treatments in these </w:t>
      </w:r>
      <w:r w:rsidRPr="00B83C6E">
        <w:rPr>
          <w:rFonts w:ascii="Calibri" w:hAnsi="Calibri" w:cs="Calibri"/>
          <w:iCs/>
          <w:color w:val="000000"/>
          <w:sz w:val="22"/>
          <w:szCs w:val="22"/>
        </w:rPr>
        <w:t>trials (Table 5). There was a si</w:t>
      </w:r>
      <w:r w:rsidR="00EF20BF">
        <w:rPr>
          <w:rFonts w:ascii="Calibri" w:hAnsi="Calibri" w:cs="Calibri"/>
          <w:iCs/>
          <w:color w:val="000000"/>
          <w:sz w:val="22"/>
          <w:szCs w:val="22"/>
        </w:rPr>
        <w:t xml:space="preserve">gnificantly lower rate of grade </w:t>
      </w:r>
      <w:r w:rsidRPr="00B83C6E">
        <w:rPr>
          <w:rFonts w:ascii="Calibri" w:hAnsi="Calibri" w:cs="Calibri"/>
          <w:iCs/>
          <w:color w:val="000000"/>
          <w:sz w:val="22"/>
          <w:szCs w:val="22"/>
        </w:rPr>
        <w:t>2 genitourinary late side effects and grade 3–4 urethral</w:t>
      </w:r>
    </w:p>
    <w:p w14:paraId="18AFF28F" w14:textId="7CC1911B" w:rsidR="00B83C6E" w:rsidRPr="00B83C6E" w:rsidRDefault="00B83C6E" w:rsidP="00B83C6E">
      <w:pPr>
        <w:spacing w:line="276" w:lineRule="auto"/>
        <w:rPr>
          <w:rFonts w:ascii="Calibri" w:hAnsi="Calibri" w:cs="Calibri"/>
          <w:iCs/>
          <w:color w:val="000000"/>
          <w:sz w:val="22"/>
          <w:szCs w:val="22"/>
        </w:rPr>
      </w:pPr>
      <w:proofErr w:type="gramStart"/>
      <w:r w:rsidRPr="00B83C6E">
        <w:rPr>
          <w:rFonts w:ascii="Calibri" w:hAnsi="Calibri" w:cs="Calibri"/>
          <w:iCs/>
          <w:color w:val="000000"/>
          <w:sz w:val="22"/>
          <w:szCs w:val="22"/>
        </w:rPr>
        <w:lastRenderedPageBreak/>
        <w:t>strictures</w:t>
      </w:r>
      <w:proofErr w:type="gramEnd"/>
      <w:r w:rsidRPr="00B83C6E">
        <w:rPr>
          <w:rFonts w:ascii="Calibri" w:hAnsi="Calibri" w:cs="Calibri"/>
          <w:iCs/>
          <w:color w:val="000000"/>
          <w:sz w:val="22"/>
          <w:szCs w:val="22"/>
        </w:rPr>
        <w:t xml:space="preserve"> in favour of early SRT. The proportion </w:t>
      </w:r>
      <w:r w:rsidR="00EF20BF">
        <w:rPr>
          <w:rFonts w:ascii="Calibri" w:hAnsi="Calibri" w:cs="Calibri"/>
          <w:iCs/>
          <w:color w:val="000000"/>
          <w:sz w:val="22"/>
          <w:szCs w:val="22"/>
        </w:rPr>
        <w:t xml:space="preserve">of patients </w:t>
      </w:r>
      <w:r w:rsidRPr="00B83C6E">
        <w:rPr>
          <w:rFonts w:ascii="Calibri" w:hAnsi="Calibri" w:cs="Calibri"/>
          <w:iCs/>
          <w:color w:val="000000"/>
          <w:sz w:val="22"/>
          <w:szCs w:val="22"/>
        </w:rPr>
        <w:t xml:space="preserve">with adverse pathology </w:t>
      </w:r>
      <w:r w:rsidR="00EF20BF">
        <w:rPr>
          <w:rFonts w:ascii="Calibri" w:hAnsi="Calibri" w:cs="Calibri"/>
          <w:iCs/>
          <w:color w:val="000000"/>
          <w:sz w:val="22"/>
          <w:szCs w:val="22"/>
        </w:rPr>
        <w:t xml:space="preserve">at RP (ISUP grade group 4–5 and </w:t>
      </w:r>
      <w:r w:rsidRPr="00B83C6E">
        <w:rPr>
          <w:rFonts w:ascii="Calibri" w:hAnsi="Calibri" w:cs="Calibri"/>
          <w:iCs/>
          <w:color w:val="000000"/>
          <w:sz w:val="22"/>
          <w:szCs w:val="22"/>
        </w:rPr>
        <w:t>pT3 with or without positi</w:t>
      </w:r>
      <w:r w:rsidR="00EF20BF">
        <w:rPr>
          <w:rFonts w:ascii="Calibri" w:hAnsi="Calibri" w:cs="Calibri"/>
          <w:iCs/>
          <w:color w:val="000000"/>
          <w:sz w:val="22"/>
          <w:szCs w:val="22"/>
        </w:rPr>
        <w:t xml:space="preserve">ve margins) in the three trials </w:t>
      </w:r>
      <w:r w:rsidRPr="00B83C6E">
        <w:rPr>
          <w:rFonts w:ascii="Calibri" w:hAnsi="Calibri" w:cs="Calibri"/>
          <w:iCs/>
          <w:color w:val="000000"/>
          <w:sz w:val="22"/>
          <w:szCs w:val="22"/>
        </w:rPr>
        <w:t>was low (10–20%) and t</w:t>
      </w:r>
      <w:r w:rsidR="00EF20BF">
        <w:rPr>
          <w:rFonts w:ascii="Calibri" w:hAnsi="Calibri" w:cs="Calibri"/>
          <w:iCs/>
          <w:color w:val="000000"/>
          <w:sz w:val="22"/>
          <w:szCs w:val="22"/>
        </w:rPr>
        <w:t xml:space="preserve">herefore even the meta-analysis </w:t>
      </w:r>
      <w:r w:rsidRPr="00B83C6E">
        <w:rPr>
          <w:rFonts w:ascii="Calibri" w:hAnsi="Calibri" w:cs="Calibri"/>
          <w:iCs/>
          <w:color w:val="000000"/>
          <w:sz w:val="22"/>
          <w:szCs w:val="22"/>
        </w:rPr>
        <w:t>may have been underpowered to show an outcome difference [28]. In addition, the si</w:t>
      </w:r>
      <w:r w:rsidR="00EF20BF">
        <w:rPr>
          <w:rFonts w:ascii="Calibri" w:hAnsi="Calibri" w:cs="Calibri"/>
          <w:iCs/>
          <w:color w:val="000000"/>
          <w:sz w:val="22"/>
          <w:szCs w:val="22"/>
        </w:rPr>
        <w:t xml:space="preserve">de-effect profile may have been </w:t>
      </w:r>
      <w:r w:rsidRPr="00B83C6E">
        <w:rPr>
          <w:rFonts w:ascii="Calibri" w:hAnsi="Calibri" w:cs="Calibri"/>
          <w:iCs/>
          <w:color w:val="000000"/>
          <w:sz w:val="22"/>
          <w:szCs w:val="22"/>
        </w:rPr>
        <w:t>impacted, with a larger proportion of ART patients receiving</w:t>
      </w:r>
      <w:r w:rsidR="00EF20BF">
        <w:rPr>
          <w:rFonts w:ascii="Calibri" w:hAnsi="Calibri" w:cs="Calibri"/>
          <w:iCs/>
          <w:color w:val="000000"/>
          <w:sz w:val="22"/>
          <w:szCs w:val="22"/>
        </w:rPr>
        <w:t xml:space="preserve"> </w:t>
      </w:r>
      <w:r w:rsidRPr="00B83C6E">
        <w:rPr>
          <w:rFonts w:ascii="Calibri" w:hAnsi="Calibri" w:cs="Calibri"/>
          <w:iCs/>
          <w:color w:val="000000"/>
          <w:sz w:val="22"/>
          <w:szCs w:val="22"/>
        </w:rPr>
        <w:t>treatment with older three-dimension treatment planning</w:t>
      </w:r>
      <w:r w:rsidR="00EF20BF">
        <w:rPr>
          <w:rFonts w:ascii="Calibri" w:hAnsi="Calibri" w:cs="Calibri"/>
          <w:iCs/>
          <w:color w:val="000000"/>
          <w:sz w:val="22"/>
          <w:szCs w:val="22"/>
        </w:rPr>
        <w:t xml:space="preserve"> </w:t>
      </w:r>
      <w:r w:rsidRPr="00B83C6E">
        <w:rPr>
          <w:rFonts w:ascii="Calibri" w:hAnsi="Calibri" w:cs="Calibri"/>
          <w:iCs/>
          <w:color w:val="000000"/>
          <w:sz w:val="22"/>
          <w:szCs w:val="22"/>
        </w:rPr>
        <w:t>techniques in comparison to SRT patients, and patients treated more recently were more likely to undergo intensity</w:t>
      </w:r>
      <w:r w:rsidR="00EF20BF">
        <w:rPr>
          <w:rFonts w:ascii="Calibri" w:hAnsi="Calibri" w:cs="Calibri"/>
          <w:iCs/>
          <w:color w:val="000000"/>
          <w:sz w:val="22"/>
          <w:szCs w:val="22"/>
        </w:rPr>
        <w:t>-</w:t>
      </w:r>
      <w:r w:rsidRPr="00B83C6E">
        <w:rPr>
          <w:rFonts w:ascii="Calibri" w:hAnsi="Calibri" w:cs="Calibri"/>
          <w:iCs/>
          <w:color w:val="000000"/>
          <w:sz w:val="22"/>
          <w:szCs w:val="22"/>
        </w:rPr>
        <w:t>modulated RT, which has a</w:t>
      </w:r>
      <w:r w:rsidR="00EF20BF">
        <w:rPr>
          <w:rFonts w:ascii="Calibri" w:hAnsi="Calibri" w:cs="Calibri"/>
          <w:iCs/>
          <w:color w:val="000000"/>
          <w:sz w:val="22"/>
          <w:szCs w:val="22"/>
        </w:rPr>
        <w:t xml:space="preserve"> proven lower rate of late side </w:t>
      </w:r>
      <w:r w:rsidRPr="00B83C6E">
        <w:rPr>
          <w:rFonts w:ascii="Calibri" w:hAnsi="Calibri" w:cs="Calibri"/>
          <w:iCs/>
          <w:color w:val="000000"/>
          <w:sz w:val="22"/>
          <w:szCs w:val="22"/>
        </w:rPr>
        <w:t>effects [29]. ART remains</w:t>
      </w:r>
      <w:r w:rsidR="00EF20BF">
        <w:rPr>
          <w:rFonts w:ascii="Calibri" w:hAnsi="Calibri" w:cs="Calibri"/>
          <w:iCs/>
          <w:color w:val="000000"/>
          <w:sz w:val="22"/>
          <w:szCs w:val="22"/>
        </w:rPr>
        <w:t xml:space="preserve"> a recommended treatment option </w:t>
      </w:r>
      <w:r w:rsidRPr="00B83C6E">
        <w:rPr>
          <w:rFonts w:ascii="Calibri" w:hAnsi="Calibri" w:cs="Calibri"/>
          <w:iCs/>
          <w:color w:val="000000"/>
          <w:sz w:val="22"/>
          <w:szCs w:val="22"/>
        </w:rPr>
        <w:t>for highly selected patients with adverse pathology. This</w:t>
      </w:r>
    </w:p>
    <w:p w14:paraId="32D6A207" w14:textId="02DCC693" w:rsidR="00B83C6E" w:rsidRPr="00B83C6E" w:rsidRDefault="00B83C6E" w:rsidP="00EF20BF">
      <w:pPr>
        <w:spacing w:line="276" w:lineRule="auto"/>
        <w:rPr>
          <w:rFonts w:ascii="Calibri" w:hAnsi="Calibri" w:cs="Calibri"/>
          <w:iCs/>
          <w:color w:val="000000"/>
          <w:sz w:val="22"/>
          <w:szCs w:val="22"/>
        </w:rPr>
      </w:pPr>
      <w:proofErr w:type="gramStart"/>
      <w:r w:rsidRPr="00B83C6E">
        <w:rPr>
          <w:rFonts w:ascii="Calibri" w:hAnsi="Calibri" w:cs="Calibri"/>
          <w:iCs/>
          <w:color w:val="000000"/>
          <w:sz w:val="22"/>
          <w:szCs w:val="22"/>
        </w:rPr>
        <w:t>recommendation</w:t>
      </w:r>
      <w:proofErr w:type="gramEnd"/>
      <w:r w:rsidRPr="00B83C6E">
        <w:rPr>
          <w:rFonts w:ascii="Calibri" w:hAnsi="Calibri" w:cs="Calibri"/>
          <w:iCs/>
          <w:color w:val="000000"/>
          <w:sz w:val="22"/>
          <w:szCs w:val="22"/>
        </w:rPr>
        <w:t xml:space="preserve"> was supported by a retrospective multicentre study comparing A</w:t>
      </w:r>
      <w:r w:rsidR="00EF20BF">
        <w:rPr>
          <w:rFonts w:ascii="Calibri" w:hAnsi="Calibri" w:cs="Calibri"/>
          <w:iCs/>
          <w:color w:val="000000"/>
          <w:sz w:val="22"/>
          <w:szCs w:val="22"/>
        </w:rPr>
        <w:t xml:space="preserve">RT versus SRT for patients with </w:t>
      </w:r>
      <w:r w:rsidRPr="00B83C6E">
        <w:rPr>
          <w:rFonts w:ascii="Calibri" w:hAnsi="Calibri" w:cs="Calibri"/>
          <w:iCs/>
          <w:color w:val="000000"/>
          <w:sz w:val="22"/>
          <w:szCs w:val="22"/>
        </w:rPr>
        <w:t>high-risk features after RP [30]: among men with adverse</w:t>
      </w:r>
      <w:r w:rsidR="00EF20BF">
        <w:rPr>
          <w:rFonts w:ascii="Calibri" w:hAnsi="Calibri" w:cs="Calibri"/>
          <w:iCs/>
          <w:color w:val="000000"/>
          <w:sz w:val="22"/>
          <w:szCs w:val="22"/>
        </w:rPr>
        <w:t xml:space="preserve"> </w:t>
      </w:r>
      <w:r w:rsidR="00EF20BF" w:rsidRPr="00EF20BF">
        <w:rPr>
          <w:rFonts w:ascii="Calibri" w:hAnsi="Calibri" w:cs="Calibri"/>
          <w:iCs/>
          <w:color w:val="000000"/>
          <w:sz w:val="22"/>
          <w:szCs w:val="22"/>
        </w:rPr>
        <w:t>pathology, ART was associat</w:t>
      </w:r>
      <w:r w:rsidR="00EF20BF">
        <w:rPr>
          <w:rFonts w:ascii="Calibri" w:hAnsi="Calibri" w:cs="Calibri"/>
          <w:iCs/>
          <w:color w:val="000000"/>
          <w:sz w:val="22"/>
          <w:szCs w:val="22"/>
        </w:rPr>
        <w:t xml:space="preserve">ed with a significant reduction </w:t>
      </w:r>
      <w:r w:rsidR="00EF20BF" w:rsidRPr="00EF20BF">
        <w:rPr>
          <w:rFonts w:ascii="Calibri" w:hAnsi="Calibri" w:cs="Calibri"/>
          <w:iCs/>
          <w:color w:val="000000"/>
          <w:sz w:val="22"/>
          <w:szCs w:val="22"/>
        </w:rPr>
        <w:t>in all-cause mortality risk in comparison to early SRT.</w:t>
      </w:r>
    </w:p>
    <w:p w14:paraId="6BD8226A" w14:textId="77777777" w:rsidR="000337C9" w:rsidRPr="000337C9" w:rsidRDefault="000337C9" w:rsidP="000337C9">
      <w:pPr>
        <w:spacing w:line="276" w:lineRule="auto"/>
        <w:rPr>
          <w:rFonts w:ascii="Calibri" w:hAnsi="Calibri" w:cs="Calibri"/>
          <w:i/>
          <w:iCs/>
          <w:color w:val="000000"/>
          <w:sz w:val="22"/>
          <w:szCs w:val="22"/>
        </w:rPr>
      </w:pPr>
    </w:p>
    <w:p w14:paraId="777B1A7C" w14:textId="77777777" w:rsidR="000337C9" w:rsidRPr="000337C9" w:rsidRDefault="000337C9" w:rsidP="000337C9">
      <w:pPr>
        <w:autoSpaceDE w:val="0"/>
        <w:autoSpaceDN w:val="0"/>
        <w:adjustRightInd w:val="0"/>
        <w:spacing w:line="276" w:lineRule="auto"/>
        <w:jc w:val="both"/>
        <w:rPr>
          <w:rFonts w:ascii="Calibri" w:eastAsia="HelveticaNeue-Roman" w:hAnsi="Calibri" w:cs="Calibri"/>
          <w:noProof/>
          <w:color w:val="000000"/>
          <w:sz w:val="22"/>
          <w:szCs w:val="22"/>
        </w:rPr>
      </w:pPr>
    </w:p>
    <w:p w14:paraId="30EE9395" w14:textId="7E9F4ED6" w:rsidR="000337C9" w:rsidRPr="000337C9" w:rsidRDefault="000337C9" w:rsidP="000337C9">
      <w:pPr>
        <w:autoSpaceDE w:val="0"/>
        <w:autoSpaceDN w:val="0"/>
        <w:adjustRightInd w:val="0"/>
        <w:spacing w:line="276" w:lineRule="auto"/>
        <w:jc w:val="both"/>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Table 3: Randomised controlled trials comparing salvage radiotherapy combined with androgen deprivation therapy vs. salvage radiotherapy alone</w:t>
      </w:r>
    </w:p>
    <w:p w14:paraId="4BA07A4B" w14:textId="77777777" w:rsidR="000337C9" w:rsidRPr="000337C9" w:rsidRDefault="000337C9" w:rsidP="000337C9">
      <w:pPr>
        <w:autoSpaceDE w:val="0"/>
        <w:autoSpaceDN w:val="0"/>
        <w:adjustRightInd w:val="0"/>
        <w:spacing w:line="276" w:lineRule="auto"/>
        <w:rPr>
          <w:rFonts w:ascii="Calibri" w:eastAsia="Calibri" w:hAnsi="Calibri" w:cs="Calibri"/>
          <w:i/>
          <w:iCs/>
          <w:noProof/>
          <w:color w:val="000000"/>
          <w:sz w:val="22"/>
          <w:szCs w:val="22"/>
        </w:rPr>
      </w:pPr>
    </w:p>
    <w:tbl>
      <w:tblPr>
        <w:tblStyle w:val="TableGrid44"/>
        <w:tblW w:w="0" w:type="auto"/>
        <w:tblLook w:val="04A0" w:firstRow="1" w:lastRow="0" w:firstColumn="1" w:lastColumn="0" w:noHBand="0" w:noVBand="1"/>
      </w:tblPr>
      <w:tblGrid>
        <w:gridCol w:w="1653"/>
        <w:gridCol w:w="1072"/>
        <w:gridCol w:w="1276"/>
        <w:gridCol w:w="1082"/>
        <w:gridCol w:w="1827"/>
        <w:gridCol w:w="2106"/>
      </w:tblGrid>
      <w:tr w:rsidR="000337C9" w:rsidRPr="000337C9" w14:paraId="6EF9F899" w14:textId="77777777" w:rsidTr="00B83C6E">
        <w:tc>
          <w:tcPr>
            <w:tcW w:w="1653" w:type="dxa"/>
            <w:shd w:val="clear" w:color="auto" w:fill="F2F2F2"/>
          </w:tcPr>
          <w:p w14:paraId="66806DCE" w14:textId="77777777" w:rsidR="000337C9" w:rsidRPr="000337C9" w:rsidRDefault="000337C9" w:rsidP="000337C9">
            <w:pPr>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Study</w:t>
            </w:r>
          </w:p>
        </w:tc>
        <w:tc>
          <w:tcPr>
            <w:tcW w:w="1072" w:type="dxa"/>
            <w:shd w:val="clear" w:color="auto" w:fill="F2F2F2"/>
          </w:tcPr>
          <w:p w14:paraId="68015A84" w14:textId="77777777" w:rsidR="000337C9" w:rsidRPr="000337C9" w:rsidRDefault="000337C9" w:rsidP="000337C9">
            <w:pPr>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n</w:t>
            </w:r>
          </w:p>
        </w:tc>
        <w:tc>
          <w:tcPr>
            <w:tcW w:w="1276" w:type="dxa"/>
            <w:shd w:val="clear" w:color="auto" w:fill="F2F2F2"/>
          </w:tcPr>
          <w:p w14:paraId="16FA5C43" w14:textId="77777777" w:rsidR="000337C9" w:rsidRPr="000337C9" w:rsidRDefault="000337C9" w:rsidP="000337C9">
            <w:pPr>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Risk groups</w:t>
            </w:r>
          </w:p>
        </w:tc>
        <w:tc>
          <w:tcPr>
            <w:tcW w:w="1082" w:type="dxa"/>
            <w:shd w:val="clear" w:color="auto" w:fill="F2F2F2"/>
          </w:tcPr>
          <w:p w14:paraId="1DB235CE" w14:textId="77777777" w:rsidR="000337C9" w:rsidRPr="000337C9" w:rsidRDefault="000337C9" w:rsidP="000337C9">
            <w:pPr>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Median</w:t>
            </w:r>
          </w:p>
          <w:p w14:paraId="58C6F3E7" w14:textId="77777777" w:rsidR="000337C9" w:rsidRPr="000337C9" w:rsidRDefault="000337C9" w:rsidP="000337C9">
            <w:pPr>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FU (mo)</w:t>
            </w:r>
          </w:p>
        </w:tc>
        <w:tc>
          <w:tcPr>
            <w:tcW w:w="1827" w:type="dxa"/>
            <w:shd w:val="clear" w:color="auto" w:fill="F2F2F2"/>
          </w:tcPr>
          <w:p w14:paraId="6387DD7A" w14:textId="77777777" w:rsidR="000337C9" w:rsidRPr="000337C9" w:rsidRDefault="000337C9" w:rsidP="000337C9">
            <w:pPr>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Regimen</w:t>
            </w:r>
          </w:p>
        </w:tc>
        <w:tc>
          <w:tcPr>
            <w:tcW w:w="2106" w:type="dxa"/>
            <w:shd w:val="clear" w:color="auto" w:fill="F2F2F2"/>
          </w:tcPr>
          <w:p w14:paraId="6E48751F" w14:textId="77777777" w:rsidR="000337C9" w:rsidRPr="000337C9" w:rsidRDefault="000337C9" w:rsidP="000337C9">
            <w:pPr>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Outcome</w:t>
            </w:r>
          </w:p>
          <w:p w14:paraId="6CC2245D" w14:textId="77777777" w:rsidR="000337C9" w:rsidRPr="000337C9" w:rsidRDefault="000337C9" w:rsidP="000337C9">
            <w:pPr>
              <w:adjustRightInd w:val="0"/>
              <w:spacing w:line="276" w:lineRule="auto"/>
              <w:rPr>
                <w:rFonts w:ascii="Calibri" w:eastAsia="Calibri" w:hAnsi="Calibri" w:cs="Calibri"/>
                <w:b/>
                <w:bCs/>
                <w:noProof/>
                <w:color w:val="000000"/>
                <w:sz w:val="22"/>
                <w:szCs w:val="22"/>
              </w:rPr>
            </w:pPr>
          </w:p>
        </w:tc>
      </w:tr>
      <w:tr w:rsidR="000337C9" w:rsidRPr="000337C9" w14:paraId="7B1278CE" w14:textId="77777777" w:rsidTr="00B83C6E">
        <w:tc>
          <w:tcPr>
            <w:tcW w:w="1653" w:type="dxa"/>
          </w:tcPr>
          <w:p w14:paraId="06C2E651" w14:textId="506D9EF2" w:rsidR="000337C9" w:rsidRPr="000337C9" w:rsidRDefault="00FA7C43" w:rsidP="000337C9">
            <w:pPr>
              <w:adjustRightInd w:val="0"/>
              <w:spacing w:line="276" w:lineRule="auto"/>
              <w:rPr>
                <w:rFonts w:ascii="Calibri" w:eastAsia="Calibri" w:hAnsi="Calibri" w:cs="Calibri"/>
                <w:noProof/>
                <w:color w:val="000000"/>
                <w:sz w:val="22"/>
                <w:szCs w:val="22"/>
              </w:rPr>
            </w:pPr>
            <w:r>
              <w:rPr>
                <w:rFonts w:ascii="Calibri" w:eastAsia="Calibri" w:hAnsi="Calibri" w:cs="Calibri"/>
                <w:noProof/>
                <w:color w:val="000000"/>
                <w:sz w:val="22"/>
                <w:szCs w:val="22"/>
              </w:rPr>
              <w:t>GETUG-AFU 16 2019 [23</w:t>
            </w:r>
            <w:r w:rsidR="000337C9" w:rsidRPr="000337C9">
              <w:rPr>
                <w:rFonts w:ascii="Calibri" w:eastAsia="Calibri" w:hAnsi="Calibri" w:cs="Calibri"/>
                <w:noProof/>
                <w:color w:val="000000"/>
                <w:sz w:val="22"/>
                <w:szCs w:val="22"/>
              </w:rPr>
              <w:t xml:space="preserve">] </w:t>
            </w:r>
          </w:p>
        </w:tc>
        <w:tc>
          <w:tcPr>
            <w:tcW w:w="1072" w:type="dxa"/>
          </w:tcPr>
          <w:p w14:paraId="7E0A7814" w14:textId="77777777" w:rsidR="000337C9" w:rsidRPr="000337C9" w:rsidRDefault="000337C9" w:rsidP="000337C9">
            <w:pPr>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 xml:space="preserve">369 RT + ADT </w:t>
            </w:r>
          </w:p>
          <w:p w14:paraId="72ADA27B" w14:textId="77777777" w:rsidR="000337C9" w:rsidRPr="000337C9" w:rsidRDefault="000337C9" w:rsidP="000337C9">
            <w:pPr>
              <w:adjustRightInd w:val="0"/>
              <w:spacing w:line="276" w:lineRule="auto"/>
              <w:rPr>
                <w:rFonts w:ascii="Calibri" w:eastAsia="Calibri" w:hAnsi="Calibri" w:cs="Calibri"/>
                <w:noProof/>
                <w:color w:val="000000"/>
                <w:sz w:val="22"/>
                <w:szCs w:val="22"/>
              </w:rPr>
            </w:pPr>
          </w:p>
          <w:p w14:paraId="0A3F3568" w14:textId="77777777" w:rsidR="000337C9" w:rsidRPr="000337C9" w:rsidRDefault="000337C9" w:rsidP="000337C9">
            <w:pPr>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374 RT</w:t>
            </w:r>
          </w:p>
        </w:tc>
        <w:tc>
          <w:tcPr>
            <w:tcW w:w="1276" w:type="dxa"/>
          </w:tcPr>
          <w:p w14:paraId="35F09FD6" w14:textId="77777777" w:rsidR="000337C9" w:rsidRPr="000337C9" w:rsidRDefault="000337C9" w:rsidP="000337C9">
            <w:pPr>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 xml:space="preserve">ISUP grade </w:t>
            </w:r>
            <w:r w:rsidRPr="000337C9">
              <w:rPr>
                <w:rFonts w:ascii="Calibri" w:eastAsia="HelveticaNeue-Roman" w:hAnsi="Calibri" w:cs="Calibri"/>
                <w:color w:val="000000"/>
                <w:sz w:val="22"/>
                <w:szCs w:val="22"/>
              </w:rPr>
              <w:t>group</w:t>
            </w:r>
          </w:p>
          <w:p w14:paraId="6B30B266" w14:textId="77777777" w:rsidR="000337C9" w:rsidRPr="000337C9" w:rsidRDefault="000337C9" w:rsidP="000337C9">
            <w:pPr>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 2/3 89%,</w:t>
            </w:r>
          </w:p>
          <w:p w14:paraId="4638F535" w14:textId="77777777" w:rsidR="000337C9" w:rsidRPr="000337C9" w:rsidRDefault="000337C9" w:rsidP="000337C9">
            <w:pPr>
              <w:adjustRightInd w:val="0"/>
              <w:spacing w:line="276" w:lineRule="auto"/>
              <w:rPr>
                <w:rFonts w:ascii="Calibri" w:eastAsia="Calibri" w:hAnsi="Calibri" w:cs="Calibri"/>
                <w:noProof/>
                <w:color w:val="000000"/>
                <w:sz w:val="22"/>
                <w:szCs w:val="22"/>
              </w:rPr>
            </w:pPr>
          </w:p>
          <w:p w14:paraId="1223B95D" w14:textId="77777777" w:rsidR="000337C9" w:rsidRPr="000337C9" w:rsidRDefault="000337C9" w:rsidP="000337C9">
            <w:pPr>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 xml:space="preserve">ISUP grade </w:t>
            </w:r>
            <w:r w:rsidRPr="000337C9">
              <w:rPr>
                <w:rFonts w:ascii="Calibri" w:eastAsia="HelveticaNeue-Roman" w:hAnsi="Calibri" w:cs="Calibri"/>
                <w:color w:val="000000"/>
                <w:sz w:val="22"/>
                <w:szCs w:val="22"/>
              </w:rPr>
              <w:t>group</w:t>
            </w:r>
          </w:p>
          <w:p w14:paraId="7F8AE6B8" w14:textId="77777777" w:rsidR="000337C9" w:rsidRPr="000337C9" w:rsidRDefault="000337C9" w:rsidP="000337C9">
            <w:pPr>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 4 11%</w:t>
            </w:r>
          </w:p>
          <w:p w14:paraId="0EC21B0E" w14:textId="77777777" w:rsidR="000337C9" w:rsidRPr="000337C9" w:rsidRDefault="000337C9" w:rsidP="000337C9">
            <w:pPr>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cN0</w:t>
            </w:r>
          </w:p>
        </w:tc>
        <w:tc>
          <w:tcPr>
            <w:tcW w:w="1082" w:type="dxa"/>
          </w:tcPr>
          <w:p w14:paraId="4794A574" w14:textId="77777777" w:rsidR="000337C9" w:rsidRPr="000337C9" w:rsidRDefault="000337C9" w:rsidP="000337C9">
            <w:pPr>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t>112</w:t>
            </w:r>
          </w:p>
        </w:tc>
        <w:tc>
          <w:tcPr>
            <w:tcW w:w="1827" w:type="dxa"/>
          </w:tcPr>
          <w:p w14:paraId="2C9C23EA"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 xml:space="preserve">66 Gy </w:t>
            </w:r>
            <w:r w:rsidRPr="000337C9">
              <w:rPr>
                <w:rFonts w:ascii="Calibri" w:eastAsia="Calibri" w:hAnsi="Calibri" w:cs="Calibri"/>
                <w:bCs/>
                <w:noProof/>
                <w:sz w:val="22"/>
                <w:szCs w:val="22"/>
              </w:rPr>
              <w:t>PBRT</w:t>
            </w:r>
            <w:r w:rsidRPr="000337C9">
              <w:rPr>
                <w:rFonts w:ascii="Calibri" w:eastAsia="Calibri" w:hAnsi="Calibri" w:cs="Calibri"/>
                <w:noProof/>
                <w:sz w:val="22"/>
                <w:szCs w:val="22"/>
              </w:rPr>
              <w:t xml:space="preserve">+ 6 mo. LHRH analogue </w:t>
            </w:r>
          </w:p>
          <w:p w14:paraId="7D1A9A80"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66 Gy PBRT</w:t>
            </w:r>
          </w:p>
          <w:p w14:paraId="00A6202F" w14:textId="77777777" w:rsidR="000337C9" w:rsidRPr="000337C9" w:rsidRDefault="000337C9" w:rsidP="000337C9">
            <w:pPr>
              <w:adjustRightInd w:val="0"/>
              <w:spacing w:line="276" w:lineRule="auto"/>
              <w:rPr>
                <w:rFonts w:ascii="Calibri" w:eastAsia="Calibri" w:hAnsi="Calibri" w:cs="Calibri"/>
                <w:b/>
                <w:noProof/>
                <w:color w:val="000000"/>
                <w:sz w:val="22"/>
                <w:szCs w:val="22"/>
              </w:rPr>
            </w:pPr>
          </w:p>
        </w:tc>
        <w:tc>
          <w:tcPr>
            <w:tcW w:w="2106" w:type="dxa"/>
          </w:tcPr>
          <w:p w14:paraId="002D4BF9" w14:textId="77777777" w:rsidR="000337C9" w:rsidRPr="000337C9" w:rsidRDefault="000337C9" w:rsidP="000337C9">
            <w:pPr>
              <w:adjustRightInd w:val="0"/>
              <w:spacing w:line="276" w:lineRule="auto"/>
              <w:rPr>
                <w:rFonts w:ascii="Calibri" w:eastAsia="Calibri" w:hAnsi="Calibri" w:cs="Calibri"/>
                <w:b/>
                <w:noProof/>
                <w:color w:val="000000"/>
                <w:sz w:val="22"/>
                <w:szCs w:val="22"/>
                <w:lang w:val="de-DE"/>
              </w:rPr>
            </w:pPr>
            <w:r w:rsidRPr="000337C9">
              <w:rPr>
                <w:rFonts w:ascii="Calibri" w:eastAsia="Calibri" w:hAnsi="Calibri" w:cs="Calibri"/>
                <w:b/>
                <w:noProof/>
                <w:color w:val="000000"/>
                <w:sz w:val="22"/>
                <w:szCs w:val="22"/>
                <w:lang w:val="de-DE"/>
              </w:rPr>
              <w:t>10-yr.</w:t>
            </w:r>
          </w:p>
          <w:p w14:paraId="64C838F7" w14:textId="77777777" w:rsidR="000337C9" w:rsidRPr="000337C9" w:rsidRDefault="000337C9" w:rsidP="000337C9">
            <w:pPr>
              <w:adjustRightInd w:val="0"/>
              <w:spacing w:line="276" w:lineRule="auto"/>
              <w:rPr>
                <w:rFonts w:ascii="Calibri" w:eastAsia="Calibri" w:hAnsi="Calibri" w:cs="Calibri"/>
                <w:b/>
                <w:noProof/>
                <w:color w:val="000000"/>
                <w:sz w:val="22"/>
                <w:szCs w:val="22"/>
                <w:lang w:val="de-DE"/>
              </w:rPr>
            </w:pPr>
            <w:r w:rsidRPr="000337C9">
              <w:rPr>
                <w:rFonts w:ascii="Calibri" w:eastAsia="Calibri" w:hAnsi="Calibri" w:cs="Calibri"/>
                <w:b/>
                <w:noProof/>
                <w:color w:val="000000"/>
                <w:sz w:val="22"/>
                <w:szCs w:val="22"/>
                <w:lang w:val="de-DE"/>
              </w:rPr>
              <w:t>PFS: RT + ADT, 64%</w:t>
            </w:r>
          </w:p>
          <w:p w14:paraId="703E5931" w14:textId="77777777" w:rsidR="000337C9" w:rsidRPr="000337C9" w:rsidRDefault="000337C9" w:rsidP="000337C9">
            <w:pPr>
              <w:adjustRightInd w:val="0"/>
              <w:spacing w:line="276" w:lineRule="auto"/>
              <w:rPr>
                <w:rFonts w:ascii="Calibri" w:eastAsia="Calibri" w:hAnsi="Calibri" w:cs="Calibri"/>
                <w:b/>
                <w:noProof/>
                <w:color w:val="000000"/>
                <w:sz w:val="22"/>
                <w:szCs w:val="22"/>
                <w:lang w:val="de-DE"/>
              </w:rPr>
            </w:pPr>
            <w:r w:rsidRPr="000337C9">
              <w:rPr>
                <w:rFonts w:ascii="Calibri" w:eastAsia="Calibri" w:hAnsi="Calibri" w:cs="Calibri"/>
                <w:b/>
                <w:noProof/>
                <w:color w:val="000000"/>
                <w:sz w:val="22"/>
                <w:szCs w:val="22"/>
                <w:lang w:val="de-DE"/>
              </w:rPr>
              <w:t>PFS: RT, 49%</w:t>
            </w:r>
          </w:p>
          <w:p w14:paraId="22F0B21A" w14:textId="77777777" w:rsidR="000337C9" w:rsidRPr="000337C9" w:rsidRDefault="000337C9" w:rsidP="000337C9">
            <w:pPr>
              <w:adjustRightInd w:val="0"/>
              <w:spacing w:line="276" w:lineRule="auto"/>
              <w:rPr>
                <w:rFonts w:ascii="Calibri" w:eastAsia="Calibri" w:hAnsi="Calibri" w:cs="Calibri"/>
                <w:noProof/>
                <w:color w:val="000000"/>
                <w:sz w:val="22"/>
                <w:szCs w:val="22"/>
                <w:lang w:val="de-DE"/>
              </w:rPr>
            </w:pPr>
            <w:r w:rsidRPr="000337C9">
              <w:rPr>
                <w:rFonts w:ascii="Calibri" w:eastAsia="Calibri" w:hAnsi="Calibri" w:cs="Calibri"/>
                <w:noProof/>
                <w:color w:val="000000"/>
                <w:sz w:val="22"/>
                <w:szCs w:val="22"/>
                <w:lang w:val="de-DE"/>
              </w:rPr>
              <w:t>p &lt; 0.0001</w:t>
            </w:r>
          </w:p>
          <w:p w14:paraId="06ED4852" w14:textId="77777777" w:rsidR="000337C9" w:rsidRPr="000337C9" w:rsidRDefault="000337C9" w:rsidP="000337C9">
            <w:pPr>
              <w:adjustRightInd w:val="0"/>
              <w:spacing w:line="276" w:lineRule="auto"/>
              <w:rPr>
                <w:rFonts w:ascii="Calibri" w:eastAsia="Calibri" w:hAnsi="Calibri" w:cs="Calibri"/>
                <w:b/>
                <w:noProof/>
                <w:color w:val="000000"/>
                <w:sz w:val="22"/>
                <w:szCs w:val="22"/>
                <w:lang w:val="de-DE"/>
              </w:rPr>
            </w:pPr>
            <w:r w:rsidRPr="000337C9">
              <w:rPr>
                <w:rFonts w:ascii="Calibri" w:eastAsia="Calibri" w:hAnsi="Calibri" w:cs="Calibri"/>
                <w:b/>
                <w:noProof/>
                <w:color w:val="000000"/>
                <w:sz w:val="22"/>
                <w:szCs w:val="22"/>
                <w:lang w:val="de-DE"/>
              </w:rPr>
              <w:t>MFS: RT + ADT, 75%</w:t>
            </w:r>
          </w:p>
          <w:p w14:paraId="57FC2018" w14:textId="77777777" w:rsidR="000337C9" w:rsidRPr="000337C9" w:rsidRDefault="000337C9" w:rsidP="000337C9">
            <w:pPr>
              <w:adjustRightInd w:val="0"/>
              <w:spacing w:line="276" w:lineRule="auto"/>
              <w:rPr>
                <w:rFonts w:ascii="Calibri" w:eastAsia="Calibri" w:hAnsi="Calibri" w:cs="Calibri"/>
                <w:b/>
                <w:noProof/>
                <w:color w:val="000000"/>
                <w:sz w:val="22"/>
                <w:szCs w:val="22"/>
                <w:lang w:val="de-DE"/>
              </w:rPr>
            </w:pPr>
            <w:r w:rsidRPr="000337C9">
              <w:rPr>
                <w:rFonts w:ascii="Calibri" w:eastAsia="Calibri" w:hAnsi="Calibri" w:cs="Calibri"/>
                <w:b/>
                <w:noProof/>
                <w:color w:val="000000"/>
                <w:sz w:val="22"/>
                <w:szCs w:val="22"/>
                <w:lang w:val="de-DE"/>
              </w:rPr>
              <w:t>MFS: RT, 69%</w:t>
            </w:r>
          </w:p>
          <w:p w14:paraId="7E681C4C" w14:textId="77777777" w:rsidR="000337C9" w:rsidRPr="000337C9" w:rsidRDefault="000337C9" w:rsidP="000337C9">
            <w:pPr>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 = 0.034</w:t>
            </w:r>
          </w:p>
        </w:tc>
      </w:tr>
      <w:tr w:rsidR="000337C9" w:rsidRPr="000337C9" w14:paraId="35B40501" w14:textId="77777777" w:rsidTr="00B83C6E">
        <w:tc>
          <w:tcPr>
            <w:tcW w:w="1653" w:type="dxa"/>
            <w:shd w:val="clear" w:color="auto" w:fill="F2F2F2"/>
          </w:tcPr>
          <w:p w14:paraId="0EB177F1" w14:textId="77777777" w:rsidR="000337C9" w:rsidRPr="000337C9" w:rsidRDefault="000337C9" w:rsidP="000337C9">
            <w:pPr>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RTOG 9601</w:t>
            </w:r>
          </w:p>
          <w:p w14:paraId="49530AD4" w14:textId="773134FE" w:rsidR="000337C9" w:rsidRPr="000337C9" w:rsidRDefault="00FA7C43" w:rsidP="000337C9">
            <w:pPr>
              <w:adjustRightInd w:val="0"/>
              <w:spacing w:line="276" w:lineRule="auto"/>
              <w:rPr>
                <w:rFonts w:ascii="Calibri" w:eastAsia="Calibri" w:hAnsi="Calibri" w:cs="Calibri"/>
                <w:noProof/>
                <w:color w:val="000000"/>
                <w:sz w:val="22"/>
                <w:szCs w:val="22"/>
              </w:rPr>
            </w:pPr>
            <w:r>
              <w:rPr>
                <w:rFonts w:ascii="Calibri" w:eastAsia="Calibri" w:hAnsi="Calibri" w:cs="Calibri"/>
                <w:noProof/>
                <w:color w:val="000000"/>
                <w:sz w:val="22"/>
                <w:szCs w:val="22"/>
              </w:rPr>
              <w:t>2017 [24</w:t>
            </w:r>
            <w:r w:rsidR="000337C9" w:rsidRPr="000337C9">
              <w:rPr>
                <w:rFonts w:ascii="Calibri" w:eastAsia="Calibri" w:hAnsi="Calibri" w:cs="Calibri"/>
                <w:noProof/>
                <w:color w:val="000000"/>
                <w:sz w:val="22"/>
                <w:szCs w:val="22"/>
              </w:rPr>
              <w:t xml:space="preserve">] </w:t>
            </w:r>
          </w:p>
        </w:tc>
        <w:tc>
          <w:tcPr>
            <w:tcW w:w="1072" w:type="dxa"/>
            <w:shd w:val="clear" w:color="auto" w:fill="F2F2F2"/>
          </w:tcPr>
          <w:p w14:paraId="11D33C4A"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 xml:space="preserve">384 SRT + ADT </w:t>
            </w:r>
          </w:p>
          <w:p w14:paraId="6FBC8B1E" w14:textId="77777777" w:rsidR="000337C9" w:rsidRPr="000337C9" w:rsidRDefault="000337C9" w:rsidP="000337C9">
            <w:pPr>
              <w:adjustRightInd w:val="0"/>
              <w:spacing w:line="276" w:lineRule="auto"/>
              <w:rPr>
                <w:rFonts w:ascii="Calibri" w:eastAsia="Calibri" w:hAnsi="Calibri" w:cs="Calibri"/>
                <w:noProof/>
                <w:sz w:val="22"/>
                <w:szCs w:val="22"/>
              </w:rPr>
            </w:pPr>
          </w:p>
          <w:p w14:paraId="2F31EC7E"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376 RT</w:t>
            </w:r>
          </w:p>
        </w:tc>
        <w:tc>
          <w:tcPr>
            <w:tcW w:w="1276" w:type="dxa"/>
            <w:shd w:val="clear" w:color="auto" w:fill="F2F2F2"/>
          </w:tcPr>
          <w:p w14:paraId="294A7B83"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pT2 R1, pT3</w:t>
            </w:r>
          </w:p>
          <w:p w14:paraId="29710CFC"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cN0</w:t>
            </w:r>
          </w:p>
        </w:tc>
        <w:tc>
          <w:tcPr>
            <w:tcW w:w="1082" w:type="dxa"/>
            <w:shd w:val="clear" w:color="auto" w:fill="F2F2F2"/>
          </w:tcPr>
          <w:p w14:paraId="710BE275" w14:textId="77777777" w:rsidR="000337C9" w:rsidRPr="000337C9" w:rsidRDefault="000337C9" w:rsidP="000337C9">
            <w:pPr>
              <w:adjustRightInd w:val="0"/>
              <w:spacing w:line="276" w:lineRule="auto"/>
              <w:rPr>
                <w:rFonts w:ascii="Calibri" w:eastAsia="Calibri" w:hAnsi="Calibri" w:cs="Calibri"/>
                <w:b/>
                <w:bCs/>
                <w:noProof/>
                <w:sz w:val="22"/>
                <w:szCs w:val="22"/>
              </w:rPr>
            </w:pPr>
            <w:r w:rsidRPr="000337C9">
              <w:rPr>
                <w:rFonts w:ascii="Calibri" w:eastAsia="Calibri" w:hAnsi="Calibri" w:cs="Calibri"/>
                <w:noProof/>
                <w:sz w:val="22"/>
                <w:szCs w:val="22"/>
              </w:rPr>
              <w:t>156</w:t>
            </w:r>
          </w:p>
        </w:tc>
        <w:tc>
          <w:tcPr>
            <w:tcW w:w="1827" w:type="dxa"/>
            <w:shd w:val="clear" w:color="auto" w:fill="F2F2F2"/>
          </w:tcPr>
          <w:p w14:paraId="6FFB8435"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64.8 Gy PBRT + bicalutamide</w:t>
            </w:r>
          </w:p>
          <w:p w14:paraId="1F0BE010"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 xml:space="preserve">24 mo. </w:t>
            </w:r>
          </w:p>
          <w:p w14:paraId="259F9490" w14:textId="77777777" w:rsidR="000337C9" w:rsidRPr="000337C9" w:rsidRDefault="000337C9" w:rsidP="000337C9">
            <w:pPr>
              <w:adjustRightInd w:val="0"/>
              <w:spacing w:line="276" w:lineRule="auto"/>
              <w:rPr>
                <w:rFonts w:ascii="Calibri" w:eastAsia="Calibri" w:hAnsi="Calibri" w:cs="Calibri"/>
                <w:noProof/>
                <w:sz w:val="22"/>
                <w:szCs w:val="22"/>
              </w:rPr>
            </w:pPr>
          </w:p>
          <w:p w14:paraId="76132E7A"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64.8 Gy PBRT + placebo</w:t>
            </w:r>
          </w:p>
        </w:tc>
        <w:tc>
          <w:tcPr>
            <w:tcW w:w="2106" w:type="dxa"/>
            <w:shd w:val="clear" w:color="auto" w:fill="F2F2F2"/>
          </w:tcPr>
          <w:p w14:paraId="58EAFA2D"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12-yr.</w:t>
            </w:r>
          </w:p>
          <w:p w14:paraId="498C73ED"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cumulative DM</w:t>
            </w:r>
          </w:p>
          <w:p w14:paraId="2C48344C"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RT + ADT: 14%</w:t>
            </w:r>
          </w:p>
          <w:p w14:paraId="690B2258"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RT + placebo: 23%</w:t>
            </w:r>
          </w:p>
          <w:p w14:paraId="6B3188E5"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p = 0.005</w:t>
            </w:r>
          </w:p>
          <w:p w14:paraId="665DADDA"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OS</w:t>
            </w:r>
          </w:p>
          <w:p w14:paraId="32E37D5B"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RT + ADT: 76%</w:t>
            </w:r>
          </w:p>
          <w:p w14:paraId="5C4CDAE2"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RT + placebo: 71%</w:t>
            </w:r>
          </w:p>
          <w:p w14:paraId="0B75ED3E"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p = 0.04</w:t>
            </w:r>
          </w:p>
          <w:p w14:paraId="461B0E88"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DSM</w:t>
            </w:r>
          </w:p>
          <w:p w14:paraId="17095B4A"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RT + ADT: 5.8%</w:t>
            </w:r>
          </w:p>
          <w:p w14:paraId="5CFFDE3A"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RT + placebo: 13.4%</w:t>
            </w:r>
          </w:p>
          <w:p w14:paraId="5EFD47B0"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p &lt; 0.001</w:t>
            </w:r>
          </w:p>
        </w:tc>
      </w:tr>
      <w:tr w:rsidR="000337C9" w:rsidRPr="000337C9" w14:paraId="6D19880F" w14:textId="77777777" w:rsidTr="00B83C6E">
        <w:tc>
          <w:tcPr>
            <w:tcW w:w="1653" w:type="dxa"/>
          </w:tcPr>
          <w:p w14:paraId="5630B793" w14:textId="5396193C" w:rsidR="000337C9" w:rsidRPr="000337C9" w:rsidRDefault="000337C9" w:rsidP="000337C9">
            <w:pPr>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sz w:val="22"/>
                <w:szCs w:val="22"/>
              </w:rPr>
              <w:t>N</w:t>
            </w:r>
            <w:r w:rsidR="00FA7C43">
              <w:rPr>
                <w:rFonts w:ascii="Calibri" w:eastAsia="Calibri" w:hAnsi="Calibri" w:cs="Calibri"/>
                <w:noProof/>
                <w:sz w:val="22"/>
                <w:szCs w:val="22"/>
              </w:rPr>
              <w:t>RG Oncology/RTOG 0534 SPPORT [25</w:t>
            </w:r>
            <w:r w:rsidRPr="000337C9">
              <w:rPr>
                <w:rFonts w:ascii="Calibri" w:eastAsia="Calibri" w:hAnsi="Calibri" w:cs="Calibri"/>
                <w:noProof/>
                <w:sz w:val="22"/>
                <w:szCs w:val="22"/>
              </w:rPr>
              <w:t xml:space="preserve">] </w:t>
            </w:r>
          </w:p>
        </w:tc>
        <w:tc>
          <w:tcPr>
            <w:tcW w:w="1072" w:type="dxa"/>
          </w:tcPr>
          <w:p w14:paraId="441D3C97" w14:textId="723C2D77" w:rsidR="00593D25" w:rsidRPr="00593D25" w:rsidRDefault="00593D25" w:rsidP="00593D25">
            <w:pPr>
              <w:spacing w:before="100" w:beforeAutospacing="1" w:after="100" w:afterAutospacing="1"/>
              <w:rPr>
                <w:rFonts w:ascii="Calibri" w:hAnsi="Calibri" w:cs="Calibri"/>
                <w:color w:val="000000"/>
                <w:lang w:val="de-DE"/>
              </w:rPr>
            </w:pPr>
            <w:r>
              <w:rPr>
                <w:rFonts w:ascii="Calibri" w:hAnsi="Calibri" w:cs="Calibri"/>
                <w:color w:val="000000"/>
                <w:sz w:val="22"/>
                <w:szCs w:val="22"/>
                <w:lang w:val="de-DE"/>
              </w:rPr>
              <w:t>564 SRT </w:t>
            </w:r>
          </w:p>
          <w:p w14:paraId="60D2FAF2" w14:textId="1183F171" w:rsidR="00593D25" w:rsidRPr="00593D25" w:rsidRDefault="00593D25" w:rsidP="00593D25">
            <w:pPr>
              <w:spacing w:before="100" w:beforeAutospacing="1" w:after="100" w:afterAutospacing="1"/>
              <w:rPr>
                <w:rFonts w:ascii="Calibri" w:hAnsi="Calibri" w:cs="Calibri"/>
                <w:color w:val="000000"/>
                <w:lang w:val="de-DE"/>
              </w:rPr>
            </w:pPr>
            <w:r>
              <w:rPr>
                <w:rFonts w:ascii="Calibri" w:hAnsi="Calibri" w:cs="Calibri"/>
                <w:color w:val="000000"/>
                <w:sz w:val="22"/>
                <w:szCs w:val="22"/>
                <w:lang w:val="de-DE"/>
              </w:rPr>
              <w:t>578 SRT + ADT</w:t>
            </w:r>
          </w:p>
          <w:p w14:paraId="18F1F7A0" w14:textId="77777777" w:rsidR="00593D25" w:rsidRPr="00593D25" w:rsidRDefault="00593D25" w:rsidP="00593D25">
            <w:pPr>
              <w:spacing w:before="100" w:beforeAutospacing="1" w:after="100" w:afterAutospacing="1"/>
              <w:rPr>
                <w:rFonts w:ascii="Calibri" w:hAnsi="Calibri" w:cs="Calibri"/>
                <w:color w:val="000000"/>
                <w:lang w:val="de-DE"/>
              </w:rPr>
            </w:pPr>
            <w:r>
              <w:rPr>
                <w:rFonts w:ascii="Calibri" w:hAnsi="Calibri" w:cs="Calibri"/>
                <w:color w:val="000000"/>
                <w:sz w:val="22"/>
                <w:szCs w:val="22"/>
                <w:lang w:val="de-DE"/>
              </w:rPr>
              <w:lastRenderedPageBreak/>
              <w:t>574 SRT + PBRT + ADT</w:t>
            </w:r>
          </w:p>
          <w:p w14:paraId="15B56335" w14:textId="77777777" w:rsidR="00593D25" w:rsidRPr="00593D25" w:rsidRDefault="00593D25" w:rsidP="00593D25">
            <w:pPr>
              <w:rPr>
                <w:rFonts w:ascii="Times New Roman" w:hAnsi="Times New Roman" w:cs="Times New Roman"/>
                <w:lang w:val="de-DE"/>
              </w:rPr>
            </w:pPr>
          </w:p>
          <w:p w14:paraId="6E1160D8" w14:textId="77777777" w:rsidR="000337C9" w:rsidRPr="000337C9" w:rsidRDefault="000337C9" w:rsidP="000337C9">
            <w:pPr>
              <w:adjustRightInd w:val="0"/>
              <w:spacing w:line="276" w:lineRule="auto"/>
              <w:rPr>
                <w:rFonts w:ascii="Calibri" w:eastAsia="Calibri" w:hAnsi="Calibri" w:cs="Calibri"/>
                <w:noProof/>
                <w:sz w:val="22"/>
                <w:szCs w:val="22"/>
                <w:lang w:val="de-DE"/>
              </w:rPr>
            </w:pPr>
          </w:p>
        </w:tc>
        <w:tc>
          <w:tcPr>
            <w:tcW w:w="1276" w:type="dxa"/>
          </w:tcPr>
          <w:p w14:paraId="2BBD29C5"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lastRenderedPageBreak/>
              <w:t>pT2 or pT3</w:t>
            </w:r>
          </w:p>
          <w:p w14:paraId="12F8223E" w14:textId="77777777" w:rsidR="000337C9" w:rsidRPr="000337C9" w:rsidRDefault="000337C9" w:rsidP="000337C9">
            <w:pPr>
              <w:adjustRightInd w:val="0"/>
              <w:spacing w:line="276" w:lineRule="auto"/>
              <w:rPr>
                <w:rFonts w:ascii="Calibri" w:eastAsia="Calibri" w:hAnsi="Calibri" w:cs="Calibri"/>
                <w:noProof/>
                <w:sz w:val="22"/>
                <w:szCs w:val="22"/>
              </w:rPr>
            </w:pPr>
          </w:p>
          <w:p w14:paraId="5446566D"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ISUP grade group &lt;5</w:t>
            </w:r>
          </w:p>
          <w:p w14:paraId="296E6C64" w14:textId="77777777" w:rsidR="000337C9" w:rsidRPr="000337C9" w:rsidRDefault="000337C9" w:rsidP="000337C9">
            <w:pPr>
              <w:adjustRightInd w:val="0"/>
              <w:spacing w:line="276" w:lineRule="auto"/>
              <w:rPr>
                <w:rFonts w:ascii="Calibri" w:eastAsia="Calibri" w:hAnsi="Calibri" w:cs="Calibri"/>
                <w:noProof/>
                <w:sz w:val="22"/>
                <w:szCs w:val="22"/>
              </w:rPr>
            </w:pPr>
          </w:p>
          <w:p w14:paraId="0C40F52C"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lastRenderedPageBreak/>
              <w:t>Pre SRT PSA: 0.1-2.0</w:t>
            </w:r>
          </w:p>
        </w:tc>
        <w:tc>
          <w:tcPr>
            <w:tcW w:w="1082" w:type="dxa"/>
          </w:tcPr>
          <w:p w14:paraId="2FF87BF3" w14:textId="27305CBF" w:rsidR="000337C9" w:rsidRPr="000337C9" w:rsidRDefault="00FA7C43" w:rsidP="000337C9">
            <w:pPr>
              <w:adjustRightInd w:val="0"/>
              <w:spacing w:line="276" w:lineRule="auto"/>
              <w:rPr>
                <w:rFonts w:ascii="Calibri" w:eastAsia="Calibri" w:hAnsi="Calibri" w:cs="Calibri"/>
                <w:noProof/>
                <w:sz w:val="22"/>
                <w:szCs w:val="22"/>
              </w:rPr>
            </w:pPr>
            <w:r>
              <w:rPr>
                <w:rFonts w:ascii="Calibri" w:eastAsia="Calibri" w:hAnsi="Calibri" w:cs="Calibri"/>
                <w:noProof/>
                <w:sz w:val="22"/>
                <w:szCs w:val="22"/>
              </w:rPr>
              <w:lastRenderedPageBreak/>
              <w:t>8.2 yr</w:t>
            </w:r>
            <w:r w:rsidRPr="00FA7C43">
              <w:rPr>
                <w:rFonts w:ascii="Calibri" w:eastAsia="Calibri" w:hAnsi="Calibri" w:cs="Calibri"/>
                <w:noProof/>
                <w:sz w:val="22"/>
                <w:szCs w:val="22"/>
                <w:vertAlign w:val="superscript"/>
              </w:rPr>
              <w:t>a</w:t>
            </w:r>
          </w:p>
        </w:tc>
        <w:tc>
          <w:tcPr>
            <w:tcW w:w="1827" w:type="dxa"/>
          </w:tcPr>
          <w:p w14:paraId="6AB7EFF8"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64.8–0.2 Gy PBRT</w:t>
            </w:r>
          </w:p>
          <w:p w14:paraId="2D7DDD01" w14:textId="77777777" w:rsidR="000337C9" w:rsidRPr="000337C9" w:rsidRDefault="000337C9" w:rsidP="000337C9">
            <w:pPr>
              <w:adjustRightInd w:val="0"/>
              <w:spacing w:line="276" w:lineRule="auto"/>
              <w:rPr>
                <w:rFonts w:ascii="Calibri" w:eastAsia="Calibri" w:hAnsi="Calibri" w:cs="Calibri"/>
                <w:noProof/>
                <w:sz w:val="22"/>
                <w:szCs w:val="22"/>
              </w:rPr>
            </w:pPr>
          </w:p>
          <w:p w14:paraId="50943605"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64.8–70.2 Gy PBRT</w:t>
            </w:r>
          </w:p>
          <w:p w14:paraId="60E942AB" w14:textId="77777777" w:rsidR="000337C9" w:rsidRPr="000337C9" w:rsidRDefault="000337C9" w:rsidP="000337C9">
            <w:pPr>
              <w:adjustRightInd w:val="0"/>
              <w:spacing w:line="276" w:lineRule="auto"/>
              <w:rPr>
                <w:rFonts w:ascii="Calibri" w:eastAsia="Calibri" w:hAnsi="Calibri" w:cs="Calibri"/>
                <w:noProof/>
                <w:sz w:val="22"/>
                <w:szCs w:val="22"/>
              </w:rPr>
            </w:pPr>
          </w:p>
          <w:p w14:paraId="6FAF86B1"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lastRenderedPageBreak/>
              <w:t>6 mo. LHRH analogue</w:t>
            </w:r>
          </w:p>
          <w:p w14:paraId="3BCF15B5" w14:textId="77777777" w:rsidR="000337C9" w:rsidRPr="000337C9" w:rsidRDefault="000337C9" w:rsidP="000337C9">
            <w:pPr>
              <w:adjustRightInd w:val="0"/>
              <w:spacing w:line="276" w:lineRule="auto"/>
              <w:rPr>
                <w:rFonts w:ascii="Calibri" w:eastAsia="Calibri" w:hAnsi="Calibri" w:cs="Calibri"/>
                <w:noProof/>
                <w:sz w:val="22"/>
                <w:szCs w:val="22"/>
              </w:rPr>
            </w:pPr>
          </w:p>
          <w:p w14:paraId="12809FB1"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64.8–70.2 Gy PBRT + 45 Gy PLNRT</w:t>
            </w:r>
          </w:p>
          <w:p w14:paraId="6B7B0218" w14:textId="77777777" w:rsidR="000337C9" w:rsidRPr="000337C9" w:rsidRDefault="000337C9" w:rsidP="000337C9">
            <w:pPr>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6 mo. LHRH analogue</w:t>
            </w:r>
          </w:p>
          <w:p w14:paraId="690C46C8" w14:textId="77777777" w:rsidR="000337C9" w:rsidRPr="000337C9" w:rsidRDefault="000337C9" w:rsidP="000337C9">
            <w:pPr>
              <w:adjustRightInd w:val="0"/>
              <w:spacing w:line="276" w:lineRule="auto"/>
              <w:rPr>
                <w:rFonts w:ascii="Calibri" w:eastAsia="Calibri" w:hAnsi="Calibri" w:cs="Calibri"/>
                <w:noProof/>
                <w:sz w:val="22"/>
                <w:szCs w:val="22"/>
              </w:rPr>
            </w:pPr>
          </w:p>
        </w:tc>
        <w:tc>
          <w:tcPr>
            <w:tcW w:w="2106" w:type="dxa"/>
          </w:tcPr>
          <w:p w14:paraId="17044E6F"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lastRenderedPageBreak/>
              <w:t>5-yr. FFP (primary endpoint)</w:t>
            </w:r>
          </w:p>
          <w:p w14:paraId="1B41C1C2" w14:textId="77777777" w:rsidR="000337C9" w:rsidRPr="000337C9" w:rsidRDefault="000337C9" w:rsidP="000337C9">
            <w:pPr>
              <w:adjustRightInd w:val="0"/>
              <w:spacing w:line="276" w:lineRule="auto"/>
              <w:rPr>
                <w:rFonts w:ascii="Calibri" w:eastAsia="Calibri" w:hAnsi="Calibri" w:cs="Calibri"/>
                <w:b/>
                <w:noProof/>
                <w:sz w:val="22"/>
                <w:szCs w:val="22"/>
              </w:rPr>
            </w:pPr>
          </w:p>
          <w:p w14:paraId="44B2E341"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70.9% Group 1</w:t>
            </w:r>
          </w:p>
          <w:p w14:paraId="1DC4FBCC"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81.3% Group 2</w:t>
            </w:r>
          </w:p>
          <w:p w14:paraId="28FC8A04"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lastRenderedPageBreak/>
              <w:t>87.4% Group 3</w:t>
            </w:r>
          </w:p>
          <w:p w14:paraId="7B478B2C" w14:textId="77777777" w:rsidR="000337C9" w:rsidRPr="000337C9" w:rsidRDefault="000337C9" w:rsidP="000337C9">
            <w:pPr>
              <w:adjustRightInd w:val="0"/>
              <w:spacing w:line="276" w:lineRule="auto"/>
              <w:rPr>
                <w:rFonts w:ascii="Calibri" w:eastAsia="Calibri" w:hAnsi="Calibri" w:cs="Calibri"/>
                <w:b/>
                <w:noProof/>
                <w:sz w:val="22"/>
                <w:szCs w:val="22"/>
              </w:rPr>
            </w:pPr>
          </w:p>
          <w:p w14:paraId="02B32162"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Comparisons :</w:t>
            </w:r>
          </w:p>
          <w:p w14:paraId="2D144C99"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 xml:space="preserve">G 3 vs. G 1: </w:t>
            </w:r>
          </w:p>
          <w:p w14:paraId="7ECB5290"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p &lt; 0.0001</w:t>
            </w:r>
          </w:p>
          <w:p w14:paraId="592B4C02"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G 2 vs. G 1 :</w:t>
            </w:r>
          </w:p>
          <w:p w14:paraId="6D0FBF91"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p &lt; 0.0001</w:t>
            </w:r>
          </w:p>
          <w:p w14:paraId="10350B86"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G 3 vs. G 2 :</w:t>
            </w:r>
          </w:p>
          <w:p w14:paraId="5E07D23E" w14:textId="77777777" w:rsidR="000337C9" w:rsidRPr="000337C9" w:rsidRDefault="000337C9" w:rsidP="000337C9">
            <w:pPr>
              <w:adjustRightInd w:val="0"/>
              <w:spacing w:line="276" w:lineRule="auto"/>
              <w:rPr>
                <w:rFonts w:ascii="Calibri" w:eastAsia="Calibri" w:hAnsi="Calibri" w:cs="Calibri"/>
                <w:b/>
                <w:noProof/>
                <w:sz w:val="22"/>
                <w:szCs w:val="22"/>
              </w:rPr>
            </w:pPr>
            <w:r w:rsidRPr="000337C9">
              <w:rPr>
                <w:rFonts w:ascii="Calibri" w:eastAsia="Calibri" w:hAnsi="Calibri" w:cs="Calibri"/>
                <w:b/>
                <w:noProof/>
                <w:sz w:val="22"/>
                <w:szCs w:val="22"/>
              </w:rPr>
              <w:t>p &lt; 0.0027</w:t>
            </w:r>
          </w:p>
        </w:tc>
      </w:tr>
    </w:tbl>
    <w:p w14:paraId="0785AB1A" w14:textId="77777777" w:rsidR="000337C9" w:rsidRPr="000337C9" w:rsidRDefault="000337C9" w:rsidP="000337C9">
      <w:pPr>
        <w:autoSpaceDE w:val="0"/>
        <w:autoSpaceDN w:val="0"/>
        <w:adjustRightInd w:val="0"/>
        <w:spacing w:line="276" w:lineRule="auto"/>
        <w:jc w:val="both"/>
        <w:rPr>
          <w:rFonts w:ascii="Calibri" w:eastAsia="Calibri" w:hAnsi="Calibri" w:cs="Calibri"/>
          <w:i/>
          <w:iCs/>
          <w:noProof/>
          <w:color w:val="000000"/>
          <w:sz w:val="22"/>
          <w:szCs w:val="22"/>
        </w:rPr>
      </w:pPr>
      <w:r w:rsidRPr="000337C9">
        <w:rPr>
          <w:rFonts w:ascii="Calibri" w:eastAsia="Calibri" w:hAnsi="Calibri" w:cs="Calibri"/>
          <w:i/>
          <w:iCs/>
          <w:noProof/>
          <w:color w:val="000000"/>
          <w:sz w:val="22"/>
          <w:szCs w:val="22"/>
        </w:rPr>
        <w:lastRenderedPageBreak/>
        <w:t>ADT = androgen deprivation therapy; DM = distant metastasis; DSM = disease specific mortality; PFS = progression free survival; FFP = Freedom From Progression; FU = follow-up; LHRH = luteinising hormone-releasing hormone; MFS = metastasis-free survival; OS = overall survival; PFS = progression-free survival; mo = months; n = number of patients; RT = radiotherapy; yr = year, PBRT = prostate bed radiotherapy; PLNRT = pelvic lymph node radiotherapy.</w:t>
      </w:r>
    </w:p>
    <w:p w14:paraId="58007831" w14:textId="5BF7F489" w:rsidR="007C44DB" w:rsidRDefault="00FA7C43" w:rsidP="007C44DB">
      <w:pPr>
        <w:autoSpaceDE w:val="0"/>
        <w:autoSpaceDN w:val="0"/>
        <w:adjustRightInd w:val="0"/>
        <w:spacing w:line="276" w:lineRule="auto"/>
        <w:jc w:val="both"/>
        <w:rPr>
          <w:rFonts w:ascii="Calibri" w:eastAsia="HelveticaNeue-Roman" w:hAnsi="Calibri" w:cs="Calibri"/>
          <w:noProof/>
          <w:color w:val="000000"/>
          <w:sz w:val="22"/>
          <w:szCs w:val="22"/>
        </w:rPr>
      </w:pPr>
      <w:r w:rsidRPr="00FA7C43">
        <w:rPr>
          <w:rFonts w:ascii="Calibri" w:eastAsia="HelveticaNeue-Roman" w:hAnsi="Calibri" w:cs="Calibri"/>
          <w:noProof/>
          <w:color w:val="000000"/>
          <w:sz w:val="22"/>
          <w:szCs w:val="22"/>
          <w:vertAlign w:val="superscript"/>
        </w:rPr>
        <w:t>a</w:t>
      </w:r>
      <w:r w:rsidRPr="00FA7C43">
        <w:rPr>
          <w:rFonts w:ascii="Calibri" w:eastAsia="HelveticaNeue-Roman" w:hAnsi="Calibri" w:cs="Calibri"/>
          <w:noProof/>
          <w:color w:val="000000"/>
          <w:sz w:val="22"/>
          <w:szCs w:val="22"/>
        </w:rPr>
        <w:t xml:space="preserve"> For survivors.</w:t>
      </w:r>
    </w:p>
    <w:p w14:paraId="001C230C" w14:textId="77777777" w:rsidR="00FA7C43" w:rsidRDefault="00FA7C43" w:rsidP="007C44DB">
      <w:pPr>
        <w:autoSpaceDE w:val="0"/>
        <w:autoSpaceDN w:val="0"/>
        <w:adjustRightInd w:val="0"/>
        <w:spacing w:line="276" w:lineRule="auto"/>
        <w:jc w:val="both"/>
        <w:rPr>
          <w:rFonts w:ascii="Calibri" w:eastAsia="Calibri" w:hAnsi="Calibri" w:cs="Calibri"/>
          <w:b/>
          <w:bCs/>
          <w:i/>
          <w:iCs/>
          <w:noProof/>
          <w:color w:val="000000"/>
          <w:sz w:val="22"/>
          <w:szCs w:val="22"/>
        </w:rPr>
      </w:pPr>
    </w:p>
    <w:p w14:paraId="7CA2E3E6" w14:textId="0023FFE2" w:rsidR="000337C9" w:rsidRPr="003F4CF7" w:rsidRDefault="000337C9" w:rsidP="007C44DB">
      <w:pPr>
        <w:autoSpaceDE w:val="0"/>
        <w:autoSpaceDN w:val="0"/>
        <w:adjustRightInd w:val="0"/>
        <w:spacing w:line="276" w:lineRule="auto"/>
        <w:jc w:val="both"/>
        <w:rPr>
          <w:rFonts w:ascii="Calibri" w:eastAsia="Calibri" w:hAnsi="Calibri" w:cs="Calibri"/>
          <w:b/>
          <w:bCs/>
          <w:iCs/>
          <w:noProof/>
          <w:color w:val="000000"/>
          <w:sz w:val="22"/>
          <w:szCs w:val="22"/>
        </w:rPr>
      </w:pPr>
      <w:r w:rsidRPr="003F4CF7">
        <w:rPr>
          <w:rFonts w:ascii="Calibri" w:eastAsia="Calibri" w:hAnsi="Calibri" w:cs="Calibri"/>
          <w:b/>
          <w:bCs/>
          <w:iCs/>
          <w:noProof/>
          <w:color w:val="000000"/>
          <w:sz w:val="22"/>
          <w:szCs w:val="22"/>
        </w:rPr>
        <w:t>Table 4.</w:t>
      </w:r>
      <w:r w:rsidRPr="003F4CF7">
        <w:rPr>
          <w:rFonts w:ascii="Calibri" w:eastAsia="Calibri" w:hAnsi="Calibri" w:cs="Calibri"/>
          <w:iCs/>
          <w:noProof/>
          <w:color w:val="000000"/>
          <w:sz w:val="22"/>
          <w:szCs w:val="22"/>
        </w:rPr>
        <w:t xml:space="preserve"> </w:t>
      </w:r>
      <w:r w:rsidRPr="003F4CF7">
        <w:rPr>
          <w:rFonts w:ascii="Calibri" w:eastAsia="Calibri" w:hAnsi="Calibri" w:cs="Calibri"/>
          <w:b/>
          <w:bCs/>
          <w:iCs/>
          <w:noProof/>
          <w:color w:val="000000"/>
          <w:sz w:val="22"/>
          <w:szCs w:val="22"/>
        </w:rPr>
        <w:t>Guidelines for second-line therapy after treatment with curative intent</w:t>
      </w:r>
    </w:p>
    <w:p w14:paraId="100DF98D" w14:textId="77777777" w:rsidR="000337C9" w:rsidRPr="000337C9" w:rsidRDefault="000337C9" w:rsidP="000337C9">
      <w:pPr>
        <w:autoSpaceDE w:val="0"/>
        <w:autoSpaceDN w:val="0"/>
        <w:adjustRightInd w:val="0"/>
        <w:spacing w:line="276" w:lineRule="auto"/>
        <w:rPr>
          <w:rFonts w:ascii="Calibri" w:eastAsia="Calibri" w:hAnsi="Calibri" w:cs="Calibri"/>
          <w:b/>
          <w:bCs/>
          <w:i/>
          <w:iCs/>
          <w:noProof/>
          <w:color w:val="000000"/>
          <w:sz w:val="22"/>
          <w:szCs w:val="22"/>
        </w:rPr>
      </w:pPr>
    </w:p>
    <w:tbl>
      <w:tblPr>
        <w:tblStyle w:val="TableGrid52"/>
        <w:tblW w:w="0" w:type="auto"/>
        <w:tblLook w:val="04A0" w:firstRow="1" w:lastRow="0" w:firstColumn="1" w:lastColumn="0" w:noHBand="0" w:noVBand="1"/>
      </w:tblPr>
      <w:tblGrid>
        <w:gridCol w:w="7221"/>
        <w:gridCol w:w="1795"/>
      </w:tblGrid>
      <w:tr w:rsidR="000337C9" w:rsidRPr="000337C9" w14:paraId="3413FC7B" w14:textId="77777777" w:rsidTr="00B83C6E">
        <w:tc>
          <w:tcPr>
            <w:tcW w:w="7221" w:type="dxa"/>
            <w:shd w:val="clear" w:color="auto" w:fill="DBE5F1"/>
          </w:tcPr>
          <w:p w14:paraId="032B479B" w14:textId="77777777" w:rsidR="000337C9" w:rsidRPr="000337C9" w:rsidRDefault="000337C9" w:rsidP="000337C9">
            <w:pPr>
              <w:autoSpaceDE w:val="0"/>
              <w:autoSpaceDN w:val="0"/>
              <w:adjustRightInd w:val="0"/>
              <w:spacing w:line="276" w:lineRule="auto"/>
              <w:rPr>
                <w:rFonts w:ascii="Calibri" w:hAnsi="Calibri" w:cs="Calibri"/>
                <w:b/>
                <w:color w:val="000000"/>
                <w:sz w:val="22"/>
                <w:szCs w:val="22"/>
              </w:rPr>
            </w:pPr>
            <w:r w:rsidRPr="000337C9">
              <w:rPr>
                <w:rFonts w:ascii="Calibri" w:hAnsi="Calibri" w:cs="Calibri"/>
                <w:b/>
                <w:color w:val="000000"/>
                <w:sz w:val="22"/>
                <w:szCs w:val="22"/>
              </w:rPr>
              <w:t xml:space="preserve">Local salvage treatment </w:t>
            </w:r>
          </w:p>
        </w:tc>
        <w:tc>
          <w:tcPr>
            <w:tcW w:w="1795" w:type="dxa"/>
            <w:shd w:val="clear" w:color="auto" w:fill="DBE5F1"/>
          </w:tcPr>
          <w:p w14:paraId="2E66AD52" w14:textId="77777777" w:rsidR="000337C9" w:rsidRPr="000337C9" w:rsidRDefault="000337C9" w:rsidP="000337C9">
            <w:pPr>
              <w:autoSpaceDE w:val="0"/>
              <w:autoSpaceDN w:val="0"/>
              <w:adjustRightInd w:val="0"/>
              <w:spacing w:line="276" w:lineRule="auto"/>
              <w:rPr>
                <w:rFonts w:ascii="Calibri" w:hAnsi="Calibri" w:cs="Calibri"/>
                <w:b/>
                <w:i/>
                <w:color w:val="000000"/>
                <w:sz w:val="22"/>
                <w:szCs w:val="22"/>
              </w:rPr>
            </w:pPr>
            <w:r w:rsidRPr="000337C9">
              <w:rPr>
                <w:rFonts w:ascii="Calibri" w:hAnsi="Calibri" w:cs="Calibri"/>
                <w:b/>
                <w:color w:val="000000"/>
                <w:sz w:val="22"/>
                <w:szCs w:val="22"/>
              </w:rPr>
              <w:t>Strength rating</w:t>
            </w:r>
          </w:p>
        </w:tc>
      </w:tr>
      <w:tr w:rsidR="000337C9" w:rsidRPr="000337C9" w14:paraId="430D68CD" w14:textId="77777777" w:rsidTr="00B83C6E">
        <w:tc>
          <w:tcPr>
            <w:tcW w:w="9016" w:type="dxa"/>
            <w:gridSpan w:val="2"/>
            <w:shd w:val="clear" w:color="auto" w:fill="DBE5F1"/>
          </w:tcPr>
          <w:p w14:paraId="7DC9D56B" w14:textId="7B2BF85C" w:rsidR="000337C9" w:rsidRPr="000337C9" w:rsidRDefault="000337C9" w:rsidP="000337C9">
            <w:pPr>
              <w:autoSpaceDE w:val="0"/>
              <w:autoSpaceDN w:val="0"/>
              <w:adjustRightInd w:val="0"/>
              <w:spacing w:line="276" w:lineRule="auto"/>
              <w:rPr>
                <w:rFonts w:ascii="Calibri" w:hAnsi="Calibri" w:cs="Calibri"/>
                <w:b/>
                <w:i/>
                <w:color w:val="000000"/>
                <w:sz w:val="22"/>
                <w:szCs w:val="22"/>
              </w:rPr>
            </w:pPr>
            <w:r w:rsidRPr="000337C9">
              <w:rPr>
                <w:rFonts w:ascii="Calibri" w:hAnsi="Calibri" w:cs="Calibri"/>
                <w:b/>
                <w:i/>
                <w:color w:val="000000"/>
                <w:sz w:val="22"/>
                <w:szCs w:val="22"/>
              </w:rPr>
              <w:t>Recommendations for biochemical r</w:t>
            </w:r>
            <w:r w:rsidR="00FA7C43">
              <w:rPr>
                <w:rFonts w:ascii="Calibri" w:hAnsi="Calibri" w:cs="Calibri"/>
                <w:b/>
                <w:i/>
                <w:color w:val="000000"/>
                <w:sz w:val="22"/>
                <w:szCs w:val="22"/>
              </w:rPr>
              <w:t>ecurrence (BCR) after RP</w:t>
            </w:r>
          </w:p>
        </w:tc>
      </w:tr>
      <w:tr w:rsidR="000337C9" w:rsidRPr="000337C9" w14:paraId="6DC5A015" w14:textId="77777777" w:rsidTr="00B83C6E">
        <w:tc>
          <w:tcPr>
            <w:tcW w:w="7221" w:type="dxa"/>
            <w:shd w:val="clear" w:color="auto" w:fill="DBE5F1"/>
          </w:tcPr>
          <w:p w14:paraId="747A4EEB" w14:textId="32922A29" w:rsidR="000337C9" w:rsidRPr="000337C9" w:rsidRDefault="000337C9" w:rsidP="00FA7C43">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Offer early salvage</w:t>
            </w:r>
            <w:r w:rsidR="00FA7C43">
              <w:rPr>
                <w:rFonts w:ascii="Calibri" w:hAnsi="Calibri" w:cs="Calibri"/>
                <w:color w:val="000000"/>
                <w:sz w:val="22"/>
                <w:szCs w:val="22"/>
              </w:rPr>
              <w:t xml:space="preserve"> intensity-modulated RT</w:t>
            </w:r>
            <w:r w:rsidRPr="000337C9">
              <w:rPr>
                <w:rFonts w:ascii="Calibri" w:hAnsi="Calibri" w:cs="Calibri"/>
                <w:color w:val="000000"/>
                <w:sz w:val="22"/>
                <w:szCs w:val="22"/>
              </w:rPr>
              <w:t>/v</w:t>
            </w:r>
            <w:r w:rsidR="00FA7C43">
              <w:rPr>
                <w:rFonts w:ascii="Calibri" w:hAnsi="Calibri" w:cs="Calibri"/>
                <w:color w:val="000000"/>
                <w:sz w:val="22"/>
                <w:szCs w:val="22"/>
              </w:rPr>
              <w:t xml:space="preserve">olumetric arc RT </w:t>
            </w:r>
            <w:r w:rsidRPr="000337C9">
              <w:rPr>
                <w:rFonts w:ascii="Calibri" w:hAnsi="Calibri" w:cs="Calibri"/>
                <w:color w:val="000000"/>
                <w:sz w:val="22"/>
                <w:szCs w:val="22"/>
              </w:rPr>
              <w:t>plus image-guided</w:t>
            </w:r>
            <w:r w:rsidR="00FA7C43">
              <w:rPr>
                <w:rFonts w:ascii="Calibri" w:hAnsi="Calibri" w:cs="Calibri"/>
                <w:color w:val="000000"/>
                <w:sz w:val="22"/>
                <w:szCs w:val="22"/>
              </w:rPr>
              <w:t xml:space="preserve"> RT</w:t>
            </w:r>
            <w:r w:rsidRPr="000337C9">
              <w:rPr>
                <w:rFonts w:ascii="Calibri" w:hAnsi="Calibri" w:cs="Calibri"/>
                <w:color w:val="000000"/>
                <w:sz w:val="22"/>
                <w:szCs w:val="22"/>
              </w:rPr>
              <w:t xml:space="preserve"> to men with two consecutive PSA rises.</w:t>
            </w:r>
          </w:p>
        </w:tc>
        <w:tc>
          <w:tcPr>
            <w:tcW w:w="1795" w:type="dxa"/>
            <w:shd w:val="clear" w:color="auto" w:fill="DBE5F1"/>
          </w:tcPr>
          <w:p w14:paraId="13329465" w14:textId="77777777" w:rsidR="000337C9" w:rsidRPr="000337C9" w:rsidRDefault="000337C9" w:rsidP="000337C9">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Strong</w:t>
            </w:r>
          </w:p>
          <w:p w14:paraId="1673A675" w14:textId="77777777" w:rsidR="000337C9" w:rsidRPr="000337C9" w:rsidRDefault="000337C9" w:rsidP="000337C9">
            <w:pPr>
              <w:autoSpaceDE w:val="0"/>
              <w:autoSpaceDN w:val="0"/>
              <w:adjustRightInd w:val="0"/>
              <w:spacing w:line="276" w:lineRule="auto"/>
              <w:rPr>
                <w:rFonts w:ascii="Calibri" w:hAnsi="Calibri" w:cs="Calibri"/>
                <w:b/>
                <w:i/>
                <w:color w:val="000000"/>
                <w:sz w:val="22"/>
                <w:szCs w:val="22"/>
              </w:rPr>
            </w:pPr>
          </w:p>
        </w:tc>
      </w:tr>
      <w:tr w:rsidR="000337C9" w:rsidRPr="000337C9" w14:paraId="19A95131" w14:textId="77777777" w:rsidTr="00B83C6E">
        <w:tc>
          <w:tcPr>
            <w:tcW w:w="7221" w:type="dxa"/>
            <w:shd w:val="clear" w:color="auto" w:fill="DBE5F1"/>
          </w:tcPr>
          <w:p w14:paraId="519B2DB4" w14:textId="633A742B" w:rsidR="000337C9" w:rsidRPr="000337C9" w:rsidRDefault="00FA7C43" w:rsidP="000337C9">
            <w:pPr>
              <w:autoSpaceDE w:val="0"/>
              <w:autoSpaceDN w:val="0"/>
              <w:adjustRightInd w:val="0"/>
              <w:spacing w:line="276" w:lineRule="auto"/>
              <w:rPr>
                <w:rFonts w:ascii="Calibri" w:hAnsi="Calibri" w:cs="Calibri"/>
                <w:b/>
                <w:i/>
                <w:color w:val="000000"/>
                <w:sz w:val="22"/>
                <w:szCs w:val="22"/>
              </w:rPr>
            </w:pPr>
            <w:r>
              <w:rPr>
                <w:rFonts w:ascii="Calibri" w:hAnsi="Calibri" w:cs="Calibri"/>
                <w:color w:val="000000"/>
                <w:sz w:val="22"/>
                <w:szCs w:val="22"/>
              </w:rPr>
              <w:t>A negative PET/CT</w:t>
            </w:r>
            <w:r w:rsidR="000337C9" w:rsidRPr="000337C9">
              <w:rPr>
                <w:rFonts w:ascii="Calibri" w:hAnsi="Calibri" w:cs="Calibri"/>
                <w:color w:val="000000"/>
                <w:sz w:val="22"/>
                <w:szCs w:val="22"/>
              </w:rPr>
              <w:t xml:space="preserve"> scan should </w:t>
            </w:r>
            <w:r>
              <w:rPr>
                <w:rFonts w:ascii="Calibri" w:hAnsi="Calibri" w:cs="Calibri"/>
                <w:color w:val="000000"/>
                <w:sz w:val="22"/>
                <w:szCs w:val="22"/>
              </w:rPr>
              <w:t>not delay SRT</w:t>
            </w:r>
            <w:r w:rsidR="000337C9" w:rsidRPr="000337C9">
              <w:rPr>
                <w:rFonts w:ascii="Calibri" w:hAnsi="Calibri" w:cs="Calibri"/>
                <w:color w:val="000000"/>
                <w:sz w:val="22"/>
                <w:szCs w:val="22"/>
              </w:rPr>
              <w:t xml:space="preserve"> if otherwise indicated.</w:t>
            </w:r>
          </w:p>
        </w:tc>
        <w:tc>
          <w:tcPr>
            <w:tcW w:w="1795" w:type="dxa"/>
            <w:shd w:val="clear" w:color="auto" w:fill="DBE5F1"/>
          </w:tcPr>
          <w:p w14:paraId="493537C5" w14:textId="77777777" w:rsidR="000337C9" w:rsidRPr="000337C9" w:rsidRDefault="000337C9" w:rsidP="000337C9">
            <w:pPr>
              <w:autoSpaceDE w:val="0"/>
              <w:autoSpaceDN w:val="0"/>
              <w:adjustRightInd w:val="0"/>
              <w:spacing w:line="276" w:lineRule="auto"/>
              <w:rPr>
                <w:rFonts w:ascii="Calibri" w:hAnsi="Calibri" w:cs="Calibri"/>
                <w:b/>
                <w:i/>
                <w:color w:val="000000"/>
                <w:sz w:val="22"/>
                <w:szCs w:val="22"/>
              </w:rPr>
            </w:pPr>
            <w:r w:rsidRPr="000337C9">
              <w:rPr>
                <w:rFonts w:ascii="Calibri" w:hAnsi="Calibri" w:cs="Calibri"/>
                <w:color w:val="000000"/>
                <w:sz w:val="22"/>
                <w:szCs w:val="22"/>
              </w:rPr>
              <w:t>Strong</w:t>
            </w:r>
          </w:p>
        </w:tc>
      </w:tr>
      <w:tr w:rsidR="000337C9" w:rsidRPr="000337C9" w14:paraId="732AB6B0" w14:textId="77777777" w:rsidTr="00B83C6E">
        <w:tc>
          <w:tcPr>
            <w:tcW w:w="7221" w:type="dxa"/>
            <w:shd w:val="clear" w:color="auto" w:fill="DBE5F1"/>
          </w:tcPr>
          <w:p w14:paraId="0F9C895D" w14:textId="4885AD70" w:rsidR="000337C9" w:rsidRPr="000337C9" w:rsidRDefault="000337C9" w:rsidP="000337C9">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Offer monitoring, inclu</w:t>
            </w:r>
            <w:r w:rsidR="00FA7C43">
              <w:rPr>
                <w:rFonts w:ascii="Calibri" w:hAnsi="Calibri" w:cs="Calibri"/>
                <w:color w:val="000000"/>
                <w:sz w:val="22"/>
                <w:szCs w:val="22"/>
              </w:rPr>
              <w:t>ding PSA measurement</w:t>
            </w:r>
            <w:r w:rsidRPr="000337C9">
              <w:rPr>
                <w:rFonts w:ascii="Calibri" w:hAnsi="Calibri" w:cs="Calibri"/>
                <w:color w:val="000000"/>
                <w:sz w:val="22"/>
                <w:szCs w:val="22"/>
              </w:rPr>
              <w:t xml:space="preserve">, to EAU Low-Risk BCR patients. </w:t>
            </w:r>
          </w:p>
        </w:tc>
        <w:tc>
          <w:tcPr>
            <w:tcW w:w="1795" w:type="dxa"/>
            <w:shd w:val="clear" w:color="auto" w:fill="DBE5F1"/>
          </w:tcPr>
          <w:p w14:paraId="034E6FFC" w14:textId="77777777" w:rsidR="000337C9" w:rsidRPr="000337C9" w:rsidRDefault="000337C9" w:rsidP="000337C9">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Weak</w:t>
            </w:r>
          </w:p>
        </w:tc>
      </w:tr>
      <w:tr w:rsidR="000337C9" w:rsidRPr="000337C9" w14:paraId="2FEA00B9" w14:textId="77777777" w:rsidTr="00B83C6E">
        <w:tc>
          <w:tcPr>
            <w:tcW w:w="7221" w:type="dxa"/>
            <w:shd w:val="clear" w:color="auto" w:fill="DBE5F1"/>
          </w:tcPr>
          <w:p w14:paraId="48AF7B38" w14:textId="77777777" w:rsidR="000337C9" w:rsidRPr="000337C9" w:rsidRDefault="000337C9" w:rsidP="000337C9">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 xml:space="preserve">Do </w:t>
            </w:r>
            <w:r w:rsidRPr="000337C9">
              <w:rPr>
                <w:rFonts w:ascii="Calibri" w:hAnsi="Calibri" w:cs="Calibri"/>
                <w:sz w:val="22"/>
                <w:szCs w:val="22"/>
              </w:rPr>
              <w:t xml:space="preserve">not wait for a PSA threshold before starting treatment. Once the decision for SRT has been made, SRT (at least 64 Gy) should </w:t>
            </w:r>
            <w:r w:rsidRPr="000337C9">
              <w:rPr>
                <w:rFonts w:ascii="Calibri" w:hAnsi="Calibri" w:cs="Calibri"/>
                <w:color w:val="000000"/>
                <w:sz w:val="22"/>
                <w:szCs w:val="22"/>
              </w:rPr>
              <w:t>be given as soon as possible.</w:t>
            </w:r>
          </w:p>
        </w:tc>
        <w:tc>
          <w:tcPr>
            <w:tcW w:w="1795" w:type="dxa"/>
            <w:shd w:val="clear" w:color="auto" w:fill="DBE5F1"/>
          </w:tcPr>
          <w:p w14:paraId="0F16F8E0" w14:textId="77777777" w:rsidR="000337C9" w:rsidRPr="000337C9" w:rsidRDefault="000337C9" w:rsidP="000337C9">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Strong</w:t>
            </w:r>
          </w:p>
          <w:p w14:paraId="7F566191" w14:textId="77777777" w:rsidR="000337C9" w:rsidRPr="000337C9" w:rsidRDefault="000337C9" w:rsidP="000337C9">
            <w:pPr>
              <w:autoSpaceDE w:val="0"/>
              <w:autoSpaceDN w:val="0"/>
              <w:adjustRightInd w:val="0"/>
              <w:spacing w:line="276" w:lineRule="auto"/>
              <w:rPr>
                <w:rFonts w:ascii="Calibri" w:hAnsi="Calibri" w:cs="Calibri"/>
                <w:b/>
                <w:i/>
                <w:color w:val="000000"/>
                <w:sz w:val="22"/>
                <w:szCs w:val="22"/>
              </w:rPr>
            </w:pPr>
          </w:p>
        </w:tc>
      </w:tr>
      <w:tr w:rsidR="000337C9" w:rsidRPr="000337C9" w14:paraId="5D4D3CCF" w14:textId="77777777" w:rsidTr="00B83C6E">
        <w:tc>
          <w:tcPr>
            <w:tcW w:w="7221" w:type="dxa"/>
            <w:shd w:val="clear" w:color="auto" w:fill="DBE5F1"/>
          </w:tcPr>
          <w:p w14:paraId="3F2A753A" w14:textId="77777777" w:rsidR="000337C9" w:rsidRPr="000337C9" w:rsidRDefault="000337C9" w:rsidP="000337C9">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 xml:space="preserve">Offer hormonal therapy in addition to SRT to men with BCR. </w:t>
            </w:r>
          </w:p>
        </w:tc>
        <w:tc>
          <w:tcPr>
            <w:tcW w:w="1795" w:type="dxa"/>
            <w:shd w:val="clear" w:color="auto" w:fill="DBE5F1"/>
          </w:tcPr>
          <w:p w14:paraId="5ADFF880" w14:textId="77777777" w:rsidR="000337C9" w:rsidRPr="000337C9" w:rsidRDefault="000337C9" w:rsidP="000337C9">
            <w:pPr>
              <w:autoSpaceDE w:val="0"/>
              <w:autoSpaceDN w:val="0"/>
              <w:adjustRightInd w:val="0"/>
              <w:spacing w:line="276" w:lineRule="auto"/>
              <w:rPr>
                <w:rFonts w:ascii="Calibri" w:hAnsi="Calibri" w:cs="Calibri"/>
                <w:b/>
                <w:i/>
                <w:color w:val="000000"/>
                <w:sz w:val="22"/>
                <w:szCs w:val="22"/>
              </w:rPr>
            </w:pPr>
            <w:r w:rsidRPr="000337C9">
              <w:rPr>
                <w:rFonts w:ascii="Calibri" w:hAnsi="Calibri" w:cs="Calibri"/>
                <w:color w:val="000000"/>
                <w:sz w:val="22"/>
                <w:szCs w:val="22"/>
              </w:rPr>
              <w:t>Weak</w:t>
            </w:r>
          </w:p>
        </w:tc>
      </w:tr>
      <w:tr w:rsidR="000337C9" w:rsidRPr="000337C9" w14:paraId="0CB15AA3" w14:textId="77777777" w:rsidTr="00B83C6E">
        <w:tc>
          <w:tcPr>
            <w:tcW w:w="9016" w:type="dxa"/>
            <w:gridSpan w:val="2"/>
            <w:shd w:val="clear" w:color="auto" w:fill="DBE5F1"/>
          </w:tcPr>
          <w:p w14:paraId="7722CA21" w14:textId="2E2A2766" w:rsidR="000337C9" w:rsidRPr="000337C9" w:rsidRDefault="000337C9" w:rsidP="00FA7C43">
            <w:pPr>
              <w:autoSpaceDE w:val="0"/>
              <w:autoSpaceDN w:val="0"/>
              <w:adjustRightInd w:val="0"/>
              <w:spacing w:line="276" w:lineRule="auto"/>
              <w:rPr>
                <w:rFonts w:ascii="Calibri" w:hAnsi="Calibri" w:cs="Calibri"/>
                <w:b/>
                <w:i/>
                <w:color w:val="000000"/>
                <w:sz w:val="22"/>
                <w:szCs w:val="22"/>
              </w:rPr>
            </w:pPr>
            <w:r w:rsidRPr="000337C9">
              <w:rPr>
                <w:rFonts w:ascii="Calibri" w:hAnsi="Calibri" w:cs="Calibri"/>
                <w:b/>
                <w:i/>
                <w:color w:val="000000"/>
                <w:sz w:val="22"/>
                <w:szCs w:val="22"/>
              </w:rPr>
              <w:t xml:space="preserve">Recommendations for BCR after </w:t>
            </w:r>
            <w:r w:rsidR="00FA7C43">
              <w:rPr>
                <w:rFonts w:ascii="Calibri" w:hAnsi="Calibri" w:cs="Calibri"/>
                <w:b/>
                <w:i/>
                <w:color w:val="000000"/>
                <w:sz w:val="22"/>
                <w:szCs w:val="22"/>
              </w:rPr>
              <w:t>RT</w:t>
            </w:r>
          </w:p>
        </w:tc>
      </w:tr>
      <w:tr w:rsidR="000337C9" w:rsidRPr="000337C9" w14:paraId="59B683E2" w14:textId="77777777" w:rsidTr="00B83C6E">
        <w:tc>
          <w:tcPr>
            <w:tcW w:w="7221" w:type="dxa"/>
            <w:shd w:val="clear" w:color="auto" w:fill="DBE5F1"/>
          </w:tcPr>
          <w:p w14:paraId="0AEEE26E" w14:textId="77777777" w:rsidR="000337C9" w:rsidRPr="000337C9" w:rsidRDefault="000337C9" w:rsidP="000337C9">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 xml:space="preserve">Offer monitoring, including PSA to EAU Low-Risk BCR patients. </w:t>
            </w:r>
          </w:p>
        </w:tc>
        <w:tc>
          <w:tcPr>
            <w:tcW w:w="1795" w:type="dxa"/>
            <w:shd w:val="clear" w:color="auto" w:fill="DBE5F1"/>
          </w:tcPr>
          <w:p w14:paraId="097146D1" w14:textId="77777777" w:rsidR="000337C9" w:rsidRPr="000337C9" w:rsidRDefault="000337C9" w:rsidP="000337C9">
            <w:pPr>
              <w:autoSpaceDE w:val="0"/>
              <w:autoSpaceDN w:val="0"/>
              <w:adjustRightInd w:val="0"/>
              <w:spacing w:line="276" w:lineRule="auto"/>
              <w:rPr>
                <w:rFonts w:ascii="Calibri" w:hAnsi="Calibri" w:cs="Calibri"/>
                <w:b/>
                <w:i/>
                <w:color w:val="000000"/>
                <w:sz w:val="22"/>
                <w:szCs w:val="22"/>
              </w:rPr>
            </w:pPr>
            <w:r w:rsidRPr="000337C9">
              <w:rPr>
                <w:rFonts w:ascii="Calibri" w:hAnsi="Calibri" w:cs="Calibri"/>
                <w:color w:val="000000"/>
                <w:sz w:val="22"/>
                <w:szCs w:val="22"/>
              </w:rPr>
              <w:t>Weak</w:t>
            </w:r>
          </w:p>
        </w:tc>
      </w:tr>
      <w:tr w:rsidR="000337C9" w:rsidRPr="000337C9" w14:paraId="41500BF8" w14:textId="77777777" w:rsidTr="00B83C6E">
        <w:tc>
          <w:tcPr>
            <w:tcW w:w="7221" w:type="dxa"/>
            <w:shd w:val="clear" w:color="auto" w:fill="DBE5F1"/>
          </w:tcPr>
          <w:p w14:paraId="49EE6BA3" w14:textId="34E24630" w:rsidR="000337C9" w:rsidRPr="000337C9" w:rsidRDefault="000337C9" w:rsidP="000337C9">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Only offer salvage radical prostatectomy (RP), brachytherapy</w:t>
            </w:r>
            <w:r w:rsidR="00FA7C43">
              <w:rPr>
                <w:rFonts w:ascii="Calibri" w:hAnsi="Calibri" w:cs="Calibri"/>
                <w:color w:val="000000"/>
                <w:sz w:val="22"/>
                <w:szCs w:val="22"/>
              </w:rPr>
              <w:t>, stereotactic body RT</w:t>
            </w:r>
            <w:r w:rsidRPr="000337C9">
              <w:rPr>
                <w:rFonts w:ascii="Calibri" w:hAnsi="Calibri" w:cs="Calibri"/>
                <w:color w:val="000000"/>
                <w:sz w:val="22"/>
                <w:szCs w:val="22"/>
              </w:rPr>
              <w:t>, high-intensity focused ultrasound, or cryosurgical ablation to highly selected patients with biopsy-proven local recurrence within a clinical trial setting or well-designed prospective cohort study undertaken in experienced centres.</w:t>
            </w:r>
          </w:p>
        </w:tc>
        <w:tc>
          <w:tcPr>
            <w:tcW w:w="1795" w:type="dxa"/>
            <w:shd w:val="clear" w:color="auto" w:fill="DBE5F1"/>
          </w:tcPr>
          <w:p w14:paraId="5AA433B1" w14:textId="77777777" w:rsidR="000337C9" w:rsidRPr="000337C9" w:rsidRDefault="000337C9" w:rsidP="000337C9">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Strong</w:t>
            </w:r>
          </w:p>
          <w:p w14:paraId="685FE138" w14:textId="77777777" w:rsidR="000337C9" w:rsidRPr="000337C9" w:rsidRDefault="000337C9" w:rsidP="000337C9">
            <w:pPr>
              <w:autoSpaceDE w:val="0"/>
              <w:autoSpaceDN w:val="0"/>
              <w:adjustRightInd w:val="0"/>
              <w:spacing w:line="276" w:lineRule="auto"/>
              <w:rPr>
                <w:rFonts w:ascii="Calibri" w:hAnsi="Calibri" w:cs="Calibri"/>
                <w:b/>
                <w:i/>
                <w:color w:val="000000"/>
                <w:sz w:val="22"/>
                <w:szCs w:val="22"/>
              </w:rPr>
            </w:pPr>
          </w:p>
        </w:tc>
      </w:tr>
      <w:tr w:rsidR="000337C9" w:rsidRPr="000337C9" w14:paraId="7AC01F48" w14:textId="77777777" w:rsidTr="00B83C6E">
        <w:tc>
          <w:tcPr>
            <w:tcW w:w="9016" w:type="dxa"/>
            <w:gridSpan w:val="2"/>
            <w:shd w:val="clear" w:color="auto" w:fill="DBE5F1"/>
          </w:tcPr>
          <w:p w14:paraId="36E7EEC7" w14:textId="77777777" w:rsidR="000337C9" w:rsidRPr="000337C9" w:rsidRDefault="000337C9" w:rsidP="000337C9">
            <w:pPr>
              <w:autoSpaceDE w:val="0"/>
              <w:autoSpaceDN w:val="0"/>
              <w:adjustRightInd w:val="0"/>
              <w:spacing w:line="276" w:lineRule="auto"/>
              <w:rPr>
                <w:rFonts w:ascii="Calibri" w:hAnsi="Calibri" w:cs="Calibri"/>
                <w:b/>
                <w:i/>
                <w:color w:val="000000"/>
                <w:sz w:val="22"/>
                <w:szCs w:val="22"/>
              </w:rPr>
            </w:pPr>
            <w:r w:rsidRPr="000337C9">
              <w:rPr>
                <w:rFonts w:ascii="Calibri" w:hAnsi="Calibri" w:cs="Calibri"/>
                <w:b/>
                <w:i/>
                <w:color w:val="000000"/>
                <w:sz w:val="22"/>
                <w:szCs w:val="22"/>
              </w:rPr>
              <w:t>Recommendations for systemic salvage treatment</w:t>
            </w:r>
          </w:p>
        </w:tc>
      </w:tr>
      <w:tr w:rsidR="000337C9" w:rsidRPr="000337C9" w14:paraId="134A8E90" w14:textId="77777777" w:rsidTr="00B83C6E">
        <w:tc>
          <w:tcPr>
            <w:tcW w:w="7221" w:type="dxa"/>
            <w:shd w:val="clear" w:color="auto" w:fill="DBE5F1"/>
          </w:tcPr>
          <w:p w14:paraId="377D08F0" w14:textId="13FFC477" w:rsidR="000337C9" w:rsidRPr="000337C9" w:rsidRDefault="00FA7C43" w:rsidP="00FA7C43">
            <w:pPr>
              <w:autoSpaceDE w:val="0"/>
              <w:autoSpaceDN w:val="0"/>
              <w:adjustRightInd w:val="0"/>
              <w:spacing w:line="276" w:lineRule="auto"/>
              <w:rPr>
                <w:rFonts w:ascii="Calibri" w:hAnsi="Calibri" w:cs="Calibri"/>
                <w:color w:val="000000"/>
                <w:sz w:val="22"/>
                <w:szCs w:val="22"/>
              </w:rPr>
            </w:pPr>
            <w:r>
              <w:rPr>
                <w:rFonts w:ascii="Calibri" w:hAnsi="Calibri" w:cs="Calibri"/>
                <w:color w:val="000000"/>
                <w:sz w:val="22"/>
                <w:szCs w:val="22"/>
              </w:rPr>
              <w:t xml:space="preserve">Do not offer ADT </w:t>
            </w:r>
            <w:r w:rsidR="000337C9" w:rsidRPr="000337C9">
              <w:rPr>
                <w:rFonts w:ascii="Calibri" w:hAnsi="Calibri" w:cs="Calibri"/>
                <w:color w:val="000000"/>
                <w:sz w:val="22"/>
                <w:szCs w:val="22"/>
              </w:rPr>
              <w:t>to M0 patients with a PS</w:t>
            </w:r>
            <w:r>
              <w:rPr>
                <w:rFonts w:ascii="Calibri" w:hAnsi="Calibri" w:cs="Calibri"/>
                <w:color w:val="000000"/>
                <w:sz w:val="22"/>
                <w:szCs w:val="22"/>
              </w:rPr>
              <w:t>A-doubling time &gt; twelve mo.</w:t>
            </w:r>
          </w:p>
        </w:tc>
        <w:tc>
          <w:tcPr>
            <w:tcW w:w="1795" w:type="dxa"/>
            <w:shd w:val="clear" w:color="auto" w:fill="DBE5F1"/>
          </w:tcPr>
          <w:p w14:paraId="52CCBBB9" w14:textId="77777777" w:rsidR="000337C9" w:rsidRPr="000337C9" w:rsidRDefault="000337C9" w:rsidP="000337C9">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Strong</w:t>
            </w:r>
          </w:p>
        </w:tc>
      </w:tr>
      <w:tr w:rsidR="000337C9" w:rsidRPr="000337C9" w14:paraId="52E777B2" w14:textId="77777777" w:rsidTr="00B83C6E">
        <w:tc>
          <w:tcPr>
            <w:tcW w:w="7221" w:type="dxa"/>
            <w:shd w:val="clear" w:color="auto" w:fill="DBE5F1"/>
          </w:tcPr>
          <w:p w14:paraId="2E4BE26F" w14:textId="7F7DB1EF" w:rsidR="000337C9" w:rsidRPr="00FA7C43" w:rsidRDefault="000337C9" w:rsidP="00FA7C43">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Offer enzalutamide with or with</w:t>
            </w:r>
            <w:r w:rsidR="00FA7C43">
              <w:rPr>
                <w:rFonts w:ascii="Calibri" w:hAnsi="Calibri" w:cs="Calibri"/>
                <w:color w:val="000000"/>
                <w:sz w:val="22"/>
                <w:szCs w:val="22"/>
              </w:rPr>
              <w:t xml:space="preserve">out ADT to M0 patients with a </w:t>
            </w:r>
            <w:r w:rsidR="00FA7C43" w:rsidRPr="00FA7C43">
              <w:rPr>
                <w:rFonts w:ascii="Calibri" w:hAnsi="Calibri" w:cs="Calibri"/>
                <w:color w:val="000000"/>
                <w:sz w:val="22"/>
                <w:szCs w:val="22"/>
              </w:rPr>
              <w:t>high-risk BCR,</w:t>
            </w:r>
            <w:r w:rsidR="00FA7C43">
              <w:rPr>
                <w:rFonts w:ascii="Calibri" w:hAnsi="Calibri" w:cs="Calibri"/>
                <w:color w:val="000000"/>
                <w:sz w:val="22"/>
                <w:szCs w:val="22"/>
              </w:rPr>
              <w:t xml:space="preserve"> defined as a PSA doubling time of ≤9 mo and PSA ≥</w:t>
            </w:r>
            <w:r w:rsidR="00FA7C43" w:rsidRPr="00FA7C43">
              <w:rPr>
                <w:rFonts w:ascii="Calibri" w:hAnsi="Calibri" w:cs="Calibri"/>
                <w:color w:val="000000"/>
                <w:sz w:val="22"/>
                <w:szCs w:val="22"/>
              </w:rPr>
              <w:t>2 ng/</w:t>
            </w:r>
            <w:r w:rsidR="00FA7C43">
              <w:rPr>
                <w:rFonts w:ascii="Calibri" w:hAnsi="Calibri" w:cs="Calibri"/>
                <w:color w:val="000000"/>
                <w:sz w:val="22"/>
                <w:szCs w:val="22"/>
              </w:rPr>
              <w:t xml:space="preserve">ml above the nadir after RT or ≥1 </w:t>
            </w:r>
            <w:r w:rsidR="00FA7C43" w:rsidRPr="00FA7C43">
              <w:rPr>
                <w:rFonts w:ascii="Calibri" w:hAnsi="Calibri" w:cs="Calibri"/>
                <w:color w:val="000000"/>
                <w:sz w:val="22"/>
                <w:szCs w:val="22"/>
              </w:rPr>
              <w:t>ng/ml after RP with or without postoperative RT.</w:t>
            </w:r>
          </w:p>
        </w:tc>
        <w:tc>
          <w:tcPr>
            <w:tcW w:w="1795" w:type="dxa"/>
            <w:shd w:val="clear" w:color="auto" w:fill="DBE5F1"/>
          </w:tcPr>
          <w:p w14:paraId="303A980A"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hAnsi="Calibri" w:cs="Calibri"/>
                <w:color w:val="000000"/>
                <w:sz w:val="22"/>
                <w:szCs w:val="22"/>
              </w:rPr>
              <w:t xml:space="preserve">Strong </w:t>
            </w:r>
          </w:p>
        </w:tc>
      </w:tr>
      <w:tr w:rsidR="000337C9" w:rsidRPr="000337C9" w14:paraId="1BB4CF7E" w14:textId="77777777" w:rsidTr="00B83C6E">
        <w:tc>
          <w:tcPr>
            <w:tcW w:w="9016" w:type="dxa"/>
            <w:gridSpan w:val="2"/>
            <w:shd w:val="clear" w:color="auto" w:fill="DBE5F1"/>
          </w:tcPr>
          <w:p w14:paraId="14E7CD1F" w14:textId="21B6F494" w:rsidR="000337C9" w:rsidRPr="000337C9" w:rsidRDefault="000337C9" w:rsidP="000337C9">
            <w:pPr>
              <w:autoSpaceDE w:val="0"/>
              <w:autoSpaceDN w:val="0"/>
              <w:adjustRightInd w:val="0"/>
              <w:spacing w:line="276" w:lineRule="auto"/>
              <w:rPr>
                <w:rFonts w:ascii="Calibri" w:hAnsi="Calibri" w:cs="Calibri"/>
                <w:b/>
                <w:i/>
                <w:color w:val="000000"/>
                <w:sz w:val="22"/>
                <w:szCs w:val="22"/>
              </w:rPr>
            </w:pPr>
            <w:r w:rsidRPr="000337C9">
              <w:rPr>
                <w:rFonts w:ascii="Calibri" w:hAnsi="Calibri" w:cs="Calibri"/>
                <w:b/>
                <w:i/>
                <w:color w:val="000000"/>
                <w:sz w:val="22"/>
                <w:szCs w:val="22"/>
              </w:rPr>
              <w:t>Recommendations for follo</w:t>
            </w:r>
            <w:r w:rsidR="00FA7C43">
              <w:rPr>
                <w:rFonts w:ascii="Calibri" w:hAnsi="Calibri" w:cs="Calibri"/>
                <w:b/>
                <w:i/>
                <w:color w:val="000000"/>
                <w:sz w:val="22"/>
                <w:szCs w:val="22"/>
              </w:rPr>
              <w:t>w-up after RP or RT</w:t>
            </w:r>
          </w:p>
        </w:tc>
      </w:tr>
      <w:tr w:rsidR="000337C9" w:rsidRPr="000337C9" w14:paraId="7C669635" w14:textId="77777777" w:rsidTr="00B83C6E">
        <w:tc>
          <w:tcPr>
            <w:tcW w:w="7221" w:type="dxa"/>
            <w:shd w:val="clear" w:color="auto" w:fill="DBE5F1"/>
          </w:tcPr>
          <w:p w14:paraId="0288D537" w14:textId="12E98719" w:rsidR="000337C9" w:rsidRPr="000337C9" w:rsidRDefault="000337C9" w:rsidP="00FA7C43">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 xml:space="preserve">Routinely follow-up asymptomatic patients by obtaining at least a disease-specific history and serum </w:t>
            </w:r>
            <w:r w:rsidR="00FA7C43">
              <w:rPr>
                <w:rFonts w:ascii="Calibri" w:hAnsi="Calibri" w:cs="Calibri"/>
                <w:color w:val="000000"/>
                <w:sz w:val="22"/>
                <w:szCs w:val="22"/>
              </w:rPr>
              <w:t>PSA</w:t>
            </w:r>
            <w:r w:rsidRPr="000337C9">
              <w:rPr>
                <w:rFonts w:ascii="Calibri" w:hAnsi="Calibri" w:cs="Calibri"/>
                <w:color w:val="000000"/>
                <w:sz w:val="22"/>
                <w:szCs w:val="22"/>
              </w:rPr>
              <w:t xml:space="preserve"> measurement.</w:t>
            </w:r>
          </w:p>
        </w:tc>
        <w:tc>
          <w:tcPr>
            <w:tcW w:w="1795" w:type="dxa"/>
            <w:shd w:val="clear" w:color="auto" w:fill="DBE5F1"/>
          </w:tcPr>
          <w:p w14:paraId="56685A8C" w14:textId="77777777" w:rsidR="000337C9" w:rsidRPr="000337C9" w:rsidRDefault="000337C9" w:rsidP="000337C9">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Strong</w:t>
            </w:r>
          </w:p>
        </w:tc>
      </w:tr>
      <w:tr w:rsidR="000337C9" w:rsidRPr="000337C9" w14:paraId="30188B81" w14:textId="77777777" w:rsidTr="00B83C6E">
        <w:tc>
          <w:tcPr>
            <w:tcW w:w="7221" w:type="dxa"/>
            <w:shd w:val="clear" w:color="auto" w:fill="DBE5F1"/>
          </w:tcPr>
          <w:p w14:paraId="069D6EEF" w14:textId="77777777" w:rsidR="000337C9" w:rsidRPr="000337C9" w:rsidRDefault="000337C9" w:rsidP="000337C9">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lastRenderedPageBreak/>
              <w:t>At recurrence, only perform imaging if the result will affect treatment planning.</w:t>
            </w:r>
          </w:p>
        </w:tc>
        <w:tc>
          <w:tcPr>
            <w:tcW w:w="1795" w:type="dxa"/>
            <w:shd w:val="clear" w:color="auto" w:fill="DBE5F1"/>
          </w:tcPr>
          <w:p w14:paraId="60B58E14" w14:textId="77777777" w:rsidR="000337C9" w:rsidRPr="000337C9" w:rsidRDefault="000337C9" w:rsidP="000337C9">
            <w:pPr>
              <w:autoSpaceDE w:val="0"/>
              <w:autoSpaceDN w:val="0"/>
              <w:adjustRightInd w:val="0"/>
              <w:spacing w:line="276" w:lineRule="auto"/>
              <w:rPr>
                <w:rFonts w:ascii="Calibri" w:hAnsi="Calibri" w:cs="Calibri"/>
                <w:color w:val="000000"/>
                <w:sz w:val="22"/>
                <w:szCs w:val="22"/>
              </w:rPr>
            </w:pPr>
            <w:r w:rsidRPr="000337C9">
              <w:rPr>
                <w:rFonts w:ascii="Calibri" w:hAnsi="Calibri" w:cs="Calibri"/>
                <w:color w:val="000000"/>
                <w:sz w:val="22"/>
                <w:szCs w:val="22"/>
              </w:rPr>
              <w:t>Strong</w:t>
            </w:r>
          </w:p>
        </w:tc>
      </w:tr>
    </w:tbl>
    <w:p w14:paraId="38AC9F77" w14:textId="7BD51CDF" w:rsidR="000337C9" w:rsidRPr="00352B4B" w:rsidRDefault="00352B4B" w:rsidP="00352B4B">
      <w:pPr>
        <w:spacing w:line="276" w:lineRule="auto"/>
        <w:rPr>
          <w:rFonts w:ascii="Calibri" w:hAnsi="Calibri" w:cs="Calibri"/>
          <w:i/>
          <w:iCs/>
          <w:color w:val="000000"/>
          <w:sz w:val="22"/>
          <w:szCs w:val="22"/>
        </w:rPr>
      </w:pPr>
      <w:r w:rsidRPr="00352B4B">
        <w:rPr>
          <w:rFonts w:ascii="Calibri" w:hAnsi="Calibri" w:cs="Calibri"/>
          <w:i/>
          <w:iCs/>
          <w:color w:val="000000"/>
          <w:sz w:val="22"/>
          <w:szCs w:val="22"/>
        </w:rPr>
        <w:t>ADT = androgen deprivation therapy; BCR = biochemical recurrence;</w:t>
      </w:r>
      <w:r>
        <w:rPr>
          <w:rFonts w:ascii="Calibri" w:hAnsi="Calibri" w:cs="Calibri"/>
          <w:i/>
          <w:iCs/>
          <w:color w:val="000000"/>
          <w:sz w:val="22"/>
          <w:szCs w:val="22"/>
        </w:rPr>
        <w:t xml:space="preserve"> </w:t>
      </w:r>
      <w:r w:rsidRPr="00352B4B">
        <w:rPr>
          <w:rFonts w:ascii="Calibri" w:hAnsi="Calibri" w:cs="Calibri"/>
          <w:i/>
          <w:iCs/>
          <w:color w:val="000000"/>
          <w:sz w:val="22"/>
          <w:szCs w:val="22"/>
        </w:rPr>
        <w:t>CT = computed tomography; EAU = E</w:t>
      </w:r>
      <w:r>
        <w:rPr>
          <w:rFonts w:ascii="Calibri" w:hAnsi="Calibri" w:cs="Calibri"/>
          <w:i/>
          <w:iCs/>
          <w:color w:val="000000"/>
          <w:sz w:val="22"/>
          <w:szCs w:val="22"/>
        </w:rPr>
        <w:t xml:space="preserve">uropean Association of Urology; </w:t>
      </w:r>
      <w:r w:rsidRPr="00352B4B">
        <w:rPr>
          <w:rFonts w:ascii="Calibri" w:hAnsi="Calibri" w:cs="Calibri"/>
          <w:i/>
          <w:iCs/>
          <w:color w:val="000000"/>
          <w:sz w:val="22"/>
          <w:szCs w:val="22"/>
        </w:rPr>
        <w:t>PET = positron emission tomography; P</w:t>
      </w:r>
      <w:r>
        <w:rPr>
          <w:rFonts w:ascii="Calibri" w:hAnsi="Calibri" w:cs="Calibri"/>
          <w:i/>
          <w:iCs/>
          <w:color w:val="000000"/>
          <w:sz w:val="22"/>
          <w:szCs w:val="22"/>
        </w:rPr>
        <w:t xml:space="preserve">SA = prostate-specific antigen; </w:t>
      </w:r>
      <w:r w:rsidRPr="00352B4B">
        <w:rPr>
          <w:rFonts w:ascii="Calibri" w:hAnsi="Calibri" w:cs="Calibri"/>
          <w:i/>
          <w:iCs/>
          <w:color w:val="000000"/>
          <w:sz w:val="22"/>
          <w:szCs w:val="22"/>
        </w:rPr>
        <w:t>RP = radical prostatectomy; RT = radiotherapy; SRT = salvage RT.</w:t>
      </w:r>
    </w:p>
    <w:p w14:paraId="516E7CA2" w14:textId="77777777" w:rsidR="000337C9" w:rsidRPr="000337C9" w:rsidRDefault="000337C9" w:rsidP="000337C9">
      <w:pPr>
        <w:pStyle w:val="ListParagraph"/>
        <w:spacing w:line="276" w:lineRule="auto"/>
        <w:ind w:left="1080"/>
        <w:rPr>
          <w:rFonts w:ascii="Calibri" w:hAnsi="Calibri" w:cs="Calibri"/>
          <w:i/>
          <w:iCs/>
          <w:color w:val="000000"/>
          <w:sz w:val="22"/>
          <w:szCs w:val="22"/>
        </w:rPr>
      </w:pPr>
    </w:p>
    <w:p w14:paraId="6A14E9FE" w14:textId="6DAE0CEE" w:rsidR="00EF20BF" w:rsidRDefault="00EF20BF" w:rsidP="00EF20BF">
      <w:pPr>
        <w:pStyle w:val="ListParagraph"/>
        <w:numPr>
          <w:ilvl w:val="2"/>
          <w:numId w:val="3"/>
        </w:numPr>
        <w:spacing w:line="276" w:lineRule="auto"/>
        <w:rPr>
          <w:rFonts w:ascii="Calibri" w:hAnsi="Calibri" w:cs="Calibri"/>
          <w:i/>
          <w:iCs/>
          <w:color w:val="000000"/>
          <w:sz w:val="22"/>
          <w:szCs w:val="22"/>
        </w:rPr>
      </w:pPr>
      <w:r w:rsidRPr="003F4CF7">
        <w:rPr>
          <w:rFonts w:ascii="Calibri" w:hAnsi="Calibri" w:cs="Calibri"/>
          <w:i/>
          <w:iCs/>
          <w:color w:val="000000"/>
          <w:sz w:val="22"/>
          <w:szCs w:val="22"/>
        </w:rPr>
        <w:t>Treatment of PSA-only recurrences after RT</w:t>
      </w:r>
    </w:p>
    <w:p w14:paraId="493302C4" w14:textId="77777777" w:rsidR="003F4CF7" w:rsidRPr="003F4CF7" w:rsidRDefault="003F4CF7" w:rsidP="003F4CF7">
      <w:pPr>
        <w:pStyle w:val="ListParagraph"/>
        <w:spacing w:line="276" w:lineRule="auto"/>
        <w:ind w:left="1440"/>
        <w:rPr>
          <w:rFonts w:ascii="Calibri" w:hAnsi="Calibri" w:cs="Calibri"/>
          <w:i/>
          <w:iCs/>
          <w:color w:val="000000"/>
          <w:sz w:val="22"/>
          <w:szCs w:val="22"/>
        </w:rPr>
      </w:pPr>
    </w:p>
    <w:p w14:paraId="4317FA88" w14:textId="77D182E1" w:rsidR="00EF20BF" w:rsidRPr="003F4CF7" w:rsidRDefault="00EF20BF" w:rsidP="00EF20BF">
      <w:pPr>
        <w:spacing w:line="276" w:lineRule="auto"/>
        <w:rPr>
          <w:rFonts w:ascii="Calibri" w:hAnsi="Calibri" w:cs="Calibri"/>
          <w:iCs/>
          <w:color w:val="000000"/>
          <w:sz w:val="22"/>
          <w:szCs w:val="22"/>
        </w:rPr>
      </w:pPr>
      <w:r w:rsidRPr="003F4CF7">
        <w:rPr>
          <w:rFonts w:ascii="Calibri" w:hAnsi="Calibri" w:cs="Calibri"/>
          <w:iCs/>
          <w:color w:val="000000"/>
          <w:sz w:val="22"/>
          <w:szCs w:val="22"/>
        </w:rPr>
        <w:t>Therapeutic options in these patients are ADT and salvage local procedures, as well as a ‘‘wait and see’’ approach, depending on performance status, life expectancy, and EAU BCR risk category at relapse. A systematic review and meta-analysis included studies comparing the efficacy and toxicity of salvage RP, salvage HIFU, salvage cryotherapy, stereotactic body RT (SBRT), salvage low-dose-rate (LDR) brachytherapy (BT), and salvage</w:t>
      </w:r>
      <w:r w:rsidRPr="00EF20BF">
        <w:rPr>
          <w:rFonts w:ascii="Calibri" w:hAnsi="Calibri" w:cs="Calibri"/>
          <w:iCs/>
          <w:color w:val="000000"/>
          <w:sz w:val="22"/>
          <w:szCs w:val="22"/>
        </w:rPr>
        <w:t xml:space="preserve"> high-dose-rate (HDR) BT in the management of locally recurrent PCa after primary RT [31]. There were no significant differences in recurrence-free survival (RFS) between these modalities. The 5-yr RFS rate ranged from 50% after cryotherapy to 60% after HDR BT and SBRT. The authors reported that severe genitourinary toxicity exceeded 21% for HIFU and RP, whereas it ranged from 4.2% to 8.1% for re-irradiation. Differences in severe gastrointestinal toxicity also appeared to favour re-irradiation, particularly HDR BT [31]. Owing to the methodological limitations of the studies (the majority of studies included were uncontrolled single-arm case series and there was considerable heterogeneity in the definitions of core outcomes), the evidence available for these treatment options is of low quality and strong recommendations regarding the </w:t>
      </w:r>
      <w:r w:rsidRPr="003F4CF7">
        <w:rPr>
          <w:rFonts w:ascii="Calibri" w:hAnsi="Calibri" w:cs="Calibri"/>
          <w:iCs/>
          <w:color w:val="000000"/>
          <w:sz w:val="22"/>
          <w:szCs w:val="22"/>
        </w:rPr>
        <w:t>choice of any of these techniques cannot be made.</w:t>
      </w:r>
    </w:p>
    <w:p w14:paraId="3F61A24B" w14:textId="77777777" w:rsidR="00EF20BF" w:rsidRPr="003F4CF7" w:rsidRDefault="00EF20BF" w:rsidP="00EF20BF">
      <w:pPr>
        <w:pStyle w:val="ListParagraph"/>
        <w:spacing w:line="276" w:lineRule="auto"/>
        <w:ind w:left="1800"/>
        <w:rPr>
          <w:rFonts w:ascii="Calibri" w:hAnsi="Calibri" w:cs="Calibri"/>
          <w:i/>
          <w:iCs/>
          <w:color w:val="000000"/>
          <w:sz w:val="22"/>
          <w:szCs w:val="22"/>
        </w:rPr>
      </w:pPr>
    </w:p>
    <w:p w14:paraId="1F9BFC1A" w14:textId="31B28A8C" w:rsidR="00EF20BF" w:rsidRDefault="00EF20BF" w:rsidP="00EF20BF">
      <w:pPr>
        <w:pStyle w:val="ListParagraph"/>
        <w:numPr>
          <w:ilvl w:val="2"/>
          <w:numId w:val="3"/>
        </w:numPr>
        <w:spacing w:line="276" w:lineRule="auto"/>
        <w:rPr>
          <w:rFonts w:ascii="Calibri" w:hAnsi="Calibri" w:cs="Calibri"/>
          <w:i/>
          <w:iCs/>
          <w:color w:val="000000"/>
          <w:sz w:val="22"/>
          <w:szCs w:val="22"/>
        </w:rPr>
      </w:pPr>
      <w:r w:rsidRPr="003F4CF7">
        <w:rPr>
          <w:rFonts w:ascii="Calibri" w:hAnsi="Calibri" w:cs="Calibri"/>
          <w:i/>
          <w:iCs/>
          <w:color w:val="000000"/>
          <w:sz w:val="22"/>
          <w:szCs w:val="22"/>
        </w:rPr>
        <w:t>Hormone therapy for relapse</w:t>
      </w:r>
    </w:p>
    <w:p w14:paraId="2979E0E5" w14:textId="77777777" w:rsidR="003F4CF7" w:rsidRPr="003F4CF7" w:rsidRDefault="003F4CF7" w:rsidP="003F4CF7">
      <w:pPr>
        <w:pStyle w:val="ListParagraph"/>
        <w:spacing w:line="276" w:lineRule="auto"/>
        <w:ind w:left="1440"/>
        <w:rPr>
          <w:rFonts w:ascii="Calibri" w:hAnsi="Calibri" w:cs="Calibri"/>
          <w:i/>
          <w:iCs/>
          <w:color w:val="000000"/>
          <w:sz w:val="22"/>
          <w:szCs w:val="22"/>
        </w:rPr>
      </w:pPr>
    </w:p>
    <w:p w14:paraId="64BEA351" w14:textId="4E4B7085" w:rsidR="00DD1BD0" w:rsidRPr="003F4CF7" w:rsidRDefault="00DD1BD0" w:rsidP="00DD1BD0">
      <w:pPr>
        <w:spacing w:line="276" w:lineRule="auto"/>
        <w:rPr>
          <w:rFonts w:ascii="Calibri" w:hAnsi="Calibri" w:cs="Calibri"/>
          <w:color w:val="000000"/>
          <w:sz w:val="22"/>
          <w:szCs w:val="22"/>
        </w:rPr>
      </w:pPr>
      <w:r w:rsidRPr="003F4CF7">
        <w:rPr>
          <w:rFonts w:ascii="Calibri" w:hAnsi="Calibri" w:cs="Calibri"/>
          <w:color w:val="000000"/>
          <w:sz w:val="22"/>
          <w:szCs w:val="22"/>
        </w:rPr>
        <w:t>A three-arm randomised phase 3 trial (EMBARK) enrolled patients with PCa who had high-risk BCR, defined as a PSA doubling time of &lt;9 mo and a PSA level of &gt;2 ng/ml above the nadir after RT, or ≥1 ng/ml after RP with or without postoperative RT [32]. Patients (M0 on conventional imaging;</w:t>
      </w:r>
    </w:p>
    <w:p w14:paraId="23732413" w14:textId="64C2F2D8" w:rsidR="00DD1BD0" w:rsidRPr="00DD1BD0" w:rsidRDefault="00DD1BD0" w:rsidP="00DD1BD0">
      <w:pPr>
        <w:spacing w:line="276" w:lineRule="auto"/>
        <w:rPr>
          <w:rFonts w:ascii="Calibri" w:hAnsi="Calibri" w:cs="Calibri"/>
          <w:color w:val="000000"/>
          <w:sz w:val="22"/>
          <w:szCs w:val="22"/>
        </w:rPr>
      </w:pPr>
      <w:r w:rsidRPr="003F4CF7">
        <w:rPr>
          <w:rFonts w:ascii="Calibri" w:hAnsi="Calibri" w:cs="Calibri"/>
          <w:color w:val="000000"/>
          <w:sz w:val="22"/>
          <w:szCs w:val="22"/>
        </w:rPr>
        <w:t>PSMA PET imaging was not applied</w:t>
      </w:r>
      <w:r w:rsidRPr="00DD1BD0">
        <w:rPr>
          <w:rFonts w:ascii="Calibri" w:hAnsi="Calibri" w:cs="Calibri"/>
          <w:color w:val="000000"/>
          <w:sz w:val="22"/>
          <w:szCs w:val="22"/>
        </w:rPr>
        <w:t xml:space="preserve"> for eligibility) were rando</w:t>
      </w:r>
      <w:r>
        <w:rPr>
          <w:rFonts w:ascii="Calibri" w:hAnsi="Calibri" w:cs="Calibri"/>
          <w:color w:val="000000"/>
          <w:sz w:val="22"/>
          <w:szCs w:val="22"/>
        </w:rPr>
        <w:t xml:space="preserve">mly assigned 1:1:1 to receive enzalutamide daily plus </w:t>
      </w:r>
      <w:r w:rsidRPr="00DD1BD0">
        <w:rPr>
          <w:rFonts w:ascii="Calibri" w:hAnsi="Calibri" w:cs="Calibri"/>
          <w:color w:val="000000"/>
          <w:sz w:val="22"/>
          <w:szCs w:val="22"/>
        </w:rPr>
        <w:t>leuprolide every 12 wk (c</w:t>
      </w:r>
      <w:r>
        <w:rPr>
          <w:rFonts w:ascii="Calibri" w:hAnsi="Calibri" w:cs="Calibri"/>
          <w:color w:val="000000"/>
          <w:sz w:val="22"/>
          <w:szCs w:val="22"/>
        </w:rPr>
        <w:t xml:space="preserve">ombination group), placebo plus </w:t>
      </w:r>
      <w:r w:rsidRPr="00DD1BD0">
        <w:rPr>
          <w:rFonts w:ascii="Calibri" w:hAnsi="Calibri" w:cs="Calibri"/>
          <w:color w:val="000000"/>
          <w:sz w:val="22"/>
          <w:szCs w:val="22"/>
        </w:rPr>
        <w:t>leuprolide (leuprolid</w:t>
      </w:r>
      <w:r>
        <w:rPr>
          <w:rFonts w:ascii="Calibri" w:hAnsi="Calibri" w:cs="Calibri"/>
          <w:color w:val="000000"/>
          <w:sz w:val="22"/>
          <w:szCs w:val="22"/>
        </w:rPr>
        <w:t xml:space="preserve">e-alone group), or enzalutamide </w:t>
      </w:r>
      <w:r w:rsidRPr="00DD1BD0">
        <w:rPr>
          <w:rFonts w:ascii="Calibri" w:hAnsi="Calibri" w:cs="Calibri"/>
          <w:color w:val="000000"/>
          <w:sz w:val="22"/>
          <w:szCs w:val="22"/>
        </w:rPr>
        <w:t xml:space="preserve">monotherapy (monotherapy </w:t>
      </w:r>
      <w:r>
        <w:rPr>
          <w:rFonts w:ascii="Calibri" w:hAnsi="Calibri" w:cs="Calibri"/>
          <w:color w:val="000000"/>
          <w:sz w:val="22"/>
          <w:szCs w:val="22"/>
        </w:rPr>
        <w:t xml:space="preserve">group). Treatment was suspended </w:t>
      </w:r>
      <w:r w:rsidRPr="00DD1BD0">
        <w:rPr>
          <w:rFonts w:ascii="Calibri" w:hAnsi="Calibri" w:cs="Calibri"/>
          <w:color w:val="000000"/>
          <w:sz w:val="22"/>
          <w:szCs w:val="22"/>
        </w:rPr>
        <w:t>at week 37 if PSA was &lt;0.2 ng/ml an</w:t>
      </w:r>
      <w:r>
        <w:rPr>
          <w:rFonts w:ascii="Calibri" w:hAnsi="Calibri" w:cs="Calibri"/>
          <w:color w:val="000000"/>
          <w:sz w:val="22"/>
          <w:szCs w:val="22"/>
        </w:rPr>
        <w:t xml:space="preserve">d was restarted </w:t>
      </w:r>
      <w:r w:rsidRPr="00DD1BD0">
        <w:rPr>
          <w:rFonts w:ascii="Calibri" w:hAnsi="Calibri" w:cs="Calibri"/>
          <w:color w:val="000000"/>
          <w:sz w:val="22"/>
          <w:szCs w:val="22"/>
        </w:rPr>
        <w:t>when PSA was at least 5.0 ng/ml i</w:t>
      </w:r>
      <w:r>
        <w:rPr>
          <w:rFonts w:ascii="Calibri" w:hAnsi="Calibri" w:cs="Calibri"/>
          <w:color w:val="000000"/>
          <w:sz w:val="22"/>
          <w:szCs w:val="22"/>
        </w:rPr>
        <w:t xml:space="preserve">f the patient had not undergone </w:t>
      </w:r>
      <w:r w:rsidRPr="00DD1BD0">
        <w:rPr>
          <w:rFonts w:ascii="Calibri" w:hAnsi="Calibri" w:cs="Calibri"/>
          <w:color w:val="000000"/>
          <w:sz w:val="22"/>
          <w:szCs w:val="22"/>
        </w:rPr>
        <w:t>RP, or at least 2.0 ng/</w:t>
      </w:r>
      <w:r>
        <w:rPr>
          <w:rFonts w:ascii="Calibri" w:hAnsi="Calibri" w:cs="Calibri"/>
          <w:color w:val="000000"/>
          <w:sz w:val="22"/>
          <w:szCs w:val="22"/>
        </w:rPr>
        <w:t xml:space="preserve">ml if the patient had undergone </w:t>
      </w:r>
      <w:r w:rsidRPr="00DD1BD0">
        <w:rPr>
          <w:rFonts w:ascii="Calibri" w:hAnsi="Calibri" w:cs="Calibri"/>
          <w:color w:val="000000"/>
          <w:sz w:val="22"/>
          <w:szCs w:val="22"/>
        </w:rPr>
        <w:t>RP. The primary endpoint w</w:t>
      </w:r>
      <w:r>
        <w:rPr>
          <w:rFonts w:ascii="Calibri" w:hAnsi="Calibri" w:cs="Calibri"/>
          <w:color w:val="000000"/>
          <w:sz w:val="22"/>
          <w:szCs w:val="22"/>
        </w:rPr>
        <w:t xml:space="preserve">as MFS in the combination group </w:t>
      </w:r>
      <w:r w:rsidRPr="00DD1BD0">
        <w:rPr>
          <w:rFonts w:ascii="Calibri" w:hAnsi="Calibri" w:cs="Calibri"/>
          <w:color w:val="000000"/>
          <w:sz w:val="22"/>
          <w:szCs w:val="22"/>
        </w:rPr>
        <w:t>in comparison to the leu</w:t>
      </w:r>
      <w:r>
        <w:rPr>
          <w:rFonts w:ascii="Calibri" w:hAnsi="Calibri" w:cs="Calibri"/>
          <w:color w:val="000000"/>
          <w:sz w:val="22"/>
          <w:szCs w:val="22"/>
        </w:rPr>
        <w:t xml:space="preserve">prolide-alone group. MFS in the </w:t>
      </w:r>
      <w:r w:rsidRPr="00DD1BD0">
        <w:rPr>
          <w:rFonts w:ascii="Calibri" w:hAnsi="Calibri" w:cs="Calibri"/>
          <w:color w:val="000000"/>
          <w:sz w:val="22"/>
          <w:szCs w:val="22"/>
        </w:rPr>
        <w:t>monotherapy group in com</w:t>
      </w:r>
      <w:r>
        <w:rPr>
          <w:rFonts w:ascii="Calibri" w:hAnsi="Calibri" w:cs="Calibri"/>
          <w:color w:val="000000"/>
          <w:sz w:val="22"/>
          <w:szCs w:val="22"/>
        </w:rPr>
        <w:t xml:space="preserve">parison to the leuprolide-alone </w:t>
      </w:r>
      <w:r w:rsidRPr="00DD1BD0">
        <w:rPr>
          <w:rFonts w:ascii="Calibri" w:hAnsi="Calibri" w:cs="Calibri"/>
          <w:color w:val="000000"/>
          <w:sz w:val="22"/>
          <w:szCs w:val="22"/>
        </w:rPr>
        <w:t>group was a key secondary end</w:t>
      </w:r>
      <w:r>
        <w:rPr>
          <w:rFonts w:ascii="Calibri" w:hAnsi="Calibri" w:cs="Calibri"/>
          <w:color w:val="000000"/>
          <w:sz w:val="22"/>
          <w:szCs w:val="22"/>
        </w:rPr>
        <w:t xml:space="preserve">point. A total of 1068 patients </w:t>
      </w:r>
      <w:r w:rsidRPr="00DD1BD0">
        <w:rPr>
          <w:rFonts w:ascii="Calibri" w:hAnsi="Calibri" w:cs="Calibri"/>
          <w:color w:val="000000"/>
          <w:sz w:val="22"/>
          <w:szCs w:val="22"/>
        </w:rPr>
        <w:t>were randomised. At median follow-up of 60.7 mo, the 5-yr</w:t>
      </w:r>
    </w:p>
    <w:p w14:paraId="28AA1448" w14:textId="1ED9E7AA" w:rsidR="00DD1BD0" w:rsidRPr="00DD1BD0" w:rsidRDefault="00DD1BD0" w:rsidP="00DD1BD0">
      <w:pPr>
        <w:spacing w:line="276" w:lineRule="auto"/>
        <w:rPr>
          <w:rFonts w:ascii="Calibri" w:hAnsi="Calibri" w:cs="Calibri"/>
          <w:color w:val="000000"/>
          <w:sz w:val="22"/>
          <w:szCs w:val="22"/>
        </w:rPr>
      </w:pPr>
      <w:r w:rsidRPr="00DD1BD0">
        <w:rPr>
          <w:rFonts w:ascii="Calibri" w:hAnsi="Calibri" w:cs="Calibri"/>
          <w:color w:val="000000"/>
          <w:sz w:val="22"/>
          <w:szCs w:val="22"/>
        </w:rPr>
        <w:t>MFS rate was 87.3% (95% C</w:t>
      </w:r>
      <w:r>
        <w:rPr>
          <w:rFonts w:ascii="Calibri" w:hAnsi="Calibri" w:cs="Calibri"/>
          <w:color w:val="000000"/>
          <w:sz w:val="22"/>
          <w:szCs w:val="22"/>
        </w:rPr>
        <w:t xml:space="preserve">I 83.0–90.6) in the combination </w:t>
      </w:r>
      <w:r w:rsidRPr="00DD1BD0">
        <w:rPr>
          <w:rFonts w:ascii="Calibri" w:hAnsi="Calibri" w:cs="Calibri"/>
          <w:color w:val="000000"/>
          <w:sz w:val="22"/>
          <w:szCs w:val="22"/>
        </w:rPr>
        <w:t>group, 71.4% (95% CI 65.</w:t>
      </w:r>
      <w:r>
        <w:rPr>
          <w:rFonts w:ascii="Calibri" w:hAnsi="Calibri" w:cs="Calibri"/>
          <w:color w:val="000000"/>
          <w:sz w:val="22"/>
          <w:szCs w:val="22"/>
        </w:rPr>
        <w:t xml:space="preserve">7–76.3) in the leuprolide-alone </w:t>
      </w:r>
      <w:r w:rsidRPr="00DD1BD0">
        <w:rPr>
          <w:rFonts w:ascii="Calibri" w:hAnsi="Calibri" w:cs="Calibri"/>
          <w:color w:val="000000"/>
          <w:sz w:val="22"/>
          <w:szCs w:val="22"/>
        </w:rPr>
        <w:t>group, and 80.0% (95% C</w:t>
      </w:r>
      <w:r>
        <w:rPr>
          <w:rFonts w:ascii="Calibri" w:hAnsi="Calibri" w:cs="Calibri"/>
          <w:color w:val="000000"/>
          <w:sz w:val="22"/>
          <w:szCs w:val="22"/>
        </w:rPr>
        <w:t xml:space="preserve">I 75.0–84.1) in the monotherapy </w:t>
      </w:r>
      <w:r w:rsidRPr="00DD1BD0">
        <w:rPr>
          <w:rFonts w:ascii="Calibri" w:hAnsi="Calibri" w:cs="Calibri"/>
          <w:color w:val="000000"/>
          <w:sz w:val="22"/>
          <w:szCs w:val="22"/>
        </w:rPr>
        <w:t xml:space="preserve">group. The combination </w:t>
      </w:r>
      <w:r>
        <w:rPr>
          <w:rFonts w:ascii="Calibri" w:hAnsi="Calibri" w:cs="Calibri"/>
          <w:color w:val="000000"/>
          <w:sz w:val="22"/>
          <w:szCs w:val="22"/>
        </w:rPr>
        <w:t xml:space="preserve">of enzalutamide plus leuprolide </w:t>
      </w:r>
      <w:r w:rsidRPr="00DD1BD0">
        <w:rPr>
          <w:rFonts w:ascii="Calibri" w:hAnsi="Calibri" w:cs="Calibri"/>
          <w:color w:val="000000"/>
          <w:sz w:val="22"/>
          <w:szCs w:val="22"/>
        </w:rPr>
        <w:t>was superior to leuprolide alone with regard to MFS (HR</w:t>
      </w:r>
    </w:p>
    <w:p w14:paraId="6FBECCE0" w14:textId="68BE0004" w:rsidR="00DD1BD0" w:rsidRPr="00DD1BD0" w:rsidRDefault="00DD1BD0" w:rsidP="00DD1BD0">
      <w:pPr>
        <w:spacing w:line="276" w:lineRule="auto"/>
        <w:rPr>
          <w:rFonts w:ascii="Calibri" w:hAnsi="Calibri" w:cs="Calibri"/>
          <w:color w:val="000000"/>
          <w:sz w:val="22"/>
          <w:szCs w:val="22"/>
        </w:rPr>
      </w:pPr>
      <w:r w:rsidRPr="00DD1BD0">
        <w:rPr>
          <w:rFonts w:ascii="Calibri" w:hAnsi="Calibri" w:cs="Calibri"/>
          <w:color w:val="000000"/>
          <w:sz w:val="22"/>
          <w:szCs w:val="22"/>
        </w:rPr>
        <w:t>0.42, 95% CI 0.30–0.61; p &lt; 0.001)</w:t>
      </w:r>
      <w:r>
        <w:rPr>
          <w:rFonts w:ascii="Calibri" w:hAnsi="Calibri" w:cs="Calibri"/>
          <w:color w:val="000000"/>
          <w:sz w:val="22"/>
          <w:szCs w:val="22"/>
        </w:rPr>
        <w:t xml:space="preserve">. Enzalutamide monotherapy </w:t>
      </w:r>
      <w:r w:rsidRPr="00DD1BD0">
        <w:rPr>
          <w:rFonts w:ascii="Calibri" w:hAnsi="Calibri" w:cs="Calibri"/>
          <w:color w:val="000000"/>
          <w:sz w:val="22"/>
          <w:szCs w:val="22"/>
        </w:rPr>
        <w:t>also showed superior MF</w:t>
      </w:r>
      <w:r>
        <w:rPr>
          <w:rFonts w:ascii="Calibri" w:hAnsi="Calibri" w:cs="Calibri"/>
          <w:color w:val="000000"/>
          <w:sz w:val="22"/>
          <w:szCs w:val="22"/>
        </w:rPr>
        <w:t xml:space="preserve">S to leuprolide alone (HR 0.63, </w:t>
      </w:r>
      <w:r w:rsidRPr="00DD1BD0">
        <w:rPr>
          <w:rFonts w:ascii="Calibri" w:hAnsi="Calibri" w:cs="Calibri"/>
          <w:color w:val="000000"/>
          <w:sz w:val="22"/>
          <w:szCs w:val="22"/>
        </w:rPr>
        <w:t>95% CI 0.46–0.87; p = 0.005)</w:t>
      </w:r>
      <w:r>
        <w:rPr>
          <w:rFonts w:ascii="Calibri" w:hAnsi="Calibri" w:cs="Calibri"/>
          <w:color w:val="000000"/>
          <w:sz w:val="22"/>
          <w:szCs w:val="22"/>
        </w:rPr>
        <w:t xml:space="preserve">. The patient-reported outcomes </w:t>
      </w:r>
      <w:r w:rsidRPr="00DD1BD0">
        <w:rPr>
          <w:rFonts w:ascii="Calibri" w:hAnsi="Calibri" w:cs="Calibri"/>
          <w:color w:val="000000"/>
          <w:sz w:val="22"/>
          <w:szCs w:val="22"/>
        </w:rPr>
        <w:t>from EMBARK showed tha</w:t>
      </w:r>
      <w:r>
        <w:rPr>
          <w:rFonts w:ascii="Calibri" w:hAnsi="Calibri" w:cs="Calibri"/>
          <w:color w:val="000000"/>
          <w:sz w:val="22"/>
          <w:szCs w:val="22"/>
        </w:rPr>
        <w:t xml:space="preserve">t both enzalutamide combination </w:t>
      </w:r>
      <w:r w:rsidRPr="00DD1BD0">
        <w:rPr>
          <w:rFonts w:ascii="Calibri" w:hAnsi="Calibri" w:cs="Calibri"/>
          <w:color w:val="000000"/>
          <w:sz w:val="22"/>
          <w:szCs w:val="22"/>
        </w:rPr>
        <w:t xml:space="preserve">and monotherapy versus </w:t>
      </w:r>
      <w:r>
        <w:rPr>
          <w:rFonts w:ascii="Calibri" w:hAnsi="Calibri" w:cs="Calibri"/>
          <w:color w:val="000000"/>
          <w:sz w:val="22"/>
          <w:szCs w:val="22"/>
        </w:rPr>
        <w:t xml:space="preserve">leuprolide alone preserved high </w:t>
      </w:r>
      <w:r w:rsidRPr="00DD1BD0">
        <w:rPr>
          <w:rFonts w:ascii="Calibri" w:hAnsi="Calibri" w:cs="Calibri"/>
          <w:color w:val="000000"/>
          <w:sz w:val="22"/>
          <w:szCs w:val="22"/>
        </w:rPr>
        <w:t>health-related quality of life</w:t>
      </w:r>
      <w:r>
        <w:rPr>
          <w:rFonts w:ascii="Calibri" w:hAnsi="Calibri" w:cs="Calibri"/>
          <w:color w:val="000000"/>
          <w:sz w:val="22"/>
          <w:szCs w:val="22"/>
        </w:rPr>
        <w:t xml:space="preserve"> in patients with high-risk BCR of prostate cancer [33]. </w:t>
      </w:r>
      <w:r w:rsidRPr="00DD1BD0">
        <w:rPr>
          <w:rFonts w:ascii="Calibri" w:hAnsi="Calibri" w:cs="Calibri"/>
          <w:color w:val="000000"/>
          <w:sz w:val="22"/>
          <w:szCs w:val="22"/>
        </w:rPr>
        <w:t>T</w:t>
      </w:r>
      <w:r>
        <w:rPr>
          <w:rFonts w:ascii="Calibri" w:hAnsi="Calibri" w:cs="Calibri"/>
          <w:color w:val="000000"/>
          <w:sz w:val="22"/>
          <w:szCs w:val="22"/>
        </w:rPr>
        <w:t xml:space="preserve">hese results led to US Food and </w:t>
      </w:r>
      <w:r w:rsidRPr="00DD1BD0">
        <w:rPr>
          <w:rFonts w:ascii="Calibri" w:hAnsi="Calibri" w:cs="Calibri"/>
          <w:color w:val="000000"/>
          <w:sz w:val="22"/>
          <w:szCs w:val="22"/>
        </w:rPr>
        <w:t>Drug Administration (FDA) approval of enzalutamide alone</w:t>
      </w:r>
    </w:p>
    <w:p w14:paraId="3E2337A7" w14:textId="06F0E8EE" w:rsidR="00EF20BF" w:rsidRDefault="00DD1BD0" w:rsidP="00DD1BD0">
      <w:pPr>
        <w:spacing w:line="276" w:lineRule="auto"/>
        <w:rPr>
          <w:rFonts w:ascii="Calibri" w:hAnsi="Calibri" w:cs="Calibri"/>
          <w:color w:val="000000"/>
          <w:sz w:val="22"/>
          <w:szCs w:val="22"/>
        </w:rPr>
      </w:pPr>
      <w:proofErr w:type="gramStart"/>
      <w:r w:rsidRPr="00DD1BD0">
        <w:rPr>
          <w:rFonts w:ascii="Calibri" w:hAnsi="Calibri" w:cs="Calibri"/>
          <w:color w:val="000000"/>
          <w:sz w:val="22"/>
          <w:szCs w:val="22"/>
        </w:rPr>
        <w:lastRenderedPageBreak/>
        <w:t>or</w:t>
      </w:r>
      <w:proofErr w:type="gramEnd"/>
      <w:r w:rsidRPr="00DD1BD0">
        <w:rPr>
          <w:rFonts w:ascii="Calibri" w:hAnsi="Calibri" w:cs="Calibri"/>
          <w:color w:val="000000"/>
          <w:sz w:val="22"/>
          <w:szCs w:val="22"/>
        </w:rPr>
        <w:t xml:space="preserve"> in combination with ADT </w:t>
      </w:r>
      <w:r>
        <w:rPr>
          <w:rFonts w:ascii="Calibri" w:hAnsi="Calibri" w:cs="Calibri"/>
          <w:color w:val="000000"/>
          <w:sz w:val="22"/>
          <w:szCs w:val="22"/>
        </w:rPr>
        <w:t>for patients with non</w:t>
      </w:r>
      <w:r w:rsidR="00352B4B">
        <w:rPr>
          <w:rFonts w:ascii="Calibri" w:hAnsi="Calibri" w:cs="Calibri"/>
          <w:color w:val="000000"/>
          <w:sz w:val="22"/>
          <w:szCs w:val="22"/>
        </w:rPr>
        <w:t>-</w:t>
      </w:r>
      <w:r>
        <w:rPr>
          <w:rFonts w:ascii="Calibri" w:hAnsi="Calibri" w:cs="Calibri"/>
          <w:color w:val="000000"/>
          <w:sz w:val="22"/>
          <w:szCs w:val="22"/>
        </w:rPr>
        <w:t xml:space="preserve">metastatic </w:t>
      </w:r>
      <w:r w:rsidRPr="00DD1BD0">
        <w:rPr>
          <w:rFonts w:ascii="Calibri" w:hAnsi="Calibri" w:cs="Calibri"/>
          <w:color w:val="000000"/>
          <w:sz w:val="22"/>
          <w:szCs w:val="22"/>
        </w:rPr>
        <w:t>hormone-sensitive PCa (HS</w:t>
      </w:r>
      <w:r>
        <w:rPr>
          <w:rFonts w:ascii="Calibri" w:hAnsi="Calibri" w:cs="Calibri"/>
          <w:color w:val="000000"/>
          <w:sz w:val="22"/>
          <w:szCs w:val="22"/>
        </w:rPr>
        <w:t xml:space="preserve">PC) with BCR at high risk of </w:t>
      </w:r>
      <w:r w:rsidRPr="00DD1BD0">
        <w:rPr>
          <w:rFonts w:ascii="Calibri" w:hAnsi="Calibri" w:cs="Calibri"/>
          <w:color w:val="000000"/>
          <w:sz w:val="22"/>
          <w:szCs w:val="22"/>
        </w:rPr>
        <w:t>metastasis (high-risk BCR) in November 2023 [34].</w:t>
      </w:r>
    </w:p>
    <w:p w14:paraId="1416412C" w14:textId="77777777" w:rsidR="003F4CF7" w:rsidRDefault="003F4CF7" w:rsidP="000337C9">
      <w:pPr>
        <w:autoSpaceDE w:val="0"/>
        <w:autoSpaceDN w:val="0"/>
        <w:adjustRightInd w:val="0"/>
        <w:spacing w:line="276" w:lineRule="auto"/>
        <w:jc w:val="both"/>
        <w:rPr>
          <w:rFonts w:ascii="Calibri" w:eastAsia="Calibri" w:hAnsi="Calibri" w:cs="Calibri"/>
          <w:b/>
          <w:bCs/>
          <w:noProof/>
          <w:color w:val="000000"/>
          <w:sz w:val="22"/>
          <w:szCs w:val="22"/>
        </w:rPr>
      </w:pPr>
    </w:p>
    <w:p w14:paraId="0AB0717E" w14:textId="61BFBF2E" w:rsidR="000337C9" w:rsidRPr="000337C9" w:rsidRDefault="000337C9" w:rsidP="000337C9">
      <w:pPr>
        <w:autoSpaceDE w:val="0"/>
        <w:autoSpaceDN w:val="0"/>
        <w:adjustRightInd w:val="0"/>
        <w:spacing w:line="276" w:lineRule="auto"/>
        <w:jc w:val="both"/>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Table 5: Overview of all three randomised trials and one meta-analysis for patients treated with adjuvant vs. early salvage RT after RP</w:t>
      </w:r>
    </w:p>
    <w:p w14:paraId="2DFE9CC8"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p>
    <w:tbl>
      <w:tblPr>
        <w:tblStyle w:val="TableGrid39"/>
        <w:tblW w:w="9351" w:type="dxa"/>
        <w:tblLayout w:type="fixed"/>
        <w:tblLook w:val="04A0" w:firstRow="1" w:lastRow="0" w:firstColumn="1" w:lastColumn="0" w:noHBand="0" w:noVBand="1"/>
      </w:tblPr>
      <w:tblGrid>
        <w:gridCol w:w="1133"/>
        <w:gridCol w:w="854"/>
        <w:gridCol w:w="1052"/>
        <w:gridCol w:w="1621"/>
        <w:gridCol w:w="1137"/>
        <w:gridCol w:w="995"/>
        <w:gridCol w:w="744"/>
        <w:gridCol w:w="678"/>
        <w:gridCol w:w="1137"/>
      </w:tblGrid>
      <w:tr w:rsidR="000337C9" w:rsidRPr="000337C9" w14:paraId="6592057E" w14:textId="77777777" w:rsidTr="00B83C6E">
        <w:tc>
          <w:tcPr>
            <w:tcW w:w="1133" w:type="dxa"/>
            <w:shd w:val="clear" w:color="auto" w:fill="F2F2F2"/>
          </w:tcPr>
          <w:p w14:paraId="1BD16C5D"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bookmarkStart w:id="1" w:name="_Hlk100222797"/>
            <w:r w:rsidRPr="000337C9">
              <w:rPr>
                <w:rFonts w:ascii="Calibri" w:eastAsia="Calibri" w:hAnsi="Calibri" w:cs="Calibri"/>
                <w:b/>
                <w:bCs/>
                <w:noProof/>
                <w:color w:val="000000"/>
                <w:sz w:val="22"/>
                <w:szCs w:val="22"/>
              </w:rPr>
              <w:t>Study</w:t>
            </w:r>
          </w:p>
        </w:tc>
        <w:tc>
          <w:tcPr>
            <w:tcW w:w="854" w:type="dxa"/>
            <w:shd w:val="clear" w:color="auto" w:fill="F2F2F2"/>
          </w:tcPr>
          <w:p w14:paraId="4C36FF1B"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n</w:t>
            </w:r>
          </w:p>
        </w:tc>
        <w:tc>
          <w:tcPr>
            <w:tcW w:w="1052" w:type="dxa"/>
            <w:shd w:val="clear" w:color="auto" w:fill="F2F2F2"/>
          </w:tcPr>
          <w:p w14:paraId="74E5880C"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Inclusion</w:t>
            </w:r>
          </w:p>
          <w:p w14:paraId="24A11B03"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criteria</w:t>
            </w:r>
          </w:p>
        </w:tc>
        <w:tc>
          <w:tcPr>
            <w:tcW w:w="1621" w:type="dxa"/>
            <w:shd w:val="clear" w:color="auto" w:fill="F2F2F2"/>
          </w:tcPr>
          <w:p w14:paraId="5396163C"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Randomisation</w:t>
            </w:r>
          </w:p>
        </w:tc>
        <w:tc>
          <w:tcPr>
            <w:tcW w:w="1137" w:type="dxa"/>
            <w:shd w:val="clear" w:color="auto" w:fill="F2F2F2"/>
          </w:tcPr>
          <w:p w14:paraId="3FDFD4F6"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Definition</w:t>
            </w:r>
          </w:p>
          <w:p w14:paraId="08F9C10E"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of BCR PSA (ng/mL)</w:t>
            </w:r>
          </w:p>
        </w:tc>
        <w:tc>
          <w:tcPr>
            <w:tcW w:w="995" w:type="dxa"/>
            <w:shd w:val="clear" w:color="auto" w:fill="F2F2F2"/>
          </w:tcPr>
          <w:p w14:paraId="706FE7D6"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Median</w:t>
            </w:r>
          </w:p>
          <w:p w14:paraId="101DEDF6"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FU (yr)</w:t>
            </w:r>
          </w:p>
          <w:p w14:paraId="673EBB86"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p>
        </w:tc>
        <w:tc>
          <w:tcPr>
            <w:tcW w:w="744" w:type="dxa"/>
            <w:shd w:val="clear" w:color="auto" w:fill="F2F2F2"/>
          </w:tcPr>
          <w:p w14:paraId="6CACF69E"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BPFS</w:t>
            </w:r>
          </w:p>
        </w:tc>
        <w:tc>
          <w:tcPr>
            <w:tcW w:w="678" w:type="dxa"/>
            <w:shd w:val="clear" w:color="auto" w:fill="F2F2F2"/>
          </w:tcPr>
          <w:p w14:paraId="427DFDAA"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OS or</w:t>
            </w:r>
          </w:p>
          <w:p w14:paraId="76793CBE"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MFS</w:t>
            </w:r>
          </w:p>
          <w:p w14:paraId="241C4AFF"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p>
        </w:tc>
        <w:tc>
          <w:tcPr>
            <w:tcW w:w="1137" w:type="dxa"/>
            <w:shd w:val="clear" w:color="auto" w:fill="F2F2F2"/>
          </w:tcPr>
          <w:p w14:paraId="6C75E9C8"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Side effects</w:t>
            </w:r>
          </w:p>
          <w:p w14:paraId="029692FF"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p>
        </w:tc>
      </w:tr>
      <w:tr w:rsidR="000337C9" w:rsidRPr="003D6D03" w14:paraId="6414F4E2" w14:textId="77777777" w:rsidTr="00B83C6E">
        <w:tc>
          <w:tcPr>
            <w:tcW w:w="1133" w:type="dxa"/>
          </w:tcPr>
          <w:p w14:paraId="2DE9B035"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RAVES</w:t>
            </w:r>
          </w:p>
          <w:p w14:paraId="7919AE47"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TROG 08.03/</w:t>
            </w:r>
          </w:p>
          <w:p w14:paraId="693FCF81"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ANZUP</w:t>
            </w:r>
          </w:p>
          <w:p w14:paraId="50086F7D"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 xml:space="preserve">2020 [17] </w:t>
            </w:r>
          </w:p>
        </w:tc>
        <w:tc>
          <w:tcPr>
            <w:tcW w:w="854" w:type="dxa"/>
          </w:tcPr>
          <w:p w14:paraId="6EA9F044" w14:textId="57ABB23F"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333</w:t>
            </w:r>
            <w:r w:rsidR="00352B4B" w:rsidRPr="00352B4B">
              <w:rPr>
                <w:rFonts w:ascii="Calibri" w:eastAsia="Calibri" w:hAnsi="Calibri" w:cs="Calibri"/>
                <w:noProof/>
                <w:color w:val="000000"/>
                <w:sz w:val="22"/>
                <w:szCs w:val="22"/>
                <w:vertAlign w:val="superscript"/>
              </w:rPr>
              <w:t>a</w:t>
            </w:r>
          </w:p>
          <w:p w14:paraId="78C13F72" w14:textId="287C11FE"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p>
        </w:tc>
        <w:tc>
          <w:tcPr>
            <w:tcW w:w="1052" w:type="dxa"/>
          </w:tcPr>
          <w:p w14:paraId="28ABDE65"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pT3a/pT3b</w:t>
            </w:r>
          </w:p>
          <w:p w14:paraId="647F8468"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any T - SM+</w:t>
            </w:r>
          </w:p>
          <w:p w14:paraId="0B078112"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PSA post-</w:t>
            </w:r>
          </w:p>
          <w:p w14:paraId="39EF499C"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RP: &lt; 0.1</w:t>
            </w:r>
          </w:p>
          <w:p w14:paraId="2BE7B6BF"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ng/mL</w:t>
            </w:r>
          </w:p>
        </w:tc>
        <w:tc>
          <w:tcPr>
            <w:tcW w:w="1621" w:type="dxa"/>
          </w:tcPr>
          <w:p w14:paraId="735A8564"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64 Gy ART</w:t>
            </w:r>
          </w:p>
          <w:p w14:paraId="72BC3C85"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PSA: &lt; 0.1</w:t>
            </w:r>
            <w:r w:rsidRPr="000337C9">
              <w:rPr>
                <w:rFonts w:ascii="Calibri" w:eastAsia="Calibri" w:hAnsi="Calibri" w:cs="Calibri"/>
                <w:noProof/>
                <w:sz w:val="22"/>
                <w:szCs w:val="22"/>
              </w:rPr>
              <w:t xml:space="preserve"> </w:t>
            </w:r>
            <w:r w:rsidRPr="000337C9">
              <w:rPr>
                <w:rFonts w:ascii="Calibri" w:eastAsia="Calibri" w:hAnsi="Calibri" w:cs="Calibri"/>
                <w:noProof/>
                <w:color w:val="000000"/>
                <w:sz w:val="22"/>
                <w:szCs w:val="22"/>
              </w:rPr>
              <w:t>ng/mL vs.</w:t>
            </w:r>
          </w:p>
          <w:p w14:paraId="3A6AA970"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64 Gy early SRT</w:t>
            </w:r>
          </w:p>
          <w:p w14:paraId="28F2EF8D"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at PSA &gt; 0.2</w:t>
            </w:r>
            <w:r w:rsidRPr="000337C9">
              <w:rPr>
                <w:rFonts w:ascii="Calibri" w:eastAsia="Calibri" w:hAnsi="Calibri" w:cs="Calibri"/>
                <w:noProof/>
                <w:sz w:val="22"/>
                <w:szCs w:val="22"/>
              </w:rPr>
              <w:t xml:space="preserve"> </w:t>
            </w:r>
            <w:r w:rsidRPr="000337C9">
              <w:rPr>
                <w:rFonts w:ascii="Calibri" w:eastAsia="Calibri" w:hAnsi="Calibri" w:cs="Calibri"/>
                <w:noProof/>
                <w:color w:val="000000"/>
                <w:sz w:val="22"/>
                <w:szCs w:val="22"/>
              </w:rPr>
              <w:t>ng/mL med. pre-SRT:</w:t>
            </w:r>
          </w:p>
          <w:p w14:paraId="0ADCC11A"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n.r.</w:t>
            </w:r>
          </w:p>
        </w:tc>
        <w:tc>
          <w:tcPr>
            <w:tcW w:w="1137" w:type="dxa"/>
          </w:tcPr>
          <w:p w14:paraId="51E8C3DB"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&gt; 0.4 post</w:t>
            </w:r>
          </w:p>
          <w:p w14:paraId="69AE9859"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RT</w:t>
            </w:r>
          </w:p>
          <w:p w14:paraId="6A178ED5"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p>
        </w:tc>
        <w:tc>
          <w:tcPr>
            <w:tcW w:w="995" w:type="dxa"/>
          </w:tcPr>
          <w:p w14:paraId="24CF6EED"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t>6.1</w:t>
            </w:r>
          </w:p>
        </w:tc>
        <w:tc>
          <w:tcPr>
            <w:tcW w:w="744" w:type="dxa"/>
          </w:tcPr>
          <w:p w14:paraId="44DF4301"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5 yr.:</w:t>
            </w:r>
          </w:p>
          <w:p w14:paraId="441A4D16"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86% vs.</w:t>
            </w:r>
          </w:p>
          <w:p w14:paraId="400C2906"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87%</w:t>
            </w:r>
          </w:p>
          <w:p w14:paraId="2D8E9177"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 &gt; 0.05)</w:t>
            </w:r>
          </w:p>
          <w:p w14:paraId="516F443E"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p>
        </w:tc>
        <w:tc>
          <w:tcPr>
            <w:tcW w:w="678" w:type="dxa"/>
          </w:tcPr>
          <w:p w14:paraId="3499D956"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t>n.r.</w:t>
            </w:r>
          </w:p>
        </w:tc>
        <w:tc>
          <w:tcPr>
            <w:tcW w:w="1137" w:type="dxa"/>
          </w:tcPr>
          <w:p w14:paraId="0D3397C7"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lang w:val="de-DE"/>
              </w:rPr>
            </w:pPr>
            <w:r w:rsidRPr="000337C9">
              <w:rPr>
                <w:rFonts w:ascii="Calibri" w:eastAsia="Calibri" w:hAnsi="Calibri" w:cs="Calibri"/>
                <w:noProof/>
                <w:color w:val="000000"/>
                <w:sz w:val="22"/>
                <w:szCs w:val="22"/>
                <w:lang w:val="de-DE"/>
              </w:rPr>
              <w:t>LT grade ≥ GU:</w:t>
            </w:r>
          </w:p>
          <w:p w14:paraId="0F52777A"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lang w:val="de-DE"/>
              </w:rPr>
            </w:pPr>
            <w:r w:rsidRPr="000337C9">
              <w:rPr>
                <w:rFonts w:ascii="Calibri" w:eastAsia="Calibri" w:hAnsi="Calibri" w:cs="Calibri"/>
                <w:noProof/>
                <w:color w:val="000000"/>
                <w:sz w:val="22"/>
                <w:szCs w:val="22"/>
                <w:lang w:val="de-DE"/>
              </w:rPr>
              <w:t>70% vs. 54%</w:t>
            </w:r>
          </w:p>
          <w:p w14:paraId="69BE300D"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lang w:val="de-DE"/>
              </w:rPr>
            </w:pPr>
            <w:r w:rsidRPr="000337C9">
              <w:rPr>
                <w:rFonts w:ascii="Calibri" w:eastAsia="Calibri" w:hAnsi="Calibri" w:cs="Calibri"/>
                <w:noProof/>
                <w:color w:val="000000"/>
                <w:sz w:val="22"/>
                <w:szCs w:val="22"/>
                <w:lang w:val="de-DE"/>
              </w:rPr>
              <w:t>(p = 0.002)</w:t>
            </w:r>
          </w:p>
          <w:p w14:paraId="40464D6C" w14:textId="77777777" w:rsidR="000337C9" w:rsidRPr="000337C9" w:rsidRDefault="000337C9" w:rsidP="000337C9">
            <w:pPr>
              <w:autoSpaceDE w:val="0"/>
              <w:autoSpaceDN w:val="0"/>
              <w:adjustRightInd w:val="0"/>
              <w:spacing w:line="276" w:lineRule="auto"/>
              <w:rPr>
                <w:rFonts w:ascii="Calibri" w:eastAsia="Calibri" w:hAnsi="Calibri" w:cs="Calibri"/>
                <w:b/>
                <w:noProof/>
                <w:color w:val="000000"/>
                <w:sz w:val="22"/>
                <w:szCs w:val="22"/>
                <w:lang w:val="de-DE"/>
              </w:rPr>
            </w:pPr>
          </w:p>
        </w:tc>
      </w:tr>
      <w:tr w:rsidR="000337C9" w:rsidRPr="000337C9" w14:paraId="27EC75C1" w14:textId="77777777" w:rsidTr="00B83C6E">
        <w:tc>
          <w:tcPr>
            <w:tcW w:w="1133" w:type="dxa"/>
            <w:shd w:val="clear" w:color="auto" w:fill="F2F2F2"/>
          </w:tcPr>
          <w:p w14:paraId="13037B57" w14:textId="77777777" w:rsidR="000337C9" w:rsidRPr="003F4CF7"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r w:rsidRPr="000337C9">
              <w:rPr>
                <w:rFonts w:ascii="Calibri" w:eastAsia="Calibri" w:hAnsi="Calibri" w:cs="Calibri"/>
                <w:noProof/>
                <w:color w:val="000000"/>
                <w:sz w:val="22"/>
                <w:szCs w:val="22"/>
              </w:rPr>
              <w:t>RADICALS-RT 2020 [16]</w:t>
            </w:r>
          </w:p>
          <w:p w14:paraId="079F680A"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p>
        </w:tc>
        <w:tc>
          <w:tcPr>
            <w:tcW w:w="854" w:type="dxa"/>
            <w:shd w:val="clear" w:color="auto" w:fill="F2F2F2"/>
          </w:tcPr>
          <w:p w14:paraId="0966FA4A"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t>1,396</w:t>
            </w:r>
          </w:p>
        </w:tc>
        <w:tc>
          <w:tcPr>
            <w:tcW w:w="1052" w:type="dxa"/>
            <w:shd w:val="clear" w:color="auto" w:fill="F2F2F2"/>
          </w:tcPr>
          <w:p w14:paraId="4E9C9444"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pT3a/</w:t>
            </w:r>
          </w:p>
          <w:p w14:paraId="67F0D50F"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pT3b/pT4</w:t>
            </w:r>
          </w:p>
          <w:p w14:paraId="1D2A90EB"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PSA &gt; 10 ng/mL</w:t>
            </w:r>
          </w:p>
          <w:p w14:paraId="05065381"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pre-RP</w:t>
            </w:r>
          </w:p>
          <w:p w14:paraId="5EBE1DF4"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any T, SM+</w:t>
            </w:r>
          </w:p>
          <w:p w14:paraId="3E900C48"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Gleason</w:t>
            </w:r>
          </w:p>
          <w:p w14:paraId="3733FC8D"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7-10</w:t>
            </w:r>
          </w:p>
          <w:p w14:paraId="606C7142"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PSA post</w:t>
            </w:r>
          </w:p>
          <w:p w14:paraId="3B41C81E"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RP: &lt; 0.2 ng/mL</w:t>
            </w:r>
          </w:p>
        </w:tc>
        <w:tc>
          <w:tcPr>
            <w:tcW w:w="1621" w:type="dxa"/>
            <w:shd w:val="clear" w:color="auto" w:fill="F2F2F2"/>
          </w:tcPr>
          <w:p w14:paraId="65A70A40"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52.5 Gy (20 Fx)</w:t>
            </w:r>
          </w:p>
          <w:p w14:paraId="544133E8"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or 66 Gy (33 Fx) ART</w:t>
            </w:r>
          </w:p>
          <w:p w14:paraId="64713261"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early SRT</w:t>
            </w:r>
          </w:p>
          <w:p w14:paraId="65A6B10A"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identical</w:t>
            </w:r>
          </w:p>
          <w:p w14:paraId="46E2CBDC"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at PSA &gt; 0.1</w:t>
            </w:r>
          </w:p>
          <w:p w14:paraId="05B3A119"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med.pre-SRT:</w:t>
            </w:r>
          </w:p>
          <w:p w14:paraId="5737FE51"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0.2 ng/mL</w:t>
            </w:r>
          </w:p>
          <w:p w14:paraId="1A245926"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p>
        </w:tc>
        <w:tc>
          <w:tcPr>
            <w:tcW w:w="1137" w:type="dxa"/>
            <w:shd w:val="clear" w:color="auto" w:fill="F2F2F2"/>
          </w:tcPr>
          <w:p w14:paraId="7F7CB39C"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&gt; 0.4 or 2 at any time</w:t>
            </w:r>
          </w:p>
          <w:p w14:paraId="6E035956"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p>
        </w:tc>
        <w:tc>
          <w:tcPr>
            <w:tcW w:w="995" w:type="dxa"/>
            <w:shd w:val="clear" w:color="auto" w:fill="F2F2F2"/>
          </w:tcPr>
          <w:p w14:paraId="11872737"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t>4.9</w:t>
            </w:r>
          </w:p>
        </w:tc>
        <w:tc>
          <w:tcPr>
            <w:tcW w:w="744" w:type="dxa"/>
            <w:shd w:val="clear" w:color="auto" w:fill="F2F2F2"/>
          </w:tcPr>
          <w:p w14:paraId="08F81CE9"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5 yr.:</w:t>
            </w:r>
          </w:p>
          <w:p w14:paraId="3179C567"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85% vs. 88%</w:t>
            </w:r>
          </w:p>
          <w:p w14:paraId="2796C115"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 = 0.56)</w:t>
            </w:r>
          </w:p>
          <w:p w14:paraId="5D7A131A"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p>
        </w:tc>
        <w:tc>
          <w:tcPr>
            <w:tcW w:w="678" w:type="dxa"/>
            <w:shd w:val="clear" w:color="auto" w:fill="F2F2F2"/>
          </w:tcPr>
          <w:p w14:paraId="2F3BA96F"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t>n.r.</w:t>
            </w:r>
          </w:p>
        </w:tc>
        <w:tc>
          <w:tcPr>
            <w:tcW w:w="1137" w:type="dxa"/>
            <w:shd w:val="clear" w:color="auto" w:fill="F2F2F2"/>
          </w:tcPr>
          <w:p w14:paraId="1EDFCAC3"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SR urinary</w:t>
            </w:r>
          </w:p>
          <w:p w14:paraId="0A72609A"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incontinence</w:t>
            </w:r>
          </w:p>
          <w:p w14:paraId="60F0AB8A"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1 yr.: 4.8 vs.</w:t>
            </w:r>
          </w:p>
          <w:p w14:paraId="0BF1C4CC"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4 (p = 0.023)</w:t>
            </w:r>
          </w:p>
          <w:p w14:paraId="55177CA8"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Urethral stricture</w:t>
            </w:r>
          </w:p>
          <w:p w14:paraId="01161BDE"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grade 3/4</w:t>
            </w:r>
          </w:p>
          <w:p w14:paraId="4837B72A"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2 yr.: 6% vs. 4%</w:t>
            </w:r>
          </w:p>
          <w:p w14:paraId="1C7AA3D9"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 = 0.02)</w:t>
            </w:r>
          </w:p>
        </w:tc>
      </w:tr>
      <w:tr w:rsidR="000337C9" w:rsidRPr="000337C9" w14:paraId="1DEBB7AB" w14:textId="77777777" w:rsidTr="00B83C6E">
        <w:tc>
          <w:tcPr>
            <w:tcW w:w="1133" w:type="dxa"/>
          </w:tcPr>
          <w:p w14:paraId="356E3040" w14:textId="23E311DA" w:rsidR="000337C9" w:rsidRPr="000337C9" w:rsidRDefault="00352B4B" w:rsidP="000337C9">
            <w:pPr>
              <w:autoSpaceDE w:val="0"/>
              <w:autoSpaceDN w:val="0"/>
              <w:adjustRightInd w:val="0"/>
              <w:spacing w:line="276" w:lineRule="auto"/>
              <w:rPr>
                <w:rFonts w:ascii="Calibri" w:eastAsia="Calibri" w:hAnsi="Calibri" w:cs="Calibri"/>
                <w:noProof/>
                <w:color w:val="000000"/>
                <w:sz w:val="22"/>
                <w:szCs w:val="22"/>
              </w:rPr>
            </w:pPr>
            <w:r>
              <w:rPr>
                <w:rFonts w:ascii="Calibri" w:eastAsia="Calibri" w:hAnsi="Calibri" w:cs="Calibri"/>
                <w:noProof/>
                <w:color w:val="000000"/>
                <w:sz w:val="22"/>
                <w:szCs w:val="22"/>
              </w:rPr>
              <w:t>GETUG-AFU 17 2020 [18</w:t>
            </w:r>
            <w:r w:rsidR="000337C9" w:rsidRPr="000337C9">
              <w:rPr>
                <w:rFonts w:ascii="Calibri" w:eastAsia="Calibri" w:hAnsi="Calibri" w:cs="Calibri"/>
                <w:noProof/>
                <w:color w:val="000000"/>
                <w:sz w:val="22"/>
                <w:szCs w:val="22"/>
              </w:rPr>
              <w:t>]</w:t>
            </w:r>
          </w:p>
        </w:tc>
        <w:tc>
          <w:tcPr>
            <w:tcW w:w="854" w:type="dxa"/>
          </w:tcPr>
          <w:p w14:paraId="5F3DD77F"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424</w:t>
            </w:r>
          </w:p>
          <w:p w14:paraId="1C72C75A" w14:textId="3A53EBD9"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p>
        </w:tc>
        <w:tc>
          <w:tcPr>
            <w:tcW w:w="1052" w:type="dxa"/>
          </w:tcPr>
          <w:p w14:paraId="7A567F97"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pT3a/pT3b/</w:t>
            </w:r>
          </w:p>
          <w:p w14:paraId="6369B106"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pT4a and</w:t>
            </w:r>
          </w:p>
          <w:p w14:paraId="68B9260B"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SM+PSA</w:t>
            </w:r>
          </w:p>
          <w:p w14:paraId="21F55F4C"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post-RP:</w:t>
            </w:r>
          </w:p>
          <w:p w14:paraId="5D559E48"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&lt; 0.1 ng/mL</w:t>
            </w:r>
          </w:p>
        </w:tc>
        <w:tc>
          <w:tcPr>
            <w:tcW w:w="1621" w:type="dxa"/>
          </w:tcPr>
          <w:p w14:paraId="38A6086C"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66 Gy (ART) vs.</w:t>
            </w:r>
          </w:p>
          <w:p w14:paraId="549DF006"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66 Gy early SRT</w:t>
            </w:r>
          </w:p>
          <w:p w14:paraId="4A0DF962"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at PSA 0.1</w:t>
            </w:r>
          </w:p>
          <w:p w14:paraId="15251153"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both groups:</w:t>
            </w:r>
          </w:p>
          <w:p w14:paraId="4A166622"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6 mo. LHRH-A</w:t>
            </w:r>
          </w:p>
          <w:p w14:paraId="5858FD0B"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med. pre-SRT</w:t>
            </w:r>
          </w:p>
          <w:p w14:paraId="68F06EE7"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0.24</w:t>
            </w:r>
          </w:p>
        </w:tc>
        <w:tc>
          <w:tcPr>
            <w:tcW w:w="1137" w:type="dxa"/>
          </w:tcPr>
          <w:p w14:paraId="6ADB80F0"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t>&gt; 0.4</w:t>
            </w:r>
          </w:p>
        </w:tc>
        <w:tc>
          <w:tcPr>
            <w:tcW w:w="995" w:type="dxa"/>
          </w:tcPr>
          <w:p w14:paraId="01EE5C0C"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t>6.25</w:t>
            </w:r>
          </w:p>
        </w:tc>
        <w:tc>
          <w:tcPr>
            <w:tcW w:w="744" w:type="dxa"/>
          </w:tcPr>
          <w:p w14:paraId="304DD85B"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5 yr.:</w:t>
            </w:r>
          </w:p>
          <w:p w14:paraId="3571E40B"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92% vs.</w:t>
            </w:r>
          </w:p>
          <w:p w14:paraId="6D464153"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90%</w:t>
            </w:r>
          </w:p>
          <w:p w14:paraId="3B450A5C"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 = 0.42)</w:t>
            </w:r>
          </w:p>
          <w:p w14:paraId="62AB32FA"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p>
        </w:tc>
        <w:tc>
          <w:tcPr>
            <w:tcW w:w="678" w:type="dxa"/>
          </w:tcPr>
          <w:p w14:paraId="5CCF8C91"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t>n.r.</w:t>
            </w:r>
          </w:p>
        </w:tc>
        <w:tc>
          <w:tcPr>
            <w:tcW w:w="1137" w:type="dxa"/>
          </w:tcPr>
          <w:p w14:paraId="21507829"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lang w:val="de-DE"/>
              </w:rPr>
            </w:pPr>
            <w:r w:rsidRPr="000337C9">
              <w:rPr>
                <w:rFonts w:ascii="Calibri" w:eastAsia="Calibri" w:hAnsi="Calibri" w:cs="Calibri"/>
                <w:noProof/>
                <w:color w:val="000000"/>
                <w:sz w:val="22"/>
                <w:szCs w:val="22"/>
                <w:lang w:val="de-DE"/>
              </w:rPr>
              <w:t>LT grade ≥ 2</w:t>
            </w:r>
          </w:p>
          <w:p w14:paraId="271E7C70"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lang w:val="de-DE"/>
              </w:rPr>
            </w:pPr>
            <w:r w:rsidRPr="000337C9">
              <w:rPr>
                <w:rFonts w:ascii="Calibri" w:eastAsia="Calibri" w:hAnsi="Calibri" w:cs="Calibri"/>
                <w:noProof/>
                <w:color w:val="000000"/>
                <w:sz w:val="22"/>
                <w:szCs w:val="22"/>
                <w:lang w:val="de-DE"/>
              </w:rPr>
              <w:t>GU 27% vs.</w:t>
            </w:r>
          </w:p>
          <w:p w14:paraId="5798895C"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lang w:val="de-DE"/>
              </w:rPr>
            </w:pPr>
            <w:r w:rsidRPr="000337C9">
              <w:rPr>
                <w:rFonts w:ascii="Calibri" w:eastAsia="Calibri" w:hAnsi="Calibri" w:cs="Calibri"/>
                <w:noProof/>
                <w:color w:val="000000"/>
                <w:sz w:val="22"/>
                <w:szCs w:val="22"/>
                <w:lang w:val="de-DE"/>
              </w:rPr>
              <w:t>7% (p &lt; 0.001)</w:t>
            </w:r>
          </w:p>
          <w:p w14:paraId="11DA82DD"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ED: 28% vs.</w:t>
            </w:r>
          </w:p>
          <w:p w14:paraId="06DB161B"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8% (p &lt; 0.001)</w:t>
            </w:r>
          </w:p>
        </w:tc>
      </w:tr>
      <w:tr w:rsidR="000337C9" w:rsidRPr="000337C9" w14:paraId="4E7698BB" w14:textId="77777777" w:rsidTr="00B83C6E">
        <w:tc>
          <w:tcPr>
            <w:tcW w:w="1133" w:type="dxa"/>
            <w:shd w:val="clear" w:color="auto" w:fill="F2F2F2"/>
          </w:tcPr>
          <w:p w14:paraId="76F1D4E3"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ARTISTIC Meta-</w:t>
            </w:r>
          </w:p>
          <w:p w14:paraId="36810A64"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analysis</w:t>
            </w:r>
          </w:p>
          <w:p w14:paraId="0F7876F9" w14:textId="5ECA37F0" w:rsidR="000337C9" w:rsidRPr="000337C9" w:rsidRDefault="00352B4B" w:rsidP="000337C9">
            <w:pPr>
              <w:autoSpaceDE w:val="0"/>
              <w:autoSpaceDN w:val="0"/>
              <w:adjustRightInd w:val="0"/>
              <w:spacing w:line="276" w:lineRule="auto"/>
              <w:rPr>
                <w:rFonts w:ascii="Calibri" w:eastAsia="Calibri" w:hAnsi="Calibri" w:cs="Calibri"/>
                <w:noProof/>
                <w:color w:val="000000"/>
                <w:sz w:val="22"/>
                <w:szCs w:val="22"/>
              </w:rPr>
            </w:pPr>
            <w:r>
              <w:rPr>
                <w:rFonts w:ascii="Calibri" w:eastAsia="Calibri" w:hAnsi="Calibri" w:cs="Calibri"/>
                <w:noProof/>
                <w:color w:val="000000"/>
                <w:sz w:val="22"/>
                <w:szCs w:val="22"/>
              </w:rPr>
              <w:lastRenderedPageBreak/>
              <w:t>2020 [28</w:t>
            </w:r>
            <w:r w:rsidR="000337C9" w:rsidRPr="000337C9">
              <w:rPr>
                <w:rFonts w:ascii="Calibri" w:eastAsia="Calibri" w:hAnsi="Calibri" w:cs="Calibri"/>
                <w:noProof/>
                <w:color w:val="000000"/>
                <w:sz w:val="22"/>
                <w:szCs w:val="22"/>
              </w:rPr>
              <w:t xml:space="preserve">] </w:t>
            </w:r>
          </w:p>
        </w:tc>
        <w:tc>
          <w:tcPr>
            <w:tcW w:w="854" w:type="dxa"/>
            <w:shd w:val="clear" w:color="auto" w:fill="F2F2F2"/>
          </w:tcPr>
          <w:p w14:paraId="1B78DD5D"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lastRenderedPageBreak/>
              <w:t>2,153</w:t>
            </w:r>
          </w:p>
        </w:tc>
        <w:tc>
          <w:tcPr>
            <w:tcW w:w="1052" w:type="dxa"/>
            <w:shd w:val="clear" w:color="auto" w:fill="F2F2F2"/>
          </w:tcPr>
          <w:p w14:paraId="06D10764"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t>see above</w:t>
            </w:r>
          </w:p>
        </w:tc>
        <w:tc>
          <w:tcPr>
            <w:tcW w:w="1621" w:type="dxa"/>
            <w:shd w:val="clear" w:color="auto" w:fill="F2F2F2"/>
          </w:tcPr>
          <w:p w14:paraId="1C152933"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t>see above</w:t>
            </w:r>
          </w:p>
        </w:tc>
        <w:tc>
          <w:tcPr>
            <w:tcW w:w="1137" w:type="dxa"/>
            <w:shd w:val="clear" w:color="auto" w:fill="F2F2F2"/>
          </w:tcPr>
          <w:p w14:paraId="72DA40E6"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t>see above</w:t>
            </w:r>
          </w:p>
        </w:tc>
        <w:tc>
          <w:tcPr>
            <w:tcW w:w="995" w:type="dxa"/>
            <w:shd w:val="clear" w:color="auto" w:fill="F2F2F2"/>
          </w:tcPr>
          <w:p w14:paraId="39F89A50"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t>4.5</w:t>
            </w:r>
          </w:p>
        </w:tc>
        <w:tc>
          <w:tcPr>
            <w:tcW w:w="744" w:type="dxa"/>
            <w:shd w:val="clear" w:color="auto" w:fill="F2F2F2"/>
          </w:tcPr>
          <w:p w14:paraId="1144B220"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5 yr.:</w:t>
            </w:r>
          </w:p>
          <w:p w14:paraId="13723EE8"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89% vs.</w:t>
            </w:r>
          </w:p>
          <w:p w14:paraId="20E4167C"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lastRenderedPageBreak/>
              <w:t>88%</w:t>
            </w:r>
          </w:p>
          <w:p w14:paraId="693F6278"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p = 0.7</w:t>
            </w:r>
          </w:p>
        </w:tc>
        <w:tc>
          <w:tcPr>
            <w:tcW w:w="678" w:type="dxa"/>
            <w:shd w:val="clear" w:color="auto" w:fill="F2F2F2"/>
          </w:tcPr>
          <w:p w14:paraId="3FB1841D"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noProof/>
                <w:color w:val="000000"/>
                <w:sz w:val="22"/>
                <w:szCs w:val="22"/>
              </w:rPr>
              <w:lastRenderedPageBreak/>
              <w:t>n.r.</w:t>
            </w:r>
          </w:p>
        </w:tc>
        <w:tc>
          <w:tcPr>
            <w:tcW w:w="1137" w:type="dxa"/>
            <w:shd w:val="clear" w:color="auto" w:fill="F2F2F2"/>
          </w:tcPr>
          <w:p w14:paraId="1826234E"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n.r.</w:t>
            </w:r>
          </w:p>
          <w:p w14:paraId="0A2527DA"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p>
        </w:tc>
      </w:tr>
    </w:tbl>
    <w:bookmarkEnd w:id="1"/>
    <w:p w14:paraId="36CE232A" w14:textId="77777777" w:rsidR="000337C9" w:rsidRPr="000337C9" w:rsidRDefault="000337C9" w:rsidP="000337C9">
      <w:pPr>
        <w:autoSpaceDE w:val="0"/>
        <w:autoSpaceDN w:val="0"/>
        <w:adjustRightInd w:val="0"/>
        <w:spacing w:line="276" w:lineRule="auto"/>
        <w:jc w:val="both"/>
        <w:rPr>
          <w:rFonts w:ascii="Calibri" w:eastAsia="Calibri" w:hAnsi="Calibri" w:cs="Calibri"/>
          <w:i/>
          <w:iCs/>
          <w:noProof/>
          <w:color w:val="000000"/>
          <w:sz w:val="22"/>
          <w:szCs w:val="22"/>
        </w:rPr>
      </w:pPr>
      <w:r w:rsidRPr="000337C9">
        <w:rPr>
          <w:rFonts w:ascii="Calibri" w:eastAsia="Calibri" w:hAnsi="Calibri" w:cs="Calibri"/>
          <w:i/>
          <w:iCs/>
          <w:noProof/>
          <w:color w:val="000000"/>
          <w:sz w:val="22"/>
          <w:szCs w:val="22"/>
        </w:rPr>
        <w:t>ART = adjuvant radiotherapy; BCR = biochemical recurrence; BPFS = biochemical progression-free survival; ED = erectile dysfunction; FU = follow-up; Fx = fraction; GU = genito-urinary; LHRH = luteinising hormonereleasing hormone; LT = late toxicity; mo = months; med = median; MFS = metastasis-free survival; n.r. = not reported; OS = overall survival; PSA = prostate-specific antigen; RP = radical prostatectomy; RT = radiotherapy; SR = self reported; SRT = salvage radiotherapy; + = positive; yr = year.</w:t>
      </w:r>
    </w:p>
    <w:p w14:paraId="1D27C4F2" w14:textId="304FC623" w:rsidR="000337C9" w:rsidRPr="00E113A5" w:rsidRDefault="00352B4B" w:rsidP="00352B4B">
      <w:pPr>
        <w:autoSpaceDE w:val="0"/>
        <w:autoSpaceDN w:val="0"/>
        <w:adjustRightInd w:val="0"/>
        <w:spacing w:line="276" w:lineRule="auto"/>
        <w:rPr>
          <w:rFonts w:ascii="Calibri" w:eastAsia="Calibri" w:hAnsi="Calibri" w:cs="Calibri"/>
          <w:i/>
          <w:noProof/>
          <w:color w:val="000000"/>
          <w:sz w:val="22"/>
          <w:szCs w:val="22"/>
        </w:rPr>
      </w:pPr>
      <w:proofErr w:type="gramStart"/>
      <w:r w:rsidRPr="00E113A5">
        <w:rPr>
          <w:rFonts w:ascii="Calibri" w:hAnsi="Calibri" w:cs="Calibri"/>
          <w:i/>
          <w:sz w:val="22"/>
          <w:szCs w:val="22"/>
          <w:vertAlign w:val="superscript"/>
        </w:rPr>
        <w:t>a</w:t>
      </w:r>
      <w:proofErr w:type="gramEnd"/>
      <w:r w:rsidRPr="00E113A5">
        <w:rPr>
          <w:rFonts w:ascii="Calibri" w:hAnsi="Calibri" w:cs="Calibri"/>
          <w:i/>
          <w:sz w:val="22"/>
          <w:szCs w:val="22"/>
          <w:vertAlign w:val="superscript"/>
        </w:rPr>
        <w:t xml:space="preserve"> </w:t>
      </w:r>
      <w:r w:rsidRPr="00E113A5">
        <w:rPr>
          <w:rFonts w:ascii="Calibri" w:hAnsi="Calibri" w:cs="Calibri"/>
          <w:i/>
          <w:sz w:val="22"/>
          <w:szCs w:val="22"/>
        </w:rPr>
        <w:t xml:space="preserve">The </w:t>
      </w:r>
      <w:r w:rsidRPr="00E113A5">
        <w:rPr>
          <w:rFonts w:ascii="Calibri" w:hAnsi="Calibri" w:cs="Calibri"/>
          <w:i/>
          <w:sz w:val="22"/>
          <w:szCs w:val="22"/>
          <w:vertAlign w:val="superscript"/>
        </w:rPr>
        <w:t xml:space="preserve"> </w:t>
      </w:r>
      <w:r w:rsidRPr="00E113A5">
        <w:rPr>
          <w:rFonts w:ascii="Calibri" w:eastAsia="Calibri" w:hAnsi="Calibri" w:cs="Calibri"/>
          <w:i/>
          <w:noProof/>
          <w:color w:val="000000"/>
          <w:sz w:val="22"/>
          <w:szCs w:val="22"/>
        </w:rPr>
        <w:t>target was 470 but the study closed early.</w:t>
      </w:r>
    </w:p>
    <w:p w14:paraId="70BC8E31" w14:textId="4F831686" w:rsidR="00352B4B" w:rsidRPr="00E113A5" w:rsidRDefault="00352B4B" w:rsidP="00352B4B">
      <w:pPr>
        <w:autoSpaceDE w:val="0"/>
        <w:autoSpaceDN w:val="0"/>
        <w:adjustRightInd w:val="0"/>
        <w:spacing w:line="276" w:lineRule="auto"/>
        <w:rPr>
          <w:rFonts w:ascii="Calibri" w:eastAsia="Calibri" w:hAnsi="Calibri" w:cs="Calibri"/>
          <w:i/>
          <w:noProof/>
          <w:color w:val="000000"/>
          <w:sz w:val="22"/>
          <w:szCs w:val="22"/>
        </w:rPr>
      </w:pPr>
      <w:r w:rsidRPr="00E113A5">
        <w:rPr>
          <w:rFonts w:ascii="Calibri" w:eastAsia="Calibri" w:hAnsi="Calibri" w:cs="Calibri"/>
          <w:i/>
          <w:noProof/>
          <w:color w:val="000000"/>
          <w:sz w:val="22"/>
          <w:szCs w:val="22"/>
          <w:vertAlign w:val="superscript"/>
        </w:rPr>
        <w:t xml:space="preserve">b </w:t>
      </w:r>
      <w:r w:rsidRPr="00E113A5">
        <w:rPr>
          <w:rFonts w:ascii="Calibri" w:eastAsia="Calibri" w:hAnsi="Calibri" w:cs="Calibri"/>
          <w:i/>
          <w:noProof/>
          <w:color w:val="000000"/>
          <w:sz w:val="22"/>
          <w:szCs w:val="22"/>
        </w:rPr>
        <w:t>The</w:t>
      </w:r>
      <w:r w:rsidR="00E113A5" w:rsidRPr="00E113A5">
        <w:rPr>
          <w:rFonts w:ascii="Calibri" w:eastAsia="Calibri" w:hAnsi="Calibri" w:cs="Calibri"/>
          <w:i/>
          <w:noProof/>
          <w:color w:val="000000"/>
          <w:sz w:val="22"/>
          <w:szCs w:val="22"/>
        </w:rPr>
        <w:t xml:space="preserve"> target was </w:t>
      </w:r>
      <w:r w:rsidRPr="00E113A5">
        <w:rPr>
          <w:rFonts w:ascii="Calibri" w:eastAsia="Calibri" w:hAnsi="Calibri" w:cs="Calibri"/>
          <w:i/>
          <w:noProof/>
          <w:color w:val="000000"/>
          <w:sz w:val="22"/>
          <w:szCs w:val="22"/>
        </w:rPr>
        <w:t>718</w:t>
      </w:r>
      <w:r w:rsidR="00E113A5" w:rsidRPr="00E113A5">
        <w:rPr>
          <w:rFonts w:ascii="Calibri" w:eastAsia="Calibri" w:hAnsi="Calibri" w:cs="Calibri"/>
          <w:i/>
          <w:noProof/>
          <w:color w:val="000000"/>
          <w:sz w:val="22"/>
          <w:szCs w:val="22"/>
        </w:rPr>
        <w:t xml:space="preserve"> but the study closed early</w:t>
      </w:r>
    </w:p>
    <w:p w14:paraId="7303EE77" w14:textId="77777777" w:rsidR="00E113A5" w:rsidRPr="000337C9" w:rsidRDefault="00E113A5" w:rsidP="00352B4B">
      <w:pPr>
        <w:autoSpaceDE w:val="0"/>
        <w:autoSpaceDN w:val="0"/>
        <w:adjustRightInd w:val="0"/>
        <w:spacing w:line="276" w:lineRule="auto"/>
        <w:rPr>
          <w:rFonts w:ascii="Calibri" w:eastAsia="Calibri" w:hAnsi="Calibri" w:cs="Calibri"/>
          <w:noProof/>
          <w:color w:val="000000"/>
          <w:sz w:val="22"/>
          <w:szCs w:val="22"/>
        </w:rPr>
      </w:pPr>
    </w:p>
    <w:p w14:paraId="2CE3F9CB" w14:textId="29789847" w:rsidR="00150521" w:rsidRPr="003F4CF7" w:rsidRDefault="00150521" w:rsidP="00150521">
      <w:pPr>
        <w:pStyle w:val="ListParagraph"/>
        <w:numPr>
          <w:ilvl w:val="2"/>
          <w:numId w:val="3"/>
        </w:numPr>
        <w:spacing w:line="276" w:lineRule="auto"/>
        <w:rPr>
          <w:rFonts w:ascii="Calibri" w:hAnsi="Calibri" w:cs="Calibri"/>
          <w:i/>
          <w:color w:val="000000"/>
          <w:sz w:val="22"/>
          <w:szCs w:val="22"/>
        </w:rPr>
      </w:pPr>
      <w:r w:rsidRPr="003F4CF7">
        <w:rPr>
          <w:rFonts w:ascii="Calibri" w:hAnsi="Calibri" w:cs="Calibri"/>
          <w:i/>
          <w:color w:val="000000"/>
          <w:sz w:val="22"/>
          <w:szCs w:val="22"/>
        </w:rPr>
        <w:t>Management of pelvic nodal relapse alone</w:t>
      </w:r>
    </w:p>
    <w:p w14:paraId="127696D7" w14:textId="77777777" w:rsidR="003F4CF7" w:rsidRPr="00F41437" w:rsidRDefault="003F4CF7" w:rsidP="003F4CF7">
      <w:pPr>
        <w:pStyle w:val="ListParagraph"/>
        <w:spacing w:line="276" w:lineRule="auto"/>
        <w:ind w:left="1440"/>
        <w:rPr>
          <w:rFonts w:ascii="Calibri" w:hAnsi="Calibri" w:cs="Calibri"/>
          <w:color w:val="000000"/>
          <w:sz w:val="22"/>
          <w:szCs w:val="22"/>
        </w:rPr>
      </w:pPr>
    </w:p>
    <w:p w14:paraId="40F29B6A" w14:textId="77777777" w:rsidR="00150521" w:rsidRPr="00F41437" w:rsidRDefault="00150521" w:rsidP="00150521">
      <w:pPr>
        <w:spacing w:line="276" w:lineRule="auto"/>
        <w:rPr>
          <w:rFonts w:ascii="Calibri" w:hAnsi="Calibri" w:cs="Calibri"/>
          <w:color w:val="000000"/>
          <w:sz w:val="22"/>
          <w:szCs w:val="22"/>
        </w:rPr>
      </w:pPr>
      <w:r w:rsidRPr="00F41437">
        <w:rPr>
          <w:rFonts w:ascii="Calibri" w:hAnsi="Calibri" w:cs="Calibri"/>
          <w:color w:val="000000"/>
          <w:sz w:val="22"/>
          <w:szCs w:val="22"/>
        </w:rPr>
        <w:t>Surgical management of re</w:t>
      </w:r>
      <w:r>
        <w:rPr>
          <w:rFonts w:ascii="Calibri" w:hAnsi="Calibri" w:cs="Calibri"/>
          <w:color w:val="000000"/>
          <w:sz w:val="22"/>
          <w:szCs w:val="22"/>
        </w:rPr>
        <w:t xml:space="preserve">current nodal metastases in the </w:t>
      </w:r>
      <w:r w:rsidRPr="00F41437">
        <w:rPr>
          <w:rFonts w:ascii="Calibri" w:hAnsi="Calibri" w:cs="Calibri"/>
          <w:color w:val="000000"/>
          <w:sz w:val="22"/>
          <w:szCs w:val="22"/>
        </w:rPr>
        <w:t>pelvis was evaluated in a systematic review [35]. The 5-yr</w:t>
      </w:r>
      <w:r>
        <w:rPr>
          <w:rFonts w:ascii="Calibri" w:hAnsi="Calibri" w:cs="Calibri"/>
          <w:color w:val="000000"/>
          <w:sz w:val="22"/>
          <w:szCs w:val="22"/>
        </w:rPr>
        <w:t xml:space="preserve"> </w:t>
      </w:r>
      <w:r w:rsidRPr="00F41437">
        <w:rPr>
          <w:rFonts w:ascii="Calibri" w:hAnsi="Calibri" w:cs="Calibri"/>
          <w:color w:val="000000"/>
          <w:sz w:val="22"/>
          <w:szCs w:val="22"/>
        </w:rPr>
        <w:t>BCR-free survival rate after salvage LN dissection (sLND)</w:t>
      </w:r>
      <w:r>
        <w:rPr>
          <w:rFonts w:ascii="Calibri" w:hAnsi="Calibri" w:cs="Calibri"/>
          <w:color w:val="000000"/>
          <w:sz w:val="22"/>
          <w:szCs w:val="22"/>
        </w:rPr>
        <w:t xml:space="preserve"> </w:t>
      </w:r>
      <w:r w:rsidRPr="00F41437">
        <w:rPr>
          <w:rFonts w:ascii="Calibri" w:hAnsi="Calibri" w:cs="Calibri"/>
          <w:color w:val="000000"/>
          <w:sz w:val="22"/>
          <w:szCs w:val="22"/>
        </w:rPr>
        <w:t xml:space="preserve">ranged from 6% to 31%. The </w:t>
      </w:r>
      <w:r>
        <w:rPr>
          <w:rFonts w:ascii="Calibri" w:hAnsi="Calibri" w:cs="Calibri"/>
          <w:color w:val="000000"/>
          <w:sz w:val="22"/>
          <w:szCs w:val="22"/>
        </w:rPr>
        <w:t xml:space="preserve">5-yr OS rate was approximately </w:t>
      </w:r>
      <w:r w:rsidRPr="00F41437">
        <w:rPr>
          <w:rFonts w:ascii="Calibri" w:hAnsi="Calibri" w:cs="Calibri"/>
          <w:color w:val="000000"/>
          <w:sz w:val="22"/>
          <w:szCs w:val="22"/>
        </w:rPr>
        <w:t>84%. In a multicentre retrospe</w:t>
      </w:r>
      <w:r>
        <w:rPr>
          <w:rFonts w:ascii="Calibri" w:hAnsi="Calibri" w:cs="Calibri"/>
          <w:color w:val="000000"/>
          <w:sz w:val="22"/>
          <w:szCs w:val="22"/>
        </w:rPr>
        <w:t xml:space="preserve">ctive study, long-term outcomes </w:t>
      </w:r>
      <w:r w:rsidRPr="00F41437">
        <w:rPr>
          <w:rFonts w:ascii="Calibri" w:hAnsi="Calibri" w:cs="Calibri"/>
          <w:color w:val="000000"/>
          <w:sz w:val="22"/>
          <w:szCs w:val="22"/>
        </w:rPr>
        <w:t>for 189 patient</w:t>
      </w:r>
      <w:r>
        <w:rPr>
          <w:rFonts w:ascii="Calibri" w:hAnsi="Calibri" w:cs="Calibri"/>
          <w:color w:val="000000"/>
          <w:sz w:val="22"/>
          <w:szCs w:val="22"/>
        </w:rPr>
        <w:t xml:space="preserve">s who underwent sLND were worse </w:t>
      </w:r>
      <w:r w:rsidRPr="00F41437">
        <w:rPr>
          <w:rFonts w:ascii="Calibri" w:hAnsi="Calibri" w:cs="Calibri"/>
          <w:color w:val="000000"/>
          <w:sz w:val="22"/>
          <w:szCs w:val="22"/>
        </w:rPr>
        <w:t>than previously described in studies with shorter follow</w:t>
      </w:r>
      <w:r>
        <w:rPr>
          <w:rFonts w:ascii="Calibri" w:hAnsi="Calibri" w:cs="Calibri"/>
          <w:color w:val="000000"/>
          <w:sz w:val="22"/>
          <w:szCs w:val="22"/>
        </w:rPr>
        <w:t xml:space="preserve"> up </w:t>
      </w:r>
      <w:r w:rsidRPr="00F41437">
        <w:rPr>
          <w:rFonts w:ascii="Calibri" w:hAnsi="Calibri" w:cs="Calibri"/>
          <w:color w:val="000000"/>
          <w:sz w:val="22"/>
          <w:szCs w:val="22"/>
        </w:rPr>
        <w:t>[36]. The BCR-free surv</w:t>
      </w:r>
      <w:r>
        <w:rPr>
          <w:rFonts w:ascii="Calibri" w:hAnsi="Calibri" w:cs="Calibri"/>
          <w:color w:val="000000"/>
          <w:sz w:val="22"/>
          <w:szCs w:val="22"/>
        </w:rPr>
        <w:t xml:space="preserve">ival rate at 10 yr was 11%. The </w:t>
      </w:r>
      <w:r w:rsidRPr="00F41437">
        <w:rPr>
          <w:rFonts w:ascii="Calibri" w:hAnsi="Calibri" w:cs="Calibri"/>
          <w:color w:val="000000"/>
          <w:sz w:val="22"/>
          <w:szCs w:val="22"/>
        </w:rPr>
        <w:t>majority of patients had un</w:t>
      </w:r>
      <w:r>
        <w:rPr>
          <w:rFonts w:ascii="Calibri" w:hAnsi="Calibri" w:cs="Calibri"/>
          <w:color w:val="000000"/>
          <w:sz w:val="22"/>
          <w:szCs w:val="22"/>
        </w:rPr>
        <w:t xml:space="preserve">dergone choline PET, and median </w:t>
      </w:r>
      <w:r w:rsidRPr="00F41437">
        <w:rPr>
          <w:rFonts w:ascii="Calibri" w:hAnsi="Calibri" w:cs="Calibri"/>
          <w:color w:val="000000"/>
          <w:sz w:val="22"/>
          <w:szCs w:val="22"/>
        </w:rPr>
        <w:t>PSA at sLND was 2.</w:t>
      </w:r>
      <w:r>
        <w:rPr>
          <w:rFonts w:ascii="Calibri" w:hAnsi="Calibri" w:cs="Calibri"/>
          <w:color w:val="000000"/>
          <w:sz w:val="22"/>
          <w:szCs w:val="22"/>
        </w:rPr>
        <w:t xml:space="preserve">5 ng/ml. In a cohort study that included </w:t>
      </w:r>
      <w:r w:rsidRPr="00F41437">
        <w:rPr>
          <w:rFonts w:ascii="Calibri" w:hAnsi="Calibri" w:cs="Calibri"/>
          <w:color w:val="000000"/>
          <w:sz w:val="22"/>
          <w:szCs w:val="22"/>
        </w:rPr>
        <w:t>patients treated with sLND via PSMA</w:t>
      </w:r>
      <w:r>
        <w:rPr>
          <w:rFonts w:ascii="Calibri" w:hAnsi="Calibri" w:cs="Calibri"/>
          <w:color w:val="000000"/>
          <w:sz w:val="22"/>
          <w:szCs w:val="22"/>
        </w:rPr>
        <w:t xml:space="preserve"> radio-guided </w:t>
      </w:r>
      <w:r w:rsidRPr="00F41437">
        <w:rPr>
          <w:rFonts w:ascii="Calibri" w:hAnsi="Calibri" w:cs="Calibri"/>
          <w:color w:val="000000"/>
          <w:sz w:val="22"/>
          <w:szCs w:val="22"/>
        </w:rPr>
        <w:t>surgery (RGS), the 2-yr BCR-free survival rate</w:t>
      </w:r>
    </w:p>
    <w:p w14:paraId="364113F7" w14:textId="77777777" w:rsidR="00150521" w:rsidRDefault="00150521" w:rsidP="00150521">
      <w:pPr>
        <w:spacing w:line="276" w:lineRule="auto"/>
        <w:rPr>
          <w:rFonts w:ascii="Calibri" w:hAnsi="Calibri" w:cs="Calibri"/>
          <w:color w:val="000000"/>
          <w:sz w:val="22"/>
          <w:szCs w:val="22"/>
        </w:rPr>
      </w:pPr>
      <w:proofErr w:type="gramStart"/>
      <w:r w:rsidRPr="00F41437">
        <w:rPr>
          <w:rFonts w:ascii="Calibri" w:hAnsi="Calibri" w:cs="Calibri"/>
          <w:color w:val="000000"/>
          <w:sz w:val="22"/>
          <w:szCs w:val="22"/>
        </w:rPr>
        <w:t>was</w:t>
      </w:r>
      <w:proofErr w:type="gramEnd"/>
      <w:r w:rsidRPr="00F41437">
        <w:rPr>
          <w:rFonts w:ascii="Calibri" w:hAnsi="Calibri" w:cs="Calibri"/>
          <w:color w:val="000000"/>
          <w:sz w:val="22"/>
          <w:szCs w:val="22"/>
        </w:rPr>
        <w:t xml:space="preserve"> 32% [37]. Higher preoperative PSA, a highe</w:t>
      </w:r>
      <w:r>
        <w:rPr>
          <w:rFonts w:ascii="Calibri" w:hAnsi="Calibri" w:cs="Calibri"/>
          <w:color w:val="000000"/>
          <w:sz w:val="22"/>
          <w:szCs w:val="22"/>
        </w:rPr>
        <w:t xml:space="preserve">r number </w:t>
      </w:r>
      <w:r w:rsidRPr="00F41437">
        <w:rPr>
          <w:rFonts w:ascii="Calibri" w:hAnsi="Calibri" w:cs="Calibri"/>
          <w:color w:val="000000"/>
          <w:sz w:val="22"/>
          <w:szCs w:val="22"/>
        </w:rPr>
        <w:t xml:space="preserve">of PSMA-avid lesions, and </w:t>
      </w:r>
      <w:r>
        <w:rPr>
          <w:rFonts w:ascii="Calibri" w:hAnsi="Calibri" w:cs="Calibri"/>
          <w:color w:val="000000"/>
          <w:sz w:val="22"/>
          <w:szCs w:val="22"/>
        </w:rPr>
        <w:t xml:space="preserve">retroperitoneal localisation of </w:t>
      </w:r>
      <w:r w:rsidRPr="00F41437">
        <w:rPr>
          <w:rFonts w:ascii="Calibri" w:hAnsi="Calibri" w:cs="Calibri"/>
          <w:color w:val="000000"/>
          <w:sz w:val="22"/>
          <w:szCs w:val="22"/>
        </w:rPr>
        <w:t>lesions on preoperative imag</w:t>
      </w:r>
      <w:r>
        <w:rPr>
          <w:rFonts w:ascii="Calibri" w:hAnsi="Calibri" w:cs="Calibri"/>
          <w:color w:val="000000"/>
          <w:sz w:val="22"/>
          <w:szCs w:val="22"/>
        </w:rPr>
        <w:t xml:space="preserve">ing were independent predictors </w:t>
      </w:r>
      <w:r w:rsidRPr="00F41437">
        <w:rPr>
          <w:rFonts w:ascii="Calibri" w:hAnsi="Calibri" w:cs="Calibri"/>
          <w:color w:val="000000"/>
          <w:sz w:val="22"/>
          <w:szCs w:val="22"/>
        </w:rPr>
        <w:t>of BCR after PSMA-R</w:t>
      </w:r>
      <w:r>
        <w:rPr>
          <w:rFonts w:ascii="Calibri" w:hAnsi="Calibri" w:cs="Calibri"/>
          <w:color w:val="000000"/>
          <w:sz w:val="22"/>
          <w:szCs w:val="22"/>
        </w:rPr>
        <w:t xml:space="preserve">GS. High-level evidence for the </w:t>
      </w:r>
      <w:r w:rsidRPr="00F41437">
        <w:rPr>
          <w:rFonts w:ascii="Calibri" w:hAnsi="Calibri" w:cs="Calibri"/>
          <w:color w:val="000000"/>
          <w:sz w:val="22"/>
          <w:szCs w:val="22"/>
        </w:rPr>
        <w:t xml:space="preserve">oncological </w:t>
      </w:r>
      <w:r>
        <w:rPr>
          <w:rFonts w:ascii="Calibri" w:hAnsi="Calibri" w:cs="Calibri"/>
          <w:color w:val="000000"/>
          <w:sz w:val="22"/>
          <w:szCs w:val="22"/>
        </w:rPr>
        <w:t>value of sLND is still lacking.</w:t>
      </w:r>
    </w:p>
    <w:p w14:paraId="79A7B821" w14:textId="77777777" w:rsidR="00150521" w:rsidRDefault="00150521" w:rsidP="00150521">
      <w:pPr>
        <w:spacing w:line="276" w:lineRule="auto"/>
        <w:rPr>
          <w:rFonts w:ascii="Calibri" w:hAnsi="Calibri" w:cs="Calibri"/>
          <w:color w:val="000000"/>
          <w:sz w:val="22"/>
          <w:szCs w:val="22"/>
        </w:rPr>
      </w:pPr>
      <w:r w:rsidRPr="00F41437">
        <w:rPr>
          <w:rFonts w:ascii="Calibri" w:hAnsi="Calibri" w:cs="Calibri"/>
          <w:color w:val="000000"/>
          <w:sz w:val="22"/>
          <w:szCs w:val="22"/>
        </w:rPr>
        <w:t>OLIGOPELVIS GETUG P07, a multicent</w:t>
      </w:r>
      <w:r>
        <w:rPr>
          <w:rFonts w:ascii="Calibri" w:hAnsi="Calibri" w:cs="Calibri"/>
          <w:color w:val="000000"/>
          <w:sz w:val="22"/>
          <w:szCs w:val="22"/>
        </w:rPr>
        <w:t xml:space="preserve">re phase 2 trial, </w:t>
      </w:r>
      <w:r w:rsidRPr="00F41437">
        <w:rPr>
          <w:rFonts w:ascii="Calibri" w:hAnsi="Calibri" w:cs="Calibri"/>
          <w:color w:val="000000"/>
          <w:sz w:val="22"/>
          <w:szCs w:val="22"/>
        </w:rPr>
        <w:t>assessed the efficacy of hig</w:t>
      </w:r>
      <w:r>
        <w:rPr>
          <w:rFonts w:ascii="Calibri" w:hAnsi="Calibri" w:cs="Calibri"/>
          <w:color w:val="000000"/>
          <w:sz w:val="22"/>
          <w:szCs w:val="22"/>
        </w:rPr>
        <w:t xml:space="preserve">h-dose salvage elective node RT </w:t>
      </w:r>
      <w:r w:rsidRPr="00F41437">
        <w:rPr>
          <w:rFonts w:ascii="Calibri" w:hAnsi="Calibri" w:cs="Calibri"/>
          <w:color w:val="000000"/>
          <w:sz w:val="22"/>
          <w:szCs w:val="22"/>
        </w:rPr>
        <w:t>(ENRT) and ADT (6 mo) in oli</w:t>
      </w:r>
      <w:r>
        <w:rPr>
          <w:rFonts w:ascii="Calibri" w:hAnsi="Calibri" w:cs="Calibri"/>
          <w:color w:val="000000"/>
          <w:sz w:val="22"/>
          <w:szCs w:val="22"/>
        </w:rPr>
        <w:t xml:space="preserve">gorecurrent (5 lesions) pelvic </w:t>
      </w:r>
      <w:r w:rsidRPr="00F41437">
        <w:rPr>
          <w:rFonts w:ascii="Calibri" w:hAnsi="Calibri" w:cs="Calibri"/>
          <w:color w:val="000000"/>
          <w:sz w:val="22"/>
          <w:szCs w:val="22"/>
        </w:rPr>
        <w:t>LN relapses after RP, de</w:t>
      </w:r>
      <w:r>
        <w:rPr>
          <w:rFonts w:ascii="Calibri" w:hAnsi="Calibri" w:cs="Calibri"/>
          <w:color w:val="000000"/>
          <w:sz w:val="22"/>
          <w:szCs w:val="22"/>
        </w:rPr>
        <w:t xml:space="preserve">tected via fluorocholine PET/CT </w:t>
      </w:r>
      <w:r w:rsidRPr="00F41437">
        <w:rPr>
          <w:rFonts w:ascii="Calibri" w:hAnsi="Calibri" w:cs="Calibri"/>
          <w:color w:val="000000"/>
          <w:sz w:val="22"/>
          <w:szCs w:val="22"/>
        </w:rPr>
        <w:t>imaging [38]. Image-gu</w:t>
      </w:r>
      <w:r>
        <w:rPr>
          <w:rFonts w:ascii="Calibri" w:hAnsi="Calibri" w:cs="Calibri"/>
          <w:color w:val="000000"/>
          <w:sz w:val="22"/>
          <w:szCs w:val="22"/>
        </w:rPr>
        <w:t xml:space="preserve">ided intensity-modulated RT was </w:t>
      </w:r>
      <w:r w:rsidRPr="00F41437">
        <w:rPr>
          <w:rFonts w:ascii="Calibri" w:hAnsi="Calibri" w:cs="Calibri"/>
          <w:color w:val="000000"/>
          <w:sz w:val="22"/>
          <w:szCs w:val="22"/>
        </w:rPr>
        <w:t>used to deliver 54 Gy in 1.8-Gy</w:t>
      </w:r>
      <w:r>
        <w:rPr>
          <w:rFonts w:ascii="Calibri" w:hAnsi="Calibri" w:cs="Calibri"/>
          <w:color w:val="000000"/>
          <w:sz w:val="22"/>
          <w:szCs w:val="22"/>
        </w:rPr>
        <w:t xml:space="preserve"> fractions to the whole pelvis, </w:t>
      </w:r>
      <w:r w:rsidRPr="00F41437">
        <w:rPr>
          <w:rFonts w:ascii="Calibri" w:hAnsi="Calibri" w:cs="Calibri"/>
          <w:color w:val="000000"/>
          <w:sz w:val="22"/>
          <w:szCs w:val="22"/>
        </w:rPr>
        <w:t>with a simultaneous inte</w:t>
      </w:r>
      <w:r>
        <w:rPr>
          <w:rFonts w:ascii="Calibri" w:hAnsi="Calibri" w:cs="Calibri"/>
          <w:color w:val="000000"/>
          <w:sz w:val="22"/>
          <w:szCs w:val="22"/>
        </w:rPr>
        <w:t xml:space="preserve">grated boost of 66 Gy in 2.2-Gy </w:t>
      </w:r>
      <w:r w:rsidRPr="00F41437">
        <w:rPr>
          <w:rFonts w:ascii="Calibri" w:hAnsi="Calibri" w:cs="Calibri"/>
          <w:color w:val="000000"/>
          <w:sz w:val="22"/>
          <w:szCs w:val="22"/>
        </w:rPr>
        <w:t>fractions to pathological p</w:t>
      </w:r>
      <w:r>
        <w:rPr>
          <w:rFonts w:ascii="Calibri" w:hAnsi="Calibri" w:cs="Calibri"/>
          <w:color w:val="000000"/>
          <w:sz w:val="22"/>
          <w:szCs w:val="22"/>
        </w:rPr>
        <w:t xml:space="preserve">elvic LNs. Patients who had not </w:t>
      </w:r>
      <w:r w:rsidRPr="00F41437">
        <w:rPr>
          <w:rFonts w:ascii="Calibri" w:hAnsi="Calibri" w:cs="Calibri"/>
          <w:color w:val="000000"/>
          <w:sz w:val="22"/>
          <w:szCs w:val="22"/>
        </w:rPr>
        <w:t>received previous irradiation r</w:t>
      </w:r>
      <w:r>
        <w:rPr>
          <w:rFonts w:ascii="Calibri" w:hAnsi="Calibri" w:cs="Calibri"/>
          <w:color w:val="000000"/>
          <w:sz w:val="22"/>
          <w:szCs w:val="22"/>
        </w:rPr>
        <w:t xml:space="preserve">eceived 66 Gy in 2-Gy fractions </w:t>
      </w:r>
      <w:r w:rsidRPr="00F41437">
        <w:rPr>
          <w:rFonts w:ascii="Calibri" w:hAnsi="Calibri" w:cs="Calibri"/>
          <w:color w:val="000000"/>
          <w:sz w:val="22"/>
          <w:szCs w:val="22"/>
        </w:rPr>
        <w:t>to the prostatic bed, wit</w:t>
      </w:r>
      <w:r>
        <w:rPr>
          <w:rFonts w:ascii="Calibri" w:hAnsi="Calibri" w:cs="Calibri"/>
          <w:color w:val="000000"/>
          <w:sz w:val="22"/>
          <w:szCs w:val="22"/>
        </w:rPr>
        <w:t xml:space="preserve">h up to 72 Gy in 2-Gy fractions </w:t>
      </w:r>
      <w:r w:rsidRPr="00F41437">
        <w:rPr>
          <w:rFonts w:ascii="Calibri" w:hAnsi="Calibri" w:cs="Calibri"/>
          <w:color w:val="000000"/>
          <w:sz w:val="22"/>
          <w:szCs w:val="22"/>
        </w:rPr>
        <w:t xml:space="preserve">in cases of local relapse in </w:t>
      </w:r>
      <w:r>
        <w:rPr>
          <w:rFonts w:ascii="Calibri" w:hAnsi="Calibri" w:cs="Calibri"/>
          <w:color w:val="000000"/>
          <w:sz w:val="22"/>
          <w:szCs w:val="22"/>
        </w:rPr>
        <w:t xml:space="preserve">the prostatic bed. Between 2014 </w:t>
      </w:r>
      <w:r w:rsidRPr="00F41437">
        <w:rPr>
          <w:rFonts w:ascii="Calibri" w:hAnsi="Calibri" w:cs="Calibri"/>
          <w:color w:val="000000"/>
          <w:sz w:val="22"/>
          <w:szCs w:val="22"/>
        </w:rPr>
        <w:t>and July 2016, 67 patients wer</w:t>
      </w:r>
      <w:r>
        <w:rPr>
          <w:rFonts w:ascii="Calibri" w:hAnsi="Calibri" w:cs="Calibri"/>
          <w:color w:val="000000"/>
          <w:sz w:val="22"/>
          <w:szCs w:val="22"/>
        </w:rPr>
        <w:t xml:space="preserve">e recruited in 15 centres. Half </w:t>
      </w:r>
      <w:r w:rsidRPr="00F41437">
        <w:rPr>
          <w:rFonts w:ascii="Calibri" w:hAnsi="Calibri" w:cs="Calibri"/>
          <w:color w:val="000000"/>
          <w:sz w:val="22"/>
          <w:szCs w:val="22"/>
        </w:rPr>
        <w:t xml:space="preserve">of the patients had received </w:t>
      </w:r>
      <w:r>
        <w:rPr>
          <w:rFonts w:ascii="Calibri" w:hAnsi="Calibri" w:cs="Calibri"/>
          <w:color w:val="000000"/>
          <w:sz w:val="22"/>
          <w:szCs w:val="22"/>
        </w:rPr>
        <w:t xml:space="preserve">prior prostatic irradiation. At </w:t>
      </w:r>
      <w:r w:rsidRPr="00F41437">
        <w:rPr>
          <w:rFonts w:ascii="Calibri" w:hAnsi="Calibri" w:cs="Calibri"/>
          <w:color w:val="000000"/>
          <w:sz w:val="22"/>
          <w:szCs w:val="22"/>
        </w:rPr>
        <w:t xml:space="preserve">median follow-up of 49.4 </w:t>
      </w:r>
      <w:r>
        <w:rPr>
          <w:rFonts w:ascii="Calibri" w:hAnsi="Calibri" w:cs="Calibri"/>
          <w:color w:val="000000"/>
          <w:sz w:val="22"/>
          <w:szCs w:val="22"/>
        </w:rPr>
        <w:t xml:space="preserve">mo, the 2-yr and 3-yr PFS rates </w:t>
      </w:r>
      <w:r w:rsidRPr="00F41437">
        <w:rPr>
          <w:rFonts w:ascii="Calibri" w:hAnsi="Calibri" w:cs="Calibri"/>
          <w:color w:val="000000"/>
          <w:sz w:val="22"/>
          <w:szCs w:val="22"/>
        </w:rPr>
        <w:t>were 81% and 58%, respec</w:t>
      </w:r>
      <w:r>
        <w:rPr>
          <w:rFonts w:ascii="Calibri" w:hAnsi="Calibri" w:cs="Calibri"/>
          <w:color w:val="000000"/>
          <w:sz w:val="22"/>
          <w:szCs w:val="22"/>
        </w:rPr>
        <w:t xml:space="preserve">tively. Median PFS was 45.3 mo. </w:t>
      </w:r>
      <w:r w:rsidRPr="00F41437">
        <w:rPr>
          <w:rFonts w:ascii="Calibri" w:hAnsi="Calibri" w:cs="Calibri"/>
          <w:color w:val="000000"/>
          <w:sz w:val="22"/>
          <w:szCs w:val="22"/>
        </w:rPr>
        <w:t>The 2-yr and 3-yr BCR-f</w:t>
      </w:r>
      <w:r>
        <w:rPr>
          <w:rFonts w:ascii="Calibri" w:hAnsi="Calibri" w:cs="Calibri"/>
          <w:color w:val="000000"/>
          <w:sz w:val="22"/>
          <w:szCs w:val="22"/>
        </w:rPr>
        <w:t xml:space="preserve">ree survival rates were 58% and 46%, respectively. </w:t>
      </w:r>
    </w:p>
    <w:p w14:paraId="324FBC2E" w14:textId="77777777" w:rsidR="00150521" w:rsidRPr="00F41437" w:rsidRDefault="00150521" w:rsidP="00150521">
      <w:pPr>
        <w:spacing w:line="276" w:lineRule="auto"/>
        <w:rPr>
          <w:rFonts w:ascii="Calibri" w:hAnsi="Calibri" w:cs="Calibri"/>
          <w:color w:val="000000"/>
          <w:sz w:val="22"/>
          <w:szCs w:val="22"/>
        </w:rPr>
      </w:pPr>
      <w:r w:rsidRPr="00F41437">
        <w:rPr>
          <w:rFonts w:ascii="Calibri" w:hAnsi="Calibri" w:cs="Calibri"/>
          <w:color w:val="000000"/>
          <w:sz w:val="22"/>
          <w:szCs w:val="22"/>
        </w:rPr>
        <w:t>A retrospective study</w:t>
      </w:r>
      <w:r>
        <w:rPr>
          <w:rFonts w:ascii="Calibri" w:hAnsi="Calibri" w:cs="Calibri"/>
          <w:color w:val="000000"/>
          <w:sz w:val="22"/>
          <w:szCs w:val="22"/>
        </w:rPr>
        <w:t xml:space="preserve"> compared SBRT to ENRT in nodal </w:t>
      </w:r>
      <w:r w:rsidRPr="00F41437">
        <w:rPr>
          <w:rFonts w:ascii="Calibri" w:hAnsi="Calibri" w:cs="Calibri"/>
          <w:color w:val="000000"/>
          <w:sz w:val="22"/>
          <w:szCs w:val="22"/>
        </w:rPr>
        <w:t>oligorecurrent PCa (n = 5</w:t>
      </w:r>
      <w:r>
        <w:rPr>
          <w:rFonts w:ascii="Calibri" w:hAnsi="Calibri" w:cs="Calibri"/>
          <w:color w:val="000000"/>
          <w:sz w:val="22"/>
          <w:szCs w:val="22"/>
        </w:rPr>
        <w:t xml:space="preserve">06 patients, 365 with N1 pelvic </w:t>
      </w:r>
      <w:r w:rsidRPr="00F41437">
        <w:rPr>
          <w:rFonts w:ascii="Calibri" w:hAnsi="Calibri" w:cs="Calibri"/>
          <w:color w:val="000000"/>
          <w:sz w:val="22"/>
          <w:szCs w:val="22"/>
        </w:rPr>
        <w:t>recurrence) [39]. SBRT was defined as a minimum of 5 Gy</w:t>
      </w:r>
      <w:r>
        <w:rPr>
          <w:rFonts w:ascii="Calibri" w:hAnsi="Calibri" w:cs="Calibri"/>
          <w:color w:val="000000"/>
          <w:sz w:val="22"/>
          <w:szCs w:val="22"/>
        </w:rPr>
        <w:t xml:space="preserve"> </w:t>
      </w:r>
      <w:r w:rsidRPr="00F41437">
        <w:rPr>
          <w:rFonts w:ascii="Calibri" w:hAnsi="Calibri" w:cs="Calibri"/>
          <w:color w:val="000000"/>
          <w:sz w:val="22"/>
          <w:szCs w:val="22"/>
        </w:rPr>
        <w:t>per fraction to each lesion for a maximum of ten</w:t>
      </w:r>
      <w:r>
        <w:rPr>
          <w:rFonts w:ascii="Calibri" w:hAnsi="Calibri" w:cs="Calibri"/>
          <w:color w:val="000000"/>
          <w:sz w:val="22"/>
          <w:szCs w:val="22"/>
        </w:rPr>
        <w:t xml:space="preserve"> fractions. </w:t>
      </w:r>
      <w:r w:rsidRPr="00F41437">
        <w:rPr>
          <w:rFonts w:ascii="Calibri" w:hAnsi="Calibri" w:cs="Calibri"/>
          <w:color w:val="000000"/>
          <w:sz w:val="22"/>
          <w:szCs w:val="22"/>
        </w:rPr>
        <w:t>ENRT was defined as a</w:t>
      </w:r>
      <w:r>
        <w:rPr>
          <w:rFonts w:ascii="Calibri" w:hAnsi="Calibri" w:cs="Calibri"/>
          <w:color w:val="000000"/>
          <w:sz w:val="22"/>
          <w:szCs w:val="22"/>
        </w:rPr>
        <w:t xml:space="preserve"> minimum dose of 45 Gy in up to </w:t>
      </w:r>
      <w:r w:rsidRPr="00F41437">
        <w:rPr>
          <w:rFonts w:ascii="Calibri" w:hAnsi="Calibri" w:cs="Calibri"/>
          <w:color w:val="000000"/>
          <w:sz w:val="22"/>
          <w:szCs w:val="22"/>
        </w:rPr>
        <w:t>25 fractions to the elective nodes,</w:t>
      </w:r>
      <w:r>
        <w:rPr>
          <w:rFonts w:ascii="Calibri" w:hAnsi="Calibri" w:cs="Calibri"/>
          <w:color w:val="000000"/>
          <w:sz w:val="22"/>
          <w:szCs w:val="22"/>
        </w:rPr>
        <w:t xml:space="preserve"> with or without a simultaneous </w:t>
      </w:r>
      <w:r w:rsidRPr="00F41437">
        <w:rPr>
          <w:rFonts w:ascii="Calibri" w:hAnsi="Calibri" w:cs="Calibri"/>
          <w:color w:val="000000"/>
          <w:sz w:val="22"/>
          <w:szCs w:val="22"/>
        </w:rPr>
        <w:t>boost to the suspic</w:t>
      </w:r>
      <w:r>
        <w:rPr>
          <w:rFonts w:ascii="Calibri" w:hAnsi="Calibri" w:cs="Calibri"/>
          <w:color w:val="000000"/>
          <w:sz w:val="22"/>
          <w:szCs w:val="22"/>
        </w:rPr>
        <w:t xml:space="preserve">ious node(s). Nodal recurrences </w:t>
      </w:r>
      <w:r w:rsidRPr="00F41437">
        <w:rPr>
          <w:rFonts w:ascii="Calibri" w:hAnsi="Calibri" w:cs="Calibri"/>
          <w:color w:val="000000"/>
          <w:sz w:val="22"/>
          <w:szCs w:val="22"/>
        </w:rPr>
        <w:t>were detected via PET/C</w:t>
      </w:r>
      <w:r>
        <w:rPr>
          <w:rFonts w:ascii="Calibri" w:hAnsi="Calibri" w:cs="Calibri"/>
          <w:color w:val="000000"/>
          <w:sz w:val="22"/>
          <w:szCs w:val="22"/>
        </w:rPr>
        <w:t xml:space="preserve">T (97%) or conventional imaging </w:t>
      </w:r>
      <w:r w:rsidRPr="00F41437">
        <w:rPr>
          <w:rFonts w:ascii="Calibri" w:hAnsi="Calibri" w:cs="Calibri"/>
          <w:color w:val="000000"/>
          <w:sz w:val="22"/>
          <w:szCs w:val="22"/>
        </w:rPr>
        <w:t xml:space="preserve">(3%). At median follow-up </w:t>
      </w:r>
      <w:r>
        <w:rPr>
          <w:rFonts w:ascii="Calibri" w:hAnsi="Calibri" w:cs="Calibri"/>
          <w:color w:val="000000"/>
          <w:sz w:val="22"/>
          <w:szCs w:val="22"/>
        </w:rPr>
        <w:t xml:space="preserve">of 36 mo, ENRT (n = 197) versus </w:t>
      </w:r>
      <w:r w:rsidRPr="00F41437">
        <w:rPr>
          <w:rFonts w:ascii="Calibri" w:hAnsi="Calibri" w:cs="Calibri"/>
          <w:color w:val="000000"/>
          <w:sz w:val="22"/>
          <w:szCs w:val="22"/>
        </w:rPr>
        <w:t>SBRT (n = 309) was associat</w:t>
      </w:r>
      <w:r>
        <w:rPr>
          <w:rFonts w:ascii="Calibri" w:hAnsi="Calibri" w:cs="Calibri"/>
          <w:color w:val="000000"/>
          <w:sz w:val="22"/>
          <w:szCs w:val="22"/>
        </w:rPr>
        <w:t xml:space="preserve">ed with a significant reduction in nodal </w:t>
      </w:r>
      <w:r w:rsidRPr="00F41437">
        <w:rPr>
          <w:rFonts w:ascii="Calibri" w:hAnsi="Calibri" w:cs="Calibri"/>
          <w:color w:val="000000"/>
          <w:sz w:val="22"/>
          <w:szCs w:val="22"/>
        </w:rPr>
        <w:t>recurrences (2% vs</w:t>
      </w:r>
      <w:r>
        <w:rPr>
          <w:rFonts w:ascii="Calibri" w:hAnsi="Calibri" w:cs="Calibri"/>
          <w:color w:val="000000"/>
          <w:sz w:val="22"/>
          <w:szCs w:val="22"/>
        </w:rPr>
        <w:t xml:space="preserve"> 18%; p &lt; 0.001). Multivariable </w:t>
      </w:r>
      <w:r w:rsidRPr="00F41437">
        <w:rPr>
          <w:rFonts w:ascii="Calibri" w:hAnsi="Calibri" w:cs="Calibri"/>
          <w:color w:val="000000"/>
          <w:sz w:val="22"/>
          <w:szCs w:val="22"/>
        </w:rPr>
        <w:t>analysis revealed that pat</w:t>
      </w:r>
      <w:r>
        <w:rPr>
          <w:rFonts w:ascii="Calibri" w:hAnsi="Calibri" w:cs="Calibri"/>
          <w:color w:val="000000"/>
          <w:sz w:val="22"/>
          <w:szCs w:val="22"/>
        </w:rPr>
        <w:t xml:space="preserve">ients with one LN at recurrence </w:t>
      </w:r>
      <w:r w:rsidRPr="00F41437">
        <w:rPr>
          <w:rFonts w:ascii="Calibri" w:hAnsi="Calibri" w:cs="Calibri"/>
          <w:color w:val="000000"/>
          <w:sz w:val="22"/>
          <w:szCs w:val="22"/>
        </w:rPr>
        <w:t>had longer adjusted MFS after ENRT (HR 0</w:t>
      </w:r>
      <w:r>
        <w:rPr>
          <w:rFonts w:ascii="Calibri" w:hAnsi="Calibri" w:cs="Calibri"/>
          <w:color w:val="000000"/>
          <w:sz w:val="22"/>
          <w:szCs w:val="22"/>
        </w:rPr>
        <w:t>.50, 95% CI</w:t>
      </w:r>
      <w:r w:rsidRPr="00F41437">
        <w:rPr>
          <w:rFonts w:ascii="Calibri" w:hAnsi="Calibri" w:cs="Calibri"/>
          <w:color w:val="000000"/>
          <w:sz w:val="22"/>
          <w:szCs w:val="22"/>
        </w:rPr>
        <w:t>0.30–0.85; p = 0.009). The</w:t>
      </w:r>
      <w:r>
        <w:rPr>
          <w:rFonts w:ascii="Calibri" w:hAnsi="Calibri" w:cs="Calibri"/>
          <w:color w:val="000000"/>
          <w:sz w:val="22"/>
          <w:szCs w:val="22"/>
        </w:rPr>
        <w:t xml:space="preserve"> tendency to relapse was higher </w:t>
      </w:r>
      <w:r w:rsidRPr="00F41437">
        <w:rPr>
          <w:rFonts w:ascii="Calibri" w:hAnsi="Calibri" w:cs="Calibri"/>
          <w:color w:val="000000"/>
          <w:sz w:val="22"/>
          <w:szCs w:val="22"/>
        </w:rPr>
        <w:t>for pelvic LNs than for e</w:t>
      </w:r>
      <w:r>
        <w:rPr>
          <w:rFonts w:ascii="Calibri" w:hAnsi="Calibri" w:cs="Calibri"/>
          <w:color w:val="000000"/>
          <w:sz w:val="22"/>
          <w:szCs w:val="22"/>
        </w:rPr>
        <w:t xml:space="preserve">xtrapelvic LNs (p &lt; 0.001). For </w:t>
      </w:r>
      <w:r w:rsidRPr="00F41437">
        <w:rPr>
          <w:rFonts w:ascii="Calibri" w:hAnsi="Calibri" w:cs="Calibri"/>
          <w:color w:val="000000"/>
          <w:sz w:val="22"/>
          <w:szCs w:val="22"/>
        </w:rPr>
        <w:t>patients presenting with</w:t>
      </w:r>
      <w:r>
        <w:rPr>
          <w:rFonts w:ascii="Calibri" w:hAnsi="Calibri" w:cs="Calibri"/>
          <w:color w:val="000000"/>
          <w:sz w:val="22"/>
          <w:szCs w:val="22"/>
        </w:rPr>
        <w:t xml:space="preserve"> two or more (extra</w:t>
      </w:r>
      <w:proofErr w:type="gramStart"/>
      <w:r>
        <w:rPr>
          <w:rFonts w:ascii="Calibri" w:hAnsi="Calibri" w:cs="Calibri"/>
          <w:color w:val="000000"/>
          <w:sz w:val="22"/>
          <w:szCs w:val="22"/>
        </w:rPr>
        <w:t>)pelvic</w:t>
      </w:r>
      <w:proofErr w:type="gramEnd"/>
      <w:r>
        <w:rPr>
          <w:rFonts w:ascii="Calibri" w:hAnsi="Calibri" w:cs="Calibri"/>
          <w:color w:val="000000"/>
          <w:sz w:val="22"/>
          <w:szCs w:val="22"/>
        </w:rPr>
        <w:t xml:space="preserve"> LNs, </w:t>
      </w:r>
      <w:r w:rsidRPr="00F41437">
        <w:rPr>
          <w:rFonts w:ascii="Calibri" w:hAnsi="Calibri" w:cs="Calibri"/>
          <w:color w:val="000000"/>
          <w:sz w:val="22"/>
          <w:szCs w:val="22"/>
        </w:rPr>
        <w:t>adjusted MFS was not significantly different (HR 0.92, 95%</w:t>
      </w:r>
    </w:p>
    <w:p w14:paraId="37F303A8" w14:textId="77777777" w:rsidR="00150521" w:rsidRPr="00F41437" w:rsidRDefault="00150521" w:rsidP="00150521">
      <w:pPr>
        <w:spacing w:line="276" w:lineRule="auto"/>
        <w:rPr>
          <w:rFonts w:ascii="Calibri" w:hAnsi="Calibri" w:cs="Calibri"/>
          <w:color w:val="000000"/>
          <w:sz w:val="22"/>
          <w:szCs w:val="22"/>
        </w:rPr>
      </w:pPr>
      <w:r w:rsidRPr="00F41437">
        <w:rPr>
          <w:rFonts w:ascii="Calibri" w:hAnsi="Calibri" w:cs="Calibri"/>
          <w:color w:val="000000"/>
          <w:sz w:val="22"/>
          <w:szCs w:val="22"/>
        </w:rPr>
        <w:lastRenderedPageBreak/>
        <w:t xml:space="preserve">CI 0.54–1.59; p = 0.8). In </w:t>
      </w:r>
      <w:r>
        <w:rPr>
          <w:rFonts w:ascii="Calibri" w:hAnsi="Calibri" w:cs="Calibri"/>
          <w:color w:val="000000"/>
          <w:sz w:val="22"/>
          <w:szCs w:val="22"/>
        </w:rPr>
        <w:t xml:space="preserve">these situations, ENRT and SBRT </w:t>
      </w:r>
      <w:r w:rsidRPr="00F41437">
        <w:rPr>
          <w:rFonts w:ascii="Calibri" w:hAnsi="Calibri" w:cs="Calibri"/>
          <w:color w:val="000000"/>
          <w:sz w:val="22"/>
          <w:szCs w:val="22"/>
        </w:rPr>
        <w:t>should be used in highly s</w:t>
      </w:r>
      <w:r>
        <w:rPr>
          <w:rFonts w:ascii="Calibri" w:hAnsi="Calibri" w:cs="Calibri"/>
          <w:color w:val="000000"/>
          <w:sz w:val="22"/>
          <w:szCs w:val="22"/>
        </w:rPr>
        <w:t xml:space="preserve">elected patients in prospective </w:t>
      </w:r>
      <w:r w:rsidRPr="00F41437">
        <w:rPr>
          <w:rFonts w:ascii="Calibri" w:hAnsi="Calibri" w:cs="Calibri"/>
          <w:color w:val="000000"/>
          <w:sz w:val="22"/>
          <w:szCs w:val="22"/>
        </w:rPr>
        <w:t>cohorts or clinical trials only.</w:t>
      </w:r>
      <w:r>
        <w:rPr>
          <w:rFonts w:ascii="Calibri" w:hAnsi="Calibri" w:cs="Calibri"/>
          <w:color w:val="000000"/>
          <w:sz w:val="22"/>
          <w:szCs w:val="22"/>
        </w:rPr>
        <w:t xml:space="preserve"> </w:t>
      </w:r>
    </w:p>
    <w:p w14:paraId="00E020CC" w14:textId="77777777" w:rsidR="00150521" w:rsidRPr="00EF20BF" w:rsidRDefault="00150521" w:rsidP="00150521">
      <w:pPr>
        <w:widowControl w:val="0"/>
        <w:tabs>
          <w:tab w:val="left" w:pos="684"/>
        </w:tabs>
        <w:autoSpaceDE w:val="0"/>
        <w:autoSpaceDN w:val="0"/>
        <w:spacing w:line="276" w:lineRule="auto"/>
        <w:rPr>
          <w:rFonts w:ascii="Calibri" w:hAnsi="Calibri" w:cs="Calibri"/>
          <w:i/>
          <w:sz w:val="22"/>
          <w:szCs w:val="22"/>
        </w:rPr>
      </w:pPr>
    </w:p>
    <w:p w14:paraId="3156E0A4" w14:textId="055F0194" w:rsidR="00150521" w:rsidRDefault="00150521" w:rsidP="00150521">
      <w:pPr>
        <w:widowControl w:val="0"/>
        <w:tabs>
          <w:tab w:val="left" w:pos="684"/>
        </w:tabs>
        <w:autoSpaceDE w:val="0"/>
        <w:autoSpaceDN w:val="0"/>
        <w:spacing w:line="276" w:lineRule="auto"/>
        <w:rPr>
          <w:rFonts w:ascii="Calibri" w:hAnsi="Calibri" w:cs="Calibri"/>
          <w:b/>
          <w:sz w:val="22"/>
          <w:szCs w:val="22"/>
          <w:u w:val="single"/>
        </w:rPr>
      </w:pPr>
      <w:r w:rsidRPr="003F4CF7">
        <w:rPr>
          <w:rFonts w:ascii="Calibri" w:hAnsi="Calibri" w:cs="Calibri"/>
          <w:b/>
          <w:sz w:val="22"/>
          <w:szCs w:val="22"/>
          <w:u w:val="single"/>
        </w:rPr>
        <w:t>3.2.</w:t>
      </w:r>
      <w:r w:rsidRPr="003F4CF7">
        <w:rPr>
          <w:rFonts w:ascii="Calibri" w:hAnsi="Calibri" w:cs="Calibri"/>
          <w:b/>
          <w:sz w:val="22"/>
          <w:szCs w:val="22"/>
          <w:u w:val="single"/>
        </w:rPr>
        <w:tab/>
        <w:t>Metastatic PCa</w:t>
      </w:r>
    </w:p>
    <w:p w14:paraId="28CC4330" w14:textId="77777777" w:rsidR="003F4CF7" w:rsidRPr="003F4CF7" w:rsidRDefault="003F4CF7" w:rsidP="00150521">
      <w:pPr>
        <w:widowControl w:val="0"/>
        <w:tabs>
          <w:tab w:val="left" w:pos="684"/>
        </w:tabs>
        <w:autoSpaceDE w:val="0"/>
        <w:autoSpaceDN w:val="0"/>
        <w:spacing w:line="276" w:lineRule="auto"/>
        <w:rPr>
          <w:rFonts w:ascii="Calibri" w:hAnsi="Calibri" w:cs="Calibri"/>
          <w:b/>
          <w:sz w:val="22"/>
          <w:szCs w:val="22"/>
          <w:u w:val="single"/>
        </w:rPr>
      </w:pPr>
    </w:p>
    <w:p w14:paraId="6CF4C5B3" w14:textId="77777777" w:rsidR="00150521" w:rsidRPr="00150521" w:rsidRDefault="00150521" w:rsidP="00150521">
      <w:pPr>
        <w:widowControl w:val="0"/>
        <w:tabs>
          <w:tab w:val="left" w:pos="684"/>
        </w:tabs>
        <w:autoSpaceDE w:val="0"/>
        <w:autoSpaceDN w:val="0"/>
        <w:spacing w:line="276" w:lineRule="auto"/>
        <w:rPr>
          <w:rFonts w:ascii="Calibri" w:hAnsi="Calibri" w:cs="Calibri"/>
          <w:sz w:val="22"/>
          <w:szCs w:val="22"/>
        </w:rPr>
      </w:pPr>
      <w:r w:rsidRPr="00150521">
        <w:rPr>
          <w:rFonts w:ascii="Calibri" w:hAnsi="Calibri" w:cs="Calibri"/>
          <w:sz w:val="22"/>
          <w:szCs w:val="22"/>
        </w:rPr>
        <w:t>All prospective data available rely on the definition of M1 disease on the basis of a CT scan or MRI and bone scintigraphy. The influence of newer, more accurate imaging modalities on treatments and outcomes has not been assessed in randomised trials yet.</w:t>
      </w:r>
    </w:p>
    <w:p w14:paraId="05514C5E" w14:textId="77777777" w:rsidR="00150521" w:rsidRPr="00150521" w:rsidRDefault="00150521" w:rsidP="00150521">
      <w:pPr>
        <w:widowControl w:val="0"/>
        <w:tabs>
          <w:tab w:val="left" w:pos="684"/>
        </w:tabs>
        <w:autoSpaceDE w:val="0"/>
        <w:autoSpaceDN w:val="0"/>
        <w:spacing w:line="276" w:lineRule="auto"/>
        <w:rPr>
          <w:rFonts w:ascii="Calibri" w:hAnsi="Calibri" w:cs="Calibri"/>
          <w:sz w:val="22"/>
          <w:szCs w:val="22"/>
        </w:rPr>
      </w:pPr>
      <w:r w:rsidRPr="00150521">
        <w:rPr>
          <w:rFonts w:ascii="Calibri" w:hAnsi="Calibri" w:cs="Calibri"/>
          <w:sz w:val="22"/>
          <w:szCs w:val="22"/>
        </w:rPr>
        <w:t>Recommendations for first-line treatment of metastatic HSPC (mHSPC) are summarised in Table 6.</w:t>
      </w:r>
    </w:p>
    <w:p w14:paraId="38D39C71" w14:textId="77777777" w:rsidR="00150521" w:rsidRDefault="00150521" w:rsidP="00150521">
      <w:pPr>
        <w:widowControl w:val="0"/>
        <w:tabs>
          <w:tab w:val="left" w:pos="684"/>
        </w:tabs>
        <w:autoSpaceDE w:val="0"/>
        <w:autoSpaceDN w:val="0"/>
        <w:spacing w:line="276" w:lineRule="auto"/>
        <w:rPr>
          <w:rFonts w:ascii="Calibri" w:hAnsi="Calibri" w:cs="Calibri"/>
          <w:sz w:val="22"/>
          <w:szCs w:val="22"/>
        </w:rPr>
      </w:pPr>
    </w:p>
    <w:p w14:paraId="7764DF50" w14:textId="0047AF98" w:rsidR="00150521" w:rsidRPr="003F4CF7" w:rsidRDefault="00150521" w:rsidP="003F4CF7">
      <w:pPr>
        <w:widowControl w:val="0"/>
        <w:tabs>
          <w:tab w:val="left" w:pos="684"/>
        </w:tabs>
        <w:autoSpaceDE w:val="0"/>
        <w:autoSpaceDN w:val="0"/>
        <w:spacing w:line="276" w:lineRule="auto"/>
        <w:ind w:left="684"/>
        <w:rPr>
          <w:rFonts w:ascii="Calibri" w:hAnsi="Calibri" w:cs="Calibri"/>
          <w:i/>
          <w:sz w:val="22"/>
          <w:szCs w:val="22"/>
        </w:rPr>
      </w:pPr>
      <w:r w:rsidRPr="003F4CF7">
        <w:rPr>
          <w:rFonts w:ascii="Calibri" w:hAnsi="Calibri" w:cs="Calibri"/>
          <w:i/>
          <w:sz w:val="22"/>
          <w:szCs w:val="22"/>
        </w:rPr>
        <w:t>3.2.1 Prognostic factors</w:t>
      </w:r>
    </w:p>
    <w:p w14:paraId="592811D0" w14:textId="77777777" w:rsidR="003F4CF7" w:rsidRDefault="003F4CF7" w:rsidP="003F4CF7">
      <w:pPr>
        <w:widowControl w:val="0"/>
        <w:tabs>
          <w:tab w:val="left" w:pos="684"/>
        </w:tabs>
        <w:autoSpaceDE w:val="0"/>
        <w:autoSpaceDN w:val="0"/>
        <w:spacing w:line="276" w:lineRule="auto"/>
        <w:ind w:left="684"/>
        <w:rPr>
          <w:rFonts w:ascii="Calibri" w:hAnsi="Calibri" w:cs="Calibri"/>
          <w:sz w:val="22"/>
          <w:szCs w:val="22"/>
        </w:rPr>
      </w:pPr>
    </w:p>
    <w:p w14:paraId="5A836165" w14:textId="59C0736E" w:rsidR="00150521" w:rsidRDefault="00150521" w:rsidP="00150521">
      <w:pPr>
        <w:widowControl w:val="0"/>
        <w:tabs>
          <w:tab w:val="left" w:pos="684"/>
        </w:tabs>
        <w:autoSpaceDE w:val="0"/>
        <w:autoSpaceDN w:val="0"/>
        <w:spacing w:line="276" w:lineRule="auto"/>
        <w:rPr>
          <w:rFonts w:ascii="Calibri" w:hAnsi="Calibri" w:cs="Calibri"/>
          <w:sz w:val="22"/>
          <w:szCs w:val="22"/>
        </w:rPr>
      </w:pPr>
      <w:r w:rsidRPr="00150521">
        <w:rPr>
          <w:rFonts w:ascii="Calibri" w:hAnsi="Calibri" w:cs="Calibri"/>
          <w:sz w:val="22"/>
          <w:szCs w:val="22"/>
        </w:rPr>
        <w:t xml:space="preserve">Median survival for patients </w:t>
      </w:r>
      <w:r w:rsidR="007746AE">
        <w:rPr>
          <w:rFonts w:ascii="Calibri" w:hAnsi="Calibri" w:cs="Calibri"/>
          <w:sz w:val="22"/>
          <w:szCs w:val="22"/>
        </w:rPr>
        <w:t xml:space="preserve">with newly diagnosed metastases </w:t>
      </w:r>
      <w:r w:rsidRPr="00150521">
        <w:rPr>
          <w:rFonts w:ascii="Calibri" w:hAnsi="Calibri" w:cs="Calibri"/>
          <w:sz w:val="22"/>
          <w:szCs w:val="22"/>
        </w:rPr>
        <w:t>is approximately 50 m</w:t>
      </w:r>
      <w:r w:rsidR="007746AE">
        <w:rPr>
          <w:rFonts w:ascii="Calibri" w:hAnsi="Calibri" w:cs="Calibri"/>
          <w:sz w:val="22"/>
          <w:szCs w:val="22"/>
        </w:rPr>
        <w:t xml:space="preserve">o with ADT alone, but is highly </w:t>
      </w:r>
      <w:r w:rsidRPr="00150521">
        <w:rPr>
          <w:rFonts w:ascii="Calibri" w:hAnsi="Calibri" w:cs="Calibri"/>
          <w:sz w:val="22"/>
          <w:szCs w:val="22"/>
        </w:rPr>
        <w:t>variable, as the M1 po</w:t>
      </w:r>
      <w:r w:rsidR="007746AE">
        <w:rPr>
          <w:rFonts w:ascii="Calibri" w:hAnsi="Calibri" w:cs="Calibri"/>
          <w:sz w:val="22"/>
          <w:szCs w:val="22"/>
        </w:rPr>
        <w:t xml:space="preserve">pulation is heterogeneous [40]. </w:t>
      </w:r>
      <w:r w:rsidRPr="00150521">
        <w:rPr>
          <w:rFonts w:ascii="Calibri" w:hAnsi="Calibri" w:cs="Calibri"/>
          <w:sz w:val="22"/>
          <w:szCs w:val="22"/>
        </w:rPr>
        <w:t>‘‘Volume’’ of disease as a pot</w:t>
      </w:r>
      <w:r w:rsidR="007746AE">
        <w:rPr>
          <w:rFonts w:ascii="Calibri" w:hAnsi="Calibri" w:cs="Calibri"/>
          <w:sz w:val="22"/>
          <w:szCs w:val="22"/>
        </w:rPr>
        <w:t xml:space="preserve">ential predictor was introduced </w:t>
      </w:r>
      <w:r w:rsidRPr="00150521">
        <w:rPr>
          <w:rFonts w:ascii="Calibri" w:hAnsi="Calibri" w:cs="Calibri"/>
          <w:sz w:val="22"/>
          <w:szCs w:val="22"/>
        </w:rPr>
        <w:t>in CHAARTED [41–</w:t>
      </w:r>
      <w:r w:rsidR="007746AE">
        <w:rPr>
          <w:rFonts w:ascii="Calibri" w:hAnsi="Calibri" w:cs="Calibri"/>
          <w:sz w:val="22"/>
          <w:szCs w:val="22"/>
        </w:rPr>
        <w:t xml:space="preserve">43], and was subsequently shown </w:t>
      </w:r>
      <w:r w:rsidRPr="00150521">
        <w:rPr>
          <w:rFonts w:ascii="Calibri" w:hAnsi="Calibri" w:cs="Calibri"/>
          <w:sz w:val="22"/>
          <w:szCs w:val="22"/>
        </w:rPr>
        <w:t>in STAMPEDE to be pred</w:t>
      </w:r>
      <w:r w:rsidR="007746AE">
        <w:rPr>
          <w:rFonts w:ascii="Calibri" w:hAnsi="Calibri" w:cs="Calibri"/>
          <w:sz w:val="22"/>
          <w:szCs w:val="22"/>
        </w:rPr>
        <w:t xml:space="preserve">ictive in an adequately powered </w:t>
      </w:r>
      <w:r w:rsidRPr="00150521">
        <w:rPr>
          <w:rFonts w:ascii="Calibri" w:hAnsi="Calibri" w:cs="Calibri"/>
          <w:sz w:val="22"/>
          <w:szCs w:val="22"/>
        </w:rPr>
        <w:t>subgroup analysis of the ben</w:t>
      </w:r>
      <w:r w:rsidR="007746AE">
        <w:rPr>
          <w:rFonts w:ascii="Calibri" w:hAnsi="Calibri" w:cs="Calibri"/>
          <w:sz w:val="22"/>
          <w:szCs w:val="22"/>
        </w:rPr>
        <w:t xml:space="preserve">efit of addition of prostate RT </w:t>
      </w:r>
      <w:r w:rsidRPr="00150521">
        <w:rPr>
          <w:rFonts w:ascii="Calibri" w:hAnsi="Calibri" w:cs="Calibri"/>
          <w:sz w:val="22"/>
          <w:szCs w:val="22"/>
        </w:rPr>
        <w:t>to ADT in the subgroup of patients with low-volume/low</w:t>
      </w:r>
      <w:r w:rsidR="007746AE">
        <w:rPr>
          <w:rFonts w:ascii="Calibri" w:hAnsi="Calibri" w:cs="Calibri"/>
          <w:sz w:val="22"/>
          <w:szCs w:val="22"/>
        </w:rPr>
        <w:t xml:space="preserve">-burden </w:t>
      </w:r>
      <w:r w:rsidRPr="00150521">
        <w:rPr>
          <w:rFonts w:ascii="Calibri" w:hAnsi="Calibri" w:cs="Calibri"/>
          <w:sz w:val="22"/>
          <w:szCs w:val="22"/>
        </w:rPr>
        <w:t>disease [44].</w:t>
      </w:r>
    </w:p>
    <w:p w14:paraId="08AE31EF" w14:textId="454B2087" w:rsidR="00150521" w:rsidRDefault="00150521" w:rsidP="00150521">
      <w:pPr>
        <w:widowControl w:val="0"/>
        <w:tabs>
          <w:tab w:val="left" w:pos="684"/>
        </w:tabs>
        <w:autoSpaceDE w:val="0"/>
        <w:autoSpaceDN w:val="0"/>
        <w:spacing w:line="276" w:lineRule="auto"/>
        <w:rPr>
          <w:rFonts w:ascii="Calibri" w:hAnsi="Calibri" w:cs="Calibri"/>
          <w:sz w:val="22"/>
          <w:szCs w:val="22"/>
        </w:rPr>
      </w:pPr>
      <w:r w:rsidRPr="00150521">
        <w:rPr>
          <w:rFonts w:ascii="Calibri" w:hAnsi="Calibri" w:cs="Calibri"/>
          <w:sz w:val="22"/>
          <w:szCs w:val="22"/>
        </w:rPr>
        <w:t>It has also been shown t</w:t>
      </w:r>
      <w:r w:rsidR="007746AE">
        <w:rPr>
          <w:rFonts w:ascii="Calibri" w:hAnsi="Calibri" w:cs="Calibri"/>
          <w:sz w:val="22"/>
          <w:szCs w:val="22"/>
        </w:rPr>
        <w:t>hat ‘‘metachronous’’ metastatic</w:t>
      </w:r>
      <w:r w:rsidRPr="00150521">
        <w:rPr>
          <w:rFonts w:ascii="Calibri" w:hAnsi="Calibri" w:cs="Calibri"/>
          <w:sz w:val="22"/>
          <w:szCs w:val="22"/>
        </w:rPr>
        <w:t>disease (after radical</w:t>
      </w:r>
      <w:r w:rsidR="007746AE">
        <w:rPr>
          <w:rFonts w:ascii="Calibri" w:hAnsi="Calibri" w:cs="Calibri"/>
          <w:sz w:val="22"/>
          <w:szCs w:val="22"/>
        </w:rPr>
        <w:t xml:space="preserve"> local treatment of the primary </w:t>
      </w:r>
      <w:r w:rsidRPr="00150521">
        <w:rPr>
          <w:rFonts w:ascii="Calibri" w:hAnsi="Calibri" w:cs="Calibri"/>
          <w:sz w:val="22"/>
          <w:szCs w:val="22"/>
        </w:rPr>
        <w:t xml:space="preserve">tumour) versus synchronous </w:t>
      </w:r>
      <w:r w:rsidR="007746AE">
        <w:rPr>
          <w:rFonts w:ascii="Calibri" w:hAnsi="Calibri" w:cs="Calibri"/>
          <w:sz w:val="22"/>
          <w:szCs w:val="22"/>
        </w:rPr>
        <w:t xml:space="preserve">(or de novo) metastatic disease </w:t>
      </w:r>
      <w:r w:rsidRPr="00150521">
        <w:rPr>
          <w:rFonts w:ascii="Calibri" w:hAnsi="Calibri" w:cs="Calibri"/>
          <w:sz w:val="22"/>
          <w:szCs w:val="22"/>
        </w:rPr>
        <w:t>generally has better prognosis [45].</w:t>
      </w:r>
    </w:p>
    <w:p w14:paraId="190C6868" w14:textId="6D5F0117" w:rsidR="00150521" w:rsidRPr="00150521" w:rsidRDefault="00150521" w:rsidP="00150521">
      <w:pPr>
        <w:widowControl w:val="0"/>
        <w:tabs>
          <w:tab w:val="left" w:pos="684"/>
        </w:tabs>
        <w:autoSpaceDE w:val="0"/>
        <w:autoSpaceDN w:val="0"/>
        <w:spacing w:line="276" w:lineRule="auto"/>
        <w:rPr>
          <w:rFonts w:ascii="Calibri" w:hAnsi="Calibri" w:cs="Calibri"/>
          <w:sz w:val="22"/>
          <w:szCs w:val="22"/>
        </w:rPr>
      </w:pPr>
      <w:r w:rsidRPr="00150521">
        <w:rPr>
          <w:rFonts w:ascii="Calibri" w:hAnsi="Calibri" w:cs="Calibri"/>
          <w:sz w:val="22"/>
          <w:szCs w:val="22"/>
        </w:rPr>
        <w:t xml:space="preserve">On the basis of a large </w:t>
      </w:r>
      <w:r w:rsidR="007746AE">
        <w:rPr>
          <w:rFonts w:ascii="Calibri" w:hAnsi="Calibri" w:cs="Calibri"/>
          <w:sz w:val="22"/>
          <w:szCs w:val="22"/>
        </w:rPr>
        <w:t xml:space="preserve">SWOG 9346 cohort, the PSA level </w:t>
      </w:r>
      <w:r w:rsidRPr="00150521">
        <w:rPr>
          <w:rFonts w:ascii="Calibri" w:hAnsi="Calibri" w:cs="Calibri"/>
          <w:sz w:val="22"/>
          <w:szCs w:val="22"/>
        </w:rPr>
        <w:t xml:space="preserve">after 7 mo of ADT was </w:t>
      </w:r>
      <w:r w:rsidR="007746AE">
        <w:rPr>
          <w:rFonts w:ascii="Calibri" w:hAnsi="Calibri" w:cs="Calibri"/>
          <w:sz w:val="22"/>
          <w:szCs w:val="22"/>
        </w:rPr>
        <w:t>used to define three prognostic groups [46]. PSA ≤</w:t>
      </w:r>
      <w:r w:rsidRPr="00150521">
        <w:rPr>
          <w:rFonts w:ascii="Calibri" w:hAnsi="Calibri" w:cs="Calibri"/>
          <w:sz w:val="22"/>
          <w:szCs w:val="22"/>
        </w:rPr>
        <w:t>0.2 n</w:t>
      </w:r>
      <w:r w:rsidR="007746AE">
        <w:rPr>
          <w:rFonts w:ascii="Calibri" w:hAnsi="Calibri" w:cs="Calibri"/>
          <w:sz w:val="22"/>
          <w:szCs w:val="22"/>
        </w:rPr>
        <w:t xml:space="preserve">g/ml at 7 mo was confirmed as a </w:t>
      </w:r>
      <w:r w:rsidRPr="00150521">
        <w:rPr>
          <w:rFonts w:ascii="Calibri" w:hAnsi="Calibri" w:cs="Calibri"/>
          <w:sz w:val="22"/>
          <w:szCs w:val="22"/>
        </w:rPr>
        <w:t>prognostic marker for men recei</w:t>
      </w:r>
      <w:r w:rsidR="007746AE">
        <w:rPr>
          <w:rFonts w:ascii="Calibri" w:hAnsi="Calibri" w:cs="Calibri"/>
          <w:sz w:val="22"/>
          <w:szCs w:val="22"/>
        </w:rPr>
        <w:t xml:space="preserve">ving ADT for metastatic disease </w:t>
      </w:r>
      <w:r w:rsidRPr="00150521">
        <w:rPr>
          <w:rFonts w:ascii="Calibri" w:hAnsi="Calibri" w:cs="Calibri"/>
          <w:sz w:val="22"/>
          <w:szCs w:val="22"/>
        </w:rPr>
        <w:t>in the CHAARTED study, independent of the addition of</w:t>
      </w:r>
    </w:p>
    <w:p w14:paraId="21EBD006" w14:textId="76A2F109" w:rsidR="007746AE" w:rsidRPr="007746AE" w:rsidRDefault="00150521" w:rsidP="007746AE">
      <w:pPr>
        <w:widowControl w:val="0"/>
        <w:tabs>
          <w:tab w:val="left" w:pos="684"/>
        </w:tabs>
        <w:autoSpaceDE w:val="0"/>
        <w:autoSpaceDN w:val="0"/>
        <w:spacing w:line="276" w:lineRule="auto"/>
        <w:rPr>
          <w:rFonts w:ascii="Calibri" w:hAnsi="Calibri" w:cs="Calibri"/>
          <w:sz w:val="22"/>
          <w:szCs w:val="22"/>
        </w:rPr>
      </w:pPr>
      <w:proofErr w:type="gramStart"/>
      <w:r w:rsidRPr="00150521">
        <w:rPr>
          <w:rFonts w:ascii="Calibri" w:hAnsi="Calibri" w:cs="Calibri"/>
          <w:sz w:val="22"/>
          <w:szCs w:val="22"/>
        </w:rPr>
        <w:t>docetaxel</w:t>
      </w:r>
      <w:proofErr w:type="gramEnd"/>
      <w:r w:rsidRPr="00150521">
        <w:rPr>
          <w:rFonts w:ascii="Calibri" w:hAnsi="Calibri" w:cs="Calibri"/>
          <w:sz w:val="22"/>
          <w:szCs w:val="22"/>
        </w:rPr>
        <w:t xml:space="preserve"> [47]. Similarly</w:t>
      </w:r>
      <w:r w:rsidR="007746AE">
        <w:rPr>
          <w:rFonts w:ascii="Calibri" w:hAnsi="Calibri" w:cs="Calibri"/>
          <w:sz w:val="22"/>
          <w:szCs w:val="22"/>
        </w:rPr>
        <w:t xml:space="preserve">, achievement of PSA ≤0.1 ng/ml </w:t>
      </w:r>
      <w:r w:rsidRPr="00150521">
        <w:rPr>
          <w:rFonts w:ascii="Calibri" w:hAnsi="Calibri" w:cs="Calibri"/>
          <w:sz w:val="22"/>
          <w:szCs w:val="22"/>
        </w:rPr>
        <w:t>after 6 mo was correlated</w:t>
      </w:r>
      <w:r w:rsidR="007746AE">
        <w:rPr>
          <w:rFonts w:ascii="Calibri" w:hAnsi="Calibri" w:cs="Calibri"/>
          <w:sz w:val="22"/>
          <w:szCs w:val="22"/>
        </w:rPr>
        <w:t xml:space="preserve"> with long-term outcomes in the </w:t>
      </w:r>
      <w:r w:rsidRPr="00150521">
        <w:rPr>
          <w:rFonts w:ascii="Calibri" w:hAnsi="Calibri" w:cs="Calibri"/>
          <w:sz w:val="22"/>
          <w:szCs w:val="22"/>
        </w:rPr>
        <w:t>LATITUDE study [48]. For patien</w:t>
      </w:r>
      <w:r w:rsidR="007746AE">
        <w:rPr>
          <w:rFonts w:ascii="Calibri" w:hAnsi="Calibri" w:cs="Calibri"/>
          <w:sz w:val="22"/>
          <w:szCs w:val="22"/>
        </w:rPr>
        <w:t xml:space="preserve">ts treated with ADT and </w:t>
      </w:r>
      <w:r w:rsidRPr="00150521">
        <w:rPr>
          <w:rFonts w:ascii="Calibri" w:hAnsi="Calibri" w:cs="Calibri"/>
          <w:sz w:val="22"/>
          <w:szCs w:val="22"/>
        </w:rPr>
        <w:t xml:space="preserve">apalutamide, a </w:t>
      </w:r>
      <w:r w:rsidR="007746AE">
        <w:rPr>
          <w:rFonts w:ascii="Calibri" w:hAnsi="Calibri" w:cs="Calibri"/>
          <w:sz w:val="22"/>
          <w:szCs w:val="22"/>
        </w:rPr>
        <w:t>deep PSA decline, defined as a ≥90% decrease from baseline or to ≤</w:t>
      </w:r>
      <w:r w:rsidRPr="00150521">
        <w:rPr>
          <w:rFonts w:ascii="Calibri" w:hAnsi="Calibri" w:cs="Calibri"/>
          <w:sz w:val="22"/>
          <w:szCs w:val="22"/>
        </w:rPr>
        <w:t>0.2 ng/ml at</w:t>
      </w:r>
      <w:r w:rsidR="007746AE">
        <w:rPr>
          <w:rFonts w:ascii="Calibri" w:hAnsi="Calibri" w:cs="Calibri"/>
          <w:sz w:val="22"/>
          <w:szCs w:val="22"/>
        </w:rPr>
        <w:t xml:space="preserve"> </w:t>
      </w:r>
      <w:r w:rsidR="007746AE" w:rsidRPr="007746AE">
        <w:rPr>
          <w:rFonts w:ascii="Calibri" w:hAnsi="Calibri" w:cs="Calibri"/>
          <w:sz w:val="22"/>
          <w:szCs w:val="22"/>
        </w:rPr>
        <w:t>a landmark of</w:t>
      </w:r>
    </w:p>
    <w:p w14:paraId="44B45491" w14:textId="6E984813" w:rsidR="00150521" w:rsidRDefault="007746AE" w:rsidP="007746AE">
      <w:pPr>
        <w:widowControl w:val="0"/>
        <w:tabs>
          <w:tab w:val="left" w:pos="684"/>
        </w:tabs>
        <w:autoSpaceDE w:val="0"/>
        <w:autoSpaceDN w:val="0"/>
        <w:spacing w:line="276" w:lineRule="auto"/>
        <w:rPr>
          <w:rFonts w:ascii="Calibri" w:hAnsi="Calibri" w:cs="Calibri"/>
          <w:sz w:val="22"/>
          <w:szCs w:val="22"/>
        </w:rPr>
      </w:pPr>
      <w:r w:rsidRPr="007746AE">
        <w:rPr>
          <w:rFonts w:ascii="Calibri" w:hAnsi="Calibri" w:cs="Calibri"/>
          <w:sz w:val="22"/>
          <w:szCs w:val="22"/>
        </w:rPr>
        <w:t>3 mo, was associated with longer OS [49].</w:t>
      </w:r>
    </w:p>
    <w:p w14:paraId="32CB3903" w14:textId="77777777" w:rsidR="00150521" w:rsidRDefault="00150521" w:rsidP="00150521">
      <w:pPr>
        <w:widowControl w:val="0"/>
        <w:tabs>
          <w:tab w:val="left" w:pos="684"/>
        </w:tabs>
        <w:autoSpaceDE w:val="0"/>
        <w:autoSpaceDN w:val="0"/>
        <w:spacing w:line="276" w:lineRule="auto"/>
        <w:rPr>
          <w:rFonts w:ascii="Calibri" w:hAnsi="Calibri" w:cs="Calibri"/>
          <w:sz w:val="22"/>
          <w:szCs w:val="22"/>
        </w:rPr>
      </w:pPr>
    </w:p>
    <w:p w14:paraId="0E4E857E" w14:textId="413B181F" w:rsidR="007746AE" w:rsidRPr="003F4CF7" w:rsidRDefault="007746AE" w:rsidP="003F4CF7">
      <w:pPr>
        <w:widowControl w:val="0"/>
        <w:tabs>
          <w:tab w:val="left" w:pos="684"/>
        </w:tabs>
        <w:autoSpaceDE w:val="0"/>
        <w:autoSpaceDN w:val="0"/>
        <w:spacing w:line="276" w:lineRule="auto"/>
        <w:ind w:left="684"/>
        <w:rPr>
          <w:rFonts w:ascii="Calibri" w:hAnsi="Calibri" w:cs="Calibri"/>
          <w:i/>
          <w:sz w:val="22"/>
          <w:szCs w:val="22"/>
        </w:rPr>
      </w:pPr>
      <w:r w:rsidRPr="003F4CF7">
        <w:rPr>
          <w:rFonts w:ascii="Calibri" w:hAnsi="Calibri" w:cs="Calibri"/>
          <w:i/>
          <w:sz w:val="22"/>
          <w:szCs w:val="22"/>
        </w:rPr>
        <w:t>3.2.2. First-line hormone treatment</w:t>
      </w:r>
    </w:p>
    <w:p w14:paraId="131935D4" w14:textId="77777777" w:rsidR="003F4CF7" w:rsidRPr="007746AE" w:rsidRDefault="003F4CF7" w:rsidP="003F4CF7">
      <w:pPr>
        <w:widowControl w:val="0"/>
        <w:tabs>
          <w:tab w:val="left" w:pos="684"/>
        </w:tabs>
        <w:autoSpaceDE w:val="0"/>
        <w:autoSpaceDN w:val="0"/>
        <w:spacing w:line="276" w:lineRule="auto"/>
        <w:ind w:left="684"/>
        <w:rPr>
          <w:rFonts w:ascii="Calibri" w:hAnsi="Calibri" w:cs="Calibri"/>
          <w:sz w:val="22"/>
          <w:szCs w:val="22"/>
        </w:rPr>
      </w:pPr>
    </w:p>
    <w:p w14:paraId="1EB57E19" w14:textId="5DFBF2F7" w:rsidR="007746AE" w:rsidRPr="007746AE" w:rsidRDefault="007746AE" w:rsidP="007746AE">
      <w:pPr>
        <w:widowControl w:val="0"/>
        <w:tabs>
          <w:tab w:val="left" w:pos="684"/>
        </w:tabs>
        <w:autoSpaceDE w:val="0"/>
        <w:autoSpaceDN w:val="0"/>
        <w:spacing w:line="276" w:lineRule="auto"/>
        <w:rPr>
          <w:rFonts w:ascii="Calibri" w:hAnsi="Calibri" w:cs="Calibri"/>
          <w:sz w:val="22"/>
          <w:szCs w:val="22"/>
        </w:rPr>
      </w:pPr>
      <w:r w:rsidRPr="007746AE">
        <w:rPr>
          <w:rFonts w:ascii="Calibri" w:hAnsi="Calibri" w:cs="Calibri"/>
          <w:sz w:val="22"/>
          <w:szCs w:val="22"/>
        </w:rPr>
        <w:t xml:space="preserve">Primary ADT has been the </w:t>
      </w:r>
      <w:r w:rsidR="00453305">
        <w:rPr>
          <w:rFonts w:ascii="Calibri" w:hAnsi="Calibri" w:cs="Calibri"/>
          <w:sz w:val="22"/>
          <w:szCs w:val="22"/>
        </w:rPr>
        <w:t xml:space="preserve">standard of care (SOC) for more </w:t>
      </w:r>
      <w:r w:rsidRPr="007746AE">
        <w:rPr>
          <w:rFonts w:ascii="Calibri" w:hAnsi="Calibri" w:cs="Calibri"/>
          <w:sz w:val="22"/>
          <w:szCs w:val="22"/>
        </w:rPr>
        <w:t>than 50 yr [50]. There is n</w:t>
      </w:r>
      <w:r w:rsidR="00453305">
        <w:rPr>
          <w:rFonts w:ascii="Calibri" w:hAnsi="Calibri" w:cs="Calibri"/>
          <w:sz w:val="22"/>
          <w:szCs w:val="22"/>
        </w:rPr>
        <w:t xml:space="preserve">o high-level evidence in favour </w:t>
      </w:r>
      <w:r w:rsidRPr="007746AE">
        <w:rPr>
          <w:rFonts w:ascii="Calibri" w:hAnsi="Calibri" w:cs="Calibri"/>
          <w:sz w:val="22"/>
          <w:szCs w:val="22"/>
        </w:rPr>
        <w:t>of a specific type of ADT f</w:t>
      </w:r>
      <w:r w:rsidR="00453305">
        <w:rPr>
          <w:rFonts w:ascii="Calibri" w:hAnsi="Calibri" w:cs="Calibri"/>
          <w:sz w:val="22"/>
          <w:szCs w:val="22"/>
        </w:rPr>
        <w:t xml:space="preserve">or oncological outcomes, or for </w:t>
      </w:r>
      <w:r w:rsidRPr="007746AE">
        <w:rPr>
          <w:rFonts w:ascii="Calibri" w:hAnsi="Calibri" w:cs="Calibri"/>
          <w:sz w:val="22"/>
          <w:szCs w:val="22"/>
        </w:rPr>
        <w:t>orchidectomy or for a lutein</w:t>
      </w:r>
      <w:r w:rsidR="00453305">
        <w:rPr>
          <w:rFonts w:ascii="Calibri" w:hAnsi="Calibri" w:cs="Calibri"/>
          <w:sz w:val="22"/>
          <w:szCs w:val="22"/>
        </w:rPr>
        <w:t xml:space="preserve">ising hormone–releasing hormone </w:t>
      </w:r>
      <w:r w:rsidRPr="007746AE">
        <w:rPr>
          <w:rFonts w:ascii="Calibri" w:hAnsi="Calibri" w:cs="Calibri"/>
          <w:sz w:val="22"/>
          <w:szCs w:val="22"/>
        </w:rPr>
        <w:t>(LHRH) agonist or antagonis</w:t>
      </w:r>
      <w:r w:rsidR="00453305">
        <w:rPr>
          <w:rFonts w:ascii="Calibri" w:hAnsi="Calibri" w:cs="Calibri"/>
          <w:sz w:val="22"/>
          <w:szCs w:val="22"/>
        </w:rPr>
        <w:t xml:space="preserve">t. The decrease in testosterone </w:t>
      </w:r>
      <w:r w:rsidRPr="007746AE">
        <w:rPr>
          <w:rFonts w:ascii="Calibri" w:hAnsi="Calibri" w:cs="Calibri"/>
          <w:sz w:val="22"/>
          <w:szCs w:val="22"/>
        </w:rPr>
        <w:t>level is much f</w:t>
      </w:r>
      <w:r w:rsidR="00453305">
        <w:rPr>
          <w:rFonts w:ascii="Calibri" w:hAnsi="Calibri" w:cs="Calibri"/>
          <w:sz w:val="22"/>
          <w:szCs w:val="22"/>
        </w:rPr>
        <w:t xml:space="preserve">aster with orchiectomy and LHRH </w:t>
      </w:r>
      <w:r w:rsidRPr="007746AE">
        <w:rPr>
          <w:rFonts w:ascii="Calibri" w:hAnsi="Calibri" w:cs="Calibri"/>
          <w:sz w:val="22"/>
          <w:szCs w:val="22"/>
        </w:rPr>
        <w:t>antagonists. Therefore, patients with impending spinal</w:t>
      </w:r>
      <w:r w:rsidR="00453305">
        <w:rPr>
          <w:rFonts w:ascii="Calibri" w:hAnsi="Calibri" w:cs="Calibri"/>
          <w:sz w:val="22"/>
          <w:szCs w:val="22"/>
        </w:rPr>
        <w:t xml:space="preserve"> cord </w:t>
      </w:r>
      <w:r w:rsidRPr="007746AE">
        <w:rPr>
          <w:rFonts w:ascii="Calibri" w:hAnsi="Calibri" w:cs="Calibri"/>
          <w:sz w:val="22"/>
          <w:szCs w:val="22"/>
        </w:rPr>
        <w:t>compression or other po</w:t>
      </w:r>
      <w:r w:rsidR="00453305">
        <w:rPr>
          <w:rFonts w:ascii="Calibri" w:hAnsi="Calibri" w:cs="Calibri"/>
          <w:sz w:val="22"/>
          <w:szCs w:val="22"/>
        </w:rPr>
        <w:t xml:space="preserve">tential impending complications </w:t>
      </w:r>
      <w:r w:rsidRPr="007746AE">
        <w:rPr>
          <w:rFonts w:ascii="Calibri" w:hAnsi="Calibri" w:cs="Calibri"/>
          <w:sz w:val="22"/>
          <w:szCs w:val="22"/>
        </w:rPr>
        <w:t>from their cancer should be treated with either bi</w:t>
      </w:r>
      <w:r w:rsidR="00453305">
        <w:rPr>
          <w:rFonts w:ascii="Calibri" w:hAnsi="Calibri" w:cs="Calibri"/>
          <w:sz w:val="22"/>
          <w:szCs w:val="22"/>
        </w:rPr>
        <w:t xml:space="preserve">lateral </w:t>
      </w:r>
      <w:r w:rsidRPr="007746AE">
        <w:rPr>
          <w:rFonts w:ascii="Calibri" w:hAnsi="Calibri" w:cs="Calibri"/>
          <w:sz w:val="22"/>
          <w:szCs w:val="22"/>
        </w:rPr>
        <w:t>orchidectomy or LH</w:t>
      </w:r>
      <w:r w:rsidR="00453305">
        <w:rPr>
          <w:rFonts w:ascii="Calibri" w:hAnsi="Calibri" w:cs="Calibri"/>
          <w:sz w:val="22"/>
          <w:szCs w:val="22"/>
        </w:rPr>
        <w:t xml:space="preserve">RH antagonists as the preferred </w:t>
      </w:r>
      <w:r w:rsidRPr="007746AE">
        <w:rPr>
          <w:rFonts w:ascii="Calibri" w:hAnsi="Calibri" w:cs="Calibri"/>
          <w:sz w:val="22"/>
          <w:szCs w:val="22"/>
        </w:rPr>
        <w:t>options.</w:t>
      </w:r>
    </w:p>
    <w:p w14:paraId="378CCA80" w14:textId="3FAEF63E" w:rsidR="00150521" w:rsidRDefault="007746AE" w:rsidP="007746AE">
      <w:pPr>
        <w:widowControl w:val="0"/>
        <w:tabs>
          <w:tab w:val="left" w:pos="684"/>
        </w:tabs>
        <w:autoSpaceDE w:val="0"/>
        <w:autoSpaceDN w:val="0"/>
        <w:spacing w:line="276" w:lineRule="auto"/>
        <w:rPr>
          <w:rFonts w:ascii="Calibri" w:hAnsi="Calibri" w:cs="Calibri"/>
          <w:sz w:val="22"/>
          <w:szCs w:val="22"/>
        </w:rPr>
      </w:pPr>
      <w:r w:rsidRPr="007746AE">
        <w:rPr>
          <w:rFonts w:ascii="Calibri" w:hAnsi="Calibri" w:cs="Calibri"/>
          <w:sz w:val="22"/>
          <w:szCs w:val="22"/>
        </w:rPr>
        <w:t>There is a suggestion in s</w:t>
      </w:r>
      <w:r w:rsidR="00453305">
        <w:rPr>
          <w:rFonts w:ascii="Calibri" w:hAnsi="Calibri" w:cs="Calibri"/>
          <w:sz w:val="22"/>
          <w:szCs w:val="22"/>
        </w:rPr>
        <w:t xml:space="preserve">ome studies and in a systematic </w:t>
      </w:r>
      <w:r w:rsidRPr="007746AE">
        <w:rPr>
          <w:rFonts w:ascii="Calibri" w:hAnsi="Calibri" w:cs="Calibri"/>
          <w:sz w:val="22"/>
          <w:szCs w:val="22"/>
        </w:rPr>
        <w:t>review and meta-analysis t</w:t>
      </w:r>
      <w:r w:rsidR="00453305">
        <w:rPr>
          <w:rFonts w:ascii="Calibri" w:hAnsi="Calibri" w:cs="Calibri"/>
          <w:sz w:val="22"/>
          <w:szCs w:val="22"/>
        </w:rPr>
        <w:t xml:space="preserve">hat cardiovascular side effects </w:t>
      </w:r>
      <w:r w:rsidRPr="007746AE">
        <w:rPr>
          <w:rFonts w:ascii="Calibri" w:hAnsi="Calibri" w:cs="Calibri"/>
          <w:sz w:val="22"/>
          <w:szCs w:val="22"/>
        </w:rPr>
        <w:t>are less frequent among patient</w:t>
      </w:r>
      <w:r w:rsidR="00453305">
        <w:rPr>
          <w:rFonts w:ascii="Calibri" w:hAnsi="Calibri" w:cs="Calibri"/>
          <w:sz w:val="22"/>
          <w:szCs w:val="22"/>
        </w:rPr>
        <w:t xml:space="preserve">s treated with LHRH antagonists </w:t>
      </w:r>
      <w:r w:rsidRPr="007746AE">
        <w:rPr>
          <w:rFonts w:ascii="Calibri" w:hAnsi="Calibri" w:cs="Calibri"/>
          <w:sz w:val="22"/>
          <w:szCs w:val="22"/>
        </w:rPr>
        <w:t>than those trea</w:t>
      </w:r>
      <w:r w:rsidR="00453305">
        <w:rPr>
          <w:rFonts w:ascii="Calibri" w:hAnsi="Calibri" w:cs="Calibri"/>
          <w:sz w:val="22"/>
          <w:szCs w:val="22"/>
        </w:rPr>
        <w:t xml:space="preserve">ted with LHRH agonists [51–54]. </w:t>
      </w:r>
      <w:r w:rsidRPr="007746AE">
        <w:rPr>
          <w:rFonts w:ascii="Calibri" w:hAnsi="Calibri" w:cs="Calibri"/>
          <w:sz w:val="22"/>
          <w:szCs w:val="22"/>
        </w:rPr>
        <w:t>Therefore, LHRH anta</w:t>
      </w:r>
      <w:r w:rsidR="00453305">
        <w:rPr>
          <w:rFonts w:ascii="Calibri" w:hAnsi="Calibri" w:cs="Calibri"/>
          <w:sz w:val="22"/>
          <w:szCs w:val="22"/>
        </w:rPr>
        <w:t xml:space="preserve">gonists might be considered for </w:t>
      </w:r>
      <w:r w:rsidRPr="007746AE">
        <w:rPr>
          <w:rFonts w:ascii="Calibri" w:hAnsi="Calibri" w:cs="Calibri"/>
          <w:sz w:val="22"/>
          <w:szCs w:val="22"/>
        </w:rPr>
        <w:t xml:space="preserve">patients with pre-existing </w:t>
      </w:r>
      <w:r w:rsidR="00453305">
        <w:rPr>
          <w:rFonts w:ascii="Calibri" w:hAnsi="Calibri" w:cs="Calibri"/>
          <w:sz w:val="22"/>
          <w:szCs w:val="22"/>
        </w:rPr>
        <w:t xml:space="preserve">cardiovascular disease or other </w:t>
      </w:r>
      <w:r w:rsidRPr="007746AE">
        <w:rPr>
          <w:rFonts w:ascii="Calibri" w:hAnsi="Calibri" w:cs="Calibri"/>
          <w:sz w:val="22"/>
          <w:szCs w:val="22"/>
        </w:rPr>
        <w:t>cardiovascular risk factors if chemical castration is chosen.</w:t>
      </w:r>
    </w:p>
    <w:p w14:paraId="58314304" w14:textId="32E4CAA8" w:rsidR="0034543F" w:rsidRPr="0034543F" w:rsidRDefault="0034543F" w:rsidP="0034543F">
      <w:pPr>
        <w:widowControl w:val="0"/>
        <w:tabs>
          <w:tab w:val="left" w:pos="684"/>
        </w:tabs>
        <w:autoSpaceDE w:val="0"/>
        <w:autoSpaceDN w:val="0"/>
        <w:spacing w:line="276" w:lineRule="auto"/>
        <w:rPr>
          <w:rFonts w:ascii="Calibri" w:eastAsia="HelveticaNeue-Roman" w:hAnsi="Calibri" w:cs="Calibri"/>
          <w:noProof/>
          <w:color w:val="000000" w:themeColor="text1"/>
          <w:sz w:val="22"/>
          <w:szCs w:val="22"/>
        </w:rPr>
      </w:pPr>
    </w:p>
    <w:p w14:paraId="4C759DF1" w14:textId="77777777" w:rsidR="003F4CF7" w:rsidRDefault="003F4CF7" w:rsidP="000337C9">
      <w:pPr>
        <w:autoSpaceDE w:val="0"/>
        <w:autoSpaceDN w:val="0"/>
        <w:adjustRightInd w:val="0"/>
        <w:spacing w:line="276" w:lineRule="auto"/>
        <w:rPr>
          <w:rFonts w:ascii="Calibri" w:eastAsia="Calibri" w:hAnsi="Calibri" w:cs="Calibri"/>
          <w:b/>
          <w:bCs/>
          <w:noProof/>
          <w:color w:val="000000"/>
          <w:sz w:val="22"/>
          <w:szCs w:val="22"/>
        </w:rPr>
      </w:pPr>
    </w:p>
    <w:p w14:paraId="400806EF" w14:textId="77777777" w:rsidR="003F4CF7" w:rsidRDefault="003F4CF7" w:rsidP="000337C9">
      <w:pPr>
        <w:autoSpaceDE w:val="0"/>
        <w:autoSpaceDN w:val="0"/>
        <w:adjustRightInd w:val="0"/>
        <w:spacing w:line="276" w:lineRule="auto"/>
        <w:rPr>
          <w:rFonts w:ascii="Calibri" w:eastAsia="Calibri" w:hAnsi="Calibri" w:cs="Calibri"/>
          <w:b/>
          <w:bCs/>
          <w:noProof/>
          <w:color w:val="000000"/>
          <w:sz w:val="22"/>
          <w:szCs w:val="22"/>
        </w:rPr>
      </w:pPr>
    </w:p>
    <w:p w14:paraId="30ED7285" w14:textId="6F12D1D0" w:rsidR="000337C9" w:rsidRPr="000337C9" w:rsidRDefault="000337C9" w:rsidP="000337C9">
      <w:pPr>
        <w:autoSpaceDE w:val="0"/>
        <w:autoSpaceDN w:val="0"/>
        <w:adjustRightInd w:val="0"/>
        <w:spacing w:line="276" w:lineRule="auto"/>
        <w:rPr>
          <w:rFonts w:ascii="Calibri" w:eastAsia="Calibri" w:hAnsi="Calibri" w:cs="Calibri"/>
          <w:b/>
          <w:bCs/>
          <w:i/>
          <w:iCs/>
          <w:noProof/>
          <w:color w:val="000000"/>
          <w:sz w:val="22"/>
          <w:szCs w:val="22"/>
        </w:rPr>
      </w:pPr>
      <w:r w:rsidRPr="000337C9">
        <w:rPr>
          <w:rFonts w:ascii="Calibri" w:eastAsia="Calibri" w:hAnsi="Calibri" w:cs="Calibri"/>
          <w:b/>
          <w:bCs/>
          <w:noProof/>
          <w:color w:val="000000"/>
          <w:sz w:val="22"/>
          <w:szCs w:val="22"/>
        </w:rPr>
        <w:lastRenderedPageBreak/>
        <w:t>Table 6.</w:t>
      </w:r>
      <w:r w:rsidRPr="000337C9">
        <w:rPr>
          <w:rFonts w:ascii="Calibri" w:eastAsia="Calibri" w:hAnsi="Calibri" w:cs="Calibri"/>
          <w:i/>
          <w:iCs/>
          <w:noProof/>
          <w:color w:val="000000"/>
          <w:sz w:val="22"/>
          <w:szCs w:val="22"/>
        </w:rPr>
        <w:t xml:space="preserve"> </w:t>
      </w:r>
      <w:r w:rsidRPr="000337C9">
        <w:rPr>
          <w:rFonts w:ascii="Calibri" w:eastAsia="Calibri" w:hAnsi="Calibri" w:cs="Calibri"/>
          <w:b/>
          <w:bCs/>
          <w:i/>
          <w:iCs/>
          <w:noProof/>
          <w:color w:val="000000"/>
          <w:sz w:val="22"/>
          <w:szCs w:val="22"/>
        </w:rPr>
        <w:t>Guidelines for the first-line treatment of hormo</w:t>
      </w:r>
      <w:r w:rsidR="00ED25FD">
        <w:rPr>
          <w:rFonts w:ascii="Calibri" w:eastAsia="Calibri" w:hAnsi="Calibri" w:cs="Calibri"/>
          <w:b/>
          <w:bCs/>
          <w:i/>
          <w:iCs/>
          <w:noProof/>
          <w:color w:val="000000"/>
          <w:sz w:val="22"/>
          <w:szCs w:val="22"/>
        </w:rPr>
        <w:t>ne-sensitive metastatic disease</w:t>
      </w:r>
      <w:r w:rsidR="00ED25FD" w:rsidRPr="00ED25FD">
        <w:rPr>
          <w:rFonts w:ascii="Calibri" w:eastAsia="Calibri" w:hAnsi="Calibri" w:cs="Calibri"/>
          <w:b/>
          <w:bCs/>
          <w:i/>
          <w:iCs/>
          <w:noProof/>
          <w:color w:val="000000"/>
          <w:sz w:val="22"/>
          <w:szCs w:val="22"/>
          <w:vertAlign w:val="superscript"/>
        </w:rPr>
        <w:t>a</w:t>
      </w:r>
    </w:p>
    <w:p w14:paraId="204F2844" w14:textId="77777777" w:rsidR="000337C9" w:rsidRPr="000337C9" w:rsidRDefault="000337C9" w:rsidP="000337C9">
      <w:pPr>
        <w:pStyle w:val="ListParagraph"/>
        <w:autoSpaceDE w:val="0"/>
        <w:autoSpaceDN w:val="0"/>
        <w:adjustRightInd w:val="0"/>
        <w:spacing w:line="276" w:lineRule="auto"/>
        <w:rPr>
          <w:rFonts w:ascii="Calibri" w:eastAsia="Calibri" w:hAnsi="Calibri" w:cs="Calibri"/>
          <w:b/>
          <w:bCs/>
          <w:i/>
          <w:iCs/>
          <w:noProof/>
          <w:color w:val="000000"/>
          <w:sz w:val="22"/>
          <w:szCs w:val="22"/>
        </w:rPr>
      </w:pPr>
    </w:p>
    <w:tbl>
      <w:tblPr>
        <w:tblStyle w:val="TableGrid58"/>
        <w:tblW w:w="0" w:type="auto"/>
        <w:tblLook w:val="04A0" w:firstRow="1" w:lastRow="0" w:firstColumn="1" w:lastColumn="0" w:noHBand="0" w:noVBand="1"/>
      </w:tblPr>
      <w:tblGrid>
        <w:gridCol w:w="7218"/>
        <w:gridCol w:w="1798"/>
      </w:tblGrid>
      <w:tr w:rsidR="000337C9" w:rsidRPr="000337C9" w14:paraId="5A871B9D" w14:textId="77777777" w:rsidTr="00B83C6E">
        <w:tc>
          <w:tcPr>
            <w:tcW w:w="7218" w:type="dxa"/>
            <w:shd w:val="clear" w:color="auto" w:fill="D9E2F3"/>
          </w:tcPr>
          <w:p w14:paraId="17C88B47" w14:textId="77777777" w:rsidR="000337C9" w:rsidRPr="000337C9" w:rsidRDefault="000337C9" w:rsidP="000337C9">
            <w:pPr>
              <w:autoSpaceDE w:val="0"/>
              <w:autoSpaceDN w:val="0"/>
              <w:adjustRightInd w:val="0"/>
              <w:spacing w:line="276" w:lineRule="auto"/>
              <w:rPr>
                <w:rFonts w:ascii="Calibri" w:eastAsia="Calibri" w:hAnsi="Calibri" w:cs="Calibri"/>
                <w:b/>
                <w:bCs/>
                <w:noProof/>
                <w:color w:val="000000"/>
                <w:sz w:val="22"/>
                <w:szCs w:val="22"/>
              </w:rPr>
            </w:pPr>
            <w:r w:rsidRPr="000337C9">
              <w:rPr>
                <w:rFonts w:ascii="Calibri" w:eastAsia="Calibri" w:hAnsi="Calibri" w:cs="Calibri"/>
                <w:b/>
                <w:bCs/>
                <w:noProof/>
                <w:color w:val="000000"/>
                <w:sz w:val="22"/>
                <w:szCs w:val="22"/>
              </w:rPr>
              <w:t xml:space="preserve">Recommendations </w:t>
            </w:r>
          </w:p>
        </w:tc>
        <w:tc>
          <w:tcPr>
            <w:tcW w:w="1798" w:type="dxa"/>
            <w:shd w:val="clear" w:color="auto" w:fill="D9E2F3"/>
          </w:tcPr>
          <w:p w14:paraId="0393DCB7" w14:textId="77777777" w:rsidR="000337C9" w:rsidRPr="000337C9" w:rsidRDefault="000337C9" w:rsidP="000337C9">
            <w:pPr>
              <w:autoSpaceDE w:val="0"/>
              <w:autoSpaceDN w:val="0"/>
              <w:adjustRightInd w:val="0"/>
              <w:spacing w:line="276" w:lineRule="auto"/>
              <w:rPr>
                <w:rFonts w:ascii="Calibri" w:eastAsia="Calibri" w:hAnsi="Calibri" w:cs="Calibri"/>
                <w:b/>
                <w:bCs/>
                <w:i/>
                <w:iCs/>
                <w:noProof/>
                <w:color w:val="000000"/>
                <w:sz w:val="22"/>
                <w:szCs w:val="22"/>
              </w:rPr>
            </w:pPr>
            <w:r w:rsidRPr="000337C9">
              <w:rPr>
                <w:rFonts w:ascii="Calibri" w:eastAsia="Calibri" w:hAnsi="Calibri" w:cs="Calibri"/>
                <w:b/>
                <w:bCs/>
                <w:noProof/>
                <w:color w:val="000000"/>
                <w:sz w:val="22"/>
                <w:szCs w:val="22"/>
              </w:rPr>
              <w:t>Strength rating</w:t>
            </w:r>
          </w:p>
        </w:tc>
      </w:tr>
      <w:tr w:rsidR="000337C9" w:rsidRPr="000337C9" w14:paraId="246459C4" w14:textId="77777777" w:rsidTr="00B83C6E">
        <w:tc>
          <w:tcPr>
            <w:tcW w:w="7218" w:type="dxa"/>
            <w:shd w:val="clear" w:color="auto" w:fill="D9E2F3"/>
          </w:tcPr>
          <w:p w14:paraId="0C3B4CA6" w14:textId="47083671" w:rsidR="000337C9" w:rsidRPr="000337C9" w:rsidRDefault="000337C9" w:rsidP="00ED25FD">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 xml:space="preserve">Offer immediate systemic treatment with </w:t>
            </w:r>
            <w:r w:rsidR="00ED25FD">
              <w:rPr>
                <w:rFonts w:ascii="Calibri" w:eastAsia="Calibri" w:hAnsi="Calibri" w:cs="Calibri"/>
                <w:noProof/>
                <w:color w:val="000000"/>
                <w:sz w:val="22"/>
                <w:szCs w:val="22"/>
              </w:rPr>
              <w:t>ADT</w:t>
            </w:r>
            <w:r w:rsidRPr="000337C9">
              <w:rPr>
                <w:rFonts w:ascii="Calibri" w:eastAsia="Calibri" w:hAnsi="Calibri" w:cs="Calibri"/>
                <w:noProof/>
                <w:color w:val="000000"/>
                <w:sz w:val="22"/>
                <w:szCs w:val="22"/>
              </w:rPr>
              <w:t xml:space="preserve"> to </w:t>
            </w:r>
            <w:r w:rsidR="00ED25FD">
              <w:rPr>
                <w:rFonts w:ascii="Calibri" w:eastAsia="Calibri" w:hAnsi="Calibri" w:cs="Calibri"/>
                <w:noProof/>
                <w:color w:val="000000"/>
                <w:sz w:val="22"/>
                <w:szCs w:val="22"/>
              </w:rPr>
              <w:t xml:space="preserve">alleviate </w:t>
            </w:r>
            <w:r w:rsidRPr="000337C9">
              <w:rPr>
                <w:rFonts w:ascii="Calibri" w:eastAsia="Calibri" w:hAnsi="Calibri" w:cs="Calibri"/>
                <w:noProof/>
                <w:color w:val="000000"/>
                <w:sz w:val="22"/>
                <w:szCs w:val="22"/>
              </w:rPr>
              <w:t>symptoms and reduce the risk for potentially serious sequelae of advanced disease (spinal cord compression, pathological fractures, ureteral obstruction) to M1 symptomatic patients.</w:t>
            </w:r>
          </w:p>
        </w:tc>
        <w:tc>
          <w:tcPr>
            <w:tcW w:w="1798" w:type="dxa"/>
            <w:shd w:val="clear" w:color="auto" w:fill="D9E2F3"/>
          </w:tcPr>
          <w:p w14:paraId="59F84462" w14:textId="77777777" w:rsidR="000337C9" w:rsidRPr="000337C9" w:rsidRDefault="000337C9" w:rsidP="000337C9">
            <w:pPr>
              <w:autoSpaceDE w:val="0"/>
              <w:autoSpaceDN w:val="0"/>
              <w:adjustRightInd w:val="0"/>
              <w:spacing w:line="276" w:lineRule="auto"/>
              <w:rPr>
                <w:rFonts w:ascii="Calibri" w:eastAsia="Calibri" w:hAnsi="Calibri" w:cs="Calibri"/>
                <w:b/>
                <w:bCs/>
                <w:i/>
                <w:iCs/>
                <w:noProof/>
                <w:color w:val="000000"/>
                <w:sz w:val="22"/>
                <w:szCs w:val="22"/>
              </w:rPr>
            </w:pPr>
            <w:r w:rsidRPr="000337C9">
              <w:rPr>
                <w:rFonts w:ascii="Calibri" w:eastAsia="Calibri" w:hAnsi="Calibri" w:cs="Calibri"/>
                <w:noProof/>
                <w:color w:val="000000"/>
                <w:sz w:val="22"/>
                <w:szCs w:val="22"/>
              </w:rPr>
              <w:t>Strong</w:t>
            </w:r>
          </w:p>
        </w:tc>
      </w:tr>
      <w:tr w:rsidR="000337C9" w:rsidRPr="000337C9" w14:paraId="2AF42374" w14:textId="77777777" w:rsidTr="00B83C6E">
        <w:tc>
          <w:tcPr>
            <w:tcW w:w="7218" w:type="dxa"/>
            <w:shd w:val="clear" w:color="auto" w:fill="D9E2F3"/>
          </w:tcPr>
          <w:p w14:paraId="38D478D7" w14:textId="4BD78908" w:rsidR="000337C9" w:rsidRPr="000337C9" w:rsidRDefault="000337C9" w:rsidP="00ED25FD">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 xml:space="preserve">Offer short-term administration of an older generation </w:t>
            </w:r>
            <w:r w:rsidR="00ED25FD">
              <w:rPr>
                <w:rFonts w:ascii="Calibri" w:eastAsia="Calibri" w:hAnsi="Calibri" w:cs="Calibri"/>
                <w:noProof/>
                <w:color w:val="000000"/>
                <w:sz w:val="22"/>
                <w:szCs w:val="22"/>
              </w:rPr>
              <w:t>AR</w:t>
            </w:r>
            <w:r w:rsidRPr="000337C9">
              <w:rPr>
                <w:rFonts w:ascii="Calibri" w:eastAsia="Calibri" w:hAnsi="Calibri" w:cs="Calibri"/>
                <w:noProof/>
                <w:color w:val="000000"/>
                <w:sz w:val="22"/>
                <w:szCs w:val="22"/>
              </w:rPr>
              <w:t xml:space="preserve"> antagonist to M1 patients starting LHRH agonist to reduce the risk of the ‘flare-up’ phenomenon.</w:t>
            </w:r>
          </w:p>
        </w:tc>
        <w:tc>
          <w:tcPr>
            <w:tcW w:w="1798" w:type="dxa"/>
            <w:shd w:val="clear" w:color="auto" w:fill="D9E2F3"/>
          </w:tcPr>
          <w:p w14:paraId="4A2C9244"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Weak</w:t>
            </w:r>
          </w:p>
        </w:tc>
      </w:tr>
      <w:tr w:rsidR="000337C9" w:rsidRPr="000337C9" w14:paraId="5FE192AA" w14:textId="77777777" w:rsidTr="00B83C6E">
        <w:tc>
          <w:tcPr>
            <w:tcW w:w="7218" w:type="dxa"/>
            <w:shd w:val="clear" w:color="auto" w:fill="D9E2F3"/>
          </w:tcPr>
          <w:p w14:paraId="7300F06E" w14:textId="1CB9C170"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A</w:t>
            </w:r>
            <w:r w:rsidR="00ED25FD">
              <w:rPr>
                <w:rFonts w:ascii="Calibri" w:eastAsia="Calibri" w:hAnsi="Calibri" w:cs="Calibri"/>
                <w:noProof/>
                <w:color w:val="000000"/>
                <w:sz w:val="22"/>
                <w:szCs w:val="22"/>
              </w:rPr>
              <w:t>t the start of ADT offer LHRH</w:t>
            </w:r>
            <w:r w:rsidRPr="000337C9">
              <w:rPr>
                <w:rFonts w:ascii="Calibri" w:eastAsia="Calibri" w:hAnsi="Calibri" w:cs="Calibri"/>
                <w:noProof/>
                <w:color w:val="000000"/>
                <w:sz w:val="22"/>
                <w:szCs w:val="22"/>
              </w:rPr>
              <w:t xml:space="preserve"> antagonists or orchiectomy to patients with impending clinical complications such as spinal cord compression or bladder outlet obstruction.</w:t>
            </w:r>
          </w:p>
        </w:tc>
        <w:tc>
          <w:tcPr>
            <w:tcW w:w="1798" w:type="dxa"/>
            <w:shd w:val="clear" w:color="auto" w:fill="D9E2F3"/>
          </w:tcPr>
          <w:p w14:paraId="06149D42" w14:textId="77777777" w:rsidR="000337C9" w:rsidRPr="000337C9" w:rsidRDefault="000337C9" w:rsidP="000337C9">
            <w:pPr>
              <w:autoSpaceDE w:val="0"/>
              <w:autoSpaceDN w:val="0"/>
              <w:adjustRightInd w:val="0"/>
              <w:spacing w:line="276" w:lineRule="auto"/>
              <w:rPr>
                <w:rFonts w:ascii="Calibri" w:eastAsia="Calibri" w:hAnsi="Calibri" w:cs="Calibri"/>
                <w:b/>
                <w:bCs/>
                <w:i/>
                <w:iCs/>
                <w:noProof/>
                <w:color w:val="000000"/>
                <w:sz w:val="22"/>
                <w:szCs w:val="22"/>
              </w:rPr>
            </w:pPr>
            <w:r w:rsidRPr="000337C9">
              <w:rPr>
                <w:rFonts w:ascii="Calibri" w:eastAsia="Calibri" w:hAnsi="Calibri" w:cs="Calibri"/>
                <w:noProof/>
                <w:color w:val="000000"/>
                <w:sz w:val="22"/>
                <w:szCs w:val="22"/>
              </w:rPr>
              <w:t>Strong</w:t>
            </w:r>
          </w:p>
        </w:tc>
      </w:tr>
      <w:tr w:rsidR="000337C9" w:rsidRPr="000337C9" w14:paraId="4BB258A2" w14:textId="77777777" w:rsidTr="00B83C6E">
        <w:tc>
          <w:tcPr>
            <w:tcW w:w="7218" w:type="dxa"/>
            <w:shd w:val="clear" w:color="auto" w:fill="D9E2F3"/>
          </w:tcPr>
          <w:p w14:paraId="6BC46B9B" w14:textId="77777777" w:rsidR="000337C9" w:rsidRPr="000337C9" w:rsidRDefault="000337C9" w:rsidP="000337C9">
            <w:pPr>
              <w:autoSpaceDE w:val="0"/>
              <w:autoSpaceDN w:val="0"/>
              <w:adjustRightInd w:val="0"/>
              <w:spacing w:line="276" w:lineRule="auto"/>
              <w:rPr>
                <w:rFonts w:ascii="Calibri" w:eastAsia="Calibri" w:hAnsi="Calibri" w:cs="Calibri"/>
                <w:noProof/>
                <w:color w:val="000000"/>
                <w:sz w:val="22"/>
                <w:szCs w:val="22"/>
              </w:rPr>
            </w:pPr>
            <w:r w:rsidRPr="000337C9">
              <w:rPr>
                <w:rFonts w:ascii="Calibri" w:eastAsia="Calibri" w:hAnsi="Calibri" w:cs="Calibri"/>
                <w:noProof/>
                <w:color w:val="000000"/>
                <w:sz w:val="22"/>
                <w:szCs w:val="22"/>
              </w:rPr>
              <w:t xml:space="preserve">Do not offer AR antagonist monotherapy to patients with M1 disease. </w:t>
            </w:r>
          </w:p>
        </w:tc>
        <w:tc>
          <w:tcPr>
            <w:tcW w:w="1798" w:type="dxa"/>
            <w:shd w:val="clear" w:color="auto" w:fill="D9E2F3"/>
          </w:tcPr>
          <w:p w14:paraId="69611011" w14:textId="77777777" w:rsidR="000337C9" w:rsidRPr="000337C9" w:rsidRDefault="000337C9" w:rsidP="000337C9">
            <w:pPr>
              <w:autoSpaceDE w:val="0"/>
              <w:autoSpaceDN w:val="0"/>
              <w:adjustRightInd w:val="0"/>
              <w:spacing w:line="276" w:lineRule="auto"/>
              <w:rPr>
                <w:rFonts w:ascii="Calibri" w:eastAsia="Calibri" w:hAnsi="Calibri" w:cs="Calibri"/>
                <w:b/>
                <w:bCs/>
                <w:i/>
                <w:iCs/>
                <w:noProof/>
                <w:color w:val="000000"/>
                <w:sz w:val="22"/>
                <w:szCs w:val="22"/>
              </w:rPr>
            </w:pPr>
            <w:r w:rsidRPr="000337C9">
              <w:rPr>
                <w:rFonts w:ascii="Calibri" w:eastAsia="Calibri" w:hAnsi="Calibri" w:cs="Calibri"/>
                <w:noProof/>
                <w:color w:val="000000"/>
                <w:sz w:val="22"/>
                <w:szCs w:val="22"/>
              </w:rPr>
              <w:t>Strong</w:t>
            </w:r>
          </w:p>
        </w:tc>
      </w:tr>
      <w:tr w:rsidR="000337C9" w:rsidRPr="000337C9" w14:paraId="33E0275B" w14:textId="77777777" w:rsidTr="00B83C6E">
        <w:tc>
          <w:tcPr>
            <w:tcW w:w="7218" w:type="dxa"/>
            <w:shd w:val="clear" w:color="auto" w:fill="D9E2F3"/>
          </w:tcPr>
          <w:p w14:paraId="13FF0D61" w14:textId="77777777" w:rsidR="000337C9" w:rsidRPr="000337C9" w:rsidRDefault="000337C9" w:rsidP="000337C9">
            <w:pPr>
              <w:autoSpaceDE w:val="0"/>
              <w:autoSpaceDN w:val="0"/>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Do not offer ADT monotherapy to patients whose first presentation is M1 disease if they have no contra-indications for combination therapy and have a sufficient life expectancy to benefit from combination therapy (≥ 1 year) and are willing to accept the increased risk of side effects.</w:t>
            </w:r>
          </w:p>
        </w:tc>
        <w:tc>
          <w:tcPr>
            <w:tcW w:w="1798" w:type="dxa"/>
            <w:shd w:val="clear" w:color="auto" w:fill="D9E2F3"/>
          </w:tcPr>
          <w:p w14:paraId="3AB10380" w14:textId="77777777" w:rsidR="000337C9" w:rsidRPr="000337C9" w:rsidRDefault="000337C9" w:rsidP="000337C9">
            <w:pPr>
              <w:autoSpaceDE w:val="0"/>
              <w:autoSpaceDN w:val="0"/>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Strong</w:t>
            </w:r>
          </w:p>
        </w:tc>
      </w:tr>
      <w:tr w:rsidR="000337C9" w:rsidRPr="000337C9" w14:paraId="3BA455FF" w14:textId="77777777" w:rsidTr="00B83C6E">
        <w:tc>
          <w:tcPr>
            <w:tcW w:w="7218" w:type="dxa"/>
            <w:shd w:val="clear" w:color="auto" w:fill="D9E2F3"/>
          </w:tcPr>
          <w:p w14:paraId="3952B071" w14:textId="77777777" w:rsidR="000337C9" w:rsidRPr="000337C9" w:rsidRDefault="000337C9" w:rsidP="000337C9">
            <w:pPr>
              <w:autoSpaceDE w:val="0"/>
              <w:autoSpaceDN w:val="0"/>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Offer ADT combined with abiraterone acetate plus prednisone or apalutamide or enzalutamide to patients with M1 disease who are fit for the regimen.</w:t>
            </w:r>
          </w:p>
        </w:tc>
        <w:tc>
          <w:tcPr>
            <w:tcW w:w="1798" w:type="dxa"/>
            <w:shd w:val="clear" w:color="auto" w:fill="D9E2F3"/>
          </w:tcPr>
          <w:p w14:paraId="3447A57C" w14:textId="77777777" w:rsidR="000337C9" w:rsidRPr="000337C9" w:rsidRDefault="000337C9" w:rsidP="000337C9">
            <w:pPr>
              <w:autoSpaceDE w:val="0"/>
              <w:autoSpaceDN w:val="0"/>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Strong</w:t>
            </w:r>
          </w:p>
        </w:tc>
      </w:tr>
      <w:tr w:rsidR="000337C9" w:rsidRPr="000337C9" w14:paraId="640C1844" w14:textId="77777777" w:rsidTr="00B83C6E">
        <w:tc>
          <w:tcPr>
            <w:tcW w:w="7218" w:type="dxa"/>
            <w:shd w:val="clear" w:color="auto" w:fill="D9E2F3"/>
          </w:tcPr>
          <w:p w14:paraId="2A83EA36" w14:textId="77777777" w:rsidR="000337C9" w:rsidRPr="000337C9" w:rsidRDefault="000337C9" w:rsidP="000337C9">
            <w:pPr>
              <w:autoSpaceDE w:val="0"/>
              <w:autoSpaceDN w:val="0"/>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Offer docetaxel only in combination with ADT plus abiraterone or darolutamide to patients with M1 disease who are fit for docetaxel.</w:t>
            </w:r>
          </w:p>
        </w:tc>
        <w:tc>
          <w:tcPr>
            <w:tcW w:w="1798" w:type="dxa"/>
            <w:shd w:val="clear" w:color="auto" w:fill="D9E2F3"/>
          </w:tcPr>
          <w:p w14:paraId="21BCD38A" w14:textId="77777777" w:rsidR="000337C9" w:rsidRPr="000337C9" w:rsidRDefault="000337C9" w:rsidP="000337C9">
            <w:pPr>
              <w:autoSpaceDE w:val="0"/>
              <w:autoSpaceDN w:val="0"/>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Strong</w:t>
            </w:r>
          </w:p>
        </w:tc>
      </w:tr>
      <w:tr w:rsidR="000337C9" w:rsidRPr="000337C9" w14:paraId="4B04C106" w14:textId="77777777" w:rsidTr="00B83C6E">
        <w:tc>
          <w:tcPr>
            <w:tcW w:w="7218" w:type="dxa"/>
            <w:shd w:val="clear" w:color="auto" w:fill="D9E2F3"/>
          </w:tcPr>
          <w:p w14:paraId="3F0BDF51" w14:textId="77777777" w:rsidR="000337C9" w:rsidRPr="000337C9" w:rsidRDefault="000337C9" w:rsidP="000337C9">
            <w:pPr>
              <w:autoSpaceDE w:val="0"/>
              <w:autoSpaceDN w:val="0"/>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Offer ADT combined with prostate radiotherapy (using doses up to the equivalent of 72 Gy in 2 Gy fractions) to patients whose first presentation is M1 disease and who have low volume of disease by CHAARTED criteria.</w:t>
            </w:r>
          </w:p>
        </w:tc>
        <w:tc>
          <w:tcPr>
            <w:tcW w:w="1798" w:type="dxa"/>
            <w:shd w:val="clear" w:color="auto" w:fill="D9E2F3"/>
          </w:tcPr>
          <w:p w14:paraId="4582EE82" w14:textId="77777777" w:rsidR="000337C9" w:rsidRPr="000337C9" w:rsidRDefault="000337C9" w:rsidP="000337C9">
            <w:pPr>
              <w:autoSpaceDE w:val="0"/>
              <w:autoSpaceDN w:val="0"/>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 xml:space="preserve">Strong </w:t>
            </w:r>
          </w:p>
        </w:tc>
      </w:tr>
      <w:tr w:rsidR="000337C9" w:rsidRPr="000337C9" w14:paraId="7CFB7FC2" w14:textId="77777777" w:rsidTr="00B83C6E">
        <w:tc>
          <w:tcPr>
            <w:tcW w:w="7218" w:type="dxa"/>
            <w:shd w:val="clear" w:color="auto" w:fill="D9E2F3"/>
          </w:tcPr>
          <w:p w14:paraId="106DEE2E" w14:textId="77777777" w:rsidR="000337C9" w:rsidRPr="000337C9" w:rsidRDefault="000337C9" w:rsidP="000337C9">
            <w:pPr>
              <w:autoSpaceDE w:val="0"/>
              <w:autoSpaceDN w:val="0"/>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 xml:space="preserve">Do not offer ADT combined with surgery to M1 patients outside of clinical trials. </w:t>
            </w:r>
          </w:p>
        </w:tc>
        <w:tc>
          <w:tcPr>
            <w:tcW w:w="1798" w:type="dxa"/>
            <w:shd w:val="clear" w:color="auto" w:fill="D9E2F3"/>
          </w:tcPr>
          <w:p w14:paraId="64571CDF" w14:textId="77777777" w:rsidR="000337C9" w:rsidRPr="000337C9" w:rsidRDefault="000337C9" w:rsidP="000337C9">
            <w:pPr>
              <w:autoSpaceDE w:val="0"/>
              <w:autoSpaceDN w:val="0"/>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Strong</w:t>
            </w:r>
          </w:p>
        </w:tc>
      </w:tr>
      <w:tr w:rsidR="000337C9" w:rsidRPr="000337C9" w14:paraId="0343F815" w14:textId="77777777" w:rsidTr="00B83C6E">
        <w:tc>
          <w:tcPr>
            <w:tcW w:w="7218" w:type="dxa"/>
            <w:shd w:val="clear" w:color="auto" w:fill="D9E2F3"/>
          </w:tcPr>
          <w:p w14:paraId="57613321" w14:textId="77777777" w:rsidR="000337C9" w:rsidRPr="000337C9" w:rsidRDefault="000337C9" w:rsidP="000337C9">
            <w:pPr>
              <w:autoSpaceDE w:val="0"/>
              <w:autoSpaceDN w:val="0"/>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Only offer metastasis-directed therapy to M1 patients within a clinical trial setting or a well-designed prospective cohort study.</w:t>
            </w:r>
          </w:p>
        </w:tc>
        <w:tc>
          <w:tcPr>
            <w:tcW w:w="1798" w:type="dxa"/>
            <w:shd w:val="clear" w:color="auto" w:fill="D9E2F3"/>
          </w:tcPr>
          <w:p w14:paraId="46F36A5B" w14:textId="77777777" w:rsidR="000337C9" w:rsidRPr="000337C9" w:rsidRDefault="000337C9" w:rsidP="000337C9">
            <w:pPr>
              <w:autoSpaceDE w:val="0"/>
              <w:autoSpaceDN w:val="0"/>
              <w:adjustRightInd w:val="0"/>
              <w:spacing w:line="276" w:lineRule="auto"/>
              <w:rPr>
                <w:rFonts w:ascii="Calibri" w:eastAsia="Calibri" w:hAnsi="Calibri" w:cs="Calibri"/>
                <w:noProof/>
                <w:sz w:val="22"/>
                <w:szCs w:val="22"/>
              </w:rPr>
            </w:pPr>
            <w:r w:rsidRPr="000337C9">
              <w:rPr>
                <w:rFonts w:ascii="Calibri" w:eastAsia="Calibri" w:hAnsi="Calibri" w:cs="Calibri"/>
                <w:noProof/>
                <w:sz w:val="22"/>
                <w:szCs w:val="22"/>
              </w:rPr>
              <w:t>Strong</w:t>
            </w:r>
          </w:p>
        </w:tc>
      </w:tr>
    </w:tbl>
    <w:p w14:paraId="4E7302F3" w14:textId="77777777" w:rsidR="009169A4" w:rsidRDefault="009169A4" w:rsidP="000337C9">
      <w:pPr>
        <w:autoSpaceDE w:val="0"/>
        <w:autoSpaceDN w:val="0"/>
        <w:adjustRightInd w:val="0"/>
        <w:spacing w:line="276" w:lineRule="auto"/>
        <w:rPr>
          <w:rFonts w:ascii="Calibri" w:eastAsia="Calibri" w:hAnsi="Calibri" w:cs="Calibri"/>
          <w:i/>
          <w:iCs/>
          <w:noProof/>
          <w:color w:val="000000"/>
          <w:sz w:val="22"/>
          <w:szCs w:val="22"/>
          <w:vertAlign w:val="superscript"/>
        </w:rPr>
      </w:pPr>
    </w:p>
    <w:p w14:paraId="011B7411" w14:textId="171AFF77" w:rsidR="009169A4" w:rsidRPr="009169A4" w:rsidRDefault="009169A4" w:rsidP="009169A4">
      <w:pPr>
        <w:autoSpaceDE w:val="0"/>
        <w:autoSpaceDN w:val="0"/>
        <w:adjustRightInd w:val="0"/>
        <w:spacing w:line="276" w:lineRule="auto"/>
        <w:rPr>
          <w:rFonts w:ascii="Calibri" w:eastAsia="Calibri" w:hAnsi="Calibri" w:cs="Calibri"/>
          <w:i/>
          <w:iCs/>
          <w:noProof/>
          <w:color w:val="000000"/>
          <w:sz w:val="22"/>
          <w:szCs w:val="22"/>
        </w:rPr>
      </w:pPr>
      <w:r w:rsidRPr="009169A4">
        <w:rPr>
          <w:rFonts w:ascii="Calibri" w:eastAsia="Calibri" w:hAnsi="Calibri" w:cs="Calibri"/>
          <w:i/>
          <w:iCs/>
          <w:noProof/>
          <w:color w:val="000000"/>
          <w:sz w:val="22"/>
          <w:szCs w:val="22"/>
        </w:rPr>
        <w:t>ADT = androgen deprivation t</w:t>
      </w:r>
      <w:r>
        <w:rPr>
          <w:rFonts w:ascii="Calibri" w:eastAsia="Calibri" w:hAnsi="Calibri" w:cs="Calibri"/>
          <w:i/>
          <w:iCs/>
          <w:noProof/>
          <w:color w:val="000000"/>
          <w:sz w:val="22"/>
          <w:szCs w:val="22"/>
        </w:rPr>
        <w:t xml:space="preserve">herapy; AR = androgen receptor; </w:t>
      </w:r>
      <w:r w:rsidRPr="009169A4">
        <w:rPr>
          <w:rFonts w:ascii="Calibri" w:eastAsia="Calibri" w:hAnsi="Calibri" w:cs="Calibri"/>
          <w:i/>
          <w:iCs/>
          <w:noProof/>
          <w:color w:val="000000"/>
          <w:sz w:val="22"/>
          <w:szCs w:val="22"/>
        </w:rPr>
        <w:t>LHRH = luteinising hormone–releasing hormone; RT = radiotherapy</w:t>
      </w:r>
    </w:p>
    <w:p w14:paraId="6190FAFE" w14:textId="323046DE" w:rsidR="000337C9" w:rsidRDefault="00ED25FD" w:rsidP="000337C9">
      <w:pPr>
        <w:autoSpaceDE w:val="0"/>
        <w:autoSpaceDN w:val="0"/>
        <w:adjustRightInd w:val="0"/>
        <w:spacing w:line="276" w:lineRule="auto"/>
        <w:rPr>
          <w:rFonts w:ascii="Calibri" w:eastAsia="Calibri" w:hAnsi="Calibri" w:cs="Calibri"/>
          <w:i/>
          <w:iCs/>
          <w:noProof/>
          <w:color w:val="000000"/>
          <w:sz w:val="22"/>
          <w:szCs w:val="22"/>
        </w:rPr>
      </w:pPr>
      <w:r w:rsidRPr="00ED25FD">
        <w:rPr>
          <w:rFonts w:ascii="Calibri" w:eastAsia="Calibri" w:hAnsi="Calibri" w:cs="Calibri"/>
          <w:i/>
          <w:iCs/>
          <w:noProof/>
          <w:color w:val="000000"/>
          <w:sz w:val="22"/>
          <w:szCs w:val="22"/>
          <w:vertAlign w:val="superscript"/>
        </w:rPr>
        <w:t>a</w:t>
      </w:r>
      <w:r w:rsidR="000337C9" w:rsidRPr="000337C9">
        <w:rPr>
          <w:rFonts w:ascii="Calibri" w:eastAsia="Calibri" w:hAnsi="Calibri" w:cs="Calibri"/>
          <w:i/>
          <w:iCs/>
          <w:noProof/>
          <w:color w:val="000000"/>
          <w:sz w:val="22"/>
          <w:szCs w:val="22"/>
        </w:rPr>
        <w:t xml:space="preserve">All the following statements are based on metastatic disease defined by bone scintigraphy and </w:t>
      </w:r>
      <w:r>
        <w:rPr>
          <w:rFonts w:ascii="Calibri" w:eastAsia="Calibri" w:hAnsi="Calibri" w:cs="Calibri"/>
          <w:i/>
          <w:iCs/>
          <w:noProof/>
          <w:color w:val="000000"/>
          <w:sz w:val="22"/>
          <w:szCs w:val="22"/>
        </w:rPr>
        <w:t>a computed tomography  scan or magnetic resonance imaging</w:t>
      </w:r>
      <w:r w:rsidR="000337C9" w:rsidRPr="000337C9">
        <w:rPr>
          <w:rFonts w:ascii="Calibri" w:eastAsia="Calibri" w:hAnsi="Calibri" w:cs="Calibri"/>
          <w:i/>
          <w:iCs/>
          <w:noProof/>
          <w:color w:val="000000"/>
          <w:sz w:val="22"/>
          <w:szCs w:val="22"/>
        </w:rPr>
        <w:t>.</w:t>
      </w:r>
    </w:p>
    <w:p w14:paraId="4D00430B" w14:textId="77777777" w:rsidR="00684011" w:rsidRPr="000337C9" w:rsidRDefault="00684011" w:rsidP="000337C9">
      <w:pPr>
        <w:autoSpaceDE w:val="0"/>
        <w:autoSpaceDN w:val="0"/>
        <w:adjustRightInd w:val="0"/>
        <w:spacing w:line="276" w:lineRule="auto"/>
        <w:rPr>
          <w:rFonts w:ascii="Calibri" w:eastAsia="Calibri" w:hAnsi="Calibri" w:cs="Calibri"/>
          <w:i/>
          <w:iCs/>
          <w:noProof/>
          <w:color w:val="000000"/>
          <w:sz w:val="22"/>
          <w:szCs w:val="22"/>
        </w:rPr>
      </w:pPr>
    </w:p>
    <w:p w14:paraId="2557B73E" w14:textId="77777777" w:rsidR="0034543F" w:rsidRPr="00AC1831" w:rsidRDefault="0034543F" w:rsidP="0034543F">
      <w:pPr>
        <w:spacing w:line="276" w:lineRule="auto"/>
        <w:jc w:val="both"/>
        <w:rPr>
          <w:rFonts w:ascii="Calibri" w:hAnsi="Calibri" w:cs="Calibri"/>
          <w:color w:val="000000" w:themeColor="text1"/>
          <w:sz w:val="22"/>
          <w:szCs w:val="22"/>
        </w:rPr>
      </w:pPr>
    </w:p>
    <w:p w14:paraId="563E5E10" w14:textId="152BFAA4" w:rsidR="0034543F" w:rsidRPr="003F4CF7" w:rsidRDefault="0034543F" w:rsidP="003F4CF7">
      <w:pPr>
        <w:autoSpaceDE w:val="0"/>
        <w:autoSpaceDN w:val="0"/>
        <w:adjustRightInd w:val="0"/>
        <w:spacing w:line="276" w:lineRule="auto"/>
        <w:ind w:left="720"/>
        <w:jc w:val="both"/>
        <w:rPr>
          <w:rFonts w:ascii="Calibri" w:eastAsia="Calibri" w:hAnsi="Calibri" w:cs="Calibri"/>
          <w:i/>
          <w:iCs/>
          <w:noProof/>
          <w:color w:val="000000" w:themeColor="text1"/>
          <w:sz w:val="22"/>
          <w:szCs w:val="22"/>
        </w:rPr>
      </w:pPr>
      <w:r w:rsidRPr="00AC1831">
        <w:rPr>
          <w:rFonts w:ascii="Calibri" w:eastAsia="Calibri" w:hAnsi="Calibri" w:cs="Calibri"/>
          <w:i/>
          <w:iCs/>
          <w:noProof/>
          <w:color w:val="000000" w:themeColor="text1"/>
          <w:sz w:val="22"/>
          <w:szCs w:val="22"/>
        </w:rPr>
        <w:t>3.</w:t>
      </w:r>
      <w:r w:rsidR="00453305">
        <w:rPr>
          <w:rFonts w:ascii="Calibri" w:eastAsia="Calibri" w:hAnsi="Calibri" w:cs="Calibri"/>
          <w:i/>
          <w:iCs/>
          <w:noProof/>
          <w:color w:val="000000" w:themeColor="text1"/>
          <w:sz w:val="22"/>
          <w:szCs w:val="22"/>
        </w:rPr>
        <w:t>2.</w:t>
      </w:r>
      <w:r w:rsidR="003F4CF7">
        <w:rPr>
          <w:rFonts w:ascii="Calibri" w:eastAsia="Calibri" w:hAnsi="Calibri" w:cs="Calibri"/>
          <w:i/>
          <w:iCs/>
          <w:noProof/>
          <w:color w:val="000000" w:themeColor="text1"/>
          <w:sz w:val="22"/>
          <w:szCs w:val="22"/>
        </w:rPr>
        <w:t>3 Combination therapies</w:t>
      </w:r>
    </w:p>
    <w:p w14:paraId="664AFA16" w14:textId="77777777" w:rsidR="00453305" w:rsidRDefault="0034543F" w:rsidP="003F4CF7">
      <w:pPr>
        <w:autoSpaceDE w:val="0"/>
        <w:autoSpaceDN w:val="0"/>
        <w:adjustRightInd w:val="0"/>
        <w:spacing w:line="276" w:lineRule="auto"/>
        <w:ind w:left="720"/>
        <w:jc w:val="both"/>
        <w:rPr>
          <w:rFonts w:ascii="Calibri" w:eastAsia="HelveticaNeue-Roman" w:hAnsi="Calibri" w:cs="Calibri"/>
          <w:i/>
          <w:iCs/>
          <w:noProof/>
          <w:color w:val="000000" w:themeColor="text1"/>
          <w:sz w:val="22"/>
          <w:szCs w:val="22"/>
        </w:rPr>
      </w:pPr>
      <w:r w:rsidRPr="00AC1831">
        <w:rPr>
          <w:rFonts w:ascii="Calibri" w:eastAsia="HelveticaNeue-Roman" w:hAnsi="Calibri" w:cs="Calibri"/>
          <w:i/>
          <w:iCs/>
          <w:noProof/>
          <w:color w:val="000000" w:themeColor="text1"/>
          <w:sz w:val="22"/>
          <w:szCs w:val="22"/>
        </w:rPr>
        <w:t>3.</w:t>
      </w:r>
      <w:r w:rsidR="00453305">
        <w:rPr>
          <w:rFonts w:ascii="Calibri" w:eastAsia="HelveticaNeue-Roman" w:hAnsi="Calibri" w:cs="Calibri"/>
          <w:i/>
          <w:iCs/>
          <w:noProof/>
          <w:color w:val="000000" w:themeColor="text1"/>
          <w:sz w:val="22"/>
          <w:szCs w:val="22"/>
        </w:rPr>
        <w:t>2.</w:t>
      </w:r>
      <w:r w:rsidRPr="00AC1831">
        <w:rPr>
          <w:rFonts w:ascii="Calibri" w:eastAsia="HelveticaNeue-Roman" w:hAnsi="Calibri" w:cs="Calibri"/>
          <w:i/>
          <w:iCs/>
          <w:noProof/>
          <w:color w:val="000000" w:themeColor="text1"/>
          <w:sz w:val="22"/>
          <w:szCs w:val="22"/>
        </w:rPr>
        <w:t>3.1 Androgen deprivation therapy combined with chemotherapy.</w:t>
      </w:r>
    </w:p>
    <w:p w14:paraId="4E8508A0" w14:textId="77777777" w:rsidR="00453305" w:rsidRPr="00453305" w:rsidRDefault="00453305" w:rsidP="00453305">
      <w:pPr>
        <w:autoSpaceDE w:val="0"/>
        <w:autoSpaceDN w:val="0"/>
        <w:adjustRightInd w:val="0"/>
        <w:spacing w:line="276" w:lineRule="auto"/>
        <w:jc w:val="both"/>
        <w:rPr>
          <w:rFonts w:ascii="Calibri" w:eastAsia="HelveticaNeue-Roman" w:hAnsi="Calibri" w:cs="Calibri"/>
          <w:noProof/>
          <w:color w:val="000000" w:themeColor="text1"/>
          <w:sz w:val="22"/>
          <w:szCs w:val="22"/>
        </w:rPr>
      </w:pPr>
      <w:r w:rsidRPr="00453305">
        <w:rPr>
          <w:rFonts w:ascii="Calibri" w:eastAsia="HelveticaNeue-Roman" w:hAnsi="Calibri" w:cs="Calibri"/>
          <w:noProof/>
          <w:color w:val="000000" w:themeColor="text1"/>
          <w:sz w:val="22"/>
          <w:szCs w:val="22"/>
        </w:rPr>
        <w:t>Three large RCTs</w:t>
      </w:r>
    </w:p>
    <w:p w14:paraId="1FE78AF8" w14:textId="7FF2BED6" w:rsidR="00453305" w:rsidRDefault="00453305" w:rsidP="00453305">
      <w:pPr>
        <w:autoSpaceDE w:val="0"/>
        <w:autoSpaceDN w:val="0"/>
        <w:adjustRightInd w:val="0"/>
        <w:spacing w:line="276" w:lineRule="auto"/>
        <w:jc w:val="both"/>
        <w:rPr>
          <w:rFonts w:ascii="Calibri" w:eastAsia="HelveticaNeue-Roman" w:hAnsi="Calibri" w:cs="Calibri"/>
          <w:noProof/>
          <w:color w:val="000000" w:themeColor="text1"/>
          <w:sz w:val="22"/>
          <w:szCs w:val="22"/>
        </w:rPr>
      </w:pPr>
      <w:r w:rsidRPr="00453305">
        <w:rPr>
          <w:rFonts w:ascii="Calibri" w:eastAsia="HelveticaNeue-Roman" w:hAnsi="Calibri" w:cs="Calibri"/>
          <w:noProof/>
          <w:color w:val="000000" w:themeColor="text1"/>
          <w:sz w:val="22"/>
          <w:szCs w:val="22"/>
        </w:rPr>
        <w:t>[41,55,56] compared ADT a</w:t>
      </w:r>
      <w:r w:rsidR="007E0B20">
        <w:rPr>
          <w:rFonts w:ascii="Calibri" w:eastAsia="HelveticaNeue-Roman" w:hAnsi="Calibri" w:cs="Calibri"/>
          <w:noProof/>
          <w:color w:val="000000" w:themeColor="text1"/>
          <w:sz w:val="22"/>
          <w:szCs w:val="22"/>
        </w:rPr>
        <w:t xml:space="preserve">lone as the SOC to ADT combined </w:t>
      </w:r>
      <w:r w:rsidRPr="00453305">
        <w:rPr>
          <w:rFonts w:ascii="Calibri" w:eastAsia="HelveticaNeue-Roman" w:hAnsi="Calibri" w:cs="Calibri"/>
          <w:noProof/>
          <w:color w:val="000000" w:themeColor="text1"/>
          <w:sz w:val="22"/>
          <w:szCs w:val="22"/>
        </w:rPr>
        <w:t>with immediate doce</w:t>
      </w:r>
      <w:r w:rsidR="007E0B20">
        <w:rPr>
          <w:rFonts w:ascii="Calibri" w:eastAsia="HelveticaNeue-Roman" w:hAnsi="Calibri" w:cs="Calibri"/>
          <w:noProof/>
          <w:color w:val="000000" w:themeColor="text1"/>
          <w:sz w:val="22"/>
          <w:szCs w:val="22"/>
        </w:rPr>
        <w:t xml:space="preserve">taxel. The primary objective in </w:t>
      </w:r>
      <w:r w:rsidRPr="00453305">
        <w:rPr>
          <w:rFonts w:ascii="Calibri" w:eastAsia="HelveticaNeue-Roman" w:hAnsi="Calibri" w:cs="Calibri"/>
          <w:noProof/>
          <w:color w:val="000000" w:themeColor="text1"/>
          <w:sz w:val="22"/>
          <w:szCs w:val="22"/>
        </w:rPr>
        <w:t>all three studies was to a</w:t>
      </w:r>
      <w:r w:rsidR="007E0B20">
        <w:rPr>
          <w:rFonts w:ascii="Calibri" w:eastAsia="HelveticaNeue-Roman" w:hAnsi="Calibri" w:cs="Calibri"/>
          <w:noProof/>
          <w:color w:val="000000" w:themeColor="text1"/>
          <w:sz w:val="22"/>
          <w:szCs w:val="22"/>
        </w:rPr>
        <w:t xml:space="preserve">ssess OS. Results from CHAARTED </w:t>
      </w:r>
      <w:r w:rsidRPr="00453305">
        <w:rPr>
          <w:rFonts w:ascii="Calibri" w:eastAsia="HelveticaNeue-Roman" w:hAnsi="Calibri" w:cs="Calibri"/>
          <w:noProof/>
          <w:color w:val="000000" w:themeColor="text1"/>
          <w:sz w:val="22"/>
          <w:szCs w:val="22"/>
        </w:rPr>
        <w:t>and GETUG-AFU15 [41,5</w:t>
      </w:r>
      <w:r w:rsidR="007E0B20">
        <w:rPr>
          <w:rFonts w:ascii="Calibri" w:eastAsia="HelveticaNeue-Roman" w:hAnsi="Calibri" w:cs="Calibri"/>
          <w:noProof/>
          <w:color w:val="000000" w:themeColor="text1"/>
          <w:sz w:val="22"/>
          <w:szCs w:val="22"/>
        </w:rPr>
        <w:t xml:space="preserve">5] suggested that the volume of </w:t>
      </w:r>
      <w:r w:rsidRPr="00453305">
        <w:rPr>
          <w:rFonts w:ascii="Calibri" w:eastAsia="HelveticaNeue-Roman" w:hAnsi="Calibri" w:cs="Calibri"/>
          <w:noProof/>
          <w:color w:val="000000" w:themeColor="text1"/>
          <w:sz w:val="22"/>
          <w:szCs w:val="22"/>
        </w:rPr>
        <w:t xml:space="preserve">metastatic disease modifies the effect of docetaxel, </w:t>
      </w:r>
      <w:r w:rsidR="007E0B20">
        <w:rPr>
          <w:rFonts w:ascii="Calibri" w:eastAsia="HelveticaNeue-Roman" w:hAnsi="Calibri" w:cs="Calibri"/>
          <w:noProof/>
          <w:color w:val="000000" w:themeColor="text1"/>
          <w:sz w:val="22"/>
          <w:szCs w:val="22"/>
        </w:rPr>
        <w:t xml:space="preserve">with </w:t>
      </w:r>
      <w:r w:rsidRPr="00453305">
        <w:rPr>
          <w:rFonts w:ascii="Calibri" w:eastAsia="HelveticaNeue-Roman" w:hAnsi="Calibri" w:cs="Calibri"/>
          <w:noProof/>
          <w:color w:val="000000" w:themeColor="text1"/>
          <w:sz w:val="22"/>
          <w:szCs w:val="22"/>
        </w:rPr>
        <w:t>improved survival observe</w:t>
      </w:r>
      <w:r w:rsidR="007E0B20">
        <w:rPr>
          <w:rFonts w:ascii="Calibri" w:eastAsia="HelveticaNeue-Roman" w:hAnsi="Calibri" w:cs="Calibri"/>
          <w:noProof/>
          <w:color w:val="000000" w:themeColor="text1"/>
          <w:sz w:val="22"/>
          <w:szCs w:val="22"/>
        </w:rPr>
        <w:t xml:space="preserve">d for patients with high-volume </w:t>
      </w:r>
      <w:r w:rsidRPr="00453305">
        <w:rPr>
          <w:rFonts w:ascii="Calibri" w:eastAsia="HelveticaNeue-Roman" w:hAnsi="Calibri" w:cs="Calibri"/>
          <w:noProof/>
          <w:color w:val="000000" w:themeColor="text1"/>
          <w:sz w:val="22"/>
          <w:szCs w:val="22"/>
        </w:rPr>
        <w:t xml:space="preserve">metastases in comparison, but </w:t>
      </w:r>
      <w:r w:rsidR="007E0B20">
        <w:rPr>
          <w:rFonts w:ascii="Calibri" w:eastAsia="HelveticaNeue-Roman" w:hAnsi="Calibri" w:cs="Calibri"/>
          <w:noProof/>
          <w:color w:val="000000" w:themeColor="text1"/>
          <w:sz w:val="22"/>
          <w:szCs w:val="22"/>
        </w:rPr>
        <w:t xml:space="preserve">not for patients with </w:t>
      </w:r>
      <w:r w:rsidR="007E0B20">
        <w:rPr>
          <w:rFonts w:ascii="Calibri" w:eastAsia="HelveticaNeue-Roman" w:hAnsi="Calibri" w:cs="Calibri"/>
          <w:noProof/>
          <w:color w:val="000000" w:themeColor="text1"/>
          <w:sz w:val="22"/>
          <w:szCs w:val="22"/>
        </w:rPr>
        <w:lastRenderedPageBreak/>
        <w:t xml:space="preserve">low volume </w:t>
      </w:r>
      <w:r w:rsidRPr="00453305">
        <w:rPr>
          <w:rFonts w:ascii="Calibri" w:eastAsia="HelveticaNeue-Roman" w:hAnsi="Calibri" w:cs="Calibri"/>
          <w:noProof/>
          <w:color w:val="000000" w:themeColor="text1"/>
          <w:sz w:val="22"/>
          <w:szCs w:val="22"/>
        </w:rPr>
        <w:t>metastases. In STAMP</w:t>
      </w:r>
      <w:r w:rsidR="007E0B20">
        <w:rPr>
          <w:rFonts w:ascii="Calibri" w:eastAsia="HelveticaNeue-Roman" w:hAnsi="Calibri" w:cs="Calibri"/>
          <w:noProof/>
          <w:color w:val="000000" w:themeColor="text1"/>
          <w:sz w:val="22"/>
          <w:szCs w:val="22"/>
        </w:rPr>
        <w:t xml:space="preserve">EDE [56], there was no evidence </w:t>
      </w:r>
      <w:r w:rsidRPr="00453305">
        <w:rPr>
          <w:rFonts w:ascii="Calibri" w:eastAsia="HelveticaNeue-Roman" w:hAnsi="Calibri" w:cs="Calibri"/>
          <w:noProof/>
          <w:color w:val="000000" w:themeColor="text1"/>
          <w:sz w:val="22"/>
          <w:szCs w:val="22"/>
        </w:rPr>
        <w:t xml:space="preserve">of any heterogeneity </w:t>
      </w:r>
      <w:r w:rsidR="007E0B20">
        <w:rPr>
          <w:rFonts w:ascii="Calibri" w:eastAsia="HelveticaNeue-Roman" w:hAnsi="Calibri" w:cs="Calibri"/>
          <w:noProof/>
          <w:color w:val="000000" w:themeColor="text1"/>
          <w:sz w:val="22"/>
          <w:szCs w:val="22"/>
        </w:rPr>
        <w:t xml:space="preserve">of the docetaxel effect between </w:t>
      </w:r>
      <w:r w:rsidRPr="00453305">
        <w:rPr>
          <w:rFonts w:ascii="Calibri" w:eastAsia="HelveticaNeue-Roman" w:hAnsi="Calibri" w:cs="Calibri"/>
          <w:noProof/>
          <w:color w:val="000000" w:themeColor="text1"/>
          <w:sz w:val="22"/>
          <w:szCs w:val="22"/>
        </w:rPr>
        <w:t>metastatic burden subgroups.</w:t>
      </w:r>
    </w:p>
    <w:p w14:paraId="5F970496" w14:textId="77777777" w:rsidR="00453305" w:rsidRPr="007E0B20" w:rsidRDefault="00453305" w:rsidP="007E0B20">
      <w:pPr>
        <w:spacing w:line="276" w:lineRule="auto"/>
        <w:ind w:left="92" w:firstLine="240"/>
        <w:rPr>
          <w:rFonts w:ascii="Calibri" w:hAnsi="Calibri" w:cs="Calibri"/>
          <w:sz w:val="22"/>
          <w:szCs w:val="22"/>
        </w:rPr>
      </w:pPr>
      <w:r w:rsidRPr="007E0B20">
        <w:rPr>
          <w:rFonts w:ascii="Calibri" w:hAnsi="Calibri" w:cs="Calibri"/>
          <w:sz w:val="22"/>
          <w:szCs w:val="22"/>
        </w:rPr>
        <w:t xml:space="preserve">A systematic review and meta-analysis that included these three trials showed that addition of docetaxel to SOC improved survival </w:t>
      </w:r>
      <w:r w:rsidRPr="007E0B20">
        <w:rPr>
          <w:rFonts w:ascii="Calibri" w:hAnsi="Calibri" w:cs="Calibri"/>
          <w:color w:val="007FAD"/>
          <w:sz w:val="22"/>
          <w:szCs w:val="22"/>
        </w:rPr>
        <w:t>[57]</w:t>
      </w:r>
      <w:r w:rsidRPr="007E0B20">
        <w:rPr>
          <w:rFonts w:ascii="Calibri" w:hAnsi="Calibri" w:cs="Calibri"/>
          <w:sz w:val="22"/>
          <w:szCs w:val="22"/>
        </w:rPr>
        <w:t xml:space="preserve">. The HR of 0.77 (95% CI 0.68– 0.87; p &lt; 0.0001) translates to an absolute improvement in 4-yr survival of 9% (95% CI 5–14%). A systematic review and meta-analysis of individual-participant data from the three trials showed no meaningful beneficial effect of addition of docetaxel to ADT for patients with metachronous low-volume disease. Interestingly the largest absolute improvement at 5 yr was observed for patients with highvolume disease and clinical stage 4 </w:t>
      </w:r>
      <w:r w:rsidRPr="007E0B20">
        <w:rPr>
          <w:rFonts w:ascii="Calibri" w:hAnsi="Calibri" w:cs="Calibri"/>
          <w:color w:val="007FAD"/>
          <w:sz w:val="22"/>
          <w:szCs w:val="22"/>
        </w:rPr>
        <w:t>[58]</w:t>
      </w:r>
      <w:r w:rsidRPr="007E0B20">
        <w:rPr>
          <w:rFonts w:ascii="Calibri" w:hAnsi="Calibri" w:cs="Calibri"/>
          <w:sz w:val="22"/>
          <w:szCs w:val="22"/>
        </w:rPr>
        <w:t>.</w:t>
      </w:r>
    </w:p>
    <w:p w14:paraId="3F97DD9C" w14:textId="77777777" w:rsidR="00453305" w:rsidRPr="007E0B20" w:rsidRDefault="00453305" w:rsidP="007E0B20">
      <w:pPr>
        <w:spacing w:after="317" w:line="276" w:lineRule="auto"/>
        <w:ind w:left="92" w:firstLine="240"/>
        <w:rPr>
          <w:rFonts w:ascii="Calibri" w:hAnsi="Calibri" w:cs="Calibri"/>
          <w:sz w:val="22"/>
          <w:szCs w:val="22"/>
        </w:rPr>
      </w:pPr>
      <w:r w:rsidRPr="007E0B20">
        <w:rPr>
          <w:rFonts w:ascii="Calibri" w:hAnsi="Calibri" w:cs="Calibri"/>
          <w:sz w:val="22"/>
          <w:szCs w:val="22"/>
        </w:rPr>
        <w:t xml:space="preserve">On the basis of these data, upfront docetaxel combined with ADT was considered as a standard for men with metastases at first presentation, provided they are fit enough to receive docetaxel </w:t>
      </w:r>
      <w:r w:rsidRPr="007E0B20">
        <w:rPr>
          <w:rFonts w:ascii="Calibri" w:hAnsi="Calibri" w:cs="Calibri"/>
          <w:color w:val="007FAD"/>
          <w:sz w:val="22"/>
          <w:szCs w:val="22"/>
        </w:rPr>
        <w:t>[57]</w:t>
      </w:r>
      <w:r w:rsidRPr="007E0B20">
        <w:rPr>
          <w:rFonts w:ascii="Calibri" w:hAnsi="Calibri" w:cs="Calibri"/>
          <w:sz w:val="22"/>
          <w:szCs w:val="22"/>
        </w:rPr>
        <w:t>. More recently two large phase 3 studies have shown an OS benefit from addition of an androgen receptor pathway inhibitor (ARPI) to ADT and docetaxel (</w:t>
      </w:r>
      <w:r w:rsidRPr="007E0B20">
        <w:rPr>
          <w:rFonts w:ascii="Calibri" w:hAnsi="Calibri" w:cs="Calibri"/>
          <w:color w:val="007FAD"/>
          <w:sz w:val="22"/>
          <w:szCs w:val="22"/>
        </w:rPr>
        <w:t>Section 3.2.3.3</w:t>
      </w:r>
      <w:r w:rsidRPr="007E0B20">
        <w:rPr>
          <w:rFonts w:ascii="Calibri" w:hAnsi="Calibri" w:cs="Calibri"/>
          <w:sz w:val="22"/>
          <w:szCs w:val="22"/>
        </w:rPr>
        <w:t>). Therefore, addition of docetaxel alone to ADT should only be considered if no ARPI is available or all available agents are contraindicated.</w:t>
      </w:r>
    </w:p>
    <w:p w14:paraId="33D168EB" w14:textId="77777777" w:rsidR="00AD5F46" w:rsidRDefault="0034543F" w:rsidP="003F4CF7">
      <w:pPr>
        <w:autoSpaceDE w:val="0"/>
        <w:autoSpaceDN w:val="0"/>
        <w:adjustRightInd w:val="0"/>
        <w:spacing w:line="276" w:lineRule="auto"/>
        <w:ind w:left="720"/>
        <w:jc w:val="both"/>
        <w:rPr>
          <w:rFonts w:ascii="Calibri" w:eastAsia="HelveticaNeue-Roman" w:hAnsi="Calibri" w:cs="Calibri"/>
          <w:i/>
          <w:iCs/>
          <w:noProof/>
          <w:color w:val="000000" w:themeColor="text1"/>
          <w:sz w:val="22"/>
          <w:szCs w:val="22"/>
        </w:rPr>
      </w:pPr>
      <w:r w:rsidRPr="00AC1831">
        <w:rPr>
          <w:rFonts w:ascii="Calibri" w:eastAsia="HelveticaNeue-Roman" w:hAnsi="Calibri" w:cs="Calibri"/>
          <w:i/>
          <w:iCs/>
          <w:noProof/>
          <w:color w:val="000000" w:themeColor="text1"/>
          <w:sz w:val="22"/>
          <w:szCs w:val="22"/>
        </w:rPr>
        <w:t>3.</w:t>
      </w:r>
      <w:r w:rsidR="00AD5F46">
        <w:rPr>
          <w:rFonts w:ascii="Calibri" w:eastAsia="HelveticaNeue-Roman" w:hAnsi="Calibri" w:cs="Calibri"/>
          <w:i/>
          <w:iCs/>
          <w:noProof/>
          <w:color w:val="000000" w:themeColor="text1"/>
          <w:sz w:val="22"/>
          <w:szCs w:val="22"/>
        </w:rPr>
        <w:t>2.</w:t>
      </w:r>
      <w:r w:rsidRPr="00AC1831">
        <w:rPr>
          <w:rFonts w:ascii="Calibri" w:eastAsia="HelveticaNeue-Roman" w:hAnsi="Calibri" w:cs="Calibri"/>
          <w:i/>
          <w:iCs/>
          <w:noProof/>
          <w:color w:val="000000" w:themeColor="text1"/>
          <w:sz w:val="22"/>
          <w:szCs w:val="22"/>
        </w:rPr>
        <w:t>3.2 Combination with an ARPI alone (abiraterone, apalutamide, enzalutamide).</w:t>
      </w:r>
    </w:p>
    <w:p w14:paraId="660B99A9" w14:textId="77777777" w:rsidR="00F52058" w:rsidRPr="00F52058" w:rsidRDefault="00F52058" w:rsidP="00F52058">
      <w:pPr>
        <w:autoSpaceDE w:val="0"/>
        <w:autoSpaceDN w:val="0"/>
        <w:adjustRightInd w:val="0"/>
        <w:spacing w:line="276" w:lineRule="auto"/>
        <w:jc w:val="both"/>
        <w:rPr>
          <w:rFonts w:ascii="Calibri" w:eastAsia="HelveticaNeue-Roman" w:hAnsi="Calibri" w:cs="Calibri"/>
          <w:noProof/>
          <w:color w:val="000000" w:themeColor="text1"/>
          <w:sz w:val="22"/>
          <w:szCs w:val="22"/>
        </w:rPr>
      </w:pPr>
      <w:r w:rsidRPr="00F52058">
        <w:rPr>
          <w:rFonts w:ascii="Calibri" w:eastAsia="HelveticaNeue-Roman" w:hAnsi="Calibri" w:cs="Calibri"/>
          <w:noProof/>
          <w:color w:val="000000" w:themeColor="text1"/>
          <w:sz w:val="22"/>
          <w:szCs w:val="22"/>
        </w:rPr>
        <w:t>Two large RCTs (STAMPEDE and LATITUDE) investigate addition of abiraterone acetate plus prednisone (AAP) to ADT for men with mHSPC [59–61]. Both trials showed a significant OS benefit for the combination. In LATITUDE, which only included patients with de novo high-risk metastatic disease, the HR reached 0.62 (95% CI 0.51–0.76) [60]. The HR in STAMPEDE was very similar at 0.63 (95% CI 0.52–0.76) for the total patient population (metastatic and nonmetastatic disease), and 0.61 for the subgroup of patients with metastatic disease [59]. While only high-risk patients were included in LATITUDE, a post hoc analysis of STAMPEDE showed the same benefit regardless of risk or volume category [62].</w:t>
      </w:r>
    </w:p>
    <w:p w14:paraId="6612D32A" w14:textId="77777777" w:rsidR="00F52058" w:rsidRPr="00F52058" w:rsidRDefault="00F52058" w:rsidP="00F52058">
      <w:pPr>
        <w:autoSpaceDE w:val="0"/>
        <w:autoSpaceDN w:val="0"/>
        <w:adjustRightInd w:val="0"/>
        <w:spacing w:line="276" w:lineRule="auto"/>
        <w:jc w:val="both"/>
        <w:rPr>
          <w:rFonts w:ascii="Calibri" w:eastAsia="HelveticaNeue-Roman" w:hAnsi="Calibri" w:cs="Calibri"/>
          <w:noProof/>
          <w:color w:val="000000" w:themeColor="text1"/>
          <w:sz w:val="22"/>
          <w:szCs w:val="22"/>
        </w:rPr>
      </w:pPr>
      <w:r w:rsidRPr="00F52058">
        <w:rPr>
          <w:rFonts w:ascii="Calibri" w:eastAsia="HelveticaNeue-Roman" w:hAnsi="Calibri" w:cs="Calibri"/>
          <w:noProof/>
          <w:color w:val="000000" w:themeColor="text1"/>
          <w:sz w:val="22"/>
          <w:szCs w:val="22"/>
        </w:rPr>
        <w:t>Three large RCTs (TITAN, ARCHES, and ENZAMET) assessed the addition of second-generation AR antagonists to ADT in men with mHSPC [63–65]. In ARCHES the primary endpoint was radiographic PFS (rPFS). In the primary analysis, rPFS was significantly better with the combination of enzalutamide + ADT (HR 0.39, 95% CI 0.3–0.5). In ENZAMET, the primary endpoint was OS. Addition of enzalutamide to ADT in the first analysis improved OS (HR 0.67, 95% CI 0.52–0.86) in comparison to ADT plus a nonsteroidal antiandrogen [65]. In a planned later analysis with median follow-up of 68 mo, the OS benefit of enzalutamide addition was maintained (HR 0.7, 95% CI 0.58–0.84) [66]. In the TITAN trial of ADT + apalutamide, and rPFS and OS were co-primary endpoints. In the primary analysis, rPFS was significantly improved by addition of apalutamide (HR 0.48,</w:t>
      </w:r>
    </w:p>
    <w:p w14:paraId="229DB9F2" w14:textId="7B3BEC3D" w:rsidR="0034543F" w:rsidRDefault="00F52058" w:rsidP="00F52058">
      <w:pPr>
        <w:autoSpaceDE w:val="0"/>
        <w:autoSpaceDN w:val="0"/>
        <w:adjustRightInd w:val="0"/>
        <w:spacing w:line="276" w:lineRule="auto"/>
        <w:jc w:val="both"/>
        <w:rPr>
          <w:rFonts w:ascii="Calibri" w:eastAsia="HelveticaNeue-Roman" w:hAnsi="Calibri" w:cs="Calibri"/>
          <w:noProof/>
          <w:color w:val="000000" w:themeColor="text1"/>
          <w:sz w:val="22"/>
          <w:szCs w:val="22"/>
        </w:rPr>
      </w:pPr>
      <w:r w:rsidRPr="00F52058">
        <w:rPr>
          <w:rFonts w:ascii="Calibri" w:eastAsia="HelveticaNeue-Roman" w:hAnsi="Calibri" w:cs="Calibri"/>
          <w:noProof/>
          <w:color w:val="000000" w:themeColor="text1"/>
          <w:sz w:val="22"/>
          <w:szCs w:val="22"/>
        </w:rPr>
        <w:t>95% CI 0.39–0.6); OS at 24 mo was also improved (HR 0.67, 95% CI 0.51–0.89). In the final analysis, the HR for OS was 0.65 (95% CI 0.53–0.79) without adjustment for crossover. The more recently published CHART trial tested ADT plus rezvilutamide versus ADT plus bicalutamide in patients with high-volume de novo metastatic disease. OS and rPFS were co-primary endpoints. At the preplanned interim analysis, rezvilutamide significantly improved rPFS (HR 0.44, 95% CI 0.33–0.58) and OS (HR 0.58, 95% CI 0.44–0.77) in comparison to bicalutamide [67].</w:t>
      </w:r>
    </w:p>
    <w:p w14:paraId="30CBFD43" w14:textId="77777777" w:rsidR="00F52058" w:rsidRPr="00AC1831" w:rsidRDefault="00F52058" w:rsidP="0034543F">
      <w:pPr>
        <w:autoSpaceDE w:val="0"/>
        <w:autoSpaceDN w:val="0"/>
        <w:adjustRightInd w:val="0"/>
        <w:spacing w:line="276" w:lineRule="auto"/>
        <w:jc w:val="both"/>
        <w:rPr>
          <w:rFonts w:ascii="Calibri" w:eastAsia="HelveticaNeue-Roman" w:hAnsi="Calibri" w:cs="Calibri"/>
          <w:i/>
          <w:iCs/>
          <w:noProof/>
          <w:color w:val="000000" w:themeColor="text1"/>
          <w:sz w:val="22"/>
          <w:szCs w:val="22"/>
        </w:rPr>
      </w:pPr>
    </w:p>
    <w:p w14:paraId="1D3317D5" w14:textId="77777777" w:rsidR="00F52058" w:rsidRPr="003F4CF7" w:rsidRDefault="0034543F" w:rsidP="003F4CF7">
      <w:pPr>
        <w:autoSpaceDE w:val="0"/>
        <w:autoSpaceDN w:val="0"/>
        <w:adjustRightInd w:val="0"/>
        <w:spacing w:line="276" w:lineRule="auto"/>
        <w:ind w:left="720"/>
        <w:jc w:val="both"/>
        <w:rPr>
          <w:rFonts w:ascii="Calibri" w:eastAsia="HelveticaNeue-Roman" w:hAnsi="Calibri" w:cs="Calibri"/>
          <w:i/>
          <w:noProof/>
          <w:color w:val="000000" w:themeColor="text1"/>
          <w:sz w:val="22"/>
          <w:szCs w:val="22"/>
        </w:rPr>
      </w:pPr>
      <w:r w:rsidRPr="003F4CF7">
        <w:rPr>
          <w:rFonts w:ascii="Calibri" w:eastAsia="HelveticaNeue-Roman" w:hAnsi="Calibri" w:cs="Calibri"/>
          <w:i/>
          <w:iCs/>
          <w:noProof/>
          <w:color w:val="000000" w:themeColor="text1"/>
          <w:sz w:val="22"/>
          <w:szCs w:val="22"/>
        </w:rPr>
        <w:t>3.</w:t>
      </w:r>
      <w:r w:rsidR="00F52058" w:rsidRPr="003F4CF7">
        <w:rPr>
          <w:rFonts w:ascii="Calibri" w:eastAsia="HelveticaNeue-Roman" w:hAnsi="Calibri" w:cs="Calibri"/>
          <w:i/>
          <w:iCs/>
          <w:noProof/>
          <w:color w:val="000000" w:themeColor="text1"/>
          <w:sz w:val="22"/>
          <w:szCs w:val="22"/>
        </w:rPr>
        <w:t>2.</w:t>
      </w:r>
      <w:r w:rsidRPr="003F4CF7">
        <w:rPr>
          <w:rFonts w:ascii="Calibri" w:eastAsia="HelveticaNeue-Roman" w:hAnsi="Calibri" w:cs="Calibri"/>
          <w:i/>
          <w:iCs/>
          <w:noProof/>
          <w:color w:val="000000" w:themeColor="text1"/>
          <w:sz w:val="22"/>
          <w:szCs w:val="22"/>
        </w:rPr>
        <w:t>3.3 Combination with docetaxel and an ARPI</w:t>
      </w:r>
      <w:r w:rsidR="00F52058" w:rsidRPr="003F4CF7">
        <w:rPr>
          <w:rFonts w:ascii="Calibri" w:eastAsia="HelveticaNeue-Roman" w:hAnsi="Calibri" w:cs="Calibri"/>
          <w:i/>
          <w:iCs/>
          <w:noProof/>
          <w:color w:val="000000" w:themeColor="text1"/>
          <w:sz w:val="22"/>
          <w:szCs w:val="22"/>
        </w:rPr>
        <w:t xml:space="preserve"> (“triplet therapy”)</w:t>
      </w:r>
      <w:r w:rsidRPr="003F4CF7">
        <w:rPr>
          <w:rFonts w:ascii="Calibri" w:eastAsia="HelveticaNeue-Roman" w:hAnsi="Calibri" w:cs="Calibri"/>
          <w:i/>
          <w:iCs/>
          <w:noProof/>
          <w:color w:val="000000" w:themeColor="text1"/>
          <w:sz w:val="22"/>
          <w:szCs w:val="22"/>
        </w:rPr>
        <w:t xml:space="preserve">. </w:t>
      </w:r>
    </w:p>
    <w:p w14:paraId="59D1D729" w14:textId="77777777" w:rsidR="00F52058" w:rsidRPr="003F4CF7" w:rsidRDefault="00F52058" w:rsidP="003F4CF7">
      <w:pPr>
        <w:autoSpaceDE w:val="0"/>
        <w:autoSpaceDN w:val="0"/>
        <w:adjustRightInd w:val="0"/>
        <w:spacing w:line="276" w:lineRule="auto"/>
        <w:ind w:left="720"/>
        <w:jc w:val="both"/>
        <w:rPr>
          <w:rFonts w:ascii="Calibri" w:eastAsia="HelveticaNeue-Roman" w:hAnsi="Calibri" w:cs="Calibri"/>
          <w:i/>
          <w:noProof/>
          <w:color w:val="000000" w:themeColor="text1"/>
          <w:sz w:val="22"/>
          <w:szCs w:val="22"/>
          <w:highlight w:val="yellow"/>
        </w:rPr>
      </w:pPr>
    </w:p>
    <w:p w14:paraId="49CE6771" w14:textId="2566C90F" w:rsidR="0034543F" w:rsidRPr="003F4CF7" w:rsidRDefault="008251A7" w:rsidP="0034543F">
      <w:pPr>
        <w:autoSpaceDE w:val="0"/>
        <w:autoSpaceDN w:val="0"/>
        <w:adjustRightInd w:val="0"/>
        <w:spacing w:line="276" w:lineRule="auto"/>
        <w:jc w:val="both"/>
        <w:rPr>
          <w:rFonts w:ascii="Calibri" w:eastAsia="Calibri" w:hAnsi="Calibri" w:cs="Calibri"/>
          <w:bCs/>
          <w:iCs/>
          <w:noProof/>
          <w:color w:val="000000" w:themeColor="text1"/>
          <w:sz w:val="22"/>
          <w:szCs w:val="22"/>
        </w:rPr>
      </w:pPr>
      <w:r w:rsidRPr="003F4CF7">
        <w:rPr>
          <w:rFonts w:ascii="Calibri" w:eastAsia="Calibri" w:hAnsi="Calibri" w:cs="Calibri"/>
          <w:bCs/>
          <w:iCs/>
          <w:noProof/>
          <w:color w:val="000000" w:themeColor="text1"/>
          <w:sz w:val="22"/>
          <w:szCs w:val="22"/>
        </w:rPr>
        <w:lastRenderedPageBreak/>
        <w:t>Addition of abiraterone to ADT and docetaxel led to rPFS and OS benefits in the PEACE-1 trial [68]. The trial had a 2 x 2 factorial design and participants with de novo (synchronous) metastatic PCa were randomised to SOC (at the beginning of the trial ADT, later ADT + docetaxel for 6 cycles for chemotherapy-fit patients) versus SOC + RT versus SOC + abiraterone versus SOC + RT + abiraterone. The co-primary endpoints were rPFS and OS, and both were statistically significantly improved in the total population. In the group of patients who received ADT + docetaxel as SOC (n = 710) both rPFS (HR 0.50, 95% CI 0.34–0.71) and OS (HR 0.75, 95% CI 0.59–0.95) increased. It is noteworthy that approximately 35% of this population had lowvolume disease. Toxicity was modestly increased, and mostly involved hypertension.</w:t>
      </w:r>
    </w:p>
    <w:p w14:paraId="6CB8952C" w14:textId="22467845" w:rsidR="008251A7" w:rsidRPr="003F4CF7" w:rsidRDefault="008251A7" w:rsidP="008251A7">
      <w:pPr>
        <w:autoSpaceDE w:val="0"/>
        <w:autoSpaceDN w:val="0"/>
        <w:adjustRightInd w:val="0"/>
        <w:spacing w:line="276" w:lineRule="auto"/>
        <w:jc w:val="both"/>
        <w:rPr>
          <w:rFonts w:ascii="Calibri" w:eastAsia="Calibri" w:hAnsi="Calibri" w:cs="Calibri"/>
          <w:bCs/>
          <w:iCs/>
          <w:noProof/>
          <w:color w:val="000000" w:themeColor="text1"/>
          <w:sz w:val="22"/>
          <w:szCs w:val="22"/>
        </w:rPr>
      </w:pPr>
      <w:r w:rsidRPr="003F4CF7">
        <w:rPr>
          <w:rFonts w:ascii="Calibri" w:eastAsia="Calibri" w:hAnsi="Calibri" w:cs="Calibri"/>
          <w:bCs/>
          <w:iCs/>
          <w:noProof/>
          <w:color w:val="000000" w:themeColor="text1"/>
          <w:sz w:val="22"/>
          <w:szCs w:val="22"/>
        </w:rPr>
        <w:t>In the ARASENS phase 3 trial, all patients (n = 1306) received ADT and docetaxel for six cycles as SOC plus darolutamide or placebo [69]. All patients had metastatic disease, and which 14% had relapsed disease after radical local treatment (metachronous). The primary endpoint of OS and was statistically significantly increased by addition of darolutamide (HR 0.68, 95% CI (0.57–0.8). Interestingly, the incidence of adverse events in the trial was similar in both arms. In both trials, docetaxel and the ARPI were administered concomitantly. Of the patients included, 77% had high-volume and 70% had high-risk disease. In an unplanned subgroup analysis, a beneficial effect of darolutamide addition versus placebo for OS was observed for patients with high-volume disease (HR 0.69, 95% CI 0.57– 0.82), patients with high-risk disease (HR 0.71, 95% CI 0.58–0.86), and patients with low-risk disease (HR 0.62, 95% CI 0.42–0.9). In the smaller subgroup of patients with</w:t>
      </w:r>
    </w:p>
    <w:p w14:paraId="4D9263A0" w14:textId="144D5B40" w:rsidR="008251A7" w:rsidRPr="003F4CF7" w:rsidRDefault="008251A7" w:rsidP="008251A7">
      <w:pPr>
        <w:autoSpaceDE w:val="0"/>
        <w:autoSpaceDN w:val="0"/>
        <w:adjustRightInd w:val="0"/>
        <w:spacing w:line="276" w:lineRule="auto"/>
        <w:jc w:val="both"/>
        <w:rPr>
          <w:rFonts w:ascii="Calibri" w:eastAsia="Calibri" w:hAnsi="Calibri" w:cs="Calibri"/>
          <w:bCs/>
          <w:iCs/>
          <w:noProof/>
          <w:color w:val="000000" w:themeColor="text1"/>
          <w:sz w:val="22"/>
          <w:szCs w:val="22"/>
        </w:rPr>
      </w:pPr>
      <w:r w:rsidRPr="003F4CF7">
        <w:rPr>
          <w:rFonts w:ascii="Calibri" w:eastAsia="Calibri" w:hAnsi="Calibri" w:cs="Calibri"/>
          <w:bCs/>
          <w:iCs/>
          <w:noProof/>
          <w:color w:val="000000" w:themeColor="text1"/>
          <w:sz w:val="22"/>
          <w:szCs w:val="22"/>
        </w:rPr>
        <w:t>low-volume disease, the results were also suggestive of a survival benefit (HR 0.68, 95% CI 0.41–1.13) [70].</w:t>
      </w:r>
    </w:p>
    <w:p w14:paraId="543AD8C1" w14:textId="043CDD87" w:rsidR="008251A7" w:rsidRPr="003F4CF7" w:rsidRDefault="008251A7" w:rsidP="008251A7">
      <w:pPr>
        <w:autoSpaceDE w:val="0"/>
        <w:autoSpaceDN w:val="0"/>
        <w:adjustRightInd w:val="0"/>
        <w:spacing w:line="276" w:lineRule="auto"/>
        <w:jc w:val="both"/>
        <w:rPr>
          <w:rFonts w:ascii="Calibri" w:eastAsia="Calibri" w:hAnsi="Calibri" w:cs="Calibri"/>
          <w:bCs/>
          <w:iCs/>
          <w:noProof/>
          <w:color w:val="000000" w:themeColor="text1"/>
          <w:sz w:val="22"/>
          <w:szCs w:val="22"/>
        </w:rPr>
      </w:pPr>
      <w:r w:rsidRPr="003F4CF7">
        <w:rPr>
          <w:rFonts w:ascii="Calibri" w:eastAsia="Calibri" w:hAnsi="Calibri" w:cs="Calibri"/>
          <w:bCs/>
          <w:iCs/>
          <w:noProof/>
          <w:color w:val="000000" w:themeColor="text1"/>
          <w:sz w:val="22"/>
          <w:szCs w:val="22"/>
        </w:rPr>
        <w:t>ENZAMET, TITAN, and ARCHES also included patients who received docetaxel as part of the SOC, and thus not all concomitantly, but the percentage of patients receiving docetaxel in these trials was much lower [63–65].</w:t>
      </w:r>
    </w:p>
    <w:p w14:paraId="0F4BDDAF" w14:textId="1C085765" w:rsidR="0034543F" w:rsidRDefault="0034543F" w:rsidP="003F4CF7">
      <w:pPr>
        <w:widowControl w:val="0"/>
        <w:tabs>
          <w:tab w:val="left" w:pos="684"/>
        </w:tabs>
        <w:autoSpaceDE w:val="0"/>
        <w:autoSpaceDN w:val="0"/>
        <w:spacing w:before="126" w:line="276" w:lineRule="auto"/>
        <w:ind w:left="684" w:right="357"/>
        <w:rPr>
          <w:rFonts w:ascii="Calibri" w:hAnsi="Calibri" w:cs="Calibri"/>
          <w:i/>
          <w:color w:val="000000" w:themeColor="text1"/>
          <w:sz w:val="22"/>
          <w:szCs w:val="22"/>
        </w:rPr>
      </w:pPr>
      <w:r w:rsidRPr="00AC1831">
        <w:rPr>
          <w:rFonts w:ascii="Calibri" w:hAnsi="Calibri" w:cs="Calibri"/>
          <w:i/>
          <w:color w:val="000000" w:themeColor="text1"/>
          <w:sz w:val="22"/>
          <w:szCs w:val="22"/>
        </w:rPr>
        <w:t>3</w:t>
      </w:r>
      <w:r w:rsidR="008251A7">
        <w:rPr>
          <w:rFonts w:ascii="Calibri" w:hAnsi="Calibri" w:cs="Calibri"/>
          <w:i/>
          <w:color w:val="000000" w:themeColor="text1"/>
          <w:sz w:val="22"/>
          <w:szCs w:val="22"/>
        </w:rPr>
        <w:t>.2</w:t>
      </w:r>
      <w:r w:rsidRPr="00AC1831">
        <w:rPr>
          <w:rFonts w:ascii="Calibri" w:hAnsi="Calibri" w:cs="Calibri"/>
          <w:i/>
          <w:color w:val="000000" w:themeColor="text1"/>
          <w:sz w:val="22"/>
          <w:szCs w:val="22"/>
        </w:rPr>
        <w:t>.4 Treatment of the primary tumour in newly diagnosed metastatic disease</w:t>
      </w:r>
    </w:p>
    <w:p w14:paraId="070D845A" w14:textId="77777777" w:rsidR="003F4CF7" w:rsidRDefault="003F4CF7" w:rsidP="003F4CF7">
      <w:pPr>
        <w:widowControl w:val="0"/>
        <w:tabs>
          <w:tab w:val="left" w:pos="684"/>
        </w:tabs>
        <w:autoSpaceDE w:val="0"/>
        <w:autoSpaceDN w:val="0"/>
        <w:spacing w:before="126" w:line="276" w:lineRule="auto"/>
        <w:ind w:left="684" w:right="357"/>
        <w:rPr>
          <w:rFonts w:ascii="Calibri" w:hAnsi="Calibri" w:cs="Calibri"/>
          <w:i/>
          <w:color w:val="000000" w:themeColor="text1"/>
          <w:sz w:val="22"/>
          <w:szCs w:val="22"/>
        </w:rPr>
      </w:pPr>
    </w:p>
    <w:p w14:paraId="0BC171FF" w14:textId="77777777" w:rsidR="008251A7" w:rsidRPr="003F4CF7" w:rsidRDefault="008251A7" w:rsidP="003F4CF7">
      <w:pPr>
        <w:spacing w:line="276" w:lineRule="auto"/>
        <w:ind w:left="-7"/>
        <w:rPr>
          <w:rFonts w:ascii="Calibri" w:hAnsi="Calibri" w:cs="Calibri"/>
          <w:sz w:val="22"/>
          <w:szCs w:val="22"/>
        </w:rPr>
      </w:pPr>
      <w:r w:rsidRPr="003F4CF7">
        <w:rPr>
          <w:rFonts w:ascii="Calibri" w:hAnsi="Calibri" w:cs="Calibri"/>
          <w:sz w:val="22"/>
          <w:szCs w:val="22"/>
        </w:rPr>
        <w:t xml:space="preserve">The STAMPEDE trial evaluated 2061 men with mHSPC who were randomised to ADT alone versus ADT plus RT to the prostate only. The trial showed that RT to the primary tumour improved OS in the low-volume subgroup (n = 819) </w:t>
      </w:r>
      <w:r w:rsidRPr="003F4CF7">
        <w:rPr>
          <w:rFonts w:ascii="Calibri" w:hAnsi="Calibri" w:cs="Calibri"/>
          <w:color w:val="007FAD"/>
          <w:sz w:val="22"/>
          <w:szCs w:val="22"/>
        </w:rPr>
        <w:t>[44]</w:t>
      </w:r>
      <w:r w:rsidRPr="003F4CF7">
        <w:rPr>
          <w:rFonts w:ascii="Calibri" w:hAnsi="Calibri" w:cs="Calibri"/>
          <w:sz w:val="22"/>
          <w:szCs w:val="22"/>
        </w:rPr>
        <w:t xml:space="preserve">. This was confirmed by the latest analysis of long-term follow-up (median 61 mo; HR 0.64 for OS in the low-volume group) </w:t>
      </w:r>
      <w:r w:rsidRPr="003F4CF7">
        <w:rPr>
          <w:rFonts w:ascii="Calibri" w:hAnsi="Calibri" w:cs="Calibri"/>
          <w:color w:val="007FAD"/>
          <w:sz w:val="22"/>
          <w:szCs w:val="22"/>
        </w:rPr>
        <w:t>[71]</w:t>
      </w:r>
      <w:r w:rsidRPr="003F4CF7">
        <w:rPr>
          <w:rFonts w:ascii="Calibri" w:hAnsi="Calibri" w:cs="Calibri"/>
          <w:sz w:val="22"/>
          <w:szCs w:val="22"/>
        </w:rPr>
        <w:t xml:space="preserve">. A secondary analysis of the STAMPEDE trial that was not preplanned confirmed the benefit of prostate RT in patients with up to three bone metastases, and also showed a benefit in patients with M1a disease </w:t>
      </w:r>
      <w:r w:rsidRPr="003F4CF7">
        <w:rPr>
          <w:rFonts w:ascii="Calibri" w:hAnsi="Calibri" w:cs="Calibri"/>
          <w:color w:val="007FAD"/>
          <w:sz w:val="22"/>
          <w:szCs w:val="22"/>
        </w:rPr>
        <w:t>[72]</w:t>
      </w:r>
      <w:r w:rsidRPr="003F4CF7">
        <w:rPr>
          <w:rFonts w:ascii="Calibri" w:hAnsi="Calibri" w:cs="Calibri"/>
          <w:sz w:val="22"/>
          <w:szCs w:val="22"/>
        </w:rPr>
        <w:t xml:space="preserve">. No evidence of a difference in the time to symptomatic local events was found at median followup of &gt;5 yr </w:t>
      </w:r>
      <w:r w:rsidRPr="003F4CF7">
        <w:rPr>
          <w:rFonts w:ascii="Calibri" w:hAnsi="Calibri" w:cs="Calibri"/>
          <w:color w:val="007FAD"/>
          <w:sz w:val="22"/>
          <w:szCs w:val="22"/>
        </w:rPr>
        <w:t>[71]</w:t>
      </w:r>
      <w:r w:rsidRPr="003F4CF7">
        <w:rPr>
          <w:rFonts w:ascii="Calibri" w:hAnsi="Calibri" w:cs="Calibri"/>
          <w:sz w:val="22"/>
          <w:szCs w:val="22"/>
        </w:rPr>
        <w:t>.</w:t>
      </w:r>
    </w:p>
    <w:p w14:paraId="173F04E7" w14:textId="77777777" w:rsidR="008251A7" w:rsidRPr="003F4CF7" w:rsidRDefault="008251A7" w:rsidP="003F4CF7">
      <w:pPr>
        <w:spacing w:line="276" w:lineRule="auto"/>
        <w:ind w:left="-15" w:firstLine="240"/>
        <w:rPr>
          <w:rFonts w:ascii="Calibri" w:hAnsi="Calibri" w:cs="Calibri"/>
          <w:sz w:val="22"/>
          <w:szCs w:val="22"/>
        </w:rPr>
      </w:pPr>
      <w:r w:rsidRPr="003F4CF7">
        <w:rPr>
          <w:rFonts w:ascii="Calibri" w:hAnsi="Calibri" w:cs="Calibri"/>
          <w:sz w:val="22"/>
          <w:szCs w:val="22"/>
        </w:rPr>
        <w:t>Therefore, RT of the prostate only in patients with lowvolume metastatic disease should be considered. Of note, only 18% of these patients had additional docetaxel and no patients had additional AAP, so no clear recommendation can be made about triple combinations. In addition, it is not clear if these data can be extrapolated to RP as local treatment, as results from ongoing trials are awaited.</w:t>
      </w:r>
    </w:p>
    <w:p w14:paraId="67ABCD69" w14:textId="77777777" w:rsidR="008251A7" w:rsidRPr="003F4CF7" w:rsidRDefault="008251A7" w:rsidP="003F4CF7">
      <w:pPr>
        <w:spacing w:after="214" w:line="276" w:lineRule="auto"/>
        <w:ind w:left="-15" w:firstLine="240"/>
        <w:rPr>
          <w:rFonts w:ascii="Calibri" w:hAnsi="Calibri" w:cs="Calibri"/>
          <w:sz w:val="22"/>
          <w:szCs w:val="22"/>
        </w:rPr>
      </w:pPr>
      <w:r w:rsidRPr="003F4CF7">
        <w:rPr>
          <w:rFonts w:ascii="Calibri" w:hAnsi="Calibri" w:cs="Calibri"/>
          <w:sz w:val="22"/>
          <w:szCs w:val="22"/>
        </w:rPr>
        <w:t xml:space="preserve">A systematic review and meta-analysis that included two RCTs revealed that, overall, there was no evidence that addition of prostate RT to ADT improved survival for unselected patients (HR 0.92, 95% CI 0.81–1.04; p = 0.195) </w:t>
      </w:r>
      <w:r w:rsidRPr="003F4CF7">
        <w:rPr>
          <w:rFonts w:ascii="Calibri" w:hAnsi="Calibri" w:cs="Calibri"/>
          <w:color w:val="007FAD"/>
          <w:sz w:val="22"/>
          <w:szCs w:val="22"/>
        </w:rPr>
        <w:t>[73]</w:t>
      </w:r>
      <w:r w:rsidRPr="003F4CF7">
        <w:rPr>
          <w:rFonts w:ascii="Calibri" w:hAnsi="Calibri" w:cs="Calibri"/>
          <w:sz w:val="22"/>
          <w:szCs w:val="22"/>
        </w:rPr>
        <w:t>. However, there was a clear difference in the effect of metastatic burden on survival, with an absolute improvement of 7% in 3-yr survival for men who had four or fewer bone metastases.</w:t>
      </w:r>
    </w:p>
    <w:p w14:paraId="6C4311BE" w14:textId="165E7070" w:rsidR="0034543F" w:rsidRPr="00AC1831" w:rsidRDefault="0034543F" w:rsidP="003F4CF7">
      <w:pPr>
        <w:autoSpaceDE w:val="0"/>
        <w:autoSpaceDN w:val="0"/>
        <w:adjustRightInd w:val="0"/>
        <w:spacing w:line="276" w:lineRule="auto"/>
        <w:ind w:left="720"/>
        <w:jc w:val="both"/>
        <w:rPr>
          <w:rFonts w:ascii="Calibri" w:eastAsia="Calibri" w:hAnsi="Calibri" w:cs="Calibri"/>
          <w:i/>
          <w:iCs/>
          <w:noProof/>
          <w:color w:val="000000" w:themeColor="text1"/>
          <w:sz w:val="22"/>
          <w:szCs w:val="22"/>
        </w:rPr>
      </w:pPr>
      <w:r w:rsidRPr="00AC1831">
        <w:rPr>
          <w:rFonts w:ascii="Calibri" w:eastAsia="Calibri" w:hAnsi="Calibri" w:cs="Calibri"/>
          <w:i/>
          <w:iCs/>
          <w:noProof/>
          <w:color w:val="000000" w:themeColor="text1"/>
          <w:sz w:val="22"/>
          <w:szCs w:val="22"/>
        </w:rPr>
        <w:lastRenderedPageBreak/>
        <w:t>3</w:t>
      </w:r>
      <w:r w:rsidR="008251A7">
        <w:rPr>
          <w:rFonts w:ascii="Calibri" w:eastAsia="Calibri" w:hAnsi="Calibri" w:cs="Calibri"/>
          <w:i/>
          <w:iCs/>
          <w:noProof/>
          <w:color w:val="000000" w:themeColor="text1"/>
          <w:sz w:val="22"/>
          <w:szCs w:val="22"/>
        </w:rPr>
        <w:t>.2</w:t>
      </w:r>
      <w:r w:rsidRPr="00AC1831">
        <w:rPr>
          <w:rFonts w:ascii="Calibri" w:eastAsia="Calibri" w:hAnsi="Calibri" w:cs="Calibri"/>
          <w:i/>
          <w:iCs/>
          <w:noProof/>
          <w:color w:val="000000" w:themeColor="text1"/>
          <w:sz w:val="22"/>
          <w:szCs w:val="22"/>
        </w:rPr>
        <w:t>.5 Metastasis-directed therapy</w:t>
      </w:r>
    </w:p>
    <w:p w14:paraId="640C8A5A" w14:textId="77777777" w:rsidR="0034543F" w:rsidRPr="007D1187" w:rsidRDefault="0034543F" w:rsidP="007D1187">
      <w:pPr>
        <w:autoSpaceDE w:val="0"/>
        <w:autoSpaceDN w:val="0"/>
        <w:adjustRightInd w:val="0"/>
        <w:spacing w:line="276" w:lineRule="auto"/>
        <w:jc w:val="both"/>
        <w:rPr>
          <w:rFonts w:ascii="Calibri" w:eastAsia="Calibri" w:hAnsi="Calibri" w:cs="Calibri"/>
          <w:i/>
          <w:iCs/>
          <w:noProof/>
          <w:color w:val="000000" w:themeColor="text1"/>
          <w:sz w:val="22"/>
          <w:szCs w:val="22"/>
        </w:rPr>
      </w:pPr>
    </w:p>
    <w:p w14:paraId="51AAF7CC" w14:textId="77777777" w:rsidR="008251A7" w:rsidRPr="007D1187" w:rsidRDefault="008251A7" w:rsidP="007D1187">
      <w:pPr>
        <w:spacing w:line="276" w:lineRule="auto"/>
        <w:ind w:left="-7"/>
        <w:rPr>
          <w:rFonts w:ascii="Calibri" w:hAnsi="Calibri" w:cs="Calibri"/>
          <w:sz w:val="22"/>
          <w:szCs w:val="22"/>
        </w:rPr>
      </w:pPr>
      <w:r w:rsidRPr="007D1187">
        <w:rPr>
          <w:rFonts w:ascii="Calibri" w:hAnsi="Calibri" w:cs="Calibri"/>
          <w:sz w:val="22"/>
          <w:szCs w:val="22"/>
        </w:rPr>
        <w:t xml:space="preserve">Two randomised phase 2 trials are testing metastasisdirected therapy (MDT) using surgery ± SBRT versus surveillance </w:t>
      </w:r>
      <w:r w:rsidRPr="007D1187">
        <w:rPr>
          <w:rFonts w:ascii="Calibri" w:hAnsi="Calibri" w:cs="Calibri"/>
          <w:color w:val="007FAD"/>
          <w:sz w:val="22"/>
          <w:szCs w:val="22"/>
        </w:rPr>
        <w:t xml:space="preserve">[74] </w:t>
      </w:r>
      <w:r w:rsidRPr="007D1187">
        <w:rPr>
          <w:rFonts w:ascii="Calibri" w:hAnsi="Calibri" w:cs="Calibri"/>
          <w:sz w:val="22"/>
          <w:szCs w:val="22"/>
        </w:rPr>
        <w:t xml:space="preserve">or SBRT versus surveillance in men with oligorecurrent PCa </w:t>
      </w:r>
      <w:r w:rsidRPr="007D1187">
        <w:rPr>
          <w:rFonts w:ascii="Calibri" w:hAnsi="Calibri" w:cs="Calibri"/>
          <w:color w:val="007FAD"/>
          <w:sz w:val="22"/>
          <w:szCs w:val="22"/>
        </w:rPr>
        <w:t>[75]</w:t>
      </w:r>
      <w:r w:rsidRPr="007D1187">
        <w:rPr>
          <w:rFonts w:ascii="Calibri" w:hAnsi="Calibri" w:cs="Calibri"/>
          <w:sz w:val="22"/>
          <w:szCs w:val="22"/>
        </w:rPr>
        <w:t xml:space="preserve">. Oligorecurrence was defined as fewer than three lesions on choline PET/CT only </w:t>
      </w:r>
      <w:r w:rsidRPr="007D1187">
        <w:rPr>
          <w:rFonts w:ascii="Calibri" w:hAnsi="Calibri" w:cs="Calibri"/>
          <w:color w:val="007FAD"/>
          <w:sz w:val="22"/>
          <w:szCs w:val="22"/>
        </w:rPr>
        <w:t xml:space="preserve">[74] </w:t>
      </w:r>
      <w:r w:rsidRPr="007D1187">
        <w:rPr>
          <w:rFonts w:ascii="Calibri" w:hAnsi="Calibri" w:cs="Calibri"/>
          <w:sz w:val="22"/>
          <w:szCs w:val="22"/>
        </w:rPr>
        <w:t xml:space="preserve">or conventional imaging with MRI/CT and/or a bone scan </w:t>
      </w:r>
      <w:r w:rsidRPr="007D1187">
        <w:rPr>
          <w:rFonts w:ascii="Calibri" w:hAnsi="Calibri" w:cs="Calibri"/>
          <w:color w:val="007FAD"/>
          <w:sz w:val="22"/>
          <w:szCs w:val="22"/>
        </w:rPr>
        <w:t>[75]</w:t>
      </w:r>
      <w:r w:rsidRPr="007D1187">
        <w:rPr>
          <w:rFonts w:ascii="Calibri" w:hAnsi="Calibri" w:cs="Calibri"/>
          <w:sz w:val="22"/>
          <w:szCs w:val="22"/>
        </w:rPr>
        <w:t xml:space="preserve">. The sample size was small, with 62 and 54 patients, respectively, and a substantial proportion had nodal disease only </w:t>
      </w:r>
      <w:r w:rsidRPr="007D1187">
        <w:rPr>
          <w:rFonts w:ascii="Calibri" w:hAnsi="Calibri" w:cs="Calibri"/>
          <w:color w:val="007FAD"/>
          <w:sz w:val="22"/>
          <w:szCs w:val="22"/>
        </w:rPr>
        <w:t>[74]</w:t>
      </w:r>
      <w:r w:rsidRPr="007D1187">
        <w:rPr>
          <w:rFonts w:ascii="Calibri" w:hAnsi="Calibri" w:cs="Calibri"/>
          <w:sz w:val="22"/>
          <w:szCs w:val="22"/>
        </w:rPr>
        <w:t xml:space="preserve">. ADTfree survival was the primary endpoint in one study, which was longer with MDT than with surveillance </w:t>
      </w:r>
      <w:r w:rsidRPr="007D1187">
        <w:rPr>
          <w:rFonts w:ascii="Calibri" w:hAnsi="Calibri" w:cs="Calibri"/>
          <w:color w:val="007FAD"/>
          <w:sz w:val="22"/>
          <w:szCs w:val="22"/>
        </w:rPr>
        <w:t>[74]</w:t>
      </w:r>
      <w:r w:rsidRPr="007D1187">
        <w:rPr>
          <w:rFonts w:ascii="Calibri" w:hAnsi="Calibri" w:cs="Calibri"/>
          <w:sz w:val="22"/>
          <w:szCs w:val="22"/>
        </w:rPr>
        <w:t xml:space="preserve">. The primary endpoint in the ORIOLE trial was progression after 6 mo, which was significantly lower with SBRT than with surveillance (19% vs 61%; p = 0.005) </w:t>
      </w:r>
      <w:r w:rsidRPr="007D1187">
        <w:rPr>
          <w:rFonts w:ascii="Calibri" w:hAnsi="Calibri" w:cs="Calibri"/>
          <w:color w:val="007FAD"/>
          <w:sz w:val="22"/>
          <w:szCs w:val="22"/>
        </w:rPr>
        <w:t>[75]</w:t>
      </w:r>
      <w:r w:rsidRPr="007D1187">
        <w:rPr>
          <w:rFonts w:ascii="Calibri" w:hAnsi="Calibri" w:cs="Calibri"/>
          <w:sz w:val="22"/>
          <w:szCs w:val="22"/>
        </w:rPr>
        <w:t xml:space="preserve">. Combined results from STOMP and ORIOLE confirmed the significant improvement in PFS in favour of MDT (HR 0.44; p &lt; 0.001) </w:t>
      </w:r>
      <w:r w:rsidRPr="007D1187">
        <w:rPr>
          <w:rFonts w:ascii="Calibri" w:hAnsi="Calibri" w:cs="Calibri"/>
          <w:color w:val="007FAD"/>
          <w:sz w:val="22"/>
          <w:szCs w:val="22"/>
        </w:rPr>
        <w:t>[76]</w:t>
      </w:r>
      <w:r w:rsidRPr="007D1187">
        <w:rPr>
          <w:rFonts w:ascii="Calibri" w:hAnsi="Calibri" w:cs="Calibri"/>
          <w:sz w:val="22"/>
          <w:szCs w:val="22"/>
        </w:rPr>
        <w:t>. A phase 2 trial assessed the biochemical response after 18</w:t>
      </w:r>
    </w:p>
    <w:p w14:paraId="26F127C6" w14:textId="77777777" w:rsidR="008251A7" w:rsidRPr="00E9460F" w:rsidRDefault="008251A7" w:rsidP="007D1187">
      <w:pPr>
        <w:spacing w:after="209" w:line="276" w:lineRule="auto"/>
        <w:ind w:left="-15" w:firstLine="147"/>
        <w:rPr>
          <w:rFonts w:ascii="Calibri" w:hAnsi="Calibri" w:cs="Calibri"/>
          <w:sz w:val="22"/>
          <w:szCs w:val="22"/>
        </w:rPr>
      </w:pPr>
      <w:r w:rsidRPr="007D1187">
        <w:rPr>
          <w:rFonts w:ascii="Calibri" w:hAnsi="Calibri" w:cs="Calibri"/>
          <w:sz w:val="22"/>
          <w:szCs w:val="22"/>
        </w:rPr>
        <w:t xml:space="preserve">F-DCFPyL PET/MRI and subsequent MDT. The overall biochemical response rate, defined as a PSA decline50%, was 60%, including 22% of patients with a complete biochemical response </w:t>
      </w:r>
      <w:r w:rsidRPr="007D1187">
        <w:rPr>
          <w:rFonts w:ascii="Calibri" w:hAnsi="Calibri" w:cs="Calibri"/>
          <w:color w:val="007FAD"/>
          <w:sz w:val="22"/>
          <w:szCs w:val="22"/>
        </w:rPr>
        <w:t>[77]</w:t>
      </w:r>
      <w:r w:rsidRPr="007D1187">
        <w:rPr>
          <w:rFonts w:ascii="Calibri" w:hAnsi="Calibri" w:cs="Calibri"/>
          <w:sz w:val="22"/>
          <w:szCs w:val="22"/>
        </w:rPr>
        <w:t xml:space="preserve">. There are currently no data to suggest an improvement in OS. Two comprehensive reviews highlighted </w:t>
      </w:r>
      <w:r w:rsidRPr="00E9460F">
        <w:rPr>
          <w:rFonts w:ascii="Calibri" w:hAnsi="Calibri" w:cs="Calibri"/>
          <w:sz w:val="22"/>
          <w:szCs w:val="22"/>
        </w:rPr>
        <w:t xml:space="preserve">MDT (SABR) as a promising therapeutic approach that must still be considered as investigational until results from the ongoing RCT are available </w:t>
      </w:r>
      <w:r w:rsidRPr="00E9460F">
        <w:rPr>
          <w:rFonts w:ascii="Calibri" w:hAnsi="Calibri" w:cs="Calibri"/>
          <w:color w:val="007FAD"/>
          <w:sz w:val="22"/>
          <w:szCs w:val="22"/>
        </w:rPr>
        <w:t>[78,79]</w:t>
      </w:r>
      <w:r w:rsidRPr="00E9460F">
        <w:rPr>
          <w:rFonts w:ascii="Calibri" w:hAnsi="Calibri" w:cs="Calibri"/>
          <w:sz w:val="22"/>
          <w:szCs w:val="22"/>
        </w:rPr>
        <w:t>.</w:t>
      </w:r>
    </w:p>
    <w:p w14:paraId="277CDEA1" w14:textId="77777777" w:rsidR="000337C9" w:rsidRPr="00E9460F" w:rsidRDefault="000337C9" w:rsidP="004E6BB0">
      <w:pPr>
        <w:spacing w:line="276" w:lineRule="auto"/>
        <w:jc w:val="both"/>
        <w:rPr>
          <w:rFonts w:ascii="Calibri" w:hAnsi="Calibri" w:cs="Calibri"/>
          <w:i/>
          <w:iCs/>
          <w:color w:val="000000" w:themeColor="text1"/>
          <w:sz w:val="22"/>
          <w:szCs w:val="22"/>
          <w:u w:val="single"/>
        </w:rPr>
      </w:pPr>
    </w:p>
    <w:p w14:paraId="435E6D20" w14:textId="77777777" w:rsidR="008251A7" w:rsidRPr="00E9460F" w:rsidRDefault="008251A7" w:rsidP="004E6BB0">
      <w:pPr>
        <w:tabs>
          <w:tab w:val="center" w:pos="812"/>
        </w:tabs>
        <w:spacing w:after="174" w:line="276" w:lineRule="auto"/>
        <w:ind w:left="720"/>
        <w:rPr>
          <w:rFonts w:ascii="Calibri" w:hAnsi="Calibri" w:cs="Calibri"/>
          <w:i/>
          <w:sz w:val="22"/>
          <w:szCs w:val="22"/>
        </w:rPr>
      </w:pPr>
      <w:r w:rsidRPr="00E9460F">
        <w:rPr>
          <w:rFonts w:ascii="Calibri" w:hAnsi="Calibri" w:cs="Calibri"/>
          <w:i/>
          <w:sz w:val="22"/>
          <w:szCs w:val="22"/>
        </w:rPr>
        <w:t>3.3.</w:t>
      </w:r>
      <w:r w:rsidRPr="00E9460F">
        <w:rPr>
          <w:rFonts w:ascii="Calibri" w:hAnsi="Calibri" w:cs="Calibri"/>
          <w:i/>
          <w:sz w:val="22"/>
          <w:szCs w:val="22"/>
        </w:rPr>
        <w:tab/>
        <w:t>CRPC</w:t>
      </w:r>
    </w:p>
    <w:p w14:paraId="188D40B7" w14:textId="77777777" w:rsidR="008251A7" w:rsidRPr="00E9460F" w:rsidRDefault="008251A7" w:rsidP="004E6BB0">
      <w:pPr>
        <w:spacing w:after="214" w:line="276" w:lineRule="auto"/>
        <w:ind w:left="-7"/>
        <w:rPr>
          <w:rFonts w:ascii="Calibri" w:hAnsi="Calibri" w:cs="Calibri"/>
          <w:sz w:val="22"/>
          <w:szCs w:val="22"/>
        </w:rPr>
      </w:pPr>
      <w:r w:rsidRPr="00E9460F">
        <w:rPr>
          <w:rFonts w:ascii="Calibri" w:hAnsi="Calibri" w:cs="Calibri"/>
          <w:sz w:val="22"/>
          <w:szCs w:val="22"/>
        </w:rPr>
        <w:t>For patients progressing on ADT, it is important to ensure that testosterone levels are confirmed to be &lt;50 ng/dl before diagnosing CRPC. Treatment for CRPC will be influenced by which treatments patients have already been exposed to.</w:t>
      </w:r>
    </w:p>
    <w:p w14:paraId="7DF86905" w14:textId="0B5AD2AD" w:rsidR="008251A7" w:rsidRPr="00E9460F" w:rsidRDefault="008251A7" w:rsidP="00E9460F">
      <w:pPr>
        <w:tabs>
          <w:tab w:val="center" w:pos="1471"/>
        </w:tabs>
        <w:spacing w:after="20" w:line="276" w:lineRule="auto"/>
        <w:ind w:left="713"/>
        <w:rPr>
          <w:rFonts w:ascii="Calibri" w:hAnsi="Calibri" w:cs="Calibri"/>
          <w:i/>
          <w:sz w:val="22"/>
          <w:szCs w:val="22"/>
        </w:rPr>
      </w:pPr>
      <w:r w:rsidRPr="00E9460F">
        <w:rPr>
          <w:rFonts w:ascii="Calibri" w:hAnsi="Calibri" w:cs="Calibri"/>
          <w:i/>
          <w:sz w:val="22"/>
          <w:szCs w:val="22"/>
        </w:rPr>
        <w:t>3.3.1.</w:t>
      </w:r>
      <w:r w:rsidRPr="00E9460F">
        <w:rPr>
          <w:rFonts w:ascii="Calibri" w:hAnsi="Calibri" w:cs="Calibri"/>
          <w:i/>
          <w:sz w:val="22"/>
          <w:szCs w:val="22"/>
        </w:rPr>
        <w:tab/>
        <w:t>Nonmetastatic CRPC</w:t>
      </w:r>
    </w:p>
    <w:p w14:paraId="3650EFA5" w14:textId="77777777" w:rsidR="00E9460F" w:rsidRPr="00E9460F" w:rsidRDefault="00E9460F" w:rsidP="00E9460F">
      <w:pPr>
        <w:tabs>
          <w:tab w:val="center" w:pos="1471"/>
        </w:tabs>
        <w:spacing w:after="20" w:line="276" w:lineRule="auto"/>
        <w:ind w:left="713"/>
        <w:rPr>
          <w:rFonts w:ascii="Calibri" w:hAnsi="Calibri" w:cs="Calibri"/>
          <w:i/>
          <w:sz w:val="22"/>
          <w:szCs w:val="22"/>
        </w:rPr>
      </w:pPr>
    </w:p>
    <w:p w14:paraId="3DE1DC07" w14:textId="77777777" w:rsidR="008251A7" w:rsidRPr="00E9460F" w:rsidRDefault="008251A7" w:rsidP="004E6BB0">
      <w:pPr>
        <w:spacing w:after="217" w:line="276" w:lineRule="auto"/>
        <w:ind w:left="-7"/>
        <w:rPr>
          <w:rFonts w:ascii="Calibri" w:hAnsi="Calibri" w:cs="Calibri"/>
          <w:sz w:val="22"/>
          <w:szCs w:val="22"/>
        </w:rPr>
      </w:pPr>
      <w:r w:rsidRPr="00E9460F">
        <w:rPr>
          <w:rFonts w:ascii="Calibri" w:hAnsi="Calibri" w:cs="Calibri"/>
          <w:sz w:val="22"/>
          <w:szCs w:val="22"/>
        </w:rPr>
        <w:t xml:space="preserve">Three large phase 3 RCTs, PROSPER </w:t>
      </w:r>
      <w:r w:rsidRPr="00E9460F">
        <w:rPr>
          <w:rFonts w:ascii="Calibri" w:hAnsi="Calibri" w:cs="Calibri"/>
          <w:color w:val="007FAD"/>
          <w:sz w:val="22"/>
          <w:szCs w:val="22"/>
        </w:rPr>
        <w:t>[80]</w:t>
      </w:r>
      <w:r w:rsidRPr="00E9460F">
        <w:rPr>
          <w:rFonts w:ascii="Calibri" w:hAnsi="Calibri" w:cs="Calibri"/>
          <w:sz w:val="22"/>
          <w:szCs w:val="22"/>
        </w:rPr>
        <w:t xml:space="preserve">, SPARTAN </w:t>
      </w:r>
      <w:r w:rsidRPr="00E9460F">
        <w:rPr>
          <w:rFonts w:ascii="Calibri" w:hAnsi="Calibri" w:cs="Calibri"/>
          <w:color w:val="007FAD"/>
          <w:sz w:val="22"/>
          <w:szCs w:val="22"/>
        </w:rPr>
        <w:t>[81]</w:t>
      </w:r>
      <w:r w:rsidRPr="00E9460F">
        <w:rPr>
          <w:rFonts w:ascii="Calibri" w:hAnsi="Calibri" w:cs="Calibri"/>
          <w:sz w:val="22"/>
          <w:szCs w:val="22"/>
        </w:rPr>
        <w:t xml:space="preserve">, and ARAMIS </w:t>
      </w:r>
      <w:r w:rsidRPr="00E9460F">
        <w:rPr>
          <w:rFonts w:ascii="Calibri" w:hAnsi="Calibri" w:cs="Calibri"/>
          <w:color w:val="007FAD"/>
          <w:sz w:val="22"/>
          <w:szCs w:val="22"/>
        </w:rPr>
        <w:t>[82]</w:t>
      </w:r>
      <w:r w:rsidRPr="00E9460F">
        <w:rPr>
          <w:rFonts w:ascii="Calibri" w:hAnsi="Calibri" w:cs="Calibri"/>
          <w:sz w:val="22"/>
          <w:szCs w:val="22"/>
        </w:rPr>
        <w:t xml:space="preserve">, evaluated MFS as the primary endpoint in patients with nonmetastatic CRPC (M0 CRPC) treated with enzalutamide (PROSPER) placebo, apalutamide (SPARTAN), or darolutamide (ARAMIS) versus placebo. M0 status was established via CT imaging and bone scans. Only patients at high risk of the development of metastasis with a short PSA doubling time of 10 mo were included. All trials showed a significant MFS benefit. A survival benefit was shown in the three trials after follow-up of more than 30 mo </w:t>
      </w:r>
      <w:r w:rsidRPr="00E9460F">
        <w:rPr>
          <w:rFonts w:ascii="Calibri" w:hAnsi="Calibri" w:cs="Calibri"/>
          <w:color w:val="007FAD"/>
          <w:sz w:val="22"/>
          <w:szCs w:val="22"/>
        </w:rPr>
        <w:t>[83–85]</w:t>
      </w:r>
      <w:r w:rsidRPr="00E9460F">
        <w:rPr>
          <w:rFonts w:ascii="Calibri" w:hAnsi="Calibri" w:cs="Calibri"/>
          <w:sz w:val="22"/>
          <w:szCs w:val="22"/>
        </w:rPr>
        <w:t>.</w:t>
      </w:r>
    </w:p>
    <w:p w14:paraId="4AF4F3E2" w14:textId="77777777" w:rsidR="008251A7" w:rsidRPr="00E9460F" w:rsidRDefault="008251A7" w:rsidP="00E9460F">
      <w:pPr>
        <w:tabs>
          <w:tab w:val="center" w:pos="1326"/>
        </w:tabs>
        <w:spacing w:after="20" w:line="276" w:lineRule="auto"/>
        <w:ind w:left="713"/>
        <w:rPr>
          <w:rFonts w:ascii="Calibri" w:hAnsi="Calibri" w:cs="Calibri"/>
          <w:i/>
          <w:sz w:val="22"/>
          <w:szCs w:val="22"/>
        </w:rPr>
      </w:pPr>
      <w:r w:rsidRPr="00E9460F">
        <w:rPr>
          <w:rFonts w:ascii="Calibri" w:hAnsi="Calibri" w:cs="Calibri"/>
          <w:i/>
          <w:sz w:val="22"/>
          <w:szCs w:val="22"/>
        </w:rPr>
        <w:t>3.3.2.</w:t>
      </w:r>
      <w:r w:rsidRPr="00E9460F">
        <w:rPr>
          <w:rFonts w:ascii="Calibri" w:hAnsi="Calibri" w:cs="Calibri"/>
          <w:i/>
          <w:sz w:val="22"/>
          <w:szCs w:val="22"/>
        </w:rPr>
        <w:tab/>
        <w:t>Metastatic CRPC</w:t>
      </w:r>
    </w:p>
    <w:p w14:paraId="323CF859" w14:textId="38A32C8F" w:rsidR="008251A7" w:rsidRPr="00E9460F" w:rsidRDefault="008251A7" w:rsidP="004E6BB0">
      <w:pPr>
        <w:spacing w:line="276" w:lineRule="auto"/>
        <w:ind w:left="-7"/>
        <w:rPr>
          <w:rFonts w:ascii="Calibri" w:hAnsi="Calibri" w:cs="Calibri"/>
          <w:sz w:val="22"/>
          <w:szCs w:val="22"/>
        </w:rPr>
      </w:pPr>
      <w:r w:rsidRPr="00E9460F">
        <w:rPr>
          <w:rFonts w:ascii="Calibri" w:hAnsi="Calibri" w:cs="Calibri"/>
          <w:sz w:val="22"/>
          <w:szCs w:val="22"/>
        </w:rPr>
        <w:t>Patients with metastatic CRPC (mCRPC) should be offered somatic and/or germline molecu</w:t>
      </w:r>
      <w:r w:rsidR="00E9460F">
        <w:rPr>
          <w:rFonts w:ascii="Calibri" w:hAnsi="Calibri" w:cs="Calibri"/>
          <w:sz w:val="22"/>
          <w:szCs w:val="22"/>
        </w:rPr>
        <w:t xml:space="preserve">lar testing, as well as </w:t>
      </w:r>
      <w:r w:rsidR="00E9460F" w:rsidRPr="00E9460F">
        <w:rPr>
          <w:rFonts w:ascii="Calibri" w:hAnsi="Calibri" w:cs="Calibri"/>
          <w:sz w:val="22"/>
          <w:szCs w:val="22"/>
        </w:rPr>
        <w:t xml:space="preserve">testing </w:t>
      </w:r>
      <w:r w:rsidR="00E9460F">
        <w:rPr>
          <w:rFonts w:ascii="Calibri" w:hAnsi="Calibri" w:cs="Calibri"/>
          <w:sz w:val="22"/>
          <w:szCs w:val="22"/>
        </w:rPr>
        <w:t xml:space="preserve">for mismatch </w:t>
      </w:r>
      <w:r w:rsidRPr="00E9460F">
        <w:rPr>
          <w:rFonts w:ascii="Calibri" w:hAnsi="Calibri" w:cs="Calibri"/>
          <w:sz w:val="22"/>
          <w:szCs w:val="22"/>
        </w:rPr>
        <w:t>rep</w:t>
      </w:r>
      <w:r w:rsidR="00E9460F">
        <w:rPr>
          <w:rFonts w:ascii="Calibri" w:hAnsi="Calibri" w:cs="Calibri"/>
          <w:sz w:val="22"/>
          <w:szCs w:val="22"/>
        </w:rPr>
        <w:t xml:space="preserve">air deficiencies or </w:t>
      </w:r>
      <w:r w:rsidRPr="00E9460F">
        <w:rPr>
          <w:rFonts w:ascii="Calibri" w:hAnsi="Calibri" w:cs="Calibri"/>
          <w:sz w:val="22"/>
          <w:szCs w:val="22"/>
        </w:rPr>
        <w:t>microsatellite instability.</w:t>
      </w:r>
    </w:p>
    <w:p w14:paraId="6810409A" w14:textId="77777777" w:rsidR="008251A7" w:rsidRPr="004E6BB0" w:rsidRDefault="008251A7" w:rsidP="004E6BB0">
      <w:pPr>
        <w:spacing w:after="227" w:line="276" w:lineRule="auto"/>
        <w:ind w:left="-15" w:right="92" w:firstLine="242"/>
        <w:rPr>
          <w:rFonts w:ascii="Calibri" w:hAnsi="Calibri" w:cs="Calibri"/>
          <w:sz w:val="22"/>
          <w:szCs w:val="22"/>
        </w:rPr>
      </w:pPr>
      <w:r w:rsidRPr="00E9460F">
        <w:rPr>
          <w:rFonts w:ascii="Calibri" w:hAnsi="Calibri" w:cs="Calibri"/>
          <w:sz w:val="22"/>
          <w:szCs w:val="22"/>
        </w:rPr>
        <w:t>Approved agents for the treatment of mCRPC in Europe are docetaxel, AAP, enzalutamide, cabazitaxel, olaparib, niraparib/AAP, talazoparib/enzalutamide, radium-223, and lutetium (</w:t>
      </w:r>
      <w:r w:rsidRPr="00E9460F">
        <w:rPr>
          <w:rFonts w:ascii="Calibri" w:hAnsi="Calibri" w:cs="Calibri"/>
          <w:sz w:val="22"/>
          <w:szCs w:val="22"/>
          <w:vertAlign w:val="superscript"/>
        </w:rPr>
        <w:t>177</w:t>
      </w:r>
      <w:r w:rsidRPr="00E9460F">
        <w:rPr>
          <w:rFonts w:ascii="Calibri" w:hAnsi="Calibri" w:cs="Calibri"/>
          <w:sz w:val="22"/>
          <w:szCs w:val="22"/>
        </w:rPr>
        <w:t xml:space="preserve">Lu) vipivotide tetraxetan. In general, sequencing of ARPIs such as abiraterone and enzalutamide is not recommended, particularly if the time of response to ADT and to the first ARPI was short (6 to 12 mo) and highrisk features of rapid progression are present </w:t>
      </w:r>
      <w:r w:rsidRPr="00E9460F">
        <w:rPr>
          <w:rFonts w:ascii="Calibri" w:hAnsi="Calibri" w:cs="Calibri"/>
          <w:color w:val="007FAD"/>
          <w:sz w:val="22"/>
          <w:szCs w:val="22"/>
        </w:rPr>
        <w:t>[86,87]</w:t>
      </w:r>
      <w:r w:rsidRPr="00E9460F">
        <w:rPr>
          <w:rFonts w:ascii="Calibri" w:hAnsi="Calibri" w:cs="Calibri"/>
          <w:sz w:val="22"/>
          <w:szCs w:val="22"/>
        </w:rPr>
        <w:t>.</w:t>
      </w:r>
    </w:p>
    <w:p w14:paraId="124ED2F0" w14:textId="75684990" w:rsidR="00A127B7" w:rsidRPr="00E9460F" w:rsidRDefault="00A127B7" w:rsidP="00E9460F">
      <w:pPr>
        <w:autoSpaceDE w:val="0"/>
        <w:autoSpaceDN w:val="0"/>
        <w:adjustRightInd w:val="0"/>
        <w:spacing w:line="276" w:lineRule="auto"/>
        <w:ind w:left="720"/>
        <w:jc w:val="both"/>
        <w:rPr>
          <w:rFonts w:ascii="Calibri" w:eastAsia="HelveticaNeue-Roman" w:hAnsi="Calibri" w:cs="Calibri"/>
          <w:i/>
          <w:noProof/>
          <w:color w:val="000000" w:themeColor="text1"/>
          <w:sz w:val="22"/>
          <w:szCs w:val="22"/>
        </w:rPr>
      </w:pPr>
      <w:r w:rsidRPr="00E9460F">
        <w:rPr>
          <w:rFonts w:ascii="Calibri" w:eastAsia="HelveticaNeue-Roman" w:hAnsi="Calibri" w:cs="Calibri"/>
          <w:i/>
          <w:noProof/>
          <w:color w:val="000000" w:themeColor="text1"/>
          <w:sz w:val="22"/>
          <w:szCs w:val="22"/>
        </w:rPr>
        <w:t>3.3.2.1. First-line treatment of mCRPC.</w:t>
      </w:r>
    </w:p>
    <w:p w14:paraId="3CDB14B8" w14:textId="77777777" w:rsidR="007B21F0" w:rsidRPr="00A127B7" w:rsidRDefault="007B21F0" w:rsidP="00A127B7">
      <w:pPr>
        <w:autoSpaceDE w:val="0"/>
        <w:autoSpaceDN w:val="0"/>
        <w:adjustRightInd w:val="0"/>
        <w:spacing w:line="276" w:lineRule="auto"/>
        <w:jc w:val="both"/>
        <w:rPr>
          <w:rFonts w:ascii="Calibri" w:eastAsia="HelveticaNeue-Roman" w:hAnsi="Calibri" w:cs="Calibri"/>
          <w:noProof/>
          <w:color w:val="000000" w:themeColor="text1"/>
          <w:sz w:val="22"/>
          <w:szCs w:val="22"/>
        </w:rPr>
      </w:pPr>
    </w:p>
    <w:p w14:paraId="28EDFD94" w14:textId="7BCC680E" w:rsidR="00A127B7" w:rsidRDefault="00A127B7" w:rsidP="00E9460F">
      <w:pPr>
        <w:autoSpaceDE w:val="0"/>
        <w:autoSpaceDN w:val="0"/>
        <w:adjustRightInd w:val="0"/>
        <w:spacing w:line="276" w:lineRule="auto"/>
        <w:ind w:firstLine="720"/>
        <w:jc w:val="both"/>
        <w:rPr>
          <w:rFonts w:ascii="Calibri" w:eastAsia="HelveticaNeue-Roman" w:hAnsi="Calibri" w:cs="Calibri"/>
          <w:noProof/>
          <w:color w:val="000000" w:themeColor="text1"/>
          <w:sz w:val="22"/>
          <w:szCs w:val="22"/>
        </w:rPr>
      </w:pPr>
      <w:r w:rsidRPr="00E9460F">
        <w:rPr>
          <w:rFonts w:ascii="Calibri" w:eastAsia="HelveticaNeue-Roman" w:hAnsi="Calibri" w:cs="Calibri"/>
          <w:i/>
          <w:noProof/>
          <w:color w:val="000000" w:themeColor="text1"/>
          <w:sz w:val="22"/>
          <w:szCs w:val="22"/>
        </w:rPr>
        <w:lastRenderedPageBreak/>
        <w:t>3.3.2.1.1. Abirateron</w:t>
      </w:r>
      <w:r w:rsidR="00466DC2" w:rsidRPr="00E9460F">
        <w:rPr>
          <w:rFonts w:ascii="Calibri" w:eastAsia="HelveticaNeue-Roman" w:hAnsi="Calibri" w:cs="Calibri"/>
          <w:i/>
          <w:noProof/>
          <w:color w:val="000000" w:themeColor="text1"/>
          <w:sz w:val="22"/>
          <w:szCs w:val="22"/>
        </w:rPr>
        <w:t>e.</w:t>
      </w:r>
      <w:r w:rsidR="00466DC2">
        <w:rPr>
          <w:rFonts w:ascii="Calibri" w:eastAsia="HelveticaNeue-Roman" w:hAnsi="Calibri" w:cs="Calibri"/>
          <w:noProof/>
          <w:color w:val="000000" w:themeColor="text1"/>
          <w:sz w:val="22"/>
          <w:szCs w:val="22"/>
        </w:rPr>
        <w:t xml:space="preserve"> Abiraterone was evaluated in </w:t>
      </w:r>
      <w:r w:rsidRPr="00A127B7">
        <w:rPr>
          <w:rFonts w:ascii="Calibri" w:eastAsia="HelveticaNeue-Roman" w:hAnsi="Calibri" w:cs="Calibri"/>
          <w:noProof/>
          <w:color w:val="000000" w:themeColor="text1"/>
          <w:sz w:val="22"/>
          <w:szCs w:val="22"/>
        </w:rPr>
        <w:t>chemotherapy-naïve mCRPC</w:t>
      </w:r>
      <w:r w:rsidR="00466DC2">
        <w:rPr>
          <w:rFonts w:ascii="Calibri" w:eastAsia="HelveticaNeue-Roman" w:hAnsi="Calibri" w:cs="Calibri"/>
          <w:noProof/>
          <w:color w:val="000000" w:themeColor="text1"/>
          <w:sz w:val="22"/>
          <w:szCs w:val="22"/>
        </w:rPr>
        <w:t xml:space="preserve"> patients in the phase 3 COUAA-</w:t>
      </w:r>
      <w:r w:rsidRPr="00A127B7">
        <w:rPr>
          <w:rFonts w:ascii="Calibri" w:eastAsia="HelveticaNeue-Roman" w:hAnsi="Calibri" w:cs="Calibri"/>
          <w:noProof/>
          <w:color w:val="000000" w:themeColor="text1"/>
          <w:sz w:val="22"/>
          <w:szCs w:val="22"/>
        </w:rPr>
        <w:t>302 trial. Patients were ra</w:t>
      </w:r>
      <w:r w:rsidR="00466DC2">
        <w:rPr>
          <w:rFonts w:ascii="Calibri" w:eastAsia="HelveticaNeue-Roman" w:hAnsi="Calibri" w:cs="Calibri"/>
          <w:noProof/>
          <w:color w:val="000000" w:themeColor="text1"/>
          <w:sz w:val="22"/>
          <w:szCs w:val="22"/>
        </w:rPr>
        <w:t xml:space="preserve">ndomised to abiraterone acetate </w:t>
      </w:r>
      <w:r w:rsidRPr="00A127B7">
        <w:rPr>
          <w:rFonts w:ascii="Calibri" w:eastAsia="HelveticaNeue-Roman" w:hAnsi="Calibri" w:cs="Calibri"/>
          <w:noProof/>
          <w:color w:val="000000" w:themeColor="text1"/>
          <w:sz w:val="22"/>
          <w:szCs w:val="22"/>
        </w:rPr>
        <w:t>or placebo, both combin</w:t>
      </w:r>
      <w:r w:rsidR="00466DC2">
        <w:rPr>
          <w:rFonts w:ascii="Calibri" w:eastAsia="HelveticaNeue-Roman" w:hAnsi="Calibri" w:cs="Calibri"/>
          <w:noProof/>
          <w:color w:val="000000" w:themeColor="text1"/>
          <w:sz w:val="22"/>
          <w:szCs w:val="22"/>
        </w:rPr>
        <w:t xml:space="preserve">ed with prednisone [88]. At the </w:t>
      </w:r>
      <w:r w:rsidRPr="00A127B7">
        <w:rPr>
          <w:rFonts w:ascii="Calibri" w:eastAsia="HelveticaNeue-Roman" w:hAnsi="Calibri" w:cs="Calibri"/>
          <w:noProof/>
          <w:color w:val="000000" w:themeColor="text1"/>
          <w:sz w:val="22"/>
          <w:szCs w:val="22"/>
        </w:rPr>
        <w:t>final analysis after media</w:t>
      </w:r>
      <w:r w:rsidR="00466DC2">
        <w:rPr>
          <w:rFonts w:ascii="Calibri" w:eastAsia="HelveticaNeue-Roman" w:hAnsi="Calibri" w:cs="Calibri"/>
          <w:noProof/>
          <w:color w:val="000000" w:themeColor="text1"/>
          <w:sz w:val="22"/>
          <w:szCs w:val="22"/>
        </w:rPr>
        <w:t xml:space="preserve">n follow-up of 49.2 mo, the OS </w:t>
      </w:r>
      <w:r w:rsidRPr="00A127B7">
        <w:rPr>
          <w:rFonts w:ascii="Calibri" w:eastAsia="HelveticaNeue-Roman" w:hAnsi="Calibri" w:cs="Calibri"/>
          <w:noProof/>
          <w:color w:val="000000" w:themeColor="text1"/>
          <w:sz w:val="22"/>
          <w:szCs w:val="22"/>
        </w:rPr>
        <w:t>endpoint was significantl</w:t>
      </w:r>
      <w:r w:rsidR="00466DC2">
        <w:rPr>
          <w:rFonts w:ascii="Calibri" w:eastAsia="HelveticaNeue-Roman" w:hAnsi="Calibri" w:cs="Calibri"/>
          <w:noProof/>
          <w:color w:val="000000" w:themeColor="text1"/>
          <w:sz w:val="22"/>
          <w:szCs w:val="22"/>
        </w:rPr>
        <w:t xml:space="preserve">y positive (34.7 vs 30.3 mo; HR </w:t>
      </w:r>
      <w:r w:rsidRPr="00A127B7">
        <w:rPr>
          <w:rFonts w:ascii="Calibri" w:eastAsia="HelveticaNeue-Roman" w:hAnsi="Calibri" w:cs="Calibri"/>
          <w:noProof/>
          <w:color w:val="000000" w:themeColor="text1"/>
          <w:sz w:val="22"/>
          <w:szCs w:val="22"/>
        </w:rPr>
        <w:t>0.81, 95% CI 0.70–0.93; p = 0.0033) [88].</w:t>
      </w:r>
    </w:p>
    <w:p w14:paraId="6BC0E050" w14:textId="77777777" w:rsidR="007B21F0" w:rsidRPr="00A127B7" w:rsidRDefault="007B21F0" w:rsidP="00A127B7">
      <w:pPr>
        <w:autoSpaceDE w:val="0"/>
        <w:autoSpaceDN w:val="0"/>
        <w:adjustRightInd w:val="0"/>
        <w:spacing w:line="276" w:lineRule="auto"/>
        <w:jc w:val="both"/>
        <w:rPr>
          <w:rFonts w:ascii="Calibri" w:eastAsia="HelveticaNeue-Roman" w:hAnsi="Calibri" w:cs="Calibri"/>
          <w:noProof/>
          <w:color w:val="000000" w:themeColor="text1"/>
          <w:sz w:val="22"/>
          <w:szCs w:val="22"/>
        </w:rPr>
      </w:pPr>
    </w:p>
    <w:p w14:paraId="61285B8D" w14:textId="1AA9B2D4" w:rsidR="00A127B7" w:rsidRDefault="00A127B7" w:rsidP="00E9460F">
      <w:pPr>
        <w:autoSpaceDE w:val="0"/>
        <w:autoSpaceDN w:val="0"/>
        <w:adjustRightInd w:val="0"/>
        <w:spacing w:line="276" w:lineRule="auto"/>
        <w:ind w:firstLine="720"/>
        <w:jc w:val="both"/>
        <w:rPr>
          <w:rFonts w:ascii="Calibri" w:eastAsia="HelveticaNeue-Roman" w:hAnsi="Calibri" w:cs="Calibri"/>
          <w:noProof/>
          <w:color w:val="000000" w:themeColor="text1"/>
          <w:sz w:val="22"/>
          <w:szCs w:val="22"/>
        </w:rPr>
      </w:pPr>
      <w:r w:rsidRPr="00E9460F">
        <w:rPr>
          <w:rFonts w:ascii="Calibri" w:eastAsia="HelveticaNeue-Roman" w:hAnsi="Calibri" w:cs="Calibri"/>
          <w:i/>
          <w:noProof/>
          <w:color w:val="000000" w:themeColor="text1"/>
          <w:sz w:val="22"/>
          <w:szCs w:val="22"/>
        </w:rPr>
        <w:t>3.3.2.1.2. Enzalutamide</w:t>
      </w:r>
      <w:r w:rsidRPr="00A127B7">
        <w:rPr>
          <w:rFonts w:ascii="Calibri" w:eastAsia="HelveticaNeue-Roman" w:hAnsi="Calibri" w:cs="Calibri"/>
          <w:noProof/>
          <w:color w:val="000000" w:themeColor="text1"/>
          <w:sz w:val="22"/>
          <w:szCs w:val="22"/>
        </w:rPr>
        <w:t>. A ran</w:t>
      </w:r>
      <w:r w:rsidR="00466DC2">
        <w:rPr>
          <w:rFonts w:ascii="Calibri" w:eastAsia="HelveticaNeue-Roman" w:hAnsi="Calibri" w:cs="Calibri"/>
          <w:noProof/>
          <w:color w:val="000000" w:themeColor="text1"/>
          <w:sz w:val="22"/>
          <w:szCs w:val="22"/>
        </w:rPr>
        <w:t xml:space="preserve">domised phase 3 trial (PREVAIL) </w:t>
      </w:r>
      <w:r w:rsidRPr="00A127B7">
        <w:rPr>
          <w:rFonts w:ascii="Calibri" w:eastAsia="HelveticaNeue-Roman" w:hAnsi="Calibri" w:cs="Calibri"/>
          <w:noProof/>
          <w:color w:val="000000" w:themeColor="text1"/>
          <w:sz w:val="22"/>
          <w:szCs w:val="22"/>
        </w:rPr>
        <w:t xml:space="preserve">included a similar </w:t>
      </w:r>
      <w:r w:rsidR="00466DC2">
        <w:rPr>
          <w:rFonts w:ascii="Calibri" w:eastAsia="HelveticaNeue-Roman" w:hAnsi="Calibri" w:cs="Calibri"/>
          <w:noProof/>
          <w:color w:val="000000" w:themeColor="text1"/>
          <w:sz w:val="22"/>
          <w:szCs w:val="22"/>
        </w:rPr>
        <w:t xml:space="preserve">patient population and compared </w:t>
      </w:r>
      <w:r w:rsidRPr="00A127B7">
        <w:rPr>
          <w:rFonts w:ascii="Calibri" w:eastAsia="HelveticaNeue-Roman" w:hAnsi="Calibri" w:cs="Calibri"/>
          <w:noProof/>
          <w:color w:val="000000" w:themeColor="text1"/>
          <w:sz w:val="22"/>
          <w:szCs w:val="22"/>
        </w:rPr>
        <w:t>enzalutamide and placebo [89</w:t>
      </w:r>
      <w:r w:rsidR="00466DC2">
        <w:rPr>
          <w:rFonts w:ascii="Calibri" w:eastAsia="HelveticaNeue-Roman" w:hAnsi="Calibri" w:cs="Calibri"/>
          <w:noProof/>
          <w:color w:val="000000" w:themeColor="text1"/>
          <w:sz w:val="22"/>
          <w:szCs w:val="22"/>
        </w:rPr>
        <w:t>]. PREVAIL showed a significant</w:t>
      </w:r>
      <w:r w:rsidRPr="00A127B7">
        <w:rPr>
          <w:rFonts w:ascii="Calibri" w:eastAsia="HelveticaNeue-Roman" w:hAnsi="Calibri" w:cs="Calibri"/>
          <w:noProof/>
          <w:color w:val="000000" w:themeColor="text1"/>
          <w:sz w:val="22"/>
          <w:szCs w:val="22"/>
        </w:rPr>
        <w:t>improvement in t</w:t>
      </w:r>
      <w:r w:rsidR="00466DC2">
        <w:rPr>
          <w:rFonts w:ascii="Calibri" w:eastAsia="HelveticaNeue-Roman" w:hAnsi="Calibri" w:cs="Calibri"/>
          <w:noProof/>
          <w:color w:val="000000" w:themeColor="text1"/>
          <w:sz w:val="22"/>
          <w:szCs w:val="22"/>
        </w:rPr>
        <w:t xml:space="preserve">he co-primary endpoints of rPFS </w:t>
      </w:r>
      <w:r w:rsidRPr="00A127B7">
        <w:rPr>
          <w:rFonts w:ascii="Calibri" w:eastAsia="HelveticaNeue-Roman" w:hAnsi="Calibri" w:cs="Calibri"/>
          <w:noProof/>
          <w:color w:val="000000" w:themeColor="text1"/>
          <w:sz w:val="22"/>
          <w:szCs w:val="22"/>
        </w:rPr>
        <w:t>(HR 0.186, 95% CI 0.</w:t>
      </w:r>
      <w:r w:rsidR="00466DC2">
        <w:rPr>
          <w:rFonts w:ascii="Calibri" w:eastAsia="HelveticaNeue-Roman" w:hAnsi="Calibri" w:cs="Calibri"/>
          <w:noProof/>
          <w:color w:val="000000" w:themeColor="text1"/>
          <w:sz w:val="22"/>
          <w:szCs w:val="22"/>
        </w:rPr>
        <w:t xml:space="preserve">15–0.23; p &lt; 0.0001) and OS (HR </w:t>
      </w:r>
      <w:r w:rsidRPr="00A127B7">
        <w:rPr>
          <w:rFonts w:ascii="Calibri" w:eastAsia="HelveticaNeue-Roman" w:hAnsi="Calibri" w:cs="Calibri"/>
          <w:noProof/>
          <w:color w:val="000000" w:themeColor="text1"/>
          <w:sz w:val="22"/>
          <w:szCs w:val="22"/>
        </w:rPr>
        <w:t>0.706, 95% CI 0.6–0.84; p &lt;</w:t>
      </w:r>
      <w:r w:rsidR="00466DC2">
        <w:rPr>
          <w:rFonts w:ascii="Calibri" w:eastAsia="HelveticaNeue-Roman" w:hAnsi="Calibri" w:cs="Calibri"/>
          <w:noProof/>
          <w:color w:val="000000" w:themeColor="text1"/>
          <w:sz w:val="22"/>
          <w:szCs w:val="22"/>
        </w:rPr>
        <w:t xml:space="preserve"> 0.001). A 50% decrease in PSA </w:t>
      </w:r>
      <w:r w:rsidRPr="00A127B7">
        <w:rPr>
          <w:rFonts w:ascii="Calibri" w:eastAsia="HelveticaNeue-Roman" w:hAnsi="Calibri" w:cs="Calibri"/>
          <w:noProof/>
          <w:color w:val="000000" w:themeColor="text1"/>
          <w:sz w:val="22"/>
          <w:szCs w:val="22"/>
        </w:rPr>
        <w:t>was seen in 78% of patients. Enzalutamide has also been</w:t>
      </w:r>
      <w:r w:rsidR="00E9460F">
        <w:rPr>
          <w:rFonts w:ascii="Calibri" w:eastAsia="HelveticaNeue-Roman" w:hAnsi="Calibri" w:cs="Calibri"/>
          <w:noProof/>
          <w:color w:val="000000" w:themeColor="text1"/>
          <w:sz w:val="22"/>
          <w:szCs w:val="22"/>
        </w:rPr>
        <w:t xml:space="preserve"> </w:t>
      </w:r>
      <w:r w:rsidRPr="00A127B7">
        <w:rPr>
          <w:rFonts w:ascii="Calibri" w:eastAsia="HelveticaNeue-Roman" w:hAnsi="Calibri" w:cs="Calibri"/>
          <w:noProof/>
          <w:color w:val="000000" w:themeColor="text1"/>
          <w:sz w:val="22"/>
          <w:szCs w:val="22"/>
        </w:rPr>
        <w:t>compared with bical</w:t>
      </w:r>
      <w:r w:rsidR="00466DC2">
        <w:rPr>
          <w:rFonts w:ascii="Calibri" w:eastAsia="HelveticaNeue-Roman" w:hAnsi="Calibri" w:cs="Calibri"/>
          <w:noProof/>
          <w:color w:val="000000" w:themeColor="text1"/>
          <w:sz w:val="22"/>
          <w:szCs w:val="22"/>
        </w:rPr>
        <w:t xml:space="preserve">utamide 50 mg/d in a randomised </w:t>
      </w:r>
      <w:r w:rsidRPr="00A127B7">
        <w:rPr>
          <w:rFonts w:ascii="Calibri" w:eastAsia="HelveticaNeue-Roman" w:hAnsi="Calibri" w:cs="Calibri"/>
          <w:noProof/>
          <w:color w:val="000000" w:themeColor="text1"/>
          <w:sz w:val="22"/>
          <w:szCs w:val="22"/>
        </w:rPr>
        <w:t>double-blind phase 2 study (TERRAIN) and showed a significant</w:t>
      </w:r>
      <w:r w:rsidR="00466DC2">
        <w:rPr>
          <w:rFonts w:ascii="Calibri" w:eastAsia="HelveticaNeue-Roman" w:hAnsi="Calibri" w:cs="Calibri"/>
          <w:noProof/>
          <w:color w:val="000000" w:themeColor="text1"/>
          <w:sz w:val="22"/>
          <w:szCs w:val="22"/>
        </w:rPr>
        <w:t xml:space="preserve"> </w:t>
      </w:r>
      <w:r w:rsidRPr="00A127B7">
        <w:rPr>
          <w:rFonts w:ascii="Calibri" w:eastAsia="HelveticaNeue-Roman" w:hAnsi="Calibri" w:cs="Calibri"/>
          <w:noProof/>
          <w:color w:val="000000" w:themeColor="text1"/>
          <w:sz w:val="22"/>
          <w:szCs w:val="22"/>
        </w:rPr>
        <w:t>improvement in PFS (15.7 vs 5.8 mo; HR 0.44;</w:t>
      </w:r>
      <w:r w:rsidR="00466DC2">
        <w:rPr>
          <w:rFonts w:ascii="Calibri" w:eastAsia="HelveticaNeue-Roman" w:hAnsi="Calibri" w:cs="Calibri"/>
          <w:noProof/>
          <w:color w:val="000000" w:themeColor="text1"/>
          <w:sz w:val="22"/>
          <w:szCs w:val="22"/>
        </w:rPr>
        <w:t xml:space="preserve"> </w:t>
      </w:r>
      <w:r w:rsidRPr="00A127B7">
        <w:rPr>
          <w:rFonts w:ascii="Calibri" w:eastAsia="HelveticaNeue-Roman" w:hAnsi="Calibri" w:cs="Calibri"/>
          <w:noProof/>
          <w:color w:val="000000" w:themeColor="text1"/>
          <w:sz w:val="22"/>
          <w:szCs w:val="22"/>
        </w:rPr>
        <w:t>p &lt; 0.0001) in favour of enzalutamide [90]</w:t>
      </w:r>
      <w:r w:rsidR="00466DC2">
        <w:rPr>
          <w:rFonts w:ascii="Calibri" w:eastAsia="HelveticaNeue-Roman" w:hAnsi="Calibri" w:cs="Calibri"/>
          <w:noProof/>
          <w:color w:val="000000" w:themeColor="text1"/>
          <w:sz w:val="22"/>
          <w:szCs w:val="22"/>
        </w:rPr>
        <w:t xml:space="preserve">. Extended </w:t>
      </w:r>
      <w:r w:rsidRPr="00A127B7">
        <w:rPr>
          <w:rFonts w:ascii="Calibri" w:eastAsia="HelveticaNeue-Roman" w:hAnsi="Calibri" w:cs="Calibri"/>
          <w:noProof/>
          <w:color w:val="000000" w:themeColor="text1"/>
          <w:sz w:val="22"/>
          <w:szCs w:val="22"/>
        </w:rPr>
        <w:t>follow-up and final analy</w:t>
      </w:r>
      <w:r w:rsidR="00466DC2">
        <w:rPr>
          <w:rFonts w:ascii="Calibri" w:eastAsia="HelveticaNeue-Roman" w:hAnsi="Calibri" w:cs="Calibri"/>
          <w:noProof/>
          <w:color w:val="000000" w:themeColor="text1"/>
          <w:sz w:val="22"/>
          <w:szCs w:val="22"/>
        </w:rPr>
        <w:t>sis confirmed the benefit in OS</w:t>
      </w:r>
      <w:r w:rsidRPr="00A127B7">
        <w:rPr>
          <w:rFonts w:ascii="Calibri" w:eastAsia="HelveticaNeue-Roman" w:hAnsi="Calibri" w:cs="Calibri"/>
          <w:noProof/>
          <w:color w:val="000000" w:themeColor="text1"/>
          <w:sz w:val="22"/>
          <w:szCs w:val="22"/>
        </w:rPr>
        <w:t>and rPFS [91].</w:t>
      </w:r>
    </w:p>
    <w:p w14:paraId="5B4ACF8B" w14:textId="77777777" w:rsidR="007B21F0" w:rsidRPr="00A127B7" w:rsidRDefault="007B21F0" w:rsidP="00A127B7">
      <w:pPr>
        <w:autoSpaceDE w:val="0"/>
        <w:autoSpaceDN w:val="0"/>
        <w:adjustRightInd w:val="0"/>
        <w:spacing w:line="276" w:lineRule="auto"/>
        <w:jc w:val="both"/>
        <w:rPr>
          <w:rFonts w:ascii="Calibri" w:eastAsia="HelveticaNeue-Roman" w:hAnsi="Calibri" w:cs="Calibri"/>
          <w:noProof/>
          <w:color w:val="000000" w:themeColor="text1"/>
          <w:sz w:val="22"/>
          <w:szCs w:val="22"/>
        </w:rPr>
      </w:pPr>
    </w:p>
    <w:p w14:paraId="26BF66B5" w14:textId="569D6513" w:rsidR="00A127B7" w:rsidRDefault="00A127B7" w:rsidP="00E9460F">
      <w:pPr>
        <w:autoSpaceDE w:val="0"/>
        <w:autoSpaceDN w:val="0"/>
        <w:adjustRightInd w:val="0"/>
        <w:spacing w:line="276" w:lineRule="auto"/>
        <w:ind w:firstLine="720"/>
        <w:jc w:val="both"/>
        <w:rPr>
          <w:rFonts w:ascii="Calibri" w:eastAsia="HelveticaNeue-Roman" w:hAnsi="Calibri" w:cs="Calibri"/>
          <w:noProof/>
          <w:color w:val="000000" w:themeColor="text1"/>
          <w:sz w:val="22"/>
          <w:szCs w:val="22"/>
        </w:rPr>
      </w:pPr>
      <w:r w:rsidRPr="00E9460F">
        <w:rPr>
          <w:rFonts w:ascii="Calibri" w:eastAsia="HelveticaNeue-Roman" w:hAnsi="Calibri" w:cs="Calibri"/>
          <w:i/>
          <w:noProof/>
          <w:color w:val="000000" w:themeColor="text1"/>
          <w:sz w:val="22"/>
          <w:szCs w:val="22"/>
        </w:rPr>
        <w:t>3.3.2.1.3. Docetaxel.</w:t>
      </w:r>
      <w:r w:rsidRPr="00A127B7">
        <w:rPr>
          <w:rFonts w:ascii="Calibri" w:eastAsia="HelveticaNeue-Roman" w:hAnsi="Calibri" w:cs="Calibri"/>
          <w:noProof/>
          <w:color w:val="000000" w:themeColor="text1"/>
          <w:sz w:val="22"/>
          <w:szCs w:val="22"/>
        </w:rPr>
        <w:t xml:space="preserve"> A si</w:t>
      </w:r>
      <w:r w:rsidR="00466DC2">
        <w:rPr>
          <w:rFonts w:ascii="Calibri" w:eastAsia="HelveticaNeue-Roman" w:hAnsi="Calibri" w:cs="Calibri"/>
          <w:noProof/>
          <w:color w:val="000000" w:themeColor="text1"/>
          <w:sz w:val="22"/>
          <w:szCs w:val="22"/>
        </w:rPr>
        <w:t xml:space="preserve">gnificant improvement in median </w:t>
      </w:r>
      <w:r w:rsidRPr="00A127B7">
        <w:rPr>
          <w:rFonts w:ascii="Calibri" w:eastAsia="HelveticaNeue-Roman" w:hAnsi="Calibri" w:cs="Calibri"/>
          <w:noProof/>
          <w:color w:val="000000" w:themeColor="text1"/>
          <w:sz w:val="22"/>
          <w:szCs w:val="22"/>
        </w:rPr>
        <w:t>survival has been shown wi</w:t>
      </w:r>
      <w:r w:rsidR="00466DC2">
        <w:rPr>
          <w:rFonts w:ascii="Calibri" w:eastAsia="HelveticaNeue-Roman" w:hAnsi="Calibri" w:cs="Calibri"/>
          <w:noProof/>
          <w:color w:val="000000" w:themeColor="text1"/>
          <w:sz w:val="22"/>
          <w:szCs w:val="22"/>
        </w:rPr>
        <w:t xml:space="preserve">th docetaxel-based chemotherapy </w:t>
      </w:r>
      <w:r w:rsidRPr="00A127B7">
        <w:rPr>
          <w:rFonts w:ascii="Calibri" w:eastAsia="HelveticaNeue-Roman" w:hAnsi="Calibri" w:cs="Calibri"/>
          <w:noProof/>
          <w:color w:val="000000" w:themeColor="text1"/>
          <w:sz w:val="22"/>
          <w:szCs w:val="22"/>
        </w:rPr>
        <w:t>in comparison to mitox</w:t>
      </w:r>
      <w:r w:rsidR="00466DC2">
        <w:rPr>
          <w:rFonts w:ascii="Calibri" w:eastAsia="HelveticaNeue-Roman" w:hAnsi="Calibri" w:cs="Calibri"/>
          <w:noProof/>
          <w:color w:val="000000" w:themeColor="text1"/>
          <w:sz w:val="22"/>
          <w:szCs w:val="22"/>
        </w:rPr>
        <w:t xml:space="preserve">antrone plus prednisone therapy </w:t>
      </w:r>
      <w:r w:rsidRPr="00A127B7">
        <w:rPr>
          <w:rFonts w:ascii="Calibri" w:eastAsia="HelveticaNeue-Roman" w:hAnsi="Calibri" w:cs="Calibri"/>
          <w:noProof/>
          <w:color w:val="000000" w:themeColor="text1"/>
          <w:sz w:val="22"/>
          <w:szCs w:val="22"/>
        </w:rPr>
        <w:t>[92,93].</w:t>
      </w:r>
    </w:p>
    <w:p w14:paraId="6F3B7040" w14:textId="77777777" w:rsidR="007B21F0" w:rsidRPr="00A127B7" w:rsidRDefault="007B21F0" w:rsidP="00A127B7">
      <w:pPr>
        <w:autoSpaceDE w:val="0"/>
        <w:autoSpaceDN w:val="0"/>
        <w:adjustRightInd w:val="0"/>
        <w:spacing w:line="276" w:lineRule="auto"/>
        <w:jc w:val="both"/>
        <w:rPr>
          <w:rFonts w:ascii="Calibri" w:eastAsia="HelveticaNeue-Roman" w:hAnsi="Calibri" w:cs="Calibri"/>
          <w:noProof/>
          <w:color w:val="000000" w:themeColor="text1"/>
          <w:sz w:val="22"/>
          <w:szCs w:val="22"/>
        </w:rPr>
      </w:pPr>
    </w:p>
    <w:p w14:paraId="5899B235" w14:textId="64D2050C" w:rsidR="008251A7" w:rsidRDefault="00A127B7" w:rsidP="00E9460F">
      <w:pPr>
        <w:autoSpaceDE w:val="0"/>
        <w:autoSpaceDN w:val="0"/>
        <w:adjustRightInd w:val="0"/>
        <w:spacing w:line="276" w:lineRule="auto"/>
        <w:ind w:firstLine="720"/>
        <w:jc w:val="both"/>
        <w:rPr>
          <w:rFonts w:ascii="Calibri" w:eastAsia="HelveticaNeue-Roman" w:hAnsi="Calibri" w:cs="Calibri"/>
          <w:noProof/>
          <w:color w:val="000000" w:themeColor="text1"/>
          <w:sz w:val="22"/>
          <w:szCs w:val="22"/>
        </w:rPr>
      </w:pPr>
      <w:r w:rsidRPr="00E9460F">
        <w:rPr>
          <w:rFonts w:ascii="Calibri" w:eastAsia="HelveticaNeue-Roman" w:hAnsi="Calibri" w:cs="Calibri"/>
          <w:i/>
          <w:noProof/>
          <w:color w:val="000000" w:themeColor="text1"/>
          <w:sz w:val="22"/>
          <w:szCs w:val="22"/>
        </w:rPr>
        <w:t>3.3.2.1.4. Sipuleucel</w:t>
      </w:r>
      <w:r w:rsidR="00466DC2" w:rsidRPr="00E9460F">
        <w:rPr>
          <w:rFonts w:ascii="Calibri" w:eastAsia="HelveticaNeue-Roman" w:hAnsi="Calibri" w:cs="Calibri"/>
          <w:i/>
          <w:noProof/>
          <w:color w:val="000000" w:themeColor="text1"/>
          <w:sz w:val="22"/>
          <w:szCs w:val="22"/>
        </w:rPr>
        <w:t>-T</w:t>
      </w:r>
      <w:r w:rsidR="00466DC2">
        <w:rPr>
          <w:rFonts w:ascii="Calibri" w:eastAsia="HelveticaNeue-Roman" w:hAnsi="Calibri" w:cs="Calibri"/>
          <w:noProof/>
          <w:color w:val="000000" w:themeColor="text1"/>
          <w:sz w:val="22"/>
          <w:szCs w:val="22"/>
        </w:rPr>
        <w:t xml:space="preserve">. In 2010, a phase 3 trial of </w:t>
      </w:r>
      <w:r w:rsidRPr="00A127B7">
        <w:rPr>
          <w:rFonts w:ascii="Calibri" w:eastAsia="HelveticaNeue-Roman" w:hAnsi="Calibri" w:cs="Calibri"/>
          <w:noProof/>
          <w:color w:val="000000" w:themeColor="text1"/>
          <w:sz w:val="22"/>
          <w:szCs w:val="22"/>
        </w:rPr>
        <w:t>sipuleucel-T showed a survi</w:t>
      </w:r>
      <w:r w:rsidR="00466DC2">
        <w:rPr>
          <w:rFonts w:ascii="Calibri" w:eastAsia="HelveticaNeue-Roman" w:hAnsi="Calibri" w:cs="Calibri"/>
          <w:noProof/>
          <w:color w:val="000000" w:themeColor="text1"/>
          <w:sz w:val="22"/>
          <w:szCs w:val="22"/>
        </w:rPr>
        <w:t xml:space="preserve">val benefit in 512 asymptomatic </w:t>
      </w:r>
      <w:r w:rsidRPr="00A127B7">
        <w:rPr>
          <w:rFonts w:ascii="Calibri" w:eastAsia="HelveticaNeue-Roman" w:hAnsi="Calibri" w:cs="Calibri"/>
          <w:noProof/>
          <w:color w:val="000000" w:themeColor="text1"/>
          <w:sz w:val="22"/>
          <w:szCs w:val="22"/>
        </w:rPr>
        <w:t>or minimally symptomatic mCRPC</w:t>
      </w:r>
      <w:r w:rsidR="00466DC2">
        <w:rPr>
          <w:rFonts w:ascii="Calibri" w:eastAsia="HelveticaNeue-Roman" w:hAnsi="Calibri" w:cs="Calibri"/>
          <w:noProof/>
          <w:color w:val="000000" w:themeColor="text1"/>
          <w:sz w:val="22"/>
          <w:szCs w:val="22"/>
        </w:rPr>
        <w:t xml:space="preserve"> patients [94]. Sipuleucel-</w:t>
      </w:r>
      <w:r w:rsidR="00466DC2" w:rsidRPr="00466DC2">
        <w:rPr>
          <w:rFonts w:ascii="Calibri" w:eastAsia="HelveticaNeue-Roman" w:hAnsi="Calibri" w:cs="Calibri"/>
          <w:noProof/>
          <w:color w:val="000000" w:themeColor="text1"/>
          <w:sz w:val="22"/>
          <w:szCs w:val="22"/>
        </w:rPr>
        <w:t>T is not available in Europe.</w:t>
      </w:r>
    </w:p>
    <w:p w14:paraId="3A7219E5" w14:textId="77777777" w:rsidR="008251A7" w:rsidRPr="00AC1831" w:rsidRDefault="008251A7" w:rsidP="000337C9">
      <w:pPr>
        <w:autoSpaceDE w:val="0"/>
        <w:autoSpaceDN w:val="0"/>
        <w:adjustRightInd w:val="0"/>
        <w:spacing w:line="276" w:lineRule="auto"/>
        <w:jc w:val="both"/>
        <w:rPr>
          <w:rFonts w:ascii="Calibri" w:eastAsia="HelveticaNeue-Roman" w:hAnsi="Calibri" w:cs="Calibri"/>
          <w:noProof/>
          <w:color w:val="000000" w:themeColor="text1"/>
          <w:sz w:val="22"/>
          <w:szCs w:val="22"/>
        </w:rPr>
      </w:pPr>
    </w:p>
    <w:p w14:paraId="51B515AE" w14:textId="213B0613" w:rsidR="00F32484" w:rsidRPr="00F32484" w:rsidRDefault="00F32484" w:rsidP="00E9460F">
      <w:pPr>
        <w:autoSpaceDE w:val="0"/>
        <w:autoSpaceDN w:val="0"/>
        <w:adjustRightInd w:val="0"/>
        <w:spacing w:line="276" w:lineRule="auto"/>
        <w:ind w:firstLine="720"/>
        <w:jc w:val="both"/>
        <w:rPr>
          <w:rFonts w:ascii="Calibri" w:hAnsi="Calibri" w:cs="Calibri"/>
          <w:color w:val="000000" w:themeColor="text1"/>
          <w:sz w:val="22"/>
          <w:szCs w:val="22"/>
        </w:rPr>
      </w:pPr>
      <w:r w:rsidRPr="00E9460F">
        <w:rPr>
          <w:rFonts w:ascii="Calibri" w:hAnsi="Calibri" w:cs="Calibri"/>
          <w:i/>
          <w:color w:val="000000" w:themeColor="text1"/>
          <w:sz w:val="22"/>
          <w:szCs w:val="22"/>
        </w:rPr>
        <w:t>3.3.2.1.5. Ipatasertib</w:t>
      </w:r>
      <w:r w:rsidRPr="00F32484">
        <w:rPr>
          <w:rFonts w:ascii="Calibri" w:hAnsi="Calibri" w:cs="Calibri"/>
          <w:color w:val="000000" w:themeColor="text1"/>
          <w:sz w:val="22"/>
          <w:szCs w:val="22"/>
        </w:rPr>
        <w:t>. T</w:t>
      </w:r>
      <w:r w:rsidR="007B21F0">
        <w:rPr>
          <w:rFonts w:ascii="Calibri" w:hAnsi="Calibri" w:cs="Calibri"/>
          <w:color w:val="000000" w:themeColor="text1"/>
          <w:sz w:val="22"/>
          <w:szCs w:val="22"/>
        </w:rPr>
        <w:t xml:space="preserve">he AKT inhibitor ipatasertib in </w:t>
      </w:r>
      <w:r w:rsidRPr="00F32484">
        <w:rPr>
          <w:rFonts w:ascii="Calibri" w:hAnsi="Calibri" w:cs="Calibri"/>
          <w:color w:val="000000" w:themeColor="text1"/>
          <w:sz w:val="22"/>
          <w:szCs w:val="22"/>
        </w:rPr>
        <w:t>combination with AAP</w:t>
      </w:r>
      <w:r w:rsidR="007B21F0">
        <w:rPr>
          <w:rFonts w:ascii="Calibri" w:hAnsi="Calibri" w:cs="Calibri"/>
          <w:color w:val="000000" w:themeColor="text1"/>
          <w:sz w:val="22"/>
          <w:szCs w:val="22"/>
        </w:rPr>
        <w:t xml:space="preserve"> was studied in asymptomatic or </w:t>
      </w:r>
      <w:r w:rsidRPr="00F32484">
        <w:rPr>
          <w:rFonts w:ascii="Calibri" w:hAnsi="Calibri" w:cs="Calibri"/>
          <w:color w:val="000000" w:themeColor="text1"/>
          <w:sz w:val="22"/>
          <w:szCs w:val="22"/>
        </w:rPr>
        <w:t>mildly symptomatic pati</w:t>
      </w:r>
      <w:r w:rsidR="007B21F0">
        <w:rPr>
          <w:rFonts w:ascii="Calibri" w:hAnsi="Calibri" w:cs="Calibri"/>
          <w:color w:val="000000" w:themeColor="text1"/>
          <w:sz w:val="22"/>
          <w:szCs w:val="22"/>
        </w:rPr>
        <w:t xml:space="preserve">ents with and without PTEN loss </w:t>
      </w:r>
      <w:r w:rsidRPr="00F32484">
        <w:rPr>
          <w:rFonts w:ascii="Calibri" w:hAnsi="Calibri" w:cs="Calibri"/>
          <w:color w:val="000000" w:themeColor="text1"/>
          <w:sz w:val="22"/>
          <w:szCs w:val="22"/>
        </w:rPr>
        <w:t>according to immu</w:t>
      </w:r>
      <w:r w:rsidR="007B21F0">
        <w:rPr>
          <w:rFonts w:ascii="Calibri" w:hAnsi="Calibri" w:cs="Calibri"/>
          <w:color w:val="000000" w:themeColor="text1"/>
          <w:sz w:val="22"/>
          <w:szCs w:val="22"/>
        </w:rPr>
        <w:t xml:space="preserve">nohistochemistry and previously </w:t>
      </w:r>
      <w:r w:rsidRPr="00F32484">
        <w:rPr>
          <w:rFonts w:ascii="Calibri" w:hAnsi="Calibri" w:cs="Calibri"/>
          <w:color w:val="000000" w:themeColor="text1"/>
          <w:sz w:val="22"/>
          <w:szCs w:val="22"/>
        </w:rPr>
        <w:t>untreated for mCRPC. The randomised phase 3 trial (IPAtential)</w:t>
      </w:r>
    </w:p>
    <w:p w14:paraId="3C83E919" w14:textId="6E0F23B6" w:rsidR="00F32484" w:rsidRDefault="00F32484" w:rsidP="00F32484">
      <w:pPr>
        <w:autoSpaceDE w:val="0"/>
        <w:autoSpaceDN w:val="0"/>
        <w:adjustRightInd w:val="0"/>
        <w:spacing w:line="276" w:lineRule="auto"/>
        <w:jc w:val="both"/>
        <w:rPr>
          <w:rFonts w:ascii="Calibri" w:hAnsi="Calibri" w:cs="Calibri"/>
          <w:color w:val="000000" w:themeColor="text1"/>
          <w:sz w:val="22"/>
          <w:szCs w:val="22"/>
        </w:rPr>
      </w:pPr>
      <w:proofErr w:type="gramStart"/>
      <w:r w:rsidRPr="00F32484">
        <w:rPr>
          <w:rFonts w:ascii="Calibri" w:hAnsi="Calibri" w:cs="Calibri"/>
          <w:color w:val="000000" w:themeColor="text1"/>
          <w:sz w:val="22"/>
          <w:szCs w:val="22"/>
        </w:rPr>
        <w:t>showed</w:t>
      </w:r>
      <w:proofErr w:type="gramEnd"/>
      <w:r w:rsidRPr="00F32484">
        <w:rPr>
          <w:rFonts w:ascii="Calibri" w:hAnsi="Calibri" w:cs="Calibri"/>
          <w:color w:val="000000" w:themeColor="text1"/>
          <w:sz w:val="22"/>
          <w:szCs w:val="22"/>
        </w:rPr>
        <w:t xml:space="preserve"> a significant b</w:t>
      </w:r>
      <w:r w:rsidR="007B21F0">
        <w:rPr>
          <w:rFonts w:ascii="Calibri" w:hAnsi="Calibri" w:cs="Calibri"/>
          <w:color w:val="000000" w:themeColor="text1"/>
          <w:sz w:val="22"/>
          <w:szCs w:val="22"/>
        </w:rPr>
        <w:t xml:space="preserve">enefit for the primary endpoint </w:t>
      </w:r>
      <w:r w:rsidRPr="00F32484">
        <w:rPr>
          <w:rFonts w:ascii="Calibri" w:hAnsi="Calibri" w:cs="Calibri"/>
          <w:color w:val="000000" w:themeColor="text1"/>
          <w:sz w:val="22"/>
          <w:szCs w:val="22"/>
        </w:rPr>
        <w:t xml:space="preserve">of rPFS in the PTEN loss </w:t>
      </w:r>
      <w:r w:rsidR="007B21F0">
        <w:rPr>
          <w:rFonts w:ascii="Calibri" w:hAnsi="Calibri" w:cs="Calibri"/>
          <w:color w:val="000000" w:themeColor="text1"/>
          <w:sz w:val="22"/>
          <w:szCs w:val="22"/>
        </w:rPr>
        <w:t xml:space="preserve">population (18.5 vs 16.5 mo; HR </w:t>
      </w:r>
      <w:r w:rsidRPr="00F32484">
        <w:rPr>
          <w:rFonts w:ascii="Calibri" w:hAnsi="Calibri" w:cs="Calibri"/>
          <w:color w:val="000000" w:themeColor="text1"/>
          <w:sz w:val="22"/>
          <w:szCs w:val="22"/>
        </w:rPr>
        <w:t>0.77, 95% CI 0.61–0</w:t>
      </w:r>
      <w:r w:rsidR="007B21F0">
        <w:rPr>
          <w:rFonts w:ascii="Calibri" w:hAnsi="Calibri" w:cs="Calibri"/>
          <w:color w:val="000000" w:themeColor="text1"/>
          <w:sz w:val="22"/>
          <w:szCs w:val="22"/>
        </w:rPr>
        <w:t xml:space="preserve">.98; p = 0.0335) but not in the </w:t>
      </w:r>
      <w:r w:rsidRPr="00F32484">
        <w:rPr>
          <w:rFonts w:ascii="Calibri" w:hAnsi="Calibri" w:cs="Calibri"/>
          <w:color w:val="000000" w:themeColor="text1"/>
          <w:sz w:val="22"/>
          <w:szCs w:val="22"/>
        </w:rPr>
        <w:t>intention-to-treat (ITT) popul</w:t>
      </w:r>
      <w:r w:rsidR="007B21F0">
        <w:rPr>
          <w:rFonts w:ascii="Calibri" w:hAnsi="Calibri" w:cs="Calibri"/>
          <w:color w:val="000000" w:themeColor="text1"/>
          <w:sz w:val="22"/>
          <w:szCs w:val="22"/>
        </w:rPr>
        <w:t xml:space="preserve">ation. The OS results are still </w:t>
      </w:r>
      <w:r w:rsidRPr="00F32484">
        <w:rPr>
          <w:rFonts w:ascii="Calibri" w:hAnsi="Calibri" w:cs="Calibri"/>
          <w:color w:val="000000" w:themeColor="text1"/>
          <w:sz w:val="22"/>
          <w:szCs w:val="22"/>
        </w:rPr>
        <w:t>pending. Side effects of the AK</w:t>
      </w:r>
      <w:r w:rsidR="007B21F0">
        <w:rPr>
          <w:rFonts w:ascii="Calibri" w:hAnsi="Calibri" w:cs="Calibri"/>
          <w:color w:val="000000" w:themeColor="text1"/>
          <w:sz w:val="22"/>
          <w:szCs w:val="22"/>
        </w:rPr>
        <w:t xml:space="preserve">T inhibitor ipatasertib include rash and diarrhoea [95]. Grade ≥3 adverse events (AEs) </w:t>
      </w:r>
      <w:r w:rsidRPr="00F32484">
        <w:rPr>
          <w:rFonts w:ascii="Calibri" w:hAnsi="Calibri" w:cs="Calibri"/>
          <w:color w:val="000000" w:themeColor="text1"/>
          <w:sz w:val="22"/>
          <w:szCs w:val="22"/>
        </w:rPr>
        <w:t xml:space="preserve">occurred nearly twice as </w:t>
      </w:r>
      <w:r w:rsidR="007B21F0">
        <w:rPr>
          <w:rFonts w:ascii="Calibri" w:hAnsi="Calibri" w:cs="Calibri"/>
          <w:color w:val="000000" w:themeColor="text1"/>
          <w:sz w:val="22"/>
          <w:szCs w:val="22"/>
        </w:rPr>
        <w:t xml:space="preserve">often in the combination group, </w:t>
      </w:r>
      <w:r w:rsidRPr="00F32484">
        <w:rPr>
          <w:rFonts w:ascii="Calibri" w:hAnsi="Calibri" w:cs="Calibri"/>
          <w:color w:val="000000" w:themeColor="text1"/>
          <w:sz w:val="22"/>
          <w:szCs w:val="22"/>
        </w:rPr>
        <w:t>and the discontinuation</w:t>
      </w:r>
      <w:r w:rsidR="007B21F0">
        <w:rPr>
          <w:rFonts w:ascii="Calibri" w:hAnsi="Calibri" w:cs="Calibri"/>
          <w:color w:val="000000" w:themeColor="text1"/>
          <w:sz w:val="22"/>
          <w:szCs w:val="22"/>
        </w:rPr>
        <w:t xml:space="preserve"> rate due to AEs was four times </w:t>
      </w:r>
      <w:r w:rsidRPr="00F32484">
        <w:rPr>
          <w:rFonts w:ascii="Calibri" w:hAnsi="Calibri" w:cs="Calibri"/>
          <w:color w:val="000000" w:themeColor="text1"/>
          <w:sz w:val="22"/>
          <w:szCs w:val="22"/>
        </w:rPr>
        <w:t>higher. This combination is still investigational [96].</w:t>
      </w:r>
    </w:p>
    <w:p w14:paraId="55D9EE68" w14:textId="77777777" w:rsidR="007B21F0" w:rsidRPr="00F32484" w:rsidRDefault="007B21F0" w:rsidP="00F32484">
      <w:pPr>
        <w:autoSpaceDE w:val="0"/>
        <w:autoSpaceDN w:val="0"/>
        <w:adjustRightInd w:val="0"/>
        <w:spacing w:line="276" w:lineRule="auto"/>
        <w:jc w:val="both"/>
        <w:rPr>
          <w:rFonts w:ascii="Calibri" w:hAnsi="Calibri" w:cs="Calibri"/>
          <w:color w:val="000000" w:themeColor="text1"/>
          <w:sz w:val="22"/>
          <w:szCs w:val="22"/>
        </w:rPr>
      </w:pPr>
    </w:p>
    <w:p w14:paraId="1C08D3DE" w14:textId="30A11FAF" w:rsidR="00F32484" w:rsidRPr="00F32484" w:rsidRDefault="00F32484" w:rsidP="00E9460F">
      <w:pPr>
        <w:autoSpaceDE w:val="0"/>
        <w:autoSpaceDN w:val="0"/>
        <w:adjustRightInd w:val="0"/>
        <w:spacing w:line="276" w:lineRule="auto"/>
        <w:ind w:firstLine="720"/>
        <w:jc w:val="both"/>
        <w:rPr>
          <w:rFonts w:ascii="Calibri" w:hAnsi="Calibri" w:cs="Calibri"/>
          <w:color w:val="000000" w:themeColor="text1"/>
          <w:sz w:val="22"/>
          <w:szCs w:val="22"/>
        </w:rPr>
      </w:pPr>
      <w:r w:rsidRPr="00E9460F">
        <w:rPr>
          <w:rFonts w:ascii="Calibri" w:hAnsi="Calibri" w:cs="Calibri"/>
          <w:i/>
          <w:color w:val="000000" w:themeColor="text1"/>
          <w:sz w:val="22"/>
          <w:szCs w:val="22"/>
        </w:rPr>
        <w:t>3.3.2.1.6. Combinations with P</w:t>
      </w:r>
      <w:r w:rsidR="007B21F0" w:rsidRPr="00E9460F">
        <w:rPr>
          <w:rFonts w:ascii="Calibri" w:hAnsi="Calibri" w:cs="Calibri"/>
          <w:i/>
          <w:color w:val="000000" w:themeColor="text1"/>
          <w:sz w:val="22"/>
          <w:szCs w:val="22"/>
        </w:rPr>
        <w:t>ARP inhibitors</w:t>
      </w:r>
      <w:r w:rsidR="007B21F0">
        <w:rPr>
          <w:rFonts w:ascii="Calibri" w:hAnsi="Calibri" w:cs="Calibri"/>
          <w:color w:val="000000" w:themeColor="text1"/>
          <w:sz w:val="22"/>
          <w:szCs w:val="22"/>
        </w:rPr>
        <w:t xml:space="preserve">. On the basis of </w:t>
      </w:r>
      <w:r w:rsidRPr="00F32484">
        <w:rPr>
          <w:rFonts w:ascii="Calibri" w:hAnsi="Calibri" w:cs="Calibri"/>
          <w:color w:val="000000" w:themeColor="text1"/>
          <w:sz w:val="22"/>
          <w:szCs w:val="22"/>
        </w:rPr>
        <w:t xml:space="preserve">the suggestion that there is </w:t>
      </w:r>
      <w:r w:rsidR="007B21F0">
        <w:rPr>
          <w:rFonts w:ascii="Calibri" w:hAnsi="Calibri" w:cs="Calibri"/>
          <w:color w:val="000000" w:themeColor="text1"/>
          <w:sz w:val="22"/>
          <w:szCs w:val="22"/>
        </w:rPr>
        <w:t xml:space="preserve">a synergistic antitumour effect </w:t>
      </w:r>
      <w:r w:rsidRPr="00F32484">
        <w:rPr>
          <w:rFonts w:ascii="Calibri" w:hAnsi="Calibri" w:cs="Calibri"/>
          <w:color w:val="000000" w:themeColor="text1"/>
          <w:sz w:val="22"/>
          <w:szCs w:val="22"/>
        </w:rPr>
        <w:t>when combining an ARPI with a PARP inhibitor, several</w:t>
      </w:r>
      <w:r w:rsidR="007B21F0">
        <w:rPr>
          <w:rFonts w:ascii="Calibri" w:hAnsi="Calibri" w:cs="Calibri"/>
          <w:color w:val="000000" w:themeColor="text1"/>
          <w:sz w:val="22"/>
          <w:szCs w:val="22"/>
        </w:rPr>
        <w:t xml:space="preserve"> </w:t>
      </w:r>
      <w:r w:rsidRPr="00F32484">
        <w:rPr>
          <w:rFonts w:ascii="Calibri" w:hAnsi="Calibri" w:cs="Calibri"/>
          <w:color w:val="000000" w:themeColor="text1"/>
          <w:sz w:val="22"/>
          <w:szCs w:val="22"/>
        </w:rPr>
        <w:t>such combination trials (Table</w:t>
      </w:r>
      <w:r w:rsidR="007B21F0">
        <w:rPr>
          <w:rFonts w:ascii="Calibri" w:hAnsi="Calibri" w:cs="Calibri"/>
          <w:color w:val="000000" w:themeColor="text1"/>
          <w:sz w:val="22"/>
          <w:szCs w:val="22"/>
        </w:rPr>
        <w:t xml:space="preserve"> 7) were conducted in firstline </w:t>
      </w:r>
      <w:r w:rsidRPr="00F32484">
        <w:rPr>
          <w:rFonts w:ascii="Calibri" w:hAnsi="Calibri" w:cs="Calibri"/>
          <w:color w:val="000000" w:themeColor="text1"/>
          <w:sz w:val="22"/>
          <w:szCs w:val="22"/>
        </w:rPr>
        <w:t>mCRPC with different trial designs, different patient</w:t>
      </w:r>
    </w:p>
    <w:p w14:paraId="1BE15F18" w14:textId="49965542" w:rsidR="000337C9" w:rsidRDefault="00F32484" w:rsidP="00F32484">
      <w:pPr>
        <w:autoSpaceDE w:val="0"/>
        <w:autoSpaceDN w:val="0"/>
        <w:adjustRightInd w:val="0"/>
        <w:spacing w:line="276" w:lineRule="auto"/>
        <w:jc w:val="both"/>
        <w:rPr>
          <w:rFonts w:ascii="Calibri" w:hAnsi="Calibri" w:cs="Calibri"/>
          <w:color w:val="000000" w:themeColor="text1"/>
          <w:sz w:val="22"/>
          <w:szCs w:val="22"/>
        </w:rPr>
      </w:pPr>
      <w:proofErr w:type="gramStart"/>
      <w:r w:rsidRPr="00F32484">
        <w:rPr>
          <w:rFonts w:ascii="Calibri" w:hAnsi="Calibri" w:cs="Calibri"/>
          <w:color w:val="000000" w:themeColor="text1"/>
          <w:sz w:val="22"/>
          <w:szCs w:val="22"/>
        </w:rPr>
        <w:t>selection</w:t>
      </w:r>
      <w:proofErr w:type="gramEnd"/>
      <w:r w:rsidRPr="00F32484">
        <w:rPr>
          <w:rFonts w:ascii="Calibri" w:hAnsi="Calibri" w:cs="Calibri"/>
          <w:color w:val="000000" w:themeColor="text1"/>
          <w:sz w:val="22"/>
          <w:szCs w:val="22"/>
        </w:rPr>
        <w:t xml:space="preserve"> criteria, and conflicting results.</w:t>
      </w:r>
      <w:r>
        <w:rPr>
          <w:rFonts w:ascii="Calibri" w:hAnsi="Calibri" w:cs="Calibri"/>
          <w:color w:val="000000" w:themeColor="text1"/>
          <w:sz w:val="22"/>
          <w:szCs w:val="22"/>
        </w:rPr>
        <w:t xml:space="preserve"> </w:t>
      </w:r>
      <w:r w:rsidRPr="00F32484">
        <w:rPr>
          <w:rFonts w:ascii="Calibri" w:hAnsi="Calibri" w:cs="Calibri"/>
          <w:color w:val="000000" w:themeColor="text1"/>
          <w:sz w:val="22"/>
          <w:szCs w:val="22"/>
        </w:rPr>
        <w:t>The combination of ARP</w:t>
      </w:r>
      <w:r w:rsidR="007B21F0">
        <w:rPr>
          <w:rFonts w:ascii="Calibri" w:hAnsi="Calibri" w:cs="Calibri"/>
          <w:color w:val="000000" w:themeColor="text1"/>
          <w:sz w:val="22"/>
          <w:szCs w:val="22"/>
        </w:rPr>
        <w:t xml:space="preserve">I plus </w:t>
      </w:r>
      <w:proofErr w:type="gramStart"/>
      <w:r w:rsidR="007B21F0">
        <w:rPr>
          <w:rFonts w:ascii="Calibri" w:hAnsi="Calibri" w:cs="Calibri"/>
          <w:color w:val="000000" w:themeColor="text1"/>
          <w:sz w:val="22"/>
          <w:szCs w:val="22"/>
        </w:rPr>
        <w:t>an</w:t>
      </w:r>
      <w:proofErr w:type="gramEnd"/>
      <w:r w:rsidR="007B21F0">
        <w:rPr>
          <w:rFonts w:ascii="Calibri" w:hAnsi="Calibri" w:cs="Calibri"/>
          <w:color w:val="000000" w:themeColor="text1"/>
          <w:sz w:val="22"/>
          <w:szCs w:val="22"/>
        </w:rPr>
        <w:t xml:space="preserve"> PARP inhibitor showed </w:t>
      </w:r>
      <w:r w:rsidRPr="00F32484">
        <w:rPr>
          <w:rFonts w:ascii="Calibri" w:hAnsi="Calibri" w:cs="Calibri"/>
          <w:color w:val="000000" w:themeColor="text1"/>
          <w:sz w:val="22"/>
          <w:szCs w:val="22"/>
        </w:rPr>
        <w:t>a significant rPFS benefit i</w:t>
      </w:r>
      <w:r w:rsidR="007B21F0">
        <w:rPr>
          <w:rFonts w:ascii="Calibri" w:hAnsi="Calibri" w:cs="Calibri"/>
          <w:color w:val="000000" w:themeColor="text1"/>
          <w:sz w:val="22"/>
          <w:szCs w:val="22"/>
        </w:rPr>
        <w:t xml:space="preserve">n RCTs for unselected patients. </w:t>
      </w:r>
      <w:r w:rsidRPr="00F32484">
        <w:rPr>
          <w:rFonts w:ascii="Calibri" w:hAnsi="Calibri" w:cs="Calibri"/>
          <w:color w:val="000000" w:themeColor="text1"/>
          <w:sz w:val="22"/>
          <w:szCs w:val="22"/>
        </w:rPr>
        <w:t>However, this benefit</w:t>
      </w:r>
      <w:r w:rsidR="007B21F0">
        <w:rPr>
          <w:rFonts w:ascii="Calibri" w:hAnsi="Calibri" w:cs="Calibri"/>
          <w:color w:val="000000" w:themeColor="text1"/>
          <w:sz w:val="22"/>
          <w:szCs w:val="22"/>
        </w:rPr>
        <w:t xml:space="preserve"> is mainly driven by homologous </w:t>
      </w:r>
      <w:r w:rsidRPr="00F32484">
        <w:rPr>
          <w:rFonts w:ascii="Calibri" w:hAnsi="Calibri" w:cs="Calibri"/>
          <w:color w:val="000000" w:themeColor="text1"/>
          <w:sz w:val="22"/>
          <w:szCs w:val="22"/>
        </w:rPr>
        <w:t>recombination repair (HRR)</w:t>
      </w:r>
      <w:r w:rsidR="007B21F0">
        <w:rPr>
          <w:rFonts w:ascii="Calibri" w:hAnsi="Calibri" w:cs="Calibri"/>
          <w:color w:val="000000" w:themeColor="text1"/>
          <w:sz w:val="22"/>
          <w:szCs w:val="22"/>
        </w:rPr>
        <w:t xml:space="preserve">-deficient patients, especially </w:t>
      </w:r>
      <w:r w:rsidRPr="00F32484">
        <w:rPr>
          <w:rFonts w:ascii="Calibri" w:hAnsi="Calibri" w:cs="Calibri"/>
          <w:color w:val="000000" w:themeColor="text1"/>
          <w:sz w:val="22"/>
          <w:szCs w:val="22"/>
        </w:rPr>
        <w:t>those with BRCA1/2 alteratio</w:t>
      </w:r>
      <w:r w:rsidR="007B21F0">
        <w:rPr>
          <w:rFonts w:ascii="Calibri" w:hAnsi="Calibri" w:cs="Calibri"/>
          <w:color w:val="000000" w:themeColor="text1"/>
          <w:sz w:val="22"/>
          <w:szCs w:val="22"/>
        </w:rPr>
        <w:t xml:space="preserve">ns. So far, no clear OS benefit </w:t>
      </w:r>
      <w:r w:rsidRPr="00F32484">
        <w:rPr>
          <w:rFonts w:ascii="Calibri" w:hAnsi="Calibri" w:cs="Calibri"/>
          <w:color w:val="000000" w:themeColor="text1"/>
          <w:sz w:val="22"/>
          <w:szCs w:val="22"/>
        </w:rPr>
        <w:t>has been seen, and the side</w:t>
      </w:r>
      <w:r w:rsidR="007B21F0">
        <w:rPr>
          <w:rFonts w:ascii="Calibri" w:hAnsi="Calibri" w:cs="Calibri"/>
          <w:color w:val="000000" w:themeColor="text1"/>
          <w:sz w:val="22"/>
          <w:szCs w:val="22"/>
        </w:rPr>
        <w:t xml:space="preserve"> effects of PARP inhibitors add </w:t>
      </w:r>
      <w:r w:rsidRPr="00F32484">
        <w:rPr>
          <w:rFonts w:ascii="Calibri" w:hAnsi="Calibri" w:cs="Calibri"/>
          <w:color w:val="000000" w:themeColor="text1"/>
          <w:sz w:val="22"/>
          <w:szCs w:val="22"/>
        </w:rPr>
        <w:t>substantial toxicity to ARPI monotherap</w:t>
      </w:r>
      <w:r w:rsidR="007B21F0">
        <w:rPr>
          <w:rFonts w:ascii="Calibri" w:hAnsi="Calibri" w:cs="Calibri"/>
          <w:color w:val="000000" w:themeColor="text1"/>
          <w:sz w:val="22"/>
          <w:szCs w:val="22"/>
        </w:rPr>
        <w:t xml:space="preserve">y. Therefore, no recommendation </w:t>
      </w:r>
      <w:r w:rsidRPr="00F32484">
        <w:rPr>
          <w:rFonts w:ascii="Calibri" w:hAnsi="Calibri" w:cs="Calibri"/>
          <w:color w:val="000000" w:themeColor="text1"/>
          <w:sz w:val="22"/>
          <w:szCs w:val="22"/>
        </w:rPr>
        <w:t xml:space="preserve">is given for </w:t>
      </w:r>
      <w:r w:rsidR="007B21F0">
        <w:rPr>
          <w:rFonts w:ascii="Calibri" w:hAnsi="Calibri" w:cs="Calibri"/>
          <w:color w:val="000000" w:themeColor="text1"/>
          <w:sz w:val="22"/>
          <w:szCs w:val="22"/>
        </w:rPr>
        <w:t xml:space="preserve">patients without HRR or BRCA1/2 </w:t>
      </w:r>
      <w:r w:rsidRPr="00F32484">
        <w:rPr>
          <w:rFonts w:ascii="Calibri" w:hAnsi="Calibri" w:cs="Calibri"/>
          <w:color w:val="000000" w:themeColor="text1"/>
          <w:sz w:val="22"/>
          <w:szCs w:val="22"/>
        </w:rPr>
        <w:t>mutations and the data wi</w:t>
      </w:r>
      <w:r w:rsidR="007B21F0">
        <w:rPr>
          <w:rFonts w:ascii="Calibri" w:hAnsi="Calibri" w:cs="Calibri"/>
          <w:color w:val="000000" w:themeColor="text1"/>
          <w:sz w:val="22"/>
          <w:szCs w:val="22"/>
        </w:rPr>
        <w:t xml:space="preserve">ll be re-evaluated after longer </w:t>
      </w:r>
      <w:r w:rsidRPr="00F32484">
        <w:rPr>
          <w:rFonts w:ascii="Calibri" w:hAnsi="Calibri" w:cs="Calibri"/>
          <w:color w:val="000000" w:themeColor="text1"/>
          <w:sz w:val="22"/>
          <w:szCs w:val="22"/>
        </w:rPr>
        <w:t>follow-up.</w:t>
      </w:r>
    </w:p>
    <w:p w14:paraId="262EB384" w14:textId="77777777" w:rsidR="00F32484" w:rsidRPr="00AC1831" w:rsidRDefault="00F32484" w:rsidP="000337C9">
      <w:pPr>
        <w:autoSpaceDE w:val="0"/>
        <w:autoSpaceDN w:val="0"/>
        <w:adjustRightInd w:val="0"/>
        <w:spacing w:line="276" w:lineRule="auto"/>
        <w:jc w:val="both"/>
        <w:rPr>
          <w:rFonts w:ascii="Calibri" w:eastAsia="Times New Roman" w:hAnsi="Calibri" w:cs="Calibri"/>
          <w:color w:val="000000" w:themeColor="text1"/>
          <w:sz w:val="22"/>
          <w:szCs w:val="22"/>
        </w:rPr>
      </w:pPr>
    </w:p>
    <w:p w14:paraId="0FD6100A" w14:textId="33EA2C8A" w:rsidR="007B21F0" w:rsidRPr="00E9460F" w:rsidRDefault="007B21F0" w:rsidP="00E9460F">
      <w:pPr>
        <w:autoSpaceDE w:val="0"/>
        <w:autoSpaceDN w:val="0"/>
        <w:adjustRightInd w:val="0"/>
        <w:spacing w:line="276" w:lineRule="auto"/>
        <w:ind w:firstLine="720"/>
        <w:jc w:val="both"/>
        <w:rPr>
          <w:rFonts w:ascii="Calibri" w:eastAsia="Calibri" w:hAnsi="Calibri" w:cs="Calibri"/>
          <w:iCs/>
          <w:noProof/>
          <w:color w:val="000000" w:themeColor="text1"/>
          <w:sz w:val="22"/>
          <w:szCs w:val="22"/>
        </w:rPr>
      </w:pPr>
      <w:r w:rsidRPr="007B21F0">
        <w:rPr>
          <w:rFonts w:ascii="Calibri" w:eastAsia="Calibri" w:hAnsi="Calibri" w:cs="Calibri"/>
          <w:i/>
          <w:iCs/>
          <w:noProof/>
          <w:color w:val="000000" w:themeColor="text1"/>
          <w:sz w:val="22"/>
          <w:szCs w:val="22"/>
        </w:rPr>
        <w:t>3.3.2.1.6.1. AAP plus olapa</w:t>
      </w:r>
      <w:r>
        <w:rPr>
          <w:rFonts w:ascii="Calibri" w:eastAsia="Calibri" w:hAnsi="Calibri" w:cs="Calibri"/>
          <w:i/>
          <w:iCs/>
          <w:noProof/>
          <w:color w:val="000000" w:themeColor="text1"/>
          <w:sz w:val="22"/>
          <w:szCs w:val="22"/>
        </w:rPr>
        <w:t xml:space="preserve">rib. </w:t>
      </w:r>
      <w:r w:rsidRPr="00E9460F">
        <w:rPr>
          <w:rFonts w:ascii="Calibri" w:eastAsia="Calibri" w:hAnsi="Calibri" w:cs="Calibri"/>
          <w:iCs/>
          <w:noProof/>
          <w:color w:val="000000" w:themeColor="text1"/>
          <w:sz w:val="22"/>
          <w:szCs w:val="22"/>
        </w:rPr>
        <w:t>A randomised, double-blind phase 3 trial (PROpel)</w:t>
      </w:r>
      <w:r w:rsidR="00C43A28" w:rsidRPr="00E9460F">
        <w:rPr>
          <w:rFonts w:ascii="Calibri" w:eastAsia="Calibri" w:hAnsi="Calibri" w:cs="Calibri"/>
          <w:iCs/>
          <w:noProof/>
          <w:color w:val="000000" w:themeColor="text1"/>
          <w:sz w:val="22"/>
          <w:szCs w:val="22"/>
        </w:rPr>
        <w:t xml:space="preserve"> investigated AAP plus olaparib </w:t>
      </w:r>
      <w:r w:rsidRPr="00E9460F">
        <w:rPr>
          <w:rFonts w:ascii="Calibri" w:eastAsia="Calibri" w:hAnsi="Calibri" w:cs="Calibri"/>
          <w:iCs/>
          <w:noProof/>
          <w:color w:val="000000" w:themeColor="text1"/>
          <w:sz w:val="22"/>
          <w:szCs w:val="22"/>
        </w:rPr>
        <w:t>(300 mg twice daily) or</w:t>
      </w:r>
      <w:r w:rsidR="00C43A28" w:rsidRPr="00E9460F">
        <w:rPr>
          <w:rFonts w:ascii="Calibri" w:eastAsia="Calibri" w:hAnsi="Calibri" w:cs="Calibri"/>
          <w:iCs/>
          <w:noProof/>
          <w:color w:val="000000" w:themeColor="text1"/>
          <w:sz w:val="22"/>
          <w:szCs w:val="22"/>
        </w:rPr>
        <w:t xml:space="preserve"> placebo in patients with mCRPC </w:t>
      </w:r>
      <w:r w:rsidRPr="00E9460F">
        <w:rPr>
          <w:rFonts w:ascii="Calibri" w:eastAsia="Calibri" w:hAnsi="Calibri" w:cs="Calibri"/>
          <w:iCs/>
          <w:noProof/>
          <w:color w:val="000000" w:themeColor="text1"/>
          <w:sz w:val="22"/>
          <w:szCs w:val="22"/>
        </w:rPr>
        <w:t>in the first-line setting [97,98]. P</w:t>
      </w:r>
      <w:r w:rsidR="00C43A28" w:rsidRPr="00E9460F">
        <w:rPr>
          <w:rFonts w:ascii="Calibri" w:eastAsia="Calibri" w:hAnsi="Calibri" w:cs="Calibri"/>
          <w:iCs/>
          <w:noProof/>
          <w:color w:val="000000" w:themeColor="text1"/>
          <w:sz w:val="22"/>
          <w:szCs w:val="22"/>
        </w:rPr>
        <w:t xml:space="preserve">atients (n = 796) were randomly </w:t>
      </w:r>
      <w:r w:rsidRPr="00E9460F">
        <w:rPr>
          <w:rFonts w:ascii="Calibri" w:eastAsia="Calibri" w:hAnsi="Calibri" w:cs="Calibri"/>
          <w:iCs/>
          <w:noProof/>
          <w:color w:val="000000" w:themeColor="text1"/>
          <w:sz w:val="22"/>
          <w:szCs w:val="22"/>
        </w:rPr>
        <w:t>assigned 1:1 to th</w:t>
      </w:r>
      <w:r w:rsidR="00C43A28" w:rsidRPr="00E9460F">
        <w:rPr>
          <w:rFonts w:ascii="Calibri" w:eastAsia="Calibri" w:hAnsi="Calibri" w:cs="Calibri"/>
          <w:iCs/>
          <w:noProof/>
          <w:color w:val="000000" w:themeColor="text1"/>
          <w:sz w:val="22"/>
          <w:szCs w:val="22"/>
        </w:rPr>
        <w:t xml:space="preserve">e study treatment regardless of </w:t>
      </w:r>
      <w:r w:rsidRPr="00E9460F">
        <w:rPr>
          <w:rFonts w:ascii="Calibri" w:eastAsia="Calibri" w:hAnsi="Calibri" w:cs="Calibri"/>
          <w:iCs/>
          <w:noProof/>
          <w:color w:val="000000" w:themeColor="text1"/>
          <w:sz w:val="22"/>
          <w:szCs w:val="22"/>
        </w:rPr>
        <w:t>HRR gene mutation (HRRm) st</w:t>
      </w:r>
      <w:r w:rsidR="00C43A28" w:rsidRPr="00E9460F">
        <w:rPr>
          <w:rFonts w:ascii="Calibri" w:eastAsia="Calibri" w:hAnsi="Calibri" w:cs="Calibri"/>
          <w:iCs/>
          <w:noProof/>
          <w:color w:val="000000" w:themeColor="text1"/>
          <w:sz w:val="22"/>
          <w:szCs w:val="22"/>
        </w:rPr>
        <w:t xml:space="preserve">atus, which was retrospectively </w:t>
      </w:r>
      <w:r w:rsidRPr="00E9460F">
        <w:rPr>
          <w:rFonts w:ascii="Calibri" w:eastAsia="Calibri" w:hAnsi="Calibri" w:cs="Calibri"/>
          <w:iCs/>
          <w:noProof/>
          <w:color w:val="000000" w:themeColor="text1"/>
          <w:sz w:val="22"/>
          <w:szCs w:val="22"/>
        </w:rPr>
        <w:t>determined via tumou</w:t>
      </w:r>
      <w:r w:rsidR="00C43A28" w:rsidRPr="00E9460F">
        <w:rPr>
          <w:rFonts w:ascii="Calibri" w:eastAsia="Calibri" w:hAnsi="Calibri" w:cs="Calibri"/>
          <w:iCs/>
          <w:noProof/>
          <w:color w:val="000000" w:themeColor="text1"/>
          <w:sz w:val="22"/>
          <w:szCs w:val="22"/>
        </w:rPr>
        <w:t xml:space="preserve">r tissue and circulating tumour </w:t>
      </w:r>
      <w:r w:rsidRPr="00E9460F">
        <w:rPr>
          <w:rFonts w:ascii="Calibri" w:eastAsia="Calibri" w:hAnsi="Calibri" w:cs="Calibri"/>
          <w:iCs/>
          <w:noProof/>
          <w:color w:val="000000" w:themeColor="text1"/>
          <w:sz w:val="22"/>
          <w:szCs w:val="22"/>
        </w:rPr>
        <w:t>DNA tests. The primary</w:t>
      </w:r>
      <w:r w:rsidR="00C43A28" w:rsidRPr="00E9460F">
        <w:rPr>
          <w:rFonts w:ascii="Calibri" w:eastAsia="Calibri" w:hAnsi="Calibri" w:cs="Calibri"/>
          <w:iCs/>
          <w:noProof/>
          <w:color w:val="000000" w:themeColor="text1"/>
          <w:sz w:val="22"/>
          <w:szCs w:val="22"/>
        </w:rPr>
        <w:t xml:space="preserve"> endpoint was imaging-based PFS </w:t>
      </w:r>
      <w:r w:rsidRPr="00E9460F">
        <w:rPr>
          <w:rFonts w:ascii="Calibri" w:eastAsia="Calibri" w:hAnsi="Calibri" w:cs="Calibri"/>
          <w:iCs/>
          <w:noProof/>
          <w:color w:val="000000" w:themeColor="text1"/>
          <w:sz w:val="22"/>
          <w:szCs w:val="22"/>
        </w:rPr>
        <w:t>(ibPFS) on investigator assessmen</w:t>
      </w:r>
      <w:r w:rsidR="00C43A28" w:rsidRPr="00E9460F">
        <w:rPr>
          <w:rFonts w:ascii="Calibri" w:eastAsia="Calibri" w:hAnsi="Calibri" w:cs="Calibri"/>
          <w:iCs/>
          <w:noProof/>
          <w:color w:val="000000" w:themeColor="text1"/>
          <w:sz w:val="22"/>
          <w:szCs w:val="22"/>
        </w:rPr>
        <w:t>t. The result was significantly</w:t>
      </w:r>
      <w:r w:rsidRPr="00E9460F">
        <w:rPr>
          <w:rFonts w:ascii="Calibri" w:eastAsia="Calibri" w:hAnsi="Calibri" w:cs="Calibri"/>
          <w:iCs/>
          <w:noProof/>
          <w:color w:val="000000" w:themeColor="text1"/>
          <w:sz w:val="22"/>
          <w:szCs w:val="22"/>
        </w:rPr>
        <w:t>positive in favour of</w:t>
      </w:r>
      <w:r w:rsidR="00C43A28" w:rsidRPr="00E9460F">
        <w:rPr>
          <w:rFonts w:ascii="Calibri" w:eastAsia="Calibri" w:hAnsi="Calibri" w:cs="Calibri"/>
          <w:iCs/>
          <w:noProof/>
          <w:color w:val="000000" w:themeColor="text1"/>
          <w:sz w:val="22"/>
          <w:szCs w:val="22"/>
        </w:rPr>
        <w:t xml:space="preserve"> the combination, with ibPFS of </w:t>
      </w:r>
      <w:r w:rsidRPr="00E9460F">
        <w:rPr>
          <w:rFonts w:ascii="Calibri" w:eastAsia="Calibri" w:hAnsi="Calibri" w:cs="Calibri"/>
          <w:iCs/>
          <w:noProof/>
          <w:color w:val="000000" w:themeColor="text1"/>
          <w:sz w:val="22"/>
          <w:szCs w:val="22"/>
        </w:rPr>
        <w:t>24.8 versus 16.6</w:t>
      </w:r>
      <w:r w:rsidR="00C43A28" w:rsidRPr="00E9460F">
        <w:rPr>
          <w:rFonts w:ascii="Calibri" w:eastAsia="Calibri" w:hAnsi="Calibri" w:cs="Calibri"/>
          <w:iCs/>
          <w:noProof/>
          <w:color w:val="000000" w:themeColor="text1"/>
          <w:sz w:val="22"/>
          <w:szCs w:val="22"/>
        </w:rPr>
        <w:t xml:space="preserve"> mo </w:t>
      </w:r>
      <w:r w:rsidR="00C43A28" w:rsidRPr="00E9460F">
        <w:rPr>
          <w:rFonts w:ascii="Calibri" w:eastAsia="Calibri" w:hAnsi="Calibri" w:cs="Calibri"/>
          <w:iCs/>
          <w:noProof/>
          <w:color w:val="000000" w:themeColor="text1"/>
          <w:sz w:val="22"/>
          <w:szCs w:val="22"/>
        </w:rPr>
        <w:lastRenderedPageBreak/>
        <w:t xml:space="preserve">(HR 0.66, 95% CI 0.54–0.81; </w:t>
      </w:r>
      <w:r w:rsidRPr="00E9460F">
        <w:rPr>
          <w:rFonts w:ascii="Calibri" w:eastAsia="Calibri" w:hAnsi="Calibri" w:cs="Calibri"/>
          <w:iCs/>
          <w:noProof/>
          <w:color w:val="000000" w:themeColor="text1"/>
          <w:sz w:val="22"/>
          <w:szCs w:val="22"/>
        </w:rPr>
        <w:t>p = 0.001). In the prespecified fi</w:t>
      </w:r>
      <w:r w:rsidR="00C43A28" w:rsidRPr="00E9460F">
        <w:rPr>
          <w:rFonts w:ascii="Calibri" w:eastAsia="Calibri" w:hAnsi="Calibri" w:cs="Calibri"/>
          <w:iCs/>
          <w:noProof/>
          <w:color w:val="000000" w:themeColor="text1"/>
          <w:sz w:val="22"/>
          <w:szCs w:val="22"/>
        </w:rPr>
        <w:t xml:space="preserve">nal analyses, the key secondary </w:t>
      </w:r>
      <w:r w:rsidRPr="00E9460F">
        <w:rPr>
          <w:rFonts w:ascii="Calibri" w:eastAsia="Calibri" w:hAnsi="Calibri" w:cs="Calibri"/>
          <w:iCs/>
          <w:noProof/>
          <w:color w:val="000000" w:themeColor="text1"/>
          <w:sz w:val="22"/>
          <w:szCs w:val="22"/>
        </w:rPr>
        <w:t>endpoint OS had only 47.9% ma</w:t>
      </w:r>
      <w:r w:rsidR="00C43A28" w:rsidRPr="00E9460F">
        <w:rPr>
          <w:rFonts w:ascii="Calibri" w:eastAsia="Calibri" w:hAnsi="Calibri" w:cs="Calibri"/>
          <w:iCs/>
          <w:noProof/>
          <w:color w:val="000000" w:themeColor="text1"/>
          <w:sz w:val="22"/>
          <w:szCs w:val="22"/>
        </w:rPr>
        <w:t xml:space="preserve">turity and did not </w:t>
      </w:r>
      <w:r w:rsidRPr="00E9460F">
        <w:rPr>
          <w:rFonts w:ascii="Calibri" w:eastAsia="Calibri" w:hAnsi="Calibri" w:cs="Calibri"/>
          <w:iCs/>
          <w:noProof/>
          <w:color w:val="000000" w:themeColor="text1"/>
          <w:sz w:val="22"/>
          <w:szCs w:val="22"/>
        </w:rPr>
        <w:t>meet the prespecified two-</w:t>
      </w:r>
      <w:r w:rsidR="00C43A28" w:rsidRPr="00E9460F">
        <w:rPr>
          <w:rFonts w:ascii="Calibri" w:eastAsia="Calibri" w:hAnsi="Calibri" w:cs="Calibri"/>
          <w:iCs/>
          <w:noProof/>
          <w:color w:val="000000" w:themeColor="text1"/>
          <w:sz w:val="22"/>
          <w:szCs w:val="22"/>
        </w:rPr>
        <w:t xml:space="preserve">sided boundary for significance </w:t>
      </w:r>
      <w:r w:rsidRPr="00E9460F">
        <w:rPr>
          <w:rFonts w:ascii="Calibri" w:eastAsia="Calibri" w:hAnsi="Calibri" w:cs="Calibri"/>
          <w:iCs/>
          <w:noProof/>
          <w:color w:val="000000" w:themeColor="text1"/>
          <w:sz w:val="22"/>
          <w:szCs w:val="22"/>
        </w:rPr>
        <w:t xml:space="preserve">(HR 0.81, 95% CI 0.67–1.0; </w:t>
      </w:r>
      <w:r w:rsidR="00C43A28" w:rsidRPr="00E9460F">
        <w:rPr>
          <w:rFonts w:ascii="Calibri" w:eastAsia="Calibri" w:hAnsi="Calibri" w:cs="Calibri"/>
          <w:iCs/>
          <w:noProof/>
          <w:color w:val="000000" w:themeColor="text1"/>
          <w:sz w:val="22"/>
          <w:szCs w:val="22"/>
        </w:rPr>
        <w:t xml:space="preserve">p = 0.054). For the subgroup of </w:t>
      </w:r>
      <w:r w:rsidRPr="00E9460F">
        <w:rPr>
          <w:rFonts w:ascii="Calibri" w:eastAsia="Calibri" w:hAnsi="Calibri" w:cs="Calibri"/>
          <w:iCs/>
          <w:noProof/>
          <w:color w:val="000000" w:themeColor="text1"/>
          <w:sz w:val="22"/>
          <w:szCs w:val="22"/>
        </w:rPr>
        <w:t>patients with positive H</w:t>
      </w:r>
      <w:r w:rsidR="00C43A28" w:rsidRPr="00E9460F">
        <w:rPr>
          <w:rFonts w:ascii="Calibri" w:eastAsia="Calibri" w:hAnsi="Calibri" w:cs="Calibri"/>
          <w:iCs/>
          <w:noProof/>
          <w:color w:val="000000" w:themeColor="text1"/>
          <w:sz w:val="22"/>
          <w:szCs w:val="22"/>
        </w:rPr>
        <w:t xml:space="preserve">RRm status, the HR for rPFS was </w:t>
      </w:r>
      <w:r w:rsidRPr="00E9460F">
        <w:rPr>
          <w:rFonts w:ascii="Calibri" w:eastAsia="Calibri" w:hAnsi="Calibri" w:cs="Calibri"/>
          <w:iCs/>
          <w:noProof/>
          <w:color w:val="000000" w:themeColor="text1"/>
          <w:sz w:val="22"/>
          <w:szCs w:val="22"/>
        </w:rPr>
        <w:t>0.50 (95% CI 0.34–0.73). P</w:t>
      </w:r>
      <w:r w:rsidR="00C43A28" w:rsidRPr="00E9460F">
        <w:rPr>
          <w:rFonts w:ascii="Calibri" w:eastAsia="Calibri" w:hAnsi="Calibri" w:cs="Calibri"/>
          <w:iCs/>
          <w:noProof/>
          <w:color w:val="000000" w:themeColor="text1"/>
          <w:sz w:val="22"/>
          <w:szCs w:val="22"/>
        </w:rPr>
        <w:t>atients with BRCA mutation (11%</w:t>
      </w:r>
      <w:r w:rsidRPr="00E9460F">
        <w:rPr>
          <w:rFonts w:ascii="Calibri" w:eastAsia="Calibri" w:hAnsi="Calibri" w:cs="Calibri"/>
          <w:iCs/>
          <w:noProof/>
          <w:color w:val="000000" w:themeColor="text1"/>
          <w:sz w:val="22"/>
          <w:szCs w:val="22"/>
        </w:rPr>
        <w:t>of the ITT population) h</w:t>
      </w:r>
      <w:r w:rsidR="00C43A28" w:rsidRPr="00E9460F">
        <w:rPr>
          <w:rFonts w:ascii="Calibri" w:eastAsia="Calibri" w:hAnsi="Calibri" w:cs="Calibri"/>
          <w:iCs/>
          <w:noProof/>
          <w:color w:val="000000" w:themeColor="text1"/>
          <w:sz w:val="22"/>
          <w:szCs w:val="22"/>
        </w:rPr>
        <w:t xml:space="preserve">ad an even greater rPFS benefit </w:t>
      </w:r>
      <w:r w:rsidRPr="00E9460F">
        <w:rPr>
          <w:rFonts w:ascii="Calibri" w:eastAsia="Calibri" w:hAnsi="Calibri" w:cs="Calibri"/>
          <w:iCs/>
          <w:noProof/>
          <w:color w:val="000000" w:themeColor="text1"/>
          <w:sz w:val="22"/>
          <w:szCs w:val="22"/>
        </w:rPr>
        <w:t>(HR 0.24, 95% CI 0.12–0.</w:t>
      </w:r>
      <w:r w:rsidR="00C43A28" w:rsidRPr="00E9460F">
        <w:rPr>
          <w:rFonts w:ascii="Calibri" w:eastAsia="Calibri" w:hAnsi="Calibri" w:cs="Calibri"/>
          <w:iCs/>
          <w:noProof/>
          <w:color w:val="000000" w:themeColor="text1"/>
          <w:sz w:val="22"/>
          <w:szCs w:val="22"/>
        </w:rPr>
        <w:t xml:space="preserve">45) and the HR for OS for these </w:t>
      </w:r>
      <w:r w:rsidRPr="00E9460F">
        <w:rPr>
          <w:rFonts w:ascii="Calibri" w:eastAsia="Calibri" w:hAnsi="Calibri" w:cs="Calibri"/>
          <w:iCs/>
          <w:noProof/>
          <w:color w:val="000000" w:themeColor="text1"/>
          <w:sz w:val="22"/>
          <w:szCs w:val="22"/>
        </w:rPr>
        <w:t xml:space="preserve">patients was 0.30 (95% CI </w:t>
      </w:r>
      <w:r w:rsidR="00C43A28" w:rsidRPr="00E9460F">
        <w:rPr>
          <w:rFonts w:ascii="Calibri" w:eastAsia="Calibri" w:hAnsi="Calibri" w:cs="Calibri"/>
          <w:iCs/>
          <w:noProof/>
          <w:color w:val="000000" w:themeColor="text1"/>
          <w:sz w:val="22"/>
          <w:szCs w:val="22"/>
        </w:rPr>
        <w:t xml:space="preserve">0.15–0.59), suggesting that the </w:t>
      </w:r>
      <w:r w:rsidRPr="00E9460F">
        <w:rPr>
          <w:rFonts w:ascii="Calibri" w:eastAsia="Calibri" w:hAnsi="Calibri" w:cs="Calibri"/>
          <w:iCs/>
          <w:noProof/>
          <w:color w:val="000000" w:themeColor="text1"/>
          <w:sz w:val="22"/>
          <w:szCs w:val="22"/>
        </w:rPr>
        <w:t>improvement in rPFS obs</w:t>
      </w:r>
      <w:r w:rsidR="00C43A28" w:rsidRPr="00E9460F">
        <w:rPr>
          <w:rFonts w:ascii="Calibri" w:eastAsia="Calibri" w:hAnsi="Calibri" w:cs="Calibri"/>
          <w:iCs/>
          <w:noProof/>
          <w:color w:val="000000" w:themeColor="text1"/>
          <w:sz w:val="22"/>
          <w:szCs w:val="22"/>
        </w:rPr>
        <w:t xml:space="preserve">erved in the ITT population was </w:t>
      </w:r>
      <w:r w:rsidRPr="00E9460F">
        <w:rPr>
          <w:rFonts w:ascii="Calibri" w:eastAsia="Calibri" w:hAnsi="Calibri" w:cs="Calibri"/>
          <w:iCs/>
          <w:noProof/>
          <w:color w:val="000000" w:themeColor="text1"/>
          <w:sz w:val="22"/>
          <w:szCs w:val="22"/>
        </w:rPr>
        <w:t>primarily driven by patients with a BRCA mutation.</w:t>
      </w:r>
    </w:p>
    <w:p w14:paraId="276A5970" w14:textId="0F50BD99" w:rsidR="007B21F0" w:rsidRPr="00E9460F" w:rsidRDefault="007B21F0" w:rsidP="007B21F0">
      <w:pPr>
        <w:autoSpaceDE w:val="0"/>
        <w:autoSpaceDN w:val="0"/>
        <w:adjustRightInd w:val="0"/>
        <w:spacing w:line="276" w:lineRule="auto"/>
        <w:jc w:val="both"/>
        <w:rPr>
          <w:rFonts w:ascii="Calibri" w:eastAsia="Calibri" w:hAnsi="Calibri" w:cs="Calibri"/>
          <w:iCs/>
          <w:noProof/>
          <w:color w:val="000000" w:themeColor="text1"/>
          <w:sz w:val="22"/>
          <w:szCs w:val="22"/>
        </w:rPr>
      </w:pPr>
      <w:r w:rsidRPr="00E9460F">
        <w:rPr>
          <w:rFonts w:ascii="Calibri" w:eastAsia="Calibri" w:hAnsi="Calibri" w:cs="Calibri"/>
          <w:iCs/>
          <w:noProof/>
          <w:color w:val="000000" w:themeColor="text1"/>
          <w:sz w:val="22"/>
          <w:szCs w:val="22"/>
        </w:rPr>
        <w:t>The most common AE for p</w:t>
      </w:r>
      <w:r w:rsidR="00C43A28" w:rsidRPr="00E9460F">
        <w:rPr>
          <w:rFonts w:ascii="Calibri" w:eastAsia="Calibri" w:hAnsi="Calibri" w:cs="Calibri"/>
          <w:iCs/>
          <w:noProof/>
          <w:color w:val="000000" w:themeColor="text1"/>
          <w:sz w:val="22"/>
          <w:szCs w:val="22"/>
        </w:rPr>
        <w:t xml:space="preserve">atients receiving olaparib plus </w:t>
      </w:r>
      <w:r w:rsidRPr="00E9460F">
        <w:rPr>
          <w:rFonts w:ascii="Calibri" w:eastAsia="Calibri" w:hAnsi="Calibri" w:cs="Calibri"/>
          <w:iCs/>
          <w:noProof/>
          <w:color w:val="000000" w:themeColor="text1"/>
          <w:sz w:val="22"/>
          <w:szCs w:val="22"/>
        </w:rPr>
        <w:t>AAP was anaemia (48%; G3 in 15%; at least one blood</w:t>
      </w:r>
      <w:r w:rsidR="00C43A28" w:rsidRPr="00E9460F">
        <w:rPr>
          <w:rFonts w:ascii="Calibri" w:eastAsia="Calibri" w:hAnsi="Calibri" w:cs="Calibri"/>
          <w:iCs/>
          <w:noProof/>
          <w:color w:val="000000" w:themeColor="text1"/>
          <w:sz w:val="22"/>
          <w:szCs w:val="22"/>
        </w:rPr>
        <w:t xml:space="preserve"> </w:t>
      </w:r>
      <w:r w:rsidRPr="00E9460F">
        <w:rPr>
          <w:rFonts w:ascii="Calibri" w:eastAsia="Calibri" w:hAnsi="Calibri" w:cs="Calibri"/>
          <w:iCs/>
          <w:noProof/>
          <w:color w:val="000000" w:themeColor="text1"/>
          <w:sz w:val="22"/>
          <w:szCs w:val="22"/>
        </w:rPr>
        <w:t>transfusion in 18%; multiple transfusions in 12%). Other</w:t>
      </w:r>
      <w:r w:rsidR="00C43A28" w:rsidRPr="00E9460F">
        <w:rPr>
          <w:rFonts w:ascii="Calibri" w:eastAsia="Calibri" w:hAnsi="Calibri" w:cs="Calibri"/>
          <w:iCs/>
          <w:noProof/>
          <w:color w:val="000000" w:themeColor="text1"/>
          <w:sz w:val="22"/>
          <w:szCs w:val="22"/>
        </w:rPr>
        <w:t xml:space="preserve"> </w:t>
      </w:r>
      <w:r w:rsidRPr="00E9460F">
        <w:rPr>
          <w:rFonts w:ascii="Calibri" w:eastAsia="Calibri" w:hAnsi="Calibri" w:cs="Calibri"/>
          <w:iCs/>
          <w:noProof/>
          <w:color w:val="000000" w:themeColor="text1"/>
          <w:sz w:val="22"/>
          <w:szCs w:val="22"/>
        </w:rPr>
        <w:t>common AEs were anaem</w:t>
      </w:r>
      <w:r w:rsidR="00C43A28" w:rsidRPr="00E9460F">
        <w:rPr>
          <w:rFonts w:ascii="Calibri" w:eastAsia="Calibri" w:hAnsi="Calibri" w:cs="Calibri"/>
          <w:iCs/>
          <w:noProof/>
          <w:color w:val="000000" w:themeColor="text1"/>
          <w:sz w:val="22"/>
          <w:szCs w:val="22"/>
        </w:rPr>
        <w:t xml:space="preserve">ia fatigue (38%), nausea (30%), </w:t>
      </w:r>
      <w:r w:rsidRPr="00E9460F">
        <w:rPr>
          <w:rFonts w:ascii="Calibri" w:eastAsia="Calibri" w:hAnsi="Calibri" w:cs="Calibri"/>
          <w:iCs/>
          <w:noProof/>
          <w:color w:val="000000" w:themeColor="text1"/>
          <w:sz w:val="22"/>
          <w:szCs w:val="22"/>
        </w:rPr>
        <w:t>diarrhoea (19%), decrea</w:t>
      </w:r>
      <w:r w:rsidR="00C43A28" w:rsidRPr="00E9460F">
        <w:rPr>
          <w:rFonts w:ascii="Calibri" w:eastAsia="Calibri" w:hAnsi="Calibri" w:cs="Calibri"/>
          <w:iCs/>
          <w:noProof/>
          <w:color w:val="000000" w:themeColor="text1"/>
          <w:sz w:val="22"/>
          <w:szCs w:val="22"/>
        </w:rPr>
        <w:t xml:space="preserve">sed appetite (16%), lymphopenia </w:t>
      </w:r>
      <w:r w:rsidRPr="00E9460F">
        <w:rPr>
          <w:rFonts w:ascii="Calibri" w:eastAsia="Calibri" w:hAnsi="Calibri" w:cs="Calibri"/>
          <w:iCs/>
          <w:noProof/>
          <w:color w:val="000000" w:themeColor="text1"/>
          <w:sz w:val="22"/>
          <w:szCs w:val="22"/>
        </w:rPr>
        <w:t>(14%), dizziness (14%), and abdomi</w:t>
      </w:r>
      <w:r w:rsidR="00C43A28" w:rsidRPr="00E9460F">
        <w:rPr>
          <w:rFonts w:ascii="Calibri" w:eastAsia="Calibri" w:hAnsi="Calibri" w:cs="Calibri"/>
          <w:iCs/>
          <w:noProof/>
          <w:color w:val="000000" w:themeColor="text1"/>
          <w:sz w:val="22"/>
          <w:szCs w:val="22"/>
        </w:rPr>
        <w:t xml:space="preserve">nal pain (13%). The combination </w:t>
      </w:r>
      <w:r w:rsidRPr="00E9460F">
        <w:rPr>
          <w:rFonts w:ascii="Calibri" w:eastAsia="Calibri" w:hAnsi="Calibri" w:cs="Calibri"/>
          <w:iCs/>
          <w:noProof/>
          <w:color w:val="000000" w:themeColor="text1"/>
          <w:sz w:val="22"/>
          <w:szCs w:val="22"/>
        </w:rPr>
        <w:t>of olaparib plus A</w:t>
      </w:r>
      <w:r w:rsidR="00C43A28" w:rsidRPr="00E9460F">
        <w:rPr>
          <w:rFonts w:ascii="Calibri" w:eastAsia="Calibri" w:hAnsi="Calibri" w:cs="Calibri"/>
          <w:iCs/>
          <w:noProof/>
          <w:color w:val="000000" w:themeColor="text1"/>
          <w:sz w:val="22"/>
          <w:szCs w:val="22"/>
        </w:rPr>
        <w:t xml:space="preserve">AP was approved by the European </w:t>
      </w:r>
      <w:r w:rsidRPr="00E9460F">
        <w:rPr>
          <w:rFonts w:ascii="Calibri" w:eastAsia="Calibri" w:hAnsi="Calibri" w:cs="Calibri"/>
          <w:iCs/>
          <w:noProof/>
          <w:color w:val="000000" w:themeColor="text1"/>
          <w:sz w:val="22"/>
          <w:szCs w:val="22"/>
        </w:rPr>
        <w:t>Medicines Agency (</w:t>
      </w:r>
      <w:r w:rsidR="00C43A28" w:rsidRPr="00E9460F">
        <w:rPr>
          <w:rFonts w:ascii="Calibri" w:eastAsia="Calibri" w:hAnsi="Calibri" w:cs="Calibri"/>
          <w:iCs/>
          <w:noProof/>
          <w:color w:val="000000" w:themeColor="text1"/>
          <w:sz w:val="22"/>
          <w:szCs w:val="22"/>
        </w:rPr>
        <w:t xml:space="preserve">EMA) for the treatment of adult </w:t>
      </w:r>
      <w:r w:rsidRPr="00E9460F">
        <w:rPr>
          <w:rFonts w:ascii="Calibri" w:eastAsia="Calibri" w:hAnsi="Calibri" w:cs="Calibri"/>
          <w:iCs/>
          <w:noProof/>
          <w:color w:val="000000" w:themeColor="text1"/>
          <w:sz w:val="22"/>
          <w:szCs w:val="22"/>
        </w:rPr>
        <w:t>patients with mCRPC in whom chemotherapy is not clin</w:t>
      </w:r>
      <w:r w:rsidR="00C43A28" w:rsidRPr="00E9460F">
        <w:rPr>
          <w:rFonts w:ascii="Calibri" w:eastAsia="Calibri" w:hAnsi="Calibri" w:cs="Calibri"/>
          <w:iCs/>
          <w:noProof/>
          <w:color w:val="000000" w:themeColor="text1"/>
          <w:sz w:val="22"/>
          <w:szCs w:val="22"/>
        </w:rPr>
        <w:t xml:space="preserve">ically </w:t>
      </w:r>
      <w:r w:rsidRPr="00E9460F">
        <w:rPr>
          <w:rFonts w:ascii="Calibri" w:eastAsia="Calibri" w:hAnsi="Calibri" w:cs="Calibri"/>
          <w:iCs/>
          <w:noProof/>
          <w:color w:val="000000" w:themeColor="text1"/>
          <w:sz w:val="22"/>
          <w:szCs w:val="22"/>
        </w:rPr>
        <w:t>indicated [99]. In the USA</w:t>
      </w:r>
      <w:r w:rsidR="00C43A28" w:rsidRPr="00E9460F">
        <w:rPr>
          <w:rFonts w:ascii="Calibri" w:eastAsia="Calibri" w:hAnsi="Calibri" w:cs="Calibri"/>
          <w:iCs/>
          <w:noProof/>
          <w:color w:val="000000" w:themeColor="text1"/>
          <w:sz w:val="22"/>
          <w:szCs w:val="22"/>
        </w:rPr>
        <w:t xml:space="preserve">, the FDA has approved olaparib </w:t>
      </w:r>
      <w:r w:rsidRPr="00E9460F">
        <w:rPr>
          <w:rFonts w:ascii="Calibri" w:eastAsia="Calibri" w:hAnsi="Calibri" w:cs="Calibri"/>
          <w:iCs/>
          <w:noProof/>
          <w:color w:val="000000" w:themeColor="text1"/>
          <w:sz w:val="22"/>
          <w:szCs w:val="22"/>
        </w:rPr>
        <w:t>with AAP for mCR</w:t>
      </w:r>
      <w:r w:rsidR="00C43A28" w:rsidRPr="00E9460F">
        <w:rPr>
          <w:rFonts w:ascii="Calibri" w:eastAsia="Calibri" w:hAnsi="Calibri" w:cs="Calibri"/>
          <w:iCs/>
          <w:noProof/>
          <w:color w:val="000000" w:themeColor="text1"/>
          <w:sz w:val="22"/>
          <w:szCs w:val="22"/>
        </w:rPr>
        <w:t xml:space="preserve">PC patients with deleterious or </w:t>
      </w:r>
      <w:r w:rsidRPr="00E9460F">
        <w:rPr>
          <w:rFonts w:ascii="Calibri" w:eastAsia="Calibri" w:hAnsi="Calibri" w:cs="Calibri"/>
          <w:iCs/>
          <w:noProof/>
          <w:color w:val="000000" w:themeColor="text1"/>
          <w:sz w:val="22"/>
          <w:szCs w:val="22"/>
        </w:rPr>
        <w:t>suspected deleterious B</w:t>
      </w:r>
      <w:r w:rsidR="00C43A28" w:rsidRPr="00E9460F">
        <w:rPr>
          <w:rFonts w:ascii="Calibri" w:eastAsia="Calibri" w:hAnsi="Calibri" w:cs="Calibri"/>
          <w:iCs/>
          <w:noProof/>
          <w:color w:val="000000" w:themeColor="text1"/>
          <w:sz w:val="22"/>
          <w:szCs w:val="22"/>
        </w:rPr>
        <w:t xml:space="preserve">RCA mutations as determined via </w:t>
      </w:r>
      <w:r w:rsidRPr="00E9460F">
        <w:rPr>
          <w:rFonts w:ascii="Calibri" w:eastAsia="Calibri" w:hAnsi="Calibri" w:cs="Calibri"/>
          <w:iCs/>
          <w:noProof/>
          <w:color w:val="000000" w:themeColor="text1"/>
          <w:sz w:val="22"/>
          <w:szCs w:val="22"/>
        </w:rPr>
        <w:t>an FDA-approved companion diagnostic test [100].</w:t>
      </w:r>
    </w:p>
    <w:p w14:paraId="3A7CB675" w14:textId="77777777" w:rsidR="00C43A28" w:rsidRPr="007B21F0" w:rsidRDefault="00C43A28" w:rsidP="007B21F0">
      <w:pPr>
        <w:autoSpaceDE w:val="0"/>
        <w:autoSpaceDN w:val="0"/>
        <w:adjustRightInd w:val="0"/>
        <w:spacing w:line="276" w:lineRule="auto"/>
        <w:jc w:val="both"/>
        <w:rPr>
          <w:rFonts w:ascii="Calibri" w:eastAsia="Calibri" w:hAnsi="Calibri" w:cs="Calibri"/>
          <w:i/>
          <w:iCs/>
          <w:noProof/>
          <w:color w:val="000000" w:themeColor="text1"/>
          <w:sz w:val="22"/>
          <w:szCs w:val="22"/>
        </w:rPr>
      </w:pPr>
    </w:p>
    <w:p w14:paraId="75B58611" w14:textId="3284986F" w:rsidR="007B21F0" w:rsidRPr="00E9460F" w:rsidRDefault="007B21F0" w:rsidP="00E9460F">
      <w:pPr>
        <w:autoSpaceDE w:val="0"/>
        <w:autoSpaceDN w:val="0"/>
        <w:adjustRightInd w:val="0"/>
        <w:spacing w:line="276" w:lineRule="auto"/>
        <w:ind w:firstLine="720"/>
        <w:jc w:val="both"/>
        <w:rPr>
          <w:rFonts w:ascii="Calibri" w:eastAsia="Calibri" w:hAnsi="Calibri" w:cs="Calibri"/>
          <w:iCs/>
          <w:noProof/>
          <w:color w:val="000000" w:themeColor="text1"/>
          <w:sz w:val="22"/>
          <w:szCs w:val="22"/>
        </w:rPr>
      </w:pPr>
      <w:r w:rsidRPr="007B21F0">
        <w:rPr>
          <w:rFonts w:ascii="Calibri" w:eastAsia="Calibri" w:hAnsi="Calibri" w:cs="Calibri"/>
          <w:i/>
          <w:iCs/>
          <w:noProof/>
          <w:color w:val="000000" w:themeColor="text1"/>
          <w:sz w:val="22"/>
          <w:szCs w:val="22"/>
        </w:rPr>
        <w:t xml:space="preserve">3.3.2.1.6.2. AAP plus niraparib. </w:t>
      </w:r>
      <w:r w:rsidRPr="00E9460F">
        <w:rPr>
          <w:rFonts w:ascii="Calibri" w:eastAsia="Calibri" w:hAnsi="Calibri" w:cs="Calibri"/>
          <w:iCs/>
          <w:noProof/>
          <w:color w:val="000000" w:themeColor="text1"/>
          <w:sz w:val="22"/>
          <w:szCs w:val="22"/>
        </w:rPr>
        <w:t>A rand</w:t>
      </w:r>
      <w:r w:rsidR="00C43A28" w:rsidRPr="00E9460F">
        <w:rPr>
          <w:rFonts w:ascii="Calibri" w:eastAsia="Calibri" w:hAnsi="Calibri" w:cs="Calibri"/>
          <w:iCs/>
          <w:noProof/>
          <w:color w:val="000000" w:themeColor="text1"/>
          <w:sz w:val="22"/>
          <w:szCs w:val="22"/>
        </w:rPr>
        <w:t xml:space="preserve">omised, double-blind, </w:t>
      </w:r>
      <w:r w:rsidRPr="00E9460F">
        <w:rPr>
          <w:rFonts w:ascii="Calibri" w:eastAsia="Calibri" w:hAnsi="Calibri" w:cs="Calibri"/>
          <w:iCs/>
          <w:noProof/>
          <w:color w:val="000000" w:themeColor="text1"/>
          <w:sz w:val="22"/>
          <w:szCs w:val="22"/>
        </w:rPr>
        <w:t>phase 3 trial (MAGNITUD</w:t>
      </w:r>
      <w:r w:rsidR="00C43A28" w:rsidRPr="00E9460F">
        <w:rPr>
          <w:rFonts w:ascii="Calibri" w:eastAsia="Calibri" w:hAnsi="Calibri" w:cs="Calibri"/>
          <w:iCs/>
          <w:noProof/>
          <w:color w:val="000000" w:themeColor="text1"/>
          <w:sz w:val="22"/>
          <w:szCs w:val="22"/>
        </w:rPr>
        <w:t xml:space="preserve">E) evaluated AAP plus niraparib </w:t>
      </w:r>
      <w:r w:rsidRPr="00E9460F">
        <w:rPr>
          <w:rFonts w:ascii="Calibri" w:eastAsia="Calibri" w:hAnsi="Calibri" w:cs="Calibri"/>
          <w:iCs/>
          <w:noProof/>
          <w:color w:val="000000" w:themeColor="text1"/>
          <w:sz w:val="22"/>
          <w:szCs w:val="22"/>
        </w:rPr>
        <w:t>200 mg once/d or placebo</w:t>
      </w:r>
      <w:r w:rsidR="00C43A28" w:rsidRPr="00E9460F">
        <w:rPr>
          <w:rFonts w:ascii="Calibri" w:eastAsia="Calibri" w:hAnsi="Calibri" w:cs="Calibri"/>
          <w:iCs/>
          <w:noProof/>
          <w:color w:val="000000" w:themeColor="text1"/>
          <w:sz w:val="22"/>
          <w:szCs w:val="22"/>
        </w:rPr>
        <w:t xml:space="preserve"> [101]. The study prospectively </w:t>
      </w:r>
      <w:r w:rsidRPr="00E9460F">
        <w:rPr>
          <w:rFonts w:ascii="Calibri" w:eastAsia="Calibri" w:hAnsi="Calibri" w:cs="Calibri"/>
          <w:iCs/>
          <w:noProof/>
          <w:color w:val="000000" w:themeColor="text1"/>
          <w:sz w:val="22"/>
          <w:szCs w:val="22"/>
        </w:rPr>
        <w:t xml:space="preserve">included two cohorts, an </w:t>
      </w:r>
      <w:r w:rsidR="00C43A28" w:rsidRPr="00E9460F">
        <w:rPr>
          <w:rFonts w:ascii="Calibri" w:eastAsia="Calibri" w:hAnsi="Calibri" w:cs="Calibri"/>
          <w:iCs/>
          <w:noProof/>
          <w:color w:val="000000" w:themeColor="text1"/>
          <w:sz w:val="22"/>
          <w:szCs w:val="22"/>
        </w:rPr>
        <w:t xml:space="preserve">HRR-negative and an HRR positive </w:t>
      </w:r>
      <w:r w:rsidRPr="00E9460F">
        <w:rPr>
          <w:rFonts w:ascii="Calibri" w:eastAsia="Calibri" w:hAnsi="Calibri" w:cs="Calibri"/>
          <w:iCs/>
          <w:noProof/>
          <w:color w:val="000000" w:themeColor="text1"/>
          <w:sz w:val="22"/>
          <w:szCs w:val="22"/>
        </w:rPr>
        <w:t>cohort. The HRR-n</w:t>
      </w:r>
      <w:r w:rsidR="00C43A28" w:rsidRPr="00E9460F">
        <w:rPr>
          <w:rFonts w:ascii="Calibri" w:eastAsia="Calibri" w:hAnsi="Calibri" w:cs="Calibri"/>
          <w:iCs/>
          <w:noProof/>
          <w:color w:val="000000" w:themeColor="text1"/>
          <w:sz w:val="22"/>
          <w:szCs w:val="22"/>
        </w:rPr>
        <w:t xml:space="preserve">egative cohort was closed early </w:t>
      </w:r>
      <w:r w:rsidRPr="00E9460F">
        <w:rPr>
          <w:rFonts w:ascii="Calibri" w:eastAsia="Calibri" w:hAnsi="Calibri" w:cs="Calibri"/>
          <w:iCs/>
          <w:noProof/>
          <w:color w:val="000000" w:themeColor="text1"/>
          <w:sz w:val="22"/>
          <w:szCs w:val="22"/>
        </w:rPr>
        <w:t>because of futility after enrolli</w:t>
      </w:r>
      <w:r w:rsidR="00C43A28" w:rsidRPr="00E9460F">
        <w:rPr>
          <w:rFonts w:ascii="Calibri" w:eastAsia="Calibri" w:hAnsi="Calibri" w:cs="Calibri"/>
          <w:iCs/>
          <w:noProof/>
          <w:color w:val="000000" w:themeColor="text1"/>
          <w:sz w:val="22"/>
          <w:szCs w:val="22"/>
        </w:rPr>
        <w:t xml:space="preserve">ng 200 patients. In the overall </w:t>
      </w:r>
      <w:r w:rsidRPr="00E9460F">
        <w:rPr>
          <w:rFonts w:ascii="Calibri" w:eastAsia="Calibri" w:hAnsi="Calibri" w:cs="Calibri"/>
          <w:iCs/>
          <w:noProof/>
          <w:color w:val="000000" w:themeColor="text1"/>
          <w:sz w:val="22"/>
          <w:szCs w:val="22"/>
        </w:rPr>
        <w:t>HRR-positive cohort, additi</w:t>
      </w:r>
      <w:r w:rsidR="00C43A28" w:rsidRPr="00E9460F">
        <w:rPr>
          <w:rFonts w:ascii="Calibri" w:eastAsia="Calibri" w:hAnsi="Calibri" w:cs="Calibri"/>
          <w:iCs/>
          <w:noProof/>
          <w:color w:val="000000" w:themeColor="text1"/>
          <w:sz w:val="22"/>
          <w:szCs w:val="22"/>
        </w:rPr>
        <w:t xml:space="preserve">on of niraparib to AAP resulted </w:t>
      </w:r>
      <w:r w:rsidRPr="00E9460F">
        <w:rPr>
          <w:rFonts w:ascii="Calibri" w:eastAsia="Calibri" w:hAnsi="Calibri" w:cs="Calibri"/>
          <w:iCs/>
          <w:noProof/>
          <w:color w:val="000000" w:themeColor="text1"/>
          <w:sz w:val="22"/>
          <w:szCs w:val="22"/>
        </w:rPr>
        <w:t>in a significant improve</w:t>
      </w:r>
      <w:r w:rsidR="00C43A28" w:rsidRPr="00E9460F">
        <w:rPr>
          <w:rFonts w:ascii="Calibri" w:eastAsia="Calibri" w:hAnsi="Calibri" w:cs="Calibri"/>
          <w:iCs/>
          <w:noProof/>
          <w:color w:val="000000" w:themeColor="text1"/>
          <w:sz w:val="22"/>
          <w:szCs w:val="22"/>
        </w:rPr>
        <w:t xml:space="preserve">ment in the primary endpoint of </w:t>
      </w:r>
      <w:r w:rsidRPr="00E9460F">
        <w:rPr>
          <w:rFonts w:ascii="Calibri" w:eastAsia="Calibri" w:hAnsi="Calibri" w:cs="Calibri"/>
          <w:iCs/>
          <w:noProof/>
          <w:color w:val="000000" w:themeColor="text1"/>
          <w:sz w:val="22"/>
          <w:szCs w:val="22"/>
        </w:rPr>
        <w:t>rPFS in comparison to AA</w:t>
      </w:r>
      <w:r w:rsidR="00C43A28" w:rsidRPr="00E9460F">
        <w:rPr>
          <w:rFonts w:ascii="Calibri" w:eastAsia="Calibri" w:hAnsi="Calibri" w:cs="Calibri"/>
          <w:iCs/>
          <w:noProof/>
          <w:color w:val="000000" w:themeColor="text1"/>
          <w:sz w:val="22"/>
          <w:szCs w:val="22"/>
        </w:rPr>
        <w:t xml:space="preserve">P plus placebo (HR 0.73, 95% CI </w:t>
      </w:r>
      <w:r w:rsidRPr="00E9460F">
        <w:rPr>
          <w:rFonts w:ascii="Calibri" w:eastAsia="Calibri" w:hAnsi="Calibri" w:cs="Calibri"/>
          <w:iCs/>
          <w:noProof/>
          <w:color w:val="000000" w:themeColor="text1"/>
          <w:sz w:val="22"/>
          <w:szCs w:val="22"/>
        </w:rPr>
        <w:t xml:space="preserve">0.56–0.96; p = 0.0217), </w:t>
      </w:r>
      <w:r w:rsidR="00C43A28" w:rsidRPr="00E9460F">
        <w:rPr>
          <w:rFonts w:ascii="Calibri" w:eastAsia="Calibri" w:hAnsi="Calibri" w:cs="Calibri"/>
          <w:iCs/>
          <w:noProof/>
          <w:color w:val="000000" w:themeColor="text1"/>
          <w:sz w:val="22"/>
          <w:szCs w:val="22"/>
        </w:rPr>
        <w:t xml:space="preserve">and median rPFS was 16.5 versus </w:t>
      </w:r>
      <w:r w:rsidRPr="00E9460F">
        <w:rPr>
          <w:rFonts w:ascii="Calibri" w:eastAsia="Calibri" w:hAnsi="Calibri" w:cs="Calibri"/>
          <w:iCs/>
          <w:noProof/>
          <w:color w:val="000000" w:themeColor="text1"/>
          <w:sz w:val="22"/>
          <w:szCs w:val="22"/>
        </w:rPr>
        <w:t xml:space="preserve">13.7 mo in favour of the </w:t>
      </w:r>
      <w:r w:rsidR="00C43A28" w:rsidRPr="00E9460F">
        <w:rPr>
          <w:rFonts w:ascii="Calibri" w:eastAsia="Calibri" w:hAnsi="Calibri" w:cs="Calibri"/>
          <w:iCs/>
          <w:noProof/>
          <w:color w:val="000000" w:themeColor="text1"/>
          <w:sz w:val="22"/>
          <w:szCs w:val="22"/>
        </w:rPr>
        <w:t xml:space="preserve">combination. In particular, the </w:t>
      </w:r>
      <w:r w:rsidRPr="00E9460F">
        <w:rPr>
          <w:rFonts w:ascii="Calibri" w:eastAsia="Calibri" w:hAnsi="Calibri" w:cs="Calibri"/>
          <w:iCs/>
          <w:noProof/>
          <w:color w:val="000000" w:themeColor="text1"/>
          <w:sz w:val="22"/>
          <w:szCs w:val="22"/>
        </w:rPr>
        <w:t>113 patients with BRCA</w:t>
      </w:r>
      <w:r w:rsidR="00C43A28" w:rsidRPr="00E9460F">
        <w:rPr>
          <w:rFonts w:ascii="Calibri" w:eastAsia="Calibri" w:hAnsi="Calibri" w:cs="Calibri"/>
          <w:iCs/>
          <w:noProof/>
          <w:color w:val="000000" w:themeColor="text1"/>
          <w:sz w:val="22"/>
          <w:szCs w:val="22"/>
        </w:rPr>
        <w:t xml:space="preserve"> 1/2 mutations who received AAP </w:t>
      </w:r>
      <w:r w:rsidRPr="00E9460F">
        <w:rPr>
          <w:rFonts w:ascii="Calibri" w:eastAsia="Calibri" w:hAnsi="Calibri" w:cs="Calibri"/>
          <w:iCs/>
          <w:noProof/>
          <w:color w:val="000000" w:themeColor="text1"/>
          <w:sz w:val="22"/>
          <w:szCs w:val="22"/>
        </w:rPr>
        <w:t>plus niraparib [102] derive</w:t>
      </w:r>
      <w:r w:rsidR="00C43A28" w:rsidRPr="00E9460F">
        <w:rPr>
          <w:rFonts w:ascii="Calibri" w:eastAsia="Calibri" w:hAnsi="Calibri" w:cs="Calibri"/>
          <w:iCs/>
          <w:noProof/>
          <w:color w:val="000000" w:themeColor="text1"/>
          <w:sz w:val="22"/>
          <w:szCs w:val="22"/>
        </w:rPr>
        <w:t xml:space="preserve">d a major rPFS benefit (19.5 vs </w:t>
      </w:r>
      <w:r w:rsidRPr="00E9460F">
        <w:rPr>
          <w:rFonts w:ascii="Calibri" w:eastAsia="Calibri" w:hAnsi="Calibri" w:cs="Calibri"/>
          <w:iCs/>
          <w:noProof/>
          <w:color w:val="000000" w:themeColor="text1"/>
          <w:sz w:val="22"/>
          <w:szCs w:val="22"/>
        </w:rPr>
        <w:t>10.9 mo; HR 0.55, 95% CI 0.39–0.78; nominal p = 0.0007).</w:t>
      </w:r>
    </w:p>
    <w:p w14:paraId="3C2B1EB7" w14:textId="5B3F2626" w:rsidR="007B21F0" w:rsidRPr="00E9460F" w:rsidRDefault="007B21F0" w:rsidP="007B21F0">
      <w:pPr>
        <w:autoSpaceDE w:val="0"/>
        <w:autoSpaceDN w:val="0"/>
        <w:adjustRightInd w:val="0"/>
        <w:spacing w:line="276" w:lineRule="auto"/>
        <w:jc w:val="both"/>
        <w:rPr>
          <w:rFonts w:ascii="Calibri" w:eastAsia="Calibri" w:hAnsi="Calibri" w:cs="Calibri"/>
          <w:iCs/>
          <w:noProof/>
          <w:color w:val="000000" w:themeColor="text1"/>
          <w:sz w:val="22"/>
          <w:szCs w:val="22"/>
        </w:rPr>
      </w:pPr>
      <w:r w:rsidRPr="00E9460F">
        <w:rPr>
          <w:rFonts w:ascii="Calibri" w:eastAsia="Calibri" w:hAnsi="Calibri" w:cs="Calibri"/>
          <w:iCs/>
          <w:noProof/>
          <w:color w:val="000000" w:themeColor="text1"/>
          <w:sz w:val="22"/>
          <w:szCs w:val="22"/>
        </w:rPr>
        <w:t>The OS data are still</w:t>
      </w:r>
      <w:r w:rsidR="00C43A28" w:rsidRPr="00E9460F">
        <w:rPr>
          <w:rFonts w:ascii="Calibri" w:eastAsia="Calibri" w:hAnsi="Calibri" w:cs="Calibri"/>
          <w:iCs/>
          <w:noProof/>
          <w:color w:val="000000" w:themeColor="text1"/>
          <w:sz w:val="22"/>
          <w:szCs w:val="22"/>
        </w:rPr>
        <w:t xml:space="preserve"> immature. The most common side </w:t>
      </w:r>
      <w:r w:rsidRPr="00E9460F">
        <w:rPr>
          <w:rFonts w:ascii="Calibri" w:eastAsia="Calibri" w:hAnsi="Calibri" w:cs="Calibri"/>
          <w:iCs/>
          <w:noProof/>
          <w:color w:val="000000" w:themeColor="text1"/>
          <w:sz w:val="22"/>
          <w:szCs w:val="22"/>
        </w:rPr>
        <w:t>effects with niraparib plus</w:t>
      </w:r>
      <w:r w:rsidR="00C43A28" w:rsidRPr="00E9460F">
        <w:rPr>
          <w:rFonts w:ascii="Calibri" w:eastAsia="Calibri" w:hAnsi="Calibri" w:cs="Calibri"/>
          <w:iCs/>
          <w:noProof/>
          <w:color w:val="000000" w:themeColor="text1"/>
          <w:sz w:val="22"/>
          <w:szCs w:val="22"/>
        </w:rPr>
        <w:t xml:space="preserve"> AAP in the ITT population were </w:t>
      </w:r>
      <w:r w:rsidRPr="00E9460F">
        <w:rPr>
          <w:rFonts w:ascii="Calibri" w:eastAsia="Calibri" w:hAnsi="Calibri" w:cs="Calibri"/>
          <w:iCs/>
          <w:noProof/>
          <w:color w:val="000000" w:themeColor="text1"/>
          <w:sz w:val="22"/>
          <w:szCs w:val="22"/>
        </w:rPr>
        <w:t>anaemia (46.2%), fatigue</w:t>
      </w:r>
      <w:r w:rsidR="00C43A28" w:rsidRPr="00E9460F">
        <w:rPr>
          <w:rFonts w:ascii="Calibri" w:eastAsia="Calibri" w:hAnsi="Calibri" w:cs="Calibri"/>
          <w:iCs/>
          <w:noProof/>
          <w:color w:val="000000" w:themeColor="text1"/>
          <w:sz w:val="22"/>
          <w:szCs w:val="22"/>
        </w:rPr>
        <w:t xml:space="preserve"> (26.4%), hypertension (31.6%), </w:t>
      </w:r>
      <w:r w:rsidRPr="00E9460F">
        <w:rPr>
          <w:rFonts w:ascii="Calibri" w:eastAsia="Calibri" w:hAnsi="Calibri" w:cs="Calibri"/>
          <w:iCs/>
          <w:noProof/>
          <w:color w:val="000000" w:themeColor="text1"/>
          <w:sz w:val="22"/>
          <w:szCs w:val="22"/>
        </w:rPr>
        <w:t>and constipation (30.7%). Th</w:t>
      </w:r>
      <w:r w:rsidR="00C43A28" w:rsidRPr="00E9460F">
        <w:rPr>
          <w:rFonts w:ascii="Calibri" w:eastAsia="Calibri" w:hAnsi="Calibri" w:cs="Calibri"/>
          <w:iCs/>
          <w:noProof/>
          <w:color w:val="000000" w:themeColor="text1"/>
          <w:sz w:val="22"/>
          <w:szCs w:val="22"/>
        </w:rPr>
        <w:t xml:space="preserve">e combination of niraparib plus </w:t>
      </w:r>
      <w:r w:rsidRPr="00E9460F">
        <w:rPr>
          <w:rFonts w:ascii="Calibri" w:eastAsia="Calibri" w:hAnsi="Calibri" w:cs="Calibri"/>
          <w:iCs/>
          <w:noProof/>
          <w:color w:val="000000" w:themeColor="text1"/>
          <w:sz w:val="22"/>
          <w:szCs w:val="22"/>
        </w:rPr>
        <w:t>AAP in a dual-action tabl</w:t>
      </w:r>
      <w:r w:rsidR="00C43A28" w:rsidRPr="00E9460F">
        <w:rPr>
          <w:rFonts w:ascii="Calibri" w:eastAsia="Calibri" w:hAnsi="Calibri" w:cs="Calibri"/>
          <w:iCs/>
          <w:noProof/>
          <w:color w:val="000000" w:themeColor="text1"/>
          <w:sz w:val="22"/>
          <w:szCs w:val="22"/>
        </w:rPr>
        <w:t xml:space="preserve">et has been approved by the EMA </w:t>
      </w:r>
      <w:r w:rsidRPr="00E9460F">
        <w:rPr>
          <w:rFonts w:ascii="Calibri" w:eastAsia="Calibri" w:hAnsi="Calibri" w:cs="Calibri"/>
          <w:iCs/>
          <w:noProof/>
          <w:color w:val="000000" w:themeColor="text1"/>
          <w:sz w:val="22"/>
          <w:szCs w:val="22"/>
        </w:rPr>
        <w:t>and the FDA for patients w</w:t>
      </w:r>
      <w:r w:rsidR="00C43A28" w:rsidRPr="00E9460F">
        <w:rPr>
          <w:rFonts w:ascii="Calibri" w:eastAsia="Calibri" w:hAnsi="Calibri" w:cs="Calibri"/>
          <w:iCs/>
          <w:noProof/>
          <w:color w:val="000000" w:themeColor="text1"/>
          <w:sz w:val="22"/>
          <w:szCs w:val="22"/>
        </w:rPr>
        <w:t xml:space="preserve">ith mCRPC and BRCA1/2 mutations </w:t>
      </w:r>
      <w:r w:rsidRPr="00E9460F">
        <w:rPr>
          <w:rFonts w:ascii="Calibri" w:eastAsia="Calibri" w:hAnsi="Calibri" w:cs="Calibri"/>
          <w:iCs/>
          <w:noProof/>
          <w:color w:val="000000" w:themeColor="text1"/>
          <w:sz w:val="22"/>
          <w:szCs w:val="22"/>
        </w:rPr>
        <w:t>in whom chemotherapy is not clinically indicated</w:t>
      </w:r>
    </w:p>
    <w:p w14:paraId="76EB1273" w14:textId="5D462B1F" w:rsidR="000337C9" w:rsidRPr="00E9460F" w:rsidRDefault="007B21F0" w:rsidP="007B21F0">
      <w:pPr>
        <w:autoSpaceDE w:val="0"/>
        <w:autoSpaceDN w:val="0"/>
        <w:adjustRightInd w:val="0"/>
        <w:spacing w:line="276" w:lineRule="auto"/>
        <w:jc w:val="both"/>
        <w:rPr>
          <w:rFonts w:ascii="Calibri" w:eastAsia="Calibri" w:hAnsi="Calibri" w:cs="Calibri"/>
          <w:iCs/>
          <w:noProof/>
          <w:color w:val="000000" w:themeColor="text1"/>
          <w:sz w:val="22"/>
          <w:szCs w:val="22"/>
        </w:rPr>
      </w:pPr>
      <w:r w:rsidRPr="00E9460F">
        <w:rPr>
          <w:rFonts w:ascii="Calibri" w:eastAsia="Calibri" w:hAnsi="Calibri" w:cs="Calibri"/>
          <w:iCs/>
          <w:noProof/>
          <w:color w:val="000000" w:themeColor="text1"/>
          <w:sz w:val="22"/>
          <w:szCs w:val="22"/>
        </w:rPr>
        <w:t>[103].</w:t>
      </w:r>
    </w:p>
    <w:p w14:paraId="4B40DA8D" w14:textId="77777777" w:rsidR="000337C9" w:rsidRPr="000337C9" w:rsidRDefault="000337C9" w:rsidP="000337C9">
      <w:pPr>
        <w:autoSpaceDE w:val="0"/>
        <w:autoSpaceDN w:val="0"/>
        <w:adjustRightInd w:val="0"/>
        <w:spacing w:line="276" w:lineRule="auto"/>
        <w:jc w:val="both"/>
        <w:rPr>
          <w:rFonts w:ascii="Calibri" w:eastAsia="HelveticaNeue-Roman" w:hAnsi="Calibri" w:cs="Calibri"/>
          <w:noProof/>
          <w:color w:val="000000"/>
          <w:sz w:val="22"/>
          <w:szCs w:val="22"/>
        </w:rPr>
      </w:pPr>
    </w:p>
    <w:p w14:paraId="6C566FFE" w14:textId="04A11E53" w:rsidR="00C43A28" w:rsidRPr="00C43A28" w:rsidRDefault="00C43A28" w:rsidP="00E9460F">
      <w:pPr>
        <w:autoSpaceDE w:val="0"/>
        <w:autoSpaceDN w:val="0"/>
        <w:adjustRightInd w:val="0"/>
        <w:spacing w:line="276" w:lineRule="auto"/>
        <w:ind w:firstLine="720"/>
        <w:rPr>
          <w:rFonts w:ascii="Calibri" w:eastAsia="HelveticaNeue-Roman" w:hAnsi="Calibri" w:cs="Calibri"/>
          <w:noProof/>
          <w:color w:val="000000"/>
          <w:sz w:val="22"/>
          <w:szCs w:val="22"/>
        </w:rPr>
      </w:pPr>
      <w:r w:rsidRPr="00E9460F">
        <w:rPr>
          <w:rFonts w:ascii="Calibri" w:eastAsia="HelveticaNeue-Roman" w:hAnsi="Calibri" w:cs="Calibri"/>
          <w:i/>
          <w:noProof/>
          <w:color w:val="000000"/>
          <w:sz w:val="22"/>
          <w:szCs w:val="22"/>
        </w:rPr>
        <w:t>3.3.2.1.6.3. Enzalutamide plus talazoparib</w:t>
      </w:r>
      <w:r w:rsidRPr="00C43A28">
        <w:rPr>
          <w:rFonts w:ascii="Calibri" w:eastAsia="HelveticaNeue-Roman" w:hAnsi="Calibri" w:cs="Calibri"/>
          <w:noProof/>
          <w:color w:val="000000"/>
          <w:sz w:val="22"/>
          <w:szCs w:val="22"/>
        </w:rPr>
        <w:t>. A randomis</w:t>
      </w:r>
      <w:r>
        <w:rPr>
          <w:rFonts w:ascii="Calibri" w:eastAsia="HelveticaNeue-Roman" w:hAnsi="Calibri" w:cs="Calibri"/>
          <w:noProof/>
          <w:color w:val="000000"/>
          <w:sz w:val="22"/>
          <w:szCs w:val="22"/>
        </w:rPr>
        <w:t xml:space="preserve">ed </w:t>
      </w:r>
      <w:r w:rsidRPr="00C43A28">
        <w:rPr>
          <w:rFonts w:ascii="Calibri" w:eastAsia="HelveticaNeue-Roman" w:hAnsi="Calibri" w:cs="Calibri"/>
          <w:noProof/>
          <w:color w:val="000000"/>
          <w:sz w:val="22"/>
          <w:szCs w:val="22"/>
        </w:rPr>
        <w:t>double-blind phase 3 tria</w:t>
      </w:r>
      <w:r>
        <w:rPr>
          <w:rFonts w:ascii="Calibri" w:eastAsia="HelveticaNeue-Roman" w:hAnsi="Calibri" w:cs="Calibri"/>
          <w:noProof/>
          <w:color w:val="000000"/>
          <w:sz w:val="22"/>
          <w:szCs w:val="22"/>
        </w:rPr>
        <w:t xml:space="preserve">l (TALAPRO-2) assessed the PARP </w:t>
      </w:r>
      <w:r w:rsidRPr="00C43A28">
        <w:rPr>
          <w:rFonts w:ascii="Calibri" w:eastAsia="HelveticaNeue-Roman" w:hAnsi="Calibri" w:cs="Calibri"/>
          <w:noProof/>
          <w:color w:val="000000"/>
          <w:sz w:val="22"/>
          <w:szCs w:val="22"/>
        </w:rPr>
        <w:t xml:space="preserve">inhibitor talazoparib (0.5 mg </w:t>
      </w:r>
      <w:r>
        <w:rPr>
          <w:rFonts w:ascii="Calibri" w:eastAsia="HelveticaNeue-Roman" w:hAnsi="Calibri" w:cs="Calibri"/>
          <w:noProof/>
          <w:color w:val="000000"/>
          <w:sz w:val="22"/>
          <w:szCs w:val="22"/>
        </w:rPr>
        <w:t xml:space="preserve">daily) plus enzalutamide versus </w:t>
      </w:r>
      <w:r w:rsidRPr="00C43A28">
        <w:rPr>
          <w:rFonts w:ascii="Calibri" w:eastAsia="HelveticaNeue-Roman" w:hAnsi="Calibri" w:cs="Calibri"/>
          <w:noProof/>
          <w:color w:val="000000"/>
          <w:sz w:val="22"/>
          <w:szCs w:val="22"/>
        </w:rPr>
        <w:t>enzalutamide/placebo as f</w:t>
      </w:r>
      <w:r>
        <w:rPr>
          <w:rFonts w:ascii="Calibri" w:eastAsia="HelveticaNeue-Roman" w:hAnsi="Calibri" w:cs="Calibri"/>
          <w:noProof/>
          <w:color w:val="000000"/>
          <w:sz w:val="22"/>
          <w:szCs w:val="22"/>
        </w:rPr>
        <w:t xml:space="preserve">irst-line treatment in patients </w:t>
      </w:r>
      <w:r w:rsidRPr="00C43A28">
        <w:rPr>
          <w:rFonts w:ascii="Calibri" w:eastAsia="HelveticaNeue-Roman" w:hAnsi="Calibri" w:cs="Calibri"/>
          <w:noProof/>
          <w:color w:val="000000"/>
          <w:sz w:val="22"/>
          <w:szCs w:val="22"/>
        </w:rPr>
        <w:t>with mCRPC in two cohorts:</w:t>
      </w:r>
      <w:r>
        <w:rPr>
          <w:rFonts w:ascii="Calibri" w:eastAsia="HelveticaNeue-Roman" w:hAnsi="Calibri" w:cs="Calibri"/>
          <w:noProof/>
          <w:color w:val="000000"/>
          <w:sz w:val="22"/>
          <w:szCs w:val="22"/>
        </w:rPr>
        <w:t xml:space="preserve"> unselected patients (cohort 1, </w:t>
      </w:r>
      <w:r w:rsidRPr="00C43A28">
        <w:rPr>
          <w:rFonts w:ascii="Calibri" w:eastAsia="HelveticaNeue-Roman" w:hAnsi="Calibri" w:cs="Calibri"/>
          <w:noProof/>
          <w:color w:val="000000"/>
          <w:sz w:val="22"/>
          <w:szCs w:val="22"/>
        </w:rPr>
        <w:t>the all-comer cohort, recruited f</w:t>
      </w:r>
      <w:r>
        <w:rPr>
          <w:rFonts w:ascii="Calibri" w:eastAsia="HelveticaNeue-Roman" w:hAnsi="Calibri" w:cs="Calibri"/>
          <w:noProof/>
          <w:color w:val="000000"/>
          <w:sz w:val="22"/>
          <w:szCs w:val="22"/>
        </w:rPr>
        <w:t xml:space="preserve">irst) and selected HRRdeficient </w:t>
      </w:r>
      <w:r w:rsidRPr="00C43A28">
        <w:rPr>
          <w:rFonts w:ascii="Calibri" w:eastAsia="HelveticaNeue-Roman" w:hAnsi="Calibri" w:cs="Calibri"/>
          <w:noProof/>
          <w:color w:val="000000"/>
          <w:sz w:val="22"/>
          <w:szCs w:val="22"/>
        </w:rPr>
        <w:t>patients (cohort</w:t>
      </w:r>
      <w:r>
        <w:rPr>
          <w:rFonts w:ascii="Calibri" w:eastAsia="HelveticaNeue-Roman" w:hAnsi="Calibri" w:cs="Calibri"/>
          <w:noProof/>
          <w:color w:val="000000"/>
          <w:sz w:val="22"/>
          <w:szCs w:val="22"/>
        </w:rPr>
        <w:t xml:space="preserve"> 2, which completed recruitment </w:t>
      </w:r>
      <w:r w:rsidRPr="00C43A28">
        <w:rPr>
          <w:rFonts w:ascii="Calibri" w:eastAsia="HelveticaNeue-Roman" w:hAnsi="Calibri" w:cs="Calibri"/>
          <w:noProof/>
          <w:color w:val="000000"/>
          <w:sz w:val="22"/>
          <w:szCs w:val="22"/>
        </w:rPr>
        <w:t>after enrolment in cohort 1 finished).</w:t>
      </w:r>
      <w:r>
        <w:rPr>
          <w:rFonts w:ascii="Calibri" w:eastAsia="HelveticaNeue-Roman" w:hAnsi="Calibri" w:cs="Calibri"/>
          <w:noProof/>
          <w:color w:val="000000"/>
          <w:sz w:val="22"/>
          <w:szCs w:val="22"/>
        </w:rPr>
        <w:t xml:space="preserve"> The study showed significantly </w:t>
      </w:r>
      <w:r w:rsidRPr="00C43A28">
        <w:rPr>
          <w:rFonts w:ascii="Calibri" w:eastAsia="HelveticaNeue-Roman" w:hAnsi="Calibri" w:cs="Calibri"/>
          <w:noProof/>
          <w:color w:val="000000"/>
          <w:sz w:val="22"/>
          <w:szCs w:val="22"/>
        </w:rPr>
        <w:t>better median rP</w:t>
      </w:r>
      <w:r>
        <w:rPr>
          <w:rFonts w:ascii="Calibri" w:eastAsia="HelveticaNeue-Roman" w:hAnsi="Calibri" w:cs="Calibri"/>
          <w:noProof/>
          <w:color w:val="000000"/>
          <w:sz w:val="22"/>
          <w:szCs w:val="22"/>
        </w:rPr>
        <w:t>FS (primary endpoint) in favour</w:t>
      </w:r>
      <w:r w:rsidRPr="00C43A28">
        <w:rPr>
          <w:rFonts w:ascii="Calibri" w:eastAsia="HelveticaNeue-Roman" w:hAnsi="Calibri" w:cs="Calibri"/>
          <w:noProof/>
          <w:color w:val="000000"/>
          <w:sz w:val="22"/>
          <w:szCs w:val="22"/>
        </w:rPr>
        <w:t>of the combination, regardless of HRR pathwa</w:t>
      </w:r>
      <w:r>
        <w:rPr>
          <w:rFonts w:ascii="Calibri" w:eastAsia="HelveticaNeue-Roman" w:hAnsi="Calibri" w:cs="Calibri"/>
          <w:noProof/>
          <w:color w:val="000000"/>
          <w:sz w:val="22"/>
          <w:szCs w:val="22"/>
        </w:rPr>
        <w:t xml:space="preserve">y status </w:t>
      </w:r>
      <w:r w:rsidRPr="00C43A28">
        <w:rPr>
          <w:rFonts w:ascii="Calibri" w:eastAsia="HelveticaNeue-Roman" w:hAnsi="Calibri" w:cs="Calibri"/>
          <w:noProof/>
          <w:color w:val="000000"/>
          <w:sz w:val="22"/>
          <w:szCs w:val="22"/>
        </w:rPr>
        <w:t>[104]. Median rPFS was n</w:t>
      </w:r>
      <w:r>
        <w:rPr>
          <w:rFonts w:ascii="Calibri" w:eastAsia="HelveticaNeue-Roman" w:hAnsi="Calibri" w:cs="Calibri"/>
          <w:noProof/>
          <w:color w:val="000000"/>
          <w:sz w:val="22"/>
          <w:szCs w:val="22"/>
        </w:rPr>
        <w:t xml:space="preserve">ot reached for the combination, </w:t>
      </w:r>
      <w:r w:rsidRPr="00C43A28">
        <w:rPr>
          <w:rFonts w:ascii="Calibri" w:eastAsia="HelveticaNeue-Roman" w:hAnsi="Calibri" w:cs="Calibri"/>
          <w:noProof/>
          <w:color w:val="000000"/>
          <w:sz w:val="22"/>
          <w:szCs w:val="22"/>
        </w:rPr>
        <w:t>in contrast to 21.9 mo (9</w:t>
      </w:r>
      <w:r>
        <w:rPr>
          <w:rFonts w:ascii="Calibri" w:eastAsia="HelveticaNeue-Roman" w:hAnsi="Calibri" w:cs="Calibri"/>
          <w:noProof/>
          <w:color w:val="000000"/>
          <w:sz w:val="22"/>
          <w:szCs w:val="22"/>
        </w:rPr>
        <w:t xml:space="preserve">5% CI 16.6–25.1) in the control </w:t>
      </w:r>
      <w:r w:rsidRPr="00C43A28">
        <w:rPr>
          <w:rFonts w:ascii="Calibri" w:eastAsia="HelveticaNeue-Roman" w:hAnsi="Calibri" w:cs="Calibri"/>
          <w:noProof/>
          <w:color w:val="000000"/>
          <w:sz w:val="22"/>
          <w:szCs w:val="22"/>
        </w:rPr>
        <w:t>arm. The HR for r</w:t>
      </w:r>
      <w:r>
        <w:rPr>
          <w:rFonts w:ascii="Calibri" w:eastAsia="HelveticaNeue-Roman" w:hAnsi="Calibri" w:cs="Calibri"/>
          <w:noProof/>
          <w:color w:val="000000"/>
          <w:sz w:val="22"/>
          <w:szCs w:val="22"/>
        </w:rPr>
        <w:t xml:space="preserve">PFS was 0.63 (95% CI 0.51–0.78; </w:t>
      </w:r>
      <w:r w:rsidRPr="00C43A28">
        <w:rPr>
          <w:rFonts w:ascii="Calibri" w:eastAsia="HelveticaNeue-Roman" w:hAnsi="Calibri" w:cs="Calibri"/>
          <w:noProof/>
          <w:color w:val="000000"/>
          <w:sz w:val="22"/>
          <w:szCs w:val="22"/>
        </w:rPr>
        <w:t xml:space="preserve">p &lt; 0.0001). For the subgroups </w:t>
      </w:r>
      <w:r>
        <w:rPr>
          <w:rFonts w:ascii="Calibri" w:eastAsia="HelveticaNeue-Roman" w:hAnsi="Calibri" w:cs="Calibri"/>
          <w:noProof/>
          <w:color w:val="000000"/>
          <w:sz w:val="22"/>
          <w:szCs w:val="22"/>
        </w:rPr>
        <w:t xml:space="preserve">of patients with HRR mutations, </w:t>
      </w:r>
      <w:r w:rsidRPr="00C43A28">
        <w:rPr>
          <w:rFonts w:ascii="Calibri" w:eastAsia="HelveticaNeue-Roman" w:hAnsi="Calibri" w:cs="Calibri"/>
          <w:noProof/>
          <w:color w:val="000000"/>
          <w:sz w:val="22"/>
          <w:szCs w:val="22"/>
        </w:rPr>
        <w:t>the benefit of talazoparib + enzalutamide was much</w:t>
      </w:r>
    </w:p>
    <w:p w14:paraId="53D9DAE1" w14:textId="1342C361" w:rsidR="00C43A28" w:rsidRPr="00C43A28" w:rsidRDefault="00C43A28" w:rsidP="00C43A28">
      <w:pPr>
        <w:autoSpaceDE w:val="0"/>
        <w:autoSpaceDN w:val="0"/>
        <w:adjustRightInd w:val="0"/>
        <w:spacing w:line="276" w:lineRule="auto"/>
        <w:rPr>
          <w:rFonts w:ascii="Calibri" w:eastAsia="HelveticaNeue-Roman" w:hAnsi="Calibri" w:cs="Calibri"/>
          <w:noProof/>
          <w:color w:val="000000"/>
          <w:sz w:val="22"/>
          <w:szCs w:val="22"/>
        </w:rPr>
      </w:pPr>
      <w:r w:rsidRPr="00C43A28">
        <w:rPr>
          <w:rFonts w:ascii="Calibri" w:eastAsia="HelveticaNeue-Roman" w:hAnsi="Calibri" w:cs="Calibri"/>
          <w:noProof/>
          <w:color w:val="000000"/>
          <w:sz w:val="22"/>
          <w:szCs w:val="22"/>
        </w:rPr>
        <w:t>more pronounced, with m</w:t>
      </w:r>
      <w:r>
        <w:rPr>
          <w:rFonts w:ascii="Calibri" w:eastAsia="HelveticaNeue-Roman" w:hAnsi="Calibri" w:cs="Calibri"/>
          <w:noProof/>
          <w:color w:val="000000"/>
          <w:sz w:val="22"/>
          <w:szCs w:val="22"/>
        </w:rPr>
        <w:t xml:space="preserve">edian rPFS of 27.9 mo (16.6–not </w:t>
      </w:r>
      <w:r w:rsidRPr="00C43A28">
        <w:rPr>
          <w:rFonts w:ascii="Calibri" w:eastAsia="HelveticaNeue-Roman" w:hAnsi="Calibri" w:cs="Calibri"/>
          <w:noProof/>
          <w:color w:val="000000"/>
          <w:sz w:val="22"/>
          <w:szCs w:val="22"/>
        </w:rPr>
        <w:t>reached) in comparison to</w:t>
      </w:r>
      <w:r>
        <w:rPr>
          <w:rFonts w:ascii="Calibri" w:eastAsia="HelveticaNeue-Roman" w:hAnsi="Calibri" w:cs="Calibri"/>
          <w:noProof/>
          <w:color w:val="000000"/>
          <w:sz w:val="22"/>
          <w:szCs w:val="22"/>
        </w:rPr>
        <w:t xml:space="preserve"> 16.4 mo (95% CI 10.9–24.6) for </w:t>
      </w:r>
      <w:r w:rsidRPr="00C43A28">
        <w:rPr>
          <w:rFonts w:ascii="Calibri" w:eastAsia="HelveticaNeue-Roman" w:hAnsi="Calibri" w:cs="Calibri"/>
          <w:noProof/>
          <w:color w:val="000000"/>
          <w:sz w:val="22"/>
          <w:szCs w:val="22"/>
        </w:rPr>
        <w:t>the placebo group (HR 0.46,</w:t>
      </w:r>
      <w:r>
        <w:rPr>
          <w:rFonts w:ascii="Calibri" w:eastAsia="HelveticaNeue-Roman" w:hAnsi="Calibri" w:cs="Calibri"/>
          <w:noProof/>
          <w:color w:val="000000"/>
          <w:sz w:val="22"/>
          <w:szCs w:val="22"/>
        </w:rPr>
        <w:t xml:space="preserve"> 95% CI 0.30–0.70; p = 0.0003), </w:t>
      </w:r>
      <w:r w:rsidRPr="00C43A28">
        <w:rPr>
          <w:rFonts w:ascii="Calibri" w:eastAsia="HelveticaNeue-Roman" w:hAnsi="Calibri" w:cs="Calibri"/>
          <w:noProof/>
          <w:color w:val="000000"/>
          <w:sz w:val="22"/>
          <w:szCs w:val="22"/>
        </w:rPr>
        <w:t>and HR of 0.70 (95% CI 0.54–0.89; p = 0.0039) in compari</w:t>
      </w:r>
      <w:r>
        <w:rPr>
          <w:rFonts w:ascii="Calibri" w:eastAsia="HelveticaNeue-Roman" w:hAnsi="Calibri" w:cs="Calibri"/>
          <w:noProof/>
          <w:color w:val="000000"/>
          <w:sz w:val="22"/>
          <w:szCs w:val="22"/>
        </w:rPr>
        <w:t xml:space="preserve">son </w:t>
      </w:r>
      <w:r w:rsidRPr="00C43A28">
        <w:rPr>
          <w:rFonts w:ascii="Calibri" w:eastAsia="HelveticaNeue-Roman" w:hAnsi="Calibri" w:cs="Calibri"/>
          <w:noProof/>
          <w:color w:val="000000"/>
          <w:sz w:val="22"/>
          <w:szCs w:val="22"/>
        </w:rPr>
        <w:t>to patients with unknown status or no HRR deficiency. In an</w:t>
      </w:r>
    </w:p>
    <w:p w14:paraId="7D4A34C4" w14:textId="04CA4FFE" w:rsidR="00C43A28" w:rsidRPr="00C43A28" w:rsidRDefault="00C43A28" w:rsidP="00C43A28">
      <w:pPr>
        <w:autoSpaceDE w:val="0"/>
        <w:autoSpaceDN w:val="0"/>
        <w:adjustRightInd w:val="0"/>
        <w:spacing w:line="276" w:lineRule="auto"/>
        <w:rPr>
          <w:rFonts w:ascii="Calibri" w:eastAsia="HelveticaNeue-Roman" w:hAnsi="Calibri" w:cs="Calibri"/>
          <w:noProof/>
          <w:color w:val="000000"/>
          <w:sz w:val="22"/>
          <w:szCs w:val="22"/>
        </w:rPr>
      </w:pPr>
      <w:r w:rsidRPr="00C43A28">
        <w:rPr>
          <w:rFonts w:ascii="Calibri" w:eastAsia="HelveticaNeue-Roman" w:hAnsi="Calibri" w:cs="Calibri"/>
          <w:noProof/>
          <w:color w:val="000000"/>
          <w:sz w:val="22"/>
          <w:szCs w:val="22"/>
        </w:rPr>
        <w:lastRenderedPageBreak/>
        <w:t xml:space="preserve">exploratory analysis, the HR </w:t>
      </w:r>
      <w:r w:rsidR="00B25535">
        <w:rPr>
          <w:rFonts w:ascii="Calibri" w:eastAsia="HelveticaNeue-Roman" w:hAnsi="Calibri" w:cs="Calibri"/>
          <w:noProof/>
          <w:color w:val="000000"/>
          <w:sz w:val="22"/>
          <w:szCs w:val="22"/>
        </w:rPr>
        <w:t xml:space="preserve">for rPFS was 0.23 (95% CI 0.10– </w:t>
      </w:r>
      <w:r w:rsidRPr="00C43A28">
        <w:rPr>
          <w:rFonts w:ascii="Calibri" w:eastAsia="HelveticaNeue-Roman" w:hAnsi="Calibri" w:cs="Calibri"/>
          <w:noProof/>
          <w:color w:val="000000"/>
          <w:sz w:val="22"/>
          <w:szCs w:val="22"/>
        </w:rPr>
        <w:t>0.53; p = 0.0002) for pa</w:t>
      </w:r>
      <w:r w:rsidR="00B25535">
        <w:rPr>
          <w:rFonts w:ascii="Calibri" w:eastAsia="HelveticaNeue-Roman" w:hAnsi="Calibri" w:cs="Calibri"/>
          <w:noProof/>
          <w:color w:val="000000"/>
          <w:sz w:val="22"/>
          <w:szCs w:val="22"/>
        </w:rPr>
        <w:t xml:space="preserve">tients with BRCA-mutated mCRPC, </w:t>
      </w:r>
      <w:r w:rsidRPr="00C43A28">
        <w:rPr>
          <w:rFonts w:ascii="Calibri" w:eastAsia="HelveticaNeue-Roman" w:hAnsi="Calibri" w:cs="Calibri"/>
          <w:noProof/>
          <w:color w:val="000000"/>
          <w:sz w:val="22"/>
          <w:szCs w:val="22"/>
        </w:rPr>
        <w:t>and 0.66 (95% CI 0.39–1.</w:t>
      </w:r>
      <w:r w:rsidR="00B25535">
        <w:rPr>
          <w:rFonts w:ascii="Calibri" w:eastAsia="HelveticaNeue-Roman" w:hAnsi="Calibri" w:cs="Calibri"/>
          <w:noProof/>
          <w:color w:val="000000"/>
          <w:sz w:val="22"/>
          <w:szCs w:val="22"/>
        </w:rPr>
        <w:t xml:space="preserve">12; p = 0.12) for patients with </w:t>
      </w:r>
      <w:r w:rsidRPr="00C43A28">
        <w:rPr>
          <w:rFonts w:ascii="Calibri" w:eastAsia="HelveticaNeue-Roman" w:hAnsi="Calibri" w:cs="Calibri"/>
          <w:noProof/>
          <w:color w:val="000000"/>
          <w:sz w:val="22"/>
          <w:szCs w:val="22"/>
        </w:rPr>
        <w:t>non-BRCA HRR gene–mutated mCRPC</w:t>
      </w:r>
      <w:r w:rsidR="00B25535">
        <w:rPr>
          <w:rFonts w:ascii="Calibri" w:eastAsia="HelveticaNeue-Roman" w:hAnsi="Calibri" w:cs="Calibri"/>
          <w:noProof/>
          <w:color w:val="000000"/>
          <w:sz w:val="22"/>
          <w:szCs w:val="22"/>
        </w:rPr>
        <w:t xml:space="preserve"> in favour of the talazoparib </w:t>
      </w:r>
      <w:r w:rsidRPr="00C43A28">
        <w:rPr>
          <w:rFonts w:ascii="Calibri" w:eastAsia="HelveticaNeue-Roman" w:hAnsi="Calibri" w:cs="Calibri"/>
          <w:noProof/>
          <w:color w:val="000000"/>
          <w:sz w:val="22"/>
          <w:szCs w:val="22"/>
        </w:rPr>
        <w:t>combination [104]. The OS data are still immature.</w:t>
      </w:r>
    </w:p>
    <w:p w14:paraId="38A62E7E" w14:textId="6AC115D7" w:rsidR="00C43A28" w:rsidRPr="00C43A28" w:rsidRDefault="00C43A28" w:rsidP="00C43A28">
      <w:pPr>
        <w:autoSpaceDE w:val="0"/>
        <w:autoSpaceDN w:val="0"/>
        <w:adjustRightInd w:val="0"/>
        <w:spacing w:line="276" w:lineRule="auto"/>
        <w:rPr>
          <w:rFonts w:ascii="Calibri" w:eastAsia="HelveticaNeue-Roman" w:hAnsi="Calibri" w:cs="Calibri"/>
          <w:noProof/>
          <w:color w:val="000000"/>
          <w:sz w:val="22"/>
          <w:szCs w:val="22"/>
        </w:rPr>
      </w:pPr>
      <w:r w:rsidRPr="00C43A28">
        <w:rPr>
          <w:rFonts w:ascii="Calibri" w:eastAsia="HelveticaNeue-Roman" w:hAnsi="Calibri" w:cs="Calibri"/>
          <w:noProof/>
          <w:color w:val="000000"/>
          <w:sz w:val="22"/>
          <w:szCs w:val="22"/>
        </w:rPr>
        <w:t>The expected clinical benef</w:t>
      </w:r>
      <w:r w:rsidR="00B25535">
        <w:rPr>
          <w:rFonts w:ascii="Calibri" w:eastAsia="HelveticaNeue-Roman" w:hAnsi="Calibri" w:cs="Calibri"/>
          <w:noProof/>
          <w:color w:val="000000"/>
          <w:sz w:val="22"/>
          <w:szCs w:val="22"/>
        </w:rPr>
        <w:t xml:space="preserve">it in the subgroups needs to be </w:t>
      </w:r>
      <w:r w:rsidRPr="00C43A28">
        <w:rPr>
          <w:rFonts w:ascii="Calibri" w:eastAsia="HelveticaNeue-Roman" w:hAnsi="Calibri" w:cs="Calibri"/>
          <w:noProof/>
          <w:color w:val="000000"/>
          <w:sz w:val="22"/>
          <w:szCs w:val="22"/>
        </w:rPr>
        <w:t>weighed against the potential burden of side effects.</w:t>
      </w:r>
    </w:p>
    <w:p w14:paraId="581F46AD" w14:textId="301A77DB" w:rsidR="00C43A28" w:rsidRPr="00C43A28" w:rsidRDefault="00C43A28" w:rsidP="00C43A28">
      <w:pPr>
        <w:autoSpaceDE w:val="0"/>
        <w:autoSpaceDN w:val="0"/>
        <w:adjustRightInd w:val="0"/>
        <w:spacing w:line="276" w:lineRule="auto"/>
        <w:rPr>
          <w:rFonts w:ascii="Calibri" w:eastAsia="HelveticaNeue-Roman" w:hAnsi="Calibri" w:cs="Calibri"/>
          <w:noProof/>
          <w:color w:val="000000"/>
          <w:sz w:val="22"/>
          <w:szCs w:val="22"/>
        </w:rPr>
      </w:pPr>
      <w:r w:rsidRPr="00C43A28">
        <w:rPr>
          <w:rFonts w:ascii="Calibri" w:eastAsia="HelveticaNeue-Roman" w:hAnsi="Calibri" w:cs="Calibri"/>
          <w:noProof/>
          <w:color w:val="000000"/>
          <w:sz w:val="22"/>
          <w:szCs w:val="22"/>
        </w:rPr>
        <w:t xml:space="preserve">The most common </w:t>
      </w:r>
      <w:r w:rsidR="00B25535">
        <w:rPr>
          <w:rFonts w:ascii="Calibri" w:eastAsia="HelveticaNeue-Roman" w:hAnsi="Calibri" w:cs="Calibri"/>
          <w:noProof/>
          <w:color w:val="000000"/>
          <w:sz w:val="22"/>
          <w:szCs w:val="22"/>
        </w:rPr>
        <w:t>treatment-emergent AEs with the</w:t>
      </w:r>
      <w:r w:rsidR="00E9460F">
        <w:rPr>
          <w:rFonts w:ascii="Calibri" w:eastAsia="HelveticaNeue-Roman" w:hAnsi="Calibri" w:cs="Calibri"/>
          <w:noProof/>
          <w:color w:val="000000"/>
          <w:sz w:val="22"/>
          <w:szCs w:val="22"/>
        </w:rPr>
        <w:t xml:space="preserve"> </w:t>
      </w:r>
      <w:r w:rsidRPr="00C43A28">
        <w:rPr>
          <w:rFonts w:ascii="Calibri" w:eastAsia="HelveticaNeue-Roman" w:hAnsi="Calibri" w:cs="Calibri"/>
          <w:noProof/>
          <w:color w:val="000000"/>
          <w:sz w:val="22"/>
          <w:szCs w:val="22"/>
        </w:rPr>
        <w:t>addition of ta</w:t>
      </w:r>
      <w:r w:rsidR="00E9460F">
        <w:rPr>
          <w:rFonts w:ascii="Calibri" w:eastAsia="HelveticaNeue-Roman" w:hAnsi="Calibri" w:cs="Calibri"/>
          <w:noProof/>
          <w:color w:val="000000"/>
          <w:sz w:val="22"/>
          <w:szCs w:val="22"/>
        </w:rPr>
        <w:t xml:space="preserve">lazoparib were anaemia, </w:t>
      </w:r>
      <w:r w:rsidR="00B25535">
        <w:rPr>
          <w:rFonts w:ascii="Calibri" w:eastAsia="HelveticaNeue-Roman" w:hAnsi="Calibri" w:cs="Calibri"/>
          <w:noProof/>
          <w:color w:val="000000"/>
          <w:sz w:val="22"/>
          <w:szCs w:val="22"/>
        </w:rPr>
        <w:t xml:space="preserve">neutropenia, and fatigue; </w:t>
      </w:r>
      <w:r w:rsidRPr="00C43A28">
        <w:rPr>
          <w:rFonts w:ascii="Calibri" w:eastAsia="HelveticaNeue-Roman" w:hAnsi="Calibri" w:cs="Calibri"/>
          <w:noProof/>
          <w:color w:val="000000"/>
          <w:sz w:val="22"/>
          <w:szCs w:val="22"/>
        </w:rPr>
        <w:t xml:space="preserve">the most common </w:t>
      </w:r>
      <w:r w:rsidR="00B25535">
        <w:rPr>
          <w:rFonts w:ascii="Calibri" w:eastAsia="HelveticaNeue-Roman" w:hAnsi="Calibri" w:cs="Calibri"/>
          <w:noProof/>
          <w:color w:val="000000"/>
          <w:sz w:val="22"/>
          <w:szCs w:val="22"/>
        </w:rPr>
        <w:t xml:space="preserve">grade 3–4 AE was anaemia (46%), </w:t>
      </w:r>
      <w:r w:rsidRPr="00C43A28">
        <w:rPr>
          <w:rFonts w:ascii="Calibri" w:eastAsia="HelveticaNeue-Roman" w:hAnsi="Calibri" w:cs="Calibri"/>
          <w:noProof/>
          <w:color w:val="000000"/>
          <w:sz w:val="22"/>
          <w:szCs w:val="22"/>
        </w:rPr>
        <w:t xml:space="preserve">which improved after </w:t>
      </w:r>
      <w:r w:rsidR="00B25535">
        <w:rPr>
          <w:rFonts w:ascii="Calibri" w:eastAsia="HelveticaNeue-Roman" w:hAnsi="Calibri" w:cs="Calibri"/>
          <w:noProof/>
          <w:color w:val="000000"/>
          <w:sz w:val="22"/>
          <w:szCs w:val="22"/>
        </w:rPr>
        <w:t xml:space="preserve">dose reduction; however, 39% of </w:t>
      </w:r>
      <w:r w:rsidRPr="00C43A28">
        <w:rPr>
          <w:rFonts w:ascii="Calibri" w:eastAsia="HelveticaNeue-Roman" w:hAnsi="Calibri" w:cs="Calibri"/>
          <w:noProof/>
          <w:color w:val="000000"/>
          <w:sz w:val="22"/>
          <w:szCs w:val="22"/>
        </w:rPr>
        <w:t>these patients required a b</w:t>
      </w:r>
      <w:r w:rsidR="00B25535">
        <w:rPr>
          <w:rFonts w:ascii="Calibri" w:eastAsia="HelveticaNeue-Roman" w:hAnsi="Calibri" w:cs="Calibri"/>
          <w:noProof/>
          <w:color w:val="000000"/>
          <w:sz w:val="22"/>
          <w:szCs w:val="22"/>
        </w:rPr>
        <w:t xml:space="preserve">lood transfusion, including 22% </w:t>
      </w:r>
      <w:r w:rsidRPr="00C43A28">
        <w:rPr>
          <w:rFonts w:ascii="Calibri" w:eastAsia="HelveticaNeue-Roman" w:hAnsi="Calibri" w:cs="Calibri"/>
          <w:noProof/>
          <w:color w:val="000000"/>
          <w:sz w:val="22"/>
          <w:szCs w:val="22"/>
        </w:rPr>
        <w:t>who required multiple transfusions, 8% who dis</w:t>
      </w:r>
      <w:r w:rsidR="00B25535">
        <w:rPr>
          <w:rFonts w:ascii="Calibri" w:eastAsia="HelveticaNeue-Roman" w:hAnsi="Calibri" w:cs="Calibri"/>
          <w:noProof/>
          <w:color w:val="000000"/>
          <w:sz w:val="22"/>
          <w:szCs w:val="22"/>
        </w:rPr>
        <w:t xml:space="preserve">continued </w:t>
      </w:r>
      <w:r w:rsidRPr="00C43A28">
        <w:rPr>
          <w:rFonts w:ascii="Calibri" w:eastAsia="HelveticaNeue-Roman" w:hAnsi="Calibri" w:cs="Calibri"/>
          <w:noProof/>
          <w:color w:val="000000"/>
          <w:sz w:val="22"/>
          <w:szCs w:val="22"/>
        </w:rPr>
        <w:t>treatment because of ana</w:t>
      </w:r>
      <w:r w:rsidR="00B25535">
        <w:rPr>
          <w:rFonts w:ascii="Calibri" w:eastAsia="HelveticaNeue-Roman" w:hAnsi="Calibri" w:cs="Calibri"/>
          <w:noProof/>
          <w:color w:val="000000"/>
          <w:sz w:val="22"/>
          <w:szCs w:val="22"/>
        </w:rPr>
        <w:t xml:space="preserve">emia, and two patients who were </w:t>
      </w:r>
      <w:r w:rsidRPr="00C43A28">
        <w:rPr>
          <w:rFonts w:ascii="Calibri" w:eastAsia="HelveticaNeue-Roman" w:hAnsi="Calibri" w:cs="Calibri"/>
          <w:noProof/>
          <w:color w:val="000000"/>
          <w:sz w:val="22"/>
          <w:szCs w:val="22"/>
        </w:rPr>
        <w:t>diagnosed with myelody</w:t>
      </w:r>
      <w:r w:rsidR="00B25535">
        <w:rPr>
          <w:rFonts w:ascii="Calibri" w:eastAsia="HelveticaNeue-Roman" w:hAnsi="Calibri" w:cs="Calibri"/>
          <w:noProof/>
          <w:color w:val="000000"/>
          <w:sz w:val="22"/>
          <w:szCs w:val="22"/>
        </w:rPr>
        <w:t xml:space="preserve">splastic syndrome/acute myeloid </w:t>
      </w:r>
      <w:r w:rsidRPr="00C43A28">
        <w:rPr>
          <w:rFonts w:ascii="Calibri" w:eastAsia="HelveticaNeue-Roman" w:hAnsi="Calibri" w:cs="Calibri"/>
          <w:noProof/>
          <w:color w:val="000000"/>
          <w:sz w:val="22"/>
          <w:szCs w:val="22"/>
        </w:rPr>
        <w:t>leukaemia [104]. TALAPRO-2 also recruited a HRRdeficient-only cohort (cohort 2; N = 230). The primary analysis</w:t>
      </w:r>
      <w:r w:rsidR="00B25535">
        <w:rPr>
          <w:rFonts w:ascii="Calibri" w:eastAsia="HelveticaNeue-Roman" w:hAnsi="Calibri" w:cs="Calibri"/>
          <w:noProof/>
          <w:color w:val="000000"/>
          <w:sz w:val="22"/>
          <w:szCs w:val="22"/>
        </w:rPr>
        <w:t xml:space="preserve"> </w:t>
      </w:r>
      <w:r w:rsidRPr="00C43A28">
        <w:rPr>
          <w:rFonts w:ascii="Calibri" w:eastAsia="HelveticaNeue-Roman" w:hAnsi="Calibri" w:cs="Calibri"/>
          <w:noProof/>
          <w:color w:val="000000"/>
          <w:sz w:val="22"/>
          <w:szCs w:val="22"/>
        </w:rPr>
        <w:t>for the combined HRR-def</w:t>
      </w:r>
      <w:r w:rsidR="00B25535">
        <w:rPr>
          <w:rFonts w:ascii="Calibri" w:eastAsia="HelveticaNeue-Roman" w:hAnsi="Calibri" w:cs="Calibri"/>
          <w:noProof/>
          <w:color w:val="000000"/>
          <w:sz w:val="22"/>
          <w:szCs w:val="22"/>
        </w:rPr>
        <w:t xml:space="preserve">icient population (N = 399) </w:t>
      </w:r>
      <w:r w:rsidRPr="00C43A28">
        <w:rPr>
          <w:rFonts w:ascii="Calibri" w:eastAsia="HelveticaNeue-Roman" w:hAnsi="Calibri" w:cs="Calibri"/>
          <w:noProof/>
          <w:color w:val="000000"/>
          <w:sz w:val="22"/>
          <w:szCs w:val="22"/>
        </w:rPr>
        <w:t xml:space="preserve">met the rPFS endpoint, </w:t>
      </w:r>
      <w:r w:rsidR="00B25535">
        <w:rPr>
          <w:rFonts w:ascii="Calibri" w:eastAsia="HelveticaNeue-Roman" w:hAnsi="Calibri" w:cs="Calibri"/>
          <w:noProof/>
          <w:color w:val="000000"/>
          <w:sz w:val="22"/>
          <w:szCs w:val="22"/>
        </w:rPr>
        <w:t>with a HR of 0.45 (95% CI 0.33–</w:t>
      </w:r>
      <w:r w:rsidRPr="00C43A28">
        <w:rPr>
          <w:rFonts w:ascii="Calibri" w:eastAsia="HelveticaNeue-Roman" w:hAnsi="Calibri" w:cs="Calibri"/>
          <w:noProof/>
          <w:color w:val="000000"/>
          <w:sz w:val="22"/>
          <w:szCs w:val="22"/>
        </w:rPr>
        <w:t xml:space="preserve">0.61; p &lt; 0.0001; median not </w:t>
      </w:r>
      <w:r w:rsidR="00B25535">
        <w:rPr>
          <w:rFonts w:ascii="Calibri" w:eastAsia="HelveticaNeue-Roman" w:hAnsi="Calibri" w:cs="Calibri"/>
          <w:noProof/>
          <w:color w:val="000000"/>
          <w:sz w:val="22"/>
          <w:szCs w:val="22"/>
        </w:rPr>
        <w:t xml:space="preserve">reached at the time of analysis </w:t>
      </w:r>
      <w:r w:rsidRPr="00C43A28">
        <w:rPr>
          <w:rFonts w:ascii="Calibri" w:eastAsia="HelveticaNeue-Roman" w:hAnsi="Calibri" w:cs="Calibri"/>
          <w:noProof/>
          <w:color w:val="000000"/>
          <w:sz w:val="22"/>
          <w:szCs w:val="22"/>
        </w:rPr>
        <w:t>for talazoparib vs 13.8 mo</w:t>
      </w:r>
      <w:r w:rsidR="00B25535">
        <w:rPr>
          <w:rFonts w:ascii="Calibri" w:eastAsia="HelveticaNeue-Roman" w:hAnsi="Calibri" w:cs="Calibri"/>
          <w:noProof/>
          <w:color w:val="000000"/>
          <w:sz w:val="22"/>
          <w:szCs w:val="22"/>
        </w:rPr>
        <w:t xml:space="preserve"> for placebo). OS data for this </w:t>
      </w:r>
      <w:r w:rsidRPr="00C43A28">
        <w:rPr>
          <w:rFonts w:ascii="Calibri" w:eastAsia="HelveticaNeue-Roman" w:hAnsi="Calibri" w:cs="Calibri"/>
          <w:noProof/>
          <w:color w:val="000000"/>
          <w:sz w:val="22"/>
          <w:szCs w:val="22"/>
        </w:rPr>
        <w:t>cohort are also immature, but favour talazoparib (HR 0.69,</w:t>
      </w:r>
    </w:p>
    <w:p w14:paraId="42E73357" w14:textId="77777777" w:rsidR="00C43A28" w:rsidRPr="00C43A28" w:rsidRDefault="00C43A28" w:rsidP="00C43A28">
      <w:pPr>
        <w:autoSpaceDE w:val="0"/>
        <w:autoSpaceDN w:val="0"/>
        <w:adjustRightInd w:val="0"/>
        <w:spacing w:line="276" w:lineRule="auto"/>
        <w:rPr>
          <w:rFonts w:ascii="Calibri" w:eastAsia="HelveticaNeue-Roman" w:hAnsi="Calibri" w:cs="Calibri"/>
          <w:noProof/>
          <w:color w:val="000000"/>
          <w:sz w:val="22"/>
          <w:szCs w:val="22"/>
        </w:rPr>
      </w:pPr>
      <w:r w:rsidRPr="00C43A28">
        <w:rPr>
          <w:rFonts w:ascii="Calibri" w:eastAsia="HelveticaNeue-Roman" w:hAnsi="Calibri" w:cs="Calibri"/>
          <w:noProof/>
          <w:color w:val="000000"/>
          <w:sz w:val="22"/>
          <w:szCs w:val="22"/>
        </w:rPr>
        <w:t>95% CI 0.46–1.03; p = 0.07) [105].</w:t>
      </w:r>
    </w:p>
    <w:p w14:paraId="008847A1" w14:textId="71CB874D" w:rsidR="00C43A28" w:rsidRPr="00C43A28" w:rsidRDefault="00C43A28" w:rsidP="00C43A28">
      <w:pPr>
        <w:autoSpaceDE w:val="0"/>
        <w:autoSpaceDN w:val="0"/>
        <w:adjustRightInd w:val="0"/>
        <w:spacing w:line="276" w:lineRule="auto"/>
        <w:rPr>
          <w:rFonts w:ascii="Calibri" w:eastAsia="HelveticaNeue-Roman" w:hAnsi="Calibri" w:cs="Calibri"/>
          <w:noProof/>
          <w:color w:val="000000"/>
          <w:sz w:val="22"/>
          <w:szCs w:val="22"/>
        </w:rPr>
      </w:pPr>
      <w:r w:rsidRPr="00C43A28">
        <w:rPr>
          <w:rFonts w:ascii="Calibri" w:eastAsia="HelveticaNeue-Roman" w:hAnsi="Calibri" w:cs="Calibri"/>
          <w:noProof/>
          <w:color w:val="000000"/>
          <w:sz w:val="22"/>
          <w:szCs w:val="22"/>
        </w:rPr>
        <w:t>The FDA approved tal</w:t>
      </w:r>
      <w:r w:rsidR="00B25535">
        <w:rPr>
          <w:rFonts w:ascii="Calibri" w:eastAsia="HelveticaNeue-Roman" w:hAnsi="Calibri" w:cs="Calibri"/>
          <w:noProof/>
          <w:color w:val="000000"/>
          <w:sz w:val="22"/>
          <w:szCs w:val="22"/>
        </w:rPr>
        <w:t xml:space="preserve">azoparib with enzalutamide only </w:t>
      </w:r>
      <w:r w:rsidRPr="00C43A28">
        <w:rPr>
          <w:rFonts w:ascii="Calibri" w:eastAsia="HelveticaNeue-Roman" w:hAnsi="Calibri" w:cs="Calibri"/>
          <w:noProof/>
          <w:color w:val="000000"/>
          <w:sz w:val="22"/>
          <w:szCs w:val="22"/>
        </w:rPr>
        <w:t>for HRR gene–mutate</w:t>
      </w:r>
      <w:r w:rsidR="00B25535">
        <w:rPr>
          <w:rFonts w:ascii="Calibri" w:eastAsia="HelveticaNeue-Roman" w:hAnsi="Calibri" w:cs="Calibri"/>
          <w:noProof/>
          <w:color w:val="000000"/>
          <w:sz w:val="22"/>
          <w:szCs w:val="22"/>
        </w:rPr>
        <w:t xml:space="preserve">d mCRPC [106]. The EMA approved </w:t>
      </w:r>
      <w:r w:rsidRPr="00C43A28">
        <w:rPr>
          <w:rFonts w:ascii="Calibri" w:eastAsia="HelveticaNeue-Roman" w:hAnsi="Calibri" w:cs="Calibri"/>
          <w:noProof/>
          <w:color w:val="000000"/>
          <w:sz w:val="22"/>
          <w:szCs w:val="22"/>
        </w:rPr>
        <w:t>talazoparib with enzalut</w:t>
      </w:r>
      <w:r w:rsidR="003A3EEF">
        <w:rPr>
          <w:rFonts w:ascii="Calibri" w:eastAsia="HelveticaNeue-Roman" w:hAnsi="Calibri" w:cs="Calibri"/>
          <w:noProof/>
          <w:color w:val="000000"/>
          <w:sz w:val="22"/>
          <w:szCs w:val="22"/>
        </w:rPr>
        <w:t xml:space="preserve">amide for treatment of patients </w:t>
      </w:r>
      <w:r w:rsidRPr="00C43A28">
        <w:rPr>
          <w:rFonts w:ascii="Calibri" w:eastAsia="HelveticaNeue-Roman" w:hAnsi="Calibri" w:cs="Calibri"/>
          <w:noProof/>
          <w:color w:val="000000"/>
          <w:sz w:val="22"/>
          <w:szCs w:val="22"/>
        </w:rPr>
        <w:t xml:space="preserve">with mCRPC (with or </w:t>
      </w:r>
      <w:r w:rsidR="003A3EEF">
        <w:rPr>
          <w:rFonts w:ascii="Calibri" w:eastAsia="HelveticaNeue-Roman" w:hAnsi="Calibri" w:cs="Calibri"/>
          <w:noProof/>
          <w:color w:val="000000"/>
          <w:sz w:val="22"/>
          <w:szCs w:val="22"/>
        </w:rPr>
        <w:t xml:space="preserve">without gene mutations) in whom </w:t>
      </w:r>
      <w:r w:rsidRPr="00C43A28">
        <w:rPr>
          <w:rFonts w:ascii="Calibri" w:eastAsia="HelveticaNeue-Roman" w:hAnsi="Calibri" w:cs="Calibri"/>
          <w:noProof/>
          <w:color w:val="000000"/>
          <w:sz w:val="22"/>
          <w:szCs w:val="22"/>
        </w:rPr>
        <w:t>chemotherapy is not clinically indicated [107].</w:t>
      </w:r>
    </w:p>
    <w:p w14:paraId="1213142B" w14:textId="36C87B45" w:rsidR="000337C9" w:rsidRPr="000337C9" w:rsidRDefault="00C43A28" w:rsidP="00C43A28">
      <w:pPr>
        <w:autoSpaceDE w:val="0"/>
        <w:autoSpaceDN w:val="0"/>
        <w:adjustRightInd w:val="0"/>
        <w:spacing w:line="276" w:lineRule="auto"/>
        <w:rPr>
          <w:rFonts w:ascii="Calibri" w:eastAsia="HelveticaNeue-Roman" w:hAnsi="Calibri" w:cs="Calibri"/>
          <w:noProof/>
          <w:color w:val="000000"/>
          <w:sz w:val="22"/>
          <w:szCs w:val="22"/>
        </w:rPr>
      </w:pPr>
      <w:r w:rsidRPr="00C43A28">
        <w:rPr>
          <w:rFonts w:ascii="Calibri" w:eastAsia="HelveticaNeue-Roman" w:hAnsi="Calibri" w:cs="Calibri"/>
          <w:noProof/>
          <w:color w:val="000000"/>
          <w:sz w:val="22"/>
          <w:szCs w:val="22"/>
        </w:rPr>
        <w:t>Table 7 summarises phase</w:t>
      </w:r>
      <w:r w:rsidR="003A3EEF">
        <w:rPr>
          <w:rFonts w:ascii="Calibri" w:eastAsia="HelveticaNeue-Roman" w:hAnsi="Calibri" w:cs="Calibri"/>
          <w:noProof/>
          <w:color w:val="000000"/>
          <w:sz w:val="22"/>
          <w:szCs w:val="22"/>
        </w:rPr>
        <w:t xml:space="preserve"> 3 RCTs of first-line treatment </w:t>
      </w:r>
      <w:r w:rsidRPr="00C43A28">
        <w:rPr>
          <w:rFonts w:ascii="Calibri" w:eastAsia="HelveticaNeue-Roman" w:hAnsi="Calibri" w:cs="Calibri"/>
          <w:noProof/>
          <w:color w:val="000000"/>
          <w:sz w:val="22"/>
          <w:szCs w:val="22"/>
        </w:rPr>
        <w:t>for mCRPC [88,89,92–94,96–98,102,104,108–112].</w:t>
      </w:r>
    </w:p>
    <w:p w14:paraId="00F971B8" w14:textId="77777777" w:rsidR="000337C9" w:rsidRPr="000337C9" w:rsidRDefault="000337C9" w:rsidP="000337C9">
      <w:pPr>
        <w:autoSpaceDE w:val="0"/>
        <w:autoSpaceDN w:val="0"/>
        <w:adjustRightInd w:val="0"/>
        <w:spacing w:line="276" w:lineRule="auto"/>
        <w:rPr>
          <w:rFonts w:ascii="Calibri" w:eastAsia="HelveticaNeue-Roman" w:hAnsi="Calibri" w:cs="Calibri"/>
          <w:noProof/>
          <w:color w:val="000000"/>
          <w:sz w:val="22"/>
          <w:szCs w:val="22"/>
        </w:rPr>
      </w:pPr>
    </w:p>
    <w:p w14:paraId="7C8C46E1" w14:textId="77777777" w:rsidR="000337C9" w:rsidRPr="00C62E59" w:rsidRDefault="000337C9" w:rsidP="000337C9">
      <w:pPr>
        <w:autoSpaceDE w:val="0"/>
        <w:autoSpaceDN w:val="0"/>
        <w:adjustRightInd w:val="0"/>
        <w:spacing w:line="276" w:lineRule="auto"/>
        <w:rPr>
          <w:rFonts w:ascii="Calibri" w:eastAsia="Calibri" w:hAnsi="Calibri" w:cs="Calibri"/>
          <w:b/>
          <w:bCs/>
          <w:noProof/>
          <w:color w:val="000000" w:themeColor="text1"/>
          <w:sz w:val="22"/>
          <w:szCs w:val="22"/>
        </w:rPr>
      </w:pPr>
      <w:r w:rsidRPr="00C62E59">
        <w:rPr>
          <w:rFonts w:ascii="Calibri" w:eastAsia="Calibri" w:hAnsi="Calibri" w:cs="Calibri"/>
          <w:b/>
          <w:bCs/>
          <w:noProof/>
          <w:color w:val="000000" w:themeColor="text1"/>
          <w:sz w:val="22"/>
          <w:szCs w:val="22"/>
        </w:rPr>
        <w:t>Table 7: Randomised phase III controlled trials - first-line treatment of mCRPC</w:t>
      </w:r>
    </w:p>
    <w:p w14:paraId="2C8817EF"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p>
    <w:tbl>
      <w:tblPr>
        <w:tblStyle w:val="TableGrid60"/>
        <w:tblW w:w="9493" w:type="dxa"/>
        <w:tblLook w:val="04A0" w:firstRow="1" w:lastRow="0" w:firstColumn="1" w:lastColumn="0" w:noHBand="0" w:noVBand="1"/>
      </w:tblPr>
      <w:tblGrid>
        <w:gridCol w:w="1859"/>
        <w:gridCol w:w="1634"/>
        <w:gridCol w:w="1741"/>
        <w:gridCol w:w="2114"/>
        <w:gridCol w:w="2097"/>
        <w:gridCol w:w="48"/>
      </w:tblGrid>
      <w:tr w:rsidR="000337C9" w:rsidRPr="00E9460F" w14:paraId="0B836F7E" w14:textId="77777777" w:rsidTr="00B83C6E">
        <w:tc>
          <w:tcPr>
            <w:tcW w:w="1859" w:type="dxa"/>
          </w:tcPr>
          <w:p w14:paraId="7C0AE3F1"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Study</w:t>
            </w:r>
          </w:p>
        </w:tc>
        <w:tc>
          <w:tcPr>
            <w:tcW w:w="1634" w:type="dxa"/>
          </w:tcPr>
          <w:p w14:paraId="48D796A0"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Intervention</w:t>
            </w:r>
          </w:p>
        </w:tc>
        <w:tc>
          <w:tcPr>
            <w:tcW w:w="1741" w:type="dxa"/>
          </w:tcPr>
          <w:p w14:paraId="11BA5E8E"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Comparison</w:t>
            </w:r>
          </w:p>
        </w:tc>
        <w:tc>
          <w:tcPr>
            <w:tcW w:w="2114" w:type="dxa"/>
          </w:tcPr>
          <w:p w14:paraId="35CA2CAD"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Selection criteria</w:t>
            </w:r>
          </w:p>
        </w:tc>
        <w:tc>
          <w:tcPr>
            <w:tcW w:w="2145" w:type="dxa"/>
            <w:gridSpan w:val="2"/>
          </w:tcPr>
          <w:p w14:paraId="2820C071"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Main outcomes</w:t>
            </w:r>
          </w:p>
        </w:tc>
      </w:tr>
      <w:tr w:rsidR="000337C9" w:rsidRPr="00E9460F" w14:paraId="0B0922F5" w14:textId="77777777" w:rsidTr="00B83C6E">
        <w:tc>
          <w:tcPr>
            <w:tcW w:w="9493" w:type="dxa"/>
            <w:gridSpan w:val="6"/>
            <w:shd w:val="clear" w:color="auto" w:fill="F2F2F2"/>
          </w:tcPr>
          <w:p w14:paraId="4C58F057"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DOCETAXEL</w:t>
            </w:r>
          </w:p>
        </w:tc>
      </w:tr>
      <w:tr w:rsidR="000337C9" w:rsidRPr="00E9460F" w14:paraId="39314908" w14:textId="77777777" w:rsidTr="00B83C6E">
        <w:tc>
          <w:tcPr>
            <w:tcW w:w="1859" w:type="dxa"/>
          </w:tcPr>
          <w:p w14:paraId="788ED350" w14:textId="0994A48B" w:rsidR="000337C9" w:rsidRPr="00E9460F" w:rsidRDefault="00A6117F"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noProof/>
                <w:color w:val="000000" w:themeColor="text1"/>
                <w:sz w:val="22"/>
                <w:szCs w:val="22"/>
              </w:rPr>
              <w:t>SWOG 99-16 2004 [108</w:t>
            </w:r>
            <w:r w:rsidR="000337C9" w:rsidRPr="00E9460F">
              <w:rPr>
                <w:rFonts w:ascii="Calibri" w:eastAsia="Calibri" w:hAnsi="Calibri" w:cs="Calibri"/>
                <w:noProof/>
                <w:color w:val="000000" w:themeColor="text1"/>
                <w:sz w:val="22"/>
                <w:szCs w:val="22"/>
              </w:rPr>
              <w:t xml:space="preserve">] </w:t>
            </w:r>
          </w:p>
        </w:tc>
        <w:tc>
          <w:tcPr>
            <w:tcW w:w="1634" w:type="dxa"/>
          </w:tcPr>
          <w:p w14:paraId="2ECA1485" w14:textId="77777777" w:rsidR="00A349AB" w:rsidRPr="00E9460F" w:rsidRDefault="00A349AB" w:rsidP="00A349AB">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DOC 60 mg/m</w:t>
            </w:r>
            <w:r w:rsidRPr="00E9460F">
              <w:rPr>
                <w:rFonts w:ascii="Calibri" w:eastAsia="Calibri" w:hAnsi="Calibri" w:cs="Calibri"/>
                <w:noProof/>
                <w:color w:val="000000" w:themeColor="text1"/>
                <w:sz w:val="22"/>
                <w:szCs w:val="22"/>
                <w:vertAlign w:val="superscript"/>
              </w:rPr>
              <w:t>2</w:t>
            </w:r>
            <w:r w:rsidRPr="00E9460F">
              <w:rPr>
                <w:rFonts w:ascii="Calibri" w:eastAsia="Calibri" w:hAnsi="Calibri" w:cs="Calibri"/>
                <w:noProof/>
                <w:color w:val="000000" w:themeColor="text1"/>
                <w:sz w:val="22"/>
                <w:szCs w:val="22"/>
              </w:rPr>
              <w:t xml:space="preserve"> Q3W</w:t>
            </w:r>
          </w:p>
          <w:p w14:paraId="1A4D9AC0" w14:textId="5EC1ABB2" w:rsidR="000337C9" w:rsidRPr="00E9460F" w:rsidRDefault="00A349AB" w:rsidP="00A349AB">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Estramustine 3 x 280 mg/d</w:t>
            </w:r>
          </w:p>
        </w:tc>
        <w:tc>
          <w:tcPr>
            <w:tcW w:w="1741" w:type="dxa"/>
          </w:tcPr>
          <w:p w14:paraId="2E3686CD" w14:textId="7A93B0F7" w:rsidR="000337C9" w:rsidRPr="00E9460F" w:rsidRDefault="00A377AE"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Mitoxantrone 12 mg/m</w:t>
            </w:r>
            <w:r w:rsidRPr="00E9460F">
              <w:rPr>
                <w:rFonts w:ascii="Calibri" w:eastAsia="Calibri" w:hAnsi="Calibri" w:cs="Calibri"/>
                <w:noProof/>
                <w:color w:val="000000" w:themeColor="text1"/>
                <w:sz w:val="22"/>
                <w:szCs w:val="22"/>
                <w:vertAlign w:val="superscript"/>
              </w:rPr>
              <w:t>2</w:t>
            </w:r>
            <w:r w:rsidRPr="00E9460F">
              <w:rPr>
                <w:rFonts w:ascii="Calibri" w:eastAsia="Calibri" w:hAnsi="Calibri" w:cs="Calibri"/>
                <w:noProof/>
                <w:color w:val="000000" w:themeColor="text1"/>
                <w:sz w:val="22"/>
                <w:szCs w:val="22"/>
              </w:rPr>
              <w:t xml:space="preserve"> Q3W + P5</w:t>
            </w:r>
            <w:r w:rsidRPr="00E9460F">
              <w:rPr>
                <w:rFonts w:ascii="Calibri" w:eastAsia="Calibri" w:hAnsi="Calibri" w:cs="Calibri"/>
                <w:noProof/>
                <w:color w:val="000000" w:themeColor="text1"/>
                <w:sz w:val="22"/>
                <w:szCs w:val="22"/>
                <w:vertAlign w:val="subscript"/>
              </w:rPr>
              <w:t>b.i.d.</w:t>
            </w:r>
          </w:p>
        </w:tc>
        <w:tc>
          <w:tcPr>
            <w:tcW w:w="2114" w:type="dxa"/>
          </w:tcPr>
          <w:p w14:paraId="7CDE3226"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p>
        </w:tc>
        <w:tc>
          <w:tcPr>
            <w:tcW w:w="2145" w:type="dxa"/>
            <w:gridSpan w:val="2"/>
          </w:tcPr>
          <w:p w14:paraId="3409DC5C" w14:textId="77777777" w:rsidR="00611589" w:rsidRPr="00E9460F" w:rsidRDefault="00611589" w:rsidP="0061158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OS: 17.52 vs 15.6 mo (HR: 0.80, 95% CI 0.67–0.97; p = 0.02)</w:t>
            </w:r>
          </w:p>
          <w:p w14:paraId="3B5EA6C9" w14:textId="7957800C" w:rsidR="000337C9" w:rsidRPr="00E9460F" w:rsidRDefault="00611589" w:rsidP="0061158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PFS: 6.3 vs 3.2 mo (p &lt; 0.001)</w:t>
            </w:r>
          </w:p>
        </w:tc>
      </w:tr>
      <w:tr w:rsidR="000337C9" w:rsidRPr="00E9460F" w14:paraId="5F8D4440" w14:textId="77777777" w:rsidTr="00B83C6E">
        <w:tc>
          <w:tcPr>
            <w:tcW w:w="1859" w:type="dxa"/>
          </w:tcPr>
          <w:p w14:paraId="32CB93D8" w14:textId="393D80AE" w:rsidR="000337C9" w:rsidRPr="00E9460F" w:rsidRDefault="00A6117F"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TAX 327 2004, 2008 [92,93</w:t>
            </w:r>
            <w:r w:rsidR="000337C9" w:rsidRPr="00E9460F">
              <w:rPr>
                <w:rFonts w:ascii="Calibri" w:eastAsia="Calibri" w:hAnsi="Calibri" w:cs="Calibri"/>
                <w:noProof/>
                <w:color w:val="000000" w:themeColor="text1"/>
                <w:sz w:val="22"/>
                <w:szCs w:val="22"/>
              </w:rPr>
              <w:t xml:space="preserve">] </w:t>
            </w:r>
          </w:p>
        </w:tc>
        <w:tc>
          <w:tcPr>
            <w:tcW w:w="1634" w:type="dxa"/>
          </w:tcPr>
          <w:p w14:paraId="76E1DBD1" w14:textId="77777777" w:rsidR="00A349AB" w:rsidRPr="00E9460F" w:rsidRDefault="00A349AB" w:rsidP="00A349AB">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DOC 75 mg/m2 Q3W + P5</w:t>
            </w:r>
            <w:r w:rsidRPr="00E9460F">
              <w:rPr>
                <w:rFonts w:ascii="Calibri" w:eastAsia="Calibri" w:hAnsi="Calibri" w:cs="Calibri"/>
                <w:noProof/>
                <w:color w:val="000000" w:themeColor="text1"/>
                <w:sz w:val="22"/>
                <w:szCs w:val="22"/>
                <w:vertAlign w:val="subscript"/>
              </w:rPr>
              <w:t>b.i.d.</w:t>
            </w:r>
          </w:p>
          <w:p w14:paraId="4ECA1202" w14:textId="51BAD07E" w:rsidR="000337C9" w:rsidRPr="00E9460F" w:rsidRDefault="00A349AB" w:rsidP="00A349AB">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or DOC 30 mg/m2 weekly + P5</w:t>
            </w:r>
            <w:r w:rsidRPr="00E9460F">
              <w:rPr>
                <w:rFonts w:ascii="Calibri" w:eastAsia="Calibri" w:hAnsi="Calibri" w:cs="Calibri"/>
                <w:noProof/>
                <w:color w:val="000000" w:themeColor="text1"/>
                <w:sz w:val="22"/>
                <w:szCs w:val="22"/>
                <w:vertAlign w:val="subscript"/>
              </w:rPr>
              <w:t>b.i.d.</w:t>
            </w:r>
          </w:p>
        </w:tc>
        <w:tc>
          <w:tcPr>
            <w:tcW w:w="1741" w:type="dxa"/>
          </w:tcPr>
          <w:p w14:paraId="5CDB7835" w14:textId="5FDE772C" w:rsidR="000337C9" w:rsidRPr="00E9460F" w:rsidRDefault="00A377AE"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noProof/>
                <w:color w:val="000000" w:themeColor="text1"/>
                <w:sz w:val="22"/>
                <w:szCs w:val="22"/>
              </w:rPr>
              <w:t>Mitoxantrone 12 mg/m</w:t>
            </w:r>
            <w:r w:rsidRPr="00E9460F">
              <w:rPr>
                <w:rFonts w:ascii="Calibri" w:eastAsia="Calibri" w:hAnsi="Calibri" w:cs="Calibri"/>
                <w:noProof/>
                <w:color w:val="000000" w:themeColor="text1"/>
                <w:sz w:val="22"/>
                <w:szCs w:val="22"/>
                <w:vertAlign w:val="superscript"/>
              </w:rPr>
              <w:t>2</w:t>
            </w:r>
            <w:r w:rsidRPr="00E9460F">
              <w:rPr>
                <w:rFonts w:ascii="Calibri" w:eastAsia="Calibri" w:hAnsi="Calibri" w:cs="Calibri"/>
                <w:noProof/>
                <w:color w:val="000000" w:themeColor="text1"/>
                <w:sz w:val="22"/>
                <w:szCs w:val="22"/>
              </w:rPr>
              <w:t xml:space="preserve"> Q3W + P5</w:t>
            </w:r>
            <w:r w:rsidRPr="00E9460F">
              <w:rPr>
                <w:rFonts w:ascii="Calibri" w:eastAsia="Calibri" w:hAnsi="Calibri" w:cs="Calibri"/>
                <w:noProof/>
                <w:color w:val="000000" w:themeColor="text1"/>
                <w:sz w:val="22"/>
                <w:szCs w:val="22"/>
                <w:vertAlign w:val="subscript"/>
              </w:rPr>
              <w:t>b.i.d.</w:t>
            </w:r>
          </w:p>
        </w:tc>
        <w:tc>
          <w:tcPr>
            <w:tcW w:w="2114" w:type="dxa"/>
          </w:tcPr>
          <w:p w14:paraId="6A9F7838"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p>
        </w:tc>
        <w:tc>
          <w:tcPr>
            <w:tcW w:w="2145" w:type="dxa"/>
            <w:gridSpan w:val="2"/>
          </w:tcPr>
          <w:p w14:paraId="39D3E65E" w14:textId="77777777" w:rsidR="00C161BF" w:rsidRPr="00E9460F" w:rsidRDefault="000337C9"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 xml:space="preserve"> </w:t>
            </w:r>
            <w:r w:rsidR="00C161BF" w:rsidRPr="00E9460F">
              <w:rPr>
                <w:rFonts w:ascii="Calibri" w:eastAsia="Calibri" w:hAnsi="Calibri" w:cs="Calibri"/>
                <w:noProof/>
                <w:color w:val="000000" w:themeColor="text1"/>
                <w:sz w:val="22"/>
                <w:szCs w:val="22"/>
              </w:rPr>
              <w:t>OS: 19.2 vs 17.8 vs 16.3 for Q3W vs weekly vs mitoxantrone</w:t>
            </w:r>
          </w:p>
          <w:p w14:paraId="199AB7E3" w14:textId="113981F6" w:rsidR="000337C9" w:rsidRPr="00E9460F" w:rsidRDefault="00C161BF" w:rsidP="00C161BF">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noProof/>
                <w:color w:val="000000" w:themeColor="text1"/>
                <w:sz w:val="22"/>
                <w:szCs w:val="22"/>
              </w:rPr>
              <w:t>(HR 0.79, 95% CI 0.67–0.93; p = 0.004)</w:t>
            </w:r>
          </w:p>
        </w:tc>
      </w:tr>
      <w:tr w:rsidR="000337C9" w:rsidRPr="00E9460F" w14:paraId="56187E23" w14:textId="77777777" w:rsidTr="00B83C6E">
        <w:tc>
          <w:tcPr>
            <w:tcW w:w="9493" w:type="dxa"/>
            <w:gridSpan w:val="6"/>
            <w:shd w:val="clear" w:color="auto" w:fill="F2F2F2"/>
          </w:tcPr>
          <w:p w14:paraId="4980325A"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ABIRATERONE</w:t>
            </w:r>
          </w:p>
        </w:tc>
      </w:tr>
      <w:tr w:rsidR="000337C9" w:rsidRPr="00E9460F" w14:paraId="141C97BE" w14:textId="77777777" w:rsidTr="00B83C6E">
        <w:tc>
          <w:tcPr>
            <w:tcW w:w="1859" w:type="dxa"/>
          </w:tcPr>
          <w:p w14:paraId="04ABDD95" w14:textId="6EAD73F9" w:rsidR="000337C9" w:rsidRPr="00E9460F" w:rsidRDefault="00A6117F"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COU-AA-302 2013, 2014, 2015 [88, 109, 110</w:t>
            </w:r>
            <w:r w:rsidR="000337C9" w:rsidRPr="00E9460F">
              <w:rPr>
                <w:rFonts w:ascii="Calibri" w:eastAsia="Calibri" w:hAnsi="Calibri" w:cs="Calibri"/>
                <w:noProof/>
                <w:color w:val="000000" w:themeColor="text1"/>
                <w:sz w:val="22"/>
                <w:szCs w:val="22"/>
              </w:rPr>
              <w:t xml:space="preserve">] </w:t>
            </w:r>
          </w:p>
        </w:tc>
        <w:tc>
          <w:tcPr>
            <w:tcW w:w="1634" w:type="dxa"/>
          </w:tcPr>
          <w:p w14:paraId="506060F0"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abiraterone + prednisone</w:t>
            </w:r>
          </w:p>
        </w:tc>
        <w:tc>
          <w:tcPr>
            <w:tcW w:w="1741" w:type="dxa"/>
          </w:tcPr>
          <w:p w14:paraId="1C73BFCA"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placebo + prednisone</w:t>
            </w:r>
          </w:p>
        </w:tc>
        <w:tc>
          <w:tcPr>
            <w:tcW w:w="2114" w:type="dxa"/>
          </w:tcPr>
          <w:p w14:paraId="3D8A4907" w14:textId="77777777" w:rsidR="00A377AE" w:rsidRPr="00E9460F" w:rsidRDefault="00A377AE" w:rsidP="00A377A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No previous DOC</w:t>
            </w:r>
          </w:p>
          <w:p w14:paraId="7D205C65" w14:textId="77777777" w:rsidR="00A377AE" w:rsidRPr="00E9460F" w:rsidRDefault="00A377AE" w:rsidP="00A377A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ECOG PS 0–1</w:t>
            </w:r>
          </w:p>
          <w:p w14:paraId="5D857A23" w14:textId="77777777" w:rsidR="00A377AE" w:rsidRPr="00E9460F" w:rsidRDefault="00A377AE" w:rsidP="00A377A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PSA or RG progression</w:t>
            </w:r>
          </w:p>
          <w:p w14:paraId="7AEB790D" w14:textId="64AB7CD6" w:rsidR="000337C9" w:rsidRPr="00E9460F" w:rsidRDefault="00A377AE" w:rsidP="00A377A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No or mild symptoms, no VMs</w:t>
            </w:r>
          </w:p>
        </w:tc>
        <w:tc>
          <w:tcPr>
            <w:tcW w:w="2145" w:type="dxa"/>
            <w:gridSpan w:val="2"/>
          </w:tcPr>
          <w:p w14:paraId="1C01DB12"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FU: 49.2 mo</w:t>
            </w:r>
          </w:p>
          <w:p w14:paraId="0E3E0727"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OS 34.7 vs 30.3 mo (HR 0.81; p = 0.0033)</w:t>
            </w:r>
          </w:p>
          <w:p w14:paraId="489EEDFB" w14:textId="7CA50CD3" w:rsidR="000337C9"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rPFS 16.5 vs 8.3 mo (p &lt; 0.0001)</w:t>
            </w:r>
            <w:r w:rsidR="000337C9" w:rsidRPr="00E9460F">
              <w:rPr>
                <w:rFonts w:ascii="Calibri" w:eastAsia="Calibri" w:hAnsi="Calibri" w:cs="Calibri"/>
                <w:noProof/>
                <w:color w:val="000000" w:themeColor="text1"/>
                <w:sz w:val="22"/>
                <w:szCs w:val="22"/>
              </w:rPr>
              <w:t xml:space="preserve"> </w:t>
            </w:r>
          </w:p>
        </w:tc>
      </w:tr>
      <w:tr w:rsidR="000337C9" w:rsidRPr="00E9460F" w14:paraId="2764AA53" w14:textId="77777777" w:rsidTr="00B83C6E">
        <w:tc>
          <w:tcPr>
            <w:tcW w:w="9493" w:type="dxa"/>
            <w:gridSpan w:val="6"/>
            <w:shd w:val="clear" w:color="auto" w:fill="F2F2F2"/>
          </w:tcPr>
          <w:p w14:paraId="27F61A88"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ENZALUTAMIDE</w:t>
            </w:r>
          </w:p>
        </w:tc>
      </w:tr>
      <w:tr w:rsidR="000337C9" w:rsidRPr="00E9460F" w14:paraId="25A7D0F4" w14:textId="77777777" w:rsidTr="00B83C6E">
        <w:tc>
          <w:tcPr>
            <w:tcW w:w="1859" w:type="dxa"/>
          </w:tcPr>
          <w:p w14:paraId="5BE7009A" w14:textId="6CD0947A" w:rsidR="000337C9" w:rsidRPr="00E9460F" w:rsidRDefault="00A6117F"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lastRenderedPageBreak/>
              <w:t>PREVAIL 2014 [89</w:t>
            </w:r>
            <w:r w:rsidR="000337C9" w:rsidRPr="00E9460F">
              <w:rPr>
                <w:rFonts w:ascii="Calibri" w:eastAsia="Calibri" w:hAnsi="Calibri" w:cs="Calibri"/>
                <w:noProof/>
                <w:color w:val="000000" w:themeColor="text1"/>
                <w:sz w:val="22"/>
                <w:szCs w:val="22"/>
              </w:rPr>
              <w:t xml:space="preserve">] </w:t>
            </w:r>
          </w:p>
        </w:tc>
        <w:tc>
          <w:tcPr>
            <w:tcW w:w="1634" w:type="dxa"/>
          </w:tcPr>
          <w:p w14:paraId="480EF49A"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noProof/>
                <w:color w:val="000000" w:themeColor="text1"/>
                <w:sz w:val="22"/>
                <w:szCs w:val="22"/>
              </w:rPr>
              <w:t>enzalutamide</w:t>
            </w:r>
          </w:p>
        </w:tc>
        <w:tc>
          <w:tcPr>
            <w:tcW w:w="1741" w:type="dxa"/>
          </w:tcPr>
          <w:p w14:paraId="00CA9DED"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noProof/>
                <w:color w:val="000000" w:themeColor="text1"/>
                <w:sz w:val="22"/>
                <w:szCs w:val="22"/>
              </w:rPr>
              <w:t>placebo</w:t>
            </w:r>
          </w:p>
        </w:tc>
        <w:tc>
          <w:tcPr>
            <w:tcW w:w="2114" w:type="dxa"/>
          </w:tcPr>
          <w:p w14:paraId="2660170A" w14:textId="77777777" w:rsidR="00A377AE" w:rsidRPr="00E9460F" w:rsidRDefault="00A377AE" w:rsidP="00A377A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No previous DOC</w:t>
            </w:r>
          </w:p>
          <w:p w14:paraId="4F60A5DC" w14:textId="77777777" w:rsidR="00A377AE" w:rsidRPr="00E9460F" w:rsidRDefault="00A377AE" w:rsidP="00A377A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ECOG PS 0–1</w:t>
            </w:r>
          </w:p>
          <w:p w14:paraId="49C7D0D9" w14:textId="77777777" w:rsidR="00A377AE" w:rsidRPr="00E9460F" w:rsidRDefault="00A377AE" w:rsidP="00A377A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PSA or RG progression</w:t>
            </w:r>
          </w:p>
          <w:p w14:paraId="5D96E00B" w14:textId="77777777" w:rsidR="00A377AE" w:rsidRPr="00E9460F" w:rsidRDefault="00A377AE" w:rsidP="00A377A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No or mild symptoms</w:t>
            </w:r>
          </w:p>
          <w:p w14:paraId="6F83089A" w14:textId="352F218C" w:rsidR="000337C9" w:rsidRPr="00E9460F" w:rsidRDefault="00A377AE" w:rsidP="00A377A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10% had VMs</w:t>
            </w:r>
          </w:p>
        </w:tc>
        <w:tc>
          <w:tcPr>
            <w:tcW w:w="2145" w:type="dxa"/>
            <w:gridSpan w:val="2"/>
          </w:tcPr>
          <w:p w14:paraId="5BB8B083"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FU: 22 mo</w:t>
            </w:r>
          </w:p>
          <w:p w14:paraId="575870D3"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OS: 32.4 vs 30.2 mo</w:t>
            </w:r>
          </w:p>
          <w:p w14:paraId="76ED2351"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(HR 0.71, 95% CI 0.60–0.84; p &lt; 0.001)</w:t>
            </w:r>
          </w:p>
          <w:p w14:paraId="0270E45F"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rPFS: 20.0 vs. 5.4 mo</w:t>
            </w:r>
          </w:p>
          <w:p w14:paraId="09A54DD6" w14:textId="3FF5D36C" w:rsidR="000337C9"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(HR 0.186, 95% CI 0.15–0.23; p &lt; 0.0001)</w:t>
            </w:r>
          </w:p>
        </w:tc>
      </w:tr>
      <w:tr w:rsidR="000337C9" w:rsidRPr="00E9460F" w14:paraId="7283A781" w14:textId="77777777" w:rsidTr="00B83C6E">
        <w:tc>
          <w:tcPr>
            <w:tcW w:w="9493" w:type="dxa"/>
            <w:gridSpan w:val="6"/>
            <w:shd w:val="clear" w:color="auto" w:fill="F2F2F2"/>
          </w:tcPr>
          <w:p w14:paraId="3207DBAF"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SIPULEUCEL-T</w:t>
            </w:r>
          </w:p>
        </w:tc>
      </w:tr>
      <w:tr w:rsidR="000337C9" w:rsidRPr="00E9460F" w14:paraId="522FC26B" w14:textId="77777777" w:rsidTr="00B83C6E">
        <w:tc>
          <w:tcPr>
            <w:tcW w:w="1859" w:type="dxa"/>
          </w:tcPr>
          <w:p w14:paraId="3FBE0563" w14:textId="38C62345"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IMPACT2010 [</w:t>
            </w:r>
            <w:r w:rsidR="00A6117F" w:rsidRPr="00E9460F">
              <w:rPr>
                <w:rFonts w:ascii="Calibri" w:eastAsia="Calibri" w:hAnsi="Calibri" w:cs="Calibri"/>
                <w:noProof/>
                <w:color w:val="000000" w:themeColor="text1"/>
                <w:sz w:val="22"/>
                <w:szCs w:val="22"/>
              </w:rPr>
              <w:t>94</w:t>
            </w:r>
            <w:r w:rsidRPr="00E9460F">
              <w:rPr>
                <w:rFonts w:ascii="Calibri" w:eastAsia="Calibri" w:hAnsi="Calibri" w:cs="Calibri"/>
                <w:noProof/>
                <w:color w:val="000000" w:themeColor="text1"/>
                <w:sz w:val="22"/>
                <w:szCs w:val="22"/>
              </w:rPr>
              <w:t xml:space="preserve">] </w:t>
            </w:r>
          </w:p>
        </w:tc>
        <w:tc>
          <w:tcPr>
            <w:tcW w:w="1634" w:type="dxa"/>
          </w:tcPr>
          <w:p w14:paraId="77E174D0"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noProof/>
                <w:color w:val="000000" w:themeColor="text1"/>
                <w:sz w:val="22"/>
                <w:szCs w:val="22"/>
              </w:rPr>
              <w:t xml:space="preserve">sipuleucel-T </w:t>
            </w:r>
          </w:p>
        </w:tc>
        <w:tc>
          <w:tcPr>
            <w:tcW w:w="1741" w:type="dxa"/>
          </w:tcPr>
          <w:p w14:paraId="1F4B4534"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noProof/>
                <w:color w:val="000000" w:themeColor="text1"/>
                <w:sz w:val="22"/>
                <w:szCs w:val="22"/>
              </w:rPr>
              <w:t xml:space="preserve">placebo </w:t>
            </w:r>
          </w:p>
        </w:tc>
        <w:tc>
          <w:tcPr>
            <w:tcW w:w="2114" w:type="dxa"/>
          </w:tcPr>
          <w:p w14:paraId="4F70D75C" w14:textId="77777777" w:rsidR="00A377AE" w:rsidRPr="00E9460F" w:rsidRDefault="00A377AE" w:rsidP="00A377A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Some with previous DOC</w:t>
            </w:r>
          </w:p>
          <w:p w14:paraId="3702C814" w14:textId="77777777" w:rsidR="00A377AE" w:rsidRPr="00E9460F" w:rsidRDefault="00A377AE" w:rsidP="00A377A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ECOG PS 0–1</w:t>
            </w:r>
          </w:p>
          <w:p w14:paraId="25AA9643" w14:textId="00C27113" w:rsidR="00A377AE" w:rsidRPr="00E9460F" w:rsidRDefault="00A377AE" w:rsidP="00A377A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No or minimal symptoms</w:t>
            </w:r>
          </w:p>
          <w:p w14:paraId="4307919F" w14:textId="4A86BF34"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p>
        </w:tc>
        <w:tc>
          <w:tcPr>
            <w:tcW w:w="2145" w:type="dxa"/>
            <w:gridSpan w:val="2"/>
          </w:tcPr>
          <w:p w14:paraId="580349AA"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FU: 34.1 mo</w:t>
            </w:r>
          </w:p>
          <w:p w14:paraId="112DEF74"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OS: 25.8 vs 21.7 mo (HR 0.78, 95% CI 0.61–0.98; p = 0.03)</w:t>
            </w:r>
          </w:p>
          <w:p w14:paraId="4CCF9263" w14:textId="2A47EFD0" w:rsidR="000337C9"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PFS: 3.7 vs. 3.6 mo (no difference)</w:t>
            </w:r>
          </w:p>
        </w:tc>
      </w:tr>
      <w:tr w:rsidR="000337C9" w:rsidRPr="00E9460F" w14:paraId="6A5F26FF" w14:textId="77777777" w:rsidTr="00B83C6E">
        <w:tc>
          <w:tcPr>
            <w:tcW w:w="1859" w:type="dxa"/>
          </w:tcPr>
          <w:p w14:paraId="0D4276A4" w14:textId="3DE29559" w:rsidR="000337C9" w:rsidRPr="00E9460F" w:rsidRDefault="00A6117F"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noProof/>
                <w:color w:val="000000" w:themeColor="text1"/>
                <w:sz w:val="22"/>
                <w:szCs w:val="22"/>
              </w:rPr>
              <w:t>IMPACT 2006 [111</w:t>
            </w:r>
            <w:r w:rsidR="000337C9" w:rsidRPr="00E9460F">
              <w:rPr>
                <w:rFonts w:ascii="Calibri" w:eastAsia="Calibri" w:hAnsi="Calibri" w:cs="Calibri"/>
                <w:noProof/>
                <w:color w:val="000000" w:themeColor="text1"/>
                <w:sz w:val="22"/>
                <w:szCs w:val="22"/>
              </w:rPr>
              <w:t xml:space="preserve">] </w:t>
            </w:r>
          </w:p>
        </w:tc>
        <w:tc>
          <w:tcPr>
            <w:tcW w:w="1634" w:type="dxa"/>
          </w:tcPr>
          <w:p w14:paraId="49CE170B"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noProof/>
                <w:color w:val="000000" w:themeColor="text1"/>
                <w:sz w:val="22"/>
                <w:szCs w:val="22"/>
              </w:rPr>
              <w:t xml:space="preserve">sipuleucel-T </w:t>
            </w:r>
          </w:p>
        </w:tc>
        <w:tc>
          <w:tcPr>
            <w:tcW w:w="1741" w:type="dxa"/>
          </w:tcPr>
          <w:p w14:paraId="0256D3F2"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noProof/>
                <w:color w:val="000000" w:themeColor="text1"/>
                <w:sz w:val="22"/>
                <w:szCs w:val="22"/>
              </w:rPr>
              <w:t xml:space="preserve">placebo </w:t>
            </w:r>
          </w:p>
        </w:tc>
        <w:tc>
          <w:tcPr>
            <w:tcW w:w="2114" w:type="dxa"/>
          </w:tcPr>
          <w:p w14:paraId="580DA150"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 ECOG 0–1</w:t>
            </w:r>
          </w:p>
          <w:p w14:paraId="1DF24EF6" w14:textId="1687917D" w:rsidR="000337C9" w:rsidRPr="00E9460F" w:rsidRDefault="00A377AE"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 No VMs</w:t>
            </w:r>
          </w:p>
          <w:p w14:paraId="73CBF620"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 No corticosteroids</w:t>
            </w:r>
          </w:p>
        </w:tc>
        <w:tc>
          <w:tcPr>
            <w:tcW w:w="2145" w:type="dxa"/>
            <w:gridSpan w:val="2"/>
          </w:tcPr>
          <w:p w14:paraId="4DEE5DC9"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FU: 36 mo</w:t>
            </w:r>
          </w:p>
          <w:p w14:paraId="4C90BD4A"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OS: 25.9 vs 21.4 mo (p = 0.1)</w:t>
            </w:r>
          </w:p>
          <w:p w14:paraId="1D9EA651" w14:textId="67BA8E7B" w:rsidR="000337C9"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PFS: 11.7 vs 10.0 wk</w:t>
            </w:r>
          </w:p>
        </w:tc>
      </w:tr>
      <w:tr w:rsidR="000337C9" w:rsidRPr="00E9460F" w14:paraId="33D3A62F" w14:textId="77777777" w:rsidTr="00B83C6E">
        <w:tc>
          <w:tcPr>
            <w:tcW w:w="9493" w:type="dxa"/>
            <w:gridSpan w:val="6"/>
            <w:shd w:val="clear" w:color="auto" w:fill="F2F2F2"/>
          </w:tcPr>
          <w:p w14:paraId="5F67FFF8"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IPATASERTIB</w:t>
            </w:r>
          </w:p>
        </w:tc>
      </w:tr>
      <w:tr w:rsidR="000337C9" w:rsidRPr="00E9460F" w14:paraId="74CE25CD" w14:textId="77777777" w:rsidTr="00B83C6E">
        <w:tc>
          <w:tcPr>
            <w:tcW w:w="1859" w:type="dxa"/>
          </w:tcPr>
          <w:p w14:paraId="599B31CA" w14:textId="70910BE6" w:rsidR="000337C9" w:rsidRPr="00E9460F" w:rsidRDefault="00A6117F"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IPATential150 2021 [96</w:t>
            </w:r>
            <w:r w:rsidR="000337C9" w:rsidRPr="00E9460F">
              <w:rPr>
                <w:rFonts w:ascii="Calibri" w:eastAsia="Calibri" w:hAnsi="Calibri" w:cs="Calibri"/>
                <w:noProof/>
                <w:color w:val="000000" w:themeColor="text1"/>
                <w:sz w:val="22"/>
                <w:szCs w:val="22"/>
              </w:rPr>
              <w:t>]</w:t>
            </w:r>
          </w:p>
          <w:p w14:paraId="31D1EE9F"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p>
          <w:p w14:paraId="5DBC143D"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 xml:space="preserve"> </w:t>
            </w:r>
          </w:p>
        </w:tc>
        <w:tc>
          <w:tcPr>
            <w:tcW w:w="1634" w:type="dxa"/>
          </w:tcPr>
          <w:p w14:paraId="13615722" w14:textId="49A05A5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ipatasertib (400 mg/d) + abiraterone (10</w:t>
            </w:r>
            <w:r w:rsidR="00A349AB" w:rsidRPr="00E9460F">
              <w:rPr>
                <w:rFonts w:ascii="Calibri" w:eastAsia="Calibri" w:hAnsi="Calibri" w:cs="Calibri"/>
                <w:noProof/>
                <w:color w:val="000000" w:themeColor="text1"/>
                <w:sz w:val="22"/>
                <w:szCs w:val="22"/>
              </w:rPr>
              <w:t>00 mg/d) + P5</w:t>
            </w:r>
            <w:r w:rsidR="00A349AB" w:rsidRPr="00E9460F">
              <w:rPr>
                <w:rFonts w:ascii="Calibri" w:eastAsia="Calibri" w:hAnsi="Calibri" w:cs="Calibri"/>
                <w:noProof/>
                <w:color w:val="000000" w:themeColor="text1"/>
                <w:sz w:val="22"/>
                <w:szCs w:val="22"/>
                <w:vertAlign w:val="subscript"/>
              </w:rPr>
              <w:t>b.i.d.</w:t>
            </w:r>
          </w:p>
        </w:tc>
        <w:tc>
          <w:tcPr>
            <w:tcW w:w="1741" w:type="dxa"/>
          </w:tcPr>
          <w:p w14:paraId="18586734"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abiraterone + prednisolone + placebo</w:t>
            </w:r>
          </w:p>
        </w:tc>
        <w:tc>
          <w:tcPr>
            <w:tcW w:w="2114" w:type="dxa"/>
          </w:tcPr>
          <w:p w14:paraId="7E52E10D" w14:textId="77777777"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Previously untreated for mCRPC</w:t>
            </w:r>
          </w:p>
          <w:p w14:paraId="4C90B83E" w14:textId="77777777"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No or mild symptoms</w:t>
            </w:r>
          </w:p>
          <w:p w14:paraId="127C040B" w14:textId="66F8FA90" w:rsidR="000337C9"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 PTEN loss on IHC</w:t>
            </w:r>
          </w:p>
        </w:tc>
        <w:tc>
          <w:tcPr>
            <w:tcW w:w="2145" w:type="dxa"/>
            <w:gridSpan w:val="2"/>
          </w:tcPr>
          <w:p w14:paraId="6633F429" w14:textId="77777777" w:rsidR="00C161BF" w:rsidRPr="00E9460F" w:rsidRDefault="00C161BF" w:rsidP="00C161BF">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rPFS (PTEN loss): 18.5 vs 16.5 mo</w:t>
            </w:r>
          </w:p>
          <w:p w14:paraId="5783C29F" w14:textId="722AABDF" w:rsidR="000337C9" w:rsidRPr="00E9460F" w:rsidRDefault="00C161BF" w:rsidP="00C161BF">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(HR 0.77, 95% CI 0.61–0.98; p = 0.0335)</w:t>
            </w:r>
          </w:p>
        </w:tc>
      </w:tr>
      <w:tr w:rsidR="000337C9" w:rsidRPr="00E9460F" w14:paraId="763A698F" w14:textId="77777777" w:rsidTr="00B83C6E">
        <w:tc>
          <w:tcPr>
            <w:tcW w:w="9493" w:type="dxa"/>
            <w:gridSpan w:val="6"/>
            <w:shd w:val="clear" w:color="auto" w:fill="F2F2F2"/>
          </w:tcPr>
          <w:p w14:paraId="238D13B9"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noProof/>
                <w:color w:val="000000" w:themeColor="text1"/>
                <w:sz w:val="22"/>
                <w:szCs w:val="22"/>
              </w:rPr>
              <w:t>COMBINATIONS</w:t>
            </w:r>
          </w:p>
        </w:tc>
      </w:tr>
      <w:tr w:rsidR="000337C9" w:rsidRPr="00E9460F" w14:paraId="1EB86881" w14:textId="77777777" w:rsidTr="00B83C6E">
        <w:tc>
          <w:tcPr>
            <w:tcW w:w="1859" w:type="dxa"/>
          </w:tcPr>
          <w:p w14:paraId="39F08C7C" w14:textId="21780322" w:rsidR="000337C9" w:rsidRPr="00E9460F" w:rsidRDefault="00A6117F"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PROpel [97, 98</w:t>
            </w:r>
            <w:r w:rsidR="000337C9" w:rsidRPr="00E9460F">
              <w:rPr>
                <w:rFonts w:ascii="Calibri" w:eastAsia="Calibri" w:hAnsi="Calibri" w:cs="Calibri"/>
                <w:noProof/>
                <w:color w:val="000000" w:themeColor="text1"/>
                <w:sz w:val="22"/>
                <w:szCs w:val="22"/>
              </w:rPr>
              <w:t xml:space="preserve">] </w:t>
            </w:r>
          </w:p>
          <w:p w14:paraId="5C4A3C80"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p>
        </w:tc>
        <w:tc>
          <w:tcPr>
            <w:tcW w:w="1634" w:type="dxa"/>
          </w:tcPr>
          <w:p w14:paraId="26FFD0F8" w14:textId="5EF7E4BA" w:rsidR="000337C9" w:rsidRPr="00E9460F" w:rsidRDefault="00A349AB"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 xml:space="preserve">olaparib 300mg </w:t>
            </w:r>
            <w:r w:rsidRPr="00E9460F">
              <w:rPr>
                <w:rFonts w:ascii="Calibri" w:eastAsia="Calibri" w:hAnsi="Calibri" w:cs="Calibri"/>
                <w:noProof/>
                <w:color w:val="000000" w:themeColor="text1"/>
                <w:sz w:val="22"/>
                <w:szCs w:val="22"/>
                <w:vertAlign w:val="subscript"/>
              </w:rPr>
              <w:t>b.i.d.</w:t>
            </w:r>
            <w:r w:rsidRPr="00E9460F">
              <w:rPr>
                <w:rFonts w:ascii="Calibri" w:eastAsia="Calibri" w:hAnsi="Calibri" w:cs="Calibri"/>
                <w:noProof/>
                <w:color w:val="000000" w:themeColor="text1"/>
                <w:sz w:val="22"/>
                <w:szCs w:val="22"/>
              </w:rPr>
              <w:t xml:space="preserve"> </w:t>
            </w:r>
          </w:p>
          <w:p w14:paraId="3F008519" w14:textId="611703F4" w:rsidR="000337C9" w:rsidRPr="00E9460F" w:rsidRDefault="00A349AB"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 xml:space="preserve">+ abiraterone 1000 mg/d + prednisone 5 mg </w:t>
            </w:r>
            <w:r w:rsidRPr="00E9460F">
              <w:rPr>
                <w:rFonts w:ascii="Calibri" w:eastAsia="Calibri" w:hAnsi="Calibri" w:cs="Calibri"/>
                <w:noProof/>
                <w:color w:val="000000" w:themeColor="text1"/>
                <w:sz w:val="22"/>
                <w:szCs w:val="22"/>
                <w:vertAlign w:val="subscript"/>
              </w:rPr>
              <w:t>b.i.d.</w:t>
            </w:r>
          </w:p>
        </w:tc>
        <w:tc>
          <w:tcPr>
            <w:tcW w:w="1741" w:type="dxa"/>
          </w:tcPr>
          <w:p w14:paraId="11FEE31B"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 xml:space="preserve">placebo + abiraterone + prednisone </w:t>
            </w:r>
          </w:p>
        </w:tc>
        <w:tc>
          <w:tcPr>
            <w:tcW w:w="2114" w:type="dxa"/>
          </w:tcPr>
          <w:p w14:paraId="24740DFA" w14:textId="77777777"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ECOG PS 0–1</w:t>
            </w:r>
          </w:p>
          <w:p w14:paraId="1348FD00" w14:textId="77777777"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Regardless of HRR status</w:t>
            </w:r>
          </w:p>
          <w:p w14:paraId="721E9FEB" w14:textId="77777777"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(retrospective testing)</w:t>
            </w:r>
          </w:p>
          <w:p w14:paraId="7A5B402C" w14:textId="1BEA000C"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Prior taxane for mHSPC allowed</w:t>
            </w:r>
          </w:p>
          <w:p w14:paraId="084BAAE9" w14:textId="06B8412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p>
        </w:tc>
        <w:tc>
          <w:tcPr>
            <w:tcW w:w="2145" w:type="dxa"/>
            <w:gridSpan w:val="2"/>
          </w:tcPr>
          <w:p w14:paraId="116C97D4"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ibPFS (ITT): 24.8 vs 16.6 mo</w:t>
            </w:r>
          </w:p>
          <w:p w14:paraId="0E0960E8"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(HR 0.66, 95% CI 0.54–0.81; p = 0.001)</w:t>
            </w:r>
          </w:p>
          <w:p w14:paraId="699BF2A4" w14:textId="18D7634C" w:rsidR="000337C9"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ibPFS (BRCA</w:t>
            </w:r>
            <w:r w:rsidRPr="00E9460F">
              <w:rPr>
                <w:rFonts w:ascii="Calibri" w:eastAsia="Calibri" w:hAnsi="Calibri" w:cs="Calibri"/>
                <w:noProof/>
                <w:color w:val="000000" w:themeColor="text1"/>
                <w:sz w:val="22"/>
                <w:szCs w:val="22"/>
                <w:vertAlign w:val="superscript"/>
              </w:rPr>
              <w:t>+</w:t>
            </w:r>
            <w:r w:rsidRPr="00E9460F">
              <w:rPr>
                <w:rFonts w:ascii="Calibri" w:eastAsia="Calibri" w:hAnsi="Calibri" w:cs="Calibri"/>
                <w:noProof/>
                <w:color w:val="000000" w:themeColor="text1"/>
                <w:sz w:val="22"/>
                <w:szCs w:val="22"/>
              </w:rPr>
              <w:t>): HR 0.24, 95% CI 0.12– 0.45</w:t>
            </w:r>
          </w:p>
        </w:tc>
      </w:tr>
      <w:tr w:rsidR="000337C9" w:rsidRPr="00E9460F" w14:paraId="473E6AB7" w14:textId="77777777" w:rsidTr="00874EDB">
        <w:trPr>
          <w:gridAfter w:val="1"/>
          <w:wAfter w:w="48" w:type="dxa"/>
          <w:trHeight w:val="1836"/>
        </w:trPr>
        <w:tc>
          <w:tcPr>
            <w:tcW w:w="1859" w:type="dxa"/>
          </w:tcPr>
          <w:p w14:paraId="238DD80F"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p>
        </w:tc>
        <w:tc>
          <w:tcPr>
            <w:tcW w:w="1634" w:type="dxa"/>
          </w:tcPr>
          <w:p w14:paraId="13A67DF6"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p>
        </w:tc>
        <w:tc>
          <w:tcPr>
            <w:tcW w:w="1741" w:type="dxa"/>
          </w:tcPr>
          <w:p w14:paraId="753AF6EB"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p>
        </w:tc>
        <w:tc>
          <w:tcPr>
            <w:tcW w:w="2114" w:type="dxa"/>
          </w:tcPr>
          <w:p w14:paraId="721F8A2E"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p>
        </w:tc>
        <w:tc>
          <w:tcPr>
            <w:tcW w:w="2097" w:type="dxa"/>
          </w:tcPr>
          <w:p w14:paraId="3259F81A" w14:textId="77777777" w:rsidR="00C161BF" w:rsidRPr="00E9460F" w:rsidRDefault="00874EDB" w:rsidP="00C161BF">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 xml:space="preserve"> </w:t>
            </w:r>
            <w:r w:rsidR="00C161BF" w:rsidRPr="00E9460F">
              <w:rPr>
                <w:rFonts w:ascii="Calibri" w:eastAsia="Calibri" w:hAnsi="Calibri" w:cs="Calibri"/>
                <w:bCs/>
                <w:noProof/>
                <w:color w:val="000000" w:themeColor="text1"/>
                <w:sz w:val="22"/>
                <w:szCs w:val="22"/>
              </w:rPr>
              <w:t>OS (ITT): 42.1 vs 34.7 mo</w:t>
            </w:r>
          </w:p>
          <w:p w14:paraId="408FBC16" w14:textId="77777777" w:rsidR="00C161BF" w:rsidRPr="00E9460F" w:rsidRDefault="00C161BF" w:rsidP="00C161BF">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(HR 0.81, 95% CI 0.67–1.00; p = 0.054)</w:t>
            </w:r>
          </w:p>
          <w:p w14:paraId="3F050DCF" w14:textId="652F6C22"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bCs/>
                <w:noProof/>
                <w:color w:val="000000" w:themeColor="text1"/>
                <w:sz w:val="22"/>
                <w:szCs w:val="22"/>
              </w:rPr>
              <w:t>OS (BRCA</w:t>
            </w:r>
            <w:r w:rsidRPr="00E9460F">
              <w:rPr>
                <w:rFonts w:ascii="Calibri" w:eastAsia="Calibri" w:hAnsi="Calibri" w:cs="Calibri"/>
                <w:bCs/>
                <w:noProof/>
                <w:color w:val="000000" w:themeColor="text1"/>
                <w:sz w:val="22"/>
                <w:szCs w:val="22"/>
                <w:vertAlign w:val="superscript"/>
              </w:rPr>
              <w:t>+</w:t>
            </w:r>
            <w:r w:rsidRPr="00E9460F">
              <w:rPr>
                <w:rFonts w:ascii="Calibri" w:eastAsia="Calibri" w:hAnsi="Calibri" w:cs="Calibri"/>
                <w:bCs/>
                <w:noProof/>
                <w:color w:val="000000" w:themeColor="text1"/>
                <w:sz w:val="22"/>
                <w:szCs w:val="22"/>
              </w:rPr>
              <w:t>): NR vs 23.0 mo (HR 0.29, 95% CI 0.14–0.56)</w:t>
            </w:r>
          </w:p>
          <w:p w14:paraId="62C8AA69" w14:textId="7B057E46"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p>
        </w:tc>
      </w:tr>
      <w:tr w:rsidR="000337C9" w:rsidRPr="00E9460F" w14:paraId="2A0A0939" w14:textId="77777777" w:rsidTr="00874EDB">
        <w:trPr>
          <w:gridAfter w:val="1"/>
          <w:wAfter w:w="48" w:type="dxa"/>
        </w:trPr>
        <w:tc>
          <w:tcPr>
            <w:tcW w:w="1859" w:type="dxa"/>
          </w:tcPr>
          <w:p w14:paraId="4090CFE3" w14:textId="1B7D1F5E" w:rsidR="000337C9" w:rsidRPr="00E9460F" w:rsidRDefault="00A6117F"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lastRenderedPageBreak/>
              <w:t>MAGNITUDE [102, 112</w:t>
            </w:r>
            <w:r w:rsidR="000337C9" w:rsidRPr="00E9460F">
              <w:rPr>
                <w:rFonts w:ascii="Calibri" w:eastAsia="Calibri" w:hAnsi="Calibri" w:cs="Calibri"/>
                <w:noProof/>
                <w:color w:val="000000" w:themeColor="text1"/>
                <w:sz w:val="22"/>
                <w:szCs w:val="22"/>
              </w:rPr>
              <w:t xml:space="preserve">] </w:t>
            </w:r>
          </w:p>
          <w:p w14:paraId="0E841667"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p>
          <w:p w14:paraId="7C5C2636"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p>
        </w:tc>
        <w:tc>
          <w:tcPr>
            <w:tcW w:w="1634" w:type="dxa"/>
          </w:tcPr>
          <w:p w14:paraId="7632D9AE" w14:textId="1F28B527" w:rsidR="000337C9" w:rsidRPr="00E9460F" w:rsidRDefault="000337C9" w:rsidP="00A349AB">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ni</w:t>
            </w:r>
            <w:r w:rsidR="00A349AB" w:rsidRPr="00E9460F">
              <w:rPr>
                <w:rFonts w:ascii="Calibri" w:eastAsia="Calibri" w:hAnsi="Calibri" w:cs="Calibri"/>
                <w:noProof/>
                <w:color w:val="000000" w:themeColor="text1"/>
                <w:sz w:val="22"/>
                <w:szCs w:val="22"/>
              </w:rPr>
              <w:t xml:space="preserve">raparib 200 mg/d + abiraterone </w:t>
            </w:r>
            <w:r w:rsidRPr="00E9460F">
              <w:rPr>
                <w:rFonts w:ascii="Calibri" w:eastAsia="Calibri" w:hAnsi="Calibri" w:cs="Calibri"/>
                <w:noProof/>
                <w:color w:val="000000" w:themeColor="text1"/>
                <w:sz w:val="22"/>
                <w:szCs w:val="22"/>
              </w:rPr>
              <w:t xml:space="preserve">1,000 mg/d plus </w:t>
            </w:r>
            <w:r w:rsidR="00A349AB" w:rsidRPr="00E9460F">
              <w:rPr>
                <w:rFonts w:ascii="Calibri" w:eastAsia="Calibri" w:hAnsi="Calibri" w:cs="Calibri"/>
                <w:noProof/>
                <w:color w:val="000000" w:themeColor="text1"/>
                <w:sz w:val="22"/>
                <w:szCs w:val="22"/>
              </w:rPr>
              <w:t>P</w:t>
            </w:r>
            <w:r w:rsidRPr="00E9460F">
              <w:rPr>
                <w:rFonts w:ascii="Calibri" w:eastAsia="Calibri" w:hAnsi="Calibri" w:cs="Calibri"/>
                <w:noProof/>
                <w:color w:val="000000" w:themeColor="text1"/>
                <w:sz w:val="22"/>
                <w:szCs w:val="22"/>
              </w:rPr>
              <w:t xml:space="preserve">5 mg </w:t>
            </w:r>
            <w:r w:rsidR="00A349AB" w:rsidRPr="00E9460F">
              <w:rPr>
                <w:rFonts w:ascii="Calibri" w:eastAsia="Calibri" w:hAnsi="Calibri" w:cs="Calibri"/>
                <w:noProof/>
                <w:color w:val="000000" w:themeColor="text1"/>
                <w:sz w:val="22"/>
                <w:szCs w:val="22"/>
                <w:vertAlign w:val="subscript"/>
              </w:rPr>
              <w:t>b.i.d.</w:t>
            </w:r>
          </w:p>
        </w:tc>
        <w:tc>
          <w:tcPr>
            <w:tcW w:w="1741" w:type="dxa"/>
          </w:tcPr>
          <w:p w14:paraId="17D5CFFD" w14:textId="7C8C46A5" w:rsidR="000337C9" w:rsidRPr="00E9460F" w:rsidRDefault="000337C9" w:rsidP="00A377A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 xml:space="preserve">placebo + </w:t>
            </w:r>
            <w:r w:rsidR="00A377AE" w:rsidRPr="00E9460F">
              <w:rPr>
                <w:rFonts w:ascii="Calibri" w:eastAsia="Calibri" w:hAnsi="Calibri" w:cs="Calibri"/>
                <w:noProof/>
                <w:color w:val="000000" w:themeColor="text1"/>
                <w:sz w:val="22"/>
                <w:szCs w:val="22"/>
              </w:rPr>
              <w:t xml:space="preserve">abiraterone </w:t>
            </w:r>
            <w:r w:rsidRPr="00E9460F">
              <w:rPr>
                <w:rFonts w:ascii="Calibri" w:eastAsia="Calibri" w:hAnsi="Calibri" w:cs="Calibri"/>
                <w:noProof/>
                <w:color w:val="000000" w:themeColor="text1"/>
                <w:sz w:val="22"/>
                <w:szCs w:val="22"/>
              </w:rPr>
              <w:t xml:space="preserve">1,000 mg/d plus </w:t>
            </w:r>
            <w:r w:rsidR="00A377AE" w:rsidRPr="00E9460F">
              <w:rPr>
                <w:rFonts w:ascii="Calibri" w:eastAsia="Calibri" w:hAnsi="Calibri" w:cs="Calibri"/>
                <w:noProof/>
                <w:color w:val="000000" w:themeColor="text1"/>
                <w:sz w:val="22"/>
                <w:szCs w:val="22"/>
              </w:rPr>
              <w:t xml:space="preserve">P5 </w:t>
            </w:r>
            <w:r w:rsidR="00A377AE" w:rsidRPr="00E9460F">
              <w:rPr>
                <w:rFonts w:ascii="Calibri" w:eastAsia="Calibri" w:hAnsi="Calibri" w:cs="Calibri"/>
                <w:noProof/>
                <w:color w:val="000000" w:themeColor="text1"/>
                <w:sz w:val="22"/>
                <w:szCs w:val="22"/>
                <w:vertAlign w:val="subscript"/>
              </w:rPr>
              <w:t>b.i.d.</w:t>
            </w:r>
          </w:p>
        </w:tc>
        <w:tc>
          <w:tcPr>
            <w:tcW w:w="2114" w:type="dxa"/>
          </w:tcPr>
          <w:p w14:paraId="38EBB482" w14:textId="77777777"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ECOG PS 0–1</w:t>
            </w:r>
          </w:p>
          <w:p w14:paraId="4578BC5D" w14:textId="55DD17A0"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AAP ≤4 mo allowed for mCRPC</w:t>
            </w:r>
          </w:p>
          <w:p w14:paraId="43DF0D28" w14:textId="77777777"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HRR-biomarker positive cohort</w:t>
            </w:r>
          </w:p>
          <w:p w14:paraId="5F089B69" w14:textId="77777777"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Prior DOC for mHSPC allowed</w:t>
            </w:r>
          </w:p>
          <w:p w14:paraId="683EE9DA" w14:textId="77777777"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Prior ARPI for mHSPC allowed</w:t>
            </w:r>
          </w:p>
          <w:p w14:paraId="04CC519E" w14:textId="509E40D0" w:rsidR="000337C9"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Prior ARPI for mCRPC allowed</w:t>
            </w:r>
          </w:p>
          <w:p w14:paraId="2D63DD76" w14:textId="5D16AE80"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p>
          <w:p w14:paraId="27EBF8E3" w14:textId="14F52DA2"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p>
        </w:tc>
        <w:tc>
          <w:tcPr>
            <w:tcW w:w="2097" w:type="dxa"/>
          </w:tcPr>
          <w:p w14:paraId="7BE84158" w14:textId="77777777" w:rsidR="00C161BF" w:rsidRPr="00E9460F" w:rsidRDefault="00C161BF" w:rsidP="00C161BF">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rPFS (central review) in HRR</w:t>
            </w:r>
            <w:r w:rsidRPr="00E9460F">
              <w:rPr>
                <w:rFonts w:ascii="Calibri" w:eastAsia="Calibri" w:hAnsi="Calibri" w:cs="Calibri"/>
                <w:bCs/>
                <w:noProof/>
                <w:color w:val="000000" w:themeColor="text1"/>
                <w:sz w:val="22"/>
                <w:szCs w:val="22"/>
                <w:vertAlign w:val="superscript"/>
              </w:rPr>
              <w:t>+</w:t>
            </w:r>
            <w:r w:rsidRPr="00E9460F">
              <w:rPr>
                <w:rFonts w:ascii="Calibri" w:eastAsia="Calibri" w:hAnsi="Calibri" w:cs="Calibri"/>
                <w:bCs/>
                <w:noProof/>
                <w:color w:val="000000" w:themeColor="text1"/>
                <w:sz w:val="22"/>
                <w:szCs w:val="22"/>
              </w:rPr>
              <w:t>: 16.5 vs 13.7 mo</w:t>
            </w:r>
          </w:p>
          <w:p w14:paraId="181FC202" w14:textId="77777777" w:rsidR="00C161BF" w:rsidRPr="00E9460F" w:rsidRDefault="00C161BF" w:rsidP="00C161BF">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(HR 0.73, 95% CI 0.56–0.96; p = 0.022)</w:t>
            </w:r>
          </w:p>
          <w:p w14:paraId="15629614" w14:textId="77777777" w:rsidR="00C161BF" w:rsidRPr="00E9460F" w:rsidRDefault="00C161BF" w:rsidP="00C161BF">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rPFS (central review) in BRCA1/2</w:t>
            </w:r>
            <w:r w:rsidRPr="00E9460F">
              <w:rPr>
                <w:rFonts w:ascii="Calibri" w:eastAsia="Calibri" w:hAnsi="Calibri" w:cs="Calibri"/>
                <w:bCs/>
                <w:noProof/>
                <w:color w:val="000000" w:themeColor="text1"/>
                <w:sz w:val="22"/>
                <w:szCs w:val="22"/>
                <w:vertAlign w:val="superscript"/>
              </w:rPr>
              <w:t>+</w:t>
            </w:r>
            <w:r w:rsidRPr="00E9460F">
              <w:rPr>
                <w:rFonts w:ascii="Calibri" w:eastAsia="Calibri" w:hAnsi="Calibri" w:cs="Calibri"/>
                <w:bCs/>
                <w:noProof/>
                <w:color w:val="000000" w:themeColor="text1"/>
                <w:sz w:val="22"/>
                <w:szCs w:val="22"/>
              </w:rPr>
              <w:t>: 19.5 vs 10.9 mo</w:t>
            </w:r>
          </w:p>
          <w:p w14:paraId="2899A98B" w14:textId="02243E75" w:rsidR="000337C9" w:rsidRPr="00E9460F" w:rsidRDefault="00C161BF" w:rsidP="00C161BF">
            <w:pPr>
              <w:autoSpaceDE w:val="0"/>
              <w:autoSpaceDN w:val="0"/>
              <w:adjustRightInd w:val="0"/>
              <w:spacing w:line="276" w:lineRule="auto"/>
              <w:rPr>
                <w:rFonts w:ascii="Calibri" w:eastAsia="Calibri" w:hAnsi="Calibri" w:cs="Calibri"/>
                <w:bCs/>
                <w:noProof/>
                <w:color w:val="000000" w:themeColor="text1"/>
                <w:sz w:val="22"/>
                <w:szCs w:val="22"/>
              </w:rPr>
            </w:pPr>
            <w:r w:rsidRPr="00E9460F">
              <w:rPr>
                <w:rFonts w:ascii="Calibri" w:eastAsia="Calibri" w:hAnsi="Calibri" w:cs="Calibri"/>
                <w:bCs/>
                <w:noProof/>
                <w:color w:val="000000" w:themeColor="text1"/>
                <w:sz w:val="22"/>
                <w:szCs w:val="22"/>
              </w:rPr>
              <w:t>(HR 0.55, 95% CI 0.39–0.78; nominal p = 0.0007)</w:t>
            </w:r>
          </w:p>
        </w:tc>
      </w:tr>
      <w:tr w:rsidR="000337C9" w:rsidRPr="00E9460F" w14:paraId="7AB48BAF" w14:textId="77777777" w:rsidTr="00874EDB">
        <w:trPr>
          <w:gridAfter w:val="1"/>
          <w:wAfter w:w="48" w:type="dxa"/>
        </w:trPr>
        <w:tc>
          <w:tcPr>
            <w:tcW w:w="1859" w:type="dxa"/>
          </w:tcPr>
          <w:p w14:paraId="5E108D5F" w14:textId="18998178" w:rsidR="000337C9" w:rsidRPr="00E9460F" w:rsidRDefault="00A6117F"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TALAPRO-2 [104</w:t>
            </w:r>
            <w:r w:rsidR="000337C9" w:rsidRPr="00E9460F">
              <w:rPr>
                <w:rFonts w:ascii="Calibri" w:eastAsia="Calibri" w:hAnsi="Calibri" w:cs="Calibri"/>
                <w:noProof/>
                <w:color w:val="000000" w:themeColor="text1"/>
                <w:sz w:val="22"/>
                <w:szCs w:val="22"/>
              </w:rPr>
              <w:t xml:space="preserve">] </w:t>
            </w:r>
          </w:p>
        </w:tc>
        <w:tc>
          <w:tcPr>
            <w:tcW w:w="1634" w:type="dxa"/>
          </w:tcPr>
          <w:p w14:paraId="3C0C6229" w14:textId="263C85EF" w:rsidR="000337C9" w:rsidRPr="00E9460F" w:rsidRDefault="00A349AB"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talazoparib 0.5mg/d</w:t>
            </w:r>
            <w:r w:rsidR="000337C9" w:rsidRPr="00E9460F">
              <w:rPr>
                <w:rFonts w:ascii="Calibri" w:eastAsia="Calibri" w:hAnsi="Calibri" w:cs="Calibri"/>
                <w:noProof/>
                <w:color w:val="000000" w:themeColor="text1"/>
                <w:sz w:val="22"/>
                <w:szCs w:val="22"/>
              </w:rPr>
              <w:t xml:space="preserve"> + enzalutamide 160mg/d</w:t>
            </w:r>
          </w:p>
        </w:tc>
        <w:tc>
          <w:tcPr>
            <w:tcW w:w="1741" w:type="dxa"/>
          </w:tcPr>
          <w:p w14:paraId="421E80E8"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enzalutamide + placebo</w:t>
            </w:r>
          </w:p>
        </w:tc>
        <w:tc>
          <w:tcPr>
            <w:tcW w:w="2114" w:type="dxa"/>
          </w:tcPr>
          <w:p w14:paraId="3BA85192" w14:textId="77777777"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ECOG PS 0–1</w:t>
            </w:r>
          </w:p>
          <w:p w14:paraId="434E1166" w14:textId="77777777"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All-comers: ± HHR deficiency or</w:t>
            </w:r>
          </w:p>
          <w:p w14:paraId="24FE5B36" w14:textId="77777777" w:rsidR="00E2657E"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unknown HRR status</w:t>
            </w:r>
          </w:p>
          <w:p w14:paraId="224176CB" w14:textId="4CFDE256" w:rsidR="000337C9" w:rsidRPr="00E9460F" w:rsidRDefault="00E2657E" w:rsidP="00E2657E">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Prior AAP/DOC allowed for mHSPC</w:t>
            </w:r>
          </w:p>
        </w:tc>
        <w:tc>
          <w:tcPr>
            <w:tcW w:w="2097" w:type="dxa"/>
          </w:tcPr>
          <w:p w14:paraId="4EB2E07D"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rPFS (ITT): NR vs 21.9 mo</w:t>
            </w:r>
          </w:p>
          <w:p w14:paraId="3F5AE97C" w14:textId="77777777" w:rsidR="00C161BF"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(HR 0.63, 95% CI 0.51–0.78; p &lt; 0.0001)</w:t>
            </w:r>
          </w:p>
          <w:p w14:paraId="1F5AD545" w14:textId="1DBC1E3A" w:rsidR="000337C9" w:rsidRPr="00E9460F" w:rsidRDefault="00C161BF" w:rsidP="00C161BF">
            <w:pPr>
              <w:autoSpaceDE w:val="0"/>
              <w:autoSpaceDN w:val="0"/>
              <w:adjustRightInd w:val="0"/>
              <w:spacing w:line="276" w:lineRule="auto"/>
              <w:rPr>
                <w:rFonts w:ascii="Calibri" w:eastAsia="Calibri" w:hAnsi="Calibri" w:cs="Calibri"/>
                <w:noProof/>
                <w:color w:val="000000" w:themeColor="text1"/>
                <w:sz w:val="22"/>
                <w:szCs w:val="22"/>
              </w:rPr>
            </w:pPr>
            <w:r w:rsidRPr="00E9460F">
              <w:rPr>
                <w:rFonts w:ascii="Calibri" w:eastAsia="Calibri" w:hAnsi="Calibri" w:cs="Calibri"/>
                <w:noProof/>
                <w:color w:val="000000" w:themeColor="text1"/>
                <w:sz w:val="22"/>
                <w:szCs w:val="22"/>
              </w:rPr>
              <w:t>rPFS (BRCA</w:t>
            </w:r>
            <w:r w:rsidRPr="00E9460F">
              <w:rPr>
                <w:rFonts w:ascii="Calibri" w:eastAsia="Calibri" w:hAnsi="Calibri" w:cs="Calibri"/>
                <w:noProof/>
                <w:color w:val="000000" w:themeColor="text1"/>
                <w:sz w:val="22"/>
                <w:szCs w:val="22"/>
                <w:vertAlign w:val="superscript"/>
              </w:rPr>
              <w:t>+</w:t>
            </w:r>
            <w:r w:rsidRPr="00E9460F">
              <w:rPr>
                <w:rFonts w:ascii="Calibri" w:eastAsia="Calibri" w:hAnsi="Calibri" w:cs="Calibri"/>
                <w:noProof/>
                <w:color w:val="000000" w:themeColor="text1"/>
                <w:sz w:val="22"/>
                <w:szCs w:val="22"/>
              </w:rPr>
              <w:t>): HR 0.23, 95% CI 0.10–0.53 (p = 0.0002)</w:t>
            </w:r>
          </w:p>
        </w:tc>
      </w:tr>
    </w:tbl>
    <w:p w14:paraId="20970F2F" w14:textId="71DBF73D" w:rsidR="000337C9" w:rsidRPr="008F536D" w:rsidRDefault="00327794" w:rsidP="00C62E59">
      <w:pPr>
        <w:autoSpaceDE w:val="0"/>
        <w:autoSpaceDN w:val="0"/>
        <w:adjustRightInd w:val="0"/>
        <w:spacing w:line="276" w:lineRule="auto"/>
        <w:jc w:val="both"/>
        <w:rPr>
          <w:rFonts w:ascii="Calibri" w:eastAsia="Calibri" w:hAnsi="Calibri" w:cs="Calibri"/>
          <w:bCs/>
          <w:i/>
          <w:iCs/>
          <w:noProof/>
          <w:color w:val="000000"/>
          <w:sz w:val="22"/>
          <w:szCs w:val="22"/>
        </w:rPr>
      </w:pPr>
      <w:r w:rsidRPr="008F536D">
        <w:rPr>
          <w:rFonts w:ascii="Calibri" w:eastAsia="Calibri" w:hAnsi="Calibri" w:cs="Calibri"/>
          <w:bCs/>
          <w:i/>
          <w:iCs/>
          <w:noProof/>
          <w:color w:val="000000"/>
          <w:sz w:val="22"/>
          <w:szCs w:val="22"/>
        </w:rPr>
        <w:t xml:space="preserve">AAP = abiraterone acetate + prednisone; ARPI = androgen receptor pathway inhibitor; </w:t>
      </w:r>
      <w:r w:rsidRPr="00207A68">
        <w:rPr>
          <w:rFonts w:ascii="Calibri" w:eastAsia="Calibri" w:hAnsi="Calibri" w:cs="Calibri"/>
          <w:bCs/>
          <w:i/>
          <w:iCs/>
          <w:noProof/>
          <w:color w:val="000000"/>
          <w:sz w:val="22"/>
          <w:szCs w:val="22"/>
          <w:vertAlign w:val="subscript"/>
        </w:rPr>
        <w:t>b.i.d</w:t>
      </w:r>
      <w:r w:rsidRPr="008F536D">
        <w:rPr>
          <w:rFonts w:ascii="Calibri" w:eastAsia="Calibri" w:hAnsi="Calibri" w:cs="Calibri"/>
          <w:bCs/>
          <w:i/>
          <w:iCs/>
          <w:noProof/>
          <w:color w:val="000000"/>
          <w:sz w:val="22"/>
          <w:szCs w:val="22"/>
        </w:rPr>
        <w:t>. = twice a day; CI = confidence interval; DOC = docetaxel; ECOG PS = Eastern Cooperative Onc</w:t>
      </w:r>
      <w:r w:rsidR="00207A68">
        <w:rPr>
          <w:rFonts w:ascii="Calibri" w:eastAsia="Calibri" w:hAnsi="Calibri" w:cs="Calibri"/>
          <w:bCs/>
          <w:i/>
          <w:iCs/>
          <w:noProof/>
          <w:color w:val="000000"/>
          <w:sz w:val="22"/>
          <w:szCs w:val="22"/>
        </w:rPr>
        <w:t xml:space="preserve">ology Group performance status; </w:t>
      </w:r>
      <w:r w:rsidRPr="008F536D">
        <w:rPr>
          <w:rFonts w:ascii="Calibri" w:eastAsia="Calibri" w:hAnsi="Calibri" w:cs="Calibri"/>
          <w:bCs/>
          <w:i/>
          <w:iCs/>
          <w:noProof/>
          <w:color w:val="000000"/>
          <w:sz w:val="22"/>
          <w:szCs w:val="22"/>
        </w:rPr>
        <w:t>FU = follow-up; HR = hazard ratio; HRR = homologous recombination repair; mCRPC = metastatic castration-resistant prostate cancer; mHSPC = metastatic hormone-sensitive prostate cancer; ITT = intention-t</w:t>
      </w:r>
      <w:r w:rsidR="00207A68">
        <w:rPr>
          <w:rFonts w:ascii="Calibri" w:eastAsia="Calibri" w:hAnsi="Calibri" w:cs="Calibri"/>
          <w:bCs/>
          <w:i/>
          <w:iCs/>
          <w:noProof/>
          <w:color w:val="000000"/>
          <w:sz w:val="22"/>
          <w:szCs w:val="22"/>
        </w:rPr>
        <w:t xml:space="preserve">o-treat </w:t>
      </w:r>
      <w:r w:rsidRPr="008F536D">
        <w:rPr>
          <w:rFonts w:ascii="Calibri" w:eastAsia="Calibri" w:hAnsi="Calibri" w:cs="Calibri"/>
          <w:bCs/>
          <w:i/>
          <w:iCs/>
          <w:noProof/>
          <w:color w:val="000000"/>
          <w:sz w:val="22"/>
          <w:szCs w:val="22"/>
        </w:rPr>
        <w:t>population; PFS = progression-free survival; ibPFS = imaging-based PFS; rPFS = radiographic PFS; Q3W = every 3 wk; NR = not reached; OS = overall survival; P5</w:t>
      </w:r>
      <w:r w:rsidRPr="00207A68">
        <w:rPr>
          <w:rFonts w:ascii="Calibri" w:eastAsia="Calibri" w:hAnsi="Calibri" w:cs="Calibri"/>
          <w:bCs/>
          <w:i/>
          <w:iCs/>
          <w:noProof/>
          <w:color w:val="000000"/>
          <w:sz w:val="22"/>
          <w:szCs w:val="22"/>
          <w:vertAlign w:val="subscript"/>
        </w:rPr>
        <w:t xml:space="preserve">b.i.d. </w:t>
      </w:r>
      <w:r w:rsidRPr="008F536D">
        <w:rPr>
          <w:rFonts w:ascii="Calibri" w:eastAsia="Calibri" w:hAnsi="Calibri" w:cs="Calibri"/>
          <w:bCs/>
          <w:i/>
          <w:iCs/>
          <w:noProof/>
          <w:color w:val="000000"/>
          <w:sz w:val="22"/>
          <w:szCs w:val="22"/>
        </w:rPr>
        <w:t xml:space="preserve">= prednisone 5 mg </w:t>
      </w:r>
      <w:r w:rsidRPr="00207A68">
        <w:rPr>
          <w:rFonts w:ascii="Calibri" w:eastAsia="Calibri" w:hAnsi="Calibri" w:cs="Calibri"/>
          <w:bCs/>
          <w:i/>
          <w:iCs/>
          <w:noProof/>
          <w:color w:val="000000"/>
          <w:sz w:val="22"/>
          <w:szCs w:val="22"/>
          <w:vertAlign w:val="subscript"/>
        </w:rPr>
        <w:t>b.i.d</w:t>
      </w:r>
      <w:r w:rsidR="00207A68">
        <w:rPr>
          <w:rFonts w:ascii="Calibri" w:eastAsia="Calibri" w:hAnsi="Calibri" w:cs="Calibri"/>
          <w:bCs/>
          <w:i/>
          <w:iCs/>
          <w:noProof/>
          <w:color w:val="000000"/>
          <w:sz w:val="22"/>
          <w:szCs w:val="22"/>
        </w:rPr>
        <w:t xml:space="preserve">.; RG = radiographic; </w:t>
      </w:r>
      <w:r w:rsidRPr="008F536D">
        <w:rPr>
          <w:rFonts w:ascii="Calibri" w:eastAsia="Calibri" w:hAnsi="Calibri" w:cs="Calibri"/>
          <w:bCs/>
          <w:i/>
          <w:iCs/>
          <w:noProof/>
          <w:color w:val="000000"/>
          <w:sz w:val="22"/>
          <w:szCs w:val="22"/>
        </w:rPr>
        <w:t>IHC = immunohistochemistry ; HRR = homologous recombination repair; VMs = visceral metastases.</w:t>
      </w:r>
    </w:p>
    <w:p w14:paraId="0C0DE7B8" w14:textId="77777777" w:rsidR="00327794" w:rsidRDefault="00327794" w:rsidP="00C62E59">
      <w:pPr>
        <w:spacing w:after="199" w:line="276" w:lineRule="auto"/>
        <w:ind w:left="100"/>
        <w:rPr>
          <w:sz w:val="16"/>
        </w:rPr>
      </w:pPr>
    </w:p>
    <w:p w14:paraId="4FB33DDA" w14:textId="0C86022B" w:rsidR="003A3EEF" w:rsidRPr="00E9460F" w:rsidRDefault="003A3EEF" w:rsidP="00C62E59">
      <w:pPr>
        <w:spacing w:after="199" w:line="276" w:lineRule="auto"/>
        <w:ind w:left="720"/>
        <w:rPr>
          <w:rFonts w:ascii="Calibri" w:hAnsi="Calibri" w:cs="Calibri"/>
          <w:i/>
          <w:sz w:val="22"/>
          <w:szCs w:val="22"/>
        </w:rPr>
      </w:pPr>
      <w:r w:rsidRPr="00E9460F">
        <w:rPr>
          <w:rFonts w:ascii="Calibri" w:hAnsi="Calibri" w:cs="Calibri"/>
          <w:i/>
          <w:sz w:val="22"/>
          <w:szCs w:val="22"/>
        </w:rPr>
        <w:t xml:space="preserve">3.3.2.2. Second-line treatment for mCRPC and sequencing </w:t>
      </w:r>
    </w:p>
    <w:p w14:paraId="7B5A30A2" w14:textId="2255C6AA" w:rsidR="003A3EEF" w:rsidRPr="00E9460F" w:rsidRDefault="003A3EEF" w:rsidP="00C62E59">
      <w:pPr>
        <w:spacing w:after="199" w:line="276" w:lineRule="auto"/>
        <w:rPr>
          <w:rFonts w:ascii="Calibri" w:hAnsi="Calibri" w:cs="Calibri"/>
          <w:sz w:val="22"/>
          <w:szCs w:val="22"/>
        </w:rPr>
      </w:pPr>
      <w:r w:rsidRPr="00E9460F">
        <w:rPr>
          <w:rFonts w:ascii="Calibri" w:hAnsi="Calibri" w:cs="Calibri"/>
          <w:sz w:val="22"/>
          <w:szCs w:val="22"/>
        </w:rPr>
        <w:t>All patients who receive treatment for mCRPC will eventually experience disease progression. There is high-level evidence for second-line treatments after first-line treatment for mCRPC with docetaxel or with ARPI. There is a paucity of high-level data on the sequence of treatments in cases with pretreatment with ARPI and/or docetaxel for mHSPC.</w:t>
      </w:r>
    </w:p>
    <w:p w14:paraId="4E08A4FF" w14:textId="77777777" w:rsidR="003A3EEF" w:rsidRPr="00E9460F" w:rsidRDefault="003A3EEF" w:rsidP="00C62E59">
      <w:pPr>
        <w:spacing w:after="207" w:line="276" w:lineRule="auto"/>
        <w:ind w:firstLine="620"/>
        <w:rPr>
          <w:rFonts w:ascii="Calibri" w:hAnsi="Calibri" w:cs="Calibri"/>
          <w:sz w:val="22"/>
          <w:szCs w:val="22"/>
        </w:rPr>
      </w:pPr>
      <w:r w:rsidRPr="00E9460F">
        <w:rPr>
          <w:rFonts w:ascii="Calibri" w:hAnsi="Calibri" w:cs="Calibri"/>
          <w:i/>
          <w:sz w:val="22"/>
          <w:szCs w:val="22"/>
        </w:rPr>
        <w:t>3.3.2.2.1. Cabazitaxel</w:t>
      </w:r>
      <w:r w:rsidRPr="00E9460F">
        <w:rPr>
          <w:rFonts w:ascii="Calibri" w:hAnsi="Calibri" w:cs="Calibri"/>
          <w:sz w:val="22"/>
          <w:szCs w:val="22"/>
        </w:rPr>
        <w:t xml:space="preserve">. Cabazitaxel was studied in a large, prospective, randomised phase 3 trial (TROPIC) comparing cabazitaxel plus prednisone versus mitoxantrone plus prednisone in 755 patients with mCRPC that had progressed after or during docetaxel-based chemotherapy </w:t>
      </w:r>
      <w:r w:rsidRPr="00E9460F">
        <w:rPr>
          <w:rFonts w:ascii="Calibri" w:hAnsi="Calibri" w:cs="Calibri"/>
          <w:color w:val="007FAD"/>
          <w:sz w:val="22"/>
          <w:szCs w:val="22"/>
        </w:rPr>
        <w:t>[113]</w:t>
      </w:r>
      <w:r w:rsidRPr="00E9460F">
        <w:rPr>
          <w:rFonts w:ascii="Calibri" w:hAnsi="Calibri" w:cs="Calibri"/>
          <w:sz w:val="22"/>
          <w:szCs w:val="22"/>
        </w:rPr>
        <w:t>. The primary endpoint of OS was significantly longer with cabazitaxel (median 15.1 vs 12.7 mo; p &lt; 0.0001).</w:t>
      </w:r>
    </w:p>
    <w:p w14:paraId="3CAEA513" w14:textId="77777777" w:rsidR="003A3EEF" w:rsidRPr="00E9460F" w:rsidRDefault="003A3EEF" w:rsidP="00C62E59">
      <w:pPr>
        <w:spacing w:after="208" w:line="276" w:lineRule="auto"/>
        <w:ind w:firstLine="620"/>
        <w:rPr>
          <w:rFonts w:ascii="Calibri" w:hAnsi="Calibri" w:cs="Calibri"/>
          <w:sz w:val="22"/>
          <w:szCs w:val="22"/>
        </w:rPr>
      </w:pPr>
      <w:r w:rsidRPr="00E9460F">
        <w:rPr>
          <w:rFonts w:ascii="Calibri" w:hAnsi="Calibri" w:cs="Calibri"/>
          <w:i/>
          <w:sz w:val="22"/>
          <w:szCs w:val="22"/>
        </w:rPr>
        <w:t>3.3.2.2.2. Abiraterone acetate after docetaxel.</w:t>
      </w:r>
      <w:r w:rsidRPr="00E9460F">
        <w:rPr>
          <w:rFonts w:ascii="Calibri" w:hAnsi="Calibri" w:cs="Calibri"/>
          <w:sz w:val="22"/>
          <w:szCs w:val="22"/>
        </w:rPr>
        <w:t xml:space="preserve"> Positive results from the large phase 3 COU-AA-301 trial were reported after median follow-up of 12.8 mo </w:t>
      </w:r>
      <w:r w:rsidRPr="00E9460F">
        <w:rPr>
          <w:rFonts w:ascii="Calibri" w:hAnsi="Calibri" w:cs="Calibri"/>
          <w:color w:val="007FAD"/>
          <w:sz w:val="22"/>
          <w:szCs w:val="22"/>
        </w:rPr>
        <w:t xml:space="preserve">[114] </w:t>
      </w:r>
      <w:r w:rsidRPr="00E9460F">
        <w:rPr>
          <w:rFonts w:ascii="Calibri" w:hAnsi="Calibri" w:cs="Calibri"/>
          <w:sz w:val="22"/>
          <w:szCs w:val="22"/>
        </w:rPr>
        <w:t xml:space="preserve">and confirmed by the final </w:t>
      </w:r>
      <w:r w:rsidRPr="00E9460F">
        <w:rPr>
          <w:rFonts w:ascii="Calibri" w:hAnsi="Calibri" w:cs="Calibri"/>
          <w:sz w:val="22"/>
          <w:szCs w:val="22"/>
        </w:rPr>
        <w:lastRenderedPageBreak/>
        <w:t xml:space="preserve">analysis </w:t>
      </w:r>
      <w:r w:rsidRPr="00E9460F">
        <w:rPr>
          <w:rFonts w:ascii="Calibri" w:hAnsi="Calibri" w:cs="Calibri"/>
          <w:color w:val="007FAD"/>
          <w:sz w:val="22"/>
          <w:szCs w:val="22"/>
        </w:rPr>
        <w:t>[115]</w:t>
      </w:r>
      <w:r w:rsidRPr="00E9460F">
        <w:rPr>
          <w:rFonts w:ascii="Calibri" w:hAnsi="Calibri" w:cs="Calibri"/>
          <w:sz w:val="22"/>
          <w:szCs w:val="22"/>
        </w:rPr>
        <w:t>. All patients had progressive disease after docetaxel therapy (with a maximum of 2 previous chemotherapeutic regimens). At median follow-up of 20.2 mo, median survival was 15.8 mo in the AAP arm, compared to 11.2 mo in the placebo arm (HR 0.74; p &lt; 0.0001).</w:t>
      </w:r>
    </w:p>
    <w:p w14:paraId="12FFACF6" w14:textId="77777777" w:rsidR="003A3EEF" w:rsidRPr="00E9460F" w:rsidRDefault="003A3EEF" w:rsidP="00C62E59">
      <w:pPr>
        <w:spacing w:after="200" w:line="276" w:lineRule="auto"/>
        <w:ind w:firstLine="620"/>
        <w:rPr>
          <w:rFonts w:ascii="Calibri" w:hAnsi="Calibri" w:cs="Calibri"/>
          <w:sz w:val="22"/>
          <w:szCs w:val="22"/>
        </w:rPr>
      </w:pPr>
      <w:r w:rsidRPr="00E9460F">
        <w:rPr>
          <w:rFonts w:ascii="Calibri" w:hAnsi="Calibri" w:cs="Calibri"/>
          <w:i/>
          <w:sz w:val="22"/>
          <w:szCs w:val="22"/>
        </w:rPr>
        <w:t>3.3.2.2.3. Enzalutamide after docetaxel</w:t>
      </w:r>
      <w:r w:rsidRPr="00E9460F">
        <w:rPr>
          <w:rFonts w:ascii="Calibri" w:hAnsi="Calibri" w:cs="Calibri"/>
          <w:sz w:val="22"/>
          <w:szCs w:val="22"/>
        </w:rPr>
        <w:t xml:space="preserve">. The AFFIRM study randomised 1199 patients with mCRPC that had progressed after docetaxel treatment in a 2:1 ratio to enzalutamide or placebo </w:t>
      </w:r>
      <w:r w:rsidRPr="00E9460F">
        <w:rPr>
          <w:rFonts w:ascii="Calibri" w:hAnsi="Calibri" w:cs="Calibri"/>
          <w:color w:val="007FAD"/>
          <w:sz w:val="22"/>
          <w:szCs w:val="22"/>
        </w:rPr>
        <w:t>[116]</w:t>
      </w:r>
      <w:r w:rsidRPr="00E9460F">
        <w:rPr>
          <w:rFonts w:ascii="Calibri" w:hAnsi="Calibri" w:cs="Calibri"/>
          <w:sz w:val="22"/>
          <w:szCs w:val="22"/>
        </w:rPr>
        <w:t xml:space="preserve">. At median follow-up of 14.4 mo, median survival was 18.4 mo in the enzalutamide arm, compared to 13.6 mo in the placebo arm (HR 0.63; p &lt; 0.001). Final analysis with longer follow-up confirmed the OS results, despite crossover and extensive postprogression therapies </w:t>
      </w:r>
      <w:r w:rsidRPr="00E9460F">
        <w:rPr>
          <w:rFonts w:ascii="Calibri" w:hAnsi="Calibri" w:cs="Calibri"/>
          <w:color w:val="007FAD"/>
          <w:sz w:val="22"/>
          <w:szCs w:val="22"/>
        </w:rPr>
        <w:t>[117]</w:t>
      </w:r>
      <w:r w:rsidRPr="00E9460F">
        <w:rPr>
          <w:rFonts w:ascii="Calibri" w:hAnsi="Calibri" w:cs="Calibri"/>
          <w:sz w:val="22"/>
          <w:szCs w:val="22"/>
        </w:rPr>
        <w:t xml:space="preserve">. Enzalutamide was also active in patients with visceral metastases. No significant differences in side effects were observed between the two groups, with a lower incidence of grade 3–4 AEs in the </w:t>
      </w:r>
      <w:proofErr w:type="gramStart"/>
      <w:r w:rsidRPr="00E9460F">
        <w:rPr>
          <w:rFonts w:ascii="Calibri" w:hAnsi="Calibri" w:cs="Calibri"/>
          <w:sz w:val="22"/>
          <w:szCs w:val="22"/>
        </w:rPr>
        <w:t>enzalutamide</w:t>
      </w:r>
      <w:proofErr w:type="gramEnd"/>
      <w:r w:rsidRPr="00E9460F">
        <w:rPr>
          <w:rFonts w:ascii="Calibri" w:hAnsi="Calibri" w:cs="Calibri"/>
          <w:sz w:val="22"/>
          <w:szCs w:val="22"/>
        </w:rPr>
        <w:t xml:space="preserve"> arm.</w:t>
      </w:r>
    </w:p>
    <w:p w14:paraId="759B11C9" w14:textId="77777777" w:rsidR="003A3EEF" w:rsidRPr="00E9460F" w:rsidRDefault="003A3EEF" w:rsidP="00C62E59">
      <w:pPr>
        <w:spacing w:after="200" w:line="276" w:lineRule="auto"/>
        <w:ind w:firstLine="620"/>
        <w:rPr>
          <w:rFonts w:ascii="Calibri" w:hAnsi="Calibri" w:cs="Calibri"/>
          <w:sz w:val="22"/>
          <w:szCs w:val="22"/>
        </w:rPr>
      </w:pPr>
      <w:r w:rsidRPr="00E9460F">
        <w:rPr>
          <w:rFonts w:ascii="Calibri" w:hAnsi="Calibri" w:cs="Calibri"/>
          <w:i/>
          <w:sz w:val="22"/>
          <w:szCs w:val="22"/>
        </w:rPr>
        <w:t>3.3.2.2.4. Radium-223 after ARPI or both ARPI and docetaxel</w:t>
      </w:r>
      <w:r w:rsidRPr="00E9460F">
        <w:rPr>
          <w:rFonts w:ascii="Calibri" w:hAnsi="Calibri" w:cs="Calibri"/>
          <w:sz w:val="22"/>
          <w:szCs w:val="22"/>
        </w:rPr>
        <w:t xml:space="preserve">. The only bone-specific drug associated with a survival benefit is the </w:t>
      </w:r>
      <w:r w:rsidRPr="00E9460F">
        <w:rPr>
          <w:rFonts w:ascii="Calibri" w:eastAsia="Calibri" w:hAnsi="Calibri" w:cs="Calibri"/>
          <w:sz w:val="22"/>
          <w:szCs w:val="22"/>
        </w:rPr>
        <w:t>a</w:t>
      </w:r>
      <w:r w:rsidRPr="00E9460F">
        <w:rPr>
          <w:rFonts w:ascii="Calibri" w:hAnsi="Calibri" w:cs="Calibri"/>
          <w:sz w:val="22"/>
          <w:szCs w:val="22"/>
        </w:rPr>
        <w:t xml:space="preserve">-emitter radium-223. In a large phase 3 trial (ALSYMPCA), 921 patients with symptomatic mCRPC who failed or were unfit for docetaxel were randomised to six injections of 50 kBq/kg radium-223 or placebo plus SOC. Radium-223 significantly improved median OS by 3.6 mo (HR 0.70; p &lt; 0.001) </w:t>
      </w:r>
      <w:r w:rsidRPr="00E9460F">
        <w:rPr>
          <w:rFonts w:ascii="Calibri" w:hAnsi="Calibri" w:cs="Calibri"/>
          <w:color w:val="007FAD"/>
          <w:sz w:val="22"/>
          <w:szCs w:val="22"/>
        </w:rPr>
        <w:t>[118]</w:t>
      </w:r>
      <w:r w:rsidRPr="00E9460F">
        <w:rPr>
          <w:rFonts w:ascii="Calibri" w:hAnsi="Calibri" w:cs="Calibri"/>
          <w:sz w:val="22"/>
          <w:szCs w:val="22"/>
        </w:rPr>
        <w:t xml:space="preserve">. The associated toxicity was mild </w:t>
      </w:r>
      <w:r w:rsidRPr="00E9460F">
        <w:rPr>
          <w:rFonts w:ascii="Calibri" w:hAnsi="Calibri" w:cs="Calibri"/>
          <w:color w:val="007FAD"/>
          <w:sz w:val="22"/>
          <w:szCs w:val="22"/>
        </w:rPr>
        <w:t>[118]</w:t>
      </w:r>
      <w:r w:rsidRPr="00E9460F">
        <w:rPr>
          <w:rFonts w:ascii="Calibri" w:hAnsi="Calibri" w:cs="Calibri"/>
          <w:sz w:val="22"/>
          <w:szCs w:val="22"/>
        </w:rPr>
        <w:t xml:space="preserve">. Owing to safety concerns, use of radium-223 was restricted to after docetaxel and at least one ARtargeted agent </w:t>
      </w:r>
      <w:r w:rsidRPr="00E9460F">
        <w:rPr>
          <w:rFonts w:ascii="Calibri" w:hAnsi="Calibri" w:cs="Calibri"/>
          <w:color w:val="007FAD"/>
          <w:sz w:val="22"/>
          <w:szCs w:val="22"/>
        </w:rPr>
        <w:t>[119]</w:t>
      </w:r>
      <w:r w:rsidRPr="00E9460F">
        <w:rPr>
          <w:rFonts w:ascii="Calibri" w:hAnsi="Calibri" w:cs="Calibri"/>
          <w:sz w:val="22"/>
          <w:szCs w:val="22"/>
        </w:rPr>
        <w:t xml:space="preserve">. In particular, use of radium-223 in combination with AAP was associated with significant safety risks related to fractures and more deaths. This was most striking for patients without concomitant bone health agents </w:t>
      </w:r>
      <w:r w:rsidRPr="00E9460F">
        <w:rPr>
          <w:rFonts w:ascii="Calibri" w:hAnsi="Calibri" w:cs="Calibri"/>
          <w:color w:val="007FAD"/>
          <w:sz w:val="22"/>
          <w:szCs w:val="22"/>
        </w:rPr>
        <w:t>[120]</w:t>
      </w:r>
      <w:r w:rsidRPr="00E9460F">
        <w:rPr>
          <w:rFonts w:ascii="Calibri" w:hAnsi="Calibri" w:cs="Calibri"/>
          <w:sz w:val="22"/>
          <w:szCs w:val="22"/>
        </w:rPr>
        <w:t>, so radium-223 should always be used in combination with bone health agents.</w:t>
      </w:r>
    </w:p>
    <w:p w14:paraId="5906439B" w14:textId="77777777" w:rsidR="003A3EEF" w:rsidRPr="00E9460F" w:rsidRDefault="003A3EEF" w:rsidP="00C62E59">
      <w:pPr>
        <w:spacing w:line="276" w:lineRule="auto"/>
        <w:ind w:firstLine="620"/>
        <w:rPr>
          <w:rFonts w:ascii="Calibri" w:hAnsi="Calibri" w:cs="Calibri"/>
          <w:sz w:val="22"/>
          <w:szCs w:val="22"/>
        </w:rPr>
      </w:pPr>
      <w:r w:rsidRPr="00E9460F">
        <w:rPr>
          <w:rFonts w:ascii="Calibri" w:hAnsi="Calibri" w:cs="Calibri"/>
          <w:i/>
          <w:sz w:val="22"/>
          <w:szCs w:val="22"/>
        </w:rPr>
        <w:t>3.3.2.2.5. Rucaparib after ARPI</w:t>
      </w:r>
      <w:r w:rsidRPr="00E9460F">
        <w:rPr>
          <w:rFonts w:ascii="Calibri" w:hAnsi="Calibri" w:cs="Calibri"/>
          <w:sz w:val="22"/>
          <w:szCs w:val="22"/>
        </w:rPr>
        <w:t xml:space="preserve">. A phase 3 RCT (TRITON-3) included 405 mCRPC patients with a BRCA1, BRCA2, or ATM alteration and disease progression after secondgeneration ARPI treatment </w:t>
      </w:r>
      <w:r w:rsidRPr="00E9460F">
        <w:rPr>
          <w:rFonts w:ascii="Calibri" w:hAnsi="Calibri" w:cs="Calibri"/>
          <w:color w:val="007FAD"/>
          <w:sz w:val="22"/>
          <w:szCs w:val="22"/>
        </w:rPr>
        <w:t>[121]</w:t>
      </w:r>
      <w:r w:rsidRPr="00E9460F">
        <w:rPr>
          <w:rFonts w:ascii="Calibri" w:hAnsi="Calibri" w:cs="Calibri"/>
          <w:sz w:val="22"/>
          <w:szCs w:val="22"/>
        </w:rPr>
        <w:t>. Patients were randomised 2:1 to rucaparib 600 mg twice daily or physician’s choice of either second-line docetaxel or the ARPI not previously received. The primary endpoint of rPFS in the ITT population was significantly better with rucaparib (median 10.2 vs 6.4 mo; HR 0.61, 95% CI 0.47–0.80; p &lt; 0.001). The small subgroup with ATM mutation did not derive a benefit. An interim analysis revealed that OS data were immature. The study design allowed for crossover, and 60% of patients received a PARP inhibitor at progression (47% rucaparib). Median rPFS was longer with rucaparib in comparison to both docetaxel (11.2 vs 8.3 mo; HR 0.53, 95% CI 0.37–</w:t>
      </w:r>
    </w:p>
    <w:p w14:paraId="605C6740" w14:textId="77777777" w:rsidR="003A3EEF" w:rsidRPr="00E9460F" w:rsidRDefault="003A3EEF" w:rsidP="00C62E59">
      <w:pPr>
        <w:spacing w:after="336" w:line="276" w:lineRule="auto"/>
        <w:rPr>
          <w:rFonts w:ascii="Calibri" w:hAnsi="Calibri" w:cs="Calibri"/>
          <w:sz w:val="22"/>
          <w:szCs w:val="22"/>
        </w:rPr>
      </w:pPr>
      <w:r w:rsidRPr="00E9460F">
        <w:rPr>
          <w:rFonts w:ascii="Calibri" w:hAnsi="Calibri" w:cs="Calibri"/>
          <w:sz w:val="22"/>
          <w:szCs w:val="22"/>
        </w:rPr>
        <w:t xml:space="preserve">0.77) and an ARPI (11.2 vs 4.5 mo; HR 0.38, 95% CI 0.25– 0.58) as the control. The most frequent AEs with rucaparib were fatigue, nausea, and anaemia, including grade 3 anaemia in 24% of patients and at least one blood transfusion in 29% </w:t>
      </w:r>
      <w:r w:rsidRPr="00E9460F">
        <w:rPr>
          <w:rFonts w:ascii="Calibri" w:hAnsi="Calibri" w:cs="Calibri"/>
          <w:color w:val="007FAD"/>
          <w:sz w:val="22"/>
          <w:szCs w:val="22"/>
        </w:rPr>
        <w:t>[122]</w:t>
      </w:r>
      <w:r w:rsidRPr="00E9460F">
        <w:rPr>
          <w:rFonts w:ascii="Calibri" w:hAnsi="Calibri" w:cs="Calibri"/>
          <w:sz w:val="22"/>
          <w:szCs w:val="22"/>
        </w:rPr>
        <w:t>. Rucaparib has been approved by the FDA.</w:t>
      </w:r>
    </w:p>
    <w:p w14:paraId="4828AB84" w14:textId="112DBD53" w:rsidR="000337C9" w:rsidRDefault="003A3EEF" w:rsidP="00C62E59">
      <w:pPr>
        <w:autoSpaceDE w:val="0"/>
        <w:autoSpaceDN w:val="0"/>
        <w:adjustRightInd w:val="0"/>
        <w:spacing w:line="276" w:lineRule="auto"/>
        <w:ind w:firstLine="720"/>
        <w:rPr>
          <w:rFonts w:ascii="Calibri" w:eastAsia="HelveticaNeue-Roman" w:hAnsi="Calibri" w:cs="Calibri"/>
          <w:iCs/>
          <w:noProof/>
          <w:color w:val="000000"/>
          <w:sz w:val="22"/>
          <w:szCs w:val="22"/>
        </w:rPr>
      </w:pPr>
      <w:r w:rsidRPr="00E9460F">
        <w:rPr>
          <w:rFonts w:ascii="Calibri" w:eastAsia="HelveticaNeue-Roman" w:hAnsi="Calibri" w:cs="Calibri"/>
          <w:i/>
          <w:iCs/>
          <w:noProof/>
          <w:color w:val="000000"/>
          <w:sz w:val="22"/>
          <w:szCs w:val="22"/>
        </w:rPr>
        <w:t xml:space="preserve">3.3.2.2.6. Olaparib after ARPI. </w:t>
      </w:r>
      <w:r w:rsidRPr="00C62E59">
        <w:rPr>
          <w:rFonts w:ascii="Calibri" w:eastAsia="HelveticaNeue-Roman" w:hAnsi="Calibri" w:cs="Calibri"/>
          <w:iCs/>
          <w:noProof/>
          <w:color w:val="000000"/>
          <w:sz w:val="22"/>
          <w:szCs w:val="22"/>
        </w:rPr>
        <w:t>For olaparib after an ARPI, see Section 3.3.2.4.</w:t>
      </w:r>
    </w:p>
    <w:p w14:paraId="22C4C8E2" w14:textId="77777777" w:rsidR="00C62E59" w:rsidRPr="00E9460F" w:rsidRDefault="00C62E59" w:rsidP="00C62E59">
      <w:pPr>
        <w:autoSpaceDE w:val="0"/>
        <w:autoSpaceDN w:val="0"/>
        <w:adjustRightInd w:val="0"/>
        <w:spacing w:line="276" w:lineRule="auto"/>
        <w:ind w:firstLine="720"/>
        <w:rPr>
          <w:rFonts w:ascii="Calibri" w:eastAsia="HelveticaNeue-Roman" w:hAnsi="Calibri" w:cs="Calibri"/>
          <w:i/>
          <w:iCs/>
          <w:noProof/>
          <w:color w:val="000000"/>
          <w:sz w:val="22"/>
          <w:szCs w:val="22"/>
        </w:rPr>
      </w:pPr>
    </w:p>
    <w:p w14:paraId="4B08CBBD" w14:textId="737964B4" w:rsidR="009B51B5" w:rsidRDefault="009B51B5" w:rsidP="00C62E59">
      <w:pPr>
        <w:autoSpaceDE w:val="0"/>
        <w:autoSpaceDN w:val="0"/>
        <w:adjustRightInd w:val="0"/>
        <w:spacing w:line="276" w:lineRule="auto"/>
        <w:ind w:left="720"/>
        <w:rPr>
          <w:rFonts w:ascii="Calibri" w:eastAsia="HelveticaNeue-Roman" w:hAnsi="Calibri" w:cs="Calibri"/>
          <w:i/>
          <w:noProof/>
          <w:color w:val="000000"/>
          <w:sz w:val="22"/>
          <w:szCs w:val="22"/>
        </w:rPr>
      </w:pPr>
      <w:r w:rsidRPr="00C62E59">
        <w:rPr>
          <w:rFonts w:ascii="Calibri" w:eastAsia="HelveticaNeue-Roman" w:hAnsi="Calibri" w:cs="Calibri"/>
          <w:i/>
          <w:noProof/>
          <w:color w:val="000000"/>
          <w:sz w:val="22"/>
          <w:szCs w:val="22"/>
        </w:rPr>
        <w:t>3.3.2.3. Treatment after do</w:t>
      </w:r>
      <w:r w:rsidR="00B17E50" w:rsidRPr="00C62E59">
        <w:rPr>
          <w:rFonts w:ascii="Calibri" w:eastAsia="HelveticaNeue-Roman" w:hAnsi="Calibri" w:cs="Calibri"/>
          <w:i/>
          <w:noProof/>
          <w:color w:val="000000"/>
          <w:sz w:val="22"/>
          <w:szCs w:val="22"/>
        </w:rPr>
        <w:t xml:space="preserve">cetaxel and one line of hormone </w:t>
      </w:r>
      <w:r w:rsidRPr="00C62E59">
        <w:rPr>
          <w:rFonts w:ascii="Calibri" w:eastAsia="HelveticaNeue-Roman" w:hAnsi="Calibri" w:cs="Calibri"/>
          <w:i/>
          <w:noProof/>
          <w:color w:val="000000"/>
          <w:sz w:val="22"/>
          <w:szCs w:val="22"/>
        </w:rPr>
        <w:t>treatment</w:t>
      </w:r>
    </w:p>
    <w:p w14:paraId="131947C0" w14:textId="77777777" w:rsidR="00C62E59" w:rsidRPr="00C62E59" w:rsidRDefault="00C62E59" w:rsidP="00C62E59">
      <w:pPr>
        <w:autoSpaceDE w:val="0"/>
        <w:autoSpaceDN w:val="0"/>
        <w:adjustRightInd w:val="0"/>
        <w:spacing w:line="276" w:lineRule="auto"/>
        <w:ind w:left="720"/>
        <w:rPr>
          <w:rFonts w:ascii="Calibri" w:eastAsia="HelveticaNeue-Roman" w:hAnsi="Calibri" w:cs="Calibri"/>
          <w:i/>
          <w:noProof/>
          <w:color w:val="000000"/>
          <w:sz w:val="22"/>
          <w:szCs w:val="22"/>
        </w:rPr>
      </w:pPr>
    </w:p>
    <w:p w14:paraId="64F06CB3" w14:textId="1CA41C44" w:rsidR="009B51B5" w:rsidRPr="00E9460F" w:rsidRDefault="009B51B5" w:rsidP="00C62E59">
      <w:pPr>
        <w:autoSpaceDE w:val="0"/>
        <w:autoSpaceDN w:val="0"/>
        <w:adjustRightInd w:val="0"/>
        <w:spacing w:line="276" w:lineRule="auto"/>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For men with rapid progression on AR-targeted therapy</w:t>
      </w:r>
      <w:r w:rsidR="00B17E50" w:rsidRPr="00E9460F">
        <w:rPr>
          <w:rFonts w:ascii="Calibri" w:eastAsia="HelveticaNeue-Roman" w:hAnsi="Calibri" w:cs="Calibri"/>
          <w:noProof/>
          <w:color w:val="000000"/>
          <w:sz w:val="22"/>
          <w:szCs w:val="22"/>
        </w:rPr>
        <w:t xml:space="preserve"> </w:t>
      </w:r>
      <w:r w:rsidRPr="00E9460F">
        <w:rPr>
          <w:rFonts w:ascii="Calibri" w:eastAsia="HelveticaNeue-Roman" w:hAnsi="Calibri" w:cs="Calibri"/>
          <w:noProof/>
          <w:color w:val="000000"/>
          <w:sz w:val="22"/>
          <w:szCs w:val="22"/>
        </w:rPr>
        <w:t>(&lt;12 mo), cabazitaxel is</w:t>
      </w:r>
      <w:r w:rsidR="00B17E50" w:rsidRPr="00E9460F">
        <w:rPr>
          <w:rFonts w:ascii="Calibri" w:eastAsia="HelveticaNeue-Roman" w:hAnsi="Calibri" w:cs="Calibri"/>
          <w:noProof/>
          <w:color w:val="000000"/>
          <w:sz w:val="22"/>
          <w:szCs w:val="22"/>
        </w:rPr>
        <w:t xml:space="preserve"> the treatment supported by the </w:t>
      </w:r>
      <w:r w:rsidRPr="00E9460F">
        <w:rPr>
          <w:rFonts w:ascii="Calibri" w:eastAsia="HelveticaNeue-Roman" w:hAnsi="Calibri" w:cs="Calibri"/>
          <w:noProof/>
          <w:color w:val="000000"/>
          <w:sz w:val="22"/>
          <w:szCs w:val="22"/>
        </w:rPr>
        <w:t>best data. CARD, an open-l</w:t>
      </w:r>
      <w:r w:rsidR="00B17E50" w:rsidRPr="00E9460F">
        <w:rPr>
          <w:rFonts w:ascii="Calibri" w:eastAsia="HelveticaNeue-Roman" w:hAnsi="Calibri" w:cs="Calibri"/>
          <w:noProof/>
          <w:color w:val="000000"/>
          <w:sz w:val="22"/>
          <w:szCs w:val="22"/>
        </w:rPr>
        <w:t xml:space="preserve">abel, randomised phase 3 trial, </w:t>
      </w:r>
      <w:r w:rsidRPr="00E9460F">
        <w:rPr>
          <w:rFonts w:ascii="Calibri" w:eastAsia="HelveticaNeue-Roman" w:hAnsi="Calibri" w:cs="Calibri"/>
          <w:noProof/>
          <w:color w:val="000000"/>
          <w:sz w:val="22"/>
          <w:szCs w:val="22"/>
        </w:rPr>
        <w:t>evaluated cabazitaxel after</w:t>
      </w:r>
      <w:r w:rsidR="00B17E50" w:rsidRPr="00E9460F">
        <w:rPr>
          <w:rFonts w:ascii="Calibri" w:eastAsia="HelveticaNeue-Roman" w:hAnsi="Calibri" w:cs="Calibri"/>
          <w:noProof/>
          <w:color w:val="000000"/>
          <w:sz w:val="22"/>
          <w:szCs w:val="22"/>
        </w:rPr>
        <w:t xml:space="preserve"> docetaxel and one ARPI (either </w:t>
      </w:r>
      <w:r w:rsidRPr="00E9460F">
        <w:rPr>
          <w:rFonts w:ascii="Calibri" w:eastAsia="HelveticaNeue-Roman" w:hAnsi="Calibri" w:cs="Calibri"/>
          <w:noProof/>
          <w:color w:val="000000"/>
          <w:sz w:val="22"/>
          <w:szCs w:val="22"/>
        </w:rPr>
        <w:t>AAP or enzalutamide) [86]. It included patients with progression</w:t>
      </w:r>
    </w:p>
    <w:p w14:paraId="60C8BA66" w14:textId="351D1B90" w:rsidR="009B51B5" w:rsidRPr="00E9460F" w:rsidRDefault="009B51B5" w:rsidP="00C62E59">
      <w:pPr>
        <w:autoSpaceDE w:val="0"/>
        <w:autoSpaceDN w:val="0"/>
        <w:adjustRightInd w:val="0"/>
        <w:spacing w:line="276" w:lineRule="auto"/>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lastRenderedPageBreak/>
        <w:t>within &lt;12 mo on previ</w:t>
      </w:r>
      <w:r w:rsidR="00B17E50" w:rsidRPr="00E9460F">
        <w:rPr>
          <w:rFonts w:ascii="Calibri" w:eastAsia="HelveticaNeue-Roman" w:hAnsi="Calibri" w:cs="Calibri"/>
          <w:noProof/>
          <w:color w:val="000000"/>
          <w:sz w:val="22"/>
          <w:szCs w:val="22"/>
        </w:rPr>
        <w:t xml:space="preserve">ous abiraterone or enzalutamide </w:t>
      </w:r>
      <w:r w:rsidRPr="00E9460F">
        <w:rPr>
          <w:rFonts w:ascii="Calibri" w:eastAsia="HelveticaNeue-Roman" w:hAnsi="Calibri" w:cs="Calibri"/>
          <w:noProof/>
          <w:color w:val="000000"/>
          <w:sz w:val="22"/>
          <w:szCs w:val="22"/>
        </w:rPr>
        <w:t>for mCRPC. Cabazi</w:t>
      </w:r>
      <w:r w:rsidR="00B17E50" w:rsidRPr="00E9460F">
        <w:rPr>
          <w:rFonts w:ascii="Calibri" w:eastAsia="HelveticaNeue-Roman" w:hAnsi="Calibri" w:cs="Calibri"/>
          <w:noProof/>
          <w:color w:val="000000"/>
          <w:sz w:val="22"/>
          <w:szCs w:val="22"/>
        </w:rPr>
        <w:t xml:space="preserve">taxel more than doubled rPFS in </w:t>
      </w:r>
      <w:r w:rsidRPr="00E9460F">
        <w:rPr>
          <w:rFonts w:ascii="Calibri" w:eastAsia="HelveticaNeue-Roman" w:hAnsi="Calibri" w:cs="Calibri"/>
          <w:noProof/>
          <w:color w:val="000000"/>
          <w:sz w:val="22"/>
          <w:szCs w:val="22"/>
        </w:rPr>
        <w:t>comparison to another ARP</w:t>
      </w:r>
      <w:r w:rsidR="00B17E50" w:rsidRPr="00E9460F">
        <w:rPr>
          <w:rFonts w:ascii="Calibri" w:eastAsia="HelveticaNeue-Roman" w:hAnsi="Calibri" w:cs="Calibri"/>
          <w:noProof/>
          <w:color w:val="000000"/>
          <w:sz w:val="22"/>
          <w:szCs w:val="22"/>
        </w:rPr>
        <w:t xml:space="preserve">I and reduced the risk of death </w:t>
      </w:r>
      <w:r w:rsidRPr="00E9460F">
        <w:rPr>
          <w:rFonts w:ascii="Calibri" w:eastAsia="HelveticaNeue-Roman" w:hAnsi="Calibri" w:cs="Calibri"/>
          <w:noProof/>
          <w:color w:val="000000"/>
          <w:sz w:val="22"/>
          <w:szCs w:val="22"/>
        </w:rPr>
        <w:t>by 36%. rPFS with cabazitax</w:t>
      </w:r>
      <w:r w:rsidR="00B17E50" w:rsidRPr="00E9460F">
        <w:rPr>
          <w:rFonts w:ascii="Calibri" w:eastAsia="HelveticaNeue-Roman" w:hAnsi="Calibri" w:cs="Calibri"/>
          <w:noProof/>
          <w:color w:val="000000"/>
          <w:sz w:val="22"/>
          <w:szCs w:val="22"/>
        </w:rPr>
        <w:t xml:space="preserve">el remained superior regardless </w:t>
      </w:r>
      <w:r w:rsidRPr="00E9460F">
        <w:rPr>
          <w:rFonts w:ascii="Calibri" w:eastAsia="HelveticaNeue-Roman" w:hAnsi="Calibri" w:cs="Calibri"/>
          <w:noProof/>
          <w:color w:val="000000"/>
          <w:sz w:val="22"/>
          <w:szCs w:val="22"/>
        </w:rPr>
        <w:t xml:space="preserve">of the ARPI sequence </w:t>
      </w:r>
      <w:r w:rsidR="00B17E50" w:rsidRPr="00E9460F">
        <w:rPr>
          <w:rFonts w:ascii="Calibri" w:eastAsia="HelveticaNeue-Roman" w:hAnsi="Calibri" w:cs="Calibri"/>
          <w:noProof/>
          <w:color w:val="000000"/>
          <w:sz w:val="22"/>
          <w:szCs w:val="22"/>
        </w:rPr>
        <w:t xml:space="preserve">and whether docetaxel was given </w:t>
      </w:r>
      <w:r w:rsidRPr="00E9460F">
        <w:rPr>
          <w:rFonts w:ascii="Calibri" w:eastAsia="HelveticaNeue-Roman" w:hAnsi="Calibri" w:cs="Calibri"/>
          <w:noProof/>
          <w:color w:val="000000"/>
          <w:sz w:val="22"/>
          <w:szCs w:val="22"/>
        </w:rPr>
        <w:t>before or after the first ARPI.</w:t>
      </w:r>
    </w:p>
    <w:p w14:paraId="425F0A47" w14:textId="28F840A2" w:rsidR="009B51B5" w:rsidRPr="00E9460F" w:rsidRDefault="009B51B5" w:rsidP="00C62E59">
      <w:pPr>
        <w:autoSpaceDE w:val="0"/>
        <w:autoSpaceDN w:val="0"/>
        <w:adjustRightInd w:val="0"/>
        <w:spacing w:line="276" w:lineRule="auto"/>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The choice of further tr</w:t>
      </w:r>
      <w:r w:rsidR="00B17E50" w:rsidRPr="00E9460F">
        <w:rPr>
          <w:rFonts w:ascii="Calibri" w:eastAsia="HelveticaNeue-Roman" w:hAnsi="Calibri" w:cs="Calibri"/>
          <w:noProof/>
          <w:color w:val="000000"/>
          <w:sz w:val="22"/>
          <w:szCs w:val="22"/>
        </w:rPr>
        <w:t xml:space="preserve">eatment after docetaxel and one </w:t>
      </w:r>
      <w:r w:rsidRPr="00E9460F">
        <w:rPr>
          <w:rFonts w:ascii="Calibri" w:eastAsia="HelveticaNeue-Roman" w:hAnsi="Calibri" w:cs="Calibri"/>
          <w:noProof/>
          <w:color w:val="000000"/>
          <w:sz w:val="22"/>
          <w:szCs w:val="22"/>
        </w:rPr>
        <w:t>line of hormone therapy</w:t>
      </w:r>
      <w:r w:rsidR="00B17E50" w:rsidRPr="00E9460F">
        <w:rPr>
          <w:rFonts w:ascii="Calibri" w:eastAsia="HelveticaNeue-Roman" w:hAnsi="Calibri" w:cs="Calibri"/>
          <w:noProof/>
          <w:color w:val="000000"/>
          <w:sz w:val="22"/>
          <w:szCs w:val="22"/>
        </w:rPr>
        <w:t xml:space="preserve"> for mCRPC is open for patients </w:t>
      </w:r>
      <w:r w:rsidRPr="00E9460F">
        <w:rPr>
          <w:rFonts w:ascii="Calibri" w:eastAsia="HelveticaNeue-Roman" w:hAnsi="Calibri" w:cs="Calibri"/>
          <w:noProof/>
          <w:color w:val="000000"/>
          <w:sz w:val="22"/>
          <w:szCs w:val="22"/>
        </w:rPr>
        <w:t>who have a response for &gt;</w:t>
      </w:r>
      <w:r w:rsidR="00B17E50" w:rsidRPr="00E9460F">
        <w:rPr>
          <w:rFonts w:ascii="Calibri" w:eastAsia="HelveticaNeue-Roman" w:hAnsi="Calibri" w:cs="Calibri"/>
          <w:noProof/>
          <w:color w:val="000000"/>
          <w:sz w:val="22"/>
          <w:szCs w:val="22"/>
        </w:rPr>
        <w:t xml:space="preserve">12 mo to first-line abiraterone </w:t>
      </w:r>
      <w:r w:rsidRPr="00E9460F">
        <w:rPr>
          <w:rFonts w:ascii="Calibri" w:eastAsia="HelveticaNeue-Roman" w:hAnsi="Calibri" w:cs="Calibri"/>
          <w:noProof/>
          <w:color w:val="000000"/>
          <w:sz w:val="22"/>
          <w:szCs w:val="22"/>
        </w:rPr>
        <w:t>or enzalutamide [91]. Second-l</w:t>
      </w:r>
      <w:r w:rsidR="00B17E50" w:rsidRPr="00E9460F">
        <w:rPr>
          <w:rFonts w:ascii="Calibri" w:eastAsia="HelveticaNeue-Roman" w:hAnsi="Calibri" w:cs="Calibri"/>
          <w:noProof/>
          <w:color w:val="000000"/>
          <w:sz w:val="22"/>
          <w:szCs w:val="22"/>
        </w:rPr>
        <w:t xml:space="preserve">ine chemotherapy (cabazitaxel), </w:t>
      </w:r>
      <w:r w:rsidRPr="00E9460F">
        <w:rPr>
          <w:rFonts w:ascii="Calibri" w:eastAsia="HelveticaNeue-Roman" w:hAnsi="Calibri" w:cs="Calibri"/>
          <w:noProof/>
          <w:color w:val="000000"/>
          <w:sz w:val="22"/>
          <w:szCs w:val="22"/>
        </w:rPr>
        <w:t>radium-223 (bon</w:t>
      </w:r>
      <w:r w:rsidR="00B17E50" w:rsidRPr="00E9460F">
        <w:rPr>
          <w:rFonts w:ascii="Calibri" w:eastAsia="HelveticaNeue-Roman" w:hAnsi="Calibri" w:cs="Calibri"/>
          <w:noProof/>
          <w:color w:val="000000"/>
          <w:sz w:val="22"/>
          <w:szCs w:val="22"/>
        </w:rPr>
        <w:t xml:space="preserve">e-only metastases), 177Lu–PSMA- </w:t>
      </w:r>
      <w:r w:rsidRPr="00E9460F">
        <w:rPr>
          <w:rFonts w:ascii="Calibri" w:eastAsia="HelveticaNeue-Roman" w:hAnsi="Calibri" w:cs="Calibri"/>
          <w:noProof/>
          <w:color w:val="000000"/>
          <w:sz w:val="22"/>
          <w:szCs w:val="22"/>
        </w:rPr>
        <w:t>617 radioligand therapy, and P</w:t>
      </w:r>
      <w:r w:rsidR="00B17E50" w:rsidRPr="00E9460F">
        <w:rPr>
          <w:rFonts w:ascii="Calibri" w:eastAsia="HelveticaNeue-Roman" w:hAnsi="Calibri" w:cs="Calibri"/>
          <w:noProof/>
          <w:color w:val="000000"/>
          <w:sz w:val="22"/>
          <w:szCs w:val="22"/>
        </w:rPr>
        <w:t xml:space="preserve">ARP inhibitors (BRCA mutations) </w:t>
      </w:r>
      <w:r w:rsidRPr="00E9460F">
        <w:rPr>
          <w:rFonts w:ascii="Calibri" w:eastAsia="HelveticaNeue-Roman" w:hAnsi="Calibri" w:cs="Calibri"/>
          <w:noProof/>
          <w:color w:val="000000"/>
          <w:sz w:val="22"/>
          <w:szCs w:val="22"/>
        </w:rPr>
        <w:t>are valuable options.</w:t>
      </w:r>
    </w:p>
    <w:p w14:paraId="04140ABD" w14:textId="670CF509" w:rsidR="009B51B5" w:rsidRPr="00E9460F" w:rsidRDefault="009B51B5" w:rsidP="00C62E59">
      <w:pPr>
        <w:autoSpaceDE w:val="0"/>
        <w:autoSpaceDN w:val="0"/>
        <w:adjustRightInd w:val="0"/>
        <w:spacing w:line="276" w:lineRule="auto"/>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Men previously treated wi</w:t>
      </w:r>
      <w:r w:rsidR="00B17E50" w:rsidRPr="00E9460F">
        <w:rPr>
          <w:rFonts w:ascii="Calibri" w:eastAsia="HelveticaNeue-Roman" w:hAnsi="Calibri" w:cs="Calibri"/>
          <w:noProof/>
          <w:color w:val="000000"/>
          <w:sz w:val="22"/>
          <w:szCs w:val="22"/>
        </w:rPr>
        <w:t xml:space="preserve">th at least one ARPI or both an </w:t>
      </w:r>
      <w:r w:rsidRPr="00E9460F">
        <w:rPr>
          <w:rFonts w:ascii="Calibri" w:eastAsia="HelveticaNeue-Roman" w:hAnsi="Calibri" w:cs="Calibri"/>
          <w:noProof/>
          <w:color w:val="000000"/>
          <w:sz w:val="22"/>
          <w:szCs w:val="22"/>
        </w:rPr>
        <w:t>ARPI and docetaxel</w:t>
      </w:r>
      <w:r w:rsidR="00B17E50" w:rsidRPr="00E9460F">
        <w:rPr>
          <w:rFonts w:ascii="Calibri" w:eastAsia="HelveticaNeue-Roman" w:hAnsi="Calibri" w:cs="Calibri"/>
          <w:noProof/>
          <w:color w:val="000000"/>
          <w:sz w:val="22"/>
          <w:szCs w:val="22"/>
        </w:rPr>
        <w:t xml:space="preserve"> and whose tumours demonstrated </w:t>
      </w:r>
      <w:r w:rsidRPr="00E9460F">
        <w:rPr>
          <w:rFonts w:ascii="Calibri" w:eastAsia="HelveticaNeue-Roman" w:hAnsi="Calibri" w:cs="Calibri"/>
          <w:noProof/>
          <w:color w:val="000000"/>
          <w:sz w:val="22"/>
          <w:szCs w:val="22"/>
        </w:rPr>
        <w:t xml:space="preserve">homozygous deletions </w:t>
      </w:r>
      <w:r w:rsidR="00B17E50" w:rsidRPr="00E9460F">
        <w:rPr>
          <w:rFonts w:ascii="Calibri" w:eastAsia="HelveticaNeue-Roman" w:hAnsi="Calibri" w:cs="Calibri"/>
          <w:noProof/>
          <w:color w:val="000000"/>
          <w:sz w:val="22"/>
          <w:szCs w:val="22"/>
        </w:rPr>
        <w:t xml:space="preserve">or deleterious mutations in DNA </w:t>
      </w:r>
      <w:r w:rsidRPr="00E9460F">
        <w:rPr>
          <w:rFonts w:ascii="Calibri" w:eastAsia="HelveticaNeue-Roman" w:hAnsi="Calibri" w:cs="Calibri"/>
          <w:noProof/>
          <w:color w:val="000000"/>
          <w:sz w:val="22"/>
          <w:szCs w:val="22"/>
        </w:rPr>
        <w:t>damage repair (DDR) ge</w:t>
      </w:r>
      <w:r w:rsidR="00B17E50" w:rsidRPr="00E9460F">
        <w:rPr>
          <w:rFonts w:ascii="Calibri" w:eastAsia="HelveticaNeue-Roman" w:hAnsi="Calibri" w:cs="Calibri"/>
          <w:noProof/>
          <w:color w:val="000000"/>
          <w:sz w:val="22"/>
          <w:szCs w:val="22"/>
        </w:rPr>
        <w:t xml:space="preserve">nes showed an 88% response rate </w:t>
      </w:r>
      <w:r w:rsidRPr="00E9460F">
        <w:rPr>
          <w:rFonts w:ascii="Calibri" w:eastAsia="HelveticaNeue-Roman" w:hAnsi="Calibri" w:cs="Calibri"/>
          <w:noProof/>
          <w:color w:val="000000"/>
          <w:sz w:val="22"/>
          <w:szCs w:val="22"/>
        </w:rPr>
        <w:t>to olaparib [123], and a composite response of 54.3% (95%</w:t>
      </w:r>
    </w:p>
    <w:p w14:paraId="60C5ED20" w14:textId="16039011" w:rsidR="009B51B5" w:rsidRPr="00E9460F" w:rsidRDefault="009B51B5" w:rsidP="00C62E59">
      <w:pPr>
        <w:autoSpaceDE w:val="0"/>
        <w:autoSpaceDN w:val="0"/>
        <w:adjustRightInd w:val="0"/>
        <w:spacing w:line="276" w:lineRule="auto"/>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CI 39.0–69.1%) in the 400-mg arm and a response in</w:t>
      </w:r>
      <w:r w:rsidR="00B17E50" w:rsidRPr="00E9460F">
        <w:rPr>
          <w:rFonts w:ascii="Calibri" w:eastAsia="HelveticaNeue-Roman" w:hAnsi="Calibri" w:cs="Calibri"/>
          <w:noProof/>
          <w:color w:val="000000"/>
          <w:sz w:val="22"/>
          <w:szCs w:val="22"/>
        </w:rPr>
        <w:t xml:space="preserve"> 18/46 </w:t>
      </w:r>
      <w:r w:rsidRPr="00E9460F">
        <w:rPr>
          <w:rFonts w:ascii="Calibri" w:eastAsia="HelveticaNeue-Roman" w:hAnsi="Calibri" w:cs="Calibri"/>
          <w:noProof/>
          <w:color w:val="000000"/>
          <w:sz w:val="22"/>
          <w:szCs w:val="22"/>
        </w:rPr>
        <w:t>evaluable patients (39.1%,</w:t>
      </w:r>
      <w:r w:rsidR="00B17E50" w:rsidRPr="00E9460F">
        <w:rPr>
          <w:rFonts w:ascii="Calibri" w:eastAsia="HelveticaNeue-Roman" w:hAnsi="Calibri" w:cs="Calibri"/>
          <w:noProof/>
          <w:color w:val="000000"/>
          <w:sz w:val="22"/>
          <w:szCs w:val="22"/>
        </w:rPr>
        <w:t xml:space="preserve"> 95% CI 25.1–54.6%) in the 300-</w:t>
      </w:r>
      <w:r w:rsidRPr="00E9460F">
        <w:rPr>
          <w:rFonts w:ascii="Calibri" w:eastAsia="HelveticaNeue-Roman" w:hAnsi="Calibri" w:cs="Calibri"/>
          <w:noProof/>
          <w:color w:val="000000"/>
          <w:sz w:val="22"/>
          <w:szCs w:val="22"/>
        </w:rPr>
        <w:t>mg arm in another confirmatory trial [124].</w:t>
      </w:r>
    </w:p>
    <w:p w14:paraId="32B9C03E" w14:textId="693A8970" w:rsidR="009B51B5" w:rsidRPr="00E9460F" w:rsidRDefault="009B51B5" w:rsidP="00C62E59">
      <w:pPr>
        <w:autoSpaceDE w:val="0"/>
        <w:autoSpaceDN w:val="0"/>
        <w:adjustRightInd w:val="0"/>
        <w:spacing w:line="276" w:lineRule="auto"/>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In general, subsequent tr</w:t>
      </w:r>
      <w:r w:rsidR="00B17E50" w:rsidRPr="00E9460F">
        <w:rPr>
          <w:rFonts w:ascii="Calibri" w:eastAsia="HelveticaNeue-Roman" w:hAnsi="Calibri" w:cs="Calibri"/>
          <w:noProof/>
          <w:color w:val="000000"/>
          <w:sz w:val="22"/>
          <w:szCs w:val="22"/>
        </w:rPr>
        <w:t xml:space="preserve">eatments in unselected patients </w:t>
      </w:r>
      <w:r w:rsidRPr="00E9460F">
        <w:rPr>
          <w:rFonts w:ascii="Calibri" w:eastAsia="HelveticaNeue-Roman" w:hAnsi="Calibri" w:cs="Calibri"/>
          <w:noProof/>
          <w:color w:val="000000"/>
          <w:sz w:val="22"/>
          <w:szCs w:val="22"/>
        </w:rPr>
        <w:t>are expected to have les</w:t>
      </w:r>
      <w:r w:rsidR="00B17E50" w:rsidRPr="00E9460F">
        <w:rPr>
          <w:rFonts w:ascii="Calibri" w:eastAsia="HelveticaNeue-Roman" w:hAnsi="Calibri" w:cs="Calibri"/>
          <w:noProof/>
          <w:color w:val="000000"/>
          <w:sz w:val="22"/>
          <w:szCs w:val="22"/>
        </w:rPr>
        <w:t xml:space="preserve">s benefit than with earlier use </w:t>
      </w:r>
      <w:r w:rsidRPr="00E9460F">
        <w:rPr>
          <w:rFonts w:ascii="Calibri" w:eastAsia="HelveticaNeue-Roman" w:hAnsi="Calibri" w:cs="Calibri"/>
          <w:noProof/>
          <w:color w:val="000000"/>
          <w:sz w:val="22"/>
          <w:szCs w:val="22"/>
        </w:rPr>
        <w:t>[125,126], and there is evidence o</w:t>
      </w:r>
      <w:r w:rsidR="00B17E50" w:rsidRPr="00E9460F">
        <w:rPr>
          <w:rFonts w:ascii="Calibri" w:eastAsia="HelveticaNeue-Roman" w:hAnsi="Calibri" w:cs="Calibri"/>
          <w:noProof/>
          <w:color w:val="000000"/>
          <w:sz w:val="22"/>
          <w:szCs w:val="22"/>
        </w:rPr>
        <w:t xml:space="preserve">f cross-resistance between </w:t>
      </w:r>
      <w:r w:rsidRPr="00E9460F">
        <w:rPr>
          <w:rFonts w:ascii="Calibri" w:eastAsia="HelveticaNeue-Roman" w:hAnsi="Calibri" w:cs="Calibri"/>
          <w:noProof/>
          <w:color w:val="000000"/>
          <w:sz w:val="22"/>
          <w:szCs w:val="22"/>
        </w:rPr>
        <w:t>enzalutamide and abiraterone [127,128].</w:t>
      </w:r>
    </w:p>
    <w:p w14:paraId="4EE1ECDE" w14:textId="77777777" w:rsidR="009B51B5" w:rsidRPr="00E9460F" w:rsidRDefault="009B51B5" w:rsidP="00C62E59">
      <w:pPr>
        <w:autoSpaceDE w:val="0"/>
        <w:autoSpaceDN w:val="0"/>
        <w:adjustRightInd w:val="0"/>
        <w:spacing w:line="276" w:lineRule="auto"/>
        <w:rPr>
          <w:rFonts w:ascii="Calibri" w:eastAsia="HelveticaNeue-Roman" w:hAnsi="Calibri" w:cs="Calibri"/>
          <w:noProof/>
          <w:color w:val="000000"/>
          <w:sz w:val="22"/>
          <w:szCs w:val="22"/>
        </w:rPr>
      </w:pPr>
    </w:p>
    <w:p w14:paraId="01BFF3D3" w14:textId="61758E67" w:rsidR="009B51B5" w:rsidRPr="00E9460F" w:rsidRDefault="009B51B5" w:rsidP="00C62E59">
      <w:pPr>
        <w:autoSpaceDE w:val="0"/>
        <w:autoSpaceDN w:val="0"/>
        <w:adjustRightInd w:val="0"/>
        <w:spacing w:line="276" w:lineRule="auto"/>
        <w:ind w:firstLine="720"/>
        <w:rPr>
          <w:rFonts w:ascii="Calibri" w:eastAsia="HelveticaNeue-Roman" w:hAnsi="Calibri" w:cs="Calibri"/>
          <w:noProof/>
          <w:color w:val="000000"/>
          <w:sz w:val="22"/>
          <w:szCs w:val="22"/>
        </w:rPr>
      </w:pPr>
      <w:r w:rsidRPr="00C62E59">
        <w:rPr>
          <w:rFonts w:ascii="Calibri" w:eastAsia="HelveticaNeue-Roman" w:hAnsi="Calibri" w:cs="Calibri"/>
          <w:i/>
          <w:noProof/>
          <w:color w:val="000000"/>
          <w:sz w:val="22"/>
          <w:szCs w:val="22"/>
        </w:rPr>
        <w:t>3.3.2.3.1. PSMA-based ther</w:t>
      </w:r>
      <w:r w:rsidR="00B17E50" w:rsidRPr="00C62E59">
        <w:rPr>
          <w:rFonts w:ascii="Calibri" w:eastAsia="HelveticaNeue-Roman" w:hAnsi="Calibri" w:cs="Calibri"/>
          <w:i/>
          <w:noProof/>
          <w:color w:val="000000"/>
          <w:sz w:val="22"/>
          <w:szCs w:val="22"/>
        </w:rPr>
        <w:t xml:space="preserve">apy. </w:t>
      </w:r>
      <w:r w:rsidR="00B17E50" w:rsidRPr="00E9460F">
        <w:rPr>
          <w:rFonts w:ascii="Calibri" w:eastAsia="HelveticaNeue-Roman" w:hAnsi="Calibri" w:cs="Calibri"/>
          <w:noProof/>
          <w:color w:val="000000"/>
          <w:sz w:val="22"/>
          <w:szCs w:val="22"/>
        </w:rPr>
        <w:t xml:space="preserve">The increasing use of PSMA </w:t>
      </w:r>
      <w:r w:rsidRPr="00E9460F">
        <w:rPr>
          <w:rFonts w:ascii="Calibri" w:eastAsia="HelveticaNeue-Roman" w:hAnsi="Calibri" w:cs="Calibri"/>
          <w:noProof/>
          <w:color w:val="000000"/>
          <w:sz w:val="22"/>
          <w:szCs w:val="22"/>
        </w:rPr>
        <w:t>PET as a diagnostic tracer and the r</w:t>
      </w:r>
      <w:r w:rsidR="00B17E50" w:rsidRPr="00E9460F">
        <w:rPr>
          <w:rFonts w:ascii="Calibri" w:eastAsia="HelveticaNeue-Roman" w:hAnsi="Calibri" w:cs="Calibri"/>
          <w:noProof/>
          <w:color w:val="000000"/>
          <w:sz w:val="22"/>
          <w:szCs w:val="22"/>
        </w:rPr>
        <w:t xml:space="preserve">ealisation that this identifies </w:t>
      </w:r>
      <w:r w:rsidRPr="00E9460F">
        <w:rPr>
          <w:rFonts w:ascii="Calibri" w:eastAsia="HelveticaNeue-Roman" w:hAnsi="Calibri" w:cs="Calibri"/>
          <w:noProof/>
          <w:color w:val="000000"/>
          <w:sz w:val="22"/>
          <w:szCs w:val="22"/>
        </w:rPr>
        <w:t>a greater numbe</w:t>
      </w:r>
      <w:r w:rsidR="00B17E50" w:rsidRPr="00E9460F">
        <w:rPr>
          <w:rFonts w:ascii="Calibri" w:eastAsia="HelveticaNeue-Roman" w:hAnsi="Calibri" w:cs="Calibri"/>
          <w:noProof/>
          <w:color w:val="000000"/>
          <w:sz w:val="22"/>
          <w:szCs w:val="22"/>
        </w:rPr>
        <w:t xml:space="preserve">r of metastatic deposits led to </w:t>
      </w:r>
      <w:r w:rsidRPr="00E9460F">
        <w:rPr>
          <w:rFonts w:ascii="Calibri" w:eastAsia="HelveticaNeue-Roman" w:hAnsi="Calibri" w:cs="Calibri"/>
          <w:noProof/>
          <w:color w:val="000000"/>
          <w:sz w:val="22"/>
          <w:szCs w:val="22"/>
        </w:rPr>
        <w:t>attempts to treat cancer b</w:t>
      </w:r>
      <w:r w:rsidR="00B17E50" w:rsidRPr="00E9460F">
        <w:rPr>
          <w:rFonts w:ascii="Calibri" w:eastAsia="HelveticaNeue-Roman" w:hAnsi="Calibri" w:cs="Calibri"/>
          <w:noProof/>
          <w:color w:val="000000"/>
          <w:sz w:val="22"/>
          <w:szCs w:val="22"/>
        </w:rPr>
        <w:t xml:space="preserve">y replacing the imaging isotope </w:t>
      </w:r>
      <w:r w:rsidRPr="00E9460F">
        <w:rPr>
          <w:rFonts w:ascii="Calibri" w:eastAsia="HelveticaNeue-Roman" w:hAnsi="Calibri" w:cs="Calibri"/>
          <w:noProof/>
          <w:color w:val="000000"/>
          <w:sz w:val="22"/>
          <w:szCs w:val="22"/>
        </w:rPr>
        <w:t>with a therapeutic isotope that accumulates where the</w:t>
      </w:r>
    </w:p>
    <w:p w14:paraId="481EDCB5" w14:textId="5FBDF7A0" w:rsidR="0074151F" w:rsidRPr="00E9460F" w:rsidRDefault="009B51B5" w:rsidP="00C62E59">
      <w:pPr>
        <w:autoSpaceDE w:val="0"/>
        <w:autoSpaceDN w:val="0"/>
        <w:adjustRightInd w:val="0"/>
        <w:spacing w:line="276" w:lineRule="auto"/>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tumour is located (theranosti</w:t>
      </w:r>
      <w:r w:rsidR="00B17E50" w:rsidRPr="00E9460F">
        <w:rPr>
          <w:rFonts w:ascii="Calibri" w:eastAsia="HelveticaNeue-Roman" w:hAnsi="Calibri" w:cs="Calibri"/>
          <w:noProof/>
          <w:color w:val="000000"/>
          <w:sz w:val="22"/>
          <w:szCs w:val="22"/>
        </w:rPr>
        <w:t xml:space="preserve">cs) [129]. The PSMA therapeutic </w:t>
      </w:r>
      <w:r w:rsidRPr="00E9460F">
        <w:rPr>
          <w:rFonts w:ascii="Calibri" w:eastAsia="HelveticaNeue-Roman" w:hAnsi="Calibri" w:cs="Calibri"/>
          <w:noProof/>
          <w:color w:val="000000"/>
          <w:sz w:val="22"/>
          <w:szCs w:val="22"/>
        </w:rPr>
        <w:t>radioligand supported by</w:t>
      </w:r>
      <w:r w:rsidR="00B17E50" w:rsidRPr="00E9460F">
        <w:rPr>
          <w:rFonts w:ascii="Calibri" w:eastAsia="HelveticaNeue-Roman" w:hAnsi="Calibri" w:cs="Calibri"/>
          <w:noProof/>
          <w:color w:val="000000"/>
          <w:sz w:val="22"/>
          <w:szCs w:val="22"/>
        </w:rPr>
        <w:t xml:space="preserve"> the most robust data is 177Lu-</w:t>
      </w:r>
      <w:r w:rsidRPr="00E9460F">
        <w:rPr>
          <w:rFonts w:ascii="Calibri" w:eastAsia="HelveticaNeue-Roman" w:hAnsi="Calibri" w:cs="Calibri"/>
          <w:noProof/>
          <w:color w:val="000000"/>
          <w:sz w:val="22"/>
          <w:szCs w:val="22"/>
        </w:rPr>
        <w:t>PSMA-617 [130].</w:t>
      </w:r>
    </w:p>
    <w:p w14:paraId="561BA2DF" w14:textId="65D868C2" w:rsidR="009B51B5" w:rsidRPr="00E9460F" w:rsidRDefault="009B51B5" w:rsidP="00C62E59">
      <w:pPr>
        <w:autoSpaceDE w:val="0"/>
        <w:autoSpaceDN w:val="0"/>
        <w:adjustRightInd w:val="0"/>
        <w:spacing w:line="276" w:lineRule="auto"/>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 xml:space="preserve">In TheraP, patients for </w:t>
      </w:r>
      <w:r w:rsidR="00676A62" w:rsidRPr="00E9460F">
        <w:rPr>
          <w:rFonts w:ascii="Calibri" w:eastAsia="HelveticaNeue-Roman" w:hAnsi="Calibri" w:cs="Calibri"/>
          <w:noProof/>
          <w:color w:val="000000"/>
          <w:sz w:val="22"/>
          <w:szCs w:val="22"/>
        </w:rPr>
        <w:t xml:space="preserve">whom cabazitaxel was considered </w:t>
      </w:r>
      <w:r w:rsidRPr="00E9460F">
        <w:rPr>
          <w:rFonts w:ascii="Calibri" w:eastAsia="HelveticaNeue-Roman" w:hAnsi="Calibri" w:cs="Calibri"/>
          <w:noProof/>
          <w:color w:val="000000"/>
          <w:sz w:val="22"/>
          <w:szCs w:val="22"/>
        </w:rPr>
        <w:t>the next appropriate sta</w:t>
      </w:r>
      <w:r w:rsidR="00676A62" w:rsidRPr="00E9460F">
        <w:rPr>
          <w:rFonts w:ascii="Calibri" w:eastAsia="HelveticaNeue-Roman" w:hAnsi="Calibri" w:cs="Calibri"/>
          <w:noProof/>
          <w:color w:val="000000"/>
          <w:sz w:val="22"/>
          <w:szCs w:val="22"/>
        </w:rPr>
        <w:t xml:space="preserve">ndard treatment after docetaxel </w:t>
      </w:r>
      <w:r w:rsidRPr="00E9460F">
        <w:rPr>
          <w:rFonts w:ascii="Calibri" w:eastAsia="HelveticaNeue-Roman" w:hAnsi="Calibri" w:cs="Calibri"/>
          <w:noProof/>
          <w:color w:val="000000"/>
          <w:sz w:val="22"/>
          <w:szCs w:val="22"/>
        </w:rPr>
        <w:t>and who were highl</w:t>
      </w:r>
      <w:r w:rsidR="00676A62" w:rsidRPr="00E9460F">
        <w:rPr>
          <w:rFonts w:ascii="Calibri" w:eastAsia="HelveticaNeue-Roman" w:hAnsi="Calibri" w:cs="Calibri"/>
          <w:noProof/>
          <w:color w:val="000000"/>
          <w:sz w:val="22"/>
          <w:szCs w:val="22"/>
        </w:rPr>
        <w:t xml:space="preserve">y selected via 68Ga-PSMA-11 and </w:t>
      </w:r>
      <w:r w:rsidRPr="00E9460F">
        <w:rPr>
          <w:rFonts w:ascii="Calibri" w:eastAsia="HelveticaNeue-Roman" w:hAnsi="Calibri" w:cs="Calibri"/>
          <w:noProof/>
          <w:color w:val="000000"/>
          <w:sz w:val="22"/>
          <w:szCs w:val="22"/>
        </w:rPr>
        <w:t>18FDG PET/CT imaging, we</w:t>
      </w:r>
      <w:r w:rsidR="00676A62" w:rsidRPr="00E9460F">
        <w:rPr>
          <w:rFonts w:ascii="Calibri" w:eastAsia="HelveticaNeue-Roman" w:hAnsi="Calibri" w:cs="Calibri"/>
          <w:noProof/>
          <w:color w:val="000000"/>
          <w:sz w:val="22"/>
          <w:szCs w:val="22"/>
        </w:rPr>
        <w:t>re randomised to receive 177Lu-</w:t>
      </w:r>
      <w:r w:rsidRPr="00E9460F">
        <w:rPr>
          <w:rFonts w:ascii="Calibri" w:eastAsia="HelveticaNeue-Roman" w:hAnsi="Calibri" w:cs="Calibri"/>
          <w:noProof/>
          <w:color w:val="000000"/>
          <w:sz w:val="22"/>
          <w:szCs w:val="22"/>
        </w:rPr>
        <w:t>PSMA-617 (6.0–8.5 GBq intravenously, e</w:t>
      </w:r>
      <w:r w:rsidR="00676A62" w:rsidRPr="00E9460F">
        <w:rPr>
          <w:rFonts w:ascii="Calibri" w:eastAsia="HelveticaNeue-Roman" w:hAnsi="Calibri" w:cs="Calibri"/>
          <w:noProof/>
          <w:color w:val="000000"/>
          <w:sz w:val="22"/>
          <w:szCs w:val="22"/>
        </w:rPr>
        <w:t xml:space="preserve">very 6 wk for up </w:t>
      </w:r>
      <w:r w:rsidRPr="00E9460F">
        <w:rPr>
          <w:rFonts w:ascii="Calibri" w:eastAsia="HelveticaNeue-Roman" w:hAnsi="Calibri" w:cs="Calibri"/>
          <w:noProof/>
          <w:color w:val="000000"/>
          <w:sz w:val="22"/>
          <w:szCs w:val="22"/>
        </w:rPr>
        <w:t xml:space="preserve">to 6 cycles) or cabazitaxel </w:t>
      </w:r>
      <w:r w:rsidR="00676A62" w:rsidRPr="00E9460F">
        <w:rPr>
          <w:rFonts w:ascii="Calibri" w:eastAsia="HelveticaNeue-Roman" w:hAnsi="Calibri" w:cs="Calibri"/>
          <w:noProof/>
          <w:color w:val="000000"/>
          <w:sz w:val="22"/>
          <w:szCs w:val="22"/>
        </w:rPr>
        <w:t xml:space="preserve">(20 mg/m2 for up to 10 cycles). </w:t>
      </w:r>
      <w:r w:rsidRPr="00E9460F">
        <w:rPr>
          <w:rFonts w:ascii="Calibri" w:eastAsia="HelveticaNeue-Roman" w:hAnsi="Calibri" w:cs="Calibri"/>
          <w:noProof/>
          <w:color w:val="000000"/>
          <w:sz w:val="22"/>
          <w:szCs w:val="22"/>
        </w:rPr>
        <w:t>The primary endpoint of this ph</w:t>
      </w:r>
      <w:r w:rsidR="00676A62" w:rsidRPr="00E9460F">
        <w:rPr>
          <w:rFonts w:ascii="Calibri" w:eastAsia="HelveticaNeue-Roman" w:hAnsi="Calibri" w:cs="Calibri"/>
          <w:noProof/>
          <w:color w:val="000000"/>
          <w:sz w:val="22"/>
          <w:szCs w:val="22"/>
        </w:rPr>
        <w:t xml:space="preserve">ase 2 trial was a PSA reduction </w:t>
      </w:r>
      <w:r w:rsidRPr="00E9460F">
        <w:rPr>
          <w:rFonts w:ascii="Calibri" w:eastAsia="HelveticaNeue-Roman" w:hAnsi="Calibri" w:cs="Calibri"/>
          <w:noProof/>
          <w:color w:val="000000"/>
          <w:sz w:val="22"/>
          <w:szCs w:val="22"/>
        </w:rPr>
        <w:t>of at least 50%. The prima</w:t>
      </w:r>
      <w:r w:rsidR="00676A62" w:rsidRPr="00E9460F">
        <w:rPr>
          <w:rFonts w:ascii="Calibri" w:eastAsia="HelveticaNeue-Roman" w:hAnsi="Calibri" w:cs="Calibri"/>
          <w:noProof/>
          <w:color w:val="000000"/>
          <w:sz w:val="22"/>
          <w:szCs w:val="22"/>
        </w:rPr>
        <w:t xml:space="preserve">ry endpoint was met in analyses </w:t>
      </w:r>
      <w:r w:rsidRPr="00E9460F">
        <w:rPr>
          <w:rFonts w:ascii="Calibri" w:eastAsia="HelveticaNeue-Roman" w:hAnsi="Calibri" w:cs="Calibri"/>
          <w:noProof/>
          <w:color w:val="000000"/>
          <w:sz w:val="22"/>
          <w:szCs w:val="22"/>
        </w:rPr>
        <w:t>for the ITT population</w:t>
      </w:r>
      <w:r w:rsidR="00676A62" w:rsidRPr="00E9460F">
        <w:rPr>
          <w:rFonts w:ascii="Calibri" w:eastAsia="HelveticaNeue-Roman" w:hAnsi="Calibri" w:cs="Calibri"/>
          <w:noProof/>
          <w:color w:val="000000"/>
          <w:sz w:val="22"/>
          <w:szCs w:val="22"/>
        </w:rPr>
        <w:t xml:space="preserve"> (66% for 177Lu-PSMA-617 vs 37% </w:t>
      </w:r>
      <w:r w:rsidRPr="00E9460F">
        <w:rPr>
          <w:rFonts w:ascii="Calibri" w:eastAsia="HelveticaNeue-Roman" w:hAnsi="Calibri" w:cs="Calibri"/>
          <w:noProof/>
          <w:color w:val="000000"/>
          <w:sz w:val="22"/>
          <w:szCs w:val="22"/>
        </w:rPr>
        <w:t xml:space="preserve">for cabazitaxel; difference </w:t>
      </w:r>
      <w:r w:rsidR="00676A62" w:rsidRPr="00E9460F">
        <w:rPr>
          <w:rFonts w:ascii="Calibri" w:eastAsia="HelveticaNeue-Roman" w:hAnsi="Calibri" w:cs="Calibri"/>
          <w:noProof/>
          <w:color w:val="000000"/>
          <w:sz w:val="22"/>
          <w:szCs w:val="22"/>
        </w:rPr>
        <w:t xml:space="preserve">29%, 95% CI 16–42%; p &lt; 0.0001) and by </w:t>
      </w:r>
      <w:r w:rsidRPr="00E9460F">
        <w:rPr>
          <w:rFonts w:ascii="Calibri" w:eastAsia="HelveticaNeue-Roman" w:hAnsi="Calibri" w:cs="Calibri"/>
          <w:noProof/>
          <w:color w:val="000000"/>
          <w:sz w:val="22"/>
          <w:szCs w:val="22"/>
        </w:rPr>
        <w:t>treatment received (6</w:t>
      </w:r>
      <w:r w:rsidR="00676A62" w:rsidRPr="00E9460F">
        <w:rPr>
          <w:rFonts w:ascii="Calibri" w:eastAsia="HelveticaNeue-Roman" w:hAnsi="Calibri" w:cs="Calibri"/>
          <w:noProof/>
          <w:color w:val="000000"/>
          <w:sz w:val="22"/>
          <w:szCs w:val="22"/>
        </w:rPr>
        <w:t xml:space="preserve">6% vs. 44%; difference 23%, 95% </w:t>
      </w:r>
      <w:r w:rsidRPr="00E9460F">
        <w:rPr>
          <w:rFonts w:ascii="Calibri" w:eastAsia="HelveticaNeue-Roman" w:hAnsi="Calibri" w:cs="Calibri"/>
          <w:noProof/>
          <w:color w:val="000000"/>
          <w:sz w:val="22"/>
          <w:szCs w:val="22"/>
        </w:rPr>
        <w:t>CI 9–37%; p =</w:t>
      </w:r>
      <w:r w:rsidR="00676A62" w:rsidRPr="00E9460F">
        <w:rPr>
          <w:rFonts w:ascii="Calibri" w:eastAsia="HelveticaNeue-Roman" w:hAnsi="Calibri" w:cs="Calibri"/>
          <w:noProof/>
          <w:color w:val="000000"/>
          <w:sz w:val="22"/>
          <w:szCs w:val="22"/>
        </w:rPr>
        <w:t xml:space="preserve"> 0.0016) [131]. At 36-mo follow up, the secondary </w:t>
      </w:r>
      <w:r w:rsidRPr="00E9460F">
        <w:rPr>
          <w:rFonts w:ascii="Calibri" w:eastAsia="HelveticaNeue-Roman" w:hAnsi="Calibri" w:cs="Calibri"/>
          <w:noProof/>
          <w:color w:val="000000"/>
          <w:sz w:val="22"/>
          <w:szCs w:val="22"/>
        </w:rPr>
        <w:t>endpoint of OS wa</w:t>
      </w:r>
      <w:r w:rsidR="00676A62" w:rsidRPr="00E9460F">
        <w:rPr>
          <w:rFonts w:ascii="Calibri" w:eastAsia="HelveticaNeue-Roman" w:hAnsi="Calibri" w:cs="Calibri"/>
          <w:noProof/>
          <w:color w:val="000000"/>
          <w:sz w:val="22"/>
          <w:szCs w:val="22"/>
        </w:rPr>
        <w:t xml:space="preserve">s similar for patients randomly </w:t>
      </w:r>
      <w:r w:rsidRPr="00E9460F">
        <w:rPr>
          <w:rFonts w:ascii="Calibri" w:eastAsia="HelveticaNeue-Roman" w:hAnsi="Calibri" w:cs="Calibri"/>
          <w:noProof/>
          <w:color w:val="000000"/>
          <w:sz w:val="22"/>
          <w:szCs w:val="22"/>
        </w:rPr>
        <w:t>assigned to 177Lu-PSMA versu</w:t>
      </w:r>
      <w:r w:rsidR="00676A62" w:rsidRPr="00E9460F">
        <w:rPr>
          <w:rFonts w:ascii="Calibri" w:eastAsia="HelveticaNeue-Roman" w:hAnsi="Calibri" w:cs="Calibri"/>
          <w:noProof/>
          <w:color w:val="000000"/>
          <w:sz w:val="22"/>
          <w:szCs w:val="22"/>
        </w:rPr>
        <w:t xml:space="preserve">s cabazitaxel (19.1 vs 19.6 </w:t>
      </w:r>
      <w:r w:rsidRPr="00E9460F">
        <w:rPr>
          <w:rFonts w:ascii="Calibri" w:eastAsia="HelveticaNeue-Roman" w:hAnsi="Calibri" w:cs="Calibri"/>
          <w:noProof/>
          <w:color w:val="000000"/>
          <w:sz w:val="22"/>
          <w:szCs w:val="22"/>
        </w:rPr>
        <w:t>mo; difference 0.5 mo,</w:t>
      </w:r>
      <w:r w:rsidR="00676A62" w:rsidRPr="00E9460F">
        <w:rPr>
          <w:rFonts w:ascii="Calibri" w:eastAsia="HelveticaNeue-Roman" w:hAnsi="Calibri" w:cs="Calibri"/>
          <w:noProof/>
          <w:color w:val="000000"/>
          <w:sz w:val="22"/>
          <w:szCs w:val="22"/>
        </w:rPr>
        <w:t xml:space="preserve"> 95% CI 3.7 to + 2.7; HR 0.97, </w:t>
      </w:r>
      <w:r w:rsidRPr="00E9460F">
        <w:rPr>
          <w:rFonts w:ascii="Calibri" w:eastAsia="HelveticaNeue-Roman" w:hAnsi="Calibri" w:cs="Calibri"/>
          <w:noProof/>
          <w:color w:val="000000"/>
          <w:sz w:val="22"/>
          <w:szCs w:val="22"/>
        </w:rPr>
        <w:t>95% CI 0.7–1.4; p = 0.99) [132].</w:t>
      </w:r>
    </w:p>
    <w:p w14:paraId="58BAAF03" w14:textId="2CABBEEA" w:rsidR="00676A62" w:rsidRPr="00E9460F" w:rsidRDefault="009B51B5" w:rsidP="00C62E59">
      <w:pPr>
        <w:autoSpaceDE w:val="0"/>
        <w:autoSpaceDN w:val="0"/>
        <w:adjustRightInd w:val="0"/>
        <w:spacing w:line="276" w:lineRule="auto"/>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An open-label phase 3 trial (</w:t>
      </w:r>
      <w:r w:rsidR="00676A62" w:rsidRPr="00E9460F">
        <w:rPr>
          <w:rFonts w:ascii="Calibri" w:eastAsia="HelveticaNeue-Roman" w:hAnsi="Calibri" w:cs="Calibri"/>
          <w:noProof/>
          <w:color w:val="000000"/>
          <w:sz w:val="22"/>
          <w:szCs w:val="22"/>
        </w:rPr>
        <w:t xml:space="preserve">VISION) compared 177Luvipivotid tetraxetan (177Lu-PSMA-617 radioligand therapy) </w:t>
      </w:r>
      <w:r w:rsidRPr="00E9460F">
        <w:rPr>
          <w:rFonts w:ascii="Calibri" w:eastAsia="HelveticaNeue-Roman" w:hAnsi="Calibri" w:cs="Calibri"/>
          <w:noProof/>
          <w:color w:val="000000"/>
          <w:sz w:val="22"/>
          <w:szCs w:val="22"/>
        </w:rPr>
        <w:t>with protocol-permitted SOC (ex</w:t>
      </w:r>
      <w:r w:rsidR="00676A62" w:rsidRPr="00E9460F">
        <w:rPr>
          <w:rFonts w:ascii="Calibri" w:eastAsia="HelveticaNeue-Roman" w:hAnsi="Calibri" w:cs="Calibri"/>
          <w:noProof/>
          <w:color w:val="000000"/>
          <w:sz w:val="22"/>
          <w:szCs w:val="22"/>
        </w:rPr>
        <w:t xml:space="preserve">cluding chemotherapy, </w:t>
      </w:r>
      <w:r w:rsidRPr="00E9460F">
        <w:rPr>
          <w:rFonts w:ascii="Calibri" w:eastAsia="HelveticaNeue-Roman" w:hAnsi="Calibri" w:cs="Calibri"/>
          <w:noProof/>
          <w:color w:val="000000"/>
          <w:sz w:val="22"/>
          <w:szCs w:val="22"/>
        </w:rPr>
        <w:t>immunotherapy, radium-223</w:t>
      </w:r>
      <w:r w:rsidR="00676A62" w:rsidRPr="00E9460F">
        <w:rPr>
          <w:rFonts w:ascii="Calibri" w:eastAsia="HelveticaNeue-Roman" w:hAnsi="Calibri" w:cs="Calibri"/>
          <w:noProof/>
          <w:color w:val="000000"/>
          <w:sz w:val="22"/>
          <w:szCs w:val="22"/>
        </w:rPr>
        <w:t xml:space="preserve">, and investigational drugs) in </w:t>
      </w:r>
      <w:r w:rsidRPr="00E9460F">
        <w:rPr>
          <w:rFonts w:ascii="Calibri" w:eastAsia="HelveticaNeue-Roman" w:hAnsi="Calibri" w:cs="Calibri"/>
          <w:noProof/>
          <w:color w:val="000000"/>
          <w:sz w:val="22"/>
          <w:szCs w:val="22"/>
        </w:rPr>
        <w:t>mCRPC patients with PSM</w:t>
      </w:r>
      <w:r w:rsidR="00676A62" w:rsidRPr="00E9460F">
        <w:rPr>
          <w:rFonts w:ascii="Calibri" w:eastAsia="HelveticaNeue-Roman" w:hAnsi="Calibri" w:cs="Calibri"/>
          <w:noProof/>
          <w:color w:val="000000"/>
          <w:sz w:val="22"/>
          <w:szCs w:val="22"/>
        </w:rPr>
        <w:t xml:space="preserve">A-expressing metastases on PET/ </w:t>
      </w:r>
      <w:r w:rsidRPr="00E9460F">
        <w:rPr>
          <w:rFonts w:ascii="Calibri" w:eastAsia="HelveticaNeue-Roman" w:hAnsi="Calibri" w:cs="Calibri"/>
          <w:noProof/>
          <w:color w:val="000000"/>
          <w:sz w:val="22"/>
          <w:szCs w:val="22"/>
        </w:rPr>
        <w:t>CT who were previously</w:t>
      </w:r>
      <w:r w:rsidR="00676A62" w:rsidRPr="00E9460F">
        <w:rPr>
          <w:rFonts w:ascii="Calibri" w:eastAsia="HelveticaNeue-Roman" w:hAnsi="Calibri" w:cs="Calibri"/>
          <w:noProof/>
          <w:color w:val="000000"/>
          <w:sz w:val="22"/>
          <w:szCs w:val="22"/>
        </w:rPr>
        <w:t xml:space="preserve"> treated with at least one ARPI </w:t>
      </w:r>
      <w:r w:rsidRPr="00E9460F">
        <w:rPr>
          <w:rFonts w:ascii="Calibri" w:eastAsia="HelveticaNeue-Roman" w:hAnsi="Calibri" w:cs="Calibri"/>
          <w:noProof/>
          <w:color w:val="000000"/>
          <w:sz w:val="22"/>
          <w:szCs w:val="22"/>
        </w:rPr>
        <w:t>and one or two taxanes</w:t>
      </w:r>
      <w:r w:rsidR="00676A62" w:rsidRPr="00E9460F">
        <w:rPr>
          <w:rFonts w:ascii="Calibri" w:eastAsia="HelveticaNeue-Roman" w:hAnsi="Calibri" w:cs="Calibri"/>
          <w:noProof/>
          <w:color w:val="000000"/>
          <w:sz w:val="22"/>
          <w:szCs w:val="22"/>
        </w:rPr>
        <w:t xml:space="preserve">. Imaging-based PFS and OS were </w:t>
      </w:r>
      <w:r w:rsidRPr="00E9460F">
        <w:rPr>
          <w:rFonts w:ascii="Calibri" w:eastAsia="HelveticaNeue-Roman" w:hAnsi="Calibri" w:cs="Calibri"/>
          <w:noProof/>
          <w:color w:val="000000"/>
          <w:sz w:val="22"/>
          <w:szCs w:val="22"/>
        </w:rPr>
        <w:t>the primary endpoints. More tha</w:t>
      </w:r>
      <w:r w:rsidR="00676A62" w:rsidRPr="00E9460F">
        <w:rPr>
          <w:rFonts w:ascii="Calibri" w:eastAsia="HelveticaNeue-Roman" w:hAnsi="Calibri" w:cs="Calibri"/>
          <w:noProof/>
          <w:color w:val="000000"/>
          <w:sz w:val="22"/>
          <w:szCs w:val="22"/>
        </w:rPr>
        <w:t xml:space="preserve">n 800 patients were randomised. </w:t>
      </w:r>
      <w:r w:rsidRPr="00E9460F">
        <w:rPr>
          <w:rFonts w:ascii="Calibri" w:eastAsia="HelveticaNeue-Roman" w:hAnsi="Calibri" w:cs="Calibri"/>
          <w:noProof/>
          <w:color w:val="000000"/>
          <w:sz w:val="22"/>
          <w:szCs w:val="22"/>
        </w:rPr>
        <w:t>177Lu-PSMA-617 p</w:t>
      </w:r>
      <w:r w:rsidR="00676A62" w:rsidRPr="00E9460F">
        <w:rPr>
          <w:rFonts w:ascii="Calibri" w:eastAsia="HelveticaNeue-Roman" w:hAnsi="Calibri" w:cs="Calibri"/>
          <w:noProof/>
          <w:color w:val="000000"/>
          <w:sz w:val="22"/>
          <w:szCs w:val="22"/>
        </w:rPr>
        <w:t xml:space="preserve">lus SOC significantly prolonged </w:t>
      </w:r>
      <w:r w:rsidRPr="00E9460F">
        <w:rPr>
          <w:rFonts w:ascii="Calibri" w:eastAsia="HelveticaNeue-Roman" w:hAnsi="Calibri" w:cs="Calibri"/>
          <w:noProof/>
          <w:color w:val="000000"/>
          <w:sz w:val="22"/>
          <w:szCs w:val="22"/>
        </w:rPr>
        <w:t xml:space="preserve">imaging-based PFS and OS </w:t>
      </w:r>
      <w:r w:rsidR="00676A62" w:rsidRPr="00E9460F">
        <w:rPr>
          <w:rFonts w:ascii="Calibri" w:eastAsia="HelveticaNeue-Roman" w:hAnsi="Calibri" w:cs="Calibri"/>
          <w:noProof/>
          <w:color w:val="000000"/>
          <w:sz w:val="22"/>
          <w:szCs w:val="22"/>
        </w:rPr>
        <w:t xml:space="preserve">in comparison to SOC alone. The </w:t>
      </w:r>
      <w:r w:rsidRPr="00E9460F">
        <w:rPr>
          <w:rFonts w:ascii="Calibri" w:eastAsia="HelveticaNeue-Roman" w:hAnsi="Calibri" w:cs="Calibri"/>
          <w:noProof/>
          <w:color w:val="000000"/>
          <w:sz w:val="22"/>
          <w:szCs w:val="22"/>
        </w:rPr>
        <w:t>incidence of grade 3 AEs</w:t>
      </w:r>
      <w:r w:rsidR="00676A62" w:rsidRPr="00E9460F">
        <w:rPr>
          <w:rFonts w:ascii="Calibri" w:eastAsia="HelveticaNeue-Roman" w:hAnsi="Calibri" w:cs="Calibri"/>
          <w:noProof/>
          <w:color w:val="000000"/>
          <w:sz w:val="22"/>
          <w:szCs w:val="22"/>
        </w:rPr>
        <w:t xml:space="preserve"> was higher with 177Lu-PSMA-617 </w:t>
      </w:r>
      <w:r w:rsidRPr="00E9460F">
        <w:rPr>
          <w:rFonts w:ascii="Calibri" w:eastAsia="HelveticaNeue-Roman" w:hAnsi="Calibri" w:cs="Calibri"/>
          <w:noProof/>
          <w:color w:val="000000"/>
          <w:sz w:val="22"/>
          <w:szCs w:val="22"/>
        </w:rPr>
        <w:t xml:space="preserve">(52.7% vs </w:t>
      </w:r>
      <w:r w:rsidR="00676A62" w:rsidRPr="00E9460F">
        <w:rPr>
          <w:rFonts w:ascii="Calibri" w:eastAsia="HelveticaNeue-Roman" w:hAnsi="Calibri" w:cs="Calibri"/>
          <w:noProof/>
          <w:color w:val="000000"/>
          <w:sz w:val="22"/>
          <w:szCs w:val="22"/>
        </w:rPr>
        <w:t xml:space="preserve">38.0%), but quality of life was </w:t>
      </w:r>
      <w:r w:rsidRPr="00E9460F">
        <w:rPr>
          <w:rFonts w:ascii="Calibri" w:eastAsia="HelveticaNeue-Roman" w:hAnsi="Calibri" w:cs="Calibri"/>
          <w:noProof/>
          <w:color w:val="000000"/>
          <w:sz w:val="22"/>
          <w:szCs w:val="22"/>
        </w:rPr>
        <w:t>not</w:t>
      </w:r>
      <w:r w:rsidR="00676A62" w:rsidRPr="00E9460F">
        <w:rPr>
          <w:rFonts w:ascii="Calibri" w:eastAsia="HelveticaNeue-Roman" w:hAnsi="Calibri" w:cs="Calibri"/>
          <w:noProof/>
          <w:color w:val="000000"/>
          <w:sz w:val="22"/>
          <w:szCs w:val="22"/>
        </w:rPr>
        <w:t xml:space="preserve"> adversely </w:t>
      </w:r>
      <w:r w:rsidRPr="00E9460F">
        <w:rPr>
          <w:rFonts w:ascii="Calibri" w:eastAsia="HelveticaNeue-Roman" w:hAnsi="Calibri" w:cs="Calibri"/>
          <w:noProof/>
          <w:color w:val="000000"/>
          <w:sz w:val="22"/>
          <w:szCs w:val="22"/>
        </w:rPr>
        <w:t>affected. Thus, 177Lu-PSMA</w:t>
      </w:r>
      <w:r w:rsidR="00676A62" w:rsidRPr="00E9460F">
        <w:rPr>
          <w:rFonts w:ascii="Calibri" w:eastAsia="HelveticaNeue-Roman" w:hAnsi="Calibri" w:cs="Calibri"/>
          <w:noProof/>
          <w:color w:val="000000"/>
          <w:sz w:val="22"/>
          <w:szCs w:val="22"/>
        </w:rPr>
        <w:t xml:space="preserve">-617 is an additional treatment </w:t>
      </w:r>
      <w:r w:rsidRPr="00E9460F">
        <w:rPr>
          <w:rFonts w:ascii="Calibri" w:eastAsia="HelveticaNeue-Roman" w:hAnsi="Calibri" w:cs="Calibri"/>
          <w:noProof/>
          <w:color w:val="000000"/>
          <w:sz w:val="22"/>
          <w:szCs w:val="22"/>
        </w:rPr>
        <w:t>option for this mCRPC population [133].</w:t>
      </w:r>
    </w:p>
    <w:p w14:paraId="044A0908" w14:textId="40B3D327" w:rsidR="009B51B5" w:rsidRPr="00E9460F" w:rsidRDefault="009B51B5" w:rsidP="00C62E59">
      <w:pPr>
        <w:autoSpaceDE w:val="0"/>
        <w:autoSpaceDN w:val="0"/>
        <w:adjustRightInd w:val="0"/>
        <w:spacing w:line="276" w:lineRule="auto"/>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A systematic review and upd</w:t>
      </w:r>
      <w:r w:rsidR="00676A62" w:rsidRPr="00E9460F">
        <w:rPr>
          <w:rFonts w:ascii="Calibri" w:eastAsia="HelveticaNeue-Roman" w:hAnsi="Calibri" w:cs="Calibri"/>
          <w:noProof/>
          <w:color w:val="000000"/>
          <w:sz w:val="22"/>
          <w:szCs w:val="22"/>
        </w:rPr>
        <w:t xml:space="preserve">ated meta-analysis investigated </w:t>
      </w:r>
      <w:r w:rsidRPr="00E9460F">
        <w:rPr>
          <w:rFonts w:ascii="Calibri" w:eastAsia="HelveticaNeue-Roman" w:hAnsi="Calibri" w:cs="Calibri"/>
          <w:noProof/>
          <w:color w:val="000000"/>
          <w:sz w:val="22"/>
          <w:szCs w:val="22"/>
        </w:rPr>
        <w:t>OS and the prop</w:t>
      </w:r>
      <w:r w:rsidR="00676A62" w:rsidRPr="00E9460F">
        <w:rPr>
          <w:rFonts w:ascii="Calibri" w:eastAsia="HelveticaNeue-Roman" w:hAnsi="Calibri" w:cs="Calibri"/>
          <w:noProof/>
          <w:color w:val="000000"/>
          <w:sz w:val="22"/>
          <w:szCs w:val="22"/>
        </w:rPr>
        <w:t xml:space="preserve">ortion of patients with any PSA </w:t>
      </w:r>
      <w:r w:rsidRPr="00E9460F">
        <w:rPr>
          <w:rFonts w:ascii="Calibri" w:eastAsia="HelveticaNeue-Roman" w:hAnsi="Calibri" w:cs="Calibri"/>
          <w:noProof/>
          <w:color w:val="000000"/>
          <w:sz w:val="22"/>
          <w:szCs w:val="22"/>
        </w:rPr>
        <w:t>decrease or a &gt;50% PSA d</w:t>
      </w:r>
      <w:r w:rsidR="00676A62" w:rsidRPr="00E9460F">
        <w:rPr>
          <w:rFonts w:ascii="Calibri" w:eastAsia="HelveticaNeue-Roman" w:hAnsi="Calibri" w:cs="Calibri"/>
          <w:noProof/>
          <w:color w:val="000000"/>
          <w:sz w:val="22"/>
          <w:szCs w:val="22"/>
        </w:rPr>
        <w:t xml:space="preserve">ecrease. The review included 69 articles and a total of 4157 patients, and revealed that </w:t>
      </w:r>
      <w:r w:rsidRPr="00E9460F">
        <w:rPr>
          <w:rFonts w:ascii="Calibri" w:eastAsia="HelveticaNeue-Roman" w:hAnsi="Calibri" w:cs="Calibri"/>
          <w:noProof/>
          <w:color w:val="000000"/>
          <w:sz w:val="22"/>
          <w:szCs w:val="22"/>
        </w:rPr>
        <w:t>patients treated with 177</w:t>
      </w:r>
      <w:r w:rsidR="00676A62" w:rsidRPr="00E9460F">
        <w:rPr>
          <w:rFonts w:ascii="Calibri" w:eastAsia="HelveticaNeue-Roman" w:hAnsi="Calibri" w:cs="Calibri"/>
          <w:noProof/>
          <w:color w:val="000000"/>
          <w:sz w:val="22"/>
          <w:szCs w:val="22"/>
        </w:rPr>
        <w:t xml:space="preserve">Lu-PSMA 617 had a significantly greater </w:t>
      </w:r>
      <w:r w:rsidRPr="00E9460F">
        <w:rPr>
          <w:rFonts w:ascii="Calibri" w:eastAsia="HelveticaNeue-Roman" w:hAnsi="Calibri" w:cs="Calibri"/>
          <w:noProof/>
          <w:color w:val="000000"/>
          <w:sz w:val="22"/>
          <w:szCs w:val="22"/>
        </w:rPr>
        <w:lastRenderedPageBreak/>
        <w:t>response to therapy (</w:t>
      </w:r>
      <w:r w:rsidR="00C62E59">
        <w:rPr>
          <w:rFonts w:ascii="Calibri" w:eastAsia="HelveticaNeue-Roman" w:hAnsi="Calibri" w:cs="Calibri"/>
          <w:noProof/>
          <w:color w:val="000000"/>
          <w:sz w:val="22"/>
          <w:szCs w:val="22"/>
        </w:rPr>
        <w:t>50</w:t>
      </w:r>
      <w:r w:rsidR="00676A62" w:rsidRPr="00E9460F">
        <w:rPr>
          <w:rFonts w:ascii="Calibri" w:eastAsia="HelveticaNeue-Roman" w:hAnsi="Calibri" w:cs="Calibri"/>
          <w:noProof/>
          <w:color w:val="000000"/>
          <w:sz w:val="22"/>
          <w:szCs w:val="22"/>
        </w:rPr>
        <w:t xml:space="preserve">% PSA decrease) in comparison </w:t>
      </w:r>
      <w:r w:rsidRPr="00E9460F">
        <w:rPr>
          <w:rFonts w:ascii="Calibri" w:eastAsia="HelveticaNeue-Roman" w:hAnsi="Calibri" w:cs="Calibri"/>
          <w:noProof/>
          <w:color w:val="000000"/>
          <w:sz w:val="22"/>
          <w:szCs w:val="22"/>
        </w:rPr>
        <w:t>to the control arm (OR =</w:t>
      </w:r>
      <w:r w:rsidR="00676A62" w:rsidRPr="00E9460F">
        <w:rPr>
          <w:rFonts w:ascii="Calibri" w:eastAsia="HelveticaNeue-Roman" w:hAnsi="Calibri" w:cs="Calibri"/>
          <w:noProof/>
          <w:color w:val="000000"/>
          <w:sz w:val="22"/>
          <w:szCs w:val="22"/>
        </w:rPr>
        <w:t xml:space="preserve"> 5.33, 95% CI: 1.24–22.90, </w:t>
      </w:r>
      <w:r w:rsidRPr="00E9460F">
        <w:rPr>
          <w:rFonts w:ascii="Calibri" w:eastAsia="HelveticaNeue-Roman" w:hAnsi="Calibri" w:cs="Calibri"/>
          <w:noProof/>
          <w:color w:val="000000"/>
          <w:sz w:val="22"/>
          <w:szCs w:val="22"/>
        </w:rPr>
        <w:t>p &lt; 0.05). Meta-analysi</w:t>
      </w:r>
      <w:r w:rsidR="00676A62" w:rsidRPr="00E9460F">
        <w:rPr>
          <w:rFonts w:ascii="Calibri" w:eastAsia="HelveticaNeue-Roman" w:hAnsi="Calibri" w:cs="Calibri"/>
          <w:noProof/>
          <w:color w:val="000000"/>
          <w:sz w:val="22"/>
          <w:szCs w:val="22"/>
        </w:rPr>
        <w:t xml:space="preserve">s revealed that OS was improved </w:t>
      </w:r>
      <w:r w:rsidRPr="00E9460F">
        <w:rPr>
          <w:rFonts w:ascii="Calibri" w:eastAsia="HelveticaNeue-Roman" w:hAnsi="Calibri" w:cs="Calibri"/>
          <w:noProof/>
          <w:color w:val="000000"/>
          <w:sz w:val="22"/>
          <w:szCs w:val="22"/>
        </w:rPr>
        <w:t>after 177Lu-PSMA-617 th</w:t>
      </w:r>
      <w:r w:rsidR="00676A62" w:rsidRPr="00E9460F">
        <w:rPr>
          <w:rFonts w:ascii="Calibri" w:eastAsia="HelveticaNeue-Roman" w:hAnsi="Calibri" w:cs="Calibri"/>
          <w:noProof/>
          <w:color w:val="000000"/>
          <w:sz w:val="22"/>
          <w:szCs w:val="22"/>
        </w:rPr>
        <w:t xml:space="preserve">erapy, with a pooled HR of 0.26 </w:t>
      </w:r>
      <w:r w:rsidRPr="00E9460F">
        <w:rPr>
          <w:rFonts w:ascii="Calibri" w:eastAsia="HelveticaNeue-Roman" w:hAnsi="Calibri" w:cs="Calibri"/>
          <w:noProof/>
          <w:color w:val="000000"/>
          <w:sz w:val="22"/>
          <w:szCs w:val="22"/>
        </w:rPr>
        <w:t>(95% CI 0.18–0.37, p &lt; 0</w:t>
      </w:r>
      <w:r w:rsidR="00676A62" w:rsidRPr="00E9460F">
        <w:rPr>
          <w:rFonts w:ascii="Calibri" w:eastAsia="HelveticaNeue-Roman" w:hAnsi="Calibri" w:cs="Calibri"/>
          <w:noProof/>
          <w:color w:val="000000"/>
          <w:sz w:val="22"/>
          <w:szCs w:val="22"/>
        </w:rPr>
        <w:t xml:space="preserve">.00001) for any PSA decline and 0.52 (95% CI 0.40–0.67; </w:t>
      </w:r>
      <w:r w:rsidRPr="00E9460F">
        <w:rPr>
          <w:rFonts w:ascii="Calibri" w:eastAsia="HelveticaNeue-Roman" w:hAnsi="Calibri" w:cs="Calibri"/>
          <w:noProof/>
          <w:color w:val="000000"/>
          <w:sz w:val="22"/>
          <w:szCs w:val="22"/>
        </w:rPr>
        <w:t xml:space="preserve">p &lt; 0.00001) for a </w:t>
      </w:r>
      <w:r w:rsidR="00676A62" w:rsidRPr="00E9460F">
        <w:rPr>
          <w:rFonts w:ascii="Calibri" w:eastAsia="HelveticaNeue-Roman" w:hAnsi="Calibri" w:cs="Calibri"/>
          <w:noProof/>
          <w:color w:val="000000"/>
          <w:sz w:val="22"/>
          <w:szCs w:val="22"/>
        </w:rPr>
        <w:t xml:space="preserve">≥ </w:t>
      </w:r>
      <w:r w:rsidRPr="00E9460F">
        <w:rPr>
          <w:rFonts w:ascii="Calibri" w:eastAsia="HelveticaNeue-Roman" w:hAnsi="Calibri" w:cs="Calibri"/>
          <w:noProof/>
          <w:color w:val="000000"/>
          <w:sz w:val="22"/>
          <w:szCs w:val="22"/>
        </w:rPr>
        <w:t>50% PSA decline</w:t>
      </w:r>
    </w:p>
    <w:p w14:paraId="5B48C211" w14:textId="27492BAF" w:rsidR="000337C9" w:rsidRPr="00E9460F" w:rsidRDefault="009B51B5" w:rsidP="00C62E59">
      <w:pPr>
        <w:autoSpaceDE w:val="0"/>
        <w:autoSpaceDN w:val="0"/>
        <w:adjustRightInd w:val="0"/>
        <w:spacing w:line="276" w:lineRule="auto"/>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[134].</w:t>
      </w:r>
    </w:p>
    <w:p w14:paraId="6E725583" w14:textId="77777777" w:rsidR="000337C9" w:rsidRPr="00E9460F" w:rsidRDefault="000337C9" w:rsidP="00C62E59">
      <w:pPr>
        <w:autoSpaceDE w:val="0"/>
        <w:autoSpaceDN w:val="0"/>
        <w:adjustRightInd w:val="0"/>
        <w:spacing w:line="276" w:lineRule="auto"/>
        <w:jc w:val="both"/>
        <w:rPr>
          <w:rFonts w:ascii="Calibri" w:eastAsia="HelveticaNeue-Roman" w:hAnsi="Calibri" w:cs="Calibri"/>
          <w:bCs/>
          <w:i/>
          <w:iCs/>
          <w:noProof/>
          <w:color w:val="000000" w:themeColor="text1"/>
          <w:sz w:val="22"/>
          <w:szCs w:val="22"/>
        </w:rPr>
      </w:pPr>
    </w:p>
    <w:p w14:paraId="7FCC3E83" w14:textId="5B60F088" w:rsidR="00676A62" w:rsidRPr="00E9460F" w:rsidRDefault="00676A62" w:rsidP="00C62E59">
      <w:pPr>
        <w:autoSpaceDE w:val="0"/>
        <w:autoSpaceDN w:val="0"/>
        <w:adjustRightInd w:val="0"/>
        <w:spacing w:line="276" w:lineRule="auto"/>
        <w:ind w:firstLine="720"/>
        <w:jc w:val="both"/>
        <w:rPr>
          <w:rFonts w:ascii="Calibri" w:eastAsia="HelveticaNeue-Roman" w:hAnsi="Calibri" w:cs="Calibri"/>
          <w:noProof/>
          <w:color w:val="000000"/>
          <w:sz w:val="22"/>
          <w:szCs w:val="22"/>
        </w:rPr>
      </w:pPr>
      <w:r w:rsidRPr="00C62E59">
        <w:rPr>
          <w:rFonts w:ascii="Calibri" w:eastAsia="HelveticaNeue-Roman" w:hAnsi="Calibri" w:cs="Calibri"/>
          <w:i/>
          <w:noProof/>
          <w:color w:val="000000"/>
          <w:sz w:val="22"/>
          <w:szCs w:val="22"/>
        </w:rPr>
        <w:t>3.3.2.3.2. PARP inhibitors for mCRPC.</w:t>
      </w:r>
      <w:r w:rsidRPr="00E9460F">
        <w:rPr>
          <w:rFonts w:ascii="Calibri" w:eastAsia="HelveticaNeue-Roman" w:hAnsi="Calibri" w:cs="Calibri"/>
          <w:noProof/>
          <w:color w:val="000000"/>
          <w:sz w:val="22"/>
          <w:szCs w:val="22"/>
        </w:rPr>
        <w:t xml:space="preserve"> So far, two PARP inhibitors, olaparib and rucaparib, are licensed as monotherapy by the FDA (the EMA has only approved olaparib) and several other PARP inhibitors are under investigation or were approved only in combination with an ARPI (Section 3.3.2.1.6).</w:t>
      </w:r>
    </w:p>
    <w:p w14:paraId="4640E2F8" w14:textId="3A114380" w:rsidR="00676A62" w:rsidRPr="00E9460F" w:rsidRDefault="00676A62" w:rsidP="00C62E59">
      <w:pPr>
        <w:autoSpaceDE w:val="0"/>
        <w:autoSpaceDN w:val="0"/>
        <w:adjustRightInd w:val="0"/>
        <w:spacing w:line="276" w:lineRule="auto"/>
        <w:jc w:val="both"/>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A randomised phase 3 trial (PROfound) compared the PARP inhibitor olaparib to an alternative ARPI in mCRPC with alterations in one or more genes with a role in HRR and progression on an ARPI. Most patients were heavily pretreated with one or two chemotherapies and up to two ARPIs [135,136]. The prima</w:t>
      </w:r>
      <w:r w:rsidR="00E234D4" w:rsidRPr="00E9460F">
        <w:rPr>
          <w:rFonts w:ascii="Calibri" w:eastAsia="HelveticaNeue-Roman" w:hAnsi="Calibri" w:cs="Calibri"/>
          <w:noProof/>
          <w:color w:val="000000"/>
          <w:sz w:val="22"/>
          <w:szCs w:val="22"/>
        </w:rPr>
        <w:t xml:space="preserve">ry endpoint was rPFS on blinded </w:t>
      </w:r>
      <w:r w:rsidRPr="00E9460F">
        <w:rPr>
          <w:rFonts w:ascii="Calibri" w:eastAsia="HelveticaNeue-Roman" w:hAnsi="Calibri" w:cs="Calibri"/>
          <w:noProof/>
          <w:color w:val="000000"/>
          <w:sz w:val="22"/>
          <w:szCs w:val="22"/>
        </w:rPr>
        <w:t>independent central review</w:t>
      </w:r>
      <w:r w:rsidR="00E234D4" w:rsidRPr="00E9460F">
        <w:rPr>
          <w:rFonts w:ascii="Calibri" w:eastAsia="HelveticaNeue-Roman" w:hAnsi="Calibri" w:cs="Calibri"/>
          <w:noProof/>
          <w:color w:val="000000"/>
          <w:sz w:val="22"/>
          <w:szCs w:val="22"/>
        </w:rPr>
        <w:t xml:space="preserve"> in the population with BRCA1/2 </w:t>
      </w:r>
      <w:r w:rsidRPr="00E9460F">
        <w:rPr>
          <w:rFonts w:ascii="Calibri" w:eastAsia="HelveticaNeue-Roman" w:hAnsi="Calibri" w:cs="Calibri"/>
          <w:noProof/>
          <w:color w:val="000000"/>
          <w:sz w:val="22"/>
          <w:szCs w:val="22"/>
        </w:rPr>
        <w:t xml:space="preserve">or ATM mutation (cohort A) and </w:t>
      </w:r>
      <w:r w:rsidR="00E234D4" w:rsidRPr="00E9460F">
        <w:rPr>
          <w:rFonts w:ascii="Calibri" w:eastAsia="HelveticaNeue-Roman" w:hAnsi="Calibri" w:cs="Calibri"/>
          <w:noProof/>
          <w:color w:val="000000"/>
          <w:sz w:val="22"/>
          <w:szCs w:val="22"/>
        </w:rPr>
        <w:t xml:space="preserve">significantly favoured olaparib </w:t>
      </w:r>
      <w:r w:rsidRPr="00E9460F">
        <w:rPr>
          <w:rFonts w:ascii="Calibri" w:eastAsia="HelveticaNeue-Roman" w:hAnsi="Calibri" w:cs="Calibri"/>
          <w:noProof/>
          <w:color w:val="000000"/>
          <w:sz w:val="22"/>
          <w:szCs w:val="22"/>
        </w:rPr>
        <w:t>(HR 0.49, 95% CI 0.38–</w:t>
      </w:r>
      <w:r w:rsidR="00E234D4" w:rsidRPr="00E9460F">
        <w:rPr>
          <w:rFonts w:ascii="Calibri" w:eastAsia="HelveticaNeue-Roman" w:hAnsi="Calibri" w:cs="Calibri"/>
          <w:noProof/>
          <w:color w:val="000000"/>
          <w:sz w:val="22"/>
          <w:szCs w:val="22"/>
        </w:rPr>
        <w:t xml:space="preserve">0.63). The final results for OS </w:t>
      </w:r>
      <w:r w:rsidRPr="00E9460F">
        <w:rPr>
          <w:rFonts w:ascii="Calibri" w:eastAsia="HelveticaNeue-Roman" w:hAnsi="Calibri" w:cs="Calibri"/>
          <w:noProof/>
          <w:color w:val="000000"/>
          <w:sz w:val="22"/>
          <w:szCs w:val="22"/>
        </w:rPr>
        <w:t>demonstrated a signific</w:t>
      </w:r>
      <w:r w:rsidR="00E234D4" w:rsidRPr="00E9460F">
        <w:rPr>
          <w:rFonts w:ascii="Calibri" w:eastAsia="HelveticaNeue-Roman" w:hAnsi="Calibri" w:cs="Calibri"/>
          <w:noProof/>
          <w:color w:val="000000"/>
          <w:sz w:val="22"/>
          <w:szCs w:val="22"/>
        </w:rPr>
        <w:t xml:space="preserve">ant improvement in cohort A (HR </w:t>
      </w:r>
      <w:r w:rsidRPr="00E9460F">
        <w:rPr>
          <w:rFonts w:ascii="Calibri" w:eastAsia="HelveticaNeue-Roman" w:hAnsi="Calibri" w:cs="Calibri"/>
          <w:noProof/>
          <w:color w:val="000000"/>
          <w:sz w:val="22"/>
          <w:szCs w:val="22"/>
        </w:rPr>
        <w:t xml:space="preserve">0.69, 95% CI 0.50– 0.97; p </w:t>
      </w:r>
      <w:r w:rsidR="00E234D4" w:rsidRPr="00E9460F">
        <w:rPr>
          <w:rFonts w:ascii="Calibri" w:eastAsia="HelveticaNeue-Roman" w:hAnsi="Calibri" w:cs="Calibri"/>
          <w:noProof/>
          <w:color w:val="000000"/>
          <w:sz w:val="22"/>
          <w:szCs w:val="22"/>
        </w:rPr>
        <w:t xml:space="preserve">= 0.0175). The difference in OS </w:t>
      </w:r>
      <w:r w:rsidRPr="00E9460F">
        <w:rPr>
          <w:rFonts w:ascii="Calibri" w:eastAsia="HelveticaNeue-Roman" w:hAnsi="Calibri" w:cs="Calibri"/>
          <w:noProof/>
          <w:color w:val="000000"/>
          <w:sz w:val="22"/>
          <w:szCs w:val="22"/>
        </w:rPr>
        <w:t>was not significant for men with any (other) HRR alteration</w:t>
      </w:r>
    </w:p>
    <w:p w14:paraId="2BA6FAAC" w14:textId="1B0B7BA7" w:rsidR="00676A62" w:rsidRPr="00E9460F" w:rsidRDefault="00676A62" w:rsidP="00C62E59">
      <w:pPr>
        <w:autoSpaceDE w:val="0"/>
        <w:autoSpaceDN w:val="0"/>
        <w:adjustRightInd w:val="0"/>
        <w:spacing w:line="276" w:lineRule="auto"/>
        <w:jc w:val="both"/>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(cohort B; HR 0.96, 95% CI 0</w:t>
      </w:r>
      <w:r w:rsidR="00E234D4" w:rsidRPr="00E9460F">
        <w:rPr>
          <w:rFonts w:ascii="Calibri" w:eastAsia="HelveticaNeue-Roman" w:hAnsi="Calibri" w:cs="Calibri"/>
          <w:noProof/>
          <w:color w:val="000000"/>
          <w:sz w:val="22"/>
          <w:szCs w:val="22"/>
        </w:rPr>
        <w:t xml:space="preserve">.63–1.49). Of note, patients in </w:t>
      </w:r>
      <w:r w:rsidRPr="00E9460F">
        <w:rPr>
          <w:rFonts w:ascii="Calibri" w:eastAsia="HelveticaNeue-Roman" w:hAnsi="Calibri" w:cs="Calibri"/>
          <w:noProof/>
          <w:color w:val="000000"/>
          <w:sz w:val="22"/>
          <w:szCs w:val="22"/>
        </w:rPr>
        <w:t>the arm receiving physician’s cho</w:t>
      </w:r>
      <w:r w:rsidR="00E234D4" w:rsidRPr="00E9460F">
        <w:rPr>
          <w:rFonts w:ascii="Calibri" w:eastAsia="HelveticaNeue-Roman" w:hAnsi="Calibri" w:cs="Calibri"/>
          <w:noProof/>
          <w:color w:val="000000"/>
          <w:sz w:val="22"/>
          <w:szCs w:val="22"/>
        </w:rPr>
        <w:t>ice of enzalutamide/abiraterone</w:t>
      </w:r>
      <w:r w:rsidRPr="00E9460F">
        <w:rPr>
          <w:rFonts w:ascii="Calibri" w:eastAsia="HelveticaNeue-Roman" w:hAnsi="Calibri" w:cs="Calibri"/>
          <w:noProof/>
          <w:color w:val="000000"/>
          <w:sz w:val="22"/>
          <w:szCs w:val="22"/>
        </w:rPr>
        <w:t>who experi</w:t>
      </w:r>
      <w:r w:rsidR="00E234D4" w:rsidRPr="00E9460F">
        <w:rPr>
          <w:rFonts w:ascii="Calibri" w:eastAsia="HelveticaNeue-Roman" w:hAnsi="Calibri" w:cs="Calibri"/>
          <w:noProof/>
          <w:color w:val="000000"/>
          <w:sz w:val="22"/>
          <w:szCs w:val="22"/>
        </w:rPr>
        <w:t xml:space="preserve">enced progression (86/131, 66%) </w:t>
      </w:r>
      <w:r w:rsidRPr="00E9460F">
        <w:rPr>
          <w:rFonts w:ascii="Calibri" w:eastAsia="HelveticaNeue-Roman" w:hAnsi="Calibri" w:cs="Calibri"/>
          <w:noProof/>
          <w:color w:val="000000"/>
          <w:sz w:val="22"/>
          <w:szCs w:val="22"/>
        </w:rPr>
        <w:t>crossed over to olaparib.</w:t>
      </w:r>
    </w:p>
    <w:p w14:paraId="28A548F0" w14:textId="0A83578D" w:rsidR="00676A62" w:rsidRPr="00E9460F" w:rsidRDefault="00676A62" w:rsidP="00C62E59">
      <w:pPr>
        <w:autoSpaceDE w:val="0"/>
        <w:autoSpaceDN w:val="0"/>
        <w:adjustRightInd w:val="0"/>
        <w:spacing w:line="276" w:lineRule="auto"/>
        <w:jc w:val="both"/>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Olaparib was approv</w:t>
      </w:r>
      <w:r w:rsidR="00E234D4" w:rsidRPr="00E9460F">
        <w:rPr>
          <w:rFonts w:ascii="Calibri" w:eastAsia="HelveticaNeue-Roman" w:hAnsi="Calibri" w:cs="Calibri"/>
          <w:noProof/>
          <w:color w:val="000000"/>
          <w:sz w:val="22"/>
          <w:szCs w:val="22"/>
        </w:rPr>
        <w:t xml:space="preserve">ed by the FDA for patients with </w:t>
      </w:r>
      <w:r w:rsidRPr="00E9460F">
        <w:rPr>
          <w:rFonts w:ascii="Calibri" w:eastAsia="HelveticaNeue-Roman" w:hAnsi="Calibri" w:cs="Calibri"/>
          <w:noProof/>
          <w:color w:val="000000"/>
          <w:sz w:val="22"/>
          <w:szCs w:val="22"/>
        </w:rPr>
        <w:t>mCRPC with deleterious or</w:t>
      </w:r>
      <w:r w:rsidR="00E234D4" w:rsidRPr="00E9460F">
        <w:rPr>
          <w:rFonts w:ascii="Calibri" w:eastAsia="HelveticaNeue-Roman" w:hAnsi="Calibri" w:cs="Calibri"/>
          <w:noProof/>
          <w:color w:val="000000"/>
          <w:sz w:val="22"/>
          <w:szCs w:val="22"/>
        </w:rPr>
        <w:t xml:space="preserve"> suspected deleterious germline </w:t>
      </w:r>
      <w:r w:rsidRPr="00E9460F">
        <w:rPr>
          <w:rFonts w:ascii="Calibri" w:eastAsia="HelveticaNeue-Roman" w:hAnsi="Calibri" w:cs="Calibri"/>
          <w:noProof/>
          <w:color w:val="000000"/>
          <w:sz w:val="22"/>
          <w:szCs w:val="22"/>
        </w:rPr>
        <w:t>or somatic HRR mutations w</w:t>
      </w:r>
      <w:r w:rsidR="00E234D4" w:rsidRPr="00E9460F">
        <w:rPr>
          <w:rFonts w:ascii="Calibri" w:eastAsia="HelveticaNeue-Roman" w:hAnsi="Calibri" w:cs="Calibri"/>
          <w:noProof/>
          <w:color w:val="000000"/>
          <w:sz w:val="22"/>
          <w:szCs w:val="22"/>
        </w:rPr>
        <w:t xml:space="preserve">ith progression following prior </w:t>
      </w:r>
      <w:r w:rsidRPr="00E9460F">
        <w:rPr>
          <w:rFonts w:ascii="Calibri" w:eastAsia="HelveticaNeue-Roman" w:hAnsi="Calibri" w:cs="Calibri"/>
          <w:noProof/>
          <w:color w:val="000000"/>
          <w:sz w:val="22"/>
          <w:szCs w:val="22"/>
        </w:rPr>
        <w:t>treatment with enzal</w:t>
      </w:r>
      <w:r w:rsidR="00E234D4" w:rsidRPr="00E9460F">
        <w:rPr>
          <w:rFonts w:ascii="Calibri" w:eastAsia="HelveticaNeue-Roman" w:hAnsi="Calibri" w:cs="Calibri"/>
          <w:noProof/>
          <w:color w:val="000000"/>
          <w:sz w:val="22"/>
          <w:szCs w:val="22"/>
        </w:rPr>
        <w:t xml:space="preserve">utamide or abiraterone. The EMA </w:t>
      </w:r>
      <w:r w:rsidRPr="00E9460F">
        <w:rPr>
          <w:rFonts w:ascii="Calibri" w:eastAsia="HelveticaNeue-Roman" w:hAnsi="Calibri" w:cs="Calibri"/>
          <w:noProof/>
          <w:color w:val="000000"/>
          <w:sz w:val="22"/>
          <w:szCs w:val="22"/>
        </w:rPr>
        <w:t>approved olaparib for patients w</w:t>
      </w:r>
      <w:r w:rsidR="00E234D4" w:rsidRPr="00E9460F">
        <w:rPr>
          <w:rFonts w:ascii="Calibri" w:eastAsia="HelveticaNeue-Roman" w:hAnsi="Calibri" w:cs="Calibri"/>
          <w:noProof/>
          <w:color w:val="000000"/>
          <w:sz w:val="22"/>
          <w:szCs w:val="22"/>
        </w:rPr>
        <w:t xml:space="preserve">ith BRCA1 and BRCA2 alterations </w:t>
      </w:r>
      <w:r w:rsidRPr="00E9460F">
        <w:rPr>
          <w:rFonts w:ascii="Calibri" w:eastAsia="HelveticaNeue-Roman" w:hAnsi="Calibri" w:cs="Calibri"/>
          <w:noProof/>
          <w:color w:val="000000"/>
          <w:sz w:val="22"/>
          <w:szCs w:val="22"/>
        </w:rPr>
        <w:t>[99]. The recommended olaparib dose i</w:t>
      </w:r>
      <w:r w:rsidR="00E234D4" w:rsidRPr="00E9460F">
        <w:rPr>
          <w:rFonts w:ascii="Calibri" w:eastAsia="HelveticaNeue-Roman" w:hAnsi="Calibri" w:cs="Calibri"/>
          <w:noProof/>
          <w:color w:val="000000"/>
          <w:sz w:val="22"/>
          <w:szCs w:val="22"/>
        </w:rPr>
        <w:t xml:space="preserve">s 600 mg daily </w:t>
      </w:r>
      <w:r w:rsidRPr="00E9460F">
        <w:rPr>
          <w:rFonts w:ascii="Calibri" w:eastAsia="HelveticaNeue-Roman" w:hAnsi="Calibri" w:cs="Calibri"/>
          <w:noProof/>
          <w:color w:val="000000"/>
          <w:sz w:val="22"/>
          <w:szCs w:val="22"/>
        </w:rPr>
        <w:t>(300 mg taken orally twic</w:t>
      </w:r>
      <w:r w:rsidR="00E234D4" w:rsidRPr="00E9460F">
        <w:rPr>
          <w:rFonts w:ascii="Calibri" w:eastAsia="HelveticaNeue-Roman" w:hAnsi="Calibri" w:cs="Calibri"/>
          <w:noProof/>
          <w:color w:val="000000"/>
          <w:sz w:val="22"/>
          <w:szCs w:val="22"/>
        </w:rPr>
        <w:t xml:space="preserve">e daily), with or without food. </w:t>
      </w:r>
      <w:r w:rsidRPr="00E9460F">
        <w:rPr>
          <w:rFonts w:ascii="Calibri" w:eastAsia="HelveticaNeue-Roman" w:hAnsi="Calibri" w:cs="Calibri"/>
          <w:noProof/>
          <w:color w:val="000000"/>
          <w:sz w:val="22"/>
          <w:szCs w:val="22"/>
        </w:rPr>
        <w:t>Rucaparib in the secon</w:t>
      </w:r>
      <w:r w:rsidR="00E234D4" w:rsidRPr="00E9460F">
        <w:rPr>
          <w:rFonts w:ascii="Calibri" w:eastAsia="HelveticaNeue-Roman" w:hAnsi="Calibri" w:cs="Calibri"/>
          <w:noProof/>
          <w:color w:val="000000"/>
          <w:sz w:val="22"/>
          <w:szCs w:val="22"/>
        </w:rPr>
        <w:t xml:space="preserve">d line after ARPI treatment was </w:t>
      </w:r>
      <w:r w:rsidRPr="00E9460F">
        <w:rPr>
          <w:rFonts w:ascii="Calibri" w:eastAsia="HelveticaNeue-Roman" w:hAnsi="Calibri" w:cs="Calibri"/>
          <w:noProof/>
          <w:color w:val="000000"/>
          <w:sz w:val="22"/>
          <w:szCs w:val="22"/>
        </w:rPr>
        <w:t>studied in TRITON 3 and is discussed in Section 3.3.2.2.</w:t>
      </w:r>
    </w:p>
    <w:p w14:paraId="5BB87A07" w14:textId="4E77D02D" w:rsidR="00676A62" w:rsidRPr="00E9460F" w:rsidRDefault="00676A62" w:rsidP="00C62E59">
      <w:pPr>
        <w:autoSpaceDE w:val="0"/>
        <w:autoSpaceDN w:val="0"/>
        <w:adjustRightInd w:val="0"/>
        <w:spacing w:line="276" w:lineRule="auto"/>
        <w:jc w:val="both"/>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ARPI combined with a PAR</w:t>
      </w:r>
      <w:r w:rsidR="00E234D4" w:rsidRPr="00E9460F">
        <w:rPr>
          <w:rFonts w:ascii="Calibri" w:eastAsia="HelveticaNeue-Roman" w:hAnsi="Calibri" w:cs="Calibri"/>
          <w:noProof/>
          <w:color w:val="000000"/>
          <w:sz w:val="22"/>
          <w:szCs w:val="22"/>
        </w:rPr>
        <w:t xml:space="preserve">P inhibitor in first-line mCRPC </w:t>
      </w:r>
      <w:r w:rsidRPr="00E9460F">
        <w:rPr>
          <w:rFonts w:ascii="Calibri" w:eastAsia="HelveticaNeue-Roman" w:hAnsi="Calibri" w:cs="Calibri"/>
          <w:noProof/>
          <w:color w:val="000000"/>
          <w:sz w:val="22"/>
          <w:szCs w:val="22"/>
        </w:rPr>
        <w:t>has been studied in several</w:t>
      </w:r>
      <w:r w:rsidR="00E234D4" w:rsidRPr="00E9460F">
        <w:rPr>
          <w:rFonts w:ascii="Calibri" w:eastAsia="HelveticaNeue-Roman" w:hAnsi="Calibri" w:cs="Calibri"/>
          <w:noProof/>
          <w:color w:val="000000"/>
          <w:sz w:val="22"/>
          <w:szCs w:val="22"/>
        </w:rPr>
        <w:t xml:space="preserve"> RCTs, including AAP + olaparib </w:t>
      </w:r>
      <w:r w:rsidRPr="00E9460F">
        <w:rPr>
          <w:rFonts w:ascii="Calibri" w:eastAsia="HelveticaNeue-Roman" w:hAnsi="Calibri" w:cs="Calibri"/>
          <w:noProof/>
          <w:color w:val="000000"/>
          <w:sz w:val="22"/>
          <w:szCs w:val="22"/>
        </w:rPr>
        <w:t>[98], AAP + niraparib [102],</w:t>
      </w:r>
      <w:r w:rsidR="00E234D4" w:rsidRPr="00E9460F">
        <w:rPr>
          <w:rFonts w:ascii="Calibri" w:eastAsia="HelveticaNeue-Roman" w:hAnsi="Calibri" w:cs="Calibri"/>
          <w:noProof/>
          <w:color w:val="000000"/>
          <w:sz w:val="22"/>
          <w:szCs w:val="22"/>
        </w:rPr>
        <w:t xml:space="preserve"> and enzalutamide + talazoparib </w:t>
      </w:r>
      <w:r w:rsidRPr="00E9460F">
        <w:rPr>
          <w:rFonts w:ascii="Calibri" w:eastAsia="HelveticaNeue-Roman" w:hAnsi="Calibri" w:cs="Calibri"/>
          <w:noProof/>
          <w:color w:val="000000"/>
          <w:sz w:val="22"/>
          <w:szCs w:val="22"/>
        </w:rPr>
        <w:t>[104] (Table 7).</w:t>
      </w:r>
    </w:p>
    <w:p w14:paraId="657A373F" w14:textId="77777777" w:rsidR="00E234D4" w:rsidRPr="00E9460F" w:rsidRDefault="00E234D4" w:rsidP="00C62E59">
      <w:pPr>
        <w:autoSpaceDE w:val="0"/>
        <w:autoSpaceDN w:val="0"/>
        <w:adjustRightInd w:val="0"/>
        <w:spacing w:line="276" w:lineRule="auto"/>
        <w:jc w:val="both"/>
        <w:rPr>
          <w:rFonts w:ascii="Calibri" w:eastAsia="HelveticaNeue-Roman" w:hAnsi="Calibri" w:cs="Calibri"/>
          <w:noProof/>
          <w:color w:val="000000"/>
          <w:sz w:val="22"/>
          <w:szCs w:val="22"/>
        </w:rPr>
      </w:pPr>
    </w:p>
    <w:p w14:paraId="40F5E5B6" w14:textId="1DA609F4" w:rsidR="00676A62" w:rsidRPr="00E9460F" w:rsidRDefault="00676A62" w:rsidP="00C62E59">
      <w:pPr>
        <w:autoSpaceDE w:val="0"/>
        <w:autoSpaceDN w:val="0"/>
        <w:adjustRightInd w:val="0"/>
        <w:spacing w:line="276" w:lineRule="auto"/>
        <w:ind w:firstLine="720"/>
        <w:jc w:val="both"/>
        <w:rPr>
          <w:rFonts w:ascii="Calibri" w:eastAsia="HelveticaNeue-Roman" w:hAnsi="Calibri" w:cs="Calibri"/>
          <w:noProof/>
          <w:color w:val="000000"/>
          <w:sz w:val="22"/>
          <w:szCs w:val="22"/>
        </w:rPr>
      </w:pPr>
      <w:r w:rsidRPr="00E9460F">
        <w:rPr>
          <w:rFonts w:ascii="Calibri" w:eastAsia="HelveticaNeue-Roman" w:hAnsi="Calibri" w:cs="Calibri"/>
          <w:i/>
          <w:noProof/>
          <w:color w:val="000000"/>
          <w:sz w:val="22"/>
          <w:szCs w:val="22"/>
        </w:rPr>
        <w:t>3.3.2.3.3. Platinum chemotherapy</w:t>
      </w:r>
      <w:r w:rsidR="00E234D4" w:rsidRPr="00E9460F">
        <w:rPr>
          <w:rFonts w:ascii="Calibri" w:eastAsia="HelveticaNeue-Roman" w:hAnsi="Calibri" w:cs="Calibri"/>
          <w:noProof/>
          <w:color w:val="000000"/>
          <w:sz w:val="22"/>
          <w:szCs w:val="22"/>
        </w:rPr>
        <w:t xml:space="preserve">. Cisplatin or carboplatin </w:t>
      </w:r>
      <w:r w:rsidRPr="00E9460F">
        <w:rPr>
          <w:rFonts w:ascii="Calibri" w:eastAsia="HelveticaNeue-Roman" w:hAnsi="Calibri" w:cs="Calibri"/>
          <w:noProof/>
          <w:color w:val="000000"/>
          <w:sz w:val="22"/>
          <w:szCs w:val="22"/>
        </w:rPr>
        <w:t>monotherapy and combinat</w:t>
      </w:r>
      <w:r w:rsidR="00E234D4" w:rsidRPr="00E9460F">
        <w:rPr>
          <w:rFonts w:ascii="Calibri" w:eastAsia="HelveticaNeue-Roman" w:hAnsi="Calibri" w:cs="Calibri"/>
          <w:noProof/>
          <w:color w:val="000000"/>
          <w:sz w:val="22"/>
          <w:szCs w:val="22"/>
        </w:rPr>
        <w:t xml:space="preserve">ions showed limited activity in </w:t>
      </w:r>
      <w:r w:rsidRPr="00E9460F">
        <w:rPr>
          <w:rFonts w:ascii="Calibri" w:eastAsia="HelveticaNeue-Roman" w:hAnsi="Calibri" w:cs="Calibri"/>
          <w:noProof/>
          <w:color w:val="000000"/>
          <w:sz w:val="22"/>
          <w:szCs w:val="22"/>
        </w:rPr>
        <w:t>unselected patients in the predocet</w:t>
      </w:r>
      <w:r w:rsidR="00E234D4" w:rsidRPr="00E9460F">
        <w:rPr>
          <w:rFonts w:ascii="Calibri" w:eastAsia="HelveticaNeue-Roman" w:hAnsi="Calibri" w:cs="Calibri"/>
          <w:noProof/>
          <w:color w:val="000000"/>
          <w:sz w:val="22"/>
          <w:szCs w:val="22"/>
        </w:rPr>
        <w:t xml:space="preserve">axel era [137]. The combination </w:t>
      </w:r>
      <w:r w:rsidRPr="00E9460F">
        <w:rPr>
          <w:rFonts w:ascii="Calibri" w:eastAsia="HelveticaNeue-Roman" w:hAnsi="Calibri" w:cs="Calibri"/>
          <w:noProof/>
          <w:color w:val="000000"/>
          <w:sz w:val="22"/>
          <w:szCs w:val="22"/>
        </w:rPr>
        <w:t>of cabazitaxel a</w:t>
      </w:r>
      <w:r w:rsidR="00E234D4" w:rsidRPr="00E9460F">
        <w:rPr>
          <w:rFonts w:ascii="Calibri" w:eastAsia="HelveticaNeue-Roman" w:hAnsi="Calibri" w:cs="Calibri"/>
          <w:noProof/>
          <w:color w:val="000000"/>
          <w:sz w:val="22"/>
          <w:szCs w:val="22"/>
        </w:rPr>
        <w:t xml:space="preserve">nd carboplatin was evaluated in </w:t>
      </w:r>
      <w:r w:rsidRPr="00E9460F">
        <w:rPr>
          <w:rFonts w:ascii="Calibri" w:eastAsia="HelveticaNeue-Roman" w:hAnsi="Calibri" w:cs="Calibri"/>
          <w:noProof/>
          <w:color w:val="000000"/>
          <w:sz w:val="22"/>
          <w:szCs w:val="22"/>
        </w:rPr>
        <w:t>pretreated mCRPC patients i</w:t>
      </w:r>
      <w:r w:rsidR="00E234D4" w:rsidRPr="00E9460F">
        <w:rPr>
          <w:rFonts w:ascii="Calibri" w:eastAsia="HelveticaNeue-Roman" w:hAnsi="Calibri" w:cs="Calibri"/>
          <w:noProof/>
          <w:color w:val="000000"/>
          <w:sz w:val="22"/>
          <w:szCs w:val="22"/>
        </w:rPr>
        <w:t xml:space="preserve">n a randomised phase 1/2 trial. </w:t>
      </w:r>
      <w:r w:rsidRPr="00E9460F">
        <w:rPr>
          <w:rFonts w:ascii="Calibri" w:eastAsia="HelveticaNeue-Roman" w:hAnsi="Calibri" w:cs="Calibri"/>
          <w:noProof/>
          <w:color w:val="000000"/>
          <w:sz w:val="22"/>
          <w:szCs w:val="22"/>
        </w:rPr>
        <w:t>The combination improved</w:t>
      </w:r>
      <w:r w:rsidR="00E234D4" w:rsidRPr="00E9460F">
        <w:rPr>
          <w:rFonts w:ascii="Calibri" w:eastAsia="HelveticaNeue-Roman" w:hAnsi="Calibri" w:cs="Calibri"/>
          <w:noProof/>
          <w:color w:val="000000"/>
          <w:sz w:val="22"/>
          <w:szCs w:val="22"/>
        </w:rPr>
        <w:t xml:space="preserve"> median PFS from 4.5 mo (95% CI </w:t>
      </w:r>
      <w:r w:rsidRPr="00E9460F">
        <w:rPr>
          <w:rFonts w:ascii="Calibri" w:eastAsia="HelveticaNeue-Roman" w:hAnsi="Calibri" w:cs="Calibri"/>
          <w:noProof/>
          <w:color w:val="000000"/>
          <w:sz w:val="22"/>
          <w:szCs w:val="22"/>
        </w:rPr>
        <w:t>3.5–5.7) to 7.3 mo (95% CI 5.5–8.2; HR 0.69, 95%</w:t>
      </w:r>
      <w:r w:rsidR="00E234D4" w:rsidRPr="00E9460F">
        <w:rPr>
          <w:rFonts w:ascii="Calibri" w:eastAsia="HelveticaNeue-Roman" w:hAnsi="Calibri" w:cs="Calibri"/>
          <w:noProof/>
          <w:color w:val="000000"/>
          <w:sz w:val="22"/>
          <w:szCs w:val="22"/>
        </w:rPr>
        <w:t xml:space="preserve"> CI 0.50– </w:t>
      </w:r>
      <w:r w:rsidRPr="00E9460F">
        <w:rPr>
          <w:rFonts w:ascii="Calibri" w:eastAsia="HelveticaNeue-Roman" w:hAnsi="Calibri" w:cs="Calibri"/>
          <w:noProof/>
          <w:color w:val="000000"/>
          <w:sz w:val="22"/>
          <w:szCs w:val="22"/>
        </w:rPr>
        <w:t>0.95; p = 0.018) and was well tolera</w:t>
      </w:r>
      <w:r w:rsidR="00E234D4" w:rsidRPr="00E9460F">
        <w:rPr>
          <w:rFonts w:ascii="Calibri" w:eastAsia="HelveticaNeue-Roman" w:hAnsi="Calibri" w:cs="Calibri"/>
          <w:noProof/>
          <w:color w:val="000000"/>
          <w:sz w:val="22"/>
          <w:szCs w:val="22"/>
        </w:rPr>
        <w:t xml:space="preserve">ted [138]. At histopathological </w:t>
      </w:r>
      <w:r w:rsidRPr="00E9460F">
        <w:rPr>
          <w:rFonts w:ascii="Calibri" w:eastAsia="HelveticaNeue-Roman" w:hAnsi="Calibri" w:cs="Calibri"/>
          <w:noProof/>
          <w:color w:val="000000"/>
          <w:sz w:val="22"/>
          <w:szCs w:val="22"/>
        </w:rPr>
        <w:t>and molecular levels</w:t>
      </w:r>
      <w:r w:rsidR="00E234D4" w:rsidRPr="00E9460F">
        <w:rPr>
          <w:rFonts w:ascii="Calibri" w:eastAsia="HelveticaNeue-Roman" w:hAnsi="Calibri" w:cs="Calibri"/>
          <w:noProof/>
          <w:color w:val="000000"/>
          <w:sz w:val="22"/>
          <w:szCs w:val="22"/>
        </w:rPr>
        <w:t xml:space="preserve">, there is preliminary evidence </w:t>
      </w:r>
      <w:r w:rsidRPr="00E9460F">
        <w:rPr>
          <w:rFonts w:ascii="Calibri" w:eastAsia="HelveticaNeue-Roman" w:hAnsi="Calibri" w:cs="Calibri"/>
          <w:noProof/>
          <w:color w:val="000000"/>
          <w:sz w:val="22"/>
          <w:szCs w:val="22"/>
        </w:rPr>
        <w:t xml:space="preserve">that platinum adds efficacy in </w:t>
      </w:r>
      <w:r w:rsidR="00E234D4" w:rsidRPr="00E9460F">
        <w:rPr>
          <w:rFonts w:ascii="Calibri" w:eastAsia="HelveticaNeue-Roman" w:hAnsi="Calibri" w:cs="Calibri"/>
          <w:noProof/>
          <w:color w:val="000000"/>
          <w:sz w:val="22"/>
          <w:szCs w:val="22"/>
        </w:rPr>
        <w:t xml:space="preserve">patients with aggressive variant </w:t>
      </w:r>
      <w:r w:rsidRPr="00E9460F">
        <w:rPr>
          <w:rFonts w:ascii="Calibri" w:eastAsia="HelveticaNeue-Roman" w:hAnsi="Calibri" w:cs="Calibri"/>
          <w:noProof/>
          <w:color w:val="000000"/>
          <w:sz w:val="22"/>
          <w:szCs w:val="22"/>
        </w:rPr>
        <w:t>PCa molecular signa</w:t>
      </w:r>
      <w:r w:rsidR="00E234D4" w:rsidRPr="00E9460F">
        <w:rPr>
          <w:rFonts w:ascii="Calibri" w:eastAsia="HelveticaNeue-Roman" w:hAnsi="Calibri" w:cs="Calibri"/>
          <w:noProof/>
          <w:color w:val="000000"/>
          <w:sz w:val="22"/>
          <w:szCs w:val="22"/>
        </w:rPr>
        <w:t xml:space="preserve">tures, including TP53, RB1, and </w:t>
      </w:r>
      <w:r w:rsidRPr="00E9460F">
        <w:rPr>
          <w:rFonts w:ascii="Calibri" w:eastAsia="HelveticaNeue-Roman" w:hAnsi="Calibri" w:cs="Calibri"/>
          <w:noProof/>
          <w:color w:val="000000"/>
          <w:sz w:val="22"/>
          <w:szCs w:val="22"/>
        </w:rPr>
        <w:t>PTEN alterations [139].</w:t>
      </w:r>
    </w:p>
    <w:p w14:paraId="2546300B" w14:textId="77777777" w:rsidR="00E234D4" w:rsidRPr="00E9460F" w:rsidRDefault="00676A62" w:rsidP="00C62E59">
      <w:pPr>
        <w:autoSpaceDE w:val="0"/>
        <w:autoSpaceDN w:val="0"/>
        <w:adjustRightInd w:val="0"/>
        <w:spacing w:line="276" w:lineRule="auto"/>
        <w:jc w:val="both"/>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Patients with mCRPC a</w:t>
      </w:r>
      <w:r w:rsidR="00E234D4" w:rsidRPr="00E9460F">
        <w:rPr>
          <w:rFonts w:ascii="Calibri" w:eastAsia="HelveticaNeue-Roman" w:hAnsi="Calibri" w:cs="Calibri"/>
          <w:noProof/>
          <w:color w:val="000000"/>
          <w:sz w:val="22"/>
          <w:szCs w:val="22"/>
        </w:rPr>
        <w:t xml:space="preserve">nd alterations in DDR genes are </w:t>
      </w:r>
      <w:r w:rsidRPr="00E9460F">
        <w:rPr>
          <w:rFonts w:ascii="Calibri" w:eastAsia="HelveticaNeue-Roman" w:hAnsi="Calibri" w:cs="Calibri"/>
          <w:noProof/>
          <w:color w:val="000000"/>
          <w:sz w:val="22"/>
          <w:szCs w:val="22"/>
        </w:rPr>
        <w:t>more sensitive to platin</w:t>
      </w:r>
      <w:r w:rsidR="00E234D4" w:rsidRPr="00E9460F">
        <w:rPr>
          <w:rFonts w:ascii="Calibri" w:eastAsia="HelveticaNeue-Roman" w:hAnsi="Calibri" w:cs="Calibri"/>
          <w:noProof/>
          <w:color w:val="000000"/>
          <w:sz w:val="22"/>
          <w:szCs w:val="22"/>
        </w:rPr>
        <w:t xml:space="preserve">um chemotherapy than unselected </w:t>
      </w:r>
      <w:r w:rsidRPr="00E9460F">
        <w:rPr>
          <w:rFonts w:ascii="Calibri" w:eastAsia="HelveticaNeue-Roman" w:hAnsi="Calibri" w:cs="Calibri"/>
          <w:noProof/>
          <w:color w:val="000000"/>
          <w:sz w:val="22"/>
          <w:szCs w:val="22"/>
        </w:rPr>
        <w:t xml:space="preserve">patients [140], even after </w:t>
      </w:r>
      <w:r w:rsidR="00E234D4" w:rsidRPr="00E9460F">
        <w:rPr>
          <w:rFonts w:ascii="Calibri" w:eastAsia="HelveticaNeue-Roman" w:hAnsi="Calibri" w:cs="Calibri"/>
          <w:noProof/>
          <w:color w:val="000000"/>
          <w:sz w:val="22"/>
          <w:szCs w:val="22"/>
        </w:rPr>
        <w:t xml:space="preserve">progression on PARP inhibitors. </w:t>
      </w:r>
      <w:r w:rsidRPr="00E9460F">
        <w:rPr>
          <w:rFonts w:ascii="Calibri" w:eastAsia="HelveticaNeue-Roman" w:hAnsi="Calibri" w:cs="Calibri"/>
          <w:noProof/>
          <w:color w:val="000000"/>
          <w:sz w:val="22"/>
          <w:szCs w:val="22"/>
        </w:rPr>
        <w:t>Interestingly, in contemporary r</w:t>
      </w:r>
      <w:r w:rsidR="00E234D4" w:rsidRPr="00E9460F">
        <w:rPr>
          <w:rFonts w:ascii="Calibri" w:eastAsia="HelveticaNeue-Roman" w:hAnsi="Calibri" w:cs="Calibri"/>
          <w:noProof/>
          <w:color w:val="000000"/>
          <w:sz w:val="22"/>
          <w:szCs w:val="22"/>
        </w:rPr>
        <w:t xml:space="preserve">etrospective series, unselected </w:t>
      </w:r>
      <w:r w:rsidRPr="00E9460F">
        <w:rPr>
          <w:rFonts w:ascii="Calibri" w:eastAsia="HelveticaNeue-Roman" w:hAnsi="Calibri" w:cs="Calibri"/>
          <w:noProof/>
          <w:color w:val="000000"/>
          <w:sz w:val="22"/>
          <w:szCs w:val="22"/>
        </w:rPr>
        <w:t>patients and patien</w:t>
      </w:r>
      <w:r w:rsidR="00E234D4" w:rsidRPr="00E9460F">
        <w:rPr>
          <w:rFonts w:ascii="Calibri" w:eastAsia="HelveticaNeue-Roman" w:hAnsi="Calibri" w:cs="Calibri"/>
          <w:noProof/>
          <w:color w:val="000000"/>
          <w:sz w:val="22"/>
          <w:szCs w:val="22"/>
        </w:rPr>
        <w:t xml:space="preserve">ts without DDR gene alterations </w:t>
      </w:r>
      <w:r w:rsidRPr="00E9460F">
        <w:rPr>
          <w:rFonts w:ascii="Calibri" w:eastAsia="HelveticaNeue-Roman" w:hAnsi="Calibri" w:cs="Calibri"/>
          <w:noProof/>
          <w:color w:val="000000"/>
          <w:sz w:val="22"/>
          <w:szCs w:val="22"/>
        </w:rPr>
        <w:t>also showed a 50% PSA dec</w:t>
      </w:r>
      <w:r w:rsidR="00E234D4" w:rsidRPr="00E9460F">
        <w:rPr>
          <w:rFonts w:ascii="Calibri" w:eastAsia="HelveticaNeue-Roman" w:hAnsi="Calibri" w:cs="Calibri"/>
          <w:noProof/>
          <w:color w:val="000000"/>
          <w:sz w:val="22"/>
          <w:szCs w:val="22"/>
        </w:rPr>
        <w:t xml:space="preserve">line when treated with platinum </w:t>
      </w:r>
      <w:r w:rsidRPr="00E9460F">
        <w:rPr>
          <w:rFonts w:ascii="Calibri" w:eastAsia="HelveticaNeue-Roman" w:hAnsi="Calibri" w:cs="Calibri"/>
          <w:noProof/>
          <w:color w:val="000000"/>
          <w:sz w:val="22"/>
          <w:szCs w:val="22"/>
        </w:rPr>
        <w:t>in up to 36% of cases [141]. P</w:t>
      </w:r>
      <w:r w:rsidR="00E234D4" w:rsidRPr="00E9460F">
        <w:rPr>
          <w:rFonts w:ascii="Calibri" w:eastAsia="HelveticaNeue-Roman" w:hAnsi="Calibri" w:cs="Calibri"/>
          <w:noProof/>
          <w:color w:val="000000"/>
          <w:sz w:val="22"/>
          <w:szCs w:val="22"/>
        </w:rPr>
        <w:t xml:space="preserve">latinum might be offered to fit </w:t>
      </w:r>
      <w:r w:rsidRPr="00E9460F">
        <w:rPr>
          <w:rFonts w:ascii="Calibri" w:eastAsia="HelveticaNeue-Roman" w:hAnsi="Calibri" w:cs="Calibri"/>
          <w:noProof/>
          <w:color w:val="000000"/>
          <w:sz w:val="22"/>
          <w:szCs w:val="22"/>
        </w:rPr>
        <w:t>patients with adva</w:t>
      </w:r>
      <w:r w:rsidR="00E234D4" w:rsidRPr="00E9460F">
        <w:rPr>
          <w:rFonts w:ascii="Calibri" w:eastAsia="HelveticaNeue-Roman" w:hAnsi="Calibri" w:cs="Calibri"/>
          <w:noProof/>
          <w:color w:val="000000"/>
          <w:sz w:val="22"/>
          <w:szCs w:val="22"/>
        </w:rPr>
        <w:t xml:space="preserve">nced mCRPC who harbour DDR gene </w:t>
      </w:r>
      <w:r w:rsidRPr="00E9460F">
        <w:rPr>
          <w:rFonts w:ascii="Calibri" w:eastAsia="HelveticaNeue-Roman" w:hAnsi="Calibri" w:cs="Calibri"/>
          <w:noProof/>
          <w:color w:val="000000"/>
          <w:sz w:val="22"/>
          <w:szCs w:val="22"/>
        </w:rPr>
        <w:t>aberrations after progression on sta</w:t>
      </w:r>
      <w:r w:rsidR="00E234D4" w:rsidRPr="00E9460F">
        <w:rPr>
          <w:rFonts w:ascii="Calibri" w:eastAsia="HelveticaNeue-Roman" w:hAnsi="Calibri" w:cs="Calibri"/>
          <w:noProof/>
          <w:color w:val="000000"/>
          <w:sz w:val="22"/>
          <w:szCs w:val="22"/>
        </w:rPr>
        <w:t xml:space="preserve">ndard treatment </w:t>
      </w:r>
      <w:r w:rsidRPr="00E9460F">
        <w:rPr>
          <w:rFonts w:ascii="Calibri" w:eastAsia="HelveticaNeue-Roman" w:hAnsi="Calibri" w:cs="Calibri"/>
          <w:noProof/>
          <w:color w:val="000000"/>
          <w:sz w:val="22"/>
          <w:szCs w:val="22"/>
        </w:rPr>
        <w:t>options. Prospective controlle</w:t>
      </w:r>
      <w:r w:rsidR="00E234D4" w:rsidRPr="00E9460F">
        <w:rPr>
          <w:rFonts w:ascii="Calibri" w:eastAsia="HelveticaNeue-Roman" w:hAnsi="Calibri" w:cs="Calibri"/>
          <w:noProof/>
          <w:color w:val="000000"/>
          <w:sz w:val="22"/>
          <w:szCs w:val="22"/>
        </w:rPr>
        <w:t xml:space="preserve">d trials are ongoing, but there </w:t>
      </w:r>
      <w:r w:rsidRPr="00E9460F">
        <w:rPr>
          <w:rFonts w:ascii="Calibri" w:eastAsia="HelveticaNeue-Roman" w:hAnsi="Calibri" w:cs="Calibri"/>
          <w:noProof/>
          <w:color w:val="000000"/>
          <w:sz w:val="22"/>
          <w:szCs w:val="22"/>
        </w:rPr>
        <w:t>are currently no data to support an improvement in OS.</w:t>
      </w:r>
    </w:p>
    <w:p w14:paraId="51DFF3E0" w14:textId="19D936A2" w:rsidR="000337C9" w:rsidRPr="00E9460F" w:rsidRDefault="00676A62" w:rsidP="00C62E59">
      <w:pPr>
        <w:autoSpaceDE w:val="0"/>
        <w:autoSpaceDN w:val="0"/>
        <w:adjustRightInd w:val="0"/>
        <w:spacing w:line="276" w:lineRule="auto"/>
        <w:jc w:val="both"/>
        <w:rPr>
          <w:rFonts w:ascii="Calibri" w:eastAsia="HelveticaNeue-Roman" w:hAnsi="Calibri" w:cs="Calibri"/>
          <w:noProof/>
          <w:color w:val="000000"/>
          <w:sz w:val="22"/>
          <w:szCs w:val="22"/>
        </w:rPr>
      </w:pPr>
      <w:r w:rsidRPr="00E9460F">
        <w:rPr>
          <w:rFonts w:ascii="Calibri" w:eastAsia="HelveticaNeue-Roman" w:hAnsi="Calibri" w:cs="Calibri"/>
          <w:noProof/>
          <w:color w:val="000000"/>
          <w:sz w:val="22"/>
          <w:szCs w:val="22"/>
        </w:rPr>
        <w:t>All the second-line treatm</w:t>
      </w:r>
      <w:r w:rsidR="00E234D4" w:rsidRPr="00E9460F">
        <w:rPr>
          <w:rFonts w:ascii="Calibri" w:eastAsia="HelveticaNeue-Roman" w:hAnsi="Calibri" w:cs="Calibri"/>
          <w:noProof/>
          <w:color w:val="000000"/>
          <w:sz w:val="22"/>
          <w:szCs w:val="22"/>
        </w:rPr>
        <w:t>ent options in this setting are presented in Table 8 [86,113 116,118,121,124,131–</w:t>
      </w:r>
      <w:r w:rsidRPr="00E9460F">
        <w:rPr>
          <w:rFonts w:ascii="Calibri" w:eastAsia="HelveticaNeue-Roman" w:hAnsi="Calibri" w:cs="Calibri"/>
          <w:noProof/>
          <w:color w:val="000000"/>
          <w:sz w:val="22"/>
          <w:szCs w:val="22"/>
        </w:rPr>
        <w:t>133,135,136,142].</w:t>
      </w:r>
    </w:p>
    <w:p w14:paraId="3410F76C" w14:textId="59453F93" w:rsidR="000337C9" w:rsidRPr="00C62E59" w:rsidRDefault="009D55E1" w:rsidP="000337C9">
      <w:pPr>
        <w:autoSpaceDE w:val="0"/>
        <w:autoSpaceDN w:val="0"/>
        <w:adjustRightInd w:val="0"/>
        <w:spacing w:line="276" w:lineRule="auto"/>
        <w:rPr>
          <w:rFonts w:ascii="Calibri" w:eastAsia="Calibri" w:hAnsi="Calibri" w:cs="Calibri"/>
          <w:b/>
          <w:bCs/>
          <w:noProof/>
          <w:color w:val="000000"/>
          <w:sz w:val="22"/>
          <w:szCs w:val="22"/>
        </w:rPr>
      </w:pPr>
      <w:r w:rsidRPr="00E9460F">
        <w:rPr>
          <w:rFonts w:ascii="Calibri" w:eastAsia="Calibri" w:hAnsi="Calibri" w:cs="Calibri"/>
          <w:bCs/>
          <w:noProof/>
          <w:color w:val="000000"/>
          <w:sz w:val="22"/>
          <w:szCs w:val="22"/>
        </w:rPr>
        <w:br w:type="column"/>
      </w:r>
      <w:r w:rsidR="000337C9" w:rsidRPr="00C62E59">
        <w:rPr>
          <w:rFonts w:ascii="Calibri" w:eastAsia="Calibri" w:hAnsi="Calibri" w:cs="Calibri"/>
          <w:b/>
          <w:bCs/>
          <w:noProof/>
          <w:color w:val="000000"/>
          <w:sz w:val="22"/>
          <w:szCs w:val="22"/>
        </w:rPr>
        <w:lastRenderedPageBreak/>
        <w:t>Table 8</w:t>
      </w:r>
      <w:r w:rsidR="009B1DA6" w:rsidRPr="00C62E59">
        <w:rPr>
          <w:rFonts w:ascii="Calibri" w:eastAsia="Calibri" w:hAnsi="Calibri" w:cs="Calibri"/>
          <w:b/>
          <w:bCs/>
          <w:noProof/>
          <w:color w:val="000000"/>
          <w:sz w:val="22"/>
          <w:szCs w:val="22"/>
        </w:rPr>
        <w:t>: Randomised controlled phase 2/3</w:t>
      </w:r>
      <w:r w:rsidR="000337C9" w:rsidRPr="00C62E59">
        <w:rPr>
          <w:rFonts w:ascii="Calibri" w:eastAsia="Calibri" w:hAnsi="Calibri" w:cs="Calibri"/>
          <w:b/>
          <w:bCs/>
          <w:noProof/>
          <w:color w:val="000000"/>
          <w:sz w:val="22"/>
          <w:szCs w:val="22"/>
        </w:rPr>
        <w:t xml:space="preserve"> - second-line/third-line tr</w:t>
      </w:r>
      <w:r w:rsidR="009B1DA6" w:rsidRPr="00C62E59">
        <w:rPr>
          <w:rFonts w:ascii="Calibri" w:eastAsia="Calibri" w:hAnsi="Calibri" w:cs="Calibri"/>
          <w:b/>
          <w:bCs/>
          <w:noProof/>
          <w:color w:val="000000"/>
          <w:sz w:val="22"/>
          <w:szCs w:val="22"/>
        </w:rPr>
        <w:t xml:space="preserve">ials for metastatic castration-resistant prostate cancer </w:t>
      </w:r>
      <w:r w:rsidR="009B1DA6" w:rsidRPr="00C62E59">
        <w:rPr>
          <w:rFonts w:ascii="Calibri" w:eastAsia="Calibri" w:hAnsi="Calibri" w:cs="Calibri"/>
          <w:b/>
          <w:bCs/>
          <w:noProof/>
          <w:color w:val="000000"/>
          <w:sz w:val="22"/>
          <w:szCs w:val="22"/>
          <w:vertAlign w:val="superscript"/>
        </w:rPr>
        <w:t>a</w:t>
      </w:r>
    </w:p>
    <w:p w14:paraId="09F0CB32"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p>
    <w:tbl>
      <w:tblPr>
        <w:tblStyle w:val="TableGrid61"/>
        <w:tblW w:w="9351" w:type="dxa"/>
        <w:tblLook w:val="04A0" w:firstRow="1" w:lastRow="0" w:firstColumn="1" w:lastColumn="0" w:noHBand="0" w:noVBand="1"/>
      </w:tblPr>
      <w:tblGrid>
        <w:gridCol w:w="1397"/>
        <w:gridCol w:w="1796"/>
        <w:gridCol w:w="1519"/>
        <w:gridCol w:w="2123"/>
        <w:gridCol w:w="2516"/>
      </w:tblGrid>
      <w:tr w:rsidR="000337C9" w:rsidRPr="00E9460F" w14:paraId="607E56AA" w14:textId="77777777" w:rsidTr="00B83C6E">
        <w:tc>
          <w:tcPr>
            <w:tcW w:w="1397" w:type="dxa"/>
          </w:tcPr>
          <w:p w14:paraId="75AFF249"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Study</w:t>
            </w:r>
          </w:p>
        </w:tc>
        <w:tc>
          <w:tcPr>
            <w:tcW w:w="1796" w:type="dxa"/>
          </w:tcPr>
          <w:p w14:paraId="79EED267"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Intervention</w:t>
            </w:r>
          </w:p>
        </w:tc>
        <w:tc>
          <w:tcPr>
            <w:tcW w:w="1519" w:type="dxa"/>
          </w:tcPr>
          <w:p w14:paraId="5A0AAB3C"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Comparison</w:t>
            </w:r>
          </w:p>
        </w:tc>
        <w:tc>
          <w:tcPr>
            <w:tcW w:w="2123" w:type="dxa"/>
          </w:tcPr>
          <w:p w14:paraId="6657F356"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Selection criteria</w:t>
            </w:r>
          </w:p>
        </w:tc>
        <w:tc>
          <w:tcPr>
            <w:tcW w:w="2516" w:type="dxa"/>
          </w:tcPr>
          <w:p w14:paraId="571F2293"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Main outcomes</w:t>
            </w:r>
          </w:p>
        </w:tc>
      </w:tr>
      <w:tr w:rsidR="000337C9" w:rsidRPr="00E9460F" w14:paraId="5C9B3A89" w14:textId="77777777" w:rsidTr="00B83C6E">
        <w:tc>
          <w:tcPr>
            <w:tcW w:w="9351" w:type="dxa"/>
            <w:gridSpan w:val="5"/>
            <w:shd w:val="clear" w:color="auto" w:fill="F2F2F2"/>
          </w:tcPr>
          <w:p w14:paraId="69CF9BDC"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ABIRATERONE</w:t>
            </w:r>
          </w:p>
        </w:tc>
      </w:tr>
      <w:tr w:rsidR="000337C9" w:rsidRPr="00E9460F" w14:paraId="1D3BEB77" w14:textId="77777777" w:rsidTr="00B83C6E">
        <w:tc>
          <w:tcPr>
            <w:tcW w:w="1397" w:type="dxa"/>
          </w:tcPr>
          <w:p w14:paraId="4A217E06"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COU-AA-301</w:t>
            </w:r>
          </w:p>
          <w:p w14:paraId="01EC875F" w14:textId="563F540B" w:rsidR="000337C9" w:rsidRPr="00E9460F" w:rsidRDefault="009B1DA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2012 [115</w:t>
            </w:r>
            <w:r w:rsidR="000337C9" w:rsidRPr="00E9460F">
              <w:rPr>
                <w:rFonts w:ascii="Calibri" w:eastAsia="Calibri" w:hAnsi="Calibri" w:cs="Calibri"/>
                <w:noProof/>
                <w:color w:val="000000"/>
                <w:sz w:val="22"/>
                <w:szCs w:val="22"/>
              </w:rPr>
              <w:t xml:space="preserve">] </w:t>
            </w:r>
          </w:p>
        </w:tc>
        <w:tc>
          <w:tcPr>
            <w:tcW w:w="1796" w:type="dxa"/>
          </w:tcPr>
          <w:p w14:paraId="4F29E9D5" w14:textId="76B33E4C" w:rsidR="000337C9" w:rsidRPr="00E9460F" w:rsidRDefault="00EF6A3E"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AAP</w:t>
            </w:r>
          </w:p>
        </w:tc>
        <w:tc>
          <w:tcPr>
            <w:tcW w:w="1519" w:type="dxa"/>
          </w:tcPr>
          <w:p w14:paraId="15FC7C5A"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placebo +</w:t>
            </w:r>
          </w:p>
          <w:p w14:paraId="123B58B9"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prednisone</w:t>
            </w:r>
          </w:p>
        </w:tc>
        <w:tc>
          <w:tcPr>
            <w:tcW w:w="2123" w:type="dxa"/>
          </w:tcPr>
          <w:p w14:paraId="09C76463"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-Previous docetaxel.</w:t>
            </w:r>
          </w:p>
          <w:p w14:paraId="4162DFC3"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 xml:space="preserve">-ECOG 0–2. </w:t>
            </w:r>
          </w:p>
          <w:p w14:paraId="092F25B8" w14:textId="77D45229"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 xml:space="preserve">-PSA or </w:t>
            </w:r>
            <w:r w:rsidR="006A10C6" w:rsidRPr="00E9460F">
              <w:rPr>
                <w:rFonts w:ascii="Calibri" w:eastAsia="Calibri" w:hAnsi="Calibri" w:cs="Calibri"/>
                <w:noProof/>
                <w:color w:val="000000"/>
                <w:sz w:val="22"/>
                <w:szCs w:val="22"/>
              </w:rPr>
              <w:t>RG</w:t>
            </w:r>
          </w:p>
          <w:p w14:paraId="70C6AA34"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noProof/>
                <w:color w:val="000000"/>
                <w:sz w:val="22"/>
                <w:szCs w:val="22"/>
              </w:rPr>
              <w:t>progression.</w:t>
            </w:r>
          </w:p>
        </w:tc>
        <w:tc>
          <w:tcPr>
            <w:tcW w:w="2516" w:type="dxa"/>
          </w:tcPr>
          <w:p w14:paraId="2D21F7C2" w14:textId="36D779E4" w:rsidR="006A10C6" w:rsidRPr="00E9460F" w:rsidRDefault="006A10C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FU: 20.2 mo.</w:t>
            </w:r>
          </w:p>
          <w:p w14:paraId="107C8D19" w14:textId="6B0154E0"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OS: 15.8 vs. 11.2 mo.</w:t>
            </w:r>
          </w:p>
          <w:p w14:paraId="153DA378"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 &lt; 0.0001, HR: 0.74, 95%</w:t>
            </w:r>
          </w:p>
          <w:p w14:paraId="78B4EC96"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CI: 0.64–0.86; p &lt; 0.0001).</w:t>
            </w:r>
          </w:p>
          <w:p w14:paraId="25147792"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rPFS: no change</w:t>
            </w:r>
          </w:p>
        </w:tc>
      </w:tr>
      <w:tr w:rsidR="000337C9" w:rsidRPr="00E9460F" w14:paraId="0EBDD2DE" w14:textId="77777777" w:rsidTr="00B83C6E">
        <w:tc>
          <w:tcPr>
            <w:tcW w:w="1397" w:type="dxa"/>
          </w:tcPr>
          <w:p w14:paraId="1EC4FC64"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COU-AA-301</w:t>
            </w:r>
          </w:p>
          <w:p w14:paraId="061338BC" w14:textId="22A2BE77" w:rsidR="000337C9" w:rsidRPr="00E9460F" w:rsidRDefault="009B1DA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2011 [114</w:t>
            </w:r>
            <w:r w:rsidR="000337C9" w:rsidRPr="00E9460F">
              <w:rPr>
                <w:rFonts w:ascii="Calibri" w:eastAsia="Calibri" w:hAnsi="Calibri" w:cs="Calibri"/>
                <w:noProof/>
                <w:color w:val="000000"/>
                <w:sz w:val="22"/>
                <w:szCs w:val="22"/>
              </w:rPr>
              <w:t xml:space="preserve">] </w:t>
            </w:r>
          </w:p>
        </w:tc>
        <w:tc>
          <w:tcPr>
            <w:tcW w:w="1796" w:type="dxa"/>
          </w:tcPr>
          <w:p w14:paraId="2A7444D0" w14:textId="41600D5B" w:rsidR="000337C9" w:rsidRPr="00E9460F" w:rsidRDefault="00EF6A3E"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As above</w:t>
            </w:r>
          </w:p>
        </w:tc>
        <w:tc>
          <w:tcPr>
            <w:tcW w:w="1519" w:type="dxa"/>
          </w:tcPr>
          <w:p w14:paraId="4980A219" w14:textId="17DFED7F" w:rsidR="000337C9" w:rsidRPr="00E9460F" w:rsidRDefault="00EF6A3E"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As above</w:t>
            </w:r>
          </w:p>
        </w:tc>
        <w:tc>
          <w:tcPr>
            <w:tcW w:w="2123" w:type="dxa"/>
          </w:tcPr>
          <w:p w14:paraId="66D77E4F" w14:textId="2962EB87" w:rsidR="000337C9" w:rsidRPr="00E9460F" w:rsidRDefault="006A10C6"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As above</w:t>
            </w:r>
          </w:p>
        </w:tc>
        <w:tc>
          <w:tcPr>
            <w:tcW w:w="2516" w:type="dxa"/>
          </w:tcPr>
          <w:p w14:paraId="126ECB55" w14:textId="77777777" w:rsidR="006A10C6" w:rsidRPr="00E9460F" w:rsidRDefault="006A10C6" w:rsidP="006A10C6">
            <w:pPr>
              <w:autoSpaceDE w:val="0"/>
              <w:autoSpaceDN w:val="0"/>
              <w:adjustRightInd w:val="0"/>
              <w:spacing w:line="276" w:lineRule="auto"/>
              <w:rPr>
                <w:rFonts w:ascii="Calibri" w:eastAsia="Calibri" w:hAnsi="Calibri" w:cs="Calibri"/>
                <w:noProof/>
                <w:color w:val="000000"/>
                <w:sz w:val="22"/>
                <w:szCs w:val="22"/>
                <w:lang w:val="de-DE"/>
              </w:rPr>
            </w:pPr>
            <w:r w:rsidRPr="00E9460F">
              <w:rPr>
                <w:rFonts w:ascii="Calibri" w:eastAsia="Calibri" w:hAnsi="Calibri" w:cs="Calibri"/>
                <w:noProof/>
                <w:color w:val="000000"/>
                <w:sz w:val="22"/>
                <w:szCs w:val="22"/>
                <w:lang w:val="de-DE"/>
              </w:rPr>
              <w:t>FU: 12.8 mo.</w:t>
            </w:r>
          </w:p>
          <w:p w14:paraId="741585BF"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OS: 14.8 vs. 10.9 mo.</w:t>
            </w:r>
          </w:p>
          <w:p w14:paraId="78B8E38C"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 &lt; 0.001 HR: 0.65; 95%</w:t>
            </w:r>
          </w:p>
          <w:p w14:paraId="67FE791A"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CI: 0.54–0.77).</w:t>
            </w:r>
          </w:p>
          <w:p w14:paraId="3E9FAD08"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lang w:val="de-DE"/>
              </w:rPr>
            </w:pPr>
            <w:r w:rsidRPr="00E9460F">
              <w:rPr>
                <w:rFonts w:ascii="Calibri" w:eastAsia="Calibri" w:hAnsi="Calibri" w:cs="Calibri"/>
                <w:bCs/>
                <w:noProof/>
                <w:color w:val="000000"/>
                <w:sz w:val="22"/>
                <w:szCs w:val="22"/>
                <w:lang w:val="de-DE"/>
              </w:rPr>
              <w:t>rPFS: 5.6 vs. 3.6 mo.</w:t>
            </w:r>
          </w:p>
        </w:tc>
      </w:tr>
      <w:tr w:rsidR="000337C9" w:rsidRPr="00E9460F" w14:paraId="32BCB665" w14:textId="77777777" w:rsidTr="00B83C6E">
        <w:tc>
          <w:tcPr>
            <w:tcW w:w="9351" w:type="dxa"/>
            <w:gridSpan w:val="5"/>
            <w:shd w:val="clear" w:color="auto" w:fill="F2F2F2"/>
          </w:tcPr>
          <w:p w14:paraId="234F42A7"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Radium-223</w:t>
            </w:r>
          </w:p>
        </w:tc>
      </w:tr>
      <w:tr w:rsidR="000337C9" w:rsidRPr="00E9460F" w14:paraId="347C9266" w14:textId="77777777" w:rsidTr="00B83C6E">
        <w:tc>
          <w:tcPr>
            <w:tcW w:w="1397" w:type="dxa"/>
          </w:tcPr>
          <w:p w14:paraId="0CADFD3D"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ALSYMPCA</w:t>
            </w:r>
          </w:p>
          <w:p w14:paraId="09D8B7A6" w14:textId="5C0F3899" w:rsidR="000337C9" w:rsidRPr="00E9460F" w:rsidRDefault="009B1DA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2013 [118</w:t>
            </w:r>
            <w:r w:rsidR="000337C9" w:rsidRPr="00E9460F">
              <w:rPr>
                <w:rFonts w:ascii="Calibri" w:eastAsia="Calibri" w:hAnsi="Calibri" w:cs="Calibri"/>
                <w:noProof/>
                <w:color w:val="000000"/>
                <w:sz w:val="22"/>
                <w:szCs w:val="22"/>
              </w:rPr>
              <w:t xml:space="preserve">] </w:t>
            </w:r>
          </w:p>
        </w:tc>
        <w:tc>
          <w:tcPr>
            <w:tcW w:w="1796" w:type="dxa"/>
          </w:tcPr>
          <w:p w14:paraId="5A0A0E68"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noProof/>
                <w:color w:val="000000"/>
                <w:sz w:val="22"/>
                <w:szCs w:val="22"/>
              </w:rPr>
              <w:t>radium-223</w:t>
            </w:r>
          </w:p>
        </w:tc>
        <w:tc>
          <w:tcPr>
            <w:tcW w:w="1519" w:type="dxa"/>
          </w:tcPr>
          <w:p w14:paraId="4ED780F9"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noProof/>
                <w:color w:val="000000"/>
                <w:sz w:val="22"/>
                <w:szCs w:val="22"/>
              </w:rPr>
              <w:t>placebo</w:t>
            </w:r>
          </w:p>
        </w:tc>
        <w:tc>
          <w:tcPr>
            <w:tcW w:w="2123" w:type="dxa"/>
          </w:tcPr>
          <w:p w14:paraId="1B27E2A6" w14:textId="77777777" w:rsidR="006A10C6" w:rsidRPr="00E9460F" w:rsidRDefault="006A10C6" w:rsidP="006A10C6">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With/without previous DOC</w:t>
            </w:r>
          </w:p>
          <w:p w14:paraId="642ECB01" w14:textId="77777777" w:rsidR="006A10C6" w:rsidRPr="00E9460F" w:rsidRDefault="006A10C6" w:rsidP="006A10C6">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ECOG PS 0–2</w:t>
            </w:r>
          </w:p>
          <w:p w14:paraId="28918EFB" w14:textId="11AF128D" w:rsidR="000337C9" w:rsidRPr="00E9460F" w:rsidRDefault="006A10C6" w:rsidP="006A10C6">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≥2 symptomatic BMs, no VMs</w:t>
            </w:r>
          </w:p>
        </w:tc>
        <w:tc>
          <w:tcPr>
            <w:tcW w:w="2516" w:type="dxa"/>
          </w:tcPr>
          <w:p w14:paraId="7326F39E"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OS: 14.9 vs. 11.3 mo.</w:t>
            </w:r>
          </w:p>
          <w:p w14:paraId="385CFCB2"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 = 0.002, HR: 0.61; 95%</w:t>
            </w:r>
          </w:p>
          <w:p w14:paraId="6256FBB9"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CI: 0.46–0.81).</w:t>
            </w:r>
          </w:p>
          <w:p w14:paraId="3E03D7DA"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All secondary endpoints show a benefit over best SOC.</w:t>
            </w:r>
          </w:p>
        </w:tc>
      </w:tr>
      <w:tr w:rsidR="000337C9" w:rsidRPr="00E9460F" w14:paraId="3B7C90D7" w14:textId="77777777" w:rsidTr="00B83C6E">
        <w:tc>
          <w:tcPr>
            <w:tcW w:w="9351" w:type="dxa"/>
            <w:gridSpan w:val="5"/>
            <w:shd w:val="clear" w:color="auto" w:fill="F2F2F2"/>
          </w:tcPr>
          <w:p w14:paraId="2A09227B"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CABAZITAXEL</w:t>
            </w:r>
          </w:p>
        </w:tc>
      </w:tr>
      <w:tr w:rsidR="000337C9" w:rsidRPr="00E9460F" w14:paraId="30178B52" w14:textId="77777777" w:rsidTr="00B83C6E">
        <w:tc>
          <w:tcPr>
            <w:tcW w:w="1397" w:type="dxa"/>
          </w:tcPr>
          <w:p w14:paraId="34CD5EE0"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TROPIC</w:t>
            </w:r>
          </w:p>
          <w:p w14:paraId="45BD77E3" w14:textId="0851E906" w:rsidR="000337C9" w:rsidRPr="00E9460F" w:rsidRDefault="009B1DA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2013 [142</w:t>
            </w:r>
            <w:r w:rsidR="000337C9" w:rsidRPr="00E9460F">
              <w:rPr>
                <w:rFonts w:ascii="Calibri" w:eastAsia="Calibri" w:hAnsi="Calibri" w:cs="Calibri"/>
                <w:noProof/>
                <w:color w:val="000000"/>
                <w:sz w:val="22"/>
                <w:szCs w:val="22"/>
              </w:rPr>
              <w:t xml:space="preserve">] </w:t>
            </w:r>
          </w:p>
        </w:tc>
        <w:tc>
          <w:tcPr>
            <w:tcW w:w="1796" w:type="dxa"/>
          </w:tcPr>
          <w:p w14:paraId="10AD285E"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cabazitaxel +</w:t>
            </w:r>
          </w:p>
          <w:p w14:paraId="5DF25D03"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prednisone</w:t>
            </w:r>
          </w:p>
        </w:tc>
        <w:tc>
          <w:tcPr>
            <w:tcW w:w="1519" w:type="dxa"/>
          </w:tcPr>
          <w:p w14:paraId="35E72524"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mitoxantrone</w:t>
            </w:r>
          </w:p>
          <w:p w14:paraId="7F88A2E0"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 prednisone</w:t>
            </w:r>
          </w:p>
        </w:tc>
        <w:tc>
          <w:tcPr>
            <w:tcW w:w="2123" w:type="dxa"/>
          </w:tcPr>
          <w:p w14:paraId="6E61C3E2" w14:textId="77777777" w:rsidR="006A10C6" w:rsidRPr="00E9460F" w:rsidRDefault="006A10C6" w:rsidP="006A10C6">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Previous DOC</w:t>
            </w:r>
          </w:p>
          <w:p w14:paraId="45803269" w14:textId="37A4AD36" w:rsidR="000337C9" w:rsidRPr="00E9460F" w:rsidRDefault="006A10C6" w:rsidP="006A10C6">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ECOG PS 0–2</w:t>
            </w:r>
          </w:p>
        </w:tc>
        <w:tc>
          <w:tcPr>
            <w:tcW w:w="2516" w:type="dxa"/>
          </w:tcPr>
          <w:p w14:paraId="621ABFE8"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OS: 318/378 vs. 346/377 events</w:t>
            </w:r>
          </w:p>
          <w:p w14:paraId="37411859"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(OR: 2.11; 95% CI: 1.33–3.33).</w:t>
            </w:r>
          </w:p>
          <w:p w14:paraId="574FEBD7" w14:textId="7B94C963" w:rsidR="000337C9" w:rsidRPr="00E9460F" w:rsidRDefault="006A10C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OS ≥ 2 yr. 27% vs. 16% (FU: 25.5 mo)</w:t>
            </w:r>
          </w:p>
        </w:tc>
      </w:tr>
      <w:tr w:rsidR="000337C9" w:rsidRPr="00E9460F" w14:paraId="4C6335E5" w14:textId="77777777" w:rsidTr="00B83C6E">
        <w:tc>
          <w:tcPr>
            <w:tcW w:w="1397" w:type="dxa"/>
          </w:tcPr>
          <w:p w14:paraId="12489811"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TROPIC</w:t>
            </w:r>
          </w:p>
          <w:p w14:paraId="05FE7E66" w14:textId="7E8BD1DE" w:rsidR="000337C9" w:rsidRPr="00E9460F" w:rsidRDefault="009B1DA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2010 [113</w:t>
            </w:r>
            <w:r w:rsidR="000337C9" w:rsidRPr="00E9460F">
              <w:rPr>
                <w:rFonts w:ascii="Calibri" w:eastAsia="Calibri" w:hAnsi="Calibri" w:cs="Calibri"/>
                <w:noProof/>
                <w:color w:val="000000"/>
                <w:sz w:val="22"/>
                <w:szCs w:val="22"/>
              </w:rPr>
              <w:t xml:space="preserve">] </w:t>
            </w:r>
          </w:p>
        </w:tc>
        <w:tc>
          <w:tcPr>
            <w:tcW w:w="1796" w:type="dxa"/>
          </w:tcPr>
          <w:p w14:paraId="0F43C7B4" w14:textId="7449D7B9" w:rsidR="000337C9" w:rsidRPr="00E9460F" w:rsidRDefault="00EF6A3E"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As above</w:t>
            </w:r>
          </w:p>
        </w:tc>
        <w:tc>
          <w:tcPr>
            <w:tcW w:w="1519" w:type="dxa"/>
          </w:tcPr>
          <w:p w14:paraId="36510428" w14:textId="4038FD75" w:rsidR="000337C9" w:rsidRPr="00E9460F" w:rsidRDefault="00EF6A3E"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As above</w:t>
            </w:r>
          </w:p>
        </w:tc>
        <w:tc>
          <w:tcPr>
            <w:tcW w:w="2123" w:type="dxa"/>
          </w:tcPr>
          <w:p w14:paraId="5D193C1C" w14:textId="7F4CBF9F" w:rsidR="000337C9" w:rsidRPr="00E9460F" w:rsidRDefault="006A10C6"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As above</w:t>
            </w:r>
          </w:p>
        </w:tc>
        <w:tc>
          <w:tcPr>
            <w:tcW w:w="2516" w:type="dxa"/>
          </w:tcPr>
          <w:p w14:paraId="3D08C401" w14:textId="3E047144" w:rsidR="006B6852" w:rsidRPr="00E9460F" w:rsidRDefault="006B6852"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lang w:val="de-DE"/>
              </w:rPr>
              <w:t>FU: 12.8 mo.</w:t>
            </w:r>
          </w:p>
          <w:p w14:paraId="2C23E640" w14:textId="1BE1B5D1"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OS: 15.1 vs. 12.7 mo.</w:t>
            </w:r>
          </w:p>
          <w:p w14:paraId="7844E430"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 &lt; 0.0001, HR: 0.70;</w:t>
            </w:r>
          </w:p>
          <w:p w14:paraId="3EBFC44F" w14:textId="6FA1B214" w:rsidR="006B6852" w:rsidRPr="00E9460F" w:rsidRDefault="000337C9" w:rsidP="006B6852">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95% CI: 0.59–0.83</w:t>
            </w:r>
            <w:r w:rsidR="006B6852" w:rsidRPr="00E9460F">
              <w:rPr>
                <w:rFonts w:ascii="Calibri" w:eastAsia="Calibri" w:hAnsi="Calibri" w:cs="Calibri"/>
                <w:noProof/>
                <w:color w:val="000000"/>
                <w:sz w:val="22"/>
                <w:szCs w:val="22"/>
              </w:rPr>
              <w:t>)</w:t>
            </w:r>
          </w:p>
          <w:p w14:paraId="05F2F576" w14:textId="091D2922"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lang w:val="de-DE"/>
              </w:rPr>
            </w:pPr>
            <w:r w:rsidRPr="00E9460F">
              <w:rPr>
                <w:rFonts w:ascii="Calibri" w:eastAsia="Calibri" w:hAnsi="Calibri" w:cs="Calibri"/>
                <w:noProof/>
                <w:color w:val="000000"/>
                <w:sz w:val="22"/>
                <w:szCs w:val="22"/>
                <w:lang w:val="de-DE"/>
              </w:rPr>
              <w:t>PFS: 2.8 vs. 1.4 mo.</w:t>
            </w:r>
          </w:p>
          <w:p w14:paraId="54BF5242"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 &lt; 0.0001, HR: 0.74,</w:t>
            </w:r>
          </w:p>
          <w:p w14:paraId="4AC39620"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95% CI: 0.64–0.86)</w:t>
            </w:r>
          </w:p>
        </w:tc>
      </w:tr>
      <w:tr w:rsidR="000337C9" w:rsidRPr="00E9460F" w14:paraId="245F7302" w14:textId="77777777" w:rsidTr="00B83C6E">
        <w:tc>
          <w:tcPr>
            <w:tcW w:w="1397" w:type="dxa"/>
          </w:tcPr>
          <w:p w14:paraId="15177E17"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CARD</w:t>
            </w:r>
          </w:p>
          <w:p w14:paraId="414D0169" w14:textId="024FFE69" w:rsidR="000337C9" w:rsidRPr="00E9460F" w:rsidRDefault="009B1DA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2019 [86</w:t>
            </w:r>
            <w:r w:rsidR="000337C9" w:rsidRPr="00E9460F">
              <w:rPr>
                <w:rFonts w:ascii="Calibri" w:eastAsia="Calibri" w:hAnsi="Calibri" w:cs="Calibri"/>
                <w:noProof/>
                <w:color w:val="000000"/>
                <w:sz w:val="22"/>
                <w:szCs w:val="22"/>
              </w:rPr>
              <w:t xml:space="preserve">] </w:t>
            </w:r>
          </w:p>
        </w:tc>
        <w:tc>
          <w:tcPr>
            <w:tcW w:w="1796" w:type="dxa"/>
          </w:tcPr>
          <w:p w14:paraId="423BF6CE"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cabazitaxel</w:t>
            </w:r>
          </w:p>
          <w:p w14:paraId="117818A0"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(25 mg/m</w:t>
            </w:r>
            <w:r w:rsidRPr="00E9460F">
              <w:rPr>
                <w:rFonts w:ascii="Calibri" w:eastAsia="Calibri" w:hAnsi="Calibri" w:cs="Calibri"/>
                <w:noProof/>
                <w:color w:val="000000"/>
                <w:sz w:val="22"/>
                <w:szCs w:val="22"/>
                <w:vertAlign w:val="superscript"/>
              </w:rPr>
              <w:t>2</w:t>
            </w:r>
          </w:p>
          <w:p w14:paraId="47557928"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Q3W)</w:t>
            </w:r>
          </w:p>
          <w:p w14:paraId="3515D4DD"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 prednisone</w:t>
            </w:r>
          </w:p>
          <w:p w14:paraId="2193FA41"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 G-CSF</w:t>
            </w:r>
          </w:p>
        </w:tc>
        <w:tc>
          <w:tcPr>
            <w:tcW w:w="1519" w:type="dxa"/>
          </w:tcPr>
          <w:p w14:paraId="16F65329" w14:textId="099E634A" w:rsidR="000337C9" w:rsidRPr="00E9460F" w:rsidRDefault="000337C9" w:rsidP="00EF6A3E">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A</w:t>
            </w:r>
            <w:r w:rsidR="00EF6A3E" w:rsidRPr="00E9460F">
              <w:rPr>
                <w:rFonts w:ascii="Calibri" w:eastAsia="Calibri" w:hAnsi="Calibri" w:cs="Calibri"/>
                <w:noProof/>
                <w:color w:val="000000"/>
                <w:sz w:val="22"/>
                <w:szCs w:val="22"/>
              </w:rPr>
              <w:t>AP</w:t>
            </w:r>
          </w:p>
          <w:p w14:paraId="02E0FCAD"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OR</w:t>
            </w:r>
          </w:p>
          <w:p w14:paraId="0C4A35D8" w14:textId="64AD2BFB" w:rsidR="000337C9" w:rsidRPr="00E9460F" w:rsidRDefault="000337C9" w:rsidP="00EF6A3E">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Enza</w:t>
            </w:r>
          </w:p>
        </w:tc>
        <w:tc>
          <w:tcPr>
            <w:tcW w:w="2123" w:type="dxa"/>
          </w:tcPr>
          <w:p w14:paraId="7F5AFA28" w14:textId="77777777" w:rsidR="006A10C6" w:rsidRPr="00E9460F" w:rsidRDefault="006A10C6" w:rsidP="006A10C6">
            <w:pPr>
              <w:autoSpaceDE w:val="0"/>
              <w:autoSpaceDN w:val="0"/>
              <w:adjustRightInd w:val="0"/>
              <w:spacing w:line="276" w:lineRule="auto"/>
              <w:contextualSpacing/>
              <w:rPr>
                <w:rFonts w:ascii="Calibri" w:eastAsia="Calibri" w:hAnsi="Calibri" w:cs="Calibri"/>
                <w:noProof/>
                <w:color w:val="000000"/>
                <w:sz w:val="22"/>
                <w:szCs w:val="22"/>
              </w:rPr>
            </w:pPr>
            <w:r w:rsidRPr="00E9460F">
              <w:rPr>
                <w:rFonts w:ascii="Calibri" w:eastAsia="Calibri" w:hAnsi="Calibri" w:cs="Calibri"/>
                <w:noProof/>
                <w:color w:val="000000"/>
                <w:sz w:val="22"/>
                <w:szCs w:val="22"/>
              </w:rPr>
              <w:t>Previous DOC</w:t>
            </w:r>
          </w:p>
          <w:p w14:paraId="603BDF91" w14:textId="338461EA" w:rsidR="006A10C6" w:rsidRPr="00E9460F" w:rsidRDefault="006A10C6" w:rsidP="006A10C6">
            <w:pPr>
              <w:autoSpaceDE w:val="0"/>
              <w:autoSpaceDN w:val="0"/>
              <w:adjustRightInd w:val="0"/>
              <w:spacing w:line="276" w:lineRule="auto"/>
              <w:contextualSpacing/>
              <w:rPr>
                <w:rFonts w:ascii="Calibri" w:eastAsia="Calibri" w:hAnsi="Calibri" w:cs="Calibri"/>
                <w:noProof/>
                <w:color w:val="000000"/>
                <w:sz w:val="22"/>
                <w:szCs w:val="22"/>
              </w:rPr>
            </w:pPr>
            <w:r w:rsidRPr="00E9460F">
              <w:rPr>
                <w:rFonts w:ascii="Calibri" w:eastAsia="Calibri" w:hAnsi="Calibri" w:cs="Calibri"/>
                <w:noProof/>
                <w:color w:val="000000"/>
                <w:sz w:val="22"/>
                <w:szCs w:val="22"/>
              </w:rPr>
              <w:t>Progression ≤12 mo on prior alternative</w:t>
            </w:r>
          </w:p>
          <w:p w14:paraId="18F7D74C" w14:textId="73FCB46F" w:rsidR="000337C9" w:rsidRPr="00E9460F" w:rsidRDefault="006A10C6" w:rsidP="006A10C6">
            <w:pPr>
              <w:autoSpaceDE w:val="0"/>
              <w:autoSpaceDN w:val="0"/>
              <w:adjustRightInd w:val="0"/>
              <w:spacing w:line="276" w:lineRule="auto"/>
              <w:contextualSpacing/>
              <w:rPr>
                <w:rFonts w:ascii="Calibri" w:eastAsia="Calibri" w:hAnsi="Calibri" w:cs="Calibri"/>
                <w:noProof/>
                <w:color w:val="000000"/>
                <w:sz w:val="22"/>
                <w:szCs w:val="22"/>
              </w:rPr>
            </w:pPr>
            <w:r w:rsidRPr="00E9460F">
              <w:rPr>
                <w:rFonts w:ascii="Calibri" w:eastAsia="Calibri" w:hAnsi="Calibri" w:cs="Calibri"/>
                <w:noProof/>
                <w:color w:val="000000"/>
                <w:sz w:val="22"/>
                <w:szCs w:val="22"/>
              </w:rPr>
              <w:t>ARPI (before or after DOC)</w:t>
            </w:r>
          </w:p>
        </w:tc>
        <w:tc>
          <w:tcPr>
            <w:tcW w:w="2516" w:type="dxa"/>
          </w:tcPr>
          <w:p w14:paraId="770B4680"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Med OS 13.6 vs. 11.0 mo.</w:t>
            </w:r>
          </w:p>
          <w:p w14:paraId="069C946D"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 = 0.008, HR: 0.64, 95%</w:t>
            </w:r>
          </w:p>
          <w:p w14:paraId="3FF6D577"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CI: 0.46–0.89).</w:t>
            </w:r>
          </w:p>
          <w:p w14:paraId="7B681516"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rPFS 8.0 vs. 3.7 mo.</w:t>
            </w:r>
          </w:p>
          <w:p w14:paraId="62FDEB8B"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 &lt; 0.001, HR: 0.54,</w:t>
            </w:r>
          </w:p>
          <w:p w14:paraId="42422BC2"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95% CI: 0.40–0.73).</w:t>
            </w:r>
          </w:p>
          <w:p w14:paraId="7F957967"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lastRenderedPageBreak/>
              <w:t>FU: 9.2 mo.</w:t>
            </w:r>
          </w:p>
        </w:tc>
      </w:tr>
      <w:tr w:rsidR="000337C9" w:rsidRPr="00E9460F" w14:paraId="34773B98" w14:textId="77777777" w:rsidTr="00B83C6E">
        <w:tc>
          <w:tcPr>
            <w:tcW w:w="9351" w:type="dxa"/>
            <w:gridSpan w:val="5"/>
            <w:shd w:val="clear" w:color="auto" w:fill="F2F2F2"/>
          </w:tcPr>
          <w:p w14:paraId="7CCBE0AD"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ENZALUTAMIDE</w:t>
            </w:r>
          </w:p>
        </w:tc>
      </w:tr>
      <w:tr w:rsidR="000337C9" w:rsidRPr="00E9460F" w14:paraId="5EA6A6CF" w14:textId="77777777" w:rsidTr="00B83C6E">
        <w:tc>
          <w:tcPr>
            <w:tcW w:w="1397" w:type="dxa"/>
          </w:tcPr>
          <w:p w14:paraId="5D35FBAD"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AFFIRM</w:t>
            </w:r>
          </w:p>
          <w:p w14:paraId="7B05044B" w14:textId="1745E119" w:rsidR="000337C9" w:rsidRPr="00E9460F" w:rsidRDefault="009B1DA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2012 [116</w:t>
            </w:r>
            <w:r w:rsidR="000337C9" w:rsidRPr="00E9460F">
              <w:rPr>
                <w:rFonts w:ascii="Calibri" w:eastAsia="Calibri" w:hAnsi="Calibri" w:cs="Calibri"/>
                <w:noProof/>
                <w:color w:val="000000"/>
                <w:sz w:val="22"/>
                <w:szCs w:val="22"/>
              </w:rPr>
              <w:t xml:space="preserve">] </w:t>
            </w:r>
          </w:p>
        </w:tc>
        <w:tc>
          <w:tcPr>
            <w:tcW w:w="1796" w:type="dxa"/>
          </w:tcPr>
          <w:p w14:paraId="0A82B965" w14:textId="152F9113" w:rsidR="000337C9" w:rsidRPr="00E9460F" w:rsidRDefault="00EF6A3E"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noProof/>
                <w:color w:val="000000"/>
                <w:sz w:val="22"/>
                <w:szCs w:val="22"/>
              </w:rPr>
              <w:t>Enza</w:t>
            </w:r>
          </w:p>
        </w:tc>
        <w:tc>
          <w:tcPr>
            <w:tcW w:w="1519" w:type="dxa"/>
          </w:tcPr>
          <w:p w14:paraId="540F0CD1"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noProof/>
                <w:color w:val="000000"/>
                <w:sz w:val="22"/>
                <w:szCs w:val="22"/>
              </w:rPr>
              <w:t>Placebo</w:t>
            </w:r>
          </w:p>
        </w:tc>
        <w:tc>
          <w:tcPr>
            <w:tcW w:w="2123" w:type="dxa"/>
          </w:tcPr>
          <w:p w14:paraId="447D9470" w14:textId="77777777" w:rsidR="006A10C6" w:rsidRPr="00E9460F" w:rsidRDefault="006A10C6" w:rsidP="006A10C6">
            <w:pPr>
              <w:autoSpaceDE w:val="0"/>
              <w:autoSpaceDN w:val="0"/>
              <w:adjustRightInd w:val="0"/>
              <w:spacing w:line="276" w:lineRule="auto"/>
              <w:contextualSpacing/>
              <w:rPr>
                <w:rFonts w:ascii="Calibri" w:eastAsia="Calibri" w:hAnsi="Calibri" w:cs="Calibri"/>
                <w:noProof/>
                <w:color w:val="000000"/>
                <w:sz w:val="22"/>
                <w:szCs w:val="22"/>
              </w:rPr>
            </w:pPr>
            <w:r w:rsidRPr="00E9460F">
              <w:rPr>
                <w:rFonts w:ascii="Calibri" w:eastAsia="Calibri" w:hAnsi="Calibri" w:cs="Calibri"/>
                <w:noProof/>
                <w:color w:val="000000"/>
                <w:sz w:val="22"/>
                <w:szCs w:val="22"/>
              </w:rPr>
              <w:t>Previous DOC</w:t>
            </w:r>
          </w:p>
          <w:p w14:paraId="17052A3C" w14:textId="20B45DE9" w:rsidR="000337C9" w:rsidRPr="00E9460F" w:rsidRDefault="006A10C6" w:rsidP="006A10C6">
            <w:pPr>
              <w:autoSpaceDE w:val="0"/>
              <w:autoSpaceDN w:val="0"/>
              <w:adjustRightInd w:val="0"/>
              <w:spacing w:line="276" w:lineRule="auto"/>
              <w:contextualSpacing/>
              <w:rPr>
                <w:rFonts w:ascii="Calibri" w:eastAsia="Calibri" w:hAnsi="Calibri" w:cs="Calibri"/>
                <w:noProof/>
                <w:color w:val="000000"/>
                <w:sz w:val="22"/>
                <w:szCs w:val="22"/>
              </w:rPr>
            </w:pPr>
            <w:r w:rsidRPr="00E9460F">
              <w:rPr>
                <w:rFonts w:ascii="Calibri" w:eastAsia="Calibri" w:hAnsi="Calibri" w:cs="Calibri"/>
                <w:noProof/>
                <w:color w:val="000000"/>
                <w:sz w:val="22"/>
                <w:szCs w:val="22"/>
              </w:rPr>
              <w:t>ECOG PS 0–2.</w:t>
            </w:r>
          </w:p>
        </w:tc>
        <w:tc>
          <w:tcPr>
            <w:tcW w:w="2516" w:type="dxa"/>
          </w:tcPr>
          <w:p w14:paraId="3C31EFE7"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OS: 18.4 vs. 13.6 mo.</w:t>
            </w:r>
          </w:p>
          <w:p w14:paraId="62CD3BEB"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 &lt; 0.001, HR: 0.63; 95%</w:t>
            </w:r>
          </w:p>
          <w:p w14:paraId="76809FC0"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CI: 0.53–0.75).</w:t>
            </w:r>
          </w:p>
          <w:p w14:paraId="3F7D92D8"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FU: 14.4 mo.</w:t>
            </w:r>
          </w:p>
          <w:p w14:paraId="4F773951"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rPFS: 8.3 vs. 2.9 mo.</w:t>
            </w:r>
          </w:p>
          <w:p w14:paraId="2BDEB1E4"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(HR: 0.40; 95% CI: 0.35–0.47,</w:t>
            </w:r>
          </w:p>
          <w:p w14:paraId="195B4D06"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 &lt; 0.0001).</w:t>
            </w:r>
          </w:p>
        </w:tc>
      </w:tr>
      <w:tr w:rsidR="000337C9" w:rsidRPr="00E9460F" w14:paraId="3438FF5F" w14:textId="77777777" w:rsidTr="00B83C6E">
        <w:tc>
          <w:tcPr>
            <w:tcW w:w="9351" w:type="dxa"/>
            <w:gridSpan w:val="5"/>
            <w:shd w:val="clear" w:color="auto" w:fill="F2F2F2"/>
          </w:tcPr>
          <w:p w14:paraId="3A5A45EA"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PARP inhibitor</w:t>
            </w:r>
          </w:p>
        </w:tc>
      </w:tr>
      <w:tr w:rsidR="000337C9" w:rsidRPr="00E9460F" w14:paraId="62A45F15" w14:textId="77777777" w:rsidTr="00B83C6E">
        <w:tc>
          <w:tcPr>
            <w:tcW w:w="1397" w:type="dxa"/>
          </w:tcPr>
          <w:p w14:paraId="09A99F6E"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PROfound</w:t>
            </w:r>
          </w:p>
          <w:p w14:paraId="4B55F01D" w14:textId="7AD65456" w:rsidR="000337C9" w:rsidRPr="00E9460F" w:rsidRDefault="009B1DA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2020 [124, 135, 136</w:t>
            </w:r>
            <w:r w:rsidR="000337C9" w:rsidRPr="00E9460F">
              <w:rPr>
                <w:rFonts w:ascii="Calibri" w:eastAsia="Calibri" w:hAnsi="Calibri" w:cs="Calibri"/>
                <w:noProof/>
                <w:color w:val="000000"/>
                <w:sz w:val="22"/>
                <w:szCs w:val="22"/>
              </w:rPr>
              <w:t xml:space="preserve">] </w:t>
            </w:r>
          </w:p>
        </w:tc>
        <w:tc>
          <w:tcPr>
            <w:tcW w:w="1796" w:type="dxa"/>
          </w:tcPr>
          <w:p w14:paraId="3AE9685E"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noProof/>
                <w:color w:val="000000"/>
                <w:sz w:val="22"/>
                <w:szCs w:val="22"/>
              </w:rPr>
              <w:t>olaparib</w:t>
            </w:r>
          </w:p>
        </w:tc>
        <w:tc>
          <w:tcPr>
            <w:tcW w:w="1519" w:type="dxa"/>
          </w:tcPr>
          <w:p w14:paraId="6E9037B2" w14:textId="48D4B486" w:rsidR="000337C9" w:rsidRPr="00E9460F" w:rsidRDefault="00EF6A3E"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AAP or Enza</w:t>
            </w:r>
            <w:r w:rsidR="000337C9" w:rsidRPr="00E9460F">
              <w:rPr>
                <w:rFonts w:ascii="Calibri" w:eastAsia="Calibri" w:hAnsi="Calibri" w:cs="Calibri"/>
                <w:noProof/>
                <w:color w:val="000000"/>
                <w:sz w:val="22"/>
                <w:szCs w:val="22"/>
              </w:rPr>
              <w:t>;</w:t>
            </w:r>
          </w:p>
          <w:p w14:paraId="2DB58C98"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cross-over allowed at progression</w:t>
            </w:r>
          </w:p>
        </w:tc>
        <w:tc>
          <w:tcPr>
            <w:tcW w:w="2123" w:type="dxa"/>
          </w:tcPr>
          <w:p w14:paraId="4A99248A" w14:textId="77777777" w:rsidR="006A10C6" w:rsidRPr="00E9460F" w:rsidRDefault="006A10C6" w:rsidP="006A10C6">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Previous ARPI</w:t>
            </w:r>
          </w:p>
          <w:p w14:paraId="279D5306" w14:textId="701B96E0" w:rsidR="000337C9" w:rsidRPr="00E9460F" w:rsidRDefault="006A10C6" w:rsidP="006A10C6">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Alterations in HRR genes</w:t>
            </w:r>
          </w:p>
          <w:p w14:paraId="5986C2D4"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p>
        </w:tc>
        <w:tc>
          <w:tcPr>
            <w:tcW w:w="2516" w:type="dxa"/>
          </w:tcPr>
          <w:p w14:paraId="21ED1AF4"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rPFS: 7.39 vs. 3.55 mo.</w:t>
            </w:r>
          </w:p>
          <w:p w14:paraId="202FD79D"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 &lt; 0.0001, HR: 0.34; 95%</w:t>
            </w:r>
          </w:p>
          <w:p w14:paraId="666F54C2"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CI: 0.25–0.47), conf. ORR</w:t>
            </w:r>
          </w:p>
          <w:p w14:paraId="5813958E"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33.3% vs. 2.3% (OR 20.86, 95%</w:t>
            </w:r>
          </w:p>
          <w:p w14:paraId="025D44D4"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CI: 4.18–379.18).</w:t>
            </w:r>
          </w:p>
          <w:p w14:paraId="043869F7" w14:textId="064FC131" w:rsidR="000337C9" w:rsidRPr="00E9460F" w:rsidRDefault="006B6852"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OS (BRCA 1/2, ATM) 19.1 mo vs. 14.7 mo</w:t>
            </w:r>
          </w:p>
          <w:p w14:paraId="0345CD39"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 = 0.0175; HR 0.69, 95%</w:t>
            </w:r>
          </w:p>
          <w:p w14:paraId="27DEC8CB"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CI: 0.5–0.97).</w:t>
            </w:r>
          </w:p>
          <w:p w14:paraId="28C9D95C"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p>
        </w:tc>
      </w:tr>
      <w:tr w:rsidR="000337C9" w:rsidRPr="00E9460F" w14:paraId="3D00F136" w14:textId="77777777" w:rsidTr="00B83C6E">
        <w:tc>
          <w:tcPr>
            <w:tcW w:w="1397" w:type="dxa"/>
          </w:tcPr>
          <w:p w14:paraId="56E09F77" w14:textId="27E14EDF" w:rsidR="000337C9" w:rsidRPr="00E9460F" w:rsidRDefault="009B1DA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TRITON-3 [121</w:t>
            </w:r>
            <w:r w:rsidR="000337C9" w:rsidRPr="00E9460F">
              <w:rPr>
                <w:rFonts w:ascii="Calibri" w:eastAsia="Calibri" w:hAnsi="Calibri" w:cs="Calibri"/>
                <w:noProof/>
                <w:color w:val="000000"/>
                <w:sz w:val="22"/>
                <w:szCs w:val="22"/>
              </w:rPr>
              <w:t>]</w:t>
            </w:r>
          </w:p>
        </w:tc>
        <w:tc>
          <w:tcPr>
            <w:tcW w:w="1796" w:type="dxa"/>
          </w:tcPr>
          <w:p w14:paraId="02527538"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 xml:space="preserve">rucaparib </w:t>
            </w:r>
          </w:p>
          <w:p w14:paraId="3067A8C8" w14:textId="1417150C" w:rsidR="000337C9" w:rsidRPr="00E9460F" w:rsidRDefault="00EF6A3E"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(600 mg b.i.d</w:t>
            </w:r>
            <w:r w:rsidR="000337C9" w:rsidRPr="00E9460F">
              <w:rPr>
                <w:rFonts w:ascii="Calibri" w:eastAsia="Calibri" w:hAnsi="Calibri" w:cs="Calibri"/>
                <w:noProof/>
                <w:color w:val="000000"/>
                <w:sz w:val="22"/>
                <w:szCs w:val="22"/>
              </w:rPr>
              <w:t xml:space="preserve">) </w:t>
            </w:r>
          </w:p>
        </w:tc>
        <w:tc>
          <w:tcPr>
            <w:tcW w:w="1519" w:type="dxa"/>
          </w:tcPr>
          <w:p w14:paraId="13C2C66B" w14:textId="7C4682C5" w:rsidR="000337C9" w:rsidRPr="00E9460F" w:rsidRDefault="00EF6A3E"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DOC or AA or Enza</w:t>
            </w:r>
          </w:p>
          <w:p w14:paraId="3242C579"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p>
        </w:tc>
        <w:tc>
          <w:tcPr>
            <w:tcW w:w="2123" w:type="dxa"/>
          </w:tcPr>
          <w:p w14:paraId="2956BD44" w14:textId="77777777" w:rsidR="006A10C6" w:rsidRPr="00E9460F" w:rsidRDefault="006A10C6" w:rsidP="006A10C6">
            <w:pPr>
              <w:autoSpaceDE w:val="0"/>
              <w:autoSpaceDN w:val="0"/>
              <w:adjustRightInd w:val="0"/>
              <w:spacing w:line="276" w:lineRule="auto"/>
              <w:contextualSpacing/>
              <w:rPr>
                <w:rFonts w:ascii="Calibri" w:eastAsia="Calibri" w:hAnsi="Calibri" w:cs="Calibri"/>
                <w:noProof/>
                <w:color w:val="000000"/>
                <w:sz w:val="22"/>
                <w:szCs w:val="22"/>
              </w:rPr>
            </w:pPr>
            <w:r w:rsidRPr="00E9460F">
              <w:rPr>
                <w:rFonts w:ascii="Calibri" w:eastAsia="Calibri" w:hAnsi="Calibri" w:cs="Calibri"/>
                <w:noProof/>
                <w:color w:val="000000"/>
                <w:sz w:val="22"/>
                <w:szCs w:val="22"/>
              </w:rPr>
              <w:t>EOCG PS 0–1</w:t>
            </w:r>
          </w:p>
          <w:p w14:paraId="7FA79664" w14:textId="77777777" w:rsidR="006A10C6" w:rsidRPr="00E9460F" w:rsidRDefault="006A10C6" w:rsidP="006A10C6">
            <w:pPr>
              <w:autoSpaceDE w:val="0"/>
              <w:autoSpaceDN w:val="0"/>
              <w:adjustRightInd w:val="0"/>
              <w:spacing w:line="276" w:lineRule="auto"/>
              <w:contextualSpacing/>
              <w:rPr>
                <w:rFonts w:ascii="Calibri" w:eastAsia="Calibri" w:hAnsi="Calibri" w:cs="Calibri"/>
                <w:noProof/>
                <w:color w:val="000000"/>
                <w:sz w:val="22"/>
                <w:szCs w:val="22"/>
              </w:rPr>
            </w:pPr>
            <w:r w:rsidRPr="00E9460F">
              <w:rPr>
                <w:rFonts w:ascii="Calibri" w:eastAsia="Calibri" w:hAnsi="Calibri" w:cs="Calibri"/>
                <w:noProof/>
                <w:color w:val="000000"/>
                <w:sz w:val="22"/>
                <w:szCs w:val="22"/>
              </w:rPr>
              <w:t>One previous ARPI</w:t>
            </w:r>
          </w:p>
          <w:p w14:paraId="23D480BE" w14:textId="5B417F79" w:rsidR="000337C9" w:rsidRPr="00E9460F" w:rsidRDefault="006A10C6" w:rsidP="006A10C6">
            <w:pPr>
              <w:autoSpaceDE w:val="0"/>
              <w:autoSpaceDN w:val="0"/>
              <w:adjustRightInd w:val="0"/>
              <w:spacing w:line="276" w:lineRule="auto"/>
              <w:contextualSpacing/>
              <w:rPr>
                <w:rFonts w:ascii="Calibri" w:eastAsia="Calibri" w:hAnsi="Calibri" w:cs="Calibri"/>
                <w:noProof/>
                <w:color w:val="000000"/>
                <w:sz w:val="22"/>
                <w:szCs w:val="22"/>
              </w:rPr>
            </w:pPr>
            <w:r w:rsidRPr="00E9460F">
              <w:rPr>
                <w:rFonts w:ascii="Calibri" w:eastAsia="Calibri" w:hAnsi="Calibri" w:cs="Calibri"/>
                <w:noProof/>
                <w:color w:val="000000"/>
                <w:sz w:val="22"/>
                <w:szCs w:val="22"/>
              </w:rPr>
              <w:t>BRCA1/2 or ATM alteration</w:t>
            </w:r>
          </w:p>
        </w:tc>
        <w:tc>
          <w:tcPr>
            <w:tcW w:w="2516" w:type="dxa"/>
          </w:tcPr>
          <w:p w14:paraId="2A5BBBF0" w14:textId="4C49A26B" w:rsidR="000337C9" w:rsidRPr="00E9460F" w:rsidRDefault="000337C9" w:rsidP="000337C9">
            <w:pPr>
              <w:autoSpaceDE w:val="0"/>
              <w:autoSpaceDN w:val="0"/>
              <w:adjustRightInd w:val="0"/>
              <w:spacing w:line="276" w:lineRule="auto"/>
              <w:rPr>
                <w:rFonts w:ascii="Calibri" w:eastAsia="Calibri" w:hAnsi="Calibri" w:cs="Calibri"/>
                <w:noProof/>
                <w:sz w:val="22"/>
                <w:szCs w:val="22"/>
              </w:rPr>
            </w:pPr>
            <w:r w:rsidRPr="00E9460F">
              <w:rPr>
                <w:rFonts w:ascii="Calibri" w:eastAsia="Calibri" w:hAnsi="Calibri" w:cs="Calibri"/>
                <w:bCs/>
                <w:noProof/>
                <w:color w:val="000000"/>
                <w:sz w:val="22"/>
                <w:szCs w:val="22"/>
              </w:rPr>
              <w:t xml:space="preserve">rPFS: </w:t>
            </w:r>
            <w:r w:rsidR="006B6852" w:rsidRPr="00E9460F">
              <w:rPr>
                <w:rFonts w:ascii="Calibri" w:eastAsia="Calibri" w:hAnsi="Calibri" w:cs="Calibri"/>
                <w:bCs/>
                <w:noProof/>
                <w:color w:val="000000"/>
                <w:sz w:val="22"/>
                <w:szCs w:val="22"/>
              </w:rPr>
              <w:t>(</w:t>
            </w:r>
            <w:r w:rsidRPr="00E9460F">
              <w:rPr>
                <w:rFonts w:ascii="Calibri" w:eastAsia="Calibri" w:hAnsi="Calibri" w:cs="Calibri"/>
                <w:bCs/>
                <w:noProof/>
                <w:color w:val="000000"/>
                <w:sz w:val="22"/>
                <w:szCs w:val="22"/>
              </w:rPr>
              <w:t xml:space="preserve">ITT </w:t>
            </w:r>
            <w:r w:rsidR="006B6852" w:rsidRPr="00E9460F">
              <w:rPr>
                <w:rFonts w:ascii="Calibri" w:eastAsia="Calibri" w:hAnsi="Calibri" w:cs="Calibri"/>
                <w:bCs/>
                <w:noProof/>
                <w:color w:val="000000"/>
                <w:sz w:val="22"/>
                <w:szCs w:val="22"/>
              </w:rPr>
              <w:t>)</w:t>
            </w:r>
          </w:p>
          <w:p w14:paraId="1C45A189"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 xml:space="preserve">10.2 mo vs. 6.4 mo, </w:t>
            </w:r>
          </w:p>
          <w:p w14:paraId="3652B2DA"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 xml:space="preserve">HR 0.61; 95% CI, 0.47 to 0.80; </w:t>
            </w:r>
          </w:p>
          <w:p w14:paraId="1DA423DF" w14:textId="5D1974DE" w:rsidR="000337C9" w:rsidRPr="00E9460F" w:rsidRDefault="006B6852"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 &lt;0.001 for both comparisons</w:t>
            </w:r>
          </w:p>
        </w:tc>
      </w:tr>
      <w:tr w:rsidR="000337C9" w:rsidRPr="00E9460F" w14:paraId="74218090" w14:textId="77777777" w:rsidTr="00B83C6E">
        <w:tc>
          <w:tcPr>
            <w:tcW w:w="9351" w:type="dxa"/>
            <w:gridSpan w:val="5"/>
            <w:shd w:val="clear" w:color="auto" w:fill="F2F2F2"/>
          </w:tcPr>
          <w:p w14:paraId="68327E3B" w14:textId="77777777" w:rsidR="000337C9" w:rsidRPr="00E9460F" w:rsidRDefault="000337C9"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Radioligand therapy</w:t>
            </w:r>
          </w:p>
        </w:tc>
      </w:tr>
      <w:tr w:rsidR="000337C9" w:rsidRPr="00E9460F" w14:paraId="77CFC3C7" w14:textId="77777777" w:rsidTr="00B83C6E">
        <w:tc>
          <w:tcPr>
            <w:tcW w:w="1397" w:type="dxa"/>
          </w:tcPr>
          <w:p w14:paraId="444DFA11" w14:textId="444DA9DE" w:rsidR="000337C9" w:rsidRPr="00E9460F" w:rsidRDefault="009B1DA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VISION 2021 [133</w:t>
            </w:r>
            <w:r w:rsidR="000337C9" w:rsidRPr="00E9460F">
              <w:rPr>
                <w:rFonts w:ascii="Calibri" w:eastAsia="Calibri" w:hAnsi="Calibri" w:cs="Calibri"/>
                <w:noProof/>
                <w:color w:val="000000"/>
                <w:sz w:val="22"/>
                <w:szCs w:val="22"/>
              </w:rPr>
              <w:t>]</w:t>
            </w:r>
          </w:p>
          <w:p w14:paraId="7E7F2B6C"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p>
          <w:p w14:paraId="6FB1D8D9"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p>
        </w:tc>
        <w:tc>
          <w:tcPr>
            <w:tcW w:w="1796" w:type="dxa"/>
          </w:tcPr>
          <w:p w14:paraId="14D8FE89"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vertAlign w:val="superscript"/>
              </w:rPr>
              <w:t>177</w:t>
            </w:r>
            <w:r w:rsidRPr="00E9460F">
              <w:rPr>
                <w:rFonts w:ascii="Calibri" w:eastAsia="Calibri" w:hAnsi="Calibri" w:cs="Calibri"/>
                <w:noProof/>
                <w:color w:val="000000"/>
                <w:sz w:val="22"/>
                <w:szCs w:val="22"/>
              </w:rPr>
              <w:t>Lu-PSMA-617 + SOC</w:t>
            </w:r>
          </w:p>
        </w:tc>
        <w:tc>
          <w:tcPr>
            <w:tcW w:w="1519" w:type="dxa"/>
          </w:tcPr>
          <w:p w14:paraId="63A9916E"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 xml:space="preserve">SOC alone </w:t>
            </w:r>
          </w:p>
        </w:tc>
        <w:tc>
          <w:tcPr>
            <w:tcW w:w="2123" w:type="dxa"/>
          </w:tcPr>
          <w:p w14:paraId="3DA7BF23" w14:textId="77777777" w:rsidR="006A10C6" w:rsidRPr="00E9460F" w:rsidRDefault="006A10C6" w:rsidP="006A10C6">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At least previous 1 ARPI and 1–2 taxanes</w:t>
            </w:r>
          </w:p>
          <w:p w14:paraId="7B3D039F" w14:textId="675C73C2" w:rsidR="006A10C6" w:rsidRPr="00E9460F" w:rsidRDefault="006A10C6" w:rsidP="006A10C6">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 xml:space="preserve">Mandatory: PSMA-positive </w:t>
            </w:r>
            <w:r w:rsidRPr="00E9460F">
              <w:rPr>
                <w:rFonts w:ascii="Calibri" w:eastAsia="Calibri" w:hAnsi="Calibri" w:cs="Calibri"/>
                <w:noProof/>
                <w:color w:val="000000"/>
                <w:sz w:val="22"/>
                <w:szCs w:val="22"/>
                <w:vertAlign w:val="superscript"/>
              </w:rPr>
              <w:t>68</w:t>
            </w:r>
            <w:r w:rsidRPr="00E9460F">
              <w:rPr>
                <w:rFonts w:ascii="Calibri" w:eastAsia="Calibri" w:hAnsi="Calibri" w:cs="Calibri"/>
                <w:noProof/>
                <w:color w:val="000000"/>
                <w:sz w:val="22"/>
                <w:szCs w:val="22"/>
              </w:rPr>
              <w:t>Ga PSMA PET scan</w:t>
            </w:r>
          </w:p>
          <w:p w14:paraId="6EC0E2B8" w14:textId="1D733F75"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p>
        </w:tc>
        <w:tc>
          <w:tcPr>
            <w:tcW w:w="2516" w:type="dxa"/>
          </w:tcPr>
          <w:p w14:paraId="78C6A5B3" w14:textId="73D9BF92" w:rsidR="000337C9" w:rsidRPr="00E9460F" w:rsidRDefault="006B6852" w:rsidP="000337C9">
            <w:pPr>
              <w:autoSpaceDE w:val="0"/>
              <w:autoSpaceDN w:val="0"/>
              <w:adjustRightInd w:val="0"/>
              <w:spacing w:line="276" w:lineRule="auto"/>
              <w:rPr>
                <w:rFonts w:ascii="Calibri" w:eastAsia="Calibri" w:hAnsi="Calibri" w:cs="Calibri"/>
                <w:bCs/>
                <w:noProof/>
                <w:color w:val="000000"/>
                <w:sz w:val="22"/>
                <w:szCs w:val="22"/>
              </w:rPr>
            </w:pPr>
            <w:r w:rsidRPr="00E9460F">
              <w:rPr>
                <w:rFonts w:ascii="Calibri" w:eastAsia="Calibri" w:hAnsi="Calibri" w:cs="Calibri"/>
                <w:bCs/>
                <w:noProof/>
                <w:color w:val="000000"/>
                <w:sz w:val="22"/>
                <w:szCs w:val="22"/>
              </w:rPr>
              <w:t>ib</w:t>
            </w:r>
            <w:r w:rsidR="000337C9" w:rsidRPr="00E9460F">
              <w:rPr>
                <w:rFonts w:ascii="Calibri" w:eastAsia="Calibri" w:hAnsi="Calibri" w:cs="Calibri"/>
                <w:bCs/>
                <w:noProof/>
                <w:color w:val="000000"/>
                <w:sz w:val="22"/>
                <w:szCs w:val="22"/>
              </w:rPr>
              <w:t>FS:</w:t>
            </w:r>
            <w:r w:rsidR="000337C9" w:rsidRPr="00E9460F">
              <w:rPr>
                <w:rFonts w:ascii="Calibri" w:eastAsia="Calibri" w:hAnsi="Calibri" w:cs="Calibri"/>
                <w:noProof/>
                <w:color w:val="000000"/>
                <w:sz w:val="22"/>
                <w:szCs w:val="22"/>
              </w:rPr>
              <w:t xml:space="preserve"> </w:t>
            </w:r>
            <w:r w:rsidR="000337C9" w:rsidRPr="00E9460F">
              <w:rPr>
                <w:rFonts w:ascii="Calibri" w:eastAsia="Calibri" w:hAnsi="Calibri" w:cs="Calibri"/>
                <w:bCs/>
                <w:noProof/>
                <w:color w:val="000000"/>
                <w:sz w:val="22"/>
                <w:szCs w:val="22"/>
              </w:rPr>
              <w:t>8.7 vs. 3.4 mo.</w:t>
            </w:r>
            <w:r w:rsidR="000337C9" w:rsidRPr="00E9460F">
              <w:rPr>
                <w:rFonts w:ascii="Calibri" w:eastAsia="Calibri" w:hAnsi="Calibri" w:cs="Calibri"/>
                <w:noProof/>
                <w:color w:val="000000"/>
                <w:sz w:val="22"/>
                <w:szCs w:val="22"/>
              </w:rPr>
              <w:t xml:space="preserve"> (p &lt; 0.001; HR 0.40; 99.2% CI: 0.29–0.57) </w:t>
            </w:r>
            <w:r w:rsidR="000337C9" w:rsidRPr="00E9460F">
              <w:rPr>
                <w:rFonts w:ascii="Calibri" w:eastAsia="Calibri" w:hAnsi="Calibri" w:cs="Calibri"/>
                <w:noProof/>
                <w:color w:val="000000"/>
                <w:sz w:val="22"/>
                <w:szCs w:val="22"/>
              </w:rPr>
              <w:br/>
              <w:t>OS: 15.3 vs. 11.3 mo. (p &lt; 0.001; HR 0.62; 95% CI: 0.5–0.74)</w:t>
            </w:r>
          </w:p>
        </w:tc>
      </w:tr>
      <w:tr w:rsidR="000337C9" w:rsidRPr="00E9460F" w14:paraId="1D27E35E" w14:textId="77777777" w:rsidTr="00B83C6E">
        <w:tc>
          <w:tcPr>
            <w:tcW w:w="1397" w:type="dxa"/>
          </w:tcPr>
          <w:p w14:paraId="78969DF4" w14:textId="4ED8D0DC" w:rsidR="000337C9" w:rsidRPr="00E9460F" w:rsidRDefault="009B1DA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TheraP 2021 [131, 132</w:t>
            </w:r>
            <w:r w:rsidR="000337C9" w:rsidRPr="00E9460F">
              <w:rPr>
                <w:rFonts w:ascii="Calibri" w:eastAsia="Calibri" w:hAnsi="Calibri" w:cs="Calibri"/>
                <w:noProof/>
                <w:color w:val="000000"/>
                <w:sz w:val="22"/>
                <w:szCs w:val="22"/>
              </w:rPr>
              <w:t>]</w:t>
            </w:r>
          </w:p>
          <w:p w14:paraId="453692CD"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p>
          <w:p w14:paraId="59AA915F"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p>
        </w:tc>
        <w:tc>
          <w:tcPr>
            <w:tcW w:w="1796" w:type="dxa"/>
          </w:tcPr>
          <w:p w14:paraId="7F97CD9D" w14:textId="77777777"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vertAlign w:val="superscript"/>
              </w:rPr>
              <w:t>177</w:t>
            </w:r>
            <w:r w:rsidRPr="00E9460F">
              <w:rPr>
                <w:rFonts w:ascii="Calibri" w:eastAsia="Calibri" w:hAnsi="Calibri" w:cs="Calibri"/>
                <w:noProof/>
                <w:color w:val="000000"/>
                <w:sz w:val="22"/>
                <w:szCs w:val="22"/>
              </w:rPr>
              <w:t>Lu-PSMA-617</w:t>
            </w:r>
          </w:p>
          <w:p w14:paraId="7DB7F3A5" w14:textId="35FB25A1" w:rsidR="000337C9" w:rsidRPr="00E9460F" w:rsidRDefault="00EF6A3E" w:rsidP="000337C9">
            <w:pPr>
              <w:autoSpaceDE w:val="0"/>
              <w:autoSpaceDN w:val="0"/>
              <w:adjustRightInd w:val="0"/>
              <w:spacing w:line="276" w:lineRule="auto"/>
              <w:rPr>
                <w:rFonts w:ascii="Calibri" w:eastAsia="Calibri" w:hAnsi="Calibri" w:cs="Calibri"/>
                <w:noProof/>
                <w:color w:val="000000"/>
                <w:sz w:val="22"/>
                <w:szCs w:val="22"/>
                <w:vertAlign w:val="superscript"/>
              </w:rPr>
            </w:pPr>
            <w:r w:rsidRPr="00E9460F">
              <w:rPr>
                <w:rFonts w:ascii="Calibri" w:eastAsia="Calibri" w:hAnsi="Calibri" w:cs="Calibri"/>
                <w:noProof/>
                <w:color w:val="000000"/>
                <w:sz w:val="22"/>
                <w:szCs w:val="22"/>
              </w:rPr>
              <w:t>(8.5 GBq i.v. Q6</w:t>
            </w:r>
            <w:r w:rsidR="000337C9" w:rsidRPr="00E9460F">
              <w:rPr>
                <w:rFonts w:ascii="Calibri" w:eastAsia="Calibri" w:hAnsi="Calibri" w:cs="Calibri"/>
                <w:noProof/>
                <w:color w:val="000000"/>
                <w:sz w:val="22"/>
                <w:szCs w:val="22"/>
              </w:rPr>
              <w:t xml:space="preserve"> decreasing 0.5 GBq/cycle; up to 6 cycles)</w:t>
            </w:r>
          </w:p>
        </w:tc>
        <w:tc>
          <w:tcPr>
            <w:tcW w:w="1519" w:type="dxa"/>
          </w:tcPr>
          <w:p w14:paraId="584EF1E8" w14:textId="77777777" w:rsidR="00EF6A3E" w:rsidRPr="00E9460F" w:rsidRDefault="00EF6A3E" w:rsidP="00EF6A3E">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Cabazitaxel (20 mg/m</w:t>
            </w:r>
            <w:r w:rsidRPr="00E9460F">
              <w:rPr>
                <w:rFonts w:ascii="Calibri" w:eastAsia="Calibri" w:hAnsi="Calibri" w:cs="Calibri"/>
                <w:noProof/>
                <w:color w:val="000000"/>
                <w:sz w:val="22"/>
                <w:szCs w:val="22"/>
                <w:vertAlign w:val="superscript"/>
              </w:rPr>
              <w:t>2</w:t>
            </w:r>
            <w:r w:rsidRPr="00E9460F">
              <w:rPr>
                <w:rFonts w:ascii="Calibri" w:eastAsia="Calibri" w:hAnsi="Calibri" w:cs="Calibri"/>
                <w:noProof/>
                <w:color w:val="000000"/>
                <w:sz w:val="22"/>
                <w:szCs w:val="22"/>
              </w:rPr>
              <w:t xml:space="preserve"> i.v.</w:t>
            </w:r>
          </w:p>
          <w:p w14:paraId="63CA2815" w14:textId="67A323ED" w:rsidR="00EF6A3E" w:rsidRPr="00E9460F" w:rsidRDefault="00EF6A3E" w:rsidP="00EF6A3E">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Q3W, up to 10 cycles)</w:t>
            </w:r>
          </w:p>
          <w:p w14:paraId="5D708C7D" w14:textId="35FAE8A2"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vertAlign w:val="superscript"/>
              </w:rPr>
            </w:pPr>
          </w:p>
        </w:tc>
        <w:tc>
          <w:tcPr>
            <w:tcW w:w="2123" w:type="dxa"/>
          </w:tcPr>
          <w:p w14:paraId="41CA6F9A" w14:textId="52DC66F0" w:rsidR="000337C9" w:rsidRPr="00E9460F" w:rsidRDefault="006A10C6"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After DOC</w:t>
            </w:r>
          </w:p>
          <w:p w14:paraId="0E2838C5" w14:textId="2810A22A" w:rsidR="000337C9" w:rsidRPr="00E9460F" w:rsidRDefault="000337C9"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Suitable for cabaziaxel</w:t>
            </w:r>
          </w:p>
        </w:tc>
        <w:tc>
          <w:tcPr>
            <w:tcW w:w="2516" w:type="dxa"/>
          </w:tcPr>
          <w:p w14:paraId="102512D7" w14:textId="77777777" w:rsidR="000337C9" w:rsidRPr="00E9460F" w:rsidRDefault="006B6852" w:rsidP="000337C9">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bCs/>
                <w:noProof/>
                <w:color w:val="000000"/>
                <w:sz w:val="22"/>
                <w:szCs w:val="22"/>
              </w:rPr>
              <w:t>PSA</w:t>
            </w:r>
            <w:r w:rsidRPr="00E9460F">
              <w:rPr>
                <w:rFonts w:ascii="Calibri" w:eastAsia="Calibri" w:hAnsi="Calibri" w:cs="Calibri"/>
                <w:bCs/>
                <w:noProof/>
                <w:color w:val="000000"/>
                <w:sz w:val="22"/>
                <w:szCs w:val="22"/>
                <w:vertAlign w:val="subscript"/>
              </w:rPr>
              <w:t>50</w:t>
            </w:r>
            <w:r w:rsidRPr="00E9460F">
              <w:rPr>
                <w:rFonts w:ascii="Calibri" w:eastAsia="Calibri" w:hAnsi="Calibri" w:cs="Calibri"/>
                <w:bCs/>
                <w:noProof/>
                <w:color w:val="000000"/>
                <w:sz w:val="22"/>
                <w:szCs w:val="22"/>
              </w:rPr>
              <w:t xml:space="preserve"> </w:t>
            </w:r>
            <w:r w:rsidR="005B2C81" w:rsidRPr="00E9460F">
              <w:rPr>
                <w:rFonts w:ascii="Calibri" w:eastAsia="Calibri" w:hAnsi="Calibri" w:cs="Calibri"/>
                <w:noProof/>
                <w:color w:val="000000"/>
                <w:sz w:val="22"/>
                <w:szCs w:val="22"/>
              </w:rPr>
              <w:t xml:space="preserve">66 vs. 37 </w:t>
            </w:r>
          </w:p>
          <w:p w14:paraId="556B172E" w14:textId="77777777" w:rsidR="005B2C81" w:rsidRPr="00E9460F" w:rsidRDefault="005B2C81" w:rsidP="005B2C81">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PSA response (ITT): 66% vs 37% (D 29%, 95% CI 16–42%; p &lt; 0.0001)</w:t>
            </w:r>
          </w:p>
          <w:p w14:paraId="08651907" w14:textId="77777777" w:rsidR="005B2C81" w:rsidRPr="00E9460F" w:rsidRDefault="005B2C81" w:rsidP="005B2C81">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t>PSA response (BTR); 66% vs 44% (D 23%, 95% CI 9–37%; p = 0.0016)</w:t>
            </w:r>
          </w:p>
          <w:p w14:paraId="2759052A" w14:textId="297DE8CD" w:rsidR="005B2C81" w:rsidRPr="00E9460F" w:rsidRDefault="005B2C81" w:rsidP="005B2C81">
            <w:pPr>
              <w:autoSpaceDE w:val="0"/>
              <w:autoSpaceDN w:val="0"/>
              <w:adjustRightInd w:val="0"/>
              <w:spacing w:line="276" w:lineRule="auto"/>
              <w:rPr>
                <w:rFonts w:ascii="Calibri" w:eastAsia="Calibri" w:hAnsi="Calibri" w:cs="Calibri"/>
                <w:noProof/>
                <w:color w:val="000000"/>
                <w:sz w:val="22"/>
                <w:szCs w:val="22"/>
              </w:rPr>
            </w:pPr>
            <w:r w:rsidRPr="00E9460F">
              <w:rPr>
                <w:rFonts w:ascii="Calibri" w:eastAsia="Calibri" w:hAnsi="Calibri" w:cs="Calibri"/>
                <w:noProof/>
                <w:color w:val="000000"/>
                <w:sz w:val="22"/>
                <w:szCs w:val="22"/>
              </w:rPr>
              <w:lastRenderedPageBreak/>
              <w:t>OS: 19.1 vs 19.6 mo (HR 0.97, 95% CI 0.7–1.4; p = 0.99)</w:t>
            </w:r>
          </w:p>
        </w:tc>
      </w:tr>
    </w:tbl>
    <w:p w14:paraId="1E4A4F16" w14:textId="7D67121E" w:rsidR="000337C9" w:rsidRPr="00E9460F" w:rsidRDefault="00113943" w:rsidP="00C62E59">
      <w:pPr>
        <w:autoSpaceDE w:val="0"/>
        <w:autoSpaceDN w:val="0"/>
        <w:adjustRightInd w:val="0"/>
        <w:spacing w:line="276" w:lineRule="auto"/>
        <w:rPr>
          <w:rFonts w:ascii="Calibri" w:eastAsia="Calibri" w:hAnsi="Calibri" w:cs="Calibri"/>
          <w:i/>
          <w:iCs/>
          <w:noProof/>
          <w:color w:val="000000"/>
          <w:sz w:val="22"/>
          <w:szCs w:val="22"/>
        </w:rPr>
      </w:pPr>
      <w:r w:rsidRPr="00E9460F">
        <w:rPr>
          <w:rFonts w:ascii="Calibri" w:eastAsia="Calibri" w:hAnsi="Calibri" w:cs="Calibri"/>
          <w:i/>
          <w:iCs/>
          <w:noProof/>
          <w:color w:val="000000"/>
          <w:sz w:val="22"/>
          <w:szCs w:val="22"/>
          <w:vertAlign w:val="superscript"/>
        </w:rPr>
        <w:t>a</w:t>
      </w:r>
      <w:r w:rsidR="000337C9" w:rsidRPr="00E9460F">
        <w:rPr>
          <w:rFonts w:ascii="Calibri" w:eastAsia="Calibri" w:hAnsi="Calibri" w:cs="Calibri"/>
          <w:i/>
          <w:iCs/>
          <w:noProof/>
          <w:color w:val="000000"/>
          <w:sz w:val="22"/>
          <w:szCs w:val="22"/>
        </w:rPr>
        <w:t>Only studies reporting survival outcomes as primary endpoints have been included.</w:t>
      </w:r>
    </w:p>
    <w:p w14:paraId="22516AE4" w14:textId="14A82A9C" w:rsidR="00901AF1" w:rsidRPr="00E9460F" w:rsidRDefault="00113943" w:rsidP="00C62E59">
      <w:pPr>
        <w:autoSpaceDE w:val="0"/>
        <w:autoSpaceDN w:val="0"/>
        <w:adjustRightInd w:val="0"/>
        <w:spacing w:line="276" w:lineRule="auto"/>
        <w:rPr>
          <w:rFonts w:ascii="Calibri" w:eastAsia="Calibri" w:hAnsi="Calibri" w:cs="Calibri"/>
          <w:i/>
          <w:iCs/>
          <w:noProof/>
          <w:color w:val="000000"/>
          <w:sz w:val="22"/>
          <w:szCs w:val="22"/>
        </w:rPr>
      </w:pPr>
      <w:r w:rsidRPr="00E9460F">
        <w:rPr>
          <w:rFonts w:ascii="Calibri" w:eastAsia="Calibri" w:hAnsi="Calibri" w:cs="Calibri"/>
          <w:i/>
          <w:iCs/>
          <w:noProof/>
          <w:color w:val="000000"/>
          <w:sz w:val="22"/>
          <w:szCs w:val="22"/>
        </w:rPr>
        <w:t xml:space="preserve">D = difference; AA = abiraterone acetate; AAP = AA + prednisone; ARPI = androgen receptor pathway inhibitor; b.i.d. = twice daily; BMs = bone metastases; BTR = by treatment received; CI = confidence interval; DOC = docetaxel; ECOG PS = Eastern Cooperative Oncology Group performance status; Enza = enzalutamide; FU = follow-up; G-CSF = granulocyte colony-stimulating factor; HR = hazard </w:t>
      </w:r>
      <w:r w:rsidR="00494334" w:rsidRPr="00E9460F">
        <w:rPr>
          <w:rFonts w:ascii="Calibri" w:eastAsia="Calibri" w:hAnsi="Calibri" w:cs="Calibri"/>
          <w:i/>
          <w:iCs/>
          <w:noProof/>
          <w:color w:val="000000"/>
          <w:sz w:val="22"/>
          <w:szCs w:val="22"/>
        </w:rPr>
        <w:t xml:space="preserve">ratio; ITT = intention-to-treat </w:t>
      </w:r>
      <w:r w:rsidRPr="00E9460F">
        <w:rPr>
          <w:rFonts w:ascii="Calibri" w:eastAsia="Calibri" w:hAnsi="Calibri" w:cs="Calibri"/>
          <w:i/>
          <w:iCs/>
          <w:noProof/>
          <w:color w:val="000000"/>
          <w:sz w:val="22"/>
          <w:szCs w:val="22"/>
        </w:rPr>
        <w:t>population; i.v. = intravenous; OS = overall survival; OR = odds ratio; cORR = confirmed objective response rate; PSA = prostate-specific antigen; PSA</w:t>
      </w:r>
      <w:r w:rsidRPr="00E9460F">
        <w:rPr>
          <w:rFonts w:ascii="Calibri" w:eastAsia="Calibri" w:hAnsi="Calibri" w:cs="Calibri"/>
          <w:i/>
          <w:iCs/>
          <w:noProof/>
          <w:color w:val="000000"/>
          <w:sz w:val="22"/>
          <w:szCs w:val="22"/>
          <w:vertAlign w:val="subscript"/>
        </w:rPr>
        <w:t>50</w:t>
      </w:r>
      <w:r w:rsidRPr="00E9460F">
        <w:rPr>
          <w:rFonts w:ascii="Calibri" w:eastAsia="Calibri" w:hAnsi="Calibri" w:cs="Calibri"/>
          <w:i/>
          <w:iCs/>
          <w:noProof/>
          <w:color w:val="000000"/>
          <w:sz w:val="22"/>
          <w:szCs w:val="22"/>
        </w:rPr>
        <w:t xml:space="preserve"> = reduction in PSA of &gt;50%; PSMA = pros</w:t>
      </w:r>
      <w:r w:rsidR="00494334" w:rsidRPr="00E9460F">
        <w:rPr>
          <w:rFonts w:ascii="Calibri" w:eastAsia="Calibri" w:hAnsi="Calibri" w:cs="Calibri"/>
          <w:i/>
          <w:iCs/>
          <w:noProof/>
          <w:color w:val="000000"/>
          <w:sz w:val="22"/>
          <w:szCs w:val="22"/>
        </w:rPr>
        <w:t xml:space="preserve">tate-specific membrane antigen; </w:t>
      </w:r>
      <w:r w:rsidRPr="00E9460F">
        <w:rPr>
          <w:rFonts w:ascii="Calibri" w:eastAsia="Calibri" w:hAnsi="Calibri" w:cs="Calibri"/>
          <w:i/>
          <w:iCs/>
          <w:noProof/>
          <w:color w:val="000000"/>
          <w:sz w:val="22"/>
          <w:szCs w:val="22"/>
        </w:rPr>
        <w:t>PET = positron emission tomography; PFS = progression-free survival; ibPFS = imaging-based PFS; rPFS = radiographic PFS; Q3(6)W = every 3 (6) wk; RG = radiographic; SOC = sta</w:t>
      </w:r>
      <w:r w:rsidR="00494334" w:rsidRPr="00E9460F">
        <w:rPr>
          <w:rFonts w:ascii="Calibri" w:eastAsia="Calibri" w:hAnsi="Calibri" w:cs="Calibri"/>
          <w:i/>
          <w:iCs/>
          <w:noProof/>
          <w:color w:val="000000"/>
          <w:sz w:val="22"/>
          <w:szCs w:val="22"/>
        </w:rPr>
        <w:t xml:space="preserve">ndard of care; HRR = homologous </w:t>
      </w:r>
      <w:r w:rsidRPr="00E9460F">
        <w:rPr>
          <w:rFonts w:ascii="Calibri" w:eastAsia="Calibri" w:hAnsi="Calibri" w:cs="Calibri"/>
          <w:i/>
          <w:iCs/>
          <w:noProof/>
          <w:color w:val="000000"/>
          <w:sz w:val="22"/>
          <w:szCs w:val="22"/>
        </w:rPr>
        <w:t>recombination repair; VMs = visceral metastases.</w:t>
      </w:r>
    </w:p>
    <w:p w14:paraId="141BD82F" w14:textId="77777777" w:rsidR="00901AF1" w:rsidRPr="00E9460F" w:rsidRDefault="00901AF1" w:rsidP="000337C9">
      <w:pPr>
        <w:autoSpaceDE w:val="0"/>
        <w:autoSpaceDN w:val="0"/>
        <w:adjustRightInd w:val="0"/>
        <w:spacing w:line="276" w:lineRule="auto"/>
        <w:rPr>
          <w:rFonts w:ascii="Calibri" w:eastAsia="Calibri" w:hAnsi="Calibri" w:cs="Calibri"/>
          <w:i/>
          <w:iCs/>
          <w:noProof/>
          <w:color w:val="000000"/>
          <w:sz w:val="22"/>
          <w:szCs w:val="22"/>
        </w:rPr>
      </w:pPr>
    </w:p>
    <w:p w14:paraId="6A4D3F65" w14:textId="7FB0D06F" w:rsidR="000337C9" w:rsidRPr="00E9460F" w:rsidRDefault="001072D3" w:rsidP="000337C9">
      <w:pPr>
        <w:autoSpaceDE w:val="0"/>
        <w:autoSpaceDN w:val="0"/>
        <w:adjustRightInd w:val="0"/>
        <w:spacing w:line="276" w:lineRule="auto"/>
        <w:ind w:firstLine="720"/>
        <w:jc w:val="both"/>
        <w:rPr>
          <w:rFonts w:ascii="Calibri" w:eastAsia="Calibri" w:hAnsi="Calibri" w:cs="Calibri"/>
          <w:i/>
          <w:iCs/>
          <w:noProof/>
          <w:color w:val="000000" w:themeColor="text1"/>
          <w:sz w:val="22"/>
          <w:szCs w:val="22"/>
        </w:rPr>
      </w:pPr>
      <w:r w:rsidRPr="00E9460F">
        <w:rPr>
          <w:rFonts w:ascii="Calibri" w:eastAsia="Calibri" w:hAnsi="Calibri" w:cs="Calibri"/>
          <w:i/>
          <w:iCs/>
          <w:noProof/>
          <w:color w:val="000000" w:themeColor="text1"/>
          <w:sz w:val="22"/>
          <w:szCs w:val="22"/>
        </w:rPr>
        <w:t xml:space="preserve">3.3.3 </w:t>
      </w:r>
      <w:r w:rsidR="000337C9" w:rsidRPr="00E9460F">
        <w:rPr>
          <w:rFonts w:ascii="Calibri" w:eastAsia="Calibri" w:hAnsi="Calibri" w:cs="Calibri"/>
          <w:i/>
          <w:iCs/>
          <w:noProof/>
          <w:color w:val="000000" w:themeColor="text1"/>
          <w:sz w:val="22"/>
          <w:szCs w:val="22"/>
        </w:rPr>
        <w:t xml:space="preserve"> Monitoring of treatment</w:t>
      </w:r>
    </w:p>
    <w:p w14:paraId="53D3F191" w14:textId="03ACE67B" w:rsidR="001072D3" w:rsidRPr="00E9460F" w:rsidRDefault="001072D3" w:rsidP="001072D3">
      <w:pPr>
        <w:spacing w:line="276" w:lineRule="auto"/>
        <w:jc w:val="both"/>
        <w:rPr>
          <w:rFonts w:ascii="Calibri" w:hAnsi="Calibri" w:cs="Calibri"/>
          <w:bCs/>
          <w:color w:val="000000" w:themeColor="text1"/>
          <w:sz w:val="22"/>
          <w:szCs w:val="22"/>
        </w:rPr>
      </w:pPr>
      <w:r w:rsidRPr="00E9460F">
        <w:rPr>
          <w:rFonts w:ascii="Calibri" w:hAnsi="Calibri" w:cs="Calibri"/>
          <w:bCs/>
          <w:color w:val="000000" w:themeColor="text1"/>
          <w:sz w:val="22"/>
          <w:szCs w:val="22"/>
        </w:rPr>
        <w:t>Baseline examinations sh</w:t>
      </w:r>
      <w:r w:rsidR="00494334" w:rsidRPr="00E9460F">
        <w:rPr>
          <w:rFonts w:ascii="Calibri" w:hAnsi="Calibri" w:cs="Calibri"/>
          <w:bCs/>
          <w:color w:val="000000" w:themeColor="text1"/>
          <w:sz w:val="22"/>
          <w:szCs w:val="22"/>
        </w:rPr>
        <w:t xml:space="preserve">ould include a medical history, </w:t>
      </w:r>
      <w:r w:rsidRPr="00E9460F">
        <w:rPr>
          <w:rFonts w:ascii="Calibri" w:hAnsi="Calibri" w:cs="Calibri"/>
          <w:bCs/>
          <w:color w:val="000000" w:themeColor="text1"/>
          <w:sz w:val="22"/>
          <w:szCs w:val="22"/>
        </w:rPr>
        <w:t xml:space="preserve">clinical examination, blood </w:t>
      </w:r>
      <w:r w:rsidR="00494334" w:rsidRPr="00E9460F">
        <w:rPr>
          <w:rFonts w:ascii="Calibri" w:hAnsi="Calibri" w:cs="Calibri"/>
          <w:bCs/>
          <w:color w:val="000000" w:themeColor="text1"/>
          <w:sz w:val="22"/>
          <w:szCs w:val="22"/>
        </w:rPr>
        <w:t xml:space="preserve">tests (PSA, total testosterone, </w:t>
      </w:r>
      <w:r w:rsidRPr="00E9460F">
        <w:rPr>
          <w:rFonts w:ascii="Calibri" w:hAnsi="Calibri" w:cs="Calibri"/>
          <w:bCs/>
          <w:color w:val="000000" w:themeColor="text1"/>
          <w:sz w:val="22"/>
          <w:szCs w:val="22"/>
        </w:rPr>
        <w:t>full blood count, renal fun</w:t>
      </w:r>
      <w:r w:rsidR="00494334" w:rsidRPr="00E9460F">
        <w:rPr>
          <w:rFonts w:ascii="Calibri" w:hAnsi="Calibri" w:cs="Calibri"/>
          <w:bCs/>
          <w:color w:val="000000" w:themeColor="text1"/>
          <w:sz w:val="22"/>
          <w:szCs w:val="22"/>
        </w:rPr>
        <w:t xml:space="preserve">ction, liver function, </w:t>
      </w:r>
      <w:proofErr w:type="gramStart"/>
      <w:r w:rsidR="00494334" w:rsidRPr="00E9460F">
        <w:rPr>
          <w:rFonts w:ascii="Calibri" w:hAnsi="Calibri" w:cs="Calibri"/>
          <w:bCs/>
          <w:color w:val="000000" w:themeColor="text1"/>
          <w:sz w:val="22"/>
          <w:szCs w:val="22"/>
        </w:rPr>
        <w:t>alkaline</w:t>
      </w:r>
      <w:proofErr w:type="gramEnd"/>
      <w:r w:rsidR="00494334" w:rsidRPr="00E9460F">
        <w:rPr>
          <w:rFonts w:ascii="Calibri" w:hAnsi="Calibri" w:cs="Calibri"/>
          <w:bCs/>
          <w:color w:val="000000" w:themeColor="text1"/>
          <w:sz w:val="22"/>
          <w:szCs w:val="22"/>
        </w:rPr>
        <w:t xml:space="preserve"> </w:t>
      </w:r>
      <w:r w:rsidRPr="00E9460F">
        <w:rPr>
          <w:rFonts w:ascii="Calibri" w:hAnsi="Calibri" w:cs="Calibri"/>
          <w:bCs/>
          <w:color w:val="000000" w:themeColor="text1"/>
          <w:sz w:val="22"/>
          <w:szCs w:val="22"/>
        </w:rPr>
        <w:t>phosphatase), a bone scan</w:t>
      </w:r>
      <w:r w:rsidR="00494334" w:rsidRPr="00E9460F">
        <w:rPr>
          <w:rFonts w:ascii="Calibri" w:hAnsi="Calibri" w:cs="Calibri"/>
          <w:bCs/>
          <w:color w:val="000000" w:themeColor="text1"/>
          <w:sz w:val="22"/>
          <w:szCs w:val="22"/>
        </w:rPr>
        <w:t xml:space="preserve">, and CT of the chest, abdomen, </w:t>
      </w:r>
      <w:r w:rsidRPr="00E9460F">
        <w:rPr>
          <w:rFonts w:ascii="Calibri" w:hAnsi="Calibri" w:cs="Calibri"/>
          <w:bCs/>
          <w:color w:val="000000" w:themeColor="text1"/>
          <w:sz w:val="22"/>
          <w:szCs w:val="22"/>
        </w:rPr>
        <w:t xml:space="preserve">and pelvis [143,144]. The </w:t>
      </w:r>
      <w:r w:rsidR="00494334" w:rsidRPr="00E9460F">
        <w:rPr>
          <w:rFonts w:ascii="Calibri" w:hAnsi="Calibri" w:cs="Calibri"/>
          <w:bCs/>
          <w:color w:val="000000" w:themeColor="text1"/>
          <w:sz w:val="22"/>
          <w:szCs w:val="22"/>
        </w:rPr>
        <w:t>utility of choline or PSMA PET/</w:t>
      </w:r>
      <w:r w:rsidRPr="00E9460F">
        <w:rPr>
          <w:rFonts w:ascii="Calibri" w:hAnsi="Calibri" w:cs="Calibri"/>
          <w:bCs/>
          <w:color w:val="000000" w:themeColor="text1"/>
          <w:sz w:val="22"/>
          <w:szCs w:val="22"/>
        </w:rPr>
        <w:t>CT scans for progressing C</w:t>
      </w:r>
      <w:r w:rsidR="00494334" w:rsidRPr="00E9460F">
        <w:rPr>
          <w:rFonts w:ascii="Calibri" w:hAnsi="Calibri" w:cs="Calibri"/>
          <w:bCs/>
          <w:color w:val="000000" w:themeColor="text1"/>
          <w:sz w:val="22"/>
          <w:szCs w:val="22"/>
        </w:rPr>
        <w:t xml:space="preserve">RPC is unclear and this imaging </w:t>
      </w:r>
      <w:r w:rsidRPr="00E9460F">
        <w:rPr>
          <w:rFonts w:ascii="Calibri" w:hAnsi="Calibri" w:cs="Calibri"/>
          <w:bCs/>
          <w:color w:val="000000" w:themeColor="text1"/>
          <w:sz w:val="22"/>
          <w:szCs w:val="22"/>
        </w:rPr>
        <w:t xml:space="preserve">modality is probably not as </w:t>
      </w:r>
      <w:r w:rsidR="00494334" w:rsidRPr="00E9460F">
        <w:rPr>
          <w:rFonts w:ascii="Calibri" w:hAnsi="Calibri" w:cs="Calibri"/>
          <w:bCs/>
          <w:color w:val="000000" w:themeColor="text1"/>
          <w:sz w:val="22"/>
          <w:szCs w:val="22"/>
        </w:rPr>
        <w:t xml:space="preserve">beneficial as for patients with </w:t>
      </w:r>
      <w:r w:rsidRPr="00E9460F">
        <w:rPr>
          <w:rFonts w:ascii="Calibri" w:hAnsi="Calibri" w:cs="Calibri"/>
          <w:bCs/>
          <w:color w:val="000000" w:themeColor="text1"/>
          <w:sz w:val="22"/>
          <w:szCs w:val="22"/>
        </w:rPr>
        <w:t>BCR or hormone-naïve dise</w:t>
      </w:r>
      <w:r w:rsidR="00494334" w:rsidRPr="00E9460F">
        <w:rPr>
          <w:rFonts w:ascii="Calibri" w:hAnsi="Calibri" w:cs="Calibri"/>
          <w:bCs/>
          <w:color w:val="000000" w:themeColor="text1"/>
          <w:sz w:val="22"/>
          <w:szCs w:val="22"/>
        </w:rPr>
        <w:t xml:space="preserve">ase. Flares, PSMA upregulation, </w:t>
      </w:r>
      <w:r w:rsidRPr="00E9460F">
        <w:rPr>
          <w:rFonts w:ascii="Calibri" w:hAnsi="Calibri" w:cs="Calibri"/>
          <w:bCs/>
          <w:color w:val="000000" w:themeColor="text1"/>
          <w:sz w:val="22"/>
          <w:szCs w:val="22"/>
        </w:rPr>
        <w:t>and discordant results in comparison to a PSA</w:t>
      </w:r>
      <w:r w:rsidR="00494334" w:rsidRPr="00E9460F">
        <w:rPr>
          <w:rFonts w:ascii="Calibri" w:hAnsi="Calibri" w:cs="Calibri"/>
          <w:bCs/>
          <w:color w:val="000000" w:themeColor="text1"/>
          <w:sz w:val="22"/>
          <w:szCs w:val="22"/>
        </w:rPr>
        <w:t xml:space="preserve"> response or </w:t>
      </w:r>
      <w:r w:rsidRPr="00E9460F">
        <w:rPr>
          <w:rFonts w:ascii="Calibri" w:hAnsi="Calibri" w:cs="Calibri"/>
          <w:bCs/>
          <w:color w:val="000000" w:themeColor="text1"/>
          <w:sz w:val="22"/>
          <w:szCs w:val="22"/>
        </w:rPr>
        <w:t xml:space="preserve">progression on ARPI have </w:t>
      </w:r>
      <w:r w:rsidR="00494334" w:rsidRPr="00E9460F">
        <w:rPr>
          <w:rFonts w:ascii="Calibri" w:hAnsi="Calibri" w:cs="Calibri"/>
          <w:bCs/>
          <w:color w:val="000000" w:themeColor="text1"/>
          <w:sz w:val="22"/>
          <w:szCs w:val="22"/>
        </w:rPr>
        <w:t xml:space="preserve">been described [145]. PSA alone </w:t>
      </w:r>
      <w:r w:rsidRPr="00E9460F">
        <w:rPr>
          <w:rFonts w:ascii="Calibri" w:hAnsi="Calibri" w:cs="Calibri"/>
          <w:bCs/>
          <w:color w:val="000000" w:themeColor="text1"/>
          <w:sz w:val="22"/>
          <w:szCs w:val="22"/>
        </w:rPr>
        <w:t>is not reliable enough for</w:t>
      </w:r>
      <w:r w:rsidR="00494334" w:rsidRPr="00E9460F">
        <w:rPr>
          <w:rFonts w:ascii="Calibri" w:hAnsi="Calibri" w:cs="Calibri"/>
          <w:bCs/>
          <w:color w:val="000000" w:themeColor="text1"/>
          <w:sz w:val="22"/>
          <w:szCs w:val="22"/>
        </w:rPr>
        <w:t xml:space="preserve"> monitoring disease activity in </w:t>
      </w:r>
      <w:r w:rsidRPr="00E9460F">
        <w:rPr>
          <w:rFonts w:ascii="Calibri" w:hAnsi="Calibri" w:cs="Calibri"/>
          <w:bCs/>
          <w:color w:val="000000" w:themeColor="text1"/>
          <w:sz w:val="22"/>
          <w:szCs w:val="22"/>
        </w:rPr>
        <w:t xml:space="preserve">advanced CRPC [146] since </w:t>
      </w:r>
      <w:r w:rsidR="00494334" w:rsidRPr="00E9460F">
        <w:rPr>
          <w:rFonts w:ascii="Calibri" w:hAnsi="Calibri" w:cs="Calibri"/>
          <w:bCs/>
          <w:color w:val="000000" w:themeColor="text1"/>
          <w:sz w:val="22"/>
          <w:szCs w:val="22"/>
        </w:rPr>
        <w:t xml:space="preserve">visceral metastases may develop </w:t>
      </w:r>
      <w:r w:rsidRPr="00E9460F">
        <w:rPr>
          <w:rFonts w:ascii="Calibri" w:hAnsi="Calibri" w:cs="Calibri"/>
          <w:bCs/>
          <w:color w:val="000000" w:themeColor="text1"/>
          <w:sz w:val="22"/>
          <w:szCs w:val="22"/>
        </w:rPr>
        <w:t>in men without rising PSA [147]. Instead, the Prostate Can</w:t>
      </w:r>
      <w:r w:rsidRPr="00E9460F">
        <w:rPr>
          <w:rFonts w:ascii="Calibri" w:hAnsi="Calibri" w:cs="Calibri"/>
          <w:sz w:val="22"/>
          <w:szCs w:val="22"/>
        </w:rPr>
        <w:t xml:space="preserve"> </w:t>
      </w:r>
      <w:r w:rsidRPr="00E9460F">
        <w:rPr>
          <w:rFonts w:ascii="Calibri" w:hAnsi="Calibri" w:cs="Calibri"/>
          <w:bCs/>
          <w:color w:val="000000" w:themeColor="text1"/>
          <w:sz w:val="22"/>
          <w:szCs w:val="22"/>
        </w:rPr>
        <w:t>cer Clinica</w:t>
      </w:r>
      <w:r w:rsidR="00494334" w:rsidRPr="00E9460F">
        <w:rPr>
          <w:rFonts w:ascii="Calibri" w:hAnsi="Calibri" w:cs="Calibri"/>
          <w:bCs/>
          <w:color w:val="000000" w:themeColor="text1"/>
          <w:sz w:val="22"/>
          <w:szCs w:val="22"/>
        </w:rPr>
        <w:t xml:space="preserve">l Trials Working </w:t>
      </w:r>
      <w:r w:rsidRPr="00E9460F">
        <w:rPr>
          <w:rFonts w:ascii="Calibri" w:hAnsi="Calibri" w:cs="Calibri"/>
          <w:bCs/>
          <w:color w:val="000000" w:themeColor="text1"/>
          <w:sz w:val="22"/>
          <w:szCs w:val="22"/>
        </w:rPr>
        <w:t>Gr</w:t>
      </w:r>
      <w:r w:rsidR="00494334" w:rsidRPr="00E9460F">
        <w:rPr>
          <w:rFonts w:ascii="Calibri" w:hAnsi="Calibri" w:cs="Calibri"/>
          <w:bCs/>
          <w:color w:val="000000" w:themeColor="text1"/>
          <w:sz w:val="22"/>
          <w:szCs w:val="22"/>
        </w:rPr>
        <w:t>oup (PCWG</w:t>
      </w:r>
      <w:proofErr w:type="gramStart"/>
      <w:r w:rsidR="00494334" w:rsidRPr="00E9460F">
        <w:rPr>
          <w:rFonts w:ascii="Calibri" w:hAnsi="Calibri" w:cs="Calibri"/>
          <w:bCs/>
          <w:color w:val="000000" w:themeColor="text1"/>
          <w:sz w:val="22"/>
          <w:szCs w:val="22"/>
        </w:rPr>
        <w:t>)2</w:t>
      </w:r>
      <w:proofErr w:type="gramEnd"/>
      <w:r w:rsidR="00494334" w:rsidRPr="00E9460F">
        <w:rPr>
          <w:rFonts w:ascii="Calibri" w:hAnsi="Calibri" w:cs="Calibri"/>
          <w:bCs/>
          <w:color w:val="000000" w:themeColor="text1"/>
          <w:sz w:val="22"/>
          <w:szCs w:val="22"/>
        </w:rPr>
        <w:t xml:space="preserve"> guidance recommends </w:t>
      </w:r>
      <w:r w:rsidRPr="00E9460F">
        <w:rPr>
          <w:rFonts w:ascii="Calibri" w:hAnsi="Calibri" w:cs="Calibri"/>
          <w:bCs/>
          <w:color w:val="000000" w:themeColor="text1"/>
          <w:sz w:val="22"/>
          <w:szCs w:val="22"/>
        </w:rPr>
        <w:t>a combination of bone scintigraphy and CT scans,</w:t>
      </w:r>
    </w:p>
    <w:p w14:paraId="1167BA13" w14:textId="72890B52" w:rsidR="000337C9" w:rsidRPr="00E9460F" w:rsidRDefault="001072D3" w:rsidP="001072D3">
      <w:pPr>
        <w:spacing w:line="276" w:lineRule="auto"/>
        <w:jc w:val="both"/>
        <w:rPr>
          <w:rFonts w:ascii="Calibri" w:hAnsi="Calibri" w:cs="Calibri"/>
          <w:bCs/>
          <w:color w:val="000000" w:themeColor="text1"/>
          <w:sz w:val="22"/>
          <w:szCs w:val="22"/>
        </w:rPr>
      </w:pPr>
      <w:r w:rsidRPr="00E9460F">
        <w:rPr>
          <w:rFonts w:ascii="Calibri" w:hAnsi="Calibri" w:cs="Calibri"/>
          <w:bCs/>
          <w:color w:val="000000" w:themeColor="text1"/>
          <w:sz w:val="22"/>
          <w:szCs w:val="22"/>
        </w:rPr>
        <w:t>PSA measurements, and cl</w:t>
      </w:r>
      <w:r w:rsidR="00494334" w:rsidRPr="00E9460F">
        <w:rPr>
          <w:rFonts w:ascii="Calibri" w:hAnsi="Calibri" w:cs="Calibri"/>
          <w:bCs/>
          <w:color w:val="000000" w:themeColor="text1"/>
          <w:sz w:val="22"/>
          <w:szCs w:val="22"/>
        </w:rPr>
        <w:t xml:space="preserve">inical benefit in assessing men </w:t>
      </w:r>
      <w:r w:rsidRPr="00E9460F">
        <w:rPr>
          <w:rFonts w:ascii="Calibri" w:hAnsi="Calibri" w:cs="Calibri"/>
          <w:bCs/>
          <w:color w:val="000000" w:themeColor="text1"/>
          <w:sz w:val="22"/>
          <w:szCs w:val="22"/>
        </w:rPr>
        <w:t>with CRPC [148]. For tr</w:t>
      </w:r>
      <w:r w:rsidR="00494334" w:rsidRPr="00E9460F">
        <w:rPr>
          <w:rFonts w:ascii="Calibri" w:hAnsi="Calibri" w:cs="Calibri"/>
          <w:bCs/>
          <w:color w:val="000000" w:themeColor="text1"/>
          <w:sz w:val="22"/>
          <w:szCs w:val="22"/>
        </w:rPr>
        <w:t xml:space="preserve">ial purposes, the updated PCWG3 </w:t>
      </w:r>
      <w:r w:rsidRPr="00E9460F">
        <w:rPr>
          <w:rFonts w:ascii="Calibri" w:hAnsi="Calibri" w:cs="Calibri"/>
          <w:bCs/>
          <w:color w:val="000000" w:themeColor="text1"/>
          <w:sz w:val="22"/>
          <w:szCs w:val="22"/>
        </w:rPr>
        <w:t>guidance puts more weight on the importance o</w:t>
      </w:r>
      <w:r w:rsidR="00494334" w:rsidRPr="00E9460F">
        <w:rPr>
          <w:rFonts w:ascii="Calibri" w:hAnsi="Calibri" w:cs="Calibri"/>
          <w:bCs/>
          <w:color w:val="000000" w:themeColor="text1"/>
          <w:sz w:val="22"/>
          <w:szCs w:val="22"/>
        </w:rPr>
        <w:t xml:space="preserve">f documenting </w:t>
      </w:r>
      <w:r w:rsidRPr="00E9460F">
        <w:rPr>
          <w:rFonts w:ascii="Calibri" w:hAnsi="Calibri" w:cs="Calibri"/>
          <w:bCs/>
          <w:color w:val="000000" w:themeColor="text1"/>
          <w:sz w:val="22"/>
          <w:szCs w:val="22"/>
        </w:rPr>
        <w:t xml:space="preserve">progression in </w:t>
      </w:r>
      <w:r w:rsidR="00494334" w:rsidRPr="00E9460F">
        <w:rPr>
          <w:rFonts w:ascii="Calibri" w:hAnsi="Calibri" w:cs="Calibri"/>
          <w:bCs/>
          <w:color w:val="000000" w:themeColor="text1"/>
          <w:sz w:val="22"/>
          <w:szCs w:val="22"/>
        </w:rPr>
        <w:t xml:space="preserve">existing lesions and introduced </w:t>
      </w:r>
      <w:r w:rsidRPr="00E9460F">
        <w:rPr>
          <w:rFonts w:ascii="Calibri" w:hAnsi="Calibri" w:cs="Calibri"/>
          <w:bCs/>
          <w:color w:val="000000" w:themeColor="text1"/>
          <w:sz w:val="22"/>
          <w:szCs w:val="22"/>
        </w:rPr>
        <w:t>the concept of no longer ‘‘clinic</w:t>
      </w:r>
      <w:r w:rsidR="00494334" w:rsidRPr="00E9460F">
        <w:rPr>
          <w:rFonts w:ascii="Calibri" w:hAnsi="Calibri" w:cs="Calibri"/>
          <w:bCs/>
          <w:color w:val="000000" w:themeColor="text1"/>
          <w:sz w:val="22"/>
          <w:szCs w:val="22"/>
        </w:rPr>
        <w:t xml:space="preserve">ally benefiting’’ to underscorethe </w:t>
      </w:r>
      <w:r w:rsidRPr="00E9460F">
        <w:rPr>
          <w:rFonts w:ascii="Calibri" w:hAnsi="Calibri" w:cs="Calibri"/>
          <w:bCs/>
          <w:color w:val="000000" w:themeColor="text1"/>
          <w:sz w:val="22"/>
          <w:szCs w:val="22"/>
        </w:rPr>
        <w:t>distinction betwee</w:t>
      </w:r>
      <w:r w:rsidR="00494334" w:rsidRPr="00E9460F">
        <w:rPr>
          <w:rFonts w:ascii="Calibri" w:hAnsi="Calibri" w:cs="Calibri"/>
          <w:bCs/>
          <w:color w:val="000000" w:themeColor="text1"/>
          <w:sz w:val="22"/>
          <w:szCs w:val="22"/>
        </w:rPr>
        <w:t xml:space="preserve">n first evidence of progression </w:t>
      </w:r>
      <w:r w:rsidRPr="00E9460F">
        <w:rPr>
          <w:rFonts w:ascii="Calibri" w:hAnsi="Calibri" w:cs="Calibri"/>
          <w:bCs/>
          <w:color w:val="000000" w:themeColor="text1"/>
          <w:sz w:val="22"/>
          <w:szCs w:val="22"/>
        </w:rPr>
        <w:t>and the clinical need to</w:t>
      </w:r>
      <w:r w:rsidR="00494334" w:rsidRPr="00E9460F">
        <w:rPr>
          <w:rFonts w:ascii="Calibri" w:hAnsi="Calibri" w:cs="Calibri"/>
          <w:bCs/>
          <w:color w:val="000000" w:themeColor="text1"/>
          <w:sz w:val="22"/>
          <w:szCs w:val="22"/>
        </w:rPr>
        <w:t xml:space="preserve"> terminate or change treatment. </w:t>
      </w:r>
      <w:r w:rsidRPr="00E9460F">
        <w:rPr>
          <w:rFonts w:ascii="Calibri" w:hAnsi="Calibri" w:cs="Calibri"/>
          <w:bCs/>
          <w:color w:val="000000" w:themeColor="text1"/>
          <w:sz w:val="22"/>
          <w:szCs w:val="22"/>
        </w:rPr>
        <w:t>These recommendations also s</w:t>
      </w:r>
      <w:r w:rsidR="00494334" w:rsidRPr="00E9460F">
        <w:rPr>
          <w:rFonts w:ascii="Calibri" w:hAnsi="Calibri" w:cs="Calibri"/>
          <w:bCs/>
          <w:color w:val="000000" w:themeColor="text1"/>
          <w:sz w:val="22"/>
          <w:szCs w:val="22"/>
        </w:rPr>
        <w:t xml:space="preserve">eem valid for clinical practice </w:t>
      </w:r>
      <w:r w:rsidRPr="00E9460F">
        <w:rPr>
          <w:rFonts w:ascii="Calibri" w:hAnsi="Calibri" w:cs="Calibri"/>
          <w:bCs/>
          <w:color w:val="000000" w:themeColor="text1"/>
          <w:sz w:val="22"/>
          <w:szCs w:val="22"/>
        </w:rPr>
        <w:t>outside of trials.</w:t>
      </w:r>
    </w:p>
    <w:p w14:paraId="691F65FA" w14:textId="77777777" w:rsidR="00E354E8" w:rsidRPr="00E9460F" w:rsidRDefault="00E354E8" w:rsidP="00E354E8">
      <w:pPr>
        <w:autoSpaceDE w:val="0"/>
        <w:autoSpaceDN w:val="0"/>
        <w:adjustRightInd w:val="0"/>
        <w:spacing w:line="276" w:lineRule="auto"/>
        <w:jc w:val="both"/>
        <w:rPr>
          <w:rFonts w:ascii="Calibri" w:eastAsia="Calibri" w:hAnsi="Calibri" w:cs="Calibri"/>
          <w:i/>
          <w:iCs/>
          <w:noProof/>
          <w:color w:val="000000" w:themeColor="text1"/>
          <w:sz w:val="22"/>
          <w:szCs w:val="22"/>
        </w:rPr>
      </w:pPr>
    </w:p>
    <w:p w14:paraId="535A35AE" w14:textId="38AB61AA" w:rsidR="000337C9" w:rsidRPr="00E9460F" w:rsidRDefault="00E354E8" w:rsidP="00C62E59">
      <w:pPr>
        <w:autoSpaceDE w:val="0"/>
        <w:autoSpaceDN w:val="0"/>
        <w:adjustRightInd w:val="0"/>
        <w:spacing w:line="276" w:lineRule="auto"/>
        <w:ind w:left="720"/>
        <w:jc w:val="both"/>
        <w:rPr>
          <w:rFonts w:ascii="Calibri" w:eastAsia="Calibri" w:hAnsi="Calibri" w:cs="Calibri"/>
          <w:i/>
          <w:iCs/>
          <w:noProof/>
          <w:color w:val="000000" w:themeColor="text1"/>
          <w:sz w:val="22"/>
          <w:szCs w:val="22"/>
        </w:rPr>
      </w:pPr>
      <w:bookmarkStart w:id="2" w:name="_GoBack"/>
      <w:r w:rsidRPr="00E9460F">
        <w:rPr>
          <w:rFonts w:ascii="Calibri" w:eastAsia="Calibri" w:hAnsi="Calibri" w:cs="Calibri"/>
          <w:i/>
          <w:iCs/>
          <w:noProof/>
          <w:color w:val="000000" w:themeColor="text1"/>
          <w:sz w:val="22"/>
          <w:szCs w:val="22"/>
        </w:rPr>
        <w:t xml:space="preserve">3.3.4 </w:t>
      </w:r>
      <w:r w:rsidR="000337C9" w:rsidRPr="00E9460F">
        <w:rPr>
          <w:rFonts w:ascii="Calibri" w:eastAsia="Calibri" w:hAnsi="Calibri" w:cs="Calibri"/>
          <w:i/>
          <w:iCs/>
          <w:noProof/>
          <w:color w:val="000000" w:themeColor="text1"/>
          <w:sz w:val="22"/>
          <w:szCs w:val="22"/>
        </w:rPr>
        <w:t xml:space="preserve"> When to change treatment</w:t>
      </w:r>
      <w:bookmarkEnd w:id="2"/>
    </w:p>
    <w:p w14:paraId="61FCC178" w14:textId="55118E52" w:rsidR="003822DA" w:rsidRPr="00E9460F" w:rsidRDefault="003822DA" w:rsidP="003822DA">
      <w:pPr>
        <w:spacing w:line="276" w:lineRule="auto"/>
        <w:jc w:val="both"/>
        <w:rPr>
          <w:rFonts w:ascii="Calibri" w:hAnsi="Calibri" w:cs="Calibri"/>
          <w:bCs/>
          <w:color w:val="000000" w:themeColor="text1"/>
          <w:sz w:val="22"/>
          <w:szCs w:val="22"/>
        </w:rPr>
      </w:pPr>
      <w:r w:rsidRPr="00E9460F">
        <w:rPr>
          <w:rFonts w:ascii="Calibri" w:hAnsi="Calibri" w:cs="Calibri"/>
          <w:bCs/>
          <w:color w:val="000000" w:themeColor="text1"/>
          <w:sz w:val="22"/>
          <w:szCs w:val="22"/>
        </w:rPr>
        <w:t>The timing of changes in m</w:t>
      </w:r>
      <w:r w:rsidR="00494334" w:rsidRPr="00E9460F">
        <w:rPr>
          <w:rFonts w:ascii="Calibri" w:hAnsi="Calibri" w:cs="Calibri"/>
          <w:bCs/>
          <w:color w:val="000000" w:themeColor="text1"/>
          <w:sz w:val="22"/>
          <w:szCs w:val="22"/>
        </w:rPr>
        <w:t xml:space="preserve">CRPC treatment remains a matter </w:t>
      </w:r>
      <w:r w:rsidRPr="00E9460F">
        <w:rPr>
          <w:rFonts w:ascii="Calibri" w:hAnsi="Calibri" w:cs="Calibri"/>
          <w:bCs/>
          <w:color w:val="000000" w:themeColor="text1"/>
          <w:sz w:val="22"/>
          <w:szCs w:val="22"/>
        </w:rPr>
        <w:t>of debate, although it i</w:t>
      </w:r>
      <w:r w:rsidR="00494334" w:rsidRPr="00E9460F">
        <w:rPr>
          <w:rFonts w:ascii="Calibri" w:hAnsi="Calibri" w:cs="Calibri"/>
          <w:bCs/>
          <w:color w:val="000000" w:themeColor="text1"/>
          <w:sz w:val="22"/>
          <w:szCs w:val="22"/>
        </w:rPr>
        <w:t xml:space="preserve">s clearly advisable to start or </w:t>
      </w:r>
      <w:r w:rsidRPr="00E9460F">
        <w:rPr>
          <w:rFonts w:ascii="Calibri" w:hAnsi="Calibri" w:cs="Calibri"/>
          <w:bCs/>
          <w:color w:val="000000" w:themeColor="text1"/>
          <w:sz w:val="22"/>
          <w:szCs w:val="22"/>
        </w:rPr>
        <w:t>change a treatment immediately in men with symptom</w:t>
      </w:r>
      <w:r w:rsidR="00494334" w:rsidRPr="00E9460F">
        <w:rPr>
          <w:rFonts w:ascii="Calibri" w:hAnsi="Calibri" w:cs="Calibri"/>
          <w:bCs/>
          <w:color w:val="000000" w:themeColor="text1"/>
          <w:sz w:val="22"/>
          <w:szCs w:val="22"/>
        </w:rPr>
        <w:t xml:space="preserve">atic </w:t>
      </w:r>
      <w:r w:rsidRPr="00E9460F">
        <w:rPr>
          <w:rFonts w:ascii="Calibri" w:hAnsi="Calibri" w:cs="Calibri"/>
          <w:bCs/>
          <w:color w:val="000000" w:themeColor="text1"/>
          <w:sz w:val="22"/>
          <w:szCs w:val="22"/>
        </w:rPr>
        <w:t>progressing metastati</w:t>
      </w:r>
      <w:r w:rsidR="00494334" w:rsidRPr="00E9460F">
        <w:rPr>
          <w:rFonts w:ascii="Calibri" w:hAnsi="Calibri" w:cs="Calibri"/>
          <w:bCs/>
          <w:color w:val="000000" w:themeColor="text1"/>
          <w:sz w:val="22"/>
          <w:szCs w:val="22"/>
        </w:rPr>
        <w:t xml:space="preserve">c disease. Any treatment change </w:t>
      </w:r>
      <w:r w:rsidRPr="00E9460F">
        <w:rPr>
          <w:rFonts w:ascii="Calibri" w:hAnsi="Calibri" w:cs="Calibri"/>
          <w:bCs/>
          <w:color w:val="000000" w:themeColor="text1"/>
          <w:sz w:val="22"/>
          <w:szCs w:val="22"/>
        </w:rPr>
        <w:t xml:space="preserve">should preferably precede </w:t>
      </w:r>
      <w:r w:rsidR="00494334" w:rsidRPr="00E9460F">
        <w:rPr>
          <w:rFonts w:ascii="Calibri" w:hAnsi="Calibri" w:cs="Calibri"/>
          <w:bCs/>
          <w:color w:val="000000" w:themeColor="text1"/>
          <w:sz w:val="22"/>
          <w:szCs w:val="22"/>
        </w:rPr>
        <w:t xml:space="preserve">development of de novo symptoms </w:t>
      </w:r>
      <w:r w:rsidRPr="00E9460F">
        <w:rPr>
          <w:rFonts w:ascii="Calibri" w:hAnsi="Calibri" w:cs="Calibri"/>
          <w:bCs/>
          <w:color w:val="000000" w:themeColor="text1"/>
          <w:sz w:val="22"/>
          <w:szCs w:val="22"/>
        </w:rPr>
        <w:t xml:space="preserve">or worsening of </w:t>
      </w:r>
      <w:r w:rsidR="00494334" w:rsidRPr="00E9460F">
        <w:rPr>
          <w:rFonts w:ascii="Calibri" w:hAnsi="Calibri" w:cs="Calibri"/>
          <w:bCs/>
          <w:color w:val="000000" w:themeColor="text1"/>
          <w:sz w:val="22"/>
          <w:szCs w:val="22"/>
        </w:rPr>
        <w:t xml:space="preserve">existing symptoms. Although the </w:t>
      </w:r>
      <w:r w:rsidRPr="00E9460F">
        <w:rPr>
          <w:rFonts w:ascii="Calibri" w:hAnsi="Calibri" w:cs="Calibri"/>
          <w:bCs/>
          <w:color w:val="000000" w:themeColor="text1"/>
          <w:sz w:val="22"/>
          <w:szCs w:val="22"/>
        </w:rPr>
        <w:t>number of effective treatme</w:t>
      </w:r>
      <w:r w:rsidR="00494334" w:rsidRPr="00E9460F">
        <w:rPr>
          <w:rFonts w:ascii="Calibri" w:hAnsi="Calibri" w:cs="Calibri"/>
          <w:bCs/>
          <w:color w:val="000000" w:themeColor="text1"/>
          <w:sz w:val="22"/>
          <w:szCs w:val="22"/>
        </w:rPr>
        <w:t xml:space="preserve">nts is increasing, head-to-head </w:t>
      </w:r>
      <w:r w:rsidRPr="00E9460F">
        <w:rPr>
          <w:rFonts w:ascii="Calibri" w:hAnsi="Calibri" w:cs="Calibri"/>
          <w:bCs/>
          <w:color w:val="000000" w:themeColor="text1"/>
          <w:sz w:val="22"/>
          <w:szCs w:val="22"/>
        </w:rPr>
        <w:t>comparisons are still rare, as ar</w:t>
      </w:r>
      <w:r w:rsidR="00494334" w:rsidRPr="00E9460F">
        <w:rPr>
          <w:rFonts w:ascii="Calibri" w:hAnsi="Calibri" w:cs="Calibri"/>
          <w:bCs/>
          <w:color w:val="000000" w:themeColor="text1"/>
          <w:sz w:val="22"/>
          <w:szCs w:val="22"/>
        </w:rPr>
        <w:t xml:space="preserve">e prospective data assessing </w:t>
      </w:r>
      <w:r w:rsidRPr="00E9460F">
        <w:rPr>
          <w:rFonts w:ascii="Calibri" w:hAnsi="Calibri" w:cs="Calibri"/>
          <w:bCs/>
          <w:color w:val="000000" w:themeColor="text1"/>
          <w:sz w:val="22"/>
          <w:szCs w:val="22"/>
        </w:rPr>
        <w:t>the sequencing of available age</w:t>
      </w:r>
      <w:r w:rsidR="00494334" w:rsidRPr="00E9460F">
        <w:rPr>
          <w:rFonts w:ascii="Calibri" w:hAnsi="Calibri" w:cs="Calibri"/>
          <w:bCs/>
          <w:color w:val="000000" w:themeColor="text1"/>
          <w:sz w:val="22"/>
          <w:szCs w:val="22"/>
        </w:rPr>
        <w:t>nts. Therefore, it is not clear</w:t>
      </w:r>
      <w:r w:rsidRPr="00E9460F">
        <w:rPr>
          <w:rFonts w:ascii="Calibri" w:hAnsi="Calibri" w:cs="Calibri"/>
          <w:bCs/>
          <w:color w:val="000000" w:themeColor="text1"/>
          <w:sz w:val="22"/>
          <w:szCs w:val="22"/>
        </w:rPr>
        <w:t>how to select the most appropr</w:t>
      </w:r>
      <w:r w:rsidR="00494334" w:rsidRPr="00E9460F">
        <w:rPr>
          <w:rFonts w:ascii="Calibri" w:hAnsi="Calibri" w:cs="Calibri"/>
          <w:bCs/>
          <w:color w:val="000000" w:themeColor="text1"/>
          <w:sz w:val="22"/>
          <w:szCs w:val="22"/>
        </w:rPr>
        <w:t xml:space="preserve">iate ‘‘second-line’’ treatment, </w:t>
      </w:r>
      <w:r w:rsidRPr="00E9460F">
        <w:rPr>
          <w:rFonts w:ascii="Calibri" w:hAnsi="Calibri" w:cs="Calibri"/>
          <w:bCs/>
          <w:color w:val="000000" w:themeColor="text1"/>
          <w:sz w:val="22"/>
          <w:szCs w:val="22"/>
        </w:rPr>
        <w:t>in particular in pati</w:t>
      </w:r>
      <w:r w:rsidR="00494334" w:rsidRPr="00E9460F">
        <w:rPr>
          <w:rFonts w:ascii="Calibri" w:hAnsi="Calibri" w:cs="Calibri"/>
          <w:bCs/>
          <w:color w:val="000000" w:themeColor="text1"/>
          <w:sz w:val="22"/>
          <w:szCs w:val="22"/>
        </w:rPr>
        <w:t xml:space="preserve">ents without HRR alterations or </w:t>
      </w:r>
      <w:r w:rsidRPr="00E9460F">
        <w:rPr>
          <w:rFonts w:ascii="Calibri" w:hAnsi="Calibri" w:cs="Calibri"/>
          <w:bCs/>
          <w:color w:val="000000" w:themeColor="text1"/>
          <w:sz w:val="22"/>
          <w:szCs w:val="22"/>
        </w:rPr>
        <w:t>other biomarkers. A positive example, however, is</w:t>
      </w:r>
      <w:r w:rsidR="00494334" w:rsidRPr="00E9460F">
        <w:rPr>
          <w:rFonts w:ascii="Calibri" w:hAnsi="Calibri" w:cs="Calibri"/>
          <w:bCs/>
          <w:color w:val="000000" w:themeColor="text1"/>
          <w:sz w:val="22"/>
          <w:szCs w:val="22"/>
        </w:rPr>
        <w:t xml:space="preserve"> the CARD </w:t>
      </w:r>
      <w:r w:rsidRPr="00E9460F">
        <w:rPr>
          <w:rFonts w:ascii="Calibri" w:hAnsi="Calibri" w:cs="Calibri"/>
          <w:bCs/>
          <w:color w:val="000000" w:themeColor="text1"/>
          <w:sz w:val="22"/>
          <w:szCs w:val="22"/>
        </w:rPr>
        <w:t>trial, which clearly established ca</w:t>
      </w:r>
      <w:r w:rsidR="00494334" w:rsidRPr="00E9460F">
        <w:rPr>
          <w:rFonts w:ascii="Calibri" w:hAnsi="Calibri" w:cs="Calibri"/>
          <w:bCs/>
          <w:color w:val="000000" w:themeColor="text1"/>
          <w:sz w:val="22"/>
          <w:szCs w:val="22"/>
        </w:rPr>
        <w:t xml:space="preserve">bazitaxel as a better thirdline </w:t>
      </w:r>
      <w:r w:rsidRPr="00E9460F">
        <w:rPr>
          <w:rFonts w:ascii="Calibri" w:hAnsi="Calibri" w:cs="Calibri"/>
          <w:bCs/>
          <w:color w:val="000000" w:themeColor="text1"/>
          <w:sz w:val="22"/>
          <w:szCs w:val="22"/>
        </w:rPr>
        <w:t>treatment in docetaxel pretreated patients after one</w:t>
      </w:r>
      <w:r w:rsidR="00494334" w:rsidRPr="00E9460F">
        <w:rPr>
          <w:rFonts w:ascii="Calibri" w:hAnsi="Calibri" w:cs="Calibri"/>
          <w:bCs/>
          <w:color w:val="000000" w:themeColor="text1"/>
          <w:sz w:val="22"/>
          <w:szCs w:val="22"/>
        </w:rPr>
        <w:t xml:space="preserve"> </w:t>
      </w:r>
      <w:r w:rsidRPr="00E9460F">
        <w:rPr>
          <w:rFonts w:ascii="Calibri" w:hAnsi="Calibri" w:cs="Calibri"/>
          <w:bCs/>
          <w:color w:val="000000" w:themeColor="text1"/>
          <w:sz w:val="22"/>
          <w:szCs w:val="22"/>
        </w:rPr>
        <w:t>ARPI when compared to use of a second ARPI [86].</w:t>
      </w:r>
    </w:p>
    <w:p w14:paraId="098836ED" w14:textId="729E3285" w:rsidR="003822DA" w:rsidRPr="00E9460F" w:rsidRDefault="003822DA" w:rsidP="003822DA">
      <w:pPr>
        <w:spacing w:line="276" w:lineRule="auto"/>
        <w:jc w:val="both"/>
        <w:rPr>
          <w:rFonts w:ascii="Calibri" w:hAnsi="Calibri" w:cs="Calibri"/>
          <w:bCs/>
          <w:color w:val="000000" w:themeColor="text1"/>
          <w:sz w:val="22"/>
          <w:szCs w:val="22"/>
        </w:rPr>
      </w:pPr>
      <w:r w:rsidRPr="00E9460F">
        <w:rPr>
          <w:rFonts w:ascii="Calibri" w:hAnsi="Calibri" w:cs="Calibri"/>
          <w:bCs/>
          <w:color w:val="000000" w:themeColor="text1"/>
          <w:sz w:val="22"/>
          <w:szCs w:val="22"/>
        </w:rPr>
        <w:t>The Eastern Coopera</w:t>
      </w:r>
      <w:r w:rsidR="00494334" w:rsidRPr="00E9460F">
        <w:rPr>
          <w:rFonts w:ascii="Calibri" w:hAnsi="Calibri" w:cs="Calibri"/>
          <w:bCs/>
          <w:color w:val="000000" w:themeColor="text1"/>
          <w:sz w:val="22"/>
          <w:szCs w:val="22"/>
        </w:rPr>
        <w:t xml:space="preserve">tive Oncology Group performance </w:t>
      </w:r>
      <w:r w:rsidRPr="00E9460F">
        <w:rPr>
          <w:rFonts w:ascii="Calibri" w:hAnsi="Calibri" w:cs="Calibri"/>
          <w:bCs/>
          <w:color w:val="000000" w:themeColor="text1"/>
          <w:sz w:val="22"/>
          <w:szCs w:val="22"/>
        </w:rPr>
        <w:t>status has been used to str</w:t>
      </w:r>
      <w:r w:rsidR="00494334" w:rsidRPr="00E9460F">
        <w:rPr>
          <w:rFonts w:ascii="Calibri" w:hAnsi="Calibri" w:cs="Calibri"/>
          <w:bCs/>
          <w:color w:val="000000" w:themeColor="text1"/>
          <w:sz w:val="22"/>
          <w:szCs w:val="22"/>
        </w:rPr>
        <w:t xml:space="preserve">atify patients. In general, men </w:t>
      </w:r>
      <w:r w:rsidRPr="00E9460F">
        <w:rPr>
          <w:rFonts w:ascii="Calibri" w:hAnsi="Calibri" w:cs="Calibri"/>
          <w:bCs/>
          <w:color w:val="000000" w:themeColor="text1"/>
          <w:sz w:val="22"/>
          <w:szCs w:val="22"/>
        </w:rPr>
        <w:t>with a performance status scor</w:t>
      </w:r>
      <w:r w:rsidR="00494334" w:rsidRPr="00E9460F">
        <w:rPr>
          <w:rFonts w:ascii="Calibri" w:hAnsi="Calibri" w:cs="Calibri"/>
          <w:bCs/>
          <w:color w:val="000000" w:themeColor="text1"/>
          <w:sz w:val="22"/>
          <w:szCs w:val="22"/>
        </w:rPr>
        <w:t xml:space="preserve">e of 0–1 are likely to tolerate </w:t>
      </w:r>
      <w:r w:rsidRPr="00E9460F">
        <w:rPr>
          <w:rFonts w:ascii="Calibri" w:hAnsi="Calibri" w:cs="Calibri"/>
          <w:bCs/>
          <w:color w:val="000000" w:themeColor="text1"/>
          <w:sz w:val="22"/>
          <w:szCs w:val="22"/>
        </w:rPr>
        <w:t>treatments, and those with a</w:t>
      </w:r>
      <w:r w:rsidR="00494334" w:rsidRPr="00E9460F">
        <w:rPr>
          <w:rFonts w:ascii="Calibri" w:hAnsi="Calibri" w:cs="Calibri"/>
          <w:bCs/>
          <w:color w:val="000000" w:themeColor="text1"/>
          <w:sz w:val="22"/>
          <w:szCs w:val="22"/>
        </w:rPr>
        <w:t xml:space="preserve"> score of &gt;2 are less likely to </w:t>
      </w:r>
      <w:r w:rsidRPr="00E9460F">
        <w:rPr>
          <w:rFonts w:ascii="Calibri" w:hAnsi="Calibri" w:cs="Calibri"/>
          <w:bCs/>
          <w:color w:val="000000" w:themeColor="text1"/>
          <w:sz w:val="22"/>
          <w:szCs w:val="22"/>
        </w:rPr>
        <w:t>benefit. However, it is imp</w:t>
      </w:r>
      <w:r w:rsidR="00494334" w:rsidRPr="00E9460F">
        <w:rPr>
          <w:rFonts w:ascii="Calibri" w:hAnsi="Calibri" w:cs="Calibri"/>
          <w:bCs/>
          <w:color w:val="000000" w:themeColor="text1"/>
          <w:sz w:val="22"/>
          <w:szCs w:val="22"/>
        </w:rPr>
        <w:t xml:space="preserve">ortant that treatment decisions </w:t>
      </w:r>
      <w:r w:rsidRPr="00E9460F">
        <w:rPr>
          <w:rFonts w:ascii="Calibri" w:hAnsi="Calibri" w:cs="Calibri"/>
          <w:bCs/>
          <w:color w:val="000000" w:themeColor="text1"/>
          <w:sz w:val="22"/>
          <w:szCs w:val="22"/>
        </w:rPr>
        <w:t xml:space="preserve">are </w:t>
      </w:r>
      <w:r w:rsidRPr="00E9460F">
        <w:rPr>
          <w:rFonts w:ascii="Calibri" w:hAnsi="Calibri" w:cs="Calibri"/>
          <w:bCs/>
          <w:color w:val="000000" w:themeColor="text1"/>
          <w:sz w:val="22"/>
          <w:szCs w:val="22"/>
        </w:rPr>
        <w:lastRenderedPageBreak/>
        <w:t>individualised, in particular when sym</w:t>
      </w:r>
      <w:r w:rsidR="00494334" w:rsidRPr="00E9460F">
        <w:rPr>
          <w:rFonts w:ascii="Calibri" w:hAnsi="Calibri" w:cs="Calibri"/>
          <w:bCs/>
          <w:color w:val="000000" w:themeColor="text1"/>
          <w:sz w:val="22"/>
          <w:szCs w:val="22"/>
        </w:rPr>
        <w:t xml:space="preserve">ptoms related to </w:t>
      </w:r>
      <w:r w:rsidRPr="00E9460F">
        <w:rPr>
          <w:rFonts w:ascii="Calibri" w:hAnsi="Calibri" w:cs="Calibri"/>
          <w:bCs/>
          <w:color w:val="000000" w:themeColor="text1"/>
          <w:sz w:val="22"/>
          <w:szCs w:val="22"/>
        </w:rPr>
        <w:t>disease progression are impacting on performance status.</w:t>
      </w:r>
    </w:p>
    <w:p w14:paraId="1125C6A6" w14:textId="660E59AB" w:rsidR="000337C9" w:rsidRPr="00E9460F" w:rsidRDefault="003822DA" w:rsidP="003822DA">
      <w:pPr>
        <w:spacing w:line="276" w:lineRule="auto"/>
        <w:jc w:val="both"/>
        <w:rPr>
          <w:rFonts w:ascii="Calibri" w:hAnsi="Calibri" w:cs="Calibri"/>
          <w:bCs/>
          <w:color w:val="000000" w:themeColor="text1"/>
          <w:sz w:val="22"/>
          <w:szCs w:val="22"/>
        </w:rPr>
      </w:pPr>
      <w:r w:rsidRPr="00E9460F">
        <w:rPr>
          <w:rFonts w:ascii="Calibri" w:hAnsi="Calibri" w:cs="Calibri"/>
          <w:bCs/>
          <w:color w:val="000000" w:themeColor="text1"/>
          <w:sz w:val="22"/>
          <w:szCs w:val="22"/>
        </w:rPr>
        <w:t>In such cases, a trial of a</w:t>
      </w:r>
      <w:r w:rsidR="00494334" w:rsidRPr="00E9460F">
        <w:rPr>
          <w:rFonts w:ascii="Calibri" w:hAnsi="Calibri" w:cs="Calibri"/>
          <w:bCs/>
          <w:color w:val="000000" w:themeColor="text1"/>
          <w:sz w:val="22"/>
          <w:szCs w:val="22"/>
        </w:rPr>
        <w:t xml:space="preserve">ctive life-prolonging agents to </w:t>
      </w:r>
      <w:r w:rsidRPr="00E9460F">
        <w:rPr>
          <w:rFonts w:ascii="Calibri" w:hAnsi="Calibri" w:cs="Calibri"/>
          <w:bCs/>
          <w:color w:val="000000" w:themeColor="text1"/>
          <w:sz w:val="22"/>
          <w:szCs w:val="22"/>
        </w:rPr>
        <w:t xml:space="preserve">establish if a given treatment </w:t>
      </w:r>
      <w:r w:rsidR="00494334" w:rsidRPr="00E9460F">
        <w:rPr>
          <w:rFonts w:ascii="Calibri" w:hAnsi="Calibri" w:cs="Calibri"/>
          <w:bCs/>
          <w:color w:val="000000" w:themeColor="text1"/>
          <w:sz w:val="22"/>
          <w:szCs w:val="22"/>
        </w:rPr>
        <w:t xml:space="preserve">will improve performance status </w:t>
      </w:r>
      <w:r w:rsidRPr="00E9460F">
        <w:rPr>
          <w:rFonts w:ascii="Calibri" w:hAnsi="Calibri" w:cs="Calibri"/>
          <w:bCs/>
          <w:color w:val="000000" w:themeColor="text1"/>
          <w:sz w:val="22"/>
          <w:szCs w:val="22"/>
        </w:rPr>
        <w:t>may be appropriate.</w:t>
      </w:r>
    </w:p>
    <w:p w14:paraId="5ED3DC88" w14:textId="77777777" w:rsidR="00901AF1" w:rsidRPr="00E9460F" w:rsidRDefault="00901AF1" w:rsidP="000337C9">
      <w:pPr>
        <w:spacing w:line="276" w:lineRule="auto"/>
        <w:jc w:val="both"/>
        <w:rPr>
          <w:rFonts w:ascii="Calibri" w:hAnsi="Calibri" w:cs="Calibri"/>
          <w:bCs/>
          <w:color w:val="000000" w:themeColor="text1"/>
          <w:sz w:val="22"/>
          <w:szCs w:val="22"/>
        </w:rPr>
      </w:pPr>
    </w:p>
    <w:p w14:paraId="714298DB" w14:textId="356E28A3" w:rsidR="000337C9" w:rsidRPr="00E9460F" w:rsidRDefault="003822DA" w:rsidP="0021531F">
      <w:pPr>
        <w:autoSpaceDE w:val="0"/>
        <w:autoSpaceDN w:val="0"/>
        <w:adjustRightInd w:val="0"/>
        <w:spacing w:line="276" w:lineRule="auto"/>
        <w:ind w:left="720"/>
        <w:jc w:val="both"/>
        <w:rPr>
          <w:rFonts w:ascii="Calibri" w:eastAsia="Calibri" w:hAnsi="Calibri" w:cs="Calibri"/>
          <w:i/>
          <w:iCs/>
          <w:noProof/>
          <w:color w:val="000000" w:themeColor="text1"/>
          <w:sz w:val="22"/>
          <w:szCs w:val="22"/>
        </w:rPr>
      </w:pPr>
      <w:r w:rsidRPr="00E9460F">
        <w:rPr>
          <w:rFonts w:ascii="Calibri" w:eastAsia="Calibri" w:hAnsi="Calibri" w:cs="Calibri"/>
          <w:i/>
          <w:iCs/>
          <w:noProof/>
          <w:color w:val="000000" w:themeColor="text1"/>
          <w:sz w:val="22"/>
          <w:szCs w:val="22"/>
        </w:rPr>
        <w:t xml:space="preserve">3.3.5 </w:t>
      </w:r>
      <w:r w:rsidR="000337C9" w:rsidRPr="00E9460F">
        <w:rPr>
          <w:rFonts w:ascii="Calibri" w:eastAsia="Calibri" w:hAnsi="Calibri" w:cs="Calibri"/>
          <w:i/>
          <w:iCs/>
          <w:noProof/>
          <w:color w:val="000000" w:themeColor="text1"/>
          <w:sz w:val="22"/>
          <w:szCs w:val="22"/>
        </w:rPr>
        <w:t xml:space="preserve"> Preventing skeletal-related events</w:t>
      </w:r>
    </w:p>
    <w:p w14:paraId="49A77E1C" w14:textId="77777777" w:rsidR="0021531F" w:rsidRPr="00E9460F" w:rsidRDefault="003822DA" w:rsidP="0021531F">
      <w:pPr>
        <w:autoSpaceDE w:val="0"/>
        <w:autoSpaceDN w:val="0"/>
        <w:adjustRightInd w:val="0"/>
        <w:spacing w:line="276" w:lineRule="auto"/>
        <w:ind w:left="720"/>
        <w:jc w:val="both"/>
        <w:rPr>
          <w:rFonts w:ascii="Calibri" w:eastAsia="HelveticaNeue-Roman" w:hAnsi="Calibri" w:cs="Calibri"/>
          <w:i/>
          <w:iCs/>
          <w:noProof/>
          <w:color w:val="000000" w:themeColor="text1"/>
          <w:sz w:val="22"/>
          <w:szCs w:val="22"/>
        </w:rPr>
      </w:pPr>
      <w:r w:rsidRPr="00E9460F">
        <w:rPr>
          <w:rFonts w:ascii="Calibri" w:eastAsia="HelveticaNeue-Roman" w:hAnsi="Calibri" w:cs="Calibri"/>
          <w:i/>
          <w:iCs/>
          <w:noProof/>
          <w:color w:val="000000" w:themeColor="text1"/>
          <w:sz w:val="22"/>
          <w:szCs w:val="22"/>
        </w:rPr>
        <w:t>3.3.5.1. Bisphosphonates</w:t>
      </w:r>
      <w:r w:rsidR="002975AC" w:rsidRPr="00E9460F">
        <w:rPr>
          <w:rFonts w:ascii="Calibri" w:eastAsia="HelveticaNeue-Roman" w:hAnsi="Calibri" w:cs="Calibri"/>
          <w:i/>
          <w:iCs/>
          <w:noProof/>
          <w:color w:val="000000" w:themeColor="text1"/>
          <w:sz w:val="22"/>
          <w:szCs w:val="22"/>
        </w:rPr>
        <w:t xml:space="preserve">. </w:t>
      </w:r>
    </w:p>
    <w:p w14:paraId="7D5CECE5" w14:textId="6F988808" w:rsidR="003822DA" w:rsidRPr="00E9460F" w:rsidRDefault="002975AC" w:rsidP="003822DA">
      <w:pPr>
        <w:autoSpaceDE w:val="0"/>
        <w:autoSpaceDN w:val="0"/>
        <w:adjustRightInd w:val="0"/>
        <w:spacing w:line="276" w:lineRule="auto"/>
        <w:jc w:val="both"/>
        <w:rPr>
          <w:rFonts w:ascii="Calibri" w:eastAsia="HelveticaNeue-Roman" w:hAnsi="Calibri" w:cs="Calibri"/>
          <w:iCs/>
          <w:noProof/>
          <w:color w:val="000000" w:themeColor="text1"/>
          <w:sz w:val="22"/>
          <w:szCs w:val="22"/>
        </w:rPr>
      </w:pPr>
      <w:r w:rsidRPr="00E9460F">
        <w:rPr>
          <w:rFonts w:ascii="Calibri" w:eastAsia="HelveticaNeue-Roman" w:hAnsi="Calibri" w:cs="Calibri"/>
          <w:iCs/>
          <w:noProof/>
          <w:color w:val="000000" w:themeColor="text1"/>
          <w:sz w:val="22"/>
          <w:szCs w:val="22"/>
        </w:rPr>
        <w:t xml:space="preserve">The use of zoledronic acid to </w:t>
      </w:r>
      <w:r w:rsidR="003822DA" w:rsidRPr="00E9460F">
        <w:rPr>
          <w:rFonts w:ascii="Calibri" w:eastAsia="HelveticaNeue-Roman" w:hAnsi="Calibri" w:cs="Calibri"/>
          <w:iCs/>
          <w:noProof/>
          <w:color w:val="000000" w:themeColor="text1"/>
          <w:sz w:val="22"/>
          <w:szCs w:val="22"/>
        </w:rPr>
        <w:t>reduce skeletal-related e</w:t>
      </w:r>
      <w:r w:rsidRPr="00E9460F">
        <w:rPr>
          <w:rFonts w:ascii="Calibri" w:eastAsia="HelveticaNeue-Roman" w:hAnsi="Calibri" w:cs="Calibri"/>
          <w:iCs/>
          <w:noProof/>
          <w:color w:val="000000" w:themeColor="text1"/>
          <w:sz w:val="22"/>
          <w:szCs w:val="22"/>
        </w:rPr>
        <w:t xml:space="preserve">vents (SREs) has been evaluated </w:t>
      </w:r>
      <w:r w:rsidR="003822DA" w:rsidRPr="00E9460F">
        <w:rPr>
          <w:rFonts w:ascii="Calibri" w:eastAsia="HelveticaNeue-Roman" w:hAnsi="Calibri" w:cs="Calibri"/>
          <w:iCs/>
          <w:noProof/>
          <w:color w:val="000000" w:themeColor="text1"/>
          <w:sz w:val="22"/>
          <w:szCs w:val="22"/>
        </w:rPr>
        <w:t>in mCRPC. The study was cond</w:t>
      </w:r>
      <w:r w:rsidRPr="00E9460F">
        <w:rPr>
          <w:rFonts w:ascii="Calibri" w:eastAsia="HelveticaNeue-Roman" w:hAnsi="Calibri" w:cs="Calibri"/>
          <w:iCs/>
          <w:noProof/>
          <w:color w:val="000000" w:themeColor="text1"/>
          <w:sz w:val="22"/>
          <w:szCs w:val="22"/>
        </w:rPr>
        <w:t xml:space="preserve">ucted when no active anticancer </w:t>
      </w:r>
      <w:r w:rsidR="003822DA" w:rsidRPr="00E9460F">
        <w:rPr>
          <w:rFonts w:ascii="Calibri" w:eastAsia="HelveticaNeue-Roman" w:hAnsi="Calibri" w:cs="Calibri"/>
          <w:iCs/>
          <w:noProof/>
          <w:color w:val="000000" w:themeColor="text1"/>
          <w:sz w:val="22"/>
          <w:szCs w:val="22"/>
        </w:rPr>
        <w:t>treatments apart from docetaxel were available.</w:t>
      </w:r>
    </w:p>
    <w:p w14:paraId="518C42B3" w14:textId="67B608CF" w:rsidR="000337C9" w:rsidRPr="00E9460F" w:rsidRDefault="003822DA" w:rsidP="000337C9">
      <w:pPr>
        <w:autoSpaceDE w:val="0"/>
        <w:autoSpaceDN w:val="0"/>
        <w:adjustRightInd w:val="0"/>
        <w:spacing w:line="276" w:lineRule="auto"/>
        <w:jc w:val="both"/>
        <w:rPr>
          <w:rFonts w:ascii="Calibri" w:eastAsia="HelveticaNeue-Roman" w:hAnsi="Calibri" w:cs="Calibri"/>
          <w:iCs/>
          <w:noProof/>
          <w:color w:val="000000" w:themeColor="text1"/>
          <w:sz w:val="22"/>
          <w:szCs w:val="22"/>
        </w:rPr>
      </w:pPr>
      <w:r w:rsidRPr="00E9460F">
        <w:rPr>
          <w:rFonts w:ascii="Calibri" w:eastAsia="HelveticaNeue-Roman" w:hAnsi="Calibri" w:cs="Calibri"/>
          <w:iCs/>
          <w:noProof/>
          <w:color w:val="000000" w:themeColor="text1"/>
          <w:sz w:val="22"/>
          <w:szCs w:val="22"/>
        </w:rPr>
        <w:t xml:space="preserve">Patients who had CRPC with bone </w:t>
      </w:r>
      <w:r w:rsidR="002975AC" w:rsidRPr="00E9460F">
        <w:rPr>
          <w:rFonts w:ascii="Calibri" w:eastAsia="HelveticaNeue-Roman" w:hAnsi="Calibri" w:cs="Calibri"/>
          <w:iCs/>
          <w:noProof/>
          <w:color w:val="000000" w:themeColor="text1"/>
          <w:sz w:val="22"/>
          <w:szCs w:val="22"/>
        </w:rPr>
        <w:t xml:space="preserve">metastases (n = 643) </w:t>
      </w:r>
      <w:r w:rsidRPr="00E9460F">
        <w:rPr>
          <w:rFonts w:ascii="Calibri" w:eastAsia="HelveticaNeue-Roman" w:hAnsi="Calibri" w:cs="Calibri"/>
          <w:iCs/>
          <w:noProof/>
          <w:color w:val="000000" w:themeColor="text1"/>
          <w:sz w:val="22"/>
          <w:szCs w:val="22"/>
        </w:rPr>
        <w:t>were randomised to rec</w:t>
      </w:r>
      <w:r w:rsidR="002975AC" w:rsidRPr="00E9460F">
        <w:rPr>
          <w:rFonts w:ascii="Calibri" w:eastAsia="HelveticaNeue-Roman" w:hAnsi="Calibri" w:cs="Calibri"/>
          <w:iCs/>
          <w:noProof/>
          <w:color w:val="000000" w:themeColor="text1"/>
          <w:sz w:val="22"/>
          <w:szCs w:val="22"/>
        </w:rPr>
        <w:t xml:space="preserve">eive zoledronic acid (4 or 8 mg </w:t>
      </w:r>
      <w:r w:rsidRPr="00E9460F">
        <w:rPr>
          <w:rFonts w:ascii="Calibri" w:eastAsia="HelveticaNeue-Roman" w:hAnsi="Calibri" w:cs="Calibri"/>
          <w:iCs/>
          <w:noProof/>
          <w:color w:val="000000" w:themeColor="text1"/>
          <w:sz w:val="22"/>
          <w:szCs w:val="22"/>
        </w:rPr>
        <w:t xml:space="preserve">every 3 wk for 15 mo) </w:t>
      </w:r>
      <w:r w:rsidR="002975AC" w:rsidRPr="00E9460F">
        <w:rPr>
          <w:rFonts w:ascii="Calibri" w:eastAsia="HelveticaNeue-Roman" w:hAnsi="Calibri" w:cs="Calibri"/>
          <w:iCs/>
          <w:noProof/>
          <w:color w:val="000000" w:themeColor="text1"/>
          <w:sz w:val="22"/>
          <w:szCs w:val="22"/>
        </w:rPr>
        <w:t xml:space="preserve">or placebo [149]. The 8-mg dose </w:t>
      </w:r>
      <w:r w:rsidRPr="00E9460F">
        <w:rPr>
          <w:rFonts w:ascii="Calibri" w:eastAsia="HelveticaNeue-Roman" w:hAnsi="Calibri" w:cs="Calibri"/>
          <w:iCs/>
          <w:noProof/>
          <w:color w:val="000000" w:themeColor="text1"/>
          <w:sz w:val="22"/>
          <w:szCs w:val="22"/>
        </w:rPr>
        <w:t>was poorly tolerated a</w:t>
      </w:r>
      <w:r w:rsidR="002975AC" w:rsidRPr="00E9460F">
        <w:rPr>
          <w:rFonts w:ascii="Calibri" w:eastAsia="HelveticaNeue-Roman" w:hAnsi="Calibri" w:cs="Calibri"/>
          <w:iCs/>
          <w:noProof/>
          <w:color w:val="000000" w:themeColor="text1"/>
          <w:sz w:val="22"/>
          <w:szCs w:val="22"/>
        </w:rPr>
        <w:t xml:space="preserve">nd was reduced to 4 mg, but did </w:t>
      </w:r>
      <w:r w:rsidRPr="00E9460F">
        <w:rPr>
          <w:rFonts w:ascii="Calibri" w:eastAsia="HelveticaNeue-Roman" w:hAnsi="Calibri" w:cs="Calibri"/>
          <w:iCs/>
          <w:noProof/>
          <w:color w:val="000000" w:themeColor="text1"/>
          <w:sz w:val="22"/>
          <w:szCs w:val="22"/>
        </w:rPr>
        <w:t>not show a significant ben</w:t>
      </w:r>
      <w:r w:rsidR="002975AC" w:rsidRPr="00E9460F">
        <w:rPr>
          <w:rFonts w:ascii="Calibri" w:eastAsia="HelveticaNeue-Roman" w:hAnsi="Calibri" w:cs="Calibri"/>
          <w:iCs/>
          <w:noProof/>
          <w:color w:val="000000" w:themeColor="text1"/>
          <w:sz w:val="22"/>
          <w:szCs w:val="22"/>
        </w:rPr>
        <w:t>efit. However, at 15-mo and 24-</w:t>
      </w:r>
      <w:r w:rsidRPr="00E9460F">
        <w:rPr>
          <w:rFonts w:ascii="Calibri" w:eastAsia="HelveticaNeue-Roman" w:hAnsi="Calibri" w:cs="Calibri"/>
          <w:iCs/>
          <w:noProof/>
          <w:color w:val="000000" w:themeColor="text1"/>
          <w:sz w:val="22"/>
          <w:szCs w:val="22"/>
        </w:rPr>
        <w:t xml:space="preserve">mo follow-up, the group </w:t>
      </w:r>
      <w:r w:rsidR="002975AC" w:rsidRPr="00E9460F">
        <w:rPr>
          <w:rFonts w:ascii="Calibri" w:eastAsia="HelveticaNeue-Roman" w:hAnsi="Calibri" w:cs="Calibri"/>
          <w:iCs/>
          <w:noProof/>
          <w:color w:val="000000" w:themeColor="text1"/>
          <w:sz w:val="22"/>
          <w:szCs w:val="22"/>
        </w:rPr>
        <w:t xml:space="preserve">treated with 4 mg of zoledronic </w:t>
      </w:r>
      <w:r w:rsidRPr="00E9460F">
        <w:rPr>
          <w:rFonts w:ascii="Calibri" w:eastAsia="HelveticaNeue-Roman" w:hAnsi="Calibri" w:cs="Calibri"/>
          <w:iCs/>
          <w:noProof/>
          <w:color w:val="000000" w:themeColor="text1"/>
          <w:sz w:val="22"/>
          <w:szCs w:val="22"/>
        </w:rPr>
        <w:t xml:space="preserve">acid had fewer SREs in </w:t>
      </w:r>
      <w:r w:rsidR="002975AC" w:rsidRPr="00E9460F">
        <w:rPr>
          <w:rFonts w:ascii="Calibri" w:eastAsia="HelveticaNeue-Roman" w:hAnsi="Calibri" w:cs="Calibri"/>
          <w:iCs/>
          <w:noProof/>
          <w:color w:val="000000" w:themeColor="text1"/>
          <w:sz w:val="22"/>
          <w:szCs w:val="22"/>
        </w:rPr>
        <w:t xml:space="preserve">comparison to the placebo group </w:t>
      </w:r>
      <w:r w:rsidRPr="00E9460F">
        <w:rPr>
          <w:rFonts w:ascii="Calibri" w:eastAsia="HelveticaNeue-Roman" w:hAnsi="Calibri" w:cs="Calibri"/>
          <w:iCs/>
          <w:noProof/>
          <w:color w:val="000000" w:themeColor="text1"/>
          <w:sz w:val="22"/>
          <w:szCs w:val="22"/>
        </w:rPr>
        <w:t>(33% vs 44%; p = 0.021) and, in</w:t>
      </w:r>
      <w:r w:rsidR="002975AC" w:rsidRPr="00E9460F">
        <w:rPr>
          <w:rFonts w:ascii="Calibri" w:eastAsia="HelveticaNeue-Roman" w:hAnsi="Calibri" w:cs="Calibri"/>
          <w:iCs/>
          <w:noProof/>
          <w:color w:val="000000" w:themeColor="text1"/>
          <w:sz w:val="22"/>
          <w:szCs w:val="22"/>
        </w:rPr>
        <w:t xml:space="preserve"> particular, fewer pathological </w:t>
      </w:r>
      <w:r w:rsidRPr="00E9460F">
        <w:rPr>
          <w:rFonts w:ascii="Calibri" w:eastAsia="HelveticaNeue-Roman" w:hAnsi="Calibri" w:cs="Calibri"/>
          <w:iCs/>
          <w:noProof/>
          <w:color w:val="000000" w:themeColor="text1"/>
          <w:sz w:val="22"/>
          <w:szCs w:val="22"/>
        </w:rPr>
        <w:t xml:space="preserve">fractures (13.1% vs 22.1%; p </w:t>
      </w:r>
      <w:r w:rsidR="002975AC" w:rsidRPr="00E9460F">
        <w:rPr>
          <w:rFonts w:ascii="Calibri" w:eastAsia="HelveticaNeue-Roman" w:hAnsi="Calibri" w:cs="Calibri"/>
          <w:iCs/>
          <w:noProof/>
          <w:color w:val="000000" w:themeColor="text1"/>
          <w:sz w:val="22"/>
          <w:szCs w:val="22"/>
        </w:rPr>
        <w:t xml:space="preserve">= 0.015). Furthermore, the time </w:t>
      </w:r>
      <w:r w:rsidRPr="00E9460F">
        <w:rPr>
          <w:rFonts w:ascii="Calibri" w:eastAsia="HelveticaNeue-Roman" w:hAnsi="Calibri" w:cs="Calibri"/>
          <w:iCs/>
          <w:noProof/>
          <w:color w:val="000000" w:themeColor="text1"/>
          <w:sz w:val="22"/>
          <w:szCs w:val="22"/>
        </w:rPr>
        <w:t>to first SRE was longer in the zoled</w:t>
      </w:r>
      <w:r w:rsidR="002975AC" w:rsidRPr="00E9460F">
        <w:rPr>
          <w:rFonts w:ascii="Calibri" w:eastAsia="HelveticaNeue-Roman" w:hAnsi="Calibri" w:cs="Calibri"/>
          <w:iCs/>
          <w:noProof/>
          <w:color w:val="000000" w:themeColor="text1"/>
          <w:sz w:val="22"/>
          <w:szCs w:val="22"/>
        </w:rPr>
        <w:t xml:space="preserve">ronic acid group. No survival </w:t>
      </w:r>
      <w:r w:rsidRPr="00E9460F">
        <w:rPr>
          <w:rFonts w:ascii="Calibri" w:eastAsia="HelveticaNeue-Roman" w:hAnsi="Calibri" w:cs="Calibri"/>
          <w:iCs/>
          <w:noProof/>
          <w:color w:val="000000" w:themeColor="text1"/>
          <w:sz w:val="22"/>
          <w:szCs w:val="22"/>
        </w:rPr>
        <w:t>benefit has been see</w:t>
      </w:r>
      <w:r w:rsidR="002975AC" w:rsidRPr="00E9460F">
        <w:rPr>
          <w:rFonts w:ascii="Calibri" w:eastAsia="HelveticaNeue-Roman" w:hAnsi="Calibri" w:cs="Calibri"/>
          <w:iCs/>
          <w:noProof/>
          <w:color w:val="000000" w:themeColor="text1"/>
          <w:sz w:val="22"/>
          <w:szCs w:val="22"/>
        </w:rPr>
        <w:t xml:space="preserve">n in any prospective trial with </w:t>
      </w:r>
      <w:r w:rsidRPr="00E9460F">
        <w:rPr>
          <w:rFonts w:ascii="Calibri" w:eastAsia="HelveticaNeue-Roman" w:hAnsi="Calibri" w:cs="Calibri"/>
          <w:iCs/>
          <w:noProof/>
          <w:color w:val="000000" w:themeColor="text1"/>
          <w:sz w:val="22"/>
          <w:szCs w:val="22"/>
        </w:rPr>
        <w:t>bisphosphonates.</w:t>
      </w:r>
    </w:p>
    <w:p w14:paraId="4D7CE802" w14:textId="77777777" w:rsidR="002975AC" w:rsidRPr="00E9460F" w:rsidRDefault="002975AC" w:rsidP="000337C9">
      <w:pPr>
        <w:autoSpaceDE w:val="0"/>
        <w:autoSpaceDN w:val="0"/>
        <w:adjustRightInd w:val="0"/>
        <w:spacing w:line="276" w:lineRule="auto"/>
        <w:jc w:val="both"/>
        <w:rPr>
          <w:rFonts w:ascii="Calibri" w:eastAsia="HelveticaNeue-Roman" w:hAnsi="Calibri" w:cs="Calibri"/>
          <w:i/>
          <w:iCs/>
          <w:noProof/>
          <w:color w:val="000000" w:themeColor="text1"/>
          <w:sz w:val="22"/>
          <w:szCs w:val="22"/>
        </w:rPr>
      </w:pPr>
    </w:p>
    <w:p w14:paraId="53BD5C29" w14:textId="77777777" w:rsidR="0021531F" w:rsidRPr="00E9460F" w:rsidRDefault="003822DA" w:rsidP="0021531F">
      <w:pPr>
        <w:spacing w:line="276" w:lineRule="auto"/>
        <w:ind w:left="720"/>
        <w:jc w:val="both"/>
        <w:rPr>
          <w:rFonts w:ascii="Calibri" w:hAnsi="Calibri" w:cs="Calibri"/>
          <w:bCs/>
          <w:color w:val="000000"/>
          <w:sz w:val="22"/>
          <w:szCs w:val="22"/>
        </w:rPr>
      </w:pPr>
      <w:r w:rsidRPr="00E9460F">
        <w:rPr>
          <w:rFonts w:ascii="Calibri" w:hAnsi="Calibri" w:cs="Calibri"/>
          <w:bCs/>
          <w:i/>
          <w:color w:val="000000"/>
          <w:sz w:val="22"/>
          <w:szCs w:val="22"/>
        </w:rPr>
        <w:t>3.3.5.2. RANK ligand i</w:t>
      </w:r>
      <w:r w:rsidR="002975AC" w:rsidRPr="00E9460F">
        <w:rPr>
          <w:rFonts w:ascii="Calibri" w:hAnsi="Calibri" w:cs="Calibri"/>
          <w:bCs/>
          <w:i/>
          <w:color w:val="000000"/>
          <w:sz w:val="22"/>
          <w:szCs w:val="22"/>
        </w:rPr>
        <w:t>nhibitors.</w:t>
      </w:r>
      <w:r w:rsidR="002975AC" w:rsidRPr="00E9460F">
        <w:rPr>
          <w:rFonts w:ascii="Calibri" w:hAnsi="Calibri" w:cs="Calibri"/>
          <w:bCs/>
          <w:color w:val="000000"/>
          <w:sz w:val="22"/>
          <w:szCs w:val="22"/>
        </w:rPr>
        <w:t xml:space="preserve"> </w:t>
      </w:r>
    </w:p>
    <w:p w14:paraId="72D71573" w14:textId="0A5AAD77" w:rsidR="003822DA" w:rsidRPr="00E9460F" w:rsidRDefault="002975AC" w:rsidP="003822DA">
      <w:pPr>
        <w:spacing w:line="276" w:lineRule="auto"/>
        <w:jc w:val="both"/>
        <w:rPr>
          <w:rFonts w:ascii="Calibri" w:hAnsi="Calibri" w:cs="Calibri"/>
          <w:bCs/>
          <w:color w:val="000000"/>
          <w:sz w:val="22"/>
          <w:szCs w:val="22"/>
        </w:rPr>
      </w:pPr>
      <w:r w:rsidRPr="00E9460F">
        <w:rPr>
          <w:rFonts w:ascii="Calibri" w:hAnsi="Calibri" w:cs="Calibri"/>
          <w:bCs/>
          <w:color w:val="000000"/>
          <w:sz w:val="22"/>
          <w:szCs w:val="22"/>
        </w:rPr>
        <w:t xml:space="preserve">Denosumab is a fully </w:t>
      </w:r>
      <w:r w:rsidR="003822DA" w:rsidRPr="00E9460F">
        <w:rPr>
          <w:rFonts w:ascii="Calibri" w:hAnsi="Calibri" w:cs="Calibri"/>
          <w:bCs/>
          <w:color w:val="000000"/>
          <w:sz w:val="22"/>
          <w:szCs w:val="22"/>
        </w:rPr>
        <w:t>human monoclonal antibody d</w:t>
      </w:r>
      <w:r w:rsidRPr="00E9460F">
        <w:rPr>
          <w:rFonts w:ascii="Calibri" w:hAnsi="Calibri" w:cs="Calibri"/>
          <w:bCs/>
          <w:color w:val="000000"/>
          <w:sz w:val="22"/>
          <w:szCs w:val="22"/>
        </w:rPr>
        <w:t xml:space="preserve">irected against RANKL (receptor </w:t>
      </w:r>
      <w:r w:rsidR="003822DA" w:rsidRPr="00E9460F">
        <w:rPr>
          <w:rFonts w:ascii="Calibri" w:hAnsi="Calibri" w:cs="Calibri"/>
          <w:bCs/>
          <w:color w:val="000000"/>
          <w:sz w:val="22"/>
          <w:szCs w:val="22"/>
        </w:rPr>
        <w:t>activator of NFjB ligand), a key mediator o</w:t>
      </w:r>
      <w:r w:rsidRPr="00E9460F">
        <w:rPr>
          <w:rFonts w:ascii="Calibri" w:hAnsi="Calibri" w:cs="Calibri"/>
          <w:bCs/>
          <w:color w:val="000000"/>
          <w:sz w:val="22"/>
          <w:szCs w:val="22"/>
        </w:rPr>
        <w:t xml:space="preserve">f osteoclast </w:t>
      </w:r>
      <w:r w:rsidR="003822DA" w:rsidRPr="00E9460F">
        <w:rPr>
          <w:rFonts w:ascii="Calibri" w:hAnsi="Calibri" w:cs="Calibri"/>
          <w:bCs/>
          <w:color w:val="000000"/>
          <w:sz w:val="22"/>
          <w:szCs w:val="22"/>
        </w:rPr>
        <w:t>formation, func</w:t>
      </w:r>
      <w:r w:rsidRPr="00E9460F">
        <w:rPr>
          <w:rFonts w:ascii="Calibri" w:hAnsi="Calibri" w:cs="Calibri"/>
          <w:bCs/>
          <w:color w:val="000000"/>
          <w:sz w:val="22"/>
          <w:szCs w:val="22"/>
        </w:rPr>
        <w:t xml:space="preserve">tion, and survival. In M0 CRPC, </w:t>
      </w:r>
      <w:r w:rsidR="003822DA" w:rsidRPr="00E9460F">
        <w:rPr>
          <w:rFonts w:ascii="Calibri" w:hAnsi="Calibri" w:cs="Calibri"/>
          <w:bCs/>
          <w:color w:val="000000"/>
          <w:sz w:val="22"/>
          <w:szCs w:val="22"/>
        </w:rPr>
        <w:t>denosumab has been associ</w:t>
      </w:r>
      <w:r w:rsidRPr="00E9460F">
        <w:rPr>
          <w:rFonts w:ascii="Calibri" w:hAnsi="Calibri" w:cs="Calibri"/>
          <w:bCs/>
          <w:color w:val="000000"/>
          <w:sz w:val="22"/>
          <w:szCs w:val="22"/>
        </w:rPr>
        <w:t xml:space="preserve">ated with greater bone-specific </w:t>
      </w:r>
      <w:r w:rsidR="003822DA" w:rsidRPr="00E9460F">
        <w:rPr>
          <w:rFonts w:ascii="Calibri" w:hAnsi="Calibri" w:cs="Calibri"/>
          <w:bCs/>
          <w:color w:val="000000"/>
          <w:sz w:val="22"/>
          <w:szCs w:val="22"/>
        </w:rPr>
        <w:t>MFS in comparison to pla</w:t>
      </w:r>
      <w:r w:rsidRPr="00E9460F">
        <w:rPr>
          <w:rFonts w:ascii="Calibri" w:hAnsi="Calibri" w:cs="Calibri"/>
          <w:bCs/>
          <w:color w:val="000000"/>
          <w:sz w:val="22"/>
          <w:szCs w:val="22"/>
        </w:rPr>
        <w:t xml:space="preserve">cebo (median benefit 4.2 mo; HR </w:t>
      </w:r>
      <w:r w:rsidR="003822DA" w:rsidRPr="00E9460F">
        <w:rPr>
          <w:rFonts w:ascii="Calibri" w:hAnsi="Calibri" w:cs="Calibri"/>
          <w:bCs/>
          <w:color w:val="000000"/>
          <w:sz w:val="22"/>
          <w:szCs w:val="22"/>
        </w:rPr>
        <w:t>0.85; p = 0.028). This benefit did not translate into a survival</w:t>
      </w:r>
    </w:p>
    <w:p w14:paraId="11BAE1A9" w14:textId="110BD5DA" w:rsidR="003822DA" w:rsidRPr="00E9460F" w:rsidRDefault="003822DA" w:rsidP="003822DA">
      <w:pPr>
        <w:spacing w:line="276" w:lineRule="auto"/>
        <w:jc w:val="both"/>
        <w:rPr>
          <w:rFonts w:ascii="Calibri" w:hAnsi="Calibri" w:cs="Calibri"/>
          <w:bCs/>
          <w:color w:val="000000"/>
          <w:sz w:val="22"/>
          <w:szCs w:val="22"/>
        </w:rPr>
      </w:pPr>
      <w:proofErr w:type="gramStart"/>
      <w:r w:rsidRPr="00E9460F">
        <w:rPr>
          <w:rFonts w:ascii="Calibri" w:hAnsi="Calibri" w:cs="Calibri"/>
          <w:bCs/>
          <w:color w:val="000000"/>
          <w:sz w:val="22"/>
          <w:szCs w:val="22"/>
        </w:rPr>
        <w:t>difference</w:t>
      </w:r>
      <w:proofErr w:type="gramEnd"/>
      <w:r w:rsidRPr="00E9460F">
        <w:rPr>
          <w:rFonts w:ascii="Calibri" w:hAnsi="Calibri" w:cs="Calibri"/>
          <w:bCs/>
          <w:color w:val="000000"/>
          <w:sz w:val="22"/>
          <w:szCs w:val="22"/>
        </w:rPr>
        <w:t xml:space="preserve"> (43.9 vs 44.8 m</w:t>
      </w:r>
      <w:r w:rsidR="002975AC" w:rsidRPr="00E9460F">
        <w:rPr>
          <w:rFonts w:ascii="Calibri" w:hAnsi="Calibri" w:cs="Calibri"/>
          <w:bCs/>
          <w:color w:val="000000"/>
          <w:sz w:val="22"/>
          <w:szCs w:val="22"/>
        </w:rPr>
        <w:t xml:space="preserve">o), and neither the FDA nor the </w:t>
      </w:r>
      <w:r w:rsidRPr="00E9460F">
        <w:rPr>
          <w:rFonts w:ascii="Calibri" w:hAnsi="Calibri" w:cs="Calibri"/>
          <w:bCs/>
          <w:color w:val="000000"/>
          <w:sz w:val="22"/>
          <w:szCs w:val="22"/>
        </w:rPr>
        <w:t>EMA has approved denosumab for this indication [150].</w:t>
      </w:r>
    </w:p>
    <w:p w14:paraId="7D0581C9" w14:textId="0C8460AB" w:rsidR="003822DA" w:rsidRPr="00E9460F" w:rsidRDefault="003822DA" w:rsidP="003822DA">
      <w:pPr>
        <w:spacing w:line="276" w:lineRule="auto"/>
        <w:jc w:val="both"/>
        <w:rPr>
          <w:rFonts w:ascii="Calibri" w:hAnsi="Calibri" w:cs="Calibri"/>
          <w:bCs/>
          <w:color w:val="000000"/>
          <w:sz w:val="22"/>
          <w:szCs w:val="22"/>
        </w:rPr>
      </w:pPr>
      <w:r w:rsidRPr="00E9460F">
        <w:rPr>
          <w:rFonts w:ascii="Calibri" w:hAnsi="Calibri" w:cs="Calibri"/>
          <w:bCs/>
          <w:color w:val="000000"/>
          <w:sz w:val="22"/>
          <w:szCs w:val="22"/>
        </w:rPr>
        <w:t>The efficacy and safety of de</w:t>
      </w:r>
      <w:r w:rsidR="003F4CF7" w:rsidRPr="00E9460F">
        <w:rPr>
          <w:rFonts w:ascii="Calibri" w:hAnsi="Calibri" w:cs="Calibri"/>
          <w:bCs/>
          <w:color w:val="000000"/>
          <w:sz w:val="22"/>
          <w:szCs w:val="22"/>
        </w:rPr>
        <w:t xml:space="preserve">nosumab (n = 950) in comparison </w:t>
      </w:r>
      <w:r w:rsidRPr="00E9460F">
        <w:rPr>
          <w:rFonts w:ascii="Calibri" w:hAnsi="Calibri" w:cs="Calibri"/>
          <w:bCs/>
          <w:color w:val="000000"/>
          <w:sz w:val="22"/>
          <w:szCs w:val="22"/>
        </w:rPr>
        <w:t>to zoledronic acid (</w:t>
      </w:r>
      <w:r w:rsidR="003F4CF7" w:rsidRPr="00E9460F">
        <w:rPr>
          <w:rFonts w:ascii="Calibri" w:hAnsi="Calibri" w:cs="Calibri"/>
          <w:bCs/>
          <w:color w:val="000000"/>
          <w:sz w:val="22"/>
          <w:szCs w:val="22"/>
        </w:rPr>
        <w:t xml:space="preserve">n = 951) in patients with mCRPC </w:t>
      </w:r>
      <w:r w:rsidRPr="00E9460F">
        <w:rPr>
          <w:rFonts w:ascii="Calibri" w:hAnsi="Calibri" w:cs="Calibri"/>
          <w:bCs/>
          <w:color w:val="000000"/>
          <w:sz w:val="22"/>
          <w:szCs w:val="22"/>
        </w:rPr>
        <w:t>was assessed in a phase 3 trial. Denosumab was su</w:t>
      </w:r>
      <w:r w:rsidR="003F4CF7" w:rsidRPr="00E9460F">
        <w:rPr>
          <w:rFonts w:ascii="Calibri" w:hAnsi="Calibri" w:cs="Calibri"/>
          <w:bCs/>
          <w:color w:val="000000"/>
          <w:sz w:val="22"/>
          <w:szCs w:val="22"/>
        </w:rPr>
        <w:t xml:space="preserve">perior to </w:t>
      </w:r>
      <w:r w:rsidRPr="00E9460F">
        <w:rPr>
          <w:rFonts w:ascii="Calibri" w:hAnsi="Calibri" w:cs="Calibri"/>
          <w:bCs/>
          <w:color w:val="000000"/>
          <w:sz w:val="22"/>
          <w:szCs w:val="22"/>
        </w:rPr>
        <w:t xml:space="preserve">zoledronic acid in delaying </w:t>
      </w:r>
      <w:r w:rsidR="003F4CF7" w:rsidRPr="00E9460F">
        <w:rPr>
          <w:rFonts w:ascii="Calibri" w:hAnsi="Calibri" w:cs="Calibri"/>
          <w:bCs/>
          <w:color w:val="000000"/>
          <w:sz w:val="22"/>
          <w:szCs w:val="22"/>
        </w:rPr>
        <w:t xml:space="preserve">or preventing SREs, as shown by </w:t>
      </w:r>
      <w:r w:rsidRPr="00E9460F">
        <w:rPr>
          <w:rFonts w:ascii="Calibri" w:hAnsi="Calibri" w:cs="Calibri"/>
          <w:bCs/>
          <w:color w:val="000000"/>
          <w:sz w:val="22"/>
          <w:szCs w:val="22"/>
        </w:rPr>
        <w:t>the longer time to first on-st</w:t>
      </w:r>
      <w:r w:rsidR="003F4CF7" w:rsidRPr="00E9460F">
        <w:rPr>
          <w:rFonts w:ascii="Calibri" w:hAnsi="Calibri" w:cs="Calibri"/>
          <w:bCs/>
          <w:color w:val="000000"/>
          <w:sz w:val="22"/>
          <w:szCs w:val="22"/>
        </w:rPr>
        <w:t xml:space="preserve">udy SRE (pathological fracture, </w:t>
      </w:r>
      <w:r w:rsidRPr="00E9460F">
        <w:rPr>
          <w:rFonts w:ascii="Calibri" w:hAnsi="Calibri" w:cs="Calibri"/>
          <w:bCs/>
          <w:color w:val="000000"/>
          <w:sz w:val="22"/>
          <w:szCs w:val="22"/>
        </w:rPr>
        <w:t>bone radiation or surgery,</w:t>
      </w:r>
      <w:r w:rsidR="003F4CF7" w:rsidRPr="00E9460F">
        <w:rPr>
          <w:rFonts w:ascii="Calibri" w:hAnsi="Calibri" w:cs="Calibri"/>
          <w:bCs/>
          <w:color w:val="000000"/>
          <w:sz w:val="22"/>
          <w:szCs w:val="22"/>
        </w:rPr>
        <w:t xml:space="preserve"> or spinal cord compression) of </w:t>
      </w:r>
      <w:r w:rsidRPr="00E9460F">
        <w:rPr>
          <w:rFonts w:ascii="Calibri" w:hAnsi="Calibri" w:cs="Calibri"/>
          <w:bCs/>
          <w:color w:val="000000"/>
          <w:sz w:val="22"/>
          <w:szCs w:val="22"/>
        </w:rPr>
        <w:t>20.7 versus 17.1 mo (HR 0.82; p = 0.008). Both urinary Ntelopeptid</w:t>
      </w:r>
      <w:r w:rsidR="003F4CF7" w:rsidRPr="00E9460F">
        <w:rPr>
          <w:rFonts w:ascii="Calibri" w:hAnsi="Calibri" w:cs="Calibri"/>
          <w:bCs/>
          <w:color w:val="000000"/>
          <w:sz w:val="22"/>
          <w:szCs w:val="22"/>
        </w:rPr>
        <w:t xml:space="preserve">e </w:t>
      </w:r>
      <w:r w:rsidRPr="00E9460F">
        <w:rPr>
          <w:rFonts w:ascii="Calibri" w:hAnsi="Calibri" w:cs="Calibri"/>
          <w:bCs/>
          <w:color w:val="000000"/>
          <w:sz w:val="22"/>
          <w:szCs w:val="22"/>
        </w:rPr>
        <w:t>and bone-spe</w:t>
      </w:r>
      <w:r w:rsidR="003F4CF7" w:rsidRPr="00E9460F">
        <w:rPr>
          <w:rFonts w:ascii="Calibri" w:hAnsi="Calibri" w:cs="Calibri"/>
          <w:bCs/>
          <w:color w:val="000000"/>
          <w:sz w:val="22"/>
          <w:szCs w:val="22"/>
        </w:rPr>
        <w:t xml:space="preserve">cific alkaline phosphatase were </w:t>
      </w:r>
      <w:r w:rsidRPr="00E9460F">
        <w:rPr>
          <w:rFonts w:ascii="Calibri" w:hAnsi="Calibri" w:cs="Calibri"/>
          <w:bCs/>
          <w:color w:val="000000"/>
          <w:sz w:val="22"/>
          <w:szCs w:val="22"/>
        </w:rPr>
        <w:t xml:space="preserve">significantly suppressed in </w:t>
      </w:r>
      <w:r w:rsidR="003F4CF7" w:rsidRPr="00E9460F">
        <w:rPr>
          <w:rFonts w:ascii="Calibri" w:hAnsi="Calibri" w:cs="Calibri"/>
          <w:bCs/>
          <w:color w:val="000000"/>
          <w:sz w:val="22"/>
          <w:szCs w:val="22"/>
        </w:rPr>
        <w:t xml:space="preserve">the denosumab arm in comparison </w:t>
      </w:r>
      <w:r w:rsidRPr="00E9460F">
        <w:rPr>
          <w:rFonts w:ascii="Calibri" w:hAnsi="Calibri" w:cs="Calibri"/>
          <w:bCs/>
          <w:color w:val="000000"/>
          <w:sz w:val="22"/>
          <w:szCs w:val="22"/>
        </w:rPr>
        <w:t xml:space="preserve">to the zoledronic acid arm </w:t>
      </w:r>
      <w:r w:rsidR="003F4CF7" w:rsidRPr="00E9460F">
        <w:rPr>
          <w:rFonts w:ascii="Calibri" w:hAnsi="Calibri" w:cs="Calibri"/>
          <w:bCs/>
          <w:color w:val="000000"/>
          <w:sz w:val="22"/>
          <w:szCs w:val="22"/>
        </w:rPr>
        <w:t xml:space="preserve">(p &lt; 0.0001 for both). However, </w:t>
      </w:r>
      <w:r w:rsidRPr="00E9460F">
        <w:rPr>
          <w:rFonts w:ascii="Calibri" w:hAnsi="Calibri" w:cs="Calibri"/>
          <w:bCs/>
          <w:color w:val="000000"/>
          <w:sz w:val="22"/>
          <w:szCs w:val="22"/>
        </w:rPr>
        <w:t>these findings were n</w:t>
      </w:r>
      <w:r w:rsidR="003F4CF7" w:rsidRPr="00E9460F">
        <w:rPr>
          <w:rFonts w:ascii="Calibri" w:hAnsi="Calibri" w:cs="Calibri"/>
          <w:bCs/>
          <w:color w:val="000000"/>
          <w:sz w:val="22"/>
          <w:szCs w:val="22"/>
        </w:rPr>
        <w:t xml:space="preserve">ot associated with any survival </w:t>
      </w:r>
      <w:r w:rsidRPr="00E9460F">
        <w:rPr>
          <w:rFonts w:ascii="Calibri" w:hAnsi="Calibri" w:cs="Calibri"/>
          <w:bCs/>
          <w:color w:val="000000"/>
          <w:sz w:val="22"/>
          <w:szCs w:val="22"/>
        </w:rPr>
        <w:t xml:space="preserve">benefit, and a post hoc re-evaluation </w:t>
      </w:r>
      <w:r w:rsidR="003F4CF7" w:rsidRPr="00E9460F">
        <w:rPr>
          <w:rFonts w:ascii="Calibri" w:hAnsi="Calibri" w:cs="Calibri"/>
          <w:bCs/>
          <w:color w:val="000000"/>
          <w:sz w:val="22"/>
          <w:szCs w:val="22"/>
        </w:rPr>
        <w:t xml:space="preserve">of endpoints demonstrated </w:t>
      </w:r>
      <w:r w:rsidRPr="00E9460F">
        <w:rPr>
          <w:rFonts w:ascii="Calibri" w:hAnsi="Calibri" w:cs="Calibri"/>
          <w:bCs/>
          <w:color w:val="000000"/>
          <w:sz w:val="22"/>
          <w:szCs w:val="22"/>
        </w:rPr>
        <w:t>that denosuma</w:t>
      </w:r>
      <w:r w:rsidR="003F4CF7" w:rsidRPr="00E9460F">
        <w:rPr>
          <w:rFonts w:ascii="Calibri" w:hAnsi="Calibri" w:cs="Calibri"/>
          <w:bCs/>
          <w:color w:val="000000"/>
          <w:sz w:val="22"/>
          <w:szCs w:val="22"/>
        </w:rPr>
        <w:t xml:space="preserve">b showed identical results when </w:t>
      </w:r>
      <w:r w:rsidRPr="00E9460F">
        <w:rPr>
          <w:rFonts w:ascii="Calibri" w:hAnsi="Calibri" w:cs="Calibri"/>
          <w:bCs/>
          <w:color w:val="000000"/>
          <w:sz w:val="22"/>
          <w:szCs w:val="22"/>
        </w:rPr>
        <w:t>comparing SREs and symptomatic skeletal events [151].</w:t>
      </w:r>
    </w:p>
    <w:p w14:paraId="5B1B9334" w14:textId="7947B159" w:rsidR="003822DA" w:rsidRPr="0021531F" w:rsidRDefault="003822DA" w:rsidP="003822DA">
      <w:pPr>
        <w:spacing w:line="276" w:lineRule="auto"/>
        <w:jc w:val="both"/>
        <w:rPr>
          <w:rFonts w:ascii="Calibri" w:hAnsi="Calibri" w:cs="Calibri"/>
          <w:bCs/>
          <w:color w:val="000000"/>
          <w:sz w:val="22"/>
          <w:szCs w:val="22"/>
        </w:rPr>
      </w:pPr>
      <w:r w:rsidRPr="00E9460F">
        <w:rPr>
          <w:rFonts w:ascii="Calibri" w:hAnsi="Calibri" w:cs="Calibri"/>
          <w:bCs/>
          <w:color w:val="000000"/>
          <w:sz w:val="22"/>
          <w:szCs w:val="22"/>
        </w:rPr>
        <w:t>The potential toxicity of th</w:t>
      </w:r>
      <w:r w:rsidR="003F4CF7" w:rsidRPr="00E9460F">
        <w:rPr>
          <w:rFonts w:ascii="Calibri" w:hAnsi="Calibri" w:cs="Calibri"/>
          <w:bCs/>
          <w:color w:val="000000"/>
          <w:sz w:val="22"/>
          <w:szCs w:val="22"/>
        </w:rPr>
        <w:t xml:space="preserve">ese drugs (eg, osteonecrosis of </w:t>
      </w:r>
      <w:r w:rsidRPr="00E9460F">
        <w:rPr>
          <w:rFonts w:ascii="Calibri" w:hAnsi="Calibri" w:cs="Calibri"/>
          <w:bCs/>
          <w:color w:val="000000"/>
          <w:sz w:val="22"/>
          <w:szCs w:val="22"/>
        </w:rPr>
        <w:t>the jaw, hypocalcaemia) mus</w:t>
      </w:r>
      <w:r w:rsidR="003F4CF7" w:rsidRPr="00E9460F">
        <w:rPr>
          <w:rFonts w:ascii="Calibri" w:hAnsi="Calibri" w:cs="Calibri"/>
          <w:bCs/>
          <w:color w:val="000000"/>
          <w:sz w:val="22"/>
          <w:szCs w:val="22"/>
        </w:rPr>
        <w:t xml:space="preserve">t always be kept in mind (5% in </w:t>
      </w:r>
      <w:r w:rsidRPr="00E9460F">
        <w:rPr>
          <w:rFonts w:ascii="Calibri" w:hAnsi="Calibri" w:cs="Calibri"/>
          <w:bCs/>
          <w:color w:val="000000"/>
          <w:sz w:val="22"/>
          <w:szCs w:val="22"/>
        </w:rPr>
        <w:t>M0 CRPC and 8.2% in mC</w:t>
      </w:r>
      <w:r w:rsidR="003F4CF7" w:rsidRPr="00E9460F">
        <w:rPr>
          <w:rFonts w:ascii="Calibri" w:hAnsi="Calibri" w:cs="Calibri"/>
          <w:bCs/>
          <w:color w:val="000000"/>
          <w:sz w:val="22"/>
          <w:szCs w:val="22"/>
        </w:rPr>
        <w:t xml:space="preserve">RPC) [152,153]. Patients should </w:t>
      </w:r>
      <w:r w:rsidRPr="00E9460F">
        <w:rPr>
          <w:rFonts w:ascii="Calibri" w:hAnsi="Calibri" w:cs="Calibri"/>
          <w:bCs/>
          <w:color w:val="000000"/>
          <w:sz w:val="22"/>
          <w:szCs w:val="22"/>
        </w:rPr>
        <w:t xml:space="preserve">have a dental examination </w:t>
      </w:r>
      <w:r w:rsidR="003F4CF7" w:rsidRPr="00E9460F">
        <w:rPr>
          <w:rFonts w:ascii="Calibri" w:hAnsi="Calibri" w:cs="Calibri"/>
          <w:bCs/>
          <w:color w:val="000000"/>
          <w:sz w:val="22"/>
          <w:szCs w:val="22"/>
        </w:rPr>
        <w:t xml:space="preserve">before starting therapy, as the </w:t>
      </w:r>
      <w:r w:rsidRPr="00E9460F">
        <w:rPr>
          <w:rFonts w:ascii="Calibri" w:hAnsi="Calibri" w:cs="Calibri"/>
          <w:bCs/>
          <w:color w:val="000000"/>
          <w:sz w:val="22"/>
          <w:szCs w:val="22"/>
        </w:rPr>
        <w:t>risk of jaw necrosis is inc</w:t>
      </w:r>
      <w:r w:rsidR="003F4CF7" w:rsidRPr="00E9460F">
        <w:rPr>
          <w:rFonts w:ascii="Calibri" w:hAnsi="Calibri" w:cs="Calibri"/>
          <w:bCs/>
          <w:color w:val="000000"/>
          <w:sz w:val="22"/>
          <w:szCs w:val="22"/>
        </w:rPr>
        <w:t xml:space="preserve">reased by several risk factors, </w:t>
      </w:r>
      <w:r w:rsidRPr="00E9460F">
        <w:rPr>
          <w:rFonts w:ascii="Calibri" w:hAnsi="Calibri" w:cs="Calibri"/>
          <w:bCs/>
          <w:color w:val="000000"/>
          <w:sz w:val="22"/>
          <w:szCs w:val="22"/>
        </w:rPr>
        <w:t>including a history of tr</w:t>
      </w:r>
      <w:r w:rsidR="003F4CF7" w:rsidRPr="00E9460F">
        <w:rPr>
          <w:rFonts w:ascii="Calibri" w:hAnsi="Calibri" w:cs="Calibri"/>
          <w:bCs/>
          <w:color w:val="000000"/>
          <w:sz w:val="22"/>
          <w:szCs w:val="22"/>
        </w:rPr>
        <w:t xml:space="preserve">auma, dental surgery, or dental </w:t>
      </w:r>
      <w:r w:rsidRPr="00E9460F">
        <w:rPr>
          <w:rFonts w:ascii="Calibri" w:hAnsi="Calibri" w:cs="Calibri"/>
          <w:bCs/>
          <w:color w:val="000000"/>
          <w:sz w:val="22"/>
          <w:szCs w:val="22"/>
        </w:rPr>
        <w:t>infection [154]. The risk of osteonecros</w:t>
      </w:r>
      <w:r w:rsidR="003F4CF7" w:rsidRPr="00E9460F">
        <w:rPr>
          <w:rFonts w:ascii="Calibri" w:hAnsi="Calibri" w:cs="Calibri"/>
          <w:bCs/>
          <w:color w:val="000000"/>
          <w:sz w:val="22"/>
          <w:szCs w:val="22"/>
        </w:rPr>
        <w:t xml:space="preserve">is of the jaw also </w:t>
      </w:r>
      <w:r w:rsidRPr="00E9460F">
        <w:rPr>
          <w:rFonts w:ascii="Calibri" w:hAnsi="Calibri" w:cs="Calibri"/>
          <w:bCs/>
          <w:color w:val="000000"/>
          <w:sz w:val="22"/>
          <w:szCs w:val="22"/>
        </w:rPr>
        <w:t xml:space="preserve">increased with the duration </w:t>
      </w:r>
      <w:r w:rsidR="003F4CF7" w:rsidRPr="00E9460F">
        <w:rPr>
          <w:rFonts w:ascii="Calibri" w:hAnsi="Calibri" w:cs="Calibri"/>
          <w:bCs/>
          <w:color w:val="000000"/>
          <w:sz w:val="22"/>
          <w:szCs w:val="22"/>
        </w:rPr>
        <w:t xml:space="preserve">of use in a pivotal trial [155] </w:t>
      </w:r>
      <w:r w:rsidRPr="00E9460F">
        <w:rPr>
          <w:rFonts w:ascii="Calibri" w:hAnsi="Calibri" w:cs="Calibri"/>
          <w:bCs/>
          <w:color w:val="000000"/>
          <w:sz w:val="22"/>
          <w:szCs w:val="22"/>
        </w:rPr>
        <w:t>(1 yr vs 2 yr with denosum</w:t>
      </w:r>
      <w:r w:rsidR="003F4CF7" w:rsidRPr="00E9460F">
        <w:rPr>
          <w:rFonts w:ascii="Calibri" w:hAnsi="Calibri" w:cs="Calibri"/>
          <w:bCs/>
          <w:color w:val="000000"/>
          <w:sz w:val="22"/>
          <w:szCs w:val="22"/>
        </w:rPr>
        <w:t xml:space="preserve">ab), but the difference was not </w:t>
      </w:r>
      <w:r w:rsidRPr="00E9460F">
        <w:rPr>
          <w:rFonts w:ascii="Calibri" w:hAnsi="Calibri" w:cs="Calibri"/>
          <w:bCs/>
          <w:color w:val="000000"/>
          <w:sz w:val="22"/>
          <w:szCs w:val="22"/>
        </w:rPr>
        <w:t>statistically significant in</w:t>
      </w:r>
      <w:r w:rsidR="003F4CF7" w:rsidRPr="00E9460F">
        <w:rPr>
          <w:rFonts w:ascii="Calibri" w:hAnsi="Calibri" w:cs="Calibri"/>
          <w:bCs/>
          <w:color w:val="000000"/>
          <w:sz w:val="22"/>
          <w:szCs w:val="22"/>
        </w:rPr>
        <w:t xml:space="preserve"> comparison to zoledronic acid. </w:t>
      </w:r>
      <w:r w:rsidRPr="00E9460F">
        <w:rPr>
          <w:rFonts w:ascii="Calibri" w:hAnsi="Calibri" w:cs="Calibri"/>
          <w:bCs/>
          <w:color w:val="000000"/>
          <w:sz w:val="22"/>
          <w:szCs w:val="22"/>
        </w:rPr>
        <w:t>According to the EMA, hypocalcaemia is a concern in</w:t>
      </w:r>
      <w:r w:rsidR="003F4CF7" w:rsidRPr="00E9460F">
        <w:rPr>
          <w:rFonts w:ascii="Calibri" w:hAnsi="Calibri" w:cs="Calibri"/>
          <w:bCs/>
          <w:color w:val="000000"/>
          <w:sz w:val="22"/>
          <w:szCs w:val="22"/>
        </w:rPr>
        <w:t xml:space="preserve"> </w:t>
      </w:r>
      <w:r w:rsidRPr="00E9460F">
        <w:rPr>
          <w:rFonts w:ascii="Calibri" w:hAnsi="Calibri" w:cs="Calibri"/>
          <w:bCs/>
          <w:color w:val="000000"/>
          <w:sz w:val="22"/>
          <w:szCs w:val="22"/>
        </w:rPr>
        <w:t>patients treated with denosumab a</w:t>
      </w:r>
      <w:r w:rsidRPr="0021531F">
        <w:rPr>
          <w:rFonts w:ascii="Calibri" w:hAnsi="Calibri" w:cs="Calibri"/>
          <w:bCs/>
          <w:color w:val="000000"/>
          <w:sz w:val="22"/>
          <w:szCs w:val="22"/>
        </w:rPr>
        <w:t>nd zoledronic acid.</w:t>
      </w:r>
      <w:r w:rsidR="003F4CF7" w:rsidRPr="0021531F">
        <w:rPr>
          <w:rFonts w:ascii="Calibri" w:hAnsi="Calibri" w:cs="Calibri"/>
          <w:bCs/>
          <w:color w:val="000000"/>
          <w:sz w:val="22"/>
          <w:szCs w:val="22"/>
        </w:rPr>
        <w:t xml:space="preserve"> </w:t>
      </w:r>
      <w:r w:rsidRPr="0021531F">
        <w:rPr>
          <w:rFonts w:ascii="Calibri" w:hAnsi="Calibri" w:cs="Calibri"/>
          <w:bCs/>
          <w:color w:val="000000"/>
          <w:sz w:val="22"/>
          <w:szCs w:val="22"/>
        </w:rPr>
        <w:t>Hypocalcaemia must be avoided</w:t>
      </w:r>
      <w:r w:rsidR="003F4CF7" w:rsidRPr="0021531F">
        <w:rPr>
          <w:rFonts w:ascii="Calibri" w:hAnsi="Calibri" w:cs="Calibri"/>
          <w:bCs/>
          <w:color w:val="000000"/>
          <w:sz w:val="22"/>
          <w:szCs w:val="22"/>
        </w:rPr>
        <w:t xml:space="preserve"> via adequate intake of calcium </w:t>
      </w:r>
      <w:r w:rsidRPr="0021531F">
        <w:rPr>
          <w:rFonts w:ascii="Calibri" w:hAnsi="Calibri" w:cs="Calibri"/>
          <w:bCs/>
          <w:color w:val="000000"/>
          <w:sz w:val="22"/>
          <w:szCs w:val="22"/>
        </w:rPr>
        <w:t>and vitamin D b</w:t>
      </w:r>
      <w:r w:rsidR="003F4CF7" w:rsidRPr="0021531F">
        <w:rPr>
          <w:rFonts w:ascii="Calibri" w:hAnsi="Calibri" w:cs="Calibri"/>
          <w:bCs/>
          <w:color w:val="000000"/>
          <w:sz w:val="22"/>
          <w:szCs w:val="22"/>
        </w:rPr>
        <w:t xml:space="preserve">efore therapy initiation [156]. </w:t>
      </w:r>
      <w:r w:rsidRPr="0021531F">
        <w:rPr>
          <w:rFonts w:ascii="Calibri" w:hAnsi="Calibri" w:cs="Calibri"/>
          <w:bCs/>
          <w:color w:val="000000"/>
          <w:sz w:val="22"/>
          <w:szCs w:val="22"/>
        </w:rPr>
        <w:t xml:space="preserve">Hypocalcaemia should be </w:t>
      </w:r>
      <w:r w:rsidR="003F4CF7" w:rsidRPr="0021531F">
        <w:rPr>
          <w:rFonts w:ascii="Calibri" w:hAnsi="Calibri" w:cs="Calibri"/>
          <w:bCs/>
          <w:color w:val="000000"/>
          <w:sz w:val="22"/>
          <w:szCs w:val="22"/>
        </w:rPr>
        <w:t xml:space="preserve">identified and prevented during </w:t>
      </w:r>
      <w:r w:rsidRPr="0021531F">
        <w:rPr>
          <w:rFonts w:ascii="Calibri" w:hAnsi="Calibri" w:cs="Calibri"/>
          <w:bCs/>
          <w:color w:val="000000"/>
          <w:sz w:val="22"/>
          <w:szCs w:val="22"/>
        </w:rPr>
        <w:t>treatment using bone-protective agents (the ri</w:t>
      </w:r>
      <w:r w:rsidR="003F4CF7" w:rsidRPr="0021531F">
        <w:rPr>
          <w:rFonts w:ascii="Calibri" w:hAnsi="Calibri" w:cs="Calibri"/>
          <w:bCs/>
          <w:color w:val="000000"/>
          <w:sz w:val="22"/>
          <w:szCs w:val="22"/>
        </w:rPr>
        <w:t xml:space="preserve">sk of severe </w:t>
      </w:r>
      <w:r w:rsidRPr="0021531F">
        <w:rPr>
          <w:rFonts w:ascii="Calibri" w:hAnsi="Calibri" w:cs="Calibri"/>
          <w:bCs/>
          <w:color w:val="000000"/>
          <w:sz w:val="22"/>
          <w:szCs w:val="22"/>
        </w:rPr>
        <w:t>hypocalcaemia is 8% with denosumab and 5% with zoledronic</w:t>
      </w:r>
    </w:p>
    <w:p w14:paraId="761A1CF0" w14:textId="46A954E3" w:rsidR="000337C9" w:rsidRPr="0021531F" w:rsidRDefault="003822DA" w:rsidP="003822DA">
      <w:pPr>
        <w:spacing w:line="276" w:lineRule="auto"/>
        <w:jc w:val="both"/>
        <w:rPr>
          <w:rFonts w:ascii="Calibri" w:hAnsi="Calibri" w:cs="Calibri"/>
          <w:bCs/>
          <w:color w:val="000000"/>
          <w:sz w:val="22"/>
          <w:szCs w:val="22"/>
        </w:rPr>
      </w:pPr>
      <w:proofErr w:type="gramStart"/>
      <w:r w:rsidRPr="0021531F">
        <w:rPr>
          <w:rFonts w:ascii="Calibri" w:hAnsi="Calibri" w:cs="Calibri"/>
          <w:bCs/>
          <w:color w:val="000000"/>
          <w:sz w:val="22"/>
          <w:szCs w:val="22"/>
        </w:rPr>
        <w:lastRenderedPageBreak/>
        <w:t>acid</w:t>
      </w:r>
      <w:proofErr w:type="gramEnd"/>
      <w:r w:rsidRPr="0021531F">
        <w:rPr>
          <w:rFonts w:ascii="Calibri" w:hAnsi="Calibri" w:cs="Calibri"/>
          <w:bCs/>
          <w:color w:val="000000"/>
          <w:sz w:val="22"/>
          <w:szCs w:val="22"/>
        </w:rPr>
        <w:t>) [153]. Seru</w:t>
      </w:r>
      <w:r w:rsidR="003F4CF7" w:rsidRPr="0021531F">
        <w:rPr>
          <w:rFonts w:ascii="Calibri" w:hAnsi="Calibri" w:cs="Calibri"/>
          <w:bCs/>
          <w:color w:val="000000"/>
          <w:sz w:val="22"/>
          <w:szCs w:val="22"/>
        </w:rPr>
        <w:t xml:space="preserve">m calcium should be measured in </w:t>
      </w:r>
      <w:r w:rsidRPr="0021531F">
        <w:rPr>
          <w:rFonts w:ascii="Calibri" w:hAnsi="Calibri" w:cs="Calibri"/>
          <w:bCs/>
          <w:color w:val="000000"/>
          <w:sz w:val="22"/>
          <w:szCs w:val="22"/>
        </w:rPr>
        <w:t xml:space="preserve">patients starting therapy </w:t>
      </w:r>
      <w:r w:rsidR="003F4CF7" w:rsidRPr="0021531F">
        <w:rPr>
          <w:rFonts w:ascii="Calibri" w:hAnsi="Calibri" w:cs="Calibri"/>
          <w:bCs/>
          <w:color w:val="000000"/>
          <w:sz w:val="22"/>
          <w:szCs w:val="22"/>
        </w:rPr>
        <w:t xml:space="preserve">and monitored during treatment, </w:t>
      </w:r>
      <w:r w:rsidRPr="0021531F">
        <w:rPr>
          <w:rFonts w:ascii="Calibri" w:hAnsi="Calibri" w:cs="Calibri"/>
          <w:bCs/>
          <w:color w:val="000000"/>
          <w:sz w:val="22"/>
          <w:szCs w:val="22"/>
        </w:rPr>
        <w:t xml:space="preserve">especially during the first </w:t>
      </w:r>
      <w:r w:rsidR="003F4CF7" w:rsidRPr="0021531F">
        <w:rPr>
          <w:rFonts w:ascii="Calibri" w:hAnsi="Calibri" w:cs="Calibri"/>
          <w:bCs/>
          <w:color w:val="000000"/>
          <w:sz w:val="22"/>
          <w:szCs w:val="22"/>
        </w:rPr>
        <w:t xml:space="preserve">weeks and in patients with risk </w:t>
      </w:r>
      <w:r w:rsidRPr="0021531F">
        <w:rPr>
          <w:rFonts w:ascii="Calibri" w:hAnsi="Calibri" w:cs="Calibri"/>
          <w:bCs/>
          <w:color w:val="000000"/>
          <w:sz w:val="22"/>
          <w:szCs w:val="22"/>
        </w:rPr>
        <w:t>factors for hypocalcaemia o</w:t>
      </w:r>
      <w:r w:rsidR="003F4CF7" w:rsidRPr="0021531F">
        <w:rPr>
          <w:rFonts w:ascii="Calibri" w:hAnsi="Calibri" w:cs="Calibri"/>
          <w:bCs/>
          <w:color w:val="000000"/>
          <w:sz w:val="22"/>
          <w:szCs w:val="22"/>
        </w:rPr>
        <w:t xml:space="preserve">r on other medication affecting </w:t>
      </w:r>
      <w:r w:rsidRPr="0021531F">
        <w:rPr>
          <w:rFonts w:ascii="Calibri" w:hAnsi="Calibri" w:cs="Calibri"/>
          <w:bCs/>
          <w:color w:val="000000"/>
          <w:sz w:val="22"/>
          <w:szCs w:val="22"/>
        </w:rPr>
        <w:t xml:space="preserve">serum calcium. Daily </w:t>
      </w:r>
      <w:r w:rsidR="003F4CF7" w:rsidRPr="0021531F">
        <w:rPr>
          <w:rFonts w:ascii="Calibri" w:hAnsi="Calibri" w:cs="Calibri"/>
          <w:bCs/>
          <w:color w:val="000000"/>
          <w:sz w:val="22"/>
          <w:szCs w:val="22"/>
        </w:rPr>
        <w:t xml:space="preserve">calcium (&gt;500 mg) and vitamin D (&gt;400 IU </w:t>
      </w:r>
      <w:r w:rsidRPr="0021531F">
        <w:rPr>
          <w:rFonts w:ascii="Calibri" w:hAnsi="Calibri" w:cs="Calibri"/>
          <w:bCs/>
          <w:color w:val="000000"/>
          <w:sz w:val="22"/>
          <w:szCs w:val="22"/>
        </w:rPr>
        <w:t>equivalent) a</w:t>
      </w:r>
      <w:r w:rsidR="003F4CF7" w:rsidRPr="0021531F">
        <w:rPr>
          <w:rFonts w:ascii="Calibri" w:hAnsi="Calibri" w:cs="Calibri"/>
          <w:bCs/>
          <w:color w:val="000000"/>
          <w:sz w:val="22"/>
          <w:szCs w:val="22"/>
        </w:rPr>
        <w:t xml:space="preserve">re recommended in all patients, </w:t>
      </w:r>
      <w:r w:rsidRPr="0021531F">
        <w:rPr>
          <w:rFonts w:ascii="Calibri" w:hAnsi="Calibri" w:cs="Calibri"/>
          <w:bCs/>
          <w:color w:val="000000"/>
          <w:sz w:val="22"/>
          <w:szCs w:val="22"/>
        </w:rPr>
        <w:t>except in cases of hypercalcaemia [153,157,158].</w:t>
      </w:r>
    </w:p>
    <w:p w14:paraId="6A1A64E0" w14:textId="77777777" w:rsidR="003822DA" w:rsidRDefault="003822DA" w:rsidP="003822DA">
      <w:pPr>
        <w:spacing w:line="276" w:lineRule="auto"/>
        <w:jc w:val="both"/>
        <w:rPr>
          <w:rFonts w:ascii="Calibri" w:hAnsi="Calibri" w:cs="Calibri"/>
          <w:b/>
          <w:bCs/>
          <w:color w:val="000000"/>
          <w:sz w:val="22"/>
          <w:szCs w:val="22"/>
          <w:u w:val="single"/>
          <w:lang w:val="en-US"/>
        </w:rPr>
      </w:pPr>
    </w:p>
    <w:p w14:paraId="62D51D3E" w14:textId="072784A0" w:rsidR="000337C9" w:rsidRDefault="000337C9" w:rsidP="003822DA">
      <w:pPr>
        <w:pStyle w:val="ListParagraph"/>
        <w:numPr>
          <w:ilvl w:val="0"/>
          <w:numId w:val="3"/>
        </w:numPr>
        <w:spacing w:line="276" w:lineRule="auto"/>
        <w:jc w:val="both"/>
        <w:rPr>
          <w:rFonts w:ascii="Calibri" w:hAnsi="Calibri" w:cs="Calibri"/>
          <w:b/>
          <w:bCs/>
          <w:color w:val="000000"/>
          <w:sz w:val="22"/>
          <w:szCs w:val="22"/>
          <w:u w:val="single"/>
          <w:lang w:val="en-US"/>
        </w:rPr>
      </w:pPr>
      <w:r w:rsidRPr="003822DA">
        <w:rPr>
          <w:rFonts w:ascii="Calibri" w:hAnsi="Calibri" w:cs="Calibri"/>
          <w:b/>
          <w:bCs/>
          <w:color w:val="000000"/>
          <w:sz w:val="22"/>
          <w:szCs w:val="22"/>
          <w:u w:val="single"/>
          <w:lang w:val="en-US"/>
        </w:rPr>
        <w:t>Conclusions</w:t>
      </w:r>
    </w:p>
    <w:p w14:paraId="1217A700" w14:textId="77777777" w:rsidR="006A3AED" w:rsidRDefault="006A3AED" w:rsidP="006A3AED">
      <w:pPr>
        <w:pStyle w:val="ListParagraph"/>
        <w:spacing w:line="276" w:lineRule="auto"/>
        <w:ind w:left="360"/>
        <w:jc w:val="both"/>
        <w:rPr>
          <w:rFonts w:ascii="Calibri" w:hAnsi="Calibri" w:cs="Calibri"/>
          <w:b/>
          <w:bCs/>
          <w:color w:val="000000"/>
          <w:sz w:val="22"/>
          <w:szCs w:val="22"/>
          <w:u w:val="single"/>
          <w:lang w:val="en-US"/>
        </w:rPr>
      </w:pPr>
    </w:p>
    <w:p w14:paraId="31DBD50B" w14:textId="0FB0E38A" w:rsidR="003822DA" w:rsidRPr="006A3AED" w:rsidRDefault="003822DA" w:rsidP="003F4CF7">
      <w:pPr>
        <w:spacing w:line="276" w:lineRule="auto"/>
        <w:rPr>
          <w:rFonts w:ascii="Calibri" w:hAnsi="Calibri" w:cs="Calibri"/>
          <w:bCs/>
          <w:color w:val="000000"/>
          <w:sz w:val="22"/>
          <w:szCs w:val="22"/>
          <w:lang w:val="en-US"/>
        </w:rPr>
      </w:pPr>
      <w:r w:rsidRPr="006A3AED">
        <w:rPr>
          <w:rFonts w:ascii="Calibri" w:hAnsi="Calibri" w:cs="Calibri"/>
          <w:bCs/>
          <w:color w:val="000000"/>
          <w:sz w:val="22"/>
          <w:szCs w:val="22"/>
          <w:lang w:val="en-US"/>
        </w:rPr>
        <w:t>The present text is a summary of the EAU-EANM-</w:t>
      </w:r>
      <w:r w:rsidR="003F4CF7" w:rsidRPr="006A3AED">
        <w:rPr>
          <w:rFonts w:ascii="Calibri" w:hAnsi="Calibri" w:cs="Calibri"/>
          <w:bCs/>
          <w:color w:val="000000"/>
          <w:sz w:val="22"/>
          <w:szCs w:val="22"/>
          <w:lang w:val="en-US"/>
        </w:rPr>
        <w:t>ESTROESUR-</w:t>
      </w:r>
      <w:r w:rsidRPr="006A3AED">
        <w:rPr>
          <w:rFonts w:ascii="Calibri" w:hAnsi="Calibri" w:cs="Calibri"/>
          <w:bCs/>
          <w:color w:val="000000"/>
          <w:sz w:val="22"/>
          <w:szCs w:val="22"/>
          <w:lang w:val="en-US"/>
        </w:rPr>
        <w:t>ISUP-SIOG guidelines</w:t>
      </w:r>
      <w:r w:rsidR="003F4CF7" w:rsidRPr="006A3AED">
        <w:rPr>
          <w:rFonts w:ascii="Calibri" w:hAnsi="Calibri" w:cs="Calibri"/>
          <w:bCs/>
          <w:color w:val="000000"/>
          <w:sz w:val="22"/>
          <w:szCs w:val="22"/>
          <w:lang w:val="en-US"/>
        </w:rPr>
        <w:t xml:space="preserve"> for treatment of relapsing and </w:t>
      </w:r>
      <w:r w:rsidRPr="006A3AED">
        <w:rPr>
          <w:rFonts w:ascii="Calibri" w:hAnsi="Calibri" w:cs="Calibri"/>
          <w:bCs/>
          <w:color w:val="000000"/>
          <w:sz w:val="22"/>
          <w:szCs w:val="22"/>
          <w:lang w:val="en-US"/>
        </w:rPr>
        <w:t>metastatic prostate cancer</w:t>
      </w:r>
      <w:r w:rsidR="003F4CF7" w:rsidRPr="006A3AED">
        <w:rPr>
          <w:rFonts w:ascii="Calibri" w:hAnsi="Calibri" w:cs="Calibri"/>
          <w:bCs/>
          <w:color w:val="000000"/>
          <w:sz w:val="22"/>
          <w:szCs w:val="22"/>
          <w:lang w:val="en-US"/>
        </w:rPr>
        <w:t xml:space="preserve">. More detailed information and </w:t>
      </w:r>
      <w:r w:rsidRPr="006A3AED">
        <w:rPr>
          <w:rFonts w:ascii="Calibri" w:hAnsi="Calibri" w:cs="Calibri"/>
          <w:bCs/>
          <w:color w:val="000000"/>
          <w:sz w:val="22"/>
          <w:szCs w:val="22"/>
          <w:lang w:val="en-US"/>
        </w:rPr>
        <w:t>a full list of references are ava</w:t>
      </w:r>
      <w:r w:rsidR="003F4CF7" w:rsidRPr="006A3AED">
        <w:rPr>
          <w:rFonts w:ascii="Calibri" w:hAnsi="Calibri" w:cs="Calibri"/>
          <w:bCs/>
          <w:color w:val="000000"/>
          <w:sz w:val="22"/>
          <w:szCs w:val="22"/>
          <w:lang w:val="en-US"/>
        </w:rPr>
        <w:t xml:space="preserve">ilable in the full-text version on the EAU website </w:t>
      </w:r>
      <w:r w:rsidRPr="006A3AED">
        <w:rPr>
          <w:rFonts w:ascii="Calibri" w:hAnsi="Calibri" w:cs="Calibri"/>
          <w:bCs/>
          <w:color w:val="000000"/>
          <w:sz w:val="22"/>
          <w:szCs w:val="22"/>
          <w:lang w:val="en-US"/>
        </w:rPr>
        <w:t>(http://uroweb.org/guideline/prostatecancer/).</w:t>
      </w:r>
    </w:p>
    <w:p w14:paraId="2A8291A1" w14:textId="78084E68" w:rsidR="000337C9" w:rsidRPr="00901AF1" w:rsidRDefault="000337C9" w:rsidP="00901AF1">
      <w:pPr>
        <w:suppressLineNumbers/>
        <w:spacing w:line="276" w:lineRule="auto"/>
        <w:jc w:val="both"/>
        <w:rPr>
          <w:rFonts w:ascii="Calibri" w:hAnsi="Calibri" w:cs="Calibri"/>
          <w:b/>
          <w:bCs/>
          <w:sz w:val="22"/>
          <w:szCs w:val="22"/>
          <w:lang w:val="en-US"/>
        </w:rPr>
      </w:pPr>
      <w:r w:rsidRPr="000337C9">
        <w:rPr>
          <w:rFonts w:ascii="Calibri" w:hAnsi="Calibri" w:cs="Calibri"/>
          <w:sz w:val="22"/>
          <w:szCs w:val="22"/>
          <w:lang w:val="en-US"/>
        </w:rPr>
        <w:br w:type="column"/>
      </w:r>
      <w:r w:rsidRPr="000337C9">
        <w:rPr>
          <w:rFonts w:ascii="Calibri" w:hAnsi="Calibri" w:cs="Calibri"/>
          <w:sz w:val="22"/>
          <w:szCs w:val="22"/>
          <w:lang w:val="en-US"/>
        </w:rPr>
        <w:lastRenderedPageBreak/>
        <w:t xml:space="preserve"> </w:t>
      </w:r>
      <w:r w:rsidRPr="000337C9">
        <w:rPr>
          <w:rFonts w:ascii="Calibri" w:hAnsi="Calibri" w:cs="Calibri"/>
          <w:b/>
          <w:bCs/>
          <w:sz w:val="22"/>
          <w:szCs w:val="22"/>
          <w:lang w:val="en-US"/>
        </w:rPr>
        <w:t>REFERENCES</w:t>
      </w:r>
    </w:p>
    <w:p w14:paraId="6E198A41" w14:textId="77777777" w:rsidR="000337C9" w:rsidRPr="006A3AED" w:rsidRDefault="000337C9" w:rsidP="000337C9">
      <w:pPr>
        <w:spacing w:line="276" w:lineRule="auto"/>
        <w:jc w:val="both"/>
        <w:rPr>
          <w:rFonts w:ascii="Calibri" w:eastAsia="Arial" w:hAnsi="Calibri" w:cs="Calibri"/>
          <w:color w:val="000000"/>
          <w:sz w:val="22"/>
          <w:szCs w:val="22"/>
          <w:lang w:val="en-US" w:eastAsia="fr-CA"/>
        </w:rPr>
      </w:pPr>
    </w:p>
    <w:p w14:paraId="1A113EE8" w14:textId="67E0F064" w:rsidR="00B1587B" w:rsidRPr="006A3AED" w:rsidRDefault="00B1587B" w:rsidP="00B1587B">
      <w:pPr>
        <w:spacing w:line="276" w:lineRule="auto"/>
        <w:jc w:val="both"/>
        <w:rPr>
          <w:rFonts w:ascii="Calibri" w:eastAsia="Arial" w:hAnsi="Calibri" w:cs="Calibri"/>
          <w:color w:val="000000"/>
          <w:sz w:val="22"/>
          <w:szCs w:val="22"/>
          <w:lang w:val="en-US" w:eastAsia="fr-CA"/>
        </w:rPr>
      </w:pPr>
      <w:r w:rsidRPr="006A3AED">
        <w:rPr>
          <w:rFonts w:ascii="Calibri" w:eastAsia="Arial" w:hAnsi="Calibri" w:cs="Calibri"/>
          <w:color w:val="000000"/>
          <w:sz w:val="22"/>
          <w:szCs w:val="22"/>
          <w:lang w:val="en-US" w:eastAsia="fr-CA"/>
        </w:rPr>
        <w:t>[1] Cornford P, van den Bergh RCN, Brier</w:t>
      </w:r>
      <w:r w:rsidR="003C250A" w:rsidRPr="006A3AED">
        <w:rPr>
          <w:rFonts w:ascii="Calibri" w:eastAsia="Arial" w:hAnsi="Calibri" w:cs="Calibri"/>
          <w:color w:val="000000"/>
          <w:sz w:val="22"/>
          <w:szCs w:val="22"/>
          <w:lang w:val="en-US" w:eastAsia="fr-CA"/>
        </w:rPr>
        <w:t xml:space="preserve">s E, et al. EAU-EANM-ESTROESUR- </w:t>
      </w:r>
      <w:r w:rsidRPr="006A3AED">
        <w:rPr>
          <w:rFonts w:ascii="Calibri" w:eastAsia="Arial" w:hAnsi="Calibri" w:cs="Calibri"/>
          <w:color w:val="000000"/>
          <w:sz w:val="22"/>
          <w:szCs w:val="22"/>
          <w:lang w:val="en-US" w:eastAsia="fr-CA"/>
        </w:rPr>
        <w:t>SIOG guidelines on prosta</w:t>
      </w:r>
      <w:r w:rsidR="003C250A" w:rsidRPr="006A3AED">
        <w:rPr>
          <w:rFonts w:ascii="Calibri" w:eastAsia="Arial" w:hAnsi="Calibri" w:cs="Calibri"/>
          <w:color w:val="000000"/>
          <w:sz w:val="22"/>
          <w:szCs w:val="22"/>
          <w:lang w:val="en-US" w:eastAsia="fr-CA"/>
        </w:rPr>
        <w:t xml:space="preserve">te cancer. Part II—2020 update: </w:t>
      </w:r>
      <w:r w:rsidRPr="006A3AED">
        <w:rPr>
          <w:rFonts w:ascii="Calibri" w:eastAsia="Arial" w:hAnsi="Calibri" w:cs="Calibri"/>
          <w:color w:val="000000"/>
          <w:sz w:val="22"/>
          <w:szCs w:val="22"/>
          <w:lang w:val="en-US" w:eastAsia="fr-CA"/>
        </w:rPr>
        <w:t>treatment of relapsing and metas</w:t>
      </w:r>
      <w:r w:rsidR="003C250A" w:rsidRPr="006A3AED">
        <w:rPr>
          <w:rFonts w:ascii="Calibri" w:eastAsia="Arial" w:hAnsi="Calibri" w:cs="Calibri"/>
          <w:color w:val="000000"/>
          <w:sz w:val="22"/>
          <w:szCs w:val="22"/>
          <w:lang w:val="en-US" w:eastAsia="fr-CA"/>
        </w:rPr>
        <w:t xml:space="preserve">tatic prostate cancer. Eur Urol </w:t>
      </w:r>
      <w:r w:rsidRPr="006A3AED">
        <w:rPr>
          <w:rFonts w:ascii="Calibri" w:eastAsia="Arial" w:hAnsi="Calibri" w:cs="Calibri"/>
          <w:color w:val="000000"/>
          <w:sz w:val="22"/>
          <w:szCs w:val="22"/>
          <w:lang w:val="en-US" w:eastAsia="fr-CA"/>
        </w:rPr>
        <w:t>2021</w:t>
      </w:r>
      <w:proofErr w:type="gramStart"/>
      <w:r w:rsidRPr="006A3AED">
        <w:rPr>
          <w:rFonts w:ascii="Calibri" w:eastAsia="Arial" w:hAnsi="Calibri" w:cs="Calibri"/>
          <w:color w:val="000000"/>
          <w:sz w:val="22"/>
          <w:szCs w:val="22"/>
          <w:lang w:val="en-US" w:eastAsia="fr-CA"/>
        </w:rPr>
        <w:t>;79:263</w:t>
      </w:r>
      <w:proofErr w:type="gramEnd"/>
      <w:r w:rsidRPr="006A3AED">
        <w:rPr>
          <w:rFonts w:ascii="Calibri" w:eastAsia="Arial" w:hAnsi="Calibri" w:cs="Calibri"/>
          <w:color w:val="000000"/>
          <w:sz w:val="22"/>
          <w:szCs w:val="22"/>
          <w:lang w:val="en-US" w:eastAsia="fr-CA"/>
        </w:rPr>
        <w:t>–82.</w:t>
      </w:r>
    </w:p>
    <w:p w14:paraId="3B731228" w14:textId="77777777" w:rsidR="006A3AED" w:rsidRPr="006A3AED" w:rsidRDefault="006A3AED" w:rsidP="00B1587B">
      <w:pPr>
        <w:spacing w:line="276" w:lineRule="auto"/>
        <w:jc w:val="both"/>
        <w:rPr>
          <w:rFonts w:ascii="Calibri" w:eastAsia="Arial" w:hAnsi="Calibri" w:cs="Calibri"/>
          <w:color w:val="000000"/>
          <w:sz w:val="22"/>
          <w:szCs w:val="22"/>
          <w:lang w:val="en-US" w:eastAsia="fr-CA"/>
        </w:rPr>
      </w:pPr>
    </w:p>
    <w:p w14:paraId="7E390F2C" w14:textId="23B9D9D1" w:rsidR="00B1587B" w:rsidRPr="006A3AED" w:rsidRDefault="00B1587B" w:rsidP="00B1587B">
      <w:pPr>
        <w:spacing w:line="276" w:lineRule="auto"/>
        <w:jc w:val="both"/>
        <w:rPr>
          <w:rFonts w:ascii="Calibri" w:eastAsia="Arial" w:hAnsi="Calibri" w:cs="Calibri"/>
          <w:color w:val="000000"/>
          <w:sz w:val="22"/>
          <w:szCs w:val="22"/>
          <w:lang w:val="en-US" w:eastAsia="fr-CA"/>
        </w:rPr>
      </w:pPr>
      <w:r w:rsidRPr="006A3AED">
        <w:rPr>
          <w:rFonts w:ascii="Calibri" w:eastAsia="Arial" w:hAnsi="Calibri" w:cs="Calibri"/>
          <w:color w:val="000000"/>
          <w:sz w:val="22"/>
          <w:szCs w:val="22"/>
          <w:lang w:val="en-US" w:eastAsia="fr-CA"/>
        </w:rPr>
        <w:t>[2] Cornford et al. EAU-EANM-EST</w:t>
      </w:r>
      <w:r w:rsidR="003C250A" w:rsidRPr="006A3AED">
        <w:rPr>
          <w:rFonts w:ascii="Calibri" w:eastAsia="Arial" w:hAnsi="Calibri" w:cs="Calibri"/>
          <w:color w:val="000000"/>
          <w:sz w:val="22"/>
          <w:szCs w:val="22"/>
          <w:lang w:val="en-US" w:eastAsia="fr-CA"/>
        </w:rPr>
        <w:t xml:space="preserve">RO-ESUR-ISUP-SIOG Guidelines on </w:t>
      </w:r>
      <w:r w:rsidRPr="006A3AED">
        <w:rPr>
          <w:rFonts w:ascii="Calibri" w:eastAsia="Arial" w:hAnsi="Calibri" w:cs="Calibri"/>
          <w:color w:val="000000"/>
          <w:sz w:val="22"/>
          <w:szCs w:val="22"/>
          <w:lang w:val="en-US" w:eastAsia="fr-CA"/>
        </w:rPr>
        <w:t>Prostate Cancer-2024 Update. Pa</w:t>
      </w:r>
      <w:r w:rsidR="003C250A" w:rsidRPr="006A3AED">
        <w:rPr>
          <w:rFonts w:ascii="Calibri" w:eastAsia="Arial" w:hAnsi="Calibri" w:cs="Calibri"/>
          <w:color w:val="000000"/>
          <w:sz w:val="22"/>
          <w:szCs w:val="22"/>
          <w:lang w:val="en-US" w:eastAsia="fr-CA"/>
        </w:rPr>
        <w:t xml:space="preserve">rt I: Screening, Diagnosis, and </w:t>
      </w:r>
      <w:r w:rsidRPr="006A3AED">
        <w:rPr>
          <w:rFonts w:ascii="Calibri" w:eastAsia="Arial" w:hAnsi="Calibri" w:cs="Calibri"/>
          <w:color w:val="000000"/>
          <w:sz w:val="22"/>
          <w:szCs w:val="22"/>
          <w:lang w:val="en-US" w:eastAsia="fr-CA"/>
        </w:rPr>
        <w:t>Local Treatment with Curative</w:t>
      </w:r>
      <w:r w:rsidR="003C250A" w:rsidRPr="006A3AED">
        <w:rPr>
          <w:rFonts w:ascii="Calibri" w:eastAsia="Arial" w:hAnsi="Calibri" w:cs="Calibri"/>
          <w:color w:val="000000"/>
          <w:sz w:val="22"/>
          <w:szCs w:val="22"/>
          <w:lang w:val="en-US" w:eastAsia="fr-CA"/>
        </w:rPr>
        <w:t xml:space="preserve"> Intent. Eur Urol. 2024 Apr 12: </w:t>
      </w:r>
      <w:r w:rsidRPr="006A3AED">
        <w:rPr>
          <w:rFonts w:ascii="Calibri" w:eastAsia="Arial" w:hAnsi="Calibri" w:cs="Calibri"/>
          <w:color w:val="000000"/>
          <w:sz w:val="22"/>
          <w:szCs w:val="22"/>
          <w:lang w:val="en-US" w:eastAsia="fr-CA"/>
        </w:rPr>
        <w:t xml:space="preserve">S0302-2838(24)02254-1. </w:t>
      </w:r>
      <w:proofErr w:type="gramStart"/>
      <w:r w:rsidRPr="006A3AED">
        <w:rPr>
          <w:rFonts w:ascii="Calibri" w:eastAsia="Arial" w:hAnsi="Calibri" w:cs="Calibri"/>
          <w:color w:val="000000"/>
          <w:sz w:val="22"/>
          <w:szCs w:val="22"/>
          <w:lang w:val="en-US" w:eastAsia="fr-CA"/>
        </w:rPr>
        <w:t>doi</w:t>
      </w:r>
      <w:proofErr w:type="gramEnd"/>
      <w:r w:rsidR="003C250A" w:rsidRPr="006A3AED">
        <w:rPr>
          <w:rFonts w:ascii="Calibri" w:eastAsia="Arial" w:hAnsi="Calibri" w:cs="Calibri"/>
          <w:color w:val="000000"/>
          <w:sz w:val="22"/>
          <w:szCs w:val="22"/>
          <w:lang w:val="en-US" w:eastAsia="fr-CA"/>
        </w:rPr>
        <w:t xml:space="preserve">: 10.1016/j.eururo.2024.03.027. </w:t>
      </w:r>
      <w:r w:rsidRPr="006A3AED">
        <w:rPr>
          <w:rFonts w:ascii="Calibri" w:eastAsia="Arial" w:hAnsi="Calibri" w:cs="Calibri"/>
          <w:color w:val="000000"/>
          <w:sz w:val="22"/>
          <w:szCs w:val="22"/>
          <w:lang w:val="en-US" w:eastAsia="fr-CA"/>
        </w:rPr>
        <w:t>Online ahead of print. PMID: 38614820.</w:t>
      </w:r>
    </w:p>
    <w:p w14:paraId="2BE5E08C" w14:textId="77777777" w:rsidR="006A3AED" w:rsidRPr="006A3AED" w:rsidRDefault="006A3AED" w:rsidP="00B1587B">
      <w:pPr>
        <w:spacing w:line="276" w:lineRule="auto"/>
        <w:jc w:val="both"/>
        <w:rPr>
          <w:rFonts w:ascii="Calibri" w:eastAsia="Arial" w:hAnsi="Calibri" w:cs="Calibri"/>
          <w:color w:val="000000"/>
          <w:sz w:val="22"/>
          <w:szCs w:val="22"/>
          <w:lang w:val="en-US" w:eastAsia="fr-CA"/>
        </w:rPr>
      </w:pPr>
    </w:p>
    <w:p w14:paraId="43C4E331" w14:textId="76B1848C" w:rsidR="00B1587B" w:rsidRPr="006A3AED" w:rsidRDefault="00B1587B" w:rsidP="00B1587B">
      <w:pPr>
        <w:spacing w:line="276" w:lineRule="auto"/>
        <w:jc w:val="both"/>
        <w:rPr>
          <w:rFonts w:ascii="Calibri" w:eastAsia="Arial" w:hAnsi="Calibri" w:cs="Calibri"/>
          <w:color w:val="000000"/>
          <w:sz w:val="22"/>
          <w:szCs w:val="22"/>
          <w:lang w:val="en-US" w:eastAsia="fr-CA"/>
        </w:rPr>
      </w:pPr>
      <w:r w:rsidRPr="006A3AED">
        <w:rPr>
          <w:rFonts w:ascii="Calibri" w:eastAsia="Arial" w:hAnsi="Calibri" w:cs="Calibri"/>
          <w:color w:val="000000"/>
          <w:sz w:val="22"/>
          <w:szCs w:val="22"/>
          <w:lang w:val="en-US" w:eastAsia="fr-CA"/>
        </w:rPr>
        <w:t>[3] Guyatt GH, Oxman AD, Kunz R</w:t>
      </w:r>
      <w:r w:rsidR="003C250A" w:rsidRPr="006A3AED">
        <w:rPr>
          <w:rFonts w:ascii="Calibri" w:eastAsia="Arial" w:hAnsi="Calibri" w:cs="Calibri"/>
          <w:color w:val="000000"/>
          <w:sz w:val="22"/>
          <w:szCs w:val="22"/>
          <w:lang w:val="en-US" w:eastAsia="fr-CA"/>
        </w:rPr>
        <w:t xml:space="preserve">, et al. </w:t>
      </w:r>
      <w:proofErr w:type="gramStart"/>
      <w:r w:rsidR="003C250A" w:rsidRPr="006A3AED">
        <w:rPr>
          <w:rFonts w:ascii="Calibri" w:eastAsia="Arial" w:hAnsi="Calibri" w:cs="Calibri"/>
          <w:color w:val="000000"/>
          <w:sz w:val="22"/>
          <w:szCs w:val="22"/>
          <w:lang w:val="en-US" w:eastAsia="fr-CA"/>
        </w:rPr>
        <w:t>Going</w:t>
      </w:r>
      <w:proofErr w:type="gramEnd"/>
      <w:r w:rsidR="003C250A" w:rsidRPr="006A3AED">
        <w:rPr>
          <w:rFonts w:ascii="Calibri" w:eastAsia="Arial" w:hAnsi="Calibri" w:cs="Calibri"/>
          <w:color w:val="000000"/>
          <w:sz w:val="22"/>
          <w:szCs w:val="22"/>
          <w:lang w:val="en-US" w:eastAsia="fr-CA"/>
        </w:rPr>
        <w:t xml:space="preserve"> from evidence to </w:t>
      </w:r>
      <w:r w:rsidRPr="006A3AED">
        <w:rPr>
          <w:rFonts w:ascii="Calibri" w:eastAsia="Arial" w:hAnsi="Calibri" w:cs="Calibri"/>
          <w:color w:val="000000"/>
          <w:sz w:val="22"/>
          <w:szCs w:val="22"/>
          <w:lang w:val="en-US" w:eastAsia="fr-CA"/>
        </w:rPr>
        <w:t>recommendations. BMJ 2008</w:t>
      </w:r>
      <w:proofErr w:type="gramStart"/>
      <w:r w:rsidRPr="006A3AED">
        <w:rPr>
          <w:rFonts w:ascii="Calibri" w:eastAsia="Arial" w:hAnsi="Calibri" w:cs="Calibri"/>
          <w:color w:val="000000"/>
          <w:sz w:val="22"/>
          <w:szCs w:val="22"/>
          <w:lang w:val="en-US" w:eastAsia="fr-CA"/>
        </w:rPr>
        <w:t>;336:1049</w:t>
      </w:r>
      <w:proofErr w:type="gramEnd"/>
      <w:r w:rsidRPr="006A3AED">
        <w:rPr>
          <w:rFonts w:ascii="Calibri" w:eastAsia="Arial" w:hAnsi="Calibri" w:cs="Calibri"/>
          <w:color w:val="000000"/>
          <w:sz w:val="22"/>
          <w:szCs w:val="22"/>
          <w:lang w:val="en-US" w:eastAsia="fr-CA"/>
        </w:rPr>
        <w:t>–51.</w:t>
      </w:r>
    </w:p>
    <w:p w14:paraId="1336F7AE" w14:textId="77777777" w:rsidR="006A3AED" w:rsidRPr="006A3AED" w:rsidRDefault="006A3AED" w:rsidP="00B1587B">
      <w:pPr>
        <w:spacing w:line="276" w:lineRule="auto"/>
        <w:jc w:val="both"/>
        <w:rPr>
          <w:rFonts w:ascii="Calibri" w:eastAsia="Arial" w:hAnsi="Calibri" w:cs="Calibri"/>
          <w:color w:val="000000"/>
          <w:sz w:val="22"/>
          <w:szCs w:val="22"/>
          <w:lang w:val="en-US" w:eastAsia="fr-CA"/>
        </w:rPr>
      </w:pPr>
    </w:p>
    <w:p w14:paraId="5095131A" w14:textId="6D641E61" w:rsidR="00B1587B" w:rsidRPr="006A3AED" w:rsidRDefault="00B1587B" w:rsidP="00B1587B">
      <w:pPr>
        <w:spacing w:line="276" w:lineRule="auto"/>
        <w:jc w:val="both"/>
        <w:rPr>
          <w:rFonts w:ascii="Calibri" w:eastAsia="Arial" w:hAnsi="Calibri" w:cs="Calibri"/>
          <w:color w:val="000000"/>
          <w:sz w:val="22"/>
          <w:szCs w:val="22"/>
          <w:lang w:val="en-US" w:eastAsia="fr-CA"/>
        </w:rPr>
      </w:pPr>
      <w:r w:rsidRPr="006A3AED">
        <w:rPr>
          <w:rFonts w:ascii="Calibri" w:eastAsia="Arial" w:hAnsi="Calibri" w:cs="Calibri"/>
          <w:color w:val="000000"/>
          <w:sz w:val="22"/>
          <w:szCs w:val="22"/>
          <w:lang w:val="en-US" w:eastAsia="fr-CA"/>
        </w:rPr>
        <w:t>[4] Amling CL, Bergstralh EJ, Blute ML</w:t>
      </w:r>
      <w:r w:rsidR="003C250A" w:rsidRPr="006A3AED">
        <w:rPr>
          <w:rFonts w:ascii="Calibri" w:eastAsia="Arial" w:hAnsi="Calibri" w:cs="Calibri"/>
          <w:color w:val="000000"/>
          <w:sz w:val="22"/>
          <w:szCs w:val="22"/>
          <w:lang w:val="en-US" w:eastAsia="fr-CA"/>
        </w:rPr>
        <w:t xml:space="preserve">, </w:t>
      </w:r>
      <w:proofErr w:type="gramStart"/>
      <w:r w:rsidR="003C250A" w:rsidRPr="006A3AED">
        <w:rPr>
          <w:rFonts w:ascii="Calibri" w:eastAsia="Arial" w:hAnsi="Calibri" w:cs="Calibri"/>
          <w:color w:val="000000"/>
          <w:sz w:val="22"/>
          <w:szCs w:val="22"/>
          <w:lang w:val="en-US" w:eastAsia="fr-CA"/>
        </w:rPr>
        <w:t>Slezak</w:t>
      </w:r>
      <w:proofErr w:type="gramEnd"/>
      <w:r w:rsidR="003C250A" w:rsidRPr="006A3AED">
        <w:rPr>
          <w:rFonts w:ascii="Calibri" w:eastAsia="Arial" w:hAnsi="Calibri" w:cs="Calibri"/>
          <w:color w:val="000000"/>
          <w:sz w:val="22"/>
          <w:szCs w:val="22"/>
          <w:lang w:val="en-US" w:eastAsia="fr-CA"/>
        </w:rPr>
        <w:t xml:space="preserve"> JM, Zincke H. Defining </w:t>
      </w:r>
      <w:r w:rsidRPr="006A3AED">
        <w:rPr>
          <w:rFonts w:ascii="Calibri" w:eastAsia="Arial" w:hAnsi="Calibri" w:cs="Calibri"/>
          <w:color w:val="000000"/>
          <w:sz w:val="22"/>
          <w:szCs w:val="22"/>
          <w:lang w:val="en-US" w:eastAsia="fr-CA"/>
        </w:rPr>
        <w:t>prostate specific antigen progression after radical prostatect</w:t>
      </w:r>
      <w:r w:rsidR="003C250A" w:rsidRPr="006A3AED">
        <w:rPr>
          <w:rFonts w:ascii="Calibri" w:eastAsia="Arial" w:hAnsi="Calibri" w:cs="Calibri"/>
          <w:color w:val="000000"/>
          <w:sz w:val="22"/>
          <w:szCs w:val="22"/>
          <w:lang w:val="en-US" w:eastAsia="fr-CA"/>
        </w:rPr>
        <w:t xml:space="preserve">omy: </w:t>
      </w:r>
      <w:r w:rsidRPr="006A3AED">
        <w:rPr>
          <w:rFonts w:ascii="Calibri" w:eastAsia="Arial" w:hAnsi="Calibri" w:cs="Calibri"/>
          <w:color w:val="000000"/>
          <w:sz w:val="22"/>
          <w:szCs w:val="22"/>
          <w:lang w:val="en-US" w:eastAsia="fr-CA"/>
        </w:rPr>
        <w:t>what is the most appropriate cut point? J Urol 2001</w:t>
      </w:r>
      <w:proofErr w:type="gramStart"/>
      <w:r w:rsidRPr="006A3AED">
        <w:rPr>
          <w:rFonts w:ascii="Calibri" w:eastAsia="Arial" w:hAnsi="Calibri" w:cs="Calibri"/>
          <w:color w:val="000000"/>
          <w:sz w:val="22"/>
          <w:szCs w:val="22"/>
          <w:lang w:val="en-US" w:eastAsia="fr-CA"/>
        </w:rPr>
        <w:t>;165:1146</w:t>
      </w:r>
      <w:proofErr w:type="gramEnd"/>
      <w:r w:rsidRPr="006A3AED">
        <w:rPr>
          <w:rFonts w:ascii="Calibri" w:eastAsia="Arial" w:hAnsi="Calibri" w:cs="Calibri"/>
          <w:color w:val="000000"/>
          <w:sz w:val="22"/>
          <w:szCs w:val="22"/>
          <w:lang w:val="en-US" w:eastAsia="fr-CA"/>
        </w:rPr>
        <w:t>–51.</w:t>
      </w:r>
    </w:p>
    <w:p w14:paraId="34EE6C85" w14:textId="77777777" w:rsidR="006A3AED" w:rsidRPr="006A3AED" w:rsidRDefault="006A3AED" w:rsidP="00B1587B">
      <w:pPr>
        <w:spacing w:line="276" w:lineRule="auto"/>
        <w:jc w:val="both"/>
        <w:rPr>
          <w:rFonts w:ascii="Calibri" w:eastAsia="Arial" w:hAnsi="Calibri" w:cs="Calibri"/>
          <w:color w:val="000000"/>
          <w:sz w:val="22"/>
          <w:szCs w:val="22"/>
          <w:lang w:val="en-US" w:eastAsia="fr-CA"/>
        </w:rPr>
      </w:pPr>
    </w:p>
    <w:p w14:paraId="1CCA61C4" w14:textId="1422BDB4" w:rsidR="00B1587B" w:rsidRPr="006A3AED" w:rsidRDefault="00B1587B" w:rsidP="00B1587B">
      <w:pPr>
        <w:spacing w:line="276" w:lineRule="auto"/>
        <w:jc w:val="both"/>
        <w:rPr>
          <w:rFonts w:ascii="Calibri" w:eastAsia="Arial" w:hAnsi="Calibri" w:cs="Calibri"/>
          <w:color w:val="000000"/>
          <w:sz w:val="22"/>
          <w:szCs w:val="22"/>
          <w:lang w:val="en-US" w:eastAsia="fr-CA"/>
        </w:rPr>
      </w:pPr>
      <w:r w:rsidRPr="006A3AED">
        <w:rPr>
          <w:rFonts w:ascii="Calibri" w:eastAsia="Arial" w:hAnsi="Calibri" w:cs="Calibri"/>
          <w:color w:val="000000"/>
          <w:sz w:val="22"/>
          <w:szCs w:val="22"/>
          <w:lang w:val="en-US" w:eastAsia="fr-CA"/>
        </w:rPr>
        <w:t>[5] Toussi A, Stewart-Merrill SB, Boorji</w:t>
      </w:r>
      <w:r w:rsidR="003C250A" w:rsidRPr="006A3AED">
        <w:rPr>
          <w:rFonts w:ascii="Calibri" w:eastAsia="Arial" w:hAnsi="Calibri" w:cs="Calibri"/>
          <w:color w:val="000000"/>
          <w:sz w:val="22"/>
          <w:szCs w:val="22"/>
          <w:lang w:val="en-US" w:eastAsia="fr-CA"/>
        </w:rPr>
        <w:t xml:space="preserve">an SA, et al. Standardizing the </w:t>
      </w:r>
      <w:r w:rsidRPr="006A3AED">
        <w:rPr>
          <w:rFonts w:ascii="Calibri" w:eastAsia="Arial" w:hAnsi="Calibri" w:cs="Calibri"/>
          <w:color w:val="000000"/>
          <w:sz w:val="22"/>
          <w:szCs w:val="22"/>
          <w:lang w:val="en-US" w:eastAsia="fr-CA"/>
        </w:rPr>
        <w:t>definition of biochemical recurren</w:t>
      </w:r>
      <w:r w:rsidR="003C250A" w:rsidRPr="006A3AED">
        <w:rPr>
          <w:rFonts w:ascii="Calibri" w:eastAsia="Arial" w:hAnsi="Calibri" w:cs="Calibri"/>
          <w:color w:val="000000"/>
          <w:sz w:val="22"/>
          <w:szCs w:val="22"/>
          <w:lang w:val="en-US" w:eastAsia="fr-CA"/>
        </w:rPr>
        <w:t>ce after radical prostatectomy—</w:t>
      </w:r>
      <w:r w:rsidRPr="006A3AED">
        <w:rPr>
          <w:rFonts w:ascii="Calibri" w:eastAsia="Arial" w:hAnsi="Calibri" w:cs="Calibri"/>
          <w:color w:val="000000"/>
          <w:sz w:val="22"/>
          <w:szCs w:val="22"/>
          <w:lang w:val="en-US" w:eastAsia="fr-CA"/>
        </w:rPr>
        <w:t>what prostate specific antigen cu</w:t>
      </w:r>
      <w:r w:rsidR="003C250A" w:rsidRPr="006A3AED">
        <w:rPr>
          <w:rFonts w:ascii="Calibri" w:eastAsia="Arial" w:hAnsi="Calibri" w:cs="Calibri"/>
          <w:color w:val="000000"/>
          <w:sz w:val="22"/>
          <w:szCs w:val="22"/>
          <w:lang w:val="en-US" w:eastAsia="fr-CA"/>
        </w:rPr>
        <w:t xml:space="preserve">t point best predicts a durable </w:t>
      </w:r>
      <w:r w:rsidRPr="006A3AED">
        <w:rPr>
          <w:rFonts w:ascii="Calibri" w:eastAsia="Arial" w:hAnsi="Calibri" w:cs="Calibri"/>
          <w:color w:val="000000"/>
          <w:sz w:val="22"/>
          <w:szCs w:val="22"/>
          <w:lang w:val="en-US" w:eastAsia="fr-CA"/>
        </w:rPr>
        <w:t>increase and subseque</w:t>
      </w:r>
      <w:r w:rsidR="003C250A" w:rsidRPr="006A3AED">
        <w:rPr>
          <w:rFonts w:ascii="Calibri" w:eastAsia="Arial" w:hAnsi="Calibri" w:cs="Calibri"/>
          <w:color w:val="000000"/>
          <w:sz w:val="22"/>
          <w:szCs w:val="22"/>
          <w:lang w:val="en-US" w:eastAsia="fr-CA"/>
        </w:rPr>
        <w:t xml:space="preserve">nt systemic progression? J Urol </w:t>
      </w:r>
      <w:r w:rsidRPr="006A3AED">
        <w:rPr>
          <w:rFonts w:ascii="Calibri" w:eastAsia="Arial" w:hAnsi="Calibri" w:cs="Calibri"/>
          <w:color w:val="000000"/>
          <w:sz w:val="22"/>
          <w:szCs w:val="22"/>
          <w:lang w:val="en-US" w:eastAsia="fr-CA"/>
        </w:rPr>
        <w:t>2016</w:t>
      </w:r>
      <w:proofErr w:type="gramStart"/>
      <w:r w:rsidRPr="006A3AED">
        <w:rPr>
          <w:rFonts w:ascii="Calibri" w:eastAsia="Arial" w:hAnsi="Calibri" w:cs="Calibri"/>
          <w:color w:val="000000"/>
          <w:sz w:val="22"/>
          <w:szCs w:val="22"/>
          <w:lang w:val="en-US" w:eastAsia="fr-CA"/>
        </w:rPr>
        <w:t>;195:1754</w:t>
      </w:r>
      <w:proofErr w:type="gramEnd"/>
      <w:r w:rsidRPr="006A3AED">
        <w:rPr>
          <w:rFonts w:ascii="Calibri" w:eastAsia="Arial" w:hAnsi="Calibri" w:cs="Calibri"/>
          <w:color w:val="000000"/>
          <w:sz w:val="22"/>
          <w:szCs w:val="22"/>
          <w:lang w:val="en-US" w:eastAsia="fr-CA"/>
        </w:rPr>
        <w:t>–9.</w:t>
      </w:r>
    </w:p>
    <w:p w14:paraId="13D45425" w14:textId="77777777" w:rsidR="006A3AED" w:rsidRPr="006A3AED" w:rsidRDefault="006A3AED" w:rsidP="00B1587B">
      <w:pPr>
        <w:spacing w:line="276" w:lineRule="auto"/>
        <w:jc w:val="both"/>
        <w:rPr>
          <w:rFonts w:ascii="Calibri" w:eastAsia="Arial" w:hAnsi="Calibri" w:cs="Calibri"/>
          <w:color w:val="000000"/>
          <w:sz w:val="22"/>
          <w:szCs w:val="22"/>
          <w:lang w:val="en-US" w:eastAsia="fr-CA"/>
        </w:rPr>
      </w:pPr>
    </w:p>
    <w:p w14:paraId="31EE6762" w14:textId="2DE7184C" w:rsidR="00B1587B" w:rsidRPr="006A3AED" w:rsidRDefault="00B1587B" w:rsidP="00B1587B">
      <w:pPr>
        <w:spacing w:line="276" w:lineRule="auto"/>
        <w:jc w:val="both"/>
        <w:rPr>
          <w:rFonts w:ascii="Calibri" w:eastAsia="Arial" w:hAnsi="Calibri" w:cs="Calibri"/>
          <w:color w:val="000000"/>
          <w:sz w:val="22"/>
          <w:szCs w:val="22"/>
          <w:lang w:val="en-US" w:eastAsia="fr-CA"/>
        </w:rPr>
      </w:pPr>
      <w:r w:rsidRPr="006A3AED">
        <w:rPr>
          <w:rFonts w:ascii="Calibri" w:eastAsia="Arial" w:hAnsi="Calibri" w:cs="Calibri"/>
          <w:color w:val="000000"/>
          <w:sz w:val="22"/>
          <w:szCs w:val="22"/>
          <w:lang w:val="en-US" w:eastAsia="fr-CA"/>
        </w:rPr>
        <w:t xml:space="preserve">[6] Stephenson AJ, Kattan MW, Eastham </w:t>
      </w:r>
      <w:r w:rsidR="003C250A" w:rsidRPr="006A3AED">
        <w:rPr>
          <w:rFonts w:ascii="Calibri" w:eastAsia="Arial" w:hAnsi="Calibri" w:cs="Calibri"/>
          <w:color w:val="000000"/>
          <w:sz w:val="22"/>
          <w:szCs w:val="22"/>
          <w:lang w:val="en-US" w:eastAsia="fr-CA"/>
        </w:rPr>
        <w:t xml:space="preserve">JA, et al. Defining biochemical </w:t>
      </w:r>
      <w:r w:rsidRPr="006A3AED">
        <w:rPr>
          <w:rFonts w:ascii="Calibri" w:eastAsia="Arial" w:hAnsi="Calibri" w:cs="Calibri"/>
          <w:color w:val="000000"/>
          <w:sz w:val="22"/>
          <w:szCs w:val="22"/>
          <w:lang w:val="en-US" w:eastAsia="fr-CA"/>
        </w:rPr>
        <w:t>recurrence of prostate cancer after radical prostat</w:t>
      </w:r>
      <w:r w:rsidR="003C250A" w:rsidRPr="006A3AED">
        <w:rPr>
          <w:rFonts w:ascii="Calibri" w:eastAsia="Arial" w:hAnsi="Calibri" w:cs="Calibri"/>
          <w:color w:val="000000"/>
          <w:sz w:val="22"/>
          <w:szCs w:val="22"/>
          <w:lang w:val="en-US" w:eastAsia="fr-CA"/>
        </w:rPr>
        <w:t xml:space="preserve">ectomy: a </w:t>
      </w:r>
      <w:r w:rsidRPr="006A3AED">
        <w:rPr>
          <w:rFonts w:ascii="Calibri" w:eastAsia="Arial" w:hAnsi="Calibri" w:cs="Calibri"/>
          <w:color w:val="000000"/>
          <w:sz w:val="22"/>
          <w:szCs w:val="22"/>
          <w:lang w:val="en-US" w:eastAsia="fr-CA"/>
        </w:rPr>
        <w:t>proposal for a standa</w:t>
      </w:r>
      <w:r w:rsidR="003C250A" w:rsidRPr="006A3AED">
        <w:rPr>
          <w:rFonts w:ascii="Calibri" w:eastAsia="Arial" w:hAnsi="Calibri" w:cs="Calibri"/>
          <w:color w:val="000000"/>
          <w:sz w:val="22"/>
          <w:szCs w:val="22"/>
          <w:lang w:val="en-US" w:eastAsia="fr-CA"/>
        </w:rPr>
        <w:t xml:space="preserve">rdized definition. J Clin Oncol </w:t>
      </w:r>
      <w:r w:rsidRPr="006A3AED">
        <w:rPr>
          <w:rFonts w:ascii="Calibri" w:eastAsia="Arial" w:hAnsi="Calibri" w:cs="Calibri"/>
          <w:color w:val="000000"/>
          <w:sz w:val="22"/>
          <w:szCs w:val="22"/>
          <w:lang w:val="en-US" w:eastAsia="fr-CA"/>
        </w:rPr>
        <w:t>2006</w:t>
      </w:r>
      <w:proofErr w:type="gramStart"/>
      <w:r w:rsidRPr="006A3AED">
        <w:rPr>
          <w:rFonts w:ascii="Calibri" w:eastAsia="Arial" w:hAnsi="Calibri" w:cs="Calibri"/>
          <w:color w:val="000000"/>
          <w:sz w:val="22"/>
          <w:szCs w:val="22"/>
          <w:lang w:val="en-US" w:eastAsia="fr-CA"/>
        </w:rPr>
        <w:t>;24:3973</w:t>
      </w:r>
      <w:proofErr w:type="gramEnd"/>
      <w:r w:rsidRPr="006A3AED">
        <w:rPr>
          <w:rFonts w:ascii="Calibri" w:eastAsia="Arial" w:hAnsi="Calibri" w:cs="Calibri"/>
          <w:color w:val="000000"/>
          <w:sz w:val="22"/>
          <w:szCs w:val="22"/>
          <w:lang w:val="en-US" w:eastAsia="fr-CA"/>
        </w:rPr>
        <w:t>–8.</w:t>
      </w:r>
    </w:p>
    <w:p w14:paraId="159BD4A2" w14:textId="77777777" w:rsidR="006A3AED" w:rsidRPr="006A3AED" w:rsidRDefault="006A3AED" w:rsidP="00B1587B">
      <w:pPr>
        <w:spacing w:line="276" w:lineRule="auto"/>
        <w:jc w:val="both"/>
        <w:rPr>
          <w:rFonts w:ascii="Calibri" w:eastAsia="Arial" w:hAnsi="Calibri" w:cs="Calibri"/>
          <w:color w:val="000000"/>
          <w:sz w:val="22"/>
          <w:szCs w:val="22"/>
          <w:lang w:val="en-US" w:eastAsia="fr-CA"/>
        </w:rPr>
      </w:pPr>
    </w:p>
    <w:p w14:paraId="7F1DEF82" w14:textId="09D54DA0" w:rsidR="00B1587B" w:rsidRPr="006A3AED" w:rsidRDefault="00B1587B" w:rsidP="00B1587B">
      <w:pPr>
        <w:spacing w:line="276" w:lineRule="auto"/>
        <w:jc w:val="both"/>
        <w:rPr>
          <w:rFonts w:ascii="Calibri" w:eastAsia="Arial" w:hAnsi="Calibri" w:cs="Calibri"/>
          <w:color w:val="000000"/>
          <w:sz w:val="22"/>
          <w:szCs w:val="22"/>
          <w:lang w:val="en-US" w:eastAsia="fr-CA"/>
        </w:rPr>
      </w:pPr>
      <w:r w:rsidRPr="006A3AED">
        <w:rPr>
          <w:rFonts w:ascii="Calibri" w:eastAsia="Arial" w:hAnsi="Calibri" w:cs="Calibri"/>
          <w:color w:val="000000"/>
          <w:sz w:val="22"/>
          <w:szCs w:val="22"/>
          <w:lang w:val="en-US" w:eastAsia="fr-CA"/>
        </w:rPr>
        <w:t>[7] Roach 3rd M, Hanks H, Thames Jr</w:t>
      </w:r>
      <w:r w:rsidR="003C250A" w:rsidRPr="006A3AED">
        <w:rPr>
          <w:rFonts w:ascii="Calibri" w:eastAsia="Arial" w:hAnsi="Calibri" w:cs="Calibri"/>
          <w:color w:val="000000"/>
          <w:sz w:val="22"/>
          <w:szCs w:val="22"/>
          <w:lang w:val="en-US" w:eastAsia="fr-CA"/>
        </w:rPr>
        <w:t xml:space="preserve"> H, et al. Defining biochemical </w:t>
      </w:r>
      <w:r w:rsidRPr="006A3AED">
        <w:rPr>
          <w:rFonts w:ascii="Calibri" w:eastAsia="Arial" w:hAnsi="Calibri" w:cs="Calibri"/>
          <w:color w:val="000000"/>
          <w:sz w:val="22"/>
          <w:szCs w:val="22"/>
          <w:lang w:val="en-US" w:eastAsia="fr-CA"/>
        </w:rPr>
        <w:t>failure following radiotherapy w</w:t>
      </w:r>
      <w:r w:rsidR="003C250A" w:rsidRPr="006A3AED">
        <w:rPr>
          <w:rFonts w:ascii="Calibri" w:eastAsia="Arial" w:hAnsi="Calibri" w:cs="Calibri"/>
          <w:color w:val="000000"/>
          <w:sz w:val="22"/>
          <w:szCs w:val="22"/>
          <w:lang w:val="en-US" w:eastAsia="fr-CA"/>
        </w:rPr>
        <w:t xml:space="preserve">ith or without hormonal therapy </w:t>
      </w:r>
      <w:r w:rsidRPr="006A3AED">
        <w:rPr>
          <w:rFonts w:ascii="Calibri" w:eastAsia="Arial" w:hAnsi="Calibri" w:cs="Calibri"/>
          <w:color w:val="000000"/>
          <w:sz w:val="22"/>
          <w:szCs w:val="22"/>
          <w:lang w:val="en-US" w:eastAsia="fr-CA"/>
        </w:rPr>
        <w:t>in men with clinically localized prostate canc</w:t>
      </w:r>
      <w:r w:rsidR="003C250A" w:rsidRPr="006A3AED">
        <w:rPr>
          <w:rFonts w:ascii="Calibri" w:eastAsia="Arial" w:hAnsi="Calibri" w:cs="Calibri"/>
          <w:color w:val="000000"/>
          <w:sz w:val="22"/>
          <w:szCs w:val="22"/>
          <w:lang w:val="en-US" w:eastAsia="fr-CA"/>
        </w:rPr>
        <w:t xml:space="preserve">er: recommendations </w:t>
      </w:r>
      <w:r w:rsidRPr="006A3AED">
        <w:rPr>
          <w:rFonts w:ascii="Calibri" w:eastAsia="Arial" w:hAnsi="Calibri" w:cs="Calibri"/>
          <w:color w:val="000000"/>
          <w:sz w:val="22"/>
          <w:szCs w:val="22"/>
          <w:lang w:val="en-US" w:eastAsia="fr-CA"/>
        </w:rPr>
        <w:t>of the RTOG-ASTRO Phoenix Con</w:t>
      </w:r>
      <w:r w:rsidR="003C250A" w:rsidRPr="006A3AED">
        <w:rPr>
          <w:rFonts w:ascii="Calibri" w:eastAsia="Arial" w:hAnsi="Calibri" w:cs="Calibri"/>
          <w:color w:val="000000"/>
          <w:sz w:val="22"/>
          <w:szCs w:val="22"/>
          <w:lang w:val="en-US" w:eastAsia="fr-CA"/>
        </w:rPr>
        <w:t xml:space="preserve">sensus Conference. Int J Radiat Oncol Biol Phys </w:t>
      </w:r>
      <w:r w:rsidRPr="006A3AED">
        <w:rPr>
          <w:rFonts w:ascii="Calibri" w:eastAsia="Arial" w:hAnsi="Calibri" w:cs="Calibri"/>
          <w:color w:val="000000"/>
          <w:sz w:val="22"/>
          <w:szCs w:val="22"/>
          <w:lang w:val="en-US" w:eastAsia="fr-CA"/>
        </w:rPr>
        <w:t>2006</w:t>
      </w:r>
      <w:proofErr w:type="gramStart"/>
      <w:r w:rsidRPr="006A3AED">
        <w:rPr>
          <w:rFonts w:ascii="Calibri" w:eastAsia="Arial" w:hAnsi="Calibri" w:cs="Calibri"/>
          <w:color w:val="000000"/>
          <w:sz w:val="22"/>
          <w:szCs w:val="22"/>
          <w:lang w:val="en-US" w:eastAsia="fr-CA"/>
        </w:rPr>
        <w:t>;65:965</w:t>
      </w:r>
      <w:proofErr w:type="gramEnd"/>
      <w:r w:rsidRPr="006A3AED">
        <w:rPr>
          <w:rFonts w:ascii="Calibri" w:eastAsia="Arial" w:hAnsi="Calibri" w:cs="Calibri"/>
          <w:color w:val="000000"/>
          <w:sz w:val="22"/>
          <w:szCs w:val="22"/>
          <w:lang w:val="en-US" w:eastAsia="fr-CA"/>
        </w:rPr>
        <w:t>–74.</w:t>
      </w:r>
    </w:p>
    <w:p w14:paraId="570FA34E" w14:textId="77777777" w:rsidR="006A3AED" w:rsidRPr="006A3AED" w:rsidRDefault="006A3AED" w:rsidP="00B1587B">
      <w:pPr>
        <w:spacing w:line="276" w:lineRule="auto"/>
        <w:jc w:val="both"/>
        <w:rPr>
          <w:rFonts w:ascii="Calibri" w:eastAsia="Arial" w:hAnsi="Calibri" w:cs="Calibri"/>
          <w:color w:val="000000"/>
          <w:sz w:val="22"/>
          <w:szCs w:val="22"/>
          <w:lang w:val="en-US" w:eastAsia="fr-CA"/>
        </w:rPr>
      </w:pPr>
    </w:p>
    <w:p w14:paraId="0A1127B8" w14:textId="558AA94D" w:rsidR="00B1587B" w:rsidRPr="006A3AED" w:rsidRDefault="00B1587B" w:rsidP="00B1587B">
      <w:pPr>
        <w:spacing w:line="276" w:lineRule="auto"/>
        <w:jc w:val="both"/>
        <w:rPr>
          <w:rFonts w:ascii="Calibri" w:eastAsia="Arial" w:hAnsi="Calibri" w:cs="Calibri"/>
          <w:color w:val="000000"/>
          <w:sz w:val="22"/>
          <w:szCs w:val="22"/>
          <w:lang w:val="en-US" w:eastAsia="fr-CA"/>
        </w:rPr>
      </w:pPr>
      <w:r w:rsidRPr="006A3AED">
        <w:rPr>
          <w:rFonts w:ascii="Calibri" w:eastAsia="Arial" w:hAnsi="Calibri" w:cs="Calibri"/>
          <w:color w:val="000000"/>
          <w:sz w:val="22"/>
          <w:szCs w:val="22"/>
          <w:lang w:val="en-US" w:eastAsia="fr-CA"/>
        </w:rPr>
        <w:t xml:space="preserve">[8] Van den Broeck T, van den Bergh RCN, </w:t>
      </w:r>
      <w:r w:rsidR="003C250A" w:rsidRPr="006A3AED">
        <w:rPr>
          <w:rFonts w:ascii="Calibri" w:eastAsia="Arial" w:hAnsi="Calibri" w:cs="Calibri"/>
          <w:color w:val="000000"/>
          <w:sz w:val="22"/>
          <w:szCs w:val="22"/>
          <w:lang w:val="en-US" w:eastAsia="fr-CA"/>
        </w:rPr>
        <w:t xml:space="preserve">Arfi N, et al. Prognostic value </w:t>
      </w:r>
      <w:r w:rsidRPr="006A3AED">
        <w:rPr>
          <w:rFonts w:ascii="Calibri" w:eastAsia="Arial" w:hAnsi="Calibri" w:cs="Calibri"/>
          <w:color w:val="000000"/>
          <w:sz w:val="22"/>
          <w:szCs w:val="22"/>
          <w:lang w:val="en-US" w:eastAsia="fr-CA"/>
        </w:rPr>
        <w:t>of biochemical recurrence fo</w:t>
      </w:r>
      <w:r w:rsidR="003C250A" w:rsidRPr="006A3AED">
        <w:rPr>
          <w:rFonts w:ascii="Calibri" w:eastAsia="Arial" w:hAnsi="Calibri" w:cs="Calibri"/>
          <w:color w:val="000000"/>
          <w:sz w:val="22"/>
          <w:szCs w:val="22"/>
          <w:lang w:val="en-US" w:eastAsia="fr-CA"/>
        </w:rPr>
        <w:t xml:space="preserve">llowing treatment with curative </w:t>
      </w:r>
      <w:r w:rsidRPr="006A3AED">
        <w:rPr>
          <w:rFonts w:ascii="Calibri" w:eastAsia="Arial" w:hAnsi="Calibri" w:cs="Calibri"/>
          <w:color w:val="000000"/>
          <w:sz w:val="22"/>
          <w:szCs w:val="22"/>
          <w:lang w:val="en-US" w:eastAsia="fr-CA"/>
        </w:rPr>
        <w:t>intent for prostate cancer</w:t>
      </w:r>
      <w:r w:rsidR="003C250A" w:rsidRPr="006A3AED">
        <w:rPr>
          <w:rFonts w:ascii="Calibri" w:eastAsia="Arial" w:hAnsi="Calibri" w:cs="Calibri"/>
          <w:color w:val="000000"/>
          <w:sz w:val="22"/>
          <w:szCs w:val="22"/>
          <w:lang w:val="en-US" w:eastAsia="fr-CA"/>
        </w:rPr>
        <w:t xml:space="preserve">: a systematic review. Eur Urol </w:t>
      </w:r>
      <w:r w:rsidRPr="006A3AED">
        <w:rPr>
          <w:rFonts w:ascii="Calibri" w:eastAsia="Arial" w:hAnsi="Calibri" w:cs="Calibri"/>
          <w:color w:val="000000"/>
          <w:sz w:val="22"/>
          <w:szCs w:val="22"/>
          <w:lang w:val="en-US" w:eastAsia="fr-CA"/>
        </w:rPr>
        <w:t>2019</w:t>
      </w:r>
      <w:proofErr w:type="gramStart"/>
      <w:r w:rsidRPr="006A3AED">
        <w:rPr>
          <w:rFonts w:ascii="Calibri" w:eastAsia="Arial" w:hAnsi="Calibri" w:cs="Calibri"/>
          <w:color w:val="000000"/>
          <w:sz w:val="22"/>
          <w:szCs w:val="22"/>
          <w:lang w:val="en-US" w:eastAsia="fr-CA"/>
        </w:rPr>
        <w:t>;75:967</w:t>
      </w:r>
      <w:proofErr w:type="gramEnd"/>
      <w:r w:rsidRPr="006A3AED">
        <w:rPr>
          <w:rFonts w:ascii="Calibri" w:eastAsia="Arial" w:hAnsi="Calibri" w:cs="Calibri"/>
          <w:color w:val="000000"/>
          <w:sz w:val="22"/>
          <w:szCs w:val="22"/>
          <w:lang w:val="en-US" w:eastAsia="fr-CA"/>
        </w:rPr>
        <w:t>–87.</w:t>
      </w:r>
    </w:p>
    <w:p w14:paraId="438DC3A4" w14:textId="77777777" w:rsidR="006A3AED" w:rsidRPr="006A3AED" w:rsidRDefault="006A3AED" w:rsidP="00B1587B">
      <w:pPr>
        <w:spacing w:line="276" w:lineRule="auto"/>
        <w:jc w:val="both"/>
        <w:rPr>
          <w:rFonts w:ascii="Calibri" w:eastAsia="Arial" w:hAnsi="Calibri" w:cs="Calibri"/>
          <w:color w:val="000000"/>
          <w:sz w:val="22"/>
          <w:szCs w:val="22"/>
          <w:lang w:val="en-US" w:eastAsia="fr-CA"/>
        </w:rPr>
      </w:pPr>
    </w:p>
    <w:p w14:paraId="53BCA785" w14:textId="3BF2F672" w:rsidR="00B1587B" w:rsidRPr="006A3AED" w:rsidRDefault="00B1587B" w:rsidP="00B1587B">
      <w:pPr>
        <w:spacing w:line="276" w:lineRule="auto"/>
        <w:jc w:val="both"/>
        <w:rPr>
          <w:rFonts w:ascii="Calibri" w:eastAsia="Arial" w:hAnsi="Calibri" w:cs="Calibri"/>
          <w:color w:val="000000"/>
          <w:sz w:val="22"/>
          <w:szCs w:val="22"/>
          <w:lang w:val="en-US" w:eastAsia="fr-CA"/>
        </w:rPr>
      </w:pPr>
      <w:r w:rsidRPr="006A3AED">
        <w:rPr>
          <w:rFonts w:ascii="Calibri" w:eastAsia="Arial" w:hAnsi="Calibri" w:cs="Calibri"/>
          <w:color w:val="000000"/>
          <w:sz w:val="22"/>
          <w:szCs w:val="22"/>
          <w:lang w:val="en-US" w:eastAsia="fr-CA"/>
        </w:rPr>
        <w:t xml:space="preserve">[9] Tilki D, Preisser F, Graefen </w:t>
      </w:r>
      <w:r w:rsidR="003C250A" w:rsidRPr="006A3AED">
        <w:rPr>
          <w:rFonts w:ascii="Calibri" w:eastAsia="Arial" w:hAnsi="Calibri" w:cs="Calibri"/>
          <w:color w:val="000000"/>
          <w:sz w:val="22"/>
          <w:szCs w:val="22"/>
          <w:lang w:val="en-US" w:eastAsia="fr-CA"/>
        </w:rPr>
        <w:t xml:space="preserve">M, Huland H, Pompe RS. External </w:t>
      </w:r>
      <w:r w:rsidRPr="006A3AED">
        <w:rPr>
          <w:rFonts w:ascii="Calibri" w:eastAsia="Arial" w:hAnsi="Calibri" w:cs="Calibri"/>
          <w:color w:val="000000"/>
          <w:sz w:val="22"/>
          <w:szCs w:val="22"/>
          <w:lang w:val="en-US" w:eastAsia="fr-CA"/>
        </w:rPr>
        <w:t>validation of the European Ass</w:t>
      </w:r>
      <w:r w:rsidR="003C250A" w:rsidRPr="006A3AED">
        <w:rPr>
          <w:rFonts w:ascii="Calibri" w:eastAsia="Arial" w:hAnsi="Calibri" w:cs="Calibri"/>
          <w:color w:val="000000"/>
          <w:sz w:val="22"/>
          <w:szCs w:val="22"/>
          <w:lang w:val="en-US" w:eastAsia="fr-CA"/>
        </w:rPr>
        <w:t xml:space="preserve">ociation of Urology biochemical </w:t>
      </w:r>
      <w:r w:rsidRPr="006A3AED">
        <w:rPr>
          <w:rFonts w:ascii="Calibri" w:eastAsia="Arial" w:hAnsi="Calibri" w:cs="Calibri"/>
          <w:color w:val="000000"/>
          <w:sz w:val="22"/>
          <w:szCs w:val="22"/>
          <w:lang w:val="en-US" w:eastAsia="fr-CA"/>
        </w:rPr>
        <w:t>recurrence risk groups to predict</w:t>
      </w:r>
      <w:r w:rsidR="003C250A" w:rsidRPr="006A3AED">
        <w:rPr>
          <w:rFonts w:ascii="Calibri" w:eastAsia="Arial" w:hAnsi="Calibri" w:cs="Calibri"/>
          <w:color w:val="000000"/>
          <w:sz w:val="22"/>
          <w:szCs w:val="22"/>
          <w:lang w:val="en-US" w:eastAsia="fr-CA"/>
        </w:rPr>
        <w:t xml:space="preserve"> metastasis and mortality after </w:t>
      </w:r>
      <w:r w:rsidRPr="006A3AED">
        <w:rPr>
          <w:rFonts w:ascii="Calibri" w:eastAsia="Arial" w:hAnsi="Calibri" w:cs="Calibri"/>
          <w:color w:val="000000"/>
          <w:sz w:val="22"/>
          <w:szCs w:val="22"/>
          <w:lang w:val="en-US" w:eastAsia="fr-CA"/>
        </w:rPr>
        <w:t>radical prostatectomy</w:t>
      </w:r>
      <w:r w:rsidR="003C250A" w:rsidRPr="006A3AED">
        <w:rPr>
          <w:rFonts w:ascii="Calibri" w:eastAsia="Arial" w:hAnsi="Calibri" w:cs="Calibri"/>
          <w:color w:val="000000"/>
          <w:sz w:val="22"/>
          <w:szCs w:val="22"/>
          <w:lang w:val="en-US" w:eastAsia="fr-CA"/>
        </w:rPr>
        <w:t xml:space="preserve"> in a European cohort. Eur Urol </w:t>
      </w:r>
      <w:r w:rsidRPr="006A3AED">
        <w:rPr>
          <w:rFonts w:ascii="Calibri" w:eastAsia="Arial" w:hAnsi="Calibri" w:cs="Calibri"/>
          <w:color w:val="000000"/>
          <w:sz w:val="22"/>
          <w:szCs w:val="22"/>
          <w:lang w:val="en-US" w:eastAsia="fr-CA"/>
        </w:rPr>
        <w:t>2019</w:t>
      </w:r>
      <w:proofErr w:type="gramStart"/>
      <w:r w:rsidRPr="006A3AED">
        <w:rPr>
          <w:rFonts w:ascii="Calibri" w:eastAsia="Arial" w:hAnsi="Calibri" w:cs="Calibri"/>
          <w:color w:val="000000"/>
          <w:sz w:val="22"/>
          <w:szCs w:val="22"/>
          <w:lang w:val="en-US" w:eastAsia="fr-CA"/>
        </w:rPr>
        <w:t>;75:896</w:t>
      </w:r>
      <w:proofErr w:type="gramEnd"/>
      <w:r w:rsidRPr="006A3AED">
        <w:rPr>
          <w:rFonts w:ascii="Calibri" w:eastAsia="Arial" w:hAnsi="Calibri" w:cs="Calibri"/>
          <w:color w:val="000000"/>
          <w:sz w:val="22"/>
          <w:szCs w:val="22"/>
          <w:lang w:val="en-US" w:eastAsia="fr-CA"/>
        </w:rPr>
        <w:t>–900.</w:t>
      </w:r>
    </w:p>
    <w:p w14:paraId="72E537AC" w14:textId="77777777" w:rsidR="006A3AED" w:rsidRPr="006A3AED" w:rsidRDefault="006A3AED" w:rsidP="00B1587B">
      <w:pPr>
        <w:spacing w:line="276" w:lineRule="auto"/>
        <w:jc w:val="both"/>
        <w:rPr>
          <w:rFonts w:ascii="Calibri" w:eastAsia="Arial" w:hAnsi="Calibri" w:cs="Calibri"/>
          <w:color w:val="000000"/>
          <w:sz w:val="22"/>
          <w:szCs w:val="22"/>
          <w:lang w:val="en-US" w:eastAsia="fr-CA"/>
        </w:rPr>
      </w:pPr>
    </w:p>
    <w:p w14:paraId="6E4D6229" w14:textId="764238BD" w:rsidR="00B1587B" w:rsidRDefault="00B1587B" w:rsidP="00B1587B">
      <w:pPr>
        <w:spacing w:line="276" w:lineRule="auto"/>
        <w:jc w:val="both"/>
        <w:rPr>
          <w:rFonts w:ascii="Calibri" w:eastAsia="Arial" w:hAnsi="Calibri" w:cs="Calibri"/>
          <w:color w:val="000000"/>
          <w:sz w:val="22"/>
          <w:szCs w:val="22"/>
          <w:lang w:val="en-US" w:eastAsia="fr-CA"/>
        </w:rPr>
      </w:pPr>
      <w:r w:rsidRPr="006A3AED">
        <w:rPr>
          <w:rFonts w:ascii="Calibri" w:eastAsia="Arial" w:hAnsi="Calibri" w:cs="Calibri"/>
          <w:color w:val="000000"/>
          <w:sz w:val="22"/>
          <w:szCs w:val="22"/>
          <w:lang w:val="en-US" w:eastAsia="fr-CA"/>
        </w:rPr>
        <w:t>[10] Morigi JJ, Stricker PD, van</w:t>
      </w:r>
      <w:r w:rsidR="003C250A" w:rsidRPr="006A3AED">
        <w:rPr>
          <w:rFonts w:ascii="Calibri" w:eastAsia="Arial" w:hAnsi="Calibri" w:cs="Calibri"/>
          <w:color w:val="000000"/>
          <w:sz w:val="22"/>
          <w:szCs w:val="22"/>
          <w:lang w:val="en-US" w:eastAsia="fr-CA"/>
        </w:rPr>
        <w:t xml:space="preserve"> Leeuwen PJ, et al. Prospective </w:t>
      </w:r>
      <w:r w:rsidRPr="006A3AED">
        <w:rPr>
          <w:rFonts w:ascii="Calibri" w:eastAsia="Arial" w:hAnsi="Calibri" w:cs="Calibri"/>
          <w:color w:val="000000"/>
          <w:sz w:val="22"/>
          <w:szCs w:val="22"/>
          <w:lang w:val="en-US" w:eastAsia="fr-CA"/>
        </w:rPr>
        <w:t>comparison of 18F-fluoromethyl</w:t>
      </w:r>
      <w:r w:rsidR="003C250A" w:rsidRPr="006A3AED">
        <w:rPr>
          <w:rFonts w:ascii="Calibri" w:eastAsia="Arial" w:hAnsi="Calibri" w:cs="Calibri"/>
          <w:color w:val="000000"/>
          <w:sz w:val="22"/>
          <w:szCs w:val="22"/>
          <w:lang w:val="en-US" w:eastAsia="fr-CA"/>
        </w:rPr>
        <w:t xml:space="preserve">choline versus 68Ga-PSMA PET/CT </w:t>
      </w:r>
      <w:r w:rsidRPr="006A3AED">
        <w:rPr>
          <w:rFonts w:ascii="Calibri" w:eastAsia="Arial" w:hAnsi="Calibri" w:cs="Calibri"/>
          <w:color w:val="000000"/>
          <w:sz w:val="22"/>
          <w:szCs w:val="22"/>
          <w:lang w:val="en-US" w:eastAsia="fr-CA"/>
        </w:rPr>
        <w:t>in prostate cancer patients who have rising PSA after curati</w:t>
      </w:r>
      <w:r w:rsidR="003C250A" w:rsidRPr="006A3AED">
        <w:rPr>
          <w:rFonts w:ascii="Calibri" w:eastAsia="Arial" w:hAnsi="Calibri" w:cs="Calibri"/>
          <w:color w:val="000000"/>
          <w:sz w:val="22"/>
          <w:szCs w:val="22"/>
          <w:lang w:val="en-US" w:eastAsia="fr-CA"/>
        </w:rPr>
        <w:t xml:space="preserve">ve </w:t>
      </w:r>
      <w:r w:rsidRPr="006A3AED">
        <w:rPr>
          <w:rFonts w:ascii="Calibri" w:eastAsia="Arial" w:hAnsi="Calibri" w:cs="Calibri"/>
          <w:color w:val="000000"/>
          <w:sz w:val="22"/>
          <w:szCs w:val="22"/>
          <w:lang w:val="en-US" w:eastAsia="fr-CA"/>
        </w:rPr>
        <w:t>treatment and are being consider</w:t>
      </w:r>
      <w:r w:rsidR="003C250A" w:rsidRPr="006A3AED">
        <w:rPr>
          <w:rFonts w:ascii="Calibri" w:eastAsia="Arial" w:hAnsi="Calibri" w:cs="Calibri"/>
          <w:color w:val="000000"/>
          <w:sz w:val="22"/>
          <w:szCs w:val="22"/>
          <w:lang w:val="en-US" w:eastAsia="fr-CA"/>
        </w:rPr>
        <w:t xml:space="preserve">ed for targeted therapy. J Nucl </w:t>
      </w:r>
      <w:r w:rsidRPr="006A3AED">
        <w:rPr>
          <w:rFonts w:ascii="Calibri" w:eastAsia="Arial" w:hAnsi="Calibri" w:cs="Calibri"/>
          <w:color w:val="000000"/>
          <w:sz w:val="22"/>
          <w:szCs w:val="22"/>
          <w:lang w:val="en-US" w:eastAsia="fr-CA"/>
        </w:rPr>
        <w:t>Med 2015</w:t>
      </w:r>
      <w:proofErr w:type="gramStart"/>
      <w:r w:rsidRPr="006A3AED">
        <w:rPr>
          <w:rFonts w:ascii="Calibri" w:eastAsia="Arial" w:hAnsi="Calibri" w:cs="Calibri"/>
          <w:color w:val="000000"/>
          <w:sz w:val="22"/>
          <w:szCs w:val="22"/>
          <w:lang w:val="en-US" w:eastAsia="fr-CA"/>
        </w:rPr>
        <w:t>;56:1185</w:t>
      </w:r>
      <w:proofErr w:type="gramEnd"/>
      <w:r w:rsidRPr="006A3AED">
        <w:rPr>
          <w:rFonts w:ascii="Calibri" w:eastAsia="Arial" w:hAnsi="Calibri" w:cs="Calibri"/>
          <w:color w:val="000000"/>
          <w:sz w:val="22"/>
          <w:szCs w:val="22"/>
          <w:lang w:val="en-US" w:eastAsia="fr-CA"/>
        </w:rPr>
        <w:t>–90.</w:t>
      </w:r>
    </w:p>
    <w:p w14:paraId="6587B25A" w14:textId="77777777" w:rsidR="006A3AED" w:rsidRPr="006A3AED" w:rsidRDefault="006A3AED" w:rsidP="00B1587B">
      <w:pPr>
        <w:spacing w:line="276" w:lineRule="auto"/>
        <w:jc w:val="both"/>
        <w:rPr>
          <w:rFonts w:ascii="Calibri" w:eastAsia="Arial" w:hAnsi="Calibri" w:cs="Calibri"/>
          <w:color w:val="000000"/>
          <w:sz w:val="22"/>
          <w:szCs w:val="22"/>
          <w:lang w:val="en-US" w:eastAsia="fr-CA"/>
        </w:rPr>
      </w:pPr>
    </w:p>
    <w:p w14:paraId="7C4FC2A5" w14:textId="7B4AA435" w:rsidR="000337C9" w:rsidRPr="006A3AED" w:rsidRDefault="00B1587B" w:rsidP="00B1587B">
      <w:pPr>
        <w:spacing w:line="276" w:lineRule="auto"/>
        <w:jc w:val="both"/>
        <w:rPr>
          <w:rFonts w:ascii="Calibri" w:eastAsia="Arial" w:hAnsi="Calibri" w:cs="Calibri"/>
          <w:color w:val="000000"/>
          <w:sz w:val="22"/>
          <w:szCs w:val="22"/>
          <w:lang w:val="en-US" w:eastAsia="fr-CA"/>
        </w:rPr>
      </w:pPr>
      <w:r w:rsidRPr="006A3AED">
        <w:rPr>
          <w:rFonts w:ascii="Calibri" w:eastAsia="Arial" w:hAnsi="Calibri" w:cs="Calibri"/>
          <w:color w:val="000000"/>
          <w:sz w:val="22"/>
          <w:szCs w:val="22"/>
          <w:lang w:val="en-US" w:eastAsia="fr-CA"/>
        </w:rPr>
        <w:t xml:space="preserve">[11] Afshar-Oromieh A, Zechmann CM, </w:t>
      </w:r>
      <w:r w:rsidR="003C250A" w:rsidRPr="006A3AED">
        <w:rPr>
          <w:rFonts w:ascii="Calibri" w:eastAsia="Arial" w:hAnsi="Calibri" w:cs="Calibri"/>
          <w:color w:val="000000"/>
          <w:sz w:val="22"/>
          <w:szCs w:val="22"/>
          <w:lang w:val="en-US" w:eastAsia="fr-CA"/>
        </w:rPr>
        <w:t xml:space="preserve">Malcher A, et al. Comparison of </w:t>
      </w:r>
      <w:r w:rsidRPr="006A3AED">
        <w:rPr>
          <w:rFonts w:ascii="Calibri" w:eastAsia="Arial" w:hAnsi="Calibri" w:cs="Calibri"/>
          <w:color w:val="000000"/>
          <w:sz w:val="22"/>
          <w:szCs w:val="22"/>
          <w:lang w:val="en-US" w:eastAsia="fr-CA"/>
        </w:rPr>
        <w:t>PET imaging with a 68Ga-labelled P</w:t>
      </w:r>
      <w:r w:rsidR="003C250A" w:rsidRPr="006A3AED">
        <w:rPr>
          <w:rFonts w:ascii="Calibri" w:eastAsia="Arial" w:hAnsi="Calibri" w:cs="Calibri"/>
          <w:color w:val="000000"/>
          <w:sz w:val="22"/>
          <w:szCs w:val="22"/>
          <w:lang w:val="en-US" w:eastAsia="fr-CA"/>
        </w:rPr>
        <w:t xml:space="preserve">SMA ligand and 18F-cholinebased </w:t>
      </w:r>
      <w:r w:rsidRPr="006A3AED">
        <w:rPr>
          <w:rFonts w:ascii="Calibri" w:eastAsia="Arial" w:hAnsi="Calibri" w:cs="Calibri"/>
          <w:color w:val="000000"/>
          <w:sz w:val="22"/>
          <w:szCs w:val="22"/>
          <w:lang w:val="en-US" w:eastAsia="fr-CA"/>
        </w:rPr>
        <w:t>PET/CT for the diagnosis of recurr</w:t>
      </w:r>
      <w:r w:rsidR="003C250A" w:rsidRPr="006A3AED">
        <w:rPr>
          <w:rFonts w:ascii="Calibri" w:eastAsia="Arial" w:hAnsi="Calibri" w:cs="Calibri"/>
          <w:color w:val="000000"/>
          <w:sz w:val="22"/>
          <w:szCs w:val="22"/>
          <w:lang w:val="en-US" w:eastAsia="fr-CA"/>
        </w:rPr>
        <w:t xml:space="preserve">ent prostate cancer. Eur J </w:t>
      </w:r>
      <w:r w:rsidRPr="006A3AED">
        <w:rPr>
          <w:rFonts w:ascii="Calibri" w:eastAsia="Arial" w:hAnsi="Calibri" w:cs="Calibri"/>
          <w:color w:val="000000"/>
          <w:sz w:val="22"/>
          <w:szCs w:val="22"/>
          <w:lang w:val="en-US" w:eastAsia="fr-CA"/>
        </w:rPr>
        <w:t>Nucl Med Mol Imaging 2014</w:t>
      </w:r>
      <w:proofErr w:type="gramStart"/>
      <w:r w:rsidRPr="006A3AED">
        <w:rPr>
          <w:rFonts w:ascii="Calibri" w:eastAsia="Arial" w:hAnsi="Calibri" w:cs="Calibri"/>
          <w:color w:val="000000"/>
          <w:sz w:val="22"/>
          <w:szCs w:val="22"/>
          <w:lang w:val="en-US" w:eastAsia="fr-CA"/>
        </w:rPr>
        <w:t>;41:11</w:t>
      </w:r>
      <w:proofErr w:type="gramEnd"/>
      <w:r w:rsidRPr="006A3AED">
        <w:rPr>
          <w:rFonts w:ascii="Calibri" w:eastAsia="Arial" w:hAnsi="Calibri" w:cs="Calibri"/>
          <w:color w:val="000000"/>
          <w:sz w:val="22"/>
          <w:szCs w:val="22"/>
          <w:lang w:val="en-US" w:eastAsia="fr-CA"/>
        </w:rPr>
        <w:t>–20.</w:t>
      </w:r>
    </w:p>
    <w:p w14:paraId="4FBFBDC2" w14:textId="7F86A1E0" w:rsidR="006B4C83" w:rsidRPr="006B4C83" w:rsidRDefault="006B4C83" w:rsidP="006B4C83">
      <w:pPr>
        <w:spacing w:line="276" w:lineRule="auto"/>
        <w:rPr>
          <w:rFonts w:ascii="Calibri" w:hAnsi="Calibri" w:cs="Calibri"/>
          <w:sz w:val="22"/>
          <w:szCs w:val="22"/>
        </w:rPr>
      </w:pPr>
      <w:r w:rsidRPr="006B4C83">
        <w:rPr>
          <w:rFonts w:ascii="Calibri" w:hAnsi="Calibri" w:cs="Calibri"/>
          <w:sz w:val="22"/>
          <w:szCs w:val="22"/>
        </w:rPr>
        <w:lastRenderedPageBreak/>
        <w:t>[12] Caroli P, Sandler I, Matteucci F, et a</w:t>
      </w:r>
      <w:r>
        <w:rPr>
          <w:rFonts w:ascii="Calibri" w:hAnsi="Calibri" w:cs="Calibri"/>
          <w:sz w:val="22"/>
          <w:szCs w:val="22"/>
        </w:rPr>
        <w:t xml:space="preserve">l. 68Ga-PSMA PET/CT in patients </w:t>
      </w:r>
      <w:r w:rsidRPr="006B4C83">
        <w:rPr>
          <w:rFonts w:ascii="Calibri" w:hAnsi="Calibri" w:cs="Calibri"/>
          <w:sz w:val="22"/>
          <w:szCs w:val="22"/>
        </w:rPr>
        <w:t>wit</w:t>
      </w:r>
      <w:r>
        <w:rPr>
          <w:rFonts w:ascii="Calibri" w:hAnsi="Calibri" w:cs="Calibri"/>
          <w:sz w:val="22"/>
          <w:szCs w:val="22"/>
        </w:rPr>
        <w:t xml:space="preserve">h recurrent prostate </w:t>
      </w:r>
      <w:r w:rsidRPr="006B4C83">
        <w:rPr>
          <w:rFonts w:ascii="Calibri" w:hAnsi="Calibri" w:cs="Calibri"/>
          <w:sz w:val="22"/>
          <w:szCs w:val="22"/>
        </w:rPr>
        <w:t>cancer after</w:t>
      </w:r>
      <w:r>
        <w:rPr>
          <w:rFonts w:ascii="Calibri" w:hAnsi="Calibri" w:cs="Calibri"/>
          <w:sz w:val="22"/>
          <w:szCs w:val="22"/>
        </w:rPr>
        <w:t xml:space="preserve"> radical treatment: prospective </w:t>
      </w:r>
      <w:r w:rsidRPr="006B4C83">
        <w:rPr>
          <w:rFonts w:ascii="Calibri" w:hAnsi="Calibri" w:cs="Calibri"/>
          <w:sz w:val="22"/>
          <w:szCs w:val="22"/>
        </w:rPr>
        <w:t>results in 314 patients. Eur J Nucl Med Mol Imaging</w:t>
      </w:r>
    </w:p>
    <w:p w14:paraId="09DFA55B" w14:textId="66DD26A5" w:rsidR="006B4C83" w:rsidRDefault="006B4C83" w:rsidP="006B4C83">
      <w:pPr>
        <w:spacing w:line="276" w:lineRule="auto"/>
        <w:rPr>
          <w:rFonts w:ascii="Calibri" w:hAnsi="Calibri" w:cs="Calibri"/>
          <w:sz w:val="22"/>
          <w:szCs w:val="22"/>
        </w:rPr>
      </w:pPr>
      <w:r w:rsidRPr="006B4C83">
        <w:rPr>
          <w:rFonts w:ascii="Calibri" w:hAnsi="Calibri" w:cs="Calibri"/>
          <w:sz w:val="22"/>
          <w:szCs w:val="22"/>
        </w:rPr>
        <w:t>2018</w:t>
      </w:r>
      <w:proofErr w:type="gramStart"/>
      <w:r w:rsidRPr="006B4C83">
        <w:rPr>
          <w:rFonts w:ascii="Calibri" w:hAnsi="Calibri" w:cs="Calibri"/>
          <w:sz w:val="22"/>
          <w:szCs w:val="22"/>
        </w:rPr>
        <w:t>;45:2035</w:t>
      </w:r>
      <w:proofErr w:type="gramEnd"/>
      <w:r w:rsidRPr="006B4C83">
        <w:rPr>
          <w:rFonts w:ascii="Calibri" w:hAnsi="Calibri" w:cs="Calibri"/>
          <w:sz w:val="22"/>
          <w:szCs w:val="22"/>
        </w:rPr>
        <w:t>–44.</w:t>
      </w:r>
    </w:p>
    <w:p w14:paraId="4D2078A2" w14:textId="77777777" w:rsidR="006A3AED" w:rsidRPr="006B4C83" w:rsidRDefault="006A3AED" w:rsidP="006B4C83">
      <w:pPr>
        <w:spacing w:line="276" w:lineRule="auto"/>
        <w:rPr>
          <w:rFonts w:ascii="Calibri" w:hAnsi="Calibri" w:cs="Calibri"/>
          <w:sz w:val="22"/>
          <w:szCs w:val="22"/>
        </w:rPr>
      </w:pPr>
    </w:p>
    <w:p w14:paraId="52E91B13" w14:textId="6BA1AEF9" w:rsidR="006B4C83" w:rsidRDefault="006B4C83" w:rsidP="006B4C83">
      <w:pPr>
        <w:spacing w:line="276" w:lineRule="auto"/>
        <w:rPr>
          <w:rFonts w:ascii="Calibri" w:hAnsi="Calibri" w:cs="Calibri"/>
          <w:sz w:val="22"/>
          <w:szCs w:val="22"/>
        </w:rPr>
      </w:pPr>
      <w:r w:rsidRPr="006B4C83">
        <w:rPr>
          <w:rFonts w:ascii="Calibri" w:hAnsi="Calibri" w:cs="Calibri"/>
          <w:sz w:val="22"/>
          <w:szCs w:val="22"/>
        </w:rPr>
        <w:t xml:space="preserve">[13] Rouviere O, Vitry T, </w:t>
      </w:r>
      <w:proofErr w:type="gramStart"/>
      <w:r w:rsidRPr="006B4C83">
        <w:rPr>
          <w:rFonts w:ascii="Calibri" w:hAnsi="Calibri" w:cs="Calibri"/>
          <w:sz w:val="22"/>
          <w:szCs w:val="22"/>
        </w:rPr>
        <w:t>Lyonnet</w:t>
      </w:r>
      <w:proofErr w:type="gramEnd"/>
      <w:r w:rsidRPr="006B4C83">
        <w:rPr>
          <w:rFonts w:ascii="Calibri" w:hAnsi="Calibri" w:cs="Calibri"/>
          <w:sz w:val="22"/>
          <w:szCs w:val="22"/>
        </w:rPr>
        <w:t xml:space="preserve"> D. I</w:t>
      </w:r>
      <w:r>
        <w:rPr>
          <w:rFonts w:ascii="Calibri" w:hAnsi="Calibri" w:cs="Calibri"/>
          <w:sz w:val="22"/>
          <w:szCs w:val="22"/>
        </w:rPr>
        <w:t xml:space="preserve">maging of prostate cancer local </w:t>
      </w:r>
      <w:r w:rsidRPr="006B4C83">
        <w:rPr>
          <w:rFonts w:ascii="Calibri" w:hAnsi="Calibri" w:cs="Calibri"/>
          <w:sz w:val="22"/>
          <w:szCs w:val="22"/>
        </w:rPr>
        <w:t>recurrences: why and how? Eur Radiol 2010</w:t>
      </w:r>
      <w:proofErr w:type="gramStart"/>
      <w:r w:rsidRPr="006B4C83">
        <w:rPr>
          <w:rFonts w:ascii="Calibri" w:hAnsi="Calibri" w:cs="Calibri"/>
          <w:sz w:val="22"/>
          <w:szCs w:val="22"/>
        </w:rPr>
        <w:t>;20:1254</w:t>
      </w:r>
      <w:proofErr w:type="gramEnd"/>
      <w:r w:rsidRPr="006B4C83">
        <w:rPr>
          <w:rFonts w:ascii="Calibri" w:hAnsi="Calibri" w:cs="Calibri"/>
          <w:sz w:val="22"/>
          <w:szCs w:val="22"/>
        </w:rPr>
        <w:t>–66.</w:t>
      </w:r>
    </w:p>
    <w:p w14:paraId="34C2816A" w14:textId="77777777" w:rsidR="006A3AED" w:rsidRPr="006B4C83" w:rsidRDefault="006A3AED" w:rsidP="006B4C83">
      <w:pPr>
        <w:spacing w:line="276" w:lineRule="auto"/>
        <w:rPr>
          <w:rFonts w:ascii="Calibri" w:hAnsi="Calibri" w:cs="Calibri"/>
          <w:sz w:val="22"/>
          <w:szCs w:val="22"/>
        </w:rPr>
      </w:pPr>
    </w:p>
    <w:p w14:paraId="08F5F999" w14:textId="6404D048" w:rsidR="006B4C83" w:rsidRDefault="006B4C83" w:rsidP="006B4C83">
      <w:pPr>
        <w:spacing w:line="276" w:lineRule="auto"/>
        <w:rPr>
          <w:rFonts w:ascii="Calibri" w:hAnsi="Calibri" w:cs="Calibri"/>
          <w:sz w:val="22"/>
          <w:szCs w:val="22"/>
        </w:rPr>
      </w:pPr>
      <w:r w:rsidRPr="006B4C83">
        <w:rPr>
          <w:rFonts w:ascii="Calibri" w:hAnsi="Calibri" w:cs="Calibri"/>
          <w:sz w:val="22"/>
          <w:szCs w:val="22"/>
        </w:rPr>
        <w:t>[14] Dinis Fernandes C, van Houdt PJ, Hei</w:t>
      </w:r>
      <w:r>
        <w:rPr>
          <w:rFonts w:ascii="Calibri" w:hAnsi="Calibri" w:cs="Calibri"/>
          <w:sz w:val="22"/>
          <w:szCs w:val="22"/>
        </w:rPr>
        <w:t xml:space="preserve">jmink S, et al. Quantitative 3T </w:t>
      </w:r>
      <w:r w:rsidRPr="006B4C83">
        <w:rPr>
          <w:rFonts w:ascii="Calibri" w:hAnsi="Calibri" w:cs="Calibri"/>
          <w:sz w:val="22"/>
          <w:szCs w:val="22"/>
        </w:rPr>
        <w:t>multiparametric MRI of benign an</w:t>
      </w:r>
      <w:r>
        <w:rPr>
          <w:rFonts w:ascii="Calibri" w:hAnsi="Calibri" w:cs="Calibri"/>
          <w:sz w:val="22"/>
          <w:szCs w:val="22"/>
        </w:rPr>
        <w:t xml:space="preserve">d malignant prostatic tissue in </w:t>
      </w:r>
      <w:r w:rsidRPr="006B4C83">
        <w:rPr>
          <w:rFonts w:ascii="Calibri" w:hAnsi="Calibri" w:cs="Calibri"/>
          <w:sz w:val="22"/>
          <w:szCs w:val="22"/>
        </w:rPr>
        <w:t>patients with and without local recurrent prostate cancer after</w:t>
      </w:r>
      <w:r>
        <w:rPr>
          <w:rFonts w:ascii="Calibri" w:hAnsi="Calibri" w:cs="Calibri"/>
          <w:sz w:val="22"/>
          <w:szCs w:val="22"/>
        </w:rPr>
        <w:t xml:space="preserve"> </w:t>
      </w:r>
      <w:r w:rsidRPr="006B4C83">
        <w:rPr>
          <w:rFonts w:ascii="Calibri" w:hAnsi="Calibri" w:cs="Calibri"/>
          <w:sz w:val="22"/>
          <w:szCs w:val="22"/>
        </w:rPr>
        <w:t>external-beam radiation therapy. J Magn Reson Imaging</w:t>
      </w:r>
      <w:r>
        <w:rPr>
          <w:rFonts w:ascii="Calibri" w:hAnsi="Calibri" w:cs="Calibri"/>
          <w:sz w:val="22"/>
          <w:szCs w:val="22"/>
        </w:rPr>
        <w:t xml:space="preserve"> </w:t>
      </w:r>
      <w:r w:rsidRPr="006B4C83">
        <w:rPr>
          <w:rFonts w:ascii="Calibri" w:hAnsi="Calibri" w:cs="Calibri"/>
          <w:sz w:val="22"/>
          <w:szCs w:val="22"/>
        </w:rPr>
        <w:t>2019</w:t>
      </w:r>
      <w:proofErr w:type="gramStart"/>
      <w:r w:rsidRPr="006B4C83">
        <w:rPr>
          <w:rFonts w:ascii="Calibri" w:hAnsi="Calibri" w:cs="Calibri"/>
          <w:sz w:val="22"/>
          <w:szCs w:val="22"/>
        </w:rPr>
        <w:t>;50:269</w:t>
      </w:r>
      <w:proofErr w:type="gramEnd"/>
      <w:r w:rsidRPr="006B4C83">
        <w:rPr>
          <w:rFonts w:ascii="Calibri" w:hAnsi="Calibri" w:cs="Calibri"/>
          <w:sz w:val="22"/>
          <w:szCs w:val="22"/>
        </w:rPr>
        <w:t>–78.</w:t>
      </w:r>
    </w:p>
    <w:p w14:paraId="27B73E1D" w14:textId="77777777" w:rsidR="006A3AED" w:rsidRPr="006B4C83" w:rsidRDefault="006A3AED" w:rsidP="006B4C83">
      <w:pPr>
        <w:spacing w:line="276" w:lineRule="auto"/>
        <w:rPr>
          <w:rFonts w:ascii="Calibri" w:hAnsi="Calibri" w:cs="Calibri"/>
          <w:sz w:val="22"/>
          <w:szCs w:val="22"/>
        </w:rPr>
      </w:pPr>
    </w:p>
    <w:p w14:paraId="4B3A6EC7" w14:textId="313E0688" w:rsidR="006B4C83" w:rsidRDefault="006B4C83" w:rsidP="006B4C83">
      <w:pPr>
        <w:spacing w:line="276" w:lineRule="auto"/>
        <w:rPr>
          <w:rFonts w:ascii="Calibri" w:hAnsi="Calibri" w:cs="Calibri"/>
          <w:sz w:val="22"/>
          <w:szCs w:val="22"/>
        </w:rPr>
      </w:pPr>
      <w:r w:rsidRPr="006B4C83">
        <w:rPr>
          <w:rFonts w:ascii="Calibri" w:hAnsi="Calibri" w:cs="Calibri"/>
          <w:sz w:val="22"/>
          <w:szCs w:val="22"/>
        </w:rPr>
        <w:t xml:space="preserve">[15] Donati OF, Jung SI, Vargas HA, et </w:t>
      </w:r>
      <w:r>
        <w:rPr>
          <w:rFonts w:ascii="Calibri" w:hAnsi="Calibri" w:cs="Calibri"/>
          <w:sz w:val="22"/>
          <w:szCs w:val="22"/>
        </w:rPr>
        <w:t xml:space="preserve">al. Multiparametric prostate MR imaging with T2-weighted, diffusion-weighted, and dynamic </w:t>
      </w:r>
      <w:r w:rsidRPr="006B4C83">
        <w:rPr>
          <w:rFonts w:ascii="Calibri" w:hAnsi="Calibri" w:cs="Calibri"/>
          <w:sz w:val="22"/>
          <w:szCs w:val="22"/>
        </w:rPr>
        <w:t>contrast-enhanced sequences: ar</w:t>
      </w:r>
      <w:r>
        <w:rPr>
          <w:rFonts w:ascii="Calibri" w:hAnsi="Calibri" w:cs="Calibri"/>
          <w:sz w:val="22"/>
          <w:szCs w:val="22"/>
        </w:rPr>
        <w:t xml:space="preserve">e all pulse sequences necessary </w:t>
      </w:r>
      <w:r w:rsidRPr="006B4C83">
        <w:rPr>
          <w:rFonts w:ascii="Calibri" w:hAnsi="Calibri" w:cs="Calibri"/>
          <w:sz w:val="22"/>
          <w:szCs w:val="22"/>
        </w:rPr>
        <w:t xml:space="preserve">to detect locally recurrent prostate </w:t>
      </w:r>
      <w:r>
        <w:rPr>
          <w:rFonts w:ascii="Calibri" w:hAnsi="Calibri" w:cs="Calibri"/>
          <w:sz w:val="22"/>
          <w:szCs w:val="22"/>
        </w:rPr>
        <w:t xml:space="preserve">cancer after radiation therapy? </w:t>
      </w:r>
      <w:r w:rsidRPr="006B4C83">
        <w:rPr>
          <w:rFonts w:ascii="Calibri" w:hAnsi="Calibri" w:cs="Calibri"/>
          <w:sz w:val="22"/>
          <w:szCs w:val="22"/>
        </w:rPr>
        <w:t>Radiology 2013</w:t>
      </w:r>
      <w:proofErr w:type="gramStart"/>
      <w:r w:rsidRPr="006B4C83">
        <w:rPr>
          <w:rFonts w:ascii="Calibri" w:hAnsi="Calibri" w:cs="Calibri"/>
          <w:sz w:val="22"/>
          <w:szCs w:val="22"/>
        </w:rPr>
        <w:t>;268:440</w:t>
      </w:r>
      <w:proofErr w:type="gramEnd"/>
      <w:r w:rsidRPr="006B4C83">
        <w:rPr>
          <w:rFonts w:ascii="Calibri" w:hAnsi="Calibri" w:cs="Calibri"/>
          <w:sz w:val="22"/>
          <w:szCs w:val="22"/>
        </w:rPr>
        <w:t>–50.</w:t>
      </w:r>
    </w:p>
    <w:p w14:paraId="338D6234" w14:textId="77777777" w:rsidR="006A3AED" w:rsidRPr="006B4C83" w:rsidRDefault="006A3AED" w:rsidP="006B4C83">
      <w:pPr>
        <w:spacing w:line="276" w:lineRule="auto"/>
        <w:rPr>
          <w:rFonts w:ascii="Calibri" w:hAnsi="Calibri" w:cs="Calibri"/>
          <w:sz w:val="22"/>
          <w:szCs w:val="22"/>
        </w:rPr>
      </w:pPr>
    </w:p>
    <w:p w14:paraId="5533BCD0" w14:textId="5C5BA22E" w:rsidR="006B4C83" w:rsidRDefault="006B4C83" w:rsidP="006B4C83">
      <w:pPr>
        <w:spacing w:line="276" w:lineRule="auto"/>
        <w:rPr>
          <w:rFonts w:ascii="Calibri" w:hAnsi="Calibri" w:cs="Calibri"/>
          <w:sz w:val="22"/>
          <w:szCs w:val="22"/>
        </w:rPr>
      </w:pPr>
      <w:r w:rsidRPr="006B4C83">
        <w:rPr>
          <w:rFonts w:ascii="Calibri" w:hAnsi="Calibri" w:cs="Calibri"/>
          <w:sz w:val="22"/>
          <w:szCs w:val="22"/>
        </w:rPr>
        <w:t>[16] Parker CC, Clarke NW, Cook AD, et a</w:t>
      </w:r>
      <w:r>
        <w:rPr>
          <w:rFonts w:ascii="Calibri" w:hAnsi="Calibri" w:cs="Calibri"/>
          <w:sz w:val="22"/>
          <w:szCs w:val="22"/>
        </w:rPr>
        <w:t xml:space="preserve">l. Timing of radiotherapy after radical prostatectomy </w:t>
      </w:r>
      <w:r w:rsidRPr="006B4C83">
        <w:rPr>
          <w:rFonts w:ascii="Calibri" w:hAnsi="Calibri" w:cs="Calibri"/>
          <w:sz w:val="22"/>
          <w:szCs w:val="22"/>
        </w:rPr>
        <w:t>(RADICAL</w:t>
      </w:r>
      <w:r>
        <w:rPr>
          <w:rFonts w:ascii="Calibri" w:hAnsi="Calibri" w:cs="Calibri"/>
          <w:sz w:val="22"/>
          <w:szCs w:val="22"/>
        </w:rPr>
        <w:t xml:space="preserve">S-RT): a randomised, controlled </w:t>
      </w:r>
      <w:r w:rsidRPr="006B4C83">
        <w:rPr>
          <w:rFonts w:ascii="Calibri" w:hAnsi="Calibri" w:cs="Calibri"/>
          <w:sz w:val="22"/>
          <w:szCs w:val="22"/>
        </w:rPr>
        <w:t>phase 3 trial. Lancet 2020</w:t>
      </w:r>
      <w:proofErr w:type="gramStart"/>
      <w:r w:rsidRPr="006B4C83">
        <w:rPr>
          <w:rFonts w:ascii="Calibri" w:hAnsi="Calibri" w:cs="Calibri"/>
          <w:sz w:val="22"/>
          <w:szCs w:val="22"/>
        </w:rPr>
        <w:t>;396:1413</w:t>
      </w:r>
      <w:proofErr w:type="gramEnd"/>
      <w:r w:rsidRPr="006B4C83">
        <w:rPr>
          <w:rFonts w:ascii="Calibri" w:hAnsi="Calibri" w:cs="Calibri"/>
          <w:sz w:val="22"/>
          <w:szCs w:val="22"/>
        </w:rPr>
        <w:t>–21.</w:t>
      </w:r>
    </w:p>
    <w:p w14:paraId="4269AAFC" w14:textId="77777777" w:rsidR="006A3AED" w:rsidRPr="006B4C83" w:rsidRDefault="006A3AED" w:rsidP="006B4C83">
      <w:pPr>
        <w:spacing w:line="276" w:lineRule="auto"/>
        <w:rPr>
          <w:rFonts w:ascii="Calibri" w:hAnsi="Calibri" w:cs="Calibri"/>
          <w:sz w:val="22"/>
          <w:szCs w:val="22"/>
        </w:rPr>
      </w:pPr>
    </w:p>
    <w:p w14:paraId="3A389EF9" w14:textId="552AE2A4" w:rsidR="006B4C83" w:rsidRDefault="006B4C83" w:rsidP="006B4C83">
      <w:pPr>
        <w:spacing w:line="276" w:lineRule="auto"/>
        <w:rPr>
          <w:rFonts w:ascii="Calibri" w:hAnsi="Calibri" w:cs="Calibri"/>
          <w:sz w:val="22"/>
          <w:szCs w:val="22"/>
        </w:rPr>
      </w:pPr>
      <w:r w:rsidRPr="006B4C83">
        <w:rPr>
          <w:rFonts w:ascii="Calibri" w:hAnsi="Calibri" w:cs="Calibri"/>
          <w:sz w:val="22"/>
          <w:szCs w:val="22"/>
        </w:rPr>
        <w:t xml:space="preserve">[17] Kneebone A, Fraser-Browne </w:t>
      </w:r>
      <w:r>
        <w:rPr>
          <w:rFonts w:ascii="Calibri" w:hAnsi="Calibri" w:cs="Calibri"/>
          <w:sz w:val="22"/>
          <w:szCs w:val="22"/>
        </w:rPr>
        <w:t xml:space="preserve">C, Duchesne DM, et al. Adjuvant </w:t>
      </w:r>
      <w:r w:rsidRPr="006B4C83">
        <w:rPr>
          <w:rFonts w:ascii="Calibri" w:hAnsi="Calibri" w:cs="Calibri"/>
          <w:sz w:val="22"/>
          <w:szCs w:val="22"/>
        </w:rPr>
        <w:t>radiotherapy versus early salvage</w:t>
      </w:r>
      <w:r>
        <w:rPr>
          <w:rFonts w:ascii="Calibri" w:hAnsi="Calibri" w:cs="Calibri"/>
          <w:sz w:val="22"/>
          <w:szCs w:val="22"/>
        </w:rPr>
        <w:t xml:space="preserve"> radiotherapy following radical </w:t>
      </w:r>
      <w:r w:rsidRPr="006B4C83">
        <w:rPr>
          <w:rFonts w:ascii="Calibri" w:hAnsi="Calibri" w:cs="Calibri"/>
          <w:sz w:val="22"/>
          <w:szCs w:val="22"/>
        </w:rPr>
        <w:t>prostatectomy (TROG 08</w:t>
      </w:r>
      <w:r>
        <w:rPr>
          <w:rFonts w:ascii="Calibri" w:hAnsi="Calibri" w:cs="Calibri"/>
          <w:sz w:val="22"/>
          <w:szCs w:val="22"/>
        </w:rPr>
        <w:t xml:space="preserve">.03/ANZUP RAVES): a randomised, </w:t>
      </w:r>
      <w:r w:rsidRPr="006B4C83">
        <w:rPr>
          <w:rFonts w:ascii="Calibri" w:hAnsi="Calibri" w:cs="Calibri"/>
          <w:sz w:val="22"/>
          <w:szCs w:val="22"/>
        </w:rPr>
        <w:t>controlled, phase 3, non-</w:t>
      </w:r>
      <w:r>
        <w:rPr>
          <w:rFonts w:ascii="Calibri" w:hAnsi="Calibri" w:cs="Calibri"/>
          <w:sz w:val="22"/>
          <w:szCs w:val="22"/>
        </w:rPr>
        <w:t xml:space="preserve">inferiority trial. Lancet Oncol </w:t>
      </w:r>
      <w:r w:rsidRPr="006B4C83">
        <w:rPr>
          <w:rFonts w:ascii="Calibri" w:hAnsi="Calibri" w:cs="Calibri"/>
          <w:sz w:val="22"/>
          <w:szCs w:val="22"/>
        </w:rPr>
        <w:t>2020</w:t>
      </w:r>
      <w:proofErr w:type="gramStart"/>
      <w:r w:rsidRPr="006B4C83">
        <w:rPr>
          <w:rFonts w:ascii="Calibri" w:hAnsi="Calibri" w:cs="Calibri"/>
          <w:sz w:val="22"/>
          <w:szCs w:val="22"/>
        </w:rPr>
        <w:t>;21:1331</w:t>
      </w:r>
      <w:proofErr w:type="gramEnd"/>
      <w:r w:rsidRPr="006B4C83">
        <w:rPr>
          <w:rFonts w:ascii="Calibri" w:hAnsi="Calibri" w:cs="Calibri"/>
          <w:sz w:val="22"/>
          <w:szCs w:val="22"/>
        </w:rPr>
        <w:t>–40.</w:t>
      </w:r>
    </w:p>
    <w:p w14:paraId="69457E80" w14:textId="77777777" w:rsidR="006A3AED" w:rsidRPr="006B4C83" w:rsidRDefault="006A3AED" w:rsidP="006B4C83">
      <w:pPr>
        <w:spacing w:line="276" w:lineRule="auto"/>
        <w:rPr>
          <w:rFonts w:ascii="Calibri" w:hAnsi="Calibri" w:cs="Calibri"/>
          <w:sz w:val="22"/>
          <w:szCs w:val="22"/>
        </w:rPr>
      </w:pPr>
    </w:p>
    <w:p w14:paraId="07EFDCA1" w14:textId="27B265B1" w:rsidR="006B4C83" w:rsidRDefault="006B4C83" w:rsidP="006B4C83">
      <w:pPr>
        <w:spacing w:line="276" w:lineRule="auto"/>
        <w:rPr>
          <w:rFonts w:ascii="Calibri" w:hAnsi="Calibri" w:cs="Calibri"/>
          <w:sz w:val="22"/>
          <w:szCs w:val="22"/>
        </w:rPr>
      </w:pPr>
      <w:r w:rsidRPr="006B4C83">
        <w:rPr>
          <w:rFonts w:ascii="Calibri" w:hAnsi="Calibri" w:cs="Calibri"/>
          <w:sz w:val="22"/>
          <w:szCs w:val="22"/>
        </w:rPr>
        <w:t xml:space="preserve">[18] Sargos P, Chabaud S, Latorzeff </w:t>
      </w:r>
      <w:r>
        <w:rPr>
          <w:rFonts w:ascii="Calibri" w:hAnsi="Calibri" w:cs="Calibri"/>
          <w:sz w:val="22"/>
          <w:szCs w:val="22"/>
        </w:rPr>
        <w:t xml:space="preserve">I, et al. Adjuvant radiotherapy </w:t>
      </w:r>
      <w:r w:rsidRPr="006B4C83">
        <w:rPr>
          <w:rFonts w:ascii="Calibri" w:hAnsi="Calibri" w:cs="Calibri"/>
          <w:sz w:val="22"/>
          <w:szCs w:val="22"/>
        </w:rPr>
        <w:t>versus early salvage radiot</w:t>
      </w:r>
      <w:r>
        <w:rPr>
          <w:rFonts w:ascii="Calibri" w:hAnsi="Calibri" w:cs="Calibri"/>
          <w:sz w:val="22"/>
          <w:szCs w:val="22"/>
        </w:rPr>
        <w:t xml:space="preserve">herapy plus short-term androgen </w:t>
      </w:r>
      <w:r w:rsidRPr="006B4C83">
        <w:rPr>
          <w:rFonts w:ascii="Calibri" w:hAnsi="Calibri" w:cs="Calibri"/>
          <w:sz w:val="22"/>
          <w:szCs w:val="22"/>
        </w:rPr>
        <w:t xml:space="preserve">deprivation therapy in men with </w:t>
      </w:r>
      <w:r>
        <w:rPr>
          <w:rFonts w:ascii="Calibri" w:hAnsi="Calibri" w:cs="Calibri"/>
          <w:sz w:val="22"/>
          <w:szCs w:val="22"/>
        </w:rPr>
        <w:t xml:space="preserve">localised prostate cancer after </w:t>
      </w:r>
      <w:r w:rsidRPr="006B4C83">
        <w:rPr>
          <w:rFonts w:ascii="Calibri" w:hAnsi="Calibri" w:cs="Calibri"/>
          <w:sz w:val="22"/>
          <w:szCs w:val="22"/>
        </w:rPr>
        <w:t>radical prostatectomy (GETUG-AFU 17): a randomised,</w:t>
      </w:r>
      <w:r>
        <w:rPr>
          <w:rFonts w:ascii="Calibri" w:hAnsi="Calibri" w:cs="Calibri"/>
          <w:sz w:val="22"/>
          <w:szCs w:val="22"/>
        </w:rPr>
        <w:t xml:space="preserve"> phase 3 </w:t>
      </w:r>
      <w:r w:rsidRPr="006B4C83">
        <w:rPr>
          <w:rFonts w:ascii="Calibri" w:hAnsi="Calibri" w:cs="Calibri"/>
          <w:sz w:val="22"/>
          <w:szCs w:val="22"/>
        </w:rPr>
        <w:t>trial. Lancet Oncol 2020</w:t>
      </w:r>
      <w:proofErr w:type="gramStart"/>
      <w:r w:rsidRPr="006B4C83">
        <w:rPr>
          <w:rFonts w:ascii="Calibri" w:hAnsi="Calibri" w:cs="Calibri"/>
          <w:sz w:val="22"/>
          <w:szCs w:val="22"/>
        </w:rPr>
        <w:t>;21:1341</w:t>
      </w:r>
      <w:proofErr w:type="gramEnd"/>
      <w:r w:rsidRPr="006B4C83">
        <w:rPr>
          <w:rFonts w:ascii="Calibri" w:hAnsi="Calibri" w:cs="Calibri"/>
          <w:sz w:val="22"/>
          <w:szCs w:val="22"/>
        </w:rPr>
        <w:t>–52.</w:t>
      </w:r>
    </w:p>
    <w:p w14:paraId="01F3FF3C" w14:textId="77777777" w:rsidR="006A3AED" w:rsidRPr="006B4C83" w:rsidRDefault="006A3AED" w:rsidP="006B4C83">
      <w:pPr>
        <w:spacing w:line="276" w:lineRule="auto"/>
        <w:rPr>
          <w:rFonts w:ascii="Calibri" w:hAnsi="Calibri" w:cs="Calibri"/>
          <w:sz w:val="22"/>
          <w:szCs w:val="22"/>
        </w:rPr>
      </w:pPr>
    </w:p>
    <w:p w14:paraId="3651087A" w14:textId="158895B6" w:rsidR="006B4C83" w:rsidRDefault="006B4C83" w:rsidP="006B4C83">
      <w:pPr>
        <w:spacing w:line="276" w:lineRule="auto"/>
        <w:rPr>
          <w:rFonts w:ascii="Calibri" w:hAnsi="Calibri" w:cs="Calibri"/>
          <w:sz w:val="22"/>
          <w:szCs w:val="22"/>
        </w:rPr>
      </w:pPr>
      <w:r w:rsidRPr="006B4C83">
        <w:rPr>
          <w:rFonts w:ascii="Calibri" w:hAnsi="Calibri" w:cs="Calibri"/>
          <w:sz w:val="22"/>
          <w:szCs w:val="22"/>
        </w:rPr>
        <w:t xml:space="preserve">[19] Tilki D, Preisser F, Thamm R, et </w:t>
      </w:r>
      <w:r>
        <w:rPr>
          <w:rFonts w:ascii="Calibri" w:hAnsi="Calibri" w:cs="Calibri"/>
          <w:sz w:val="22"/>
          <w:szCs w:val="22"/>
        </w:rPr>
        <w:t xml:space="preserve">al. Salvage radiotherapy versus </w:t>
      </w:r>
      <w:r w:rsidRPr="006B4C83">
        <w:rPr>
          <w:rFonts w:ascii="Calibri" w:hAnsi="Calibri" w:cs="Calibri"/>
          <w:sz w:val="22"/>
          <w:szCs w:val="22"/>
        </w:rPr>
        <w:t>observation for biochemic</w:t>
      </w:r>
      <w:r>
        <w:rPr>
          <w:rFonts w:ascii="Calibri" w:hAnsi="Calibri" w:cs="Calibri"/>
          <w:sz w:val="22"/>
          <w:szCs w:val="22"/>
        </w:rPr>
        <w:t xml:space="preserve">al recurrence following radical </w:t>
      </w:r>
      <w:r w:rsidRPr="006B4C83">
        <w:rPr>
          <w:rFonts w:ascii="Calibri" w:hAnsi="Calibri" w:cs="Calibri"/>
          <w:sz w:val="22"/>
          <w:szCs w:val="22"/>
        </w:rPr>
        <w:t>prostatectomy for prostate c</w:t>
      </w:r>
      <w:r>
        <w:rPr>
          <w:rFonts w:ascii="Calibri" w:hAnsi="Calibri" w:cs="Calibri"/>
          <w:sz w:val="22"/>
          <w:szCs w:val="22"/>
        </w:rPr>
        <w:t xml:space="preserve">ancer: a matched pair analysis. </w:t>
      </w:r>
      <w:r w:rsidRPr="006B4C83">
        <w:rPr>
          <w:rFonts w:ascii="Calibri" w:hAnsi="Calibri" w:cs="Calibri"/>
          <w:sz w:val="22"/>
          <w:szCs w:val="22"/>
        </w:rPr>
        <w:t>Cancers 2022</w:t>
      </w:r>
      <w:proofErr w:type="gramStart"/>
      <w:r w:rsidRPr="006B4C83">
        <w:rPr>
          <w:rFonts w:ascii="Calibri" w:hAnsi="Calibri" w:cs="Calibri"/>
          <w:sz w:val="22"/>
          <w:szCs w:val="22"/>
        </w:rPr>
        <w:t>;14:740</w:t>
      </w:r>
      <w:proofErr w:type="gramEnd"/>
      <w:r w:rsidRPr="006B4C83">
        <w:rPr>
          <w:rFonts w:ascii="Calibri" w:hAnsi="Calibri" w:cs="Calibri"/>
          <w:sz w:val="22"/>
          <w:szCs w:val="22"/>
        </w:rPr>
        <w:t>.</w:t>
      </w:r>
    </w:p>
    <w:p w14:paraId="33E42DB3" w14:textId="77777777" w:rsidR="006A3AED" w:rsidRPr="006B4C83" w:rsidRDefault="006A3AED" w:rsidP="006B4C83">
      <w:pPr>
        <w:spacing w:line="276" w:lineRule="auto"/>
        <w:rPr>
          <w:rFonts w:ascii="Calibri" w:hAnsi="Calibri" w:cs="Calibri"/>
          <w:sz w:val="22"/>
          <w:szCs w:val="22"/>
        </w:rPr>
      </w:pPr>
    </w:p>
    <w:p w14:paraId="43B4C2CF" w14:textId="1525B5ED" w:rsidR="006B4C83" w:rsidRDefault="006B4C83" w:rsidP="006B4C83">
      <w:pPr>
        <w:spacing w:line="276" w:lineRule="auto"/>
        <w:rPr>
          <w:rFonts w:ascii="Calibri" w:hAnsi="Calibri" w:cs="Calibri"/>
          <w:sz w:val="22"/>
          <w:szCs w:val="22"/>
        </w:rPr>
      </w:pPr>
      <w:r w:rsidRPr="006B4C83">
        <w:rPr>
          <w:rFonts w:ascii="Calibri" w:hAnsi="Calibri" w:cs="Calibri"/>
          <w:sz w:val="22"/>
          <w:szCs w:val="22"/>
        </w:rPr>
        <w:t xml:space="preserve">[20] Boorjian SA, Karnes RJ, Crispen PL, </w:t>
      </w:r>
      <w:r>
        <w:rPr>
          <w:rFonts w:ascii="Calibri" w:hAnsi="Calibri" w:cs="Calibri"/>
          <w:sz w:val="22"/>
          <w:szCs w:val="22"/>
        </w:rPr>
        <w:t xml:space="preserve">Rangel LJ, Bergstralh EJ, Blute </w:t>
      </w:r>
      <w:r w:rsidRPr="006B4C83">
        <w:rPr>
          <w:rFonts w:ascii="Calibri" w:hAnsi="Calibri" w:cs="Calibri"/>
          <w:sz w:val="22"/>
          <w:szCs w:val="22"/>
        </w:rPr>
        <w:t>ML. Radiation therapy after r</w:t>
      </w:r>
      <w:r>
        <w:rPr>
          <w:rFonts w:ascii="Calibri" w:hAnsi="Calibri" w:cs="Calibri"/>
          <w:sz w:val="22"/>
          <w:szCs w:val="22"/>
        </w:rPr>
        <w:t xml:space="preserve">adical prostatectomy: impact on </w:t>
      </w:r>
      <w:r w:rsidRPr="006B4C83">
        <w:rPr>
          <w:rFonts w:ascii="Calibri" w:hAnsi="Calibri" w:cs="Calibri"/>
          <w:sz w:val="22"/>
          <w:szCs w:val="22"/>
        </w:rPr>
        <w:t>metastasis and survival. J Urol 2009</w:t>
      </w:r>
      <w:proofErr w:type="gramStart"/>
      <w:r w:rsidRPr="006B4C83">
        <w:rPr>
          <w:rFonts w:ascii="Calibri" w:hAnsi="Calibri" w:cs="Calibri"/>
          <w:sz w:val="22"/>
          <w:szCs w:val="22"/>
        </w:rPr>
        <w:t>;182:2708</w:t>
      </w:r>
      <w:proofErr w:type="gramEnd"/>
      <w:r w:rsidRPr="006B4C83">
        <w:rPr>
          <w:rFonts w:ascii="Calibri" w:hAnsi="Calibri" w:cs="Calibri"/>
          <w:sz w:val="22"/>
          <w:szCs w:val="22"/>
        </w:rPr>
        <w:t>–14.</w:t>
      </w:r>
    </w:p>
    <w:p w14:paraId="62C10D7A" w14:textId="77777777" w:rsidR="006A3AED" w:rsidRPr="006B4C83" w:rsidRDefault="006A3AED" w:rsidP="006B4C83">
      <w:pPr>
        <w:spacing w:line="276" w:lineRule="auto"/>
        <w:rPr>
          <w:rFonts w:ascii="Calibri" w:hAnsi="Calibri" w:cs="Calibri"/>
          <w:sz w:val="22"/>
          <w:szCs w:val="22"/>
        </w:rPr>
      </w:pPr>
    </w:p>
    <w:p w14:paraId="73E894B7" w14:textId="75A3201F" w:rsidR="006B4C83" w:rsidRDefault="006B4C83" w:rsidP="006B4C83">
      <w:pPr>
        <w:spacing w:line="276" w:lineRule="auto"/>
        <w:rPr>
          <w:rFonts w:ascii="Calibri" w:hAnsi="Calibri" w:cs="Calibri"/>
          <w:sz w:val="22"/>
          <w:szCs w:val="22"/>
        </w:rPr>
      </w:pPr>
      <w:r w:rsidRPr="006B4C83">
        <w:rPr>
          <w:rFonts w:ascii="Calibri" w:hAnsi="Calibri" w:cs="Calibri"/>
          <w:sz w:val="22"/>
          <w:szCs w:val="22"/>
        </w:rPr>
        <w:t>[21] Tilki D, Chen MH, Wu J, et al. Prostate-specific antigen level at the</w:t>
      </w:r>
      <w:r>
        <w:rPr>
          <w:rFonts w:ascii="Calibri" w:hAnsi="Calibri" w:cs="Calibri"/>
          <w:sz w:val="22"/>
          <w:szCs w:val="22"/>
        </w:rPr>
        <w:t xml:space="preserve"> </w:t>
      </w:r>
      <w:r w:rsidRPr="006B4C83">
        <w:rPr>
          <w:rFonts w:ascii="Calibri" w:hAnsi="Calibri" w:cs="Calibri"/>
          <w:sz w:val="22"/>
          <w:szCs w:val="22"/>
        </w:rPr>
        <w:t>time of salvage therapy after rad</w:t>
      </w:r>
      <w:r>
        <w:rPr>
          <w:rFonts w:ascii="Calibri" w:hAnsi="Calibri" w:cs="Calibri"/>
          <w:sz w:val="22"/>
          <w:szCs w:val="22"/>
        </w:rPr>
        <w:t xml:space="preserve">ical prostatectomy for prostate </w:t>
      </w:r>
      <w:r w:rsidRPr="006B4C83">
        <w:rPr>
          <w:rFonts w:ascii="Calibri" w:hAnsi="Calibri" w:cs="Calibri"/>
          <w:sz w:val="22"/>
          <w:szCs w:val="22"/>
        </w:rPr>
        <w:t>cancer and the risk of death. J Clin Oncol 2023</w:t>
      </w:r>
      <w:proofErr w:type="gramStart"/>
      <w:r w:rsidRPr="006B4C83">
        <w:rPr>
          <w:rFonts w:ascii="Calibri" w:hAnsi="Calibri" w:cs="Calibri"/>
          <w:sz w:val="22"/>
          <w:szCs w:val="22"/>
        </w:rPr>
        <w:t>;41:2428</w:t>
      </w:r>
      <w:proofErr w:type="gramEnd"/>
      <w:r w:rsidRPr="006B4C83">
        <w:rPr>
          <w:rFonts w:ascii="Calibri" w:hAnsi="Calibri" w:cs="Calibri"/>
          <w:sz w:val="22"/>
          <w:szCs w:val="22"/>
        </w:rPr>
        <w:t>–35.</w:t>
      </w:r>
    </w:p>
    <w:p w14:paraId="0E144D09" w14:textId="77777777" w:rsidR="006A3AED" w:rsidRPr="006B4C83" w:rsidRDefault="006A3AED" w:rsidP="006B4C83">
      <w:pPr>
        <w:spacing w:line="276" w:lineRule="auto"/>
        <w:rPr>
          <w:rFonts w:ascii="Calibri" w:hAnsi="Calibri" w:cs="Calibri"/>
          <w:sz w:val="22"/>
          <w:szCs w:val="22"/>
        </w:rPr>
      </w:pPr>
    </w:p>
    <w:p w14:paraId="41FDBC16" w14:textId="24895962" w:rsidR="006B4C83" w:rsidRDefault="006B4C83" w:rsidP="006B4C83">
      <w:pPr>
        <w:spacing w:line="276" w:lineRule="auto"/>
        <w:rPr>
          <w:rFonts w:ascii="Calibri" w:hAnsi="Calibri" w:cs="Calibri"/>
          <w:sz w:val="22"/>
          <w:szCs w:val="22"/>
        </w:rPr>
      </w:pPr>
      <w:r w:rsidRPr="006B4C83">
        <w:rPr>
          <w:rFonts w:ascii="Calibri" w:hAnsi="Calibri" w:cs="Calibri"/>
          <w:sz w:val="22"/>
          <w:szCs w:val="22"/>
        </w:rPr>
        <w:t>[22] Preisser F, Abrams-Pompe RS</w:t>
      </w:r>
      <w:r>
        <w:rPr>
          <w:rFonts w:ascii="Calibri" w:hAnsi="Calibri" w:cs="Calibri"/>
          <w:sz w:val="22"/>
          <w:szCs w:val="22"/>
        </w:rPr>
        <w:t xml:space="preserve">, Stelwagen PH, et al. European </w:t>
      </w:r>
      <w:r w:rsidRPr="006B4C83">
        <w:rPr>
          <w:rFonts w:ascii="Calibri" w:hAnsi="Calibri" w:cs="Calibri"/>
          <w:sz w:val="22"/>
          <w:szCs w:val="22"/>
        </w:rPr>
        <w:t>Association of Urology biochemical</w:t>
      </w:r>
      <w:r>
        <w:rPr>
          <w:rFonts w:ascii="Calibri" w:hAnsi="Calibri" w:cs="Calibri"/>
          <w:sz w:val="22"/>
          <w:szCs w:val="22"/>
        </w:rPr>
        <w:t xml:space="preserve"> recurrence risk classification </w:t>
      </w:r>
      <w:r w:rsidRPr="006B4C83">
        <w:rPr>
          <w:rFonts w:ascii="Calibri" w:hAnsi="Calibri" w:cs="Calibri"/>
          <w:sz w:val="22"/>
          <w:szCs w:val="22"/>
        </w:rPr>
        <w:t>as a decision tool for salvage ra</w:t>
      </w:r>
      <w:r>
        <w:rPr>
          <w:rFonts w:ascii="Calibri" w:hAnsi="Calibri" w:cs="Calibri"/>
          <w:sz w:val="22"/>
          <w:szCs w:val="22"/>
        </w:rPr>
        <w:t xml:space="preserve">diotherapy—a multicenter study. </w:t>
      </w:r>
      <w:r w:rsidRPr="006B4C83">
        <w:rPr>
          <w:rFonts w:ascii="Calibri" w:hAnsi="Calibri" w:cs="Calibri"/>
          <w:sz w:val="22"/>
          <w:szCs w:val="22"/>
        </w:rPr>
        <w:t>Eur Urol 2024</w:t>
      </w:r>
      <w:proofErr w:type="gramStart"/>
      <w:r w:rsidRPr="006B4C83">
        <w:rPr>
          <w:rFonts w:ascii="Calibri" w:hAnsi="Calibri" w:cs="Calibri"/>
          <w:sz w:val="22"/>
          <w:szCs w:val="22"/>
        </w:rPr>
        <w:t>;85:164</w:t>
      </w:r>
      <w:proofErr w:type="gramEnd"/>
      <w:r w:rsidRPr="006B4C83">
        <w:rPr>
          <w:rFonts w:ascii="Calibri" w:hAnsi="Calibri" w:cs="Calibri"/>
          <w:sz w:val="22"/>
          <w:szCs w:val="22"/>
        </w:rPr>
        <w:t>–70.</w:t>
      </w:r>
    </w:p>
    <w:p w14:paraId="4436DC91" w14:textId="77777777" w:rsidR="006A3AED" w:rsidRPr="006B4C83" w:rsidRDefault="006A3AED" w:rsidP="006B4C83">
      <w:pPr>
        <w:spacing w:line="276" w:lineRule="auto"/>
        <w:rPr>
          <w:rFonts w:ascii="Calibri" w:hAnsi="Calibri" w:cs="Calibri"/>
          <w:sz w:val="22"/>
          <w:szCs w:val="22"/>
        </w:rPr>
      </w:pPr>
    </w:p>
    <w:p w14:paraId="05847B6F" w14:textId="504DEBBB" w:rsidR="006B4C83" w:rsidRPr="006B4C83" w:rsidRDefault="006B4C83" w:rsidP="006B4C83">
      <w:pPr>
        <w:spacing w:line="276" w:lineRule="auto"/>
        <w:rPr>
          <w:rFonts w:ascii="Calibri" w:hAnsi="Calibri" w:cs="Calibri"/>
          <w:sz w:val="22"/>
          <w:szCs w:val="22"/>
        </w:rPr>
      </w:pPr>
      <w:r w:rsidRPr="006B4C83">
        <w:rPr>
          <w:rFonts w:ascii="Calibri" w:hAnsi="Calibri" w:cs="Calibri"/>
          <w:sz w:val="22"/>
          <w:szCs w:val="22"/>
        </w:rPr>
        <w:t>[23] Carrie C, Magne N, Burban-Provos</w:t>
      </w:r>
      <w:r>
        <w:rPr>
          <w:rFonts w:ascii="Calibri" w:hAnsi="Calibri" w:cs="Calibri"/>
          <w:sz w:val="22"/>
          <w:szCs w:val="22"/>
        </w:rPr>
        <w:t xml:space="preserve">t P, et al. Short-term androgen </w:t>
      </w:r>
      <w:r w:rsidRPr="006B4C83">
        <w:rPr>
          <w:rFonts w:ascii="Calibri" w:hAnsi="Calibri" w:cs="Calibri"/>
          <w:sz w:val="22"/>
          <w:szCs w:val="22"/>
        </w:rPr>
        <w:t>deprivation therapy combin</w:t>
      </w:r>
      <w:r>
        <w:rPr>
          <w:rFonts w:ascii="Calibri" w:hAnsi="Calibri" w:cs="Calibri"/>
          <w:sz w:val="22"/>
          <w:szCs w:val="22"/>
        </w:rPr>
        <w:t xml:space="preserve">ed with radiotherapy as salvage </w:t>
      </w:r>
      <w:r w:rsidRPr="006B4C83">
        <w:rPr>
          <w:rFonts w:ascii="Calibri" w:hAnsi="Calibri" w:cs="Calibri"/>
          <w:sz w:val="22"/>
          <w:szCs w:val="22"/>
        </w:rPr>
        <w:t>treatment after radical prostatectomy f</w:t>
      </w:r>
      <w:r>
        <w:rPr>
          <w:rFonts w:ascii="Calibri" w:hAnsi="Calibri" w:cs="Calibri"/>
          <w:sz w:val="22"/>
          <w:szCs w:val="22"/>
        </w:rPr>
        <w:t xml:space="preserve">or prostate cancer (GETUG-AFU </w:t>
      </w:r>
      <w:r w:rsidRPr="006B4C83">
        <w:rPr>
          <w:rFonts w:ascii="Calibri" w:hAnsi="Calibri" w:cs="Calibri"/>
          <w:sz w:val="22"/>
          <w:szCs w:val="22"/>
        </w:rPr>
        <w:t>16): a 11</w:t>
      </w:r>
      <w:r>
        <w:rPr>
          <w:rFonts w:ascii="Calibri" w:hAnsi="Calibri" w:cs="Calibri"/>
          <w:sz w:val="22"/>
          <w:szCs w:val="22"/>
        </w:rPr>
        <w:t xml:space="preserve">2-month follow-up of a phase 3, </w:t>
      </w:r>
      <w:r w:rsidRPr="006B4C83">
        <w:rPr>
          <w:rFonts w:ascii="Calibri" w:hAnsi="Calibri" w:cs="Calibri"/>
          <w:sz w:val="22"/>
          <w:szCs w:val="22"/>
        </w:rPr>
        <w:t>randomised trial. Lancet Oncol 2019</w:t>
      </w:r>
      <w:proofErr w:type="gramStart"/>
      <w:r w:rsidRPr="006B4C83">
        <w:rPr>
          <w:rFonts w:ascii="Calibri" w:hAnsi="Calibri" w:cs="Calibri"/>
          <w:sz w:val="22"/>
          <w:szCs w:val="22"/>
        </w:rPr>
        <w:t>;20:1740</w:t>
      </w:r>
      <w:proofErr w:type="gramEnd"/>
      <w:r w:rsidRPr="006B4C83">
        <w:rPr>
          <w:rFonts w:ascii="Calibri" w:hAnsi="Calibri" w:cs="Calibri"/>
          <w:sz w:val="22"/>
          <w:szCs w:val="22"/>
        </w:rPr>
        <w:t>–9.</w:t>
      </w:r>
    </w:p>
    <w:p w14:paraId="423B1A93" w14:textId="60C4EF9B" w:rsidR="006B4C83" w:rsidRDefault="006B4C83" w:rsidP="006B4C83">
      <w:pPr>
        <w:spacing w:line="276" w:lineRule="auto"/>
        <w:rPr>
          <w:rFonts w:ascii="Calibri" w:hAnsi="Calibri" w:cs="Calibri"/>
          <w:sz w:val="22"/>
          <w:szCs w:val="22"/>
        </w:rPr>
      </w:pPr>
      <w:r w:rsidRPr="006B4C83">
        <w:rPr>
          <w:rFonts w:ascii="Calibri" w:hAnsi="Calibri" w:cs="Calibri"/>
          <w:sz w:val="22"/>
          <w:szCs w:val="22"/>
        </w:rPr>
        <w:lastRenderedPageBreak/>
        <w:t>[24] Shipley W, Seiferheld W, Lukka H, et al. Radiation with or without</w:t>
      </w:r>
      <w:r>
        <w:rPr>
          <w:rFonts w:ascii="Calibri" w:hAnsi="Calibri" w:cs="Calibri"/>
          <w:sz w:val="22"/>
          <w:szCs w:val="22"/>
        </w:rPr>
        <w:t xml:space="preserve"> </w:t>
      </w:r>
      <w:r w:rsidRPr="006B4C83">
        <w:rPr>
          <w:rFonts w:ascii="Calibri" w:hAnsi="Calibri" w:cs="Calibri"/>
          <w:sz w:val="22"/>
          <w:szCs w:val="22"/>
        </w:rPr>
        <w:t>Anti</w:t>
      </w:r>
      <w:r>
        <w:rPr>
          <w:rFonts w:ascii="Calibri" w:hAnsi="Calibri" w:cs="Calibri"/>
          <w:sz w:val="22"/>
          <w:szCs w:val="22"/>
        </w:rPr>
        <w:t>-</w:t>
      </w:r>
      <w:r w:rsidRPr="006B4C83">
        <w:rPr>
          <w:rFonts w:ascii="Calibri" w:hAnsi="Calibri" w:cs="Calibri"/>
          <w:sz w:val="22"/>
          <w:szCs w:val="22"/>
        </w:rPr>
        <w:t>androgen therapy in recurren</w:t>
      </w:r>
      <w:r>
        <w:rPr>
          <w:rFonts w:ascii="Calibri" w:hAnsi="Calibri" w:cs="Calibri"/>
          <w:sz w:val="22"/>
          <w:szCs w:val="22"/>
        </w:rPr>
        <w:t xml:space="preserve">t prostate cancer. N Engl J Med </w:t>
      </w:r>
      <w:r w:rsidRPr="006B4C83">
        <w:rPr>
          <w:rFonts w:ascii="Calibri" w:hAnsi="Calibri" w:cs="Calibri"/>
          <w:sz w:val="22"/>
          <w:szCs w:val="22"/>
        </w:rPr>
        <w:t>2017</w:t>
      </w:r>
      <w:proofErr w:type="gramStart"/>
      <w:r w:rsidRPr="006B4C83">
        <w:rPr>
          <w:rFonts w:ascii="Calibri" w:hAnsi="Calibri" w:cs="Calibri"/>
          <w:sz w:val="22"/>
          <w:szCs w:val="22"/>
        </w:rPr>
        <w:t>;376:417</w:t>
      </w:r>
      <w:proofErr w:type="gramEnd"/>
      <w:r w:rsidRPr="006B4C83">
        <w:rPr>
          <w:rFonts w:ascii="Calibri" w:hAnsi="Calibri" w:cs="Calibri"/>
          <w:sz w:val="22"/>
          <w:szCs w:val="22"/>
        </w:rPr>
        <w:t>–28.</w:t>
      </w:r>
    </w:p>
    <w:p w14:paraId="7E290198" w14:textId="77777777" w:rsidR="006A3AED" w:rsidRPr="006B4C83" w:rsidRDefault="006A3AED" w:rsidP="006B4C83">
      <w:pPr>
        <w:spacing w:line="276" w:lineRule="auto"/>
        <w:rPr>
          <w:rFonts w:ascii="Calibri" w:hAnsi="Calibri" w:cs="Calibri"/>
          <w:sz w:val="22"/>
          <w:szCs w:val="22"/>
        </w:rPr>
      </w:pPr>
    </w:p>
    <w:p w14:paraId="14E0FA30" w14:textId="7B81D9F0" w:rsidR="006B4C83" w:rsidRDefault="006B4C83" w:rsidP="006B4C83">
      <w:pPr>
        <w:spacing w:line="276" w:lineRule="auto"/>
        <w:rPr>
          <w:rFonts w:ascii="Calibri" w:hAnsi="Calibri" w:cs="Calibri"/>
          <w:sz w:val="22"/>
          <w:szCs w:val="22"/>
        </w:rPr>
      </w:pPr>
      <w:r w:rsidRPr="006B4C83">
        <w:rPr>
          <w:rFonts w:ascii="Calibri" w:hAnsi="Calibri" w:cs="Calibri"/>
          <w:sz w:val="22"/>
          <w:szCs w:val="22"/>
        </w:rPr>
        <w:t xml:space="preserve">[25] Pollack A, Karrison TG, Balogh AG, </w:t>
      </w:r>
      <w:r>
        <w:rPr>
          <w:rFonts w:ascii="Calibri" w:hAnsi="Calibri" w:cs="Calibri"/>
          <w:sz w:val="22"/>
          <w:szCs w:val="22"/>
        </w:rPr>
        <w:t xml:space="preserve">et al. The addition of androgen </w:t>
      </w:r>
      <w:r w:rsidRPr="006B4C83">
        <w:rPr>
          <w:rFonts w:ascii="Calibri" w:hAnsi="Calibri" w:cs="Calibri"/>
          <w:sz w:val="22"/>
          <w:szCs w:val="22"/>
        </w:rPr>
        <w:t>deprivation therapy and pelvic l</w:t>
      </w:r>
      <w:r>
        <w:rPr>
          <w:rFonts w:ascii="Calibri" w:hAnsi="Calibri" w:cs="Calibri"/>
          <w:sz w:val="22"/>
          <w:szCs w:val="22"/>
        </w:rPr>
        <w:t xml:space="preserve">ymph node treatment to prostate </w:t>
      </w:r>
      <w:r w:rsidRPr="006B4C83">
        <w:rPr>
          <w:rFonts w:ascii="Calibri" w:hAnsi="Calibri" w:cs="Calibri"/>
          <w:sz w:val="22"/>
          <w:szCs w:val="22"/>
        </w:rPr>
        <w:t>bed salvage radiotherapy (NRG</w:t>
      </w:r>
      <w:r>
        <w:rPr>
          <w:rFonts w:ascii="Calibri" w:hAnsi="Calibri" w:cs="Calibri"/>
          <w:sz w:val="22"/>
          <w:szCs w:val="22"/>
        </w:rPr>
        <w:t xml:space="preserve"> Oncology/RTOG 0534 SPPORT): an </w:t>
      </w:r>
      <w:r w:rsidRPr="006B4C83">
        <w:rPr>
          <w:rFonts w:ascii="Calibri" w:hAnsi="Calibri" w:cs="Calibri"/>
          <w:sz w:val="22"/>
          <w:szCs w:val="22"/>
        </w:rPr>
        <w:t>international, multicentre, randomised phase</w:t>
      </w:r>
      <w:r>
        <w:rPr>
          <w:rFonts w:ascii="Calibri" w:hAnsi="Calibri" w:cs="Calibri"/>
          <w:sz w:val="22"/>
          <w:szCs w:val="22"/>
        </w:rPr>
        <w:t xml:space="preserve"> 3 trial. Lancet </w:t>
      </w:r>
      <w:r w:rsidRPr="006B4C83">
        <w:rPr>
          <w:rFonts w:ascii="Calibri" w:hAnsi="Calibri" w:cs="Calibri"/>
          <w:sz w:val="22"/>
          <w:szCs w:val="22"/>
        </w:rPr>
        <w:t>2022</w:t>
      </w:r>
      <w:proofErr w:type="gramStart"/>
      <w:r w:rsidRPr="006B4C83">
        <w:rPr>
          <w:rFonts w:ascii="Calibri" w:hAnsi="Calibri" w:cs="Calibri"/>
          <w:sz w:val="22"/>
          <w:szCs w:val="22"/>
        </w:rPr>
        <w:t>;399:1886</w:t>
      </w:r>
      <w:proofErr w:type="gramEnd"/>
      <w:r w:rsidRPr="006B4C83">
        <w:rPr>
          <w:rFonts w:ascii="Calibri" w:hAnsi="Calibri" w:cs="Calibri"/>
          <w:sz w:val="22"/>
          <w:szCs w:val="22"/>
        </w:rPr>
        <w:t>–901.</w:t>
      </w:r>
    </w:p>
    <w:p w14:paraId="3F92CE43" w14:textId="77777777" w:rsidR="006A3AED" w:rsidRPr="006B4C83" w:rsidRDefault="006A3AED" w:rsidP="006B4C83">
      <w:pPr>
        <w:spacing w:line="276" w:lineRule="auto"/>
        <w:rPr>
          <w:rFonts w:ascii="Calibri" w:hAnsi="Calibri" w:cs="Calibri"/>
          <w:sz w:val="22"/>
          <w:szCs w:val="22"/>
        </w:rPr>
      </w:pPr>
    </w:p>
    <w:p w14:paraId="6BF00BF0" w14:textId="4382DD8B" w:rsidR="006B4C83" w:rsidRDefault="006B4C83" w:rsidP="006B4C83">
      <w:pPr>
        <w:spacing w:line="276" w:lineRule="auto"/>
        <w:rPr>
          <w:rFonts w:ascii="Calibri" w:hAnsi="Calibri" w:cs="Calibri"/>
          <w:sz w:val="22"/>
          <w:szCs w:val="22"/>
        </w:rPr>
      </w:pPr>
      <w:r w:rsidRPr="006B4C83">
        <w:rPr>
          <w:rFonts w:ascii="Calibri" w:hAnsi="Calibri" w:cs="Calibri"/>
          <w:sz w:val="22"/>
          <w:szCs w:val="22"/>
        </w:rPr>
        <w:t>[26] Spratt DE, Dess RT, Zumsteg ZS,</w:t>
      </w:r>
      <w:r>
        <w:rPr>
          <w:rFonts w:ascii="Calibri" w:hAnsi="Calibri" w:cs="Calibri"/>
          <w:sz w:val="22"/>
          <w:szCs w:val="22"/>
        </w:rPr>
        <w:t xml:space="preserve"> et al. A systematic review and framework for the use of </w:t>
      </w:r>
      <w:r w:rsidRPr="006B4C83">
        <w:rPr>
          <w:rFonts w:ascii="Calibri" w:hAnsi="Calibri" w:cs="Calibri"/>
          <w:sz w:val="22"/>
          <w:szCs w:val="22"/>
        </w:rPr>
        <w:t>hormone</w:t>
      </w:r>
      <w:r>
        <w:rPr>
          <w:rFonts w:ascii="Calibri" w:hAnsi="Calibri" w:cs="Calibri"/>
          <w:sz w:val="22"/>
          <w:szCs w:val="22"/>
        </w:rPr>
        <w:t xml:space="preserve"> therapy with salvage radiation </w:t>
      </w:r>
      <w:r w:rsidRPr="006B4C83">
        <w:rPr>
          <w:rFonts w:ascii="Calibri" w:hAnsi="Calibri" w:cs="Calibri"/>
          <w:sz w:val="22"/>
          <w:szCs w:val="22"/>
        </w:rPr>
        <w:t>therapy for recu</w:t>
      </w:r>
      <w:r>
        <w:rPr>
          <w:rFonts w:ascii="Calibri" w:hAnsi="Calibri" w:cs="Calibri"/>
          <w:sz w:val="22"/>
          <w:szCs w:val="22"/>
        </w:rPr>
        <w:t xml:space="preserve">rrent prostate cancer. Eur Urol </w:t>
      </w:r>
      <w:r w:rsidRPr="006B4C83">
        <w:rPr>
          <w:rFonts w:ascii="Calibri" w:hAnsi="Calibri" w:cs="Calibri"/>
          <w:sz w:val="22"/>
          <w:szCs w:val="22"/>
        </w:rPr>
        <w:t>2018</w:t>
      </w:r>
      <w:proofErr w:type="gramStart"/>
      <w:r w:rsidRPr="006B4C83">
        <w:rPr>
          <w:rFonts w:ascii="Calibri" w:hAnsi="Calibri" w:cs="Calibri"/>
          <w:sz w:val="22"/>
          <w:szCs w:val="22"/>
        </w:rPr>
        <w:t>;73:156</w:t>
      </w:r>
      <w:proofErr w:type="gramEnd"/>
      <w:r w:rsidRPr="006B4C83">
        <w:rPr>
          <w:rFonts w:ascii="Calibri" w:hAnsi="Calibri" w:cs="Calibri"/>
          <w:sz w:val="22"/>
          <w:szCs w:val="22"/>
        </w:rPr>
        <w:t>–65.</w:t>
      </w:r>
    </w:p>
    <w:p w14:paraId="0E79FE88" w14:textId="77777777" w:rsidR="006A3AED" w:rsidRPr="006B4C83" w:rsidRDefault="006A3AED" w:rsidP="006B4C83">
      <w:pPr>
        <w:spacing w:line="276" w:lineRule="auto"/>
        <w:rPr>
          <w:rFonts w:ascii="Calibri" w:hAnsi="Calibri" w:cs="Calibri"/>
          <w:sz w:val="22"/>
          <w:szCs w:val="22"/>
        </w:rPr>
      </w:pPr>
    </w:p>
    <w:p w14:paraId="6182E04D" w14:textId="6958C849" w:rsidR="006B4C83" w:rsidRDefault="006B4C83" w:rsidP="006B4C83">
      <w:pPr>
        <w:spacing w:line="276" w:lineRule="auto"/>
        <w:rPr>
          <w:rFonts w:ascii="Calibri" w:hAnsi="Calibri" w:cs="Calibri"/>
          <w:sz w:val="22"/>
          <w:szCs w:val="22"/>
        </w:rPr>
      </w:pPr>
      <w:r w:rsidRPr="006B4C83">
        <w:rPr>
          <w:rFonts w:ascii="Calibri" w:hAnsi="Calibri" w:cs="Calibri"/>
          <w:sz w:val="22"/>
          <w:szCs w:val="22"/>
        </w:rPr>
        <w:t>[27] Emmett L, Tang R, Nandurka</w:t>
      </w:r>
      <w:r>
        <w:rPr>
          <w:rFonts w:ascii="Calibri" w:hAnsi="Calibri" w:cs="Calibri"/>
          <w:sz w:val="22"/>
          <w:szCs w:val="22"/>
        </w:rPr>
        <w:t xml:space="preserve">r R, et al. 3-Year freedom from </w:t>
      </w:r>
      <w:r w:rsidRPr="006B4C83">
        <w:rPr>
          <w:rFonts w:ascii="Calibri" w:hAnsi="Calibri" w:cs="Calibri"/>
          <w:sz w:val="22"/>
          <w:szCs w:val="22"/>
        </w:rPr>
        <w:t>progression after 68Ga-PSMA P</w:t>
      </w:r>
      <w:r>
        <w:rPr>
          <w:rFonts w:ascii="Calibri" w:hAnsi="Calibri" w:cs="Calibri"/>
          <w:sz w:val="22"/>
          <w:szCs w:val="22"/>
        </w:rPr>
        <w:t xml:space="preserve">ET/CT-triaged management in men </w:t>
      </w:r>
      <w:r w:rsidRPr="006B4C83">
        <w:rPr>
          <w:rFonts w:ascii="Calibri" w:hAnsi="Calibri" w:cs="Calibri"/>
          <w:sz w:val="22"/>
          <w:szCs w:val="22"/>
        </w:rPr>
        <w:t>with biochemical recurrence after</w:t>
      </w:r>
      <w:r>
        <w:rPr>
          <w:rFonts w:ascii="Calibri" w:hAnsi="Calibri" w:cs="Calibri"/>
          <w:sz w:val="22"/>
          <w:szCs w:val="22"/>
        </w:rPr>
        <w:t xml:space="preserve"> radical prostatectomy: results </w:t>
      </w:r>
      <w:r w:rsidRPr="006B4C83">
        <w:rPr>
          <w:rFonts w:ascii="Calibri" w:hAnsi="Calibri" w:cs="Calibri"/>
          <w:sz w:val="22"/>
          <w:szCs w:val="22"/>
        </w:rPr>
        <w:t>of a prospective multicenter trial. J Nucl Med 2020</w:t>
      </w:r>
      <w:proofErr w:type="gramStart"/>
      <w:r w:rsidRPr="006B4C83">
        <w:rPr>
          <w:rFonts w:ascii="Calibri" w:hAnsi="Calibri" w:cs="Calibri"/>
          <w:sz w:val="22"/>
          <w:szCs w:val="22"/>
        </w:rPr>
        <w:t>;61:866</w:t>
      </w:r>
      <w:proofErr w:type="gramEnd"/>
      <w:r w:rsidRPr="006B4C83">
        <w:rPr>
          <w:rFonts w:ascii="Calibri" w:hAnsi="Calibri" w:cs="Calibri"/>
          <w:sz w:val="22"/>
          <w:szCs w:val="22"/>
        </w:rPr>
        <w:t>–72.</w:t>
      </w:r>
    </w:p>
    <w:p w14:paraId="0E0884DF" w14:textId="77777777" w:rsidR="006A3AED" w:rsidRPr="006B4C83" w:rsidRDefault="006A3AED" w:rsidP="006B4C83">
      <w:pPr>
        <w:spacing w:line="276" w:lineRule="auto"/>
        <w:rPr>
          <w:rFonts w:ascii="Calibri" w:hAnsi="Calibri" w:cs="Calibri"/>
          <w:sz w:val="22"/>
          <w:szCs w:val="22"/>
        </w:rPr>
      </w:pPr>
    </w:p>
    <w:p w14:paraId="714BB9E7" w14:textId="16CF252E" w:rsidR="006B4C83" w:rsidRDefault="006B4C83" w:rsidP="006B4C83">
      <w:pPr>
        <w:spacing w:line="276" w:lineRule="auto"/>
        <w:rPr>
          <w:rFonts w:ascii="Calibri" w:hAnsi="Calibri" w:cs="Calibri"/>
          <w:sz w:val="22"/>
          <w:szCs w:val="22"/>
        </w:rPr>
      </w:pPr>
      <w:r w:rsidRPr="006B4C83">
        <w:rPr>
          <w:rFonts w:ascii="Calibri" w:hAnsi="Calibri" w:cs="Calibri"/>
          <w:sz w:val="22"/>
          <w:szCs w:val="22"/>
        </w:rPr>
        <w:t>[28] Vale CL, Fisher D, Kneebone A, e</w:t>
      </w:r>
      <w:r>
        <w:rPr>
          <w:rFonts w:ascii="Calibri" w:hAnsi="Calibri" w:cs="Calibri"/>
          <w:sz w:val="22"/>
          <w:szCs w:val="22"/>
        </w:rPr>
        <w:t xml:space="preserve">t al. Adjuvant or early salvage </w:t>
      </w:r>
      <w:r w:rsidRPr="006B4C83">
        <w:rPr>
          <w:rFonts w:ascii="Calibri" w:hAnsi="Calibri" w:cs="Calibri"/>
          <w:sz w:val="22"/>
          <w:szCs w:val="22"/>
        </w:rPr>
        <w:t>radiotherapy for the treatment of</w:t>
      </w:r>
      <w:r>
        <w:rPr>
          <w:rFonts w:ascii="Calibri" w:hAnsi="Calibri" w:cs="Calibri"/>
          <w:sz w:val="22"/>
          <w:szCs w:val="22"/>
        </w:rPr>
        <w:t xml:space="preserve"> localised and locally advanced </w:t>
      </w:r>
      <w:r w:rsidRPr="006B4C83">
        <w:rPr>
          <w:rFonts w:ascii="Calibri" w:hAnsi="Calibri" w:cs="Calibri"/>
          <w:sz w:val="22"/>
          <w:szCs w:val="22"/>
        </w:rPr>
        <w:t>prostate cancer: a prospectivel</w:t>
      </w:r>
      <w:r>
        <w:rPr>
          <w:rFonts w:ascii="Calibri" w:hAnsi="Calibri" w:cs="Calibri"/>
          <w:sz w:val="22"/>
          <w:szCs w:val="22"/>
        </w:rPr>
        <w:t xml:space="preserve">y planned systematic review and </w:t>
      </w:r>
      <w:r w:rsidRPr="006B4C83">
        <w:rPr>
          <w:rFonts w:ascii="Calibri" w:hAnsi="Calibri" w:cs="Calibri"/>
          <w:sz w:val="22"/>
          <w:szCs w:val="22"/>
        </w:rPr>
        <w:t>meta-analysis of aggregate data. Lancet 2020</w:t>
      </w:r>
      <w:proofErr w:type="gramStart"/>
      <w:r w:rsidRPr="006B4C83">
        <w:rPr>
          <w:rFonts w:ascii="Calibri" w:hAnsi="Calibri" w:cs="Calibri"/>
          <w:sz w:val="22"/>
          <w:szCs w:val="22"/>
        </w:rPr>
        <w:t>;396:1422</w:t>
      </w:r>
      <w:proofErr w:type="gramEnd"/>
      <w:r w:rsidRPr="006B4C83">
        <w:rPr>
          <w:rFonts w:ascii="Calibri" w:hAnsi="Calibri" w:cs="Calibri"/>
          <w:sz w:val="22"/>
          <w:szCs w:val="22"/>
        </w:rPr>
        <w:t>–31.</w:t>
      </w:r>
    </w:p>
    <w:p w14:paraId="23D21DDE" w14:textId="77777777" w:rsidR="006A3AED" w:rsidRPr="006B4C83" w:rsidRDefault="006A3AED" w:rsidP="006B4C83">
      <w:pPr>
        <w:spacing w:line="276" w:lineRule="auto"/>
        <w:rPr>
          <w:rFonts w:ascii="Calibri" w:hAnsi="Calibri" w:cs="Calibri"/>
          <w:sz w:val="22"/>
          <w:szCs w:val="22"/>
        </w:rPr>
      </w:pPr>
    </w:p>
    <w:p w14:paraId="3AE95563" w14:textId="7131CF1A" w:rsidR="006B4C83" w:rsidRDefault="006B4C83" w:rsidP="006B4C83">
      <w:pPr>
        <w:spacing w:line="276" w:lineRule="auto"/>
        <w:rPr>
          <w:rFonts w:ascii="Calibri" w:hAnsi="Calibri" w:cs="Calibri"/>
          <w:sz w:val="22"/>
          <w:szCs w:val="22"/>
        </w:rPr>
      </w:pPr>
      <w:r w:rsidRPr="006B4C83">
        <w:rPr>
          <w:rFonts w:ascii="Calibri" w:hAnsi="Calibri" w:cs="Calibri"/>
          <w:sz w:val="22"/>
          <w:szCs w:val="22"/>
        </w:rPr>
        <w:t>[29] Viani GA, Viana BS, Martin JE, R</w:t>
      </w:r>
      <w:r>
        <w:rPr>
          <w:rFonts w:ascii="Calibri" w:hAnsi="Calibri" w:cs="Calibri"/>
          <w:sz w:val="22"/>
          <w:szCs w:val="22"/>
        </w:rPr>
        <w:t xml:space="preserve">ossi BT, Zuliani G, Stefano EJ. </w:t>
      </w:r>
      <w:r w:rsidRPr="006B4C83">
        <w:rPr>
          <w:rFonts w:ascii="Calibri" w:hAnsi="Calibri" w:cs="Calibri"/>
          <w:sz w:val="22"/>
          <w:szCs w:val="22"/>
        </w:rPr>
        <w:t>Intensity-modulated radiotherap</w:t>
      </w:r>
      <w:r>
        <w:rPr>
          <w:rFonts w:ascii="Calibri" w:hAnsi="Calibri" w:cs="Calibri"/>
          <w:sz w:val="22"/>
          <w:szCs w:val="22"/>
        </w:rPr>
        <w:t xml:space="preserve">y reduces toxicity with similar </w:t>
      </w:r>
      <w:r w:rsidRPr="006B4C83">
        <w:rPr>
          <w:rFonts w:ascii="Calibri" w:hAnsi="Calibri" w:cs="Calibri"/>
          <w:sz w:val="22"/>
          <w:szCs w:val="22"/>
        </w:rPr>
        <w:t>biochemical control compar</w:t>
      </w:r>
      <w:r>
        <w:rPr>
          <w:rFonts w:ascii="Calibri" w:hAnsi="Calibri" w:cs="Calibri"/>
          <w:sz w:val="22"/>
          <w:szCs w:val="22"/>
        </w:rPr>
        <w:t xml:space="preserve">ed with 3-dimensional conformal </w:t>
      </w:r>
      <w:r w:rsidRPr="006B4C83">
        <w:rPr>
          <w:rFonts w:ascii="Calibri" w:hAnsi="Calibri" w:cs="Calibri"/>
          <w:sz w:val="22"/>
          <w:szCs w:val="22"/>
        </w:rPr>
        <w:t>radiotherapy for prostate cance</w:t>
      </w:r>
      <w:r>
        <w:rPr>
          <w:rFonts w:ascii="Calibri" w:hAnsi="Calibri" w:cs="Calibri"/>
          <w:sz w:val="22"/>
          <w:szCs w:val="22"/>
        </w:rPr>
        <w:t xml:space="preserve">r: a randomized clinical trial. </w:t>
      </w:r>
      <w:r w:rsidRPr="006B4C83">
        <w:rPr>
          <w:rFonts w:ascii="Calibri" w:hAnsi="Calibri" w:cs="Calibri"/>
          <w:sz w:val="22"/>
          <w:szCs w:val="22"/>
        </w:rPr>
        <w:t>Cancer 2016</w:t>
      </w:r>
      <w:proofErr w:type="gramStart"/>
      <w:r w:rsidRPr="006B4C83">
        <w:rPr>
          <w:rFonts w:ascii="Calibri" w:hAnsi="Calibri" w:cs="Calibri"/>
          <w:sz w:val="22"/>
          <w:szCs w:val="22"/>
        </w:rPr>
        <w:t>;122:2004</w:t>
      </w:r>
      <w:proofErr w:type="gramEnd"/>
      <w:r w:rsidRPr="006B4C83">
        <w:rPr>
          <w:rFonts w:ascii="Calibri" w:hAnsi="Calibri" w:cs="Calibri"/>
          <w:sz w:val="22"/>
          <w:szCs w:val="22"/>
        </w:rPr>
        <w:t>–11.</w:t>
      </w:r>
    </w:p>
    <w:p w14:paraId="1EE31474" w14:textId="77777777" w:rsidR="006A3AED" w:rsidRPr="006B4C83" w:rsidRDefault="006A3AED" w:rsidP="006B4C83">
      <w:pPr>
        <w:spacing w:line="276" w:lineRule="auto"/>
        <w:rPr>
          <w:rFonts w:ascii="Calibri" w:hAnsi="Calibri" w:cs="Calibri"/>
          <w:sz w:val="22"/>
          <w:szCs w:val="22"/>
        </w:rPr>
      </w:pPr>
    </w:p>
    <w:p w14:paraId="2ADB4DB4" w14:textId="3CC5AC5B" w:rsidR="006B4C83" w:rsidRPr="006B4C83" w:rsidRDefault="006B4C83" w:rsidP="006B4C83">
      <w:pPr>
        <w:spacing w:line="276" w:lineRule="auto"/>
        <w:rPr>
          <w:rFonts w:ascii="Calibri" w:hAnsi="Calibri" w:cs="Calibri"/>
          <w:sz w:val="22"/>
          <w:szCs w:val="22"/>
        </w:rPr>
      </w:pPr>
      <w:r w:rsidRPr="006B4C83">
        <w:rPr>
          <w:rFonts w:ascii="Calibri" w:hAnsi="Calibri" w:cs="Calibri"/>
          <w:sz w:val="22"/>
          <w:szCs w:val="22"/>
        </w:rPr>
        <w:t>[30] Tilki D, Chen MH, Wu J, et al</w:t>
      </w:r>
      <w:r>
        <w:rPr>
          <w:rFonts w:ascii="Calibri" w:hAnsi="Calibri" w:cs="Calibri"/>
          <w:sz w:val="22"/>
          <w:szCs w:val="22"/>
        </w:rPr>
        <w:t xml:space="preserve">. Adjuvant versus early salvage </w:t>
      </w:r>
      <w:r w:rsidRPr="006B4C83">
        <w:rPr>
          <w:rFonts w:ascii="Calibri" w:hAnsi="Calibri" w:cs="Calibri"/>
          <w:sz w:val="22"/>
          <w:szCs w:val="22"/>
        </w:rPr>
        <w:t>radiation therapy for men at hig</w:t>
      </w:r>
      <w:r>
        <w:rPr>
          <w:rFonts w:ascii="Calibri" w:hAnsi="Calibri" w:cs="Calibri"/>
          <w:sz w:val="22"/>
          <w:szCs w:val="22"/>
        </w:rPr>
        <w:t xml:space="preserve">h risk for recurrence following </w:t>
      </w:r>
      <w:r w:rsidRPr="006B4C83">
        <w:rPr>
          <w:rFonts w:ascii="Calibri" w:hAnsi="Calibri" w:cs="Calibri"/>
          <w:sz w:val="22"/>
          <w:szCs w:val="22"/>
        </w:rPr>
        <w:t>radical prostatectomy for prostate cancer and the risk of death. J</w:t>
      </w:r>
    </w:p>
    <w:p w14:paraId="1AEB3D70" w14:textId="7F1BA3CA" w:rsidR="006512CF" w:rsidRDefault="006B4C83" w:rsidP="006B4C83">
      <w:pPr>
        <w:spacing w:line="276" w:lineRule="auto"/>
        <w:rPr>
          <w:rFonts w:ascii="Calibri" w:hAnsi="Calibri" w:cs="Calibri"/>
          <w:sz w:val="22"/>
          <w:szCs w:val="22"/>
        </w:rPr>
      </w:pPr>
      <w:r w:rsidRPr="006B4C83">
        <w:rPr>
          <w:rFonts w:ascii="Calibri" w:hAnsi="Calibri" w:cs="Calibri"/>
          <w:sz w:val="22"/>
          <w:szCs w:val="22"/>
        </w:rPr>
        <w:t>Clin Oncol 2021</w:t>
      </w:r>
      <w:proofErr w:type="gramStart"/>
      <w:r w:rsidRPr="006B4C83">
        <w:rPr>
          <w:rFonts w:ascii="Calibri" w:hAnsi="Calibri" w:cs="Calibri"/>
          <w:sz w:val="22"/>
          <w:szCs w:val="22"/>
        </w:rPr>
        <w:t>;39:2284</w:t>
      </w:r>
      <w:proofErr w:type="gramEnd"/>
      <w:r w:rsidRPr="006B4C83">
        <w:rPr>
          <w:rFonts w:ascii="Calibri" w:hAnsi="Calibri" w:cs="Calibri"/>
          <w:sz w:val="22"/>
          <w:szCs w:val="22"/>
        </w:rPr>
        <w:t>–93.</w:t>
      </w:r>
    </w:p>
    <w:p w14:paraId="62678487" w14:textId="77777777" w:rsidR="006A3AED" w:rsidRDefault="006A3AED" w:rsidP="006B4C83">
      <w:pPr>
        <w:spacing w:line="276" w:lineRule="auto"/>
        <w:rPr>
          <w:rFonts w:ascii="Calibri" w:hAnsi="Calibri" w:cs="Calibri"/>
          <w:sz w:val="22"/>
          <w:szCs w:val="22"/>
        </w:rPr>
      </w:pPr>
    </w:p>
    <w:p w14:paraId="1D71801F" w14:textId="4F810D8E" w:rsidR="006B4C83" w:rsidRDefault="006B4C83" w:rsidP="006B4C83">
      <w:pPr>
        <w:spacing w:line="276" w:lineRule="auto"/>
        <w:rPr>
          <w:rFonts w:ascii="Calibri" w:hAnsi="Calibri" w:cs="Calibri"/>
          <w:sz w:val="22"/>
          <w:szCs w:val="22"/>
        </w:rPr>
      </w:pPr>
      <w:r w:rsidRPr="006B4C83">
        <w:rPr>
          <w:rFonts w:ascii="Calibri" w:hAnsi="Calibri" w:cs="Calibri"/>
          <w:sz w:val="22"/>
          <w:szCs w:val="22"/>
        </w:rPr>
        <w:t>[31] Valle LF, Lehrer EJ, Markovic D,</w:t>
      </w:r>
      <w:r w:rsidR="00376849">
        <w:rPr>
          <w:rFonts w:ascii="Calibri" w:hAnsi="Calibri" w:cs="Calibri"/>
          <w:sz w:val="22"/>
          <w:szCs w:val="22"/>
        </w:rPr>
        <w:t xml:space="preserve"> et al. A systematic review and </w:t>
      </w:r>
      <w:r w:rsidRPr="006B4C83">
        <w:rPr>
          <w:rFonts w:ascii="Calibri" w:hAnsi="Calibri" w:cs="Calibri"/>
          <w:sz w:val="22"/>
          <w:szCs w:val="22"/>
        </w:rPr>
        <w:t>meta-analysis of local salvage t</w:t>
      </w:r>
      <w:r w:rsidR="00376849">
        <w:rPr>
          <w:rFonts w:ascii="Calibri" w:hAnsi="Calibri" w:cs="Calibri"/>
          <w:sz w:val="22"/>
          <w:szCs w:val="22"/>
        </w:rPr>
        <w:t xml:space="preserve">herapies after radiotherapy for </w:t>
      </w:r>
      <w:r w:rsidRPr="006B4C83">
        <w:rPr>
          <w:rFonts w:ascii="Calibri" w:hAnsi="Calibri" w:cs="Calibri"/>
          <w:sz w:val="22"/>
          <w:szCs w:val="22"/>
        </w:rPr>
        <w:t>prostate cancer (MASTER). Eur Urol 2021</w:t>
      </w:r>
      <w:proofErr w:type="gramStart"/>
      <w:r w:rsidRPr="006B4C83">
        <w:rPr>
          <w:rFonts w:ascii="Calibri" w:hAnsi="Calibri" w:cs="Calibri"/>
          <w:sz w:val="22"/>
          <w:szCs w:val="22"/>
        </w:rPr>
        <w:t>;80:280</w:t>
      </w:r>
      <w:proofErr w:type="gramEnd"/>
      <w:r w:rsidRPr="006B4C83">
        <w:rPr>
          <w:rFonts w:ascii="Calibri" w:hAnsi="Calibri" w:cs="Calibri"/>
          <w:sz w:val="22"/>
          <w:szCs w:val="22"/>
        </w:rPr>
        <w:t>–92.</w:t>
      </w:r>
    </w:p>
    <w:p w14:paraId="24F1D542" w14:textId="77777777" w:rsidR="006A3AED" w:rsidRPr="006B4C83" w:rsidRDefault="006A3AED" w:rsidP="006B4C83">
      <w:pPr>
        <w:spacing w:line="276" w:lineRule="auto"/>
        <w:rPr>
          <w:rFonts w:ascii="Calibri" w:hAnsi="Calibri" w:cs="Calibri"/>
          <w:sz w:val="22"/>
          <w:szCs w:val="22"/>
        </w:rPr>
      </w:pPr>
    </w:p>
    <w:p w14:paraId="2F0EDE20" w14:textId="4B21AC00" w:rsidR="006B4C83" w:rsidRDefault="006B4C83" w:rsidP="006B4C83">
      <w:pPr>
        <w:spacing w:line="276" w:lineRule="auto"/>
        <w:rPr>
          <w:rFonts w:ascii="Calibri" w:hAnsi="Calibri" w:cs="Calibri"/>
          <w:sz w:val="22"/>
          <w:szCs w:val="22"/>
        </w:rPr>
      </w:pPr>
      <w:r w:rsidRPr="006B4C83">
        <w:rPr>
          <w:rFonts w:ascii="Calibri" w:hAnsi="Calibri" w:cs="Calibri"/>
          <w:sz w:val="22"/>
          <w:szCs w:val="22"/>
        </w:rPr>
        <w:t>[32] Freedland SJ, de Almeida L</w:t>
      </w:r>
      <w:r w:rsidR="00376849">
        <w:rPr>
          <w:rFonts w:ascii="Calibri" w:hAnsi="Calibri" w:cs="Calibri"/>
          <w:sz w:val="22"/>
          <w:szCs w:val="22"/>
        </w:rPr>
        <w:t xml:space="preserve">M, De Giorgi U, et al. Improved </w:t>
      </w:r>
      <w:r w:rsidRPr="006B4C83">
        <w:rPr>
          <w:rFonts w:ascii="Calibri" w:hAnsi="Calibri" w:cs="Calibri"/>
          <w:sz w:val="22"/>
          <w:szCs w:val="22"/>
        </w:rPr>
        <w:t>outcomes with enzalutamide in b</w:t>
      </w:r>
      <w:r w:rsidR="00376849">
        <w:rPr>
          <w:rFonts w:ascii="Calibri" w:hAnsi="Calibri" w:cs="Calibri"/>
          <w:sz w:val="22"/>
          <w:szCs w:val="22"/>
        </w:rPr>
        <w:t xml:space="preserve">iochemically recurrent prostate </w:t>
      </w:r>
      <w:r w:rsidRPr="006B4C83">
        <w:rPr>
          <w:rFonts w:ascii="Calibri" w:hAnsi="Calibri" w:cs="Calibri"/>
          <w:sz w:val="22"/>
          <w:szCs w:val="22"/>
        </w:rPr>
        <w:t>cancer. N Engl J Med 2023</w:t>
      </w:r>
      <w:proofErr w:type="gramStart"/>
      <w:r w:rsidRPr="006B4C83">
        <w:rPr>
          <w:rFonts w:ascii="Calibri" w:hAnsi="Calibri" w:cs="Calibri"/>
          <w:sz w:val="22"/>
          <w:szCs w:val="22"/>
        </w:rPr>
        <w:t>;389:1453</w:t>
      </w:r>
      <w:proofErr w:type="gramEnd"/>
      <w:r w:rsidRPr="006B4C83">
        <w:rPr>
          <w:rFonts w:ascii="Calibri" w:hAnsi="Calibri" w:cs="Calibri"/>
          <w:sz w:val="22"/>
          <w:szCs w:val="22"/>
        </w:rPr>
        <w:t>–65.</w:t>
      </w:r>
    </w:p>
    <w:p w14:paraId="65D0523E" w14:textId="77777777" w:rsidR="006A3AED" w:rsidRPr="006B4C83" w:rsidRDefault="006A3AED" w:rsidP="006B4C83">
      <w:pPr>
        <w:spacing w:line="276" w:lineRule="auto"/>
        <w:rPr>
          <w:rFonts w:ascii="Calibri" w:hAnsi="Calibri" w:cs="Calibri"/>
          <w:sz w:val="22"/>
          <w:szCs w:val="22"/>
        </w:rPr>
      </w:pPr>
    </w:p>
    <w:p w14:paraId="22D8A85D" w14:textId="746C0092" w:rsidR="006B4C83" w:rsidRDefault="006B4C83" w:rsidP="006B4C83">
      <w:pPr>
        <w:spacing w:line="276" w:lineRule="auto"/>
        <w:rPr>
          <w:rFonts w:ascii="Calibri" w:hAnsi="Calibri" w:cs="Calibri"/>
          <w:sz w:val="22"/>
          <w:szCs w:val="22"/>
        </w:rPr>
      </w:pPr>
      <w:r w:rsidRPr="006B4C83">
        <w:rPr>
          <w:rFonts w:ascii="Calibri" w:hAnsi="Calibri" w:cs="Calibri"/>
          <w:sz w:val="22"/>
          <w:szCs w:val="22"/>
        </w:rPr>
        <w:t>[33] Freedland SJ, Gleave M, De Gi</w:t>
      </w:r>
      <w:r w:rsidR="00376849">
        <w:rPr>
          <w:rFonts w:ascii="Calibri" w:hAnsi="Calibri" w:cs="Calibri"/>
          <w:sz w:val="22"/>
          <w:szCs w:val="22"/>
        </w:rPr>
        <w:t xml:space="preserve">orgi U, et al. Enzalutamide and </w:t>
      </w:r>
      <w:r w:rsidRPr="006B4C83">
        <w:rPr>
          <w:rFonts w:ascii="Calibri" w:hAnsi="Calibri" w:cs="Calibri"/>
          <w:sz w:val="22"/>
          <w:szCs w:val="22"/>
        </w:rPr>
        <w:t xml:space="preserve">quality of life in biochemically </w:t>
      </w:r>
      <w:r w:rsidR="00376849">
        <w:rPr>
          <w:rFonts w:ascii="Calibri" w:hAnsi="Calibri" w:cs="Calibri"/>
          <w:sz w:val="22"/>
          <w:szCs w:val="22"/>
        </w:rPr>
        <w:t xml:space="preserve">recurrent prostate cancer. NEJM </w:t>
      </w:r>
      <w:r w:rsidRPr="006B4C83">
        <w:rPr>
          <w:rFonts w:ascii="Calibri" w:hAnsi="Calibri" w:cs="Calibri"/>
          <w:sz w:val="22"/>
          <w:szCs w:val="22"/>
        </w:rPr>
        <w:t>Evid 2023</w:t>
      </w:r>
      <w:proofErr w:type="gramStart"/>
      <w:r w:rsidRPr="006B4C83">
        <w:rPr>
          <w:rFonts w:ascii="Calibri" w:hAnsi="Calibri" w:cs="Calibri"/>
          <w:sz w:val="22"/>
          <w:szCs w:val="22"/>
        </w:rPr>
        <w:t>;2:EVIDoa2300251</w:t>
      </w:r>
      <w:proofErr w:type="gramEnd"/>
      <w:r w:rsidRPr="006B4C83">
        <w:rPr>
          <w:rFonts w:ascii="Calibri" w:hAnsi="Calibri" w:cs="Calibri"/>
          <w:sz w:val="22"/>
          <w:szCs w:val="22"/>
        </w:rPr>
        <w:t>.</w:t>
      </w:r>
    </w:p>
    <w:p w14:paraId="6E5EDDA4" w14:textId="77777777" w:rsidR="006A3AED" w:rsidRPr="006B4C83" w:rsidRDefault="006A3AED" w:rsidP="006B4C83">
      <w:pPr>
        <w:spacing w:line="276" w:lineRule="auto"/>
        <w:rPr>
          <w:rFonts w:ascii="Calibri" w:hAnsi="Calibri" w:cs="Calibri"/>
          <w:sz w:val="22"/>
          <w:szCs w:val="22"/>
        </w:rPr>
      </w:pPr>
    </w:p>
    <w:p w14:paraId="5B09B6D4" w14:textId="53B19516" w:rsidR="006B4C83" w:rsidRPr="006B4C83" w:rsidRDefault="006B4C83" w:rsidP="006B4C83">
      <w:pPr>
        <w:spacing w:line="276" w:lineRule="auto"/>
        <w:rPr>
          <w:rFonts w:ascii="Calibri" w:hAnsi="Calibri" w:cs="Calibri"/>
          <w:sz w:val="22"/>
          <w:szCs w:val="22"/>
        </w:rPr>
      </w:pPr>
      <w:r w:rsidRPr="006B4C83">
        <w:rPr>
          <w:rFonts w:ascii="Calibri" w:hAnsi="Calibri" w:cs="Calibri"/>
          <w:sz w:val="22"/>
          <w:szCs w:val="22"/>
        </w:rPr>
        <w:t>[34] US Food and Drug Administration</w:t>
      </w:r>
      <w:r w:rsidR="00376849">
        <w:rPr>
          <w:rFonts w:ascii="Calibri" w:hAnsi="Calibri" w:cs="Calibri"/>
          <w:sz w:val="22"/>
          <w:szCs w:val="22"/>
        </w:rPr>
        <w:t xml:space="preserve">. FDA approves enzalutamide for </w:t>
      </w:r>
      <w:r w:rsidRPr="006B4C83">
        <w:rPr>
          <w:rFonts w:ascii="Calibri" w:hAnsi="Calibri" w:cs="Calibri"/>
          <w:sz w:val="22"/>
          <w:szCs w:val="22"/>
        </w:rPr>
        <w:t>non-metastatic castration</w:t>
      </w:r>
      <w:r w:rsidR="00376849">
        <w:rPr>
          <w:rFonts w:ascii="Calibri" w:hAnsi="Calibri" w:cs="Calibri"/>
          <w:sz w:val="22"/>
          <w:szCs w:val="22"/>
        </w:rPr>
        <w:t xml:space="preserve">-sensitive prostate cancer with </w:t>
      </w:r>
      <w:r w:rsidRPr="006B4C83">
        <w:rPr>
          <w:rFonts w:ascii="Calibri" w:hAnsi="Calibri" w:cs="Calibri"/>
          <w:sz w:val="22"/>
          <w:szCs w:val="22"/>
        </w:rPr>
        <w:t>biochemical recurrence. FDA; 2023. http://www.fda.gov/drugs/</w:t>
      </w:r>
    </w:p>
    <w:p w14:paraId="32A876F2" w14:textId="6FFA7BEC" w:rsidR="006B4C83" w:rsidRDefault="006B4C83" w:rsidP="006B4C83">
      <w:pPr>
        <w:spacing w:line="276" w:lineRule="auto"/>
        <w:rPr>
          <w:rFonts w:ascii="Calibri" w:hAnsi="Calibri" w:cs="Calibri"/>
          <w:sz w:val="22"/>
          <w:szCs w:val="22"/>
        </w:rPr>
      </w:pPr>
      <w:proofErr w:type="gramStart"/>
      <w:r w:rsidRPr="006B4C83">
        <w:rPr>
          <w:rFonts w:ascii="Calibri" w:hAnsi="Calibri" w:cs="Calibri"/>
          <w:sz w:val="22"/>
          <w:szCs w:val="22"/>
        </w:rPr>
        <w:t>resources-information-approved-</w:t>
      </w:r>
      <w:r w:rsidR="00376849">
        <w:rPr>
          <w:rFonts w:ascii="Calibri" w:hAnsi="Calibri" w:cs="Calibri"/>
          <w:sz w:val="22"/>
          <w:szCs w:val="22"/>
        </w:rPr>
        <w:t>drugs/fda-approvesenzalutamide-</w:t>
      </w:r>
      <w:proofErr w:type="gramEnd"/>
      <w:r w:rsidR="00376849">
        <w:rPr>
          <w:rFonts w:ascii="Calibri" w:hAnsi="Calibri" w:cs="Calibri"/>
          <w:sz w:val="22"/>
          <w:szCs w:val="22"/>
        </w:rPr>
        <w:t xml:space="preserve"> </w:t>
      </w:r>
      <w:r w:rsidRPr="006B4C83">
        <w:rPr>
          <w:rFonts w:ascii="Calibri" w:hAnsi="Calibri" w:cs="Calibri"/>
          <w:sz w:val="22"/>
          <w:szCs w:val="22"/>
        </w:rPr>
        <w:t>non-metastatic-castr</w:t>
      </w:r>
      <w:r w:rsidR="00376849">
        <w:rPr>
          <w:rFonts w:ascii="Calibri" w:hAnsi="Calibri" w:cs="Calibri"/>
          <w:sz w:val="22"/>
          <w:szCs w:val="22"/>
        </w:rPr>
        <w:t>ation-sensitive-prostatecancer-</w:t>
      </w:r>
      <w:r w:rsidRPr="006B4C83">
        <w:rPr>
          <w:rFonts w:ascii="Calibri" w:hAnsi="Calibri" w:cs="Calibri"/>
          <w:sz w:val="22"/>
          <w:szCs w:val="22"/>
        </w:rPr>
        <w:t>biochemical-recurrence.</w:t>
      </w:r>
    </w:p>
    <w:p w14:paraId="77711075" w14:textId="77777777" w:rsidR="006A3AED" w:rsidRPr="006B4C83" w:rsidRDefault="006A3AED" w:rsidP="006B4C83">
      <w:pPr>
        <w:spacing w:line="276" w:lineRule="auto"/>
        <w:rPr>
          <w:rFonts w:ascii="Calibri" w:hAnsi="Calibri" w:cs="Calibri"/>
          <w:sz w:val="22"/>
          <w:szCs w:val="22"/>
        </w:rPr>
      </w:pPr>
    </w:p>
    <w:p w14:paraId="6B6DFEE7" w14:textId="05FBEA9A" w:rsidR="006B4C83" w:rsidRPr="006B4C83" w:rsidRDefault="006B4C83" w:rsidP="006B4C83">
      <w:pPr>
        <w:spacing w:line="276" w:lineRule="auto"/>
        <w:rPr>
          <w:rFonts w:ascii="Calibri" w:hAnsi="Calibri" w:cs="Calibri"/>
          <w:sz w:val="22"/>
          <w:szCs w:val="22"/>
        </w:rPr>
      </w:pPr>
      <w:r w:rsidRPr="006B4C83">
        <w:rPr>
          <w:rFonts w:ascii="Calibri" w:hAnsi="Calibri" w:cs="Calibri"/>
          <w:sz w:val="22"/>
          <w:szCs w:val="22"/>
        </w:rPr>
        <w:t>[35] Ploussard G, Gandaglia G, Borgma</w:t>
      </w:r>
      <w:r w:rsidR="00376849">
        <w:rPr>
          <w:rFonts w:ascii="Calibri" w:hAnsi="Calibri" w:cs="Calibri"/>
          <w:sz w:val="22"/>
          <w:szCs w:val="22"/>
        </w:rPr>
        <w:t xml:space="preserve">nn H, et al. Salvage lymph node </w:t>
      </w:r>
      <w:r w:rsidRPr="006B4C83">
        <w:rPr>
          <w:rFonts w:ascii="Calibri" w:hAnsi="Calibri" w:cs="Calibri"/>
          <w:sz w:val="22"/>
          <w:szCs w:val="22"/>
        </w:rPr>
        <w:t>dissection for nodal recurrent prostate ca</w:t>
      </w:r>
      <w:r w:rsidR="00376849">
        <w:rPr>
          <w:rFonts w:ascii="Calibri" w:hAnsi="Calibri" w:cs="Calibri"/>
          <w:sz w:val="22"/>
          <w:szCs w:val="22"/>
        </w:rPr>
        <w:t xml:space="preserve">ncer: a systematic </w:t>
      </w:r>
      <w:r w:rsidRPr="006B4C83">
        <w:rPr>
          <w:rFonts w:ascii="Calibri" w:hAnsi="Calibri" w:cs="Calibri"/>
          <w:sz w:val="22"/>
          <w:szCs w:val="22"/>
        </w:rPr>
        <w:t>review. Eur Urol 2019</w:t>
      </w:r>
      <w:proofErr w:type="gramStart"/>
      <w:r w:rsidRPr="006B4C83">
        <w:rPr>
          <w:rFonts w:ascii="Calibri" w:hAnsi="Calibri" w:cs="Calibri"/>
          <w:sz w:val="22"/>
          <w:szCs w:val="22"/>
        </w:rPr>
        <w:t>;76:493</w:t>
      </w:r>
      <w:proofErr w:type="gramEnd"/>
      <w:r w:rsidRPr="006B4C83">
        <w:rPr>
          <w:rFonts w:ascii="Calibri" w:hAnsi="Calibri" w:cs="Calibri"/>
          <w:sz w:val="22"/>
          <w:szCs w:val="22"/>
        </w:rPr>
        <w:t>–504.</w:t>
      </w:r>
    </w:p>
    <w:p w14:paraId="6B19F93A" w14:textId="35E4D697" w:rsidR="006B4C83" w:rsidRDefault="006B4C83" w:rsidP="006B4C83">
      <w:pPr>
        <w:spacing w:line="276" w:lineRule="auto"/>
        <w:rPr>
          <w:rFonts w:ascii="Calibri" w:hAnsi="Calibri" w:cs="Calibri"/>
          <w:sz w:val="22"/>
          <w:szCs w:val="22"/>
        </w:rPr>
      </w:pPr>
      <w:r w:rsidRPr="006B4C83">
        <w:rPr>
          <w:rFonts w:ascii="Calibri" w:hAnsi="Calibri" w:cs="Calibri"/>
          <w:sz w:val="22"/>
          <w:szCs w:val="22"/>
        </w:rPr>
        <w:lastRenderedPageBreak/>
        <w:t xml:space="preserve">[36] Bravi CA, Fossati N, </w:t>
      </w:r>
      <w:proofErr w:type="gramStart"/>
      <w:r w:rsidRPr="006B4C83">
        <w:rPr>
          <w:rFonts w:ascii="Calibri" w:hAnsi="Calibri" w:cs="Calibri"/>
          <w:sz w:val="22"/>
          <w:szCs w:val="22"/>
        </w:rPr>
        <w:t>Gandaglia</w:t>
      </w:r>
      <w:proofErr w:type="gramEnd"/>
      <w:r w:rsidRPr="006B4C83">
        <w:rPr>
          <w:rFonts w:ascii="Calibri" w:hAnsi="Calibri" w:cs="Calibri"/>
          <w:sz w:val="22"/>
          <w:szCs w:val="22"/>
        </w:rPr>
        <w:t xml:space="preserve"> </w:t>
      </w:r>
      <w:r w:rsidR="00376849">
        <w:rPr>
          <w:rFonts w:ascii="Calibri" w:hAnsi="Calibri" w:cs="Calibri"/>
          <w:sz w:val="22"/>
          <w:szCs w:val="22"/>
        </w:rPr>
        <w:t xml:space="preserve">G, et al. Long-term outcomes of </w:t>
      </w:r>
      <w:r w:rsidRPr="006B4C83">
        <w:rPr>
          <w:rFonts w:ascii="Calibri" w:hAnsi="Calibri" w:cs="Calibri"/>
          <w:sz w:val="22"/>
          <w:szCs w:val="22"/>
        </w:rPr>
        <w:t>salvage lymph node dissection f</w:t>
      </w:r>
      <w:r w:rsidR="00376849">
        <w:rPr>
          <w:rFonts w:ascii="Calibri" w:hAnsi="Calibri" w:cs="Calibri"/>
          <w:sz w:val="22"/>
          <w:szCs w:val="22"/>
        </w:rPr>
        <w:t xml:space="preserve">or nodal recurrence of prostate </w:t>
      </w:r>
      <w:r w:rsidRPr="006B4C83">
        <w:rPr>
          <w:rFonts w:ascii="Calibri" w:hAnsi="Calibri" w:cs="Calibri"/>
          <w:sz w:val="22"/>
          <w:szCs w:val="22"/>
        </w:rPr>
        <w:t>cancer after radical prostatec</w:t>
      </w:r>
      <w:r w:rsidR="00376849">
        <w:rPr>
          <w:rFonts w:ascii="Calibri" w:hAnsi="Calibri" w:cs="Calibri"/>
          <w:sz w:val="22"/>
          <w:szCs w:val="22"/>
        </w:rPr>
        <w:t xml:space="preserve">tomy: not as good as previously </w:t>
      </w:r>
      <w:r w:rsidRPr="006B4C83">
        <w:rPr>
          <w:rFonts w:ascii="Calibri" w:hAnsi="Calibri" w:cs="Calibri"/>
          <w:sz w:val="22"/>
          <w:szCs w:val="22"/>
        </w:rPr>
        <w:t>thought. Eur Urol 2020</w:t>
      </w:r>
      <w:proofErr w:type="gramStart"/>
      <w:r w:rsidRPr="006B4C83">
        <w:rPr>
          <w:rFonts w:ascii="Calibri" w:hAnsi="Calibri" w:cs="Calibri"/>
          <w:sz w:val="22"/>
          <w:szCs w:val="22"/>
        </w:rPr>
        <w:t>;78:661</w:t>
      </w:r>
      <w:proofErr w:type="gramEnd"/>
      <w:r w:rsidRPr="006B4C83">
        <w:rPr>
          <w:rFonts w:ascii="Calibri" w:hAnsi="Calibri" w:cs="Calibri"/>
          <w:sz w:val="22"/>
          <w:szCs w:val="22"/>
        </w:rPr>
        <w:t>–9.</w:t>
      </w:r>
    </w:p>
    <w:p w14:paraId="2709418A" w14:textId="77777777" w:rsidR="006A3AED" w:rsidRPr="006B4C83" w:rsidRDefault="006A3AED" w:rsidP="006B4C83">
      <w:pPr>
        <w:spacing w:line="276" w:lineRule="auto"/>
        <w:rPr>
          <w:rFonts w:ascii="Calibri" w:hAnsi="Calibri" w:cs="Calibri"/>
          <w:sz w:val="22"/>
          <w:szCs w:val="22"/>
        </w:rPr>
      </w:pPr>
    </w:p>
    <w:p w14:paraId="469BE693" w14:textId="62FA7AE6" w:rsidR="006B4C83" w:rsidRPr="006B4C83" w:rsidRDefault="006B4C83" w:rsidP="006B4C83">
      <w:pPr>
        <w:spacing w:line="276" w:lineRule="auto"/>
        <w:rPr>
          <w:rFonts w:ascii="Calibri" w:hAnsi="Calibri" w:cs="Calibri"/>
          <w:sz w:val="22"/>
          <w:szCs w:val="22"/>
        </w:rPr>
      </w:pPr>
      <w:r w:rsidRPr="006B4C83">
        <w:rPr>
          <w:rFonts w:ascii="Calibri" w:hAnsi="Calibri" w:cs="Calibri"/>
          <w:sz w:val="22"/>
          <w:szCs w:val="22"/>
        </w:rPr>
        <w:t xml:space="preserve">[37] Knipper S, Mehdi Irai M, </w:t>
      </w:r>
      <w:r w:rsidR="00376849">
        <w:rPr>
          <w:rFonts w:ascii="Calibri" w:hAnsi="Calibri" w:cs="Calibri"/>
          <w:sz w:val="22"/>
          <w:szCs w:val="22"/>
        </w:rPr>
        <w:t xml:space="preserve">Simon R, et al. Cohort study of </w:t>
      </w:r>
      <w:r w:rsidRPr="006B4C83">
        <w:rPr>
          <w:rFonts w:ascii="Calibri" w:hAnsi="Calibri" w:cs="Calibri"/>
          <w:sz w:val="22"/>
          <w:szCs w:val="22"/>
        </w:rPr>
        <w:t>oligorecurrent prostate cancer pa</w:t>
      </w:r>
      <w:r w:rsidR="00376849">
        <w:rPr>
          <w:rFonts w:ascii="Calibri" w:hAnsi="Calibri" w:cs="Calibri"/>
          <w:sz w:val="22"/>
          <w:szCs w:val="22"/>
        </w:rPr>
        <w:t xml:space="preserve">tients: oncological outcomes of </w:t>
      </w:r>
      <w:r w:rsidRPr="006B4C83">
        <w:rPr>
          <w:rFonts w:ascii="Calibri" w:hAnsi="Calibri" w:cs="Calibri"/>
          <w:sz w:val="22"/>
          <w:szCs w:val="22"/>
        </w:rPr>
        <w:t>patients treated with salvage lymph node dissection via prostate</w:t>
      </w:r>
      <w:r w:rsidR="00376849">
        <w:rPr>
          <w:rFonts w:ascii="Calibri" w:hAnsi="Calibri" w:cs="Calibri"/>
          <w:sz w:val="22"/>
          <w:szCs w:val="22"/>
        </w:rPr>
        <w:t xml:space="preserve"> </w:t>
      </w:r>
      <w:r w:rsidRPr="006B4C83">
        <w:rPr>
          <w:rFonts w:ascii="Calibri" w:hAnsi="Calibri" w:cs="Calibri"/>
          <w:sz w:val="22"/>
          <w:szCs w:val="22"/>
        </w:rPr>
        <w:t>specific</w:t>
      </w:r>
    </w:p>
    <w:p w14:paraId="48DE9DDE" w14:textId="3CC08F83" w:rsidR="006B4C83" w:rsidRDefault="006B4C83" w:rsidP="006B4C83">
      <w:pPr>
        <w:spacing w:line="276" w:lineRule="auto"/>
        <w:rPr>
          <w:rFonts w:ascii="Calibri" w:hAnsi="Calibri" w:cs="Calibri"/>
          <w:sz w:val="22"/>
          <w:szCs w:val="22"/>
        </w:rPr>
      </w:pPr>
      <w:proofErr w:type="gramStart"/>
      <w:r w:rsidRPr="006B4C83">
        <w:rPr>
          <w:rFonts w:ascii="Calibri" w:hAnsi="Calibri" w:cs="Calibri"/>
          <w:sz w:val="22"/>
          <w:szCs w:val="22"/>
        </w:rPr>
        <w:t>membrane</w:t>
      </w:r>
      <w:proofErr w:type="gramEnd"/>
      <w:r w:rsidRPr="006B4C83">
        <w:rPr>
          <w:rFonts w:ascii="Calibri" w:hAnsi="Calibri" w:cs="Calibri"/>
          <w:sz w:val="22"/>
          <w:szCs w:val="22"/>
        </w:rPr>
        <w:t xml:space="preserve"> antigen-radioguided surg</w:t>
      </w:r>
      <w:r w:rsidR="00376849">
        <w:rPr>
          <w:rFonts w:ascii="Calibri" w:hAnsi="Calibri" w:cs="Calibri"/>
          <w:sz w:val="22"/>
          <w:szCs w:val="22"/>
        </w:rPr>
        <w:t xml:space="preserve">ery. Eur Urol </w:t>
      </w:r>
      <w:r w:rsidRPr="006B4C83">
        <w:rPr>
          <w:rFonts w:ascii="Calibri" w:hAnsi="Calibri" w:cs="Calibri"/>
          <w:sz w:val="22"/>
          <w:szCs w:val="22"/>
        </w:rPr>
        <w:t>2023</w:t>
      </w:r>
      <w:proofErr w:type="gramStart"/>
      <w:r w:rsidRPr="006B4C83">
        <w:rPr>
          <w:rFonts w:ascii="Calibri" w:hAnsi="Calibri" w:cs="Calibri"/>
          <w:sz w:val="22"/>
          <w:szCs w:val="22"/>
        </w:rPr>
        <w:t>;83:62</w:t>
      </w:r>
      <w:proofErr w:type="gramEnd"/>
      <w:r w:rsidRPr="006B4C83">
        <w:rPr>
          <w:rFonts w:ascii="Calibri" w:hAnsi="Calibri" w:cs="Calibri"/>
          <w:sz w:val="22"/>
          <w:szCs w:val="22"/>
        </w:rPr>
        <w:t>–9.</w:t>
      </w:r>
    </w:p>
    <w:p w14:paraId="424E7566" w14:textId="77777777" w:rsidR="006A3AED" w:rsidRPr="006B4C83" w:rsidRDefault="006A3AED" w:rsidP="006B4C83">
      <w:pPr>
        <w:spacing w:line="276" w:lineRule="auto"/>
        <w:rPr>
          <w:rFonts w:ascii="Calibri" w:hAnsi="Calibri" w:cs="Calibri"/>
          <w:sz w:val="22"/>
          <w:szCs w:val="22"/>
        </w:rPr>
      </w:pPr>
    </w:p>
    <w:p w14:paraId="63D47EDD" w14:textId="560602CD" w:rsidR="006B4C83" w:rsidRDefault="006B4C83" w:rsidP="006B4C83">
      <w:pPr>
        <w:spacing w:line="276" w:lineRule="auto"/>
        <w:rPr>
          <w:rFonts w:ascii="Calibri" w:hAnsi="Calibri" w:cs="Calibri"/>
          <w:sz w:val="22"/>
          <w:szCs w:val="22"/>
        </w:rPr>
      </w:pPr>
      <w:r w:rsidRPr="006B4C83">
        <w:rPr>
          <w:rFonts w:ascii="Calibri" w:hAnsi="Calibri" w:cs="Calibri"/>
          <w:sz w:val="22"/>
          <w:szCs w:val="22"/>
        </w:rPr>
        <w:t xml:space="preserve">[38] Supiot S, Vaugier L, Pasquier D, </w:t>
      </w:r>
      <w:r w:rsidR="00376849">
        <w:rPr>
          <w:rFonts w:ascii="Calibri" w:hAnsi="Calibri" w:cs="Calibri"/>
          <w:sz w:val="22"/>
          <w:szCs w:val="22"/>
        </w:rPr>
        <w:t xml:space="preserve">et al. OLIGOPELVIS GETUG P07, a </w:t>
      </w:r>
      <w:r w:rsidRPr="006B4C83">
        <w:rPr>
          <w:rFonts w:ascii="Calibri" w:hAnsi="Calibri" w:cs="Calibri"/>
          <w:sz w:val="22"/>
          <w:szCs w:val="22"/>
        </w:rPr>
        <w:t>multicenter phase II tria</w:t>
      </w:r>
      <w:r w:rsidR="00376849">
        <w:rPr>
          <w:rFonts w:ascii="Calibri" w:hAnsi="Calibri" w:cs="Calibri"/>
          <w:sz w:val="22"/>
          <w:szCs w:val="22"/>
        </w:rPr>
        <w:t xml:space="preserve">l of combined high-dose salvage </w:t>
      </w:r>
      <w:r w:rsidRPr="006B4C83">
        <w:rPr>
          <w:rFonts w:ascii="Calibri" w:hAnsi="Calibri" w:cs="Calibri"/>
          <w:sz w:val="22"/>
          <w:szCs w:val="22"/>
        </w:rPr>
        <w:t>radiotherapy and hormone therap</w:t>
      </w:r>
      <w:r w:rsidR="00376849">
        <w:rPr>
          <w:rFonts w:ascii="Calibri" w:hAnsi="Calibri" w:cs="Calibri"/>
          <w:sz w:val="22"/>
          <w:szCs w:val="22"/>
        </w:rPr>
        <w:t xml:space="preserve">y in oligorecurrent pelvic node </w:t>
      </w:r>
      <w:r w:rsidRPr="006B4C83">
        <w:rPr>
          <w:rFonts w:ascii="Calibri" w:hAnsi="Calibri" w:cs="Calibri"/>
          <w:sz w:val="22"/>
          <w:szCs w:val="22"/>
        </w:rPr>
        <w:t>relapses in prostate cancer. Eur Urol 2021</w:t>
      </w:r>
      <w:proofErr w:type="gramStart"/>
      <w:r w:rsidRPr="006B4C83">
        <w:rPr>
          <w:rFonts w:ascii="Calibri" w:hAnsi="Calibri" w:cs="Calibri"/>
          <w:sz w:val="22"/>
          <w:szCs w:val="22"/>
        </w:rPr>
        <w:t>;80:405</w:t>
      </w:r>
      <w:proofErr w:type="gramEnd"/>
      <w:r w:rsidRPr="006B4C83">
        <w:rPr>
          <w:rFonts w:ascii="Calibri" w:hAnsi="Calibri" w:cs="Calibri"/>
          <w:sz w:val="22"/>
          <w:szCs w:val="22"/>
        </w:rPr>
        <w:t>–14.</w:t>
      </w:r>
    </w:p>
    <w:p w14:paraId="3FA650CF" w14:textId="77777777" w:rsidR="006A3AED" w:rsidRPr="006B4C83" w:rsidRDefault="006A3AED" w:rsidP="006B4C83">
      <w:pPr>
        <w:spacing w:line="276" w:lineRule="auto"/>
        <w:rPr>
          <w:rFonts w:ascii="Calibri" w:hAnsi="Calibri" w:cs="Calibri"/>
          <w:sz w:val="22"/>
          <w:szCs w:val="22"/>
        </w:rPr>
      </w:pPr>
    </w:p>
    <w:p w14:paraId="6AE45353" w14:textId="26B41025" w:rsidR="006B4C83" w:rsidRPr="006B4C83" w:rsidRDefault="006B4C83" w:rsidP="006B4C83">
      <w:pPr>
        <w:spacing w:line="276" w:lineRule="auto"/>
        <w:rPr>
          <w:rFonts w:ascii="Calibri" w:hAnsi="Calibri" w:cs="Calibri"/>
          <w:sz w:val="22"/>
          <w:szCs w:val="22"/>
        </w:rPr>
      </w:pPr>
      <w:r w:rsidRPr="006B4C83">
        <w:rPr>
          <w:rFonts w:ascii="Calibri" w:hAnsi="Calibri" w:cs="Calibri"/>
          <w:sz w:val="22"/>
          <w:szCs w:val="22"/>
        </w:rPr>
        <w:t>[39] De Bleser E, Jereczek-Fossa BA, Pasqui</w:t>
      </w:r>
      <w:r w:rsidR="00376849">
        <w:rPr>
          <w:rFonts w:ascii="Calibri" w:hAnsi="Calibri" w:cs="Calibri"/>
          <w:sz w:val="22"/>
          <w:szCs w:val="22"/>
        </w:rPr>
        <w:t xml:space="preserve">er D, et al. Metastasis directed </w:t>
      </w:r>
      <w:r w:rsidRPr="006B4C83">
        <w:rPr>
          <w:rFonts w:ascii="Calibri" w:hAnsi="Calibri" w:cs="Calibri"/>
          <w:sz w:val="22"/>
          <w:szCs w:val="22"/>
        </w:rPr>
        <w:t xml:space="preserve">therapy in treating nodal </w:t>
      </w:r>
      <w:r w:rsidR="00376849">
        <w:rPr>
          <w:rFonts w:ascii="Calibri" w:hAnsi="Calibri" w:cs="Calibri"/>
          <w:sz w:val="22"/>
          <w:szCs w:val="22"/>
        </w:rPr>
        <w:t xml:space="preserve">oligorecurrent prostate cancer: </w:t>
      </w:r>
      <w:r w:rsidRPr="006B4C83">
        <w:rPr>
          <w:rFonts w:ascii="Calibri" w:hAnsi="Calibri" w:cs="Calibri"/>
          <w:sz w:val="22"/>
          <w:szCs w:val="22"/>
        </w:rPr>
        <w:t>a multi-institutional analysis comparing the outcome and toxicity</w:t>
      </w:r>
    </w:p>
    <w:p w14:paraId="21AA5C17" w14:textId="3A7F23FB" w:rsidR="006B4C83" w:rsidRDefault="006B4C83" w:rsidP="006B4C83">
      <w:pPr>
        <w:spacing w:line="276" w:lineRule="auto"/>
        <w:rPr>
          <w:rFonts w:ascii="Calibri" w:hAnsi="Calibri" w:cs="Calibri"/>
          <w:sz w:val="22"/>
          <w:szCs w:val="22"/>
        </w:rPr>
      </w:pPr>
      <w:proofErr w:type="gramStart"/>
      <w:r w:rsidRPr="006B4C83">
        <w:rPr>
          <w:rFonts w:ascii="Calibri" w:hAnsi="Calibri" w:cs="Calibri"/>
          <w:sz w:val="22"/>
          <w:szCs w:val="22"/>
        </w:rPr>
        <w:t>of</w:t>
      </w:r>
      <w:proofErr w:type="gramEnd"/>
      <w:r w:rsidRPr="006B4C83">
        <w:rPr>
          <w:rFonts w:ascii="Calibri" w:hAnsi="Calibri" w:cs="Calibri"/>
          <w:sz w:val="22"/>
          <w:szCs w:val="22"/>
        </w:rPr>
        <w:t xml:space="preserve"> stereotactic body radiotherapy and ele</w:t>
      </w:r>
      <w:r w:rsidR="00376849">
        <w:rPr>
          <w:rFonts w:ascii="Calibri" w:hAnsi="Calibri" w:cs="Calibri"/>
          <w:sz w:val="22"/>
          <w:szCs w:val="22"/>
        </w:rPr>
        <w:t xml:space="preserve">ctive nodal radiotherapy. </w:t>
      </w:r>
      <w:r w:rsidRPr="006B4C83">
        <w:rPr>
          <w:rFonts w:ascii="Calibri" w:hAnsi="Calibri" w:cs="Calibri"/>
          <w:sz w:val="22"/>
          <w:szCs w:val="22"/>
        </w:rPr>
        <w:t>Eur Urol 2019</w:t>
      </w:r>
      <w:proofErr w:type="gramStart"/>
      <w:r w:rsidRPr="006B4C83">
        <w:rPr>
          <w:rFonts w:ascii="Calibri" w:hAnsi="Calibri" w:cs="Calibri"/>
          <w:sz w:val="22"/>
          <w:szCs w:val="22"/>
        </w:rPr>
        <w:t>;76:732</w:t>
      </w:r>
      <w:proofErr w:type="gramEnd"/>
      <w:r w:rsidRPr="006B4C83">
        <w:rPr>
          <w:rFonts w:ascii="Calibri" w:hAnsi="Calibri" w:cs="Calibri"/>
          <w:sz w:val="22"/>
          <w:szCs w:val="22"/>
        </w:rPr>
        <w:t>–9.</w:t>
      </w:r>
    </w:p>
    <w:p w14:paraId="3A9433DE" w14:textId="77777777" w:rsidR="006A3AED" w:rsidRPr="006B4C83" w:rsidRDefault="006A3AED" w:rsidP="006B4C83">
      <w:pPr>
        <w:spacing w:line="276" w:lineRule="auto"/>
        <w:rPr>
          <w:rFonts w:ascii="Calibri" w:hAnsi="Calibri" w:cs="Calibri"/>
          <w:sz w:val="22"/>
          <w:szCs w:val="22"/>
        </w:rPr>
      </w:pPr>
    </w:p>
    <w:p w14:paraId="2CFE4358" w14:textId="76C073B8" w:rsidR="006B4C83" w:rsidRDefault="006B4C83" w:rsidP="006B4C83">
      <w:pPr>
        <w:spacing w:line="276" w:lineRule="auto"/>
        <w:rPr>
          <w:rFonts w:ascii="Calibri" w:hAnsi="Calibri" w:cs="Calibri"/>
          <w:sz w:val="22"/>
          <w:szCs w:val="22"/>
        </w:rPr>
      </w:pPr>
      <w:r w:rsidRPr="006B4C83">
        <w:rPr>
          <w:rFonts w:ascii="Calibri" w:hAnsi="Calibri" w:cs="Calibri"/>
          <w:sz w:val="22"/>
          <w:szCs w:val="22"/>
        </w:rPr>
        <w:t>[40] Napoli G, Arcangeli S, Fionda B, e</w:t>
      </w:r>
      <w:r w:rsidR="00376849">
        <w:rPr>
          <w:rFonts w:ascii="Calibri" w:hAnsi="Calibri" w:cs="Calibri"/>
          <w:sz w:val="22"/>
          <w:szCs w:val="22"/>
        </w:rPr>
        <w:t xml:space="preserve">t al. A systematic review and a </w:t>
      </w:r>
      <w:r w:rsidRPr="006B4C83">
        <w:rPr>
          <w:rFonts w:ascii="Calibri" w:hAnsi="Calibri" w:cs="Calibri"/>
          <w:sz w:val="22"/>
          <w:szCs w:val="22"/>
        </w:rPr>
        <w:t>meta-analysis of randomized contr</w:t>
      </w:r>
      <w:r w:rsidR="00376849">
        <w:rPr>
          <w:rFonts w:ascii="Calibri" w:hAnsi="Calibri" w:cs="Calibri"/>
          <w:sz w:val="22"/>
          <w:szCs w:val="22"/>
        </w:rPr>
        <w:t xml:space="preserve">olled trials’ control groups in </w:t>
      </w:r>
      <w:r w:rsidRPr="006B4C83">
        <w:rPr>
          <w:rFonts w:ascii="Calibri" w:hAnsi="Calibri" w:cs="Calibri"/>
          <w:sz w:val="22"/>
          <w:szCs w:val="22"/>
        </w:rPr>
        <w:t>metastatic hormone-sensitiv</w:t>
      </w:r>
      <w:r w:rsidR="00376849">
        <w:rPr>
          <w:rFonts w:ascii="Calibri" w:hAnsi="Calibri" w:cs="Calibri"/>
          <w:sz w:val="22"/>
          <w:szCs w:val="22"/>
        </w:rPr>
        <w:t xml:space="preserve">e prostate cancer (mHSPC). Curr </w:t>
      </w:r>
      <w:r w:rsidRPr="006B4C83">
        <w:rPr>
          <w:rFonts w:ascii="Calibri" w:hAnsi="Calibri" w:cs="Calibri"/>
          <w:sz w:val="22"/>
          <w:szCs w:val="22"/>
        </w:rPr>
        <w:t>Oncol Rep 2022</w:t>
      </w:r>
      <w:proofErr w:type="gramStart"/>
      <w:r w:rsidRPr="006B4C83">
        <w:rPr>
          <w:rFonts w:ascii="Calibri" w:hAnsi="Calibri" w:cs="Calibri"/>
          <w:sz w:val="22"/>
          <w:szCs w:val="22"/>
        </w:rPr>
        <w:t>;24:1633</w:t>
      </w:r>
      <w:proofErr w:type="gramEnd"/>
      <w:r w:rsidRPr="006B4C83">
        <w:rPr>
          <w:rFonts w:ascii="Calibri" w:hAnsi="Calibri" w:cs="Calibri"/>
          <w:sz w:val="22"/>
          <w:szCs w:val="22"/>
        </w:rPr>
        <w:t>–44.</w:t>
      </w:r>
    </w:p>
    <w:p w14:paraId="50244836" w14:textId="77777777" w:rsidR="006A3AED" w:rsidRPr="006B4C83" w:rsidRDefault="006A3AED" w:rsidP="006B4C83">
      <w:pPr>
        <w:spacing w:line="276" w:lineRule="auto"/>
        <w:rPr>
          <w:rFonts w:ascii="Calibri" w:hAnsi="Calibri" w:cs="Calibri"/>
          <w:sz w:val="22"/>
          <w:szCs w:val="22"/>
        </w:rPr>
      </w:pPr>
    </w:p>
    <w:p w14:paraId="73C6D7FF" w14:textId="1597875F" w:rsidR="006B4C83" w:rsidRDefault="006B4C83" w:rsidP="006B4C83">
      <w:pPr>
        <w:spacing w:line="276" w:lineRule="auto"/>
        <w:rPr>
          <w:rFonts w:ascii="Calibri" w:hAnsi="Calibri" w:cs="Calibri"/>
          <w:sz w:val="22"/>
          <w:szCs w:val="22"/>
        </w:rPr>
      </w:pPr>
      <w:r w:rsidRPr="006B4C83">
        <w:rPr>
          <w:rFonts w:ascii="Calibri" w:hAnsi="Calibri" w:cs="Calibri"/>
          <w:sz w:val="22"/>
          <w:szCs w:val="22"/>
        </w:rPr>
        <w:t xml:space="preserve">[41] Sweeney CJ, Chen YH, Carducci </w:t>
      </w:r>
      <w:r w:rsidR="00376849">
        <w:rPr>
          <w:rFonts w:ascii="Calibri" w:hAnsi="Calibri" w:cs="Calibri"/>
          <w:sz w:val="22"/>
          <w:szCs w:val="22"/>
        </w:rPr>
        <w:t xml:space="preserve">M, et al. Chemohormonal therapy </w:t>
      </w:r>
      <w:r w:rsidRPr="006B4C83">
        <w:rPr>
          <w:rFonts w:ascii="Calibri" w:hAnsi="Calibri" w:cs="Calibri"/>
          <w:sz w:val="22"/>
          <w:szCs w:val="22"/>
        </w:rPr>
        <w:t>in metastatic hormone-sensitiv</w:t>
      </w:r>
      <w:r w:rsidR="00376849">
        <w:rPr>
          <w:rFonts w:ascii="Calibri" w:hAnsi="Calibri" w:cs="Calibri"/>
          <w:sz w:val="22"/>
          <w:szCs w:val="22"/>
        </w:rPr>
        <w:t xml:space="preserve">e prostate cancer. N Engl J Med </w:t>
      </w:r>
      <w:r w:rsidRPr="006B4C83">
        <w:rPr>
          <w:rFonts w:ascii="Calibri" w:hAnsi="Calibri" w:cs="Calibri"/>
          <w:sz w:val="22"/>
          <w:szCs w:val="22"/>
        </w:rPr>
        <w:t>2015</w:t>
      </w:r>
      <w:proofErr w:type="gramStart"/>
      <w:r w:rsidRPr="006B4C83">
        <w:rPr>
          <w:rFonts w:ascii="Calibri" w:hAnsi="Calibri" w:cs="Calibri"/>
          <w:sz w:val="22"/>
          <w:szCs w:val="22"/>
        </w:rPr>
        <w:t>;373:737</w:t>
      </w:r>
      <w:proofErr w:type="gramEnd"/>
      <w:r w:rsidRPr="006B4C83">
        <w:rPr>
          <w:rFonts w:ascii="Calibri" w:hAnsi="Calibri" w:cs="Calibri"/>
          <w:sz w:val="22"/>
          <w:szCs w:val="22"/>
        </w:rPr>
        <w:t>–46.</w:t>
      </w:r>
    </w:p>
    <w:p w14:paraId="71310134" w14:textId="77777777" w:rsidR="006A3AED" w:rsidRPr="006B4C83" w:rsidRDefault="006A3AED" w:rsidP="006B4C83">
      <w:pPr>
        <w:spacing w:line="276" w:lineRule="auto"/>
        <w:rPr>
          <w:rFonts w:ascii="Calibri" w:hAnsi="Calibri" w:cs="Calibri"/>
          <w:sz w:val="22"/>
          <w:szCs w:val="22"/>
        </w:rPr>
      </w:pPr>
    </w:p>
    <w:p w14:paraId="5C32F08D" w14:textId="37CE6237" w:rsidR="006B4C83" w:rsidRPr="006B4C83" w:rsidRDefault="006B4C83" w:rsidP="006B4C83">
      <w:pPr>
        <w:spacing w:line="276" w:lineRule="auto"/>
        <w:rPr>
          <w:rFonts w:ascii="Calibri" w:hAnsi="Calibri" w:cs="Calibri"/>
          <w:sz w:val="22"/>
          <w:szCs w:val="22"/>
        </w:rPr>
      </w:pPr>
      <w:r w:rsidRPr="006B4C83">
        <w:rPr>
          <w:rFonts w:ascii="Calibri" w:hAnsi="Calibri" w:cs="Calibri"/>
          <w:sz w:val="22"/>
          <w:szCs w:val="22"/>
        </w:rPr>
        <w:t>[42] Kyriakopoulos CE, Chen YH, Ca</w:t>
      </w:r>
      <w:r w:rsidR="00376849">
        <w:rPr>
          <w:rFonts w:ascii="Calibri" w:hAnsi="Calibri" w:cs="Calibri"/>
          <w:sz w:val="22"/>
          <w:szCs w:val="22"/>
        </w:rPr>
        <w:t xml:space="preserve">rducci MA, et al. Chemohormonal </w:t>
      </w:r>
      <w:r w:rsidRPr="006B4C83">
        <w:rPr>
          <w:rFonts w:ascii="Calibri" w:hAnsi="Calibri" w:cs="Calibri"/>
          <w:sz w:val="22"/>
          <w:szCs w:val="22"/>
        </w:rPr>
        <w:t>therapy in metastatic hormone-sensitive prostate cancer: long</w:t>
      </w:r>
      <w:r w:rsidR="00376849">
        <w:rPr>
          <w:rFonts w:ascii="Calibri" w:hAnsi="Calibri" w:cs="Calibri"/>
          <w:sz w:val="22"/>
          <w:szCs w:val="22"/>
        </w:rPr>
        <w:t xml:space="preserve">-term </w:t>
      </w:r>
      <w:r w:rsidRPr="006B4C83">
        <w:rPr>
          <w:rFonts w:ascii="Calibri" w:hAnsi="Calibri" w:cs="Calibri"/>
          <w:sz w:val="22"/>
          <w:szCs w:val="22"/>
        </w:rPr>
        <w:t>survival analysis of the randomized phase III E3805</w:t>
      </w:r>
    </w:p>
    <w:p w14:paraId="294329B7" w14:textId="659C6614" w:rsidR="006B4C83" w:rsidRDefault="006B4C83" w:rsidP="006B4C83">
      <w:pPr>
        <w:spacing w:line="276" w:lineRule="auto"/>
        <w:rPr>
          <w:rFonts w:ascii="Calibri" w:hAnsi="Calibri" w:cs="Calibri"/>
          <w:sz w:val="22"/>
          <w:szCs w:val="22"/>
        </w:rPr>
      </w:pPr>
      <w:r w:rsidRPr="006B4C83">
        <w:rPr>
          <w:rFonts w:ascii="Calibri" w:hAnsi="Calibri" w:cs="Calibri"/>
          <w:sz w:val="22"/>
          <w:szCs w:val="22"/>
        </w:rPr>
        <w:t>CHAARTED trial. J Clin Oncol 2018</w:t>
      </w:r>
      <w:proofErr w:type="gramStart"/>
      <w:r w:rsidRPr="006B4C83">
        <w:rPr>
          <w:rFonts w:ascii="Calibri" w:hAnsi="Calibri" w:cs="Calibri"/>
          <w:sz w:val="22"/>
          <w:szCs w:val="22"/>
        </w:rPr>
        <w:t>;36:1080</w:t>
      </w:r>
      <w:proofErr w:type="gramEnd"/>
      <w:r w:rsidRPr="006B4C83">
        <w:rPr>
          <w:rFonts w:ascii="Calibri" w:hAnsi="Calibri" w:cs="Calibri"/>
          <w:sz w:val="22"/>
          <w:szCs w:val="22"/>
        </w:rPr>
        <w:t>–7.</w:t>
      </w:r>
    </w:p>
    <w:p w14:paraId="3C0506E0" w14:textId="77777777" w:rsidR="006A3AED" w:rsidRPr="006B4C83" w:rsidRDefault="006A3AED" w:rsidP="006B4C83">
      <w:pPr>
        <w:spacing w:line="276" w:lineRule="auto"/>
        <w:rPr>
          <w:rFonts w:ascii="Calibri" w:hAnsi="Calibri" w:cs="Calibri"/>
          <w:sz w:val="22"/>
          <w:szCs w:val="22"/>
        </w:rPr>
      </w:pPr>
    </w:p>
    <w:p w14:paraId="492EC21F" w14:textId="63762D0B" w:rsidR="006B4C83" w:rsidRDefault="006B4C83" w:rsidP="006B4C83">
      <w:pPr>
        <w:spacing w:line="276" w:lineRule="auto"/>
        <w:rPr>
          <w:rFonts w:ascii="Calibri" w:hAnsi="Calibri" w:cs="Calibri"/>
          <w:sz w:val="22"/>
          <w:szCs w:val="22"/>
        </w:rPr>
      </w:pPr>
      <w:r w:rsidRPr="006B4C83">
        <w:rPr>
          <w:rFonts w:ascii="Calibri" w:hAnsi="Calibri" w:cs="Calibri"/>
          <w:sz w:val="22"/>
          <w:szCs w:val="22"/>
        </w:rPr>
        <w:t>[43] Gravis G, Boher JM, Chen YH, et al</w:t>
      </w:r>
      <w:r w:rsidR="006A3AED">
        <w:rPr>
          <w:rFonts w:ascii="Calibri" w:hAnsi="Calibri" w:cs="Calibri"/>
          <w:sz w:val="22"/>
          <w:szCs w:val="22"/>
        </w:rPr>
        <w:t xml:space="preserve">. Burden of metastatic castrate </w:t>
      </w:r>
      <w:r w:rsidRPr="006B4C83">
        <w:rPr>
          <w:rFonts w:ascii="Calibri" w:hAnsi="Calibri" w:cs="Calibri"/>
          <w:sz w:val="22"/>
          <w:szCs w:val="22"/>
        </w:rPr>
        <w:t>naive prostate cancer patients,</w:t>
      </w:r>
      <w:r w:rsidR="006A3AED">
        <w:rPr>
          <w:rFonts w:ascii="Calibri" w:hAnsi="Calibri" w:cs="Calibri"/>
          <w:sz w:val="22"/>
          <w:szCs w:val="22"/>
        </w:rPr>
        <w:t xml:space="preserve"> to identify men more likely to </w:t>
      </w:r>
      <w:r w:rsidRPr="006B4C83">
        <w:rPr>
          <w:rFonts w:ascii="Calibri" w:hAnsi="Calibri" w:cs="Calibri"/>
          <w:sz w:val="22"/>
          <w:szCs w:val="22"/>
        </w:rPr>
        <w:t>benefit from early docetaxel: f</w:t>
      </w:r>
      <w:r w:rsidR="006A3AED">
        <w:rPr>
          <w:rFonts w:ascii="Calibri" w:hAnsi="Calibri" w:cs="Calibri"/>
          <w:sz w:val="22"/>
          <w:szCs w:val="22"/>
        </w:rPr>
        <w:t xml:space="preserve">urther analyses of CHAARTED and </w:t>
      </w:r>
      <w:r w:rsidRPr="006B4C83">
        <w:rPr>
          <w:rFonts w:ascii="Calibri" w:hAnsi="Calibri" w:cs="Calibri"/>
          <w:sz w:val="22"/>
          <w:szCs w:val="22"/>
        </w:rPr>
        <w:t>GETUG-AFU15 studies. Eur Urol 2018</w:t>
      </w:r>
      <w:proofErr w:type="gramStart"/>
      <w:r w:rsidRPr="006B4C83">
        <w:rPr>
          <w:rFonts w:ascii="Calibri" w:hAnsi="Calibri" w:cs="Calibri"/>
          <w:sz w:val="22"/>
          <w:szCs w:val="22"/>
        </w:rPr>
        <w:t>;73:847</w:t>
      </w:r>
      <w:proofErr w:type="gramEnd"/>
      <w:r w:rsidRPr="006B4C83">
        <w:rPr>
          <w:rFonts w:ascii="Calibri" w:hAnsi="Calibri" w:cs="Calibri"/>
          <w:sz w:val="22"/>
          <w:szCs w:val="22"/>
        </w:rPr>
        <w:t>–55.</w:t>
      </w:r>
    </w:p>
    <w:p w14:paraId="47AAE9D8" w14:textId="77777777" w:rsidR="006A3AED" w:rsidRPr="006B4C83" w:rsidRDefault="006A3AED" w:rsidP="006B4C83">
      <w:pPr>
        <w:spacing w:line="276" w:lineRule="auto"/>
        <w:rPr>
          <w:rFonts w:ascii="Calibri" w:hAnsi="Calibri" w:cs="Calibri"/>
          <w:sz w:val="22"/>
          <w:szCs w:val="22"/>
        </w:rPr>
      </w:pPr>
    </w:p>
    <w:p w14:paraId="342A5F60" w14:textId="54FE159B" w:rsidR="006B4C83" w:rsidRDefault="006B4C83" w:rsidP="006B4C83">
      <w:pPr>
        <w:spacing w:line="276" w:lineRule="auto"/>
        <w:rPr>
          <w:rFonts w:ascii="Calibri" w:hAnsi="Calibri" w:cs="Calibri"/>
          <w:sz w:val="22"/>
          <w:szCs w:val="22"/>
        </w:rPr>
      </w:pPr>
      <w:r w:rsidRPr="006B4C83">
        <w:rPr>
          <w:rFonts w:ascii="Calibri" w:hAnsi="Calibri" w:cs="Calibri"/>
          <w:sz w:val="22"/>
          <w:szCs w:val="22"/>
        </w:rPr>
        <w:t>[44] Parker CC, James ND, Brawley</w:t>
      </w:r>
      <w:r w:rsidR="00376849">
        <w:rPr>
          <w:rFonts w:ascii="Calibri" w:hAnsi="Calibri" w:cs="Calibri"/>
          <w:sz w:val="22"/>
          <w:szCs w:val="22"/>
        </w:rPr>
        <w:t xml:space="preserve"> CD, et al. Radiotherapy to the </w:t>
      </w:r>
      <w:r w:rsidRPr="006B4C83">
        <w:rPr>
          <w:rFonts w:ascii="Calibri" w:hAnsi="Calibri" w:cs="Calibri"/>
          <w:sz w:val="22"/>
          <w:szCs w:val="22"/>
        </w:rPr>
        <w:t>primary tumour for newly diagno</w:t>
      </w:r>
      <w:r w:rsidR="00376849">
        <w:rPr>
          <w:rFonts w:ascii="Calibri" w:hAnsi="Calibri" w:cs="Calibri"/>
          <w:sz w:val="22"/>
          <w:szCs w:val="22"/>
        </w:rPr>
        <w:t xml:space="preserve">sed, metastatic prostate cancer </w:t>
      </w:r>
      <w:r w:rsidRPr="006B4C83">
        <w:rPr>
          <w:rFonts w:ascii="Calibri" w:hAnsi="Calibri" w:cs="Calibri"/>
          <w:sz w:val="22"/>
          <w:szCs w:val="22"/>
        </w:rPr>
        <w:t>(STAMPEDE): a randomised c</w:t>
      </w:r>
      <w:r w:rsidR="00376849">
        <w:rPr>
          <w:rFonts w:ascii="Calibri" w:hAnsi="Calibri" w:cs="Calibri"/>
          <w:sz w:val="22"/>
          <w:szCs w:val="22"/>
        </w:rPr>
        <w:t xml:space="preserve">ontrolled phase 3 trial. Lancet </w:t>
      </w:r>
      <w:r w:rsidRPr="006B4C83">
        <w:rPr>
          <w:rFonts w:ascii="Calibri" w:hAnsi="Calibri" w:cs="Calibri"/>
          <w:sz w:val="22"/>
          <w:szCs w:val="22"/>
        </w:rPr>
        <w:t>2018</w:t>
      </w:r>
      <w:proofErr w:type="gramStart"/>
      <w:r w:rsidRPr="006B4C83">
        <w:rPr>
          <w:rFonts w:ascii="Calibri" w:hAnsi="Calibri" w:cs="Calibri"/>
          <w:sz w:val="22"/>
          <w:szCs w:val="22"/>
        </w:rPr>
        <w:t>;392:2353</w:t>
      </w:r>
      <w:proofErr w:type="gramEnd"/>
      <w:r w:rsidRPr="006B4C83">
        <w:rPr>
          <w:rFonts w:ascii="Calibri" w:hAnsi="Calibri" w:cs="Calibri"/>
          <w:sz w:val="22"/>
          <w:szCs w:val="22"/>
        </w:rPr>
        <w:t>–66.</w:t>
      </w:r>
    </w:p>
    <w:p w14:paraId="328FBEE4" w14:textId="77777777" w:rsidR="006A3AED" w:rsidRPr="006B4C83" w:rsidRDefault="006A3AED" w:rsidP="006B4C83">
      <w:pPr>
        <w:spacing w:line="276" w:lineRule="auto"/>
        <w:rPr>
          <w:rFonts w:ascii="Calibri" w:hAnsi="Calibri" w:cs="Calibri"/>
          <w:sz w:val="22"/>
          <w:szCs w:val="22"/>
        </w:rPr>
      </w:pPr>
    </w:p>
    <w:p w14:paraId="08C0363C" w14:textId="3326BCE1" w:rsidR="006B4C83" w:rsidRDefault="006B4C83" w:rsidP="006B4C83">
      <w:pPr>
        <w:spacing w:line="276" w:lineRule="auto"/>
        <w:rPr>
          <w:rFonts w:ascii="Calibri" w:hAnsi="Calibri" w:cs="Calibri"/>
          <w:sz w:val="22"/>
          <w:szCs w:val="22"/>
        </w:rPr>
      </w:pPr>
      <w:r w:rsidRPr="006B4C83">
        <w:rPr>
          <w:rFonts w:ascii="Calibri" w:hAnsi="Calibri" w:cs="Calibri"/>
          <w:sz w:val="22"/>
          <w:szCs w:val="22"/>
        </w:rPr>
        <w:t>[45] Francini E, Gray KP, Xie W, et</w:t>
      </w:r>
      <w:r w:rsidR="00376849">
        <w:rPr>
          <w:rFonts w:ascii="Calibri" w:hAnsi="Calibri" w:cs="Calibri"/>
          <w:sz w:val="22"/>
          <w:szCs w:val="22"/>
        </w:rPr>
        <w:t xml:space="preserve"> al. Time of metastatic disease </w:t>
      </w:r>
      <w:r w:rsidRPr="006B4C83">
        <w:rPr>
          <w:rFonts w:ascii="Calibri" w:hAnsi="Calibri" w:cs="Calibri"/>
          <w:sz w:val="22"/>
          <w:szCs w:val="22"/>
        </w:rPr>
        <w:t>presentation and volume of diseas</w:t>
      </w:r>
      <w:r w:rsidR="00376849">
        <w:rPr>
          <w:rFonts w:ascii="Calibri" w:hAnsi="Calibri" w:cs="Calibri"/>
          <w:sz w:val="22"/>
          <w:szCs w:val="22"/>
        </w:rPr>
        <w:t xml:space="preserve">e are prognostic for metastatic </w:t>
      </w:r>
      <w:r w:rsidRPr="006B4C83">
        <w:rPr>
          <w:rFonts w:ascii="Calibri" w:hAnsi="Calibri" w:cs="Calibri"/>
          <w:sz w:val="22"/>
          <w:szCs w:val="22"/>
        </w:rPr>
        <w:t>hormone sensitive pr</w:t>
      </w:r>
      <w:r w:rsidR="00376849">
        <w:rPr>
          <w:rFonts w:ascii="Calibri" w:hAnsi="Calibri" w:cs="Calibri"/>
          <w:sz w:val="22"/>
          <w:szCs w:val="22"/>
        </w:rPr>
        <w:t xml:space="preserve">ostate cancer (mHSPC). Prostate </w:t>
      </w:r>
      <w:r w:rsidRPr="006B4C83">
        <w:rPr>
          <w:rFonts w:ascii="Calibri" w:hAnsi="Calibri" w:cs="Calibri"/>
          <w:sz w:val="22"/>
          <w:szCs w:val="22"/>
        </w:rPr>
        <w:t>2018</w:t>
      </w:r>
      <w:proofErr w:type="gramStart"/>
      <w:r w:rsidRPr="006B4C83">
        <w:rPr>
          <w:rFonts w:ascii="Calibri" w:hAnsi="Calibri" w:cs="Calibri"/>
          <w:sz w:val="22"/>
          <w:szCs w:val="22"/>
        </w:rPr>
        <w:t>;78:889</w:t>
      </w:r>
      <w:proofErr w:type="gramEnd"/>
      <w:r w:rsidRPr="006B4C83">
        <w:rPr>
          <w:rFonts w:ascii="Calibri" w:hAnsi="Calibri" w:cs="Calibri"/>
          <w:sz w:val="22"/>
          <w:szCs w:val="22"/>
        </w:rPr>
        <w:t>–95.</w:t>
      </w:r>
    </w:p>
    <w:p w14:paraId="7028C200" w14:textId="77777777" w:rsidR="006A3AED" w:rsidRPr="006B4C83" w:rsidRDefault="006A3AED" w:rsidP="006B4C83">
      <w:pPr>
        <w:spacing w:line="276" w:lineRule="auto"/>
        <w:rPr>
          <w:rFonts w:ascii="Calibri" w:hAnsi="Calibri" w:cs="Calibri"/>
          <w:sz w:val="22"/>
          <w:szCs w:val="22"/>
        </w:rPr>
      </w:pPr>
    </w:p>
    <w:p w14:paraId="175FB279" w14:textId="46D8DB95" w:rsidR="006B4C83" w:rsidRDefault="006B4C83" w:rsidP="006B4C83">
      <w:pPr>
        <w:spacing w:line="276" w:lineRule="auto"/>
        <w:rPr>
          <w:rFonts w:ascii="Calibri" w:hAnsi="Calibri" w:cs="Calibri"/>
          <w:sz w:val="22"/>
          <w:szCs w:val="22"/>
        </w:rPr>
      </w:pPr>
      <w:r w:rsidRPr="006B4C83">
        <w:rPr>
          <w:rFonts w:ascii="Calibri" w:hAnsi="Calibri" w:cs="Calibri"/>
          <w:sz w:val="22"/>
          <w:szCs w:val="22"/>
        </w:rPr>
        <w:t>[46] Hussain M, Tangen CM, Higano C, et</w:t>
      </w:r>
      <w:r w:rsidR="00376849">
        <w:rPr>
          <w:rFonts w:ascii="Calibri" w:hAnsi="Calibri" w:cs="Calibri"/>
          <w:sz w:val="22"/>
          <w:szCs w:val="22"/>
        </w:rPr>
        <w:t xml:space="preserve"> al. Absolute prostate-specific </w:t>
      </w:r>
      <w:r w:rsidRPr="006B4C83">
        <w:rPr>
          <w:rFonts w:ascii="Calibri" w:hAnsi="Calibri" w:cs="Calibri"/>
          <w:sz w:val="22"/>
          <w:szCs w:val="22"/>
        </w:rPr>
        <w:t>antigen value after androgen depr</w:t>
      </w:r>
      <w:r w:rsidR="00376849">
        <w:rPr>
          <w:rFonts w:ascii="Calibri" w:hAnsi="Calibri" w:cs="Calibri"/>
          <w:sz w:val="22"/>
          <w:szCs w:val="22"/>
        </w:rPr>
        <w:t xml:space="preserve">ivation is a strong independent </w:t>
      </w:r>
      <w:r w:rsidRPr="006B4C83">
        <w:rPr>
          <w:rFonts w:ascii="Calibri" w:hAnsi="Calibri" w:cs="Calibri"/>
          <w:sz w:val="22"/>
          <w:szCs w:val="22"/>
        </w:rPr>
        <w:t>predictor of survival in new metastatic prostate cancer: data from</w:t>
      </w:r>
      <w:r w:rsidR="00376849">
        <w:rPr>
          <w:rFonts w:ascii="Calibri" w:hAnsi="Calibri" w:cs="Calibri"/>
          <w:sz w:val="22"/>
          <w:szCs w:val="22"/>
        </w:rPr>
        <w:t xml:space="preserve"> </w:t>
      </w:r>
      <w:r w:rsidRPr="006B4C83">
        <w:rPr>
          <w:rFonts w:ascii="Calibri" w:hAnsi="Calibri" w:cs="Calibri"/>
          <w:sz w:val="22"/>
          <w:szCs w:val="22"/>
        </w:rPr>
        <w:t>Southwest Oncology Group Trial 9346 (INT-0162). J Clin Oncol</w:t>
      </w:r>
      <w:r w:rsidR="00376849">
        <w:rPr>
          <w:rFonts w:ascii="Calibri" w:hAnsi="Calibri" w:cs="Calibri"/>
          <w:sz w:val="22"/>
          <w:szCs w:val="22"/>
        </w:rPr>
        <w:t xml:space="preserve"> </w:t>
      </w:r>
      <w:r w:rsidRPr="006B4C83">
        <w:rPr>
          <w:rFonts w:ascii="Calibri" w:hAnsi="Calibri" w:cs="Calibri"/>
          <w:sz w:val="22"/>
          <w:szCs w:val="22"/>
        </w:rPr>
        <w:t>2006</w:t>
      </w:r>
      <w:proofErr w:type="gramStart"/>
      <w:r w:rsidRPr="006B4C83">
        <w:rPr>
          <w:rFonts w:ascii="Calibri" w:hAnsi="Calibri" w:cs="Calibri"/>
          <w:sz w:val="22"/>
          <w:szCs w:val="22"/>
        </w:rPr>
        <w:t>;24:3984</w:t>
      </w:r>
      <w:proofErr w:type="gramEnd"/>
      <w:r w:rsidRPr="006B4C83">
        <w:rPr>
          <w:rFonts w:ascii="Calibri" w:hAnsi="Calibri" w:cs="Calibri"/>
          <w:sz w:val="22"/>
          <w:szCs w:val="22"/>
        </w:rPr>
        <w:t>–90.</w:t>
      </w:r>
    </w:p>
    <w:p w14:paraId="086CC2AB" w14:textId="77777777" w:rsidR="006A3AED" w:rsidRPr="006B4C83" w:rsidRDefault="006A3AED" w:rsidP="006B4C83">
      <w:pPr>
        <w:spacing w:line="276" w:lineRule="auto"/>
        <w:rPr>
          <w:rFonts w:ascii="Calibri" w:hAnsi="Calibri" w:cs="Calibri"/>
          <w:sz w:val="22"/>
          <w:szCs w:val="22"/>
        </w:rPr>
      </w:pPr>
    </w:p>
    <w:p w14:paraId="31C5547A" w14:textId="2F5B4DD2" w:rsidR="006B4C83" w:rsidRDefault="006B4C83" w:rsidP="006B4C83">
      <w:pPr>
        <w:spacing w:line="276" w:lineRule="auto"/>
        <w:rPr>
          <w:rFonts w:ascii="Calibri" w:hAnsi="Calibri" w:cs="Calibri"/>
          <w:sz w:val="22"/>
          <w:szCs w:val="22"/>
        </w:rPr>
      </w:pPr>
      <w:r w:rsidRPr="006B4C83">
        <w:rPr>
          <w:rFonts w:ascii="Calibri" w:hAnsi="Calibri" w:cs="Calibri"/>
          <w:sz w:val="22"/>
          <w:szCs w:val="22"/>
        </w:rPr>
        <w:lastRenderedPageBreak/>
        <w:t>[47] Harshman LC, Chen YH, Liu G, et al</w:t>
      </w:r>
      <w:r w:rsidR="00376849">
        <w:rPr>
          <w:rFonts w:ascii="Calibri" w:hAnsi="Calibri" w:cs="Calibri"/>
          <w:sz w:val="22"/>
          <w:szCs w:val="22"/>
        </w:rPr>
        <w:t xml:space="preserve">. Seven-month prostate-specific </w:t>
      </w:r>
      <w:r w:rsidRPr="006B4C83">
        <w:rPr>
          <w:rFonts w:ascii="Calibri" w:hAnsi="Calibri" w:cs="Calibri"/>
          <w:sz w:val="22"/>
          <w:szCs w:val="22"/>
        </w:rPr>
        <w:t>antigen is prognostic in metast</w:t>
      </w:r>
      <w:r w:rsidR="00376849">
        <w:rPr>
          <w:rFonts w:ascii="Calibri" w:hAnsi="Calibri" w:cs="Calibri"/>
          <w:sz w:val="22"/>
          <w:szCs w:val="22"/>
        </w:rPr>
        <w:t xml:space="preserve">atic hormone-sensitive prostate </w:t>
      </w:r>
      <w:r w:rsidRPr="006B4C83">
        <w:rPr>
          <w:rFonts w:ascii="Calibri" w:hAnsi="Calibri" w:cs="Calibri"/>
          <w:sz w:val="22"/>
          <w:szCs w:val="22"/>
        </w:rPr>
        <w:t>cancer treated with andro</w:t>
      </w:r>
      <w:r w:rsidR="00376849">
        <w:rPr>
          <w:rFonts w:ascii="Calibri" w:hAnsi="Calibri" w:cs="Calibri"/>
          <w:sz w:val="22"/>
          <w:szCs w:val="22"/>
        </w:rPr>
        <w:t xml:space="preserve">gen deprivation with or without </w:t>
      </w:r>
      <w:r w:rsidRPr="006B4C83">
        <w:rPr>
          <w:rFonts w:ascii="Calibri" w:hAnsi="Calibri" w:cs="Calibri"/>
          <w:sz w:val="22"/>
          <w:szCs w:val="22"/>
        </w:rPr>
        <w:t>docetaxel. J Clin Oncol 2018</w:t>
      </w:r>
      <w:proofErr w:type="gramStart"/>
      <w:r w:rsidRPr="006B4C83">
        <w:rPr>
          <w:rFonts w:ascii="Calibri" w:hAnsi="Calibri" w:cs="Calibri"/>
          <w:sz w:val="22"/>
          <w:szCs w:val="22"/>
        </w:rPr>
        <w:t>;36:376</w:t>
      </w:r>
      <w:proofErr w:type="gramEnd"/>
      <w:r w:rsidRPr="006B4C83">
        <w:rPr>
          <w:rFonts w:ascii="Calibri" w:hAnsi="Calibri" w:cs="Calibri"/>
          <w:sz w:val="22"/>
          <w:szCs w:val="22"/>
        </w:rPr>
        <w:t>–82.</w:t>
      </w:r>
    </w:p>
    <w:p w14:paraId="5CC54DAD" w14:textId="77777777" w:rsidR="006A3AED" w:rsidRPr="006B4C83" w:rsidRDefault="006A3AED" w:rsidP="006B4C83">
      <w:pPr>
        <w:spacing w:line="276" w:lineRule="auto"/>
        <w:rPr>
          <w:rFonts w:ascii="Calibri" w:hAnsi="Calibri" w:cs="Calibri"/>
          <w:sz w:val="22"/>
          <w:szCs w:val="22"/>
        </w:rPr>
      </w:pPr>
    </w:p>
    <w:p w14:paraId="76A4DD32" w14:textId="139D845F" w:rsidR="006B4C83" w:rsidRDefault="006B4C83" w:rsidP="006B4C83">
      <w:pPr>
        <w:spacing w:line="276" w:lineRule="auto"/>
        <w:rPr>
          <w:rFonts w:ascii="Calibri" w:hAnsi="Calibri" w:cs="Calibri"/>
          <w:sz w:val="22"/>
          <w:szCs w:val="22"/>
        </w:rPr>
      </w:pPr>
      <w:r w:rsidRPr="006B4C83">
        <w:rPr>
          <w:rFonts w:ascii="Calibri" w:hAnsi="Calibri" w:cs="Calibri"/>
          <w:sz w:val="22"/>
          <w:szCs w:val="22"/>
        </w:rPr>
        <w:t xml:space="preserve">[48] Matsubara N, Chi KN, Ozguroglu M, et al. </w:t>
      </w:r>
      <w:r w:rsidR="00376849">
        <w:rPr>
          <w:rFonts w:ascii="Calibri" w:hAnsi="Calibri" w:cs="Calibri"/>
          <w:sz w:val="22"/>
          <w:szCs w:val="22"/>
        </w:rPr>
        <w:t xml:space="preserve">Correlation of prostatespecific </w:t>
      </w:r>
      <w:r w:rsidRPr="006B4C83">
        <w:rPr>
          <w:rFonts w:ascii="Calibri" w:hAnsi="Calibri" w:cs="Calibri"/>
          <w:sz w:val="22"/>
          <w:szCs w:val="22"/>
        </w:rPr>
        <w:t>antigen kinetics with ov</w:t>
      </w:r>
      <w:r w:rsidR="00376849">
        <w:rPr>
          <w:rFonts w:ascii="Calibri" w:hAnsi="Calibri" w:cs="Calibri"/>
          <w:sz w:val="22"/>
          <w:szCs w:val="22"/>
        </w:rPr>
        <w:t xml:space="preserve">erall survival and radiological </w:t>
      </w:r>
      <w:r w:rsidRPr="006B4C83">
        <w:rPr>
          <w:rFonts w:ascii="Calibri" w:hAnsi="Calibri" w:cs="Calibri"/>
          <w:sz w:val="22"/>
          <w:szCs w:val="22"/>
        </w:rPr>
        <w:t xml:space="preserve">progression-free survival in </w:t>
      </w:r>
      <w:r w:rsidR="00376849">
        <w:rPr>
          <w:rFonts w:ascii="Calibri" w:hAnsi="Calibri" w:cs="Calibri"/>
          <w:sz w:val="22"/>
          <w:szCs w:val="22"/>
        </w:rPr>
        <w:t xml:space="preserve">metastatic castration-sensitive </w:t>
      </w:r>
      <w:r w:rsidRPr="006B4C83">
        <w:rPr>
          <w:rFonts w:ascii="Calibri" w:hAnsi="Calibri" w:cs="Calibri"/>
          <w:sz w:val="22"/>
          <w:szCs w:val="22"/>
        </w:rPr>
        <w:t>prostate cancer treated with abiraterone acetat</w:t>
      </w:r>
      <w:r w:rsidR="00376849">
        <w:rPr>
          <w:rFonts w:ascii="Calibri" w:hAnsi="Calibri" w:cs="Calibri"/>
          <w:sz w:val="22"/>
          <w:szCs w:val="22"/>
        </w:rPr>
        <w:t xml:space="preserve">e plus prednisone </w:t>
      </w:r>
      <w:r w:rsidRPr="006B4C83">
        <w:rPr>
          <w:rFonts w:ascii="Calibri" w:hAnsi="Calibri" w:cs="Calibri"/>
          <w:sz w:val="22"/>
          <w:szCs w:val="22"/>
        </w:rPr>
        <w:t>or placebos added to androge</w:t>
      </w:r>
      <w:r w:rsidR="00376849">
        <w:rPr>
          <w:rFonts w:ascii="Calibri" w:hAnsi="Calibri" w:cs="Calibri"/>
          <w:sz w:val="22"/>
          <w:szCs w:val="22"/>
        </w:rPr>
        <w:t xml:space="preserve">n deprivation therapy: post hoc </w:t>
      </w:r>
      <w:r w:rsidRPr="006B4C83">
        <w:rPr>
          <w:rFonts w:ascii="Calibri" w:hAnsi="Calibri" w:cs="Calibri"/>
          <w:sz w:val="22"/>
          <w:szCs w:val="22"/>
        </w:rPr>
        <w:t>analysis of phase 3 LATITUDE study. Eur Urol 2020</w:t>
      </w:r>
      <w:proofErr w:type="gramStart"/>
      <w:r w:rsidRPr="006B4C83">
        <w:rPr>
          <w:rFonts w:ascii="Calibri" w:hAnsi="Calibri" w:cs="Calibri"/>
          <w:sz w:val="22"/>
          <w:szCs w:val="22"/>
        </w:rPr>
        <w:t>;77:494</w:t>
      </w:r>
      <w:proofErr w:type="gramEnd"/>
      <w:r w:rsidRPr="006B4C83">
        <w:rPr>
          <w:rFonts w:ascii="Calibri" w:hAnsi="Calibri" w:cs="Calibri"/>
          <w:sz w:val="22"/>
          <w:szCs w:val="22"/>
        </w:rPr>
        <w:t>–500.</w:t>
      </w:r>
    </w:p>
    <w:p w14:paraId="1CEBF513" w14:textId="77777777" w:rsidR="006A3AED" w:rsidRPr="006B4C83" w:rsidRDefault="006A3AED" w:rsidP="006B4C83">
      <w:pPr>
        <w:spacing w:line="276" w:lineRule="auto"/>
        <w:rPr>
          <w:rFonts w:ascii="Calibri" w:hAnsi="Calibri" w:cs="Calibri"/>
          <w:sz w:val="22"/>
          <w:szCs w:val="22"/>
        </w:rPr>
      </w:pPr>
    </w:p>
    <w:p w14:paraId="3623C2E3" w14:textId="3490D72B" w:rsidR="006B4C83" w:rsidRDefault="006B4C83" w:rsidP="006B4C83">
      <w:pPr>
        <w:spacing w:line="276" w:lineRule="auto"/>
        <w:rPr>
          <w:rFonts w:ascii="Calibri" w:hAnsi="Calibri" w:cs="Calibri"/>
          <w:sz w:val="22"/>
          <w:szCs w:val="22"/>
        </w:rPr>
      </w:pPr>
      <w:r w:rsidRPr="006B4C83">
        <w:rPr>
          <w:rFonts w:ascii="Calibri" w:hAnsi="Calibri" w:cs="Calibri"/>
          <w:sz w:val="22"/>
          <w:szCs w:val="22"/>
        </w:rPr>
        <w:t xml:space="preserve">[49] Chowdhury S, Bjartell A, Agarwal N, </w:t>
      </w:r>
      <w:r w:rsidR="00376849">
        <w:rPr>
          <w:rFonts w:ascii="Calibri" w:hAnsi="Calibri" w:cs="Calibri"/>
          <w:sz w:val="22"/>
          <w:szCs w:val="22"/>
        </w:rPr>
        <w:t xml:space="preserve">et al. Deep, rapid, and durable prostate-specific antigen </w:t>
      </w:r>
      <w:r w:rsidRPr="006B4C83">
        <w:rPr>
          <w:rFonts w:ascii="Calibri" w:hAnsi="Calibri" w:cs="Calibri"/>
          <w:sz w:val="22"/>
          <w:szCs w:val="22"/>
        </w:rPr>
        <w:t>decline with apalutamide plus androgen</w:t>
      </w:r>
      <w:r>
        <w:rPr>
          <w:rFonts w:ascii="Calibri" w:hAnsi="Calibri" w:cs="Calibri"/>
          <w:sz w:val="22"/>
          <w:szCs w:val="22"/>
        </w:rPr>
        <w:t xml:space="preserve"> </w:t>
      </w:r>
      <w:r w:rsidRPr="006B4C83">
        <w:rPr>
          <w:rFonts w:ascii="Calibri" w:hAnsi="Calibri" w:cs="Calibri"/>
          <w:sz w:val="22"/>
          <w:szCs w:val="22"/>
        </w:rPr>
        <w:t>deprivation therapy is asso</w:t>
      </w:r>
      <w:r w:rsidR="00376849">
        <w:rPr>
          <w:rFonts w:ascii="Calibri" w:hAnsi="Calibri" w:cs="Calibri"/>
          <w:sz w:val="22"/>
          <w:szCs w:val="22"/>
        </w:rPr>
        <w:t xml:space="preserve">ciated with longer survival and </w:t>
      </w:r>
      <w:r w:rsidRPr="006B4C83">
        <w:rPr>
          <w:rFonts w:ascii="Calibri" w:hAnsi="Calibri" w:cs="Calibri"/>
          <w:sz w:val="22"/>
          <w:szCs w:val="22"/>
        </w:rPr>
        <w:t>improved clinical outcomes in</w:t>
      </w:r>
      <w:r w:rsidR="00376849">
        <w:rPr>
          <w:rFonts w:ascii="Calibri" w:hAnsi="Calibri" w:cs="Calibri"/>
          <w:sz w:val="22"/>
          <w:szCs w:val="22"/>
        </w:rPr>
        <w:t xml:space="preserve"> TITAN patients with metastatic </w:t>
      </w:r>
      <w:r w:rsidRPr="006B4C83">
        <w:rPr>
          <w:rFonts w:ascii="Calibri" w:hAnsi="Calibri" w:cs="Calibri"/>
          <w:sz w:val="22"/>
          <w:szCs w:val="22"/>
        </w:rPr>
        <w:t>castration-sensitive prostate cancer. Ann Oncol 2023</w:t>
      </w:r>
      <w:proofErr w:type="gramStart"/>
      <w:r w:rsidRPr="006B4C83">
        <w:rPr>
          <w:rFonts w:ascii="Calibri" w:hAnsi="Calibri" w:cs="Calibri"/>
          <w:sz w:val="22"/>
          <w:szCs w:val="22"/>
        </w:rPr>
        <w:t>;34:477</w:t>
      </w:r>
      <w:proofErr w:type="gramEnd"/>
      <w:r w:rsidRPr="006B4C83">
        <w:rPr>
          <w:rFonts w:ascii="Calibri" w:hAnsi="Calibri" w:cs="Calibri"/>
          <w:sz w:val="22"/>
          <w:szCs w:val="22"/>
        </w:rPr>
        <w:t>–85.</w:t>
      </w:r>
    </w:p>
    <w:p w14:paraId="339B49B0" w14:textId="77777777" w:rsidR="006A3AED" w:rsidRDefault="006A3AED" w:rsidP="006B4C83">
      <w:pPr>
        <w:spacing w:line="276" w:lineRule="auto"/>
        <w:rPr>
          <w:rFonts w:ascii="Calibri" w:hAnsi="Calibri" w:cs="Calibri"/>
          <w:sz w:val="22"/>
          <w:szCs w:val="22"/>
        </w:rPr>
      </w:pPr>
    </w:p>
    <w:p w14:paraId="37CCDD34" w14:textId="25BC1CD5" w:rsidR="00376849" w:rsidRDefault="00376849" w:rsidP="00376849">
      <w:pPr>
        <w:spacing w:line="276" w:lineRule="auto"/>
        <w:rPr>
          <w:rFonts w:ascii="Calibri" w:hAnsi="Calibri" w:cs="Calibri"/>
          <w:sz w:val="22"/>
          <w:szCs w:val="22"/>
        </w:rPr>
      </w:pPr>
      <w:r w:rsidRPr="00376849">
        <w:rPr>
          <w:rFonts w:ascii="Calibri" w:hAnsi="Calibri" w:cs="Calibri"/>
          <w:sz w:val="22"/>
          <w:szCs w:val="22"/>
        </w:rPr>
        <w:t>[50] Pagliarulo V, Bracarda S, Eisenberg</w:t>
      </w:r>
      <w:r w:rsidR="00751916">
        <w:rPr>
          <w:rFonts w:ascii="Calibri" w:hAnsi="Calibri" w:cs="Calibri"/>
          <w:sz w:val="22"/>
          <w:szCs w:val="22"/>
        </w:rPr>
        <w:t xml:space="preserve">er MA, et al. Contemporary role </w:t>
      </w:r>
      <w:r w:rsidRPr="00376849">
        <w:rPr>
          <w:rFonts w:ascii="Calibri" w:hAnsi="Calibri" w:cs="Calibri"/>
          <w:sz w:val="22"/>
          <w:szCs w:val="22"/>
        </w:rPr>
        <w:t>of androgen deprivation therap</w:t>
      </w:r>
      <w:r w:rsidR="00751916">
        <w:rPr>
          <w:rFonts w:ascii="Calibri" w:hAnsi="Calibri" w:cs="Calibri"/>
          <w:sz w:val="22"/>
          <w:szCs w:val="22"/>
        </w:rPr>
        <w:t xml:space="preserve">y for prostate cancer. Eur Urol </w:t>
      </w:r>
      <w:r w:rsidRPr="00376849">
        <w:rPr>
          <w:rFonts w:ascii="Calibri" w:hAnsi="Calibri" w:cs="Calibri"/>
          <w:sz w:val="22"/>
          <w:szCs w:val="22"/>
        </w:rPr>
        <w:t>2012</w:t>
      </w:r>
      <w:proofErr w:type="gramStart"/>
      <w:r w:rsidRPr="00376849">
        <w:rPr>
          <w:rFonts w:ascii="Calibri" w:hAnsi="Calibri" w:cs="Calibri"/>
          <w:sz w:val="22"/>
          <w:szCs w:val="22"/>
        </w:rPr>
        <w:t>;61:11</w:t>
      </w:r>
      <w:proofErr w:type="gramEnd"/>
      <w:r w:rsidRPr="00376849">
        <w:rPr>
          <w:rFonts w:ascii="Calibri" w:hAnsi="Calibri" w:cs="Calibri"/>
          <w:sz w:val="22"/>
          <w:szCs w:val="22"/>
        </w:rPr>
        <w:t>–25.</w:t>
      </w:r>
    </w:p>
    <w:p w14:paraId="3CAAD20C" w14:textId="77777777" w:rsidR="006A3AED" w:rsidRPr="00376849" w:rsidRDefault="006A3AED" w:rsidP="00376849">
      <w:pPr>
        <w:spacing w:line="276" w:lineRule="auto"/>
        <w:rPr>
          <w:rFonts w:ascii="Calibri" w:hAnsi="Calibri" w:cs="Calibri"/>
          <w:sz w:val="22"/>
          <w:szCs w:val="22"/>
        </w:rPr>
      </w:pPr>
    </w:p>
    <w:p w14:paraId="6172781C" w14:textId="4119D996" w:rsidR="00376849" w:rsidRDefault="00376849" w:rsidP="00376849">
      <w:pPr>
        <w:spacing w:line="276" w:lineRule="auto"/>
        <w:rPr>
          <w:rFonts w:ascii="Calibri" w:hAnsi="Calibri" w:cs="Calibri"/>
          <w:sz w:val="22"/>
          <w:szCs w:val="22"/>
        </w:rPr>
      </w:pPr>
      <w:r w:rsidRPr="00376849">
        <w:rPr>
          <w:rFonts w:ascii="Calibri" w:hAnsi="Calibri" w:cs="Calibri"/>
          <w:sz w:val="22"/>
          <w:szCs w:val="22"/>
        </w:rPr>
        <w:t>[51] Shore ND, Saad F, Cookson MS, et al. Oral re</w:t>
      </w:r>
      <w:r w:rsidR="00751916">
        <w:rPr>
          <w:rFonts w:ascii="Calibri" w:hAnsi="Calibri" w:cs="Calibri"/>
          <w:sz w:val="22"/>
          <w:szCs w:val="22"/>
        </w:rPr>
        <w:t xml:space="preserve">lugolix for androgendeprivation </w:t>
      </w:r>
      <w:r w:rsidRPr="00376849">
        <w:rPr>
          <w:rFonts w:ascii="Calibri" w:hAnsi="Calibri" w:cs="Calibri"/>
          <w:sz w:val="22"/>
          <w:szCs w:val="22"/>
        </w:rPr>
        <w:t>therapy in advance</w:t>
      </w:r>
      <w:r w:rsidR="00751916">
        <w:rPr>
          <w:rFonts w:ascii="Calibri" w:hAnsi="Calibri" w:cs="Calibri"/>
          <w:sz w:val="22"/>
          <w:szCs w:val="22"/>
        </w:rPr>
        <w:t xml:space="preserve">d prostate cancer. N Engl J Med </w:t>
      </w:r>
      <w:r w:rsidRPr="00376849">
        <w:rPr>
          <w:rFonts w:ascii="Calibri" w:hAnsi="Calibri" w:cs="Calibri"/>
          <w:sz w:val="22"/>
          <w:szCs w:val="22"/>
        </w:rPr>
        <w:t>2020</w:t>
      </w:r>
      <w:proofErr w:type="gramStart"/>
      <w:r w:rsidRPr="00376849">
        <w:rPr>
          <w:rFonts w:ascii="Calibri" w:hAnsi="Calibri" w:cs="Calibri"/>
          <w:sz w:val="22"/>
          <w:szCs w:val="22"/>
        </w:rPr>
        <w:t>;382:2187</w:t>
      </w:r>
      <w:proofErr w:type="gramEnd"/>
      <w:r w:rsidRPr="00376849">
        <w:rPr>
          <w:rFonts w:ascii="Calibri" w:hAnsi="Calibri" w:cs="Calibri"/>
          <w:sz w:val="22"/>
          <w:szCs w:val="22"/>
        </w:rPr>
        <w:t>–96.</w:t>
      </w:r>
    </w:p>
    <w:p w14:paraId="17BD3446" w14:textId="77777777" w:rsidR="006A3AED" w:rsidRPr="00376849" w:rsidRDefault="006A3AED" w:rsidP="00376849">
      <w:pPr>
        <w:spacing w:line="276" w:lineRule="auto"/>
        <w:rPr>
          <w:rFonts w:ascii="Calibri" w:hAnsi="Calibri" w:cs="Calibri"/>
          <w:sz w:val="22"/>
          <w:szCs w:val="22"/>
        </w:rPr>
      </w:pPr>
    </w:p>
    <w:p w14:paraId="4839CB74" w14:textId="11A18353" w:rsidR="00376849" w:rsidRDefault="00376849" w:rsidP="00376849">
      <w:pPr>
        <w:spacing w:line="276" w:lineRule="auto"/>
        <w:rPr>
          <w:rFonts w:ascii="Calibri" w:hAnsi="Calibri" w:cs="Calibri"/>
          <w:sz w:val="22"/>
          <w:szCs w:val="22"/>
        </w:rPr>
      </w:pPr>
      <w:r w:rsidRPr="00376849">
        <w:rPr>
          <w:rFonts w:ascii="Calibri" w:hAnsi="Calibri" w:cs="Calibri"/>
          <w:sz w:val="22"/>
          <w:szCs w:val="22"/>
        </w:rPr>
        <w:t>[52] Davey P, Kirby MG. Cardiovascular</w:t>
      </w:r>
      <w:r w:rsidR="00751916">
        <w:rPr>
          <w:rFonts w:ascii="Calibri" w:hAnsi="Calibri" w:cs="Calibri"/>
          <w:sz w:val="22"/>
          <w:szCs w:val="22"/>
        </w:rPr>
        <w:t xml:space="preserve"> risk profiles of GnRH agonists </w:t>
      </w:r>
      <w:r w:rsidRPr="00376849">
        <w:rPr>
          <w:rFonts w:ascii="Calibri" w:hAnsi="Calibri" w:cs="Calibri"/>
          <w:sz w:val="22"/>
          <w:szCs w:val="22"/>
        </w:rPr>
        <w:t>and antagonists: real-world ana</w:t>
      </w:r>
      <w:r w:rsidR="00751916">
        <w:rPr>
          <w:rFonts w:ascii="Calibri" w:hAnsi="Calibri" w:cs="Calibri"/>
          <w:sz w:val="22"/>
          <w:szCs w:val="22"/>
        </w:rPr>
        <w:t xml:space="preserve">lysis from UK general practice. </w:t>
      </w:r>
      <w:r w:rsidRPr="00376849">
        <w:rPr>
          <w:rFonts w:ascii="Calibri" w:hAnsi="Calibri" w:cs="Calibri"/>
          <w:sz w:val="22"/>
          <w:szCs w:val="22"/>
        </w:rPr>
        <w:t>World J Urol 2021</w:t>
      </w:r>
      <w:proofErr w:type="gramStart"/>
      <w:r w:rsidRPr="00376849">
        <w:rPr>
          <w:rFonts w:ascii="Calibri" w:hAnsi="Calibri" w:cs="Calibri"/>
          <w:sz w:val="22"/>
          <w:szCs w:val="22"/>
        </w:rPr>
        <w:t>;39:307</w:t>
      </w:r>
      <w:proofErr w:type="gramEnd"/>
      <w:r w:rsidRPr="00376849">
        <w:rPr>
          <w:rFonts w:ascii="Calibri" w:hAnsi="Calibri" w:cs="Calibri"/>
          <w:sz w:val="22"/>
          <w:szCs w:val="22"/>
        </w:rPr>
        <w:t>–15.</w:t>
      </w:r>
    </w:p>
    <w:p w14:paraId="7C37C2F1" w14:textId="77777777" w:rsidR="006A3AED" w:rsidRPr="00376849" w:rsidRDefault="006A3AED" w:rsidP="00376849">
      <w:pPr>
        <w:spacing w:line="276" w:lineRule="auto"/>
        <w:rPr>
          <w:rFonts w:ascii="Calibri" w:hAnsi="Calibri" w:cs="Calibri"/>
          <w:sz w:val="22"/>
          <w:szCs w:val="22"/>
        </w:rPr>
      </w:pPr>
    </w:p>
    <w:p w14:paraId="4A45BD4A" w14:textId="5306E299" w:rsidR="00376849" w:rsidRDefault="00376849" w:rsidP="00376849">
      <w:pPr>
        <w:spacing w:line="276" w:lineRule="auto"/>
        <w:rPr>
          <w:rFonts w:ascii="Calibri" w:hAnsi="Calibri" w:cs="Calibri"/>
          <w:sz w:val="22"/>
          <w:szCs w:val="22"/>
        </w:rPr>
      </w:pPr>
      <w:r w:rsidRPr="00376849">
        <w:rPr>
          <w:rFonts w:ascii="Calibri" w:hAnsi="Calibri" w:cs="Calibri"/>
          <w:sz w:val="22"/>
          <w:szCs w:val="22"/>
        </w:rPr>
        <w:t>[53] Boland J, Choi W, Lee M, Lin J. Card</w:t>
      </w:r>
      <w:r w:rsidR="00751916">
        <w:rPr>
          <w:rFonts w:ascii="Calibri" w:hAnsi="Calibri" w:cs="Calibri"/>
          <w:sz w:val="22"/>
          <w:szCs w:val="22"/>
        </w:rPr>
        <w:t xml:space="preserve">iovascular toxicity of androgen </w:t>
      </w:r>
      <w:r w:rsidRPr="00376849">
        <w:rPr>
          <w:rFonts w:ascii="Calibri" w:hAnsi="Calibri" w:cs="Calibri"/>
          <w:sz w:val="22"/>
          <w:szCs w:val="22"/>
        </w:rPr>
        <w:t>deprivation therapy. Curr Cardiol Rep 2021</w:t>
      </w:r>
      <w:proofErr w:type="gramStart"/>
      <w:r w:rsidRPr="00376849">
        <w:rPr>
          <w:rFonts w:ascii="Calibri" w:hAnsi="Calibri" w:cs="Calibri"/>
          <w:sz w:val="22"/>
          <w:szCs w:val="22"/>
        </w:rPr>
        <w:t>;23:109</w:t>
      </w:r>
      <w:proofErr w:type="gramEnd"/>
      <w:r w:rsidRPr="00376849">
        <w:rPr>
          <w:rFonts w:ascii="Calibri" w:hAnsi="Calibri" w:cs="Calibri"/>
          <w:sz w:val="22"/>
          <w:szCs w:val="22"/>
        </w:rPr>
        <w:t>.</w:t>
      </w:r>
    </w:p>
    <w:p w14:paraId="4A2FEAB6" w14:textId="77777777" w:rsidR="006A3AED" w:rsidRPr="00376849" w:rsidRDefault="006A3AED" w:rsidP="00376849">
      <w:pPr>
        <w:spacing w:line="276" w:lineRule="auto"/>
        <w:rPr>
          <w:rFonts w:ascii="Calibri" w:hAnsi="Calibri" w:cs="Calibri"/>
          <w:sz w:val="22"/>
          <w:szCs w:val="22"/>
        </w:rPr>
      </w:pPr>
    </w:p>
    <w:p w14:paraId="6EBAD2D9" w14:textId="2FAF71FD" w:rsidR="00376849" w:rsidRDefault="00376849" w:rsidP="00376849">
      <w:pPr>
        <w:spacing w:line="276" w:lineRule="auto"/>
        <w:rPr>
          <w:rFonts w:ascii="Calibri" w:hAnsi="Calibri" w:cs="Calibri"/>
          <w:sz w:val="22"/>
          <w:szCs w:val="22"/>
        </w:rPr>
      </w:pPr>
      <w:r w:rsidRPr="00376849">
        <w:rPr>
          <w:rFonts w:ascii="Calibri" w:hAnsi="Calibri" w:cs="Calibri"/>
          <w:sz w:val="22"/>
          <w:szCs w:val="22"/>
        </w:rPr>
        <w:t xml:space="preserve">[54] Gu L, Li X, Liu W. Adverse </w:t>
      </w:r>
      <w:r w:rsidR="00751916">
        <w:rPr>
          <w:rFonts w:ascii="Calibri" w:hAnsi="Calibri" w:cs="Calibri"/>
          <w:sz w:val="22"/>
          <w:szCs w:val="22"/>
        </w:rPr>
        <w:t xml:space="preserve">cardiovascular effect following gonadotropin-releasing hormone antagonist versus GnRH agonist </w:t>
      </w:r>
      <w:r w:rsidRPr="00376849">
        <w:rPr>
          <w:rFonts w:ascii="Calibri" w:hAnsi="Calibri" w:cs="Calibri"/>
          <w:sz w:val="22"/>
          <w:szCs w:val="22"/>
        </w:rPr>
        <w:t>for prostate cancer treatment: a systemat</w:t>
      </w:r>
      <w:r w:rsidR="00751916">
        <w:rPr>
          <w:rFonts w:ascii="Calibri" w:hAnsi="Calibri" w:cs="Calibri"/>
          <w:sz w:val="22"/>
          <w:szCs w:val="22"/>
        </w:rPr>
        <w:t>ic review and meta</w:t>
      </w:r>
      <w:r w:rsidR="006A3AED">
        <w:rPr>
          <w:rFonts w:ascii="Calibri" w:hAnsi="Calibri" w:cs="Calibri"/>
          <w:sz w:val="22"/>
          <w:szCs w:val="22"/>
        </w:rPr>
        <w:t>-</w:t>
      </w:r>
      <w:r w:rsidR="00751916">
        <w:rPr>
          <w:rFonts w:ascii="Calibri" w:hAnsi="Calibri" w:cs="Calibri"/>
          <w:sz w:val="22"/>
          <w:szCs w:val="22"/>
        </w:rPr>
        <w:t xml:space="preserve">analysis. </w:t>
      </w:r>
      <w:r w:rsidRPr="00376849">
        <w:rPr>
          <w:rFonts w:ascii="Calibri" w:hAnsi="Calibri" w:cs="Calibri"/>
          <w:sz w:val="22"/>
          <w:szCs w:val="22"/>
        </w:rPr>
        <w:t>Front Endocrinol 2023</w:t>
      </w:r>
      <w:proofErr w:type="gramStart"/>
      <w:r w:rsidRPr="00376849">
        <w:rPr>
          <w:rFonts w:ascii="Calibri" w:hAnsi="Calibri" w:cs="Calibri"/>
          <w:sz w:val="22"/>
          <w:szCs w:val="22"/>
        </w:rPr>
        <w:t>;14:1157857</w:t>
      </w:r>
      <w:proofErr w:type="gramEnd"/>
      <w:r w:rsidRPr="00376849">
        <w:rPr>
          <w:rFonts w:ascii="Calibri" w:hAnsi="Calibri" w:cs="Calibri"/>
          <w:sz w:val="22"/>
          <w:szCs w:val="22"/>
        </w:rPr>
        <w:t>.</w:t>
      </w:r>
    </w:p>
    <w:p w14:paraId="78B4BF10" w14:textId="77777777" w:rsidR="006A3AED" w:rsidRPr="00376849" w:rsidRDefault="006A3AED" w:rsidP="00376849">
      <w:pPr>
        <w:spacing w:line="276" w:lineRule="auto"/>
        <w:rPr>
          <w:rFonts w:ascii="Calibri" w:hAnsi="Calibri" w:cs="Calibri"/>
          <w:sz w:val="22"/>
          <w:szCs w:val="22"/>
        </w:rPr>
      </w:pPr>
    </w:p>
    <w:p w14:paraId="728FDEB4" w14:textId="6F5C994C" w:rsidR="00376849" w:rsidRPr="00376849" w:rsidRDefault="00376849" w:rsidP="00376849">
      <w:pPr>
        <w:spacing w:line="276" w:lineRule="auto"/>
        <w:rPr>
          <w:rFonts w:ascii="Calibri" w:hAnsi="Calibri" w:cs="Calibri"/>
          <w:sz w:val="22"/>
          <w:szCs w:val="22"/>
        </w:rPr>
      </w:pPr>
      <w:r w:rsidRPr="00376849">
        <w:rPr>
          <w:rFonts w:ascii="Calibri" w:hAnsi="Calibri" w:cs="Calibri"/>
          <w:sz w:val="22"/>
          <w:szCs w:val="22"/>
        </w:rPr>
        <w:t>[55] Gravis G, Fizazi K, Joly F, et al. And</w:t>
      </w:r>
      <w:r w:rsidR="00751916">
        <w:rPr>
          <w:rFonts w:ascii="Calibri" w:hAnsi="Calibri" w:cs="Calibri"/>
          <w:sz w:val="22"/>
          <w:szCs w:val="22"/>
        </w:rPr>
        <w:t xml:space="preserve">rogen-deprivation therapy alone </w:t>
      </w:r>
      <w:r w:rsidRPr="00376849">
        <w:rPr>
          <w:rFonts w:ascii="Calibri" w:hAnsi="Calibri" w:cs="Calibri"/>
          <w:sz w:val="22"/>
          <w:szCs w:val="22"/>
        </w:rPr>
        <w:t>or with docetaxel in non-cast</w:t>
      </w:r>
      <w:r w:rsidR="00751916">
        <w:rPr>
          <w:rFonts w:ascii="Calibri" w:hAnsi="Calibri" w:cs="Calibri"/>
          <w:sz w:val="22"/>
          <w:szCs w:val="22"/>
        </w:rPr>
        <w:t xml:space="preserve">rate metastatic prostate cancer </w:t>
      </w:r>
      <w:r w:rsidRPr="00376849">
        <w:rPr>
          <w:rFonts w:ascii="Calibri" w:hAnsi="Calibri" w:cs="Calibri"/>
          <w:sz w:val="22"/>
          <w:szCs w:val="22"/>
        </w:rPr>
        <w:t>(GETUG-AFU 15): a randomised, open-label, phase 3 trial. Lancet</w:t>
      </w:r>
    </w:p>
    <w:p w14:paraId="145FA6CA" w14:textId="2897A553" w:rsidR="00376849" w:rsidRDefault="00376849" w:rsidP="00376849">
      <w:pPr>
        <w:spacing w:line="276" w:lineRule="auto"/>
        <w:rPr>
          <w:rFonts w:ascii="Calibri" w:hAnsi="Calibri" w:cs="Calibri"/>
          <w:sz w:val="22"/>
          <w:szCs w:val="22"/>
        </w:rPr>
      </w:pPr>
      <w:r w:rsidRPr="00376849">
        <w:rPr>
          <w:rFonts w:ascii="Calibri" w:hAnsi="Calibri" w:cs="Calibri"/>
          <w:sz w:val="22"/>
          <w:szCs w:val="22"/>
        </w:rPr>
        <w:t>Oncol 2013</w:t>
      </w:r>
      <w:proofErr w:type="gramStart"/>
      <w:r w:rsidRPr="00376849">
        <w:rPr>
          <w:rFonts w:ascii="Calibri" w:hAnsi="Calibri" w:cs="Calibri"/>
          <w:sz w:val="22"/>
          <w:szCs w:val="22"/>
        </w:rPr>
        <w:t>;14:149</w:t>
      </w:r>
      <w:proofErr w:type="gramEnd"/>
      <w:r w:rsidRPr="00376849">
        <w:rPr>
          <w:rFonts w:ascii="Calibri" w:hAnsi="Calibri" w:cs="Calibri"/>
          <w:sz w:val="22"/>
          <w:szCs w:val="22"/>
        </w:rPr>
        <w:t>–58.</w:t>
      </w:r>
    </w:p>
    <w:p w14:paraId="5CAE1B38" w14:textId="77777777" w:rsidR="006A3AED" w:rsidRPr="00376849" w:rsidRDefault="006A3AED" w:rsidP="00376849">
      <w:pPr>
        <w:spacing w:line="276" w:lineRule="auto"/>
        <w:rPr>
          <w:rFonts w:ascii="Calibri" w:hAnsi="Calibri" w:cs="Calibri"/>
          <w:sz w:val="22"/>
          <w:szCs w:val="22"/>
        </w:rPr>
      </w:pPr>
    </w:p>
    <w:p w14:paraId="3A38D56B" w14:textId="4A11FF23" w:rsidR="00376849" w:rsidRDefault="00376849" w:rsidP="00376849">
      <w:pPr>
        <w:spacing w:line="276" w:lineRule="auto"/>
        <w:rPr>
          <w:rFonts w:ascii="Calibri" w:hAnsi="Calibri" w:cs="Calibri"/>
          <w:sz w:val="22"/>
          <w:szCs w:val="22"/>
        </w:rPr>
      </w:pPr>
      <w:r w:rsidRPr="00376849">
        <w:rPr>
          <w:rFonts w:ascii="Calibri" w:hAnsi="Calibri" w:cs="Calibri"/>
          <w:sz w:val="22"/>
          <w:szCs w:val="22"/>
        </w:rPr>
        <w:t xml:space="preserve">[56] Clarke NW, Ali A, Ingleby FC, </w:t>
      </w:r>
      <w:r w:rsidR="00751916">
        <w:rPr>
          <w:rFonts w:ascii="Calibri" w:hAnsi="Calibri" w:cs="Calibri"/>
          <w:sz w:val="22"/>
          <w:szCs w:val="22"/>
        </w:rPr>
        <w:t xml:space="preserve">et al. Addition of docetaxel to </w:t>
      </w:r>
      <w:r w:rsidRPr="00376849">
        <w:rPr>
          <w:rFonts w:ascii="Calibri" w:hAnsi="Calibri" w:cs="Calibri"/>
          <w:sz w:val="22"/>
          <w:szCs w:val="22"/>
        </w:rPr>
        <w:t>hormonal therapy in low- and</w:t>
      </w:r>
      <w:r w:rsidR="00751916">
        <w:rPr>
          <w:rFonts w:ascii="Calibri" w:hAnsi="Calibri" w:cs="Calibri"/>
          <w:sz w:val="22"/>
          <w:szCs w:val="22"/>
        </w:rPr>
        <w:t xml:space="preserve"> high-burden metastatic hormone </w:t>
      </w:r>
      <w:r w:rsidRPr="00376849">
        <w:rPr>
          <w:rFonts w:ascii="Calibri" w:hAnsi="Calibri" w:cs="Calibri"/>
          <w:sz w:val="22"/>
          <w:szCs w:val="22"/>
        </w:rPr>
        <w:t>sensitive prostate cancer: long</w:t>
      </w:r>
      <w:r w:rsidR="006A3AED">
        <w:rPr>
          <w:rFonts w:ascii="Calibri" w:hAnsi="Calibri" w:cs="Calibri"/>
          <w:sz w:val="22"/>
          <w:szCs w:val="22"/>
        </w:rPr>
        <w:t xml:space="preserve">-term survival results from the </w:t>
      </w:r>
      <w:r w:rsidRPr="00376849">
        <w:rPr>
          <w:rFonts w:ascii="Calibri" w:hAnsi="Calibri" w:cs="Calibri"/>
          <w:sz w:val="22"/>
          <w:szCs w:val="22"/>
        </w:rPr>
        <w:t>STAMPEDE trial. Ann Oncol 2019</w:t>
      </w:r>
      <w:proofErr w:type="gramStart"/>
      <w:r w:rsidRPr="00376849">
        <w:rPr>
          <w:rFonts w:ascii="Calibri" w:hAnsi="Calibri" w:cs="Calibri"/>
          <w:sz w:val="22"/>
          <w:szCs w:val="22"/>
        </w:rPr>
        <w:t>;30:1992</w:t>
      </w:r>
      <w:proofErr w:type="gramEnd"/>
      <w:r w:rsidRPr="00376849">
        <w:rPr>
          <w:rFonts w:ascii="Calibri" w:hAnsi="Calibri" w:cs="Calibri"/>
          <w:sz w:val="22"/>
          <w:szCs w:val="22"/>
        </w:rPr>
        <w:t>–2003.</w:t>
      </w:r>
    </w:p>
    <w:p w14:paraId="2F75ADC5" w14:textId="77777777" w:rsidR="006A3AED" w:rsidRPr="00376849" w:rsidRDefault="006A3AED" w:rsidP="00376849">
      <w:pPr>
        <w:spacing w:line="276" w:lineRule="auto"/>
        <w:rPr>
          <w:rFonts w:ascii="Calibri" w:hAnsi="Calibri" w:cs="Calibri"/>
          <w:sz w:val="22"/>
          <w:szCs w:val="22"/>
        </w:rPr>
      </w:pPr>
    </w:p>
    <w:p w14:paraId="4CFDC5A6" w14:textId="6F3D338E" w:rsidR="00376849" w:rsidRPr="00376849" w:rsidRDefault="00376849" w:rsidP="00376849">
      <w:pPr>
        <w:spacing w:line="276" w:lineRule="auto"/>
        <w:rPr>
          <w:rFonts w:ascii="Calibri" w:hAnsi="Calibri" w:cs="Calibri"/>
          <w:sz w:val="22"/>
          <w:szCs w:val="22"/>
        </w:rPr>
      </w:pPr>
      <w:r w:rsidRPr="00376849">
        <w:rPr>
          <w:rFonts w:ascii="Calibri" w:hAnsi="Calibri" w:cs="Calibri"/>
          <w:sz w:val="22"/>
          <w:szCs w:val="22"/>
        </w:rPr>
        <w:t>[57] Sathianathen NJ, Philippou YA</w:t>
      </w:r>
      <w:r w:rsidR="00751916">
        <w:rPr>
          <w:rFonts w:ascii="Calibri" w:hAnsi="Calibri" w:cs="Calibri"/>
          <w:sz w:val="22"/>
          <w:szCs w:val="22"/>
        </w:rPr>
        <w:t xml:space="preserve">, Kuntz GM, et al. Taxane-based </w:t>
      </w:r>
      <w:r w:rsidRPr="00376849">
        <w:rPr>
          <w:rFonts w:ascii="Calibri" w:hAnsi="Calibri" w:cs="Calibri"/>
          <w:sz w:val="22"/>
          <w:szCs w:val="22"/>
        </w:rPr>
        <w:t>chemohormonal therapy f</w:t>
      </w:r>
      <w:r w:rsidR="00751916">
        <w:rPr>
          <w:rFonts w:ascii="Calibri" w:hAnsi="Calibri" w:cs="Calibri"/>
          <w:sz w:val="22"/>
          <w:szCs w:val="22"/>
        </w:rPr>
        <w:t xml:space="preserve">or metastatic hormone-sensitive </w:t>
      </w:r>
      <w:r w:rsidRPr="00376849">
        <w:rPr>
          <w:rFonts w:ascii="Calibri" w:hAnsi="Calibri" w:cs="Calibri"/>
          <w:sz w:val="22"/>
          <w:szCs w:val="22"/>
        </w:rPr>
        <w:t>prostate cancer. Cochrane Database Syst Rev 2018</w:t>
      </w:r>
      <w:proofErr w:type="gramStart"/>
      <w:r w:rsidRPr="00376849">
        <w:rPr>
          <w:rFonts w:ascii="Calibri" w:hAnsi="Calibri" w:cs="Calibri"/>
          <w:sz w:val="22"/>
          <w:szCs w:val="22"/>
        </w:rPr>
        <w:t>;2018</w:t>
      </w:r>
      <w:proofErr w:type="gramEnd"/>
      <w:r w:rsidRPr="00376849">
        <w:rPr>
          <w:rFonts w:ascii="Calibri" w:hAnsi="Calibri" w:cs="Calibri"/>
          <w:sz w:val="22"/>
          <w:szCs w:val="22"/>
        </w:rPr>
        <w:t>:</w:t>
      </w:r>
    </w:p>
    <w:p w14:paraId="3E943C88" w14:textId="0A21D314" w:rsidR="00376849" w:rsidRDefault="00376849" w:rsidP="00376849">
      <w:pPr>
        <w:spacing w:line="276" w:lineRule="auto"/>
        <w:rPr>
          <w:rFonts w:ascii="Calibri" w:hAnsi="Calibri" w:cs="Calibri"/>
          <w:sz w:val="22"/>
          <w:szCs w:val="22"/>
        </w:rPr>
      </w:pPr>
      <w:r w:rsidRPr="00376849">
        <w:rPr>
          <w:rFonts w:ascii="Calibri" w:hAnsi="Calibri" w:cs="Calibri"/>
          <w:sz w:val="22"/>
          <w:szCs w:val="22"/>
        </w:rPr>
        <w:t>CD012816.</w:t>
      </w:r>
    </w:p>
    <w:p w14:paraId="4EAB5FE3" w14:textId="77777777" w:rsidR="006A3AED" w:rsidRPr="00376849" w:rsidRDefault="006A3AED" w:rsidP="00376849">
      <w:pPr>
        <w:spacing w:line="276" w:lineRule="auto"/>
        <w:rPr>
          <w:rFonts w:ascii="Calibri" w:hAnsi="Calibri" w:cs="Calibri"/>
          <w:sz w:val="22"/>
          <w:szCs w:val="22"/>
        </w:rPr>
      </w:pPr>
    </w:p>
    <w:p w14:paraId="0615BB82" w14:textId="6D8B7AFD" w:rsidR="00376849" w:rsidRDefault="00376849" w:rsidP="00376849">
      <w:pPr>
        <w:spacing w:line="276" w:lineRule="auto"/>
        <w:rPr>
          <w:rFonts w:ascii="Calibri" w:hAnsi="Calibri" w:cs="Calibri"/>
          <w:sz w:val="22"/>
          <w:szCs w:val="22"/>
        </w:rPr>
      </w:pPr>
      <w:r w:rsidRPr="00376849">
        <w:rPr>
          <w:rFonts w:ascii="Calibri" w:hAnsi="Calibri" w:cs="Calibri"/>
          <w:sz w:val="22"/>
          <w:szCs w:val="22"/>
        </w:rPr>
        <w:lastRenderedPageBreak/>
        <w:t>[58] Vale CL, Fisher DJ, Godolphin</w:t>
      </w:r>
      <w:r w:rsidR="00751916">
        <w:rPr>
          <w:rFonts w:ascii="Calibri" w:hAnsi="Calibri" w:cs="Calibri"/>
          <w:sz w:val="22"/>
          <w:szCs w:val="22"/>
        </w:rPr>
        <w:t xml:space="preserve"> PJ, et al. Which patients with </w:t>
      </w:r>
      <w:r w:rsidRPr="00376849">
        <w:rPr>
          <w:rFonts w:ascii="Calibri" w:hAnsi="Calibri" w:cs="Calibri"/>
          <w:sz w:val="22"/>
          <w:szCs w:val="22"/>
        </w:rPr>
        <w:t>metastatic hormone-sensiti</w:t>
      </w:r>
      <w:r w:rsidR="00751916">
        <w:rPr>
          <w:rFonts w:ascii="Calibri" w:hAnsi="Calibri" w:cs="Calibri"/>
          <w:sz w:val="22"/>
          <w:szCs w:val="22"/>
        </w:rPr>
        <w:t xml:space="preserve">ve prostate cancer benefit from </w:t>
      </w:r>
      <w:r w:rsidRPr="00376849">
        <w:rPr>
          <w:rFonts w:ascii="Calibri" w:hAnsi="Calibri" w:cs="Calibri"/>
          <w:sz w:val="22"/>
          <w:szCs w:val="22"/>
        </w:rPr>
        <w:t xml:space="preserve">docetaxel: a systematic review </w:t>
      </w:r>
      <w:r w:rsidR="00751916">
        <w:rPr>
          <w:rFonts w:ascii="Calibri" w:hAnsi="Calibri" w:cs="Calibri"/>
          <w:sz w:val="22"/>
          <w:szCs w:val="22"/>
        </w:rPr>
        <w:t xml:space="preserve">and meta-analysis of individual </w:t>
      </w:r>
      <w:r w:rsidRPr="00376849">
        <w:rPr>
          <w:rFonts w:ascii="Calibri" w:hAnsi="Calibri" w:cs="Calibri"/>
          <w:sz w:val="22"/>
          <w:szCs w:val="22"/>
        </w:rPr>
        <w:t>participant data from randomised trials. Lan</w:t>
      </w:r>
      <w:r w:rsidR="006A3AED">
        <w:rPr>
          <w:rFonts w:ascii="Calibri" w:hAnsi="Calibri" w:cs="Calibri"/>
          <w:sz w:val="22"/>
          <w:szCs w:val="22"/>
        </w:rPr>
        <w:t xml:space="preserve">cet Oncol </w:t>
      </w:r>
      <w:r w:rsidRPr="00376849">
        <w:rPr>
          <w:rFonts w:ascii="Calibri" w:hAnsi="Calibri" w:cs="Calibri"/>
          <w:sz w:val="22"/>
          <w:szCs w:val="22"/>
        </w:rPr>
        <w:t>2023</w:t>
      </w:r>
      <w:proofErr w:type="gramStart"/>
      <w:r w:rsidRPr="00376849">
        <w:rPr>
          <w:rFonts w:ascii="Calibri" w:hAnsi="Calibri" w:cs="Calibri"/>
          <w:sz w:val="22"/>
          <w:szCs w:val="22"/>
        </w:rPr>
        <w:t>;24:783</w:t>
      </w:r>
      <w:proofErr w:type="gramEnd"/>
      <w:r w:rsidRPr="00376849">
        <w:rPr>
          <w:rFonts w:ascii="Calibri" w:hAnsi="Calibri" w:cs="Calibri"/>
          <w:sz w:val="22"/>
          <w:szCs w:val="22"/>
        </w:rPr>
        <w:t>–97.</w:t>
      </w:r>
    </w:p>
    <w:p w14:paraId="1AFA3526" w14:textId="77777777" w:rsidR="006A3AED" w:rsidRPr="00376849" w:rsidRDefault="006A3AED" w:rsidP="00376849">
      <w:pPr>
        <w:spacing w:line="276" w:lineRule="auto"/>
        <w:rPr>
          <w:rFonts w:ascii="Calibri" w:hAnsi="Calibri" w:cs="Calibri"/>
          <w:sz w:val="22"/>
          <w:szCs w:val="22"/>
        </w:rPr>
      </w:pPr>
    </w:p>
    <w:p w14:paraId="74CF341D" w14:textId="2F912217" w:rsidR="00376849" w:rsidRDefault="00376849" w:rsidP="00376849">
      <w:pPr>
        <w:spacing w:line="276" w:lineRule="auto"/>
        <w:rPr>
          <w:rFonts w:ascii="Calibri" w:hAnsi="Calibri" w:cs="Calibri"/>
          <w:sz w:val="22"/>
          <w:szCs w:val="22"/>
        </w:rPr>
      </w:pPr>
      <w:r w:rsidRPr="00376849">
        <w:rPr>
          <w:rFonts w:ascii="Calibri" w:hAnsi="Calibri" w:cs="Calibri"/>
          <w:sz w:val="22"/>
          <w:szCs w:val="22"/>
        </w:rPr>
        <w:t xml:space="preserve">[59] James ND, de Bono JS, Spears MR, </w:t>
      </w:r>
      <w:r w:rsidR="00751916">
        <w:rPr>
          <w:rFonts w:ascii="Calibri" w:hAnsi="Calibri" w:cs="Calibri"/>
          <w:sz w:val="22"/>
          <w:szCs w:val="22"/>
        </w:rPr>
        <w:t xml:space="preserve">et al. Abiraterone for prostate </w:t>
      </w:r>
      <w:r w:rsidRPr="00376849">
        <w:rPr>
          <w:rFonts w:ascii="Calibri" w:hAnsi="Calibri" w:cs="Calibri"/>
          <w:sz w:val="22"/>
          <w:szCs w:val="22"/>
        </w:rPr>
        <w:t>cancer not previously treated wit</w:t>
      </w:r>
      <w:r w:rsidR="00751916">
        <w:rPr>
          <w:rFonts w:ascii="Calibri" w:hAnsi="Calibri" w:cs="Calibri"/>
          <w:sz w:val="22"/>
          <w:szCs w:val="22"/>
        </w:rPr>
        <w:t xml:space="preserve">h hormone therapy. N Engl J Med </w:t>
      </w:r>
      <w:r w:rsidRPr="00376849">
        <w:rPr>
          <w:rFonts w:ascii="Calibri" w:hAnsi="Calibri" w:cs="Calibri"/>
          <w:sz w:val="22"/>
          <w:szCs w:val="22"/>
        </w:rPr>
        <w:t>2017</w:t>
      </w:r>
      <w:proofErr w:type="gramStart"/>
      <w:r w:rsidRPr="00376849">
        <w:rPr>
          <w:rFonts w:ascii="Calibri" w:hAnsi="Calibri" w:cs="Calibri"/>
          <w:sz w:val="22"/>
          <w:szCs w:val="22"/>
        </w:rPr>
        <w:t>;377:338</w:t>
      </w:r>
      <w:proofErr w:type="gramEnd"/>
      <w:r w:rsidRPr="00376849">
        <w:rPr>
          <w:rFonts w:ascii="Calibri" w:hAnsi="Calibri" w:cs="Calibri"/>
          <w:sz w:val="22"/>
          <w:szCs w:val="22"/>
        </w:rPr>
        <w:t>–51.</w:t>
      </w:r>
    </w:p>
    <w:p w14:paraId="6DD59961" w14:textId="77777777" w:rsidR="006A3AED" w:rsidRPr="00376849" w:rsidRDefault="006A3AED" w:rsidP="00376849">
      <w:pPr>
        <w:spacing w:line="276" w:lineRule="auto"/>
        <w:rPr>
          <w:rFonts w:ascii="Calibri" w:hAnsi="Calibri" w:cs="Calibri"/>
          <w:sz w:val="22"/>
          <w:szCs w:val="22"/>
        </w:rPr>
      </w:pPr>
    </w:p>
    <w:p w14:paraId="08C24DB5" w14:textId="158E2E52" w:rsidR="00376849" w:rsidRDefault="00376849" w:rsidP="00376849">
      <w:pPr>
        <w:spacing w:line="276" w:lineRule="auto"/>
        <w:rPr>
          <w:rFonts w:ascii="Calibri" w:hAnsi="Calibri" w:cs="Calibri"/>
          <w:sz w:val="22"/>
          <w:szCs w:val="22"/>
        </w:rPr>
      </w:pPr>
      <w:r w:rsidRPr="00376849">
        <w:rPr>
          <w:rFonts w:ascii="Calibri" w:hAnsi="Calibri" w:cs="Calibri"/>
          <w:sz w:val="22"/>
          <w:szCs w:val="22"/>
        </w:rPr>
        <w:t>[60] Fizazi K, Tran N, Fein L, et al.</w:t>
      </w:r>
      <w:r w:rsidR="00751916">
        <w:rPr>
          <w:rFonts w:ascii="Calibri" w:hAnsi="Calibri" w:cs="Calibri"/>
          <w:sz w:val="22"/>
          <w:szCs w:val="22"/>
        </w:rPr>
        <w:t xml:space="preserve"> Abiraterone plus prednisone in </w:t>
      </w:r>
      <w:r w:rsidRPr="00376849">
        <w:rPr>
          <w:rFonts w:ascii="Calibri" w:hAnsi="Calibri" w:cs="Calibri"/>
          <w:sz w:val="22"/>
          <w:szCs w:val="22"/>
        </w:rPr>
        <w:t>metastatic, castration-sensitive prosta</w:t>
      </w:r>
      <w:r w:rsidR="00751916">
        <w:rPr>
          <w:rFonts w:ascii="Calibri" w:hAnsi="Calibri" w:cs="Calibri"/>
          <w:sz w:val="22"/>
          <w:szCs w:val="22"/>
        </w:rPr>
        <w:t xml:space="preserve">te cancer. N Engl J Med </w:t>
      </w:r>
      <w:r w:rsidRPr="00376849">
        <w:rPr>
          <w:rFonts w:ascii="Calibri" w:hAnsi="Calibri" w:cs="Calibri"/>
          <w:sz w:val="22"/>
          <w:szCs w:val="22"/>
        </w:rPr>
        <w:t>2017</w:t>
      </w:r>
      <w:proofErr w:type="gramStart"/>
      <w:r w:rsidRPr="00376849">
        <w:rPr>
          <w:rFonts w:ascii="Calibri" w:hAnsi="Calibri" w:cs="Calibri"/>
          <w:sz w:val="22"/>
          <w:szCs w:val="22"/>
        </w:rPr>
        <w:t>;377:352</w:t>
      </w:r>
      <w:proofErr w:type="gramEnd"/>
      <w:r w:rsidRPr="00376849">
        <w:rPr>
          <w:rFonts w:ascii="Calibri" w:hAnsi="Calibri" w:cs="Calibri"/>
          <w:sz w:val="22"/>
          <w:szCs w:val="22"/>
        </w:rPr>
        <w:t>–60.</w:t>
      </w:r>
    </w:p>
    <w:p w14:paraId="0A93C7CC" w14:textId="77777777" w:rsidR="006A3AED" w:rsidRPr="00376849" w:rsidRDefault="006A3AED" w:rsidP="00376849">
      <w:pPr>
        <w:spacing w:line="276" w:lineRule="auto"/>
        <w:rPr>
          <w:rFonts w:ascii="Calibri" w:hAnsi="Calibri" w:cs="Calibri"/>
          <w:sz w:val="22"/>
          <w:szCs w:val="22"/>
        </w:rPr>
      </w:pPr>
    </w:p>
    <w:p w14:paraId="424EB2C1" w14:textId="6F7B50F0" w:rsidR="00376849" w:rsidRPr="00376849" w:rsidRDefault="00376849" w:rsidP="00376849">
      <w:pPr>
        <w:spacing w:line="276" w:lineRule="auto"/>
        <w:rPr>
          <w:rFonts w:ascii="Calibri" w:hAnsi="Calibri" w:cs="Calibri"/>
          <w:sz w:val="22"/>
          <w:szCs w:val="22"/>
        </w:rPr>
      </w:pPr>
      <w:r w:rsidRPr="00376849">
        <w:rPr>
          <w:rFonts w:ascii="Calibri" w:hAnsi="Calibri" w:cs="Calibri"/>
          <w:sz w:val="22"/>
          <w:szCs w:val="22"/>
        </w:rPr>
        <w:t>[61] Rydzewska LHM, Burdett S, Vale C</w:t>
      </w:r>
      <w:r w:rsidR="00751916">
        <w:rPr>
          <w:rFonts w:ascii="Calibri" w:hAnsi="Calibri" w:cs="Calibri"/>
          <w:sz w:val="22"/>
          <w:szCs w:val="22"/>
        </w:rPr>
        <w:t xml:space="preserve">L, et al. Adding abiraterone to </w:t>
      </w:r>
      <w:r w:rsidRPr="00376849">
        <w:rPr>
          <w:rFonts w:ascii="Calibri" w:hAnsi="Calibri" w:cs="Calibri"/>
          <w:sz w:val="22"/>
          <w:szCs w:val="22"/>
        </w:rPr>
        <w:t>androgen deprivation therapy in men w</w:t>
      </w:r>
      <w:r w:rsidR="00751916">
        <w:rPr>
          <w:rFonts w:ascii="Calibri" w:hAnsi="Calibri" w:cs="Calibri"/>
          <w:sz w:val="22"/>
          <w:szCs w:val="22"/>
        </w:rPr>
        <w:t xml:space="preserve">ith metastatic hormonesensitive </w:t>
      </w:r>
      <w:r w:rsidRPr="00376849">
        <w:rPr>
          <w:rFonts w:ascii="Calibri" w:hAnsi="Calibri" w:cs="Calibri"/>
          <w:sz w:val="22"/>
          <w:szCs w:val="22"/>
        </w:rPr>
        <w:t>prostate cancer: a systematic review and meta-analysis.</w:t>
      </w:r>
    </w:p>
    <w:p w14:paraId="602C6AA1" w14:textId="6576E8CD" w:rsidR="00376849" w:rsidRDefault="00376849" w:rsidP="00376849">
      <w:pPr>
        <w:spacing w:line="276" w:lineRule="auto"/>
        <w:rPr>
          <w:rFonts w:ascii="Calibri" w:hAnsi="Calibri" w:cs="Calibri"/>
          <w:sz w:val="22"/>
          <w:szCs w:val="22"/>
        </w:rPr>
      </w:pPr>
      <w:r w:rsidRPr="00376849">
        <w:rPr>
          <w:rFonts w:ascii="Calibri" w:hAnsi="Calibri" w:cs="Calibri"/>
          <w:sz w:val="22"/>
          <w:szCs w:val="22"/>
        </w:rPr>
        <w:t>Eur J Cancer 2017</w:t>
      </w:r>
      <w:proofErr w:type="gramStart"/>
      <w:r w:rsidRPr="00376849">
        <w:rPr>
          <w:rFonts w:ascii="Calibri" w:hAnsi="Calibri" w:cs="Calibri"/>
          <w:sz w:val="22"/>
          <w:szCs w:val="22"/>
        </w:rPr>
        <w:t>;84:88</w:t>
      </w:r>
      <w:proofErr w:type="gramEnd"/>
      <w:r w:rsidRPr="00376849">
        <w:rPr>
          <w:rFonts w:ascii="Calibri" w:hAnsi="Calibri" w:cs="Calibri"/>
          <w:sz w:val="22"/>
          <w:szCs w:val="22"/>
        </w:rPr>
        <w:t>–101.</w:t>
      </w:r>
    </w:p>
    <w:p w14:paraId="1DCDFD9B" w14:textId="77777777" w:rsidR="006A3AED" w:rsidRPr="00376849" w:rsidRDefault="006A3AED" w:rsidP="00376849">
      <w:pPr>
        <w:spacing w:line="276" w:lineRule="auto"/>
        <w:rPr>
          <w:rFonts w:ascii="Calibri" w:hAnsi="Calibri" w:cs="Calibri"/>
          <w:sz w:val="22"/>
          <w:szCs w:val="22"/>
        </w:rPr>
      </w:pPr>
    </w:p>
    <w:p w14:paraId="3A73CCF8" w14:textId="54DCC804" w:rsidR="00376849" w:rsidRDefault="00376849" w:rsidP="00376849">
      <w:pPr>
        <w:spacing w:line="276" w:lineRule="auto"/>
        <w:rPr>
          <w:rFonts w:ascii="Calibri" w:hAnsi="Calibri" w:cs="Calibri"/>
          <w:sz w:val="22"/>
          <w:szCs w:val="22"/>
        </w:rPr>
      </w:pPr>
      <w:r w:rsidRPr="00376849">
        <w:rPr>
          <w:rFonts w:ascii="Calibri" w:hAnsi="Calibri" w:cs="Calibri"/>
          <w:sz w:val="22"/>
          <w:szCs w:val="22"/>
        </w:rPr>
        <w:t>[62] Hoyle AP, Ali A, James ND, et al. Abiratero</w:t>
      </w:r>
      <w:r w:rsidR="00751916">
        <w:rPr>
          <w:rFonts w:ascii="Calibri" w:hAnsi="Calibri" w:cs="Calibri"/>
          <w:sz w:val="22"/>
          <w:szCs w:val="22"/>
        </w:rPr>
        <w:t xml:space="preserve">ne in ‘‘high-’’ and ‘‘lowrisk’’ </w:t>
      </w:r>
      <w:r w:rsidRPr="00376849">
        <w:rPr>
          <w:rFonts w:ascii="Calibri" w:hAnsi="Calibri" w:cs="Calibri"/>
          <w:sz w:val="22"/>
          <w:szCs w:val="22"/>
        </w:rPr>
        <w:t>metastatic hormone-sensitive prostate cancer. Eur Urol</w:t>
      </w:r>
      <w:r w:rsidR="00751916">
        <w:rPr>
          <w:rFonts w:ascii="Calibri" w:hAnsi="Calibri" w:cs="Calibri"/>
          <w:sz w:val="22"/>
          <w:szCs w:val="22"/>
        </w:rPr>
        <w:t xml:space="preserve"> </w:t>
      </w:r>
      <w:r w:rsidRPr="00376849">
        <w:rPr>
          <w:rFonts w:ascii="Calibri" w:hAnsi="Calibri" w:cs="Calibri"/>
          <w:sz w:val="22"/>
          <w:szCs w:val="22"/>
        </w:rPr>
        <w:t>2019</w:t>
      </w:r>
      <w:proofErr w:type="gramStart"/>
      <w:r w:rsidRPr="00376849">
        <w:rPr>
          <w:rFonts w:ascii="Calibri" w:hAnsi="Calibri" w:cs="Calibri"/>
          <w:sz w:val="22"/>
          <w:szCs w:val="22"/>
        </w:rPr>
        <w:t>;76:719</w:t>
      </w:r>
      <w:proofErr w:type="gramEnd"/>
      <w:r w:rsidRPr="00376849">
        <w:rPr>
          <w:rFonts w:ascii="Calibri" w:hAnsi="Calibri" w:cs="Calibri"/>
          <w:sz w:val="22"/>
          <w:szCs w:val="22"/>
        </w:rPr>
        <w:t>–28.</w:t>
      </w:r>
    </w:p>
    <w:p w14:paraId="34F21EBD" w14:textId="77777777" w:rsidR="006A3AED" w:rsidRPr="00376849" w:rsidRDefault="006A3AED" w:rsidP="00376849">
      <w:pPr>
        <w:spacing w:line="276" w:lineRule="auto"/>
        <w:rPr>
          <w:rFonts w:ascii="Calibri" w:hAnsi="Calibri" w:cs="Calibri"/>
          <w:sz w:val="22"/>
          <w:szCs w:val="22"/>
        </w:rPr>
      </w:pPr>
    </w:p>
    <w:p w14:paraId="2222EC1C" w14:textId="0A849255" w:rsidR="00376849" w:rsidRDefault="00376849" w:rsidP="00376849">
      <w:pPr>
        <w:spacing w:line="276" w:lineRule="auto"/>
        <w:rPr>
          <w:rFonts w:ascii="Calibri" w:hAnsi="Calibri" w:cs="Calibri"/>
          <w:sz w:val="22"/>
          <w:szCs w:val="22"/>
        </w:rPr>
      </w:pPr>
      <w:r w:rsidRPr="00376849">
        <w:rPr>
          <w:rFonts w:ascii="Calibri" w:hAnsi="Calibri" w:cs="Calibri"/>
          <w:sz w:val="22"/>
          <w:szCs w:val="22"/>
        </w:rPr>
        <w:t xml:space="preserve">[63] Chi KN, Agarwal N, Bjartell A, et </w:t>
      </w:r>
      <w:r w:rsidR="00751916">
        <w:rPr>
          <w:rFonts w:ascii="Calibri" w:hAnsi="Calibri" w:cs="Calibri"/>
          <w:sz w:val="22"/>
          <w:szCs w:val="22"/>
        </w:rPr>
        <w:t xml:space="preserve">al. Apalutamide for metastatic, </w:t>
      </w:r>
      <w:r w:rsidRPr="00376849">
        <w:rPr>
          <w:rFonts w:ascii="Calibri" w:hAnsi="Calibri" w:cs="Calibri"/>
          <w:sz w:val="22"/>
          <w:szCs w:val="22"/>
        </w:rPr>
        <w:t>castration-sensitiv</w:t>
      </w:r>
      <w:r w:rsidR="00751916">
        <w:rPr>
          <w:rFonts w:ascii="Calibri" w:hAnsi="Calibri" w:cs="Calibri"/>
          <w:sz w:val="22"/>
          <w:szCs w:val="22"/>
        </w:rPr>
        <w:t xml:space="preserve">e prostate cancer. N Engl J Med </w:t>
      </w:r>
      <w:r w:rsidRPr="00376849">
        <w:rPr>
          <w:rFonts w:ascii="Calibri" w:hAnsi="Calibri" w:cs="Calibri"/>
          <w:sz w:val="22"/>
          <w:szCs w:val="22"/>
        </w:rPr>
        <w:t>2019</w:t>
      </w:r>
      <w:proofErr w:type="gramStart"/>
      <w:r w:rsidRPr="00376849">
        <w:rPr>
          <w:rFonts w:ascii="Calibri" w:hAnsi="Calibri" w:cs="Calibri"/>
          <w:sz w:val="22"/>
          <w:szCs w:val="22"/>
        </w:rPr>
        <w:t>;381:13</w:t>
      </w:r>
      <w:proofErr w:type="gramEnd"/>
      <w:r w:rsidRPr="00376849">
        <w:rPr>
          <w:rFonts w:ascii="Calibri" w:hAnsi="Calibri" w:cs="Calibri"/>
          <w:sz w:val="22"/>
          <w:szCs w:val="22"/>
        </w:rPr>
        <w:t>–24.</w:t>
      </w:r>
    </w:p>
    <w:p w14:paraId="1AEE709E" w14:textId="77777777" w:rsidR="006A3AED" w:rsidRPr="00376849" w:rsidRDefault="006A3AED" w:rsidP="00376849">
      <w:pPr>
        <w:spacing w:line="276" w:lineRule="auto"/>
        <w:rPr>
          <w:rFonts w:ascii="Calibri" w:hAnsi="Calibri" w:cs="Calibri"/>
          <w:sz w:val="22"/>
          <w:szCs w:val="22"/>
        </w:rPr>
      </w:pPr>
    </w:p>
    <w:p w14:paraId="37938D7D" w14:textId="1E2E47CC" w:rsidR="00376849" w:rsidRDefault="00376849" w:rsidP="00376849">
      <w:pPr>
        <w:spacing w:line="276" w:lineRule="auto"/>
        <w:rPr>
          <w:rFonts w:ascii="Calibri" w:hAnsi="Calibri" w:cs="Calibri"/>
          <w:sz w:val="22"/>
          <w:szCs w:val="22"/>
        </w:rPr>
      </w:pPr>
      <w:r w:rsidRPr="00376849">
        <w:rPr>
          <w:rFonts w:ascii="Calibri" w:hAnsi="Calibri" w:cs="Calibri"/>
          <w:sz w:val="22"/>
          <w:szCs w:val="22"/>
        </w:rPr>
        <w:t>[64] Armstrong AJ, Szmulewitz RZ</w:t>
      </w:r>
      <w:r w:rsidR="00751916">
        <w:rPr>
          <w:rFonts w:ascii="Calibri" w:hAnsi="Calibri" w:cs="Calibri"/>
          <w:sz w:val="22"/>
          <w:szCs w:val="22"/>
        </w:rPr>
        <w:t xml:space="preserve">, Petrylak DP, et al. ARCHES: a </w:t>
      </w:r>
      <w:r w:rsidRPr="00376849">
        <w:rPr>
          <w:rFonts w:ascii="Calibri" w:hAnsi="Calibri" w:cs="Calibri"/>
          <w:sz w:val="22"/>
          <w:szCs w:val="22"/>
        </w:rPr>
        <w:t>randomized, phase III study of an</w:t>
      </w:r>
      <w:r w:rsidR="00751916">
        <w:rPr>
          <w:rFonts w:ascii="Calibri" w:hAnsi="Calibri" w:cs="Calibri"/>
          <w:sz w:val="22"/>
          <w:szCs w:val="22"/>
        </w:rPr>
        <w:t xml:space="preserve">drogen deprivation therapy with </w:t>
      </w:r>
      <w:r w:rsidRPr="00376849">
        <w:rPr>
          <w:rFonts w:ascii="Calibri" w:hAnsi="Calibri" w:cs="Calibri"/>
          <w:sz w:val="22"/>
          <w:szCs w:val="22"/>
        </w:rPr>
        <w:t>enzalutamide or</w:t>
      </w:r>
      <w:r w:rsidR="00751916">
        <w:rPr>
          <w:rFonts w:ascii="Calibri" w:hAnsi="Calibri" w:cs="Calibri"/>
          <w:sz w:val="22"/>
          <w:szCs w:val="22"/>
        </w:rPr>
        <w:t xml:space="preserve"> placebo in men with metastatic </w:t>
      </w:r>
      <w:r w:rsidRPr="00376849">
        <w:rPr>
          <w:rFonts w:ascii="Calibri" w:hAnsi="Calibri" w:cs="Calibri"/>
          <w:sz w:val="22"/>
          <w:szCs w:val="22"/>
        </w:rPr>
        <w:t>hormone</w:t>
      </w:r>
      <w:r w:rsidR="00751916">
        <w:rPr>
          <w:rFonts w:ascii="Calibri" w:hAnsi="Calibri" w:cs="Calibri"/>
          <w:sz w:val="22"/>
          <w:szCs w:val="22"/>
        </w:rPr>
        <w:t xml:space="preserve"> </w:t>
      </w:r>
      <w:r w:rsidRPr="00376849">
        <w:rPr>
          <w:rFonts w:ascii="Calibri" w:hAnsi="Calibri" w:cs="Calibri"/>
          <w:sz w:val="22"/>
          <w:szCs w:val="22"/>
        </w:rPr>
        <w:t>sensit</w:t>
      </w:r>
      <w:r w:rsidR="00751916">
        <w:rPr>
          <w:rFonts w:ascii="Calibri" w:hAnsi="Calibri" w:cs="Calibri"/>
          <w:sz w:val="22"/>
          <w:szCs w:val="22"/>
        </w:rPr>
        <w:t xml:space="preserve">ive </w:t>
      </w:r>
      <w:r w:rsidRPr="00376849">
        <w:rPr>
          <w:rFonts w:ascii="Calibri" w:hAnsi="Calibri" w:cs="Calibri"/>
          <w:sz w:val="22"/>
          <w:szCs w:val="22"/>
        </w:rPr>
        <w:t>prostate cancer. J Clin Oncol 2019</w:t>
      </w:r>
      <w:proofErr w:type="gramStart"/>
      <w:r w:rsidRPr="00376849">
        <w:rPr>
          <w:rFonts w:ascii="Calibri" w:hAnsi="Calibri" w:cs="Calibri"/>
          <w:sz w:val="22"/>
          <w:szCs w:val="22"/>
        </w:rPr>
        <w:t>;37:2974</w:t>
      </w:r>
      <w:proofErr w:type="gramEnd"/>
      <w:r w:rsidRPr="00376849">
        <w:rPr>
          <w:rFonts w:ascii="Calibri" w:hAnsi="Calibri" w:cs="Calibri"/>
          <w:sz w:val="22"/>
          <w:szCs w:val="22"/>
        </w:rPr>
        <w:t>–86.</w:t>
      </w:r>
    </w:p>
    <w:p w14:paraId="70850E72" w14:textId="77777777" w:rsidR="006A3AED" w:rsidRPr="00376849" w:rsidRDefault="006A3AED" w:rsidP="00376849">
      <w:pPr>
        <w:spacing w:line="276" w:lineRule="auto"/>
        <w:rPr>
          <w:rFonts w:ascii="Calibri" w:hAnsi="Calibri" w:cs="Calibri"/>
          <w:sz w:val="22"/>
          <w:szCs w:val="22"/>
        </w:rPr>
      </w:pPr>
    </w:p>
    <w:p w14:paraId="17568305" w14:textId="24410BC0" w:rsidR="00376849" w:rsidRDefault="00376849" w:rsidP="00376849">
      <w:pPr>
        <w:spacing w:line="276" w:lineRule="auto"/>
        <w:rPr>
          <w:rFonts w:ascii="Calibri" w:hAnsi="Calibri" w:cs="Calibri"/>
          <w:sz w:val="22"/>
          <w:szCs w:val="22"/>
        </w:rPr>
      </w:pPr>
      <w:r w:rsidRPr="00376849">
        <w:rPr>
          <w:rFonts w:ascii="Calibri" w:hAnsi="Calibri" w:cs="Calibri"/>
          <w:sz w:val="22"/>
          <w:szCs w:val="22"/>
        </w:rPr>
        <w:t>[65] Davis ID, Martin AJ, Stockler MR, et</w:t>
      </w:r>
      <w:r w:rsidR="00751916">
        <w:rPr>
          <w:rFonts w:ascii="Calibri" w:hAnsi="Calibri" w:cs="Calibri"/>
          <w:sz w:val="22"/>
          <w:szCs w:val="22"/>
        </w:rPr>
        <w:t xml:space="preserve"> al. Enzalutamide with standard </w:t>
      </w:r>
      <w:r w:rsidRPr="00376849">
        <w:rPr>
          <w:rFonts w:ascii="Calibri" w:hAnsi="Calibri" w:cs="Calibri"/>
          <w:sz w:val="22"/>
          <w:szCs w:val="22"/>
        </w:rPr>
        <w:t>first-line therapy in metastati</w:t>
      </w:r>
      <w:r w:rsidR="00751916">
        <w:rPr>
          <w:rFonts w:ascii="Calibri" w:hAnsi="Calibri" w:cs="Calibri"/>
          <w:sz w:val="22"/>
          <w:szCs w:val="22"/>
        </w:rPr>
        <w:t xml:space="preserve">c prostate cancer. N Engl J Med </w:t>
      </w:r>
      <w:r w:rsidRPr="00376849">
        <w:rPr>
          <w:rFonts w:ascii="Calibri" w:hAnsi="Calibri" w:cs="Calibri"/>
          <w:sz w:val="22"/>
          <w:szCs w:val="22"/>
        </w:rPr>
        <w:t>2019</w:t>
      </w:r>
      <w:proofErr w:type="gramStart"/>
      <w:r w:rsidRPr="00376849">
        <w:rPr>
          <w:rFonts w:ascii="Calibri" w:hAnsi="Calibri" w:cs="Calibri"/>
          <w:sz w:val="22"/>
          <w:szCs w:val="22"/>
        </w:rPr>
        <w:t>;381:121</w:t>
      </w:r>
      <w:proofErr w:type="gramEnd"/>
      <w:r w:rsidRPr="00376849">
        <w:rPr>
          <w:rFonts w:ascii="Calibri" w:hAnsi="Calibri" w:cs="Calibri"/>
          <w:sz w:val="22"/>
          <w:szCs w:val="22"/>
        </w:rPr>
        <w:t>–31.</w:t>
      </w:r>
    </w:p>
    <w:p w14:paraId="6E6C8C87" w14:textId="77777777" w:rsidR="006A3AED" w:rsidRPr="00376849" w:rsidRDefault="006A3AED" w:rsidP="00376849">
      <w:pPr>
        <w:spacing w:line="276" w:lineRule="auto"/>
        <w:rPr>
          <w:rFonts w:ascii="Calibri" w:hAnsi="Calibri" w:cs="Calibri"/>
          <w:sz w:val="22"/>
          <w:szCs w:val="22"/>
        </w:rPr>
      </w:pPr>
    </w:p>
    <w:p w14:paraId="41D7E155" w14:textId="13730DE9" w:rsidR="00376849" w:rsidRPr="00376849" w:rsidRDefault="00376849" w:rsidP="00376849">
      <w:pPr>
        <w:spacing w:line="276" w:lineRule="auto"/>
        <w:rPr>
          <w:rFonts w:ascii="Calibri" w:hAnsi="Calibri" w:cs="Calibri"/>
          <w:sz w:val="22"/>
          <w:szCs w:val="22"/>
        </w:rPr>
      </w:pPr>
      <w:r w:rsidRPr="00376849">
        <w:rPr>
          <w:rFonts w:ascii="Calibri" w:hAnsi="Calibri" w:cs="Calibri"/>
          <w:sz w:val="22"/>
          <w:szCs w:val="22"/>
        </w:rPr>
        <w:t>[66] Sweeney CJ, Martin AJ, Stockler MR, et al. Test</w:t>
      </w:r>
      <w:r w:rsidR="00751916">
        <w:rPr>
          <w:rFonts w:ascii="Calibri" w:hAnsi="Calibri" w:cs="Calibri"/>
          <w:sz w:val="22"/>
          <w:szCs w:val="22"/>
        </w:rPr>
        <w:t xml:space="preserve">osterone </w:t>
      </w:r>
      <w:r w:rsidRPr="00376849">
        <w:rPr>
          <w:rFonts w:ascii="Calibri" w:hAnsi="Calibri" w:cs="Calibri"/>
          <w:sz w:val="22"/>
          <w:szCs w:val="22"/>
        </w:rPr>
        <w:t xml:space="preserve">suppression plus enzalutamide </w:t>
      </w:r>
      <w:r w:rsidR="00751916">
        <w:rPr>
          <w:rFonts w:ascii="Calibri" w:hAnsi="Calibri" w:cs="Calibri"/>
          <w:sz w:val="22"/>
          <w:szCs w:val="22"/>
        </w:rPr>
        <w:t xml:space="preserve">versus testosterone suppression </w:t>
      </w:r>
      <w:r w:rsidRPr="00376849">
        <w:rPr>
          <w:rFonts w:ascii="Calibri" w:hAnsi="Calibri" w:cs="Calibri"/>
          <w:sz w:val="22"/>
          <w:szCs w:val="22"/>
        </w:rPr>
        <w:t>plus standard anti</w:t>
      </w:r>
      <w:r w:rsidR="00751916">
        <w:rPr>
          <w:rFonts w:ascii="Calibri" w:hAnsi="Calibri" w:cs="Calibri"/>
          <w:sz w:val="22"/>
          <w:szCs w:val="22"/>
        </w:rPr>
        <w:t>-</w:t>
      </w:r>
      <w:r w:rsidRPr="00376849">
        <w:rPr>
          <w:rFonts w:ascii="Calibri" w:hAnsi="Calibri" w:cs="Calibri"/>
          <w:sz w:val="22"/>
          <w:szCs w:val="22"/>
        </w:rPr>
        <w:t>androgen therapy for metastatic hormone</w:t>
      </w:r>
      <w:r w:rsidR="00751916">
        <w:rPr>
          <w:rFonts w:ascii="Calibri" w:hAnsi="Calibri" w:cs="Calibri"/>
          <w:sz w:val="22"/>
          <w:szCs w:val="22"/>
        </w:rPr>
        <w:t xml:space="preserve"> </w:t>
      </w:r>
      <w:r w:rsidRPr="00376849">
        <w:rPr>
          <w:rFonts w:ascii="Calibri" w:hAnsi="Calibri" w:cs="Calibri"/>
          <w:sz w:val="22"/>
          <w:szCs w:val="22"/>
        </w:rPr>
        <w:t>sensitive</w:t>
      </w:r>
    </w:p>
    <w:p w14:paraId="33A4DC63" w14:textId="711CC1A8" w:rsidR="00376849" w:rsidRDefault="00376849" w:rsidP="00376849">
      <w:pPr>
        <w:spacing w:line="276" w:lineRule="auto"/>
        <w:rPr>
          <w:rFonts w:ascii="Calibri" w:hAnsi="Calibri" w:cs="Calibri"/>
          <w:sz w:val="22"/>
          <w:szCs w:val="22"/>
        </w:rPr>
      </w:pPr>
      <w:proofErr w:type="gramStart"/>
      <w:r w:rsidRPr="00376849">
        <w:rPr>
          <w:rFonts w:ascii="Calibri" w:hAnsi="Calibri" w:cs="Calibri"/>
          <w:sz w:val="22"/>
          <w:szCs w:val="22"/>
        </w:rPr>
        <w:t>prostate</w:t>
      </w:r>
      <w:proofErr w:type="gramEnd"/>
      <w:r w:rsidRPr="00376849">
        <w:rPr>
          <w:rFonts w:ascii="Calibri" w:hAnsi="Calibri" w:cs="Calibri"/>
          <w:sz w:val="22"/>
          <w:szCs w:val="22"/>
        </w:rPr>
        <w:t xml:space="preserve"> cancer (ENZAMET): an international, open</w:t>
      </w:r>
      <w:r w:rsidR="00751916">
        <w:rPr>
          <w:rFonts w:ascii="Calibri" w:hAnsi="Calibri" w:cs="Calibri"/>
          <w:sz w:val="22"/>
          <w:szCs w:val="22"/>
        </w:rPr>
        <w:t xml:space="preserve"> label, </w:t>
      </w:r>
      <w:r w:rsidRPr="00376849">
        <w:rPr>
          <w:rFonts w:ascii="Calibri" w:hAnsi="Calibri" w:cs="Calibri"/>
          <w:sz w:val="22"/>
          <w:szCs w:val="22"/>
        </w:rPr>
        <w:t>randomised, phase 3 trial. Lancet Oncol 2023</w:t>
      </w:r>
      <w:proofErr w:type="gramStart"/>
      <w:r w:rsidRPr="00376849">
        <w:rPr>
          <w:rFonts w:ascii="Calibri" w:hAnsi="Calibri" w:cs="Calibri"/>
          <w:sz w:val="22"/>
          <w:szCs w:val="22"/>
        </w:rPr>
        <w:t>;24:323</w:t>
      </w:r>
      <w:proofErr w:type="gramEnd"/>
      <w:r w:rsidRPr="00376849">
        <w:rPr>
          <w:rFonts w:ascii="Calibri" w:hAnsi="Calibri" w:cs="Calibri"/>
          <w:sz w:val="22"/>
          <w:szCs w:val="22"/>
        </w:rPr>
        <w:t>–34.</w:t>
      </w:r>
    </w:p>
    <w:p w14:paraId="773E4822" w14:textId="77777777" w:rsidR="006A3AED" w:rsidRPr="00376849" w:rsidRDefault="006A3AED" w:rsidP="00376849">
      <w:pPr>
        <w:spacing w:line="276" w:lineRule="auto"/>
        <w:rPr>
          <w:rFonts w:ascii="Calibri" w:hAnsi="Calibri" w:cs="Calibri"/>
          <w:sz w:val="22"/>
          <w:szCs w:val="22"/>
        </w:rPr>
      </w:pPr>
    </w:p>
    <w:p w14:paraId="72761E16" w14:textId="6A98D9B2" w:rsidR="00376849" w:rsidRPr="00376849" w:rsidRDefault="00376849" w:rsidP="00376849">
      <w:pPr>
        <w:spacing w:line="276" w:lineRule="auto"/>
        <w:rPr>
          <w:rFonts w:ascii="Calibri" w:hAnsi="Calibri" w:cs="Calibri"/>
          <w:sz w:val="22"/>
          <w:szCs w:val="22"/>
        </w:rPr>
      </w:pPr>
      <w:r w:rsidRPr="00376849">
        <w:rPr>
          <w:rFonts w:ascii="Calibri" w:hAnsi="Calibri" w:cs="Calibri"/>
          <w:sz w:val="22"/>
          <w:szCs w:val="22"/>
        </w:rPr>
        <w:t>[67] Gu W, Han W, Luo H, et al. Rezvi</w:t>
      </w:r>
      <w:r w:rsidR="00751916">
        <w:rPr>
          <w:rFonts w:ascii="Calibri" w:hAnsi="Calibri" w:cs="Calibri"/>
          <w:sz w:val="22"/>
          <w:szCs w:val="22"/>
        </w:rPr>
        <w:t xml:space="preserve">lutamide versus bicalutamide in </w:t>
      </w:r>
      <w:r w:rsidRPr="00376849">
        <w:rPr>
          <w:rFonts w:ascii="Calibri" w:hAnsi="Calibri" w:cs="Calibri"/>
          <w:sz w:val="22"/>
          <w:szCs w:val="22"/>
        </w:rPr>
        <w:t>combination with androgen-depri</w:t>
      </w:r>
      <w:r w:rsidR="00751916">
        <w:rPr>
          <w:rFonts w:ascii="Calibri" w:hAnsi="Calibri" w:cs="Calibri"/>
          <w:sz w:val="22"/>
          <w:szCs w:val="22"/>
        </w:rPr>
        <w:t xml:space="preserve">vation therapy in patients with </w:t>
      </w:r>
      <w:r w:rsidRPr="00376849">
        <w:rPr>
          <w:rFonts w:ascii="Calibri" w:hAnsi="Calibri" w:cs="Calibri"/>
          <w:sz w:val="22"/>
          <w:szCs w:val="22"/>
        </w:rPr>
        <w:t>high-volume, metastatic, hormone-sensitive prostate cancer</w:t>
      </w:r>
    </w:p>
    <w:p w14:paraId="4F00875C" w14:textId="32178AC5" w:rsidR="00376849" w:rsidRDefault="00376849" w:rsidP="00376849">
      <w:pPr>
        <w:spacing w:line="276" w:lineRule="auto"/>
        <w:rPr>
          <w:rFonts w:ascii="Calibri" w:hAnsi="Calibri" w:cs="Calibri"/>
          <w:sz w:val="22"/>
          <w:szCs w:val="22"/>
        </w:rPr>
      </w:pPr>
      <w:r w:rsidRPr="00376849">
        <w:rPr>
          <w:rFonts w:ascii="Calibri" w:hAnsi="Calibri" w:cs="Calibri"/>
          <w:sz w:val="22"/>
          <w:szCs w:val="22"/>
        </w:rPr>
        <w:t>(CHART): a randomised, open-lab</w:t>
      </w:r>
      <w:r w:rsidR="00751916">
        <w:rPr>
          <w:rFonts w:ascii="Calibri" w:hAnsi="Calibri" w:cs="Calibri"/>
          <w:sz w:val="22"/>
          <w:szCs w:val="22"/>
        </w:rPr>
        <w:t xml:space="preserve">el, phase 3 trial. Lancet Oncol </w:t>
      </w:r>
      <w:r w:rsidRPr="00376849">
        <w:rPr>
          <w:rFonts w:ascii="Calibri" w:hAnsi="Calibri" w:cs="Calibri"/>
          <w:sz w:val="22"/>
          <w:szCs w:val="22"/>
        </w:rPr>
        <w:t>2022</w:t>
      </w:r>
      <w:proofErr w:type="gramStart"/>
      <w:r w:rsidRPr="00376849">
        <w:rPr>
          <w:rFonts w:ascii="Calibri" w:hAnsi="Calibri" w:cs="Calibri"/>
          <w:sz w:val="22"/>
          <w:szCs w:val="22"/>
        </w:rPr>
        <w:t>;23:1249</w:t>
      </w:r>
      <w:proofErr w:type="gramEnd"/>
      <w:r w:rsidRPr="00376849">
        <w:rPr>
          <w:rFonts w:ascii="Calibri" w:hAnsi="Calibri" w:cs="Calibri"/>
          <w:sz w:val="22"/>
          <w:szCs w:val="22"/>
        </w:rPr>
        <w:t>–60.</w:t>
      </w:r>
    </w:p>
    <w:p w14:paraId="4C3379D6" w14:textId="77777777" w:rsidR="006A3AED" w:rsidRPr="00376849" w:rsidRDefault="006A3AED" w:rsidP="00376849">
      <w:pPr>
        <w:spacing w:line="276" w:lineRule="auto"/>
        <w:rPr>
          <w:rFonts w:ascii="Calibri" w:hAnsi="Calibri" w:cs="Calibri"/>
          <w:sz w:val="22"/>
          <w:szCs w:val="22"/>
        </w:rPr>
      </w:pPr>
    </w:p>
    <w:p w14:paraId="1B37C1FA" w14:textId="579C0D00" w:rsidR="00376849" w:rsidRDefault="00376849" w:rsidP="00376849">
      <w:pPr>
        <w:spacing w:line="276" w:lineRule="auto"/>
        <w:rPr>
          <w:rFonts w:ascii="Calibri" w:hAnsi="Calibri" w:cs="Calibri"/>
          <w:sz w:val="22"/>
          <w:szCs w:val="22"/>
        </w:rPr>
      </w:pPr>
      <w:r w:rsidRPr="00376849">
        <w:rPr>
          <w:rFonts w:ascii="Calibri" w:hAnsi="Calibri" w:cs="Calibri"/>
          <w:sz w:val="22"/>
          <w:szCs w:val="22"/>
        </w:rPr>
        <w:t xml:space="preserve">[68] Fizazi K, Foulon S, Carles J, et </w:t>
      </w:r>
      <w:r w:rsidR="00751916">
        <w:rPr>
          <w:rFonts w:ascii="Calibri" w:hAnsi="Calibri" w:cs="Calibri"/>
          <w:sz w:val="22"/>
          <w:szCs w:val="22"/>
        </w:rPr>
        <w:t xml:space="preserve">al. Abiraterone plus prednisone </w:t>
      </w:r>
      <w:r w:rsidRPr="00376849">
        <w:rPr>
          <w:rFonts w:ascii="Calibri" w:hAnsi="Calibri" w:cs="Calibri"/>
          <w:sz w:val="22"/>
          <w:szCs w:val="22"/>
        </w:rPr>
        <w:t>added to androgen deprivation t</w:t>
      </w:r>
      <w:r w:rsidR="00751916">
        <w:rPr>
          <w:rFonts w:ascii="Calibri" w:hAnsi="Calibri" w:cs="Calibri"/>
          <w:sz w:val="22"/>
          <w:szCs w:val="22"/>
        </w:rPr>
        <w:t xml:space="preserve">herapy and docetaxel in de novo </w:t>
      </w:r>
      <w:r w:rsidRPr="00376849">
        <w:rPr>
          <w:rFonts w:ascii="Calibri" w:hAnsi="Calibri" w:cs="Calibri"/>
          <w:sz w:val="22"/>
          <w:szCs w:val="22"/>
        </w:rPr>
        <w:t>metastatic castration-sensiti</w:t>
      </w:r>
      <w:r w:rsidR="00751916">
        <w:rPr>
          <w:rFonts w:ascii="Calibri" w:hAnsi="Calibri" w:cs="Calibri"/>
          <w:sz w:val="22"/>
          <w:szCs w:val="22"/>
        </w:rPr>
        <w:t xml:space="preserve">ve prostate cancer (PEACE-1): a </w:t>
      </w:r>
      <w:r w:rsidRPr="00376849">
        <w:rPr>
          <w:rFonts w:ascii="Calibri" w:hAnsi="Calibri" w:cs="Calibri"/>
          <w:sz w:val="22"/>
          <w:szCs w:val="22"/>
        </w:rPr>
        <w:t>multicentre, open-label, randomised, phase 3 study wi</w:t>
      </w:r>
      <w:r w:rsidR="00751916">
        <w:rPr>
          <w:rFonts w:ascii="Calibri" w:hAnsi="Calibri" w:cs="Calibri"/>
          <w:sz w:val="22"/>
          <w:szCs w:val="22"/>
        </w:rPr>
        <w:t xml:space="preserve">th a 2 x 2 factorial design. Lancet </w:t>
      </w:r>
      <w:r w:rsidRPr="00376849">
        <w:rPr>
          <w:rFonts w:ascii="Calibri" w:hAnsi="Calibri" w:cs="Calibri"/>
          <w:sz w:val="22"/>
          <w:szCs w:val="22"/>
        </w:rPr>
        <w:t>2022</w:t>
      </w:r>
      <w:proofErr w:type="gramStart"/>
      <w:r w:rsidRPr="00376849">
        <w:rPr>
          <w:rFonts w:ascii="Calibri" w:hAnsi="Calibri" w:cs="Calibri"/>
          <w:sz w:val="22"/>
          <w:szCs w:val="22"/>
        </w:rPr>
        <w:t>;399:1695</w:t>
      </w:r>
      <w:proofErr w:type="gramEnd"/>
      <w:r w:rsidRPr="00376849">
        <w:rPr>
          <w:rFonts w:ascii="Calibri" w:hAnsi="Calibri" w:cs="Calibri"/>
          <w:sz w:val="22"/>
          <w:szCs w:val="22"/>
        </w:rPr>
        <w:t>–707.</w:t>
      </w:r>
    </w:p>
    <w:p w14:paraId="18ABA5E0" w14:textId="77777777" w:rsidR="006A3AED" w:rsidRPr="00376849" w:rsidRDefault="006A3AED" w:rsidP="00376849">
      <w:pPr>
        <w:spacing w:line="276" w:lineRule="auto"/>
        <w:rPr>
          <w:rFonts w:ascii="Calibri" w:hAnsi="Calibri" w:cs="Calibri"/>
          <w:sz w:val="22"/>
          <w:szCs w:val="22"/>
        </w:rPr>
      </w:pPr>
    </w:p>
    <w:p w14:paraId="73FC47F4" w14:textId="395D0682" w:rsidR="00376849" w:rsidRDefault="00376849" w:rsidP="00376849">
      <w:pPr>
        <w:spacing w:line="276" w:lineRule="auto"/>
        <w:rPr>
          <w:rFonts w:ascii="Calibri" w:hAnsi="Calibri" w:cs="Calibri"/>
          <w:sz w:val="22"/>
          <w:szCs w:val="22"/>
        </w:rPr>
      </w:pPr>
      <w:r w:rsidRPr="00376849">
        <w:rPr>
          <w:rFonts w:ascii="Calibri" w:hAnsi="Calibri" w:cs="Calibri"/>
          <w:sz w:val="22"/>
          <w:szCs w:val="22"/>
        </w:rPr>
        <w:t>[69] Smith MR, Hussain M, Saad F, et a</w:t>
      </w:r>
      <w:r w:rsidR="00751916">
        <w:rPr>
          <w:rFonts w:ascii="Calibri" w:hAnsi="Calibri" w:cs="Calibri"/>
          <w:sz w:val="22"/>
          <w:szCs w:val="22"/>
        </w:rPr>
        <w:t xml:space="preserve">l. Darolutamide and survival in </w:t>
      </w:r>
      <w:r w:rsidRPr="00376849">
        <w:rPr>
          <w:rFonts w:ascii="Calibri" w:hAnsi="Calibri" w:cs="Calibri"/>
          <w:sz w:val="22"/>
          <w:szCs w:val="22"/>
        </w:rPr>
        <w:t>metastatic, hormone-sensitiv</w:t>
      </w:r>
      <w:r w:rsidR="00751916">
        <w:rPr>
          <w:rFonts w:ascii="Calibri" w:hAnsi="Calibri" w:cs="Calibri"/>
          <w:sz w:val="22"/>
          <w:szCs w:val="22"/>
        </w:rPr>
        <w:t xml:space="preserve">e prostate cancer. N Engl J Med </w:t>
      </w:r>
      <w:r w:rsidRPr="00376849">
        <w:rPr>
          <w:rFonts w:ascii="Calibri" w:hAnsi="Calibri" w:cs="Calibri"/>
          <w:sz w:val="22"/>
          <w:szCs w:val="22"/>
        </w:rPr>
        <w:t>2022</w:t>
      </w:r>
      <w:proofErr w:type="gramStart"/>
      <w:r w:rsidRPr="00376849">
        <w:rPr>
          <w:rFonts w:ascii="Calibri" w:hAnsi="Calibri" w:cs="Calibri"/>
          <w:sz w:val="22"/>
          <w:szCs w:val="22"/>
        </w:rPr>
        <w:t>;386:1132</w:t>
      </w:r>
      <w:proofErr w:type="gramEnd"/>
      <w:r w:rsidRPr="00376849">
        <w:rPr>
          <w:rFonts w:ascii="Calibri" w:hAnsi="Calibri" w:cs="Calibri"/>
          <w:sz w:val="22"/>
          <w:szCs w:val="22"/>
        </w:rPr>
        <w:t>–42.</w:t>
      </w:r>
    </w:p>
    <w:p w14:paraId="52ACC927" w14:textId="4F4338B3" w:rsidR="00751916" w:rsidRPr="00751916" w:rsidRDefault="00751916" w:rsidP="00751916">
      <w:pPr>
        <w:spacing w:line="276" w:lineRule="auto"/>
        <w:rPr>
          <w:rFonts w:ascii="Calibri" w:hAnsi="Calibri" w:cs="Calibri"/>
          <w:sz w:val="22"/>
          <w:szCs w:val="22"/>
        </w:rPr>
      </w:pPr>
      <w:r w:rsidRPr="00751916">
        <w:rPr>
          <w:rFonts w:ascii="Calibri" w:hAnsi="Calibri" w:cs="Calibri"/>
          <w:sz w:val="22"/>
          <w:szCs w:val="22"/>
        </w:rPr>
        <w:lastRenderedPageBreak/>
        <w:t>[70] Hussain M, Tombal B, Saad F, et al. Darolutamide plus androgen</w:t>
      </w:r>
      <w:r>
        <w:rPr>
          <w:rFonts w:ascii="Calibri" w:hAnsi="Calibri" w:cs="Calibri"/>
          <w:sz w:val="22"/>
          <w:szCs w:val="22"/>
        </w:rPr>
        <w:t xml:space="preserve"> </w:t>
      </w:r>
      <w:r w:rsidRPr="00751916">
        <w:rPr>
          <w:rFonts w:ascii="Calibri" w:hAnsi="Calibri" w:cs="Calibri"/>
          <w:sz w:val="22"/>
          <w:szCs w:val="22"/>
        </w:rPr>
        <w:t>depr</w:t>
      </w:r>
      <w:r>
        <w:rPr>
          <w:rFonts w:ascii="Calibri" w:hAnsi="Calibri" w:cs="Calibri"/>
          <w:sz w:val="22"/>
          <w:szCs w:val="22"/>
        </w:rPr>
        <w:t xml:space="preserve">ivation </w:t>
      </w:r>
      <w:r w:rsidRPr="00751916">
        <w:rPr>
          <w:rFonts w:ascii="Calibri" w:hAnsi="Calibri" w:cs="Calibri"/>
          <w:sz w:val="22"/>
          <w:szCs w:val="22"/>
        </w:rPr>
        <w:t>therapy and docetaxel</w:t>
      </w:r>
      <w:r>
        <w:rPr>
          <w:rFonts w:ascii="Calibri" w:hAnsi="Calibri" w:cs="Calibri"/>
          <w:sz w:val="22"/>
          <w:szCs w:val="22"/>
        </w:rPr>
        <w:t xml:space="preserve"> in metastatic hormone sensitive </w:t>
      </w:r>
      <w:r w:rsidRPr="00751916">
        <w:rPr>
          <w:rFonts w:ascii="Calibri" w:hAnsi="Calibri" w:cs="Calibri"/>
          <w:sz w:val="22"/>
          <w:szCs w:val="22"/>
        </w:rPr>
        <w:t>prostate cancer by disease volume and risk subgroups</w:t>
      </w:r>
    </w:p>
    <w:p w14:paraId="49ADC099" w14:textId="28B20D14" w:rsidR="00751916" w:rsidRDefault="00751916" w:rsidP="00751916">
      <w:pPr>
        <w:spacing w:line="276" w:lineRule="auto"/>
        <w:rPr>
          <w:rFonts w:ascii="Calibri" w:hAnsi="Calibri" w:cs="Calibri"/>
          <w:sz w:val="22"/>
          <w:szCs w:val="22"/>
        </w:rPr>
      </w:pPr>
      <w:proofErr w:type="gramStart"/>
      <w:r w:rsidRPr="00751916">
        <w:rPr>
          <w:rFonts w:ascii="Calibri" w:hAnsi="Calibri" w:cs="Calibri"/>
          <w:sz w:val="22"/>
          <w:szCs w:val="22"/>
        </w:rPr>
        <w:t>in</w:t>
      </w:r>
      <w:proofErr w:type="gramEnd"/>
      <w:r w:rsidRPr="00751916">
        <w:rPr>
          <w:rFonts w:ascii="Calibri" w:hAnsi="Calibri" w:cs="Calibri"/>
          <w:sz w:val="22"/>
          <w:szCs w:val="22"/>
        </w:rPr>
        <w:t xml:space="preserve"> the phase III ARASENS trial. J Clin Oncol 2023</w:t>
      </w:r>
      <w:proofErr w:type="gramStart"/>
      <w:r w:rsidRPr="00751916">
        <w:rPr>
          <w:rFonts w:ascii="Calibri" w:hAnsi="Calibri" w:cs="Calibri"/>
          <w:sz w:val="22"/>
          <w:szCs w:val="22"/>
        </w:rPr>
        <w:t>;41:3595</w:t>
      </w:r>
      <w:proofErr w:type="gramEnd"/>
      <w:r w:rsidRPr="00751916">
        <w:rPr>
          <w:rFonts w:ascii="Calibri" w:hAnsi="Calibri" w:cs="Calibri"/>
          <w:sz w:val="22"/>
          <w:szCs w:val="22"/>
        </w:rPr>
        <w:t>–607.</w:t>
      </w:r>
    </w:p>
    <w:p w14:paraId="51AC818B" w14:textId="77777777" w:rsidR="006A3AED" w:rsidRPr="00751916" w:rsidRDefault="006A3AED" w:rsidP="00751916">
      <w:pPr>
        <w:spacing w:line="276" w:lineRule="auto"/>
        <w:rPr>
          <w:rFonts w:ascii="Calibri" w:hAnsi="Calibri" w:cs="Calibri"/>
          <w:sz w:val="22"/>
          <w:szCs w:val="22"/>
        </w:rPr>
      </w:pPr>
    </w:p>
    <w:p w14:paraId="0D743491" w14:textId="144DFD30" w:rsidR="00751916" w:rsidRDefault="00751916" w:rsidP="00751916">
      <w:pPr>
        <w:spacing w:line="276" w:lineRule="auto"/>
        <w:rPr>
          <w:rFonts w:ascii="Calibri" w:hAnsi="Calibri" w:cs="Calibri"/>
          <w:sz w:val="22"/>
          <w:szCs w:val="22"/>
        </w:rPr>
      </w:pPr>
      <w:r w:rsidRPr="00751916">
        <w:rPr>
          <w:rFonts w:ascii="Calibri" w:hAnsi="Calibri" w:cs="Calibri"/>
          <w:sz w:val="22"/>
          <w:szCs w:val="22"/>
        </w:rPr>
        <w:t>[71] Parker CC, James ND, Brawley</w:t>
      </w:r>
      <w:r>
        <w:rPr>
          <w:rFonts w:ascii="Calibri" w:hAnsi="Calibri" w:cs="Calibri"/>
          <w:sz w:val="22"/>
          <w:szCs w:val="22"/>
        </w:rPr>
        <w:t xml:space="preserve"> CD, et al. Radiotherapy to the </w:t>
      </w:r>
      <w:r w:rsidRPr="00751916">
        <w:rPr>
          <w:rFonts w:ascii="Calibri" w:hAnsi="Calibri" w:cs="Calibri"/>
          <w:sz w:val="22"/>
          <w:szCs w:val="22"/>
        </w:rPr>
        <w:t>prostate for men with metastati</w:t>
      </w:r>
      <w:r>
        <w:rPr>
          <w:rFonts w:ascii="Calibri" w:hAnsi="Calibri" w:cs="Calibri"/>
          <w:sz w:val="22"/>
          <w:szCs w:val="22"/>
        </w:rPr>
        <w:t xml:space="preserve">c prostate cancer in the UK and </w:t>
      </w:r>
      <w:r w:rsidRPr="00751916">
        <w:rPr>
          <w:rFonts w:ascii="Calibri" w:hAnsi="Calibri" w:cs="Calibri"/>
          <w:sz w:val="22"/>
          <w:szCs w:val="22"/>
        </w:rPr>
        <w:t>Switzerland: long-term resul</w:t>
      </w:r>
      <w:r>
        <w:rPr>
          <w:rFonts w:ascii="Calibri" w:hAnsi="Calibri" w:cs="Calibri"/>
          <w:sz w:val="22"/>
          <w:szCs w:val="22"/>
        </w:rPr>
        <w:t xml:space="preserve">ts from the STAMPEDE randomised </w:t>
      </w:r>
      <w:r w:rsidRPr="00751916">
        <w:rPr>
          <w:rFonts w:ascii="Calibri" w:hAnsi="Calibri" w:cs="Calibri"/>
          <w:sz w:val="22"/>
          <w:szCs w:val="22"/>
        </w:rPr>
        <w:t>controlled trial. PLoS Med 2022</w:t>
      </w:r>
      <w:proofErr w:type="gramStart"/>
      <w:r w:rsidRPr="00751916">
        <w:rPr>
          <w:rFonts w:ascii="Calibri" w:hAnsi="Calibri" w:cs="Calibri"/>
          <w:sz w:val="22"/>
          <w:szCs w:val="22"/>
        </w:rPr>
        <w:t>;19:e1003998</w:t>
      </w:r>
      <w:proofErr w:type="gramEnd"/>
      <w:r w:rsidRPr="00751916">
        <w:rPr>
          <w:rFonts w:ascii="Calibri" w:hAnsi="Calibri" w:cs="Calibri"/>
          <w:sz w:val="22"/>
          <w:szCs w:val="22"/>
        </w:rPr>
        <w:t>.</w:t>
      </w:r>
    </w:p>
    <w:p w14:paraId="0EF6DD6D" w14:textId="77777777" w:rsidR="006A3AED" w:rsidRPr="00751916" w:rsidRDefault="006A3AED" w:rsidP="00751916">
      <w:pPr>
        <w:spacing w:line="276" w:lineRule="auto"/>
        <w:rPr>
          <w:rFonts w:ascii="Calibri" w:hAnsi="Calibri" w:cs="Calibri"/>
          <w:sz w:val="22"/>
          <w:szCs w:val="22"/>
        </w:rPr>
      </w:pPr>
    </w:p>
    <w:p w14:paraId="4B161D81" w14:textId="34733899" w:rsidR="00751916" w:rsidRDefault="00751916" w:rsidP="00751916">
      <w:pPr>
        <w:spacing w:line="276" w:lineRule="auto"/>
        <w:rPr>
          <w:rFonts w:ascii="Calibri" w:hAnsi="Calibri" w:cs="Calibri"/>
          <w:sz w:val="22"/>
          <w:szCs w:val="22"/>
        </w:rPr>
      </w:pPr>
      <w:r w:rsidRPr="00751916">
        <w:rPr>
          <w:rFonts w:ascii="Calibri" w:hAnsi="Calibri" w:cs="Calibri"/>
          <w:sz w:val="22"/>
          <w:szCs w:val="22"/>
        </w:rPr>
        <w:t>[72] Ali A, Hoyle A, Haran AM, et al.</w:t>
      </w:r>
      <w:r>
        <w:rPr>
          <w:rFonts w:ascii="Calibri" w:hAnsi="Calibri" w:cs="Calibri"/>
          <w:sz w:val="22"/>
          <w:szCs w:val="22"/>
        </w:rPr>
        <w:t xml:space="preserve"> Association of bone metastatic </w:t>
      </w:r>
      <w:r w:rsidRPr="00751916">
        <w:rPr>
          <w:rFonts w:ascii="Calibri" w:hAnsi="Calibri" w:cs="Calibri"/>
          <w:sz w:val="22"/>
          <w:szCs w:val="22"/>
        </w:rPr>
        <w:t>burden with survival benefit from</w:t>
      </w:r>
      <w:r>
        <w:rPr>
          <w:rFonts w:ascii="Calibri" w:hAnsi="Calibri" w:cs="Calibri"/>
          <w:sz w:val="22"/>
          <w:szCs w:val="22"/>
        </w:rPr>
        <w:t xml:space="preserve"> prostate radiotherapy in </w:t>
      </w:r>
      <w:r w:rsidRPr="00751916">
        <w:rPr>
          <w:rFonts w:ascii="Calibri" w:hAnsi="Calibri" w:cs="Calibri"/>
          <w:sz w:val="22"/>
          <w:szCs w:val="22"/>
        </w:rPr>
        <w:t>patients with newly diagnose</w:t>
      </w:r>
      <w:r>
        <w:rPr>
          <w:rFonts w:ascii="Calibri" w:hAnsi="Calibri" w:cs="Calibri"/>
          <w:sz w:val="22"/>
          <w:szCs w:val="22"/>
        </w:rPr>
        <w:t xml:space="preserve">d metastatic prostate cancer: a </w:t>
      </w:r>
      <w:r w:rsidRPr="00751916">
        <w:rPr>
          <w:rFonts w:ascii="Calibri" w:hAnsi="Calibri" w:cs="Calibri"/>
          <w:sz w:val="22"/>
          <w:szCs w:val="22"/>
        </w:rPr>
        <w:t>secondary analysis of a random</w:t>
      </w:r>
      <w:r>
        <w:rPr>
          <w:rFonts w:ascii="Calibri" w:hAnsi="Calibri" w:cs="Calibri"/>
          <w:sz w:val="22"/>
          <w:szCs w:val="22"/>
        </w:rPr>
        <w:t xml:space="preserve">ized clinical trial. JAMA Oncol </w:t>
      </w:r>
      <w:r w:rsidRPr="00751916">
        <w:rPr>
          <w:rFonts w:ascii="Calibri" w:hAnsi="Calibri" w:cs="Calibri"/>
          <w:sz w:val="22"/>
          <w:szCs w:val="22"/>
        </w:rPr>
        <w:t>2021</w:t>
      </w:r>
      <w:proofErr w:type="gramStart"/>
      <w:r w:rsidRPr="00751916">
        <w:rPr>
          <w:rFonts w:ascii="Calibri" w:hAnsi="Calibri" w:cs="Calibri"/>
          <w:sz w:val="22"/>
          <w:szCs w:val="22"/>
        </w:rPr>
        <w:t>;7:555</w:t>
      </w:r>
      <w:proofErr w:type="gramEnd"/>
      <w:r w:rsidRPr="00751916">
        <w:rPr>
          <w:rFonts w:ascii="Calibri" w:hAnsi="Calibri" w:cs="Calibri"/>
          <w:sz w:val="22"/>
          <w:szCs w:val="22"/>
        </w:rPr>
        <w:t>–63.</w:t>
      </w:r>
    </w:p>
    <w:p w14:paraId="434F22DE" w14:textId="77777777" w:rsidR="006A3AED" w:rsidRPr="00751916" w:rsidRDefault="006A3AED" w:rsidP="00751916">
      <w:pPr>
        <w:spacing w:line="276" w:lineRule="auto"/>
        <w:rPr>
          <w:rFonts w:ascii="Calibri" w:hAnsi="Calibri" w:cs="Calibri"/>
          <w:sz w:val="22"/>
          <w:szCs w:val="22"/>
        </w:rPr>
      </w:pPr>
    </w:p>
    <w:p w14:paraId="65B872FC" w14:textId="35F8AECB" w:rsidR="00751916" w:rsidRPr="00751916" w:rsidRDefault="00751916" w:rsidP="00751916">
      <w:pPr>
        <w:spacing w:line="276" w:lineRule="auto"/>
        <w:rPr>
          <w:rFonts w:ascii="Calibri" w:hAnsi="Calibri" w:cs="Calibri"/>
          <w:sz w:val="22"/>
          <w:szCs w:val="22"/>
        </w:rPr>
      </w:pPr>
      <w:r w:rsidRPr="00751916">
        <w:rPr>
          <w:rFonts w:ascii="Calibri" w:hAnsi="Calibri" w:cs="Calibri"/>
          <w:sz w:val="22"/>
          <w:szCs w:val="22"/>
        </w:rPr>
        <w:t>[73] Burdett S, Boeve LM, Ingleby FC, e</w:t>
      </w:r>
      <w:r>
        <w:rPr>
          <w:rFonts w:ascii="Calibri" w:hAnsi="Calibri" w:cs="Calibri"/>
          <w:sz w:val="22"/>
          <w:szCs w:val="22"/>
        </w:rPr>
        <w:t xml:space="preserve">t al. Prostate radiotherapy for </w:t>
      </w:r>
      <w:r w:rsidRPr="00751916">
        <w:rPr>
          <w:rFonts w:ascii="Calibri" w:hAnsi="Calibri" w:cs="Calibri"/>
          <w:sz w:val="22"/>
          <w:szCs w:val="22"/>
        </w:rPr>
        <w:t>metastatic hormone-sensi</w:t>
      </w:r>
      <w:r>
        <w:rPr>
          <w:rFonts w:ascii="Calibri" w:hAnsi="Calibri" w:cs="Calibri"/>
          <w:sz w:val="22"/>
          <w:szCs w:val="22"/>
        </w:rPr>
        <w:t xml:space="preserve">tive prostate cancer: a STOPCAP </w:t>
      </w:r>
      <w:r w:rsidRPr="00751916">
        <w:rPr>
          <w:rFonts w:ascii="Calibri" w:hAnsi="Calibri" w:cs="Calibri"/>
          <w:sz w:val="22"/>
          <w:szCs w:val="22"/>
        </w:rPr>
        <w:t>systematic review and meta-analysis. Eur Urol 2019</w:t>
      </w:r>
      <w:proofErr w:type="gramStart"/>
      <w:r w:rsidRPr="00751916">
        <w:rPr>
          <w:rFonts w:ascii="Calibri" w:hAnsi="Calibri" w:cs="Calibri"/>
          <w:sz w:val="22"/>
          <w:szCs w:val="22"/>
        </w:rPr>
        <w:t>;76:115</w:t>
      </w:r>
      <w:proofErr w:type="gramEnd"/>
      <w:r w:rsidRPr="00751916">
        <w:rPr>
          <w:rFonts w:ascii="Calibri" w:hAnsi="Calibri" w:cs="Calibri"/>
          <w:sz w:val="22"/>
          <w:szCs w:val="22"/>
        </w:rPr>
        <w:t>–24.</w:t>
      </w:r>
    </w:p>
    <w:p w14:paraId="27BDACC7" w14:textId="06A2AE4F" w:rsidR="00751916" w:rsidRDefault="00751916" w:rsidP="00751916">
      <w:pPr>
        <w:spacing w:line="276" w:lineRule="auto"/>
        <w:rPr>
          <w:rFonts w:ascii="Calibri" w:hAnsi="Calibri" w:cs="Calibri"/>
          <w:sz w:val="22"/>
          <w:szCs w:val="22"/>
        </w:rPr>
      </w:pPr>
      <w:r w:rsidRPr="00751916">
        <w:rPr>
          <w:rFonts w:ascii="Calibri" w:hAnsi="Calibri" w:cs="Calibri"/>
          <w:sz w:val="22"/>
          <w:szCs w:val="22"/>
        </w:rPr>
        <w:t>[74] Ost P, Reynders D, Decaest</w:t>
      </w:r>
      <w:r>
        <w:rPr>
          <w:rFonts w:ascii="Calibri" w:hAnsi="Calibri" w:cs="Calibri"/>
          <w:sz w:val="22"/>
          <w:szCs w:val="22"/>
        </w:rPr>
        <w:t xml:space="preserve">ecker K, et al. Surveillance or </w:t>
      </w:r>
      <w:r w:rsidRPr="00751916">
        <w:rPr>
          <w:rFonts w:ascii="Calibri" w:hAnsi="Calibri" w:cs="Calibri"/>
          <w:sz w:val="22"/>
          <w:szCs w:val="22"/>
        </w:rPr>
        <w:t xml:space="preserve">metastasis-directed therapy for </w:t>
      </w:r>
      <w:r>
        <w:rPr>
          <w:rFonts w:ascii="Calibri" w:hAnsi="Calibri" w:cs="Calibri"/>
          <w:sz w:val="22"/>
          <w:szCs w:val="22"/>
        </w:rPr>
        <w:t xml:space="preserve">oligometastatic prostate cancer </w:t>
      </w:r>
      <w:r w:rsidRPr="00751916">
        <w:rPr>
          <w:rFonts w:ascii="Calibri" w:hAnsi="Calibri" w:cs="Calibri"/>
          <w:sz w:val="22"/>
          <w:szCs w:val="22"/>
        </w:rPr>
        <w:t>recurrence: a prospective, randomized</w:t>
      </w:r>
      <w:r>
        <w:rPr>
          <w:rFonts w:ascii="Calibri" w:hAnsi="Calibri" w:cs="Calibri"/>
          <w:sz w:val="22"/>
          <w:szCs w:val="22"/>
        </w:rPr>
        <w:t xml:space="preserve">, multicenter phase II trial. J </w:t>
      </w:r>
      <w:r w:rsidRPr="00751916">
        <w:rPr>
          <w:rFonts w:ascii="Calibri" w:hAnsi="Calibri" w:cs="Calibri"/>
          <w:sz w:val="22"/>
          <w:szCs w:val="22"/>
        </w:rPr>
        <w:t>Clin Oncol 2018</w:t>
      </w:r>
      <w:proofErr w:type="gramStart"/>
      <w:r w:rsidRPr="00751916">
        <w:rPr>
          <w:rFonts w:ascii="Calibri" w:hAnsi="Calibri" w:cs="Calibri"/>
          <w:sz w:val="22"/>
          <w:szCs w:val="22"/>
        </w:rPr>
        <w:t>;36:446</w:t>
      </w:r>
      <w:proofErr w:type="gramEnd"/>
      <w:r w:rsidRPr="00751916">
        <w:rPr>
          <w:rFonts w:ascii="Calibri" w:hAnsi="Calibri" w:cs="Calibri"/>
          <w:sz w:val="22"/>
          <w:szCs w:val="22"/>
        </w:rPr>
        <w:t>–53.</w:t>
      </w:r>
    </w:p>
    <w:p w14:paraId="2A05B23D" w14:textId="77777777" w:rsidR="006A3AED" w:rsidRPr="00751916" w:rsidRDefault="006A3AED" w:rsidP="00751916">
      <w:pPr>
        <w:spacing w:line="276" w:lineRule="auto"/>
        <w:rPr>
          <w:rFonts w:ascii="Calibri" w:hAnsi="Calibri" w:cs="Calibri"/>
          <w:sz w:val="22"/>
          <w:szCs w:val="22"/>
        </w:rPr>
      </w:pPr>
    </w:p>
    <w:p w14:paraId="632394BD" w14:textId="4F644FD2" w:rsidR="00751916" w:rsidRPr="00751916" w:rsidRDefault="00751916" w:rsidP="00751916">
      <w:pPr>
        <w:spacing w:line="276" w:lineRule="auto"/>
        <w:rPr>
          <w:rFonts w:ascii="Calibri" w:hAnsi="Calibri" w:cs="Calibri"/>
          <w:sz w:val="22"/>
          <w:szCs w:val="22"/>
        </w:rPr>
      </w:pPr>
      <w:r w:rsidRPr="00751916">
        <w:rPr>
          <w:rFonts w:ascii="Calibri" w:hAnsi="Calibri" w:cs="Calibri"/>
          <w:sz w:val="22"/>
          <w:szCs w:val="22"/>
        </w:rPr>
        <w:t xml:space="preserve">[75] Phillips R, Shi WY, </w:t>
      </w:r>
      <w:proofErr w:type="gramStart"/>
      <w:r w:rsidRPr="00751916">
        <w:rPr>
          <w:rFonts w:ascii="Calibri" w:hAnsi="Calibri" w:cs="Calibri"/>
          <w:sz w:val="22"/>
          <w:szCs w:val="22"/>
        </w:rPr>
        <w:t>Deek</w:t>
      </w:r>
      <w:proofErr w:type="gramEnd"/>
      <w:r w:rsidRPr="00751916">
        <w:rPr>
          <w:rFonts w:ascii="Calibri" w:hAnsi="Calibri" w:cs="Calibri"/>
          <w:sz w:val="22"/>
          <w:szCs w:val="22"/>
        </w:rPr>
        <w:t xml:space="preserve"> M, et</w:t>
      </w:r>
      <w:r>
        <w:rPr>
          <w:rFonts w:ascii="Calibri" w:hAnsi="Calibri" w:cs="Calibri"/>
          <w:sz w:val="22"/>
          <w:szCs w:val="22"/>
        </w:rPr>
        <w:t xml:space="preserve"> al. Outcomes of observation vs </w:t>
      </w:r>
      <w:r w:rsidRPr="00751916">
        <w:rPr>
          <w:rFonts w:ascii="Calibri" w:hAnsi="Calibri" w:cs="Calibri"/>
          <w:sz w:val="22"/>
          <w:szCs w:val="22"/>
        </w:rPr>
        <w:t>stereotactic ablative radiation for o</w:t>
      </w:r>
      <w:r>
        <w:rPr>
          <w:rFonts w:ascii="Calibri" w:hAnsi="Calibri" w:cs="Calibri"/>
          <w:sz w:val="22"/>
          <w:szCs w:val="22"/>
        </w:rPr>
        <w:t xml:space="preserve">ligometastatic prostate cancer: </w:t>
      </w:r>
      <w:r w:rsidRPr="00751916">
        <w:rPr>
          <w:rFonts w:ascii="Calibri" w:hAnsi="Calibri" w:cs="Calibri"/>
          <w:sz w:val="22"/>
          <w:szCs w:val="22"/>
        </w:rPr>
        <w:t>the ORIOLE phase 2 randomized clinical trial. JAMA Oncol</w:t>
      </w:r>
    </w:p>
    <w:p w14:paraId="670DF55E" w14:textId="73817CDC" w:rsidR="00751916" w:rsidRDefault="00751916" w:rsidP="00751916">
      <w:pPr>
        <w:spacing w:line="276" w:lineRule="auto"/>
        <w:rPr>
          <w:rFonts w:ascii="Calibri" w:hAnsi="Calibri" w:cs="Calibri"/>
          <w:sz w:val="22"/>
          <w:szCs w:val="22"/>
        </w:rPr>
      </w:pPr>
      <w:r w:rsidRPr="00751916">
        <w:rPr>
          <w:rFonts w:ascii="Calibri" w:hAnsi="Calibri" w:cs="Calibri"/>
          <w:sz w:val="22"/>
          <w:szCs w:val="22"/>
        </w:rPr>
        <w:t>2020</w:t>
      </w:r>
      <w:proofErr w:type="gramStart"/>
      <w:r w:rsidRPr="00751916">
        <w:rPr>
          <w:rFonts w:ascii="Calibri" w:hAnsi="Calibri" w:cs="Calibri"/>
          <w:sz w:val="22"/>
          <w:szCs w:val="22"/>
        </w:rPr>
        <w:t>;6:650</w:t>
      </w:r>
      <w:proofErr w:type="gramEnd"/>
      <w:r w:rsidRPr="00751916">
        <w:rPr>
          <w:rFonts w:ascii="Calibri" w:hAnsi="Calibri" w:cs="Calibri"/>
          <w:sz w:val="22"/>
          <w:szCs w:val="22"/>
        </w:rPr>
        <w:t>–9.</w:t>
      </w:r>
    </w:p>
    <w:p w14:paraId="49A00865" w14:textId="77777777" w:rsidR="006A3AED" w:rsidRPr="00751916" w:rsidRDefault="006A3AED" w:rsidP="00751916">
      <w:pPr>
        <w:spacing w:line="276" w:lineRule="auto"/>
        <w:rPr>
          <w:rFonts w:ascii="Calibri" w:hAnsi="Calibri" w:cs="Calibri"/>
          <w:sz w:val="22"/>
          <w:szCs w:val="22"/>
        </w:rPr>
      </w:pPr>
    </w:p>
    <w:p w14:paraId="5D4FD642" w14:textId="46FC8A24" w:rsidR="00751916" w:rsidRDefault="00751916" w:rsidP="00751916">
      <w:pPr>
        <w:spacing w:line="276" w:lineRule="auto"/>
        <w:rPr>
          <w:rFonts w:ascii="Calibri" w:hAnsi="Calibri" w:cs="Calibri"/>
          <w:sz w:val="22"/>
          <w:szCs w:val="22"/>
        </w:rPr>
      </w:pPr>
      <w:r w:rsidRPr="00751916">
        <w:rPr>
          <w:rFonts w:ascii="Calibri" w:hAnsi="Calibri" w:cs="Calibri"/>
          <w:sz w:val="22"/>
          <w:szCs w:val="22"/>
        </w:rPr>
        <w:t>[76] Deek MP, Van der Eecken K, Sute</w:t>
      </w:r>
      <w:r>
        <w:rPr>
          <w:rFonts w:ascii="Calibri" w:hAnsi="Calibri" w:cs="Calibri"/>
          <w:sz w:val="22"/>
          <w:szCs w:val="22"/>
        </w:rPr>
        <w:t xml:space="preserve">ra P, et al. Long-term outcomes </w:t>
      </w:r>
      <w:r w:rsidRPr="00751916">
        <w:rPr>
          <w:rFonts w:ascii="Calibri" w:hAnsi="Calibri" w:cs="Calibri"/>
          <w:sz w:val="22"/>
          <w:szCs w:val="22"/>
        </w:rPr>
        <w:t>and genetic predictors of response</w:t>
      </w:r>
      <w:r>
        <w:rPr>
          <w:rFonts w:ascii="Calibri" w:hAnsi="Calibri" w:cs="Calibri"/>
          <w:sz w:val="22"/>
          <w:szCs w:val="22"/>
        </w:rPr>
        <w:t xml:space="preserve"> to metastasis-directed therapy </w:t>
      </w:r>
      <w:r w:rsidRPr="00751916">
        <w:rPr>
          <w:rFonts w:ascii="Calibri" w:hAnsi="Calibri" w:cs="Calibri"/>
          <w:sz w:val="22"/>
          <w:szCs w:val="22"/>
        </w:rPr>
        <w:t>versus observation in oligometastat</w:t>
      </w:r>
      <w:r>
        <w:rPr>
          <w:rFonts w:ascii="Calibri" w:hAnsi="Calibri" w:cs="Calibri"/>
          <w:sz w:val="22"/>
          <w:szCs w:val="22"/>
        </w:rPr>
        <w:t xml:space="preserve">ic prostate cancer: analysis of </w:t>
      </w:r>
      <w:r w:rsidRPr="00751916">
        <w:rPr>
          <w:rFonts w:ascii="Calibri" w:hAnsi="Calibri" w:cs="Calibri"/>
          <w:sz w:val="22"/>
          <w:szCs w:val="22"/>
        </w:rPr>
        <w:t>STOMP and ORIOLE trials. J Clin Oncol 2022</w:t>
      </w:r>
      <w:proofErr w:type="gramStart"/>
      <w:r w:rsidRPr="00751916">
        <w:rPr>
          <w:rFonts w:ascii="Calibri" w:hAnsi="Calibri" w:cs="Calibri"/>
          <w:sz w:val="22"/>
          <w:szCs w:val="22"/>
        </w:rPr>
        <w:t>;40:3377</w:t>
      </w:r>
      <w:proofErr w:type="gramEnd"/>
      <w:r w:rsidRPr="00751916">
        <w:rPr>
          <w:rFonts w:ascii="Calibri" w:hAnsi="Calibri" w:cs="Calibri"/>
          <w:sz w:val="22"/>
          <w:szCs w:val="22"/>
        </w:rPr>
        <w:t>–82.</w:t>
      </w:r>
    </w:p>
    <w:p w14:paraId="614C5F44" w14:textId="77777777" w:rsidR="006A3AED" w:rsidRPr="00751916" w:rsidRDefault="006A3AED" w:rsidP="00751916">
      <w:pPr>
        <w:spacing w:line="276" w:lineRule="auto"/>
        <w:rPr>
          <w:rFonts w:ascii="Calibri" w:hAnsi="Calibri" w:cs="Calibri"/>
          <w:sz w:val="22"/>
          <w:szCs w:val="22"/>
        </w:rPr>
      </w:pPr>
    </w:p>
    <w:p w14:paraId="53723527" w14:textId="0DDB6020" w:rsidR="00751916" w:rsidRDefault="00751916" w:rsidP="00751916">
      <w:pPr>
        <w:spacing w:line="276" w:lineRule="auto"/>
        <w:rPr>
          <w:rFonts w:ascii="Calibri" w:hAnsi="Calibri" w:cs="Calibri"/>
          <w:sz w:val="22"/>
          <w:szCs w:val="22"/>
        </w:rPr>
      </w:pPr>
      <w:r w:rsidRPr="00751916">
        <w:rPr>
          <w:rFonts w:ascii="Calibri" w:hAnsi="Calibri" w:cs="Calibri"/>
          <w:sz w:val="22"/>
          <w:szCs w:val="22"/>
        </w:rPr>
        <w:t xml:space="preserve">[77] Glicksman RM, Metser U, </w:t>
      </w:r>
      <w:r>
        <w:rPr>
          <w:rFonts w:ascii="Calibri" w:hAnsi="Calibri" w:cs="Calibri"/>
          <w:sz w:val="22"/>
          <w:szCs w:val="22"/>
        </w:rPr>
        <w:t xml:space="preserve">Vines D, et al. Curative-intent </w:t>
      </w:r>
      <w:r w:rsidRPr="00751916">
        <w:rPr>
          <w:rFonts w:ascii="Calibri" w:hAnsi="Calibri" w:cs="Calibri"/>
          <w:sz w:val="22"/>
          <w:szCs w:val="22"/>
        </w:rPr>
        <w:t>metastasis-directed th</w:t>
      </w:r>
      <w:r>
        <w:rPr>
          <w:rFonts w:ascii="Calibri" w:hAnsi="Calibri" w:cs="Calibri"/>
          <w:sz w:val="22"/>
          <w:szCs w:val="22"/>
        </w:rPr>
        <w:t xml:space="preserve">erapies for molecularly-defined </w:t>
      </w:r>
      <w:r w:rsidRPr="00751916">
        <w:rPr>
          <w:rFonts w:ascii="Calibri" w:hAnsi="Calibri" w:cs="Calibri"/>
          <w:sz w:val="22"/>
          <w:szCs w:val="22"/>
        </w:rPr>
        <w:t>oligorecurrent prostate cance</w:t>
      </w:r>
      <w:r w:rsidR="006A3AED">
        <w:rPr>
          <w:rFonts w:ascii="Calibri" w:hAnsi="Calibri" w:cs="Calibri"/>
          <w:sz w:val="22"/>
          <w:szCs w:val="22"/>
        </w:rPr>
        <w:t xml:space="preserve">r: a prospective phase II trial </w:t>
      </w:r>
      <w:r w:rsidRPr="00751916">
        <w:rPr>
          <w:rFonts w:ascii="Calibri" w:hAnsi="Calibri" w:cs="Calibri"/>
          <w:sz w:val="22"/>
          <w:szCs w:val="22"/>
        </w:rPr>
        <w:t>testing the oligometastasis hypothesis. Eur Urol 2021</w:t>
      </w:r>
      <w:proofErr w:type="gramStart"/>
      <w:r w:rsidRPr="00751916">
        <w:rPr>
          <w:rFonts w:ascii="Calibri" w:hAnsi="Calibri" w:cs="Calibri"/>
          <w:sz w:val="22"/>
          <w:szCs w:val="22"/>
        </w:rPr>
        <w:t>;80:374</w:t>
      </w:r>
      <w:proofErr w:type="gramEnd"/>
      <w:r w:rsidRPr="00751916">
        <w:rPr>
          <w:rFonts w:ascii="Calibri" w:hAnsi="Calibri" w:cs="Calibri"/>
          <w:sz w:val="22"/>
          <w:szCs w:val="22"/>
        </w:rPr>
        <w:t>–82.</w:t>
      </w:r>
    </w:p>
    <w:p w14:paraId="34035D87" w14:textId="77777777" w:rsidR="006A3AED" w:rsidRPr="00751916" w:rsidRDefault="006A3AED" w:rsidP="00751916">
      <w:pPr>
        <w:spacing w:line="276" w:lineRule="auto"/>
        <w:rPr>
          <w:rFonts w:ascii="Calibri" w:hAnsi="Calibri" w:cs="Calibri"/>
          <w:sz w:val="22"/>
          <w:szCs w:val="22"/>
        </w:rPr>
      </w:pPr>
    </w:p>
    <w:p w14:paraId="14E8124A" w14:textId="438C5235" w:rsidR="00751916" w:rsidRDefault="00751916" w:rsidP="00751916">
      <w:pPr>
        <w:spacing w:line="276" w:lineRule="auto"/>
        <w:rPr>
          <w:rFonts w:ascii="Calibri" w:hAnsi="Calibri" w:cs="Calibri"/>
          <w:sz w:val="22"/>
          <w:szCs w:val="22"/>
        </w:rPr>
      </w:pPr>
      <w:r w:rsidRPr="00751916">
        <w:rPr>
          <w:rFonts w:ascii="Calibri" w:hAnsi="Calibri" w:cs="Calibri"/>
          <w:sz w:val="22"/>
          <w:szCs w:val="22"/>
        </w:rPr>
        <w:t>[78] Battaglia A, De Meerleer G, Tosco L, et al. Novel insights into the</w:t>
      </w:r>
      <w:r>
        <w:rPr>
          <w:rFonts w:ascii="Calibri" w:hAnsi="Calibri" w:cs="Calibri"/>
          <w:sz w:val="22"/>
          <w:szCs w:val="22"/>
        </w:rPr>
        <w:t xml:space="preserve"> management of </w:t>
      </w:r>
      <w:r w:rsidRPr="00751916">
        <w:rPr>
          <w:rFonts w:ascii="Calibri" w:hAnsi="Calibri" w:cs="Calibri"/>
          <w:sz w:val="22"/>
          <w:szCs w:val="22"/>
        </w:rPr>
        <w:t>oligometastatic p</w:t>
      </w:r>
      <w:r>
        <w:rPr>
          <w:rFonts w:ascii="Calibri" w:hAnsi="Calibri" w:cs="Calibri"/>
          <w:sz w:val="22"/>
          <w:szCs w:val="22"/>
        </w:rPr>
        <w:t xml:space="preserve">rostate cancer: a comprehensive </w:t>
      </w:r>
      <w:r w:rsidRPr="00751916">
        <w:rPr>
          <w:rFonts w:ascii="Calibri" w:hAnsi="Calibri" w:cs="Calibri"/>
          <w:sz w:val="22"/>
          <w:szCs w:val="22"/>
        </w:rPr>
        <w:t>review. Eur Urol Oncol 2019</w:t>
      </w:r>
      <w:proofErr w:type="gramStart"/>
      <w:r w:rsidRPr="00751916">
        <w:rPr>
          <w:rFonts w:ascii="Calibri" w:hAnsi="Calibri" w:cs="Calibri"/>
          <w:sz w:val="22"/>
          <w:szCs w:val="22"/>
        </w:rPr>
        <w:t>;2:174</w:t>
      </w:r>
      <w:proofErr w:type="gramEnd"/>
      <w:r w:rsidRPr="00751916">
        <w:rPr>
          <w:rFonts w:ascii="Calibri" w:hAnsi="Calibri" w:cs="Calibri"/>
          <w:sz w:val="22"/>
          <w:szCs w:val="22"/>
        </w:rPr>
        <w:t>–88.</w:t>
      </w:r>
    </w:p>
    <w:p w14:paraId="793AA426" w14:textId="77777777" w:rsidR="006A3AED" w:rsidRPr="00751916" w:rsidRDefault="006A3AED" w:rsidP="00751916">
      <w:pPr>
        <w:spacing w:line="276" w:lineRule="auto"/>
        <w:rPr>
          <w:rFonts w:ascii="Calibri" w:hAnsi="Calibri" w:cs="Calibri"/>
          <w:sz w:val="22"/>
          <w:szCs w:val="22"/>
        </w:rPr>
      </w:pPr>
    </w:p>
    <w:p w14:paraId="1B2B593B" w14:textId="767AF135" w:rsidR="00751916" w:rsidRDefault="00751916" w:rsidP="00751916">
      <w:pPr>
        <w:spacing w:line="276" w:lineRule="auto"/>
        <w:rPr>
          <w:rFonts w:ascii="Calibri" w:hAnsi="Calibri" w:cs="Calibri"/>
          <w:sz w:val="22"/>
          <w:szCs w:val="22"/>
        </w:rPr>
      </w:pPr>
      <w:r w:rsidRPr="00751916">
        <w:rPr>
          <w:rFonts w:ascii="Calibri" w:hAnsi="Calibri" w:cs="Calibri"/>
          <w:sz w:val="22"/>
          <w:szCs w:val="22"/>
        </w:rPr>
        <w:t xml:space="preserve">[79] Connor MJ, Smith A, Miah S, et al. Targeting </w:t>
      </w:r>
      <w:r>
        <w:rPr>
          <w:rFonts w:ascii="Calibri" w:hAnsi="Calibri" w:cs="Calibri"/>
          <w:sz w:val="22"/>
          <w:szCs w:val="22"/>
        </w:rPr>
        <w:t xml:space="preserve">oligometastasis with </w:t>
      </w:r>
      <w:r w:rsidRPr="00751916">
        <w:rPr>
          <w:rFonts w:ascii="Calibri" w:hAnsi="Calibri" w:cs="Calibri"/>
          <w:sz w:val="22"/>
          <w:szCs w:val="22"/>
        </w:rPr>
        <w:t>stereotactic ablative radiation t</w:t>
      </w:r>
      <w:r>
        <w:rPr>
          <w:rFonts w:ascii="Calibri" w:hAnsi="Calibri" w:cs="Calibri"/>
          <w:sz w:val="22"/>
          <w:szCs w:val="22"/>
        </w:rPr>
        <w:t xml:space="preserve">herapy or surgery in metastatic </w:t>
      </w:r>
      <w:r w:rsidRPr="00751916">
        <w:rPr>
          <w:rFonts w:ascii="Calibri" w:hAnsi="Calibri" w:cs="Calibri"/>
          <w:sz w:val="22"/>
          <w:szCs w:val="22"/>
        </w:rPr>
        <w:t>hormone-sensitive prostate</w:t>
      </w:r>
      <w:r>
        <w:rPr>
          <w:rFonts w:ascii="Calibri" w:hAnsi="Calibri" w:cs="Calibri"/>
          <w:sz w:val="22"/>
          <w:szCs w:val="22"/>
        </w:rPr>
        <w:t xml:space="preserve"> cancer: a systematic review of </w:t>
      </w:r>
      <w:r w:rsidRPr="00751916">
        <w:rPr>
          <w:rFonts w:ascii="Calibri" w:hAnsi="Calibri" w:cs="Calibri"/>
          <w:sz w:val="22"/>
          <w:szCs w:val="22"/>
        </w:rPr>
        <w:t>prospective clinical trials</w:t>
      </w:r>
      <w:r>
        <w:rPr>
          <w:rFonts w:ascii="Calibri" w:hAnsi="Calibri" w:cs="Calibri"/>
          <w:sz w:val="22"/>
          <w:szCs w:val="22"/>
        </w:rPr>
        <w:t>. Eur Urol Oncol 2020</w:t>
      </w:r>
      <w:proofErr w:type="gramStart"/>
      <w:r>
        <w:rPr>
          <w:rFonts w:ascii="Calibri" w:hAnsi="Calibri" w:cs="Calibri"/>
          <w:sz w:val="22"/>
          <w:szCs w:val="22"/>
        </w:rPr>
        <w:t>;3:582</w:t>
      </w:r>
      <w:proofErr w:type="gramEnd"/>
      <w:r>
        <w:rPr>
          <w:rFonts w:ascii="Calibri" w:hAnsi="Calibri" w:cs="Calibri"/>
          <w:sz w:val="22"/>
          <w:szCs w:val="22"/>
        </w:rPr>
        <w:t>–93.</w:t>
      </w:r>
    </w:p>
    <w:p w14:paraId="6584691A" w14:textId="77777777" w:rsidR="006A3AED" w:rsidRDefault="006A3AED" w:rsidP="00751916">
      <w:pPr>
        <w:spacing w:line="276" w:lineRule="auto"/>
        <w:rPr>
          <w:rFonts w:ascii="Calibri" w:hAnsi="Calibri" w:cs="Calibri"/>
          <w:sz w:val="22"/>
          <w:szCs w:val="22"/>
        </w:rPr>
      </w:pPr>
    </w:p>
    <w:p w14:paraId="0F5A684C" w14:textId="0AADA132" w:rsidR="00751916" w:rsidRDefault="00751916" w:rsidP="00751916">
      <w:pPr>
        <w:spacing w:line="276" w:lineRule="auto"/>
        <w:rPr>
          <w:rFonts w:ascii="Calibri" w:hAnsi="Calibri" w:cs="Calibri"/>
          <w:sz w:val="22"/>
          <w:szCs w:val="22"/>
        </w:rPr>
      </w:pPr>
      <w:r w:rsidRPr="00751916">
        <w:rPr>
          <w:rFonts w:ascii="Calibri" w:hAnsi="Calibri" w:cs="Calibri"/>
          <w:sz w:val="22"/>
          <w:szCs w:val="22"/>
        </w:rPr>
        <w:t>[80] Hussain M, Fizazi K, Saad F, et al. Enzalutamide in men with</w:t>
      </w:r>
      <w:r>
        <w:rPr>
          <w:rFonts w:ascii="Calibri" w:hAnsi="Calibri" w:cs="Calibri"/>
          <w:sz w:val="22"/>
          <w:szCs w:val="22"/>
        </w:rPr>
        <w:t xml:space="preserve"> n</w:t>
      </w:r>
      <w:r w:rsidRPr="00751916">
        <w:rPr>
          <w:rFonts w:ascii="Calibri" w:hAnsi="Calibri" w:cs="Calibri"/>
          <w:sz w:val="22"/>
          <w:szCs w:val="22"/>
        </w:rPr>
        <w:t>on</w:t>
      </w:r>
      <w:r>
        <w:rPr>
          <w:rFonts w:ascii="Calibri" w:hAnsi="Calibri" w:cs="Calibri"/>
          <w:sz w:val="22"/>
          <w:szCs w:val="22"/>
        </w:rPr>
        <w:t>-</w:t>
      </w:r>
      <w:r w:rsidRPr="00751916">
        <w:rPr>
          <w:rFonts w:ascii="Calibri" w:hAnsi="Calibri" w:cs="Calibri"/>
          <w:sz w:val="22"/>
          <w:szCs w:val="22"/>
        </w:rPr>
        <w:t>metastatic, castration-resistan</w:t>
      </w:r>
      <w:r>
        <w:rPr>
          <w:rFonts w:ascii="Calibri" w:hAnsi="Calibri" w:cs="Calibri"/>
          <w:sz w:val="22"/>
          <w:szCs w:val="22"/>
        </w:rPr>
        <w:t xml:space="preserve">t prostate cancer. N Engl J Med </w:t>
      </w:r>
      <w:r w:rsidRPr="00751916">
        <w:rPr>
          <w:rFonts w:ascii="Calibri" w:hAnsi="Calibri" w:cs="Calibri"/>
          <w:sz w:val="22"/>
          <w:szCs w:val="22"/>
        </w:rPr>
        <w:t>2018</w:t>
      </w:r>
      <w:proofErr w:type="gramStart"/>
      <w:r w:rsidRPr="00751916">
        <w:rPr>
          <w:rFonts w:ascii="Calibri" w:hAnsi="Calibri" w:cs="Calibri"/>
          <w:sz w:val="22"/>
          <w:szCs w:val="22"/>
        </w:rPr>
        <w:t>;378:2465</w:t>
      </w:r>
      <w:proofErr w:type="gramEnd"/>
      <w:r w:rsidRPr="00751916">
        <w:rPr>
          <w:rFonts w:ascii="Calibri" w:hAnsi="Calibri" w:cs="Calibri"/>
          <w:sz w:val="22"/>
          <w:szCs w:val="22"/>
        </w:rPr>
        <w:t>–74.</w:t>
      </w:r>
    </w:p>
    <w:p w14:paraId="420DBB14" w14:textId="77777777" w:rsidR="006A3AED" w:rsidRPr="00751916" w:rsidRDefault="006A3AED" w:rsidP="00751916">
      <w:pPr>
        <w:spacing w:line="276" w:lineRule="auto"/>
        <w:rPr>
          <w:rFonts w:ascii="Calibri" w:hAnsi="Calibri" w:cs="Calibri"/>
          <w:sz w:val="22"/>
          <w:szCs w:val="22"/>
        </w:rPr>
      </w:pPr>
    </w:p>
    <w:p w14:paraId="54027584" w14:textId="22FA8F21" w:rsidR="00751916" w:rsidRDefault="00751916" w:rsidP="00751916">
      <w:pPr>
        <w:spacing w:line="276" w:lineRule="auto"/>
        <w:rPr>
          <w:rFonts w:ascii="Calibri" w:hAnsi="Calibri" w:cs="Calibri"/>
          <w:sz w:val="22"/>
          <w:szCs w:val="22"/>
        </w:rPr>
      </w:pPr>
      <w:r w:rsidRPr="00751916">
        <w:rPr>
          <w:rFonts w:ascii="Calibri" w:hAnsi="Calibri" w:cs="Calibri"/>
          <w:sz w:val="22"/>
          <w:szCs w:val="22"/>
        </w:rPr>
        <w:t>[81] Smith MR, Saad F, Chowdhury S, e</w:t>
      </w:r>
      <w:r>
        <w:rPr>
          <w:rFonts w:ascii="Calibri" w:hAnsi="Calibri" w:cs="Calibri"/>
          <w:sz w:val="22"/>
          <w:szCs w:val="22"/>
        </w:rPr>
        <w:t xml:space="preserve">t al. Apalutamide treatment and </w:t>
      </w:r>
      <w:r w:rsidRPr="00751916">
        <w:rPr>
          <w:rFonts w:ascii="Calibri" w:hAnsi="Calibri" w:cs="Calibri"/>
          <w:sz w:val="22"/>
          <w:szCs w:val="22"/>
        </w:rPr>
        <w:t>metastasis-free survival i</w:t>
      </w:r>
      <w:r>
        <w:rPr>
          <w:rFonts w:ascii="Calibri" w:hAnsi="Calibri" w:cs="Calibri"/>
          <w:sz w:val="22"/>
          <w:szCs w:val="22"/>
        </w:rPr>
        <w:t xml:space="preserve">n prostate cancer. N Engl J Med </w:t>
      </w:r>
      <w:r w:rsidRPr="00751916">
        <w:rPr>
          <w:rFonts w:ascii="Calibri" w:hAnsi="Calibri" w:cs="Calibri"/>
          <w:sz w:val="22"/>
          <w:szCs w:val="22"/>
        </w:rPr>
        <w:t>2018</w:t>
      </w:r>
      <w:proofErr w:type="gramStart"/>
      <w:r w:rsidRPr="00751916">
        <w:rPr>
          <w:rFonts w:ascii="Calibri" w:hAnsi="Calibri" w:cs="Calibri"/>
          <w:sz w:val="22"/>
          <w:szCs w:val="22"/>
        </w:rPr>
        <w:t>;378:1408</w:t>
      </w:r>
      <w:proofErr w:type="gramEnd"/>
      <w:r w:rsidRPr="00751916">
        <w:rPr>
          <w:rFonts w:ascii="Calibri" w:hAnsi="Calibri" w:cs="Calibri"/>
          <w:sz w:val="22"/>
          <w:szCs w:val="22"/>
        </w:rPr>
        <w:t>–18.</w:t>
      </w:r>
    </w:p>
    <w:p w14:paraId="0151B6BD" w14:textId="77777777" w:rsidR="006A3AED" w:rsidRPr="00751916" w:rsidRDefault="006A3AED" w:rsidP="00751916">
      <w:pPr>
        <w:spacing w:line="276" w:lineRule="auto"/>
        <w:rPr>
          <w:rFonts w:ascii="Calibri" w:hAnsi="Calibri" w:cs="Calibri"/>
          <w:sz w:val="22"/>
          <w:szCs w:val="22"/>
        </w:rPr>
      </w:pPr>
    </w:p>
    <w:p w14:paraId="63C9BC2A" w14:textId="0FAA437E" w:rsidR="00751916" w:rsidRDefault="00751916" w:rsidP="00751916">
      <w:pPr>
        <w:spacing w:line="276" w:lineRule="auto"/>
        <w:rPr>
          <w:rFonts w:ascii="Calibri" w:hAnsi="Calibri" w:cs="Calibri"/>
          <w:sz w:val="22"/>
          <w:szCs w:val="22"/>
        </w:rPr>
      </w:pPr>
      <w:r w:rsidRPr="00751916">
        <w:rPr>
          <w:rFonts w:ascii="Calibri" w:hAnsi="Calibri" w:cs="Calibri"/>
          <w:sz w:val="22"/>
          <w:szCs w:val="22"/>
        </w:rPr>
        <w:lastRenderedPageBreak/>
        <w:t>[82] Fizazi K, Shore N, Tam</w:t>
      </w:r>
      <w:r>
        <w:rPr>
          <w:rFonts w:ascii="Calibri" w:hAnsi="Calibri" w:cs="Calibri"/>
          <w:sz w:val="22"/>
          <w:szCs w:val="22"/>
        </w:rPr>
        <w:t xml:space="preserve">mela TL, et al. Darolutamide in </w:t>
      </w:r>
      <w:r w:rsidRPr="00751916">
        <w:rPr>
          <w:rFonts w:ascii="Calibri" w:hAnsi="Calibri" w:cs="Calibri"/>
          <w:sz w:val="22"/>
          <w:szCs w:val="22"/>
        </w:rPr>
        <w:t>non</w:t>
      </w:r>
      <w:r w:rsidR="00DB001A">
        <w:rPr>
          <w:rFonts w:ascii="Calibri" w:hAnsi="Calibri" w:cs="Calibri"/>
          <w:sz w:val="22"/>
          <w:szCs w:val="22"/>
        </w:rPr>
        <w:t xml:space="preserve"> </w:t>
      </w:r>
      <w:r w:rsidRPr="00751916">
        <w:rPr>
          <w:rFonts w:ascii="Calibri" w:hAnsi="Calibri" w:cs="Calibri"/>
          <w:sz w:val="22"/>
          <w:szCs w:val="22"/>
        </w:rPr>
        <w:t>metastatic, castration-resistan</w:t>
      </w:r>
      <w:r>
        <w:rPr>
          <w:rFonts w:ascii="Calibri" w:hAnsi="Calibri" w:cs="Calibri"/>
          <w:sz w:val="22"/>
          <w:szCs w:val="22"/>
        </w:rPr>
        <w:t xml:space="preserve">t prostate cancer. N Engl J Med </w:t>
      </w:r>
      <w:r w:rsidRPr="00751916">
        <w:rPr>
          <w:rFonts w:ascii="Calibri" w:hAnsi="Calibri" w:cs="Calibri"/>
          <w:sz w:val="22"/>
          <w:szCs w:val="22"/>
        </w:rPr>
        <w:t>2019</w:t>
      </w:r>
      <w:proofErr w:type="gramStart"/>
      <w:r w:rsidRPr="00751916">
        <w:rPr>
          <w:rFonts w:ascii="Calibri" w:hAnsi="Calibri" w:cs="Calibri"/>
          <w:sz w:val="22"/>
          <w:szCs w:val="22"/>
        </w:rPr>
        <w:t>;380:1235</w:t>
      </w:r>
      <w:proofErr w:type="gramEnd"/>
      <w:r w:rsidRPr="00751916">
        <w:rPr>
          <w:rFonts w:ascii="Calibri" w:hAnsi="Calibri" w:cs="Calibri"/>
          <w:sz w:val="22"/>
          <w:szCs w:val="22"/>
        </w:rPr>
        <w:t>–46.</w:t>
      </w:r>
    </w:p>
    <w:p w14:paraId="11EBE68F" w14:textId="77777777" w:rsidR="006A3AED" w:rsidRPr="00751916" w:rsidRDefault="006A3AED" w:rsidP="00751916">
      <w:pPr>
        <w:spacing w:line="276" w:lineRule="auto"/>
        <w:rPr>
          <w:rFonts w:ascii="Calibri" w:hAnsi="Calibri" w:cs="Calibri"/>
          <w:sz w:val="22"/>
          <w:szCs w:val="22"/>
        </w:rPr>
      </w:pPr>
    </w:p>
    <w:p w14:paraId="278C236E" w14:textId="1043DDF5" w:rsidR="00751916" w:rsidRDefault="00751916" w:rsidP="00751916">
      <w:pPr>
        <w:spacing w:line="276" w:lineRule="auto"/>
        <w:rPr>
          <w:rFonts w:ascii="Calibri" w:hAnsi="Calibri" w:cs="Calibri"/>
          <w:sz w:val="22"/>
          <w:szCs w:val="22"/>
        </w:rPr>
      </w:pPr>
      <w:r w:rsidRPr="00751916">
        <w:rPr>
          <w:rFonts w:ascii="Calibri" w:hAnsi="Calibri" w:cs="Calibri"/>
          <w:sz w:val="22"/>
          <w:szCs w:val="22"/>
        </w:rPr>
        <w:t>[83] Fizazi K, Shore N, Tammela TL, et al. Non</w:t>
      </w:r>
      <w:r w:rsidR="00DB001A">
        <w:rPr>
          <w:rFonts w:ascii="Calibri" w:hAnsi="Calibri" w:cs="Calibri"/>
          <w:sz w:val="22"/>
          <w:szCs w:val="22"/>
        </w:rPr>
        <w:t xml:space="preserve"> metastatic, castration resistant </w:t>
      </w:r>
      <w:r w:rsidRPr="00751916">
        <w:rPr>
          <w:rFonts w:ascii="Calibri" w:hAnsi="Calibri" w:cs="Calibri"/>
          <w:sz w:val="22"/>
          <w:szCs w:val="22"/>
        </w:rPr>
        <w:t>prostate cancer and survival with d</w:t>
      </w:r>
      <w:r w:rsidR="00DB001A">
        <w:rPr>
          <w:rFonts w:ascii="Calibri" w:hAnsi="Calibri" w:cs="Calibri"/>
          <w:sz w:val="22"/>
          <w:szCs w:val="22"/>
        </w:rPr>
        <w:t xml:space="preserve">arolutamide. N Engl J </w:t>
      </w:r>
      <w:r w:rsidRPr="00751916">
        <w:rPr>
          <w:rFonts w:ascii="Calibri" w:hAnsi="Calibri" w:cs="Calibri"/>
          <w:sz w:val="22"/>
          <w:szCs w:val="22"/>
        </w:rPr>
        <w:t>Med 2020</w:t>
      </w:r>
      <w:proofErr w:type="gramStart"/>
      <w:r w:rsidRPr="00751916">
        <w:rPr>
          <w:rFonts w:ascii="Calibri" w:hAnsi="Calibri" w:cs="Calibri"/>
          <w:sz w:val="22"/>
          <w:szCs w:val="22"/>
        </w:rPr>
        <w:t>;383:1040</w:t>
      </w:r>
      <w:proofErr w:type="gramEnd"/>
      <w:r w:rsidRPr="00751916">
        <w:rPr>
          <w:rFonts w:ascii="Calibri" w:hAnsi="Calibri" w:cs="Calibri"/>
          <w:sz w:val="22"/>
          <w:szCs w:val="22"/>
        </w:rPr>
        <w:t>–9.</w:t>
      </w:r>
    </w:p>
    <w:p w14:paraId="16A6C88A" w14:textId="77777777" w:rsidR="006A3AED" w:rsidRPr="00751916" w:rsidRDefault="006A3AED" w:rsidP="00751916">
      <w:pPr>
        <w:spacing w:line="276" w:lineRule="auto"/>
        <w:rPr>
          <w:rFonts w:ascii="Calibri" w:hAnsi="Calibri" w:cs="Calibri"/>
          <w:sz w:val="22"/>
          <w:szCs w:val="22"/>
        </w:rPr>
      </w:pPr>
    </w:p>
    <w:p w14:paraId="59ECB662" w14:textId="3C78B790" w:rsidR="00751916" w:rsidRDefault="00751916" w:rsidP="00751916">
      <w:pPr>
        <w:spacing w:line="276" w:lineRule="auto"/>
        <w:rPr>
          <w:rFonts w:ascii="Calibri" w:hAnsi="Calibri" w:cs="Calibri"/>
          <w:sz w:val="22"/>
          <w:szCs w:val="22"/>
        </w:rPr>
      </w:pPr>
      <w:r w:rsidRPr="00751916">
        <w:rPr>
          <w:rFonts w:ascii="Calibri" w:hAnsi="Calibri" w:cs="Calibri"/>
          <w:sz w:val="22"/>
          <w:szCs w:val="22"/>
        </w:rPr>
        <w:t>[84] Sternberg CN, Fizazi K, Saad F, et al. Enzalutamide and survival in</w:t>
      </w:r>
      <w:r w:rsidR="00DB001A">
        <w:rPr>
          <w:rFonts w:ascii="Calibri" w:hAnsi="Calibri" w:cs="Calibri"/>
          <w:sz w:val="22"/>
          <w:szCs w:val="22"/>
        </w:rPr>
        <w:t xml:space="preserve"> n</w:t>
      </w:r>
      <w:r w:rsidRPr="00751916">
        <w:rPr>
          <w:rFonts w:ascii="Calibri" w:hAnsi="Calibri" w:cs="Calibri"/>
          <w:sz w:val="22"/>
          <w:szCs w:val="22"/>
        </w:rPr>
        <w:t>on</w:t>
      </w:r>
      <w:r w:rsidR="00DB001A">
        <w:rPr>
          <w:rFonts w:ascii="Calibri" w:hAnsi="Calibri" w:cs="Calibri"/>
          <w:sz w:val="22"/>
          <w:szCs w:val="22"/>
        </w:rPr>
        <w:t xml:space="preserve"> </w:t>
      </w:r>
      <w:r w:rsidRPr="00751916">
        <w:rPr>
          <w:rFonts w:ascii="Calibri" w:hAnsi="Calibri" w:cs="Calibri"/>
          <w:sz w:val="22"/>
          <w:szCs w:val="22"/>
        </w:rPr>
        <w:t>metastatic, castration-resistan</w:t>
      </w:r>
      <w:r w:rsidR="00DB001A">
        <w:rPr>
          <w:rFonts w:ascii="Calibri" w:hAnsi="Calibri" w:cs="Calibri"/>
          <w:sz w:val="22"/>
          <w:szCs w:val="22"/>
        </w:rPr>
        <w:t xml:space="preserve">t prostate cancer. N Engl J Med </w:t>
      </w:r>
      <w:r w:rsidRPr="00751916">
        <w:rPr>
          <w:rFonts w:ascii="Calibri" w:hAnsi="Calibri" w:cs="Calibri"/>
          <w:sz w:val="22"/>
          <w:szCs w:val="22"/>
        </w:rPr>
        <w:t>2020</w:t>
      </w:r>
      <w:proofErr w:type="gramStart"/>
      <w:r w:rsidRPr="00751916">
        <w:rPr>
          <w:rFonts w:ascii="Calibri" w:hAnsi="Calibri" w:cs="Calibri"/>
          <w:sz w:val="22"/>
          <w:szCs w:val="22"/>
        </w:rPr>
        <w:t>;382:2197</w:t>
      </w:r>
      <w:proofErr w:type="gramEnd"/>
      <w:r w:rsidRPr="00751916">
        <w:rPr>
          <w:rFonts w:ascii="Calibri" w:hAnsi="Calibri" w:cs="Calibri"/>
          <w:sz w:val="22"/>
          <w:szCs w:val="22"/>
        </w:rPr>
        <w:t>–206.</w:t>
      </w:r>
    </w:p>
    <w:p w14:paraId="7E26E2C7" w14:textId="77777777" w:rsidR="006A3AED" w:rsidRPr="00751916" w:rsidRDefault="006A3AED" w:rsidP="00751916">
      <w:pPr>
        <w:spacing w:line="276" w:lineRule="auto"/>
        <w:rPr>
          <w:rFonts w:ascii="Calibri" w:hAnsi="Calibri" w:cs="Calibri"/>
          <w:sz w:val="22"/>
          <w:szCs w:val="22"/>
        </w:rPr>
      </w:pPr>
    </w:p>
    <w:p w14:paraId="330C1BF2" w14:textId="41AFD939" w:rsidR="00751916" w:rsidRDefault="00751916" w:rsidP="00751916">
      <w:pPr>
        <w:spacing w:line="276" w:lineRule="auto"/>
        <w:rPr>
          <w:rFonts w:ascii="Calibri" w:hAnsi="Calibri" w:cs="Calibri"/>
          <w:sz w:val="22"/>
          <w:szCs w:val="22"/>
        </w:rPr>
      </w:pPr>
      <w:r w:rsidRPr="00751916">
        <w:rPr>
          <w:rFonts w:ascii="Calibri" w:hAnsi="Calibri" w:cs="Calibri"/>
          <w:sz w:val="22"/>
          <w:szCs w:val="22"/>
        </w:rPr>
        <w:t xml:space="preserve">[85] Smith MR, Saad F, Chowdhury S, et al. Apalutamide </w:t>
      </w:r>
      <w:r w:rsidR="00DB001A">
        <w:rPr>
          <w:rFonts w:ascii="Calibri" w:hAnsi="Calibri" w:cs="Calibri"/>
          <w:sz w:val="22"/>
          <w:szCs w:val="22"/>
        </w:rPr>
        <w:t xml:space="preserve">and overall </w:t>
      </w:r>
      <w:r w:rsidRPr="00751916">
        <w:rPr>
          <w:rFonts w:ascii="Calibri" w:hAnsi="Calibri" w:cs="Calibri"/>
          <w:sz w:val="22"/>
          <w:szCs w:val="22"/>
        </w:rPr>
        <w:t>survival in prostate cancer. Eur Urol 2021</w:t>
      </w:r>
      <w:proofErr w:type="gramStart"/>
      <w:r w:rsidRPr="00751916">
        <w:rPr>
          <w:rFonts w:ascii="Calibri" w:hAnsi="Calibri" w:cs="Calibri"/>
          <w:sz w:val="22"/>
          <w:szCs w:val="22"/>
        </w:rPr>
        <w:t>;79:150</w:t>
      </w:r>
      <w:proofErr w:type="gramEnd"/>
      <w:r w:rsidRPr="00751916">
        <w:rPr>
          <w:rFonts w:ascii="Calibri" w:hAnsi="Calibri" w:cs="Calibri"/>
          <w:sz w:val="22"/>
          <w:szCs w:val="22"/>
        </w:rPr>
        <w:t>–8.</w:t>
      </w:r>
    </w:p>
    <w:p w14:paraId="122D3068" w14:textId="77777777" w:rsidR="006A3AED" w:rsidRPr="00751916" w:rsidRDefault="006A3AED" w:rsidP="00751916">
      <w:pPr>
        <w:spacing w:line="276" w:lineRule="auto"/>
        <w:rPr>
          <w:rFonts w:ascii="Calibri" w:hAnsi="Calibri" w:cs="Calibri"/>
          <w:sz w:val="22"/>
          <w:szCs w:val="22"/>
        </w:rPr>
      </w:pPr>
    </w:p>
    <w:p w14:paraId="472F1C1E" w14:textId="3107626A" w:rsidR="00751916" w:rsidRDefault="00751916" w:rsidP="00751916">
      <w:pPr>
        <w:spacing w:line="276" w:lineRule="auto"/>
        <w:rPr>
          <w:rFonts w:ascii="Calibri" w:hAnsi="Calibri" w:cs="Calibri"/>
          <w:sz w:val="22"/>
          <w:szCs w:val="22"/>
        </w:rPr>
      </w:pPr>
      <w:r w:rsidRPr="00751916">
        <w:rPr>
          <w:rFonts w:ascii="Calibri" w:hAnsi="Calibri" w:cs="Calibri"/>
          <w:sz w:val="22"/>
          <w:szCs w:val="22"/>
        </w:rPr>
        <w:t xml:space="preserve">[86] de Wit R, de Bono J, </w:t>
      </w:r>
      <w:proofErr w:type="gramStart"/>
      <w:r w:rsidRPr="00751916">
        <w:rPr>
          <w:rFonts w:ascii="Calibri" w:hAnsi="Calibri" w:cs="Calibri"/>
          <w:sz w:val="22"/>
          <w:szCs w:val="22"/>
        </w:rPr>
        <w:t>Sternber</w:t>
      </w:r>
      <w:r w:rsidR="00DB001A">
        <w:rPr>
          <w:rFonts w:ascii="Calibri" w:hAnsi="Calibri" w:cs="Calibri"/>
          <w:sz w:val="22"/>
          <w:szCs w:val="22"/>
        </w:rPr>
        <w:t>g</w:t>
      </w:r>
      <w:proofErr w:type="gramEnd"/>
      <w:r w:rsidR="00DB001A">
        <w:rPr>
          <w:rFonts w:ascii="Calibri" w:hAnsi="Calibri" w:cs="Calibri"/>
          <w:sz w:val="22"/>
          <w:szCs w:val="22"/>
        </w:rPr>
        <w:t xml:space="preserve"> CN, et al. Cabazitaxel versus </w:t>
      </w:r>
      <w:r w:rsidRPr="00751916">
        <w:rPr>
          <w:rFonts w:ascii="Calibri" w:hAnsi="Calibri" w:cs="Calibri"/>
          <w:sz w:val="22"/>
          <w:szCs w:val="22"/>
        </w:rPr>
        <w:t>abiraterone or enzalutamide in metas</w:t>
      </w:r>
      <w:r w:rsidR="00DB001A">
        <w:rPr>
          <w:rFonts w:ascii="Calibri" w:hAnsi="Calibri" w:cs="Calibri"/>
          <w:sz w:val="22"/>
          <w:szCs w:val="22"/>
        </w:rPr>
        <w:t xml:space="preserve">tatic prostate cancer. N Engl J </w:t>
      </w:r>
      <w:r w:rsidRPr="00751916">
        <w:rPr>
          <w:rFonts w:ascii="Calibri" w:hAnsi="Calibri" w:cs="Calibri"/>
          <w:sz w:val="22"/>
          <w:szCs w:val="22"/>
        </w:rPr>
        <w:t>Med 2019</w:t>
      </w:r>
      <w:proofErr w:type="gramStart"/>
      <w:r w:rsidRPr="00751916">
        <w:rPr>
          <w:rFonts w:ascii="Calibri" w:hAnsi="Calibri" w:cs="Calibri"/>
          <w:sz w:val="22"/>
          <w:szCs w:val="22"/>
        </w:rPr>
        <w:t>;381:2506</w:t>
      </w:r>
      <w:proofErr w:type="gramEnd"/>
      <w:r w:rsidRPr="00751916">
        <w:rPr>
          <w:rFonts w:ascii="Calibri" w:hAnsi="Calibri" w:cs="Calibri"/>
          <w:sz w:val="22"/>
          <w:szCs w:val="22"/>
        </w:rPr>
        <w:t>–18.</w:t>
      </w:r>
    </w:p>
    <w:p w14:paraId="035753F4" w14:textId="77777777" w:rsidR="006A3AED" w:rsidRPr="00751916" w:rsidRDefault="006A3AED" w:rsidP="00751916">
      <w:pPr>
        <w:spacing w:line="276" w:lineRule="auto"/>
        <w:rPr>
          <w:rFonts w:ascii="Calibri" w:hAnsi="Calibri" w:cs="Calibri"/>
          <w:sz w:val="22"/>
          <w:szCs w:val="22"/>
        </w:rPr>
      </w:pPr>
    </w:p>
    <w:p w14:paraId="211AAC83" w14:textId="115DD453" w:rsidR="00751916" w:rsidRDefault="00751916" w:rsidP="00751916">
      <w:pPr>
        <w:spacing w:line="276" w:lineRule="auto"/>
        <w:rPr>
          <w:rFonts w:ascii="Calibri" w:hAnsi="Calibri" w:cs="Calibri"/>
          <w:sz w:val="22"/>
          <w:szCs w:val="22"/>
        </w:rPr>
      </w:pPr>
      <w:r w:rsidRPr="00751916">
        <w:rPr>
          <w:rFonts w:ascii="Calibri" w:hAnsi="Calibri" w:cs="Calibri"/>
          <w:sz w:val="22"/>
          <w:szCs w:val="22"/>
        </w:rPr>
        <w:t>[87] Loriot Y, Eymard JC, Patrikidou A</w:t>
      </w:r>
      <w:r w:rsidR="00DB001A">
        <w:rPr>
          <w:rFonts w:ascii="Calibri" w:hAnsi="Calibri" w:cs="Calibri"/>
          <w:sz w:val="22"/>
          <w:szCs w:val="22"/>
        </w:rPr>
        <w:t>, et al. Prior long response to</w:t>
      </w:r>
      <w:r w:rsidRPr="00751916">
        <w:rPr>
          <w:rFonts w:ascii="Calibri" w:hAnsi="Calibri" w:cs="Calibri"/>
          <w:sz w:val="22"/>
          <w:szCs w:val="22"/>
        </w:rPr>
        <w:t>androgen deprivation predi</w:t>
      </w:r>
      <w:r w:rsidR="00DB001A">
        <w:rPr>
          <w:rFonts w:ascii="Calibri" w:hAnsi="Calibri" w:cs="Calibri"/>
          <w:sz w:val="22"/>
          <w:szCs w:val="22"/>
        </w:rPr>
        <w:t xml:space="preserve">cts response to next-generation </w:t>
      </w:r>
      <w:r w:rsidRPr="00751916">
        <w:rPr>
          <w:rFonts w:ascii="Calibri" w:hAnsi="Calibri" w:cs="Calibri"/>
          <w:sz w:val="22"/>
          <w:szCs w:val="22"/>
        </w:rPr>
        <w:t>androgen receptor axis targete</w:t>
      </w:r>
      <w:r w:rsidR="00DB001A">
        <w:rPr>
          <w:rFonts w:ascii="Calibri" w:hAnsi="Calibri" w:cs="Calibri"/>
          <w:sz w:val="22"/>
          <w:szCs w:val="22"/>
        </w:rPr>
        <w:t xml:space="preserve">d drugs in castration resistant </w:t>
      </w:r>
      <w:r w:rsidRPr="00751916">
        <w:rPr>
          <w:rFonts w:ascii="Calibri" w:hAnsi="Calibri" w:cs="Calibri"/>
          <w:sz w:val="22"/>
          <w:szCs w:val="22"/>
        </w:rPr>
        <w:t>prostate cancer. Eur J Cancer 2015</w:t>
      </w:r>
      <w:proofErr w:type="gramStart"/>
      <w:r w:rsidRPr="00751916">
        <w:rPr>
          <w:rFonts w:ascii="Calibri" w:hAnsi="Calibri" w:cs="Calibri"/>
          <w:sz w:val="22"/>
          <w:szCs w:val="22"/>
        </w:rPr>
        <w:t>;51:1946</w:t>
      </w:r>
      <w:proofErr w:type="gramEnd"/>
      <w:r w:rsidRPr="00751916">
        <w:rPr>
          <w:rFonts w:ascii="Calibri" w:hAnsi="Calibri" w:cs="Calibri"/>
          <w:sz w:val="22"/>
          <w:szCs w:val="22"/>
        </w:rPr>
        <w:t>–52.</w:t>
      </w:r>
    </w:p>
    <w:p w14:paraId="57A72B86" w14:textId="77777777" w:rsidR="006A3AED" w:rsidRPr="00751916" w:rsidRDefault="006A3AED" w:rsidP="00751916">
      <w:pPr>
        <w:spacing w:line="276" w:lineRule="auto"/>
        <w:rPr>
          <w:rFonts w:ascii="Calibri" w:hAnsi="Calibri" w:cs="Calibri"/>
          <w:sz w:val="22"/>
          <w:szCs w:val="22"/>
        </w:rPr>
      </w:pPr>
    </w:p>
    <w:p w14:paraId="5C596320" w14:textId="2B4AA965" w:rsidR="00751916" w:rsidRPr="00751916" w:rsidRDefault="00751916" w:rsidP="00751916">
      <w:pPr>
        <w:spacing w:line="276" w:lineRule="auto"/>
        <w:rPr>
          <w:rFonts w:ascii="Calibri" w:hAnsi="Calibri" w:cs="Calibri"/>
          <w:sz w:val="22"/>
          <w:szCs w:val="22"/>
        </w:rPr>
      </w:pPr>
      <w:r w:rsidRPr="00751916">
        <w:rPr>
          <w:rFonts w:ascii="Calibri" w:hAnsi="Calibri" w:cs="Calibri"/>
          <w:sz w:val="22"/>
          <w:szCs w:val="22"/>
        </w:rPr>
        <w:t>[88] Ryan CJ, Smith MR, Fizazi K, et al. Abiraterone a</w:t>
      </w:r>
      <w:r w:rsidR="00DB001A">
        <w:rPr>
          <w:rFonts w:ascii="Calibri" w:hAnsi="Calibri" w:cs="Calibri"/>
          <w:sz w:val="22"/>
          <w:szCs w:val="22"/>
        </w:rPr>
        <w:t xml:space="preserve">cetate plus </w:t>
      </w:r>
      <w:r w:rsidRPr="00751916">
        <w:rPr>
          <w:rFonts w:ascii="Calibri" w:hAnsi="Calibri" w:cs="Calibri"/>
          <w:sz w:val="22"/>
          <w:szCs w:val="22"/>
        </w:rPr>
        <w:t xml:space="preserve">prednisone versus placebo plus </w:t>
      </w:r>
      <w:r w:rsidR="00DB001A">
        <w:rPr>
          <w:rFonts w:ascii="Calibri" w:hAnsi="Calibri" w:cs="Calibri"/>
          <w:sz w:val="22"/>
          <w:szCs w:val="22"/>
        </w:rPr>
        <w:t xml:space="preserve">prednisone in chemo-therapy naive </w:t>
      </w:r>
      <w:r w:rsidRPr="00751916">
        <w:rPr>
          <w:rFonts w:ascii="Calibri" w:hAnsi="Calibri" w:cs="Calibri"/>
          <w:sz w:val="22"/>
          <w:szCs w:val="22"/>
        </w:rPr>
        <w:t>men with metastatic castration-resistant prostate cancer</w:t>
      </w:r>
    </w:p>
    <w:p w14:paraId="72AA9AE1" w14:textId="74AE4F96" w:rsidR="00751916" w:rsidRDefault="00751916" w:rsidP="00751916">
      <w:pPr>
        <w:spacing w:line="276" w:lineRule="auto"/>
        <w:rPr>
          <w:rFonts w:ascii="Calibri" w:hAnsi="Calibri" w:cs="Calibri"/>
          <w:sz w:val="22"/>
          <w:szCs w:val="22"/>
        </w:rPr>
      </w:pPr>
      <w:r w:rsidRPr="00751916">
        <w:rPr>
          <w:rFonts w:ascii="Calibri" w:hAnsi="Calibri" w:cs="Calibri"/>
          <w:sz w:val="22"/>
          <w:szCs w:val="22"/>
        </w:rPr>
        <w:t>(COU-AA-302): final overall sur</w:t>
      </w:r>
      <w:r w:rsidR="00DB001A">
        <w:rPr>
          <w:rFonts w:ascii="Calibri" w:hAnsi="Calibri" w:cs="Calibri"/>
          <w:sz w:val="22"/>
          <w:szCs w:val="22"/>
        </w:rPr>
        <w:t xml:space="preserve">vival analysis of a randomised, </w:t>
      </w:r>
      <w:r w:rsidRPr="00751916">
        <w:rPr>
          <w:rFonts w:ascii="Calibri" w:hAnsi="Calibri" w:cs="Calibri"/>
          <w:sz w:val="22"/>
          <w:szCs w:val="22"/>
        </w:rPr>
        <w:t>double-blind, placebo-control</w:t>
      </w:r>
      <w:r w:rsidR="00DB001A">
        <w:rPr>
          <w:rFonts w:ascii="Calibri" w:hAnsi="Calibri" w:cs="Calibri"/>
          <w:sz w:val="22"/>
          <w:szCs w:val="22"/>
        </w:rPr>
        <w:t xml:space="preserve">led phase 3 study. Lancet Oncol </w:t>
      </w:r>
      <w:r w:rsidRPr="00751916">
        <w:rPr>
          <w:rFonts w:ascii="Calibri" w:hAnsi="Calibri" w:cs="Calibri"/>
          <w:sz w:val="22"/>
          <w:szCs w:val="22"/>
        </w:rPr>
        <w:t>2015</w:t>
      </w:r>
      <w:proofErr w:type="gramStart"/>
      <w:r w:rsidRPr="00751916">
        <w:rPr>
          <w:rFonts w:ascii="Calibri" w:hAnsi="Calibri" w:cs="Calibri"/>
          <w:sz w:val="22"/>
          <w:szCs w:val="22"/>
        </w:rPr>
        <w:t>;16:152</w:t>
      </w:r>
      <w:proofErr w:type="gramEnd"/>
      <w:r w:rsidRPr="00751916">
        <w:rPr>
          <w:rFonts w:ascii="Calibri" w:hAnsi="Calibri" w:cs="Calibri"/>
          <w:sz w:val="22"/>
          <w:szCs w:val="22"/>
        </w:rPr>
        <w:t>–60.</w:t>
      </w:r>
    </w:p>
    <w:p w14:paraId="5E302959" w14:textId="77777777" w:rsidR="006A3AED" w:rsidRPr="00751916" w:rsidRDefault="006A3AED" w:rsidP="00751916">
      <w:pPr>
        <w:spacing w:line="276" w:lineRule="auto"/>
        <w:rPr>
          <w:rFonts w:ascii="Calibri" w:hAnsi="Calibri" w:cs="Calibri"/>
          <w:sz w:val="22"/>
          <w:szCs w:val="22"/>
        </w:rPr>
      </w:pPr>
    </w:p>
    <w:p w14:paraId="306C2C0F" w14:textId="7CC878C1" w:rsidR="00751916" w:rsidRDefault="00751916" w:rsidP="00751916">
      <w:pPr>
        <w:spacing w:line="276" w:lineRule="auto"/>
        <w:rPr>
          <w:rFonts w:ascii="Calibri" w:hAnsi="Calibri" w:cs="Calibri"/>
          <w:sz w:val="22"/>
          <w:szCs w:val="22"/>
        </w:rPr>
      </w:pPr>
      <w:r w:rsidRPr="00751916">
        <w:rPr>
          <w:rFonts w:ascii="Calibri" w:hAnsi="Calibri" w:cs="Calibri"/>
          <w:sz w:val="22"/>
          <w:szCs w:val="22"/>
        </w:rPr>
        <w:t>[89] Beer TM, Armstrong AJ, Rath</w:t>
      </w:r>
      <w:r w:rsidR="00DB001A">
        <w:rPr>
          <w:rFonts w:ascii="Calibri" w:hAnsi="Calibri" w:cs="Calibri"/>
          <w:sz w:val="22"/>
          <w:szCs w:val="22"/>
        </w:rPr>
        <w:t xml:space="preserve">kopf DE, et al. Enzalutamide in </w:t>
      </w:r>
      <w:r w:rsidRPr="00751916">
        <w:rPr>
          <w:rFonts w:ascii="Calibri" w:hAnsi="Calibri" w:cs="Calibri"/>
          <w:sz w:val="22"/>
          <w:szCs w:val="22"/>
        </w:rPr>
        <w:t>metastatic prostate cancer be</w:t>
      </w:r>
      <w:r w:rsidR="00DB001A">
        <w:rPr>
          <w:rFonts w:ascii="Calibri" w:hAnsi="Calibri" w:cs="Calibri"/>
          <w:sz w:val="22"/>
          <w:szCs w:val="22"/>
        </w:rPr>
        <w:t xml:space="preserve">fore chemotherapy. N Engl J Med </w:t>
      </w:r>
      <w:r w:rsidRPr="00751916">
        <w:rPr>
          <w:rFonts w:ascii="Calibri" w:hAnsi="Calibri" w:cs="Calibri"/>
          <w:sz w:val="22"/>
          <w:szCs w:val="22"/>
        </w:rPr>
        <w:t>2014</w:t>
      </w:r>
      <w:proofErr w:type="gramStart"/>
      <w:r w:rsidRPr="00751916">
        <w:rPr>
          <w:rFonts w:ascii="Calibri" w:hAnsi="Calibri" w:cs="Calibri"/>
          <w:sz w:val="22"/>
          <w:szCs w:val="22"/>
        </w:rPr>
        <w:t>;371:424</w:t>
      </w:r>
      <w:proofErr w:type="gramEnd"/>
      <w:r w:rsidRPr="00751916">
        <w:rPr>
          <w:rFonts w:ascii="Calibri" w:hAnsi="Calibri" w:cs="Calibri"/>
          <w:sz w:val="22"/>
          <w:szCs w:val="22"/>
        </w:rPr>
        <w:t>–33.</w:t>
      </w:r>
    </w:p>
    <w:p w14:paraId="31CD7DFC" w14:textId="77777777" w:rsidR="006A3AED" w:rsidRPr="00751916" w:rsidRDefault="006A3AED" w:rsidP="00751916">
      <w:pPr>
        <w:spacing w:line="276" w:lineRule="auto"/>
        <w:rPr>
          <w:rFonts w:ascii="Calibri" w:hAnsi="Calibri" w:cs="Calibri"/>
          <w:sz w:val="22"/>
          <w:szCs w:val="22"/>
        </w:rPr>
      </w:pPr>
    </w:p>
    <w:p w14:paraId="26046F11" w14:textId="281D98DB" w:rsidR="00751916" w:rsidRDefault="00751916" w:rsidP="00751916">
      <w:pPr>
        <w:spacing w:line="276" w:lineRule="auto"/>
        <w:rPr>
          <w:rFonts w:ascii="Calibri" w:hAnsi="Calibri" w:cs="Calibri"/>
          <w:sz w:val="22"/>
          <w:szCs w:val="22"/>
        </w:rPr>
      </w:pPr>
      <w:r w:rsidRPr="00751916">
        <w:rPr>
          <w:rFonts w:ascii="Calibri" w:hAnsi="Calibri" w:cs="Calibri"/>
          <w:sz w:val="22"/>
          <w:szCs w:val="22"/>
        </w:rPr>
        <w:t>[90] Shore ND, Chowdhury S, Villers A</w:t>
      </w:r>
      <w:r w:rsidR="00DB001A">
        <w:rPr>
          <w:rFonts w:ascii="Calibri" w:hAnsi="Calibri" w:cs="Calibri"/>
          <w:sz w:val="22"/>
          <w:szCs w:val="22"/>
        </w:rPr>
        <w:t xml:space="preserve">, et al. Efficacy and safety of </w:t>
      </w:r>
      <w:r w:rsidRPr="00751916">
        <w:rPr>
          <w:rFonts w:ascii="Calibri" w:hAnsi="Calibri" w:cs="Calibri"/>
          <w:sz w:val="22"/>
          <w:szCs w:val="22"/>
        </w:rPr>
        <w:t>enzalutamide versus bicalutami</w:t>
      </w:r>
      <w:r w:rsidR="00DB001A">
        <w:rPr>
          <w:rFonts w:ascii="Calibri" w:hAnsi="Calibri" w:cs="Calibri"/>
          <w:sz w:val="22"/>
          <w:szCs w:val="22"/>
        </w:rPr>
        <w:t xml:space="preserve">de for patients with metastatic </w:t>
      </w:r>
      <w:r w:rsidRPr="00751916">
        <w:rPr>
          <w:rFonts w:ascii="Calibri" w:hAnsi="Calibri" w:cs="Calibri"/>
          <w:sz w:val="22"/>
          <w:szCs w:val="22"/>
        </w:rPr>
        <w:t>prostate cancer (TERRAIN): a ra</w:t>
      </w:r>
      <w:r w:rsidR="00DB001A">
        <w:rPr>
          <w:rFonts w:ascii="Calibri" w:hAnsi="Calibri" w:cs="Calibri"/>
          <w:sz w:val="22"/>
          <w:szCs w:val="22"/>
        </w:rPr>
        <w:t xml:space="preserve">ndomised, double-blind, phase 2 </w:t>
      </w:r>
      <w:r w:rsidRPr="00751916">
        <w:rPr>
          <w:rFonts w:ascii="Calibri" w:hAnsi="Calibri" w:cs="Calibri"/>
          <w:sz w:val="22"/>
          <w:szCs w:val="22"/>
        </w:rPr>
        <w:t>study. Lancet Oncol 2016</w:t>
      </w:r>
      <w:proofErr w:type="gramStart"/>
      <w:r w:rsidRPr="00751916">
        <w:rPr>
          <w:rFonts w:ascii="Calibri" w:hAnsi="Calibri" w:cs="Calibri"/>
          <w:sz w:val="22"/>
          <w:szCs w:val="22"/>
        </w:rPr>
        <w:t>;17:153</w:t>
      </w:r>
      <w:proofErr w:type="gramEnd"/>
      <w:r w:rsidRPr="00751916">
        <w:rPr>
          <w:rFonts w:ascii="Calibri" w:hAnsi="Calibri" w:cs="Calibri"/>
          <w:sz w:val="22"/>
          <w:szCs w:val="22"/>
        </w:rPr>
        <w:t>–63.</w:t>
      </w:r>
    </w:p>
    <w:p w14:paraId="127DD11E" w14:textId="77777777" w:rsidR="006A3AED" w:rsidRDefault="006A3AED" w:rsidP="00751916">
      <w:pPr>
        <w:spacing w:line="276" w:lineRule="auto"/>
        <w:rPr>
          <w:rFonts w:ascii="Calibri" w:hAnsi="Calibri" w:cs="Calibri"/>
          <w:sz w:val="22"/>
          <w:szCs w:val="22"/>
        </w:rPr>
      </w:pPr>
    </w:p>
    <w:p w14:paraId="76478D63" w14:textId="28ADDC2F" w:rsidR="00DB001A" w:rsidRDefault="00DB001A" w:rsidP="00DB001A">
      <w:pPr>
        <w:spacing w:line="276" w:lineRule="auto"/>
        <w:rPr>
          <w:rFonts w:ascii="Calibri" w:hAnsi="Calibri" w:cs="Calibri"/>
          <w:sz w:val="22"/>
          <w:szCs w:val="22"/>
        </w:rPr>
      </w:pPr>
      <w:r w:rsidRPr="00DB001A">
        <w:rPr>
          <w:rFonts w:ascii="Calibri" w:hAnsi="Calibri" w:cs="Calibri"/>
          <w:sz w:val="22"/>
          <w:szCs w:val="22"/>
        </w:rPr>
        <w:t xml:space="preserve">[91] de Bono JS, Smith MR, Saad F, et </w:t>
      </w:r>
      <w:r w:rsidR="00FF02E0">
        <w:rPr>
          <w:rFonts w:ascii="Calibri" w:hAnsi="Calibri" w:cs="Calibri"/>
          <w:sz w:val="22"/>
          <w:szCs w:val="22"/>
        </w:rPr>
        <w:t xml:space="preserve">al. Subsequent chemotherapy and </w:t>
      </w:r>
      <w:r w:rsidRPr="00DB001A">
        <w:rPr>
          <w:rFonts w:ascii="Calibri" w:hAnsi="Calibri" w:cs="Calibri"/>
          <w:sz w:val="22"/>
          <w:szCs w:val="22"/>
        </w:rPr>
        <w:t>treatment patterns after abira</w:t>
      </w:r>
      <w:r w:rsidR="00FF02E0">
        <w:rPr>
          <w:rFonts w:ascii="Calibri" w:hAnsi="Calibri" w:cs="Calibri"/>
          <w:sz w:val="22"/>
          <w:szCs w:val="22"/>
        </w:rPr>
        <w:t xml:space="preserve">terone acetate in patients with </w:t>
      </w:r>
      <w:r w:rsidRPr="00DB001A">
        <w:rPr>
          <w:rFonts w:ascii="Calibri" w:hAnsi="Calibri" w:cs="Calibri"/>
          <w:sz w:val="22"/>
          <w:szCs w:val="22"/>
        </w:rPr>
        <w:t>metastatic castration-resistant pro</w:t>
      </w:r>
      <w:r w:rsidR="00FF02E0">
        <w:rPr>
          <w:rFonts w:ascii="Calibri" w:hAnsi="Calibri" w:cs="Calibri"/>
          <w:sz w:val="22"/>
          <w:szCs w:val="22"/>
        </w:rPr>
        <w:t xml:space="preserve">state cancer: post hoc analysis </w:t>
      </w:r>
      <w:r w:rsidRPr="00DB001A">
        <w:rPr>
          <w:rFonts w:ascii="Calibri" w:hAnsi="Calibri" w:cs="Calibri"/>
          <w:sz w:val="22"/>
          <w:szCs w:val="22"/>
        </w:rPr>
        <w:t>of COU-AA-302. Eur Urol 2017</w:t>
      </w:r>
      <w:proofErr w:type="gramStart"/>
      <w:r w:rsidRPr="00DB001A">
        <w:rPr>
          <w:rFonts w:ascii="Calibri" w:hAnsi="Calibri" w:cs="Calibri"/>
          <w:sz w:val="22"/>
          <w:szCs w:val="22"/>
        </w:rPr>
        <w:t>;71:656</w:t>
      </w:r>
      <w:proofErr w:type="gramEnd"/>
      <w:r w:rsidRPr="00DB001A">
        <w:rPr>
          <w:rFonts w:ascii="Calibri" w:hAnsi="Calibri" w:cs="Calibri"/>
          <w:sz w:val="22"/>
          <w:szCs w:val="22"/>
        </w:rPr>
        <w:t>–64.</w:t>
      </w:r>
    </w:p>
    <w:p w14:paraId="30E4C30E" w14:textId="77777777" w:rsidR="006A3AED" w:rsidRPr="00DB001A" w:rsidRDefault="006A3AED" w:rsidP="00DB001A">
      <w:pPr>
        <w:spacing w:line="276" w:lineRule="auto"/>
        <w:rPr>
          <w:rFonts w:ascii="Calibri" w:hAnsi="Calibri" w:cs="Calibri"/>
          <w:sz w:val="22"/>
          <w:szCs w:val="22"/>
        </w:rPr>
      </w:pPr>
    </w:p>
    <w:p w14:paraId="670166B5" w14:textId="53E0B301" w:rsidR="00DB001A" w:rsidRDefault="00DB001A" w:rsidP="00DB001A">
      <w:pPr>
        <w:spacing w:line="276" w:lineRule="auto"/>
        <w:rPr>
          <w:rFonts w:ascii="Calibri" w:hAnsi="Calibri" w:cs="Calibri"/>
          <w:sz w:val="22"/>
          <w:szCs w:val="22"/>
        </w:rPr>
      </w:pPr>
      <w:r w:rsidRPr="00DB001A">
        <w:rPr>
          <w:rFonts w:ascii="Calibri" w:hAnsi="Calibri" w:cs="Calibri"/>
          <w:sz w:val="22"/>
          <w:szCs w:val="22"/>
        </w:rPr>
        <w:t>[92] Tannock IF, de Wit R, Berry WR, et a</w:t>
      </w:r>
      <w:r w:rsidR="00FF02E0">
        <w:rPr>
          <w:rFonts w:ascii="Calibri" w:hAnsi="Calibri" w:cs="Calibri"/>
          <w:sz w:val="22"/>
          <w:szCs w:val="22"/>
        </w:rPr>
        <w:t xml:space="preserve">l. Docetaxel plus prednisone or mitoxantrone plus </w:t>
      </w:r>
      <w:r w:rsidRPr="00DB001A">
        <w:rPr>
          <w:rFonts w:ascii="Calibri" w:hAnsi="Calibri" w:cs="Calibri"/>
          <w:sz w:val="22"/>
          <w:szCs w:val="22"/>
        </w:rPr>
        <w:t>prednisone for advance</w:t>
      </w:r>
      <w:r w:rsidR="00FF02E0">
        <w:rPr>
          <w:rFonts w:ascii="Calibri" w:hAnsi="Calibri" w:cs="Calibri"/>
          <w:sz w:val="22"/>
          <w:szCs w:val="22"/>
        </w:rPr>
        <w:t xml:space="preserve">d prostate cancer. N </w:t>
      </w:r>
      <w:r w:rsidRPr="00DB001A">
        <w:rPr>
          <w:rFonts w:ascii="Calibri" w:hAnsi="Calibri" w:cs="Calibri"/>
          <w:sz w:val="22"/>
          <w:szCs w:val="22"/>
        </w:rPr>
        <w:t>Engl J Med 2004</w:t>
      </w:r>
      <w:proofErr w:type="gramStart"/>
      <w:r w:rsidRPr="00DB001A">
        <w:rPr>
          <w:rFonts w:ascii="Calibri" w:hAnsi="Calibri" w:cs="Calibri"/>
          <w:sz w:val="22"/>
          <w:szCs w:val="22"/>
        </w:rPr>
        <w:t>;351:1502</w:t>
      </w:r>
      <w:proofErr w:type="gramEnd"/>
      <w:r w:rsidRPr="00DB001A">
        <w:rPr>
          <w:rFonts w:ascii="Calibri" w:hAnsi="Calibri" w:cs="Calibri"/>
          <w:sz w:val="22"/>
          <w:szCs w:val="22"/>
        </w:rPr>
        <w:t>–12.</w:t>
      </w:r>
    </w:p>
    <w:p w14:paraId="6E4004F4" w14:textId="77777777" w:rsidR="003C1D64" w:rsidRPr="00DB001A" w:rsidRDefault="003C1D64" w:rsidP="00DB001A">
      <w:pPr>
        <w:spacing w:line="276" w:lineRule="auto"/>
        <w:rPr>
          <w:rFonts w:ascii="Calibri" w:hAnsi="Calibri" w:cs="Calibri"/>
          <w:sz w:val="22"/>
          <w:szCs w:val="22"/>
        </w:rPr>
      </w:pPr>
    </w:p>
    <w:p w14:paraId="19F4BD39" w14:textId="7812FB0C" w:rsidR="00DB001A" w:rsidRDefault="00DB001A" w:rsidP="00DB001A">
      <w:pPr>
        <w:spacing w:line="276" w:lineRule="auto"/>
        <w:rPr>
          <w:rFonts w:ascii="Calibri" w:hAnsi="Calibri" w:cs="Calibri"/>
          <w:sz w:val="22"/>
          <w:szCs w:val="22"/>
        </w:rPr>
      </w:pPr>
      <w:r w:rsidRPr="00DB001A">
        <w:rPr>
          <w:rFonts w:ascii="Calibri" w:hAnsi="Calibri" w:cs="Calibri"/>
          <w:sz w:val="22"/>
          <w:szCs w:val="22"/>
        </w:rPr>
        <w:t>[93] Berthold DR, Pond GR, Soban F, d</w:t>
      </w:r>
      <w:r w:rsidR="00FF02E0">
        <w:rPr>
          <w:rFonts w:ascii="Calibri" w:hAnsi="Calibri" w:cs="Calibri"/>
          <w:sz w:val="22"/>
          <w:szCs w:val="22"/>
        </w:rPr>
        <w:t xml:space="preserve">e Wit R, Eisenberger M, Tannock </w:t>
      </w:r>
      <w:r w:rsidRPr="00DB001A">
        <w:rPr>
          <w:rFonts w:ascii="Calibri" w:hAnsi="Calibri" w:cs="Calibri"/>
          <w:sz w:val="22"/>
          <w:szCs w:val="22"/>
        </w:rPr>
        <w:t>IF. Docetaxel plus prednisone or m</w:t>
      </w:r>
      <w:r w:rsidR="00FF02E0">
        <w:rPr>
          <w:rFonts w:ascii="Calibri" w:hAnsi="Calibri" w:cs="Calibri"/>
          <w:sz w:val="22"/>
          <w:szCs w:val="22"/>
        </w:rPr>
        <w:t xml:space="preserve">itoxantrone plus prednisone for </w:t>
      </w:r>
      <w:r w:rsidRPr="00DB001A">
        <w:rPr>
          <w:rFonts w:ascii="Calibri" w:hAnsi="Calibri" w:cs="Calibri"/>
          <w:sz w:val="22"/>
          <w:szCs w:val="22"/>
        </w:rPr>
        <w:t>advanced prostate cancer: updated s</w:t>
      </w:r>
      <w:r w:rsidR="00FF02E0">
        <w:rPr>
          <w:rFonts w:ascii="Calibri" w:hAnsi="Calibri" w:cs="Calibri"/>
          <w:sz w:val="22"/>
          <w:szCs w:val="22"/>
        </w:rPr>
        <w:t xml:space="preserve">urvival in the TAX 327 study. J </w:t>
      </w:r>
      <w:r w:rsidRPr="00DB001A">
        <w:rPr>
          <w:rFonts w:ascii="Calibri" w:hAnsi="Calibri" w:cs="Calibri"/>
          <w:sz w:val="22"/>
          <w:szCs w:val="22"/>
        </w:rPr>
        <w:t>Clin Oncol 2008</w:t>
      </w:r>
      <w:proofErr w:type="gramStart"/>
      <w:r w:rsidRPr="00DB001A">
        <w:rPr>
          <w:rFonts w:ascii="Calibri" w:hAnsi="Calibri" w:cs="Calibri"/>
          <w:sz w:val="22"/>
          <w:szCs w:val="22"/>
        </w:rPr>
        <w:t>;26:242</w:t>
      </w:r>
      <w:proofErr w:type="gramEnd"/>
      <w:r w:rsidRPr="00DB001A">
        <w:rPr>
          <w:rFonts w:ascii="Calibri" w:hAnsi="Calibri" w:cs="Calibri"/>
          <w:sz w:val="22"/>
          <w:szCs w:val="22"/>
        </w:rPr>
        <w:t>–5.</w:t>
      </w:r>
    </w:p>
    <w:p w14:paraId="0B35E0BE" w14:textId="77777777" w:rsidR="0021531F" w:rsidRPr="00DB001A" w:rsidRDefault="0021531F" w:rsidP="00DB001A">
      <w:pPr>
        <w:spacing w:line="276" w:lineRule="auto"/>
        <w:rPr>
          <w:rFonts w:ascii="Calibri" w:hAnsi="Calibri" w:cs="Calibri"/>
          <w:sz w:val="22"/>
          <w:szCs w:val="22"/>
        </w:rPr>
      </w:pPr>
    </w:p>
    <w:p w14:paraId="6167AB4C" w14:textId="7F8435E4" w:rsidR="00DB001A" w:rsidRPr="00DB001A" w:rsidRDefault="00DB001A" w:rsidP="00DB001A">
      <w:pPr>
        <w:spacing w:line="276" w:lineRule="auto"/>
        <w:rPr>
          <w:rFonts w:ascii="Calibri" w:hAnsi="Calibri" w:cs="Calibri"/>
          <w:sz w:val="22"/>
          <w:szCs w:val="22"/>
        </w:rPr>
      </w:pPr>
      <w:r w:rsidRPr="00DB001A">
        <w:rPr>
          <w:rFonts w:ascii="Calibri" w:hAnsi="Calibri" w:cs="Calibri"/>
          <w:sz w:val="22"/>
          <w:szCs w:val="22"/>
        </w:rPr>
        <w:t>[94] Kantoff PW, Higano CS</w:t>
      </w:r>
      <w:r w:rsidR="00FF02E0">
        <w:rPr>
          <w:rFonts w:ascii="Calibri" w:hAnsi="Calibri" w:cs="Calibri"/>
          <w:sz w:val="22"/>
          <w:szCs w:val="22"/>
        </w:rPr>
        <w:t xml:space="preserve">, Shore ND, et al. Sipuleucel-T </w:t>
      </w:r>
      <w:r w:rsidRPr="00DB001A">
        <w:rPr>
          <w:rFonts w:ascii="Calibri" w:hAnsi="Calibri" w:cs="Calibri"/>
          <w:sz w:val="22"/>
          <w:szCs w:val="22"/>
        </w:rPr>
        <w:t>immunotherapy for castration-resi</w:t>
      </w:r>
      <w:r w:rsidR="00FF02E0">
        <w:rPr>
          <w:rFonts w:ascii="Calibri" w:hAnsi="Calibri" w:cs="Calibri"/>
          <w:sz w:val="22"/>
          <w:szCs w:val="22"/>
        </w:rPr>
        <w:t xml:space="preserve">stant prostate cancer. N Engl J </w:t>
      </w:r>
      <w:r w:rsidRPr="00DB001A">
        <w:rPr>
          <w:rFonts w:ascii="Calibri" w:hAnsi="Calibri" w:cs="Calibri"/>
          <w:sz w:val="22"/>
          <w:szCs w:val="22"/>
        </w:rPr>
        <w:t>Med 2010</w:t>
      </w:r>
      <w:proofErr w:type="gramStart"/>
      <w:r w:rsidRPr="00DB001A">
        <w:rPr>
          <w:rFonts w:ascii="Calibri" w:hAnsi="Calibri" w:cs="Calibri"/>
          <w:sz w:val="22"/>
          <w:szCs w:val="22"/>
        </w:rPr>
        <w:t>;363:411</w:t>
      </w:r>
      <w:proofErr w:type="gramEnd"/>
      <w:r w:rsidRPr="00DB001A">
        <w:rPr>
          <w:rFonts w:ascii="Calibri" w:hAnsi="Calibri" w:cs="Calibri"/>
          <w:sz w:val="22"/>
          <w:szCs w:val="22"/>
        </w:rPr>
        <w:t>–22.</w:t>
      </w:r>
    </w:p>
    <w:p w14:paraId="1B9BAAB5" w14:textId="69A5EA19" w:rsidR="00DB001A" w:rsidRPr="00DB001A" w:rsidRDefault="00DB001A" w:rsidP="00DB001A">
      <w:pPr>
        <w:spacing w:line="276" w:lineRule="auto"/>
        <w:rPr>
          <w:rFonts w:ascii="Calibri" w:hAnsi="Calibri" w:cs="Calibri"/>
          <w:sz w:val="22"/>
          <w:szCs w:val="22"/>
        </w:rPr>
      </w:pPr>
      <w:r w:rsidRPr="00DB001A">
        <w:rPr>
          <w:rFonts w:ascii="Calibri" w:hAnsi="Calibri" w:cs="Calibri"/>
          <w:sz w:val="22"/>
          <w:szCs w:val="22"/>
        </w:rPr>
        <w:lastRenderedPageBreak/>
        <w:t>[95] de Bono JS, De Giorgi U, Rodrigues</w:t>
      </w:r>
      <w:r w:rsidR="00FF02E0">
        <w:rPr>
          <w:rFonts w:ascii="Calibri" w:hAnsi="Calibri" w:cs="Calibri"/>
          <w:sz w:val="22"/>
          <w:szCs w:val="22"/>
        </w:rPr>
        <w:t xml:space="preserve"> DN, et al. Randomized phase II </w:t>
      </w:r>
      <w:r w:rsidRPr="00DB001A">
        <w:rPr>
          <w:rFonts w:ascii="Calibri" w:hAnsi="Calibri" w:cs="Calibri"/>
          <w:sz w:val="22"/>
          <w:szCs w:val="22"/>
        </w:rPr>
        <w:t>study evaluating Akt blockade w</w:t>
      </w:r>
      <w:r w:rsidR="00FF02E0">
        <w:rPr>
          <w:rFonts w:ascii="Calibri" w:hAnsi="Calibri" w:cs="Calibri"/>
          <w:sz w:val="22"/>
          <w:szCs w:val="22"/>
        </w:rPr>
        <w:t xml:space="preserve">ith ipatasertib, in combination </w:t>
      </w:r>
      <w:r w:rsidRPr="00DB001A">
        <w:rPr>
          <w:rFonts w:ascii="Calibri" w:hAnsi="Calibri" w:cs="Calibri"/>
          <w:sz w:val="22"/>
          <w:szCs w:val="22"/>
        </w:rPr>
        <w:t>with abiraterone, in patients with metastatic prostate cancer with</w:t>
      </w:r>
    </w:p>
    <w:p w14:paraId="3DF0A5F0" w14:textId="29296FA6" w:rsidR="00DB001A" w:rsidRDefault="00DB001A" w:rsidP="00DB001A">
      <w:pPr>
        <w:spacing w:line="276" w:lineRule="auto"/>
        <w:rPr>
          <w:rFonts w:ascii="Calibri" w:hAnsi="Calibri" w:cs="Calibri"/>
          <w:sz w:val="22"/>
          <w:szCs w:val="22"/>
        </w:rPr>
      </w:pPr>
      <w:proofErr w:type="gramStart"/>
      <w:r w:rsidRPr="00DB001A">
        <w:rPr>
          <w:rFonts w:ascii="Calibri" w:hAnsi="Calibri" w:cs="Calibri"/>
          <w:sz w:val="22"/>
          <w:szCs w:val="22"/>
        </w:rPr>
        <w:t>and</w:t>
      </w:r>
      <w:proofErr w:type="gramEnd"/>
      <w:r w:rsidRPr="00DB001A">
        <w:rPr>
          <w:rFonts w:ascii="Calibri" w:hAnsi="Calibri" w:cs="Calibri"/>
          <w:sz w:val="22"/>
          <w:szCs w:val="22"/>
        </w:rPr>
        <w:t xml:space="preserve"> without PTEN loss. Clin Cancer Res 2019</w:t>
      </w:r>
      <w:proofErr w:type="gramStart"/>
      <w:r w:rsidRPr="00DB001A">
        <w:rPr>
          <w:rFonts w:ascii="Calibri" w:hAnsi="Calibri" w:cs="Calibri"/>
          <w:sz w:val="22"/>
          <w:szCs w:val="22"/>
        </w:rPr>
        <w:t>;25:928</w:t>
      </w:r>
      <w:proofErr w:type="gramEnd"/>
      <w:r w:rsidRPr="00DB001A">
        <w:rPr>
          <w:rFonts w:ascii="Calibri" w:hAnsi="Calibri" w:cs="Calibri"/>
          <w:sz w:val="22"/>
          <w:szCs w:val="22"/>
        </w:rPr>
        <w:t>–36.</w:t>
      </w:r>
    </w:p>
    <w:p w14:paraId="35ACFD2F" w14:textId="77777777" w:rsidR="0021531F" w:rsidRPr="00DB001A" w:rsidRDefault="0021531F" w:rsidP="00DB001A">
      <w:pPr>
        <w:spacing w:line="276" w:lineRule="auto"/>
        <w:rPr>
          <w:rFonts w:ascii="Calibri" w:hAnsi="Calibri" w:cs="Calibri"/>
          <w:sz w:val="22"/>
          <w:szCs w:val="22"/>
        </w:rPr>
      </w:pPr>
    </w:p>
    <w:p w14:paraId="23911AF9" w14:textId="4D2B7138" w:rsidR="00DB001A" w:rsidRPr="00DB001A" w:rsidRDefault="00DB001A" w:rsidP="00DB001A">
      <w:pPr>
        <w:spacing w:line="276" w:lineRule="auto"/>
        <w:rPr>
          <w:rFonts w:ascii="Calibri" w:hAnsi="Calibri" w:cs="Calibri"/>
          <w:sz w:val="22"/>
          <w:szCs w:val="22"/>
        </w:rPr>
      </w:pPr>
      <w:r w:rsidRPr="00DB001A">
        <w:rPr>
          <w:rFonts w:ascii="Calibri" w:hAnsi="Calibri" w:cs="Calibri"/>
          <w:sz w:val="22"/>
          <w:szCs w:val="22"/>
        </w:rPr>
        <w:t>[96] Sweeney C, Bracarda S, Sternb</w:t>
      </w:r>
      <w:r w:rsidR="00FF02E0">
        <w:rPr>
          <w:rFonts w:ascii="Calibri" w:hAnsi="Calibri" w:cs="Calibri"/>
          <w:sz w:val="22"/>
          <w:szCs w:val="22"/>
        </w:rPr>
        <w:t xml:space="preserve">erg CN, et al. Ipatasertib plus </w:t>
      </w:r>
      <w:r w:rsidRPr="00DB001A">
        <w:rPr>
          <w:rFonts w:ascii="Calibri" w:hAnsi="Calibri" w:cs="Calibri"/>
          <w:sz w:val="22"/>
          <w:szCs w:val="22"/>
        </w:rPr>
        <w:t xml:space="preserve">abiraterone and prednisolone in </w:t>
      </w:r>
      <w:r w:rsidR="00FF02E0">
        <w:rPr>
          <w:rFonts w:ascii="Calibri" w:hAnsi="Calibri" w:cs="Calibri"/>
          <w:sz w:val="22"/>
          <w:szCs w:val="22"/>
        </w:rPr>
        <w:t xml:space="preserve">metastatic castration-resistant </w:t>
      </w:r>
      <w:r w:rsidRPr="00DB001A">
        <w:rPr>
          <w:rFonts w:ascii="Calibri" w:hAnsi="Calibri" w:cs="Calibri"/>
          <w:sz w:val="22"/>
          <w:szCs w:val="22"/>
        </w:rPr>
        <w:t>prostate cancer (IPATential150): a multicentre, randomised,</w:t>
      </w:r>
    </w:p>
    <w:p w14:paraId="10C47C28" w14:textId="1DCDCDEF" w:rsidR="00DB001A" w:rsidRDefault="00DB001A" w:rsidP="00DB001A">
      <w:pPr>
        <w:spacing w:line="276" w:lineRule="auto"/>
        <w:rPr>
          <w:rFonts w:ascii="Calibri" w:hAnsi="Calibri" w:cs="Calibri"/>
          <w:sz w:val="22"/>
          <w:szCs w:val="22"/>
        </w:rPr>
      </w:pPr>
      <w:proofErr w:type="gramStart"/>
      <w:r w:rsidRPr="00DB001A">
        <w:rPr>
          <w:rFonts w:ascii="Calibri" w:hAnsi="Calibri" w:cs="Calibri"/>
          <w:sz w:val="22"/>
          <w:szCs w:val="22"/>
        </w:rPr>
        <w:t>double-blind</w:t>
      </w:r>
      <w:proofErr w:type="gramEnd"/>
      <w:r w:rsidRPr="00DB001A">
        <w:rPr>
          <w:rFonts w:ascii="Calibri" w:hAnsi="Calibri" w:cs="Calibri"/>
          <w:sz w:val="22"/>
          <w:szCs w:val="22"/>
        </w:rPr>
        <w:t>, phase 3 trial. Lancet 2021</w:t>
      </w:r>
      <w:proofErr w:type="gramStart"/>
      <w:r w:rsidRPr="00DB001A">
        <w:rPr>
          <w:rFonts w:ascii="Calibri" w:hAnsi="Calibri" w:cs="Calibri"/>
          <w:sz w:val="22"/>
          <w:szCs w:val="22"/>
        </w:rPr>
        <w:t>;398:131</w:t>
      </w:r>
      <w:proofErr w:type="gramEnd"/>
      <w:r w:rsidRPr="00DB001A">
        <w:rPr>
          <w:rFonts w:ascii="Calibri" w:hAnsi="Calibri" w:cs="Calibri"/>
          <w:sz w:val="22"/>
          <w:szCs w:val="22"/>
        </w:rPr>
        <w:t>–42.</w:t>
      </w:r>
    </w:p>
    <w:p w14:paraId="7B62046A" w14:textId="77777777" w:rsidR="0021531F" w:rsidRPr="00DB001A" w:rsidRDefault="0021531F" w:rsidP="00DB001A">
      <w:pPr>
        <w:spacing w:line="276" w:lineRule="auto"/>
        <w:rPr>
          <w:rFonts w:ascii="Calibri" w:hAnsi="Calibri" w:cs="Calibri"/>
          <w:sz w:val="22"/>
          <w:szCs w:val="22"/>
        </w:rPr>
      </w:pPr>
    </w:p>
    <w:p w14:paraId="1FE1421A" w14:textId="0F083D2D" w:rsidR="00DB001A" w:rsidRDefault="00DB001A" w:rsidP="00DB001A">
      <w:pPr>
        <w:spacing w:line="276" w:lineRule="auto"/>
        <w:rPr>
          <w:rFonts w:ascii="Calibri" w:hAnsi="Calibri" w:cs="Calibri"/>
          <w:sz w:val="22"/>
          <w:szCs w:val="22"/>
        </w:rPr>
      </w:pPr>
      <w:r w:rsidRPr="00DB001A">
        <w:rPr>
          <w:rFonts w:ascii="Calibri" w:hAnsi="Calibri" w:cs="Calibri"/>
          <w:sz w:val="22"/>
          <w:szCs w:val="22"/>
        </w:rPr>
        <w:t>[97] Clarke NW, Armstrong AJ, Thiery-</w:t>
      </w:r>
      <w:r w:rsidR="00FF02E0">
        <w:rPr>
          <w:rFonts w:ascii="Calibri" w:hAnsi="Calibri" w:cs="Calibri"/>
          <w:sz w:val="22"/>
          <w:szCs w:val="22"/>
        </w:rPr>
        <w:t xml:space="preserve">Vuillemin A, et al. Abiraterone </w:t>
      </w:r>
      <w:r w:rsidRPr="00DB001A">
        <w:rPr>
          <w:rFonts w:ascii="Calibri" w:hAnsi="Calibri" w:cs="Calibri"/>
          <w:sz w:val="22"/>
          <w:szCs w:val="22"/>
        </w:rPr>
        <w:t>and olaparib for metastatic castra</w:t>
      </w:r>
      <w:r w:rsidR="00FF02E0">
        <w:rPr>
          <w:rFonts w:ascii="Calibri" w:hAnsi="Calibri" w:cs="Calibri"/>
          <w:sz w:val="22"/>
          <w:szCs w:val="22"/>
        </w:rPr>
        <w:t xml:space="preserve">tion-resistant prostate cancer. </w:t>
      </w:r>
      <w:r w:rsidRPr="00DB001A">
        <w:rPr>
          <w:rFonts w:ascii="Calibri" w:hAnsi="Calibri" w:cs="Calibri"/>
          <w:sz w:val="22"/>
          <w:szCs w:val="22"/>
        </w:rPr>
        <w:t>NEJM Evid 2022</w:t>
      </w:r>
      <w:proofErr w:type="gramStart"/>
      <w:r w:rsidRPr="00DB001A">
        <w:rPr>
          <w:rFonts w:ascii="Calibri" w:hAnsi="Calibri" w:cs="Calibri"/>
          <w:sz w:val="22"/>
          <w:szCs w:val="22"/>
        </w:rPr>
        <w:t>;1:EVIDoa2200043</w:t>
      </w:r>
      <w:proofErr w:type="gramEnd"/>
      <w:r w:rsidRPr="00DB001A">
        <w:rPr>
          <w:rFonts w:ascii="Calibri" w:hAnsi="Calibri" w:cs="Calibri"/>
          <w:sz w:val="22"/>
          <w:szCs w:val="22"/>
        </w:rPr>
        <w:t>.</w:t>
      </w:r>
    </w:p>
    <w:p w14:paraId="4A1FA251" w14:textId="77777777" w:rsidR="0021531F" w:rsidRPr="00DB001A" w:rsidRDefault="0021531F" w:rsidP="00DB001A">
      <w:pPr>
        <w:spacing w:line="276" w:lineRule="auto"/>
        <w:rPr>
          <w:rFonts w:ascii="Calibri" w:hAnsi="Calibri" w:cs="Calibri"/>
          <w:sz w:val="22"/>
          <w:szCs w:val="22"/>
        </w:rPr>
      </w:pPr>
    </w:p>
    <w:p w14:paraId="1AF3D045" w14:textId="43698E46" w:rsidR="00DB001A" w:rsidRDefault="00DB001A" w:rsidP="00DB001A">
      <w:pPr>
        <w:spacing w:line="276" w:lineRule="auto"/>
        <w:rPr>
          <w:rFonts w:ascii="Calibri" w:hAnsi="Calibri" w:cs="Calibri"/>
          <w:sz w:val="22"/>
          <w:szCs w:val="22"/>
        </w:rPr>
      </w:pPr>
      <w:r w:rsidRPr="00DB001A">
        <w:rPr>
          <w:rFonts w:ascii="Calibri" w:hAnsi="Calibri" w:cs="Calibri"/>
          <w:sz w:val="22"/>
          <w:szCs w:val="22"/>
        </w:rPr>
        <w:t>[98] Saad F, Clarke NW, Oya M, et al. O</w:t>
      </w:r>
      <w:r w:rsidR="00FF02E0">
        <w:rPr>
          <w:rFonts w:ascii="Calibri" w:hAnsi="Calibri" w:cs="Calibri"/>
          <w:sz w:val="22"/>
          <w:szCs w:val="22"/>
        </w:rPr>
        <w:t xml:space="preserve">laparib plus abiraterone versus </w:t>
      </w:r>
      <w:r w:rsidRPr="00DB001A">
        <w:rPr>
          <w:rFonts w:ascii="Calibri" w:hAnsi="Calibri" w:cs="Calibri"/>
          <w:sz w:val="22"/>
          <w:szCs w:val="22"/>
        </w:rPr>
        <w:t xml:space="preserve">placebo plus abiraterone in </w:t>
      </w:r>
      <w:r w:rsidR="00FF02E0">
        <w:rPr>
          <w:rFonts w:ascii="Calibri" w:hAnsi="Calibri" w:cs="Calibri"/>
          <w:sz w:val="22"/>
          <w:szCs w:val="22"/>
        </w:rPr>
        <w:t xml:space="preserve">metastatic castration-resistant </w:t>
      </w:r>
      <w:r w:rsidRPr="00DB001A">
        <w:rPr>
          <w:rFonts w:ascii="Calibri" w:hAnsi="Calibri" w:cs="Calibri"/>
          <w:sz w:val="22"/>
          <w:szCs w:val="22"/>
        </w:rPr>
        <w:t>prostate cancer (PROpel): fina</w:t>
      </w:r>
      <w:r w:rsidR="00FF02E0">
        <w:rPr>
          <w:rFonts w:ascii="Calibri" w:hAnsi="Calibri" w:cs="Calibri"/>
          <w:sz w:val="22"/>
          <w:szCs w:val="22"/>
        </w:rPr>
        <w:t xml:space="preserve">l prespecified overall survival </w:t>
      </w:r>
      <w:r w:rsidRPr="00DB001A">
        <w:rPr>
          <w:rFonts w:ascii="Calibri" w:hAnsi="Calibri" w:cs="Calibri"/>
          <w:sz w:val="22"/>
          <w:szCs w:val="22"/>
        </w:rPr>
        <w:t>results of a randomised, double-bli</w:t>
      </w:r>
      <w:r w:rsidR="00FF02E0">
        <w:rPr>
          <w:rFonts w:ascii="Calibri" w:hAnsi="Calibri" w:cs="Calibri"/>
          <w:sz w:val="22"/>
          <w:szCs w:val="22"/>
        </w:rPr>
        <w:t xml:space="preserve">nd, phase 3 trial. Lancet Oncol </w:t>
      </w:r>
      <w:r w:rsidRPr="00DB001A">
        <w:rPr>
          <w:rFonts w:ascii="Calibri" w:hAnsi="Calibri" w:cs="Calibri"/>
          <w:sz w:val="22"/>
          <w:szCs w:val="22"/>
        </w:rPr>
        <w:t>2023</w:t>
      </w:r>
      <w:proofErr w:type="gramStart"/>
      <w:r w:rsidRPr="00DB001A">
        <w:rPr>
          <w:rFonts w:ascii="Calibri" w:hAnsi="Calibri" w:cs="Calibri"/>
          <w:sz w:val="22"/>
          <w:szCs w:val="22"/>
        </w:rPr>
        <w:t>;24:1094</w:t>
      </w:r>
      <w:proofErr w:type="gramEnd"/>
      <w:r w:rsidRPr="00DB001A">
        <w:rPr>
          <w:rFonts w:ascii="Calibri" w:hAnsi="Calibri" w:cs="Calibri"/>
          <w:sz w:val="22"/>
          <w:szCs w:val="22"/>
        </w:rPr>
        <w:t>–108.</w:t>
      </w:r>
    </w:p>
    <w:p w14:paraId="4383E6C0" w14:textId="77777777" w:rsidR="0021531F" w:rsidRPr="00DB001A" w:rsidRDefault="0021531F" w:rsidP="00DB001A">
      <w:pPr>
        <w:spacing w:line="276" w:lineRule="auto"/>
        <w:rPr>
          <w:rFonts w:ascii="Calibri" w:hAnsi="Calibri" w:cs="Calibri"/>
          <w:sz w:val="22"/>
          <w:szCs w:val="22"/>
        </w:rPr>
      </w:pPr>
    </w:p>
    <w:p w14:paraId="3A61BC7E" w14:textId="3142AD4B" w:rsidR="00DB001A" w:rsidRDefault="00DB001A" w:rsidP="00DB001A">
      <w:pPr>
        <w:spacing w:line="276" w:lineRule="auto"/>
        <w:rPr>
          <w:rFonts w:ascii="Calibri" w:hAnsi="Calibri" w:cs="Calibri"/>
          <w:sz w:val="22"/>
          <w:szCs w:val="22"/>
        </w:rPr>
      </w:pPr>
      <w:r w:rsidRPr="00DB001A">
        <w:rPr>
          <w:rFonts w:ascii="Calibri" w:hAnsi="Calibri" w:cs="Calibri"/>
          <w:sz w:val="22"/>
          <w:szCs w:val="22"/>
        </w:rPr>
        <w:t>[99] European Medicines Agency. Ly</w:t>
      </w:r>
      <w:r w:rsidR="00FF02E0">
        <w:rPr>
          <w:rFonts w:ascii="Calibri" w:hAnsi="Calibri" w:cs="Calibri"/>
          <w:sz w:val="22"/>
          <w:szCs w:val="22"/>
        </w:rPr>
        <w:t xml:space="preserve">nparza (olaparib). </w:t>
      </w:r>
      <w:hyperlink r:id="rId7" w:history="1">
        <w:r w:rsidR="0021531F" w:rsidRPr="00E2405D">
          <w:rPr>
            <w:rStyle w:val="Hyperlink"/>
            <w:rFonts w:ascii="Calibri" w:hAnsi="Calibri" w:cs="Calibri"/>
            <w:sz w:val="22"/>
            <w:szCs w:val="22"/>
          </w:rPr>
          <w:t>https://www.ema.europa.eu/en/medicines/human/EPAR/lynparza</w:t>
        </w:r>
      </w:hyperlink>
      <w:r w:rsidRPr="00DB001A">
        <w:rPr>
          <w:rFonts w:ascii="Calibri" w:hAnsi="Calibri" w:cs="Calibri"/>
          <w:sz w:val="22"/>
          <w:szCs w:val="22"/>
        </w:rPr>
        <w:t>.</w:t>
      </w:r>
    </w:p>
    <w:p w14:paraId="2FDAA80C" w14:textId="77777777" w:rsidR="0021531F" w:rsidRPr="00DB001A" w:rsidRDefault="0021531F" w:rsidP="00DB001A">
      <w:pPr>
        <w:spacing w:line="276" w:lineRule="auto"/>
        <w:rPr>
          <w:rFonts w:ascii="Calibri" w:hAnsi="Calibri" w:cs="Calibri"/>
          <w:sz w:val="22"/>
          <w:szCs w:val="22"/>
        </w:rPr>
      </w:pPr>
    </w:p>
    <w:p w14:paraId="0D2D7026" w14:textId="0EC09A44" w:rsidR="00DB001A" w:rsidRPr="00DB001A" w:rsidRDefault="00DB001A" w:rsidP="00DB001A">
      <w:pPr>
        <w:spacing w:line="276" w:lineRule="auto"/>
        <w:rPr>
          <w:rFonts w:ascii="Calibri" w:hAnsi="Calibri" w:cs="Calibri"/>
          <w:sz w:val="22"/>
          <w:szCs w:val="22"/>
        </w:rPr>
      </w:pPr>
      <w:r w:rsidRPr="00DB001A">
        <w:rPr>
          <w:rFonts w:ascii="Calibri" w:hAnsi="Calibri" w:cs="Calibri"/>
          <w:sz w:val="22"/>
          <w:szCs w:val="22"/>
        </w:rPr>
        <w:t>[100] US Food and Drug Administration</w:t>
      </w:r>
      <w:r w:rsidR="00FF02E0">
        <w:rPr>
          <w:rFonts w:ascii="Calibri" w:hAnsi="Calibri" w:cs="Calibri"/>
          <w:sz w:val="22"/>
          <w:szCs w:val="22"/>
        </w:rPr>
        <w:t xml:space="preserve">. D.I.S.C.O. burst edition: FDA </w:t>
      </w:r>
      <w:r w:rsidRPr="00DB001A">
        <w:rPr>
          <w:rFonts w:ascii="Calibri" w:hAnsi="Calibri" w:cs="Calibri"/>
          <w:sz w:val="22"/>
          <w:szCs w:val="22"/>
        </w:rPr>
        <w:t>approval of Lynparza (olaparib), w</w:t>
      </w:r>
      <w:r w:rsidR="00FF02E0">
        <w:rPr>
          <w:rFonts w:ascii="Calibri" w:hAnsi="Calibri" w:cs="Calibri"/>
          <w:sz w:val="22"/>
          <w:szCs w:val="22"/>
        </w:rPr>
        <w:t xml:space="preserve">ith abiraterone and prednisone, </w:t>
      </w:r>
      <w:r w:rsidRPr="00DB001A">
        <w:rPr>
          <w:rFonts w:ascii="Calibri" w:hAnsi="Calibri" w:cs="Calibri"/>
          <w:sz w:val="22"/>
          <w:szCs w:val="22"/>
        </w:rPr>
        <w:t>for BRCA-mutated metastatic castration-resistant prostate cancer.</w:t>
      </w:r>
    </w:p>
    <w:p w14:paraId="5FCBB73E" w14:textId="4509DE97" w:rsidR="00DB001A" w:rsidRDefault="00DB001A" w:rsidP="00DB001A">
      <w:pPr>
        <w:spacing w:line="276" w:lineRule="auto"/>
        <w:rPr>
          <w:rFonts w:ascii="Calibri" w:hAnsi="Calibri" w:cs="Calibri"/>
          <w:sz w:val="22"/>
          <w:szCs w:val="22"/>
        </w:rPr>
      </w:pPr>
      <w:r w:rsidRPr="00DB001A">
        <w:rPr>
          <w:rFonts w:ascii="Calibri" w:hAnsi="Calibri" w:cs="Calibri"/>
          <w:sz w:val="22"/>
          <w:szCs w:val="22"/>
        </w:rPr>
        <w:t xml:space="preserve">2023. </w:t>
      </w:r>
      <w:hyperlink r:id="rId8" w:history="1">
        <w:r w:rsidR="0021531F" w:rsidRPr="00E2405D">
          <w:rPr>
            <w:rStyle w:val="Hyperlink"/>
            <w:rFonts w:ascii="Calibri" w:hAnsi="Calibri" w:cs="Calibri"/>
            <w:sz w:val="22"/>
            <w:szCs w:val="22"/>
          </w:rPr>
          <w:t>https://www.fda.gov/drugs/resources-informationapproved-drugs/fda-disco-burst-edition-fda-approval-lynparzaolaparib-abiraterone-and-prednisone-brca-mutated</w:t>
        </w:r>
      </w:hyperlink>
      <w:r w:rsidRPr="00DB001A">
        <w:rPr>
          <w:rFonts w:ascii="Calibri" w:hAnsi="Calibri" w:cs="Calibri"/>
          <w:sz w:val="22"/>
          <w:szCs w:val="22"/>
        </w:rPr>
        <w:t>.</w:t>
      </w:r>
    </w:p>
    <w:p w14:paraId="7158DF62" w14:textId="77777777" w:rsidR="0021531F" w:rsidRPr="00DB001A" w:rsidRDefault="0021531F" w:rsidP="00DB001A">
      <w:pPr>
        <w:spacing w:line="276" w:lineRule="auto"/>
        <w:rPr>
          <w:rFonts w:ascii="Calibri" w:hAnsi="Calibri" w:cs="Calibri"/>
          <w:sz w:val="22"/>
          <w:szCs w:val="22"/>
        </w:rPr>
      </w:pPr>
    </w:p>
    <w:p w14:paraId="65A04911" w14:textId="50A1F4DE" w:rsidR="00DB001A" w:rsidRPr="00DB001A" w:rsidRDefault="00DB001A" w:rsidP="00DB001A">
      <w:pPr>
        <w:spacing w:line="276" w:lineRule="auto"/>
        <w:rPr>
          <w:rFonts w:ascii="Calibri" w:hAnsi="Calibri" w:cs="Calibri"/>
          <w:sz w:val="22"/>
          <w:szCs w:val="22"/>
        </w:rPr>
      </w:pPr>
      <w:r w:rsidRPr="00DB001A">
        <w:rPr>
          <w:rFonts w:ascii="Calibri" w:hAnsi="Calibri" w:cs="Calibri"/>
          <w:sz w:val="22"/>
          <w:szCs w:val="22"/>
        </w:rPr>
        <w:t xml:space="preserve">[101] Chi KN, Rathkopf DE, Smith MR, </w:t>
      </w:r>
      <w:r w:rsidR="00FF02E0">
        <w:rPr>
          <w:rFonts w:ascii="Calibri" w:hAnsi="Calibri" w:cs="Calibri"/>
          <w:sz w:val="22"/>
          <w:szCs w:val="22"/>
        </w:rPr>
        <w:t xml:space="preserve">et al. Phase 3 MAGNITUDE study: </w:t>
      </w:r>
      <w:r w:rsidRPr="00DB001A">
        <w:rPr>
          <w:rFonts w:ascii="Calibri" w:hAnsi="Calibri" w:cs="Calibri"/>
          <w:sz w:val="22"/>
          <w:szCs w:val="22"/>
        </w:rPr>
        <w:t>first results of niraparib (NIR</w:t>
      </w:r>
      <w:r w:rsidR="00FF02E0">
        <w:rPr>
          <w:rFonts w:ascii="Calibri" w:hAnsi="Calibri" w:cs="Calibri"/>
          <w:sz w:val="22"/>
          <w:szCs w:val="22"/>
        </w:rPr>
        <w:t xml:space="preserve">A) with abiraterone acetate and </w:t>
      </w:r>
      <w:r w:rsidRPr="00DB001A">
        <w:rPr>
          <w:rFonts w:ascii="Calibri" w:hAnsi="Calibri" w:cs="Calibri"/>
          <w:sz w:val="22"/>
          <w:szCs w:val="22"/>
        </w:rPr>
        <w:t>prednisone (AAP) as first-line therapy in patients (pts) with</w:t>
      </w:r>
    </w:p>
    <w:p w14:paraId="2CC3335B" w14:textId="77777777" w:rsidR="0021531F" w:rsidRDefault="00DB001A" w:rsidP="00DB001A">
      <w:pPr>
        <w:spacing w:line="276" w:lineRule="auto"/>
        <w:rPr>
          <w:rFonts w:ascii="Calibri" w:hAnsi="Calibri" w:cs="Calibri"/>
          <w:sz w:val="22"/>
          <w:szCs w:val="22"/>
        </w:rPr>
      </w:pPr>
      <w:proofErr w:type="gramStart"/>
      <w:r w:rsidRPr="00DB001A">
        <w:rPr>
          <w:rFonts w:ascii="Calibri" w:hAnsi="Calibri" w:cs="Calibri"/>
          <w:sz w:val="22"/>
          <w:szCs w:val="22"/>
        </w:rPr>
        <w:t>metastatic</w:t>
      </w:r>
      <w:proofErr w:type="gramEnd"/>
      <w:r w:rsidRPr="00DB001A">
        <w:rPr>
          <w:rFonts w:ascii="Calibri" w:hAnsi="Calibri" w:cs="Calibri"/>
          <w:sz w:val="22"/>
          <w:szCs w:val="22"/>
        </w:rPr>
        <w:t xml:space="preserve"> castration-resistant p</w:t>
      </w:r>
      <w:r w:rsidR="00FF02E0">
        <w:rPr>
          <w:rFonts w:ascii="Calibri" w:hAnsi="Calibri" w:cs="Calibri"/>
          <w:sz w:val="22"/>
          <w:szCs w:val="22"/>
        </w:rPr>
        <w:t xml:space="preserve">rostate cancer (mCRPC) with and </w:t>
      </w:r>
      <w:r w:rsidRPr="00DB001A">
        <w:rPr>
          <w:rFonts w:ascii="Calibri" w:hAnsi="Calibri" w:cs="Calibri"/>
          <w:sz w:val="22"/>
          <w:szCs w:val="22"/>
        </w:rPr>
        <w:t>without homologous recombination</w:t>
      </w:r>
      <w:r w:rsidR="00FF02E0">
        <w:rPr>
          <w:rFonts w:ascii="Calibri" w:hAnsi="Calibri" w:cs="Calibri"/>
          <w:sz w:val="22"/>
          <w:szCs w:val="22"/>
        </w:rPr>
        <w:t xml:space="preserve"> repair (HRR) gene alterations.</w:t>
      </w:r>
      <w:r w:rsidRPr="00DB001A">
        <w:rPr>
          <w:rFonts w:ascii="Calibri" w:hAnsi="Calibri" w:cs="Calibri"/>
          <w:sz w:val="22"/>
          <w:szCs w:val="22"/>
        </w:rPr>
        <w:t>J Clin Oncol 2022;40(6 Sup</w:t>
      </w:r>
      <w:r w:rsidR="00FF02E0">
        <w:rPr>
          <w:rFonts w:ascii="Calibri" w:hAnsi="Calibri" w:cs="Calibri"/>
          <w:sz w:val="22"/>
          <w:szCs w:val="22"/>
        </w:rPr>
        <w:t xml:space="preserve">pl):2. </w:t>
      </w:r>
    </w:p>
    <w:p w14:paraId="210E779F" w14:textId="6900342D" w:rsidR="00DB001A" w:rsidRDefault="0021531F" w:rsidP="00DB001A">
      <w:pPr>
        <w:spacing w:line="276" w:lineRule="auto"/>
        <w:rPr>
          <w:rFonts w:ascii="Calibri" w:hAnsi="Calibri" w:cs="Calibri"/>
          <w:sz w:val="22"/>
          <w:szCs w:val="22"/>
        </w:rPr>
      </w:pPr>
      <w:hyperlink r:id="rId9" w:history="1">
        <w:r w:rsidRPr="00E2405D">
          <w:rPr>
            <w:rStyle w:val="Hyperlink"/>
            <w:rFonts w:ascii="Calibri" w:hAnsi="Calibri" w:cs="Calibri"/>
            <w:sz w:val="22"/>
            <w:szCs w:val="22"/>
          </w:rPr>
          <w:t>https://doi.org/10.1200/JCO.2022.40.6_suppl.012</w:t>
        </w:r>
      </w:hyperlink>
      <w:r w:rsidR="00DB001A" w:rsidRPr="00DB001A">
        <w:rPr>
          <w:rFonts w:ascii="Calibri" w:hAnsi="Calibri" w:cs="Calibri"/>
          <w:sz w:val="22"/>
          <w:szCs w:val="22"/>
        </w:rPr>
        <w:t>.</w:t>
      </w:r>
    </w:p>
    <w:p w14:paraId="70AC7EDC" w14:textId="77777777" w:rsidR="0021531F" w:rsidRPr="00DB001A" w:rsidRDefault="0021531F" w:rsidP="00DB001A">
      <w:pPr>
        <w:spacing w:line="276" w:lineRule="auto"/>
        <w:rPr>
          <w:rFonts w:ascii="Calibri" w:hAnsi="Calibri" w:cs="Calibri"/>
          <w:sz w:val="22"/>
          <w:szCs w:val="22"/>
        </w:rPr>
      </w:pPr>
    </w:p>
    <w:p w14:paraId="6D2E2533" w14:textId="35A11740" w:rsidR="00DB001A" w:rsidRDefault="00DB001A" w:rsidP="00DB001A">
      <w:pPr>
        <w:spacing w:line="276" w:lineRule="auto"/>
        <w:rPr>
          <w:rFonts w:ascii="Calibri" w:hAnsi="Calibri" w:cs="Calibri"/>
          <w:sz w:val="22"/>
          <w:szCs w:val="22"/>
        </w:rPr>
      </w:pPr>
      <w:r w:rsidRPr="00DB001A">
        <w:rPr>
          <w:rFonts w:ascii="Calibri" w:hAnsi="Calibri" w:cs="Calibri"/>
          <w:sz w:val="22"/>
          <w:szCs w:val="22"/>
        </w:rPr>
        <w:t>[102] Chi KN, Sandhu S, Smith MR, et</w:t>
      </w:r>
      <w:r w:rsidR="00FF02E0">
        <w:rPr>
          <w:rFonts w:ascii="Calibri" w:hAnsi="Calibri" w:cs="Calibri"/>
          <w:sz w:val="22"/>
          <w:szCs w:val="22"/>
        </w:rPr>
        <w:t xml:space="preserve"> al. Niraparib plus abiraterone </w:t>
      </w:r>
      <w:r w:rsidRPr="00DB001A">
        <w:rPr>
          <w:rFonts w:ascii="Calibri" w:hAnsi="Calibri" w:cs="Calibri"/>
          <w:sz w:val="22"/>
          <w:szCs w:val="22"/>
        </w:rPr>
        <w:t>acetate with prednisone in patients with metastatic castration</w:t>
      </w:r>
      <w:r w:rsidR="00FF02E0">
        <w:rPr>
          <w:rFonts w:ascii="Calibri" w:hAnsi="Calibri" w:cs="Calibri"/>
          <w:sz w:val="22"/>
          <w:szCs w:val="22"/>
        </w:rPr>
        <w:t xml:space="preserve"> resistant </w:t>
      </w:r>
      <w:r w:rsidRPr="00DB001A">
        <w:rPr>
          <w:rFonts w:ascii="Calibri" w:hAnsi="Calibri" w:cs="Calibri"/>
          <w:sz w:val="22"/>
          <w:szCs w:val="22"/>
        </w:rPr>
        <w:t xml:space="preserve">prostate cancer and </w:t>
      </w:r>
      <w:r w:rsidR="00FF02E0">
        <w:rPr>
          <w:rFonts w:ascii="Calibri" w:hAnsi="Calibri" w:cs="Calibri"/>
          <w:sz w:val="22"/>
          <w:szCs w:val="22"/>
        </w:rPr>
        <w:t xml:space="preserve">homologous recombination repair </w:t>
      </w:r>
      <w:r w:rsidRPr="00DB001A">
        <w:rPr>
          <w:rFonts w:ascii="Calibri" w:hAnsi="Calibri" w:cs="Calibri"/>
          <w:sz w:val="22"/>
          <w:szCs w:val="22"/>
        </w:rPr>
        <w:t>gene alterations: second interim analysis of the random</w:t>
      </w:r>
      <w:r w:rsidR="00FF02E0">
        <w:rPr>
          <w:rFonts w:ascii="Calibri" w:hAnsi="Calibri" w:cs="Calibri"/>
          <w:sz w:val="22"/>
          <w:szCs w:val="22"/>
        </w:rPr>
        <w:t xml:space="preserve">ized phase </w:t>
      </w:r>
      <w:r w:rsidRPr="00DB001A">
        <w:rPr>
          <w:rFonts w:ascii="Calibri" w:hAnsi="Calibri" w:cs="Calibri"/>
          <w:sz w:val="22"/>
          <w:szCs w:val="22"/>
        </w:rPr>
        <w:t>III MAGNITUDE trial. Ann Oncol 2023</w:t>
      </w:r>
      <w:proofErr w:type="gramStart"/>
      <w:r w:rsidRPr="00DB001A">
        <w:rPr>
          <w:rFonts w:ascii="Calibri" w:hAnsi="Calibri" w:cs="Calibri"/>
          <w:sz w:val="22"/>
          <w:szCs w:val="22"/>
        </w:rPr>
        <w:t>;34:772</w:t>
      </w:r>
      <w:proofErr w:type="gramEnd"/>
      <w:r w:rsidRPr="00DB001A">
        <w:rPr>
          <w:rFonts w:ascii="Calibri" w:hAnsi="Calibri" w:cs="Calibri"/>
          <w:sz w:val="22"/>
          <w:szCs w:val="22"/>
        </w:rPr>
        <w:t>–82.</w:t>
      </w:r>
    </w:p>
    <w:p w14:paraId="0005C01B" w14:textId="77777777" w:rsidR="0021531F" w:rsidRPr="00DB001A" w:rsidRDefault="0021531F" w:rsidP="00DB001A">
      <w:pPr>
        <w:spacing w:line="276" w:lineRule="auto"/>
        <w:rPr>
          <w:rFonts w:ascii="Calibri" w:hAnsi="Calibri" w:cs="Calibri"/>
          <w:sz w:val="22"/>
          <w:szCs w:val="22"/>
        </w:rPr>
      </w:pPr>
    </w:p>
    <w:p w14:paraId="6561B1B7" w14:textId="2B6551D2" w:rsidR="00DB001A" w:rsidRDefault="00DB001A" w:rsidP="00DB001A">
      <w:pPr>
        <w:spacing w:line="276" w:lineRule="auto"/>
        <w:rPr>
          <w:rFonts w:ascii="Calibri" w:hAnsi="Calibri" w:cs="Calibri"/>
          <w:sz w:val="22"/>
          <w:szCs w:val="22"/>
        </w:rPr>
      </w:pPr>
      <w:r w:rsidRPr="00DB001A">
        <w:rPr>
          <w:rFonts w:ascii="Calibri" w:hAnsi="Calibri" w:cs="Calibri"/>
          <w:sz w:val="22"/>
          <w:szCs w:val="22"/>
        </w:rPr>
        <w:t xml:space="preserve">[103] European Medicines Agency. </w:t>
      </w:r>
      <w:r w:rsidR="00FF02E0">
        <w:rPr>
          <w:rFonts w:ascii="Calibri" w:hAnsi="Calibri" w:cs="Calibri"/>
          <w:sz w:val="22"/>
          <w:szCs w:val="22"/>
        </w:rPr>
        <w:t xml:space="preserve">Akeega. </w:t>
      </w:r>
      <w:hyperlink r:id="rId10" w:history="1">
        <w:r w:rsidR="0021531F" w:rsidRPr="00E2405D">
          <w:rPr>
            <w:rStyle w:val="Hyperlink"/>
            <w:rFonts w:ascii="Calibri" w:hAnsi="Calibri" w:cs="Calibri"/>
            <w:sz w:val="22"/>
            <w:szCs w:val="22"/>
          </w:rPr>
          <w:t>https://www.ema.europa.eu/en/medicines/human/EPAR/akeega</w:t>
        </w:r>
      </w:hyperlink>
      <w:r w:rsidRPr="00DB001A">
        <w:rPr>
          <w:rFonts w:ascii="Calibri" w:hAnsi="Calibri" w:cs="Calibri"/>
          <w:sz w:val="22"/>
          <w:szCs w:val="22"/>
        </w:rPr>
        <w:t>.</w:t>
      </w:r>
    </w:p>
    <w:p w14:paraId="182554F2" w14:textId="77777777" w:rsidR="0021531F" w:rsidRPr="00DB001A" w:rsidRDefault="0021531F" w:rsidP="00DB001A">
      <w:pPr>
        <w:spacing w:line="276" w:lineRule="auto"/>
        <w:rPr>
          <w:rFonts w:ascii="Calibri" w:hAnsi="Calibri" w:cs="Calibri"/>
          <w:sz w:val="22"/>
          <w:szCs w:val="22"/>
        </w:rPr>
      </w:pPr>
    </w:p>
    <w:p w14:paraId="634984CA" w14:textId="61F41615" w:rsidR="00DB001A" w:rsidRDefault="00DB001A" w:rsidP="00DB001A">
      <w:pPr>
        <w:spacing w:line="276" w:lineRule="auto"/>
        <w:rPr>
          <w:rFonts w:ascii="Calibri" w:hAnsi="Calibri" w:cs="Calibri"/>
          <w:sz w:val="22"/>
          <w:szCs w:val="22"/>
        </w:rPr>
      </w:pPr>
      <w:r w:rsidRPr="00DB001A">
        <w:rPr>
          <w:rFonts w:ascii="Calibri" w:hAnsi="Calibri" w:cs="Calibri"/>
          <w:sz w:val="22"/>
          <w:szCs w:val="22"/>
        </w:rPr>
        <w:t>[104] Agarwal N, Azad AA, Carles J, et al</w:t>
      </w:r>
      <w:r w:rsidR="00FF02E0">
        <w:rPr>
          <w:rFonts w:ascii="Calibri" w:hAnsi="Calibri" w:cs="Calibri"/>
          <w:sz w:val="22"/>
          <w:szCs w:val="22"/>
        </w:rPr>
        <w:t xml:space="preserve">. Talazoparib plus enzalutamide </w:t>
      </w:r>
      <w:r w:rsidRPr="00DB001A">
        <w:rPr>
          <w:rFonts w:ascii="Calibri" w:hAnsi="Calibri" w:cs="Calibri"/>
          <w:sz w:val="22"/>
          <w:szCs w:val="22"/>
        </w:rPr>
        <w:t>in men with first-line metastati</w:t>
      </w:r>
      <w:r w:rsidR="00FF02E0">
        <w:rPr>
          <w:rFonts w:ascii="Calibri" w:hAnsi="Calibri" w:cs="Calibri"/>
          <w:sz w:val="22"/>
          <w:szCs w:val="22"/>
        </w:rPr>
        <w:t xml:space="preserve">c castration-resistant prostate </w:t>
      </w:r>
      <w:r w:rsidRPr="00DB001A">
        <w:rPr>
          <w:rFonts w:ascii="Calibri" w:hAnsi="Calibri" w:cs="Calibri"/>
          <w:sz w:val="22"/>
          <w:szCs w:val="22"/>
        </w:rPr>
        <w:t>cancer (TALAPRO-2): a randomis</w:t>
      </w:r>
      <w:r w:rsidR="00FF02E0">
        <w:rPr>
          <w:rFonts w:ascii="Calibri" w:hAnsi="Calibri" w:cs="Calibri"/>
          <w:sz w:val="22"/>
          <w:szCs w:val="22"/>
        </w:rPr>
        <w:t xml:space="preserve">ed, placebo-controlled, phase 3 </w:t>
      </w:r>
      <w:r w:rsidRPr="00DB001A">
        <w:rPr>
          <w:rFonts w:ascii="Calibri" w:hAnsi="Calibri" w:cs="Calibri"/>
          <w:sz w:val="22"/>
          <w:szCs w:val="22"/>
        </w:rPr>
        <w:t>trial. Lancet 2023</w:t>
      </w:r>
      <w:proofErr w:type="gramStart"/>
      <w:r w:rsidRPr="00DB001A">
        <w:rPr>
          <w:rFonts w:ascii="Calibri" w:hAnsi="Calibri" w:cs="Calibri"/>
          <w:sz w:val="22"/>
          <w:szCs w:val="22"/>
        </w:rPr>
        <w:t>;402:291</w:t>
      </w:r>
      <w:proofErr w:type="gramEnd"/>
      <w:r w:rsidRPr="00DB001A">
        <w:rPr>
          <w:rFonts w:ascii="Calibri" w:hAnsi="Calibri" w:cs="Calibri"/>
          <w:sz w:val="22"/>
          <w:szCs w:val="22"/>
        </w:rPr>
        <w:t>–303.</w:t>
      </w:r>
    </w:p>
    <w:p w14:paraId="6C001C09" w14:textId="77777777" w:rsidR="0021531F" w:rsidRPr="00DB001A" w:rsidRDefault="0021531F" w:rsidP="00DB001A">
      <w:pPr>
        <w:spacing w:line="276" w:lineRule="auto"/>
        <w:rPr>
          <w:rFonts w:ascii="Calibri" w:hAnsi="Calibri" w:cs="Calibri"/>
          <w:sz w:val="22"/>
          <w:szCs w:val="22"/>
        </w:rPr>
      </w:pPr>
    </w:p>
    <w:p w14:paraId="163E2944" w14:textId="7EEE8F70" w:rsidR="00DB001A" w:rsidRPr="00DB001A" w:rsidRDefault="00DB001A" w:rsidP="00DB001A">
      <w:pPr>
        <w:spacing w:line="276" w:lineRule="auto"/>
        <w:rPr>
          <w:rFonts w:ascii="Calibri" w:hAnsi="Calibri" w:cs="Calibri"/>
          <w:sz w:val="22"/>
          <w:szCs w:val="22"/>
        </w:rPr>
      </w:pPr>
      <w:r w:rsidRPr="00DB001A">
        <w:rPr>
          <w:rFonts w:ascii="Calibri" w:hAnsi="Calibri" w:cs="Calibri"/>
          <w:sz w:val="22"/>
          <w:szCs w:val="22"/>
        </w:rPr>
        <w:t xml:space="preserve">[105] Fizazi K, Azad AA, Matsubara N, et </w:t>
      </w:r>
      <w:r w:rsidR="00FF02E0">
        <w:rPr>
          <w:rFonts w:ascii="Calibri" w:hAnsi="Calibri" w:cs="Calibri"/>
          <w:sz w:val="22"/>
          <w:szCs w:val="22"/>
        </w:rPr>
        <w:t xml:space="preserve">al. First-line talazoparib with </w:t>
      </w:r>
      <w:r w:rsidRPr="00DB001A">
        <w:rPr>
          <w:rFonts w:ascii="Calibri" w:hAnsi="Calibri" w:cs="Calibri"/>
          <w:sz w:val="22"/>
          <w:szCs w:val="22"/>
        </w:rPr>
        <w:t xml:space="preserve">enzalutamide in HRR-deficient </w:t>
      </w:r>
      <w:r w:rsidR="00FF02E0">
        <w:rPr>
          <w:rFonts w:ascii="Calibri" w:hAnsi="Calibri" w:cs="Calibri"/>
          <w:sz w:val="22"/>
          <w:szCs w:val="22"/>
        </w:rPr>
        <w:t xml:space="preserve">metastatic castration-resistant </w:t>
      </w:r>
      <w:r w:rsidRPr="00DB001A">
        <w:rPr>
          <w:rFonts w:ascii="Calibri" w:hAnsi="Calibri" w:cs="Calibri"/>
          <w:sz w:val="22"/>
          <w:szCs w:val="22"/>
        </w:rPr>
        <w:t>prostate cancer: the phase 3 TALAPRO-2 trial. Nat Med</w:t>
      </w:r>
    </w:p>
    <w:p w14:paraId="69C1DFBB" w14:textId="77777777" w:rsidR="00DB001A" w:rsidRPr="00DB001A" w:rsidRDefault="00DB001A" w:rsidP="00DB001A">
      <w:pPr>
        <w:spacing w:line="276" w:lineRule="auto"/>
        <w:rPr>
          <w:rFonts w:ascii="Calibri" w:hAnsi="Calibri" w:cs="Calibri"/>
          <w:sz w:val="22"/>
          <w:szCs w:val="22"/>
        </w:rPr>
      </w:pPr>
      <w:r w:rsidRPr="00DB001A">
        <w:rPr>
          <w:rFonts w:ascii="Calibri" w:hAnsi="Calibri" w:cs="Calibri"/>
          <w:sz w:val="22"/>
          <w:szCs w:val="22"/>
        </w:rPr>
        <w:t>2024</w:t>
      </w:r>
      <w:proofErr w:type="gramStart"/>
      <w:r w:rsidRPr="00DB001A">
        <w:rPr>
          <w:rFonts w:ascii="Calibri" w:hAnsi="Calibri" w:cs="Calibri"/>
          <w:sz w:val="22"/>
          <w:szCs w:val="22"/>
        </w:rPr>
        <w:t>;30:257</w:t>
      </w:r>
      <w:proofErr w:type="gramEnd"/>
      <w:r w:rsidRPr="00DB001A">
        <w:rPr>
          <w:rFonts w:ascii="Calibri" w:hAnsi="Calibri" w:cs="Calibri"/>
          <w:sz w:val="22"/>
          <w:szCs w:val="22"/>
        </w:rPr>
        <w:t>–64.</w:t>
      </w:r>
    </w:p>
    <w:p w14:paraId="5780FC3A" w14:textId="718330A8" w:rsidR="00DB001A" w:rsidRDefault="00DB001A" w:rsidP="00DB001A">
      <w:pPr>
        <w:spacing w:line="276" w:lineRule="auto"/>
        <w:rPr>
          <w:rFonts w:ascii="Calibri" w:hAnsi="Calibri" w:cs="Calibri"/>
          <w:sz w:val="22"/>
          <w:szCs w:val="22"/>
        </w:rPr>
      </w:pPr>
      <w:r w:rsidRPr="00DB001A">
        <w:rPr>
          <w:rFonts w:ascii="Calibri" w:hAnsi="Calibri" w:cs="Calibri"/>
          <w:sz w:val="22"/>
          <w:szCs w:val="22"/>
        </w:rPr>
        <w:lastRenderedPageBreak/>
        <w:t>[106] US Food and Drug Administration</w:t>
      </w:r>
      <w:r w:rsidR="00FF02E0">
        <w:rPr>
          <w:rFonts w:ascii="Calibri" w:hAnsi="Calibri" w:cs="Calibri"/>
          <w:sz w:val="22"/>
          <w:szCs w:val="22"/>
        </w:rPr>
        <w:t xml:space="preserve">. FDA approves talazoparib with </w:t>
      </w:r>
      <w:r w:rsidRPr="00DB001A">
        <w:rPr>
          <w:rFonts w:ascii="Calibri" w:hAnsi="Calibri" w:cs="Calibri"/>
          <w:sz w:val="22"/>
          <w:szCs w:val="22"/>
        </w:rPr>
        <w:t>enzalutamide for HRR gene-mutated metastatic castration</w:t>
      </w:r>
      <w:r w:rsidR="00FF02E0">
        <w:rPr>
          <w:rFonts w:ascii="Calibri" w:hAnsi="Calibri" w:cs="Calibri"/>
          <w:sz w:val="22"/>
          <w:szCs w:val="22"/>
        </w:rPr>
        <w:t xml:space="preserve"> resistant </w:t>
      </w:r>
      <w:r w:rsidRPr="00DB001A">
        <w:rPr>
          <w:rFonts w:ascii="Calibri" w:hAnsi="Calibri" w:cs="Calibri"/>
          <w:sz w:val="22"/>
          <w:szCs w:val="22"/>
        </w:rPr>
        <w:t>prostate cancer. F</w:t>
      </w:r>
      <w:r w:rsidR="00FF02E0">
        <w:rPr>
          <w:rFonts w:ascii="Calibri" w:hAnsi="Calibri" w:cs="Calibri"/>
          <w:sz w:val="22"/>
          <w:szCs w:val="22"/>
        </w:rPr>
        <w:t xml:space="preserve">DA, June 20, 2023. </w:t>
      </w:r>
      <w:hyperlink r:id="rId11" w:history="1">
        <w:r w:rsidR="00FF02E0" w:rsidRPr="008330EA">
          <w:rPr>
            <w:rStyle w:val="Hyperlink"/>
            <w:rFonts w:ascii="Calibri" w:hAnsi="Calibri" w:cs="Calibri"/>
            <w:sz w:val="22"/>
            <w:szCs w:val="22"/>
          </w:rPr>
          <w:t>https://www.fda.gov/drugs/drug-approvals-and-databases/fda-approvestalazoparib-</w:t>
        </w:r>
      </w:hyperlink>
      <w:r w:rsidR="00FF02E0">
        <w:rPr>
          <w:rFonts w:ascii="Calibri" w:hAnsi="Calibri" w:cs="Calibri"/>
          <w:sz w:val="22"/>
          <w:szCs w:val="22"/>
        </w:rPr>
        <w:t xml:space="preserve"> </w:t>
      </w:r>
      <w:r w:rsidRPr="00DB001A">
        <w:rPr>
          <w:rFonts w:ascii="Calibri" w:hAnsi="Calibri" w:cs="Calibri"/>
          <w:sz w:val="22"/>
          <w:szCs w:val="22"/>
        </w:rPr>
        <w:t>enzalutamide-hrr-gen</w:t>
      </w:r>
      <w:r w:rsidR="00FF02E0">
        <w:rPr>
          <w:rFonts w:ascii="Calibri" w:hAnsi="Calibri" w:cs="Calibri"/>
          <w:sz w:val="22"/>
          <w:szCs w:val="22"/>
        </w:rPr>
        <w:t>e-mutated-metastaticcastration-</w:t>
      </w:r>
      <w:r w:rsidRPr="00DB001A">
        <w:rPr>
          <w:rFonts w:ascii="Calibri" w:hAnsi="Calibri" w:cs="Calibri"/>
          <w:sz w:val="22"/>
          <w:szCs w:val="22"/>
        </w:rPr>
        <w:t>resistant-prostate.</w:t>
      </w:r>
    </w:p>
    <w:p w14:paraId="50EE86E7" w14:textId="77777777" w:rsidR="0021531F" w:rsidRPr="00DB001A" w:rsidRDefault="0021531F" w:rsidP="00DB001A">
      <w:pPr>
        <w:spacing w:line="276" w:lineRule="auto"/>
        <w:rPr>
          <w:rFonts w:ascii="Calibri" w:hAnsi="Calibri" w:cs="Calibri"/>
          <w:sz w:val="22"/>
          <w:szCs w:val="22"/>
        </w:rPr>
      </w:pPr>
    </w:p>
    <w:p w14:paraId="501A4B3C" w14:textId="79036628" w:rsidR="00DB001A" w:rsidRPr="00DB001A" w:rsidRDefault="00DB001A" w:rsidP="00DB001A">
      <w:pPr>
        <w:spacing w:line="276" w:lineRule="auto"/>
        <w:rPr>
          <w:rFonts w:ascii="Calibri" w:hAnsi="Calibri" w:cs="Calibri"/>
          <w:sz w:val="22"/>
          <w:szCs w:val="22"/>
        </w:rPr>
      </w:pPr>
      <w:r w:rsidRPr="00DB001A">
        <w:rPr>
          <w:rFonts w:ascii="Calibri" w:hAnsi="Calibri" w:cs="Calibri"/>
          <w:sz w:val="22"/>
          <w:szCs w:val="22"/>
        </w:rPr>
        <w:t>[107] European Medicines Agency. Talzenna - opinion on v</w:t>
      </w:r>
      <w:r w:rsidR="00FF02E0">
        <w:rPr>
          <w:rFonts w:ascii="Calibri" w:hAnsi="Calibri" w:cs="Calibri"/>
          <w:sz w:val="22"/>
          <w:szCs w:val="22"/>
        </w:rPr>
        <w:t>ariation to marketing authorisation. EMA November 23, 2023. https://www.</w:t>
      </w:r>
      <w:r w:rsidRPr="00DB001A">
        <w:rPr>
          <w:rFonts w:ascii="Calibri" w:hAnsi="Calibri" w:cs="Calibri"/>
          <w:sz w:val="22"/>
          <w:szCs w:val="22"/>
        </w:rPr>
        <w:t>ema.europa.eu/en/medicines/human/variation/talzenna.</w:t>
      </w:r>
    </w:p>
    <w:p w14:paraId="2F884CEA" w14:textId="3F983960" w:rsidR="00DB001A" w:rsidRDefault="00DB001A" w:rsidP="00DB001A">
      <w:pPr>
        <w:spacing w:line="276" w:lineRule="auto"/>
        <w:rPr>
          <w:rFonts w:ascii="Calibri" w:hAnsi="Calibri" w:cs="Calibri"/>
          <w:sz w:val="22"/>
          <w:szCs w:val="22"/>
        </w:rPr>
      </w:pPr>
      <w:r w:rsidRPr="00DB001A">
        <w:rPr>
          <w:rFonts w:ascii="Calibri" w:hAnsi="Calibri" w:cs="Calibri"/>
          <w:sz w:val="22"/>
          <w:szCs w:val="22"/>
        </w:rPr>
        <w:t>[108] Petrylak DP, Tangen CM, H</w:t>
      </w:r>
      <w:r w:rsidR="00FF02E0">
        <w:rPr>
          <w:rFonts w:ascii="Calibri" w:hAnsi="Calibri" w:cs="Calibri"/>
          <w:sz w:val="22"/>
          <w:szCs w:val="22"/>
        </w:rPr>
        <w:t xml:space="preserve">ussain MH, et al. Docetaxel and </w:t>
      </w:r>
      <w:r w:rsidRPr="00DB001A">
        <w:rPr>
          <w:rFonts w:ascii="Calibri" w:hAnsi="Calibri" w:cs="Calibri"/>
          <w:sz w:val="22"/>
          <w:szCs w:val="22"/>
        </w:rPr>
        <w:t xml:space="preserve">estramustine compared with </w:t>
      </w:r>
      <w:r w:rsidR="00FF02E0">
        <w:rPr>
          <w:rFonts w:ascii="Calibri" w:hAnsi="Calibri" w:cs="Calibri"/>
          <w:sz w:val="22"/>
          <w:szCs w:val="22"/>
        </w:rPr>
        <w:t xml:space="preserve">mitoxantrone and prednisone for </w:t>
      </w:r>
      <w:r w:rsidRPr="00DB001A">
        <w:rPr>
          <w:rFonts w:ascii="Calibri" w:hAnsi="Calibri" w:cs="Calibri"/>
          <w:sz w:val="22"/>
          <w:szCs w:val="22"/>
        </w:rPr>
        <w:t>advanced refractor</w:t>
      </w:r>
      <w:r w:rsidR="00FF02E0">
        <w:rPr>
          <w:rFonts w:ascii="Calibri" w:hAnsi="Calibri" w:cs="Calibri"/>
          <w:sz w:val="22"/>
          <w:szCs w:val="22"/>
        </w:rPr>
        <w:t xml:space="preserve">y prostate cancer. N Engl J Med </w:t>
      </w:r>
      <w:r w:rsidRPr="00DB001A">
        <w:rPr>
          <w:rFonts w:ascii="Calibri" w:hAnsi="Calibri" w:cs="Calibri"/>
          <w:sz w:val="22"/>
          <w:szCs w:val="22"/>
        </w:rPr>
        <w:t>2004</w:t>
      </w:r>
      <w:proofErr w:type="gramStart"/>
      <w:r w:rsidRPr="00DB001A">
        <w:rPr>
          <w:rFonts w:ascii="Calibri" w:hAnsi="Calibri" w:cs="Calibri"/>
          <w:sz w:val="22"/>
          <w:szCs w:val="22"/>
        </w:rPr>
        <w:t>;351:1513</w:t>
      </w:r>
      <w:proofErr w:type="gramEnd"/>
      <w:r w:rsidRPr="00DB001A">
        <w:rPr>
          <w:rFonts w:ascii="Calibri" w:hAnsi="Calibri" w:cs="Calibri"/>
          <w:sz w:val="22"/>
          <w:szCs w:val="22"/>
        </w:rPr>
        <w:t>–20.</w:t>
      </w:r>
    </w:p>
    <w:p w14:paraId="4DDDF35B" w14:textId="77777777" w:rsidR="0021531F" w:rsidRPr="00DB001A" w:rsidRDefault="0021531F" w:rsidP="00DB001A">
      <w:pPr>
        <w:spacing w:line="276" w:lineRule="auto"/>
        <w:rPr>
          <w:rFonts w:ascii="Calibri" w:hAnsi="Calibri" w:cs="Calibri"/>
          <w:sz w:val="22"/>
          <w:szCs w:val="22"/>
        </w:rPr>
      </w:pPr>
    </w:p>
    <w:p w14:paraId="525C2882" w14:textId="572C939A" w:rsidR="00DB001A" w:rsidRDefault="00DB001A" w:rsidP="00DB001A">
      <w:pPr>
        <w:spacing w:line="276" w:lineRule="auto"/>
        <w:rPr>
          <w:rFonts w:ascii="Calibri" w:hAnsi="Calibri" w:cs="Calibri"/>
          <w:sz w:val="22"/>
          <w:szCs w:val="22"/>
        </w:rPr>
      </w:pPr>
      <w:r w:rsidRPr="00DB001A">
        <w:rPr>
          <w:rFonts w:ascii="Calibri" w:hAnsi="Calibri" w:cs="Calibri"/>
          <w:sz w:val="22"/>
          <w:szCs w:val="22"/>
        </w:rPr>
        <w:t>[109] Ryan CJ, Smith MR, de Bono JS, e</w:t>
      </w:r>
      <w:r w:rsidR="00FF02E0">
        <w:rPr>
          <w:rFonts w:ascii="Calibri" w:hAnsi="Calibri" w:cs="Calibri"/>
          <w:sz w:val="22"/>
          <w:szCs w:val="22"/>
        </w:rPr>
        <w:t xml:space="preserve">t al. Abiraterone in metastatic </w:t>
      </w:r>
      <w:r w:rsidRPr="00DB001A">
        <w:rPr>
          <w:rFonts w:ascii="Calibri" w:hAnsi="Calibri" w:cs="Calibri"/>
          <w:sz w:val="22"/>
          <w:szCs w:val="22"/>
        </w:rPr>
        <w:t>prostate cancer without prev</w:t>
      </w:r>
      <w:r w:rsidR="00FF02E0">
        <w:rPr>
          <w:rFonts w:ascii="Calibri" w:hAnsi="Calibri" w:cs="Calibri"/>
          <w:sz w:val="22"/>
          <w:szCs w:val="22"/>
        </w:rPr>
        <w:t xml:space="preserve">ious chemotherapy. N Engl J Med </w:t>
      </w:r>
      <w:r w:rsidRPr="00DB001A">
        <w:rPr>
          <w:rFonts w:ascii="Calibri" w:hAnsi="Calibri" w:cs="Calibri"/>
          <w:sz w:val="22"/>
          <w:szCs w:val="22"/>
        </w:rPr>
        <w:t>2013</w:t>
      </w:r>
      <w:proofErr w:type="gramStart"/>
      <w:r w:rsidRPr="00DB001A">
        <w:rPr>
          <w:rFonts w:ascii="Calibri" w:hAnsi="Calibri" w:cs="Calibri"/>
          <w:sz w:val="22"/>
          <w:szCs w:val="22"/>
        </w:rPr>
        <w:t>;368:138</w:t>
      </w:r>
      <w:proofErr w:type="gramEnd"/>
      <w:r w:rsidRPr="00DB001A">
        <w:rPr>
          <w:rFonts w:ascii="Calibri" w:hAnsi="Calibri" w:cs="Calibri"/>
          <w:sz w:val="22"/>
          <w:szCs w:val="22"/>
        </w:rPr>
        <w:t>–48.</w:t>
      </w:r>
    </w:p>
    <w:p w14:paraId="642756F5" w14:textId="77777777" w:rsidR="0021531F" w:rsidRDefault="0021531F" w:rsidP="00DB001A">
      <w:pPr>
        <w:spacing w:line="276" w:lineRule="auto"/>
        <w:rPr>
          <w:rFonts w:ascii="Calibri" w:hAnsi="Calibri" w:cs="Calibri"/>
          <w:sz w:val="22"/>
          <w:szCs w:val="22"/>
        </w:rPr>
      </w:pPr>
    </w:p>
    <w:p w14:paraId="293694BB" w14:textId="25D0725A" w:rsidR="00A02B15" w:rsidRDefault="00A02B15" w:rsidP="00A02B15">
      <w:pPr>
        <w:spacing w:line="276" w:lineRule="auto"/>
        <w:rPr>
          <w:rFonts w:ascii="Calibri" w:hAnsi="Calibri" w:cs="Calibri"/>
          <w:sz w:val="22"/>
          <w:szCs w:val="22"/>
        </w:rPr>
      </w:pPr>
      <w:r w:rsidRPr="00A02B15">
        <w:rPr>
          <w:rFonts w:ascii="Calibri" w:hAnsi="Calibri" w:cs="Calibri"/>
          <w:sz w:val="22"/>
          <w:szCs w:val="22"/>
        </w:rPr>
        <w:t xml:space="preserve">[110] Rathkopf DE, Smith MR, de Bono JS, </w:t>
      </w:r>
      <w:r w:rsidR="00E5152A">
        <w:rPr>
          <w:rFonts w:ascii="Calibri" w:hAnsi="Calibri" w:cs="Calibri"/>
          <w:sz w:val="22"/>
          <w:szCs w:val="22"/>
        </w:rPr>
        <w:t xml:space="preserve">et al. Updated interim efficacy </w:t>
      </w:r>
      <w:r w:rsidRPr="00A02B15">
        <w:rPr>
          <w:rFonts w:ascii="Calibri" w:hAnsi="Calibri" w:cs="Calibri"/>
          <w:sz w:val="22"/>
          <w:szCs w:val="22"/>
        </w:rPr>
        <w:t>analysis and long-term safety of abiraterone acetate in metastatic</w:t>
      </w:r>
      <w:r w:rsidR="00E5152A">
        <w:rPr>
          <w:rFonts w:ascii="Calibri" w:hAnsi="Calibri" w:cs="Calibri"/>
          <w:sz w:val="22"/>
          <w:szCs w:val="22"/>
        </w:rPr>
        <w:t xml:space="preserve"> </w:t>
      </w:r>
      <w:r w:rsidRPr="00A02B15">
        <w:rPr>
          <w:rFonts w:ascii="Calibri" w:hAnsi="Calibri" w:cs="Calibri"/>
          <w:sz w:val="22"/>
          <w:szCs w:val="22"/>
        </w:rPr>
        <w:t>castration-resistant prostat</w:t>
      </w:r>
      <w:r w:rsidR="00E5152A">
        <w:rPr>
          <w:rFonts w:ascii="Calibri" w:hAnsi="Calibri" w:cs="Calibri"/>
          <w:sz w:val="22"/>
          <w:szCs w:val="22"/>
        </w:rPr>
        <w:t xml:space="preserve">e cancer patients without prior </w:t>
      </w:r>
      <w:r w:rsidRPr="00A02B15">
        <w:rPr>
          <w:rFonts w:ascii="Calibri" w:hAnsi="Calibri" w:cs="Calibri"/>
          <w:sz w:val="22"/>
          <w:szCs w:val="22"/>
        </w:rPr>
        <w:t>chemotherapy (COU-AA-302). Eur Urol 2014</w:t>
      </w:r>
      <w:proofErr w:type="gramStart"/>
      <w:r w:rsidRPr="00A02B15">
        <w:rPr>
          <w:rFonts w:ascii="Calibri" w:hAnsi="Calibri" w:cs="Calibri"/>
          <w:sz w:val="22"/>
          <w:szCs w:val="22"/>
        </w:rPr>
        <w:t>;66:815</w:t>
      </w:r>
      <w:proofErr w:type="gramEnd"/>
      <w:r w:rsidRPr="00A02B15">
        <w:rPr>
          <w:rFonts w:ascii="Calibri" w:hAnsi="Calibri" w:cs="Calibri"/>
          <w:sz w:val="22"/>
          <w:szCs w:val="22"/>
        </w:rPr>
        <w:t>–25.</w:t>
      </w:r>
    </w:p>
    <w:p w14:paraId="48BFBAC4" w14:textId="77777777" w:rsidR="0021531F" w:rsidRPr="00A02B15" w:rsidRDefault="0021531F" w:rsidP="00A02B15">
      <w:pPr>
        <w:spacing w:line="276" w:lineRule="auto"/>
        <w:rPr>
          <w:rFonts w:ascii="Calibri" w:hAnsi="Calibri" w:cs="Calibri"/>
          <w:sz w:val="22"/>
          <w:szCs w:val="22"/>
        </w:rPr>
      </w:pPr>
    </w:p>
    <w:p w14:paraId="0F268E36" w14:textId="5273386C"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[111] Small EJ, Schellhammer PF, Higan</w:t>
      </w:r>
      <w:r w:rsidR="00E5152A">
        <w:rPr>
          <w:rFonts w:ascii="Calibri" w:hAnsi="Calibri" w:cs="Calibri"/>
          <w:sz w:val="22"/>
          <w:szCs w:val="22"/>
        </w:rPr>
        <w:t xml:space="preserve">o CS, et al. Placebo-controlled </w:t>
      </w:r>
      <w:r w:rsidRPr="00A02B15">
        <w:rPr>
          <w:rFonts w:ascii="Calibri" w:hAnsi="Calibri" w:cs="Calibri"/>
          <w:sz w:val="22"/>
          <w:szCs w:val="22"/>
        </w:rPr>
        <w:t>phase III trial of immuno</w:t>
      </w:r>
      <w:r w:rsidR="00E5152A">
        <w:rPr>
          <w:rFonts w:ascii="Calibri" w:hAnsi="Calibri" w:cs="Calibri"/>
          <w:sz w:val="22"/>
          <w:szCs w:val="22"/>
        </w:rPr>
        <w:t xml:space="preserve">logic therapy with sipuleucel-T </w:t>
      </w:r>
      <w:r w:rsidRPr="00A02B15">
        <w:rPr>
          <w:rFonts w:ascii="Calibri" w:hAnsi="Calibri" w:cs="Calibri"/>
          <w:sz w:val="22"/>
          <w:szCs w:val="22"/>
        </w:rPr>
        <w:t>(APC8015) in patients with m</w:t>
      </w:r>
      <w:r w:rsidR="00E5152A">
        <w:rPr>
          <w:rFonts w:ascii="Calibri" w:hAnsi="Calibri" w:cs="Calibri"/>
          <w:sz w:val="22"/>
          <w:szCs w:val="22"/>
        </w:rPr>
        <w:t xml:space="preserve">etastatic, asymptomatic hormone </w:t>
      </w:r>
      <w:r w:rsidRPr="00A02B15">
        <w:rPr>
          <w:rFonts w:ascii="Calibri" w:hAnsi="Calibri" w:cs="Calibri"/>
          <w:sz w:val="22"/>
          <w:szCs w:val="22"/>
        </w:rPr>
        <w:t>refractory prostate cancer. J Clin Oncol 2006</w:t>
      </w:r>
      <w:proofErr w:type="gramStart"/>
      <w:r w:rsidRPr="00A02B15">
        <w:rPr>
          <w:rFonts w:ascii="Calibri" w:hAnsi="Calibri" w:cs="Calibri"/>
          <w:sz w:val="22"/>
          <w:szCs w:val="22"/>
        </w:rPr>
        <w:t>;24:3089</w:t>
      </w:r>
      <w:proofErr w:type="gramEnd"/>
      <w:r w:rsidRPr="00A02B15">
        <w:rPr>
          <w:rFonts w:ascii="Calibri" w:hAnsi="Calibri" w:cs="Calibri"/>
          <w:sz w:val="22"/>
          <w:szCs w:val="22"/>
        </w:rPr>
        <w:t>–94.</w:t>
      </w:r>
    </w:p>
    <w:p w14:paraId="2948693E" w14:textId="77777777" w:rsidR="0021531F" w:rsidRPr="00A02B15" w:rsidRDefault="0021531F" w:rsidP="00A02B15">
      <w:pPr>
        <w:spacing w:line="276" w:lineRule="auto"/>
        <w:rPr>
          <w:rFonts w:ascii="Calibri" w:hAnsi="Calibri" w:cs="Calibri"/>
          <w:sz w:val="22"/>
          <w:szCs w:val="22"/>
        </w:rPr>
      </w:pPr>
    </w:p>
    <w:p w14:paraId="5E5B41D2" w14:textId="51484B67"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[112] Chi KN, Rathkopf D, Smith MR, et</w:t>
      </w:r>
      <w:r w:rsidR="00E5152A">
        <w:rPr>
          <w:rFonts w:ascii="Calibri" w:hAnsi="Calibri" w:cs="Calibri"/>
          <w:sz w:val="22"/>
          <w:szCs w:val="22"/>
        </w:rPr>
        <w:t xml:space="preserve"> al. Niraparib and abiraterone acetate for metastatic </w:t>
      </w:r>
      <w:r w:rsidRPr="00A02B15">
        <w:rPr>
          <w:rFonts w:ascii="Calibri" w:hAnsi="Calibri" w:cs="Calibri"/>
          <w:sz w:val="22"/>
          <w:szCs w:val="22"/>
        </w:rPr>
        <w:t>castration-re</w:t>
      </w:r>
      <w:r w:rsidR="00E5152A">
        <w:rPr>
          <w:rFonts w:ascii="Calibri" w:hAnsi="Calibri" w:cs="Calibri"/>
          <w:sz w:val="22"/>
          <w:szCs w:val="22"/>
        </w:rPr>
        <w:t xml:space="preserve">sistant prostate cancer. J Clin </w:t>
      </w:r>
      <w:r w:rsidRPr="00A02B15">
        <w:rPr>
          <w:rFonts w:ascii="Calibri" w:hAnsi="Calibri" w:cs="Calibri"/>
          <w:sz w:val="22"/>
          <w:szCs w:val="22"/>
        </w:rPr>
        <w:t>Oncol 2023</w:t>
      </w:r>
      <w:proofErr w:type="gramStart"/>
      <w:r w:rsidRPr="00A02B15">
        <w:rPr>
          <w:rFonts w:ascii="Calibri" w:hAnsi="Calibri" w:cs="Calibri"/>
          <w:sz w:val="22"/>
          <w:szCs w:val="22"/>
        </w:rPr>
        <w:t>;41:3339</w:t>
      </w:r>
      <w:proofErr w:type="gramEnd"/>
      <w:r w:rsidRPr="00A02B15">
        <w:rPr>
          <w:rFonts w:ascii="Calibri" w:hAnsi="Calibri" w:cs="Calibri"/>
          <w:sz w:val="22"/>
          <w:szCs w:val="22"/>
        </w:rPr>
        <w:t>–51.</w:t>
      </w:r>
    </w:p>
    <w:p w14:paraId="5D818A6E" w14:textId="77777777" w:rsidR="0021531F" w:rsidRPr="00A02B15" w:rsidRDefault="0021531F" w:rsidP="00A02B15">
      <w:pPr>
        <w:spacing w:line="276" w:lineRule="auto"/>
        <w:rPr>
          <w:rFonts w:ascii="Calibri" w:hAnsi="Calibri" w:cs="Calibri"/>
          <w:sz w:val="22"/>
          <w:szCs w:val="22"/>
        </w:rPr>
      </w:pPr>
    </w:p>
    <w:p w14:paraId="43458975" w14:textId="6F7097B0"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[113] de Bono JS, Oudard S, Ozgu</w:t>
      </w:r>
      <w:r w:rsidR="00E5152A">
        <w:rPr>
          <w:rFonts w:ascii="Calibri" w:hAnsi="Calibri" w:cs="Calibri"/>
          <w:sz w:val="22"/>
          <w:szCs w:val="22"/>
        </w:rPr>
        <w:t xml:space="preserve">roglu M, et al. Prednisone plus </w:t>
      </w:r>
      <w:r w:rsidRPr="00A02B15">
        <w:rPr>
          <w:rFonts w:ascii="Calibri" w:hAnsi="Calibri" w:cs="Calibri"/>
          <w:sz w:val="22"/>
          <w:szCs w:val="22"/>
        </w:rPr>
        <w:t xml:space="preserve">cabazitaxel or mitoxantrone for </w:t>
      </w:r>
      <w:r w:rsidR="00E5152A">
        <w:rPr>
          <w:rFonts w:ascii="Calibri" w:hAnsi="Calibri" w:cs="Calibri"/>
          <w:sz w:val="22"/>
          <w:szCs w:val="22"/>
        </w:rPr>
        <w:t xml:space="preserve">metastatic castration-resistant </w:t>
      </w:r>
      <w:r w:rsidRPr="00A02B15">
        <w:rPr>
          <w:rFonts w:ascii="Calibri" w:hAnsi="Calibri" w:cs="Calibri"/>
          <w:sz w:val="22"/>
          <w:szCs w:val="22"/>
        </w:rPr>
        <w:t>prostate cancer progressi</w:t>
      </w:r>
      <w:r w:rsidR="00E5152A">
        <w:rPr>
          <w:rFonts w:ascii="Calibri" w:hAnsi="Calibri" w:cs="Calibri"/>
          <w:sz w:val="22"/>
          <w:szCs w:val="22"/>
        </w:rPr>
        <w:t xml:space="preserve">ng after docetaxel treatment: a </w:t>
      </w:r>
      <w:r w:rsidRPr="00A02B15">
        <w:rPr>
          <w:rFonts w:ascii="Calibri" w:hAnsi="Calibri" w:cs="Calibri"/>
          <w:sz w:val="22"/>
          <w:szCs w:val="22"/>
        </w:rPr>
        <w:t>randomised open-label trial. Lancet 2010</w:t>
      </w:r>
      <w:proofErr w:type="gramStart"/>
      <w:r w:rsidRPr="00A02B15">
        <w:rPr>
          <w:rFonts w:ascii="Calibri" w:hAnsi="Calibri" w:cs="Calibri"/>
          <w:sz w:val="22"/>
          <w:szCs w:val="22"/>
        </w:rPr>
        <w:t>;376:1147</w:t>
      </w:r>
      <w:proofErr w:type="gramEnd"/>
      <w:r w:rsidRPr="00A02B15">
        <w:rPr>
          <w:rFonts w:ascii="Calibri" w:hAnsi="Calibri" w:cs="Calibri"/>
          <w:sz w:val="22"/>
          <w:szCs w:val="22"/>
        </w:rPr>
        <w:t>–54.</w:t>
      </w:r>
    </w:p>
    <w:p w14:paraId="4D78397E" w14:textId="77777777" w:rsidR="0021531F" w:rsidRPr="00A02B15" w:rsidRDefault="0021531F" w:rsidP="00A02B15">
      <w:pPr>
        <w:spacing w:line="276" w:lineRule="auto"/>
        <w:rPr>
          <w:rFonts w:ascii="Calibri" w:hAnsi="Calibri" w:cs="Calibri"/>
          <w:sz w:val="22"/>
          <w:szCs w:val="22"/>
        </w:rPr>
      </w:pPr>
    </w:p>
    <w:p w14:paraId="6C0CB809" w14:textId="550DB9D8"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[114] de Bono JS, Logothetis CJ, M</w:t>
      </w:r>
      <w:r w:rsidR="00E5152A">
        <w:rPr>
          <w:rFonts w:ascii="Calibri" w:hAnsi="Calibri" w:cs="Calibri"/>
          <w:sz w:val="22"/>
          <w:szCs w:val="22"/>
        </w:rPr>
        <w:t xml:space="preserve">olina A, et al. Abiraterone and </w:t>
      </w:r>
      <w:r w:rsidRPr="00A02B15">
        <w:rPr>
          <w:rFonts w:ascii="Calibri" w:hAnsi="Calibri" w:cs="Calibri"/>
          <w:sz w:val="22"/>
          <w:szCs w:val="22"/>
        </w:rPr>
        <w:t>increased survival in metastati</w:t>
      </w:r>
      <w:r w:rsidR="00E5152A">
        <w:rPr>
          <w:rFonts w:ascii="Calibri" w:hAnsi="Calibri" w:cs="Calibri"/>
          <w:sz w:val="22"/>
          <w:szCs w:val="22"/>
        </w:rPr>
        <w:t xml:space="preserve">c prostate cancer. N Engl J Med </w:t>
      </w:r>
      <w:r w:rsidRPr="00A02B15">
        <w:rPr>
          <w:rFonts w:ascii="Calibri" w:hAnsi="Calibri" w:cs="Calibri"/>
          <w:sz w:val="22"/>
          <w:szCs w:val="22"/>
        </w:rPr>
        <w:t>2011</w:t>
      </w:r>
      <w:proofErr w:type="gramStart"/>
      <w:r w:rsidRPr="00A02B15">
        <w:rPr>
          <w:rFonts w:ascii="Calibri" w:hAnsi="Calibri" w:cs="Calibri"/>
          <w:sz w:val="22"/>
          <w:szCs w:val="22"/>
        </w:rPr>
        <w:t>;364:1995</w:t>
      </w:r>
      <w:proofErr w:type="gramEnd"/>
      <w:r w:rsidRPr="00A02B15">
        <w:rPr>
          <w:rFonts w:ascii="Calibri" w:hAnsi="Calibri" w:cs="Calibri"/>
          <w:sz w:val="22"/>
          <w:szCs w:val="22"/>
        </w:rPr>
        <w:t>–2005.</w:t>
      </w:r>
    </w:p>
    <w:p w14:paraId="0A9F8523" w14:textId="77777777" w:rsidR="0021531F" w:rsidRPr="00A02B15" w:rsidRDefault="0021531F" w:rsidP="00A02B15">
      <w:pPr>
        <w:spacing w:line="276" w:lineRule="auto"/>
        <w:rPr>
          <w:rFonts w:ascii="Calibri" w:hAnsi="Calibri" w:cs="Calibri"/>
          <w:sz w:val="22"/>
          <w:szCs w:val="22"/>
        </w:rPr>
      </w:pPr>
    </w:p>
    <w:p w14:paraId="2D109218" w14:textId="2C30D5A1"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[115] Fizazi K, Scher HI, Molina A,</w:t>
      </w:r>
      <w:r w:rsidR="00E5152A">
        <w:rPr>
          <w:rFonts w:ascii="Calibri" w:hAnsi="Calibri" w:cs="Calibri"/>
          <w:sz w:val="22"/>
          <w:szCs w:val="22"/>
        </w:rPr>
        <w:t xml:space="preserve"> et al. Abiraterone acetate for </w:t>
      </w:r>
      <w:r w:rsidRPr="00A02B15">
        <w:rPr>
          <w:rFonts w:ascii="Calibri" w:hAnsi="Calibri" w:cs="Calibri"/>
          <w:sz w:val="22"/>
          <w:szCs w:val="22"/>
        </w:rPr>
        <w:t>treatment of metastatic castra</w:t>
      </w:r>
      <w:r w:rsidR="00E5152A">
        <w:rPr>
          <w:rFonts w:ascii="Calibri" w:hAnsi="Calibri" w:cs="Calibri"/>
          <w:sz w:val="22"/>
          <w:szCs w:val="22"/>
        </w:rPr>
        <w:t xml:space="preserve">tion-resistant prostate cancer: </w:t>
      </w:r>
      <w:r w:rsidRPr="00A02B15">
        <w:rPr>
          <w:rFonts w:ascii="Calibri" w:hAnsi="Calibri" w:cs="Calibri"/>
          <w:sz w:val="22"/>
          <w:szCs w:val="22"/>
        </w:rPr>
        <w:t>final overall survival analysi</w:t>
      </w:r>
      <w:r w:rsidR="00E5152A">
        <w:rPr>
          <w:rFonts w:ascii="Calibri" w:hAnsi="Calibri" w:cs="Calibri"/>
          <w:sz w:val="22"/>
          <w:szCs w:val="22"/>
        </w:rPr>
        <w:t xml:space="preserve">s of the COU-AA-301 randomised, </w:t>
      </w:r>
      <w:r w:rsidRPr="00A02B15">
        <w:rPr>
          <w:rFonts w:ascii="Calibri" w:hAnsi="Calibri" w:cs="Calibri"/>
          <w:sz w:val="22"/>
          <w:szCs w:val="22"/>
        </w:rPr>
        <w:t>double-blind, placebo-control</w:t>
      </w:r>
      <w:r w:rsidR="00E5152A">
        <w:rPr>
          <w:rFonts w:ascii="Calibri" w:hAnsi="Calibri" w:cs="Calibri"/>
          <w:sz w:val="22"/>
          <w:szCs w:val="22"/>
        </w:rPr>
        <w:t xml:space="preserve">led phase 3 study. Lancet Oncol </w:t>
      </w:r>
      <w:r w:rsidRPr="00A02B15">
        <w:rPr>
          <w:rFonts w:ascii="Calibri" w:hAnsi="Calibri" w:cs="Calibri"/>
          <w:sz w:val="22"/>
          <w:szCs w:val="22"/>
        </w:rPr>
        <w:t>2012</w:t>
      </w:r>
      <w:proofErr w:type="gramStart"/>
      <w:r w:rsidRPr="00A02B15">
        <w:rPr>
          <w:rFonts w:ascii="Calibri" w:hAnsi="Calibri" w:cs="Calibri"/>
          <w:sz w:val="22"/>
          <w:szCs w:val="22"/>
        </w:rPr>
        <w:t>;13:983</w:t>
      </w:r>
      <w:proofErr w:type="gramEnd"/>
      <w:r w:rsidRPr="00A02B15">
        <w:rPr>
          <w:rFonts w:ascii="Calibri" w:hAnsi="Calibri" w:cs="Calibri"/>
          <w:sz w:val="22"/>
          <w:szCs w:val="22"/>
        </w:rPr>
        <w:t>–92.</w:t>
      </w:r>
    </w:p>
    <w:p w14:paraId="68805A80" w14:textId="77777777" w:rsidR="0021531F" w:rsidRPr="00A02B15" w:rsidRDefault="0021531F" w:rsidP="00A02B15">
      <w:pPr>
        <w:spacing w:line="276" w:lineRule="auto"/>
        <w:rPr>
          <w:rFonts w:ascii="Calibri" w:hAnsi="Calibri" w:cs="Calibri"/>
          <w:sz w:val="22"/>
          <w:szCs w:val="22"/>
        </w:rPr>
      </w:pPr>
    </w:p>
    <w:p w14:paraId="55163B7B" w14:textId="42743A2A"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[116] Scher HI, Fizazi K, Saad F,</w:t>
      </w:r>
      <w:r w:rsidR="00E5152A">
        <w:rPr>
          <w:rFonts w:ascii="Calibri" w:hAnsi="Calibri" w:cs="Calibri"/>
          <w:sz w:val="22"/>
          <w:szCs w:val="22"/>
        </w:rPr>
        <w:t xml:space="preserve"> et al. Increased survival with </w:t>
      </w:r>
      <w:r w:rsidRPr="00A02B15">
        <w:rPr>
          <w:rFonts w:ascii="Calibri" w:hAnsi="Calibri" w:cs="Calibri"/>
          <w:sz w:val="22"/>
          <w:szCs w:val="22"/>
        </w:rPr>
        <w:t>enzalutamide in prostate canc</w:t>
      </w:r>
      <w:r w:rsidR="00E5152A">
        <w:rPr>
          <w:rFonts w:ascii="Calibri" w:hAnsi="Calibri" w:cs="Calibri"/>
          <w:sz w:val="22"/>
          <w:szCs w:val="22"/>
        </w:rPr>
        <w:t xml:space="preserve">er after chemotherapy. N Engl J </w:t>
      </w:r>
      <w:r w:rsidRPr="00A02B15">
        <w:rPr>
          <w:rFonts w:ascii="Calibri" w:hAnsi="Calibri" w:cs="Calibri"/>
          <w:sz w:val="22"/>
          <w:szCs w:val="22"/>
        </w:rPr>
        <w:t>Med 2012</w:t>
      </w:r>
      <w:proofErr w:type="gramStart"/>
      <w:r w:rsidRPr="00A02B15">
        <w:rPr>
          <w:rFonts w:ascii="Calibri" w:hAnsi="Calibri" w:cs="Calibri"/>
          <w:sz w:val="22"/>
          <w:szCs w:val="22"/>
        </w:rPr>
        <w:t>;367:1187</w:t>
      </w:r>
      <w:proofErr w:type="gramEnd"/>
      <w:r w:rsidRPr="00A02B15">
        <w:rPr>
          <w:rFonts w:ascii="Calibri" w:hAnsi="Calibri" w:cs="Calibri"/>
          <w:sz w:val="22"/>
          <w:szCs w:val="22"/>
        </w:rPr>
        <w:t>–97.</w:t>
      </w:r>
    </w:p>
    <w:p w14:paraId="7FE84002" w14:textId="77777777" w:rsidR="0021531F" w:rsidRPr="00A02B15" w:rsidRDefault="0021531F" w:rsidP="00A02B15">
      <w:pPr>
        <w:spacing w:line="276" w:lineRule="auto"/>
        <w:rPr>
          <w:rFonts w:ascii="Calibri" w:hAnsi="Calibri" w:cs="Calibri"/>
          <w:sz w:val="22"/>
          <w:szCs w:val="22"/>
        </w:rPr>
      </w:pPr>
    </w:p>
    <w:p w14:paraId="1549F035" w14:textId="0191A7A6"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[117] Beer TM, Armstrong AJ, Rathkop</w:t>
      </w:r>
      <w:r w:rsidR="00E5152A">
        <w:rPr>
          <w:rFonts w:ascii="Calibri" w:hAnsi="Calibri" w:cs="Calibri"/>
          <w:sz w:val="22"/>
          <w:szCs w:val="22"/>
        </w:rPr>
        <w:t xml:space="preserve">f D, et al. Enzalutamide in men </w:t>
      </w:r>
      <w:r w:rsidRPr="00A02B15">
        <w:rPr>
          <w:rFonts w:ascii="Calibri" w:hAnsi="Calibri" w:cs="Calibri"/>
          <w:sz w:val="22"/>
          <w:szCs w:val="22"/>
        </w:rPr>
        <w:t>with chemotherapy-naive metastati</w:t>
      </w:r>
      <w:r w:rsidR="00E5152A">
        <w:rPr>
          <w:rFonts w:ascii="Calibri" w:hAnsi="Calibri" w:cs="Calibri"/>
          <w:sz w:val="22"/>
          <w:szCs w:val="22"/>
        </w:rPr>
        <w:t xml:space="preserve">c castration-resistant prostate </w:t>
      </w:r>
      <w:r w:rsidRPr="00A02B15">
        <w:rPr>
          <w:rFonts w:ascii="Calibri" w:hAnsi="Calibri" w:cs="Calibri"/>
          <w:sz w:val="22"/>
          <w:szCs w:val="22"/>
        </w:rPr>
        <w:t xml:space="preserve">cancer: extended analysis of the </w:t>
      </w:r>
      <w:r w:rsidR="00E5152A">
        <w:rPr>
          <w:rFonts w:ascii="Calibri" w:hAnsi="Calibri" w:cs="Calibri"/>
          <w:sz w:val="22"/>
          <w:szCs w:val="22"/>
        </w:rPr>
        <w:t xml:space="preserve">phase 3 PREVAIL study. Eur Urol </w:t>
      </w:r>
      <w:r w:rsidRPr="00A02B15">
        <w:rPr>
          <w:rFonts w:ascii="Calibri" w:hAnsi="Calibri" w:cs="Calibri"/>
          <w:sz w:val="22"/>
          <w:szCs w:val="22"/>
        </w:rPr>
        <w:t>2017</w:t>
      </w:r>
      <w:proofErr w:type="gramStart"/>
      <w:r w:rsidRPr="00A02B15">
        <w:rPr>
          <w:rFonts w:ascii="Calibri" w:hAnsi="Calibri" w:cs="Calibri"/>
          <w:sz w:val="22"/>
          <w:szCs w:val="22"/>
        </w:rPr>
        <w:t>;71:151</w:t>
      </w:r>
      <w:proofErr w:type="gramEnd"/>
      <w:r w:rsidRPr="00A02B15">
        <w:rPr>
          <w:rFonts w:ascii="Calibri" w:hAnsi="Calibri" w:cs="Calibri"/>
          <w:sz w:val="22"/>
          <w:szCs w:val="22"/>
        </w:rPr>
        <w:t>–4.</w:t>
      </w:r>
    </w:p>
    <w:p w14:paraId="4BD92D3F" w14:textId="77777777" w:rsidR="0021531F" w:rsidRPr="00A02B15" w:rsidRDefault="0021531F" w:rsidP="00A02B15">
      <w:pPr>
        <w:spacing w:line="276" w:lineRule="auto"/>
        <w:rPr>
          <w:rFonts w:ascii="Calibri" w:hAnsi="Calibri" w:cs="Calibri"/>
          <w:sz w:val="22"/>
          <w:szCs w:val="22"/>
        </w:rPr>
      </w:pPr>
    </w:p>
    <w:p w14:paraId="10527D74" w14:textId="24204E9D" w:rsidR="00A02B15" w:rsidRDefault="00A02B15" w:rsidP="00A02B15">
      <w:pPr>
        <w:spacing w:line="276" w:lineRule="auto"/>
        <w:rPr>
          <w:rFonts w:ascii="Calibri" w:hAnsi="Calibri" w:cs="Calibri"/>
          <w:sz w:val="22"/>
          <w:szCs w:val="22"/>
        </w:rPr>
      </w:pPr>
      <w:r w:rsidRPr="00A02B15">
        <w:rPr>
          <w:rFonts w:ascii="Calibri" w:hAnsi="Calibri" w:cs="Calibri"/>
          <w:sz w:val="22"/>
          <w:szCs w:val="22"/>
        </w:rPr>
        <w:lastRenderedPageBreak/>
        <w:t xml:space="preserve">[118] Parker C, Nilsson S, Heinrich D, </w:t>
      </w:r>
      <w:r w:rsidR="00E5152A">
        <w:rPr>
          <w:rFonts w:ascii="Calibri" w:hAnsi="Calibri" w:cs="Calibri"/>
          <w:sz w:val="22"/>
          <w:szCs w:val="22"/>
        </w:rPr>
        <w:t xml:space="preserve">et al. Alpha emitter radium-223 </w:t>
      </w:r>
      <w:r w:rsidRPr="00A02B15">
        <w:rPr>
          <w:rFonts w:ascii="Calibri" w:hAnsi="Calibri" w:cs="Calibri"/>
          <w:sz w:val="22"/>
          <w:szCs w:val="22"/>
        </w:rPr>
        <w:t>and survival in metastatic prostate canc</w:t>
      </w:r>
      <w:r w:rsidR="00E5152A">
        <w:rPr>
          <w:rFonts w:ascii="Calibri" w:hAnsi="Calibri" w:cs="Calibri"/>
          <w:sz w:val="22"/>
          <w:szCs w:val="22"/>
        </w:rPr>
        <w:t xml:space="preserve">er. N Engl J Med </w:t>
      </w:r>
      <w:r w:rsidRPr="00A02B15">
        <w:rPr>
          <w:rFonts w:ascii="Calibri" w:hAnsi="Calibri" w:cs="Calibri"/>
          <w:sz w:val="22"/>
          <w:szCs w:val="22"/>
        </w:rPr>
        <w:t>2013</w:t>
      </w:r>
      <w:proofErr w:type="gramStart"/>
      <w:r w:rsidRPr="00A02B15">
        <w:rPr>
          <w:rFonts w:ascii="Calibri" w:hAnsi="Calibri" w:cs="Calibri"/>
          <w:sz w:val="22"/>
          <w:szCs w:val="22"/>
        </w:rPr>
        <w:t>;369:213</w:t>
      </w:r>
      <w:proofErr w:type="gramEnd"/>
      <w:r w:rsidRPr="00A02B15">
        <w:rPr>
          <w:rFonts w:ascii="Calibri" w:hAnsi="Calibri" w:cs="Calibri"/>
          <w:sz w:val="22"/>
          <w:szCs w:val="22"/>
        </w:rPr>
        <w:t>–23.</w:t>
      </w:r>
    </w:p>
    <w:p w14:paraId="0674AA4A" w14:textId="77777777" w:rsidR="0021531F" w:rsidRPr="00A02B15" w:rsidRDefault="0021531F" w:rsidP="00A02B15">
      <w:pPr>
        <w:spacing w:line="276" w:lineRule="auto"/>
        <w:rPr>
          <w:rFonts w:ascii="Calibri" w:hAnsi="Calibri" w:cs="Calibri"/>
          <w:sz w:val="22"/>
          <w:szCs w:val="22"/>
        </w:rPr>
      </w:pPr>
    </w:p>
    <w:p w14:paraId="74F0C5A2" w14:textId="277C5489"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[119] European Medicines Agency. EMA r</w:t>
      </w:r>
      <w:r w:rsidR="00E5152A">
        <w:rPr>
          <w:rFonts w:ascii="Calibri" w:hAnsi="Calibri" w:cs="Calibri"/>
          <w:sz w:val="22"/>
          <w:szCs w:val="22"/>
        </w:rPr>
        <w:t xml:space="preserve">estricts use of prostate cancer </w:t>
      </w:r>
      <w:r w:rsidRPr="00A02B15">
        <w:rPr>
          <w:rFonts w:ascii="Calibri" w:hAnsi="Calibri" w:cs="Calibri"/>
          <w:sz w:val="22"/>
          <w:szCs w:val="22"/>
        </w:rPr>
        <w:t>medicine Xofigo. EMA, July 27, 2</w:t>
      </w:r>
      <w:r w:rsidR="00E5152A">
        <w:rPr>
          <w:rFonts w:ascii="Calibri" w:hAnsi="Calibri" w:cs="Calibri"/>
          <w:sz w:val="22"/>
          <w:szCs w:val="22"/>
        </w:rPr>
        <w:t xml:space="preserve">018. </w:t>
      </w:r>
      <w:hyperlink r:id="rId12" w:history="1">
        <w:r w:rsidR="0021531F" w:rsidRPr="00E2405D">
          <w:rPr>
            <w:rStyle w:val="Hyperlink"/>
            <w:rFonts w:ascii="Calibri" w:hAnsi="Calibri" w:cs="Calibri"/>
            <w:sz w:val="22"/>
            <w:szCs w:val="22"/>
          </w:rPr>
          <w:t>https://www.ema.europa.eu/en/news/ema-restricts-use-prostate-cancer-medicine-xofigo</w:t>
        </w:r>
      </w:hyperlink>
      <w:r w:rsidRPr="00A02B15">
        <w:rPr>
          <w:rFonts w:ascii="Calibri" w:hAnsi="Calibri" w:cs="Calibri"/>
          <w:sz w:val="22"/>
          <w:szCs w:val="22"/>
        </w:rPr>
        <w:t>.</w:t>
      </w:r>
    </w:p>
    <w:p w14:paraId="5ECAFB5D" w14:textId="77777777" w:rsidR="0021531F" w:rsidRPr="00A02B15" w:rsidRDefault="0021531F" w:rsidP="00A02B15">
      <w:pPr>
        <w:spacing w:line="276" w:lineRule="auto"/>
        <w:rPr>
          <w:rFonts w:ascii="Calibri" w:hAnsi="Calibri" w:cs="Calibri"/>
          <w:sz w:val="22"/>
          <w:szCs w:val="22"/>
        </w:rPr>
      </w:pPr>
    </w:p>
    <w:p w14:paraId="780F4C31" w14:textId="56C570F5" w:rsidR="00A02B15" w:rsidRPr="00A02B15" w:rsidRDefault="00A02B15" w:rsidP="00A02B15">
      <w:pPr>
        <w:spacing w:line="276" w:lineRule="auto"/>
        <w:rPr>
          <w:rFonts w:ascii="Calibri" w:hAnsi="Calibri" w:cs="Calibri"/>
          <w:sz w:val="22"/>
          <w:szCs w:val="22"/>
        </w:rPr>
      </w:pPr>
      <w:r w:rsidRPr="00A02B15">
        <w:rPr>
          <w:rFonts w:ascii="Calibri" w:hAnsi="Calibri" w:cs="Calibri"/>
          <w:sz w:val="22"/>
          <w:szCs w:val="22"/>
        </w:rPr>
        <w:t>[120] Smith M, Parker C, Saad F, e</w:t>
      </w:r>
      <w:r w:rsidR="00E5152A">
        <w:rPr>
          <w:rFonts w:ascii="Calibri" w:hAnsi="Calibri" w:cs="Calibri"/>
          <w:sz w:val="22"/>
          <w:szCs w:val="22"/>
        </w:rPr>
        <w:t xml:space="preserve">t al. Addition of radium-223 to </w:t>
      </w:r>
      <w:r w:rsidRPr="00A02B15">
        <w:rPr>
          <w:rFonts w:ascii="Calibri" w:hAnsi="Calibri" w:cs="Calibri"/>
          <w:sz w:val="22"/>
          <w:szCs w:val="22"/>
        </w:rPr>
        <w:t>abiraterone acetate and prednis</w:t>
      </w:r>
      <w:r w:rsidR="00E5152A">
        <w:rPr>
          <w:rFonts w:ascii="Calibri" w:hAnsi="Calibri" w:cs="Calibri"/>
          <w:sz w:val="22"/>
          <w:szCs w:val="22"/>
        </w:rPr>
        <w:t xml:space="preserve">one or prednisolone in patients </w:t>
      </w:r>
      <w:r w:rsidRPr="00A02B15">
        <w:rPr>
          <w:rFonts w:ascii="Calibri" w:hAnsi="Calibri" w:cs="Calibri"/>
          <w:sz w:val="22"/>
          <w:szCs w:val="22"/>
        </w:rPr>
        <w:t>with castration-resistant prostate cancer and bone metastases</w:t>
      </w:r>
    </w:p>
    <w:p w14:paraId="3AED0D1C" w14:textId="59549F1D" w:rsidR="00A02B15" w:rsidRDefault="00A02B15" w:rsidP="00A02B15">
      <w:pPr>
        <w:spacing w:line="276" w:lineRule="auto"/>
        <w:rPr>
          <w:rFonts w:ascii="Calibri" w:hAnsi="Calibri" w:cs="Calibri"/>
          <w:sz w:val="22"/>
          <w:szCs w:val="22"/>
        </w:rPr>
      </w:pPr>
      <w:r w:rsidRPr="00A02B15">
        <w:rPr>
          <w:rFonts w:ascii="Calibri" w:hAnsi="Calibri" w:cs="Calibri"/>
          <w:sz w:val="22"/>
          <w:szCs w:val="22"/>
        </w:rPr>
        <w:t>(ERA 223): a randomised, double-b</w:t>
      </w:r>
      <w:r w:rsidR="00E5152A">
        <w:rPr>
          <w:rFonts w:ascii="Calibri" w:hAnsi="Calibri" w:cs="Calibri"/>
          <w:sz w:val="22"/>
          <w:szCs w:val="22"/>
        </w:rPr>
        <w:t xml:space="preserve">lind, placebo-controlled, phase </w:t>
      </w:r>
      <w:r w:rsidRPr="00A02B15">
        <w:rPr>
          <w:rFonts w:ascii="Calibri" w:hAnsi="Calibri" w:cs="Calibri"/>
          <w:sz w:val="22"/>
          <w:szCs w:val="22"/>
        </w:rPr>
        <w:t>3 trial. Lancet Oncol 2019</w:t>
      </w:r>
      <w:proofErr w:type="gramStart"/>
      <w:r w:rsidRPr="00A02B15">
        <w:rPr>
          <w:rFonts w:ascii="Calibri" w:hAnsi="Calibri" w:cs="Calibri"/>
          <w:sz w:val="22"/>
          <w:szCs w:val="22"/>
        </w:rPr>
        <w:t>;20:408</w:t>
      </w:r>
      <w:proofErr w:type="gramEnd"/>
      <w:r w:rsidRPr="00A02B15">
        <w:rPr>
          <w:rFonts w:ascii="Calibri" w:hAnsi="Calibri" w:cs="Calibri"/>
          <w:sz w:val="22"/>
          <w:szCs w:val="22"/>
        </w:rPr>
        <w:t>–19.</w:t>
      </w:r>
    </w:p>
    <w:p w14:paraId="1E68FE5E" w14:textId="77777777" w:rsidR="0021531F" w:rsidRPr="00A02B15" w:rsidRDefault="0021531F" w:rsidP="00A02B15">
      <w:pPr>
        <w:spacing w:line="276" w:lineRule="auto"/>
        <w:rPr>
          <w:rFonts w:ascii="Calibri" w:hAnsi="Calibri" w:cs="Calibri"/>
          <w:sz w:val="22"/>
          <w:szCs w:val="22"/>
        </w:rPr>
      </w:pPr>
    </w:p>
    <w:p w14:paraId="00663B6A" w14:textId="222F1082" w:rsidR="00A02B15" w:rsidRDefault="00A02B15" w:rsidP="00A02B15">
      <w:pPr>
        <w:spacing w:line="276" w:lineRule="auto"/>
        <w:rPr>
          <w:rFonts w:ascii="Calibri" w:hAnsi="Calibri" w:cs="Calibri"/>
          <w:sz w:val="22"/>
          <w:szCs w:val="22"/>
        </w:rPr>
      </w:pPr>
      <w:r w:rsidRPr="00A02B15">
        <w:rPr>
          <w:rFonts w:ascii="Calibri" w:hAnsi="Calibri" w:cs="Calibri"/>
          <w:sz w:val="22"/>
          <w:szCs w:val="22"/>
        </w:rPr>
        <w:t xml:space="preserve">[121] Fizazi K, Piulats JM, Reaume MN, </w:t>
      </w:r>
      <w:r w:rsidR="00E5152A">
        <w:rPr>
          <w:rFonts w:ascii="Calibri" w:hAnsi="Calibri" w:cs="Calibri"/>
          <w:sz w:val="22"/>
          <w:szCs w:val="22"/>
        </w:rPr>
        <w:t xml:space="preserve">et al. Rucaparib or physician’s </w:t>
      </w:r>
      <w:r w:rsidRPr="00A02B15">
        <w:rPr>
          <w:rFonts w:ascii="Calibri" w:hAnsi="Calibri" w:cs="Calibri"/>
          <w:sz w:val="22"/>
          <w:szCs w:val="22"/>
        </w:rPr>
        <w:t>choice in metastati</w:t>
      </w:r>
      <w:r w:rsidR="00E5152A">
        <w:rPr>
          <w:rFonts w:ascii="Calibri" w:hAnsi="Calibri" w:cs="Calibri"/>
          <w:sz w:val="22"/>
          <w:szCs w:val="22"/>
        </w:rPr>
        <w:t xml:space="preserve">c prostate cancer. N Engl J Med </w:t>
      </w:r>
      <w:r w:rsidRPr="00A02B15">
        <w:rPr>
          <w:rFonts w:ascii="Calibri" w:hAnsi="Calibri" w:cs="Calibri"/>
          <w:sz w:val="22"/>
          <w:szCs w:val="22"/>
        </w:rPr>
        <w:t>2023</w:t>
      </w:r>
      <w:proofErr w:type="gramStart"/>
      <w:r w:rsidRPr="00A02B15">
        <w:rPr>
          <w:rFonts w:ascii="Calibri" w:hAnsi="Calibri" w:cs="Calibri"/>
          <w:sz w:val="22"/>
          <w:szCs w:val="22"/>
        </w:rPr>
        <w:t>;388:719</w:t>
      </w:r>
      <w:proofErr w:type="gramEnd"/>
      <w:r w:rsidRPr="00A02B15">
        <w:rPr>
          <w:rFonts w:ascii="Calibri" w:hAnsi="Calibri" w:cs="Calibri"/>
          <w:sz w:val="22"/>
          <w:szCs w:val="22"/>
        </w:rPr>
        <w:t>–32.</w:t>
      </w:r>
    </w:p>
    <w:p w14:paraId="02991B67" w14:textId="77777777" w:rsidR="0021531F" w:rsidRPr="00A02B15" w:rsidRDefault="0021531F" w:rsidP="00A02B15">
      <w:pPr>
        <w:spacing w:line="276" w:lineRule="auto"/>
        <w:rPr>
          <w:rFonts w:ascii="Calibri" w:hAnsi="Calibri" w:cs="Calibri"/>
          <w:sz w:val="22"/>
          <w:szCs w:val="22"/>
        </w:rPr>
      </w:pPr>
    </w:p>
    <w:p w14:paraId="3EF8A46A" w14:textId="24B083F7" w:rsidR="00A02B15" w:rsidRDefault="00A02B15" w:rsidP="00A02B15">
      <w:pPr>
        <w:spacing w:line="276" w:lineRule="auto"/>
        <w:rPr>
          <w:rFonts w:ascii="Calibri" w:hAnsi="Calibri" w:cs="Calibri"/>
          <w:sz w:val="22"/>
          <w:szCs w:val="22"/>
        </w:rPr>
      </w:pPr>
      <w:r w:rsidRPr="00A02B15">
        <w:rPr>
          <w:rFonts w:ascii="Calibri" w:hAnsi="Calibri" w:cs="Calibri"/>
          <w:sz w:val="22"/>
          <w:szCs w:val="22"/>
        </w:rPr>
        <w:t xml:space="preserve">[122] Bryce AH, Piulats JM, Reaume MN, </w:t>
      </w:r>
      <w:r w:rsidR="00E5152A">
        <w:rPr>
          <w:rFonts w:ascii="Calibri" w:hAnsi="Calibri" w:cs="Calibri"/>
          <w:sz w:val="22"/>
          <w:szCs w:val="22"/>
        </w:rPr>
        <w:t xml:space="preserve">et al. Rucaparib for metastatic </w:t>
      </w:r>
      <w:r w:rsidRPr="00A02B15">
        <w:rPr>
          <w:rFonts w:ascii="Calibri" w:hAnsi="Calibri" w:cs="Calibri"/>
          <w:sz w:val="22"/>
          <w:szCs w:val="22"/>
        </w:rPr>
        <w:t xml:space="preserve">castration-resistant prostate cancer </w:t>
      </w:r>
      <w:r w:rsidR="00E5152A">
        <w:rPr>
          <w:rFonts w:ascii="Calibri" w:hAnsi="Calibri" w:cs="Calibri"/>
          <w:sz w:val="22"/>
          <w:szCs w:val="22"/>
        </w:rPr>
        <w:t xml:space="preserve">(mCRPC): TRITON3 interim </w:t>
      </w:r>
      <w:r w:rsidRPr="00A02B15">
        <w:rPr>
          <w:rFonts w:ascii="Calibri" w:hAnsi="Calibri" w:cs="Calibri"/>
          <w:sz w:val="22"/>
          <w:szCs w:val="22"/>
        </w:rPr>
        <w:t>overall survival and efficacy of rucaparib vs docetaxel or second</w:t>
      </w:r>
      <w:r w:rsidR="00E5152A">
        <w:rPr>
          <w:rFonts w:ascii="Calibri" w:hAnsi="Calibri" w:cs="Calibri"/>
          <w:sz w:val="22"/>
          <w:szCs w:val="22"/>
        </w:rPr>
        <w:t xml:space="preserve"> generation </w:t>
      </w:r>
      <w:r w:rsidRPr="00A02B15">
        <w:rPr>
          <w:rFonts w:ascii="Calibri" w:hAnsi="Calibri" w:cs="Calibri"/>
          <w:sz w:val="22"/>
          <w:szCs w:val="22"/>
        </w:rPr>
        <w:t xml:space="preserve">androgen pathway </w:t>
      </w:r>
      <w:r w:rsidR="00E5152A">
        <w:rPr>
          <w:rFonts w:ascii="Calibri" w:hAnsi="Calibri" w:cs="Calibri"/>
          <w:sz w:val="22"/>
          <w:szCs w:val="22"/>
        </w:rPr>
        <w:t xml:space="preserve">inhibitor therapy. J Clin Oncol </w:t>
      </w:r>
      <w:r w:rsidRPr="00A02B15">
        <w:rPr>
          <w:rFonts w:ascii="Calibri" w:hAnsi="Calibri" w:cs="Calibri"/>
          <w:sz w:val="22"/>
          <w:szCs w:val="22"/>
        </w:rPr>
        <w:t>2023</w:t>
      </w:r>
      <w:proofErr w:type="gramStart"/>
      <w:r w:rsidRPr="00A02B15">
        <w:rPr>
          <w:rFonts w:ascii="Calibri" w:hAnsi="Calibri" w:cs="Calibri"/>
          <w:sz w:val="22"/>
          <w:szCs w:val="22"/>
        </w:rPr>
        <w:t>;41</w:t>
      </w:r>
      <w:proofErr w:type="gramEnd"/>
      <w:r w:rsidRPr="00A02B15">
        <w:rPr>
          <w:rFonts w:ascii="Calibri" w:hAnsi="Calibri" w:cs="Calibri"/>
          <w:sz w:val="22"/>
          <w:szCs w:val="22"/>
        </w:rPr>
        <w:t>(6 Suppl):18.</w:t>
      </w:r>
    </w:p>
    <w:p w14:paraId="22C36762" w14:textId="77777777" w:rsidR="0021531F" w:rsidRPr="00A02B15" w:rsidRDefault="0021531F" w:rsidP="00A02B15">
      <w:pPr>
        <w:spacing w:line="276" w:lineRule="auto"/>
        <w:rPr>
          <w:rFonts w:ascii="Calibri" w:hAnsi="Calibri" w:cs="Calibri"/>
          <w:sz w:val="22"/>
          <w:szCs w:val="22"/>
        </w:rPr>
      </w:pPr>
    </w:p>
    <w:p w14:paraId="23D0865E" w14:textId="0905C75A"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[123] Mateo J, Carreira S, Sandhu S</w:t>
      </w:r>
      <w:r w:rsidR="00E5152A">
        <w:rPr>
          <w:rFonts w:ascii="Calibri" w:hAnsi="Calibri" w:cs="Calibri"/>
          <w:sz w:val="22"/>
          <w:szCs w:val="22"/>
        </w:rPr>
        <w:t xml:space="preserve">, et al. DNA-repair defects and </w:t>
      </w:r>
      <w:r w:rsidRPr="00A02B15">
        <w:rPr>
          <w:rFonts w:ascii="Calibri" w:hAnsi="Calibri" w:cs="Calibri"/>
          <w:sz w:val="22"/>
          <w:szCs w:val="22"/>
        </w:rPr>
        <w:t>olaparib in metastati</w:t>
      </w:r>
      <w:r w:rsidR="00E5152A">
        <w:rPr>
          <w:rFonts w:ascii="Calibri" w:hAnsi="Calibri" w:cs="Calibri"/>
          <w:sz w:val="22"/>
          <w:szCs w:val="22"/>
        </w:rPr>
        <w:t xml:space="preserve">c prostate cancer. N Engl J Med </w:t>
      </w:r>
      <w:r w:rsidRPr="00A02B15">
        <w:rPr>
          <w:rFonts w:ascii="Calibri" w:hAnsi="Calibri" w:cs="Calibri"/>
          <w:sz w:val="22"/>
          <w:szCs w:val="22"/>
        </w:rPr>
        <w:t>2015</w:t>
      </w:r>
      <w:proofErr w:type="gramStart"/>
      <w:r w:rsidRPr="00A02B15">
        <w:rPr>
          <w:rFonts w:ascii="Calibri" w:hAnsi="Calibri" w:cs="Calibri"/>
          <w:sz w:val="22"/>
          <w:szCs w:val="22"/>
        </w:rPr>
        <w:t>;373:1697</w:t>
      </w:r>
      <w:proofErr w:type="gramEnd"/>
      <w:r w:rsidRPr="00A02B15">
        <w:rPr>
          <w:rFonts w:ascii="Calibri" w:hAnsi="Calibri" w:cs="Calibri"/>
          <w:sz w:val="22"/>
          <w:szCs w:val="22"/>
        </w:rPr>
        <w:t>–708.</w:t>
      </w:r>
    </w:p>
    <w:p w14:paraId="3DBD7E2B" w14:textId="77777777" w:rsidR="0021531F" w:rsidRPr="00A02B15" w:rsidRDefault="0021531F" w:rsidP="00A02B15">
      <w:pPr>
        <w:spacing w:line="276" w:lineRule="auto"/>
        <w:rPr>
          <w:rFonts w:ascii="Calibri" w:hAnsi="Calibri" w:cs="Calibri"/>
          <w:sz w:val="22"/>
          <w:szCs w:val="22"/>
        </w:rPr>
      </w:pPr>
    </w:p>
    <w:p w14:paraId="1FB2E0CA" w14:textId="74110C84"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[124] de Bono JS, Mateo J, Fizazi K, et al. 6</w:t>
      </w:r>
      <w:r w:rsidR="00E5152A">
        <w:rPr>
          <w:rFonts w:ascii="Calibri" w:hAnsi="Calibri" w:cs="Calibri"/>
          <w:sz w:val="22"/>
          <w:szCs w:val="22"/>
        </w:rPr>
        <w:t xml:space="preserve">10O Final overall survival (OS) </w:t>
      </w:r>
      <w:r w:rsidRPr="00A02B15">
        <w:rPr>
          <w:rFonts w:ascii="Calibri" w:hAnsi="Calibri" w:cs="Calibri"/>
          <w:sz w:val="22"/>
          <w:szCs w:val="22"/>
        </w:rPr>
        <w:t>analysis of PROfound: Ol</w:t>
      </w:r>
      <w:r w:rsidR="00E5152A">
        <w:rPr>
          <w:rFonts w:ascii="Calibri" w:hAnsi="Calibri" w:cs="Calibri"/>
          <w:sz w:val="22"/>
          <w:szCs w:val="22"/>
        </w:rPr>
        <w:t xml:space="preserve">aparib vs physician’s choice of </w:t>
      </w:r>
      <w:r w:rsidRPr="00A02B15">
        <w:rPr>
          <w:rFonts w:ascii="Calibri" w:hAnsi="Calibri" w:cs="Calibri"/>
          <w:sz w:val="22"/>
          <w:szCs w:val="22"/>
        </w:rPr>
        <w:t>enzalutamide or abiraterone in</w:t>
      </w:r>
      <w:r w:rsidR="00E5152A">
        <w:rPr>
          <w:rFonts w:ascii="Calibri" w:hAnsi="Calibri" w:cs="Calibri"/>
          <w:sz w:val="22"/>
          <w:szCs w:val="22"/>
        </w:rPr>
        <w:t xml:space="preserve"> patients (pts) with metastatic </w:t>
      </w:r>
      <w:r w:rsidRPr="00A02B15">
        <w:rPr>
          <w:rFonts w:ascii="Calibri" w:hAnsi="Calibri" w:cs="Calibri"/>
          <w:sz w:val="22"/>
          <w:szCs w:val="22"/>
        </w:rPr>
        <w:t>castration-resistant prostat</w:t>
      </w:r>
      <w:r w:rsidR="00E5152A">
        <w:rPr>
          <w:rFonts w:ascii="Calibri" w:hAnsi="Calibri" w:cs="Calibri"/>
          <w:sz w:val="22"/>
          <w:szCs w:val="22"/>
        </w:rPr>
        <w:t xml:space="preserve">e cancer (mCRPC) and homologous </w:t>
      </w:r>
      <w:r w:rsidRPr="00A02B15">
        <w:rPr>
          <w:rFonts w:ascii="Calibri" w:hAnsi="Calibri" w:cs="Calibri"/>
          <w:sz w:val="22"/>
          <w:szCs w:val="22"/>
        </w:rPr>
        <w:t xml:space="preserve">recombination repair (HRR) gene </w:t>
      </w:r>
      <w:r w:rsidR="00E5152A">
        <w:rPr>
          <w:rFonts w:ascii="Calibri" w:hAnsi="Calibri" w:cs="Calibri"/>
          <w:sz w:val="22"/>
          <w:szCs w:val="22"/>
        </w:rPr>
        <w:t>alterations. Ann Oncol 2020</w:t>
      </w:r>
      <w:proofErr w:type="gramStart"/>
      <w:r w:rsidR="00E5152A">
        <w:rPr>
          <w:rFonts w:ascii="Calibri" w:hAnsi="Calibri" w:cs="Calibri"/>
          <w:sz w:val="22"/>
          <w:szCs w:val="22"/>
        </w:rPr>
        <w:t>;31</w:t>
      </w:r>
      <w:proofErr w:type="gramEnd"/>
      <w:r w:rsidR="00E5152A">
        <w:rPr>
          <w:rFonts w:ascii="Calibri" w:hAnsi="Calibri" w:cs="Calibri"/>
          <w:sz w:val="22"/>
          <w:szCs w:val="22"/>
        </w:rPr>
        <w:t xml:space="preserve">: </w:t>
      </w:r>
      <w:r w:rsidRPr="00A02B15">
        <w:rPr>
          <w:rFonts w:ascii="Calibri" w:hAnsi="Calibri" w:cs="Calibri"/>
          <w:sz w:val="22"/>
          <w:szCs w:val="22"/>
        </w:rPr>
        <w:t>S507.</w:t>
      </w:r>
    </w:p>
    <w:p w14:paraId="4D1A1252" w14:textId="77777777" w:rsidR="0021531F" w:rsidRPr="00A02B15" w:rsidRDefault="0021531F" w:rsidP="00A02B15">
      <w:pPr>
        <w:spacing w:line="276" w:lineRule="auto"/>
        <w:rPr>
          <w:rFonts w:ascii="Calibri" w:hAnsi="Calibri" w:cs="Calibri"/>
          <w:sz w:val="22"/>
          <w:szCs w:val="22"/>
        </w:rPr>
      </w:pPr>
    </w:p>
    <w:p w14:paraId="07F504A4" w14:textId="436D357D"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[125] Badrising S, van der Noort V, van Oo</w:t>
      </w:r>
      <w:r w:rsidR="00E5152A">
        <w:rPr>
          <w:rFonts w:ascii="Calibri" w:hAnsi="Calibri" w:cs="Calibri"/>
          <w:sz w:val="22"/>
          <w:szCs w:val="22"/>
        </w:rPr>
        <w:t xml:space="preserve">rt LM, et al. Clinical activity </w:t>
      </w:r>
      <w:r w:rsidRPr="00A02B15">
        <w:rPr>
          <w:rFonts w:ascii="Calibri" w:hAnsi="Calibri" w:cs="Calibri"/>
          <w:sz w:val="22"/>
          <w:szCs w:val="22"/>
        </w:rPr>
        <w:t>and tolerability of enzalutamide (MDV3100) in patien</w:t>
      </w:r>
      <w:r w:rsidR="00E5152A">
        <w:rPr>
          <w:rFonts w:ascii="Calibri" w:hAnsi="Calibri" w:cs="Calibri"/>
          <w:sz w:val="22"/>
          <w:szCs w:val="22"/>
        </w:rPr>
        <w:t xml:space="preserve">ts with </w:t>
      </w:r>
      <w:r w:rsidRPr="00A02B15">
        <w:rPr>
          <w:rFonts w:ascii="Calibri" w:hAnsi="Calibri" w:cs="Calibri"/>
          <w:sz w:val="22"/>
          <w:szCs w:val="22"/>
        </w:rPr>
        <w:t>metastatic, castration-resistant pro</w:t>
      </w:r>
      <w:r w:rsidR="00E5152A">
        <w:rPr>
          <w:rFonts w:ascii="Calibri" w:hAnsi="Calibri" w:cs="Calibri"/>
          <w:sz w:val="22"/>
          <w:szCs w:val="22"/>
        </w:rPr>
        <w:t xml:space="preserve">state cancer who progress after </w:t>
      </w:r>
      <w:r w:rsidRPr="00A02B15">
        <w:rPr>
          <w:rFonts w:ascii="Calibri" w:hAnsi="Calibri" w:cs="Calibri"/>
          <w:sz w:val="22"/>
          <w:szCs w:val="22"/>
        </w:rPr>
        <w:t>docetaxel and abiraterone treatment. Cancer 2014</w:t>
      </w:r>
      <w:proofErr w:type="gramStart"/>
      <w:r w:rsidRPr="00A02B15">
        <w:rPr>
          <w:rFonts w:ascii="Calibri" w:hAnsi="Calibri" w:cs="Calibri"/>
          <w:sz w:val="22"/>
          <w:szCs w:val="22"/>
        </w:rPr>
        <w:t>;120:968</w:t>
      </w:r>
      <w:proofErr w:type="gramEnd"/>
      <w:r w:rsidRPr="00A02B15">
        <w:rPr>
          <w:rFonts w:ascii="Calibri" w:hAnsi="Calibri" w:cs="Calibri"/>
          <w:sz w:val="22"/>
          <w:szCs w:val="22"/>
        </w:rPr>
        <w:t>–75.</w:t>
      </w:r>
    </w:p>
    <w:p w14:paraId="4FA9E1F0" w14:textId="77777777" w:rsidR="0021531F" w:rsidRPr="00A02B15" w:rsidRDefault="0021531F" w:rsidP="00A02B15">
      <w:pPr>
        <w:spacing w:line="276" w:lineRule="auto"/>
        <w:rPr>
          <w:rFonts w:ascii="Calibri" w:hAnsi="Calibri" w:cs="Calibri"/>
          <w:sz w:val="22"/>
          <w:szCs w:val="22"/>
        </w:rPr>
      </w:pPr>
    </w:p>
    <w:p w14:paraId="7556EBE9" w14:textId="522E76A3" w:rsidR="00A02B15" w:rsidRPr="00A02B15" w:rsidRDefault="00A02B15" w:rsidP="00A02B15">
      <w:pPr>
        <w:spacing w:line="276" w:lineRule="auto"/>
        <w:rPr>
          <w:rFonts w:ascii="Calibri" w:hAnsi="Calibri" w:cs="Calibri"/>
          <w:sz w:val="22"/>
          <w:szCs w:val="22"/>
        </w:rPr>
      </w:pPr>
      <w:r w:rsidRPr="00A02B15">
        <w:rPr>
          <w:rFonts w:ascii="Calibri" w:hAnsi="Calibri" w:cs="Calibri"/>
          <w:sz w:val="22"/>
          <w:szCs w:val="22"/>
        </w:rPr>
        <w:t>[126] Zhang T, Zhu J, George DJ, Armstrong AJ. Enzalutamide versus</w:t>
      </w:r>
      <w:r w:rsidR="00E5152A">
        <w:rPr>
          <w:rFonts w:ascii="Calibri" w:hAnsi="Calibri" w:cs="Calibri"/>
          <w:sz w:val="22"/>
          <w:szCs w:val="22"/>
        </w:rPr>
        <w:t xml:space="preserve"> </w:t>
      </w:r>
      <w:r w:rsidRPr="00A02B15">
        <w:rPr>
          <w:rFonts w:ascii="Calibri" w:hAnsi="Calibri" w:cs="Calibri"/>
          <w:sz w:val="22"/>
          <w:szCs w:val="22"/>
        </w:rPr>
        <w:t>abiraterone acetate for the treatment of men with me</w:t>
      </w:r>
      <w:r w:rsidR="00E5152A">
        <w:rPr>
          <w:rFonts w:ascii="Calibri" w:hAnsi="Calibri" w:cs="Calibri"/>
          <w:sz w:val="22"/>
          <w:szCs w:val="22"/>
        </w:rPr>
        <w:t xml:space="preserve">tastatic </w:t>
      </w:r>
      <w:r w:rsidRPr="00A02B15">
        <w:rPr>
          <w:rFonts w:ascii="Calibri" w:hAnsi="Calibri" w:cs="Calibri"/>
          <w:sz w:val="22"/>
          <w:szCs w:val="22"/>
        </w:rPr>
        <w:t>castration-resistant prostate cancer. Expert Opin Pharmacother</w:t>
      </w:r>
    </w:p>
    <w:p w14:paraId="22A5485A" w14:textId="079149D5" w:rsidR="00A02B15" w:rsidRDefault="00A02B15" w:rsidP="00A02B15">
      <w:pPr>
        <w:spacing w:line="276" w:lineRule="auto"/>
        <w:rPr>
          <w:rFonts w:ascii="Calibri" w:hAnsi="Calibri" w:cs="Calibri"/>
          <w:sz w:val="22"/>
          <w:szCs w:val="22"/>
        </w:rPr>
      </w:pPr>
      <w:r w:rsidRPr="00A02B15">
        <w:rPr>
          <w:rFonts w:ascii="Calibri" w:hAnsi="Calibri" w:cs="Calibri"/>
          <w:sz w:val="22"/>
          <w:szCs w:val="22"/>
        </w:rPr>
        <w:t>2015</w:t>
      </w:r>
      <w:proofErr w:type="gramStart"/>
      <w:r w:rsidRPr="00A02B15">
        <w:rPr>
          <w:rFonts w:ascii="Calibri" w:hAnsi="Calibri" w:cs="Calibri"/>
          <w:sz w:val="22"/>
          <w:szCs w:val="22"/>
        </w:rPr>
        <w:t>;16:473</w:t>
      </w:r>
      <w:proofErr w:type="gramEnd"/>
      <w:r w:rsidRPr="00A02B15">
        <w:rPr>
          <w:rFonts w:ascii="Calibri" w:hAnsi="Calibri" w:cs="Calibri"/>
          <w:sz w:val="22"/>
          <w:szCs w:val="22"/>
        </w:rPr>
        <w:t>–85.</w:t>
      </w:r>
    </w:p>
    <w:p w14:paraId="6BCA34F0" w14:textId="77777777" w:rsidR="0021531F" w:rsidRPr="00A02B15" w:rsidRDefault="0021531F" w:rsidP="00A02B15">
      <w:pPr>
        <w:spacing w:line="276" w:lineRule="auto"/>
        <w:rPr>
          <w:rFonts w:ascii="Calibri" w:hAnsi="Calibri" w:cs="Calibri"/>
          <w:sz w:val="22"/>
          <w:szCs w:val="22"/>
        </w:rPr>
      </w:pPr>
    </w:p>
    <w:p w14:paraId="5B445AAC" w14:textId="0A3A63BA"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[127] Antonarakis ES, Lu C, Wang H,</w:t>
      </w:r>
      <w:r w:rsidR="00E5152A">
        <w:rPr>
          <w:rFonts w:ascii="Calibri" w:hAnsi="Calibri" w:cs="Calibri"/>
          <w:sz w:val="22"/>
          <w:szCs w:val="22"/>
        </w:rPr>
        <w:t xml:space="preserve"> et al. AR-V7 and resistance to </w:t>
      </w:r>
      <w:r w:rsidRPr="00A02B15">
        <w:rPr>
          <w:rFonts w:ascii="Calibri" w:hAnsi="Calibri" w:cs="Calibri"/>
          <w:sz w:val="22"/>
          <w:szCs w:val="22"/>
        </w:rPr>
        <w:t>enzalutamide and abiraterone i</w:t>
      </w:r>
      <w:r w:rsidR="00E5152A">
        <w:rPr>
          <w:rFonts w:ascii="Calibri" w:hAnsi="Calibri" w:cs="Calibri"/>
          <w:sz w:val="22"/>
          <w:szCs w:val="22"/>
        </w:rPr>
        <w:t xml:space="preserve">n prostate cancer. N Engl J Med </w:t>
      </w:r>
      <w:r w:rsidRPr="00A02B15">
        <w:rPr>
          <w:rFonts w:ascii="Calibri" w:hAnsi="Calibri" w:cs="Calibri"/>
          <w:sz w:val="22"/>
          <w:szCs w:val="22"/>
        </w:rPr>
        <w:t>2014</w:t>
      </w:r>
      <w:proofErr w:type="gramStart"/>
      <w:r w:rsidRPr="00A02B15">
        <w:rPr>
          <w:rFonts w:ascii="Calibri" w:hAnsi="Calibri" w:cs="Calibri"/>
          <w:sz w:val="22"/>
          <w:szCs w:val="22"/>
        </w:rPr>
        <w:t>;371:1028</w:t>
      </w:r>
      <w:proofErr w:type="gramEnd"/>
      <w:r w:rsidRPr="00A02B15">
        <w:rPr>
          <w:rFonts w:ascii="Calibri" w:hAnsi="Calibri" w:cs="Calibri"/>
          <w:sz w:val="22"/>
          <w:szCs w:val="22"/>
        </w:rPr>
        <w:t>–38.</w:t>
      </w:r>
    </w:p>
    <w:p w14:paraId="7D108C11" w14:textId="77777777" w:rsidR="0021531F" w:rsidRPr="00A02B15" w:rsidRDefault="0021531F" w:rsidP="00A02B15">
      <w:pPr>
        <w:spacing w:line="276" w:lineRule="auto"/>
        <w:rPr>
          <w:rFonts w:ascii="Calibri" w:hAnsi="Calibri" w:cs="Calibri"/>
          <w:sz w:val="22"/>
          <w:szCs w:val="22"/>
        </w:rPr>
      </w:pPr>
    </w:p>
    <w:p w14:paraId="7EA4710C" w14:textId="7A70A622"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[128] Attard G, Borre M, Gurney H,</w:t>
      </w:r>
      <w:r w:rsidR="00E5152A">
        <w:rPr>
          <w:rFonts w:ascii="Calibri" w:hAnsi="Calibri" w:cs="Calibri"/>
          <w:sz w:val="22"/>
          <w:szCs w:val="22"/>
        </w:rPr>
        <w:t xml:space="preserve"> et al. Abiraterone alone or in </w:t>
      </w:r>
      <w:r w:rsidRPr="00A02B15">
        <w:rPr>
          <w:rFonts w:ascii="Calibri" w:hAnsi="Calibri" w:cs="Calibri"/>
          <w:sz w:val="22"/>
          <w:szCs w:val="22"/>
        </w:rPr>
        <w:t xml:space="preserve">combination with enzalutamide in </w:t>
      </w:r>
      <w:r w:rsidR="00E5152A">
        <w:rPr>
          <w:rFonts w:ascii="Calibri" w:hAnsi="Calibri" w:cs="Calibri"/>
          <w:sz w:val="22"/>
          <w:szCs w:val="22"/>
        </w:rPr>
        <w:t xml:space="preserve">metastatic castration-resistant </w:t>
      </w:r>
      <w:r w:rsidRPr="00A02B15">
        <w:rPr>
          <w:rFonts w:ascii="Calibri" w:hAnsi="Calibri" w:cs="Calibri"/>
          <w:sz w:val="22"/>
          <w:szCs w:val="22"/>
        </w:rPr>
        <w:t>prostate cancer with rising p</w:t>
      </w:r>
      <w:r w:rsidR="00E5152A">
        <w:rPr>
          <w:rFonts w:ascii="Calibri" w:hAnsi="Calibri" w:cs="Calibri"/>
          <w:sz w:val="22"/>
          <w:szCs w:val="22"/>
        </w:rPr>
        <w:t>rostate-specific antigen during</w:t>
      </w:r>
      <w:r w:rsidR="00A80C9C">
        <w:rPr>
          <w:rFonts w:ascii="Calibri" w:hAnsi="Calibri" w:cs="Calibri"/>
          <w:sz w:val="22"/>
          <w:szCs w:val="22"/>
        </w:rPr>
        <w:t xml:space="preserve"> </w:t>
      </w:r>
      <w:r w:rsidRPr="00A02B15">
        <w:rPr>
          <w:rFonts w:ascii="Calibri" w:hAnsi="Calibri" w:cs="Calibri"/>
          <w:sz w:val="22"/>
          <w:szCs w:val="22"/>
        </w:rPr>
        <w:t>enzalutamide treatment. J Clin Oncol 2018</w:t>
      </w:r>
      <w:proofErr w:type="gramStart"/>
      <w:r w:rsidRPr="00A02B15">
        <w:rPr>
          <w:rFonts w:ascii="Calibri" w:hAnsi="Calibri" w:cs="Calibri"/>
          <w:sz w:val="22"/>
          <w:szCs w:val="22"/>
        </w:rPr>
        <w:t>;36:2639</w:t>
      </w:r>
      <w:proofErr w:type="gramEnd"/>
      <w:r w:rsidRPr="00A02B15">
        <w:rPr>
          <w:rFonts w:ascii="Calibri" w:hAnsi="Calibri" w:cs="Calibri"/>
          <w:sz w:val="22"/>
          <w:szCs w:val="22"/>
        </w:rPr>
        <w:t>–46.</w:t>
      </w:r>
    </w:p>
    <w:p w14:paraId="4EA26A13" w14:textId="77777777" w:rsidR="0021531F" w:rsidRPr="00A02B15" w:rsidRDefault="0021531F" w:rsidP="00A02B15">
      <w:pPr>
        <w:spacing w:line="276" w:lineRule="auto"/>
        <w:rPr>
          <w:rFonts w:ascii="Calibri" w:hAnsi="Calibri" w:cs="Calibri"/>
          <w:sz w:val="22"/>
          <w:szCs w:val="22"/>
        </w:rPr>
      </w:pPr>
    </w:p>
    <w:p w14:paraId="72339888" w14:textId="45FE5AD7" w:rsidR="00A02B15" w:rsidRDefault="00A02B15" w:rsidP="00A02B15">
      <w:pPr>
        <w:spacing w:line="276" w:lineRule="auto"/>
        <w:rPr>
          <w:rFonts w:ascii="Calibri" w:hAnsi="Calibri" w:cs="Calibri"/>
          <w:sz w:val="22"/>
          <w:szCs w:val="22"/>
        </w:rPr>
      </w:pPr>
      <w:r w:rsidRPr="00A02B15">
        <w:rPr>
          <w:rFonts w:ascii="Calibri" w:hAnsi="Calibri" w:cs="Calibri"/>
          <w:sz w:val="22"/>
          <w:szCs w:val="22"/>
        </w:rPr>
        <w:t>[129] Ballinger JR. Theranostic radiophar</w:t>
      </w:r>
      <w:r w:rsidR="00E5152A">
        <w:rPr>
          <w:rFonts w:ascii="Calibri" w:hAnsi="Calibri" w:cs="Calibri"/>
          <w:sz w:val="22"/>
          <w:szCs w:val="22"/>
        </w:rPr>
        <w:t xml:space="preserve">maceuticals: established agents </w:t>
      </w:r>
      <w:r w:rsidR="00A80C9C">
        <w:rPr>
          <w:rFonts w:ascii="Calibri" w:hAnsi="Calibri" w:cs="Calibri"/>
          <w:sz w:val="22"/>
          <w:szCs w:val="22"/>
        </w:rPr>
        <w:t xml:space="preserve">in current use. Br J Radiol </w:t>
      </w:r>
      <w:r w:rsidRPr="00A02B15">
        <w:rPr>
          <w:rFonts w:ascii="Calibri" w:hAnsi="Calibri" w:cs="Calibri"/>
          <w:sz w:val="22"/>
          <w:szCs w:val="22"/>
        </w:rPr>
        <w:t>2018</w:t>
      </w:r>
      <w:proofErr w:type="gramStart"/>
      <w:r w:rsidRPr="00A02B15">
        <w:rPr>
          <w:rFonts w:ascii="Calibri" w:hAnsi="Calibri" w:cs="Calibri"/>
          <w:sz w:val="22"/>
          <w:szCs w:val="22"/>
        </w:rPr>
        <w:t>;91:20170969</w:t>
      </w:r>
      <w:proofErr w:type="gramEnd"/>
      <w:r w:rsidRPr="00A02B15">
        <w:rPr>
          <w:rFonts w:ascii="Calibri" w:hAnsi="Calibri" w:cs="Calibri"/>
          <w:sz w:val="22"/>
          <w:szCs w:val="22"/>
        </w:rPr>
        <w:t>.</w:t>
      </w:r>
    </w:p>
    <w:p w14:paraId="1F4FCBD6" w14:textId="46B54171" w:rsidR="00E5152A" w:rsidRDefault="00E5152A" w:rsidP="00E5152A">
      <w:pPr>
        <w:spacing w:line="276" w:lineRule="auto"/>
        <w:rPr>
          <w:rFonts w:ascii="Calibri" w:hAnsi="Calibri" w:cs="Calibri"/>
          <w:sz w:val="22"/>
          <w:szCs w:val="22"/>
        </w:rPr>
      </w:pPr>
      <w:r w:rsidRPr="00E5152A">
        <w:rPr>
          <w:rFonts w:ascii="Calibri" w:hAnsi="Calibri" w:cs="Calibri"/>
          <w:sz w:val="22"/>
          <w:szCs w:val="22"/>
        </w:rPr>
        <w:lastRenderedPageBreak/>
        <w:t>[130] Emmett L, Willowson K, Violet J, Shin</w:t>
      </w:r>
      <w:r w:rsidR="00A80C9C">
        <w:rPr>
          <w:rFonts w:ascii="Calibri" w:hAnsi="Calibri" w:cs="Calibri"/>
          <w:sz w:val="22"/>
          <w:szCs w:val="22"/>
        </w:rPr>
        <w:t xml:space="preserve"> J, Blanksby A, Lee J. Lutetium </w:t>
      </w:r>
      <w:r w:rsidRPr="00E5152A">
        <w:rPr>
          <w:rFonts w:ascii="Calibri" w:hAnsi="Calibri" w:cs="Calibri"/>
          <w:sz w:val="22"/>
          <w:szCs w:val="22"/>
        </w:rPr>
        <w:t xml:space="preserve">177 PSMA radionuclide therapy </w:t>
      </w:r>
      <w:r w:rsidR="00A80C9C">
        <w:rPr>
          <w:rFonts w:ascii="Calibri" w:hAnsi="Calibri" w:cs="Calibri"/>
          <w:sz w:val="22"/>
          <w:szCs w:val="22"/>
        </w:rPr>
        <w:t xml:space="preserve">for men with prostate cancer: a </w:t>
      </w:r>
      <w:r w:rsidRPr="00E5152A">
        <w:rPr>
          <w:rFonts w:ascii="Calibri" w:hAnsi="Calibri" w:cs="Calibri"/>
          <w:sz w:val="22"/>
          <w:szCs w:val="22"/>
        </w:rPr>
        <w:t xml:space="preserve">review of the current literature and </w:t>
      </w:r>
      <w:r w:rsidR="00A80C9C">
        <w:rPr>
          <w:rFonts w:ascii="Calibri" w:hAnsi="Calibri" w:cs="Calibri"/>
          <w:sz w:val="22"/>
          <w:szCs w:val="22"/>
        </w:rPr>
        <w:t xml:space="preserve">discussion of practical aspects </w:t>
      </w:r>
      <w:r w:rsidRPr="00E5152A">
        <w:rPr>
          <w:rFonts w:ascii="Calibri" w:hAnsi="Calibri" w:cs="Calibri"/>
          <w:sz w:val="22"/>
          <w:szCs w:val="22"/>
        </w:rPr>
        <w:t>of therapy. J Med Radiat Sci 2017</w:t>
      </w:r>
      <w:proofErr w:type="gramStart"/>
      <w:r w:rsidRPr="00E5152A">
        <w:rPr>
          <w:rFonts w:ascii="Calibri" w:hAnsi="Calibri" w:cs="Calibri"/>
          <w:sz w:val="22"/>
          <w:szCs w:val="22"/>
        </w:rPr>
        <w:t>;64:52</w:t>
      </w:r>
      <w:proofErr w:type="gramEnd"/>
      <w:r w:rsidRPr="00E5152A">
        <w:rPr>
          <w:rFonts w:ascii="Calibri" w:hAnsi="Calibri" w:cs="Calibri"/>
          <w:sz w:val="22"/>
          <w:szCs w:val="22"/>
        </w:rPr>
        <w:t>–60.</w:t>
      </w:r>
    </w:p>
    <w:p w14:paraId="329C67C4" w14:textId="77777777" w:rsidR="0021531F" w:rsidRPr="00E5152A" w:rsidRDefault="0021531F" w:rsidP="00E5152A">
      <w:pPr>
        <w:spacing w:line="276" w:lineRule="auto"/>
        <w:rPr>
          <w:rFonts w:ascii="Calibri" w:hAnsi="Calibri" w:cs="Calibri"/>
          <w:sz w:val="22"/>
          <w:szCs w:val="22"/>
        </w:rPr>
      </w:pPr>
    </w:p>
    <w:p w14:paraId="48CC1C0C" w14:textId="6F456195" w:rsidR="00E5152A" w:rsidRDefault="00E5152A" w:rsidP="00E5152A">
      <w:pPr>
        <w:spacing w:line="276" w:lineRule="auto"/>
        <w:rPr>
          <w:rFonts w:ascii="Calibri" w:hAnsi="Calibri" w:cs="Calibri"/>
          <w:sz w:val="22"/>
          <w:szCs w:val="22"/>
        </w:rPr>
      </w:pPr>
      <w:r w:rsidRPr="00E5152A">
        <w:rPr>
          <w:rFonts w:ascii="Calibri" w:hAnsi="Calibri" w:cs="Calibri"/>
          <w:sz w:val="22"/>
          <w:szCs w:val="22"/>
        </w:rPr>
        <w:t>[131] Hofman MS, Emmett L, Sand</w:t>
      </w:r>
      <w:r w:rsidR="00A80C9C">
        <w:rPr>
          <w:rFonts w:ascii="Calibri" w:hAnsi="Calibri" w:cs="Calibri"/>
          <w:sz w:val="22"/>
          <w:szCs w:val="22"/>
        </w:rPr>
        <w:t>hu S, et al. [177Lu</w:t>
      </w:r>
      <w:proofErr w:type="gramStart"/>
      <w:r w:rsidR="00A80C9C">
        <w:rPr>
          <w:rFonts w:ascii="Calibri" w:hAnsi="Calibri" w:cs="Calibri"/>
          <w:sz w:val="22"/>
          <w:szCs w:val="22"/>
        </w:rPr>
        <w:t>]Lu</w:t>
      </w:r>
      <w:proofErr w:type="gramEnd"/>
      <w:r w:rsidR="00A80C9C">
        <w:rPr>
          <w:rFonts w:ascii="Calibri" w:hAnsi="Calibri" w:cs="Calibri"/>
          <w:sz w:val="22"/>
          <w:szCs w:val="22"/>
        </w:rPr>
        <w:t xml:space="preserve">-PSMA-617 </w:t>
      </w:r>
      <w:r w:rsidRPr="00E5152A">
        <w:rPr>
          <w:rFonts w:ascii="Calibri" w:hAnsi="Calibri" w:cs="Calibri"/>
          <w:sz w:val="22"/>
          <w:szCs w:val="22"/>
        </w:rPr>
        <w:t xml:space="preserve">versus cabazitaxel in patients with </w:t>
      </w:r>
      <w:r w:rsidR="00A80C9C">
        <w:rPr>
          <w:rFonts w:ascii="Calibri" w:hAnsi="Calibri" w:cs="Calibri"/>
          <w:sz w:val="22"/>
          <w:szCs w:val="22"/>
        </w:rPr>
        <w:t xml:space="preserve">metastatic castration-resistant </w:t>
      </w:r>
      <w:r w:rsidRPr="00E5152A">
        <w:rPr>
          <w:rFonts w:ascii="Calibri" w:hAnsi="Calibri" w:cs="Calibri"/>
          <w:sz w:val="22"/>
          <w:szCs w:val="22"/>
        </w:rPr>
        <w:t>prostate cancer (TheraP): a randomised, open</w:t>
      </w:r>
      <w:r w:rsidR="00A80C9C">
        <w:rPr>
          <w:rFonts w:ascii="Calibri" w:hAnsi="Calibri" w:cs="Calibri"/>
          <w:sz w:val="22"/>
          <w:szCs w:val="22"/>
        </w:rPr>
        <w:t xml:space="preserve">-label, phase 2 trial. </w:t>
      </w:r>
      <w:r w:rsidRPr="00E5152A">
        <w:rPr>
          <w:rFonts w:ascii="Calibri" w:hAnsi="Calibri" w:cs="Calibri"/>
          <w:sz w:val="22"/>
          <w:szCs w:val="22"/>
        </w:rPr>
        <w:t>Lancet 2021</w:t>
      </w:r>
      <w:proofErr w:type="gramStart"/>
      <w:r w:rsidRPr="00E5152A">
        <w:rPr>
          <w:rFonts w:ascii="Calibri" w:hAnsi="Calibri" w:cs="Calibri"/>
          <w:sz w:val="22"/>
          <w:szCs w:val="22"/>
        </w:rPr>
        <w:t>;397:797</w:t>
      </w:r>
      <w:proofErr w:type="gramEnd"/>
      <w:r w:rsidRPr="00E5152A">
        <w:rPr>
          <w:rFonts w:ascii="Calibri" w:hAnsi="Calibri" w:cs="Calibri"/>
          <w:sz w:val="22"/>
          <w:szCs w:val="22"/>
        </w:rPr>
        <w:t>–804.</w:t>
      </w:r>
    </w:p>
    <w:p w14:paraId="53BD86C4" w14:textId="77777777" w:rsidR="0021531F" w:rsidRPr="00E5152A" w:rsidRDefault="0021531F" w:rsidP="00E5152A">
      <w:pPr>
        <w:spacing w:line="276" w:lineRule="auto"/>
        <w:rPr>
          <w:rFonts w:ascii="Calibri" w:hAnsi="Calibri" w:cs="Calibri"/>
          <w:sz w:val="22"/>
          <w:szCs w:val="22"/>
        </w:rPr>
      </w:pPr>
    </w:p>
    <w:p w14:paraId="67427A5D" w14:textId="0DD7E3DF" w:rsidR="00E5152A" w:rsidRPr="00E5152A" w:rsidRDefault="00E5152A" w:rsidP="00E5152A">
      <w:pPr>
        <w:spacing w:line="276" w:lineRule="auto"/>
        <w:rPr>
          <w:rFonts w:ascii="Calibri" w:hAnsi="Calibri" w:cs="Calibri"/>
          <w:sz w:val="22"/>
          <w:szCs w:val="22"/>
        </w:rPr>
      </w:pPr>
      <w:r w:rsidRPr="00E5152A">
        <w:rPr>
          <w:rFonts w:ascii="Calibri" w:hAnsi="Calibri" w:cs="Calibri"/>
          <w:sz w:val="22"/>
          <w:szCs w:val="22"/>
        </w:rPr>
        <w:t>[132] Hofman MS, Emmett L, Sandhu S</w:t>
      </w:r>
      <w:r w:rsidR="00A80C9C">
        <w:rPr>
          <w:rFonts w:ascii="Calibri" w:hAnsi="Calibri" w:cs="Calibri"/>
          <w:sz w:val="22"/>
          <w:szCs w:val="22"/>
        </w:rPr>
        <w:t xml:space="preserve">, et al. TheraP: 177Lu-PSMA-617 </w:t>
      </w:r>
      <w:r w:rsidRPr="00E5152A">
        <w:rPr>
          <w:rFonts w:ascii="Calibri" w:hAnsi="Calibri" w:cs="Calibri"/>
          <w:sz w:val="22"/>
          <w:szCs w:val="22"/>
        </w:rPr>
        <w:t xml:space="preserve">(LuPSMA) versus cabazitaxel in </w:t>
      </w:r>
      <w:r w:rsidR="00A80C9C">
        <w:rPr>
          <w:rFonts w:ascii="Calibri" w:hAnsi="Calibri" w:cs="Calibri"/>
          <w:sz w:val="22"/>
          <w:szCs w:val="22"/>
        </w:rPr>
        <w:t xml:space="preserve">metastatic castration-resistant </w:t>
      </w:r>
      <w:r w:rsidRPr="00E5152A">
        <w:rPr>
          <w:rFonts w:ascii="Calibri" w:hAnsi="Calibri" w:cs="Calibri"/>
          <w:sz w:val="22"/>
          <w:szCs w:val="22"/>
        </w:rPr>
        <w:t>prostate cancer (mCRPC) progressing after docetaxel—overall</w:t>
      </w:r>
    </w:p>
    <w:p w14:paraId="58FBDEB7" w14:textId="19D15D8E" w:rsidR="00E5152A" w:rsidRDefault="00E5152A" w:rsidP="00E5152A">
      <w:pPr>
        <w:spacing w:line="276" w:lineRule="auto"/>
        <w:rPr>
          <w:rFonts w:ascii="Calibri" w:hAnsi="Calibri" w:cs="Calibri"/>
          <w:sz w:val="22"/>
          <w:szCs w:val="22"/>
        </w:rPr>
      </w:pPr>
      <w:proofErr w:type="gramStart"/>
      <w:r w:rsidRPr="00E5152A">
        <w:rPr>
          <w:rFonts w:ascii="Calibri" w:hAnsi="Calibri" w:cs="Calibri"/>
          <w:sz w:val="22"/>
          <w:szCs w:val="22"/>
        </w:rPr>
        <w:t>survival</w:t>
      </w:r>
      <w:proofErr w:type="gramEnd"/>
      <w:r w:rsidRPr="00E5152A">
        <w:rPr>
          <w:rFonts w:ascii="Calibri" w:hAnsi="Calibri" w:cs="Calibri"/>
          <w:sz w:val="22"/>
          <w:szCs w:val="22"/>
        </w:rPr>
        <w:t xml:space="preserve"> after median follow-up </w:t>
      </w:r>
      <w:r w:rsidR="00A80C9C">
        <w:rPr>
          <w:rFonts w:ascii="Calibri" w:hAnsi="Calibri" w:cs="Calibri"/>
          <w:sz w:val="22"/>
          <w:szCs w:val="22"/>
        </w:rPr>
        <w:t xml:space="preserve">of 3 years (ANZUP 1603). J Clin </w:t>
      </w:r>
      <w:r w:rsidRPr="00E5152A">
        <w:rPr>
          <w:rFonts w:ascii="Calibri" w:hAnsi="Calibri" w:cs="Calibri"/>
          <w:sz w:val="22"/>
          <w:szCs w:val="22"/>
        </w:rPr>
        <w:t>Oncol 2022</w:t>
      </w:r>
      <w:proofErr w:type="gramStart"/>
      <w:r w:rsidRPr="00E5152A">
        <w:rPr>
          <w:rFonts w:ascii="Calibri" w:hAnsi="Calibri" w:cs="Calibri"/>
          <w:sz w:val="22"/>
          <w:szCs w:val="22"/>
        </w:rPr>
        <w:t>;40</w:t>
      </w:r>
      <w:proofErr w:type="gramEnd"/>
      <w:r w:rsidRPr="00E5152A">
        <w:rPr>
          <w:rFonts w:ascii="Calibri" w:hAnsi="Calibri" w:cs="Calibri"/>
          <w:sz w:val="22"/>
          <w:szCs w:val="22"/>
        </w:rPr>
        <w:t>(16 Suppl)</w:t>
      </w:r>
      <w:r w:rsidR="00A80C9C">
        <w:rPr>
          <w:rFonts w:ascii="Calibri" w:hAnsi="Calibri" w:cs="Calibri"/>
          <w:sz w:val="22"/>
          <w:szCs w:val="22"/>
        </w:rPr>
        <w:t xml:space="preserve">:5000. </w:t>
      </w:r>
      <w:hyperlink r:id="rId13" w:history="1">
        <w:r w:rsidR="00A80C9C" w:rsidRPr="008330EA">
          <w:rPr>
            <w:rStyle w:val="Hyperlink"/>
            <w:rFonts w:ascii="Calibri" w:hAnsi="Calibri" w:cs="Calibri"/>
            <w:sz w:val="22"/>
            <w:szCs w:val="22"/>
          </w:rPr>
          <w:t>https://doi.org/10.1200/</w:t>
        </w:r>
      </w:hyperlink>
      <w:r w:rsidR="00A80C9C">
        <w:rPr>
          <w:rFonts w:ascii="Calibri" w:hAnsi="Calibri" w:cs="Calibri"/>
          <w:sz w:val="22"/>
          <w:szCs w:val="22"/>
        </w:rPr>
        <w:t xml:space="preserve"> </w:t>
      </w:r>
      <w:r w:rsidRPr="00E5152A">
        <w:rPr>
          <w:rFonts w:ascii="Calibri" w:hAnsi="Calibri" w:cs="Calibri"/>
          <w:sz w:val="22"/>
          <w:szCs w:val="22"/>
        </w:rPr>
        <w:t>JCO.2022.40.16_suppl.5000.</w:t>
      </w:r>
    </w:p>
    <w:p w14:paraId="0FFED1C7" w14:textId="77777777" w:rsidR="0021531F" w:rsidRPr="00E5152A" w:rsidRDefault="0021531F" w:rsidP="00E5152A">
      <w:pPr>
        <w:spacing w:line="276" w:lineRule="auto"/>
        <w:rPr>
          <w:rFonts w:ascii="Calibri" w:hAnsi="Calibri" w:cs="Calibri"/>
          <w:sz w:val="22"/>
          <w:szCs w:val="22"/>
        </w:rPr>
      </w:pPr>
    </w:p>
    <w:p w14:paraId="323F83C1" w14:textId="328424CE" w:rsidR="00E5152A" w:rsidRDefault="00E5152A" w:rsidP="00E5152A">
      <w:pPr>
        <w:spacing w:line="276" w:lineRule="auto"/>
        <w:rPr>
          <w:rFonts w:ascii="Calibri" w:hAnsi="Calibri" w:cs="Calibri"/>
          <w:sz w:val="22"/>
          <w:szCs w:val="22"/>
        </w:rPr>
      </w:pPr>
      <w:r w:rsidRPr="00E5152A">
        <w:rPr>
          <w:rFonts w:ascii="Calibri" w:hAnsi="Calibri" w:cs="Calibri"/>
          <w:sz w:val="22"/>
          <w:szCs w:val="22"/>
        </w:rPr>
        <w:t>[133] Sartor O, de Bono J, Chi KN, e</w:t>
      </w:r>
      <w:r w:rsidR="00A80C9C">
        <w:rPr>
          <w:rFonts w:ascii="Calibri" w:hAnsi="Calibri" w:cs="Calibri"/>
          <w:sz w:val="22"/>
          <w:szCs w:val="22"/>
        </w:rPr>
        <w:t xml:space="preserve">t al. Lutetium-177-PSMA-617 for </w:t>
      </w:r>
      <w:r w:rsidRPr="00E5152A">
        <w:rPr>
          <w:rFonts w:ascii="Calibri" w:hAnsi="Calibri" w:cs="Calibri"/>
          <w:sz w:val="22"/>
          <w:szCs w:val="22"/>
        </w:rPr>
        <w:t>metastatic castration-resistant prostate c</w:t>
      </w:r>
      <w:r w:rsidR="00A80C9C">
        <w:rPr>
          <w:rFonts w:ascii="Calibri" w:hAnsi="Calibri" w:cs="Calibri"/>
          <w:sz w:val="22"/>
          <w:szCs w:val="22"/>
        </w:rPr>
        <w:t xml:space="preserve">ancer. N Engl J Med </w:t>
      </w:r>
      <w:r w:rsidRPr="00E5152A">
        <w:rPr>
          <w:rFonts w:ascii="Calibri" w:hAnsi="Calibri" w:cs="Calibri"/>
          <w:sz w:val="22"/>
          <w:szCs w:val="22"/>
        </w:rPr>
        <w:t>2021</w:t>
      </w:r>
      <w:proofErr w:type="gramStart"/>
      <w:r w:rsidRPr="00E5152A">
        <w:rPr>
          <w:rFonts w:ascii="Calibri" w:hAnsi="Calibri" w:cs="Calibri"/>
          <w:sz w:val="22"/>
          <w:szCs w:val="22"/>
        </w:rPr>
        <w:t>;385:1091</w:t>
      </w:r>
      <w:proofErr w:type="gramEnd"/>
      <w:r w:rsidRPr="00E5152A">
        <w:rPr>
          <w:rFonts w:ascii="Calibri" w:hAnsi="Calibri" w:cs="Calibri"/>
          <w:sz w:val="22"/>
          <w:szCs w:val="22"/>
        </w:rPr>
        <w:t>–103.</w:t>
      </w:r>
    </w:p>
    <w:p w14:paraId="1284C45C" w14:textId="77777777" w:rsidR="0021531F" w:rsidRPr="00E5152A" w:rsidRDefault="0021531F" w:rsidP="00E5152A">
      <w:pPr>
        <w:spacing w:line="276" w:lineRule="auto"/>
        <w:rPr>
          <w:rFonts w:ascii="Calibri" w:hAnsi="Calibri" w:cs="Calibri"/>
          <w:sz w:val="22"/>
          <w:szCs w:val="22"/>
        </w:rPr>
      </w:pPr>
    </w:p>
    <w:p w14:paraId="5B77313B" w14:textId="2D66952A" w:rsidR="00E5152A" w:rsidRDefault="00E5152A" w:rsidP="00E5152A">
      <w:pPr>
        <w:spacing w:line="276" w:lineRule="auto"/>
        <w:rPr>
          <w:rFonts w:ascii="Calibri" w:hAnsi="Calibri" w:cs="Calibri"/>
          <w:sz w:val="22"/>
          <w:szCs w:val="22"/>
        </w:rPr>
      </w:pPr>
      <w:r w:rsidRPr="00E5152A">
        <w:rPr>
          <w:rFonts w:ascii="Calibri" w:hAnsi="Calibri" w:cs="Calibri"/>
          <w:sz w:val="22"/>
          <w:szCs w:val="22"/>
        </w:rPr>
        <w:t xml:space="preserve">[134] Sadaghiani MS, Sheikhbahaei </w:t>
      </w:r>
      <w:r w:rsidR="00A80C9C">
        <w:rPr>
          <w:rFonts w:ascii="Calibri" w:hAnsi="Calibri" w:cs="Calibri"/>
          <w:sz w:val="22"/>
          <w:szCs w:val="22"/>
        </w:rPr>
        <w:t xml:space="preserve">S, Werner RA, et al. 177Lu-PSMA radioligand therapy </w:t>
      </w:r>
      <w:r w:rsidRPr="00E5152A">
        <w:rPr>
          <w:rFonts w:ascii="Calibri" w:hAnsi="Calibri" w:cs="Calibri"/>
          <w:sz w:val="22"/>
          <w:szCs w:val="22"/>
        </w:rPr>
        <w:t>effectiveness in</w:t>
      </w:r>
      <w:r w:rsidR="00A80C9C">
        <w:rPr>
          <w:rFonts w:ascii="Calibri" w:hAnsi="Calibri" w:cs="Calibri"/>
          <w:sz w:val="22"/>
          <w:szCs w:val="22"/>
        </w:rPr>
        <w:t xml:space="preserve"> metastatic castration resistant </w:t>
      </w:r>
      <w:r w:rsidRPr="00E5152A">
        <w:rPr>
          <w:rFonts w:ascii="Calibri" w:hAnsi="Calibri" w:cs="Calibri"/>
          <w:sz w:val="22"/>
          <w:szCs w:val="22"/>
        </w:rPr>
        <w:t>prostate cancer: a</w:t>
      </w:r>
      <w:r w:rsidR="00A80C9C">
        <w:rPr>
          <w:rFonts w:ascii="Calibri" w:hAnsi="Calibri" w:cs="Calibri"/>
          <w:sz w:val="22"/>
          <w:szCs w:val="22"/>
        </w:rPr>
        <w:t xml:space="preserve">n updated systematic review and </w:t>
      </w:r>
      <w:r w:rsidRPr="00E5152A">
        <w:rPr>
          <w:rFonts w:ascii="Calibri" w:hAnsi="Calibri" w:cs="Calibri"/>
          <w:sz w:val="22"/>
          <w:szCs w:val="22"/>
        </w:rPr>
        <w:t>meta-analysis. Prostate 2022</w:t>
      </w:r>
      <w:proofErr w:type="gramStart"/>
      <w:r w:rsidRPr="00E5152A">
        <w:rPr>
          <w:rFonts w:ascii="Calibri" w:hAnsi="Calibri" w:cs="Calibri"/>
          <w:sz w:val="22"/>
          <w:szCs w:val="22"/>
        </w:rPr>
        <w:t>;82:826</w:t>
      </w:r>
      <w:proofErr w:type="gramEnd"/>
      <w:r w:rsidRPr="00E5152A">
        <w:rPr>
          <w:rFonts w:ascii="Calibri" w:hAnsi="Calibri" w:cs="Calibri"/>
          <w:sz w:val="22"/>
          <w:szCs w:val="22"/>
        </w:rPr>
        <w:t>–35.</w:t>
      </w:r>
    </w:p>
    <w:p w14:paraId="537541C0" w14:textId="77777777" w:rsidR="0021531F" w:rsidRPr="00E5152A" w:rsidRDefault="0021531F" w:rsidP="00E5152A">
      <w:pPr>
        <w:spacing w:line="276" w:lineRule="auto"/>
        <w:rPr>
          <w:rFonts w:ascii="Calibri" w:hAnsi="Calibri" w:cs="Calibri"/>
          <w:sz w:val="22"/>
          <w:szCs w:val="22"/>
        </w:rPr>
      </w:pPr>
    </w:p>
    <w:p w14:paraId="4E165FC8" w14:textId="25CBB9D9" w:rsidR="00E5152A" w:rsidRDefault="00E5152A" w:rsidP="00E5152A">
      <w:pPr>
        <w:spacing w:line="276" w:lineRule="auto"/>
        <w:rPr>
          <w:rFonts w:ascii="Calibri" w:hAnsi="Calibri" w:cs="Calibri"/>
          <w:sz w:val="22"/>
          <w:szCs w:val="22"/>
        </w:rPr>
      </w:pPr>
      <w:r w:rsidRPr="00E5152A">
        <w:rPr>
          <w:rFonts w:ascii="Calibri" w:hAnsi="Calibri" w:cs="Calibri"/>
          <w:sz w:val="22"/>
          <w:szCs w:val="22"/>
        </w:rPr>
        <w:t>[135] de Bono J, Mateo J, Fizazi K,</w:t>
      </w:r>
      <w:r w:rsidR="00A80C9C">
        <w:rPr>
          <w:rFonts w:ascii="Calibri" w:hAnsi="Calibri" w:cs="Calibri"/>
          <w:sz w:val="22"/>
          <w:szCs w:val="22"/>
        </w:rPr>
        <w:t xml:space="preserve"> et al. Olaparib for metastatic </w:t>
      </w:r>
      <w:r w:rsidRPr="00E5152A">
        <w:rPr>
          <w:rFonts w:ascii="Calibri" w:hAnsi="Calibri" w:cs="Calibri"/>
          <w:sz w:val="22"/>
          <w:szCs w:val="22"/>
        </w:rPr>
        <w:t>castration-resistan</w:t>
      </w:r>
      <w:r w:rsidR="00A80C9C">
        <w:rPr>
          <w:rFonts w:ascii="Calibri" w:hAnsi="Calibri" w:cs="Calibri"/>
          <w:sz w:val="22"/>
          <w:szCs w:val="22"/>
        </w:rPr>
        <w:t xml:space="preserve">t prostate cancer. N Engl J Med </w:t>
      </w:r>
      <w:r w:rsidRPr="00E5152A">
        <w:rPr>
          <w:rFonts w:ascii="Calibri" w:hAnsi="Calibri" w:cs="Calibri"/>
          <w:sz w:val="22"/>
          <w:szCs w:val="22"/>
        </w:rPr>
        <w:t>2020</w:t>
      </w:r>
      <w:proofErr w:type="gramStart"/>
      <w:r w:rsidRPr="00E5152A">
        <w:rPr>
          <w:rFonts w:ascii="Calibri" w:hAnsi="Calibri" w:cs="Calibri"/>
          <w:sz w:val="22"/>
          <w:szCs w:val="22"/>
        </w:rPr>
        <w:t>;382:2091</w:t>
      </w:r>
      <w:proofErr w:type="gramEnd"/>
      <w:r w:rsidRPr="00E5152A">
        <w:rPr>
          <w:rFonts w:ascii="Calibri" w:hAnsi="Calibri" w:cs="Calibri"/>
          <w:sz w:val="22"/>
          <w:szCs w:val="22"/>
        </w:rPr>
        <w:t>–102.</w:t>
      </w:r>
    </w:p>
    <w:p w14:paraId="13A582E4" w14:textId="77777777" w:rsidR="0021531F" w:rsidRPr="00E5152A" w:rsidRDefault="0021531F" w:rsidP="00E5152A">
      <w:pPr>
        <w:spacing w:line="276" w:lineRule="auto"/>
        <w:rPr>
          <w:rFonts w:ascii="Calibri" w:hAnsi="Calibri" w:cs="Calibri"/>
          <w:sz w:val="22"/>
          <w:szCs w:val="22"/>
        </w:rPr>
      </w:pPr>
    </w:p>
    <w:p w14:paraId="1589C33B" w14:textId="4442CB06" w:rsidR="00E5152A" w:rsidRDefault="00E5152A" w:rsidP="00E5152A">
      <w:pPr>
        <w:spacing w:line="276" w:lineRule="auto"/>
        <w:rPr>
          <w:rFonts w:ascii="Calibri" w:hAnsi="Calibri" w:cs="Calibri"/>
          <w:sz w:val="22"/>
          <w:szCs w:val="22"/>
        </w:rPr>
      </w:pPr>
      <w:r w:rsidRPr="00E5152A">
        <w:rPr>
          <w:rFonts w:ascii="Calibri" w:hAnsi="Calibri" w:cs="Calibri"/>
          <w:sz w:val="22"/>
          <w:szCs w:val="22"/>
        </w:rPr>
        <w:t>[136] Hussain M, Mateo J, Fizazi K, e</w:t>
      </w:r>
      <w:r w:rsidR="00A80C9C">
        <w:rPr>
          <w:rFonts w:ascii="Calibri" w:hAnsi="Calibri" w:cs="Calibri"/>
          <w:sz w:val="22"/>
          <w:szCs w:val="22"/>
        </w:rPr>
        <w:t xml:space="preserve">t al. Survival with olaparib in </w:t>
      </w:r>
      <w:r w:rsidRPr="00E5152A">
        <w:rPr>
          <w:rFonts w:ascii="Calibri" w:hAnsi="Calibri" w:cs="Calibri"/>
          <w:sz w:val="22"/>
          <w:szCs w:val="22"/>
        </w:rPr>
        <w:t>metastatic castration-resistant prostate ca</w:t>
      </w:r>
      <w:r w:rsidR="00A80C9C">
        <w:rPr>
          <w:rFonts w:ascii="Calibri" w:hAnsi="Calibri" w:cs="Calibri"/>
          <w:sz w:val="22"/>
          <w:szCs w:val="22"/>
        </w:rPr>
        <w:t xml:space="preserve">ncer. N Engl J Med </w:t>
      </w:r>
      <w:r w:rsidRPr="00E5152A">
        <w:rPr>
          <w:rFonts w:ascii="Calibri" w:hAnsi="Calibri" w:cs="Calibri"/>
          <w:sz w:val="22"/>
          <w:szCs w:val="22"/>
        </w:rPr>
        <w:t>2020</w:t>
      </w:r>
      <w:proofErr w:type="gramStart"/>
      <w:r w:rsidRPr="00E5152A">
        <w:rPr>
          <w:rFonts w:ascii="Calibri" w:hAnsi="Calibri" w:cs="Calibri"/>
          <w:sz w:val="22"/>
          <w:szCs w:val="22"/>
        </w:rPr>
        <w:t>;383:2345</w:t>
      </w:r>
      <w:proofErr w:type="gramEnd"/>
      <w:r w:rsidRPr="00E5152A">
        <w:rPr>
          <w:rFonts w:ascii="Calibri" w:hAnsi="Calibri" w:cs="Calibri"/>
          <w:sz w:val="22"/>
          <w:szCs w:val="22"/>
        </w:rPr>
        <w:t>–57.</w:t>
      </w:r>
    </w:p>
    <w:p w14:paraId="51736E9C" w14:textId="77777777" w:rsidR="0021531F" w:rsidRPr="00E5152A" w:rsidRDefault="0021531F" w:rsidP="00E5152A">
      <w:pPr>
        <w:spacing w:line="276" w:lineRule="auto"/>
        <w:rPr>
          <w:rFonts w:ascii="Calibri" w:hAnsi="Calibri" w:cs="Calibri"/>
          <w:sz w:val="22"/>
          <w:szCs w:val="22"/>
        </w:rPr>
      </w:pPr>
    </w:p>
    <w:p w14:paraId="01C34573" w14:textId="56170C6B" w:rsidR="00E5152A" w:rsidRDefault="00E5152A" w:rsidP="00E5152A">
      <w:pPr>
        <w:spacing w:line="276" w:lineRule="auto"/>
        <w:rPr>
          <w:rFonts w:ascii="Calibri" w:hAnsi="Calibri" w:cs="Calibri"/>
          <w:sz w:val="22"/>
          <w:szCs w:val="22"/>
        </w:rPr>
      </w:pPr>
      <w:r w:rsidRPr="00E5152A">
        <w:rPr>
          <w:rFonts w:ascii="Calibri" w:hAnsi="Calibri" w:cs="Calibri"/>
          <w:sz w:val="22"/>
          <w:szCs w:val="22"/>
        </w:rPr>
        <w:t>[137] Hager S, Ackermann CJ, Joerger M, G</w:t>
      </w:r>
      <w:r w:rsidR="00A80C9C">
        <w:rPr>
          <w:rFonts w:ascii="Calibri" w:hAnsi="Calibri" w:cs="Calibri"/>
          <w:sz w:val="22"/>
          <w:szCs w:val="22"/>
        </w:rPr>
        <w:t xml:space="preserve">illessen S, Omlin A. Antitumour </w:t>
      </w:r>
      <w:r w:rsidRPr="00E5152A">
        <w:rPr>
          <w:rFonts w:ascii="Calibri" w:hAnsi="Calibri" w:cs="Calibri"/>
          <w:sz w:val="22"/>
          <w:szCs w:val="22"/>
        </w:rPr>
        <w:t>activity of platinum</w:t>
      </w:r>
      <w:r w:rsidR="00A80C9C">
        <w:rPr>
          <w:rFonts w:ascii="Calibri" w:hAnsi="Calibri" w:cs="Calibri"/>
          <w:sz w:val="22"/>
          <w:szCs w:val="22"/>
        </w:rPr>
        <w:t xml:space="preserve"> compounds in advanced prostate </w:t>
      </w:r>
      <w:r w:rsidRPr="00E5152A">
        <w:rPr>
          <w:rFonts w:ascii="Calibri" w:hAnsi="Calibri" w:cs="Calibri"/>
          <w:sz w:val="22"/>
          <w:szCs w:val="22"/>
        </w:rPr>
        <w:t>cancer-a systemat</w:t>
      </w:r>
      <w:r w:rsidR="00A80C9C">
        <w:rPr>
          <w:rFonts w:ascii="Calibri" w:hAnsi="Calibri" w:cs="Calibri"/>
          <w:sz w:val="22"/>
          <w:szCs w:val="22"/>
        </w:rPr>
        <w:t xml:space="preserve">ic literature review. Ann Oncol </w:t>
      </w:r>
      <w:r w:rsidRPr="00E5152A">
        <w:rPr>
          <w:rFonts w:ascii="Calibri" w:hAnsi="Calibri" w:cs="Calibri"/>
          <w:sz w:val="22"/>
          <w:szCs w:val="22"/>
        </w:rPr>
        <w:t>2016</w:t>
      </w:r>
      <w:proofErr w:type="gramStart"/>
      <w:r w:rsidRPr="00E5152A">
        <w:rPr>
          <w:rFonts w:ascii="Calibri" w:hAnsi="Calibri" w:cs="Calibri"/>
          <w:sz w:val="22"/>
          <w:szCs w:val="22"/>
        </w:rPr>
        <w:t>;27:975</w:t>
      </w:r>
      <w:proofErr w:type="gramEnd"/>
      <w:r w:rsidRPr="00E5152A">
        <w:rPr>
          <w:rFonts w:ascii="Calibri" w:hAnsi="Calibri" w:cs="Calibri"/>
          <w:sz w:val="22"/>
          <w:szCs w:val="22"/>
        </w:rPr>
        <w:t>–84.</w:t>
      </w:r>
    </w:p>
    <w:p w14:paraId="4D443D23" w14:textId="77777777" w:rsidR="0021531F" w:rsidRPr="00E5152A" w:rsidRDefault="0021531F" w:rsidP="00E5152A">
      <w:pPr>
        <w:spacing w:line="276" w:lineRule="auto"/>
        <w:rPr>
          <w:rFonts w:ascii="Calibri" w:hAnsi="Calibri" w:cs="Calibri"/>
          <w:sz w:val="22"/>
          <w:szCs w:val="22"/>
        </w:rPr>
      </w:pPr>
    </w:p>
    <w:p w14:paraId="705CE9E3" w14:textId="2A7F8BA7" w:rsidR="00E5152A" w:rsidRDefault="00E5152A" w:rsidP="00E5152A">
      <w:pPr>
        <w:spacing w:line="276" w:lineRule="auto"/>
        <w:rPr>
          <w:rFonts w:ascii="Calibri" w:hAnsi="Calibri" w:cs="Calibri"/>
          <w:sz w:val="22"/>
          <w:szCs w:val="22"/>
        </w:rPr>
      </w:pPr>
      <w:r w:rsidRPr="00E5152A">
        <w:rPr>
          <w:rFonts w:ascii="Calibri" w:hAnsi="Calibri" w:cs="Calibri"/>
          <w:sz w:val="22"/>
          <w:szCs w:val="22"/>
        </w:rPr>
        <w:t>[138] Corn PG, Heath EI, Zurita A, et al. C</w:t>
      </w:r>
      <w:r w:rsidR="00A80C9C">
        <w:rPr>
          <w:rFonts w:ascii="Calibri" w:hAnsi="Calibri" w:cs="Calibri"/>
          <w:sz w:val="22"/>
          <w:szCs w:val="22"/>
        </w:rPr>
        <w:t xml:space="preserve">abazitaxel plus carboplatin for </w:t>
      </w:r>
      <w:r w:rsidRPr="00E5152A">
        <w:rPr>
          <w:rFonts w:ascii="Calibri" w:hAnsi="Calibri" w:cs="Calibri"/>
          <w:sz w:val="22"/>
          <w:szCs w:val="22"/>
        </w:rPr>
        <w:t xml:space="preserve">the treatment of men with </w:t>
      </w:r>
      <w:r w:rsidR="00A80C9C">
        <w:rPr>
          <w:rFonts w:ascii="Calibri" w:hAnsi="Calibri" w:cs="Calibri"/>
          <w:sz w:val="22"/>
          <w:szCs w:val="22"/>
        </w:rPr>
        <w:t xml:space="preserve">metastatic castration-resistant </w:t>
      </w:r>
      <w:r w:rsidRPr="00E5152A">
        <w:rPr>
          <w:rFonts w:ascii="Calibri" w:hAnsi="Calibri" w:cs="Calibri"/>
          <w:sz w:val="22"/>
          <w:szCs w:val="22"/>
        </w:rPr>
        <w:t>prostate cancers: a randomise</w:t>
      </w:r>
      <w:r w:rsidR="00A80C9C">
        <w:rPr>
          <w:rFonts w:ascii="Calibri" w:hAnsi="Calibri" w:cs="Calibri"/>
          <w:sz w:val="22"/>
          <w:szCs w:val="22"/>
        </w:rPr>
        <w:t>d, open-label, phase 1–2 trial.</w:t>
      </w:r>
      <w:r w:rsidRPr="00E5152A">
        <w:rPr>
          <w:rFonts w:ascii="Calibri" w:hAnsi="Calibri" w:cs="Calibri"/>
          <w:sz w:val="22"/>
          <w:szCs w:val="22"/>
        </w:rPr>
        <w:t>Lancet Oncol 2019;20:1432–43.</w:t>
      </w:r>
    </w:p>
    <w:p w14:paraId="7A1D47D4" w14:textId="77777777" w:rsidR="0021531F" w:rsidRPr="00E5152A" w:rsidRDefault="0021531F" w:rsidP="00E5152A">
      <w:pPr>
        <w:spacing w:line="276" w:lineRule="auto"/>
        <w:rPr>
          <w:rFonts w:ascii="Calibri" w:hAnsi="Calibri" w:cs="Calibri"/>
          <w:sz w:val="22"/>
          <w:szCs w:val="22"/>
        </w:rPr>
      </w:pPr>
    </w:p>
    <w:p w14:paraId="6CC00E98" w14:textId="2C8B99ED" w:rsidR="00E5152A" w:rsidRDefault="00E5152A" w:rsidP="00E5152A">
      <w:pPr>
        <w:spacing w:line="276" w:lineRule="auto"/>
        <w:rPr>
          <w:rFonts w:ascii="Calibri" w:hAnsi="Calibri" w:cs="Calibri"/>
          <w:sz w:val="22"/>
          <w:szCs w:val="22"/>
        </w:rPr>
      </w:pPr>
      <w:r w:rsidRPr="00E5152A">
        <w:rPr>
          <w:rFonts w:ascii="Calibri" w:hAnsi="Calibri" w:cs="Calibri"/>
          <w:sz w:val="22"/>
          <w:szCs w:val="22"/>
        </w:rPr>
        <w:t>[139] Aparicio AM, Harzstark AL, Corn PG, et al. Platinum-bas</w:t>
      </w:r>
      <w:r w:rsidR="00A80C9C">
        <w:rPr>
          <w:rFonts w:ascii="Calibri" w:hAnsi="Calibri" w:cs="Calibri"/>
          <w:sz w:val="22"/>
          <w:szCs w:val="22"/>
        </w:rPr>
        <w:t xml:space="preserve">ed </w:t>
      </w:r>
      <w:r w:rsidRPr="00E5152A">
        <w:rPr>
          <w:rFonts w:ascii="Calibri" w:hAnsi="Calibri" w:cs="Calibri"/>
          <w:sz w:val="22"/>
          <w:szCs w:val="22"/>
        </w:rPr>
        <w:t>chemotherapy for variant castrate-</w:t>
      </w:r>
      <w:r w:rsidR="00A80C9C">
        <w:rPr>
          <w:rFonts w:ascii="Calibri" w:hAnsi="Calibri" w:cs="Calibri"/>
          <w:sz w:val="22"/>
          <w:szCs w:val="22"/>
        </w:rPr>
        <w:t xml:space="preserve">resistant prostate cancer. Clin </w:t>
      </w:r>
      <w:r w:rsidRPr="00E5152A">
        <w:rPr>
          <w:rFonts w:ascii="Calibri" w:hAnsi="Calibri" w:cs="Calibri"/>
          <w:sz w:val="22"/>
          <w:szCs w:val="22"/>
        </w:rPr>
        <w:t>Cancer Res 2013</w:t>
      </w:r>
      <w:proofErr w:type="gramStart"/>
      <w:r w:rsidRPr="00E5152A">
        <w:rPr>
          <w:rFonts w:ascii="Calibri" w:hAnsi="Calibri" w:cs="Calibri"/>
          <w:sz w:val="22"/>
          <w:szCs w:val="22"/>
        </w:rPr>
        <w:t>;19:3621</w:t>
      </w:r>
      <w:proofErr w:type="gramEnd"/>
      <w:r w:rsidRPr="00E5152A">
        <w:rPr>
          <w:rFonts w:ascii="Calibri" w:hAnsi="Calibri" w:cs="Calibri"/>
          <w:sz w:val="22"/>
          <w:szCs w:val="22"/>
        </w:rPr>
        <w:t>–30.</w:t>
      </w:r>
    </w:p>
    <w:p w14:paraId="029CED9F" w14:textId="77777777" w:rsidR="0021531F" w:rsidRPr="00E5152A" w:rsidRDefault="0021531F" w:rsidP="00E5152A">
      <w:pPr>
        <w:spacing w:line="276" w:lineRule="auto"/>
        <w:rPr>
          <w:rFonts w:ascii="Calibri" w:hAnsi="Calibri" w:cs="Calibri"/>
          <w:sz w:val="22"/>
          <w:szCs w:val="22"/>
        </w:rPr>
      </w:pPr>
    </w:p>
    <w:p w14:paraId="25620034" w14:textId="05EBB680" w:rsidR="00E5152A" w:rsidRDefault="00E5152A" w:rsidP="00E5152A">
      <w:pPr>
        <w:spacing w:line="276" w:lineRule="auto"/>
        <w:rPr>
          <w:rFonts w:ascii="Calibri" w:hAnsi="Calibri" w:cs="Calibri"/>
          <w:sz w:val="22"/>
          <w:szCs w:val="22"/>
        </w:rPr>
      </w:pPr>
      <w:r w:rsidRPr="00E5152A">
        <w:rPr>
          <w:rFonts w:ascii="Calibri" w:hAnsi="Calibri" w:cs="Calibri"/>
          <w:sz w:val="22"/>
          <w:szCs w:val="22"/>
        </w:rPr>
        <w:t>[140] Mota JM, Barnett E, Na</w:t>
      </w:r>
      <w:r w:rsidR="00A80C9C">
        <w:rPr>
          <w:rFonts w:ascii="Calibri" w:hAnsi="Calibri" w:cs="Calibri"/>
          <w:sz w:val="22"/>
          <w:szCs w:val="22"/>
        </w:rPr>
        <w:t xml:space="preserve">useef JT, et al. Platinum-based </w:t>
      </w:r>
      <w:r w:rsidRPr="00E5152A">
        <w:rPr>
          <w:rFonts w:ascii="Calibri" w:hAnsi="Calibri" w:cs="Calibri"/>
          <w:sz w:val="22"/>
          <w:szCs w:val="22"/>
        </w:rPr>
        <w:t xml:space="preserve">chemotherapy in metastatic </w:t>
      </w:r>
      <w:r w:rsidR="00A80C9C">
        <w:rPr>
          <w:rFonts w:ascii="Calibri" w:hAnsi="Calibri" w:cs="Calibri"/>
          <w:sz w:val="22"/>
          <w:szCs w:val="22"/>
        </w:rPr>
        <w:t xml:space="preserve">prostate cancer with DNA repair </w:t>
      </w:r>
      <w:r w:rsidRPr="00E5152A">
        <w:rPr>
          <w:rFonts w:ascii="Calibri" w:hAnsi="Calibri" w:cs="Calibri"/>
          <w:sz w:val="22"/>
          <w:szCs w:val="22"/>
        </w:rPr>
        <w:t>gene alterations. JCO Precis Oncol 2020</w:t>
      </w:r>
      <w:proofErr w:type="gramStart"/>
      <w:r w:rsidRPr="00E5152A">
        <w:rPr>
          <w:rFonts w:ascii="Calibri" w:hAnsi="Calibri" w:cs="Calibri"/>
          <w:sz w:val="22"/>
          <w:szCs w:val="22"/>
        </w:rPr>
        <w:t>;4:355</w:t>
      </w:r>
      <w:proofErr w:type="gramEnd"/>
      <w:r w:rsidRPr="00E5152A">
        <w:rPr>
          <w:rFonts w:ascii="Calibri" w:hAnsi="Calibri" w:cs="Calibri"/>
          <w:sz w:val="22"/>
          <w:szCs w:val="22"/>
        </w:rPr>
        <w:t>–66.</w:t>
      </w:r>
    </w:p>
    <w:p w14:paraId="3EC5121C" w14:textId="77777777" w:rsidR="0021531F" w:rsidRPr="00E5152A" w:rsidRDefault="0021531F" w:rsidP="00E5152A">
      <w:pPr>
        <w:spacing w:line="276" w:lineRule="auto"/>
        <w:rPr>
          <w:rFonts w:ascii="Calibri" w:hAnsi="Calibri" w:cs="Calibri"/>
          <w:sz w:val="22"/>
          <w:szCs w:val="22"/>
        </w:rPr>
      </w:pPr>
    </w:p>
    <w:p w14:paraId="194441EF" w14:textId="476B29E1" w:rsidR="00E5152A" w:rsidRPr="00E5152A" w:rsidRDefault="00E5152A" w:rsidP="00E5152A">
      <w:pPr>
        <w:spacing w:line="276" w:lineRule="auto"/>
        <w:rPr>
          <w:rFonts w:ascii="Calibri" w:hAnsi="Calibri" w:cs="Calibri"/>
          <w:sz w:val="22"/>
          <w:szCs w:val="22"/>
        </w:rPr>
      </w:pPr>
      <w:r w:rsidRPr="00E5152A">
        <w:rPr>
          <w:rFonts w:ascii="Calibri" w:hAnsi="Calibri" w:cs="Calibri"/>
          <w:sz w:val="22"/>
          <w:szCs w:val="22"/>
        </w:rPr>
        <w:t>[141] Schmid S, Omlin A, Higano C, et</w:t>
      </w:r>
      <w:r w:rsidR="00A80C9C">
        <w:rPr>
          <w:rFonts w:ascii="Calibri" w:hAnsi="Calibri" w:cs="Calibri"/>
          <w:sz w:val="22"/>
          <w:szCs w:val="22"/>
        </w:rPr>
        <w:t xml:space="preserve"> al. Activity of platinum-based </w:t>
      </w:r>
      <w:r w:rsidRPr="00E5152A">
        <w:rPr>
          <w:rFonts w:ascii="Calibri" w:hAnsi="Calibri" w:cs="Calibri"/>
          <w:sz w:val="22"/>
          <w:szCs w:val="22"/>
        </w:rPr>
        <w:t>chemotherapy in patients with ad</w:t>
      </w:r>
      <w:r w:rsidR="00A80C9C">
        <w:rPr>
          <w:rFonts w:ascii="Calibri" w:hAnsi="Calibri" w:cs="Calibri"/>
          <w:sz w:val="22"/>
          <w:szCs w:val="22"/>
        </w:rPr>
        <w:t xml:space="preserve">vanced prostate cancer with and </w:t>
      </w:r>
      <w:r w:rsidRPr="00E5152A">
        <w:rPr>
          <w:rFonts w:ascii="Calibri" w:hAnsi="Calibri" w:cs="Calibri"/>
          <w:sz w:val="22"/>
          <w:szCs w:val="22"/>
        </w:rPr>
        <w:t>without DNA repair gene aberrations. JAMA Netw Open 2020</w:t>
      </w:r>
      <w:proofErr w:type="gramStart"/>
      <w:r w:rsidRPr="00E5152A">
        <w:rPr>
          <w:rFonts w:ascii="Calibri" w:hAnsi="Calibri" w:cs="Calibri"/>
          <w:sz w:val="22"/>
          <w:szCs w:val="22"/>
        </w:rPr>
        <w:t>;3</w:t>
      </w:r>
      <w:proofErr w:type="gramEnd"/>
      <w:r w:rsidRPr="00E5152A">
        <w:rPr>
          <w:rFonts w:ascii="Calibri" w:hAnsi="Calibri" w:cs="Calibri"/>
          <w:sz w:val="22"/>
          <w:szCs w:val="22"/>
        </w:rPr>
        <w:t>:</w:t>
      </w:r>
    </w:p>
    <w:p w14:paraId="6AA233A8" w14:textId="026566C3" w:rsidR="00E5152A" w:rsidRDefault="00E5152A" w:rsidP="00E5152A">
      <w:pPr>
        <w:spacing w:line="276" w:lineRule="auto"/>
        <w:rPr>
          <w:rFonts w:ascii="Calibri" w:hAnsi="Calibri" w:cs="Calibri"/>
          <w:sz w:val="22"/>
          <w:szCs w:val="22"/>
        </w:rPr>
      </w:pPr>
      <w:r w:rsidRPr="00E5152A">
        <w:rPr>
          <w:rFonts w:ascii="Calibri" w:hAnsi="Calibri" w:cs="Calibri"/>
          <w:sz w:val="22"/>
          <w:szCs w:val="22"/>
        </w:rPr>
        <w:t>e2021692.</w:t>
      </w:r>
    </w:p>
    <w:p w14:paraId="0723E843" w14:textId="77777777" w:rsidR="0021531F" w:rsidRPr="00E5152A" w:rsidRDefault="0021531F" w:rsidP="00E5152A">
      <w:pPr>
        <w:spacing w:line="276" w:lineRule="auto"/>
        <w:rPr>
          <w:rFonts w:ascii="Calibri" w:hAnsi="Calibri" w:cs="Calibri"/>
          <w:sz w:val="22"/>
          <w:szCs w:val="22"/>
        </w:rPr>
      </w:pPr>
    </w:p>
    <w:p w14:paraId="4BDBCBEE" w14:textId="58AD1194" w:rsidR="00E5152A" w:rsidRPr="00E5152A" w:rsidRDefault="00E5152A" w:rsidP="00E5152A">
      <w:pPr>
        <w:spacing w:line="276" w:lineRule="auto"/>
        <w:rPr>
          <w:rFonts w:ascii="Calibri" w:hAnsi="Calibri" w:cs="Calibri"/>
          <w:sz w:val="22"/>
          <w:szCs w:val="22"/>
        </w:rPr>
      </w:pPr>
      <w:r w:rsidRPr="00E5152A">
        <w:rPr>
          <w:rFonts w:ascii="Calibri" w:hAnsi="Calibri" w:cs="Calibri"/>
          <w:sz w:val="22"/>
          <w:szCs w:val="22"/>
        </w:rPr>
        <w:lastRenderedPageBreak/>
        <w:t xml:space="preserve">[142] Bahl A, Oudard S, Tombal B, et al. </w:t>
      </w:r>
      <w:r w:rsidR="00A80C9C">
        <w:rPr>
          <w:rFonts w:ascii="Calibri" w:hAnsi="Calibri" w:cs="Calibri"/>
          <w:sz w:val="22"/>
          <w:szCs w:val="22"/>
        </w:rPr>
        <w:t xml:space="preserve">Impact of cabazitaxel on 2-year </w:t>
      </w:r>
      <w:r w:rsidRPr="00E5152A">
        <w:rPr>
          <w:rFonts w:ascii="Calibri" w:hAnsi="Calibri" w:cs="Calibri"/>
          <w:sz w:val="22"/>
          <w:szCs w:val="22"/>
        </w:rPr>
        <w:t xml:space="preserve">survival and palliation of </w:t>
      </w:r>
      <w:r w:rsidR="00A80C9C">
        <w:rPr>
          <w:rFonts w:ascii="Calibri" w:hAnsi="Calibri" w:cs="Calibri"/>
          <w:sz w:val="22"/>
          <w:szCs w:val="22"/>
        </w:rPr>
        <w:t xml:space="preserve">tumour-related pain in men with </w:t>
      </w:r>
      <w:r w:rsidRPr="00E5152A">
        <w:rPr>
          <w:rFonts w:ascii="Calibri" w:hAnsi="Calibri" w:cs="Calibri"/>
          <w:sz w:val="22"/>
          <w:szCs w:val="22"/>
        </w:rPr>
        <w:t>metastatic castration-resistant prostate cancer treated in the</w:t>
      </w:r>
    </w:p>
    <w:p w14:paraId="4A2B56B5" w14:textId="5C7604E2" w:rsidR="00E5152A" w:rsidRDefault="00E5152A" w:rsidP="00E5152A">
      <w:pPr>
        <w:spacing w:line="276" w:lineRule="auto"/>
        <w:rPr>
          <w:rFonts w:ascii="Calibri" w:hAnsi="Calibri" w:cs="Calibri"/>
          <w:sz w:val="22"/>
          <w:szCs w:val="22"/>
        </w:rPr>
      </w:pPr>
      <w:r w:rsidRPr="00E5152A">
        <w:rPr>
          <w:rFonts w:ascii="Calibri" w:hAnsi="Calibri" w:cs="Calibri"/>
          <w:sz w:val="22"/>
          <w:szCs w:val="22"/>
        </w:rPr>
        <w:t>TROPIC trial. Ann Oncol 2013</w:t>
      </w:r>
      <w:proofErr w:type="gramStart"/>
      <w:r w:rsidRPr="00E5152A">
        <w:rPr>
          <w:rFonts w:ascii="Calibri" w:hAnsi="Calibri" w:cs="Calibri"/>
          <w:sz w:val="22"/>
          <w:szCs w:val="22"/>
        </w:rPr>
        <w:t>;24:2402</w:t>
      </w:r>
      <w:proofErr w:type="gramEnd"/>
      <w:r w:rsidRPr="00E5152A">
        <w:rPr>
          <w:rFonts w:ascii="Calibri" w:hAnsi="Calibri" w:cs="Calibri"/>
          <w:sz w:val="22"/>
          <w:szCs w:val="22"/>
        </w:rPr>
        <w:t>–8.</w:t>
      </w:r>
    </w:p>
    <w:p w14:paraId="36A626A0" w14:textId="77777777" w:rsidR="0021531F" w:rsidRPr="00E5152A" w:rsidRDefault="0021531F" w:rsidP="00E5152A">
      <w:pPr>
        <w:spacing w:line="276" w:lineRule="auto"/>
        <w:rPr>
          <w:rFonts w:ascii="Calibri" w:hAnsi="Calibri" w:cs="Calibri"/>
          <w:sz w:val="22"/>
          <w:szCs w:val="22"/>
        </w:rPr>
      </w:pPr>
    </w:p>
    <w:p w14:paraId="26E6E0E0" w14:textId="76492BC2" w:rsidR="00E5152A" w:rsidRDefault="00E5152A" w:rsidP="00E5152A">
      <w:pPr>
        <w:spacing w:line="276" w:lineRule="auto"/>
        <w:rPr>
          <w:rFonts w:ascii="Calibri" w:hAnsi="Calibri" w:cs="Calibri"/>
          <w:sz w:val="22"/>
          <w:szCs w:val="22"/>
        </w:rPr>
      </w:pPr>
      <w:r w:rsidRPr="00E5152A">
        <w:rPr>
          <w:rFonts w:ascii="Calibri" w:hAnsi="Calibri" w:cs="Calibri"/>
          <w:sz w:val="22"/>
          <w:szCs w:val="22"/>
        </w:rPr>
        <w:t xml:space="preserve">[143] Gillessen S, Omlin A, Attard G, et </w:t>
      </w:r>
      <w:r w:rsidR="00A80C9C">
        <w:rPr>
          <w:rFonts w:ascii="Calibri" w:hAnsi="Calibri" w:cs="Calibri"/>
          <w:sz w:val="22"/>
          <w:szCs w:val="22"/>
        </w:rPr>
        <w:t xml:space="preserve">al. Management of patients with </w:t>
      </w:r>
      <w:r w:rsidRPr="00E5152A">
        <w:rPr>
          <w:rFonts w:ascii="Calibri" w:hAnsi="Calibri" w:cs="Calibri"/>
          <w:sz w:val="22"/>
          <w:szCs w:val="22"/>
        </w:rPr>
        <w:t>advanced prostate cancer: r</w:t>
      </w:r>
      <w:r w:rsidR="00A80C9C">
        <w:rPr>
          <w:rFonts w:ascii="Calibri" w:hAnsi="Calibri" w:cs="Calibri"/>
          <w:sz w:val="22"/>
          <w:szCs w:val="22"/>
        </w:rPr>
        <w:t xml:space="preserve">ecommendations of the St Gallen </w:t>
      </w:r>
      <w:r w:rsidRPr="00E5152A">
        <w:rPr>
          <w:rFonts w:ascii="Calibri" w:hAnsi="Calibri" w:cs="Calibri"/>
          <w:sz w:val="22"/>
          <w:szCs w:val="22"/>
        </w:rPr>
        <w:t>Advanced Prostate Cancer Con</w:t>
      </w:r>
      <w:r w:rsidR="00A80C9C">
        <w:rPr>
          <w:rFonts w:ascii="Calibri" w:hAnsi="Calibri" w:cs="Calibri"/>
          <w:sz w:val="22"/>
          <w:szCs w:val="22"/>
        </w:rPr>
        <w:t xml:space="preserve">sensus Conference (APCCC) 2015. </w:t>
      </w:r>
      <w:r w:rsidRPr="00E5152A">
        <w:rPr>
          <w:rFonts w:ascii="Calibri" w:hAnsi="Calibri" w:cs="Calibri"/>
          <w:sz w:val="22"/>
          <w:szCs w:val="22"/>
        </w:rPr>
        <w:t>Ann Oncol 2015</w:t>
      </w:r>
      <w:proofErr w:type="gramStart"/>
      <w:r w:rsidRPr="00E5152A">
        <w:rPr>
          <w:rFonts w:ascii="Calibri" w:hAnsi="Calibri" w:cs="Calibri"/>
          <w:sz w:val="22"/>
          <w:szCs w:val="22"/>
        </w:rPr>
        <w:t>;26:1589</w:t>
      </w:r>
      <w:proofErr w:type="gramEnd"/>
      <w:r w:rsidRPr="00E5152A">
        <w:rPr>
          <w:rFonts w:ascii="Calibri" w:hAnsi="Calibri" w:cs="Calibri"/>
          <w:sz w:val="22"/>
          <w:szCs w:val="22"/>
        </w:rPr>
        <w:t>–604.</w:t>
      </w:r>
    </w:p>
    <w:p w14:paraId="7020A4CA" w14:textId="77777777" w:rsidR="0021531F" w:rsidRDefault="0021531F" w:rsidP="00E5152A">
      <w:pPr>
        <w:spacing w:line="276" w:lineRule="auto"/>
        <w:rPr>
          <w:rFonts w:ascii="Calibri" w:hAnsi="Calibri" w:cs="Calibri"/>
          <w:sz w:val="22"/>
          <w:szCs w:val="22"/>
        </w:rPr>
      </w:pPr>
    </w:p>
    <w:p w14:paraId="7A2E6659" w14:textId="628DB5AB" w:rsidR="00A00AE9" w:rsidRDefault="00A00AE9" w:rsidP="00A00AE9">
      <w:pPr>
        <w:spacing w:line="276" w:lineRule="auto"/>
        <w:rPr>
          <w:rFonts w:ascii="Calibri" w:hAnsi="Calibri" w:cs="Calibri"/>
          <w:sz w:val="22"/>
          <w:szCs w:val="22"/>
        </w:rPr>
      </w:pPr>
      <w:r w:rsidRPr="00A00AE9">
        <w:rPr>
          <w:rFonts w:ascii="Calibri" w:hAnsi="Calibri" w:cs="Calibri"/>
          <w:sz w:val="22"/>
          <w:szCs w:val="22"/>
        </w:rPr>
        <w:t>[144] Saad F, Sternberg CN, Efstathiou E, et al. Prostate-spe</w:t>
      </w:r>
      <w:r w:rsidR="00A80C9C">
        <w:rPr>
          <w:rFonts w:ascii="Calibri" w:hAnsi="Calibri" w:cs="Calibri"/>
          <w:sz w:val="22"/>
          <w:szCs w:val="22"/>
        </w:rPr>
        <w:t xml:space="preserve">cific antigen </w:t>
      </w:r>
      <w:r w:rsidRPr="00A00AE9">
        <w:rPr>
          <w:rFonts w:ascii="Calibri" w:hAnsi="Calibri" w:cs="Calibri"/>
          <w:sz w:val="22"/>
          <w:szCs w:val="22"/>
        </w:rPr>
        <w:t>progression in enzalutamide</w:t>
      </w:r>
      <w:r w:rsidR="00A80C9C">
        <w:rPr>
          <w:rFonts w:ascii="Calibri" w:hAnsi="Calibri" w:cs="Calibri"/>
          <w:sz w:val="22"/>
          <w:szCs w:val="22"/>
        </w:rPr>
        <w:t xml:space="preserve">-treated men with non metastatic </w:t>
      </w:r>
      <w:r w:rsidRPr="00A00AE9">
        <w:rPr>
          <w:rFonts w:ascii="Calibri" w:hAnsi="Calibri" w:cs="Calibri"/>
          <w:sz w:val="22"/>
          <w:szCs w:val="22"/>
        </w:rPr>
        <w:t>castration-resistant prostate cancer</w:t>
      </w:r>
      <w:r w:rsidR="00A80C9C">
        <w:rPr>
          <w:rFonts w:ascii="Calibri" w:hAnsi="Calibri" w:cs="Calibri"/>
          <w:sz w:val="22"/>
          <w:szCs w:val="22"/>
        </w:rPr>
        <w:t xml:space="preserve">: any rise in prostate-specific </w:t>
      </w:r>
      <w:r w:rsidRPr="00A00AE9">
        <w:rPr>
          <w:rFonts w:ascii="Calibri" w:hAnsi="Calibri" w:cs="Calibri"/>
          <w:sz w:val="22"/>
          <w:szCs w:val="22"/>
        </w:rPr>
        <w:t>antigen may require closer monitoring. Eur Urol 2020</w:t>
      </w:r>
      <w:proofErr w:type="gramStart"/>
      <w:r w:rsidRPr="00A00AE9">
        <w:rPr>
          <w:rFonts w:ascii="Calibri" w:hAnsi="Calibri" w:cs="Calibri"/>
          <w:sz w:val="22"/>
          <w:szCs w:val="22"/>
        </w:rPr>
        <w:t>;78:847</w:t>
      </w:r>
      <w:proofErr w:type="gramEnd"/>
      <w:r w:rsidRPr="00A00AE9">
        <w:rPr>
          <w:rFonts w:ascii="Calibri" w:hAnsi="Calibri" w:cs="Calibri"/>
          <w:sz w:val="22"/>
          <w:szCs w:val="22"/>
        </w:rPr>
        <w:t>–53.</w:t>
      </w:r>
    </w:p>
    <w:p w14:paraId="717F3BA2" w14:textId="77777777" w:rsidR="0021531F" w:rsidRPr="00A00AE9" w:rsidRDefault="0021531F" w:rsidP="00A00AE9">
      <w:pPr>
        <w:spacing w:line="276" w:lineRule="auto"/>
        <w:rPr>
          <w:rFonts w:ascii="Calibri" w:hAnsi="Calibri" w:cs="Calibri"/>
          <w:sz w:val="22"/>
          <w:szCs w:val="22"/>
        </w:rPr>
      </w:pPr>
    </w:p>
    <w:p w14:paraId="418B293A" w14:textId="7C906F2B" w:rsidR="00A00AE9" w:rsidRDefault="00A00AE9" w:rsidP="00A00AE9">
      <w:pPr>
        <w:spacing w:line="276" w:lineRule="auto"/>
        <w:rPr>
          <w:rFonts w:ascii="Calibri" w:hAnsi="Calibri" w:cs="Calibri"/>
          <w:sz w:val="22"/>
          <w:szCs w:val="22"/>
        </w:rPr>
      </w:pPr>
      <w:r w:rsidRPr="00A00AE9">
        <w:rPr>
          <w:rFonts w:ascii="Calibri" w:hAnsi="Calibri" w:cs="Calibri"/>
          <w:sz w:val="22"/>
          <w:szCs w:val="22"/>
        </w:rPr>
        <w:t>[145] Aggarwal R, Wei X, Kim W, et al. Heterogeneou</w:t>
      </w:r>
      <w:r w:rsidR="00A80C9C">
        <w:rPr>
          <w:rFonts w:ascii="Calibri" w:hAnsi="Calibri" w:cs="Calibri"/>
          <w:sz w:val="22"/>
          <w:szCs w:val="22"/>
        </w:rPr>
        <w:t xml:space="preserve">s flare in prostatespecific </w:t>
      </w:r>
      <w:r w:rsidRPr="00A00AE9">
        <w:rPr>
          <w:rFonts w:ascii="Calibri" w:hAnsi="Calibri" w:cs="Calibri"/>
          <w:sz w:val="22"/>
          <w:szCs w:val="22"/>
        </w:rPr>
        <w:t>membrane antigen posi</w:t>
      </w:r>
      <w:r w:rsidR="00A80C9C">
        <w:rPr>
          <w:rFonts w:ascii="Calibri" w:hAnsi="Calibri" w:cs="Calibri"/>
          <w:sz w:val="22"/>
          <w:szCs w:val="22"/>
        </w:rPr>
        <w:t xml:space="preserve">tron emission tomography tracer </w:t>
      </w:r>
      <w:r w:rsidRPr="00A00AE9">
        <w:rPr>
          <w:rFonts w:ascii="Calibri" w:hAnsi="Calibri" w:cs="Calibri"/>
          <w:sz w:val="22"/>
          <w:szCs w:val="22"/>
        </w:rPr>
        <w:t xml:space="preserve">uptake with initiation </w:t>
      </w:r>
      <w:r w:rsidR="00A80C9C">
        <w:rPr>
          <w:rFonts w:ascii="Calibri" w:hAnsi="Calibri" w:cs="Calibri"/>
          <w:sz w:val="22"/>
          <w:szCs w:val="22"/>
        </w:rPr>
        <w:t xml:space="preserve">of androgen pathway blockade in </w:t>
      </w:r>
      <w:r w:rsidRPr="00A00AE9">
        <w:rPr>
          <w:rFonts w:ascii="Calibri" w:hAnsi="Calibri" w:cs="Calibri"/>
          <w:sz w:val="22"/>
          <w:szCs w:val="22"/>
        </w:rPr>
        <w:t>metastatic prostate cancer. Eur Urol Oncol 2018</w:t>
      </w:r>
      <w:proofErr w:type="gramStart"/>
      <w:r w:rsidRPr="00A00AE9">
        <w:rPr>
          <w:rFonts w:ascii="Calibri" w:hAnsi="Calibri" w:cs="Calibri"/>
          <w:sz w:val="22"/>
          <w:szCs w:val="22"/>
        </w:rPr>
        <w:t>;1:78</w:t>
      </w:r>
      <w:proofErr w:type="gramEnd"/>
      <w:r w:rsidRPr="00A00AE9">
        <w:rPr>
          <w:rFonts w:ascii="Calibri" w:hAnsi="Calibri" w:cs="Calibri"/>
          <w:sz w:val="22"/>
          <w:szCs w:val="22"/>
        </w:rPr>
        <w:t>–82.</w:t>
      </w:r>
    </w:p>
    <w:p w14:paraId="4C05CF9D" w14:textId="77777777" w:rsidR="0021531F" w:rsidRPr="00A00AE9" w:rsidRDefault="0021531F" w:rsidP="00A00AE9">
      <w:pPr>
        <w:spacing w:line="276" w:lineRule="auto"/>
        <w:rPr>
          <w:rFonts w:ascii="Calibri" w:hAnsi="Calibri" w:cs="Calibri"/>
          <w:sz w:val="22"/>
          <w:szCs w:val="22"/>
        </w:rPr>
      </w:pPr>
    </w:p>
    <w:p w14:paraId="51F3D072" w14:textId="63468365" w:rsidR="00A00AE9" w:rsidRDefault="00A00AE9" w:rsidP="00A00AE9">
      <w:pPr>
        <w:spacing w:line="276" w:lineRule="auto"/>
        <w:rPr>
          <w:rFonts w:ascii="Calibri" w:hAnsi="Calibri" w:cs="Calibri"/>
          <w:sz w:val="22"/>
          <w:szCs w:val="22"/>
        </w:rPr>
      </w:pPr>
      <w:r w:rsidRPr="00A00AE9">
        <w:rPr>
          <w:rFonts w:ascii="Calibri" w:hAnsi="Calibri" w:cs="Calibri"/>
          <w:sz w:val="22"/>
          <w:szCs w:val="22"/>
        </w:rPr>
        <w:t>[146] Payne H, Cornford P. Prostate-specific antigen: an evolvi</w:t>
      </w:r>
      <w:r w:rsidR="00A80C9C">
        <w:rPr>
          <w:rFonts w:ascii="Calibri" w:hAnsi="Calibri" w:cs="Calibri"/>
          <w:sz w:val="22"/>
          <w:szCs w:val="22"/>
        </w:rPr>
        <w:t xml:space="preserve">ng role in </w:t>
      </w:r>
      <w:r w:rsidRPr="00A00AE9">
        <w:rPr>
          <w:rFonts w:ascii="Calibri" w:hAnsi="Calibri" w:cs="Calibri"/>
          <w:sz w:val="22"/>
          <w:szCs w:val="22"/>
        </w:rPr>
        <w:t>diagnosis, monitoring, and t</w:t>
      </w:r>
      <w:r w:rsidR="00A80C9C">
        <w:rPr>
          <w:rFonts w:ascii="Calibri" w:hAnsi="Calibri" w:cs="Calibri"/>
          <w:sz w:val="22"/>
          <w:szCs w:val="22"/>
        </w:rPr>
        <w:t xml:space="preserve">reatment evaluation in prostate </w:t>
      </w:r>
      <w:r w:rsidRPr="00A00AE9">
        <w:rPr>
          <w:rFonts w:ascii="Calibri" w:hAnsi="Calibri" w:cs="Calibri"/>
          <w:sz w:val="22"/>
          <w:szCs w:val="22"/>
        </w:rPr>
        <w:t>cancer. Urol Oncol 2011</w:t>
      </w:r>
      <w:proofErr w:type="gramStart"/>
      <w:r w:rsidRPr="00A00AE9">
        <w:rPr>
          <w:rFonts w:ascii="Calibri" w:hAnsi="Calibri" w:cs="Calibri"/>
          <w:sz w:val="22"/>
          <w:szCs w:val="22"/>
        </w:rPr>
        <w:t>;29:593</w:t>
      </w:r>
      <w:proofErr w:type="gramEnd"/>
      <w:r w:rsidRPr="00A00AE9">
        <w:rPr>
          <w:rFonts w:ascii="Calibri" w:hAnsi="Calibri" w:cs="Calibri"/>
          <w:sz w:val="22"/>
          <w:szCs w:val="22"/>
        </w:rPr>
        <w:t>–601.</w:t>
      </w:r>
    </w:p>
    <w:p w14:paraId="232B9F5F" w14:textId="77777777" w:rsidR="0021531F" w:rsidRPr="00A00AE9" w:rsidRDefault="0021531F" w:rsidP="00A00AE9">
      <w:pPr>
        <w:spacing w:line="276" w:lineRule="auto"/>
        <w:rPr>
          <w:rFonts w:ascii="Calibri" w:hAnsi="Calibri" w:cs="Calibri"/>
          <w:sz w:val="22"/>
          <w:szCs w:val="22"/>
        </w:rPr>
      </w:pPr>
    </w:p>
    <w:p w14:paraId="73570547" w14:textId="46CFA7B4" w:rsidR="00A00AE9" w:rsidRDefault="00A00AE9" w:rsidP="00A00AE9">
      <w:pPr>
        <w:spacing w:line="276" w:lineRule="auto"/>
        <w:rPr>
          <w:rFonts w:ascii="Calibri" w:hAnsi="Calibri" w:cs="Calibri"/>
          <w:sz w:val="22"/>
          <w:szCs w:val="22"/>
        </w:rPr>
      </w:pPr>
      <w:r w:rsidRPr="00A00AE9">
        <w:rPr>
          <w:rFonts w:ascii="Calibri" w:hAnsi="Calibri" w:cs="Calibri"/>
          <w:sz w:val="22"/>
          <w:szCs w:val="22"/>
        </w:rPr>
        <w:t>[147] Pezaro C, Omlin A, Lorente D, et al. Visceral</w:t>
      </w:r>
      <w:r w:rsidR="00A80C9C">
        <w:rPr>
          <w:rFonts w:ascii="Calibri" w:hAnsi="Calibri" w:cs="Calibri"/>
          <w:sz w:val="22"/>
          <w:szCs w:val="22"/>
        </w:rPr>
        <w:t xml:space="preserve"> disease in castration resistant </w:t>
      </w:r>
      <w:r w:rsidRPr="00A00AE9">
        <w:rPr>
          <w:rFonts w:ascii="Calibri" w:hAnsi="Calibri" w:cs="Calibri"/>
          <w:sz w:val="22"/>
          <w:szCs w:val="22"/>
        </w:rPr>
        <w:t>prostate cancer. Eur Urol 2014</w:t>
      </w:r>
      <w:proofErr w:type="gramStart"/>
      <w:r w:rsidRPr="00A00AE9">
        <w:rPr>
          <w:rFonts w:ascii="Calibri" w:hAnsi="Calibri" w:cs="Calibri"/>
          <w:sz w:val="22"/>
          <w:szCs w:val="22"/>
        </w:rPr>
        <w:t>;65:270</w:t>
      </w:r>
      <w:proofErr w:type="gramEnd"/>
      <w:r w:rsidRPr="00A00AE9">
        <w:rPr>
          <w:rFonts w:ascii="Calibri" w:hAnsi="Calibri" w:cs="Calibri"/>
          <w:sz w:val="22"/>
          <w:szCs w:val="22"/>
        </w:rPr>
        <w:t>–3.</w:t>
      </w:r>
    </w:p>
    <w:p w14:paraId="276184D3" w14:textId="77777777" w:rsidR="0021531F" w:rsidRPr="00A00AE9" w:rsidRDefault="0021531F" w:rsidP="00A00AE9">
      <w:pPr>
        <w:spacing w:line="276" w:lineRule="auto"/>
        <w:rPr>
          <w:rFonts w:ascii="Calibri" w:hAnsi="Calibri" w:cs="Calibri"/>
          <w:sz w:val="22"/>
          <w:szCs w:val="22"/>
        </w:rPr>
      </w:pPr>
    </w:p>
    <w:p w14:paraId="3DC6FE1F" w14:textId="38496D1F" w:rsidR="00A00AE9" w:rsidRPr="00A00AE9" w:rsidRDefault="00A00AE9" w:rsidP="00A00AE9">
      <w:pPr>
        <w:spacing w:line="276" w:lineRule="auto"/>
        <w:rPr>
          <w:rFonts w:ascii="Calibri" w:hAnsi="Calibri" w:cs="Calibri"/>
          <w:sz w:val="22"/>
          <w:szCs w:val="22"/>
        </w:rPr>
      </w:pPr>
      <w:r w:rsidRPr="00A00AE9">
        <w:rPr>
          <w:rFonts w:ascii="Calibri" w:hAnsi="Calibri" w:cs="Calibri"/>
          <w:sz w:val="22"/>
          <w:szCs w:val="22"/>
        </w:rPr>
        <w:t xml:space="preserve">[148] Scher HI, Morris MJ, Stadler WM, et </w:t>
      </w:r>
      <w:r w:rsidR="00A80C9C">
        <w:rPr>
          <w:rFonts w:ascii="Calibri" w:hAnsi="Calibri" w:cs="Calibri"/>
          <w:sz w:val="22"/>
          <w:szCs w:val="22"/>
        </w:rPr>
        <w:t xml:space="preserve">al. Trial design and objectives </w:t>
      </w:r>
      <w:r w:rsidRPr="00A00AE9">
        <w:rPr>
          <w:rFonts w:ascii="Calibri" w:hAnsi="Calibri" w:cs="Calibri"/>
          <w:sz w:val="22"/>
          <w:szCs w:val="22"/>
        </w:rPr>
        <w:t>for castration-res</w:t>
      </w:r>
      <w:r w:rsidR="00A80C9C">
        <w:rPr>
          <w:rFonts w:ascii="Calibri" w:hAnsi="Calibri" w:cs="Calibri"/>
          <w:sz w:val="22"/>
          <w:szCs w:val="22"/>
        </w:rPr>
        <w:t xml:space="preserve">istant prostate cancer: updated </w:t>
      </w:r>
      <w:r w:rsidRPr="00A00AE9">
        <w:rPr>
          <w:rFonts w:ascii="Calibri" w:hAnsi="Calibri" w:cs="Calibri"/>
          <w:sz w:val="22"/>
          <w:szCs w:val="22"/>
        </w:rPr>
        <w:t>recommendations from the Prostate Cancer Clinical Trials</w:t>
      </w:r>
    </w:p>
    <w:p w14:paraId="160FBD76" w14:textId="5735A41F" w:rsidR="00A00AE9" w:rsidRDefault="00A00AE9" w:rsidP="00A00AE9">
      <w:pPr>
        <w:spacing w:line="276" w:lineRule="auto"/>
        <w:rPr>
          <w:rFonts w:ascii="Calibri" w:hAnsi="Calibri" w:cs="Calibri"/>
          <w:sz w:val="22"/>
          <w:szCs w:val="22"/>
        </w:rPr>
      </w:pPr>
      <w:r w:rsidRPr="00A00AE9">
        <w:rPr>
          <w:rFonts w:ascii="Calibri" w:hAnsi="Calibri" w:cs="Calibri"/>
          <w:sz w:val="22"/>
          <w:szCs w:val="22"/>
        </w:rPr>
        <w:t>Working Group 3. J Clin Oncol 2016</w:t>
      </w:r>
      <w:proofErr w:type="gramStart"/>
      <w:r w:rsidRPr="00A00AE9">
        <w:rPr>
          <w:rFonts w:ascii="Calibri" w:hAnsi="Calibri" w:cs="Calibri"/>
          <w:sz w:val="22"/>
          <w:szCs w:val="22"/>
        </w:rPr>
        <w:t>;34:1402</w:t>
      </w:r>
      <w:proofErr w:type="gramEnd"/>
      <w:r w:rsidRPr="00A00AE9">
        <w:rPr>
          <w:rFonts w:ascii="Calibri" w:hAnsi="Calibri" w:cs="Calibri"/>
          <w:sz w:val="22"/>
          <w:szCs w:val="22"/>
        </w:rPr>
        <w:t>–18.</w:t>
      </w:r>
    </w:p>
    <w:p w14:paraId="3FE618F2" w14:textId="77777777" w:rsidR="0021531F" w:rsidRPr="00A00AE9" w:rsidRDefault="0021531F" w:rsidP="00A00AE9">
      <w:pPr>
        <w:spacing w:line="276" w:lineRule="auto"/>
        <w:rPr>
          <w:rFonts w:ascii="Calibri" w:hAnsi="Calibri" w:cs="Calibri"/>
          <w:sz w:val="22"/>
          <w:szCs w:val="22"/>
        </w:rPr>
      </w:pPr>
    </w:p>
    <w:p w14:paraId="727E707F" w14:textId="37FF6888" w:rsidR="00A00AE9" w:rsidRPr="00A00AE9" w:rsidRDefault="00A00AE9" w:rsidP="00A00AE9">
      <w:pPr>
        <w:spacing w:line="276" w:lineRule="auto"/>
        <w:rPr>
          <w:rFonts w:ascii="Calibri" w:hAnsi="Calibri" w:cs="Calibri"/>
          <w:sz w:val="22"/>
          <w:szCs w:val="22"/>
        </w:rPr>
      </w:pPr>
      <w:r w:rsidRPr="00A00AE9">
        <w:rPr>
          <w:rFonts w:ascii="Calibri" w:hAnsi="Calibri" w:cs="Calibri"/>
          <w:sz w:val="22"/>
          <w:szCs w:val="22"/>
        </w:rPr>
        <w:t xml:space="preserve">[149] Saad F, Gleason DM, Murray R, et al. </w:t>
      </w:r>
      <w:r w:rsidR="00A80C9C">
        <w:rPr>
          <w:rFonts w:ascii="Calibri" w:hAnsi="Calibri" w:cs="Calibri"/>
          <w:sz w:val="22"/>
          <w:szCs w:val="22"/>
        </w:rPr>
        <w:t xml:space="preserve">A randomized, placebocontrolled </w:t>
      </w:r>
      <w:r w:rsidRPr="00A00AE9">
        <w:rPr>
          <w:rFonts w:ascii="Calibri" w:hAnsi="Calibri" w:cs="Calibri"/>
          <w:sz w:val="22"/>
          <w:szCs w:val="22"/>
        </w:rPr>
        <w:t>trial of zoledronic acid in patients with hormone</w:t>
      </w:r>
      <w:r w:rsidR="00A80C9C">
        <w:rPr>
          <w:rFonts w:ascii="Calibri" w:hAnsi="Calibri" w:cs="Calibri"/>
          <w:sz w:val="22"/>
          <w:szCs w:val="22"/>
        </w:rPr>
        <w:t xml:space="preserve">-refractory </w:t>
      </w:r>
      <w:r w:rsidRPr="00A00AE9">
        <w:rPr>
          <w:rFonts w:ascii="Calibri" w:hAnsi="Calibri" w:cs="Calibri"/>
          <w:sz w:val="22"/>
          <w:szCs w:val="22"/>
        </w:rPr>
        <w:t>metastatic prostate carcinoma. J Natl Cancer Inst</w:t>
      </w:r>
    </w:p>
    <w:p w14:paraId="77AEBF3B" w14:textId="5355A7C6" w:rsidR="00A00AE9" w:rsidRDefault="00A00AE9" w:rsidP="00A00AE9">
      <w:pPr>
        <w:spacing w:line="276" w:lineRule="auto"/>
        <w:rPr>
          <w:rFonts w:ascii="Calibri" w:hAnsi="Calibri" w:cs="Calibri"/>
          <w:sz w:val="22"/>
          <w:szCs w:val="22"/>
        </w:rPr>
      </w:pPr>
      <w:r w:rsidRPr="00A00AE9">
        <w:rPr>
          <w:rFonts w:ascii="Calibri" w:hAnsi="Calibri" w:cs="Calibri"/>
          <w:sz w:val="22"/>
          <w:szCs w:val="22"/>
        </w:rPr>
        <w:t>2002</w:t>
      </w:r>
      <w:proofErr w:type="gramStart"/>
      <w:r w:rsidRPr="00A00AE9">
        <w:rPr>
          <w:rFonts w:ascii="Calibri" w:hAnsi="Calibri" w:cs="Calibri"/>
          <w:sz w:val="22"/>
          <w:szCs w:val="22"/>
        </w:rPr>
        <w:t>;94:1458</w:t>
      </w:r>
      <w:proofErr w:type="gramEnd"/>
      <w:r w:rsidRPr="00A00AE9">
        <w:rPr>
          <w:rFonts w:ascii="Calibri" w:hAnsi="Calibri" w:cs="Calibri"/>
          <w:sz w:val="22"/>
          <w:szCs w:val="22"/>
        </w:rPr>
        <w:t>–68.</w:t>
      </w:r>
    </w:p>
    <w:p w14:paraId="18122ED3" w14:textId="77777777" w:rsidR="0021531F" w:rsidRPr="00A00AE9" w:rsidRDefault="0021531F" w:rsidP="00A00AE9">
      <w:pPr>
        <w:spacing w:line="276" w:lineRule="auto"/>
        <w:rPr>
          <w:rFonts w:ascii="Calibri" w:hAnsi="Calibri" w:cs="Calibri"/>
          <w:sz w:val="22"/>
          <w:szCs w:val="22"/>
        </w:rPr>
      </w:pPr>
    </w:p>
    <w:p w14:paraId="4E05E9B7" w14:textId="4DFB0EFA" w:rsidR="00A00AE9" w:rsidRPr="00A00AE9" w:rsidRDefault="00A00AE9" w:rsidP="00A00AE9">
      <w:pPr>
        <w:spacing w:line="276" w:lineRule="auto"/>
        <w:rPr>
          <w:rFonts w:ascii="Calibri" w:hAnsi="Calibri" w:cs="Calibri"/>
          <w:sz w:val="22"/>
          <w:szCs w:val="22"/>
        </w:rPr>
      </w:pPr>
      <w:r w:rsidRPr="00A00AE9">
        <w:rPr>
          <w:rFonts w:ascii="Calibri" w:hAnsi="Calibri" w:cs="Calibri"/>
          <w:sz w:val="22"/>
          <w:szCs w:val="22"/>
        </w:rPr>
        <w:t>[150] Smith MR, Saad F, Coleman R, et al</w:t>
      </w:r>
      <w:r w:rsidR="00A80C9C">
        <w:rPr>
          <w:rFonts w:ascii="Calibri" w:hAnsi="Calibri" w:cs="Calibri"/>
          <w:sz w:val="22"/>
          <w:szCs w:val="22"/>
        </w:rPr>
        <w:t xml:space="preserve">. Denosumab and bone metastasis- </w:t>
      </w:r>
      <w:r w:rsidRPr="00A00AE9">
        <w:rPr>
          <w:rFonts w:ascii="Calibri" w:hAnsi="Calibri" w:cs="Calibri"/>
          <w:sz w:val="22"/>
          <w:szCs w:val="22"/>
        </w:rPr>
        <w:t>free survival in men wit</w:t>
      </w:r>
      <w:r w:rsidR="00A80C9C">
        <w:rPr>
          <w:rFonts w:ascii="Calibri" w:hAnsi="Calibri" w:cs="Calibri"/>
          <w:sz w:val="22"/>
          <w:szCs w:val="22"/>
        </w:rPr>
        <w:t xml:space="preserve">h castration-resistant prostate </w:t>
      </w:r>
      <w:r w:rsidRPr="00A00AE9">
        <w:rPr>
          <w:rFonts w:ascii="Calibri" w:hAnsi="Calibri" w:cs="Calibri"/>
          <w:sz w:val="22"/>
          <w:szCs w:val="22"/>
        </w:rPr>
        <w:t>cancer: results of a phase 3, randomised, placebo-controlled trial.</w:t>
      </w:r>
    </w:p>
    <w:p w14:paraId="53E3EEC4" w14:textId="70120C02" w:rsidR="00A00AE9" w:rsidRDefault="00A00AE9" w:rsidP="00A00AE9">
      <w:pPr>
        <w:spacing w:line="276" w:lineRule="auto"/>
        <w:rPr>
          <w:rFonts w:ascii="Calibri" w:hAnsi="Calibri" w:cs="Calibri"/>
          <w:sz w:val="22"/>
          <w:szCs w:val="22"/>
        </w:rPr>
      </w:pPr>
      <w:r w:rsidRPr="00A00AE9">
        <w:rPr>
          <w:rFonts w:ascii="Calibri" w:hAnsi="Calibri" w:cs="Calibri"/>
          <w:sz w:val="22"/>
          <w:szCs w:val="22"/>
        </w:rPr>
        <w:t>Lancet 2012</w:t>
      </w:r>
      <w:proofErr w:type="gramStart"/>
      <w:r w:rsidRPr="00A00AE9">
        <w:rPr>
          <w:rFonts w:ascii="Calibri" w:hAnsi="Calibri" w:cs="Calibri"/>
          <w:sz w:val="22"/>
          <w:szCs w:val="22"/>
        </w:rPr>
        <w:t>;379:39</w:t>
      </w:r>
      <w:proofErr w:type="gramEnd"/>
      <w:r w:rsidRPr="00A00AE9">
        <w:rPr>
          <w:rFonts w:ascii="Calibri" w:hAnsi="Calibri" w:cs="Calibri"/>
          <w:sz w:val="22"/>
          <w:szCs w:val="22"/>
        </w:rPr>
        <w:t>–46.</w:t>
      </w:r>
    </w:p>
    <w:p w14:paraId="7F6394D8" w14:textId="77777777" w:rsidR="0021531F" w:rsidRPr="00A00AE9" w:rsidRDefault="0021531F" w:rsidP="00A00AE9">
      <w:pPr>
        <w:spacing w:line="276" w:lineRule="auto"/>
        <w:rPr>
          <w:rFonts w:ascii="Calibri" w:hAnsi="Calibri" w:cs="Calibri"/>
          <w:sz w:val="22"/>
          <w:szCs w:val="22"/>
        </w:rPr>
      </w:pPr>
    </w:p>
    <w:p w14:paraId="6DC54D87" w14:textId="1C21A14C" w:rsidR="00A00AE9" w:rsidRPr="00A00AE9" w:rsidRDefault="00A00AE9" w:rsidP="00A00AE9">
      <w:pPr>
        <w:spacing w:line="276" w:lineRule="auto"/>
        <w:rPr>
          <w:rFonts w:ascii="Calibri" w:hAnsi="Calibri" w:cs="Calibri"/>
          <w:sz w:val="22"/>
          <w:szCs w:val="22"/>
        </w:rPr>
      </w:pPr>
      <w:r w:rsidRPr="00A00AE9">
        <w:rPr>
          <w:rFonts w:ascii="Calibri" w:hAnsi="Calibri" w:cs="Calibri"/>
          <w:sz w:val="22"/>
          <w:szCs w:val="22"/>
        </w:rPr>
        <w:t xml:space="preserve">[151] Fizazi K, Carducci M, Smith M, et </w:t>
      </w:r>
      <w:r w:rsidR="00A80C9C">
        <w:rPr>
          <w:rFonts w:ascii="Calibri" w:hAnsi="Calibri" w:cs="Calibri"/>
          <w:sz w:val="22"/>
          <w:szCs w:val="22"/>
        </w:rPr>
        <w:t xml:space="preserve">al. Denosumab versus zoledronic </w:t>
      </w:r>
      <w:r w:rsidRPr="00A00AE9">
        <w:rPr>
          <w:rFonts w:ascii="Calibri" w:hAnsi="Calibri" w:cs="Calibri"/>
          <w:sz w:val="22"/>
          <w:szCs w:val="22"/>
        </w:rPr>
        <w:t>acid for treatment of bone metastases in men wi</w:t>
      </w:r>
      <w:r w:rsidR="00A80C9C">
        <w:rPr>
          <w:rFonts w:ascii="Calibri" w:hAnsi="Calibri" w:cs="Calibri"/>
          <w:sz w:val="22"/>
          <w:szCs w:val="22"/>
        </w:rPr>
        <w:t xml:space="preserve">th castration resistant </w:t>
      </w:r>
      <w:r w:rsidRPr="00A00AE9">
        <w:rPr>
          <w:rFonts w:ascii="Calibri" w:hAnsi="Calibri" w:cs="Calibri"/>
          <w:sz w:val="22"/>
          <w:szCs w:val="22"/>
        </w:rPr>
        <w:t>prostate cancer: a randomised, double-blind study.</w:t>
      </w:r>
    </w:p>
    <w:p w14:paraId="453C1DC4" w14:textId="6EB10FEF" w:rsidR="00A00AE9" w:rsidRDefault="00A00AE9" w:rsidP="00A00AE9">
      <w:pPr>
        <w:spacing w:line="276" w:lineRule="auto"/>
        <w:rPr>
          <w:rFonts w:ascii="Calibri" w:hAnsi="Calibri" w:cs="Calibri"/>
          <w:sz w:val="22"/>
          <w:szCs w:val="22"/>
        </w:rPr>
      </w:pPr>
      <w:r w:rsidRPr="00A00AE9">
        <w:rPr>
          <w:rFonts w:ascii="Calibri" w:hAnsi="Calibri" w:cs="Calibri"/>
          <w:sz w:val="22"/>
          <w:szCs w:val="22"/>
        </w:rPr>
        <w:t>Lancet 2011</w:t>
      </w:r>
      <w:proofErr w:type="gramStart"/>
      <w:r w:rsidRPr="00A00AE9">
        <w:rPr>
          <w:rFonts w:ascii="Calibri" w:hAnsi="Calibri" w:cs="Calibri"/>
          <w:sz w:val="22"/>
          <w:szCs w:val="22"/>
        </w:rPr>
        <w:t>;377:813</w:t>
      </w:r>
      <w:proofErr w:type="gramEnd"/>
      <w:r w:rsidRPr="00A00AE9">
        <w:rPr>
          <w:rFonts w:ascii="Calibri" w:hAnsi="Calibri" w:cs="Calibri"/>
          <w:sz w:val="22"/>
          <w:szCs w:val="22"/>
        </w:rPr>
        <w:t>–22.</w:t>
      </w:r>
    </w:p>
    <w:p w14:paraId="19BD2921" w14:textId="77777777" w:rsidR="0021531F" w:rsidRPr="00A00AE9" w:rsidRDefault="0021531F" w:rsidP="00A00AE9">
      <w:pPr>
        <w:spacing w:line="276" w:lineRule="auto"/>
        <w:rPr>
          <w:rFonts w:ascii="Calibri" w:hAnsi="Calibri" w:cs="Calibri"/>
          <w:sz w:val="22"/>
          <w:szCs w:val="22"/>
        </w:rPr>
      </w:pPr>
    </w:p>
    <w:p w14:paraId="4DF0E5E4" w14:textId="67B29746" w:rsidR="00A00AE9" w:rsidRPr="00A00AE9" w:rsidRDefault="00A00AE9" w:rsidP="00A00AE9">
      <w:pPr>
        <w:spacing w:line="276" w:lineRule="auto"/>
        <w:rPr>
          <w:rFonts w:ascii="Calibri" w:hAnsi="Calibri" w:cs="Calibri"/>
          <w:sz w:val="22"/>
          <w:szCs w:val="22"/>
        </w:rPr>
      </w:pPr>
      <w:r w:rsidRPr="00A00AE9">
        <w:rPr>
          <w:rFonts w:ascii="Calibri" w:hAnsi="Calibri" w:cs="Calibri"/>
          <w:sz w:val="22"/>
          <w:szCs w:val="22"/>
        </w:rPr>
        <w:t>[152] Marco RA, Sheth DS, Boland PJ, W</w:t>
      </w:r>
      <w:r w:rsidR="00A80C9C">
        <w:rPr>
          <w:rFonts w:ascii="Calibri" w:hAnsi="Calibri" w:cs="Calibri"/>
          <w:sz w:val="22"/>
          <w:szCs w:val="22"/>
        </w:rPr>
        <w:t>under JS, Siegel JA, Healey JH.</w:t>
      </w:r>
      <w:r w:rsidRPr="00A00AE9">
        <w:rPr>
          <w:rFonts w:ascii="Calibri" w:hAnsi="Calibri" w:cs="Calibri"/>
          <w:sz w:val="22"/>
          <w:szCs w:val="22"/>
        </w:rPr>
        <w:t>Functional and oncological outco</w:t>
      </w:r>
      <w:r w:rsidR="00A80C9C">
        <w:rPr>
          <w:rFonts w:ascii="Calibri" w:hAnsi="Calibri" w:cs="Calibri"/>
          <w:sz w:val="22"/>
          <w:szCs w:val="22"/>
        </w:rPr>
        <w:t xml:space="preserve">me of acetabular reconstruction </w:t>
      </w:r>
      <w:r w:rsidRPr="00A00AE9">
        <w:rPr>
          <w:rFonts w:ascii="Calibri" w:hAnsi="Calibri" w:cs="Calibri"/>
          <w:sz w:val="22"/>
          <w:szCs w:val="22"/>
        </w:rPr>
        <w:t>for the treatment of metastatic disease. J Bone Joint Surg Am</w:t>
      </w:r>
    </w:p>
    <w:p w14:paraId="2DB03CA3" w14:textId="40A48C17" w:rsidR="00A00AE9" w:rsidRDefault="00A00AE9" w:rsidP="00A00AE9">
      <w:pPr>
        <w:spacing w:line="276" w:lineRule="auto"/>
        <w:rPr>
          <w:rFonts w:ascii="Calibri" w:hAnsi="Calibri" w:cs="Calibri"/>
          <w:sz w:val="22"/>
          <w:szCs w:val="22"/>
        </w:rPr>
      </w:pPr>
      <w:r w:rsidRPr="00A00AE9">
        <w:rPr>
          <w:rFonts w:ascii="Calibri" w:hAnsi="Calibri" w:cs="Calibri"/>
          <w:sz w:val="22"/>
          <w:szCs w:val="22"/>
        </w:rPr>
        <w:t>2000</w:t>
      </w:r>
      <w:proofErr w:type="gramStart"/>
      <w:r w:rsidRPr="00A00AE9">
        <w:rPr>
          <w:rFonts w:ascii="Calibri" w:hAnsi="Calibri" w:cs="Calibri"/>
          <w:sz w:val="22"/>
          <w:szCs w:val="22"/>
        </w:rPr>
        <w:t>;82:642</w:t>
      </w:r>
      <w:proofErr w:type="gramEnd"/>
      <w:r w:rsidRPr="00A00AE9">
        <w:rPr>
          <w:rFonts w:ascii="Calibri" w:hAnsi="Calibri" w:cs="Calibri"/>
          <w:sz w:val="22"/>
          <w:szCs w:val="22"/>
        </w:rPr>
        <w:t>–51.</w:t>
      </w:r>
    </w:p>
    <w:p w14:paraId="039F2FFE" w14:textId="77777777" w:rsidR="0021531F" w:rsidRPr="00A00AE9" w:rsidRDefault="0021531F" w:rsidP="00A00AE9">
      <w:pPr>
        <w:spacing w:line="276" w:lineRule="auto"/>
        <w:rPr>
          <w:rFonts w:ascii="Calibri" w:hAnsi="Calibri" w:cs="Calibri"/>
          <w:sz w:val="22"/>
          <w:szCs w:val="22"/>
        </w:rPr>
      </w:pPr>
    </w:p>
    <w:p w14:paraId="4E16299F" w14:textId="063B1D1B" w:rsidR="00A00AE9" w:rsidRDefault="00A00AE9" w:rsidP="00A00AE9">
      <w:pPr>
        <w:spacing w:line="276" w:lineRule="auto"/>
        <w:rPr>
          <w:rFonts w:ascii="Calibri" w:hAnsi="Calibri" w:cs="Calibri"/>
          <w:sz w:val="22"/>
          <w:szCs w:val="22"/>
        </w:rPr>
      </w:pPr>
      <w:r w:rsidRPr="00A00AE9">
        <w:rPr>
          <w:rFonts w:ascii="Calibri" w:hAnsi="Calibri" w:cs="Calibri"/>
          <w:sz w:val="22"/>
          <w:szCs w:val="22"/>
        </w:rPr>
        <w:lastRenderedPageBreak/>
        <w:t>[153] Stopeck AT, Fizazi K, Body JJ, et al</w:t>
      </w:r>
      <w:r w:rsidR="00A80C9C">
        <w:rPr>
          <w:rFonts w:ascii="Calibri" w:hAnsi="Calibri" w:cs="Calibri"/>
          <w:sz w:val="22"/>
          <w:szCs w:val="22"/>
        </w:rPr>
        <w:t xml:space="preserve">. Safety of long-term denosumab </w:t>
      </w:r>
      <w:r w:rsidRPr="00A00AE9">
        <w:rPr>
          <w:rFonts w:ascii="Calibri" w:hAnsi="Calibri" w:cs="Calibri"/>
          <w:sz w:val="22"/>
          <w:szCs w:val="22"/>
        </w:rPr>
        <w:t>therapy: results from the open lab</w:t>
      </w:r>
      <w:r w:rsidR="00A80C9C">
        <w:rPr>
          <w:rFonts w:ascii="Calibri" w:hAnsi="Calibri" w:cs="Calibri"/>
          <w:sz w:val="22"/>
          <w:szCs w:val="22"/>
        </w:rPr>
        <w:t xml:space="preserve">el extension phase of two phase </w:t>
      </w:r>
      <w:r w:rsidRPr="00A00AE9">
        <w:rPr>
          <w:rFonts w:ascii="Calibri" w:hAnsi="Calibri" w:cs="Calibri"/>
          <w:sz w:val="22"/>
          <w:szCs w:val="22"/>
        </w:rPr>
        <w:t>3 studies in patients with metastatic breast and prostate canc</w:t>
      </w:r>
      <w:r w:rsidR="00A80C9C">
        <w:rPr>
          <w:rFonts w:ascii="Calibri" w:hAnsi="Calibri" w:cs="Calibri"/>
          <w:sz w:val="22"/>
          <w:szCs w:val="22"/>
        </w:rPr>
        <w:t xml:space="preserve">er. </w:t>
      </w:r>
      <w:r w:rsidRPr="00A00AE9">
        <w:rPr>
          <w:rFonts w:ascii="Calibri" w:hAnsi="Calibri" w:cs="Calibri"/>
          <w:sz w:val="22"/>
          <w:szCs w:val="22"/>
        </w:rPr>
        <w:t>Support Care Cancer 2016</w:t>
      </w:r>
      <w:proofErr w:type="gramStart"/>
      <w:r w:rsidRPr="00A00AE9">
        <w:rPr>
          <w:rFonts w:ascii="Calibri" w:hAnsi="Calibri" w:cs="Calibri"/>
          <w:sz w:val="22"/>
          <w:szCs w:val="22"/>
        </w:rPr>
        <w:t>;24:447</w:t>
      </w:r>
      <w:proofErr w:type="gramEnd"/>
      <w:r w:rsidRPr="00A00AE9">
        <w:rPr>
          <w:rFonts w:ascii="Calibri" w:hAnsi="Calibri" w:cs="Calibri"/>
          <w:sz w:val="22"/>
          <w:szCs w:val="22"/>
        </w:rPr>
        <w:t>–55.</w:t>
      </w:r>
    </w:p>
    <w:p w14:paraId="24D85AB8" w14:textId="77777777" w:rsidR="0021531F" w:rsidRPr="00A00AE9" w:rsidRDefault="0021531F" w:rsidP="00A00AE9">
      <w:pPr>
        <w:spacing w:line="276" w:lineRule="auto"/>
        <w:rPr>
          <w:rFonts w:ascii="Calibri" w:hAnsi="Calibri" w:cs="Calibri"/>
          <w:sz w:val="22"/>
          <w:szCs w:val="22"/>
        </w:rPr>
      </w:pPr>
    </w:p>
    <w:p w14:paraId="77262B47" w14:textId="478074B8" w:rsidR="00A00AE9" w:rsidRDefault="00A00AE9" w:rsidP="00A00AE9">
      <w:pPr>
        <w:spacing w:line="276" w:lineRule="auto"/>
        <w:rPr>
          <w:rFonts w:ascii="Calibri" w:hAnsi="Calibri" w:cs="Calibri"/>
          <w:sz w:val="22"/>
          <w:szCs w:val="22"/>
        </w:rPr>
      </w:pPr>
      <w:r w:rsidRPr="00A00AE9">
        <w:rPr>
          <w:rFonts w:ascii="Calibri" w:hAnsi="Calibri" w:cs="Calibri"/>
          <w:sz w:val="22"/>
          <w:szCs w:val="22"/>
        </w:rPr>
        <w:t>[154] Aapro M, Abrahamsson PA, Body JJ</w:t>
      </w:r>
      <w:r w:rsidR="00A80C9C">
        <w:rPr>
          <w:rFonts w:ascii="Calibri" w:hAnsi="Calibri" w:cs="Calibri"/>
          <w:sz w:val="22"/>
          <w:szCs w:val="22"/>
        </w:rPr>
        <w:t xml:space="preserve">, et al. Guidance on the use of </w:t>
      </w:r>
      <w:r w:rsidRPr="00A00AE9">
        <w:rPr>
          <w:rFonts w:ascii="Calibri" w:hAnsi="Calibri" w:cs="Calibri"/>
          <w:sz w:val="22"/>
          <w:szCs w:val="22"/>
        </w:rPr>
        <w:t>bisphosphonates in solid</w:t>
      </w:r>
      <w:r w:rsidR="00A80C9C">
        <w:rPr>
          <w:rFonts w:ascii="Calibri" w:hAnsi="Calibri" w:cs="Calibri"/>
          <w:sz w:val="22"/>
          <w:szCs w:val="22"/>
        </w:rPr>
        <w:t xml:space="preserve"> tumours: recommendations of an </w:t>
      </w:r>
      <w:r w:rsidRPr="00A00AE9">
        <w:rPr>
          <w:rFonts w:ascii="Calibri" w:hAnsi="Calibri" w:cs="Calibri"/>
          <w:sz w:val="22"/>
          <w:szCs w:val="22"/>
        </w:rPr>
        <w:t>international expert panel. Ann Oncol 2008</w:t>
      </w:r>
      <w:proofErr w:type="gramStart"/>
      <w:r w:rsidRPr="00A00AE9">
        <w:rPr>
          <w:rFonts w:ascii="Calibri" w:hAnsi="Calibri" w:cs="Calibri"/>
          <w:sz w:val="22"/>
          <w:szCs w:val="22"/>
        </w:rPr>
        <w:t>;19:420</w:t>
      </w:r>
      <w:proofErr w:type="gramEnd"/>
      <w:r w:rsidRPr="00A00AE9">
        <w:rPr>
          <w:rFonts w:ascii="Calibri" w:hAnsi="Calibri" w:cs="Calibri"/>
          <w:sz w:val="22"/>
          <w:szCs w:val="22"/>
        </w:rPr>
        <w:t>–32.</w:t>
      </w:r>
    </w:p>
    <w:p w14:paraId="260A8A9E" w14:textId="77777777" w:rsidR="0021531F" w:rsidRPr="00A00AE9" w:rsidRDefault="0021531F" w:rsidP="00A00AE9">
      <w:pPr>
        <w:spacing w:line="276" w:lineRule="auto"/>
        <w:rPr>
          <w:rFonts w:ascii="Calibri" w:hAnsi="Calibri" w:cs="Calibri"/>
          <w:sz w:val="22"/>
          <w:szCs w:val="22"/>
        </w:rPr>
      </w:pPr>
    </w:p>
    <w:p w14:paraId="3509F48C" w14:textId="291B41BE" w:rsidR="00A00AE9" w:rsidRDefault="00A00AE9" w:rsidP="00A00AE9">
      <w:pPr>
        <w:spacing w:line="276" w:lineRule="auto"/>
        <w:rPr>
          <w:rFonts w:ascii="Calibri" w:hAnsi="Calibri" w:cs="Calibri"/>
          <w:sz w:val="22"/>
          <w:szCs w:val="22"/>
        </w:rPr>
      </w:pPr>
      <w:r w:rsidRPr="00A00AE9">
        <w:rPr>
          <w:rFonts w:ascii="Calibri" w:hAnsi="Calibri" w:cs="Calibri"/>
          <w:sz w:val="22"/>
          <w:szCs w:val="22"/>
        </w:rPr>
        <w:t>[155] Otto S, editor. Medication-rel</w:t>
      </w:r>
      <w:r w:rsidR="00A80C9C">
        <w:rPr>
          <w:rFonts w:ascii="Calibri" w:hAnsi="Calibri" w:cs="Calibri"/>
          <w:sz w:val="22"/>
          <w:szCs w:val="22"/>
        </w:rPr>
        <w:t xml:space="preserve">ated osteonecrosis of the jaws: </w:t>
      </w:r>
      <w:r w:rsidRPr="00A00AE9">
        <w:rPr>
          <w:rFonts w:ascii="Calibri" w:hAnsi="Calibri" w:cs="Calibri"/>
          <w:sz w:val="22"/>
          <w:szCs w:val="22"/>
        </w:rPr>
        <w:t>bisphosphonates, den</w:t>
      </w:r>
      <w:r w:rsidR="00A80C9C">
        <w:rPr>
          <w:rFonts w:ascii="Calibri" w:hAnsi="Calibri" w:cs="Calibri"/>
          <w:sz w:val="22"/>
          <w:szCs w:val="22"/>
        </w:rPr>
        <w:t>osumab, and new agents. Berlin/</w:t>
      </w:r>
      <w:r w:rsidRPr="00A00AE9">
        <w:rPr>
          <w:rFonts w:ascii="Calibri" w:hAnsi="Calibri" w:cs="Calibri"/>
          <w:sz w:val="22"/>
          <w:szCs w:val="22"/>
        </w:rPr>
        <w:t>Heidelberg: Springer; 2015.</w:t>
      </w:r>
    </w:p>
    <w:p w14:paraId="15B5EF57" w14:textId="77777777" w:rsidR="0021531F" w:rsidRPr="00A00AE9" w:rsidRDefault="0021531F" w:rsidP="00A00AE9">
      <w:pPr>
        <w:spacing w:line="276" w:lineRule="auto"/>
        <w:rPr>
          <w:rFonts w:ascii="Calibri" w:hAnsi="Calibri" w:cs="Calibri"/>
          <w:sz w:val="22"/>
          <w:szCs w:val="22"/>
        </w:rPr>
      </w:pPr>
    </w:p>
    <w:p w14:paraId="0240A659" w14:textId="7CDB2D27" w:rsidR="00A00AE9" w:rsidRDefault="00A00AE9" w:rsidP="00A00AE9">
      <w:pPr>
        <w:spacing w:line="276" w:lineRule="auto"/>
        <w:rPr>
          <w:rFonts w:ascii="Calibri" w:hAnsi="Calibri" w:cs="Calibri"/>
          <w:sz w:val="22"/>
          <w:szCs w:val="22"/>
        </w:rPr>
      </w:pPr>
      <w:r w:rsidRPr="00A00AE9">
        <w:rPr>
          <w:rFonts w:ascii="Calibri" w:hAnsi="Calibri" w:cs="Calibri"/>
          <w:sz w:val="22"/>
          <w:szCs w:val="22"/>
        </w:rPr>
        <w:t>[156] European Medicines Agency: Xg</w:t>
      </w:r>
      <w:r w:rsidR="00A80C9C">
        <w:rPr>
          <w:rFonts w:ascii="Calibri" w:hAnsi="Calibri" w:cs="Calibri"/>
          <w:sz w:val="22"/>
          <w:szCs w:val="22"/>
        </w:rPr>
        <w:t xml:space="preserve">eva. </w:t>
      </w:r>
      <w:hyperlink r:id="rId14" w:history="1">
        <w:r w:rsidR="0021531F" w:rsidRPr="00E2405D">
          <w:rPr>
            <w:rStyle w:val="Hyperlink"/>
            <w:rFonts w:ascii="Calibri" w:hAnsi="Calibri" w:cs="Calibri"/>
            <w:sz w:val="22"/>
            <w:szCs w:val="22"/>
          </w:rPr>
          <w:t>https://www.ema.europa.eu/men/medicines/human/EPAR/xgeva</w:t>
        </w:r>
      </w:hyperlink>
      <w:r w:rsidRPr="00A00AE9">
        <w:rPr>
          <w:rFonts w:ascii="Calibri" w:hAnsi="Calibri" w:cs="Calibri"/>
          <w:sz w:val="22"/>
          <w:szCs w:val="22"/>
        </w:rPr>
        <w:t>.</w:t>
      </w:r>
    </w:p>
    <w:p w14:paraId="1396864C" w14:textId="77777777" w:rsidR="0021531F" w:rsidRPr="00A00AE9" w:rsidRDefault="0021531F" w:rsidP="00A00AE9">
      <w:pPr>
        <w:spacing w:line="276" w:lineRule="auto"/>
        <w:rPr>
          <w:rFonts w:ascii="Calibri" w:hAnsi="Calibri" w:cs="Calibri"/>
          <w:sz w:val="22"/>
          <w:szCs w:val="22"/>
        </w:rPr>
      </w:pPr>
    </w:p>
    <w:p w14:paraId="53961B2B" w14:textId="416302F2" w:rsidR="00A00AE9" w:rsidRDefault="00A00AE9" w:rsidP="00A00AE9">
      <w:pPr>
        <w:spacing w:line="276" w:lineRule="auto"/>
        <w:rPr>
          <w:rFonts w:ascii="Calibri" w:hAnsi="Calibri" w:cs="Calibri"/>
          <w:sz w:val="22"/>
          <w:szCs w:val="22"/>
        </w:rPr>
      </w:pPr>
      <w:r w:rsidRPr="00A00AE9">
        <w:rPr>
          <w:rFonts w:ascii="Calibri" w:hAnsi="Calibri" w:cs="Calibri"/>
          <w:sz w:val="22"/>
          <w:szCs w:val="22"/>
        </w:rPr>
        <w:t>[157] Stopeck AT, Lipton A, Body JJ,</w:t>
      </w:r>
      <w:r w:rsidR="00A80C9C">
        <w:rPr>
          <w:rFonts w:ascii="Calibri" w:hAnsi="Calibri" w:cs="Calibri"/>
          <w:sz w:val="22"/>
          <w:szCs w:val="22"/>
        </w:rPr>
        <w:t xml:space="preserve"> et al. Denosumab compared with </w:t>
      </w:r>
      <w:r w:rsidRPr="00A00AE9">
        <w:rPr>
          <w:rFonts w:ascii="Calibri" w:hAnsi="Calibri" w:cs="Calibri"/>
          <w:sz w:val="22"/>
          <w:szCs w:val="22"/>
        </w:rPr>
        <w:t>zoledronic acid for the treatment</w:t>
      </w:r>
      <w:r w:rsidR="00A80C9C">
        <w:rPr>
          <w:rFonts w:ascii="Calibri" w:hAnsi="Calibri" w:cs="Calibri"/>
          <w:sz w:val="22"/>
          <w:szCs w:val="22"/>
        </w:rPr>
        <w:t xml:space="preserve"> of bone metastases in patients </w:t>
      </w:r>
      <w:r w:rsidRPr="00A00AE9">
        <w:rPr>
          <w:rFonts w:ascii="Calibri" w:hAnsi="Calibri" w:cs="Calibri"/>
          <w:sz w:val="22"/>
          <w:szCs w:val="22"/>
        </w:rPr>
        <w:t>with advanced breast cancer: a ra</w:t>
      </w:r>
      <w:r w:rsidR="00A80C9C">
        <w:rPr>
          <w:rFonts w:ascii="Calibri" w:hAnsi="Calibri" w:cs="Calibri"/>
          <w:sz w:val="22"/>
          <w:szCs w:val="22"/>
        </w:rPr>
        <w:t xml:space="preserve">ndomized, double-blind study. J </w:t>
      </w:r>
      <w:r w:rsidRPr="00A00AE9">
        <w:rPr>
          <w:rFonts w:ascii="Calibri" w:hAnsi="Calibri" w:cs="Calibri"/>
          <w:sz w:val="22"/>
          <w:szCs w:val="22"/>
        </w:rPr>
        <w:t>Clin Oncol 2010</w:t>
      </w:r>
      <w:proofErr w:type="gramStart"/>
      <w:r w:rsidRPr="00A00AE9">
        <w:rPr>
          <w:rFonts w:ascii="Calibri" w:hAnsi="Calibri" w:cs="Calibri"/>
          <w:sz w:val="22"/>
          <w:szCs w:val="22"/>
        </w:rPr>
        <w:t>;28:5132</w:t>
      </w:r>
      <w:proofErr w:type="gramEnd"/>
      <w:r w:rsidRPr="00A00AE9">
        <w:rPr>
          <w:rFonts w:ascii="Calibri" w:hAnsi="Calibri" w:cs="Calibri"/>
          <w:sz w:val="22"/>
          <w:szCs w:val="22"/>
        </w:rPr>
        <w:t>–9.</w:t>
      </w:r>
    </w:p>
    <w:p w14:paraId="0E74D86E" w14:textId="77777777" w:rsidR="0021531F" w:rsidRPr="00A00AE9" w:rsidRDefault="0021531F" w:rsidP="00A00AE9">
      <w:pPr>
        <w:spacing w:line="276" w:lineRule="auto"/>
        <w:rPr>
          <w:rFonts w:ascii="Calibri" w:hAnsi="Calibri" w:cs="Calibri"/>
          <w:sz w:val="22"/>
          <w:szCs w:val="22"/>
        </w:rPr>
      </w:pPr>
    </w:p>
    <w:p w14:paraId="1C8C3851" w14:textId="5372E8DB" w:rsidR="00A00AE9" w:rsidRPr="000337C9" w:rsidRDefault="00A00AE9" w:rsidP="00A80C9C">
      <w:pPr>
        <w:spacing w:line="276" w:lineRule="auto"/>
        <w:rPr>
          <w:rFonts w:ascii="Calibri" w:hAnsi="Calibri" w:cs="Calibri"/>
          <w:sz w:val="22"/>
          <w:szCs w:val="22"/>
        </w:rPr>
      </w:pPr>
      <w:r w:rsidRPr="00A00AE9">
        <w:rPr>
          <w:rFonts w:ascii="Calibri" w:hAnsi="Calibri" w:cs="Calibri"/>
          <w:sz w:val="22"/>
          <w:szCs w:val="22"/>
        </w:rPr>
        <w:t>[158] Body JJ, Bone HG, de Boer RH, e</w:t>
      </w:r>
      <w:r w:rsidR="00A80C9C">
        <w:rPr>
          <w:rFonts w:ascii="Calibri" w:hAnsi="Calibri" w:cs="Calibri"/>
          <w:sz w:val="22"/>
          <w:szCs w:val="22"/>
        </w:rPr>
        <w:t xml:space="preserve">t al. Hypocalcaemia in patients </w:t>
      </w:r>
      <w:r w:rsidRPr="00A00AE9">
        <w:rPr>
          <w:rFonts w:ascii="Calibri" w:hAnsi="Calibri" w:cs="Calibri"/>
          <w:sz w:val="22"/>
          <w:szCs w:val="22"/>
        </w:rPr>
        <w:t>with metastatic bone disease</w:t>
      </w:r>
      <w:r w:rsidR="00A80C9C">
        <w:rPr>
          <w:rFonts w:ascii="Calibri" w:hAnsi="Calibri" w:cs="Calibri"/>
          <w:sz w:val="22"/>
          <w:szCs w:val="22"/>
        </w:rPr>
        <w:t xml:space="preserve"> treated with denosumab. Eur J </w:t>
      </w:r>
      <w:r w:rsidR="00A80C9C" w:rsidRPr="00A80C9C">
        <w:rPr>
          <w:rFonts w:ascii="Calibri" w:hAnsi="Calibri" w:cs="Calibri"/>
          <w:sz w:val="22"/>
          <w:szCs w:val="22"/>
        </w:rPr>
        <w:t>Cancer 2015;51:1812–21.</w:t>
      </w:r>
    </w:p>
    <w:sectPr w:rsidR="00A00AE9" w:rsidRPr="000337C9" w:rsidSect="000337C9">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4631E" w14:textId="77777777" w:rsidR="007F52BF" w:rsidRDefault="007F52BF">
      <w:r>
        <w:separator/>
      </w:r>
    </w:p>
  </w:endnote>
  <w:endnote w:type="continuationSeparator" w:id="0">
    <w:p w14:paraId="6D44509B" w14:textId="77777777" w:rsidR="007F52BF" w:rsidRDefault="007F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Neue-Roman">
    <w:altName w:val="Yu Gothic"/>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48409104"/>
      <w:docPartObj>
        <w:docPartGallery w:val="Page Numbers (Bottom of Page)"/>
        <w:docPartUnique/>
      </w:docPartObj>
    </w:sdtPr>
    <w:sdtContent>
      <w:p w14:paraId="52EF6346" w14:textId="77777777" w:rsidR="006A3AED" w:rsidRDefault="006A3AED" w:rsidP="00B83C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C04F8B" w14:textId="77777777" w:rsidR="006A3AED" w:rsidRDefault="006A3AED" w:rsidP="00B83C6E">
    <w:pPr>
      <w:pStyle w:val="Footer"/>
      <w:ind w:right="360"/>
    </w:pPr>
  </w:p>
  <w:p w14:paraId="20B85C8B" w14:textId="77777777" w:rsidR="006A3AED" w:rsidRDefault="006A3AED"/>
  <w:p w14:paraId="5BC2FA31" w14:textId="77777777" w:rsidR="006A3AED" w:rsidRDefault="006A3A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7826366"/>
      <w:docPartObj>
        <w:docPartGallery w:val="Page Numbers (Bottom of Page)"/>
        <w:docPartUnique/>
      </w:docPartObj>
    </w:sdtPr>
    <w:sdtContent>
      <w:p w14:paraId="74A0454D" w14:textId="1FCE5F2D" w:rsidR="006A3AED" w:rsidRDefault="006A3AED" w:rsidP="00B83C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62E59">
          <w:rPr>
            <w:rStyle w:val="PageNumber"/>
            <w:noProof/>
          </w:rPr>
          <w:t>37</w:t>
        </w:r>
        <w:r>
          <w:rPr>
            <w:rStyle w:val="PageNumber"/>
          </w:rPr>
          <w:fldChar w:fldCharType="end"/>
        </w:r>
      </w:p>
    </w:sdtContent>
  </w:sdt>
  <w:p w14:paraId="438F884B" w14:textId="77777777" w:rsidR="006A3AED" w:rsidRDefault="006A3AED" w:rsidP="00B83C6E">
    <w:pPr>
      <w:pStyle w:val="Footer"/>
      <w:ind w:right="360"/>
    </w:pPr>
  </w:p>
  <w:p w14:paraId="746C7FAF" w14:textId="77777777" w:rsidR="006A3AED" w:rsidRDefault="006A3AED"/>
  <w:p w14:paraId="016B3FA2" w14:textId="77777777" w:rsidR="006A3AED" w:rsidRDefault="006A3A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2CC90" w14:textId="77777777" w:rsidR="007F52BF" w:rsidRDefault="007F52BF">
      <w:r>
        <w:separator/>
      </w:r>
    </w:p>
  </w:footnote>
  <w:footnote w:type="continuationSeparator" w:id="0">
    <w:p w14:paraId="5088CDE9" w14:textId="77777777" w:rsidR="007F52BF" w:rsidRDefault="007F5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6E0A"/>
    <w:multiLevelType w:val="hybridMultilevel"/>
    <w:tmpl w:val="521A2BCE"/>
    <w:lvl w:ilvl="0" w:tplc="13D64DF0">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16E75"/>
    <w:multiLevelType w:val="multilevel"/>
    <w:tmpl w:val="97C2533C"/>
    <w:lvl w:ilvl="0">
      <w:start w:val="1"/>
      <w:numFmt w:val="decimal"/>
      <w:lvlText w:val="%1."/>
      <w:lvlJc w:val="left"/>
      <w:pPr>
        <w:ind w:left="699" w:hanging="595"/>
        <w:jc w:val="right"/>
      </w:pPr>
      <w:rPr>
        <w:rFonts w:ascii="Book Antiqua" w:eastAsia="Book Antiqua" w:hAnsi="Book Antiqua" w:cs="Book Antiqua" w:hint="default"/>
        <w:b w:val="0"/>
        <w:bCs w:val="0"/>
        <w:i w:val="0"/>
        <w:iCs w:val="0"/>
        <w:spacing w:val="-10"/>
        <w:w w:val="115"/>
        <w:sz w:val="17"/>
        <w:szCs w:val="17"/>
        <w:lang w:val="en-US" w:eastAsia="en-US" w:bidi="ar-SA"/>
      </w:rPr>
    </w:lvl>
    <w:lvl w:ilvl="1">
      <w:start w:val="1"/>
      <w:numFmt w:val="decimal"/>
      <w:lvlText w:val="%1.%2."/>
      <w:lvlJc w:val="left"/>
      <w:pPr>
        <w:ind w:left="776" w:hanging="580"/>
      </w:pPr>
      <w:rPr>
        <w:rFonts w:hint="default"/>
        <w:spacing w:val="0"/>
        <w:w w:val="91"/>
        <w:lang w:val="en-US" w:eastAsia="en-US" w:bidi="ar-SA"/>
      </w:rPr>
    </w:lvl>
    <w:lvl w:ilvl="2">
      <w:start w:val="1"/>
      <w:numFmt w:val="decimal"/>
      <w:lvlText w:val="%1.%2.%3."/>
      <w:lvlJc w:val="left"/>
      <w:pPr>
        <w:ind w:left="656" w:hanging="580"/>
        <w:jc w:val="right"/>
      </w:pPr>
      <w:rPr>
        <w:rFonts w:ascii="Cambria" w:eastAsia="Cambria" w:hAnsi="Cambria" w:cs="Cambria" w:hint="default"/>
        <w:b w:val="0"/>
        <w:bCs w:val="0"/>
        <w:i/>
        <w:iCs/>
        <w:spacing w:val="-12"/>
        <w:w w:val="108"/>
        <w:sz w:val="15"/>
        <w:szCs w:val="15"/>
        <w:lang w:val="en-US" w:eastAsia="en-US" w:bidi="ar-SA"/>
      </w:rPr>
    </w:lvl>
    <w:lvl w:ilvl="3">
      <w:start w:val="1"/>
      <w:numFmt w:val="decimal"/>
      <w:lvlText w:val="%1.%2.%3.%4."/>
      <w:lvlJc w:val="left"/>
      <w:pPr>
        <w:ind w:left="723" w:hanging="580"/>
        <w:jc w:val="right"/>
      </w:pPr>
      <w:rPr>
        <w:rFonts w:ascii="Cambria" w:eastAsia="Cambria" w:hAnsi="Cambria" w:cs="Cambria" w:hint="default"/>
        <w:b w:val="0"/>
        <w:bCs w:val="0"/>
        <w:i/>
        <w:iCs/>
        <w:spacing w:val="-12"/>
        <w:w w:val="108"/>
        <w:sz w:val="15"/>
        <w:szCs w:val="15"/>
        <w:lang w:val="en-US" w:eastAsia="en-US" w:bidi="ar-SA"/>
      </w:rPr>
    </w:lvl>
    <w:lvl w:ilvl="4">
      <w:start w:val="1"/>
      <w:numFmt w:val="decimal"/>
      <w:lvlText w:val="%1.%2.%3.%4.%5."/>
      <w:lvlJc w:val="left"/>
      <w:pPr>
        <w:ind w:left="197" w:hanging="580"/>
        <w:jc w:val="right"/>
      </w:pPr>
      <w:rPr>
        <w:rFonts w:ascii="Cambria" w:eastAsia="Cambria" w:hAnsi="Cambria" w:cs="Cambria" w:hint="default"/>
        <w:b w:val="0"/>
        <w:bCs w:val="0"/>
        <w:i/>
        <w:iCs/>
        <w:spacing w:val="-13"/>
        <w:w w:val="108"/>
        <w:sz w:val="15"/>
        <w:szCs w:val="15"/>
        <w:lang w:val="en-US" w:eastAsia="en-US" w:bidi="ar-SA"/>
      </w:rPr>
    </w:lvl>
    <w:lvl w:ilvl="5">
      <w:numFmt w:val="bullet"/>
      <w:lvlText w:val="•"/>
      <w:lvlJc w:val="left"/>
      <w:pPr>
        <w:ind w:left="720" w:hanging="580"/>
      </w:pPr>
      <w:rPr>
        <w:rFonts w:hint="default"/>
        <w:lang w:val="en-US" w:eastAsia="en-US" w:bidi="ar-SA"/>
      </w:rPr>
    </w:lvl>
    <w:lvl w:ilvl="6">
      <w:numFmt w:val="bullet"/>
      <w:lvlText w:val="•"/>
      <w:lvlJc w:val="left"/>
      <w:pPr>
        <w:ind w:left="780" w:hanging="580"/>
      </w:pPr>
      <w:rPr>
        <w:rFonts w:hint="default"/>
        <w:lang w:val="en-US" w:eastAsia="en-US" w:bidi="ar-SA"/>
      </w:rPr>
    </w:lvl>
    <w:lvl w:ilvl="7">
      <w:numFmt w:val="bullet"/>
      <w:lvlText w:val="•"/>
      <w:lvlJc w:val="left"/>
      <w:pPr>
        <w:ind w:left="532" w:hanging="580"/>
      </w:pPr>
      <w:rPr>
        <w:rFonts w:hint="default"/>
        <w:lang w:val="en-US" w:eastAsia="en-US" w:bidi="ar-SA"/>
      </w:rPr>
    </w:lvl>
    <w:lvl w:ilvl="8">
      <w:numFmt w:val="bullet"/>
      <w:lvlText w:val="•"/>
      <w:lvlJc w:val="left"/>
      <w:pPr>
        <w:ind w:left="284" w:hanging="580"/>
      </w:pPr>
      <w:rPr>
        <w:rFonts w:hint="default"/>
        <w:lang w:val="en-US" w:eastAsia="en-US" w:bidi="ar-SA"/>
      </w:rPr>
    </w:lvl>
  </w:abstractNum>
  <w:abstractNum w:abstractNumId="2" w15:restartNumberingAfterBreak="0">
    <w:nsid w:val="0DA95152"/>
    <w:multiLevelType w:val="multilevel"/>
    <w:tmpl w:val="EC8423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674175A"/>
    <w:multiLevelType w:val="multilevel"/>
    <w:tmpl w:val="022E1942"/>
    <w:lvl w:ilvl="0">
      <w:start w:val="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5E16DB"/>
    <w:multiLevelType w:val="multilevel"/>
    <w:tmpl w:val="1B6A05CC"/>
    <w:lvl w:ilvl="0">
      <w:start w:val="4"/>
      <w:numFmt w:val="decimal"/>
      <w:lvlText w:val="%1."/>
      <w:lvlJc w:val="left"/>
      <w:pPr>
        <w:ind w:left="360" w:hanging="360"/>
      </w:pPr>
      <w:rPr>
        <w:rFonts w:ascii="Calibri" w:eastAsia="HelveticaNeue-Roman" w:hAnsi="Calibri" w:cs="Calibri" w:hint="default"/>
        <w:b w:val="0"/>
        <w:i w:val="0"/>
        <w:u w:val="none"/>
      </w:rPr>
    </w:lvl>
    <w:lvl w:ilvl="1">
      <w:start w:val="2"/>
      <w:numFmt w:val="decimal"/>
      <w:lvlText w:val="%1.%2."/>
      <w:lvlJc w:val="left"/>
      <w:pPr>
        <w:ind w:left="720" w:hanging="720"/>
      </w:pPr>
      <w:rPr>
        <w:rFonts w:ascii="Calibri" w:eastAsia="HelveticaNeue-Roman" w:hAnsi="Calibri" w:cs="Calibri" w:hint="default"/>
        <w:b w:val="0"/>
        <w:i w:val="0"/>
        <w:u w:val="none"/>
      </w:rPr>
    </w:lvl>
    <w:lvl w:ilvl="2">
      <w:start w:val="1"/>
      <w:numFmt w:val="decimal"/>
      <w:lvlText w:val="%1.%2.%3."/>
      <w:lvlJc w:val="left"/>
      <w:pPr>
        <w:ind w:left="720" w:hanging="720"/>
      </w:pPr>
      <w:rPr>
        <w:rFonts w:ascii="Calibri" w:eastAsia="HelveticaNeue-Roman" w:hAnsi="Calibri" w:cs="Calibri" w:hint="default"/>
        <w:b w:val="0"/>
        <w:i w:val="0"/>
        <w:u w:val="none"/>
      </w:rPr>
    </w:lvl>
    <w:lvl w:ilvl="3">
      <w:start w:val="1"/>
      <w:numFmt w:val="decimal"/>
      <w:lvlText w:val="%1.%2.%3.%4."/>
      <w:lvlJc w:val="left"/>
      <w:pPr>
        <w:ind w:left="1080" w:hanging="1080"/>
      </w:pPr>
      <w:rPr>
        <w:rFonts w:ascii="Calibri" w:eastAsia="HelveticaNeue-Roman" w:hAnsi="Calibri" w:cs="Calibri" w:hint="default"/>
        <w:b w:val="0"/>
        <w:i w:val="0"/>
        <w:u w:val="none"/>
      </w:rPr>
    </w:lvl>
    <w:lvl w:ilvl="4">
      <w:start w:val="1"/>
      <w:numFmt w:val="decimal"/>
      <w:lvlText w:val="%1.%2.%3.%4.%5."/>
      <w:lvlJc w:val="left"/>
      <w:pPr>
        <w:ind w:left="1080" w:hanging="1080"/>
      </w:pPr>
      <w:rPr>
        <w:rFonts w:ascii="Calibri" w:eastAsia="HelveticaNeue-Roman" w:hAnsi="Calibri" w:cs="Calibri" w:hint="default"/>
        <w:b w:val="0"/>
        <w:i w:val="0"/>
        <w:u w:val="none"/>
      </w:rPr>
    </w:lvl>
    <w:lvl w:ilvl="5">
      <w:start w:val="1"/>
      <w:numFmt w:val="decimal"/>
      <w:lvlText w:val="%1.%2.%3.%4.%5.%6."/>
      <w:lvlJc w:val="left"/>
      <w:pPr>
        <w:ind w:left="1440" w:hanging="1440"/>
      </w:pPr>
      <w:rPr>
        <w:rFonts w:ascii="Calibri" w:eastAsia="HelveticaNeue-Roman" w:hAnsi="Calibri" w:cs="Calibri" w:hint="default"/>
        <w:b w:val="0"/>
        <w:i w:val="0"/>
        <w:u w:val="none"/>
      </w:rPr>
    </w:lvl>
    <w:lvl w:ilvl="6">
      <w:start w:val="1"/>
      <w:numFmt w:val="decimal"/>
      <w:lvlText w:val="%1.%2.%3.%4.%5.%6.%7."/>
      <w:lvlJc w:val="left"/>
      <w:pPr>
        <w:ind w:left="1440" w:hanging="1440"/>
      </w:pPr>
      <w:rPr>
        <w:rFonts w:ascii="Calibri" w:eastAsia="HelveticaNeue-Roman" w:hAnsi="Calibri" w:cs="Calibri" w:hint="default"/>
        <w:b w:val="0"/>
        <w:i w:val="0"/>
        <w:u w:val="none"/>
      </w:rPr>
    </w:lvl>
    <w:lvl w:ilvl="7">
      <w:start w:val="1"/>
      <w:numFmt w:val="decimal"/>
      <w:lvlText w:val="%1.%2.%3.%4.%5.%6.%7.%8."/>
      <w:lvlJc w:val="left"/>
      <w:pPr>
        <w:ind w:left="1800" w:hanging="1800"/>
      </w:pPr>
      <w:rPr>
        <w:rFonts w:ascii="Calibri" w:eastAsia="HelveticaNeue-Roman" w:hAnsi="Calibri" w:cs="Calibri" w:hint="default"/>
        <w:b w:val="0"/>
        <w:i w:val="0"/>
        <w:u w:val="none"/>
      </w:rPr>
    </w:lvl>
    <w:lvl w:ilvl="8">
      <w:start w:val="1"/>
      <w:numFmt w:val="decimal"/>
      <w:lvlText w:val="%1.%2.%3.%4.%5.%6.%7.%8.%9."/>
      <w:lvlJc w:val="left"/>
      <w:pPr>
        <w:ind w:left="1800" w:hanging="1800"/>
      </w:pPr>
      <w:rPr>
        <w:rFonts w:ascii="Calibri" w:eastAsia="HelveticaNeue-Roman" w:hAnsi="Calibri" w:cs="Calibri" w:hint="default"/>
        <w:b w:val="0"/>
        <w:i w:val="0"/>
        <w:u w:val="none"/>
      </w:rPr>
    </w:lvl>
  </w:abstractNum>
  <w:abstractNum w:abstractNumId="5" w15:restartNumberingAfterBreak="0">
    <w:nsid w:val="22C81141"/>
    <w:multiLevelType w:val="multilevel"/>
    <w:tmpl w:val="43AEC990"/>
    <w:lvl w:ilvl="0">
      <w:start w:val="4"/>
      <w:numFmt w:val="decimal"/>
      <w:lvlText w:val="%1"/>
      <w:lvlJc w:val="left"/>
      <w:pPr>
        <w:ind w:left="360" w:hanging="360"/>
      </w:pPr>
      <w:rPr>
        <w:rFonts w:ascii="Calibri" w:eastAsia="HelveticaNeue-Roman" w:hAnsi="Calibri" w:cs="Calibri" w:hint="default"/>
        <w:b w:val="0"/>
        <w:i w:val="0"/>
        <w:u w:val="none"/>
      </w:rPr>
    </w:lvl>
    <w:lvl w:ilvl="1">
      <w:start w:val="2"/>
      <w:numFmt w:val="decimal"/>
      <w:lvlText w:val="%1.%2"/>
      <w:lvlJc w:val="left"/>
      <w:pPr>
        <w:ind w:left="360" w:hanging="360"/>
      </w:pPr>
      <w:rPr>
        <w:rFonts w:ascii="Calibri" w:eastAsia="HelveticaNeue-Roman" w:hAnsi="Calibri" w:cs="Calibri" w:hint="default"/>
        <w:b w:val="0"/>
        <w:i w:val="0"/>
        <w:u w:val="none"/>
      </w:rPr>
    </w:lvl>
    <w:lvl w:ilvl="2">
      <w:start w:val="1"/>
      <w:numFmt w:val="decimal"/>
      <w:lvlText w:val="%1.%2.%3"/>
      <w:lvlJc w:val="left"/>
      <w:pPr>
        <w:ind w:left="720" w:hanging="720"/>
      </w:pPr>
      <w:rPr>
        <w:rFonts w:ascii="Calibri" w:eastAsia="HelveticaNeue-Roman" w:hAnsi="Calibri" w:cs="Calibri" w:hint="default"/>
        <w:b w:val="0"/>
        <w:i w:val="0"/>
        <w:u w:val="none"/>
      </w:rPr>
    </w:lvl>
    <w:lvl w:ilvl="3">
      <w:start w:val="1"/>
      <w:numFmt w:val="decimal"/>
      <w:lvlText w:val="%1.%2.%3.%4"/>
      <w:lvlJc w:val="left"/>
      <w:pPr>
        <w:ind w:left="720" w:hanging="720"/>
      </w:pPr>
      <w:rPr>
        <w:rFonts w:ascii="Calibri" w:eastAsia="HelveticaNeue-Roman" w:hAnsi="Calibri" w:cs="Calibri" w:hint="default"/>
        <w:b w:val="0"/>
        <w:i w:val="0"/>
        <w:u w:val="none"/>
      </w:rPr>
    </w:lvl>
    <w:lvl w:ilvl="4">
      <w:start w:val="1"/>
      <w:numFmt w:val="decimal"/>
      <w:lvlText w:val="%1.%2.%3.%4.%5"/>
      <w:lvlJc w:val="left"/>
      <w:pPr>
        <w:ind w:left="1080" w:hanging="1080"/>
      </w:pPr>
      <w:rPr>
        <w:rFonts w:ascii="Calibri" w:eastAsia="HelveticaNeue-Roman" w:hAnsi="Calibri" w:cs="Calibri" w:hint="default"/>
        <w:b w:val="0"/>
        <w:i w:val="0"/>
        <w:u w:val="none"/>
      </w:rPr>
    </w:lvl>
    <w:lvl w:ilvl="5">
      <w:start w:val="1"/>
      <w:numFmt w:val="decimal"/>
      <w:lvlText w:val="%1.%2.%3.%4.%5.%6"/>
      <w:lvlJc w:val="left"/>
      <w:pPr>
        <w:ind w:left="1080" w:hanging="1080"/>
      </w:pPr>
      <w:rPr>
        <w:rFonts w:ascii="Calibri" w:eastAsia="HelveticaNeue-Roman" w:hAnsi="Calibri" w:cs="Calibri" w:hint="default"/>
        <w:b w:val="0"/>
        <w:i w:val="0"/>
        <w:u w:val="none"/>
      </w:rPr>
    </w:lvl>
    <w:lvl w:ilvl="6">
      <w:start w:val="1"/>
      <w:numFmt w:val="decimal"/>
      <w:lvlText w:val="%1.%2.%3.%4.%5.%6.%7"/>
      <w:lvlJc w:val="left"/>
      <w:pPr>
        <w:ind w:left="1440" w:hanging="1440"/>
      </w:pPr>
      <w:rPr>
        <w:rFonts w:ascii="Calibri" w:eastAsia="HelveticaNeue-Roman" w:hAnsi="Calibri" w:cs="Calibri" w:hint="default"/>
        <w:b w:val="0"/>
        <w:i w:val="0"/>
        <w:u w:val="none"/>
      </w:rPr>
    </w:lvl>
    <w:lvl w:ilvl="7">
      <w:start w:val="1"/>
      <w:numFmt w:val="decimal"/>
      <w:lvlText w:val="%1.%2.%3.%4.%5.%6.%7.%8"/>
      <w:lvlJc w:val="left"/>
      <w:pPr>
        <w:ind w:left="1440" w:hanging="1440"/>
      </w:pPr>
      <w:rPr>
        <w:rFonts w:ascii="Calibri" w:eastAsia="HelveticaNeue-Roman" w:hAnsi="Calibri" w:cs="Calibri" w:hint="default"/>
        <w:b w:val="0"/>
        <w:i w:val="0"/>
        <w:u w:val="none"/>
      </w:rPr>
    </w:lvl>
    <w:lvl w:ilvl="8">
      <w:start w:val="1"/>
      <w:numFmt w:val="decimal"/>
      <w:lvlText w:val="%1.%2.%3.%4.%5.%6.%7.%8.%9"/>
      <w:lvlJc w:val="left"/>
      <w:pPr>
        <w:ind w:left="1800" w:hanging="1800"/>
      </w:pPr>
      <w:rPr>
        <w:rFonts w:ascii="Calibri" w:eastAsia="HelveticaNeue-Roman" w:hAnsi="Calibri" w:cs="Calibri" w:hint="default"/>
        <w:b w:val="0"/>
        <w:i w:val="0"/>
        <w:u w:val="none"/>
      </w:rPr>
    </w:lvl>
  </w:abstractNum>
  <w:abstractNum w:abstractNumId="6" w15:restartNumberingAfterBreak="0">
    <w:nsid w:val="23EC5E62"/>
    <w:multiLevelType w:val="multilevel"/>
    <w:tmpl w:val="EA98568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AC45F92"/>
    <w:multiLevelType w:val="multilevel"/>
    <w:tmpl w:val="EC8423E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387E00F8"/>
    <w:multiLevelType w:val="multilevel"/>
    <w:tmpl w:val="B830814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D645D15"/>
    <w:multiLevelType w:val="hybridMultilevel"/>
    <w:tmpl w:val="A87631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F6048"/>
    <w:multiLevelType w:val="multilevel"/>
    <w:tmpl w:val="EC8423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9D2532F"/>
    <w:multiLevelType w:val="hybridMultilevel"/>
    <w:tmpl w:val="FAC2A9D0"/>
    <w:lvl w:ilvl="0" w:tplc="F6409FE0">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FB5F6B"/>
    <w:multiLevelType w:val="hybridMultilevel"/>
    <w:tmpl w:val="6BEA4EC0"/>
    <w:lvl w:ilvl="0" w:tplc="9B2EDEA8">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A21386"/>
    <w:multiLevelType w:val="multilevel"/>
    <w:tmpl w:val="EC8423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5B95A1A"/>
    <w:multiLevelType w:val="hybridMultilevel"/>
    <w:tmpl w:val="471C8E44"/>
    <w:lvl w:ilvl="0" w:tplc="9C24C0A0">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283E27"/>
    <w:multiLevelType w:val="hybridMultilevel"/>
    <w:tmpl w:val="76DA1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1792812"/>
    <w:multiLevelType w:val="multilevel"/>
    <w:tmpl w:val="0A06C18A"/>
    <w:lvl w:ilvl="0">
      <w:start w:val="1"/>
      <w:numFmt w:val="decimal"/>
      <w:lvlText w:val="%1."/>
      <w:lvlJc w:val="left"/>
      <w:pPr>
        <w:ind w:left="699" w:hanging="595"/>
        <w:jc w:val="right"/>
      </w:pPr>
      <w:rPr>
        <w:rFonts w:ascii="Book Antiqua" w:eastAsia="Book Antiqua" w:hAnsi="Book Antiqua" w:cs="Book Antiqua" w:hint="default"/>
        <w:b w:val="0"/>
        <w:bCs w:val="0"/>
        <w:i w:val="0"/>
        <w:iCs w:val="0"/>
        <w:spacing w:val="-10"/>
        <w:w w:val="115"/>
        <w:sz w:val="17"/>
        <w:szCs w:val="17"/>
        <w:lang w:val="en-US" w:eastAsia="en-US" w:bidi="ar-SA"/>
      </w:rPr>
    </w:lvl>
    <w:lvl w:ilvl="1">
      <w:start w:val="1"/>
      <w:numFmt w:val="decimal"/>
      <w:lvlText w:val="%1.%2."/>
      <w:lvlJc w:val="left"/>
      <w:pPr>
        <w:ind w:left="776" w:hanging="580"/>
      </w:pPr>
      <w:rPr>
        <w:rFonts w:hint="default"/>
        <w:spacing w:val="0"/>
        <w:w w:val="91"/>
        <w:lang w:val="en-US" w:eastAsia="en-US" w:bidi="ar-SA"/>
      </w:rPr>
    </w:lvl>
    <w:lvl w:ilvl="2">
      <w:start w:val="1"/>
      <w:numFmt w:val="decimal"/>
      <w:lvlText w:val="%1.%2.%3."/>
      <w:lvlJc w:val="left"/>
      <w:pPr>
        <w:ind w:left="656" w:hanging="580"/>
        <w:jc w:val="right"/>
      </w:pPr>
      <w:rPr>
        <w:rFonts w:ascii="Cambria" w:eastAsia="Cambria" w:hAnsi="Cambria" w:cs="Cambria" w:hint="default"/>
        <w:b w:val="0"/>
        <w:bCs w:val="0"/>
        <w:i/>
        <w:iCs/>
        <w:spacing w:val="-12"/>
        <w:w w:val="108"/>
        <w:sz w:val="15"/>
        <w:szCs w:val="15"/>
        <w:lang w:val="en-US" w:eastAsia="en-US" w:bidi="ar-SA"/>
      </w:rPr>
    </w:lvl>
    <w:lvl w:ilvl="3">
      <w:start w:val="1"/>
      <w:numFmt w:val="decimal"/>
      <w:lvlText w:val="%1.%2.%3.%4."/>
      <w:lvlJc w:val="left"/>
      <w:pPr>
        <w:ind w:left="723" w:hanging="580"/>
        <w:jc w:val="right"/>
      </w:pPr>
      <w:rPr>
        <w:rFonts w:ascii="Cambria" w:eastAsia="Cambria" w:hAnsi="Cambria" w:cs="Cambria" w:hint="default"/>
        <w:b w:val="0"/>
        <w:bCs w:val="0"/>
        <w:i/>
        <w:iCs/>
        <w:spacing w:val="-12"/>
        <w:w w:val="108"/>
        <w:sz w:val="15"/>
        <w:szCs w:val="15"/>
        <w:lang w:val="en-US" w:eastAsia="en-US" w:bidi="ar-SA"/>
      </w:rPr>
    </w:lvl>
    <w:lvl w:ilvl="4">
      <w:start w:val="1"/>
      <w:numFmt w:val="decimal"/>
      <w:lvlText w:val="%1.%2.%3.%4.%5."/>
      <w:lvlJc w:val="left"/>
      <w:pPr>
        <w:ind w:left="197" w:hanging="580"/>
        <w:jc w:val="right"/>
      </w:pPr>
      <w:rPr>
        <w:rFonts w:ascii="Cambria" w:eastAsia="Cambria" w:hAnsi="Cambria" w:cs="Cambria" w:hint="default"/>
        <w:b w:val="0"/>
        <w:bCs w:val="0"/>
        <w:i/>
        <w:iCs/>
        <w:spacing w:val="-13"/>
        <w:w w:val="108"/>
        <w:sz w:val="15"/>
        <w:szCs w:val="15"/>
        <w:lang w:val="en-US" w:eastAsia="en-US" w:bidi="ar-SA"/>
      </w:rPr>
    </w:lvl>
    <w:lvl w:ilvl="5">
      <w:numFmt w:val="bullet"/>
      <w:lvlText w:val="•"/>
      <w:lvlJc w:val="left"/>
      <w:pPr>
        <w:ind w:left="720" w:hanging="580"/>
      </w:pPr>
      <w:rPr>
        <w:rFonts w:hint="default"/>
        <w:lang w:val="en-US" w:eastAsia="en-US" w:bidi="ar-SA"/>
      </w:rPr>
    </w:lvl>
    <w:lvl w:ilvl="6">
      <w:numFmt w:val="bullet"/>
      <w:lvlText w:val="•"/>
      <w:lvlJc w:val="left"/>
      <w:pPr>
        <w:ind w:left="780" w:hanging="580"/>
      </w:pPr>
      <w:rPr>
        <w:rFonts w:hint="default"/>
        <w:lang w:val="en-US" w:eastAsia="en-US" w:bidi="ar-SA"/>
      </w:rPr>
    </w:lvl>
    <w:lvl w:ilvl="7">
      <w:numFmt w:val="bullet"/>
      <w:lvlText w:val="•"/>
      <w:lvlJc w:val="left"/>
      <w:pPr>
        <w:ind w:left="532" w:hanging="580"/>
      </w:pPr>
      <w:rPr>
        <w:rFonts w:hint="default"/>
        <w:lang w:val="en-US" w:eastAsia="en-US" w:bidi="ar-SA"/>
      </w:rPr>
    </w:lvl>
    <w:lvl w:ilvl="8">
      <w:numFmt w:val="bullet"/>
      <w:lvlText w:val="•"/>
      <w:lvlJc w:val="left"/>
      <w:pPr>
        <w:ind w:left="284" w:hanging="580"/>
      </w:pPr>
      <w:rPr>
        <w:rFonts w:hint="default"/>
        <w:lang w:val="en-US" w:eastAsia="en-US" w:bidi="ar-SA"/>
      </w:rPr>
    </w:lvl>
  </w:abstractNum>
  <w:abstractNum w:abstractNumId="17" w15:restartNumberingAfterBreak="0">
    <w:nsid w:val="66C439CD"/>
    <w:multiLevelType w:val="multilevel"/>
    <w:tmpl w:val="4B6C0626"/>
    <w:lvl w:ilvl="0">
      <w:start w:val="3"/>
      <w:numFmt w:val="decimal"/>
      <w:lvlText w:val="%1"/>
      <w:lvlJc w:val="left"/>
      <w:pPr>
        <w:ind w:left="776" w:hanging="580"/>
      </w:pPr>
      <w:rPr>
        <w:rFonts w:hint="default"/>
        <w:lang w:val="en-US" w:eastAsia="en-US" w:bidi="ar-SA"/>
      </w:rPr>
    </w:lvl>
    <w:lvl w:ilvl="1">
      <w:start w:val="4"/>
      <w:numFmt w:val="decimal"/>
      <w:lvlText w:val="%1.%2."/>
      <w:lvlJc w:val="left"/>
      <w:pPr>
        <w:ind w:left="776" w:hanging="580"/>
        <w:jc w:val="right"/>
      </w:pPr>
      <w:rPr>
        <w:rFonts w:ascii="Bookman Old Style" w:eastAsia="Bookman Old Style" w:hAnsi="Bookman Old Style" w:cs="Bookman Old Style" w:hint="default"/>
        <w:b w:val="0"/>
        <w:bCs w:val="0"/>
        <w:i/>
        <w:iCs/>
        <w:spacing w:val="0"/>
        <w:w w:val="91"/>
        <w:sz w:val="15"/>
        <w:szCs w:val="15"/>
        <w:lang w:val="en-US" w:eastAsia="en-US" w:bidi="ar-SA"/>
      </w:rPr>
    </w:lvl>
    <w:lvl w:ilvl="2">
      <w:numFmt w:val="bullet"/>
      <w:lvlText w:val="•"/>
      <w:lvlJc w:val="left"/>
      <w:pPr>
        <w:ind w:left="1640" w:hanging="580"/>
      </w:pPr>
      <w:rPr>
        <w:rFonts w:hint="default"/>
        <w:lang w:val="en-US" w:eastAsia="en-US" w:bidi="ar-SA"/>
      </w:rPr>
    </w:lvl>
    <w:lvl w:ilvl="3">
      <w:numFmt w:val="bullet"/>
      <w:lvlText w:val="•"/>
      <w:lvlJc w:val="left"/>
      <w:pPr>
        <w:ind w:left="2071" w:hanging="580"/>
      </w:pPr>
      <w:rPr>
        <w:rFonts w:hint="default"/>
        <w:lang w:val="en-US" w:eastAsia="en-US" w:bidi="ar-SA"/>
      </w:rPr>
    </w:lvl>
    <w:lvl w:ilvl="4">
      <w:numFmt w:val="bullet"/>
      <w:lvlText w:val="•"/>
      <w:lvlJc w:val="left"/>
      <w:pPr>
        <w:ind w:left="2501" w:hanging="580"/>
      </w:pPr>
      <w:rPr>
        <w:rFonts w:hint="default"/>
        <w:lang w:val="en-US" w:eastAsia="en-US" w:bidi="ar-SA"/>
      </w:rPr>
    </w:lvl>
    <w:lvl w:ilvl="5">
      <w:numFmt w:val="bullet"/>
      <w:lvlText w:val="•"/>
      <w:lvlJc w:val="left"/>
      <w:pPr>
        <w:ind w:left="2932" w:hanging="580"/>
      </w:pPr>
      <w:rPr>
        <w:rFonts w:hint="default"/>
        <w:lang w:val="en-US" w:eastAsia="en-US" w:bidi="ar-SA"/>
      </w:rPr>
    </w:lvl>
    <w:lvl w:ilvl="6">
      <w:numFmt w:val="bullet"/>
      <w:lvlText w:val="•"/>
      <w:lvlJc w:val="left"/>
      <w:pPr>
        <w:ind w:left="3362" w:hanging="580"/>
      </w:pPr>
      <w:rPr>
        <w:rFonts w:hint="default"/>
        <w:lang w:val="en-US" w:eastAsia="en-US" w:bidi="ar-SA"/>
      </w:rPr>
    </w:lvl>
    <w:lvl w:ilvl="7">
      <w:numFmt w:val="bullet"/>
      <w:lvlText w:val="•"/>
      <w:lvlJc w:val="left"/>
      <w:pPr>
        <w:ind w:left="3793" w:hanging="580"/>
      </w:pPr>
      <w:rPr>
        <w:rFonts w:hint="default"/>
        <w:lang w:val="en-US" w:eastAsia="en-US" w:bidi="ar-SA"/>
      </w:rPr>
    </w:lvl>
    <w:lvl w:ilvl="8">
      <w:numFmt w:val="bullet"/>
      <w:lvlText w:val="•"/>
      <w:lvlJc w:val="left"/>
      <w:pPr>
        <w:ind w:left="4223" w:hanging="580"/>
      </w:pPr>
      <w:rPr>
        <w:rFonts w:hint="default"/>
        <w:lang w:val="en-US" w:eastAsia="en-US" w:bidi="ar-SA"/>
      </w:rPr>
    </w:lvl>
  </w:abstractNum>
  <w:abstractNum w:abstractNumId="18" w15:restartNumberingAfterBreak="0">
    <w:nsid w:val="6A8538BF"/>
    <w:multiLevelType w:val="multilevel"/>
    <w:tmpl w:val="EC8423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E243A3F"/>
    <w:multiLevelType w:val="hybridMultilevel"/>
    <w:tmpl w:val="8084C15E"/>
    <w:lvl w:ilvl="0" w:tplc="EFC86466">
      <w:start w:val="1"/>
      <w:numFmt w:val="decimal"/>
      <w:lvlText w:val="[%1]"/>
      <w:lvlJc w:val="left"/>
      <w:pPr>
        <w:ind w:left="603" w:hanging="261"/>
        <w:jc w:val="right"/>
      </w:pPr>
      <w:rPr>
        <w:rFonts w:ascii="Book Antiqua" w:eastAsia="Book Antiqua" w:hAnsi="Book Antiqua" w:cs="Book Antiqua" w:hint="default"/>
        <w:b w:val="0"/>
        <w:bCs w:val="0"/>
        <w:i w:val="0"/>
        <w:iCs w:val="0"/>
        <w:color w:val="231F20"/>
        <w:spacing w:val="0"/>
        <w:w w:val="115"/>
        <w:sz w:val="14"/>
        <w:szCs w:val="14"/>
        <w:lang w:val="en-US" w:eastAsia="en-US" w:bidi="ar-SA"/>
      </w:rPr>
    </w:lvl>
    <w:lvl w:ilvl="1" w:tplc="0D0A9694">
      <w:numFmt w:val="bullet"/>
      <w:lvlText w:val="•"/>
      <w:lvlJc w:val="left"/>
      <w:pPr>
        <w:ind w:left="1042" w:hanging="261"/>
      </w:pPr>
      <w:rPr>
        <w:rFonts w:hint="default"/>
        <w:lang w:val="en-US" w:eastAsia="en-US" w:bidi="ar-SA"/>
      </w:rPr>
    </w:lvl>
    <w:lvl w:ilvl="2" w:tplc="46EAF946">
      <w:numFmt w:val="bullet"/>
      <w:lvlText w:val="•"/>
      <w:lvlJc w:val="left"/>
      <w:pPr>
        <w:ind w:left="1484" w:hanging="261"/>
      </w:pPr>
      <w:rPr>
        <w:rFonts w:hint="default"/>
        <w:lang w:val="en-US" w:eastAsia="en-US" w:bidi="ar-SA"/>
      </w:rPr>
    </w:lvl>
    <w:lvl w:ilvl="3" w:tplc="8CB8EBE4">
      <w:numFmt w:val="bullet"/>
      <w:lvlText w:val="•"/>
      <w:lvlJc w:val="left"/>
      <w:pPr>
        <w:ind w:left="1926" w:hanging="261"/>
      </w:pPr>
      <w:rPr>
        <w:rFonts w:hint="default"/>
        <w:lang w:val="en-US" w:eastAsia="en-US" w:bidi="ar-SA"/>
      </w:rPr>
    </w:lvl>
    <w:lvl w:ilvl="4" w:tplc="4E187D24">
      <w:numFmt w:val="bullet"/>
      <w:lvlText w:val="•"/>
      <w:lvlJc w:val="left"/>
      <w:pPr>
        <w:ind w:left="2368" w:hanging="261"/>
      </w:pPr>
      <w:rPr>
        <w:rFonts w:hint="default"/>
        <w:lang w:val="en-US" w:eastAsia="en-US" w:bidi="ar-SA"/>
      </w:rPr>
    </w:lvl>
    <w:lvl w:ilvl="5" w:tplc="42B0CFAE">
      <w:numFmt w:val="bullet"/>
      <w:lvlText w:val="•"/>
      <w:lvlJc w:val="left"/>
      <w:pPr>
        <w:ind w:left="2810" w:hanging="261"/>
      </w:pPr>
      <w:rPr>
        <w:rFonts w:hint="default"/>
        <w:lang w:val="en-US" w:eastAsia="en-US" w:bidi="ar-SA"/>
      </w:rPr>
    </w:lvl>
    <w:lvl w:ilvl="6" w:tplc="D20CBDB6">
      <w:numFmt w:val="bullet"/>
      <w:lvlText w:val="•"/>
      <w:lvlJc w:val="left"/>
      <w:pPr>
        <w:ind w:left="3252" w:hanging="261"/>
      </w:pPr>
      <w:rPr>
        <w:rFonts w:hint="default"/>
        <w:lang w:val="en-US" w:eastAsia="en-US" w:bidi="ar-SA"/>
      </w:rPr>
    </w:lvl>
    <w:lvl w:ilvl="7" w:tplc="8E221C0A">
      <w:numFmt w:val="bullet"/>
      <w:lvlText w:val="•"/>
      <w:lvlJc w:val="left"/>
      <w:pPr>
        <w:ind w:left="3695" w:hanging="261"/>
      </w:pPr>
      <w:rPr>
        <w:rFonts w:hint="default"/>
        <w:lang w:val="en-US" w:eastAsia="en-US" w:bidi="ar-SA"/>
      </w:rPr>
    </w:lvl>
    <w:lvl w:ilvl="8" w:tplc="35D6B04A">
      <w:numFmt w:val="bullet"/>
      <w:lvlText w:val="•"/>
      <w:lvlJc w:val="left"/>
      <w:pPr>
        <w:ind w:left="4137" w:hanging="261"/>
      </w:pPr>
      <w:rPr>
        <w:rFonts w:hint="default"/>
        <w:lang w:val="en-US" w:eastAsia="en-US" w:bidi="ar-SA"/>
      </w:rPr>
    </w:lvl>
  </w:abstractNum>
  <w:abstractNum w:abstractNumId="20" w15:restartNumberingAfterBreak="0">
    <w:nsid w:val="75A50030"/>
    <w:multiLevelType w:val="hybridMultilevel"/>
    <w:tmpl w:val="7CC29454"/>
    <w:lvl w:ilvl="0" w:tplc="07688284">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33F96"/>
    <w:multiLevelType w:val="hybridMultilevel"/>
    <w:tmpl w:val="1EB44EEA"/>
    <w:lvl w:ilvl="0" w:tplc="D572184C">
      <w:start w:val="1"/>
      <w:numFmt w:val="decimal"/>
      <w:lvlText w:val="[%1]"/>
      <w:lvlJc w:val="left"/>
      <w:pPr>
        <w:ind w:left="603" w:hanging="261"/>
        <w:jc w:val="right"/>
      </w:pPr>
      <w:rPr>
        <w:rFonts w:ascii="Book Antiqua" w:eastAsia="Book Antiqua" w:hAnsi="Book Antiqua" w:cs="Book Antiqua" w:hint="default"/>
        <w:b w:val="0"/>
        <w:bCs w:val="0"/>
        <w:i w:val="0"/>
        <w:iCs w:val="0"/>
        <w:color w:val="231F20"/>
        <w:spacing w:val="0"/>
        <w:w w:val="115"/>
        <w:sz w:val="14"/>
        <w:szCs w:val="14"/>
        <w:lang w:val="en-US" w:eastAsia="en-US" w:bidi="ar-SA"/>
      </w:rPr>
    </w:lvl>
    <w:lvl w:ilvl="1" w:tplc="67A6DA9E">
      <w:numFmt w:val="bullet"/>
      <w:lvlText w:val="•"/>
      <w:lvlJc w:val="left"/>
      <w:pPr>
        <w:ind w:left="1042" w:hanging="261"/>
      </w:pPr>
      <w:rPr>
        <w:rFonts w:hint="default"/>
        <w:lang w:val="en-US" w:eastAsia="en-US" w:bidi="ar-SA"/>
      </w:rPr>
    </w:lvl>
    <w:lvl w:ilvl="2" w:tplc="6310FAAA">
      <w:numFmt w:val="bullet"/>
      <w:lvlText w:val="•"/>
      <w:lvlJc w:val="left"/>
      <w:pPr>
        <w:ind w:left="1484" w:hanging="261"/>
      </w:pPr>
      <w:rPr>
        <w:rFonts w:hint="default"/>
        <w:lang w:val="en-US" w:eastAsia="en-US" w:bidi="ar-SA"/>
      </w:rPr>
    </w:lvl>
    <w:lvl w:ilvl="3" w:tplc="E93E8AD6">
      <w:numFmt w:val="bullet"/>
      <w:lvlText w:val="•"/>
      <w:lvlJc w:val="left"/>
      <w:pPr>
        <w:ind w:left="1926" w:hanging="261"/>
      </w:pPr>
      <w:rPr>
        <w:rFonts w:hint="default"/>
        <w:lang w:val="en-US" w:eastAsia="en-US" w:bidi="ar-SA"/>
      </w:rPr>
    </w:lvl>
    <w:lvl w:ilvl="4" w:tplc="BF6068E4">
      <w:numFmt w:val="bullet"/>
      <w:lvlText w:val="•"/>
      <w:lvlJc w:val="left"/>
      <w:pPr>
        <w:ind w:left="2368" w:hanging="261"/>
      </w:pPr>
      <w:rPr>
        <w:rFonts w:hint="default"/>
        <w:lang w:val="en-US" w:eastAsia="en-US" w:bidi="ar-SA"/>
      </w:rPr>
    </w:lvl>
    <w:lvl w:ilvl="5" w:tplc="4CAE2536">
      <w:numFmt w:val="bullet"/>
      <w:lvlText w:val="•"/>
      <w:lvlJc w:val="left"/>
      <w:pPr>
        <w:ind w:left="2810" w:hanging="261"/>
      </w:pPr>
      <w:rPr>
        <w:rFonts w:hint="default"/>
        <w:lang w:val="en-US" w:eastAsia="en-US" w:bidi="ar-SA"/>
      </w:rPr>
    </w:lvl>
    <w:lvl w:ilvl="6" w:tplc="D37E13A2">
      <w:numFmt w:val="bullet"/>
      <w:lvlText w:val="•"/>
      <w:lvlJc w:val="left"/>
      <w:pPr>
        <w:ind w:left="3252" w:hanging="261"/>
      </w:pPr>
      <w:rPr>
        <w:rFonts w:hint="default"/>
        <w:lang w:val="en-US" w:eastAsia="en-US" w:bidi="ar-SA"/>
      </w:rPr>
    </w:lvl>
    <w:lvl w:ilvl="7" w:tplc="79C890F6">
      <w:numFmt w:val="bullet"/>
      <w:lvlText w:val="•"/>
      <w:lvlJc w:val="left"/>
      <w:pPr>
        <w:ind w:left="3695" w:hanging="261"/>
      </w:pPr>
      <w:rPr>
        <w:rFonts w:hint="default"/>
        <w:lang w:val="en-US" w:eastAsia="en-US" w:bidi="ar-SA"/>
      </w:rPr>
    </w:lvl>
    <w:lvl w:ilvl="8" w:tplc="D4A43F2C">
      <w:numFmt w:val="bullet"/>
      <w:lvlText w:val="•"/>
      <w:lvlJc w:val="left"/>
      <w:pPr>
        <w:ind w:left="4137" w:hanging="261"/>
      </w:pPr>
      <w:rPr>
        <w:rFonts w:hint="default"/>
        <w:lang w:val="en-US" w:eastAsia="en-US" w:bidi="ar-SA"/>
      </w:rPr>
    </w:lvl>
  </w:abstractNum>
  <w:num w:numId="1">
    <w:abstractNumId w:val="20"/>
  </w:num>
  <w:num w:numId="2">
    <w:abstractNumId w:val="19"/>
  </w:num>
  <w:num w:numId="3">
    <w:abstractNumId w:val="7"/>
  </w:num>
  <w:num w:numId="4">
    <w:abstractNumId w:val="16"/>
  </w:num>
  <w:num w:numId="5">
    <w:abstractNumId w:val="15"/>
  </w:num>
  <w:num w:numId="6">
    <w:abstractNumId w:val="17"/>
  </w:num>
  <w:num w:numId="7">
    <w:abstractNumId w:val="1"/>
  </w:num>
  <w:num w:numId="8">
    <w:abstractNumId w:val="21"/>
  </w:num>
  <w:num w:numId="9">
    <w:abstractNumId w:val="11"/>
  </w:num>
  <w:num w:numId="10">
    <w:abstractNumId w:val="14"/>
  </w:num>
  <w:num w:numId="11">
    <w:abstractNumId w:val="12"/>
  </w:num>
  <w:num w:numId="12">
    <w:abstractNumId w:val="0"/>
  </w:num>
  <w:num w:numId="13">
    <w:abstractNumId w:val="9"/>
  </w:num>
  <w:num w:numId="14">
    <w:abstractNumId w:val="10"/>
  </w:num>
  <w:num w:numId="15">
    <w:abstractNumId w:val="4"/>
  </w:num>
  <w:num w:numId="16">
    <w:abstractNumId w:val="5"/>
  </w:num>
  <w:num w:numId="17">
    <w:abstractNumId w:val="8"/>
  </w:num>
  <w:num w:numId="18">
    <w:abstractNumId w:val="6"/>
  </w:num>
  <w:num w:numId="19">
    <w:abstractNumId w:val="13"/>
  </w:num>
  <w:num w:numId="20">
    <w:abstractNumId w:val="3"/>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337C9"/>
    <w:rsid w:val="000317E9"/>
    <w:rsid w:val="000337C9"/>
    <w:rsid w:val="00041C48"/>
    <w:rsid w:val="0008677A"/>
    <w:rsid w:val="000A4E56"/>
    <w:rsid w:val="00103936"/>
    <w:rsid w:val="001072D3"/>
    <w:rsid w:val="00113943"/>
    <w:rsid w:val="00126332"/>
    <w:rsid w:val="001464C9"/>
    <w:rsid w:val="00150521"/>
    <w:rsid w:val="0017189A"/>
    <w:rsid w:val="00207A68"/>
    <w:rsid w:val="0021531F"/>
    <w:rsid w:val="00242726"/>
    <w:rsid w:val="002975AC"/>
    <w:rsid w:val="002E58DA"/>
    <w:rsid w:val="00327794"/>
    <w:rsid w:val="00341417"/>
    <w:rsid w:val="0034543F"/>
    <w:rsid w:val="00352B4B"/>
    <w:rsid w:val="00355A12"/>
    <w:rsid w:val="00357FF1"/>
    <w:rsid w:val="00376849"/>
    <w:rsid w:val="003822DA"/>
    <w:rsid w:val="003A3EEF"/>
    <w:rsid w:val="003C1D64"/>
    <w:rsid w:val="003C250A"/>
    <w:rsid w:val="003D6D03"/>
    <w:rsid w:val="003F4CF7"/>
    <w:rsid w:val="00440D1F"/>
    <w:rsid w:val="00453305"/>
    <w:rsid w:val="00464E31"/>
    <w:rsid w:val="00466DC2"/>
    <w:rsid w:val="00483B9C"/>
    <w:rsid w:val="00494334"/>
    <w:rsid w:val="004B6A8D"/>
    <w:rsid w:val="004E001D"/>
    <w:rsid w:val="004E6BB0"/>
    <w:rsid w:val="005420AF"/>
    <w:rsid w:val="005660FE"/>
    <w:rsid w:val="00593D25"/>
    <w:rsid w:val="005B2C81"/>
    <w:rsid w:val="005B4108"/>
    <w:rsid w:val="005C065E"/>
    <w:rsid w:val="00600493"/>
    <w:rsid w:val="00603890"/>
    <w:rsid w:val="00611589"/>
    <w:rsid w:val="006115B8"/>
    <w:rsid w:val="00615ECD"/>
    <w:rsid w:val="00626A93"/>
    <w:rsid w:val="0062798A"/>
    <w:rsid w:val="006512CF"/>
    <w:rsid w:val="00676A62"/>
    <w:rsid w:val="00684011"/>
    <w:rsid w:val="006A0878"/>
    <w:rsid w:val="006A10C6"/>
    <w:rsid w:val="006A3AED"/>
    <w:rsid w:val="006B4C83"/>
    <w:rsid w:val="006B6852"/>
    <w:rsid w:val="00705ABC"/>
    <w:rsid w:val="0074151F"/>
    <w:rsid w:val="00751916"/>
    <w:rsid w:val="007664A4"/>
    <w:rsid w:val="007746AE"/>
    <w:rsid w:val="007B21F0"/>
    <w:rsid w:val="007C44DB"/>
    <w:rsid w:val="007D1187"/>
    <w:rsid w:val="007E099D"/>
    <w:rsid w:val="007E0B20"/>
    <w:rsid w:val="007F52BF"/>
    <w:rsid w:val="008251A7"/>
    <w:rsid w:val="00874EDB"/>
    <w:rsid w:val="008F536D"/>
    <w:rsid w:val="00901AF1"/>
    <w:rsid w:val="00912D40"/>
    <w:rsid w:val="009169A4"/>
    <w:rsid w:val="009512FC"/>
    <w:rsid w:val="0095308B"/>
    <w:rsid w:val="00973EF8"/>
    <w:rsid w:val="009765C5"/>
    <w:rsid w:val="009B1DA6"/>
    <w:rsid w:val="009B3296"/>
    <w:rsid w:val="009B51B5"/>
    <w:rsid w:val="009D55E1"/>
    <w:rsid w:val="009F683D"/>
    <w:rsid w:val="00A00AE9"/>
    <w:rsid w:val="00A02B15"/>
    <w:rsid w:val="00A127B7"/>
    <w:rsid w:val="00A349AB"/>
    <w:rsid w:val="00A377AE"/>
    <w:rsid w:val="00A6117F"/>
    <w:rsid w:val="00A63A7E"/>
    <w:rsid w:val="00A80C9C"/>
    <w:rsid w:val="00A955E6"/>
    <w:rsid w:val="00AC1831"/>
    <w:rsid w:val="00AD5F46"/>
    <w:rsid w:val="00B10D0D"/>
    <w:rsid w:val="00B13E0F"/>
    <w:rsid w:val="00B1587B"/>
    <w:rsid w:val="00B17E50"/>
    <w:rsid w:val="00B25535"/>
    <w:rsid w:val="00B83C6E"/>
    <w:rsid w:val="00BD62EF"/>
    <w:rsid w:val="00BE3D9E"/>
    <w:rsid w:val="00BE7A44"/>
    <w:rsid w:val="00BF565A"/>
    <w:rsid w:val="00C161BF"/>
    <w:rsid w:val="00C43A28"/>
    <w:rsid w:val="00C473EA"/>
    <w:rsid w:val="00C62E59"/>
    <w:rsid w:val="00C658AA"/>
    <w:rsid w:val="00C87F62"/>
    <w:rsid w:val="00CB7FA3"/>
    <w:rsid w:val="00CE6928"/>
    <w:rsid w:val="00D5017E"/>
    <w:rsid w:val="00DA2DCB"/>
    <w:rsid w:val="00DB001A"/>
    <w:rsid w:val="00DD1BD0"/>
    <w:rsid w:val="00E113A5"/>
    <w:rsid w:val="00E11CFA"/>
    <w:rsid w:val="00E234D4"/>
    <w:rsid w:val="00E2657E"/>
    <w:rsid w:val="00E354E8"/>
    <w:rsid w:val="00E5152A"/>
    <w:rsid w:val="00E9460F"/>
    <w:rsid w:val="00EA5829"/>
    <w:rsid w:val="00EC33E6"/>
    <w:rsid w:val="00ED25FD"/>
    <w:rsid w:val="00ED4A1E"/>
    <w:rsid w:val="00ED558E"/>
    <w:rsid w:val="00ED73BF"/>
    <w:rsid w:val="00EF20BF"/>
    <w:rsid w:val="00EF6A3E"/>
    <w:rsid w:val="00F00B71"/>
    <w:rsid w:val="00F32484"/>
    <w:rsid w:val="00F41437"/>
    <w:rsid w:val="00F52058"/>
    <w:rsid w:val="00FA7C43"/>
    <w:rsid w:val="00FE3EFB"/>
    <w:rsid w:val="00FF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EF85"/>
  <w15:chartTrackingRefBased/>
  <w15:docId w15:val="{E19B64AD-57F1-4ABE-8127-F0FA8139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C9"/>
    <w:pPr>
      <w:spacing w:after="0" w:line="240" w:lineRule="auto"/>
    </w:pPr>
    <w:rPr>
      <w:kern w:val="0"/>
      <w:sz w:val="24"/>
      <w:szCs w:val="24"/>
      <w:lang w:val="en-CA"/>
      <w14:ligatures w14:val="none"/>
    </w:rPr>
  </w:style>
  <w:style w:type="paragraph" w:styleId="Heading1">
    <w:name w:val="heading 1"/>
    <w:basedOn w:val="Normal"/>
    <w:next w:val="Normal"/>
    <w:link w:val="Heading1Char"/>
    <w:uiPriority w:val="9"/>
    <w:qFormat/>
    <w:rsid w:val="007E099D"/>
    <w:pPr>
      <w:keepNext/>
      <w:keepLines/>
      <w:spacing w:before="240"/>
      <w:outlineLvl w:val="0"/>
    </w:pPr>
    <w:rPr>
      <w:rFonts w:eastAsiaTheme="majorEastAsia" w:cstheme="majorBidi"/>
      <w:noProof/>
      <w:color w:val="000000" w:themeColor="text1"/>
      <w:sz w:val="32"/>
      <w:szCs w:val="32"/>
    </w:rPr>
  </w:style>
  <w:style w:type="paragraph" w:styleId="Heading2">
    <w:name w:val="heading 2"/>
    <w:aliases w:val="2Heading 2,EAU Heading 2"/>
    <w:basedOn w:val="Normal"/>
    <w:next w:val="Normal"/>
    <w:link w:val="Heading2Char"/>
    <w:autoRedefine/>
    <w:uiPriority w:val="9"/>
    <w:unhideWhenUsed/>
    <w:qFormat/>
    <w:rsid w:val="000A4E56"/>
    <w:pPr>
      <w:keepNext/>
      <w:keepLines/>
      <w:spacing w:before="40"/>
      <w:contextualSpacing/>
      <w:outlineLvl w:val="1"/>
    </w:pPr>
    <w:rPr>
      <w:rFonts w:eastAsiaTheme="majorEastAsia" w:cstheme="majorBidi"/>
      <w:b/>
      <w:sz w:val="22"/>
    </w:rPr>
  </w:style>
  <w:style w:type="paragraph" w:styleId="Heading3">
    <w:name w:val="heading 3"/>
    <w:aliases w:val="3Heading 3,EAU Heading 3"/>
    <w:basedOn w:val="Normal"/>
    <w:next w:val="Normal"/>
    <w:link w:val="Heading3Char"/>
    <w:autoRedefine/>
    <w:uiPriority w:val="9"/>
    <w:unhideWhenUsed/>
    <w:qFormat/>
    <w:rsid w:val="000A4E56"/>
    <w:pPr>
      <w:keepNext/>
      <w:keepLines/>
      <w:spacing w:before="40"/>
      <w:outlineLvl w:val="2"/>
    </w:pPr>
    <w:rPr>
      <w:rFonts w:eastAsiaTheme="majorEastAsia" w:cstheme="majorBidi"/>
      <w:b/>
      <w:i/>
      <w:sz w:val="20"/>
      <w:szCs w:val="18"/>
    </w:rPr>
  </w:style>
  <w:style w:type="paragraph" w:styleId="Heading4">
    <w:name w:val="heading 4"/>
    <w:aliases w:val="4Heading 4,EAU Heading 4"/>
    <w:basedOn w:val="Normal"/>
    <w:next w:val="Normal"/>
    <w:link w:val="Heading4Char"/>
    <w:uiPriority w:val="9"/>
    <w:unhideWhenUsed/>
    <w:qFormat/>
    <w:rsid w:val="000A4E56"/>
    <w:pPr>
      <w:keepNext/>
      <w:keepLines/>
      <w:spacing w:before="40"/>
      <w:outlineLvl w:val="3"/>
    </w:pPr>
    <w:rPr>
      <w:rFonts w:eastAsiaTheme="majorEastAsia" w:cstheme="majorBidi"/>
      <w:i/>
      <w:iCs/>
      <w:color w:val="000000" w:themeColor="text1"/>
      <w:szCs w:val="18"/>
    </w:rPr>
  </w:style>
  <w:style w:type="paragraph" w:styleId="Heading5">
    <w:name w:val="heading 5"/>
    <w:aliases w:val="EAU Heading 5"/>
    <w:basedOn w:val="Normal"/>
    <w:next w:val="Normal"/>
    <w:link w:val="Heading5Char"/>
    <w:uiPriority w:val="9"/>
    <w:unhideWhenUsed/>
    <w:qFormat/>
    <w:rsid w:val="0062798A"/>
    <w:pPr>
      <w:keepNext/>
      <w:keepLines/>
      <w:spacing w:before="40"/>
      <w:outlineLvl w:val="4"/>
    </w:pPr>
    <w:rPr>
      <w:rFonts w:eastAsiaTheme="majorEastAsia" w:cstheme="majorBidi"/>
      <w:color w:val="000000" w:themeColor="text1"/>
    </w:rPr>
  </w:style>
  <w:style w:type="paragraph" w:styleId="Heading6">
    <w:name w:val="heading 6"/>
    <w:aliases w:val="EAU Heading 6"/>
    <w:basedOn w:val="Normal"/>
    <w:next w:val="Normal"/>
    <w:link w:val="Heading6Char"/>
    <w:uiPriority w:val="9"/>
    <w:unhideWhenUsed/>
    <w:qFormat/>
    <w:rsid w:val="0062798A"/>
    <w:pPr>
      <w:keepNext/>
      <w:keepLines/>
      <w:spacing w:before="40"/>
      <w:outlineLvl w:val="5"/>
    </w:pPr>
    <w:rPr>
      <w:rFonts w:eastAsiaTheme="majorEastAsia" w:cstheme="majorBidi"/>
      <w:color w:val="0A2F40" w:themeColor="accent1" w:themeShade="7F"/>
    </w:rPr>
  </w:style>
  <w:style w:type="paragraph" w:styleId="Heading7">
    <w:name w:val="heading 7"/>
    <w:basedOn w:val="Normal"/>
    <w:next w:val="Normal"/>
    <w:link w:val="Heading7Char"/>
    <w:uiPriority w:val="9"/>
    <w:semiHidden/>
    <w:unhideWhenUsed/>
    <w:qFormat/>
    <w:rsid w:val="007E099D"/>
    <w:pPr>
      <w:keepNext/>
      <w:keepLines/>
      <w:spacing w:before="40"/>
      <w:outlineLvl w:val="6"/>
    </w:pPr>
    <w:rPr>
      <w:rFonts w:eastAsiaTheme="majorEastAsia" w:cstheme="majorBidi"/>
      <w:i/>
      <w:iCs/>
      <w:noProof/>
    </w:rPr>
  </w:style>
  <w:style w:type="paragraph" w:styleId="Heading8">
    <w:name w:val="heading 8"/>
    <w:basedOn w:val="Normal"/>
    <w:next w:val="Normal"/>
    <w:link w:val="Heading8Char"/>
    <w:uiPriority w:val="9"/>
    <w:semiHidden/>
    <w:unhideWhenUsed/>
    <w:qFormat/>
    <w:rsid w:val="000337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7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Heading 2 Char,EAU Heading 2 Char"/>
    <w:basedOn w:val="DefaultParagraphFont"/>
    <w:link w:val="Heading2"/>
    <w:uiPriority w:val="9"/>
    <w:rsid w:val="000A4E56"/>
    <w:rPr>
      <w:rFonts w:ascii="Calibri" w:eastAsiaTheme="majorEastAsia" w:hAnsi="Calibri" w:cstheme="majorBidi"/>
      <w:b/>
      <w:lang w:val="en-GB"/>
    </w:rPr>
  </w:style>
  <w:style w:type="character" w:customStyle="1" w:styleId="Heading1Char">
    <w:name w:val="Heading 1 Char"/>
    <w:basedOn w:val="DefaultParagraphFont"/>
    <w:link w:val="Heading1"/>
    <w:uiPriority w:val="9"/>
    <w:rsid w:val="007E099D"/>
    <w:rPr>
      <w:rFonts w:ascii="Calibri" w:eastAsiaTheme="majorEastAsia" w:hAnsi="Calibri" w:cstheme="majorBidi"/>
      <w:noProof/>
      <w:color w:val="000000" w:themeColor="text1"/>
      <w:sz w:val="32"/>
      <w:szCs w:val="32"/>
      <w:lang w:val="en-GB"/>
    </w:rPr>
  </w:style>
  <w:style w:type="character" w:customStyle="1" w:styleId="Heading3Char">
    <w:name w:val="Heading 3 Char"/>
    <w:aliases w:val="3Heading 3 Char,EAU Heading 3 Char"/>
    <w:basedOn w:val="DefaultParagraphFont"/>
    <w:link w:val="Heading3"/>
    <w:uiPriority w:val="9"/>
    <w:rsid w:val="000A4E56"/>
    <w:rPr>
      <w:rFonts w:ascii="Calibri" w:eastAsiaTheme="majorEastAsia" w:hAnsi="Calibri" w:cstheme="majorBidi"/>
      <w:b/>
      <w:i/>
      <w:sz w:val="20"/>
      <w:szCs w:val="18"/>
      <w:lang w:val="en-GB"/>
    </w:rPr>
  </w:style>
  <w:style w:type="character" w:customStyle="1" w:styleId="Heading4Char">
    <w:name w:val="Heading 4 Char"/>
    <w:aliases w:val="4Heading 4 Char,EAU Heading 4 Char"/>
    <w:basedOn w:val="DefaultParagraphFont"/>
    <w:link w:val="Heading4"/>
    <w:uiPriority w:val="9"/>
    <w:rsid w:val="000A4E56"/>
    <w:rPr>
      <w:rFonts w:ascii="Calibri" w:eastAsiaTheme="majorEastAsia" w:hAnsi="Calibri" w:cstheme="majorBidi"/>
      <w:i/>
      <w:iCs/>
      <w:color w:val="000000" w:themeColor="text1"/>
      <w:sz w:val="18"/>
      <w:szCs w:val="18"/>
      <w:lang w:val="en-GB"/>
    </w:rPr>
  </w:style>
  <w:style w:type="character" w:customStyle="1" w:styleId="Heading5Char">
    <w:name w:val="Heading 5 Char"/>
    <w:aliases w:val="EAU Heading 5 Char"/>
    <w:basedOn w:val="DefaultParagraphFont"/>
    <w:link w:val="Heading5"/>
    <w:uiPriority w:val="9"/>
    <w:rsid w:val="0062798A"/>
    <w:rPr>
      <w:rFonts w:ascii="Calibri" w:eastAsiaTheme="majorEastAsia" w:hAnsi="Calibri" w:cstheme="majorBidi"/>
      <w:color w:val="000000" w:themeColor="text1"/>
      <w:sz w:val="18"/>
      <w:lang w:val="en-GB"/>
    </w:rPr>
  </w:style>
  <w:style w:type="character" w:customStyle="1" w:styleId="Heading6Char">
    <w:name w:val="Heading 6 Char"/>
    <w:aliases w:val="EAU Heading 6 Char"/>
    <w:basedOn w:val="DefaultParagraphFont"/>
    <w:link w:val="Heading6"/>
    <w:uiPriority w:val="9"/>
    <w:rsid w:val="0062798A"/>
    <w:rPr>
      <w:rFonts w:ascii="Calibri" w:eastAsiaTheme="majorEastAsia" w:hAnsi="Calibri" w:cstheme="majorBidi"/>
      <w:color w:val="0A2F40" w:themeColor="accent1" w:themeShade="7F"/>
      <w:sz w:val="18"/>
      <w:lang w:val="en-GB"/>
    </w:rPr>
  </w:style>
  <w:style w:type="paragraph" w:customStyle="1" w:styleId="EAUtextbody">
    <w:name w:val="EAU text body"/>
    <w:link w:val="EAUtextbodyChar"/>
    <w:autoRedefine/>
    <w:qFormat/>
    <w:rsid w:val="00BD62EF"/>
    <w:pPr>
      <w:widowControl w:val="0"/>
      <w:spacing w:before="120" w:after="120"/>
    </w:pPr>
    <w:rPr>
      <w:rFonts w:ascii="Calibri" w:eastAsia="Calibri" w:hAnsi="Calibri" w:cs="Times New Roman"/>
      <w:sz w:val="18"/>
      <w:szCs w:val="20"/>
    </w:rPr>
  </w:style>
  <w:style w:type="character" w:customStyle="1" w:styleId="EAUtextbodyChar">
    <w:name w:val="EAU text body Char"/>
    <w:basedOn w:val="DefaultParagraphFont"/>
    <w:link w:val="EAUtextbody"/>
    <w:rsid w:val="00BD62EF"/>
    <w:rPr>
      <w:rFonts w:ascii="Calibri" w:eastAsia="Calibri" w:hAnsi="Calibri" w:cs="Times New Roman"/>
      <w:sz w:val="18"/>
      <w:szCs w:val="20"/>
      <w:lang w:val="en-US"/>
    </w:rPr>
  </w:style>
  <w:style w:type="character" w:customStyle="1" w:styleId="Heading7Char">
    <w:name w:val="Heading 7 Char"/>
    <w:basedOn w:val="DefaultParagraphFont"/>
    <w:link w:val="Heading7"/>
    <w:uiPriority w:val="9"/>
    <w:semiHidden/>
    <w:rsid w:val="007E099D"/>
    <w:rPr>
      <w:rFonts w:ascii="Calibri" w:eastAsiaTheme="majorEastAsia" w:hAnsi="Calibri" w:cstheme="majorBidi"/>
      <w:i/>
      <w:iCs/>
      <w:noProof/>
      <w:sz w:val="18"/>
      <w:lang w:val="en-GB"/>
    </w:rPr>
  </w:style>
  <w:style w:type="character" w:customStyle="1" w:styleId="Heading8Char">
    <w:name w:val="Heading 8 Char"/>
    <w:basedOn w:val="DefaultParagraphFont"/>
    <w:link w:val="Heading8"/>
    <w:uiPriority w:val="9"/>
    <w:semiHidden/>
    <w:rsid w:val="000337C9"/>
    <w:rPr>
      <w:rFonts w:eastAsiaTheme="majorEastAsia" w:cstheme="majorBidi"/>
      <w:i/>
      <w:iCs/>
      <w:color w:val="272727" w:themeColor="text1" w:themeTint="D8"/>
      <w:kern w:val="0"/>
      <w:sz w:val="18"/>
      <w:lang w:val="en-GB"/>
      <w14:ligatures w14:val="none"/>
    </w:rPr>
  </w:style>
  <w:style w:type="character" w:customStyle="1" w:styleId="Heading9Char">
    <w:name w:val="Heading 9 Char"/>
    <w:basedOn w:val="DefaultParagraphFont"/>
    <w:link w:val="Heading9"/>
    <w:uiPriority w:val="9"/>
    <w:semiHidden/>
    <w:rsid w:val="000337C9"/>
    <w:rPr>
      <w:rFonts w:eastAsiaTheme="majorEastAsia" w:cstheme="majorBidi"/>
      <w:color w:val="272727" w:themeColor="text1" w:themeTint="D8"/>
      <w:kern w:val="0"/>
      <w:sz w:val="18"/>
      <w:lang w:val="en-GB"/>
      <w14:ligatures w14:val="none"/>
    </w:rPr>
  </w:style>
  <w:style w:type="paragraph" w:styleId="Title">
    <w:name w:val="Title"/>
    <w:basedOn w:val="Normal"/>
    <w:next w:val="Normal"/>
    <w:link w:val="TitleChar"/>
    <w:uiPriority w:val="10"/>
    <w:qFormat/>
    <w:rsid w:val="00033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7C9"/>
    <w:rPr>
      <w:rFonts w:asciiTheme="majorHAnsi" w:eastAsiaTheme="majorEastAsia" w:hAnsiTheme="majorHAnsi" w:cstheme="majorBidi"/>
      <w:spacing w:val="-10"/>
      <w:kern w:val="28"/>
      <w:sz w:val="56"/>
      <w:szCs w:val="56"/>
      <w:lang w:val="en-GB"/>
      <w14:ligatures w14:val="none"/>
    </w:rPr>
  </w:style>
  <w:style w:type="paragraph" w:styleId="Subtitle">
    <w:name w:val="Subtitle"/>
    <w:basedOn w:val="Normal"/>
    <w:next w:val="Normal"/>
    <w:link w:val="SubtitleChar"/>
    <w:uiPriority w:val="11"/>
    <w:qFormat/>
    <w:rsid w:val="000337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7C9"/>
    <w:rPr>
      <w:rFonts w:eastAsiaTheme="majorEastAsia" w:cstheme="majorBidi"/>
      <w:color w:val="595959" w:themeColor="text1" w:themeTint="A6"/>
      <w:spacing w:val="15"/>
      <w:kern w:val="0"/>
      <w:sz w:val="28"/>
      <w:szCs w:val="28"/>
      <w:lang w:val="en-GB"/>
      <w14:ligatures w14:val="none"/>
    </w:rPr>
  </w:style>
  <w:style w:type="paragraph" w:styleId="Quote">
    <w:name w:val="Quote"/>
    <w:basedOn w:val="Normal"/>
    <w:next w:val="Normal"/>
    <w:link w:val="QuoteChar"/>
    <w:uiPriority w:val="29"/>
    <w:qFormat/>
    <w:rsid w:val="000337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37C9"/>
    <w:rPr>
      <w:rFonts w:ascii="Calibri" w:hAnsi="Calibri"/>
      <w:i/>
      <w:iCs/>
      <w:color w:val="404040" w:themeColor="text1" w:themeTint="BF"/>
      <w:kern w:val="0"/>
      <w:sz w:val="18"/>
      <w:lang w:val="en-GB"/>
      <w14:ligatures w14:val="none"/>
    </w:rPr>
  </w:style>
  <w:style w:type="paragraph" w:styleId="ListParagraph">
    <w:name w:val="List Paragraph"/>
    <w:basedOn w:val="Normal"/>
    <w:uiPriority w:val="1"/>
    <w:qFormat/>
    <w:rsid w:val="000337C9"/>
    <w:pPr>
      <w:ind w:left="720"/>
      <w:contextualSpacing/>
    </w:pPr>
  </w:style>
  <w:style w:type="character" w:styleId="IntenseEmphasis">
    <w:name w:val="Intense Emphasis"/>
    <w:basedOn w:val="DefaultParagraphFont"/>
    <w:uiPriority w:val="21"/>
    <w:qFormat/>
    <w:rsid w:val="000337C9"/>
    <w:rPr>
      <w:i/>
      <w:iCs/>
      <w:color w:val="0F4761" w:themeColor="accent1" w:themeShade="BF"/>
    </w:rPr>
  </w:style>
  <w:style w:type="paragraph" w:styleId="IntenseQuote">
    <w:name w:val="Intense Quote"/>
    <w:basedOn w:val="Normal"/>
    <w:next w:val="Normal"/>
    <w:link w:val="IntenseQuoteChar"/>
    <w:uiPriority w:val="30"/>
    <w:qFormat/>
    <w:rsid w:val="00033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7C9"/>
    <w:rPr>
      <w:rFonts w:ascii="Calibri" w:hAnsi="Calibri"/>
      <w:i/>
      <w:iCs/>
      <w:color w:val="0F4761" w:themeColor="accent1" w:themeShade="BF"/>
      <w:kern w:val="0"/>
      <w:sz w:val="18"/>
      <w:lang w:val="en-GB"/>
      <w14:ligatures w14:val="none"/>
    </w:rPr>
  </w:style>
  <w:style w:type="character" w:styleId="IntenseReference">
    <w:name w:val="Intense Reference"/>
    <w:basedOn w:val="DefaultParagraphFont"/>
    <w:uiPriority w:val="32"/>
    <w:qFormat/>
    <w:rsid w:val="000337C9"/>
    <w:rPr>
      <w:b/>
      <w:bCs/>
      <w:smallCaps/>
      <w:color w:val="0F4761" w:themeColor="accent1" w:themeShade="BF"/>
      <w:spacing w:val="5"/>
    </w:rPr>
  </w:style>
  <w:style w:type="character" w:styleId="LineNumber">
    <w:name w:val="line number"/>
    <w:basedOn w:val="DefaultParagraphFont"/>
    <w:uiPriority w:val="99"/>
    <w:semiHidden/>
    <w:unhideWhenUsed/>
    <w:rsid w:val="000337C9"/>
  </w:style>
  <w:style w:type="character" w:styleId="PlaceholderText">
    <w:name w:val="Placeholder Text"/>
    <w:basedOn w:val="DefaultParagraphFont"/>
    <w:uiPriority w:val="99"/>
    <w:semiHidden/>
    <w:rsid w:val="000337C9"/>
    <w:rPr>
      <w:color w:val="808080"/>
    </w:rPr>
  </w:style>
  <w:style w:type="paragraph" w:styleId="Header">
    <w:name w:val="header"/>
    <w:basedOn w:val="Normal"/>
    <w:link w:val="HeaderChar"/>
    <w:uiPriority w:val="99"/>
    <w:unhideWhenUsed/>
    <w:rsid w:val="000337C9"/>
    <w:pPr>
      <w:tabs>
        <w:tab w:val="center" w:pos="4680"/>
        <w:tab w:val="right" w:pos="9360"/>
      </w:tabs>
    </w:pPr>
  </w:style>
  <w:style w:type="character" w:customStyle="1" w:styleId="HeaderChar">
    <w:name w:val="Header Char"/>
    <w:basedOn w:val="DefaultParagraphFont"/>
    <w:link w:val="Header"/>
    <w:uiPriority w:val="99"/>
    <w:rsid w:val="000337C9"/>
    <w:rPr>
      <w:kern w:val="0"/>
      <w:sz w:val="24"/>
      <w:szCs w:val="24"/>
      <w:lang w:val="en-CA"/>
      <w14:ligatures w14:val="none"/>
    </w:rPr>
  </w:style>
  <w:style w:type="paragraph" w:styleId="Footer">
    <w:name w:val="footer"/>
    <w:basedOn w:val="Normal"/>
    <w:link w:val="FooterChar"/>
    <w:uiPriority w:val="99"/>
    <w:unhideWhenUsed/>
    <w:rsid w:val="000337C9"/>
    <w:pPr>
      <w:tabs>
        <w:tab w:val="center" w:pos="4680"/>
        <w:tab w:val="right" w:pos="9360"/>
      </w:tabs>
    </w:pPr>
  </w:style>
  <w:style w:type="character" w:customStyle="1" w:styleId="FooterChar">
    <w:name w:val="Footer Char"/>
    <w:basedOn w:val="DefaultParagraphFont"/>
    <w:link w:val="Footer"/>
    <w:uiPriority w:val="99"/>
    <w:rsid w:val="000337C9"/>
    <w:rPr>
      <w:kern w:val="0"/>
      <w:sz w:val="24"/>
      <w:szCs w:val="24"/>
      <w:lang w:val="en-CA"/>
      <w14:ligatures w14:val="none"/>
    </w:rPr>
  </w:style>
  <w:style w:type="paragraph" w:styleId="Revision">
    <w:name w:val="Revision"/>
    <w:hidden/>
    <w:uiPriority w:val="99"/>
    <w:semiHidden/>
    <w:rsid w:val="000337C9"/>
    <w:pPr>
      <w:spacing w:after="0" w:line="240" w:lineRule="auto"/>
    </w:pPr>
    <w:rPr>
      <w:kern w:val="0"/>
      <w:sz w:val="24"/>
      <w:szCs w:val="24"/>
      <w:lang w:val="en-CA"/>
      <w14:ligatures w14:val="none"/>
    </w:rPr>
  </w:style>
  <w:style w:type="character" w:styleId="CommentReference">
    <w:name w:val="annotation reference"/>
    <w:basedOn w:val="DefaultParagraphFont"/>
    <w:uiPriority w:val="99"/>
    <w:unhideWhenUsed/>
    <w:rsid w:val="000337C9"/>
    <w:rPr>
      <w:sz w:val="16"/>
      <w:szCs w:val="16"/>
    </w:rPr>
  </w:style>
  <w:style w:type="paragraph" w:styleId="CommentText">
    <w:name w:val="annotation text"/>
    <w:basedOn w:val="Normal"/>
    <w:link w:val="CommentTextChar"/>
    <w:uiPriority w:val="99"/>
    <w:unhideWhenUsed/>
    <w:qFormat/>
    <w:rsid w:val="000337C9"/>
    <w:rPr>
      <w:sz w:val="20"/>
      <w:szCs w:val="20"/>
    </w:rPr>
  </w:style>
  <w:style w:type="character" w:customStyle="1" w:styleId="CommentTextChar">
    <w:name w:val="Comment Text Char"/>
    <w:basedOn w:val="DefaultParagraphFont"/>
    <w:link w:val="CommentText"/>
    <w:uiPriority w:val="99"/>
    <w:rsid w:val="000337C9"/>
    <w:rPr>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0337C9"/>
    <w:rPr>
      <w:b/>
      <w:bCs/>
    </w:rPr>
  </w:style>
  <w:style w:type="character" w:customStyle="1" w:styleId="CommentSubjectChar">
    <w:name w:val="Comment Subject Char"/>
    <w:basedOn w:val="CommentTextChar"/>
    <w:link w:val="CommentSubject"/>
    <w:uiPriority w:val="99"/>
    <w:semiHidden/>
    <w:rsid w:val="000337C9"/>
    <w:rPr>
      <w:b/>
      <w:bCs/>
      <w:kern w:val="0"/>
      <w:sz w:val="20"/>
      <w:szCs w:val="20"/>
      <w:lang w:val="en-CA"/>
      <w14:ligatures w14:val="none"/>
    </w:rPr>
  </w:style>
  <w:style w:type="character" w:styleId="Hyperlink">
    <w:name w:val="Hyperlink"/>
    <w:basedOn w:val="DefaultParagraphFont"/>
    <w:uiPriority w:val="99"/>
    <w:unhideWhenUsed/>
    <w:rsid w:val="000337C9"/>
    <w:rPr>
      <w:color w:val="467886" w:themeColor="hyperlink"/>
      <w:u w:val="single"/>
    </w:rPr>
  </w:style>
  <w:style w:type="paragraph" w:styleId="BalloonText">
    <w:name w:val="Balloon Text"/>
    <w:basedOn w:val="Normal"/>
    <w:link w:val="BalloonTextChar"/>
    <w:uiPriority w:val="99"/>
    <w:semiHidden/>
    <w:unhideWhenUsed/>
    <w:rsid w:val="000337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37C9"/>
    <w:rPr>
      <w:rFonts w:ascii="Times New Roman" w:hAnsi="Times New Roman" w:cs="Times New Roman"/>
      <w:kern w:val="0"/>
      <w:sz w:val="18"/>
      <w:szCs w:val="18"/>
      <w:lang w:val="en-CA"/>
      <w14:ligatures w14:val="none"/>
    </w:rPr>
  </w:style>
  <w:style w:type="character" w:styleId="PageNumber">
    <w:name w:val="page number"/>
    <w:basedOn w:val="DefaultParagraphFont"/>
    <w:uiPriority w:val="99"/>
    <w:semiHidden/>
    <w:unhideWhenUsed/>
    <w:rsid w:val="000337C9"/>
  </w:style>
  <w:style w:type="table" w:customStyle="1" w:styleId="TableGrid39">
    <w:name w:val="Table Grid39"/>
    <w:basedOn w:val="TableNormal"/>
    <w:next w:val="TableGrid"/>
    <w:uiPriority w:val="59"/>
    <w:rsid w:val="000337C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337C9"/>
    <w:pPr>
      <w:spacing w:after="0" w:line="240" w:lineRule="auto"/>
    </w:pPr>
    <w:rPr>
      <w:kern w:val="0"/>
      <w:sz w:val="24"/>
      <w:szCs w:val="24"/>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337C9"/>
    <w:rPr>
      <w:color w:val="605E5C"/>
      <w:shd w:val="clear" w:color="auto" w:fill="E1DFDD"/>
    </w:rPr>
  </w:style>
  <w:style w:type="table" w:customStyle="1" w:styleId="TableGrid60">
    <w:name w:val="Table Grid60"/>
    <w:basedOn w:val="TableNormal"/>
    <w:next w:val="TableGrid"/>
    <w:uiPriority w:val="59"/>
    <w:rsid w:val="000337C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337C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0337C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337C9"/>
    <w:pPr>
      <w:spacing w:after="0" w:line="240" w:lineRule="auto"/>
    </w:pPr>
    <w:rPr>
      <w:kern w:val="0"/>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337C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337C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0337C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337C9"/>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337C9"/>
    <w:rPr>
      <w:rFonts w:ascii="Calibri" w:hAnsi="Calibri" w:cs="Calibri"/>
      <w:noProof/>
      <w:kern w:val="0"/>
      <w:sz w:val="24"/>
      <w:szCs w:val="24"/>
      <w:lang w:val="en-US"/>
      <w14:ligatures w14:val="none"/>
    </w:rPr>
  </w:style>
  <w:style w:type="paragraph" w:customStyle="1" w:styleId="EndNoteBibliography">
    <w:name w:val="EndNote Bibliography"/>
    <w:basedOn w:val="Normal"/>
    <w:link w:val="EndNoteBibliographyChar"/>
    <w:rsid w:val="000337C9"/>
    <w:pPr>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0337C9"/>
    <w:rPr>
      <w:rFonts w:ascii="Calibri" w:hAnsi="Calibri" w:cs="Calibri"/>
      <w:noProo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97029">
      <w:bodyDiv w:val="1"/>
      <w:marLeft w:val="0"/>
      <w:marRight w:val="0"/>
      <w:marTop w:val="0"/>
      <w:marBottom w:val="0"/>
      <w:divBdr>
        <w:top w:val="none" w:sz="0" w:space="0" w:color="auto"/>
        <w:left w:val="none" w:sz="0" w:space="0" w:color="auto"/>
        <w:bottom w:val="none" w:sz="0" w:space="0" w:color="auto"/>
        <w:right w:val="none" w:sz="0" w:space="0" w:color="auto"/>
      </w:divBdr>
    </w:div>
    <w:div w:id="161686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drugs/resources-informationapproved-drugs/fda-disco-burst-edition-fda-approval-lynparzaolaparib-abiraterone-and-prednisone-brca-mutated" TargetMode="External"/><Relationship Id="rId13" Type="http://schemas.openxmlformats.org/officeDocument/2006/relationships/hyperlink" Target="https://doi.org/10.1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a.europa.eu/en/medicines/human/EPAR/lynparza" TargetMode="External"/><Relationship Id="rId12" Type="http://schemas.openxmlformats.org/officeDocument/2006/relationships/hyperlink" Target="https://www.ema.europa.eu/en/news/ema-restricts-use-prostate-cancer-medicine-xofig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drugs/drug-approvals-and-databases/fda-approvestalazopari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ma.europa.eu/en/medicines/human/EPAR/akeega" TargetMode="External"/><Relationship Id="rId4" Type="http://schemas.openxmlformats.org/officeDocument/2006/relationships/webSettings" Target="webSettings.xml"/><Relationship Id="rId9" Type="http://schemas.openxmlformats.org/officeDocument/2006/relationships/hyperlink" Target="https://doi.org/10.1200/JCO.2022.40.6_suppl.012" TargetMode="External"/><Relationship Id="rId14" Type="http://schemas.openxmlformats.org/officeDocument/2006/relationships/hyperlink" Target="https://www.ema.europa.eu/men/medicines/human/EPAR/xge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10614</TotalTime>
  <Pages>43</Pages>
  <Words>16820</Words>
  <Characters>95880</Characters>
  <Application>Microsoft Office Word</Application>
  <DocSecurity>0</DocSecurity>
  <Lines>799</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Schouten</dc:creator>
  <cp:keywords/>
  <dc:description/>
  <cp:lastModifiedBy>Katherine O'Mahony</cp:lastModifiedBy>
  <cp:revision>63</cp:revision>
  <cp:lastPrinted>2024-02-14T12:11:00Z</cp:lastPrinted>
  <dcterms:created xsi:type="dcterms:W3CDTF">2024-05-09T08:36:00Z</dcterms:created>
  <dcterms:modified xsi:type="dcterms:W3CDTF">2024-05-20T10:29:00Z</dcterms:modified>
</cp:coreProperties>
</file>