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A8809" w14:textId="53172F25" w:rsidR="0074763B" w:rsidRPr="007515DE" w:rsidRDefault="0074763B" w:rsidP="007A36CE">
      <w:pPr>
        <w:rPr>
          <w:rFonts w:cs="Arial"/>
          <w:lang w:val="en-US"/>
        </w:rPr>
      </w:pPr>
      <w:r>
        <w:rPr>
          <w:rFonts w:cs="Arial"/>
          <w:lang w:val="en-US"/>
        </w:rPr>
        <w:t>Original Article</w:t>
      </w:r>
    </w:p>
    <w:p w14:paraId="1615DDE0" w14:textId="77777777" w:rsidR="0082618A" w:rsidRPr="0082618A" w:rsidRDefault="00A00913" w:rsidP="009F22E4">
      <w:pPr>
        <w:pStyle w:val="Title"/>
        <w:rPr>
          <w:rFonts w:cs="Arial"/>
          <w:sz w:val="56"/>
          <w:szCs w:val="56"/>
        </w:rPr>
      </w:pPr>
      <w:r w:rsidRPr="0082618A">
        <w:rPr>
          <w:rFonts w:cs="Arial"/>
          <w:sz w:val="56"/>
          <w:szCs w:val="56"/>
        </w:rPr>
        <w:t>Us and Ours</w:t>
      </w:r>
    </w:p>
    <w:p w14:paraId="697F6807" w14:textId="18DE8D0E" w:rsidR="00A115D5" w:rsidRPr="0082618A" w:rsidRDefault="00A00913" w:rsidP="0082618A">
      <w:pPr>
        <w:pStyle w:val="Title"/>
        <w:rPr>
          <w:rFonts w:cs="Arial"/>
          <w:b/>
          <w:sz w:val="36"/>
          <w:szCs w:val="36"/>
        </w:rPr>
      </w:pPr>
      <w:r w:rsidRPr="0082618A">
        <w:rPr>
          <w:rFonts w:cs="Arial"/>
          <w:sz w:val="36"/>
          <w:szCs w:val="36"/>
        </w:rPr>
        <w:t xml:space="preserve"> </w:t>
      </w:r>
      <w:r w:rsidR="009F22E4" w:rsidRPr="0082618A">
        <w:rPr>
          <w:rFonts w:cs="Arial"/>
          <w:sz w:val="36"/>
          <w:szCs w:val="36"/>
        </w:rPr>
        <w:t>Anti-immigrant Sentiment as a Function of Common Resource Management</w:t>
      </w:r>
    </w:p>
    <w:p w14:paraId="2CD6057D" w14:textId="77777777" w:rsidR="0082618A" w:rsidRDefault="0082618A" w:rsidP="0082618A">
      <w:pPr>
        <w:pStyle w:val="Autor"/>
        <w:rPr>
          <w:sz w:val="28"/>
          <w:szCs w:val="28"/>
          <w:shd w:val="clear" w:color="auto" w:fill="FFFFFF"/>
          <w:lang w:val="en-US"/>
        </w:rPr>
      </w:pPr>
    </w:p>
    <w:p w14:paraId="63AD7985" w14:textId="77777777" w:rsidR="0082618A" w:rsidRPr="0011786D" w:rsidRDefault="0082618A" w:rsidP="0082618A">
      <w:pPr>
        <w:pStyle w:val="Autor"/>
        <w:rPr>
          <w:sz w:val="28"/>
          <w:szCs w:val="28"/>
          <w:shd w:val="clear" w:color="auto" w:fill="FFFFFF"/>
          <w:lang w:val="en-US"/>
        </w:rPr>
      </w:pPr>
      <w:r>
        <w:rPr>
          <w:sz w:val="28"/>
          <w:szCs w:val="28"/>
          <w:shd w:val="clear" w:color="auto" w:fill="FFFFFF"/>
          <w:lang w:val="en-US"/>
        </w:rPr>
        <w:t xml:space="preserve">Dora </w:t>
      </w:r>
      <w:r>
        <w:rPr>
          <w:rFonts w:cs="Calibri"/>
          <w:sz w:val="28"/>
          <w:szCs w:val="28"/>
          <w:shd w:val="clear" w:color="auto" w:fill="FFFFFF"/>
          <w:lang w:val="en-US"/>
        </w:rPr>
        <w:t>Š</w:t>
      </w:r>
      <w:r>
        <w:rPr>
          <w:sz w:val="28"/>
          <w:szCs w:val="28"/>
          <w:shd w:val="clear" w:color="auto" w:fill="FFFFFF"/>
          <w:lang w:val="en-US"/>
        </w:rPr>
        <w:t>imunovi</w:t>
      </w:r>
      <w:r>
        <w:rPr>
          <w:rFonts w:cs="Calibri"/>
          <w:sz w:val="28"/>
          <w:szCs w:val="28"/>
          <w:shd w:val="clear" w:color="auto" w:fill="FFFFFF"/>
          <w:lang w:val="en-US"/>
        </w:rPr>
        <w:t>ć</w:t>
      </w:r>
      <w:r w:rsidRPr="0011786D">
        <w:rPr>
          <w:sz w:val="28"/>
          <w:szCs w:val="28"/>
          <w:shd w:val="clear" w:color="auto" w:fill="FFFFFF"/>
          <w:vertAlign w:val="superscript"/>
          <w:lang w:val="en-US"/>
        </w:rPr>
        <w:t>1</w:t>
      </w:r>
      <w:proofErr w:type="gramStart"/>
      <w:r w:rsidRPr="0011786D">
        <w:rPr>
          <w:sz w:val="28"/>
          <w:szCs w:val="28"/>
          <w:shd w:val="clear" w:color="auto" w:fill="FFFFFF"/>
          <w:vertAlign w:val="superscript"/>
          <w:lang w:val="en-US"/>
        </w:rPr>
        <w:t>,2</w:t>
      </w:r>
      <w:proofErr w:type="gramEnd"/>
    </w:p>
    <w:p w14:paraId="111BBD02" w14:textId="77777777" w:rsidR="0082618A" w:rsidRPr="000952FA" w:rsidRDefault="0082618A" w:rsidP="0082618A">
      <w:pPr>
        <w:pStyle w:val="Autor"/>
        <w:rPr>
          <w:color w:val="000033"/>
          <w:sz w:val="28"/>
          <w:szCs w:val="28"/>
          <w:vertAlign w:val="superscript"/>
          <w:lang w:val="en-US"/>
        </w:rPr>
      </w:pPr>
      <w:proofErr w:type="spellStart"/>
      <w:r>
        <w:rPr>
          <w:color w:val="000033"/>
          <w:sz w:val="28"/>
          <w:szCs w:val="28"/>
          <w:lang w:val="en-US"/>
        </w:rPr>
        <w:t>Lusine</w:t>
      </w:r>
      <w:proofErr w:type="spellEnd"/>
      <w:r>
        <w:rPr>
          <w:color w:val="000033"/>
          <w:sz w:val="28"/>
          <w:szCs w:val="28"/>
          <w:lang w:val="en-US"/>
        </w:rPr>
        <w:t xml:space="preserve"> Grigoryan</w:t>
      </w:r>
      <w:r>
        <w:rPr>
          <w:color w:val="000033"/>
          <w:sz w:val="28"/>
          <w:szCs w:val="28"/>
          <w:vertAlign w:val="superscript"/>
          <w:lang w:val="en-US"/>
        </w:rPr>
        <w:t>3</w:t>
      </w:r>
    </w:p>
    <w:p w14:paraId="702EB976" w14:textId="77777777" w:rsidR="0082618A" w:rsidRDefault="0082618A" w:rsidP="0082618A">
      <w:pPr>
        <w:pStyle w:val="Autor"/>
        <w:rPr>
          <w:color w:val="000033"/>
          <w:sz w:val="28"/>
          <w:szCs w:val="28"/>
          <w:lang w:val="en-US"/>
        </w:rPr>
      </w:pPr>
      <w:r>
        <w:rPr>
          <w:color w:val="000033"/>
          <w:sz w:val="28"/>
          <w:szCs w:val="28"/>
          <w:lang w:val="en-US"/>
        </w:rPr>
        <w:t>Klaus Boehnke</w:t>
      </w:r>
      <w:r>
        <w:rPr>
          <w:color w:val="000033"/>
          <w:sz w:val="28"/>
          <w:szCs w:val="28"/>
          <w:vertAlign w:val="superscript"/>
          <w:lang w:val="en-US"/>
        </w:rPr>
        <w:t>1</w:t>
      </w:r>
      <w:proofErr w:type="gramStart"/>
      <w:r>
        <w:rPr>
          <w:color w:val="000033"/>
          <w:sz w:val="28"/>
          <w:szCs w:val="28"/>
          <w:vertAlign w:val="superscript"/>
          <w:lang w:val="en-US"/>
        </w:rPr>
        <w:t>,2</w:t>
      </w:r>
      <w:proofErr w:type="gramEnd"/>
    </w:p>
    <w:p w14:paraId="4B8DC580" w14:textId="77777777" w:rsidR="0082618A" w:rsidRPr="000952FA" w:rsidRDefault="0082618A" w:rsidP="0082618A">
      <w:pPr>
        <w:pStyle w:val="Autor"/>
        <w:rPr>
          <w:color w:val="000033"/>
          <w:sz w:val="28"/>
          <w:szCs w:val="28"/>
          <w:vertAlign w:val="superscript"/>
          <w:lang w:val="en-US"/>
        </w:rPr>
      </w:pPr>
      <w:proofErr w:type="spellStart"/>
      <w:r>
        <w:rPr>
          <w:color w:val="000033"/>
          <w:sz w:val="28"/>
          <w:szCs w:val="28"/>
          <w:lang w:val="en-US"/>
        </w:rPr>
        <w:t>Damir</w:t>
      </w:r>
      <w:proofErr w:type="spellEnd"/>
      <w:r>
        <w:rPr>
          <w:color w:val="000033"/>
          <w:sz w:val="28"/>
          <w:szCs w:val="28"/>
          <w:lang w:val="en-US"/>
        </w:rPr>
        <w:t xml:space="preserve"> </w:t>
      </w:r>
      <w:r>
        <w:rPr>
          <w:rFonts w:cs="Calibri"/>
          <w:color w:val="000033"/>
          <w:sz w:val="28"/>
          <w:szCs w:val="28"/>
          <w:lang w:val="en-US"/>
        </w:rPr>
        <w:t>Š</w:t>
      </w:r>
      <w:r>
        <w:rPr>
          <w:color w:val="000033"/>
          <w:sz w:val="28"/>
          <w:szCs w:val="28"/>
          <w:lang w:val="en-US"/>
        </w:rPr>
        <w:t>imunovi</w:t>
      </w:r>
      <w:r>
        <w:rPr>
          <w:rFonts w:cs="Calibri"/>
          <w:color w:val="000033"/>
          <w:sz w:val="28"/>
          <w:szCs w:val="28"/>
          <w:lang w:val="en-US"/>
        </w:rPr>
        <w:t>ć</w:t>
      </w:r>
      <w:r>
        <w:rPr>
          <w:color w:val="000033"/>
          <w:sz w:val="28"/>
          <w:szCs w:val="28"/>
          <w:vertAlign w:val="superscript"/>
          <w:lang w:val="en-US"/>
        </w:rPr>
        <w:t>4</w:t>
      </w:r>
    </w:p>
    <w:p w14:paraId="7CDDCA79" w14:textId="77777777" w:rsidR="0082618A" w:rsidRDefault="0082618A" w:rsidP="0082618A">
      <w:pPr>
        <w:rPr>
          <w:lang w:val="en-US"/>
        </w:rPr>
      </w:pPr>
    </w:p>
    <w:p w14:paraId="60F60323" w14:textId="12D62926" w:rsidR="00306579" w:rsidRPr="003C3CB3" w:rsidRDefault="00306579" w:rsidP="00306579">
      <w:pPr>
        <w:pStyle w:val="Adresse"/>
        <w:rPr>
          <w:sz w:val="24"/>
          <w:shd w:val="clear" w:color="auto" w:fill="FFFFFF"/>
          <w:lang w:val="en-US"/>
        </w:rPr>
      </w:pPr>
      <w:r w:rsidRPr="003C3CB3">
        <w:rPr>
          <w:sz w:val="24"/>
          <w:shd w:val="clear" w:color="auto" w:fill="FFFFFF"/>
          <w:vertAlign w:val="superscript"/>
          <w:lang w:val="en-US"/>
        </w:rPr>
        <w:t>1</w:t>
      </w:r>
      <w:r>
        <w:rPr>
          <w:sz w:val="24"/>
          <w:shd w:val="clear" w:color="auto" w:fill="FFFFFF"/>
          <w:vertAlign w:val="superscript"/>
          <w:lang w:val="en-US"/>
        </w:rPr>
        <w:t xml:space="preserve"> </w:t>
      </w:r>
      <w:r>
        <w:rPr>
          <w:sz w:val="24"/>
          <w:shd w:val="clear" w:color="auto" w:fill="FFFFFF"/>
          <w:lang w:val="en-US"/>
        </w:rPr>
        <w:t>Psychology and Methods, Constructor University, Bremen, Germany</w:t>
      </w:r>
    </w:p>
    <w:p w14:paraId="58E34282" w14:textId="61D1DA3C" w:rsidR="00306579" w:rsidRPr="000952FA" w:rsidRDefault="00306579" w:rsidP="00306579">
      <w:pPr>
        <w:pStyle w:val="Adresse"/>
        <w:rPr>
          <w:sz w:val="24"/>
          <w:vertAlign w:val="superscript"/>
          <w:lang w:val="en-US"/>
        </w:rPr>
      </w:pPr>
      <w:r w:rsidRPr="00196AF1">
        <w:rPr>
          <w:sz w:val="24"/>
          <w:vertAlign w:val="superscript"/>
          <w:lang w:val="en-US"/>
        </w:rPr>
        <w:t>2</w:t>
      </w:r>
      <w:r>
        <w:rPr>
          <w:sz w:val="24"/>
          <w:vertAlign w:val="superscript"/>
          <w:lang w:val="en-US"/>
        </w:rPr>
        <w:t xml:space="preserve"> </w:t>
      </w:r>
      <w:r>
        <w:rPr>
          <w:sz w:val="24"/>
          <w:shd w:val="clear" w:color="auto" w:fill="FFFFFF"/>
          <w:lang w:val="en-US"/>
        </w:rPr>
        <w:t>Bremen International Graduate School of Social Sciences, Bremen, Germany</w:t>
      </w:r>
    </w:p>
    <w:p w14:paraId="217B6B8A" w14:textId="5B2A58FE" w:rsidR="00306579" w:rsidRDefault="00306579" w:rsidP="00306579">
      <w:pPr>
        <w:pStyle w:val="Adresse"/>
        <w:rPr>
          <w:sz w:val="24"/>
          <w:lang w:val="en-US"/>
        </w:rPr>
      </w:pPr>
      <w:r>
        <w:rPr>
          <w:sz w:val="24"/>
          <w:vertAlign w:val="superscript"/>
          <w:lang w:val="en-US"/>
        </w:rPr>
        <w:t>3</w:t>
      </w:r>
      <w:r>
        <w:rPr>
          <w:sz w:val="24"/>
          <w:lang w:val="en-US"/>
        </w:rPr>
        <w:t xml:space="preserve"> Psychology, University of York, York</w:t>
      </w:r>
    </w:p>
    <w:p w14:paraId="16D95FB5" w14:textId="21C63D26" w:rsidR="00306579" w:rsidRDefault="00306579" w:rsidP="00306579">
      <w:pPr>
        <w:pStyle w:val="Adresse"/>
        <w:rPr>
          <w:sz w:val="24"/>
          <w:lang w:val="en-US"/>
        </w:rPr>
      </w:pPr>
      <w:r>
        <w:rPr>
          <w:sz w:val="24"/>
          <w:vertAlign w:val="superscript"/>
          <w:lang w:val="en-US"/>
        </w:rPr>
        <w:t>4</w:t>
      </w:r>
      <w:r>
        <w:rPr>
          <w:sz w:val="24"/>
          <w:lang w:val="en-US"/>
        </w:rPr>
        <w:t xml:space="preserve"> Croatian </w:t>
      </w:r>
      <w:proofErr w:type="spellStart"/>
      <w:r>
        <w:rPr>
          <w:sz w:val="24"/>
          <w:lang w:val="en-US"/>
        </w:rPr>
        <w:t>Radiotelevision</w:t>
      </w:r>
      <w:proofErr w:type="spellEnd"/>
      <w:r>
        <w:rPr>
          <w:sz w:val="24"/>
          <w:lang w:val="en-US"/>
        </w:rPr>
        <w:t>, Zagreb, Croatia</w:t>
      </w:r>
    </w:p>
    <w:p w14:paraId="14E44CF6" w14:textId="77777777" w:rsidR="007515DE" w:rsidRPr="007515DE" w:rsidRDefault="007515DE" w:rsidP="002C7C0D">
      <w:pPr>
        <w:rPr>
          <w:lang w:val="en-US"/>
        </w:rPr>
      </w:pPr>
    </w:p>
    <w:p w14:paraId="5E80F131" w14:textId="77777777" w:rsidR="007515DE" w:rsidRPr="007515DE" w:rsidRDefault="007515DE" w:rsidP="002C7C0D">
      <w:pPr>
        <w:rPr>
          <w:lang w:val="en-US"/>
        </w:rPr>
      </w:pPr>
    </w:p>
    <w:p w14:paraId="6D7C6F45" w14:textId="77777777" w:rsidR="009D5E63" w:rsidRPr="007515DE" w:rsidRDefault="009D5E63" w:rsidP="00777DB5">
      <w:pPr>
        <w:rPr>
          <w:lang w:val="en-US"/>
        </w:rPr>
      </w:pPr>
    </w:p>
    <w:p w14:paraId="0B9593AF" w14:textId="77777777" w:rsidR="009D5E63" w:rsidRPr="007515DE" w:rsidRDefault="009D5E63">
      <w:pPr>
        <w:spacing w:after="0" w:line="240" w:lineRule="auto"/>
        <w:rPr>
          <w:lang w:val="en-US"/>
        </w:rPr>
      </w:pPr>
      <w:r w:rsidRPr="007515DE">
        <w:rPr>
          <w:lang w:val="en-US"/>
        </w:rPr>
        <w:br w:type="page"/>
      </w:r>
    </w:p>
    <w:p w14:paraId="10BD8C86" w14:textId="77777777" w:rsidR="007515DE" w:rsidRPr="003A6947" w:rsidRDefault="007515DE" w:rsidP="007515DE">
      <w:pPr>
        <w:spacing w:after="600"/>
        <w:rPr>
          <w:rFonts w:cs="Arial"/>
          <w:b/>
          <w:sz w:val="24"/>
          <w:szCs w:val="24"/>
          <w:lang w:val="en-US"/>
        </w:rPr>
      </w:pPr>
      <w:r w:rsidRPr="003A6947">
        <w:rPr>
          <w:rFonts w:cs="Arial"/>
          <w:b/>
          <w:sz w:val="24"/>
          <w:szCs w:val="24"/>
          <w:lang w:val="en-US"/>
        </w:rPr>
        <w:lastRenderedPageBreak/>
        <w:t>Abstract</w:t>
      </w:r>
    </w:p>
    <w:p w14:paraId="72E93B19" w14:textId="655F6644" w:rsidR="00465151" w:rsidRDefault="00465151" w:rsidP="00EA06EF">
      <w:pPr>
        <w:rPr>
          <w:b/>
          <w:lang w:val="en-US"/>
        </w:rPr>
      </w:pPr>
      <w:r w:rsidRPr="00454815">
        <w:rPr>
          <w:lang w:val="en-US"/>
        </w:rPr>
        <w:t>In this work we investigate how parochial concerns for common resources, such as tax-funded goods</w:t>
      </w:r>
      <w:r w:rsidR="00373209">
        <w:rPr>
          <w:lang w:val="en-US"/>
        </w:rPr>
        <w:t>,</w:t>
      </w:r>
      <w:r w:rsidR="00750DFA" w:rsidRPr="00454815">
        <w:rPr>
          <w:lang w:val="en-US"/>
        </w:rPr>
        <w:t xml:space="preserve"> </w:t>
      </w:r>
      <w:r w:rsidR="008901DF" w:rsidRPr="00454815">
        <w:rPr>
          <w:lang w:val="en-US"/>
        </w:rPr>
        <w:t xml:space="preserve">relate to </w:t>
      </w:r>
      <w:r w:rsidRPr="00454815">
        <w:rPr>
          <w:lang w:val="en-US"/>
        </w:rPr>
        <w:t xml:space="preserve">prejudice against immigrants. Previous experimental work showed </w:t>
      </w:r>
      <w:r w:rsidR="00373209">
        <w:rPr>
          <w:lang w:val="en-US"/>
        </w:rPr>
        <w:t>majority groups</w:t>
      </w:r>
      <w:r w:rsidRPr="00454815">
        <w:rPr>
          <w:lang w:val="en-US"/>
        </w:rPr>
        <w:t xml:space="preserve"> assume minorities will exploit common resources without contributing towards their maintenance. We relate predictions about, and support for, various types of common resource to prejudice against</w:t>
      </w:r>
      <w:r w:rsidR="00F43ACF" w:rsidRPr="00454815">
        <w:rPr>
          <w:lang w:val="en-US"/>
        </w:rPr>
        <w:t xml:space="preserve"> immigrants in two </w:t>
      </w:r>
      <w:r w:rsidR="00BB5784">
        <w:rPr>
          <w:lang w:val="en-US"/>
        </w:rPr>
        <w:t>correlational</w:t>
      </w:r>
      <w:r w:rsidR="00F43ACF" w:rsidRPr="00454815">
        <w:rPr>
          <w:lang w:val="en-US"/>
        </w:rPr>
        <w:t xml:space="preserve"> </w:t>
      </w:r>
      <w:r w:rsidRPr="00454815">
        <w:rPr>
          <w:lang w:val="en-US"/>
        </w:rPr>
        <w:t xml:space="preserve">studies. </w:t>
      </w:r>
      <w:bookmarkStart w:id="0" w:name="_Hlk155777285"/>
      <w:r w:rsidRPr="00454815">
        <w:rPr>
          <w:lang w:val="en-US"/>
        </w:rPr>
        <w:t xml:space="preserve">Prejudice against immigrants was </w:t>
      </w:r>
      <w:r w:rsidR="00BB5784">
        <w:rPr>
          <w:lang w:val="en-US"/>
        </w:rPr>
        <w:t>negatively associated with support for universal, but positively with security-related resources</w:t>
      </w:r>
      <w:r w:rsidRPr="00454815">
        <w:rPr>
          <w:lang w:val="en-US"/>
        </w:rPr>
        <w:t xml:space="preserve">. </w:t>
      </w:r>
      <w:bookmarkEnd w:id="0"/>
      <w:r w:rsidRPr="00454815">
        <w:rPr>
          <w:lang w:val="en-US"/>
        </w:rPr>
        <w:t xml:space="preserve">Participants' prediction that minority groups would contribute less to the management of </w:t>
      </w:r>
      <w:r w:rsidR="00E6768D" w:rsidRPr="00E6768D">
        <w:rPr>
          <w:lang w:val="en-US"/>
        </w:rPr>
        <w:t>communally shared</w:t>
      </w:r>
      <w:r w:rsidRPr="00454815">
        <w:rPr>
          <w:lang w:val="en-US"/>
        </w:rPr>
        <w:t xml:space="preserve"> resources, was reflected in the degree of negative attitudes they expressed against immigrants in particular.</w:t>
      </w:r>
      <w:r w:rsidRPr="00454815">
        <w:rPr>
          <w:rStyle w:val="Strong"/>
          <w:lang w:val="en-US"/>
        </w:rPr>
        <w:t xml:space="preserve"> </w:t>
      </w:r>
      <w:r w:rsidRPr="00454815">
        <w:rPr>
          <w:lang w:val="en-US"/>
        </w:rPr>
        <w:t xml:space="preserve">We discuss these results in view of </w:t>
      </w:r>
      <w:r w:rsidR="005234B5">
        <w:rPr>
          <w:lang w:val="en-US"/>
        </w:rPr>
        <w:t>political</w:t>
      </w:r>
      <w:r w:rsidRPr="00454815">
        <w:rPr>
          <w:lang w:val="en-US"/>
        </w:rPr>
        <w:t xml:space="preserve"> narratives about immigrants and common resource management policies.</w:t>
      </w:r>
    </w:p>
    <w:p w14:paraId="3F68858B" w14:textId="788D2909" w:rsidR="00EA06EF" w:rsidRDefault="00EA06EF" w:rsidP="00EA06EF">
      <w:pPr>
        <w:rPr>
          <w:lang w:val="en-US"/>
        </w:rPr>
      </w:pPr>
      <w:r w:rsidRPr="003A6947">
        <w:rPr>
          <w:b/>
          <w:lang w:val="en-US"/>
        </w:rPr>
        <w:t>Key Words:</w:t>
      </w:r>
      <w:r w:rsidRPr="007515DE">
        <w:rPr>
          <w:lang w:val="en-US"/>
        </w:rPr>
        <w:t xml:space="preserve"> </w:t>
      </w:r>
    </w:p>
    <w:p w14:paraId="5342A95F" w14:textId="1423D10C" w:rsidR="00EA06EF" w:rsidRDefault="005234B5" w:rsidP="00306579">
      <w:pPr>
        <w:spacing w:after="120" w:line="360" w:lineRule="auto"/>
        <w:ind w:left="708"/>
        <w:rPr>
          <w:lang w:val="en-US"/>
        </w:rPr>
      </w:pPr>
      <w:r w:rsidRPr="005234B5">
        <w:rPr>
          <w:lang w:val="en-US"/>
        </w:rPr>
        <w:t>Prejudice; Immigration; Minority groups; Welfare redistribution; Common resource management</w:t>
      </w:r>
    </w:p>
    <w:p w14:paraId="34BDEBF9" w14:textId="77777777" w:rsidR="00306579" w:rsidRDefault="00306579" w:rsidP="00306579">
      <w:pPr>
        <w:spacing w:after="120" w:line="360" w:lineRule="auto"/>
        <w:rPr>
          <w:lang w:val="en-US"/>
        </w:rPr>
      </w:pPr>
    </w:p>
    <w:p w14:paraId="75127463" w14:textId="77777777" w:rsidR="00306579" w:rsidRPr="00D01490" w:rsidRDefault="00306579" w:rsidP="00306579">
      <w:pPr>
        <w:spacing w:after="120" w:line="360" w:lineRule="auto"/>
        <w:rPr>
          <w:b/>
          <w:lang w:val="en-US"/>
        </w:rPr>
      </w:pPr>
      <w:r w:rsidRPr="00D01490">
        <w:rPr>
          <w:b/>
          <w:lang w:val="en-US"/>
        </w:rPr>
        <w:t xml:space="preserve">Corresponding author: </w:t>
      </w:r>
    </w:p>
    <w:p w14:paraId="0A9CC4B7" w14:textId="52DAB898" w:rsidR="00306579" w:rsidRDefault="00306579" w:rsidP="00306579">
      <w:pPr>
        <w:spacing w:after="120" w:line="360" w:lineRule="auto"/>
        <w:rPr>
          <w:lang w:val="en-US"/>
        </w:rPr>
      </w:pPr>
      <w:r>
        <w:rPr>
          <w:lang w:val="en-US"/>
        </w:rPr>
        <w:t xml:space="preserve">Dora </w:t>
      </w:r>
      <w:proofErr w:type="spellStart"/>
      <w:r>
        <w:rPr>
          <w:lang w:val="en-US"/>
        </w:rPr>
        <w:t>Simunovic</w:t>
      </w:r>
      <w:proofErr w:type="spellEnd"/>
      <w:r>
        <w:rPr>
          <w:lang w:val="en-US"/>
        </w:rPr>
        <w:t xml:space="preserve">, </w:t>
      </w:r>
      <w:r w:rsidR="00D01490">
        <w:rPr>
          <w:lang w:val="en-US"/>
        </w:rPr>
        <w:t xml:space="preserve">Constructor University, </w:t>
      </w:r>
      <w:r>
        <w:rPr>
          <w:lang w:val="en-US"/>
        </w:rPr>
        <w:t>Campus Ring 1, 28759 Bremen, Germany</w:t>
      </w:r>
    </w:p>
    <w:p w14:paraId="2DB60E21" w14:textId="15DA45AC" w:rsidR="00306579" w:rsidRDefault="00306579" w:rsidP="00306579">
      <w:pPr>
        <w:spacing w:after="120" w:line="360" w:lineRule="auto"/>
        <w:rPr>
          <w:lang w:val="en-US"/>
        </w:rPr>
      </w:pPr>
      <w:r>
        <w:rPr>
          <w:lang w:val="en-US"/>
        </w:rPr>
        <w:t>doras@bigsss-bremen.de</w:t>
      </w:r>
    </w:p>
    <w:p w14:paraId="763B2F92" w14:textId="77777777" w:rsidR="00306579" w:rsidRPr="00306579" w:rsidRDefault="00306579" w:rsidP="00306579">
      <w:pPr>
        <w:spacing w:after="600"/>
        <w:rPr>
          <w:lang w:val="en-US"/>
        </w:rPr>
      </w:pPr>
    </w:p>
    <w:p w14:paraId="156932FD" w14:textId="7FD5E188" w:rsidR="007515DE" w:rsidRPr="007515DE" w:rsidRDefault="007515DE">
      <w:pPr>
        <w:spacing w:after="0" w:line="240" w:lineRule="auto"/>
        <w:rPr>
          <w:lang w:val="en-US"/>
        </w:rPr>
      </w:pPr>
      <w:r w:rsidRPr="007515DE">
        <w:rPr>
          <w:lang w:val="en-US"/>
        </w:rPr>
        <w:br w:type="page"/>
      </w:r>
    </w:p>
    <w:p w14:paraId="33D33DCC" w14:textId="265C962E" w:rsidR="000E1D72" w:rsidRPr="007515DE" w:rsidRDefault="00971A45" w:rsidP="00777DB5">
      <w:pPr>
        <w:rPr>
          <w:lang w:val="en-US"/>
        </w:rPr>
      </w:pPr>
      <w:r w:rsidRPr="007515DE">
        <w:rPr>
          <w:lang w:val="en-US"/>
        </w:rPr>
        <w:lastRenderedPageBreak/>
        <w:t>In 2010, Thilo Sarrazin</w:t>
      </w:r>
      <w:r w:rsidR="00CD052A" w:rsidRPr="007515DE">
        <w:rPr>
          <w:lang w:val="en-US"/>
        </w:rPr>
        <w:t>, former min</w:t>
      </w:r>
      <w:r w:rsidR="00720C3C" w:rsidRPr="007515DE">
        <w:rPr>
          <w:lang w:val="en-US"/>
        </w:rPr>
        <w:t>i</w:t>
      </w:r>
      <w:r w:rsidR="00CD052A" w:rsidRPr="007515DE">
        <w:rPr>
          <w:lang w:val="en-US"/>
        </w:rPr>
        <w:t>ster of finance in the federal city-state of Berlin,</w:t>
      </w:r>
      <w:r w:rsidRPr="007515DE">
        <w:rPr>
          <w:lang w:val="en-US"/>
        </w:rPr>
        <w:t xml:space="preserve"> criticized Germany for allowing immigrants to form a “parallel society” which enables abuse of the country’s welfare system (Sarrazin, 2010). Similarly, </w:t>
      </w:r>
      <w:r w:rsidR="000E1D72" w:rsidRPr="007515DE">
        <w:rPr>
          <w:lang w:val="en-US"/>
        </w:rPr>
        <w:t xml:space="preserve">politician Guy </w:t>
      </w:r>
      <w:proofErr w:type="spellStart"/>
      <w:r w:rsidR="000E1D72" w:rsidRPr="007515DE">
        <w:rPr>
          <w:lang w:val="en-US"/>
        </w:rPr>
        <w:t>Parmelin</w:t>
      </w:r>
      <w:proofErr w:type="spellEnd"/>
      <w:r w:rsidR="000E1D72" w:rsidRPr="007515DE">
        <w:rPr>
          <w:lang w:val="en-US"/>
        </w:rPr>
        <w:t xml:space="preserve">, described his opposition to </w:t>
      </w:r>
      <w:r w:rsidR="00CD4A75" w:rsidRPr="007515DE">
        <w:rPr>
          <w:lang w:val="en-US"/>
        </w:rPr>
        <w:t>Swiss</w:t>
      </w:r>
      <w:r w:rsidR="000E1D72" w:rsidRPr="007515DE">
        <w:rPr>
          <w:lang w:val="en-US"/>
        </w:rPr>
        <w:t xml:space="preserve"> migration</w:t>
      </w:r>
      <w:r w:rsidR="00CD4A75" w:rsidRPr="007515DE">
        <w:rPr>
          <w:lang w:val="en-US"/>
        </w:rPr>
        <w:t xml:space="preserve"> laws</w:t>
      </w:r>
      <w:r w:rsidR="000E1D72" w:rsidRPr="007515DE">
        <w:rPr>
          <w:lang w:val="en-US"/>
        </w:rPr>
        <w:t xml:space="preserve"> </w:t>
      </w:r>
      <w:r w:rsidR="00CD4A75" w:rsidRPr="007515DE">
        <w:rPr>
          <w:lang w:val="en-US"/>
        </w:rPr>
        <w:t>by</w:t>
      </w:r>
      <w:r w:rsidR="000E1D72" w:rsidRPr="007515DE">
        <w:rPr>
          <w:lang w:val="en-US"/>
        </w:rPr>
        <w:t xml:space="preserve"> </w:t>
      </w:r>
      <w:r w:rsidR="005C45B2" w:rsidRPr="007515DE">
        <w:rPr>
          <w:lang w:val="en-US"/>
        </w:rPr>
        <w:t>suggesting</w:t>
      </w:r>
      <w:r w:rsidR="000E1D72" w:rsidRPr="007515DE">
        <w:rPr>
          <w:lang w:val="en-US"/>
        </w:rPr>
        <w:t xml:space="preserve"> that non-EU migrants will take advantage</w:t>
      </w:r>
      <w:r w:rsidR="005C45B2" w:rsidRPr="007515DE">
        <w:rPr>
          <w:lang w:val="en-US"/>
        </w:rPr>
        <w:t xml:space="preserve"> of</w:t>
      </w:r>
      <w:r w:rsidR="000E1D72" w:rsidRPr="007515DE">
        <w:rPr>
          <w:lang w:val="en-US"/>
        </w:rPr>
        <w:t xml:space="preserve"> </w:t>
      </w:r>
      <w:r w:rsidR="005C45B2" w:rsidRPr="007515DE">
        <w:rPr>
          <w:lang w:val="en-US"/>
        </w:rPr>
        <w:t>them</w:t>
      </w:r>
      <w:r w:rsidR="000E1D72" w:rsidRPr="007515DE">
        <w:rPr>
          <w:lang w:val="en-US"/>
        </w:rPr>
        <w:t xml:space="preserve"> to benefit from the Swiss welfare system (</w:t>
      </w:r>
      <w:proofErr w:type="spellStart"/>
      <w:r w:rsidR="000E1D72" w:rsidRPr="007515DE">
        <w:rPr>
          <w:lang w:val="en-US"/>
        </w:rPr>
        <w:t>Summermatter</w:t>
      </w:r>
      <w:proofErr w:type="spellEnd"/>
      <w:r w:rsidR="000E1D72" w:rsidRPr="007515DE">
        <w:rPr>
          <w:lang w:val="en-US"/>
        </w:rPr>
        <w:t xml:space="preserve">, 2014). </w:t>
      </w:r>
      <w:r w:rsidR="00750DFA">
        <w:rPr>
          <w:lang w:val="en-US"/>
        </w:rPr>
        <w:t xml:space="preserve">More recently, Friedrich Merz, leader of the largest German opposition party, the Christian Democrats, accused immigrants </w:t>
      </w:r>
      <w:r w:rsidR="00EB40B3">
        <w:rPr>
          <w:lang w:val="en-US"/>
        </w:rPr>
        <w:t>of</w:t>
      </w:r>
      <w:r w:rsidR="00750DFA">
        <w:rPr>
          <w:lang w:val="en-US"/>
        </w:rPr>
        <w:t xml:space="preserve"> snatch</w:t>
      </w:r>
      <w:r w:rsidR="00EB40B3">
        <w:rPr>
          <w:lang w:val="en-US"/>
        </w:rPr>
        <w:t>ing</w:t>
      </w:r>
      <w:r w:rsidR="00750DFA">
        <w:rPr>
          <w:lang w:val="en-US"/>
        </w:rPr>
        <w:t xml:space="preserve"> away urgently needed dentist appointments from </w:t>
      </w:r>
      <w:r w:rsidR="00EB40B3">
        <w:rPr>
          <w:lang w:val="en-US"/>
        </w:rPr>
        <w:t>ethnic majority</w:t>
      </w:r>
      <w:r w:rsidR="00750DFA">
        <w:rPr>
          <w:lang w:val="en-US"/>
        </w:rPr>
        <w:t xml:space="preserve"> Germans</w:t>
      </w:r>
      <w:r w:rsidR="004136C6">
        <w:rPr>
          <w:lang w:val="en-US"/>
        </w:rPr>
        <w:t xml:space="preserve"> (“German opposition leader faces criticism”, Sep</w:t>
      </w:r>
      <w:r w:rsidR="00DA3300">
        <w:rPr>
          <w:lang w:val="en-US"/>
        </w:rPr>
        <w:t>t</w:t>
      </w:r>
      <w:r w:rsidR="004136C6">
        <w:rPr>
          <w:lang w:val="en-US"/>
        </w:rPr>
        <w:t>ember 2023)</w:t>
      </w:r>
      <w:r w:rsidR="00750DFA">
        <w:rPr>
          <w:lang w:val="en-US"/>
        </w:rPr>
        <w:t xml:space="preserve">. </w:t>
      </w:r>
      <w:r w:rsidR="00D5658A">
        <w:rPr>
          <w:lang w:val="en-US"/>
        </w:rPr>
        <w:t>O</w:t>
      </w:r>
      <w:r w:rsidR="000E1D72" w:rsidRPr="007515DE">
        <w:rPr>
          <w:lang w:val="en-US"/>
        </w:rPr>
        <w:t xml:space="preserve">thers presented </w:t>
      </w:r>
      <w:r w:rsidR="00594F36" w:rsidRPr="007515DE">
        <w:rPr>
          <w:lang w:val="en-US"/>
        </w:rPr>
        <w:t>im</w:t>
      </w:r>
      <w:r w:rsidR="000E1D72" w:rsidRPr="007515DE">
        <w:rPr>
          <w:lang w:val="en-US"/>
        </w:rPr>
        <w:t xml:space="preserve">migrants coming to Europe as “social parasites” or “benefit tourists”, echoing a key talking point in right-wing populist narratives (Hogan &amp; </w:t>
      </w:r>
      <w:proofErr w:type="spellStart"/>
      <w:r w:rsidR="000E1D72" w:rsidRPr="007515DE">
        <w:rPr>
          <w:lang w:val="en-US"/>
        </w:rPr>
        <w:t>Haltinner</w:t>
      </w:r>
      <w:proofErr w:type="spellEnd"/>
      <w:r w:rsidR="000E1D72" w:rsidRPr="007515DE">
        <w:rPr>
          <w:lang w:val="en-US"/>
        </w:rPr>
        <w:t xml:space="preserve">, 2015; </w:t>
      </w:r>
      <w:proofErr w:type="spellStart"/>
      <w:r w:rsidR="000E1D72" w:rsidRPr="007515DE">
        <w:rPr>
          <w:lang w:val="en-US"/>
        </w:rPr>
        <w:t>Musloff</w:t>
      </w:r>
      <w:proofErr w:type="spellEnd"/>
      <w:r w:rsidR="000E1D72" w:rsidRPr="007515DE">
        <w:rPr>
          <w:lang w:val="en-US"/>
        </w:rPr>
        <w:t xml:space="preserve">, 2022). These phrases express a fear that </w:t>
      </w:r>
      <w:r w:rsidR="00594F36" w:rsidRPr="007515DE">
        <w:rPr>
          <w:lang w:val="en-US"/>
        </w:rPr>
        <w:t>im</w:t>
      </w:r>
      <w:r w:rsidR="000E1D72" w:rsidRPr="007515DE">
        <w:rPr>
          <w:lang w:val="en-US"/>
        </w:rPr>
        <w:t>migrants are an ethnic and cultural “other”, cynically using the excuse of war</w:t>
      </w:r>
      <w:r w:rsidR="001272DA" w:rsidRPr="007515DE">
        <w:rPr>
          <w:lang w:val="en-US"/>
        </w:rPr>
        <w:t>, persecution and poverty</w:t>
      </w:r>
      <w:r w:rsidR="000E1D72" w:rsidRPr="007515DE">
        <w:rPr>
          <w:lang w:val="en-US"/>
        </w:rPr>
        <w:t xml:space="preserve"> to take advantage of “our” </w:t>
      </w:r>
      <w:r w:rsidR="000E1D72" w:rsidRPr="00E73D91">
        <w:rPr>
          <w:lang w:val="en-US"/>
        </w:rPr>
        <w:t>commonly funded public goods, like social security</w:t>
      </w:r>
      <w:r w:rsidR="005C45B2" w:rsidRPr="00E73D91">
        <w:rPr>
          <w:lang w:val="en-US"/>
        </w:rPr>
        <w:t xml:space="preserve"> and</w:t>
      </w:r>
      <w:r w:rsidR="000E1D72" w:rsidRPr="00E73D91">
        <w:rPr>
          <w:lang w:val="en-US"/>
        </w:rPr>
        <w:t xml:space="preserve"> unemployment </w:t>
      </w:r>
      <w:r w:rsidR="005C45B2" w:rsidRPr="00E73D91">
        <w:rPr>
          <w:lang w:val="en-US"/>
        </w:rPr>
        <w:t>benefits</w:t>
      </w:r>
      <w:r w:rsidR="000E1D72" w:rsidRPr="00E73D91">
        <w:rPr>
          <w:lang w:val="en-US"/>
        </w:rPr>
        <w:t xml:space="preserve">. While it is easy to write such statements off as </w:t>
      </w:r>
      <w:r w:rsidR="00356B32" w:rsidRPr="00E73D91">
        <w:rPr>
          <w:lang w:val="en-US"/>
        </w:rPr>
        <w:t xml:space="preserve">dog whistle </w:t>
      </w:r>
      <w:r w:rsidR="005C45B2" w:rsidRPr="00E73D91">
        <w:rPr>
          <w:lang w:val="en-US"/>
        </w:rPr>
        <w:t>politics</w:t>
      </w:r>
      <w:r w:rsidR="000E1D72" w:rsidRPr="00E73D91">
        <w:rPr>
          <w:lang w:val="en-US"/>
        </w:rPr>
        <w:t>, we argue that they represent a fundamental fear that ingroup-generated common resources</w:t>
      </w:r>
      <w:r w:rsidR="000E1D72" w:rsidRPr="007515DE">
        <w:rPr>
          <w:lang w:val="en-US"/>
        </w:rPr>
        <w:t xml:space="preserve"> might be exploited by ethnic and cultural minorities, particularly </w:t>
      </w:r>
      <w:r w:rsidR="006B170D" w:rsidRPr="007515DE">
        <w:rPr>
          <w:lang w:val="en-US"/>
        </w:rPr>
        <w:t>im</w:t>
      </w:r>
      <w:r w:rsidR="000E1D72" w:rsidRPr="007515DE">
        <w:rPr>
          <w:lang w:val="en-US"/>
        </w:rPr>
        <w:t>migrants. This intuition, in turn, motivates greater prejudice against them.</w:t>
      </w:r>
    </w:p>
    <w:p w14:paraId="49F682AA" w14:textId="3C8D620E" w:rsidR="000E1D72" w:rsidRPr="007515DE" w:rsidRDefault="00521AD5" w:rsidP="00777DB5">
      <w:pPr>
        <w:rPr>
          <w:lang w:val="en-US"/>
        </w:rPr>
      </w:pPr>
      <w:bookmarkStart w:id="1" w:name="_Hlk155963173"/>
      <w:r w:rsidRPr="007515DE">
        <w:rPr>
          <w:lang w:val="en-US"/>
        </w:rPr>
        <w:t xml:space="preserve">In this work, we present a socio-psychological, game-theoretical framework for understanding the connection between concerns for national-level common resource management and prejudice against immigrants, and perform two empirical tests of the concept across two different contexts. </w:t>
      </w:r>
      <w:r>
        <w:rPr>
          <w:lang w:val="en-US"/>
        </w:rPr>
        <w:t>Specifically, we examine whether participants indeed distinguish between different types of public spending (</w:t>
      </w:r>
      <w:r w:rsidR="00152087">
        <w:rPr>
          <w:lang w:val="en-US"/>
        </w:rPr>
        <w:t>universal</w:t>
      </w:r>
      <w:r>
        <w:rPr>
          <w:lang w:val="en-US"/>
        </w:rPr>
        <w:t xml:space="preserve"> v. </w:t>
      </w:r>
      <w:r w:rsidR="00152087">
        <w:rPr>
          <w:lang w:val="en-US"/>
        </w:rPr>
        <w:t>security-related</w:t>
      </w:r>
      <w:r>
        <w:rPr>
          <w:lang w:val="en-US"/>
        </w:rPr>
        <w:t>), and if so, how support for more funding of each type relates to prejudice. Study</w:t>
      </w:r>
      <w:r w:rsidR="001C6092">
        <w:rPr>
          <w:lang w:val="en-US"/>
        </w:rPr>
        <w:t xml:space="preserve"> </w:t>
      </w:r>
      <w:r>
        <w:rPr>
          <w:lang w:val="en-US"/>
        </w:rPr>
        <w:t>2 further zooms in on the association between prejudice and predictions about ethnic minorities’ contributions to, versus benefits from, common resources.</w:t>
      </w:r>
    </w:p>
    <w:bookmarkEnd w:id="1"/>
    <w:p w14:paraId="292164E5" w14:textId="7E0E3EBE" w:rsidR="00356B32" w:rsidRPr="007515DE" w:rsidRDefault="00356B32" w:rsidP="00356B32">
      <w:pPr>
        <w:pStyle w:val="Heading1"/>
        <w:rPr>
          <w:rFonts w:cs="Arial"/>
          <w:sz w:val="24"/>
          <w:szCs w:val="24"/>
        </w:rPr>
      </w:pPr>
      <w:r w:rsidRPr="007515DE">
        <w:rPr>
          <w:rFonts w:cs="Arial"/>
        </w:rPr>
        <w:lastRenderedPageBreak/>
        <w:t>Theoretical Background</w:t>
      </w:r>
    </w:p>
    <w:p w14:paraId="3996F959" w14:textId="29BDA8DD" w:rsidR="000E1D72" w:rsidRPr="007515DE" w:rsidRDefault="000E1D72" w:rsidP="00777DB5">
      <w:pPr>
        <w:rPr>
          <w:lang w:val="en-US"/>
        </w:rPr>
      </w:pPr>
      <w:bookmarkStart w:id="2" w:name="_Hlk155778249"/>
      <w:bookmarkStart w:id="3" w:name="_Hlk155782692"/>
      <w:bookmarkStart w:id="4" w:name="_Hlk155963290"/>
      <w:r w:rsidRPr="007515DE">
        <w:rPr>
          <w:lang w:val="en-US"/>
        </w:rPr>
        <w:t xml:space="preserve">For intergroup psychology, the question of migration and acceptance of migrant populations into the fabrics and structures of host societies is probably </w:t>
      </w:r>
      <w:r w:rsidR="00B21DF5" w:rsidRPr="007515DE">
        <w:rPr>
          <w:lang w:val="en-US"/>
        </w:rPr>
        <w:t xml:space="preserve">one of </w:t>
      </w:r>
      <w:r w:rsidRPr="007515DE">
        <w:rPr>
          <w:lang w:val="en-US"/>
        </w:rPr>
        <w:t>the most important practical question</w:t>
      </w:r>
      <w:r w:rsidR="00B21DF5" w:rsidRPr="007515DE">
        <w:rPr>
          <w:lang w:val="en-US"/>
        </w:rPr>
        <w:t>s</w:t>
      </w:r>
      <w:r w:rsidRPr="007515DE">
        <w:rPr>
          <w:lang w:val="en-US"/>
        </w:rPr>
        <w:t xml:space="preserve"> of our day. </w:t>
      </w:r>
      <w:r w:rsidR="00594F36" w:rsidRPr="007515DE">
        <w:rPr>
          <w:lang w:val="en-US"/>
        </w:rPr>
        <w:t>Imm</w:t>
      </w:r>
      <w:r w:rsidRPr="007515DE">
        <w:rPr>
          <w:lang w:val="en-US"/>
        </w:rPr>
        <w:t>igrants and their descendants routinely face discrimination in interpersonal (</w:t>
      </w:r>
      <w:proofErr w:type="spellStart"/>
      <w:r w:rsidRPr="007515DE">
        <w:rPr>
          <w:lang w:val="en-US"/>
        </w:rPr>
        <w:t>Garcini</w:t>
      </w:r>
      <w:proofErr w:type="spellEnd"/>
      <w:r w:rsidRPr="007515DE">
        <w:rPr>
          <w:lang w:val="en-US"/>
        </w:rPr>
        <w:t xml:space="preserve"> et al., 2018) and institutional (</w:t>
      </w:r>
      <w:proofErr w:type="spellStart"/>
      <w:r w:rsidRPr="007515DE">
        <w:rPr>
          <w:lang w:val="en-US"/>
        </w:rPr>
        <w:t>Uhlendorff</w:t>
      </w:r>
      <w:proofErr w:type="spellEnd"/>
      <w:r w:rsidRPr="007515DE">
        <w:rPr>
          <w:lang w:val="en-US"/>
        </w:rPr>
        <w:t xml:space="preserve"> &amp; Zimmermann, 2014) interactions. Majority ethnic populations </w:t>
      </w:r>
      <w:r w:rsidR="009407A5">
        <w:rPr>
          <w:lang w:val="en-US"/>
        </w:rPr>
        <w:t xml:space="preserve">often </w:t>
      </w:r>
      <w:r w:rsidRPr="007515DE">
        <w:rPr>
          <w:lang w:val="en-US"/>
        </w:rPr>
        <w:t>view minority members with migrant backgrounds as a threat (McLaren, 2003) and hold negative attitudes against them (Kessler et al., 2010; Pettigrew, Wagner, &amp; Christ, 2010). There is a general fear that immigrants, including refugees, asylum-seekers, and economic migrants, will endanger the hosts’ unique national (Shin &amp; Dovidio, 2018) and religious identity (van Rijswijk</w:t>
      </w:r>
      <w:r w:rsidR="00356B32" w:rsidRPr="007515DE">
        <w:rPr>
          <w:lang w:val="en-US"/>
        </w:rPr>
        <w:t xml:space="preserve"> et al.,</w:t>
      </w:r>
      <w:r w:rsidRPr="007515DE">
        <w:rPr>
          <w:lang w:val="en-US"/>
        </w:rPr>
        <w:t xml:space="preserve"> 2009). </w:t>
      </w:r>
      <w:bookmarkStart w:id="5" w:name="_Hlk149983674"/>
      <w:r w:rsidRPr="007515DE">
        <w:rPr>
          <w:lang w:val="en-US"/>
        </w:rPr>
        <w:t xml:space="preserve">Thus, majority host populations regularly view </w:t>
      </w:r>
      <w:r w:rsidR="00594F36" w:rsidRPr="007515DE">
        <w:rPr>
          <w:lang w:val="en-US"/>
        </w:rPr>
        <w:t>im</w:t>
      </w:r>
      <w:r w:rsidRPr="007515DE">
        <w:rPr>
          <w:lang w:val="en-US"/>
        </w:rPr>
        <w:t>migrants with distrust</w:t>
      </w:r>
      <w:r w:rsidR="0098627A">
        <w:rPr>
          <w:lang w:val="en-US"/>
        </w:rPr>
        <w:t>,</w:t>
      </w:r>
      <w:r w:rsidRPr="007515DE">
        <w:rPr>
          <w:lang w:val="en-US"/>
        </w:rPr>
        <w:t xml:space="preserve"> treat them </w:t>
      </w:r>
      <w:r w:rsidR="002414A6" w:rsidRPr="007515DE">
        <w:rPr>
          <w:lang w:val="en-US"/>
        </w:rPr>
        <w:t>unfavorably</w:t>
      </w:r>
      <w:r w:rsidR="0098627A">
        <w:rPr>
          <w:lang w:val="en-US"/>
        </w:rPr>
        <w:t>, and exclude them from host society (Marinucci et al., 2022)</w:t>
      </w:r>
      <w:r w:rsidRPr="007515DE">
        <w:rPr>
          <w:lang w:val="en-US"/>
        </w:rPr>
        <w:t xml:space="preserve">. </w:t>
      </w:r>
    </w:p>
    <w:bookmarkEnd w:id="2"/>
    <w:bookmarkEnd w:id="5"/>
    <w:p w14:paraId="094E3CD9" w14:textId="58ABD9ED" w:rsidR="00FD5DF5" w:rsidRPr="007515DE" w:rsidRDefault="00FD5DF5" w:rsidP="00FD5DF5">
      <w:pPr>
        <w:rPr>
          <w:lang w:val="en-US"/>
        </w:rPr>
      </w:pPr>
      <w:r>
        <w:rPr>
          <w:lang w:val="en-US"/>
        </w:rPr>
        <w:t xml:space="preserve">One specific way in which immigrants are excluded is </w:t>
      </w:r>
      <w:r w:rsidR="00164BC3">
        <w:rPr>
          <w:lang w:val="en-US"/>
        </w:rPr>
        <w:t>by denying them access to</w:t>
      </w:r>
      <w:r>
        <w:rPr>
          <w:lang w:val="en-US"/>
        </w:rPr>
        <w:t xml:space="preserve"> the group’s </w:t>
      </w:r>
      <w:r w:rsidR="00152087">
        <w:rPr>
          <w:lang w:val="en-US"/>
        </w:rPr>
        <w:t>common resources (CRs)</w:t>
      </w:r>
      <w:r>
        <w:rPr>
          <w:lang w:val="en-US"/>
        </w:rPr>
        <w:t>. For example, Thomann and Rapp (2018</w:t>
      </w:r>
      <w:r w:rsidRPr="007515DE">
        <w:rPr>
          <w:lang w:val="en-US"/>
        </w:rPr>
        <w:t>) show that Swiss welfare workers perceive immigrants as less deserving of welfare benefits and are likely to allocate fewer funds to them than to Swiss nationals</w:t>
      </w:r>
      <w:r>
        <w:rPr>
          <w:lang w:val="en-US"/>
        </w:rPr>
        <w:t xml:space="preserve">. Interviews with German street-level bureaucrats underlie the way national, linguistic and ethnic differences become justifications for </w:t>
      </w:r>
      <w:r w:rsidR="00152087">
        <w:rPr>
          <w:lang w:val="en-US"/>
        </w:rPr>
        <w:t>such</w:t>
      </w:r>
      <w:r>
        <w:rPr>
          <w:lang w:val="en-US"/>
        </w:rPr>
        <w:t xml:space="preserve"> </w:t>
      </w:r>
      <w:r w:rsidR="00152087" w:rsidRPr="009D02A8">
        <w:rPr>
          <w:lang w:val="en-US"/>
        </w:rPr>
        <w:t>discrimination</w:t>
      </w:r>
      <w:r w:rsidRPr="009D02A8">
        <w:rPr>
          <w:lang w:val="en-US"/>
        </w:rPr>
        <w:t xml:space="preserve"> (</w:t>
      </w:r>
      <w:proofErr w:type="spellStart"/>
      <w:r w:rsidRPr="009D02A8">
        <w:rPr>
          <w:lang w:val="en-US"/>
        </w:rPr>
        <w:t>Ratzmann</w:t>
      </w:r>
      <w:proofErr w:type="spellEnd"/>
      <w:r w:rsidRPr="009D02A8">
        <w:rPr>
          <w:lang w:val="en-US"/>
        </w:rPr>
        <w:t xml:space="preserve">, 2021). Those ethnic minority immigrants who </w:t>
      </w:r>
      <w:r w:rsidRPr="009D02A8">
        <w:rPr>
          <w:i/>
          <w:iCs/>
          <w:lang w:val="en-US"/>
        </w:rPr>
        <w:t>are</w:t>
      </w:r>
      <w:r w:rsidRPr="009D02A8">
        <w:rPr>
          <w:lang w:val="en-US"/>
        </w:rPr>
        <w:t xml:space="preserve"> allowed access to common resources like welfare benefits are more likely to be punished for various infractions than </w:t>
      </w:r>
      <w:r w:rsidR="00164BC3" w:rsidRPr="009D02A8">
        <w:rPr>
          <w:lang w:val="en-US"/>
        </w:rPr>
        <w:t xml:space="preserve">are </w:t>
      </w:r>
      <w:r w:rsidRPr="009D02A8">
        <w:rPr>
          <w:lang w:val="en-US"/>
        </w:rPr>
        <w:t>members of the host majority (Monnat, 201</w:t>
      </w:r>
      <w:r w:rsidR="00C378B3">
        <w:rPr>
          <w:lang w:val="en-US"/>
        </w:rPr>
        <w:t>0</w:t>
      </w:r>
      <w:r w:rsidRPr="009D02A8">
        <w:rPr>
          <w:lang w:val="en-US"/>
        </w:rPr>
        <w:t xml:space="preserve">; Pedersen, Stritch, &amp; Thuesen, 2018; cf. </w:t>
      </w:r>
      <w:proofErr w:type="spellStart"/>
      <w:r w:rsidRPr="009D02A8">
        <w:rPr>
          <w:lang w:val="en-US"/>
        </w:rPr>
        <w:t>Gschwind</w:t>
      </w:r>
      <w:proofErr w:type="spellEnd"/>
      <w:r w:rsidRPr="009D02A8">
        <w:rPr>
          <w:lang w:val="en-US"/>
        </w:rPr>
        <w:t xml:space="preserve">, </w:t>
      </w:r>
      <w:proofErr w:type="spellStart"/>
      <w:r w:rsidRPr="009D02A8">
        <w:rPr>
          <w:lang w:val="en-US"/>
        </w:rPr>
        <w:t>Ratzmann</w:t>
      </w:r>
      <w:proofErr w:type="spellEnd"/>
      <w:r w:rsidRPr="009D02A8">
        <w:rPr>
          <w:lang w:val="en-US"/>
        </w:rPr>
        <w:t xml:space="preserve"> &amp; </w:t>
      </w:r>
      <w:proofErr w:type="spellStart"/>
      <w:r w:rsidRPr="009D02A8">
        <w:rPr>
          <w:lang w:val="en-US"/>
        </w:rPr>
        <w:t>Beste</w:t>
      </w:r>
      <w:proofErr w:type="spellEnd"/>
      <w:r w:rsidRPr="009D02A8">
        <w:rPr>
          <w:lang w:val="en-US"/>
        </w:rPr>
        <w:t>, 202</w:t>
      </w:r>
      <w:r w:rsidR="00C378B3">
        <w:rPr>
          <w:lang w:val="en-US"/>
        </w:rPr>
        <w:t>2</w:t>
      </w:r>
      <w:r w:rsidRPr="009D02A8">
        <w:rPr>
          <w:lang w:val="en-US"/>
        </w:rPr>
        <w:t xml:space="preserve">). This trend seems to persist even though pertinent research very clearly points to the fact that immigration is an asset for contemporary industrial societies, not a drain on their resources (e.g., </w:t>
      </w:r>
      <w:proofErr w:type="spellStart"/>
      <w:r w:rsidRPr="009D02A8">
        <w:rPr>
          <w:lang w:val="en-US"/>
        </w:rPr>
        <w:t>Boubtane</w:t>
      </w:r>
      <w:proofErr w:type="spellEnd"/>
      <w:r w:rsidRPr="009D02A8">
        <w:rPr>
          <w:lang w:val="en-US"/>
        </w:rPr>
        <w:t xml:space="preserve"> &amp; Dumont, 2013; </w:t>
      </w:r>
      <w:proofErr w:type="spellStart"/>
      <w:r w:rsidRPr="009D02A8">
        <w:rPr>
          <w:lang w:val="en-US"/>
        </w:rPr>
        <w:t>Dustmann</w:t>
      </w:r>
      <w:proofErr w:type="spellEnd"/>
      <w:r w:rsidRPr="009D02A8">
        <w:rPr>
          <w:lang w:val="en-US"/>
        </w:rPr>
        <w:t xml:space="preserve"> &amp; </w:t>
      </w:r>
      <w:proofErr w:type="spellStart"/>
      <w:r w:rsidRPr="009D02A8">
        <w:rPr>
          <w:lang w:val="en-US"/>
        </w:rPr>
        <w:t>Frattini</w:t>
      </w:r>
      <w:proofErr w:type="spellEnd"/>
      <w:r w:rsidRPr="009D02A8">
        <w:rPr>
          <w:lang w:val="en-US"/>
        </w:rPr>
        <w:t xml:space="preserve">, 2014; Huber &amp; </w:t>
      </w:r>
      <w:proofErr w:type="spellStart"/>
      <w:r w:rsidRPr="009D02A8">
        <w:rPr>
          <w:lang w:val="en-US"/>
        </w:rPr>
        <w:t>Oberdabering</w:t>
      </w:r>
      <w:proofErr w:type="spellEnd"/>
      <w:r w:rsidRPr="009D02A8">
        <w:rPr>
          <w:lang w:val="en-US"/>
        </w:rPr>
        <w:t xml:space="preserve">, 2016.) Moreover, similar findings are </w:t>
      </w:r>
      <w:r w:rsidR="00341696">
        <w:rPr>
          <w:lang w:val="en-US"/>
        </w:rPr>
        <w:t>reported</w:t>
      </w:r>
      <w:r w:rsidRPr="009D02A8">
        <w:rPr>
          <w:lang w:val="en-US"/>
        </w:rPr>
        <w:t xml:space="preserve"> in experimental studies where minority targets are more likely to be denied access to </w:t>
      </w:r>
      <w:r w:rsidR="00152087" w:rsidRPr="009D02A8">
        <w:rPr>
          <w:lang w:val="en-US"/>
        </w:rPr>
        <w:t>common resources</w:t>
      </w:r>
      <w:r w:rsidRPr="009D02A8">
        <w:rPr>
          <w:lang w:val="en-US"/>
        </w:rPr>
        <w:t xml:space="preserve"> (Schram et al., 2009; Soroka et al., 201</w:t>
      </w:r>
      <w:r w:rsidR="00E34C7C">
        <w:rPr>
          <w:lang w:val="en-US"/>
        </w:rPr>
        <w:t>7</w:t>
      </w:r>
      <w:r w:rsidRPr="009D02A8">
        <w:rPr>
          <w:lang w:val="en-US"/>
        </w:rPr>
        <w:t>), or disproportionately punished for taking part in managing them (Hugh-Jones &amp; Perroni, 2017). The</w:t>
      </w:r>
      <w:r w:rsidRPr="007515DE">
        <w:rPr>
          <w:lang w:val="en-US"/>
        </w:rPr>
        <w:t xml:space="preserve"> preference for </w:t>
      </w:r>
      <w:r w:rsidRPr="007515DE">
        <w:rPr>
          <w:lang w:val="en-US"/>
        </w:rPr>
        <w:lastRenderedPageBreak/>
        <w:t xml:space="preserve">keeping outgroup members, minorities, and particularly immigrants, </w:t>
      </w:r>
      <w:r w:rsidR="00152087">
        <w:rPr>
          <w:lang w:val="en-US"/>
        </w:rPr>
        <w:t>from enjoying</w:t>
      </w:r>
      <w:r w:rsidRPr="007515DE">
        <w:rPr>
          <w:lang w:val="en-US"/>
        </w:rPr>
        <w:t xml:space="preserve"> group resources, was theoretically related to a lack of interpersonal trust (Brewer, 1999)</w:t>
      </w:r>
      <w:r w:rsidR="00152087">
        <w:rPr>
          <w:lang w:val="en-US"/>
        </w:rPr>
        <w:t>, low</w:t>
      </w:r>
      <w:r w:rsidRPr="007515DE">
        <w:rPr>
          <w:lang w:val="en-US"/>
        </w:rPr>
        <w:t xml:space="preserve"> confidence in sanctioning systems across group lines (Jeon et al., 2017), and a basic preference for the welfare of ingroup members over that of outgroup members (Cutler et al., 1993). In other words, when it comes to resources which must be communally maintained, such as the social services and benefits provided by the welfare state, humans tend towards parochialism</w:t>
      </w:r>
      <w:r>
        <w:rPr>
          <w:lang w:val="en-US"/>
        </w:rPr>
        <w:t>.</w:t>
      </w:r>
    </w:p>
    <w:bookmarkEnd w:id="3"/>
    <w:p w14:paraId="31422676" w14:textId="7BD3A8A5" w:rsidR="001B70CE" w:rsidRDefault="00152087" w:rsidP="001B70CE">
      <w:r>
        <w:rPr>
          <w:lang w:val="en-US"/>
        </w:rPr>
        <w:t>T</w:t>
      </w:r>
      <w:r w:rsidR="001B70CE">
        <w:rPr>
          <w:lang w:val="en-US"/>
        </w:rPr>
        <w:t xml:space="preserve">he resulting discrimination </w:t>
      </w:r>
      <w:r>
        <w:rPr>
          <w:lang w:val="en-US"/>
        </w:rPr>
        <w:t>has</w:t>
      </w:r>
      <w:r w:rsidR="001B70CE">
        <w:rPr>
          <w:lang w:val="en-US"/>
        </w:rPr>
        <w:t xml:space="preserve"> multiple negative consequences for excluded immigrant communities, and can be integral in driving them to marginalization and radicalization (Lyons-Padilla et al., 2015). However</w:t>
      </w:r>
      <w:r w:rsidR="001B70CE" w:rsidRPr="007515DE">
        <w:rPr>
          <w:lang w:val="en-US"/>
        </w:rPr>
        <w:t xml:space="preserve">, there are </w:t>
      </w:r>
      <w:r w:rsidR="001B70CE">
        <w:rPr>
          <w:lang w:val="en-US"/>
        </w:rPr>
        <w:t>indications of an even more comprehensive negative effect, threatening</w:t>
      </w:r>
      <w:r>
        <w:rPr>
          <w:lang w:val="en-US"/>
        </w:rPr>
        <w:t xml:space="preserve"> the</w:t>
      </w:r>
      <w:r w:rsidR="001B70CE">
        <w:rPr>
          <w:lang w:val="en-US"/>
        </w:rPr>
        <w:t xml:space="preserve"> ability</w:t>
      </w:r>
      <w:r>
        <w:rPr>
          <w:lang w:val="en-US"/>
        </w:rPr>
        <w:t xml:space="preserve"> of a society</w:t>
      </w:r>
      <w:r w:rsidR="001B70CE">
        <w:rPr>
          <w:lang w:val="en-US"/>
        </w:rPr>
        <w:t xml:space="preserve"> to generate any </w:t>
      </w:r>
      <w:r w:rsidR="00164BC3">
        <w:rPr>
          <w:lang w:val="en-US"/>
        </w:rPr>
        <w:t>CRs</w:t>
      </w:r>
      <w:r w:rsidR="001B70CE">
        <w:rPr>
          <w:lang w:val="en-US"/>
        </w:rPr>
        <w:t xml:space="preserve"> whatsoever</w:t>
      </w:r>
      <w:r w:rsidR="001B70CE" w:rsidRPr="007515DE">
        <w:rPr>
          <w:lang w:val="en-US"/>
        </w:rPr>
        <w:t xml:space="preserve">. </w:t>
      </w:r>
      <w:bookmarkStart w:id="6" w:name="_Hlk155963675"/>
      <w:r w:rsidR="001B70CE">
        <w:rPr>
          <w:lang w:val="en-US"/>
        </w:rPr>
        <w:t>Rising ethnic and cultural diversity</w:t>
      </w:r>
      <w:r w:rsidR="001B70CE" w:rsidRPr="007515DE">
        <w:rPr>
          <w:lang w:val="en-US"/>
        </w:rPr>
        <w:t xml:space="preserve"> </w:t>
      </w:r>
      <w:r w:rsidR="001B70CE">
        <w:rPr>
          <w:lang w:val="en-US"/>
        </w:rPr>
        <w:t xml:space="preserve">is </w:t>
      </w:r>
      <w:r w:rsidR="001B70CE" w:rsidRPr="007515DE">
        <w:rPr>
          <w:lang w:val="en-US"/>
        </w:rPr>
        <w:t>often</w:t>
      </w:r>
      <w:r w:rsidR="001B70CE">
        <w:rPr>
          <w:lang w:val="en-US"/>
        </w:rPr>
        <w:t xml:space="preserve"> related to lower</w:t>
      </w:r>
      <w:r w:rsidR="001B70CE" w:rsidRPr="007515DE">
        <w:rPr>
          <w:lang w:val="en-US"/>
        </w:rPr>
        <w:t xml:space="preserve"> contributions to</w:t>
      </w:r>
      <w:r w:rsidR="001B70CE">
        <w:rPr>
          <w:lang w:val="en-US"/>
        </w:rPr>
        <w:t xml:space="preserve"> </w:t>
      </w:r>
      <w:r w:rsidR="00164BC3">
        <w:rPr>
          <w:lang w:val="en-US"/>
        </w:rPr>
        <w:t>public goods</w:t>
      </w:r>
      <w:r w:rsidR="001B70CE" w:rsidRPr="007515DE">
        <w:rPr>
          <w:lang w:val="en-US"/>
        </w:rPr>
        <w:t xml:space="preserve"> (e.g., </w:t>
      </w:r>
      <w:proofErr w:type="spellStart"/>
      <w:r w:rsidR="001B70CE" w:rsidRPr="007515DE">
        <w:rPr>
          <w:lang w:val="en-US"/>
        </w:rPr>
        <w:t>Alesina</w:t>
      </w:r>
      <w:proofErr w:type="spellEnd"/>
      <w:r w:rsidR="001B70CE" w:rsidRPr="007515DE">
        <w:rPr>
          <w:lang w:val="en-US"/>
        </w:rPr>
        <w:t xml:space="preserve"> &amp; </w:t>
      </w:r>
      <w:proofErr w:type="spellStart"/>
      <w:r w:rsidR="001B70CE" w:rsidRPr="007515DE">
        <w:rPr>
          <w:lang w:val="en-US"/>
        </w:rPr>
        <w:t>LaFerrara</w:t>
      </w:r>
      <w:proofErr w:type="spellEnd"/>
      <w:r w:rsidR="001B70CE" w:rsidRPr="007515DE">
        <w:rPr>
          <w:lang w:val="en-US"/>
        </w:rPr>
        <w:t xml:space="preserve">, 2000; Habyarimana et al., 2007; </w:t>
      </w:r>
      <w:proofErr w:type="spellStart"/>
      <w:r w:rsidR="001B70CE" w:rsidRPr="007515DE">
        <w:rPr>
          <w:lang w:val="en-US"/>
        </w:rPr>
        <w:t>Jacskon</w:t>
      </w:r>
      <w:proofErr w:type="spellEnd"/>
      <w:r w:rsidR="001B70CE" w:rsidRPr="007515DE">
        <w:rPr>
          <w:lang w:val="en-US"/>
        </w:rPr>
        <w:t xml:space="preserve">, 2013; Miguel, 2004), </w:t>
      </w:r>
      <w:r w:rsidR="001B70CE">
        <w:rPr>
          <w:lang w:val="en-US"/>
        </w:rPr>
        <w:t>but more exploitation</w:t>
      </w:r>
      <w:r w:rsidR="001B70CE" w:rsidRPr="007515DE">
        <w:rPr>
          <w:lang w:val="en-US"/>
        </w:rPr>
        <w:t xml:space="preserve"> of existing </w:t>
      </w:r>
      <w:r w:rsidR="001B70CE" w:rsidRPr="009D02A8">
        <w:rPr>
          <w:lang w:val="en-US"/>
        </w:rPr>
        <w:t>resources (</w:t>
      </w:r>
      <w:proofErr w:type="spellStart"/>
      <w:r w:rsidR="001B70CE" w:rsidRPr="009D02A8">
        <w:rPr>
          <w:lang w:val="en-US"/>
        </w:rPr>
        <w:t>Alesina</w:t>
      </w:r>
      <w:proofErr w:type="spellEnd"/>
      <w:r w:rsidR="001B70CE" w:rsidRPr="009D02A8">
        <w:rPr>
          <w:lang w:val="en-US"/>
        </w:rPr>
        <w:t xml:space="preserve"> et al., 2019; Montalvo &amp; </w:t>
      </w:r>
      <w:proofErr w:type="spellStart"/>
      <w:r w:rsidR="001B70CE" w:rsidRPr="009D02A8">
        <w:rPr>
          <w:lang w:val="en-US"/>
        </w:rPr>
        <w:t>Reynal-Querol</w:t>
      </w:r>
      <w:proofErr w:type="spellEnd"/>
      <w:r w:rsidR="001B70CE" w:rsidRPr="009D02A8">
        <w:rPr>
          <w:lang w:val="en-US"/>
        </w:rPr>
        <w:t xml:space="preserve">, 2005; </w:t>
      </w:r>
      <w:proofErr w:type="spellStart"/>
      <w:r w:rsidR="001B70CE" w:rsidRPr="009D02A8">
        <w:rPr>
          <w:lang w:val="en-US"/>
        </w:rPr>
        <w:t>Sjöstedt</w:t>
      </w:r>
      <w:proofErr w:type="spellEnd"/>
      <w:r w:rsidR="001B70CE" w:rsidRPr="009D02A8">
        <w:rPr>
          <w:lang w:val="en-US"/>
        </w:rPr>
        <w:t>, 2012). In their seminal paper</w:t>
      </w:r>
      <w:r w:rsidR="00EF1C18" w:rsidRPr="009D02A8">
        <w:rPr>
          <w:lang w:val="en-US"/>
        </w:rPr>
        <w:t xml:space="preserve"> on the topic</w:t>
      </w:r>
      <w:r w:rsidR="001B70CE" w:rsidRPr="009D02A8">
        <w:rPr>
          <w:lang w:val="en-US"/>
        </w:rPr>
        <w:t xml:space="preserve">, </w:t>
      </w:r>
      <w:proofErr w:type="spellStart"/>
      <w:r w:rsidR="001B70CE" w:rsidRPr="009D02A8">
        <w:rPr>
          <w:lang w:val="en-US"/>
        </w:rPr>
        <w:t>Alesina</w:t>
      </w:r>
      <w:proofErr w:type="spellEnd"/>
      <w:r w:rsidR="001B70CE" w:rsidRPr="009D02A8">
        <w:rPr>
          <w:lang w:val="en-US"/>
        </w:rPr>
        <w:t xml:space="preserve"> and colleagues (</w:t>
      </w:r>
      <w:proofErr w:type="spellStart"/>
      <w:r w:rsidR="001B70CE" w:rsidRPr="009D02A8">
        <w:rPr>
          <w:lang w:val="en-US"/>
        </w:rPr>
        <w:t>Alesina</w:t>
      </w:r>
      <w:proofErr w:type="spellEnd"/>
      <w:r w:rsidR="001B70CE" w:rsidRPr="009D02A8">
        <w:rPr>
          <w:lang w:val="en-US"/>
        </w:rPr>
        <w:t xml:space="preserve"> et al., 1999) </w:t>
      </w:r>
      <w:r w:rsidR="00164BC3" w:rsidRPr="009D02A8">
        <w:rPr>
          <w:lang w:val="en-US"/>
        </w:rPr>
        <w:t xml:space="preserve">demonstrate </w:t>
      </w:r>
      <w:r w:rsidR="00EF1C18" w:rsidRPr="009D02A8">
        <w:rPr>
          <w:lang w:val="en-US"/>
        </w:rPr>
        <w:t>more ethnically fragmented neighborhoods contribute less to crucial, local resources (</w:t>
      </w:r>
      <w:r w:rsidR="001B70CE" w:rsidRPr="009D02A8">
        <w:rPr>
          <w:lang w:val="en-US"/>
        </w:rPr>
        <w:t>school supplies, roads</w:t>
      </w:r>
      <w:r w:rsidR="001B70CE">
        <w:rPr>
          <w:lang w:val="en-US"/>
        </w:rPr>
        <w:t>, waste management</w:t>
      </w:r>
      <w:r w:rsidR="00164BC3">
        <w:rPr>
          <w:lang w:val="en-US"/>
        </w:rPr>
        <w:t>)</w:t>
      </w:r>
      <w:r w:rsidR="001B70CE">
        <w:rPr>
          <w:lang w:val="en-US"/>
        </w:rPr>
        <w:t>.</w:t>
      </w:r>
      <w:r w:rsidR="00EF1C18">
        <w:rPr>
          <w:lang w:val="en-US"/>
        </w:rPr>
        <w:t xml:space="preserve"> The negative association between </w:t>
      </w:r>
      <w:r w:rsidR="008213A0">
        <w:rPr>
          <w:lang w:val="en-US"/>
        </w:rPr>
        <w:t>heterogeneity</w:t>
      </w:r>
      <w:r w:rsidR="00EF1C18">
        <w:rPr>
          <w:lang w:val="en-US"/>
        </w:rPr>
        <w:t xml:space="preserve"> and the community’s ability to generate CRs is recorded in longitudinal (e.g., </w:t>
      </w:r>
      <w:proofErr w:type="spellStart"/>
      <w:r w:rsidR="00EF1C18">
        <w:rPr>
          <w:lang w:val="en-US"/>
        </w:rPr>
        <w:t>Alesina</w:t>
      </w:r>
      <w:proofErr w:type="spellEnd"/>
      <w:r w:rsidR="00EF1C18">
        <w:rPr>
          <w:lang w:val="en-US"/>
        </w:rPr>
        <w:t xml:space="preserve"> et al., 2019, </w:t>
      </w:r>
      <w:r w:rsidR="00EF1C18" w:rsidRPr="007515DE">
        <w:rPr>
          <w:lang w:val="en-US"/>
        </w:rPr>
        <w:t>Schmidt-</w:t>
      </w:r>
      <w:proofErr w:type="spellStart"/>
      <w:r w:rsidR="00EF1C18" w:rsidRPr="007515DE">
        <w:rPr>
          <w:lang w:val="en-US"/>
        </w:rPr>
        <w:t>Catran</w:t>
      </w:r>
      <w:proofErr w:type="spellEnd"/>
      <w:r w:rsidR="00EF1C18" w:rsidRPr="007515DE">
        <w:rPr>
          <w:lang w:val="en-US"/>
        </w:rPr>
        <w:t xml:space="preserve"> &amp; Spies, 2016</w:t>
      </w:r>
      <w:r w:rsidR="00EF1C18">
        <w:rPr>
          <w:lang w:val="en-US"/>
        </w:rPr>
        <w:t>) and experimental studies (Habyarimana et al., 2007).</w:t>
      </w:r>
      <w:bookmarkEnd w:id="6"/>
      <w:r w:rsidR="00EF1C18">
        <w:rPr>
          <w:lang w:val="en-US"/>
        </w:rPr>
        <w:t xml:space="preserve"> Moreover, r</w:t>
      </w:r>
      <w:r w:rsidR="001B70CE" w:rsidRPr="007515DE">
        <w:rPr>
          <w:lang w:val="en-US"/>
        </w:rPr>
        <w:t xml:space="preserve">ising ethnic diversity has been </w:t>
      </w:r>
      <w:r w:rsidR="00EF1C18">
        <w:rPr>
          <w:lang w:val="en-US"/>
        </w:rPr>
        <w:t>related to decreasing support</w:t>
      </w:r>
      <w:r w:rsidR="001B70CE" w:rsidRPr="007515DE">
        <w:rPr>
          <w:lang w:val="en-US"/>
        </w:rPr>
        <w:t xml:space="preserve"> for </w:t>
      </w:r>
      <w:r w:rsidR="00EF1C18">
        <w:rPr>
          <w:lang w:val="en-US"/>
        </w:rPr>
        <w:t xml:space="preserve">having </w:t>
      </w:r>
      <w:r w:rsidR="001B70CE" w:rsidRPr="007515DE">
        <w:rPr>
          <w:lang w:val="en-US"/>
        </w:rPr>
        <w:t xml:space="preserve">any </w:t>
      </w:r>
      <w:r w:rsidR="00EF1C18">
        <w:rPr>
          <w:lang w:val="en-US"/>
        </w:rPr>
        <w:t xml:space="preserve">CRs </w:t>
      </w:r>
      <w:r w:rsidR="001B70CE" w:rsidRPr="007515DE">
        <w:rPr>
          <w:lang w:val="en-US"/>
        </w:rPr>
        <w:t>whatsoever (Mau &amp; Burkhardt, 2009; Schmidt-</w:t>
      </w:r>
      <w:proofErr w:type="spellStart"/>
      <w:r w:rsidR="001B70CE" w:rsidRPr="007515DE">
        <w:rPr>
          <w:lang w:val="en-US"/>
        </w:rPr>
        <w:t>Catran</w:t>
      </w:r>
      <w:proofErr w:type="spellEnd"/>
      <w:r w:rsidR="001B70CE" w:rsidRPr="007515DE">
        <w:rPr>
          <w:lang w:val="en-US"/>
        </w:rPr>
        <w:t xml:space="preserve"> &amp; Spies, 2016). </w:t>
      </w:r>
      <w:r w:rsidR="001B70CE">
        <w:rPr>
          <w:lang w:val="en-US"/>
        </w:rPr>
        <w:t xml:space="preserve">For example, </w:t>
      </w:r>
      <w:r w:rsidR="001B70CE" w:rsidRPr="007515DE">
        <w:rPr>
          <w:lang w:val="en-US"/>
        </w:rPr>
        <w:t>Schmidt-</w:t>
      </w:r>
      <w:proofErr w:type="spellStart"/>
      <w:r w:rsidR="001B70CE" w:rsidRPr="007515DE">
        <w:rPr>
          <w:lang w:val="en-US"/>
        </w:rPr>
        <w:t>Catran</w:t>
      </w:r>
      <w:proofErr w:type="spellEnd"/>
      <w:r w:rsidR="001B70CE" w:rsidRPr="007515DE">
        <w:rPr>
          <w:lang w:val="en-US"/>
        </w:rPr>
        <w:t xml:space="preserve"> and Spies (2016) show that general support for welfare spending among ethnic Germans decreases as ethnic diversity grows across four </w:t>
      </w:r>
      <w:proofErr w:type="spellStart"/>
      <w:r w:rsidR="001B70CE" w:rsidRPr="007515DE">
        <w:rPr>
          <w:lang w:val="en-US"/>
        </w:rPr>
        <w:t>fielding</w:t>
      </w:r>
      <w:r w:rsidR="001B70CE">
        <w:rPr>
          <w:lang w:val="en-US"/>
        </w:rPr>
        <w:t>s</w:t>
      </w:r>
      <w:proofErr w:type="spellEnd"/>
      <w:r w:rsidR="001B70CE" w:rsidRPr="007515DE">
        <w:rPr>
          <w:lang w:val="en-US"/>
        </w:rPr>
        <w:t xml:space="preserve"> of the </w:t>
      </w:r>
      <w:bookmarkStart w:id="7" w:name="_Hlk106973858"/>
      <w:r w:rsidR="001B70CE" w:rsidRPr="007515DE">
        <w:rPr>
          <w:lang w:val="en-US"/>
        </w:rPr>
        <w:t>German General Social Survey</w:t>
      </w:r>
      <w:bookmarkEnd w:id="7"/>
      <w:r w:rsidR="001B70CE" w:rsidRPr="007515DE">
        <w:rPr>
          <w:lang w:val="en-US"/>
        </w:rPr>
        <w:t xml:space="preserve"> (</w:t>
      </w:r>
      <w:proofErr w:type="spellStart"/>
      <w:r w:rsidR="001B70CE" w:rsidRPr="007515DE">
        <w:rPr>
          <w:i/>
          <w:lang w:val="en-US"/>
        </w:rPr>
        <w:t>Allbus</w:t>
      </w:r>
      <w:bookmarkStart w:id="8" w:name="_Hlk155782585"/>
      <w:proofErr w:type="spellEnd"/>
      <w:r w:rsidR="001B70CE" w:rsidRPr="007515DE">
        <w:rPr>
          <w:lang w:val="en-US"/>
        </w:rPr>
        <w:t>).</w:t>
      </w:r>
      <w:r w:rsidR="001B70CE">
        <w:rPr>
          <w:lang w:val="en-US"/>
        </w:rPr>
        <w:t xml:space="preserve"> </w:t>
      </w:r>
      <w:r w:rsidR="000F7B95">
        <w:rPr>
          <w:lang w:val="en-US"/>
        </w:rPr>
        <w:t xml:space="preserve">Experimental </w:t>
      </w:r>
      <w:r w:rsidR="00F34D87">
        <w:rPr>
          <w:lang w:val="en-US"/>
        </w:rPr>
        <w:t xml:space="preserve">evidence from small-scale </w:t>
      </w:r>
      <w:r w:rsidR="00C83B0A">
        <w:rPr>
          <w:lang w:val="en-US"/>
        </w:rPr>
        <w:t>society’s</w:t>
      </w:r>
      <w:r w:rsidR="00F34D87">
        <w:rPr>
          <w:lang w:val="en-US"/>
        </w:rPr>
        <w:t xml:space="preserve"> </w:t>
      </w:r>
      <w:r w:rsidR="000F7B95">
        <w:rPr>
          <w:lang w:val="en-US"/>
        </w:rPr>
        <w:t xml:space="preserve">links </w:t>
      </w:r>
      <w:r w:rsidR="00F34D87">
        <w:rPr>
          <w:lang w:val="en-US"/>
        </w:rPr>
        <w:t xml:space="preserve">lower contributions to </w:t>
      </w:r>
      <w:r w:rsidR="00EF1C18">
        <w:rPr>
          <w:lang w:val="en-US"/>
        </w:rPr>
        <w:t>CRs</w:t>
      </w:r>
      <w:r w:rsidR="00F34D87">
        <w:rPr>
          <w:lang w:val="en-US"/>
        </w:rPr>
        <w:t xml:space="preserve"> in more heterogeneous groups to </w:t>
      </w:r>
      <w:r w:rsidR="00054349">
        <w:rPr>
          <w:lang w:val="en-US"/>
        </w:rPr>
        <w:t>their</w:t>
      </w:r>
      <w:r w:rsidR="00F34D87">
        <w:rPr>
          <w:lang w:val="en-US"/>
        </w:rPr>
        <w:t xml:space="preserve"> constituents’ belief </w:t>
      </w:r>
      <w:r w:rsidR="00054349">
        <w:rPr>
          <w:lang w:val="en-US"/>
        </w:rPr>
        <w:t>cooperation</w:t>
      </w:r>
      <w:r w:rsidR="00C83B0A">
        <w:rPr>
          <w:lang w:val="en-US"/>
        </w:rPr>
        <w:t xml:space="preserve"> would bring</w:t>
      </w:r>
      <w:r w:rsidR="00F34D87">
        <w:rPr>
          <w:lang w:val="en-US"/>
        </w:rPr>
        <w:t xml:space="preserve"> lower benefit</w:t>
      </w:r>
      <w:r w:rsidR="00C83B0A">
        <w:rPr>
          <w:lang w:val="en-US"/>
        </w:rPr>
        <w:t>s</w:t>
      </w:r>
      <w:r w:rsidR="00F34D87">
        <w:rPr>
          <w:lang w:val="en-US"/>
        </w:rPr>
        <w:t xml:space="preserve"> upon investment</w:t>
      </w:r>
      <w:r w:rsidR="00C83B0A">
        <w:rPr>
          <w:lang w:val="en-US"/>
        </w:rPr>
        <w:t xml:space="preserve"> than it would in homogeneous groups </w:t>
      </w:r>
      <w:r w:rsidR="00F34D87">
        <w:rPr>
          <w:lang w:val="en-US"/>
        </w:rPr>
        <w:t>(</w:t>
      </w:r>
      <w:proofErr w:type="spellStart"/>
      <w:r w:rsidR="00F34D87">
        <w:rPr>
          <w:lang w:val="en-US"/>
        </w:rPr>
        <w:t>Habyarimana</w:t>
      </w:r>
      <w:proofErr w:type="spellEnd"/>
      <w:r w:rsidR="00F34D87">
        <w:rPr>
          <w:lang w:val="en-US"/>
        </w:rPr>
        <w:t xml:space="preserve"> et al., 2007).</w:t>
      </w:r>
      <w:r w:rsidR="00EF1C18">
        <w:rPr>
          <w:lang w:val="en-US"/>
        </w:rPr>
        <w:t xml:space="preserve"> </w:t>
      </w:r>
      <w:r w:rsidR="00164BC3">
        <w:rPr>
          <w:lang w:val="en-US"/>
        </w:rPr>
        <w:t>Thus, n</w:t>
      </w:r>
      <w:r w:rsidR="001B70CE">
        <w:rPr>
          <w:lang w:val="en-US"/>
        </w:rPr>
        <w:t xml:space="preserve">ot only </w:t>
      </w:r>
      <w:r w:rsidR="00164BC3">
        <w:rPr>
          <w:lang w:val="en-US"/>
        </w:rPr>
        <w:t xml:space="preserve">is access to CRs </w:t>
      </w:r>
      <w:r w:rsidR="001B70CE">
        <w:rPr>
          <w:lang w:val="en-US"/>
        </w:rPr>
        <w:t xml:space="preserve">denied to minority groups like immigrants, but their presence discourages support for </w:t>
      </w:r>
      <w:r w:rsidR="00164BC3">
        <w:rPr>
          <w:lang w:val="en-US"/>
        </w:rPr>
        <w:t xml:space="preserve">having any CRs </w:t>
      </w:r>
      <w:r w:rsidR="00164BC3">
        <w:rPr>
          <w:lang w:val="en-US"/>
        </w:rPr>
        <w:lastRenderedPageBreak/>
        <w:t>whatsoever</w:t>
      </w:r>
      <w:r w:rsidR="001B70CE">
        <w:rPr>
          <w:lang w:val="en-US"/>
        </w:rPr>
        <w:t>.</w:t>
      </w:r>
      <w:r w:rsidR="000F7B95">
        <w:rPr>
          <w:lang w:val="en-US"/>
        </w:rPr>
        <w:t xml:space="preserve"> </w:t>
      </w:r>
      <w:r w:rsidR="001B70CE">
        <w:rPr>
          <w:lang w:val="en-US"/>
        </w:rPr>
        <w:t xml:space="preserve">This suggests to us that people must believe granting </w:t>
      </w:r>
      <w:r w:rsidR="00054349">
        <w:rPr>
          <w:lang w:val="en-US"/>
        </w:rPr>
        <w:t>minority groups, like immigrants,</w:t>
      </w:r>
      <w:r w:rsidR="001B70CE">
        <w:rPr>
          <w:lang w:val="en-US"/>
        </w:rPr>
        <w:t xml:space="preserve"> access to common resource somehow threatens the value of the resource itself.</w:t>
      </w:r>
      <w:bookmarkEnd w:id="8"/>
      <w:r w:rsidR="00054349">
        <w:rPr>
          <w:lang w:val="en-US"/>
        </w:rPr>
        <w:t xml:space="preserve"> In other words, some intuitive, biased belief about how minority groups affect CRs </w:t>
      </w:r>
      <w:r w:rsidR="00905792">
        <w:rPr>
          <w:lang w:val="en-US"/>
        </w:rPr>
        <w:t xml:space="preserve">might </w:t>
      </w:r>
      <w:r w:rsidR="00054349">
        <w:rPr>
          <w:lang w:val="en-US"/>
        </w:rPr>
        <w:t xml:space="preserve">exist and inform prejudice against them. </w:t>
      </w:r>
    </w:p>
    <w:bookmarkEnd w:id="4"/>
    <w:p w14:paraId="4724680D" w14:textId="30EC78A5" w:rsidR="000E1D72" w:rsidRPr="007515DE" w:rsidRDefault="000E1D72" w:rsidP="00777DB5">
      <w:pPr>
        <w:rPr>
          <w:lang w:val="en-US"/>
        </w:rPr>
      </w:pPr>
      <w:r w:rsidRPr="007515DE">
        <w:rPr>
          <w:lang w:val="en-US"/>
        </w:rPr>
        <w:t xml:space="preserve">In this work, we argue that negative attitudes towards </w:t>
      </w:r>
      <w:r w:rsidR="00075B87" w:rsidRPr="007515DE">
        <w:rPr>
          <w:lang w:val="en-US"/>
        </w:rPr>
        <w:t>im</w:t>
      </w:r>
      <w:r w:rsidRPr="007515DE">
        <w:rPr>
          <w:lang w:val="en-US"/>
        </w:rPr>
        <w:t xml:space="preserve">migrants have a basis in concerns for common resource </w:t>
      </w:r>
      <w:r w:rsidR="00CA7FF5" w:rsidRPr="007515DE">
        <w:rPr>
          <w:lang w:val="en-US"/>
        </w:rPr>
        <w:t xml:space="preserve">(CR) </w:t>
      </w:r>
      <w:r w:rsidRPr="007515DE">
        <w:rPr>
          <w:lang w:val="en-US"/>
        </w:rPr>
        <w:t xml:space="preserve">management which can be understood in game-theoretical terms. Specifically, we argue that host majority populations tend to assume </w:t>
      </w:r>
      <w:r w:rsidR="004C0305" w:rsidRPr="007515DE">
        <w:rPr>
          <w:lang w:val="en-US"/>
        </w:rPr>
        <w:t>ethnic</w:t>
      </w:r>
      <w:r w:rsidRPr="007515DE">
        <w:rPr>
          <w:lang w:val="en-US"/>
        </w:rPr>
        <w:t xml:space="preserve"> minority groups will contribut</w:t>
      </w:r>
      <w:r w:rsidR="00CA7FF5" w:rsidRPr="007515DE">
        <w:rPr>
          <w:lang w:val="en-US"/>
        </w:rPr>
        <w:t>e less and benefit more from CRs</w:t>
      </w:r>
      <w:r w:rsidRPr="007515DE">
        <w:rPr>
          <w:lang w:val="en-US"/>
        </w:rPr>
        <w:t xml:space="preserve">. This intuition motivates negative bias against </w:t>
      </w:r>
      <w:r w:rsidR="006B170D" w:rsidRPr="007515DE">
        <w:rPr>
          <w:lang w:val="en-US"/>
        </w:rPr>
        <w:t xml:space="preserve">all </w:t>
      </w:r>
      <w:r w:rsidRPr="007515DE">
        <w:rPr>
          <w:lang w:val="en-US"/>
        </w:rPr>
        <w:t>minority groups</w:t>
      </w:r>
      <w:r w:rsidR="004C0305" w:rsidRPr="007515DE">
        <w:rPr>
          <w:lang w:val="en-US"/>
        </w:rPr>
        <w:t xml:space="preserve"> including immigrants</w:t>
      </w:r>
      <w:r w:rsidR="00F1620C" w:rsidRPr="007515DE">
        <w:rPr>
          <w:lang w:val="en-US"/>
        </w:rPr>
        <w:t xml:space="preserve">, as do different attitudes towards CRs and public spending on them. </w:t>
      </w:r>
      <w:r w:rsidR="00306CA6" w:rsidRPr="007515DE">
        <w:rPr>
          <w:lang w:val="en-US"/>
        </w:rPr>
        <w:t xml:space="preserve">We argue they should add to the explanation </w:t>
      </w:r>
      <w:r w:rsidR="006B170D" w:rsidRPr="007515DE">
        <w:rPr>
          <w:lang w:val="en-US"/>
        </w:rPr>
        <w:t>alongside</w:t>
      </w:r>
      <w:r w:rsidRPr="007515DE">
        <w:rPr>
          <w:lang w:val="en-US"/>
        </w:rPr>
        <w:t xml:space="preserve"> other, known indicators of </w:t>
      </w:r>
      <w:r w:rsidR="00AF3B62" w:rsidRPr="007515DE">
        <w:rPr>
          <w:lang w:val="en-US"/>
        </w:rPr>
        <w:t>prejudice</w:t>
      </w:r>
      <w:r w:rsidRPr="007515DE">
        <w:rPr>
          <w:lang w:val="en-US"/>
        </w:rPr>
        <w:t>, like Social Dominance Orientation (</w:t>
      </w:r>
      <w:proofErr w:type="spellStart"/>
      <w:r w:rsidRPr="007515DE">
        <w:rPr>
          <w:lang w:val="en-US"/>
        </w:rPr>
        <w:t>Sidanius</w:t>
      </w:r>
      <w:proofErr w:type="spellEnd"/>
      <w:r w:rsidRPr="007515DE">
        <w:rPr>
          <w:lang w:val="en-US"/>
        </w:rPr>
        <w:t xml:space="preserve"> &amp; </w:t>
      </w:r>
      <w:proofErr w:type="spellStart"/>
      <w:r w:rsidRPr="007515DE">
        <w:rPr>
          <w:lang w:val="en-US"/>
        </w:rPr>
        <w:t>Pratto</w:t>
      </w:r>
      <w:proofErr w:type="spellEnd"/>
      <w:r w:rsidRPr="007515DE">
        <w:rPr>
          <w:lang w:val="en-US"/>
        </w:rPr>
        <w:t>, 1999), Hierarchic Self-Interest (Hagan et al., 1999), or national pride and identity (</w:t>
      </w:r>
      <w:proofErr w:type="spellStart"/>
      <w:r w:rsidR="001364B9" w:rsidRPr="007515DE">
        <w:rPr>
          <w:lang w:val="en-US"/>
        </w:rPr>
        <w:t>Grigoryan</w:t>
      </w:r>
      <w:proofErr w:type="spellEnd"/>
      <w:r w:rsidR="001364B9" w:rsidRPr="007515DE">
        <w:rPr>
          <w:lang w:val="en-US"/>
        </w:rPr>
        <w:t xml:space="preserve"> &amp; </w:t>
      </w:r>
      <w:proofErr w:type="spellStart"/>
      <w:r w:rsidR="001364B9" w:rsidRPr="007515DE">
        <w:rPr>
          <w:lang w:val="en-US"/>
        </w:rPr>
        <w:t>Ponizovskiy</w:t>
      </w:r>
      <w:proofErr w:type="spellEnd"/>
      <w:r w:rsidR="001364B9" w:rsidRPr="007515DE">
        <w:rPr>
          <w:lang w:val="en-US"/>
        </w:rPr>
        <w:t xml:space="preserve">, 2018; </w:t>
      </w:r>
      <w:proofErr w:type="spellStart"/>
      <w:r w:rsidRPr="007515DE">
        <w:rPr>
          <w:lang w:val="en-US"/>
        </w:rPr>
        <w:t>Hjerm</w:t>
      </w:r>
      <w:proofErr w:type="spellEnd"/>
      <w:r w:rsidRPr="007515DE">
        <w:rPr>
          <w:lang w:val="en-US"/>
        </w:rPr>
        <w:t>, 1998).</w:t>
      </w:r>
    </w:p>
    <w:p w14:paraId="70E365CB" w14:textId="11330927" w:rsidR="000A480D" w:rsidRPr="007515DE" w:rsidRDefault="000E1D72" w:rsidP="00777DB5">
      <w:pPr>
        <w:rPr>
          <w:lang w:val="en-US"/>
        </w:rPr>
      </w:pPr>
      <w:bookmarkStart w:id="9" w:name="_Hlk149981800"/>
      <w:r w:rsidRPr="007515DE">
        <w:rPr>
          <w:lang w:val="en-US"/>
        </w:rPr>
        <w:t xml:space="preserve">Why would this intuition exist? </w:t>
      </w:r>
      <w:r w:rsidR="008C4576" w:rsidRPr="007515DE">
        <w:rPr>
          <w:rFonts w:cs="Arial"/>
          <w:lang w:val="en-US"/>
        </w:rPr>
        <w:t>Š</w:t>
      </w:r>
      <w:r w:rsidR="008C4576" w:rsidRPr="007515DE">
        <w:rPr>
          <w:lang w:val="en-US"/>
        </w:rPr>
        <w:t>imunovi</w:t>
      </w:r>
      <w:r w:rsidR="008C4576" w:rsidRPr="007515DE">
        <w:rPr>
          <w:rFonts w:cs="Arial"/>
          <w:lang w:val="en-US"/>
        </w:rPr>
        <w:t>ć</w:t>
      </w:r>
      <w:r w:rsidR="004C0305" w:rsidRPr="007515DE">
        <w:rPr>
          <w:lang w:val="en-US"/>
        </w:rPr>
        <w:t xml:space="preserve"> (2017) investigates how the public goods game (PGG) faces obstacles if it is played between a minority and a majority. The PGG is a model of </w:t>
      </w:r>
      <w:r w:rsidR="00CA7FF5" w:rsidRPr="007515DE">
        <w:rPr>
          <w:lang w:val="en-US"/>
        </w:rPr>
        <w:t>CR</w:t>
      </w:r>
      <w:r w:rsidR="004C0305" w:rsidRPr="007515DE">
        <w:rPr>
          <w:lang w:val="en-US"/>
        </w:rPr>
        <w:t xml:space="preserve"> management where each individual participant can contribute to a common pot. The common pot is subsequently multiplied by some factor </w:t>
      </w:r>
      <w:r w:rsidR="00AF3B62" w:rsidRPr="007515DE">
        <w:rPr>
          <w:i/>
          <w:lang w:val="en-US"/>
        </w:rPr>
        <w:t>r</w:t>
      </w:r>
      <w:r w:rsidR="00AF3B62" w:rsidRPr="007515DE">
        <w:rPr>
          <w:lang w:val="en-US"/>
        </w:rPr>
        <w:t>&gt;1</w:t>
      </w:r>
      <w:r w:rsidR="004C0305" w:rsidRPr="007515DE">
        <w:rPr>
          <w:lang w:val="en-US"/>
        </w:rPr>
        <w:t xml:space="preserve"> whereupon the benefits are redistributed to all players. This present</w:t>
      </w:r>
      <w:r w:rsidR="000A480D" w:rsidRPr="007515DE">
        <w:rPr>
          <w:lang w:val="en-US"/>
        </w:rPr>
        <w:t>s a dilemma: w</w:t>
      </w:r>
      <w:r w:rsidR="004C0305" w:rsidRPr="007515DE">
        <w:rPr>
          <w:lang w:val="en-US"/>
        </w:rPr>
        <w:t xml:space="preserve">hile it is collectively beneficial to contribute to the common pot, it is individually beneficial to freeride, </w:t>
      </w:r>
      <w:r w:rsidRPr="007515DE">
        <w:rPr>
          <w:lang w:val="en-US"/>
        </w:rPr>
        <w:t>i.e.</w:t>
      </w:r>
      <w:r w:rsidR="003E1D42" w:rsidRPr="007515DE">
        <w:rPr>
          <w:lang w:val="en-US"/>
        </w:rPr>
        <w:t>,</w:t>
      </w:r>
      <w:r w:rsidRPr="007515DE">
        <w:rPr>
          <w:lang w:val="en-US"/>
        </w:rPr>
        <w:t xml:space="preserve"> to </w:t>
      </w:r>
      <w:r w:rsidR="00AF3B62" w:rsidRPr="007515DE">
        <w:rPr>
          <w:lang w:val="en-US"/>
        </w:rPr>
        <w:t>profit</w:t>
      </w:r>
      <w:r w:rsidRPr="007515DE">
        <w:rPr>
          <w:lang w:val="en-US"/>
        </w:rPr>
        <w:t xml:space="preserve"> from others’ </w:t>
      </w:r>
      <w:r w:rsidR="004C0305" w:rsidRPr="007515DE">
        <w:rPr>
          <w:lang w:val="en-US"/>
        </w:rPr>
        <w:t>cooperation</w:t>
      </w:r>
      <w:r w:rsidRPr="007515DE">
        <w:rPr>
          <w:lang w:val="en-US"/>
        </w:rPr>
        <w:t xml:space="preserve"> without contributing </w:t>
      </w:r>
      <w:r w:rsidR="004C0305" w:rsidRPr="007515DE">
        <w:rPr>
          <w:lang w:val="en-US"/>
        </w:rPr>
        <w:t>oneself</w:t>
      </w:r>
      <w:r w:rsidRPr="007515DE">
        <w:rPr>
          <w:lang w:val="en-US"/>
        </w:rPr>
        <w:t xml:space="preserve">. </w:t>
      </w:r>
      <w:r w:rsidR="008C4576" w:rsidRPr="007515DE">
        <w:rPr>
          <w:rFonts w:cs="Arial"/>
          <w:lang w:val="en-US"/>
        </w:rPr>
        <w:t>Š</w:t>
      </w:r>
      <w:r w:rsidR="008C4576" w:rsidRPr="007515DE">
        <w:rPr>
          <w:lang w:val="en-US"/>
        </w:rPr>
        <w:t>imunovi</w:t>
      </w:r>
      <w:r w:rsidR="008C4576" w:rsidRPr="007515DE">
        <w:rPr>
          <w:rFonts w:cs="Arial"/>
          <w:lang w:val="en-US"/>
        </w:rPr>
        <w:t>ć</w:t>
      </w:r>
      <w:r w:rsidRPr="007515DE">
        <w:rPr>
          <w:lang w:val="en-US"/>
        </w:rPr>
        <w:t xml:space="preserve"> </w:t>
      </w:r>
      <w:r w:rsidR="004C0305" w:rsidRPr="007515DE">
        <w:rPr>
          <w:lang w:val="en-US"/>
        </w:rPr>
        <w:t>find</w:t>
      </w:r>
      <w:r w:rsidR="000A480D" w:rsidRPr="007515DE">
        <w:rPr>
          <w:lang w:val="en-US"/>
        </w:rPr>
        <w:t>s</w:t>
      </w:r>
      <w:r w:rsidR="004C0305" w:rsidRPr="007515DE">
        <w:rPr>
          <w:lang w:val="en-US"/>
        </w:rPr>
        <w:t xml:space="preserve"> that</w:t>
      </w:r>
      <w:r w:rsidR="000A480D" w:rsidRPr="007515DE">
        <w:rPr>
          <w:lang w:val="en-US"/>
        </w:rPr>
        <w:t xml:space="preserve"> the incentives</w:t>
      </w:r>
      <w:r w:rsidRPr="007515DE">
        <w:rPr>
          <w:lang w:val="en-US"/>
        </w:rPr>
        <w:t xml:space="preserve"> to freeride are asymmet</w:t>
      </w:r>
      <w:r w:rsidR="000A480D" w:rsidRPr="007515DE">
        <w:rPr>
          <w:lang w:val="en-US"/>
        </w:rPr>
        <w:t>rical when the game is played</w:t>
      </w:r>
      <w:r w:rsidRPr="007515DE">
        <w:rPr>
          <w:lang w:val="en-US"/>
        </w:rPr>
        <w:t xml:space="preserve"> between distinct groups of unequal size, representing a minority and a majority living in a heterogeneous society. She finds that </w:t>
      </w:r>
      <w:r w:rsidR="000A480D" w:rsidRPr="007515DE">
        <w:rPr>
          <w:lang w:val="en-US"/>
        </w:rPr>
        <w:t xml:space="preserve">freeriding </w:t>
      </w:r>
      <w:r w:rsidR="004B158F" w:rsidRPr="007515DE">
        <w:rPr>
          <w:lang w:val="en-US"/>
        </w:rPr>
        <w:t>appears</w:t>
      </w:r>
      <w:r w:rsidR="00F1620C" w:rsidRPr="007515DE">
        <w:rPr>
          <w:lang w:val="en-US"/>
        </w:rPr>
        <w:t xml:space="preserve"> to </w:t>
      </w:r>
      <w:r w:rsidR="000A480D" w:rsidRPr="007515DE">
        <w:rPr>
          <w:lang w:val="en-US"/>
        </w:rPr>
        <w:t>be a more tempting strategy for minority</w:t>
      </w:r>
      <w:r w:rsidR="00AF3B62" w:rsidRPr="007515DE">
        <w:rPr>
          <w:lang w:val="en-US"/>
        </w:rPr>
        <w:t xml:space="preserve"> members, who can</w:t>
      </w:r>
      <w:r w:rsidR="006B170D" w:rsidRPr="007515DE">
        <w:rPr>
          <w:lang w:val="en-US"/>
        </w:rPr>
        <w:t xml:space="preserve"> </w:t>
      </w:r>
      <w:r w:rsidR="00F1620C" w:rsidRPr="007515DE">
        <w:rPr>
          <w:lang w:val="en-US"/>
        </w:rPr>
        <w:t>reliably</w:t>
      </w:r>
      <w:r w:rsidR="00AF3B62" w:rsidRPr="007515DE">
        <w:rPr>
          <w:lang w:val="en-US"/>
        </w:rPr>
        <w:t xml:space="preserve"> increase </w:t>
      </w:r>
      <w:r w:rsidR="00F1620C" w:rsidRPr="007515DE">
        <w:rPr>
          <w:lang w:val="en-US"/>
        </w:rPr>
        <w:t>not only their own, but fellow</w:t>
      </w:r>
      <w:r w:rsidR="00AF3B62" w:rsidRPr="007515DE">
        <w:rPr>
          <w:lang w:val="en-US"/>
        </w:rPr>
        <w:t xml:space="preserve"> minority members’ outcomes by freeriding. This </w:t>
      </w:r>
      <w:r w:rsidR="00F1620C" w:rsidRPr="007515DE">
        <w:rPr>
          <w:lang w:val="en-US"/>
        </w:rPr>
        <w:t>i</w:t>
      </w:r>
      <w:r w:rsidR="00AF3B62" w:rsidRPr="007515DE">
        <w:rPr>
          <w:lang w:val="en-US"/>
        </w:rPr>
        <w:t>s not the case for majority group members</w:t>
      </w:r>
      <w:r w:rsidR="00CB7074">
        <w:rPr>
          <w:lang w:val="en-US"/>
        </w:rPr>
        <w:t xml:space="preserve"> (Simunovic et al., 2023)</w:t>
      </w:r>
      <w:r w:rsidRPr="007515DE">
        <w:rPr>
          <w:lang w:val="en-US"/>
        </w:rPr>
        <w:t xml:space="preserve">. </w:t>
      </w:r>
      <w:r w:rsidR="008C4576" w:rsidRPr="007515DE">
        <w:rPr>
          <w:rFonts w:cs="Arial"/>
          <w:lang w:val="en-US"/>
        </w:rPr>
        <w:t>Š</w:t>
      </w:r>
      <w:r w:rsidR="008C4576" w:rsidRPr="007515DE">
        <w:rPr>
          <w:lang w:val="en-US"/>
        </w:rPr>
        <w:t>imunovi</w:t>
      </w:r>
      <w:r w:rsidR="008C4576" w:rsidRPr="007515DE">
        <w:rPr>
          <w:rFonts w:cs="Arial"/>
          <w:lang w:val="en-US"/>
        </w:rPr>
        <w:t>ć</w:t>
      </w:r>
      <w:r w:rsidRPr="007515DE">
        <w:rPr>
          <w:lang w:val="en-US"/>
        </w:rPr>
        <w:t xml:space="preserve"> argues that majority group members intuit </w:t>
      </w:r>
      <w:r w:rsidR="000A480D" w:rsidRPr="007515DE">
        <w:rPr>
          <w:lang w:val="en-US"/>
        </w:rPr>
        <w:t>minorities</w:t>
      </w:r>
      <w:r w:rsidRPr="007515DE">
        <w:rPr>
          <w:lang w:val="en-US"/>
        </w:rPr>
        <w:t xml:space="preserve"> will freeride on </w:t>
      </w:r>
      <w:r w:rsidR="00CA7FF5" w:rsidRPr="007515DE">
        <w:rPr>
          <w:lang w:val="en-US"/>
        </w:rPr>
        <w:t>CR</w:t>
      </w:r>
      <w:r w:rsidRPr="007515DE">
        <w:rPr>
          <w:lang w:val="en-US"/>
        </w:rPr>
        <w:t xml:space="preserve"> management and, as a result, discriminate against them. Indeed, preliminary experiment</w:t>
      </w:r>
      <w:r w:rsidR="000A480D" w:rsidRPr="007515DE">
        <w:rPr>
          <w:lang w:val="en-US"/>
        </w:rPr>
        <w:t>al work supports this notion. P</w:t>
      </w:r>
      <w:r w:rsidRPr="007515DE">
        <w:rPr>
          <w:lang w:val="en-US"/>
        </w:rPr>
        <w:t xml:space="preserve">articipants categorized into a </w:t>
      </w:r>
      <w:r w:rsidRPr="007515DE">
        <w:rPr>
          <w:lang w:val="en-US"/>
        </w:rPr>
        <w:lastRenderedPageBreak/>
        <w:t xml:space="preserve">meaningless majority group </w:t>
      </w:r>
      <w:r w:rsidR="00AF3B62" w:rsidRPr="007515DE">
        <w:rPr>
          <w:lang w:val="en-US"/>
        </w:rPr>
        <w:t>underestimate minority contributions in the PGG</w:t>
      </w:r>
      <w:r w:rsidRPr="007515DE">
        <w:rPr>
          <w:lang w:val="en-US"/>
        </w:rPr>
        <w:t xml:space="preserve">. This </w:t>
      </w:r>
      <w:r w:rsidR="00CB7074">
        <w:rPr>
          <w:lang w:val="en-US"/>
        </w:rPr>
        <w:t xml:space="preserve">intuition </w:t>
      </w:r>
      <w:r w:rsidRPr="007515DE">
        <w:rPr>
          <w:lang w:val="en-US"/>
        </w:rPr>
        <w:t xml:space="preserve">drives </w:t>
      </w:r>
      <w:r w:rsidR="00AF3B62" w:rsidRPr="007515DE">
        <w:rPr>
          <w:lang w:val="en-US"/>
        </w:rPr>
        <w:t xml:space="preserve">discrimination </w:t>
      </w:r>
      <w:r w:rsidR="00CB7074">
        <w:rPr>
          <w:lang w:val="en-US"/>
        </w:rPr>
        <w:t xml:space="preserve">against them </w:t>
      </w:r>
      <w:r w:rsidR="00AF3B62" w:rsidRPr="007515DE">
        <w:rPr>
          <w:lang w:val="en-US"/>
        </w:rPr>
        <w:t>in economic games</w:t>
      </w:r>
      <w:r w:rsidRPr="007515DE">
        <w:rPr>
          <w:lang w:val="en-US"/>
        </w:rPr>
        <w:t xml:space="preserve">. </w:t>
      </w:r>
      <w:r w:rsidR="00C43DAC">
        <w:rPr>
          <w:lang w:val="en-US"/>
        </w:rPr>
        <w:t>Authors characterize this as a cognitive bias which emerges from the “set up” of the game (common resource management dilemma) and spill</w:t>
      </w:r>
      <w:r w:rsidR="001C2547">
        <w:rPr>
          <w:lang w:val="en-US"/>
        </w:rPr>
        <w:t>s</w:t>
      </w:r>
      <w:r w:rsidR="00C43DAC">
        <w:rPr>
          <w:lang w:val="en-US"/>
        </w:rPr>
        <w:t xml:space="preserve"> over to target any contextually relevant, recognizable minority. </w:t>
      </w:r>
      <w:r w:rsidRPr="007515DE">
        <w:rPr>
          <w:lang w:val="en-US"/>
        </w:rPr>
        <w:t xml:space="preserve">However, there is no guarantee that the same connection between </w:t>
      </w:r>
      <w:r w:rsidR="00CA7FF5" w:rsidRPr="007515DE">
        <w:rPr>
          <w:lang w:val="en-US"/>
        </w:rPr>
        <w:t>CR</w:t>
      </w:r>
      <w:r w:rsidRPr="007515DE">
        <w:rPr>
          <w:lang w:val="en-US"/>
        </w:rPr>
        <w:t xml:space="preserve"> concerns, predictions of minority freeriding, and discrimination can be recorded outside of the lab, nor that it is not already accounted for by other social, economic, </w:t>
      </w:r>
      <w:r w:rsidR="00E92A73" w:rsidRPr="007515DE">
        <w:rPr>
          <w:lang w:val="en-US"/>
        </w:rPr>
        <w:t xml:space="preserve">political, </w:t>
      </w:r>
      <w:r w:rsidRPr="007515DE">
        <w:rPr>
          <w:lang w:val="en-US"/>
        </w:rPr>
        <w:t xml:space="preserve">and psychological factors. </w:t>
      </w:r>
      <w:r w:rsidR="0098627A">
        <w:rPr>
          <w:lang w:val="en-US"/>
        </w:rPr>
        <w:t xml:space="preserve">Moreover, the laboratory provides little understanding of how some individual’s support for </w:t>
      </w:r>
      <w:r w:rsidR="0098627A" w:rsidRPr="00454815">
        <w:rPr>
          <w:i/>
          <w:lang w:val="en-US"/>
        </w:rPr>
        <w:t>various types</w:t>
      </w:r>
      <w:r w:rsidR="0098627A">
        <w:rPr>
          <w:lang w:val="en-US"/>
        </w:rPr>
        <w:t xml:space="preserve"> of common resources relates to their levels of prejudice against minority groups, such as immigrants. For a person supporting more </w:t>
      </w:r>
      <w:r w:rsidR="00584C59">
        <w:rPr>
          <w:lang w:val="en-US"/>
        </w:rPr>
        <w:t xml:space="preserve">public </w:t>
      </w:r>
      <w:r w:rsidR="0098627A">
        <w:rPr>
          <w:lang w:val="en-US"/>
        </w:rPr>
        <w:t xml:space="preserve">spending on border control this relationship might be fundamentally different than for a person supporting more spending on programs to address social inequality. </w:t>
      </w:r>
      <w:r w:rsidR="00162274" w:rsidRPr="007515DE">
        <w:rPr>
          <w:lang w:val="en-US"/>
        </w:rPr>
        <w:t>Thus, t</w:t>
      </w:r>
      <w:r w:rsidRPr="007515DE">
        <w:rPr>
          <w:lang w:val="en-US"/>
        </w:rPr>
        <w:t xml:space="preserve">he central question for the current research is, how do support for, and predictions about, various types of </w:t>
      </w:r>
      <w:r w:rsidR="00CA7FF5" w:rsidRPr="007515DE">
        <w:rPr>
          <w:lang w:val="en-US"/>
        </w:rPr>
        <w:t>CR</w:t>
      </w:r>
      <w:r w:rsidRPr="007515DE">
        <w:rPr>
          <w:lang w:val="en-US"/>
        </w:rPr>
        <w:t xml:space="preserve"> management </w:t>
      </w:r>
      <w:r w:rsidR="00C43DAC">
        <w:rPr>
          <w:lang w:val="en-US"/>
        </w:rPr>
        <w:t>relate to</w:t>
      </w:r>
      <w:r w:rsidR="00C43DAC" w:rsidRPr="007515DE">
        <w:rPr>
          <w:lang w:val="en-US"/>
        </w:rPr>
        <w:t xml:space="preserve"> </w:t>
      </w:r>
      <w:r w:rsidRPr="007515DE">
        <w:rPr>
          <w:lang w:val="en-US"/>
        </w:rPr>
        <w:t>attitudes towards a salient minority group like immigrants</w:t>
      </w:r>
      <w:r w:rsidR="00AF3B62" w:rsidRPr="007515DE">
        <w:rPr>
          <w:lang w:val="en-US"/>
        </w:rPr>
        <w:t xml:space="preserve"> in comparison to other predictors of prejudice</w:t>
      </w:r>
      <w:r w:rsidR="004360C6">
        <w:rPr>
          <w:lang w:val="en-US"/>
        </w:rPr>
        <w:t>.</w:t>
      </w:r>
      <w:r w:rsidRPr="007515DE">
        <w:rPr>
          <w:lang w:val="en-US"/>
        </w:rPr>
        <w:t xml:space="preserve"> </w:t>
      </w:r>
    </w:p>
    <w:bookmarkEnd w:id="9"/>
    <w:p w14:paraId="44CB2A91" w14:textId="412DA2BF" w:rsidR="000E1D72" w:rsidRPr="007515DE" w:rsidRDefault="00CA7FF5" w:rsidP="00777DB5">
      <w:pPr>
        <w:rPr>
          <w:lang w:val="en-US"/>
        </w:rPr>
      </w:pPr>
      <w:r w:rsidRPr="007515DE">
        <w:rPr>
          <w:lang w:val="en-US"/>
        </w:rPr>
        <w:t>CR</w:t>
      </w:r>
      <w:r w:rsidR="00DA3300">
        <w:rPr>
          <w:lang w:val="en-US"/>
        </w:rPr>
        <w:t>s</w:t>
      </w:r>
      <w:r w:rsidR="000E1D72" w:rsidRPr="007515DE">
        <w:rPr>
          <w:lang w:val="en-US"/>
        </w:rPr>
        <w:t xml:space="preserve"> are shared in a variety of ways, take different forms, and have various goals and beneficiaries which may change the way individual</w:t>
      </w:r>
      <w:r w:rsidR="000A480D" w:rsidRPr="007515DE">
        <w:rPr>
          <w:lang w:val="en-US"/>
        </w:rPr>
        <w:t>s</w:t>
      </w:r>
      <w:r w:rsidR="000E1D72" w:rsidRPr="007515DE">
        <w:rPr>
          <w:lang w:val="en-US"/>
        </w:rPr>
        <w:t xml:space="preserve"> think about</w:t>
      </w:r>
      <w:r w:rsidR="000A480D" w:rsidRPr="007515DE">
        <w:rPr>
          <w:lang w:val="en-US"/>
        </w:rPr>
        <w:t xml:space="preserve"> and relate to</w:t>
      </w:r>
      <w:r w:rsidR="000E1D72" w:rsidRPr="007515DE">
        <w:rPr>
          <w:lang w:val="en-US"/>
        </w:rPr>
        <w:t xml:space="preserve"> </w:t>
      </w:r>
      <w:r w:rsidR="000A480D" w:rsidRPr="007515DE">
        <w:rPr>
          <w:lang w:val="en-US"/>
        </w:rPr>
        <w:t>them</w:t>
      </w:r>
      <w:r w:rsidR="000E1D72" w:rsidRPr="007515DE">
        <w:rPr>
          <w:lang w:val="en-US"/>
        </w:rPr>
        <w:t xml:space="preserve">. In this work, we limit ourselves to testing the impact of </w:t>
      </w:r>
      <w:r w:rsidRPr="007515DE">
        <w:rPr>
          <w:lang w:val="en-US"/>
        </w:rPr>
        <w:t>CR</w:t>
      </w:r>
      <w:r w:rsidR="00DA3300">
        <w:rPr>
          <w:lang w:val="en-US"/>
        </w:rPr>
        <w:t>s</w:t>
      </w:r>
      <w:r w:rsidR="000E1D72" w:rsidRPr="007515DE">
        <w:rPr>
          <w:lang w:val="en-US"/>
        </w:rPr>
        <w:t xml:space="preserve"> which are non-exclu</w:t>
      </w:r>
      <w:r w:rsidR="00AF3B62" w:rsidRPr="007515DE">
        <w:rPr>
          <w:lang w:val="en-US"/>
        </w:rPr>
        <w:t xml:space="preserve">dable, renewable, </w:t>
      </w:r>
      <w:r w:rsidR="000E1D72" w:rsidRPr="007515DE">
        <w:rPr>
          <w:lang w:val="en-US"/>
        </w:rPr>
        <w:t>generated through la</w:t>
      </w:r>
      <w:r w:rsidRPr="007515DE">
        <w:rPr>
          <w:lang w:val="en-US"/>
        </w:rPr>
        <w:t>rge-scale cooperation, often funded from taxes, and</w:t>
      </w:r>
      <w:r w:rsidR="000E1D72" w:rsidRPr="007515DE">
        <w:rPr>
          <w:lang w:val="en-US"/>
        </w:rPr>
        <w:t xml:space="preserve"> </w:t>
      </w:r>
      <w:r w:rsidRPr="007515DE">
        <w:rPr>
          <w:lang w:val="en-US"/>
        </w:rPr>
        <w:t>usually</w:t>
      </w:r>
      <w:r w:rsidR="000E1D72" w:rsidRPr="007515DE">
        <w:rPr>
          <w:lang w:val="en-US"/>
        </w:rPr>
        <w:t xml:space="preserve"> mana</w:t>
      </w:r>
      <w:r w:rsidRPr="007515DE">
        <w:rPr>
          <w:lang w:val="en-US"/>
        </w:rPr>
        <w:t>ged by governmental institutions</w:t>
      </w:r>
      <w:r w:rsidR="000E1D72" w:rsidRPr="007515DE">
        <w:rPr>
          <w:lang w:val="en-US"/>
        </w:rPr>
        <w:t>. In other words, we targeted those resources the maintenance of which resemble</w:t>
      </w:r>
      <w:r w:rsidR="00CD4A75" w:rsidRPr="007515DE">
        <w:rPr>
          <w:lang w:val="en-US"/>
        </w:rPr>
        <w:t>s</w:t>
      </w:r>
      <w:r w:rsidR="000E1D72" w:rsidRPr="007515DE">
        <w:rPr>
          <w:lang w:val="en-US"/>
        </w:rPr>
        <w:t xml:space="preserve"> a public goods game most closely. We included two theoretical dimensions in our selection of </w:t>
      </w:r>
      <w:r w:rsidRPr="007515DE">
        <w:rPr>
          <w:lang w:val="en-US"/>
        </w:rPr>
        <w:t>CRs</w:t>
      </w:r>
      <w:r w:rsidR="000E1D72" w:rsidRPr="007515DE">
        <w:rPr>
          <w:lang w:val="en-US"/>
        </w:rPr>
        <w:t xml:space="preserve">. </w:t>
      </w:r>
      <w:bookmarkStart w:id="10" w:name="_Hlk149981865"/>
      <w:r w:rsidR="000E1D72" w:rsidRPr="007515DE">
        <w:rPr>
          <w:lang w:val="en-US"/>
        </w:rPr>
        <w:t>The first dimension represents those resources which benefit the whole community (</w:t>
      </w:r>
      <w:r w:rsidR="00E5704F" w:rsidRPr="007515DE">
        <w:rPr>
          <w:lang w:val="en-US"/>
        </w:rPr>
        <w:t>e.g.,</w:t>
      </w:r>
      <w:r w:rsidR="000E1D72" w:rsidRPr="007515DE">
        <w:rPr>
          <w:lang w:val="en-US"/>
        </w:rPr>
        <w:t xml:space="preserve"> </w:t>
      </w:r>
      <w:r w:rsidRPr="007515DE">
        <w:rPr>
          <w:lang w:val="en-US"/>
        </w:rPr>
        <w:t>roads</w:t>
      </w:r>
      <w:r w:rsidR="000E1D72" w:rsidRPr="007515DE">
        <w:rPr>
          <w:lang w:val="en-US"/>
        </w:rPr>
        <w:t xml:space="preserve">) or </w:t>
      </w:r>
      <w:r w:rsidR="00306CA6" w:rsidRPr="007515DE">
        <w:rPr>
          <w:lang w:val="en-US"/>
        </w:rPr>
        <w:t>vulnerable</w:t>
      </w:r>
      <w:r w:rsidR="000E1D72" w:rsidRPr="007515DE">
        <w:rPr>
          <w:lang w:val="en-US"/>
        </w:rPr>
        <w:t xml:space="preserve"> groups (</w:t>
      </w:r>
      <w:r w:rsidR="00E5704F" w:rsidRPr="007515DE">
        <w:rPr>
          <w:lang w:val="en-US"/>
        </w:rPr>
        <w:t>e.g.,</w:t>
      </w:r>
      <w:r w:rsidR="000E1D72" w:rsidRPr="007515DE">
        <w:rPr>
          <w:lang w:val="en-US"/>
        </w:rPr>
        <w:t xml:space="preserve"> </w:t>
      </w:r>
      <w:r w:rsidRPr="007515DE">
        <w:rPr>
          <w:lang w:val="en-US"/>
        </w:rPr>
        <w:t>retirement</w:t>
      </w:r>
      <w:r w:rsidR="000E1D72" w:rsidRPr="007515DE">
        <w:rPr>
          <w:lang w:val="en-US"/>
        </w:rPr>
        <w:t xml:space="preserve"> homes). </w:t>
      </w:r>
      <w:r w:rsidR="00C43DAC">
        <w:rPr>
          <w:lang w:val="en-US"/>
        </w:rPr>
        <w:t>P</w:t>
      </w:r>
      <w:r w:rsidR="00306CA6" w:rsidRPr="007515DE">
        <w:rPr>
          <w:lang w:val="en-US"/>
        </w:rPr>
        <w:t>revious research</w:t>
      </w:r>
      <w:r w:rsidR="00C43DAC">
        <w:rPr>
          <w:lang w:val="en-US"/>
        </w:rPr>
        <w:t xml:space="preserve"> has recorded a negative relationship between support for these types of resources </w:t>
      </w:r>
      <w:r w:rsidR="00C43DAC" w:rsidRPr="007515DE">
        <w:rPr>
          <w:lang w:val="en-US"/>
        </w:rPr>
        <w:t>(hereafter called universal resources, UCR)</w:t>
      </w:r>
      <w:r w:rsidR="00C43DAC">
        <w:rPr>
          <w:lang w:val="en-US"/>
        </w:rPr>
        <w:t xml:space="preserve"> and prejudice against immigrants (e.g., Schmidt-</w:t>
      </w:r>
      <w:proofErr w:type="spellStart"/>
      <w:r w:rsidR="00C43DAC">
        <w:rPr>
          <w:lang w:val="en-US"/>
        </w:rPr>
        <w:t>Catran</w:t>
      </w:r>
      <w:proofErr w:type="spellEnd"/>
      <w:r w:rsidR="00C43DAC">
        <w:rPr>
          <w:lang w:val="en-US"/>
        </w:rPr>
        <w:t xml:space="preserve"> &amp; Spies, 2016). Furthermore, values associated with the willingness to support </w:t>
      </w:r>
      <w:r w:rsidR="001C2547">
        <w:rPr>
          <w:lang w:val="en-US"/>
        </w:rPr>
        <w:t>UCRs</w:t>
      </w:r>
      <w:r w:rsidR="009B0871">
        <w:rPr>
          <w:lang w:val="en-US"/>
        </w:rPr>
        <w:t xml:space="preserve"> predict</w:t>
      </w:r>
      <w:r w:rsidR="00C43DAC">
        <w:rPr>
          <w:lang w:val="en-US"/>
        </w:rPr>
        <w:t xml:space="preserve"> overall less parochial attitude</w:t>
      </w:r>
      <w:r w:rsidR="001C2547">
        <w:rPr>
          <w:lang w:val="en-US"/>
        </w:rPr>
        <w:t>s</w:t>
      </w:r>
      <w:r w:rsidR="00C43DAC">
        <w:rPr>
          <w:lang w:val="en-US"/>
        </w:rPr>
        <w:t xml:space="preserve"> (Grigoryan &amp; Schwartz, 2021), while </w:t>
      </w:r>
      <w:r w:rsidR="00947E9C">
        <w:rPr>
          <w:lang w:val="en-US"/>
        </w:rPr>
        <w:t>more negative, “othering” perceptions of</w:t>
      </w:r>
      <w:r w:rsidR="00C43DAC">
        <w:rPr>
          <w:lang w:val="en-US"/>
        </w:rPr>
        <w:t xml:space="preserve"> immigrants or other minorities </w:t>
      </w:r>
      <w:r w:rsidR="00947E9C">
        <w:rPr>
          <w:lang w:val="en-US"/>
        </w:rPr>
        <w:t xml:space="preserve">relates to reluctance </w:t>
      </w:r>
      <w:r w:rsidR="00947E9C">
        <w:rPr>
          <w:lang w:val="en-US"/>
        </w:rPr>
        <w:lastRenderedPageBreak/>
        <w:t>to allow them</w:t>
      </w:r>
      <w:r w:rsidR="00C43DAC">
        <w:rPr>
          <w:lang w:val="en-US"/>
        </w:rPr>
        <w:t xml:space="preserve"> access to the group’s resources</w:t>
      </w:r>
      <w:r w:rsidR="00947E9C">
        <w:rPr>
          <w:lang w:val="en-US"/>
        </w:rPr>
        <w:t xml:space="preserve"> (W</w:t>
      </w:r>
      <w:r w:rsidR="00CD5059">
        <w:rPr>
          <w:lang w:val="en-US"/>
        </w:rPr>
        <w:t>enzel et al., 2008</w:t>
      </w:r>
      <w:r w:rsidR="00947E9C">
        <w:rPr>
          <w:lang w:val="en-US"/>
        </w:rPr>
        <w:t>)</w:t>
      </w:r>
      <w:r w:rsidR="00C43DAC">
        <w:rPr>
          <w:lang w:val="en-US"/>
        </w:rPr>
        <w:t xml:space="preserve">. In line with these findings, </w:t>
      </w:r>
      <w:r w:rsidR="000804B3" w:rsidRPr="007515DE">
        <w:rPr>
          <w:lang w:val="en-US"/>
        </w:rPr>
        <w:t xml:space="preserve">we expect </w:t>
      </w:r>
      <w:r w:rsidR="00947E9C">
        <w:rPr>
          <w:lang w:val="en-US"/>
        </w:rPr>
        <w:t xml:space="preserve">higher levels of </w:t>
      </w:r>
      <w:r w:rsidR="000804B3" w:rsidRPr="007515DE">
        <w:rPr>
          <w:lang w:val="en-US"/>
        </w:rPr>
        <w:t>support for UCRs will</w:t>
      </w:r>
      <w:r w:rsidRPr="007515DE">
        <w:rPr>
          <w:lang w:val="en-US"/>
        </w:rPr>
        <w:t xml:space="preserve"> </w:t>
      </w:r>
      <w:r w:rsidR="00A87FB5" w:rsidRPr="007515DE">
        <w:rPr>
          <w:lang w:val="en-US"/>
        </w:rPr>
        <w:t>predict</w:t>
      </w:r>
      <w:r w:rsidR="00306CA6" w:rsidRPr="007515DE">
        <w:rPr>
          <w:lang w:val="en-US"/>
        </w:rPr>
        <w:t xml:space="preserve"> less</w:t>
      </w:r>
      <w:r w:rsidR="000E1D72" w:rsidRPr="007515DE">
        <w:rPr>
          <w:lang w:val="en-US"/>
        </w:rPr>
        <w:t xml:space="preserve"> </w:t>
      </w:r>
      <w:r w:rsidR="00162274" w:rsidRPr="007515DE">
        <w:rPr>
          <w:lang w:val="en-US"/>
        </w:rPr>
        <w:t>prejudice against immigrants (H1</w:t>
      </w:r>
      <w:r w:rsidR="000E1D72" w:rsidRPr="007515DE">
        <w:rPr>
          <w:lang w:val="en-US"/>
        </w:rPr>
        <w:t xml:space="preserve">). </w:t>
      </w:r>
      <w:bookmarkStart w:id="11" w:name="_Hlk149981903"/>
      <w:bookmarkStart w:id="12" w:name="_Hlk155962670"/>
      <w:bookmarkStart w:id="13" w:name="_Hlk155776292"/>
      <w:bookmarkEnd w:id="10"/>
      <w:r w:rsidR="00745EFC" w:rsidRPr="007515DE">
        <w:rPr>
          <w:lang w:val="en-US"/>
        </w:rPr>
        <w:t>The second dimension represents those resources which address the security of the community and guard its</w:t>
      </w:r>
      <w:r w:rsidR="00745EFC">
        <w:rPr>
          <w:lang w:val="en-US"/>
        </w:rPr>
        <w:t xml:space="preserve"> various</w:t>
      </w:r>
      <w:r w:rsidR="00745EFC" w:rsidRPr="007515DE">
        <w:rPr>
          <w:lang w:val="en-US"/>
        </w:rPr>
        <w:t xml:space="preserve"> resources</w:t>
      </w:r>
      <w:r w:rsidR="00745EFC">
        <w:rPr>
          <w:lang w:val="en-US"/>
        </w:rPr>
        <w:t xml:space="preserve"> from exploitation</w:t>
      </w:r>
      <w:r w:rsidR="00745EFC" w:rsidRPr="007515DE">
        <w:rPr>
          <w:lang w:val="en-US"/>
        </w:rPr>
        <w:t xml:space="preserve">. </w:t>
      </w:r>
      <w:r w:rsidR="00745EFC">
        <w:rPr>
          <w:lang w:val="en-US"/>
        </w:rPr>
        <w:t xml:space="preserve">For example, police and law enforcement agencies prevent and prosecute property crimes, including </w:t>
      </w:r>
      <w:r w:rsidR="00152087">
        <w:rPr>
          <w:lang w:val="en-US"/>
        </w:rPr>
        <w:t>abuses of</w:t>
      </w:r>
      <w:r w:rsidR="00745EFC">
        <w:rPr>
          <w:lang w:val="en-US"/>
        </w:rPr>
        <w:t xml:space="preserve"> common resources (e.g., tax evasion, welfare fraud, environmental pollution), while military and border control prevent internal or external enemies from exploiting the ultimate common resource of the nation, its territorial integrity. </w:t>
      </w:r>
      <w:r w:rsidR="00745EFC" w:rsidRPr="007515DE">
        <w:rPr>
          <w:lang w:val="en-US"/>
        </w:rPr>
        <w:t xml:space="preserve">We predicted that support for those </w:t>
      </w:r>
      <w:r w:rsidR="00745EFC">
        <w:rPr>
          <w:lang w:val="en-US"/>
        </w:rPr>
        <w:t>agencies, institutions and infrastructure</w:t>
      </w:r>
      <w:r w:rsidR="00745EFC" w:rsidRPr="007515DE">
        <w:rPr>
          <w:lang w:val="en-US"/>
        </w:rPr>
        <w:t xml:space="preserve"> (hereafter called security resources, SCR) would contribute towards a more negative attitude towards immigrants (H2), as they would align with a more parochial approach to CR management (Kustov, 20</w:t>
      </w:r>
      <w:r w:rsidR="00745EFC">
        <w:rPr>
          <w:lang w:val="en-US"/>
        </w:rPr>
        <w:t>21</w:t>
      </w:r>
      <w:r w:rsidR="00745EFC" w:rsidRPr="007515DE">
        <w:rPr>
          <w:lang w:val="en-US"/>
        </w:rPr>
        <w:t xml:space="preserve">) where outgroup members like immigrants are excluded. </w:t>
      </w:r>
      <w:r w:rsidR="00745EFC">
        <w:rPr>
          <w:lang w:val="en-US"/>
        </w:rPr>
        <w:t>Indeed, perceived need for security often relates to more prejudice, including institutional discrimination of minority groups which are identified as particular threats (Gilks, 2019), while a sense of threat from immigrants enhances preferences for greater spending on law enforcement (Fink &amp; Brady, 2020). Not only can threat-perception increase prejudice, but prejudice can also increase threat-perception (Bahns, 2017), meaning that the connection between support for SCRs and negative attitudes to immigrants may represent part of a feedback loop.</w:t>
      </w:r>
      <w:bookmarkEnd w:id="11"/>
      <w:r w:rsidR="00745EFC">
        <w:rPr>
          <w:lang w:val="en-US"/>
        </w:rPr>
        <w:t xml:space="preserve"> Moreover, while UCRs provide productive benefits and services for a variety of needs which can be enjoyed by group members regardless of ethnic majority/host status, SCRs are there to (among other things) protect UCRs from exploitation. Rather than providing resources which might be abused by </w:t>
      </w:r>
      <w:proofErr w:type="spellStart"/>
      <w:r w:rsidR="00745EFC">
        <w:rPr>
          <w:lang w:val="en-US"/>
        </w:rPr>
        <w:t>freeriders</w:t>
      </w:r>
      <w:proofErr w:type="spellEnd"/>
      <w:r w:rsidR="00745EFC">
        <w:rPr>
          <w:lang w:val="en-US"/>
        </w:rPr>
        <w:t xml:space="preserve">, as UCRs do, the goal of SCRs is to, among other things, monitor and sanction </w:t>
      </w:r>
      <w:proofErr w:type="spellStart"/>
      <w:r w:rsidR="00745EFC">
        <w:rPr>
          <w:lang w:val="en-US"/>
        </w:rPr>
        <w:t>freeriders</w:t>
      </w:r>
      <w:proofErr w:type="spellEnd"/>
      <w:r w:rsidR="00745EFC">
        <w:rPr>
          <w:lang w:val="en-US"/>
        </w:rPr>
        <w:t xml:space="preserve">. If immigrants and other minority groups are seen as </w:t>
      </w:r>
      <w:proofErr w:type="spellStart"/>
      <w:r w:rsidR="00745EFC">
        <w:rPr>
          <w:lang w:val="en-US"/>
        </w:rPr>
        <w:t>freeriders</w:t>
      </w:r>
      <w:proofErr w:type="spellEnd"/>
      <w:r w:rsidR="00745EFC">
        <w:rPr>
          <w:lang w:val="en-US"/>
        </w:rPr>
        <w:t xml:space="preserve"> </w:t>
      </w:r>
      <w:r w:rsidR="00745EFC">
        <w:rPr>
          <w:i/>
          <w:lang w:val="en-US"/>
        </w:rPr>
        <w:t xml:space="preserve">a </w:t>
      </w:r>
      <w:r w:rsidR="00745EFC" w:rsidRPr="00454815">
        <w:rPr>
          <w:i/>
          <w:lang w:val="en-US"/>
        </w:rPr>
        <w:t>priori</w:t>
      </w:r>
      <w:r w:rsidR="00745EFC">
        <w:rPr>
          <w:lang w:val="en-US"/>
        </w:rPr>
        <w:t>, then we would expect support for those resources which disincentivize freeriding (e.g., legal ramifications for welfare fraud) to relate positively to prejudice against such groups.</w:t>
      </w:r>
      <w:r w:rsidR="00EB40B3">
        <w:rPr>
          <w:lang w:val="en-US"/>
        </w:rPr>
        <w:t xml:space="preserve"> </w:t>
      </w:r>
      <w:bookmarkEnd w:id="12"/>
      <w:r w:rsidR="003C7911" w:rsidRPr="00EB40B3">
        <w:rPr>
          <w:lang w:val="en-US"/>
        </w:rPr>
        <w:t>Finally</w:t>
      </w:r>
      <w:r w:rsidR="003C7911" w:rsidRPr="007515DE">
        <w:rPr>
          <w:lang w:val="en-US"/>
        </w:rPr>
        <w:t>,</w:t>
      </w:r>
      <w:r w:rsidR="000E1D72" w:rsidRPr="007515DE">
        <w:rPr>
          <w:lang w:val="en-US"/>
        </w:rPr>
        <w:t xml:space="preserve"> in line </w:t>
      </w:r>
      <w:r w:rsidR="008C4576" w:rsidRPr="007515DE">
        <w:rPr>
          <w:rFonts w:cs="Arial"/>
          <w:lang w:val="en-US"/>
        </w:rPr>
        <w:t>Š</w:t>
      </w:r>
      <w:r w:rsidR="008C4576" w:rsidRPr="007515DE">
        <w:rPr>
          <w:lang w:val="en-US"/>
        </w:rPr>
        <w:t>imunovi</w:t>
      </w:r>
      <w:r w:rsidR="008C4576" w:rsidRPr="007515DE">
        <w:rPr>
          <w:rFonts w:cs="Arial"/>
          <w:lang w:val="en-US"/>
        </w:rPr>
        <w:t>ć</w:t>
      </w:r>
      <w:r w:rsidR="000E1D72" w:rsidRPr="007515DE">
        <w:rPr>
          <w:lang w:val="en-US"/>
        </w:rPr>
        <w:t xml:space="preserve"> (2017</w:t>
      </w:r>
      <w:r w:rsidR="0098627A">
        <w:rPr>
          <w:lang w:val="en-US"/>
        </w:rPr>
        <w:t>; Simunovic et al., 2023</w:t>
      </w:r>
      <w:r w:rsidR="000E1D72" w:rsidRPr="007515DE">
        <w:rPr>
          <w:lang w:val="en-US"/>
        </w:rPr>
        <w:t xml:space="preserve">), we predict that those people who assume minority group members will benefit more from </w:t>
      </w:r>
      <w:r w:rsidRPr="007515DE">
        <w:rPr>
          <w:lang w:val="en-US"/>
        </w:rPr>
        <w:t>CR</w:t>
      </w:r>
      <w:r w:rsidR="00216192" w:rsidRPr="007515DE">
        <w:rPr>
          <w:lang w:val="en-US"/>
        </w:rPr>
        <w:t>s</w:t>
      </w:r>
      <w:r w:rsidR="000E1D72" w:rsidRPr="007515DE">
        <w:rPr>
          <w:lang w:val="en-US"/>
        </w:rPr>
        <w:t xml:space="preserve"> while contributing less, would exhibit more neg</w:t>
      </w:r>
      <w:r w:rsidR="000804B3" w:rsidRPr="007515DE">
        <w:rPr>
          <w:lang w:val="en-US"/>
        </w:rPr>
        <w:t>ative attitudes towards immigrants</w:t>
      </w:r>
      <w:r w:rsidR="00162274" w:rsidRPr="007515DE">
        <w:rPr>
          <w:lang w:val="en-US"/>
        </w:rPr>
        <w:t xml:space="preserve"> (H3</w:t>
      </w:r>
      <w:r w:rsidR="000E1D72" w:rsidRPr="007515DE">
        <w:rPr>
          <w:lang w:val="en-US"/>
        </w:rPr>
        <w:t>).</w:t>
      </w:r>
      <w:bookmarkEnd w:id="13"/>
    </w:p>
    <w:p w14:paraId="072419A9" w14:textId="3CEAA43F" w:rsidR="000E1D72" w:rsidRPr="007515DE" w:rsidRDefault="000E1D72" w:rsidP="00777DB5">
      <w:pPr>
        <w:rPr>
          <w:lang w:val="en-US"/>
        </w:rPr>
      </w:pPr>
      <w:r w:rsidRPr="007515DE">
        <w:rPr>
          <w:lang w:val="en-US"/>
        </w:rPr>
        <w:lastRenderedPageBreak/>
        <w:t xml:space="preserve">To test our hypotheses, we conducted two survey-based studies. The first was exploratory in nature, addressing hypotheses H1, H2, </w:t>
      </w:r>
      <w:r w:rsidR="00162274" w:rsidRPr="007515DE">
        <w:rPr>
          <w:lang w:val="en-US"/>
        </w:rPr>
        <w:t>but not H3</w:t>
      </w:r>
      <w:r w:rsidRPr="007515DE">
        <w:rPr>
          <w:lang w:val="en-US"/>
        </w:rPr>
        <w:t xml:space="preserve">. The second study refined the measures of attitudes and expectations about </w:t>
      </w:r>
      <w:r w:rsidR="00CA7FF5" w:rsidRPr="007515DE">
        <w:rPr>
          <w:lang w:val="en-US"/>
        </w:rPr>
        <w:t>CR</w:t>
      </w:r>
      <w:r w:rsidRPr="007515DE">
        <w:rPr>
          <w:lang w:val="en-US"/>
        </w:rPr>
        <w:t xml:space="preserve"> management, included more alternative predictors of prejudice, and tested all of our hypotheses more directly, on a more homogeneous sample. </w:t>
      </w:r>
    </w:p>
    <w:p w14:paraId="6C4389BD" w14:textId="5C06FB90" w:rsidR="00CA7FF5" w:rsidRPr="007515DE" w:rsidRDefault="00CA7FF5" w:rsidP="009C41C4">
      <w:pPr>
        <w:pStyle w:val="Heading1"/>
        <w:rPr>
          <w:rFonts w:cs="Arial"/>
        </w:rPr>
      </w:pPr>
      <w:r w:rsidRPr="007515DE">
        <w:rPr>
          <w:rFonts w:cs="Arial"/>
        </w:rPr>
        <w:t>Study 1</w:t>
      </w:r>
    </w:p>
    <w:p w14:paraId="12ED9AAF" w14:textId="4356872D" w:rsidR="00CA7FF5" w:rsidRPr="007515DE" w:rsidRDefault="00CA7FF5" w:rsidP="004360C6">
      <w:pPr>
        <w:rPr>
          <w:lang w:val="en-US"/>
        </w:rPr>
      </w:pPr>
      <w:bookmarkStart w:id="14" w:name="_Hlk155964022"/>
      <w:r w:rsidRPr="007515DE">
        <w:rPr>
          <w:lang w:val="en-US"/>
        </w:rPr>
        <w:t xml:space="preserve">The purpose of Study 1 was to </w:t>
      </w:r>
      <w:r w:rsidR="00490108" w:rsidRPr="007515DE">
        <w:rPr>
          <w:lang w:val="en-US"/>
        </w:rPr>
        <w:t>test</w:t>
      </w:r>
      <w:r w:rsidRPr="007515DE">
        <w:rPr>
          <w:lang w:val="en-US"/>
        </w:rPr>
        <w:t xml:space="preserve"> </w:t>
      </w:r>
      <w:r w:rsidR="004360C6">
        <w:rPr>
          <w:lang w:val="en-US"/>
        </w:rPr>
        <w:t>how support for different types of CR</w:t>
      </w:r>
      <w:r w:rsidR="006B11AC">
        <w:rPr>
          <w:lang w:val="en-US"/>
        </w:rPr>
        <w:t>s</w:t>
      </w:r>
      <w:r w:rsidR="004360C6">
        <w:rPr>
          <w:lang w:val="en-US"/>
        </w:rPr>
        <w:t xml:space="preserve"> associate</w:t>
      </w:r>
      <w:r w:rsidR="006B11AC">
        <w:rPr>
          <w:lang w:val="en-US"/>
        </w:rPr>
        <w:t>d to</w:t>
      </w:r>
      <w:r w:rsidR="004360C6">
        <w:rPr>
          <w:lang w:val="en-US"/>
        </w:rPr>
        <w:t xml:space="preserve"> negative attitudes towards immigrants</w:t>
      </w:r>
      <w:r w:rsidRPr="007515DE">
        <w:rPr>
          <w:lang w:val="en-US"/>
        </w:rPr>
        <w:t xml:space="preserve">. We </w:t>
      </w:r>
      <w:r w:rsidR="004360C6">
        <w:rPr>
          <w:lang w:val="en-US"/>
        </w:rPr>
        <w:t xml:space="preserve">included support for UCRs and SCRs alongside other variables which may account for variance in prejudice against immigrants, including </w:t>
      </w:r>
      <w:r w:rsidRPr="007515DE">
        <w:rPr>
          <w:lang w:val="en-US"/>
        </w:rPr>
        <w:t>national pride and left-right political orientation, as well as a number of demographic factors</w:t>
      </w:r>
      <w:r w:rsidR="004360C6">
        <w:rPr>
          <w:lang w:val="en-US"/>
        </w:rPr>
        <w:t>. We argue</w:t>
      </w:r>
      <w:r w:rsidRPr="007515DE">
        <w:rPr>
          <w:lang w:val="en-US"/>
        </w:rPr>
        <w:t xml:space="preserve"> that support for various CR would add to the explanation of prejudice above and beyond these factors</w:t>
      </w:r>
      <w:bookmarkEnd w:id="14"/>
      <w:r w:rsidRPr="007515DE">
        <w:rPr>
          <w:lang w:val="en-US"/>
        </w:rPr>
        <w:t>.</w:t>
      </w:r>
    </w:p>
    <w:p w14:paraId="6FCF8D78" w14:textId="7F10E37D" w:rsidR="00CA7FF5" w:rsidRPr="007515DE" w:rsidRDefault="00CA7FF5" w:rsidP="009C41C4">
      <w:pPr>
        <w:pStyle w:val="Heading1"/>
        <w:rPr>
          <w:rFonts w:cs="Arial"/>
        </w:rPr>
      </w:pPr>
      <w:r w:rsidRPr="007515DE">
        <w:rPr>
          <w:rFonts w:cs="Arial"/>
        </w:rPr>
        <w:t>Method</w:t>
      </w:r>
    </w:p>
    <w:p w14:paraId="5FE74115" w14:textId="77777777" w:rsidR="00CA7FF5" w:rsidRPr="007515DE" w:rsidRDefault="00CA7FF5" w:rsidP="00CA7FF5">
      <w:pPr>
        <w:pStyle w:val="Heading2"/>
        <w:rPr>
          <w:rFonts w:cs="Arial"/>
        </w:rPr>
      </w:pPr>
      <w:r w:rsidRPr="007515DE">
        <w:rPr>
          <w:rFonts w:cs="Arial"/>
        </w:rPr>
        <w:t>Participants</w:t>
      </w:r>
    </w:p>
    <w:p w14:paraId="6914B01F" w14:textId="0B063D18" w:rsidR="00777DB5" w:rsidRPr="007515DE" w:rsidRDefault="00777DB5" w:rsidP="00777DB5">
      <w:pPr>
        <w:rPr>
          <w:lang w:val="en-US"/>
        </w:rPr>
      </w:pPr>
      <w:r w:rsidRPr="007515DE">
        <w:rPr>
          <w:lang w:val="en-US"/>
        </w:rPr>
        <w:t>Participants were recruited via Prolific Academic, an online recruitment agenc</w:t>
      </w:r>
      <w:r w:rsidR="00A87FB5" w:rsidRPr="007515DE">
        <w:rPr>
          <w:lang w:val="en-US"/>
        </w:rPr>
        <w:t>y</w:t>
      </w:r>
      <w:r w:rsidRPr="007515DE">
        <w:rPr>
          <w:lang w:val="en-US"/>
        </w:rPr>
        <w:t>. They were compensated with £7.5 for their time</w:t>
      </w:r>
      <w:r w:rsidR="00A87FB5" w:rsidRPr="007515DE">
        <w:rPr>
          <w:lang w:val="en-US"/>
        </w:rPr>
        <w:t xml:space="preserve"> (see Supplementary Materials for details)</w:t>
      </w:r>
      <w:r w:rsidRPr="007515DE">
        <w:rPr>
          <w:lang w:val="en-US"/>
        </w:rPr>
        <w:t xml:space="preserve">. We attained 180 complete responses with a relatively even distribution between the sexes (88 female, 92 male). The majority of the sample was European (82.2%), but participants reported ethnic identifications from every inhabited continent. </w:t>
      </w:r>
      <w:r w:rsidR="00E92A73" w:rsidRPr="007515DE">
        <w:rPr>
          <w:lang w:val="en-US"/>
        </w:rPr>
        <w:t>M</w:t>
      </w:r>
      <w:r w:rsidRPr="007515DE">
        <w:rPr>
          <w:lang w:val="en-US"/>
        </w:rPr>
        <w:t xml:space="preserve">ean age </w:t>
      </w:r>
      <w:r w:rsidR="00E92A73" w:rsidRPr="007515DE">
        <w:rPr>
          <w:lang w:val="en-US"/>
        </w:rPr>
        <w:t>was</w:t>
      </w:r>
      <w:r w:rsidRPr="007515DE">
        <w:rPr>
          <w:lang w:val="en-US"/>
        </w:rPr>
        <w:t xml:space="preserve"> </w:t>
      </w:r>
      <w:r w:rsidR="00953A40" w:rsidRPr="007515DE">
        <w:rPr>
          <w:iCs/>
          <w:lang w:val="en-US"/>
        </w:rPr>
        <w:t>29.9</w:t>
      </w:r>
      <w:r w:rsidR="00490108" w:rsidRPr="007515DE">
        <w:rPr>
          <w:iCs/>
          <w:lang w:val="en-US"/>
        </w:rPr>
        <w:t xml:space="preserve"> years</w:t>
      </w:r>
      <w:r w:rsidR="00953A40" w:rsidRPr="007515DE">
        <w:rPr>
          <w:iCs/>
          <w:lang w:val="en-US"/>
        </w:rPr>
        <w:t xml:space="preserve"> (</w:t>
      </w:r>
      <w:r w:rsidR="00953A40" w:rsidRPr="007515DE">
        <w:rPr>
          <w:i/>
          <w:lang w:val="en-US"/>
        </w:rPr>
        <w:t>SD</w:t>
      </w:r>
      <w:r w:rsidR="00953A40" w:rsidRPr="007515DE">
        <w:rPr>
          <w:iCs/>
          <w:lang w:val="en-US"/>
        </w:rPr>
        <w:t xml:space="preserve"> = 10.2)</w:t>
      </w:r>
      <w:r w:rsidRPr="007515DE">
        <w:rPr>
          <w:lang w:val="en-US"/>
        </w:rPr>
        <w:t>.</w:t>
      </w:r>
      <w:r w:rsidR="00950577">
        <w:rPr>
          <w:lang w:val="en-US"/>
        </w:rPr>
        <w:t xml:space="preserve"> The majority of the participants placed themselves around the political </w:t>
      </w:r>
      <w:proofErr w:type="spellStart"/>
      <w:r w:rsidR="00950577">
        <w:rPr>
          <w:lang w:val="en-US"/>
        </w:rPr>
        <w:t>centre</w:t>
      </w:r>
      <w:proofErr w:type="spellEnd"/>
      <w:r w:rsidR="00950577">
        <w:rPr>
          <w:lang w:val="en-US"/>
        </w:rPr>
        <w:t xml:space="preserve"> (60.0%), identified themselves as “not religious” (62.2%), and placed themselves in the middle class (51.7%).</w:t>
      </w:r>
    </w:p>
    <w:p w14:paraId="37AE5530" w14:textId="59B58C52" w:rsidR="00CA7FF5" w:rsidRPr="007515DE" w:rsidRDefault="00CA7FF5" w:rsidP="00777DB5">
      <w:pPr>
        <w:pStyle w:val="Heading2"/>
      </w:pPr>
      <w:r w:rsidRPr="007515DE">
        <w:t>Measures</w:t>
      </w:r>
    </w:p>
    <w:p w14:paraId="5EB73E77" w14:textId="77777777" w:rsidR="00CA7FF5" w:rsidRPr="007515DE" w:rsidRDefault="00CA7FF5" w:rsidP="00777DB5">
      <w:pPr>
        <w:pStyle w:val="Heading3"/>
      </w:pPr>
      <w:r w:rsidRPr="007515DE">
        <w:t>Support for public goods</w:t>
      </w:r>
    </w:p>
    <w:p w14:paraId="2634E630" w14:textId="381B0FC8" w:rsidR="00777DB5" w:rsidRPr="007515DE" w:rsidRDefault="00777DB5" w:rsidP="00777DB5">
      <w:pPr>
        <w:rPr>
          <w:lang w:val="en-US"/>
        </w:rPr>
      </w:pPr>
      <w:r w:rsidRPr="007515DE">
        <w:rPr>
          <w:lang w:val="en-US"/>
        </w:rPr>
        <w:t xml:space="preserve">Support for contributions to </w:t>
      </w:r>
      <w:r w:rsidR="00343FC8" w:rsidRPr="007515DE">
        <w:rPr>
          <w:lang w:val="en-US"/>
        </w:rPr>
        <w:t>CRs</w:t>
      </w:r>
      <w:r w:rsidRPr="007515DE">
        <w:rPr>
          <w:lang w:val="en-US"/>
        </w:rPr>
        <w:t xml:space="preserve"> was our core </w:t>
      </w:r>
      <w:r w:rsidR="006B11AC">
        <w:rPr>
          <w:lang w:val="en-US"/>
        </w:rPr>
        <w:t>predictor</w:t>
      </w:r>
      <w:r w:rsidRPr="007515DE">
        <w:rPr>
          <w:lang w:val="en-US"/>
        </w:rPr>
        <w:t xml:space="preserve"> variable and was measured first. Participants were presented with a definition of common resources as “social benefits and </w:t>
      </w:r>
      <w:r w:rsidRPr="007515DE">
        <w:rPr>
          <w:lang w:val="en-US"/>
        </w:rPr>
        <w:lastRenderedPageBreak/>
        <w:t>services (</w:t>
      </w:r>
      <w:r w:rsidR="00E5704F" w:rsidRPr="007515DE">
        <w:rPr>
          <w:lang w:val="en-US"/>
        </w:rPr>
        <w:t>e.g.,</w:t>
      </w:r>
      <w:r w:rsidRPr="007515DE">
        <w:rPr>
          <w:lang w:val="en-US"/>
        </w:rPr>
        <w:t xml:space="preserve"> schools, roads, the police, public libraries, public parks…) which are paid for by taxes”. They were then presented with a list of typical </w:t>
      </w:r>
      <w:r w:rsidR="00343FC8" w:rsidRPr="007515DE">
        <w:rPr>
          <w:lang w:val="en-US"/>
        </w:rPr>
        <w:t>CRs</w:t>
      </w:r>
      <w:r w:rsidRPr="007515DE">
        <w:rPr>
          <w:lang w:val="en-US"/>
        </w:rPr>
        <w:t xml:space="preserve"> which are maintained on the national level through tax-based funding (</w:t>
      </w:r>
      <w:r w:rsidR="00E5704F" w:rsidRPr="007515DE">
        <w:rPr>
          <w:lang w:val="en-US"/>
        </w:rPr>
        <w:t>e.g.,</w:t>
      </w:r>
      <w:r w:rsidRPr="007515DE">
        <w:rPr>
          <w:lang w:val="en-US"/>
        </w:rPr>
        <w:t xml:space="preserve"> kindergartens, military personnel, etc.</w:t>
      </w:r>
      <w:r w:rsidR="00ED5AC7" w:rsidRPr="007515DE">
        <w:rPr>
          <w:lang w:val="en-US"/>
        </w:rPr>
        <w:t>;</w:t>
      </w:r>
      <w:r w:rsidR="00343FC8" w:rsidRPr="007515DE">
        <w:rPr>
          <w:lang w:val="en-US"/>
        </w:rPr>
        <w:t xml:space="preserve"> for the full list</w:t>
      </w:r>
      <w:r w:rsidR="00ED5AC7" w:rsidRPr="007515DE">
        <w:rPr>
          <w:lang w:val="en-US"/>
        </w:rPr>
        <w:t>,</w:t>
      </w:r>
      <w:r w:rsidR="00343FC8" w:rsidRPr="007515DE">
        <w:rPr>
          <w:lang w:val="en-US"/>
        </w:rPr>
        <w:t xml:space="preserve"> see</w:t>
      </w:r>
      <w:r w:rsidRPr="007515DE">
        <w:rPr>
          <w:lang w:val="en-US"/>
        </w:rPr>
        <w:t xml:space="preserve"> </w:t>
      </w:r>
      <w:r w:rsidR="008D22A9" w:rsidRPr="007515DE">
        <w:rPr>
          <w:lang w:val="en-US"/>
        </w:rPr>
        <w:t>Supplementary Materials</w:t>
      </w:r>
      <w:r w:rsidRPr="007515DE">
        <w:rPr>
          <w:lang w:val="en-US"/>
        </w:rPr>
        <w:t>). For each of the items, the participants indicated a response on a scale of 1 to 5, where 1 indicated preference for “A lot less” spending, 5 for “A lot more”, and 3 a preference for no change to government spending.</w:t>
      </w:r>
    </w:p>
    <w:p w14:paraId="1B0BDD43" w14:textId="77777777" w:rsidR="00CA7FF5" w:rsidRPr="007515DE" w:rsidRDefault="00CA7FF5" w:rsidP="00CA7FF5">
      <w:pPr>
        <w:pStyle w:val="Heading3"/>
        <w:rPr>
          <w:rFonts w:cs="Arial"/>
        </w:rPr>
      </w:pPr>
      <w:r w:rsidRPr="007515DE">
        <w:rPr>
          <w:rFonts w:cs="Arial"/>
        </w:rPr>
        <w:t>National pride</w:t>
      </w:r>
    </w:p>
    <w:p w14:paraId="7B22AB4B" w14:textId="37840385" w:rsidR="00777DB5" w:rsidRPr="007515DE" w:rsidRDefault="00777DB5" w:rsidP="00777DB5">
      <w:pPr>
        <w:rPr>
          <w:lang w:val="en-US"/>
        </w:rPr>
      </w:pPr>
      <w:r w:rsidRPr="007515DE">
        <w:rPr>
          <w:iCs/>
          <w:lang w:val="en-US"/>
        </w:rPr>
        <w:t xml:space="preserve">National pride was </w:t>
      </w:r>
      <w:r w:rsidRPr="007515DE">
        <w:rPr>
          <w:lang w:val="en-US"/>
        </w:rPr>
        <w:t>measured using t</w:t>
      </w:r>
      <w:r w:rsidR="007D4A73" w:rsidRPr="007515DE">
        <w:rPr>
          <w:lang w:val="en-US"/>
        </w:rPr>
        <w:t xml:space="preserve">hree </w:t>
      </w:r>
      <w:r w:rsidRPr="007515DE">
        <w:rPr>
          <w:lang w:val="en-US"/>
        </w:rPr>
        <w:t xml:space="preserve">items from the ISSP-2013 survey on national identity (National Identity III; ISSP Research group, 2013). </w:t>
      </w:r>
      <w:r w:rsidR="007D4A73" w:rsidRPr="007515DE">
        <w:rPr>
          <w:lang w:val="en-US"/>
        </w:rPr>
        <w:t>All three items recorded</w:t>
      </w:r>
      <w:r w:rsidRPr="007515DE">
        <w:rPr>
          <w:lang w:val="en-US"/>
        </w:rPr>
        <w:t xml:space="preserve"> preference for one’s national belonging (</w:t>
      </w:r>
      <w:r w:rsidR="00E5704F" w:rsidRPr="007515DE">
        <w:rPr>
          <w:lang w:val="en-US"/>
        </w:rPr>
        <w:t>e.g.,</w:t>
      </w:r>
      <w:r w:rsidRPr="007515DE">
        <w:rPr>
          <w:lang w:val="en-US"/>
        </w:rPr>
        <w:t xml:space="preserve"> “I would rather be a citizen of my country than any other country on the planet”). </w:t>
      </w:r>
      <w:r w:rsidR="00922345" w:rsidRPr="007515DE">
        <w:rPr>
          <w:lang w:val="en-US"/>
        </w:rPr>
        <w:t>They</w:t>
      </w:r>
      <w:r w:rsidRPr="007515DE">
        <w:rPr>
          <w:lang w:val="en-US"/>
        </w:rPr>
        <w:t xml:space="preserve"> loaded onto a single factor</w:t>
      </w:r>
      <w:r w:rsidR="00922345" w:rsidRPr="007515DE">
        <w:rPr>
          <w:lang w:val="en-US"/>
        </w:rPr>
        <w:t xml:space="preserve"> with a satisfactory level of scale reliability</w:t>
      </w:r>
      <w:r w:rsidRPr="007515DE">
        <w:rPr>
          <w:lang w:val="en-US"/>
        </w:rPr>
        <w:t xml:space="preserve"> (</w:t>
      </w:r>
      <w:r w:rsidRPr="007515DE">
        <w:rPr>
          <w:i/>
          <w:iCs/>
          <w:lang w:val="en-US"/>
        </w:rPr>
        <w:t>α</w:t>
      </w:r>
      <w:r w:rsidRPr="007515DE">
        <w:rPr>
          <w:lang w:val="en-US"/>
        </w:rPr>
        <w:t xml:space="preserve"> = .</w:t>
      </w:r>
      <w:r w:rsidR="00922345" w:rsidRPr="007515DE">
        <w:rPr>
          <w:lang w:val="en-US"/>
        </w:rPr>
        <w:t>78</w:t>
      </w:r>
      <w:r w:rsidRPr="007515DE">
        <w:rPr>
          <w:lang w:val="en-US"/>
        </w:rPr>
        <w:t>).</w:t>
      </w:r>
    </w:p>
    <w:p w14:paraId="036E122F" w14:textId="77777777" w:rsidR="00CA7FF5" w:rsidRPr="007515DE" w:rsidRDefault="00CA7FF5" w:rsidP="00CA7FF5">
      <w:pPr>
        <w:pStyle w:val="Heading3"/>
        <w:rPr>
          <w:rFonts w:cs="Arial"/>
        </w:rPr>
      </w:pPr>
      <w:r w:rsidRPr="007515DE">
        <w:rPr>
          <w:rFonts w:cs="Arial"/>
        </w:rPr>
        <w:t>Attitudes towards immigrants and immigration</w:t>
      </w:r>
    </w:p>
    <w:p w14:paraId="1FB52A4E" w14:textId="70988436" w:rsidR="00777DB5" w:rsidRPr="007515DE" w:rsidRDefault="00777DB5" w:rsidP="00777DB5">
      <w:pPr>
        <w:rPr>
          <w:lang w:val="en-US"/>
        </w:rPr>
      </w:pPr>
      <w:r w:rsidRPr="007515DE">
        <w:rPr>
          <w:lang w:val="en-US"/>
        </w:rPr>
        <w:t xml:space="preserve">Attitudes towards immigrants and immigration represent our main </w:t>
      </w:r>
      <w:r w:rsidR="006B11AC">
        <w:rPr>
          <w:lang w:val="en-US"/>
        </w:rPr>
        <w:t>outcome</w:t>
      </w:r>
      <w:r w:rsidRPr="007515DE">
        <w:rPr>
          <w:lang w:val="en-US"/>
        </w:rPr>
        <w:t xml:space="preserve"> variable. Seven items were selected from the ISSP National Identity survey (</w:t>
      </w:r>
      <w:r w:rsidR="00E5704F" w:rsidRPr="007515DE">
        <w:rPr>
          <w:lang w:val="en-US"/>
        </w:rPr>
        <w:t>e.g.,</w:t>
      </w:r>
      <w:r w:rsidRPr="007515DE">
        <w:rPr>
          <w:lang w:val="en-US"/>
        </w:rPr>
        <w:t xml:space="preserve"> “Immigration is dangerous because immigrants increase crime rates”). Items which indicate more positive attitudes were reverse scored, giving us a measure of prejudice against immigrants. All seven items loaded onto a single factor and achieved a high level of scale reliability (</w:t>
      </w:r>
      <w:r w:rsidRPr="007515DE">
        <w:rPr>
          <w:i/>
          <w:iCs/>
          <w:lang w:val="en-US"/>
        </w:rPr>
        <w:t>α</w:t>
      </w:r>
      <w:r w:rsidRPr="007515DE">
        <w:rPr>
          <w:lang w:val="en-US"/>
        </w:rPr>
        <w:t xml:space="preserve"> = .91).</w:t>
      </w:r>
    </w:p>
    <w:p w14:paraId="0424C1B0" w14:textId="04AF52C8" w:rsidR="00777DB5" w:rsidRPr="007515DE" w:rsidRDefault="00777DB5" w:rsidP="00777DB5">
      <w:pPr>
        <w:pStyle w:val="Heading3"/>
      </w:pPr>
      <w:r w:rsidRPr="007515DE">
        <w:t>Political orientation, socio-economic status and demographics</w:t>
      </w:r>
    </w:p>
    <w:p w14:paraId="77E24EDD" w14:textId="1D9452B0" w:rsidR="00777DB5" w:rsidRPr="007515DE" w:rsidRDefault="00777DB5" w:rsidP="00777DB5">
      <w:pPr>
        <w:rPr>
          <w:lang w:val="en-US"/>
        </w:rPr>
      </w:pPr>
      <w:r w:rsidRPr="007515DE">
        <w:rPr>
          <w:lang w:val="en-US"/>
        </w:rPr>
        <w:t>We recorded the participants’ gender, age and ethnic identification, as well as degree of religiosity and level of education, as control variables. Religiosity was measured using a single item, where participants identified themselves as religious, somewhat religious, or not religious. We measured political orientation on a 9-point scale where 1 designated “far left”, 5 designated “</w:t>
      </w:r>
      <w:r w:rsidR="00E5704F" w:rsidRPr="007515DE">
        <w:rPr>
          <w:lang w:val="en-US"/>
        </w:rPr>
        <w:t>center</w:t>
      </w:r>
      <w:r w:rsidRPr="007515DE">
        <w:rPr>
          <w:lang w:val="en-US"/>
        </w:rPr>
        <w:t xml:space="preserve">”, and 9 designated “far right”. </w:t>
      </w:r>
      <w:r w:rsidR="00130F5C" w:rsidRPr="007515DE">
        <w:rPr>
          <w:lang w:val="en-US"/>
        </w:rPr>
        <w:t>We used</w:t>
      </w:r>
      <w:r w:rsidRPr="007515DE">
        <w:rPr>
          <w:lang w:val="en-US"/>
        </w:rPr>
        <w:t xml:space="preserve"> the participants’ self-reported sense of belonging to a social class (upper, upper middle, middle, lower middle and lower), as well as their sense of difficulty at “making ends meet” (measured on a 7-point Likert scale)</w:t>
      </w:r>
      <w:r w:rsidR="00130F5C" w:rsidRPr="007515DE">
        <w:rPr>
          <w:lang w:val="en-US"/>
        </w:rPr>
        <w:t xml:space="preserve"> to capture their socio-economic status</w:t>
      </w:r>
      <w:r w:rsidRPr="007515DE">
        <w:rPr>
          <w:lang w:val="en-US"/>
        </w:rPr>
        <w:t xml:space="preserve">. Finally, we asked the participants’ perceived degree </w:t>
      </w:r>
      <w:r w:rsidRPr="007515DE">
        <w:rPr>
          <w:lang w:val="en-US"/>
        </w:rPr>
        <w:lastRenderedPageBreak/>
        <w:t>of social separation between the classes on a 7-point Likert scale where 1 indicated “no differences”, and 7 indicated “extreme differences”.</w:t>
      </w:r>
    </w:p>
    <w:p w14:paraId="53AC8519" w14:textId="77777777" w:rsidR="00CA7FF5" w:rsidRPr="007515DE" w:rsidRDefault="00CA7FF5" w:rsidP="00CA7FF5">
      <w:pPr>
        <w:pStyle w:val="Heading2"/>
        <w:rPr>
          <w:rFonts w:cs="Arial"/>
        </w:rPr>
      </w:pPr>
      <w:r w:rsidRPr="007515DE">
        <w:rPr>
          <w:rFonts w:cs="Arial"/>
        </w:rPr>
        <w:t>Procedure</w:t>
      </w:r>
    </w:p>
    <w:p w14:paraId="2F09CF15" w14:textId="38AF7F57" w:rsidR="00777DB5" w:rsidRDefault="00130F5C" w:rsidP="00777DB5">
      <w:pPr>
        <w:rPr>
          <w:lang w:val="en-US"/>
        </w:rPr>
      </w:pPr>
      <w:r w:rsidRPr="007515DE">
        <w:rPr>
          <w:lang w:val="en-US"/>
        </w:rPr>
        <w:t>Participants were</w:t>
      </w:r>
      <w:r w:rsidR="00777DB5" w:rsidRPr="007515DE">
        <w:rPr>
          <w:lang w:val="en-US"/>
        </w:rPr>
        <w:t xml:space="preserve"> invited to complete a “general attitude questionnaire”</w:t>
      </w:r>
      <w:r w:rsidRPr="007515DE">
        <w:rPr>
          <w:lang w:val="en-US"/>
        </w:rPr>
        <w:t>. Their rights as participants were explained in a consent form which preceded the questionnaire.</w:t>
      </w:r>
      <w:r w:rsidR="00777DB5" w:rsidRPr="007515DE">
        <w:rPr>
          <w:lang w:val="en-US"/>
        </w:rPr>
        <w:t xml:space="preserve"> The order in which the questions were presented corresponds to the order in which we have just described the materials used in the study.</w:t>
      </w:r>
    </w:p>
    <w:p w14:paraId="51175E28" w14:textId="77777777" w:rsidR="00777DB5" w:rsidRPr="007515DE" w:rsidRDefault="00777DB5" w:rsidP="00E54DEA">
      <w:pPr>
        <w:pStyle w:val="Heading2"/>
      </w:pPr>
      <w:r w:rsidRPr="007515DE">
        <w:t>Results</w:t>
      </w:r>
    </w:p>
    <w:p w14:paraId="08841527" w14:textId="77777777" w:rsidR="00777DB5" w:rsidRPr="007515DE" w:rsidRDefault="00777DB5" w:rsidP="00E54DEA">
      <w:pPr>
        <w:pStyle w:val="Heading3"/>
      </w:pPr>
      <w:r w:rsidRPr="007515DE">
        <w:t>Support for Public Goods</w:t>
      </w:r>
    </w:p>
    <w:p w14:paraId="4E2C2CDE" w14:textId="76327435" w:rsidR="00777DB5" w:rsidRDefault="00777DB5" w:rsidP="00777DB5">
      <w:pPr>
        <w:rPr>
          <w:lang w:val="en-US"/>
        </w:rPr>
      </w:pPr>
      <w:r w:rsidRPr="007515DE">
        <w:rPr>
          <w:lang w:val="en-US"/>
        </w:rPr>
        <w:t xml:space="preserve">We begin our analysis by looking into the factor structure for our list of </w:t>
      </w:r>
      <w:r w:rsidR="009823CB" w:rsidRPr="007515DE">
        <w:rPr>
          <w:lang w:val="en-US"/>
        </w:rPr>
        <w:t>CRs</w:t>
      </w:r>
      <w:r w:rsidRPr="007515DE">
        <w:rPr>
          <w:lang w:val="en-US"/>
        </w:rPr>
        <w:t>. We conducted an exploratory factor analysis with a forced two-factor solution, expecting t</w:t>
      </w:r>
      <w:r w:rsidR="009823CB" w:rsidRPr="007515DE">
        <w:rPr>
          <w:lang w:val="en-US"/>
        </w:rPr>
        <w:t xml:space="preserve">o find a split between Security </w:t>
      </w:r>
      <w:r w:rsidRPr="007515DE">
        <w:rPr>
          <w:lang w:val="en-US"/>
        </w:rPr>
        <w:t>and Universal</w:t>
      </w:r>
      <w:r w:rsidR="009823CB" w:rsidRPr="007515DE">
        <w:rPr>
          <w:lang w:val="en-US"/>
        </w:rPr>
        <w:t xml:space="preserve"> CRs</w:t>
      </w:r>
      <w:r w:rsidRPr="007515DE">
        <w:rPr>
          <w:lang w:val="en-US"/>
        </w:rPr>
        <w:t>. The size and composition of our sample exceeded the minimum recommended</w:t>
      </w:r>
      <w:r w:rsidR="000948BF" w:rsidRPr="007515DE">
        <w:rPr>
          <w:lang w:val="en-US"/>
        </w:rPr>
        <w:t xml:space="preserve"> for a 2-factor solution </w:t>
      </w:r>
      <w:r w:rsidRPr="007515DE">
        <w:rPr>
          <w:lang w:val="en-US"/>
        </w:rPr>
        <w:t>for items whose intercorrelations fit a “wide” model of commonality (</w:t>
      </w:r>
      <w:proofErr w:type="spellStart"/>
      <w:r w:rsidR="000948BF" w:rsidRPr="007515DE">
        <w:rPr>
          <w:lang w:val="en-US"/>
        </w:rPr>
        <w:t>Mundform</w:t>
      </w:r>
      <w:proofErr w:type="spellEnd"/>
      <w:r w:rsidR="000948BF" w:rsidRPr="007515DE">
        <w:rPr>
          <w:lang w:val="en-US"/>
        </w:rPr>
        <w:t xml:space="preserve"> et al., 2005</w:t>
      </w:r>
      <w:r w:rsidRPr="007515DE">
        <w:rPr>
          <w:lang w:val="en-US"/>
        </w:rPr>
        <w:t xml:space="preserve">). We used maximum likelihood as an extraction method and </w:t>
      </w:r>
      <w:r w:rsidRPr="00D51D0C">
        <w:rPr>
          <w:iCs/>
          <w:lang w:val="en-US"/>
        </w:rPr>
        <w:t xml:space="preserve">direct </w:t>
      </w:r>
      <w:proofErr w:type="spellStart"/>
      <w:r w:rsidRPr="00D51D0C">
        <w:rPr>
          <w:iCs/>
          <w:lang w:val="en-US"/>
        </w:rPr>
        <w:t>oblimin</w:t>
      </w:r>
      <w:proofErr w:type="spellEnd"/>
      <w:r w:rsidRPr="00D51D0C">
        <w:rPr>
          <w:iCs/>
          <w:lang w:val="en-US"/>
        </w:rPr>
        <w:t xml:space="preserve"> rotation</w:t>
      </w:r>
      <w:r w:rsidRPr="007515DE">
        <w:rPr>
          <w:lang w:val="en-US"/>
        </w:rPr>
        <w:t xml:space="preserve"> with a default delta of 0. </w:t>
      </w:r>
      <w:r w:rsidR="000948BF" w:rsidRPr="007515DE">
        <w:rPr>
          <w:lang w:val="en-US"/>
        </w:rPr>
        <w:t xml:space="preserve">We achieved a satisfying </w:t>
      </w:r>
      <w:r w:rsidRPr="007515DE">
        <w:rPr>
          <w:i/>
          <w:iCs/>
          <w:lang w:val="en-US"/>
        </w:rPr>
        <w:t>KMO</w:t>
      </w:r>
      <w:r w:rsidRPr="007515DE">
        <w:rPr>
          <w:lang w:val="en-US"/>
        </w:rPr>
        <w:t xml:space="preserve"> = .77 and </w:t>
      </w:r>
      <w:r w:rsidR="007515DE">
        <w:rPr>
          <w:lang w:val="en-US"/>
        </w:rPr>
        <w:t xml:space="preserve">significance on </w:t>
      </w:r>
      <w:r w:rsidRPr="007515DE">
        <w:rPr>
          <w:lang w:val="en-US"/>
        </w:rPr>
        <w:t>Bartlett’s test of sphericity (</w:t>
      </w:r>
      <w:r w:rsidRPr="007515DE">
        <w:rPr>
          <w:i/>
          <w:iCs/>
          <w:lang w:val="en-US"/>
        </w:rPr>
        <w:t>χ</w:t>
      </w:r>
      <w:r w:rsidRPr="007515DE">
        <w:rPr>
          <w:lang w:val="en-US"/>
        </w:rPr>
        <w:t xml:space="preserve"> = 1808.22, </w:t>
      </w:r>
      <w:proofErr w:type="spellStart"/>
      <w:r w:rsidRPr="007515DE">
        <w:rPr>
          <w:i/>
          <w:iCs/>
          <w:lang w:val="en-US"/>
        </w:rPr>
        <w:t>df</w:t>
      </w:r>
      <w:proofErr w:type="spellEnd"/>
      <w:r w:rsidRPr="007515DE">
        <w:rPr>
          <w:lang w:val="en-US"/>
        </w:rPr>
        <w:t xml:space="preserve"> = 496, </w:t>
      </w:r>
      <w:r w:rsidRPr="007515DE">
        <w:rPr>
          <w:i/>
          <w:iCs/>
          <w:lang w:val="en-US"/>
        </w:rPr>
        <w:t>p</w:t>
      </w:r>
      <w:r w:rsidR="00E6768D">
        <w:rPr>
          <w:i/>
          <w:iCs/>
          <w:lang w:val="en-US"/>
        </w:rPr>
        <w:t> </w:t>
      </w:r>
      <w:r w:rsidRPr="007515DE">
        <w:rPr>
          <w:lang w:val="en-US"/>
        </w:rPr>
        <w:t>&lt; .001). The two</w:t>
      </w:r>
      <w:r w:rsidR="003158CD" w:rsidRPr="007515DE">
        <w:rPr>
          <w:lang w:val="en-US"/>
        </w:rPr>
        <w:t>-factor solution explained 29.26</w:t>
      </w:r>
      <w:r w:rsidRPr="007515DE">
        <w:rPr>
          <w:lang w:val="en-US"/>
        </w:rPr>
        <w:t xml:space="preserve">% of </w:t>
      </w:r>
      <w:r w:rsidR="001656B6">
        <w:rPr>
          <w:lang w:val="en-US"/>
        </w:rPr>
        <w:t xml:space="preserve">the </w:t>
      </w:r>
      <w:r w:rsidRPr="007515DE">
        <w:rPr>
          <w:lang w:val="en-US"/>
        </w:rPr>
        <w:t>variance</w:t>
      </w:r>
      <w:r w:rsidR="00A87FB5" w:rsidRPr="007515DE">
        <w:rPr>
          <w:lang w:val="en-US"/>
        </w:rPr>
        <w:t xml:space="preserve"> and reflected the expected</w:t>
      </w:r>
      <w:r w:rsidR="00922345" w:rsidRPr="007515DE">
        <w:rPr>
          <w:lang w:val="en-US"/>
        </w:rPr>
        <w:t xml:space="preserve"> split (see Supplementary Materials)</w:t>
      </w:r>
      <w:r w:rsidRPr="007515DE">
        <w:rPr>
          <w:lang w:val="en-US"/>
        </w:rPr>
        <w:t>.</w:t>
      </w:r>
      <w:r w:rsidR="00922345" w:rsidRPr="007515DE">
        <w:rPr>
          <w:lang w:val="en-US"/>
        </w:rPr>
        <w:t xml:space="preserve"> Participants clearly distinguished between SCRs (</w:t>
      </w:r>
      <w:r w:rsidR="00E5704F" w:rsidRPr="007515DE">
        <w:rPr>
          <w:lang w:val="en-US"/>
        </w:rPr>
        <w:t>e.g.,</w:t>
      </w:r>
      <w:r w:rsidR="00922345" w:rsidRPr="007515DE">
        <w:rPr>
          <w:lang w:val="en-US"/>
        </w:rPr>
        <w:t xml:space="preserve"> military personnel) and UCRs (</w:t>
      </w:r>
      <w:r w:rsidR="00E5704F" w:rsidRPr="007515DE">
        <w:rPr>
          <w:lang w:val="en-US"/>
        </w:rPr>
        <w:t>e.g.,</w:t>
      </w:r>
      <w:r w:rsidR="00922345" w:rsidRPr="007515DE">
        <w:rPr>
          <w:lang w:val="en-US"/>
        </w:rPr>
        <w:t xml:space="preserve"> kindergartens), as we anticipated.</w:t>
      </w:r>
      <w:r w:rsidR="004B5364">
        <w:rPr>
          <w:lang w:val="en-US"/>
        </w:rPr>
        <w:t xml:space="preserve"> </w:t>
      </w:r>
      <w:bookmarkStart w:id="15" w:name="_Hlk149985303"/>
      <w:r w:rsidR="004B5364">
        <w:rPr>
          <w:lang w:val="en-US"/>
        </w:rPr>
        <w:t xml:space="preserve">Support for the two types of resources </w:t>
      </w:r>
      <w:r w:rsidR="001656B6">
        <w:rPr>
          <w:lang w:val="en-US"/>
        </w:rPr>
        <w:t>was</w:t>
      </w:r>
      <w:r w:rsidR="004B5364">
        <w:rPr>
          <w:lang w:val="en-US"/>
        </w:rPr>
        <w:t xml:space="preserve"> </w:t>
      </w:r>
      <w:r w:rsidR="00584C59">
        <w:rPr>
          <w:lang w:val="en-US"/>
        </w:rPr>
        <w:t xml:space="preserve">not significantly </w:t>
      </w:r>
      <w:r w:rsidR="004B5364">
        <w:rPr>
          <w:lang w:val="en-US"/>
        </w:rPr>
        <w:t>correlated (</w:t>
      </w:r>
      <w:r w:rsidR="00F03765" w:rsidRPr="00AC5BC3">
        <w:rPr>
          <w:iCs/>
          <w:lang w:val="en-US"/>
        </w:rPr>
        <w:t>see Table 1</w:t>
      </w:r>
      <w:r w:rsidR="004B5364">
        <w:rPr>
          <w:lang w:val="en-US"/>
        </w:rPr>
        <w:t>)</w:t>
      </w:r>
      <w:bookmarkEnd w:id="15"/>
      <w:r w:rsidR="004B5364">
        <w:rPr>
          <w:lang w:val="en-US"/>
        </w:rPr>
        <w:t>.</w:t>
      </w:r>
    </w:p>
    <w:p w14:paraId="68533ACA" w14:textId="4ACA6380" w:rsidR="00F03765" w:rsidRPr="007515DE" w:rsidRDefault="00F03765" w:rsidP="00AC5BC3">
      <w:pPr>
        <w:jc w:val="center"/>
        <w:rPr>
          <w:lang w:val="en-US"/>
        </w:rPr>
      </w:pPr>
      <w:r>
        <w:rPr>
          <w:lang w:val="en-US"/>
        </w:rPr>
        <w:t>Insert Table 1 here.</w:t>
      </w:r>
    </w:p>
    <w:p w14:paraId="5159A427" w14:textId="77777777" w:rsidR="00E54DEA" w:rsidRPr="007515DE" w:rsidRDefault="00E54DEA" w:rsidP="00E54DEA">
      <w:pPr>
        <w:pStyle w:val="Heading3"/>
        <w:rPr>
          <w:i/>
        </w:rPr>
      </w:pPr>
      <w:r w:rsidRPr="007515DE">
        <w:t>Support for Common Resources and Prejudice against Migrants</w:t>
      </w:r>
    </w:p>
    <w:p w14:paraId="5109D4E7" w14:textId="73E08F15" w:rsidR="00C6298A" w:rsidRDefault="00E54DEA" w:rsidP="00E54DEA">
      <w:pPr>
        <w:rPr>
          <w:lang w:val="en-US"/>
        </w:rPr>
      </w:pPr>
      <w:r w:rsidRPr="007515DE">
        <w:rPr>
          <w:lang w:val="en-US"/>
        </w:rPr>
        <w:t xml:space="preserve">Next, we conducted an OLS linear regression to test whether the support for </w:t>
      </w:r>
      <w:r w:rsidR="009823CB" w:rsidRPr="007515DE">
        <w:rPr>
          <w:lang w:val="en-US"/>
        </w:rPr>
        <w:t>UCR and</w:t>
      </w:r>
      <w:r w:rsidRPr="007515DE">
        <w:rPr>
          <w:lang w:val="en-US"/>
        </w:rPr>
        <w:t xml:space="preserve"> SCR explains negative attitudes towards immigrants above and beyond other demographic, socio-economic, and psychological variables. We tested four nested models. Model 1 includes demographic variables</w:t>
      </w:r>
      <w:r w:rsidR="00C6298A" w:rsidRPr="007515DE">
        <w:rPr>
          <w:lang w:val="en-US"/>
        </w:rPr>
        <w:t>;</w:t>
      </w:r>
      <w:r w:rsidRPr="007515DE">
        <w:rPr>
          <w:lang w:val="en-US"/>
        </w:rPr>
        <w:t xml:space="preserve"> Model 2 adds information about the part</w:t>
      </w:r>
      <w:r w:rsidR="00C6298A" w:rsidRPr="007515DE">
        <w:rPr>
          <w:lang w:val="en-US"/>
        </w:rPr>
        <w:t xml:space="preserve">icipants’ socio-economic </w:t>
      </w:r>
      <w:r w:rsidR="00C6298A" w:rsidRPr="007515DE">
        <w:rPr>
          <w:lang w:val="en-US"/>
        </w:rPr>
        <w:lastRenderedPageBreak/>
        <w:t xml:space="preserve">status, </w:t>
      </w:r>
      <w:r w:rsidRPr="007515DE">
        <w:rPr>
          <w:lang w:val="en-US"/>
        </w:rPr>
        <w:t>political orientation, and perception of social separation between the classes. M</w:t>
      </w:r>
      <w:r w:rsidR="00C6298A" w:rsidRPr="007515DE">
        <w:rPr>
          <w:lang w:val="en-US"/>
        </w:rPr>
        <w:t>odel 3 introduces national pride</w:t>
      </w:r>
      <w:r w:rsidRPr="007515DE">
        <w:rPr>
          <w:lang w:val="en-US"/>
        </w:rPr>
        <w:t>. Finally, Model 4 adds support for universal and security CRs</w:t>
      </w:r>
      <w:r w:rsidR="00D51D0C">
        <w:rPr>
          <w:lang w:val="en-US"/>
        </w:rPr>
        <w:t>. Table 2</w:t>
      </w:r>
      <w:r w:rsidRPr="007515DE">
        <w:rPr>
          <w:lang w:val="en-US"/>
        </w:rPr>
        <w:t xml:space="preserve"> presents the results.</w:t>
      </w:r>
      <w:r w:rsidR="00C6298A" w:rsidRPr="007515DE">
        <w:rPr>
          <w:lang w:val="en-US"/>
        </w:rPr>
        <w:t xml:space="preserve"> </w:t>
      </w:r>
    </w:p>
    <w:p w14:paraId="5157F4B3" w14:textId="02104F55" w:rsidR="00F03765" w:rsidRPr="007515DE" w:rsidRDefault="00F03765" w:rsidP="00AC5BC3">
      <w:pPr>
        <w:jc w:val="center"/>
        <w:rPr>
          <w:lang w:val="en-US"/>
        </w:rPr>
      </w:pPr>
      <w:r>
        <w:rPr>
          <w:lang w:val="en-US"/>
        </w:rPr>
        <w:t>Insert Table 2 here.</w:t>
      </w:r>
    </w:p>
    <w:p w14:paraId="3BF64B2D" w14:textId="352AA518" w:rsidR="00E54DEA" w:rsidRPr="007515DE" w:rsidRDefault="00A87FB5" w:rsidP="00E54DEA">
      <w:pPr>
        <w:rPr>
          <w:lang w:val="en-US"/>
        </w:rPr>
      </w:pPr>
      <w:r w:rsidRPr="007515DE">
        <w:rPr>
          <w:lang w:val="en-US"/>
        </w:rPr>
        <w:t xml:space="preserve">All models </w:t>
      </w:r>
      <w:r w:rsidR="00E54DEA" w:rsidRPr="007515DE">
        <w:rPr>
          <w:lang w:val="en-US"/>
        </w:rPr>
        <w:t>significantly added to the explanation of the variance. Most of the variance was explained by political orientation, ex</w:t>
      </w:r>
      <w:r w:rsidR="007515DE">
        <w:rPr>
          <w:lang w:val="en-US"/>
        </w:rPr>
        <w:t>perienced financial difficulty</w:t>
      </w:r>
      <w:r w:rsidR="00E54DEA" w:rsidRPr="007515DE">
        <w:rPr>
          <w:lang w:val="en-US"/>
        </w:rPr>
        <w:t xml:space="preserve">, and support for UCR. In other words, the more politically right-wing the participant, the more difficult their financial situation feels, and the less support for universally beneficial CRs they show, the more prejudiced they are against immigrants. </w:t>
      </w:r>
      <w:r w:rsidR="007D3FB3" w:rsidRPr="007515DE">
        <w:rPr>
          <w:lang w:val="en-US"/>
        </w:rPr>
        <w:t xml:space="preserve">Additionally, we found </w:t>
      </w:r>
      <w:r w:rsidR="008213A0">
        <w:rPr>
          <w:lang w:val="en-US"/>
        </w:rPr>
        <w:t>that</w:t>
      </w:r>
      <w:r w:rsidR="007D3FB3" w:rsidRPr="007515DE">
        <w:rPr>
          <w:lang w:val="en-US"/>
        </w:rPr>
        <w:t xml:space="preserve"> male participants reporting significantly more prejudice</w:t>
      </w:r>
      <w:r w:rsidR="007D3FB3" w:rsidRPr="007515DE">
        <w:rPr>
          <w:iCs/>
          <w:lang w:val="en-US"/>
        </w:rPr>
        <w:t xml:space="preserve">. </w:t>
      </w:r>
      <w:r w:rsidR="001364B9" w:rsidRPr="007515DE">
        <w:rPr>
          <w:lang w:val="en-US"/>
        </w:rPr>
        <w:t>National pride</w:t>
      </w:r>
      <w:r w:rsidR="00E54DEA" w:rsidRPr="007515DE">
        <w:rPr>
          <w:lang w:val="en-US"/>
        </w:rPr>
        <w:t xml:space="preserve"> </w:t>
      </w:r>
      <w:r w:rsidR="001364B9" w:rsidRPr="007515DE">
        <w:rPr>
          <w:lang w:val="en-US"/>
        </w:rPr>
        <w:t xml:space="preserve">had a </w:t>
      </w:r>
      <w:r w:rsidR="007D3FB3" w:rsidRPr="007515DE">
        <w:rPr>
          <w:lang w:val="en-US"/>
        </w:rPr>
        <w:t>marginally significant</w:t>
      </w:r>
      <w:r w:rsidR="001364B9" w:rsidRPr="007515DE">
        <w:rPr>
          <w:lang w:val="en-US"/>
        </w:rPr>
        <w:t xml:space="preserve"> positive </w:t>
      </w:r>
      <w:r w:rsidR="008213A0">
        <w:rPr>
          <w:lang w:val="en-US"/>
        </w:rPr>
        <w:t xml:space="preserve">association with </w:t>
      </w:r>
      <w:r w:rsidR="001364B9" w:rsidRPr="007515DE">
        <w:rPr>
          <w:lang w:val="en-US"/>
        </w:rPr>
        <w:t>pre</w:t>
      </w:r>
      <w:r w:rsidR="007D3FB3" w:rsidRPr="007515DE">
        <w:rPr>
          <w:lang w:val="en-US"/>
        </w:rPr>
        <w:t>judice, but support for SCRs did</w:t>
      </w:r>
      <w:r w:rsidR="001364B9" w:rsidRPr="007515DE">
        <w:rPr>
          <w:lang w:val="en-US"/>
        </w:rPr>
        <w:t xml:space="preserve"> not</w:t>
      </w:r>
      <w:r w:rsidR="00E54DEA" w:rsidRPr="007515DE">
        <w:rPr>
          <w:lang w:val="en-US"/>
        </w:rPr>
        <w:t>.</w:t>
      </w:r>
    </w:p>
    <w:p w14:paraId="4525287C" w14:textId="77777777" w:rsidR="00B120E1" w:rsidRPr="007515DE" w:rsidRDefault="00B120E1" w:rsidP="00E54DEA">
      <w:pPr>
        <w:pStyle w:val="Heading1"/>
      </w:pPr>
      <w:r w:rsidRPr="007515DE">
        <w:t>Discussion</w:t>
      </w:r>
    </w:p>
    <w:p w14:paraId="3D8EF11E" w14:textId="375F2C07" w:rsidR="00B120E1" w:rsidRPr="007515DE" w:rsidRDefault="00B120E1" w:rsidP="00B120E1">
      <w:pPr>
        <w:rPr>
          <w:lang w:val="en-US"/>
        </w:rPr>
      </w:pPr>
      <w:r w:rsidRPr="007515DE">
        <w:rPr>
          <w:lang w:val="en-US"/>
        </w:rPr>
        <w:t xml:space="preserve">This study provided a look at how support for different types of </w:t>
      </w:r>
      <w:r w:rsidR="000948BF" w:rsidRPr="007515DE">
        <w:rPr>
          <w:lang w:val="en-US"/>
        </w:rPr>
        <w:t>CRs</w:t>
      </w:r>
      <w:r w:rsidRPr="007515DE">
        <w:rPr>
          <w:lang w:val="en-US"/>
        </w:rPr>
        <w:t xml:space="preserve"> help explain attitudes towards immigrants. </w:t>
      </w:r>
      <w:r w:rsidR="000948BF" w:rsidRPr="007515DE">
        <w:rPr>
          <w:lang w:val="en-US"/>
        </w:rPr>
        <w:t>Indeed,</w:t>
      </w:r>
      <w:r w:rsidRPr="007515DE">
        <w:rPr>
          <w:lang w:val="en-US"/>
        </w:rPr>
        <w:t xml:space="preserve"> support for</w:t>
      </w:r>
      <w:r w:rsidR="00F93C5A" w:rsidRPr="007515DE">
        <w:rPr>
          <w:lang w:val="en-US"/>
        </w:rPr>
        <w:t xml:space="preserve"> more spending on</w:t>
      </w:r>
      <w:r w:rsidRPr="007515DE">
        <w:rPr>
          <w:lang w:val="en-US"/>
        </w:rPr>
        <w:t xml:space="preserve"> universal</w:t>
      </w:r>
      <w:r w:rsidR="00F93C5A" w:rsidRPr="007515DE">
        <w:rPr>
          <w:lang w:val="en-US"/>
        </w:rPr>
        <w:t xml:space="preserve"> resources</w:t>
      </w:r>
      <w:r w:rsidRPr="007515DE">
        <w:rPr>
          <w:lang w:val="en-US"/>
        </w:rPr>
        <w:t xml:space="preserve"> contribute</w:t>
      </w:r>
      <w:r w:rsidR="007D3FB3" w:rsidRPr="007515DE">
        <w:rPr>
          <w:lang w:val="en-US"/>
        </w:rPr>
        <w:t>d</w:t>
      </w:r>
      <w:r w:rsidRPr="007515DE">
        <w:rPr>
          <w:lang w:val="en-US"/>
        </w:rPr>
        <w:t xml:space="preserve"> to an explanation of anti-immigrant prejudice above and beyond other relevant indicators including </w:t>
      </w:r>
      <w:r w:rsidR="001656B6">
        <w:rPr>
          <w:lang w:val="en-US"/>
        </w:rPr>
        <w:t>socioeconomic</w:t>
      </w:r>
      <w:r w:rsidRPr="007515DE">
        <w:rPr>
          <w:lang w:val="en-US"/>
        </w:rPr>
        <w:t xml:space="preserve"> status, political orientation</w:t>
      </w:r>
      <w:r w:rsidR="001656B6">
        <w:rPr>
          <w:lang w:val="en-US"/>
        </w:rPr>
        <w:t>,</w:t>
      </w:r>
      <w:r w:rsidRPr="007515DE">
        <w:rPr>
          <w:lang w:val="en-US"/>
        </w:rPr>
        <w:t xml:space="preserve"> and national pride. Unlike previous research (</w:t>
      </w:r>
      <w:r w:rsidR="00E5704F" w:rsidRPr="007515DE">
        <w:rPr>
          <w:lang w:val="en-US"/>
        </w:rPr>
        <w:t>e.g.,</w:t>
      </w:r>
      <w:r w:rsidRPr="007515DE">
        <w:rPr>
          <w:lang w:val="en-US"/>
        </w:rPr>
        <w:t xml:space="preserve"> Fink &amp; Brady, 2020), we did not find that greater support for </w:t>
      </w:r>
      <w:r w:rsidR="007D3FB3" w:rsidRPr="007515DE">
        <w:rPr>
          <w:lang w:val="en-US"/>
        </w:rPr>
        <w:t xml:space="preserve">spending on </w:t>
      </w:r>
      <w:r w:rsidRPr="007515DE">
        <w:rPr>
          <w:lang w:val="en-US"/>
        </w:rPr>
        <w:t xml:space="preserve">the military or police predicted more prejudice towards immigrants. Thus, our </w:t>
      </w:r>
      <w:r w:rsidR="001656B6">
        <w:rPr>
          <w:lang w:val="en-US"/>
        </w:rPr>
        <w:t>hypothesis</w:t>
      </w:r>
      <w:r w:rsidR="001656B6" w:rsidRPr="007515DE">
        <w:rPr>
          <w:lang w:val="en-US"/>
        </w:rPr>
        <w:t xml:space="preserve"> </w:t>
      </w:r>
      <w:r w:rsidRPr="007515DE">
        <w:rPr>
          <w:lang w:val="en-US"/>
        </w:rPr>
        <w:t xml:space="preserve">H1 </w:t>
      </w:r>
      <w:r w:rsidR="00162274" w:rsidRPr="007515DE">
        <w:rPr>
          <w:lang w:val="en-US"/>
        </w:rPr>
        <w:t>has been upheld, and hypothesis H2</w:t>
      </w:r>
      <w:r w:rsidRPr="007515DE">
        <w:rPr>
          <w:lang w:val="en-US"/>
        </w:rPr>
        <w:t xml:space="preserve"> has been rejected. Participants who support</w:t>
      </w:r>
      <w:r w:rsidR="007D3FB3" w:rsidRPr="007515DE">
        <w:rPr>
          <w:lang w:val="en-US"/>
        </w:rPr>
        <w:t>ed</w:t>
      </w:r>
      <w:r w:rsidRPr="007515DE">
        <w:rPr>
          <w:lang w:val="en-US"/>
        </w:rPr>
        <w:t xml:space="preserve"> more investment into common resources, particularly those which directly benefit all members of society or its vulnerable members specifically, also hold less prejudice against immigrants. In addition, we </w:t>
      </w:r>
      <w:r w:rsidR="0029517C">
        <w:rPr>
          <w:lang w:val="en-US"/>
        </w:rPr>
        <w:t>found</w:t>
      </w:r>
      <w:r w:rsidRPr="007515DE">
        <w:rPr>
          <w:lang w:val="en-US"/>
        </w:rPr>
        <w:t xml:space="preserve"> that a more right-wing political orientation</w:t>
      </w:r>
      <w:r w:rsidR="001364B9" w:rsidRPr="007515DE">
        <w:rPr>
          <w:lang w:val="en-US"/>
        </w:rPr>
        <w:t>, greater sense of national pride,</w:t>
      </w:r>
      <w:r w:rsidRPr="007515DE">
        <w:rPr>
          <w:lang w:val="en-US"/>
        </w:rPr>
        <w:t xml:space="preserve"> and more perceived financial difficulty </w:t>
      </w:r>
      <w:r w:rsidR="00F20AF7">
        <w:rPr>
          <w:lang w:val="en-US"/>
        </w:rPr>
        <w:t xml:space="preserve">were positively associated with higher </w:t>
      </w:r>
      <w:r w:rsidRPr="007515DE">
        <w:rPr>
          <w:lang w:val="en-US"/>
        </w:rPr>
        <w:t xml:space="preserve">anti-immigrant prejudice. </w:t>
      </w:r>
    </w:p>
    <w:p w14:paraId="1A78492B" w14:textId="79DAF66F" w:rsidR="00B120E1" w:rsidRPr="007515DE" w:rsidRDefault="00B120E1" w:rsidP="00B120E1">
      <w:pPr>
        <w:rPr>
          <w:lang w:val="en-US"/>
        </w:rPr>
      </w:pPr>
      <w:r w:rsidRPr="007515DE">
        <w:rPr>
          <w:lang w:val="en-US"/>
        </w:rPr>
        <w:t xml:space="preserve">The study has several limitations, chiefly those stemming from the nature of its sample, which </w:t>
      </w:r>
      <w:r w:rsidR="00E92A73" w:rsidRPr="007515DE">
        <w:rPr>
          <w:lang w:val="en-US"/>
        </w:rPr>
        <w:t>wa</w:t>
      </w:r>
      <w:r w:rsidRPr="007515DE">
        <w:rPr>
          <w:lang w:val="en-US"/>
        </w:rPr>
        <w:t>s</w:t>
      </w:r>
      <w:r w:rsidR="00E92A73" w:rsidRPr="007515DE">
        <w:rPr>
          <w:lang w:val="en-US"/>
        </w:rPr>
        <w:t xml:space="preserve"> relatively young,</w:t>
      </w:r>
      <w:r w:rsidRPr="007515DE">
        <w:rPr>
          <w:lang w:val="en-US"/>
        </w:rPr>
        <w:t xml:space="preserve"> international</w:t>
      </w:r>
      <w:r w:rsidR="001656B6">
        <w:rPr>
          <w:lang w:val="en-US"/>
        </w:rPr>
        <w:t>,</w:t>
      </w:r>
      <w:r w:rsidRPr="007515DE">
        <w:rPr>
          <w:lang w:val="en-US"/>
        </w:rPr>
        <w:t xml:space="preserve"> and multicultural. Recruiting participants </w:t>
      </w:r>
      <w:r w:rsidRPr="007515DE">
        <w:rPr>
          <w:lang w:val="en-US"/>
        </w:rPr>
        <w:lastRenderedPageBreak/>
        <w:t>internat</w:t>
      </w:r>
      <w:r w:rsidR="009823CB" w:rsidRPr="007515DE">
        <w:rPr>
          <w:lang w:val="en-US"/>
        </w:rPr>
        <w:t>ionally presented</w:t>
      </w:r>
      <w:r w:rsidRPr="007515DE">
        <w:rPr>
          <w:lang w:val="en-US"/>
        </w:rPr>
        <w:t xml:space="preserve"> a problem for the interpretation of political orientation and support for common resources since there is diversity in what the political left or right might mean, and which types of CRs receive more or less attention</w:t>
      </w:r>
      <w:r w:rsidR="009823CB" w:rsidRPr="007515DE">
        <w:rPr>
          <w:lang w:val="en-US"/>
        </w:rPr>
        <w:t xml:space="preserve"> across societies</w:t>
      </w:r>
      <w:r w:rsidRPr="007515DE">
        <w:rPr>
          <w:lang w:val="en-US"/>
        </w:rPr>
        <w:t xml:space="preserve">. </w:t>
      </w:r>
      <w:r w:rsidR="001364B9" w:rsidRPr="007515DE">
        <w:rPr>
          <w:lang w:val="en-US"/>
        </w:rPr>
        <w:t xml:space="preserve">Moreover, it was not clear which participants in the study were, themselves, immigrants. </w:t>
      </w:r>
      <w:r w:rsidRPr="007515DE">
        <w:rPr>
          <w:lang w:val="en-US"/>
        </w:rPr>
        <w:t xml:space="preserve">Finally, the current study did not address whether attitudes towards minority groups like immigrants </w:t>
      </w:r>
      <w:r w:rsidR="000B4F74" w:rsidRPr="007515DE">
        <w:rPr>
          <w:lang w:val="en-US"/>
        </w:rPr>
        <w:t xml:space="preserve">can </w:t>
      </w:r>
      <w:r w:rsidRPr="007515DE">
        <w:rPr>
          <w:lang w:val="en-US"/>
        </w:rPr>
        <w:t xml:space="preserve">indeed </w:t>
      </w:r>
      <w:r w:rsidR="000B4F74" w:rsidRPr="007515DE">
        <w:rPr>
          <w:lang w:val="en-US"/>
        </w:rPr>
        <w:t xml:space="preserve">be connected to </w:t>
      </w:r>
      <w:r w:rsidRPr="007515DE">
        <w:rPr>
          <w:lang w:val="en-US"/>
        </w:rPr>
        <w:t xml:space="preserve">an a priori assumption that minority groups will not contribute to the </w:t>
      </w:r>
      <w:r w:rsidR="00E54DEA" w:rsidRPr="007515DE">
        <w:rPr>
          <w:lang w:val="en-US"/>
        </w:rPr>
        <w:t>CRs</w:t>
      </w:r>
      <w:r w:rsidR="009823CB" w:rsidRPr="007515DE">
        <w:rPr>
          <w:lang w:val="en-US"/>
        </w:rPr>
        <w:t xml:space="preserve"> while benefiting from them</w:t>
      </w:r>
      <w:r w:rsidR="00162274" w:rsidRPr="007515DE">
        <w:rPr>
          <w:lang w:val="en-US"/>
        </w:rPr>
        <w:t>. We will address this, our H3</w:t>
      </w:r>
      <w:r w:rsidRPr="007515DE">
        <w:rPr>
          <w:lang w:val="en-US"/>
        </w:rPr>
        <w:t>, in Study 2 which will involve a larger</w:t>
      </w:r>
      <w:r w:rsidR="009823CB" w:rsidRPr="007515DE">
        <w:rPr>
          <w:lang w:val="en-US"/>
        </w:rPr>
        <w:t xml:space="preserve"> </w:t>
      </w:r>
      <w:r w:rsidR="0098220A" w:rsidRPr="007515DE">
        <w:rPr>
          <w:lang w:val="en-US"/>
        </w:rPr>
        <w:t xml:space="preserve">and </w:t>
      </w:r>
      <w:r w:rsidRPr="007515DE">
        <w:rPr>
          <w:lang w:val="en-US"/>
        </w:rPr>
        <w:t>more homogenous sample.</w:t>
      </w:r>
    </w:p>
    <w:p w14:paraId="2E892286" w14:textId="139BBBA2" w:rsidR="00B120E1" w:rsidRPr="007515DE" w:rsidRDefault="00B120E1" w:rsidP="00B120E1">
      <w:pPr>
        <w:pStyle w:val="Heading1"/>
      </w:pPr>
      <w:r w:rsidRPr="007515DE">
        <w:t>Study 2</w:t>
      </w:r>
    </w:p>
    <w:p w14:paraId="5DFE466B" w14:textId="1F178BAB" w:rsidR="00B120E1" w:rsidRPr="007515DE" w:rsidRDefault="00B120E1" w:rsidP="00B120E1">
      <w:pPr>
        <w:rPr>
          <w:lang w:val="en-US"/>
        </w:rPr>
      </w:pPr>
      <w:r w:rsidRPr="007515DE">
        <w:rPr>
          <w:lang w:val="en-US"/>
        </w:rPr>
        <w:t>The purpose of Study 2 was to replicate our central findings that support for CRs adds to the explanation of anti-immigrant attitudes above and beyond other established predictors. To address the limitations of Study 1, we included a greater range of such predictors: national identity, civic identity, social dominance orientation, and trust in institutions. We retested all of our hypotheses on a sample of ethnic Croats living in Croatia. This allowed us to account for the diversity in the interpretations of many of our key items, including national pride, CR management, and left-right political orientation. We also included an exp</w:t>
      </w:r>
      <w:r w:rsidR="00E54DEA" w:rsidRPr="007515DE">
        <w:rPr>
          <w:lang w:val="en-US"/>
        </w:rPr>
        <w:t>licit test of how predictions about</w:t>
      </w:r>
      <w:r w:rsidRPr="007515DE">
        <w:rPr>
          <w:lang w:val="en-US"/>
        </w:rPr>
        <w:t xml:space="preserve"> minority contributions to</w:t>
      </w:r>
      <w:r w:rsidR="00E54DEA" w:rsidRPr="007515DE">
        <w:rPr>
          <w:lang w:val="en-US"/>
        </w:rPr>
        <w:t>,</w:t>
      </w:r>
      <w:r w:rsidRPr="007515DE">
        <w:rPr>
          <w:lang w:val="en-US"/>
        </w:rPr>
        <w:t xml:space="preserve"> and benefits from</w:t>
      </w:r>
      <w:r w:rsidR="00E54DEA" w:rsidRPr="007515DE">
        <w:rPr>
          <w:lang w:val="en-US"/>
        </w:rPr>
        <w:t>,</w:t>
      </w:r>
      <w:r w:rsidRPr="007515DE">
        <w:rPr>
          <w:lang w:val="en-US"/>
        </w:rPr>
        <w:t xml:space="preserve"> CRs impact prejudice against immigrants</w:t>
      </w:r>
      <w:r w:rsidR="0098220A" w:rsidRPr="007515DE">
        <w:rPr>
          <w:lang w:val="en-US"/>
        </w:rPr>
        <w:t xml:space="preserve"> (H3)</w:t>
      </w:r>
      <w:r w:rsidRPr="007515DE">
        <w:rPr>
          <w:lang w:val="en-US"/>
        </w:rPr>
        <w:t>.</w:t>
      </w:r>
    </w:p>
    <w:p w14:paraId="7EE06B9B" w14:textId="4B6FD92F" w:rsidR="00B120E1" w:rsidRPr="007515DE" w:rsidRDefault="00341696" w:rsidP="00B120E1">
      <w:pPr>
        <w:rPr>
          <w:lang w:val="en-US"/>
        </w:rPr>
      </w:pPr>
      <w:r w:rsidRPr="00341696">
        <w:rPr>
          <w:lang w:val="en-US"/>
        </w:rPr>
        <w:t xml:space="preserve">To determine the necessary sample size, we performed two a priori power analyses using </w:t>
      </w:r>
      <w:r w:rsidR="007D315E" w:rsidRPr="00341696">
        <w:rPr>
          <w:lang w:val="en-US"/>
        </w:rPr>
        <w:t>G*Power 3.1.9.2</w:t>
      </w:r>
      <w:r w:rsidR="00B120E1" w:rsidRPr="00341696">
        <w:rPr>
          <w:lang w:val="en-US"/>
        </w:rPr>
        <w:t xml:space="preserve"> </w:t>
      </w:r>
      <w:r w:rsidR="007D315E" w:rsidRPr="00341696">
        <w:rPr>
          <w:lang w:val="en-US"/>
        </w:rPr>
        <w:t>(Faul et al., 2007).</w:t>
      </w:r>
      <w:r w:rsidRPr="00341696">
        <w:rPr>
          <w:lang w:val="en-US"/>
        </w:rPr>
        <w:t xml:space="preserve"> Both analyses assumed a model with 17 predictors, of which the 4 test predictors (UCR, SCR, Minority Contributions, Minority Benefits) should add between </w:t>
      </w:r>
      <w:r w:rsidRPr="00341696">
        <w:rPr>
          <w:rFonts w:cs="Arial"/>
          <w:i/>
          <w:iCs/>
          <w:lang w:val="en-US"/>
        </w:rPr>
        <w:t>Δ</w:t>
      </w:r>
      <w:r w:rsidRPr="00341696">
        <w:rPr>
          <w:i/>
          <w:iCs/>
          <w:lang w:val="en-US"/>
        </w:rPr>
        <w:t>R</w:t>
      </w:r>
      <w:r w:rsidRPr="00341696">
        <w:rPr>
          <w:i/>
          <w:iCs/>
          <w:vertAlign w:val="subscript"/>
          <w:lang w:val="en-US"/>
        </w:rPr>
        <w:t>Partial</w:t>
      </w:r>
      <w:r w:rsidRPr="00341696">
        <w:rPr>
          <w:i/>
          <w:iCs/>
          <w:vertAlign w:val="superscript"/>
          <w:lang w:val="en-US"/>
        </w:rPr>
        <w:t>2</w:t>
      </w:r>
      <w:r w:rsidRPr="00341696">
        <w:rPr>
          <w:lang w:val="en-US"/>
        </w:rPr>
        <w:t xml:space="preserve"> = .02 (small effects assumed), and</w:t>
      </w:r>
      <w:r w:rsidR="007D315E" w:rsidRPr="00341696">
        <w:rPr>
          <w:lang w:val="en-US"/>
        </w:rPr>
        <w:t xml:space="preserve"> </w:t>
      </w:r>
      <w:r w:rsidRPr="00341696">
        <w:rPr>
          <w:rFonts w:cs="Arial"/>
          <w:i/>
          <w:iCs/>
          <w:lang w:val="en-US"/>
        </w:rPr>
        <w:t>Δ</w:t>
      </w:r>
      <w:r w:rsidRPr="00341696">
        <w:rPr>
          <w:i/>
          <w:iCs/>
          <w:lang w:val="en-US"/>
        </w:rPr>
        <w:t>R</w:t>
      </w:r>
      <w:r w:rsidRPr="00341696">
        <w:rPr>
          <w:i/>
          <w:iCs/>
          <w:vertAlign w:val="subscript"/>
          <w:lang w:val="en-US"/>
        </w:rPr>
        <w:t>Partial</w:t>
      </w:r>
      <w:r w:rsidRPr="00341696">
        <w:rPr>
          <w:i/>
          <w:iCs/>
          <w:vertAlign w:val="superscript"/>
          <w:lang w:val="en-US"/>
        </w:rPr>
        <w:t>2</w:t>
      </w:r>
      <w:r w:rsidRPr="00341696">
        <w:rPr>
          <w:i/>
          <w:iCs/>
          <w:lang w:val="en-US"/>
        </w:rPr>
        <w:t xml:space="preserve"> </w:t>
      </w:r>
      <w:r w:rsidRPr="00341696">
        <w:rPr>
          <w:lang w:val="en-US"/>
        </w:rPr>
        <w:t xml:space="preserve">= .09 (medium effects assumed). </w:t>
      </w:r>
      <w:r w:rsidRPr="00341696">
        <w:t>At</w:t>
      </w:r>
      <w:r w:rsidRPr="00341696">
        <w:rPr>
          <w:lang w:val="en-US"/>
        </w:rPr>
        <w:t xml:space="preserve"> </w:t>
      </w:r>
      <w:r w:rsidRPr="00341696">
        <w:rPr>
          <w:i/>
          <w:iCs/>
          <w:lang w:val="en-US"/>
        </w:rPr>
        <w:t>α</w:t>
      </w:r>
      <w:r w:rsidRPr="00341696">
        <w:rPr>
          <w:lang w:val="en-US"/>
        </w:rPr>
        <w:t xml:space="preserve"> = .05 and </w:t>
      </w:r>
      <w:r w:rsidRPr="00341696">
        <w:rPr>
          <w:i/>
          <w:iCs/>
          <w:lang w:val="en-US"/>
        </w:rPr>
        <w:t xml:space="preserve">1 – β </w:t>
      </w:r>
      <w:r w:rsidRPr="00341696">
        <w:rPr>
          <w:lang w:val="en-US"/>
        </w:rPr>
        <w:t>= .95, this gave us a necessary sample size of between 191 (assuming medium effects) and 934 participants (assuming small effects</w:t>
      </w:r>
      <w:r w:rsidRPr="00341696">
        <w:t>)</w:t>
      </w:r>
      <w:r w:rsidRPr="00341696">
        <w:rPr>
          <w:lang w:val="en-US"/>
        </w:rPr>
        <w:t>.</w:t>
      </w:r>
    </w:p>
    <w:p w14:paraId="028D195D" w14:textId="77777777" w:rsidR="00B120E1" w:rsidRPr="007515DE" w:rsidRDefault="00B120E1" w:rsidP="00513F31">
      <w:pPr>
        <w:pStyle w:val="Heading2"/>
      </w:pPr>
      <w:r w:rsidRPr="007515DE">
        <w:lastRenderedPageBreak/>
        <w:t>Sociocultural context</w:t>
      </w:r>
    </w:p>
    <w:p w14:paraId="7A12C898" w14:textId="65D0030C" w:rsidR="00B120E1" w:rsidRPr="007515DE" w:rsidRDefault="00B120E1" w:rsidP="00513F31">
      <w:pPr>
        <w:rPr>
          <w:lang w:val="en-US"/>
        </w:rPr>
      </w:pPr>
      <w:r w:rsidRPr="007515DE">
        <w:rPr>
          <w:lang w:val="en-US"/>
        </w:rPr>
        <w:t xml:space="preserve">It is worth noting what makes Croatia an interesting socio-cultural and political context in which to study the connection between support for </w:t>
      </w:r>
      <w:r w:rsidR="00513F31" w:rsidRPr="007515DE">
        <w:rPr>
          <w:lang w:val="en-US"/>
        </w:rPr>
        <w:t>CRs</w:t>
      </w:r>
      <w:r w:rsidRPr="007515DE">
        <w:rPr>
          <w:lang w:val="en-US"/>
        </w:rPr>
        <w:t xml:space="preserve"> and prejudice against immigrants. It is a post-communist society, having</w:t>
      </w:r>
      <w:r w:rsidR="00E54DEA" w:rsidRPr="007515DE">
        <w:rPr>
          <w:lang w:val="en-US"/>
        </w:rPr>
        <w:t xml:space="preserve"> declared independence from </w:t>
      </w:r>
      <w:r w:rsidRPr="007515DE">
        <w:rPr>
          <w:lang w:val="en-US"/>
        </w:rPr>
        <w:t>Yugoslavia in 1991. This decisio</w:t>
      </w:r>
      <w:r w:rsidR="00E54DEA" w:rsidRPr="007515DE">
        <w:rPr>
          <w:lang w:val="en-US"/>
        </w:rPr>
        <w:t xml:space="preserve">n was </w:t>
      </w:r>
      <w:r w:rsidRPr="007515DE">
        <w:rPr>
          <w:lang w:val="en-US"/>
        </w:rPr>
        <w:t xml:space="preserve">followed by </w:t>
      </w:r>
      <w:r w:rsidR="009823CB" w:rsidRPr="007515DE">
        <w:rPr>
          <w:lang w:val="en-US"/>
        </w:rPr>
        <w:t>war</w:t>
      </w:r>
      <w:r w:rsidRPr="007515DE">
        <w:rPr>
          <w:lang w:val="en-US"/>
        </w:rPr>
        <w:t xml:space="preserve"> which split the country and the region along ethnic, national, and religious lines. </w:t>
      </w:r>
      <w:r w:rsidR="006610C1" w:rsidRPr="007515DE">
        <w:rPr>
          <w:lang w:val="en-US"/>
        </w:rPr>
        <w:t>Croatia’s communist past means that all of the CRs on our list are either fully or partially funded by the government through taxation. Thus, there should be general acceptance that these resources can be funded through taxation, and a common, broad anchoring point when deciding whether less or more funding is needed.</w:t>
      </w:r>
    </w:p>
    <w:p w14:paraId="592C5141" w14:textId="39E18822" w:rsidR="00FD4DEB" w:rsidRDefault="006610C1" w:rsidP="00E92A73">
      <w:pPr>
        <w:rPr>
          <w:lang w:val="en-US"/>
        </w:rPr>
      </w:pPr>
      <w:r w:rsidRPr="007515DE">
        <w:rPr>
          <w:lang w:val="en-US"/>
        </w:rPr>
        <w:t xml:space="preserve">Croatia is ethnically </w:t>
      </w:r>
      <w:r w:rsidR="00B120E1" w:rsidRPr="007515DE">
        <w:rPr>
          <w:lang w:val="en-US"/>
        </w:rPr>
        <w:t>homogeneous, with only around 10% of the population declaring themselves as members of ethnic minorities (</w:t>
      </w:r>
      <w:r w:rsidR="009A5843" w:rsidRPr="007515DE">
        <w:rPr>
          <w:lang w:val="en-US"/>
        </w:rPr>
        <w:t>Croa</w:t>
      </w:r>
      <w:r w:rsidR="009823CB" w:rsidRPr="007515DE">
        <w:rPr>
          <w:lang w:val="en-US"/>
        </w:rPr>
        <w:t>tian Bureau of Statistics</w:t>
      </w:r>
      <w:r w:rsidR="00B120E1" w:rsidRPr="007515DE">
        <w:rPr>
          <w:lang w:val="en-US"/>
        </w:rPr>
        <w:t xml:space="preserve">, 2021). </w:t>
      </w:r>
      <w:r w:rsidR="00E54DEA" w:rsidRPr="007515DE">
        <w:rPr>
          <w:lang w:val="en-US"/>
        </w:rPr>
        <w:t>Most</w:t>
      </w:r>
      <w:r w:rsidR="00B120E1" w:rsidRPr="007515DE">
        <w:rPr>
          <w:lang w:val="en-US"/>
        </w:rPr>
        <w:t xml:space="preserve"> represented are Serbs, </w:t>
      </w:r>
      <w:proofErr w:type="spellStart"/>
      <w:r w:rsidR="00B120E1" w:rsidRPr="007515DE">
        <w:rPr>
          <w:lang w:val="en-US"/>
        </w:rPr>
        <w:t>Bosniaks</w:t>
      </w:r>
      <w:proofErr w:type="spellEnd"/>
      <w:r w:rsidR="00B120E1" w:rsidRPr="007515DE">
        <w:rPr>
          <w:lang w:val="en-US"/>
        </w:rPr>
        <w:t>, Italians, Albanians</w:t>
      </w:r>
      <w:r w:rsidR="00FB0D14" w:rsidRPr="007515DE">
        <w:rPr>
          <w:lang w:val="en-US"/>
        </w:rPr>
        <w:t>, and</w:t>
      </w:r>
      <w:r w:rsidR="00B120E1" w:rsidRPr="007515DE">
        <w:rPr>
          <w:lang w:val="en-US"/>
        </w:rPr>
        <w:t xml:space="preserve"> Roma, whose presence in Croatia can be measured in centuries. </w:t>
      </w:r>
      <w:r w:rsidR="009A5843" w:rsidRPr="007515DE">
        <w:rPr>
          <w:lang w:val="en-US"/>
        </w:rPr>
        <w:t>Under 1% of the population has a</w:t>
      </w:r>
      <w:r w:rsidR="00B120E1" w:rsidRPr="007515DE">
        <w:rPr>
          <w:lang w:val="en-US"/>
        </w:rPr>
        <w:t xml:space="preserve"> recent immigration background (Gregurov</w:t>
      </w:r>
      <w:r w:rsidR="00513F31" w:rsidRPr="007515DE">
        <w:rPr>
          <w:lang w:val="en-US"/>
        </w:rPr>
        <w:t>ić</w:t>
      </w:r>
      <w:r w:rsidRPr="007515DE">
        <w:rPr>
          <w:lang w:val="en-US"/>
        </w:rPr>
        <w:t xml:space="preserve"> et al.</w:t>
      </w:r>
      <w:r w:rsidR="00513F31" w:rsidRPr="007515DE">
        <w:rPr>
          <w:lang w:val="en-US"/>
        </w:rPr>
        <w:t>, 2016</w:t>
      </w:r>
      <w:r w:rsidR="00B120E1" w:rsidRPr="007515DE">
        <w:rPr>
          <w:lang w:val="en-US"/>
        </w:rPr>
        <w:t xml:space="preserve">). </w:t>
      </w:r>
      <w:r w:rsidR="00FD4DEB">
        <w:rPr>
          <w:lang w:val="en-US"/>
        </w:rPr>
        <w:t>However, s</w:t>
      </w:r>
      <w:r w:rsidR="00FD4DEB" w:rsidRPr="007515DE">
        <w:rPr>
          <w:lang w:val="en-US"/>
        </w:rPr>
        <w:t xml:space="preserve">ince its entry into the European Union in 2013, Croatia’s place in the scheme of international migration has slowly been changing, with low but gradually increasing rates of immigrants arriving </w:t>
      </w:r>
      <w:r w:rsidR="001656B6">
        <w:rPr>
          <w:lang w:val="en-US"/>
        </w:rPr>
        <w:t>in</w:t>
      </w:r>
      <w:r w:rsidR="001656B6" w:rsidRPr="007515DE">
        <w:rPr>
          <w:lang w:val="en-US"/>
        </w:rPr>
        <w:t xml:space="preserve"> </w:t>
      </w:r>
      <w:r w:rsidR="00FD4DEB" w:rsidRPr="007515DE">
        <w:rPr>
          <w:lang w:val="en-US"/>
        </w:rPr>
        <w:t>the country</w:t>
      </w:r>
      <w:r w:rsidR="00FD4DEB">
        <w:rPr>
          <w:lang w:val="en-US"/>
        </w:rPr>
        <w:t xml:space="preserve"> (</w:t>
      </w:r>
      <w:proofErr w:type="spellStart"/>
      <w:r w:rsidR="00FD4DEB">
        <w:rPr>
          <w:lang w:val="en-US"/>
        </w:rPr>
        <w:t>Tatalović</w:t>
      </w:r>
      <w:proofErr w:type="spellEnd"/>
      <w:r w:rsidR="00FD4DEB">
        <w:rPr>
          <w:lang w:val="en-US"/>
        </w:rPr>
        <w:t xml:space="preserve"> &amp; </w:t>
      </w:r>
      <w:proofErr w:type="spellStart"/>
      <w:r w:rsidR="00FD4DEB">
        <w:rPr>
          <w:lang w:val="en-US"/>
        </w:rPr>
        <w:t>Jakšević</w:t>
      </w:r>
      <w:proofErr w:type="spellEnd"/>
      <w:r w:rsidR="00FD4DEB">
        <w:rPr>
          <w:lang w:val="en-US"/>
        </w:rPr>
        <w:t>, 2016). F</w:t>
      </w:r>
      <w:r w:rsidR="00FD4DEB" w:rsidRPr="007515DE">
        <w:rPr>
          <w:lang w:val="en-US"/>
        </w:rPr>
        <w:t xml:space="preserve">or the first time in modern history, </w:t>
      </w:r>
      <w:r w:rsidR="00FD4DEB">
        <w:rPr>
          <w:lang w:val="en-US"/>
        </w:rPr>
        <w:t xml:space="preserve">this </w:t>
      </w:r>
      <w:r w:rsidR="00FD4DEB" w:rsidRPr="007515DE">
        <w:rPr>
          <w:lang w:val="en-US"/>
        </w:rPr>
        <w:t>includes a noticeable number of immigrants from cultures and ethnic groups other than those of the already established ethnic minorities in Croatia (e.g., Afghan, Filipino, Syrian).</w:t>
      </w:r>
    </w:p>
    <w:p w14:paraId="0653030B" w14:textId="1C3065CF" w:rsidR="009A5843" w:rsidRPr="007515DE" w:rsidRDefault="00513F31" w:rsidP="00FD4DEB">
      <w:pPr>
        <w:rPr>
          <w:lang w:val="en-US"/>
        </w:rPr>
      </w:pPr>
      <w:r w:rsidRPr="007515DE">
        <w:rPr>
          <w:lang w:val="en-US"/>
        </w:rPr>
        <w:t xml:space="preserve">This is not to say that there is no prejudice against ethnic minorities and immigrants. </w:t>
      </w:r>
      <w:r w:rsidR="006610C1" w:rsidRPr="007515DE">
        <w:rPr>
          <w:lang w:val="en-US"/>
        </w:rPr>
        <w:t>A</w:t>
      </w:r>
      <w:r w:rsidRPr="007515DE">
        <w:rPr>
          <w:lang w:val="en-US"/>
        </w:rPr>
        <w:t xml:space="preserve">uthors find socialist heritage translates easily into </w:t>
      </w:r>
      <w:r w:rsidR="00E92A73" w:rsidRPr="007515DE">
        <w:rPr>
          <w:lang w:val="en-US"/>
        </w:rPr>
        <w:t>parochial attitudes</w:t>
      </w:r>
      <w:r w:rsidRPr="007515DE">
        <w:rPr>
          <w:lang w:val="en-US"/>
        </w:rPr>
        <w:t xml:space="preserve"> (</w:t>
      </w:r>
      <w:proofErr w:type="spellStart"/>
      <w:r w:rsidRPr="007515DE">
        <w:rPr>
          <w:lang w:val="en-US"/>
        </w:rPr>
        <w:t>Dušanić</w:t>
      </w:r>
      <w:proofErr w:type="spellEnd"/>
      <w:r w:rsidRPr="007515DE">
        <w:rPr>
          <w:lang w:val="en-US"/>
        </w:rPr>
        <w:t xml:space="preserve"> et al., 2019; </w:t>
      </w:r>
      <w:proofErr w:type="spellStart"/>
      <w:r w:rsidRPr="007515DE">
        <w:rPr>
          <w:lang w:val="en-US"/>
        </w:rPr>
        <w:t>Majstorović</w:t>
      </w:r>
      <w:proofErr w:type="spellEnd"/>
      <w:r w:rsidRPr="007515DE">
        <w:rPr>
          <w:lang w:val="en-US"/>
        </w:rPr>
        <w:t xml:space="preserve"> &amp; </w:t>
      </w:r>
      <w:proofErr w:type="spellStart"/>
      <w:r w:rsidRPr="007515DE">
        <w:rPr>
          <w:lang w:val="en-US"/>
        </w:rPr>
        <w:t>Turjačanin</w:t>
      </w:r>
      <w:proofErr w:type="spellEnd"/>
      <w:r w:rsidRPr="007515DE">
        <w:rPr>
          <w:lang w:val="en-US"/>
        </w:rPr>
        <w:t xml:space="preserve">, 2013). </w:t>
      </w:r>
      <w:r w:rsidR="00FD4DEB">
        <w:rPr>
          <w:lang w:val="en-US"/>
        </w:rPr>
        <w:t>Tensions</w:t>
      </w:r>
      <w:r w:rsidRPr="007515DE">
        <w:rPr>
          <w:lang w:val="en-US"/>
        </w:rPr>
        <w:t xml:space="preserve"> inherited from the Yugoslav wars still plague Croatia, as do </w:t>
      </w:r>
      <w:r w:rsidR="00FD4DEB">
        <w:rPr>
          <w:lang w:val="en-US"/>
        </w:rPr>
        <w:t>new</w:t>
      </w:r>
      <w:r w:rsidRPr="007515DE">
        <w:rPr>
          <w:lang w:val="en-US"/>
        </w:rPr>
        <w:t xml:space="preserve"> anxieties about refugees from th</w:t>
      </w:r>
      <w:r w:rsidR="009A5843" w:rsidRPr="007515DE">
        <w:rPr>
          <w:lang w:val="en-US"/>
        </w:rPr>
        <w:t>e Middle East and Afghanistan. I</w:t>
      </w:r>
      <w:r w:rsidRPr="007515DE">
        <w:rPr>
          <w:lang w:val="en-US"/>
        </w:rPr>
        <w:t>mmigrants</w:t>
      </w:r>
      <w:r w:rsidR="00E92A73" w:rsidRPr="007515DE">
        <w:rPr>
          <w:lang w:val="en-US"/>
        </w:rPr>
        <w:t xml:space="preserve"> and asylum-seekers</w:t>
      </w:r>
      <w:r w:rsidRPr="007515DE">
        <w:rPr>
          <w:lang w:val="en-US"/>
        </w:rPr>
        <w:t xml:space="preserve">, despite their low number, are </w:t>
      </w:r>
      <w:r w:rsidR="00E92A73" w:rsidRPr="007515DE">
        <w:rPr>
          <w:lang w:val="en-US"/>
        </w:rPr>
        <w:t xml:space="preserve">perceived as a </w:t>
      </w:r>
      <w:r w:rsidR="003D6B3C" w:rsidRPr="007515DE">
        <w:rPr>
          <w:lang w:val="en-US"/>
        </w:rPr>
        <w:t>s</w:t>
      </w:r>
      <w:r w:rsidR="00E92A73" w:rsidRPr="007515DE">
        <w:rPr>
          <w:lang w:val="en-US"/>
        </w:rPr>
        <w:t>alient socio-cultural and economic threat</w:t>
      </w:r>
      <w:r w:rsidRPr="007515DE">
        <w:rPr>
          <w:lang w:val="en-US"/>
        </w:rPr>
        <w:t xml:space="preserve"> (</w:t>
      </w:r>
      <w:proofErr w:type="spellStart"/>
      <w:r w:rsidRPr="007515DE">
        <w:rPr>
          <w:lang w:val="en-US"/>
        </w:rPr>
        <w:t>Čačić-Kumpes</w:t>
      </w:r>
      <w:proofErr w:type="spellEnd"/>
      <w:r w:rsidR="008F07F4" w:rsidRPr="007515DE">
        <w:rPr>
          <w:lang w:val="en-US"/>
        </w:rPr>
        <w:t xml:space="preserve"> et al.</w:t>
      </w:r>
      <w:r w:rsidR="00E92A73" w:rsidRPr="007515DE">
        <w:rPr>
          <w:lang w:val="en-US"/>
        </w:rPr>
        <w:t xml:space="preserve">, 2012; </w:t>
      </w:r>
      <w:r w:rsidR="008F07F4" w:rsidRPr="007515DE">
        <w:rPr>
          <w:lang w:val="en-US"/>
        </w:rPr>
        <w:t>Gregurović</w:t>
      </w:r>
      <w:r w:rsidRPr="007515DE">
        <w:rPr>
          <w:lang w:val="en-US"/>
        </w:rPr>
        <w:t xml:space="preserve"> </w:t>
      </w:r>
      <w:r w:rsidR="008F07F4" w:rsidRPr="007515DE">
        <w:rPr>
          <w:lang w:val="en-US"/>
        </w:rPr>
        <w:t>et al.</w:t>
      </w:r>
      <w:r w:rsidRPr="007515DE">
        <w:rPr>
          <w:lang w:val="en-US"/>
        </w:rPr>
        <w:t>, 2016).</w:t>
      </w:r>
      <w:r w:rsidR="00FD4DEB">
        <w:rPr>
          <w:lang w:val="en-US"/>
        </w:rPr>
        <w:t xml:space="preserve"> Nevertheless, t</w:t>
      </w:r>
      <w:r w:rsidR="009A5843" w:rsidRPr="007515DE">
        <w:rPr>
          <w:lang w:val="en-US"/>
        </w:rPr>
        <w:t>he discourse is currently developin</w:t>
      </w:r>
      <w:r w:rsidR="00C30EC1" w:rsidRPr="007515DE">
        <w:rPr>
          <w:lang w:val="en-US"/>
        </w:rPr>
        <w:t>g</w:t>
      </w:r>
      <w:r w:rsidR="009A5843" w:rsidRPr="007515DE">
        <w:rPr>
          <w:lang w:val="en-US"/>
        </w:rPr>
        <w:t xml:space="preserve"> and does not yet contain elaborate anti-</w:t>
      </w:r>
      <w:r w:rsidR="009A5843" w:rsidRPr="007515DE">
        <w:rPr>
          <w:lang w:val="en-US"/>
        </w:rPr>
        <w:lastRenderedPageBreak/>
        <w:t xml:space="preserve">immigrant narratives, like the ones described by Hogan and </w:t>
      </w:r>
      <w:proofErr w:type="spellStart"/>
      <w:r w:rsidR="009A5843" w:rsidRPr="007515DE">
        <w:rPr>
          <w:lang w:val="en-US"/>
        </w:rPr>
        <w:t>Haltinner</w:t>
      </w:r>
      <w:proofErr w:type="spellEnd"/>
      <w:r w:rsidR="009A5843" w:rsidRPr="007515DE">
        <w:rPr>
          <w:lang w:val="en-US"/>
        </w:rPr>
        <w:t xml:space="preserve"> (2015), which explicitly associate migrants with freeriding on CRs.</w:t>
      </w:r>
      <w:r w:rsidR="006610C1" w:rsidRPr="007515DE">
        <w:rPr>
          <w:lang w:val="en-US"/>
        </w:rPr>
        <w:t xml:space="preserve"> </w:t>
      </w:r>
    </w:p>
    <w:p w14:paraId="2E29D148" w14:textId="637BE559" w:rsidR="00B120E1" w:rsidRPr="007515DE" w:rsidRDefault="00240036" w:rsidP="00513F31">
      <w:pPr>
        <w:rPr>
          <w:lang w:val="en-US"/>
        </w:rPr>
      </w:pPr>
      <w:r w:rsidRPr="007515DE">
        <w:rPr>
          <w:lang w:val="en-US"/>
        </w:rPr>
        <w:t>In short</w:t>
      </w:r>
      <w:r w:rsidR="00B120E1" w:rsidRPr="007515DE">
        <w:rPr>
          <w:lang w:val="en-US"/>
        </w:rPr>
        <w:t xml:space="preserve">, Croatia presents a hard test of our hypotheses. It is </w:t>
      </w:r>
      <w:r w:rsidR="00B71E01" w:rsidRPr="007515DE">
        <w:rPr>
          <w:lang w:val="en-US"/>
        </w:rPr>
        <w:t xml:space="preserve">a </w:t>
      </w:r>
      <w:r w:rsidR="00C30EC1" w:rsidRPr="007515DE">
        <w:rPr>
          <w:lang w:val="en-US"/>
        </w:rPr>
        <w:t xml:space="preserve">developing target of immigration with a socialist heritage. It does not yet have </w:t>
      </w:r>
      <w:r w:rsidR="003D6B3C" w:rsidRPr="007515DE">
        <w:rPr>
          <w:lang w:val="en-US"/>
        </w:rPr>
        <w:t>well-established</w:t>
      </w:r>
      <w:r w:rsidR="00C30EC1" w:rsidRPr="007515DE">
        <w:rPr>
          <w:lang w:val="en-US"/>
        </w:rPr>
        <w:t xml:space="preserve"> </w:t>
      </w:r>
      <w:r w:rsidR="00B120E1" w:rsidRPr="007515DE">
        <w:rPr>
          <w:lang w:val="en-US"/>
        </w:rPr>
        <w:t xml:space="preserve">narratives about </w:t>
      </w:r>
      <w:r w:rsidR="00C46806" w:rsidRPr="007515DE">
        <w:rPr>
          <w:lang w:val="en-US"/>
        </w:rPr>
        <w:t>im</w:t>
      </w:r>
      <w:r w:rsidR="00B120E1" w:rsidRPr="007515DE">
        <w:rPr>
          <w:lang w:val="en-US"/>
        </w:rPr>
        <w:t>migrants as “social parasites</w:t>
      </w:r>
      <w:r w:rsidR="00B71E01" w:rsidRPr="007515DE">
        <w:rPr>
          <w:lang w:val="en-US"/>
        </w:rPr>
        <w:t>”</w:t>
      </w:r>
      <w:r w:rsidR="00B120E1" w:rsidRPr="007515DE">
        <w:rPr>
          <w:lang w:val="en-US"/>
        </w:rPr>
        <w:t xml:space="preserve">. </w:t>
      </w:r>
      <w:r w:rsidR="009A5843" w:rsidRPr="007515DE">
        <w:rPr>
          <w:lang w:val="en-US"/>
        </w:rPr>
        <w:t>Additionally, i</w:t>
      </w:r>
      <w:r w:rsidR="00513F31" w:rsidRPr="007515DE">
        <w:rPr>
          <w:lang w:val="en-US"/>
        </w:rPr>
        <w:t>t</w:t>
      </w:r>
      <w:r w:rsidR="00B120E1" w:rsidRPr="007515DE">
        <w:rPr>
          <w:lang w:val="en-US"/>
        </w:rPr>
        <w:t xml:space="preserve"> is characterized by high and mostly uncontroversial support for public resources.</w:t>
      </w:r>
    </w:p>
    <w:p w14:paraId="7F713716" w14:textId="77777777" w:rsidR="00B120E1" w:rsidRPr="007515DE" w:rsidRDefault="00B120E1" w:rsidP="00E54DEA">
      <w:pPr>
        <w:pStyle w:val="Heading2"/>
      </w:pPr>
      <w:r w:rsidRPr="007515DE">
        <w:t>Method</w:t>
      </w:r>
    </w:p>
    <w:p w14:paraId="355B361D" w14:textId="77777777" w:rsidR="00B120E1" w:rsidRPr="007515DE" w:rsidRDefault="00B120E1" w:rsidP="00240036">
      <w:pPr>
        <w:pStyle w:val="Heading3"/>
      </w:pPr>
      <w:r w:rsidRPr="007515DE">
        <w:t>Participants</w:t>
      </w:r>
    </w:p>
    <w:p w14:paraId="7FA9EDED" w14:textId="29F53104" w:rsidR="00B120E1" w:rsidRPr="007515DE" w:rsidRDefault="00B120E1" w:rsidP="00240036">
      <w:pPr>
        <w:rPr>
          <w:lang w:val="en-US"/>
        </w:rPr>
      </w:pPr>
      <w:r w:rsidRPr="007515DE">
        <w:rPr>
          <w:lang w:val="en-US"/>
        </w:rPr>
        <w:t>We recruited 347 participants</w:t>
      </w:r>
      <w:r w:rsidR="001E1FE1" w:rsidRPr="007515DE">
        <w:rPr>
          <w:lang w:val="en-US"/>
        </w:rPr>
        <w:t xml:space="preserve"> for this study. </w:t>
      </w:r>
      <w:r w:rsidR="00FD4DEB">
        <w:rPr>
          <w:lang w:val="en-US"/>
        </w:rPr>
        <w:t>I</w:t>
      </w:r>
      <w:r w:rsidR="001E1FE1" w:rsidRPr="007515DE">
        <w:rPr>
          <w:lang w:val="en-US"/>
        </w:rPr>
        <w:t>n an effort to attract non-student populations, we initiated</w:t>
      </w:r>
      <w:r w:rsidRPr="007515DE">
        <w:rPr>
          <w:lang w:val="en-US"/>
        </w:rPr>
        <w:t xml:space="preserve"> snowball sampling</w:t>
      </w:r>
      <w:r w:rsidR="009A5843" w:rsidRPr="007515DE">
        <w:rPr>
          <w:lang w:val="en-US"/>
        </w:rPr>
        <w:t xml:space="preserve"> via F</w:t>
      </w:r>
      <w:r w:rsidR="00AE122C" w:rsidRPr="007515DE">
        <w:rPr>
          <w:lang w:val="en-US"/>
        </w:rPr>
        <w:t xml:space="preserve">acebook. A link was provided, inviting participants to </w:t>
      </w:r>
      <w:r w:rsidRPr="007515DE">
        <w:rPr>
          <w:lang w:val="en-US"/>
        </w:rPr>
        <w:t>a study of “attitudes and behaviors related to current social issues</w:t>
      </w:r>
      <w:r w:rsidR="00AE122C" w:rsidRPr="007515DE">
        <w:rPr>
          <w:lang w:val="en-US"/>
        </w:rPr>
        <w:t>”</w:t>
      </w:r>
      <w:r w:rsidRPr="007515DE">
        <w:rPr>
          <w:lang w:val="en-US"/>
        </w:rPr>
        <w:t>. All part</w:t>
      </w:r>
      <w:r w:rsidR="00AE122C" w:rsidRPr="007515DE">
        <w:rPr>
          <w:lang w:val="en-US"/>
        </w:rPr>
        <w:t xml:space="preserve">icipants were asked to </w:t>
      </w:r>
      <w:r w:rsidR="003D6B3C" w:rsidRPr="007515DE">
        <w:rPr>
          <w:lang w:val="en-US"/>
        </w:rPr>
        <w:t xml:space="preserve">forward </w:t>
      </w:r>
      <w:r w:rsidR="00AE122C" w:rsidRPr="007515DE">
        <w:rPr>
          <w:lang w:val="en-US"/>
        </w:rPr>
        <w:t xml:space="preserve">the invitation </w:t>
      </w:r>
      <w:r w:rsidRPr="007515DE">
        <w:rPr>
          <w:lang w:val="en-US"/>
        </w:rPr>
        <w:t>to friends and</w:t>
      </w:r>
      <w:r w:rsidR="00C30EC1" w:rsidRPr="007515DE">
        <w:rPr>
          <w:lang w:val="en-US"/>
        </w:rPr>
        <w:t xml:space="preserve"> family</w:t>
      </w:r>
      <w:r w:rsidRPr="007515DE">
        <w:rPr>
          <w:lang w:val="en-US"/>
        </w:rPr>
        <w:t>.</w:t>
      </w:r>
      <w:r w:rsidR="00240036" w:rsidRPr="007515DE">
        <w:rPr>
          <w:lang w:val="en-US"/>
        </w:rPr>
        <w:t xml:space="preserve"> </w:t>
      </w:r>
      <w:r w:rsidRPr="007515DE">
        <w:rPr>
          <w:lang w:val="en-US"/>
        </w:rPr>
        <w:t>Since our hypotheses related to ethnic majority populations living in the nation-state, we excluded members of ethnic minorities (</w:t>
      </w:r>
      <w:r w:rsidRPr="00101220">
        <w:rPr>
          <w:i/>
          <w:lang w:val="en-US"/>
        </w:rPr>
        <w:t>N</w:t>
      </w:r>
      <w:r w:rsidRPr="007515DE">
        <w:rPr>
          <w:lang w:val="en-US"/>
        </w:rPr>
        <w:t xml:space="preserve"> = 35) and Croatian citizens living outside of Croatia (</w:t>
      </w:r>
      <w:r w:rsidRPr="00101220">
        <w:rPr>
          <w:i/>
          <w:lang w:val="en-US"/>
        </w:rPr>
        <w:t>N</w:t>
      </w:r>
      <w:r w:rsidRPr="007515DE">
        <w:rPr>
          <w:lang w:val="en-US"/>
        </w:rPr>
        <w:t xml:space="preserve"> = 13). In addition, we excluded one participant for being underage (13 years old). </w:t>
      </w:r>
      <w:r w:rsidR="00AE122C" w:rsidRPr="007515DE">
        <w:rPr>
          <w:lang w:val="en-US"/>
        </w:rPr>
        <w:t>This left</w:t>
      </w:r>
      <w:r w:rsidRPr="007515DE">
        <w:rPr>
          <w:lang w:val="en-US"/>
        </w:rPr>
        <w:t xml:space="preserve"> 298 participants (159 female, 136 male, 2 non-binary). Average age of participants was 4</w:t>
      </w:r>
      <w:r w:rsidR="00953A40" w:rsidRPr="007515DE">
        <w:rPr>
          <w:lang w:val="en-US"/>
        </w:rPr>
        <w:t>6.6</w:t>
      </w:r>
      <w:r w:rsidR="00490108" w:rsidRPr="007515DE">
        <w:rPr>
          <w:lang w:val="en-US"/>
        </w:rPr>
        <w:t xml:space="preserve"> years</w:t>
      </w:r>
      <w:r w:rsidR="00953A40" w:rsidRPr="007515DE">
        <w:rPr>
          <w:lang w:val="en-US"/>
        </w:rPr>
        <w:t xml:space="preserve"> (</w:t>
      </w:r>
      <w:r w:rsidR="00953A40" w:rsidRPr="007515DE">
        <w:rPr>
          <w:i/>
          <w:iCs/>
          <w:lang w:val="en-US"/>
        </w:rPr>
        <w:t>SD</w:t>
      </w:r>
      <w:r w:rsidR="00953A40" w:rsidRPr="007515DE">
        <w:rPr>
          <w:lang w:val="en-US"/>
        </w:rPr>
        <w:t xml:space="preserve"> = 12.9)</w:t>
      </w:r>
      <w:r w:rsidRPr="007515DE">
        <w:rPr>
          <w:lang w:val="en-US"/>
        </w:rPr>
        <w:t>.</w:t>
      </w:r>
      <w:r w:rsidR="00950577">
        <w:rPr>
          <w:lang w:val="en-US"/>
        </w:rPr>
        <w:t xml:space="preserve"> The majority of the participants placed themselves </w:t>
      </w:r>
      <w:r w:rsidR="003C72A3">
        <w:rPr>
          <w:lang w:val="en-US"/>
        </w:rPr>
        <w:t>around</w:t>
      </w:r>
      <w:r w:rsidR="00950577">
        <w:rPr>
          <w:lang w:val="en-US"/>
        </w:rPr>
        <w:t xml:space="preserve"> the </w:t>
      </w:r>
      <w:proofErr w:type="spellStart"/>
      <w:r w:rsidR="00950577">
        <w:rPr>
          <w:lang w:val="en-US"/>
        </w:rPr>
        <w:t>centre</w:t>
      </w:r>
      <w:proofErr w:type="spellEnd"/>
      <w:r w:rsidR="00950577">
        <w:rPr>
          <w:lang w:val="en-US"/>
        </w:rPr>
        <w:t xml:space="preserve"> of the political scale (57.4%) and identified as members of the middle class (68.1%). Participant’s religious orientation was more evenly distributed than in Study 1 with 35.2% religious, 27.2% somewhat religious, and 37.6% identifying as not religious.</w:t>
      </w:r>
    </w:p>
    <w:p w14:paraId="3519AB3D" w14:textId="77777777" w:rsidR="00B120E1" w:rsidRPr="007515DE" w:rsidRDefault="00B120E1" w:rsidP="00240036">
      <w:pPr>
        <w:pStyle w:val="Heading3"/>
        <w:rPr>
          <w:i/>
        </w:rPr>
      </w:pPr>
      <w:r w:rsidRPr="007515DE">
        <w:t>Measures</w:t>
      </w:r>
    </w:p>
    <w:p w14:paraId="34CB0CAA" w14:textId="7B5AEAE4" w:rsidR="00B120E1" w:rsidRPr="007515DE" w:rsidRDefault="00B120E1" w:rsidP="004446AE">
      <w:pPr>
        <w:rPr>
          <w:lang w:val="en-US"/>
        </w:rPr>
      </w:pPr>
      <w:r w:rsidRPr="007515DE">
        <w:rPr>
          <w:lang w:val="en-US"/>
        </w:rPr>
        <w:t xml:space="preserve">The instruments used closely resembled those used in Study </w:t>
      </w:r>
      <w:r w:rsidR="00C30EC1" w:rsidRPr="007515DE">
        <w:rPr>
          <w:lang w:val="en-US"/>
        </w:rPr>
        <w:t>1</w:t>
      </w:r>
      <w:r w:rsidRPr="007515DE">
        <w:rPr>
          <w:lang w:val="en-US"/>
        </w:rPr>
        <w:t xml:space="preserve">. Where possible, we relied on existing translations. The measure of prejudice against </w:t>
      </w:r>
      <w:r w:rsidR="00C46806" w:rsidRPr="007515DE">
        <w:rPr>
          <w:lang w:val="en-US"/>
        </w:rPr>
        <w:t>im</w:t>
      </w:r>
      <w:r w:rsidRPr="007515DE">
        <w:rPr>
          <w:lang w:val="en-US"/>
        </w:rPr>
        <w:t>migrants</w:t>
      </w:r>
      <w:r w:rsidR="00F7633E" w:rsidRPr="007515DE">
        <w:rPr>
          <w:lang w:val="en-US"/>
        </w:rPr>
        <w:t>, national and civic identities,</w:t>
      </w:r>
      <w:r w:rsidRPr="007515DE">
        <w:rPr>
          <w:lang w:val="en-US"/>
        </w:rPr>
        <w:t xml:space="preserve"> and national pride was taken from the Croatian version of the ISSP survey on National Identity (2013). Likewise, we used the validated Croatian version of the Social Do</w:t>
      </w:r>
      <w:r w:rsidR="00C30EC1" w:rsidRPr="007515DE">
        <w:rPr>
          <w:lang w:val="en-US"/>
        </w:rPr>
        <w:t>minance Orientation scale (</w:t>
      </w:r>
      <w:r w:rsidRPr="007515DE">
        <w:rPr>
          <w:lang w:val="en-US"/>
        </w:rPr>
        <w:t>Maričić</w:t>
      </w:r>
      <w:r w:rsidR="008F07F4" w:rsidRPr="007515DE">
        <w:rPr>
          <w:lang w:val="en-US"/>
        </w:rPr>
        <w:t xml:space="preserve"> et al.</w:t>
      </w:r>
      <w:r w:rsidRPr="007515DE">
        <w:rPr>
          <w:lang w:val="en-US"/>
        </w:rPr>
        <w:t xml:space="preserve">, 2008). The other items, including the original items (support for common resources and prediction about minority contributions to / benefits </w:t>
      </w:r>
      <w:r w:rsidRPr="007515DE">
        <w:rPr>
          <w:lang w:val="en-US"/>
        </w:rPr>
        <w:lastRenderedPageBreak/>
        <w:t>from common resources) were translated by the first and fourth authors, and back-translated by a volunteer student assistant. The student assistant was a native Croatian speaker</w:t>
      </w:r>
      <w:r w:rsidR="00AE122C" w:rsidRPr="007515DE">
        <w:rPr>
          <w:lang w:val="en-US"/>
        </w:rPr>
        <w:t>, studied</w:t>
      </w:r>
      <w:r w:rsidRPr="007515DE">
        <w:rPr>
          <w:lang w:val="en-US"/>
        </w:rPr>
        <w:t xml:space="preserve"> </w:t>
      </w:r>
      <w:r w:rsidR="00A240BF" w:rsidRPr="007515DE">
        <w:rPr>
          <w:lang w:val="en-US"/>
        </w:rPr>
        <w:t>English</w:t>
      </w:r>
      <w:r w:rsidRPr="007515DE">
        <w:rPr>
          <w:lang w:val="en-US"/>
        </w:rPr>
        <w:t xml:space="preserve">, </w:t>
      </w:r>
      <w:r w:rsidR="00AE122C" w:rsidRPr="007515DE">
        <w:rPr>
          <w:lang w:val="en-US"/>
        </w:rPr>
        <w:t>and</w:t>
      </w:r>
      <w:r w:rsidRPr="007515DE">
        <w:rPr>
          <w:lang w:val="en-US"/>
        </w:rPr>
        <w:t xml:space="preserve"> was unaware of our hypotheses. To conserve space, we will only discuss those materials which were added or changed in comparison to Study 1.</w:t>
      </w:r>
      <w:r w:rsidR="003D6B3C" w:rsidRPr="007515DE">
        <w:rPr>
          <w:lang w:val="en-US"/>
        </w:rPr>
        <w:t xml:space="preserve"> For more details, see Supplementary Materials.</w:t>
      </w:r>
    </w:p>
    <w:p w14:paraId="6DDD7533" w14:textId="77777777" w:rsidR="00B120E1" w:rsidRPr="007515DE" w:rsidRDefault="00B120E1" w:rsidP="00240036">
      <w:pPr>
        <w:pStyle w:val="Heading3"/>
      </w:pPr>
      <w:r w:rsidRPr="007515DE">
        <w:t>Minority Contribution and Benefits</w:t>
      </w:r>
    </w:p>
    <w:p w14:paraId="169EF459" w14:textId="2E92A767" w:rsidR="00BB6E8B" w:rsidRDefault="00B120E1" w:rsidP="00C30EC1">
      <w:pPr>
        <w:rPr>
          <w:lang w:val="en-US"/>
        </w:rPr>
      </w:pPr>
      <w:r w:rsidRPr="007515DE">
        <w:rPr>
          <w:lang w:val="en-US"/>
        </w:rPr>
        <w:t>To test whether prejudice against immigrants truly has to do with the assumption that minority groups will freeride on common resourc</w:t>
      </w:r>
      <w:r w:rsidR="00C30EC1" w:rsidRPr="007515DE">
        <w:rPr>
          <w:lang w:val="en-US"/>
        </w:rPr>
        <w:t xml:space="preserve">e management (H3), </w:t>
      </w:r>
      <w:r w:rsidRPr="007515DE">
        <w:rPr>
          <w:lang w:val="en-US"/>
        </w:rPr>
        <w:t xml:space="preserve">we included two new, original items. </w:t>
      </w:r>
      <w:r w:rsidR="006642EB" w:rsidRPr="007515DE">
        <w:rPr>
          <w:lang w:val="en-US"/>
        </w:rPr>
        <w:t xml:space="preserve">Minority Contributions was a measure of the amount of money ethnic minorities hypothetically contributed to CR management through taxation in comparison to the average citizen. The participants </w:t>
      </w:r>
      <w:r w:rsidR="00B71E01" w:rsidRPr="007515DE">
        <w:rPr>
          <w:lang w:val="en-US"/>
        </w:rPr>
        <w:t xml:space="preserve">were </w:t>
      </w:r>
      <w:r w:rsidR="006642EB" w:rsidRPr="007515DE">
        <w:rPr>
          <w:lang w:val="en-US"/>
        </w:rPr>
        <w:t xml:space="preserve">invited to imagine </w:t>
      </w:r>
      <w:r w:rsidR="00C30EC1" w:rsidRPr="007515DE">
        <w:rPr>
          <w:lang w:val="en-US"/>
        </w:rPr>
        <w:t xml:space="preserve">that </w:t>
      </w:r>
      <w:r w:rsidR="006642EB" w:rsidRPr="007515DE">
        <w:rPr>
          <w:lang w:val="en-US"/>
        </w:rPr>
        <w:t xml:space="preserve">an average Croatian citizen paid 100 HRK </w:t>
      </w:r>
      <w:r w:rsidR="005139F5" w:rsidRPr="007515DE">
        <w:rPr>
          <w:lang w:val="en-US"/>
        </w:rPr>
        <w:t>(</w:t>
      </w:r>
      <w:r w:rsidR="00AD1ADA">
        <w:rPr>
          <w:lang w:val="en-US"/>
        </w:rPr>
        <w:t>appr</w:t>
      </w:r>
      <w:r w:rsidR="005139F5" w:rsidRPr="007515DE">
        <w:rPr>
          <w:lang w:val="en-US"/>
        </w:rPr>
        <w:t xml:space="preserve">. 13.5 EUR) </w:t>
      </w:r>
      <w:r w:rsidR="006642EB" w:rsidRPr="007515DE">
        <w:rPr>
          <w:lang w:val="en-US"/>
        </w:rPr>
        <w:t>per month to finance various types of CR</w:t>
      </w:r>
      <w:r w:rsidR="00786DF4" w:rsidRPr="007515DE">
        <w:rPr>
          <w:lang w:val="en-US"/>
        </w:rPr>
        <w:t>s</w:t>
      </w:r>
      <w:r w:rsidR="00C30EC1" w:rsidRPr="007515DE">
        <w:rPr>
          <w:lang w:val="en-US"/>
        </w:rPr>
        <w:t>. They</w:t>
      </w:r>
      <w:r w:rsidR="006642EB" w:rsidRPr="007515DE">
        <w:rPr>
          <w:lang w:val="en-US"/>
        </w:rPr>
        <w:t xml:space="preserve"> were asked to estimate how much an ethnic minority group</w:t>
      </w:r>
      <w:r w:rsidR="00C30EC1" w:rsidRPr="007515DE">
        <w:rPr>
          <w:lang w:val="en-US"/>
        </w:rPr>
        <w:t xml:space="preserve"> member</w:t>
      </w:r>
      <w:r w:rsidR="006642EB" w:rsidRPr="007515DE">
        <w:rPr>
          <w:lang w:val="en-US"/>
        </w:rPr>
        <w:t xml:space="preserve"> paid for the same purposes. </w:t>
      </w:r>
      <w:r w:rsidRPr="007515DE">
        <w:rPr>
          <w:lang w:val="en-US"/>
        </w:rPr>
        <w:t>S</w:t>
      </w:r>
      <w:r w:rsidR="006642EB" w:rsidRPr="007515DE">
        <w:rPr>
          <w:lang w:val="en-US"/>
        </w:rPr>
        <w:t>imilarly, Minority B</w:t>
      </w:r>
      <w:r w:rsidRPr="007515DE">
        <w:rPr>
          <w:lang w:val="en-US"/>
        </w:rPr>
        <w:t xml:space="preserve">enefits was a measure of how much </w:t>
      </w:r>
      <w:r w:rsidR="00C30EC1" w:rsidRPr="007515DE">
        <w:rPr>
          <w:lang w:val="en-US"/>
        </w:rPr>
        <w:t>an</w:t>
      </w:r>
      <w:r w:rsidRPr="007515DE">
        <w:rPr>
          <w:lang w:val="en-US"/>
        </w:rPr>
        <w:t xml:space="preserve"> ethnic minor</w:t>
      </w:r>
      <w:r w:rsidR="00C30EC1" w:rsidRPr="007515DE">
        <w:rPr>
          <w:lang w:val="en-US"/>
        </w:rPr>
        <w:t>ity group member gains from public services each month, if the average Croat benefitted 100 HRK.</w:t>
      </w:r>
    </w:p>
    <w:p w14:paraId="03B83F8F" w14:textId="5B7D6285" w:rsidR="00B120E1" w:rsidRPr="007515DE" w:rsidRDefault="00C30EC1" w:rsidP="00C30EC1">
      <w:pPr>
        <w:rPr>
          <w:lang w:val="en-US"/>
        </w:rPr>
      </w:pPr>
      <w:bookmarkStart w:id="16" w:name="_Hlk149984895"/>
      <w:r w:rsidRPr="007515DE">
        <w:rPr>
          <w:lang w:val="en-US"/>
        </w:rPr>
        <w:t>Since recent</w:t>
      </w:r>
      <w:r w:rsidR="00B120E1" w:rsidRPr="007515DE">
        <w:rPr>
          <w:lang w:val="en-US"/>
        </w:rPr>
        <w:t xml:space="preserve"> immigrants will</w:t>
      </w:r>
      <w:r w:rsidRPr="007515DE">
        <w:rPr>
          <w:lang w:val="en-US"/>
        </w:rPr>
        <w:t xml:space="preserve"> </w:t>
      </w:r>
      <w:r w:rsidR="00B120E1" w:rsidRPr="007515DE">
        <w:rPr>
          <w:lang w:val="en-US"/>
        </w:rPr>
        <w:t>benefit more from public services and benefits than they contribute to them simply because they have not been in the country long enough</w:t>
      </w:r>
      <w:r w:rsidRPr="007515DE">
        <w:rPr>
          <w:lang w:val="en-US"/>
        </w:rPr>
        <w:t>, we have chosen to word the item in terms of ethnic minorities, not immigrants</w:t>
      </w:r>
      <w:r w:rsidR="00B120E1" w:rsidRPr="007515DE">
        <w:rPr>
          <w:lang w:val="en-US"/>
        </w:rPr>
        <w:t xml:space="preserve">. </w:t>
      </w:r>
      <w:r w:rsidRPr="007515DE">
        <w:rPr>
          <w:lang w:val="en-US"/>
        </w:rPr>
        <w:t xml:space="preserve">This </w:t>
      </w:r>
      <w:r w:rsidR="00B120E1" w:rsidRPr="007515DE">
        <w:rPr>
          <w:lang w:val="en-US"/>
        </w:rPr>
        <w:t>allowed us to avoid an over-inflated difference in anticipated contributions and benefits</w:t>
      </w:r>
      <w:r w:rsidRPr="007515DE">
        <w:rPr>
          <w:lang w:val="en-US"/>
        </w:rPr>
        <w:t xml:space="preserve"> while still capturing the intuitive prediction of minority cheating</w:t>
      </w:r>
      <w:r w:rsidR="00B120E1" w:rsidRPr="007515DE">
        <w:rPr>
          <w:lang w:val="en-US"/>
        </w:rPr>
        <w:t xml:space="preserve">. </w:t>
      </w:r>
      <w:r w:rsidR="007F20AE">
        <w:rPr>
          <w:lang w:val="en-US"/>
        </w:rPr>
        <w:t>While the categories “immigrant” and “ethnic minority” are not the same, there is a substantial amount of overlap</w:t>
      </w:r>
      <w:r w:rsidR="00365B5B">
        <w:rPr>
          <w:lang w:val="en-US"/>
        </w:rPr>
        <w:t>. People who tend to be prejudiced against one group often hold prejudices against the oth</w:t>
      </w:r>
      <w:r w:rsidR="00BB6E8B">
        <w:rPr>
          <w:lang w:val="en-US"/>
        </w:rPr>
        <w:t xml:space="preserve">er in what some authors dub Group-focused Enmity </w:t>
      </w:r>
      <w:r w:rsidR="00365B5B">
        <w:rPr>
          <w:lang w:val="en-US"/>
        </w:rPr>
        <w:t>(Zick et al., 2008)</w:t>
      </w:r>
      <w:r w:rsidR="007F20AE">
        <w:rPr>
          <w:lang w:val="en-US"/>
        </w:rPr>
        <w:t xml:space="preserve">. </w:t>
      </w:r>
      <w:r w:rsidR="00365B5B">
        <w:rPr>
          <w:lang w:val="en-US"/>
        </w:rPr>
        <w:t xml:space="preserve">Moreover, </w:t>
      </w:r>
      <w:r w:rsidR="007F20AE">
        <w:rPr>
          <w:lang w:val="en-US"/>
        </w:rPr>
        <w:t xml:space="preserve">discrimination against immigrants </w:t>
      </w:r>
      <w:r w:rsidR="004C2416">
        <w:rPr>
          <w:lang w:val="en-US"/>
        </w:rPr>
        <w:t>affects</w:t>
      </w:r>
      <w:r w:rsidR="007F20AE">
        <w:rPr>
          <w:lang w:val="en-US"/>
        </w:rPr>
        <w:t xml:space="preserve"> ethnic minority immigrants particularly </w:t>
      </w:r>
      <w:r w:rsidR="004C2416">
        <w:rPr>
          <w:lang w:val="en-US"/>
        </w:rPr>
        <w:t>negatively</w:t>
      </w:r>
      <w:r w:rsidR="007F20AE">
        <w:rPr>
          <w:lang w:val="en-US"/>
        </w:rPr>
        <w:t xml:space="preserve"> (e.g., </w:t>
      </w:r>
      <w:r w:rsidR="00365B5B">
        <w:rPr>
          <w:lang w:val="en-US"/>
        </w:rPr>
        <w:t>Thomann &amp; Rapp, 2018)</w:t>
      </w:r>
      <w:r w:rsidR="00BB6E8B">
        <w:rPr>
          <w:lang w:val="en-US"/>
        </w:rPr>
        <w:t xml:space="preserve">, meaning there is at least some </w:t>
      </w:r>
      <w:r w:rsidR="004C2416">
        <w:rPr>
          <w:lang w:val="en-US"/>
        </w:rPr>
        <w:t>commonality</w:t>
      </w:r>
      <w:r w:rsidR="00BB6E8B">
        <w:rPr>
          <w:lang w:val="en-US"/>
        </w:rPr>
        <w:t xml:space="preserve"> in why these </w:t>
      </w:r>
      <w:r w:rsidR="004C2416">
        <w:rPr>
          <w:lang w:val="en-US"/>
        </w:rPr>
        <w:t xml:space="preserve">two </w:t>
      </w:r>
      <w:r w:rsidR="00BB6E8B">
        <w:rPr>
          <w:lang w:val="en-US"/>
        </w:rPr>
        <w:t>groups are targeted.</w:t>
      </w:r>
      <w:r w:rsidR="004C2416">
        <w:rPr>
          <w:lang w:val="en-US"/>
        </w:rPr>
        <w:t xml:space="preserve"> Finally, o</w:t>
      </w:r>
      <w:r w:rsidR="00BB6E8B">
        <w:rPr>
          <w:lang w:val="en-US"/>
        </w:rPr>
        <w:t xml:space="preserve">ur reasons for including </w:t>
      </w:r>
      <w:r w:rsidR="004C2416">
        <w:rPr>
          <w:lang w:val="en-US"/>
        </w:rPr>
        <w:t>the measures described above rely</w:t>
      </w:r>
      <w:r w:rsidR="00BB6E8B">
        <w:rPr>
          <w:lang w:val="en-US"/>
        </w:rPr>
        <w:t xml:space="preserve"> on the idea that </w:t>
      </w:r>
      <w:r w:rsidR="004C2416">
        <w:rPr>
          <w:lang w:val="en-US"/>
        </w:rPr>
        <w:t xml:space="preserve">people would form predictions about minority freeriding (benefitting from common resources without contributing to their maintenance) based on biased intuitions about minority/majority </w:t>
      </w:r>
      <w:r w:rsidR="004C2416">
        <w:rPr>
          <w:lang w:val="en-US"/>
        </w:rPr>
        <w:lastRenderedPageBreak/>
        <w:t xml:space="preserve">relationships, irrespective of what the actual minority might be. Thus, we assume that individuals who predict ethnic minority group members would take advantage of common resources are also likely to </w:t>
      </w:r>
      <w:r w:rsidR="00A93F6D">
        <w:rPr>
          <w:lang w:val="en-US"/>
        </w:rPr>
        <w:t>overestimate the likelihood immigrants will do the same. In other words, no matter what the minority group might be, the intuition would be similar.</w:t>
      </w:r>
    </w:p>
    <w:bookmarkEnd w:id="16"/>
    <w:p w14:paraId="4E6B0194" w14:textId="77777777" w:rsidR="00B120E1" w:rsidRPr="007515DE" w:rsidRDefault="00B120E1" w:rsidP="00240036">
      <w:pPr>
        <w:pStyle w:val="Heading3"/>
      </w:pPr>
      <w:r w:rsidRPr="007515DE">
        <w:t>Social Dominance Orientation</w:t>
      </w:r>
    </w:p>
    <w:p w14:paraId="7A28602E" w14:textId="43CBF8A9" w:rsidR="00B120E1" w:rsidRPr="007515DE" w:rsidRDefault="00B120E1" w:rsidP="004446AE">
      <w:pPr>
        <w:rPr>
          <w:lang w:val="en-US"/>
        </w:rPr>
      </w:pPr>
      <w:r w:rsidRPr="007515DE">
        <w:rPr>
          <w:lang w:val="en-US"/>
        </w:rPr>
        <w:t xml:space="preserve">We included a measure of Social Dominance Orientation (SDO) </w:t>
      </w:r>
      <w:r w:rsidR="001656B6">
        <w:rPr>
          <w:lang w:val="en-US"/>
        </w:rPr>
        <w:t>in</w:t>
      </w:r>
      <w:r w:rsidR="001656B6" w:rsidRPr="007515DE">
        <w:rPr>
          <w:lang w:val="en-US"/>
        </w:rPr>
        <w:t xml:space="preserve"> </w:t>
      </w:r>
      <w:r w:rsidRPr="007515DE">
        <w:rPr>
          <w:lang w:val="en-US"/>
        </w:rPr>
        <w:t>our Study 2 as an important predictor of anti-immigrant prejudice. SDO measures the individual tendency to uphold social hierarchies whic</w:t>
      </w:r>
      <w:r w:rsidR="002414A6" w:rsidRPr="007515DE">
        <w:rPr>
          <w:lang w:val="en-US"/>
        </w:rPr>
        <w:t xml:space="preserve">h favor one group over another. </w:t>
      </w:r>
      <w:r w:rsidRPr="007515DE">
        <w:rPr>
          <w:lang w:val="en-US"/>
        </w:rPr>
        <w:t>It has been associated to more neoliberal attitudes towards welfare policies (</w:t>
      </w:r>
      <w:r w:rsidR="00E5704F" w:rsidRPr="007515DE">
        <w:rPr>
          <w:lang w:val="en-US"/>
        </w:rPr>
        <w:t>e.g.,</w:t>
      </w:r>
      <w:r w:rsidRPr="007515DE">
        <w:rPr>
          <w:lang w:val="en-US"/>
        </w:rPr>
        <w:t xml:space="preserve"> Azevedo</w:t>
      </w:r>
      <w:r w:rsidR="008F07F4" w:rsidRPr="007515DE">
        <w:rPr>
          <w:lang w:val="en-US"/>
        </w:rPr>
        <w:t xml:space="preserve"> et al.,</w:t>
      </w:r>
      <w:r w:rsidRPr="007515DE">
        <w:rPr>
          <w:lang w:val="en-US"/>
        </w:rPr>
        <w:t xml:space="preserve"> 2019), and prejudice towards ethnic, religious, gender</w:t>
      </w:r>
      <w:r w:rsidR="001656B6">
        <w:rPr>
          <w:lang w:val="en-US"/>
        </w:rPr>
        <w:t>,</w:t>
      </w:r>
      <w:r w:rsidRPr="007515DE">
        <w:rPr>
          <w:lang w:val="en-US"/>
        </w:rPr>
        <w:t xml:space="preserve"> and sexual minorities and </w:t>
      </w:r>
      <w:r w:rsidR="00F7633E" w:rsidRPr="007515DE">
        <w:rPr>
          <w:lang w:val="en-US"/>
        </w:rPr>
        <w:t>im</w:t>
      </w:r>
      <w:r w:rsidRPr="007515DE">
        <w:rPr>
          <w:lang w:val="en-US"/>
        </w:rPr>
        <w:t>migrants (</w:t>
      </w:r>
      <w:r w:rsidR="00E5704F" w:rsidRPr="007515DE">
        <w:rPr>
          <w:lang w:val="en-US"/>
        </w:rPr>
        <w:t>e.g.,</w:t>
      </w:r>
      <w:r w:rsidRPr="007515DE">
        <w:rPr>
          <w:lang w:val="en-US"/>
        </w:rPr>
        <w:t xml:space="preserve"> Asbrock</w:t>
      </w:r>
      <w:r w:rsidR="008F07F4" w:rsidRPr="007515DE">
        <w:rPr>
          <w:lang w:val="en-US"/>
        </w:rPr>
        <w:t xml:space="preserve"> et al.</w:t>
      </w:r>
      <w:r w:rsidRPr="007515DE">
        <w:rPr>
          <w:lang w:val="en-US"/>
        </w:rPr>
        <w:t>, 2010), particularly among members of the advantaged group (</w:t>
      </w:r>
      <w:r w:rsidR="00E5704F" w:rsidRPr="007515DE">
        <w:rPr>
          <w:lang w:val="en-US"/>
        </w:rPr>
        <w:t>e.g.,</w:t>
      </w:r>
      <w:r w:rsidRPr="007515DE">
        <w:rPr>
          <w:lang w:val="en-US"/>
        </w:rPr>
        <w:t xml:space="preserve"> ethnic majority). As such, SDO could on its own explain prejudice against immigrants, as well as account for any potential influence of support for common resource management.</w:t>
      </w:r>
    </w:p>
    <w:p w14:paraId="79FEC79C" w14:textId="030F4C0E" w:rsidR="00B120E1" w:rsidRPr="007515DE" w:rsidRDefault="00B120E1" w:rsidP="004446AE">
      <w:pPr>
        <w:rPr>
          <w:lang w:val="en-US"/>
        </w:rPr>
      </w:pPr>
      <w:r w:rsidRPr="007515DE">
        <w:rPr>
          <w:lang w:val="en-US"/>
        </w:rPr>
        <w:t>SDO commonly takes only one dimension in Croatia (</w:t>
      </w:r>
      <w:proofErr w:type="spellStart"/>
      <w:r w:rsidRPr="007515DE">
        <w:rPr>
          <w:lang w:val="en-US"/>
        </w:rPr>
        <w:t>Grgurev</w:t>
      </w:r>
      <w:proofErr w:type="spellEnd"/>
      <w:r w:rsidRPr="007515DE">
        <w:rPr>
          <w:lang w:val="en-US"/>
        </w:rPr>
        <w:t>, 2018). Indeed, all of the items loaded on the same single factor. Cronbach’s alpha for the resulting variable was .89.</w:t>
      </w:r>
    </w:p>
    <w:p w14:paraId="3E3C9219" w14:textId="77777777" w:rsidR="00B120E1" w:rsidRPr="007515DE" w:rsidRDefault="00B120E1" w:rsidP="00240036">
      <w:pPr>
        <w:pStyle w:val="Heading3"/>
      </w:pPr>
      <w:r w:rsidRPr="007515DE">
        <w:t>National pride and identity</w:t>
      </w:r>
    </w:p>
    <w:p w14:paraId="34BDAE9C" w14:textId="08DE0C19" w:rsidR="00B120E1" w:rsidRPr="007515DE" w:rsidRDefault="00B120E1" w:rsidP="004446AE">
      <w:pPr>
        <w:rPr>
          <w:lang w:val="en-US"/>
        </w:rPr>
      </w:pPr>
      <w:r w:rsidRPr="007515DE">
        <w:rPr>
          <w:lang w:val="en-US"/>
        </w:rPr>
        <w:t xml:space="preserve">For our measure of national pride, we </w:t>
      </w:r>
      <w:r w:rsidR="006642EB" w:rsidRPr="007515DE">
        <w:rPr>
          <w:lang w:val="en-US"/>
        </w:rPr>
        <w:t>included</w:t>
      </w:r>
      <w:r w:rsidRPr="007515DE">
        <w:rPr>
          <w:lang w:val="en-US"/>
        </w:rPr>
        <w:t xml:space="preserve"> the three items from Study 1, as well as an additional three items dealing with positivity about life in the nation-state, </w:t>
      </w:r>
      <w:r w:rsidR="00F7633E" w:rsidRPr="007515DE">
        <w:rPr>
          <w:lang w:val="en-US"/>
        </w:rPr>
        <w:t xml:space="preserve">sense of shame for some aspects of national character, </w:t>
      </w:r>
      <w:r w:rsidRPr="007515DE">
        <w:rPr>
          <w:lang w:val="en-US"/>
        </w:rPr>
        <w:t xml:space="preserve">and one item about the importance of national heritage. All the measures loaded onto a single factor and achieved Cronbach’s alpha of .82. </w:t>
      </w:r>
    </w:p>
    <w:p w14:paraId="6BE0753B" w14:textId="6A69FADD" w:rsidR="00B120E1" w:rsidRPr="007515DE" w:rsidRDefault="00B120E1" w:rsidP="004446AE">
      <w:pPr>
        <w:rPr>
          <w:lang w:val="en-US"/>
        </w:rPr>
      </w:pPr>
      <w:r w:rsidRPr="007515DE">
        <w:rPr>
          <w:lang w:val="en-US"/>
        </w:rPr>
        <w:t xml:space="preserve">We supplemented </w:t>
      </w:r>
      <w:r w:rsidR="003D6B3C" w:rsidRPr="007515DE">
        <w:rPr>
          <w:lang w:val="en-US"/>
        </w:rPr>
        <w:t>the</w:t>
      </w:r>
      <w:r w:rsidRPr="007515DE">
        <w:rPr>
          <w:lang w:val="en-US"/>
        </w:rPr>
        <w:t xml:space="preserve"> measure of national pride with two single-item measures of national and civic identity. </w:t>
      </w:r>
      <w:r w:rsidR="003D6B3C" w:rsidRPr="007515DE">
        <w:rPr>
          <w:lang w:val="en-US"/>
        </w:rPr>
        <w:t>These asked</w:t>
      </w:r>
      <w:r w:rsidRPr="007515DE">
        <w:rPr>
          <w:lang w:val="en-US"/>
        </w:rPr>
        <w:t xml:space="preserve"> participants to indicate their level of “feeling connected” with Croatia (national identity) and with fellow citizens (civic identity) on a 7-point</w:t>
      </w:r>
      <w:r w:rsidR="006642EB" w:rsidRPr="007515DE">
        <w:rPr>
          <w:lang w:val="en-US"/>
        </w:rPr>
        <w:t xml:space="preserve"> scale</w:t>
      </w:r>
      <w:r w:rsidRPr="007515DE">
        <w:rPr>
          <w:lang w:val="en-US"/>
        </w:rPr>
        <w:t xml:space="preserve">. The two items correlated at </w:t>
      </w:r>
      <w:proofErr w:type="gramStart"/>
      <w:r w:rsidRPr="007515DE">
        <w:rPr>
          <w:i/>
          <w:iCs/>
          <w:lang w:val="en-US"/>
        </w:rPr>
        <w:t>r</w:t>
      </w:r>
      <w:r w:rsidRPr="007515DE">
        <w:rPr>
          <w:lang w:val="en-US"/>
        </w:rPr>
        <w:t>(</w:t>
      </w:r>
      <w:proofErr w:type="gramEnd"/>
      <w:r w:rsidRPr="007515DE">
        <w:rPr>
          <w:lang w:val="en-US"/>
        </w:rPr>
        <w:t>290) = .64 (</w:t>
      </w:r>
      <w:r w:rsidRPr="007515DE">
        <w:rPr>
          <w:i/>
          <w:iCs/>
          <w:lang w:val="en-US"/>
        </w:rPr>
        <w:t>p</w:t>
      </w:r>
      <w:r w:rsidRPr="007515DE">
        <w:rPr>
          <w:lang w:val="en-US"/>
        </w:rPr>
        <w:t xml:space="preserve">&lt;.001). </w:t>
      </w:r>
    </w:p>
    <w:p w14:paraId="1CFE3B1E" w14:textId="77777777" w:rsidR="00B120E1" w:rsidRPr="007515DE" w:rsidRDefault="00B120E1" w:rsidP="00240036">
      <w:pPr>
        <w:pStyle w:val="Heading3"/>
      </w:pPr>
      <w:r w:rsidRPr="007515DE">
        <w:t>Institutional trust</w:t>
      </w:r>
    </w:p>
    <w:p w14:paraId="602EA9EA" w14:textId="4EC7B7BE" w:rsidR="00B120E1" w:rsidRPr="007515DE" w:rsidRDefault="00B120E1" w:rsidP="004446AE">
      <w:pPr>
        <w:rPr>
          <w:lang w:val="en-US"/>
        </w:rPr>
      </w:pPr>
      <w:r w:rsidRPr="007515DE">
        <w:rPr>
          <w:lang w:val="en-US"/>
        </w:rPr>
        <w:t>We added a measure of trust in institutions, listing 12 institutions relevant to Croatian society following the list from the World Values Survey (</w:t>
      </w:r>
      <w:r w:rsidR="00E5704F" w:rsidRPr="007515DE">
        <w:rPr>
          <w:lang w:val="en-US"/>
        </w:rPr>
        <w:t>e.g.,</w:t>
      </w:r>
      <w:r w:rsidRPr="007515DE">
        <w:rPr>
          <w:lang w:val="en-US"/>
        </w:rPr>
        <w:t xml:space="preserve"> mass media, police, universities, </w:t>
      </w:r>
      <w:r w:rsidR="002F61FD">
        <w:rPr>
          <w:lang w:val="en-US"/>
        </w:rPr>
        <w:lastRenderedPageBreak/>
        <w:t>parliament…). P</w:t>
      </w:r>
      <w:r w:rsidRPr="007515DE">
        <w:rPr>
          <w:lang w:val="en-US"/>
        </w:rPr>
        <w:t>articipants indicated to what degree they found each of them trustworthy on a 7-point Likert scale. The logic behind including this measure is that, if concerns about government-managed public goods are related to more negative attitudes towards immigrants, then the participants who find governmental, and other social, institutions more trustworthy should have lower concerns, and therefore less prejudice. Our participants expressed highest levels of trust towards scientists (</w:t>
      </w:r>
      <w:r w:rsidRPr="007515DE">
        <w:rPr>
          <w:i/>
          <w:iCs/>
          <w:lang w:val="en-US"/>
        </w:rPr>
        <w:t>M</w:t>
      </w:r>
      <w:r w:rsidRPr="007515DE">
        <w:rPr>
          <w:lang w:val="en-US"/>
        </w:rPr>
        <w:t xml:space="preserve"> = 4.1, </w:t>
      </w:r>
      <w:r w:rsidRPr="007515DE">
        <w:rPr>
          <w:i/>
          <w:iCs/>
          <w:lang w:val="en-US"/>
        </w:rPr>
        <w:t>SD</w:t>
      </w:r>
      <w:r w:rsidRPr="007515DE">
        <w:rPr>
          <w:lang w:val="en-US"/>
        </w:rPr>
        <w:t xml:space="preserve"> = 0.72), and lowest levels of trust towards politicians (</w:t>
      </w:r>
      <w:r w:rsidRPr="007515DE">
        <w:rPr>
          <w:i/>
          <w:iCs/>
          <w:lang w:val="en-US"/>
        </w:rPr>
        <w:t>M</w:t>
      </w:r>
      <w:r w:rsidRPr="007515DE">
        <w:rPr>
          <w:lang w:val="en-US"/>
        </w:rPr>
        <w:t xml:space="preserve"> = 1.64, </w:t>
      </w:r>
      <w:r w:rsidRPr="007515DE">
        <w:rPr>
          <w:i/>
          <w:iCs/>
          <w:lang w:val="en-US"/>
        </w:rPr>
        <w:t>SD</w:t>
      </w:r>
      <w:r w:rsidRPr="007515DE">
        <w:rPr>
          <w:lang w:val="en-US"/>
        </w:rPr>
        <w:t xml:space="preserve"> = 0.71). Trust in institutions achieved satisfactory </w:t>
      </w:r>
      <w:r w:rsidR="0077345D" w:rsidRPr="007515DE">
        <w:rPr>
          <w:lang w:val="en-US"/>
        </w:rPr>
        <w:t xml:space="preserve">loadings </w:t>
      </w:r>
      <w:r w:rsidR="009E46D6">
        <w:rPr>
          <w:lang w:val="en-US"/>
        </w:rPr>
        <w:t>for a</w:t>
      </w:r>
      <w:r w:rsidR="0077345D" w:rsidRPr="007515DE">
        <w:rPr>
          <w:lang w:val="en-US"/>
        </w:rPr>
        <w:t xml:space="preserve"> </w:t>
      </w:r>
      <w:r w:rsidR="009E46D6">
        <w:rPr>
          <w:lang w:val="en-US"/>
        </w:rPr>
        <w:t>one-</w:t>
      </w:r>
      <w:r w:rsidR="0077345D" w:rsidRPr="007515DE">
        <w:rPr>
          <w:lang w:val="en-US"/>
        </w:rPr>
        <w:t>factor</w:t>
      </w:r>
      <w:r w:rsidRPr="007515DE">
        <w:rPr>
          <w:lang w:val="en-US"/>
        </w:rPr>
        <w:t xml:space="preserve"> </w:t>
      </w:r>
      <w:r w:rsidR="009E46D6">
        <w:rPr>
          <w:lang w:val="en-US"/>
        </w:rPr>
        <w:t xml:space="preserve">solution </w:t>
      </w:r>
      <w:r w:rsidRPr="007515DE">
        <w:rPr>
          <w:lang w:val="en-US"/>
        </w:rPr>
        <w:t>and a C</w:t>
      </w:r>
      <w:r w:rsidR="002F61FD">
        <w:rPr>
          <w:lang w:val="en-US"/>
        </w:rPr>
        <w:t>ronbach’s alpha of .79. We</w:t>
      </w:r>
      <w:r w:rsidR="008D22A9" w:rsidRPr="007515DE">
        <w:rPr>
          <w:lang w:val="en-US"/>
        </w:rPr>
        <w:t xml:space="preserve"> treat</w:t>
      </w:r>
      <w:r w:rsidRPr="007515DE">
        <w:rPr>
          <w:lang w:val="en-US"/>
        </w:rPr>
        <w:t xml:space="preserve"> it as a single average score of trust in social institutions. </w:t>
      </w:r>
    </w:p>
    <w:p w14:paraId="793962CD" w14:textId="77777777" w:rsidR="00B120E1" w:rsidRPr="007515DE" w:rsidRDefault="00B120E1" w:rsidP="00240036">
      <w:pPr>
        <w:pStyle w:val="Heading2"/>
      </w:pPr>
      <w:r w:rsidRPr="007515DE">
        <w:t>Procedure</w:t>
      </w:r>
    </w:p>
    <w:p w14:paraId="299048C9" w14:textId="2878A1A5" w:rsidR="00B120E1" w:rsidRPr="007515DE" w:rsidRDefault="00B120E1" w:rsidP="004446AE">
      <w:pPr>
        <w:rPr>
          <w:lang w:val="en-US"/>
        </w:rPr>
      </w:pPr>
      <w:r w:rsidRPr="007515DE">
        <w:rPr>
          <w:lang w:val="en-US"/>
        </w:rPr>
        <w:t>Once the participants clicked on the link to our study, they were taken to an introductory page where they were informed about their rig</w:t>
      </w:r>
      <w:r w:rsidR="006642EB" w:rsidRPr="007515DE">
        <w:rPr>
          <w:lang w:val="en-US"/>
        </w:rPr>
        <w:t>hts, assured of their anonymity</w:t>
      </w:r>
      <w:r w:rsidRPr="007515DE">
        <w:rPr>
          <w:lang w:val="en-US"/>
        </w:rPr>
        <w:t xml:space="preserve"> and the confidentiality of their</w:t>
      </w:r>
      <w:r w:rsidR="003D6B3C" w:rsidRPr="007515DE">
        <w:rPr>
          <w:lang w:val="en-US"/>
        </w:rPr>
        <w:t xml:space="preserve"> data</w:t>
      </w:r>
      <w:r w:rsidRPr="007515DE">
        <w:rPr>
          <w:lang w:val="en-US"/>
        </w:rPr>
        <w:t xml:space="preserve">. </w:t>
      </w:r>
      <w:r w:rsidR="006642EB" w:rsidRPr="007515DE">
        <w:rPr>
          <w:lang w:val="en-US"/>
        </w:rPr>
        <w:t>No compensation was offered</w:t>
      </w:r>
      <w:r w:rsidRPr="007515DE">
        <w:rPr>
          <w:lang w:val="en-US"/>
        </w:rPr>
        <w:t xml:space="preserve">. </w:t>
      </w:r>
    </w:p>
    <w:p w14:paraId="1F4519AB" w14:textId="4E884FA3" w:rsidR="00B120E1" w:rsidRPr="007515DE" w:rsidRDefault="00B120E1" w:rsidP="004446AE">
      <w:pPr>
        <w:rPr>
          <w:lang w:val="en-US"/>
        </w:rPr>
      </w:pPr>
      <w:r w:rsidRPr="007515DE">
        <w:rPr>
          <w:lang w:val="en-US"/>
        </w:rPr>
        <w:t>Participants were fi</w:t>
      </w:r>
      <w:r w:rsidR="006642EB" w:rsidRPr="007515DE">
        <w:rPr>
          <w:lang w:val="en-US"/>
        </w:rPr>
        <w:t xml:space="preserve">rst asked for their support for CRs </w:t>
      </w:r>
      <w:r w:rsidRPr="007515DE">
        <w:rPr>
          <w:lang w:val="en-US"/>
        </w:rPr>
        <w:t>and predictions about minority contrib</w:t>
      </w:r>
      <w:r w:rsidR="0077345D" w:rsidRPr="007515DE">
        <w:rPr>
          <w:lang w:val="en-US"/>
        </w:rPr>
        <w:t>utions and benefits. Thereafter</w:t>
      </w:r>
      <w:r w:rsidRPr="007515DE">
        <w:rPr>
          <w:lang w:val="en-US"/>
        </w:rPr>
        <w:t xml:space="preserve"> we recorded their political orientation, degree of trust in institutions, levels of national and civic id</w:t>
      </w:r>
      <w:r w:rsidR="0077345D" w:rsidRPr="007515DE">
        <w:rPr>
          <w:lang w:val="en-US"/>
        </w:rPr>
        <w:t>entity, national pride, SDO, and attitudes towards immigrants, in t</w:t>
      </w:r>
      <w:r w:rsidRPr="007515DE">
        <w:rPr>
          <w:lang w:val="en-US"/>
        </w:rPr>
        <w:t xml:space="preserve">hat order. The last block of the questionnaire measured </w:t>
      </w:r>
      <w:r w:rsidR="0077345D" w:rsidRPr="007515DE">
        <w:rPr>
          <w:lang w:val="en-US"/>
        </w:rPr>
        <w:t>participants’</w:t>
      </w:r>
      <w:r w:rsidRPr="007515DE">
        <w:rPr>
          <w:lang w:val="en-US"/>
        </w:rPr>
        <w:t xml:space="preserve"> demographic and socio-economic background</w:t>
      </w:r>
      <w:r w:rsidR="0077345D" w:rsidRPr="007515DE">
        <w:rPr>
          <w:lang w:val="en-US"/>
        </w:rPr>
        <w:t>s</w:t>
      </w:r>
      <w:r w:rsidRPr="007515DE">
        <w:rPr>
          <w:lang w:val="en-US"/>
        </w:rPr>
        <w:t xml:space="preserve">. </w:t>
      </w:r>
    </w:p>
    <w:p w14:paraId="7CDD77E8" w14:textId="77777777" w:rsidR="00240036" w:rsidRPr="007515DE" w:rsidRDefault="00240036" w:rsidP="004446AE">
      <w:pPr>
        <w:pStyle w:val="Heading2"/>
      </w:pPr>
      <w:r w:rsidRPr="007515DE">
        <w:t>Results</w:t>
      </w:r>
    </w:p>
    <w:p w14:paraId="495E0C19" w14:textId="77777777" w:rsidR="00AE122C" w:rsidRPr="007515DE" w:rsidRDefault="00AE122C" w:rsidP="00AE122C">
      <w:pPr>
        <w:pStyle w:val="Heading3"/>
      </w:pPr>
      <w:r w:rsidRPr="007515DE">
        <w:t>Support for Common Resources</w:t>
      </w:r>
    </w:p>
    <w:p w14:paraId="3802ECE8" w14:textId="793AA4DF" w:rsidR="00AE122C" w:rsidRPr="007515DE" w:rsidRDefault="00AE122C" w:rsidP="00AE122C">
      <w:pPr>
        <w:rPr>
          <w:lang w:val="en-US"/>
        </w:rPr>
      </w:pPr>
      <w:r w:rsidRPr="007515DE">
        <w:rPr>
          <w:lang w:val="en-US"/>
        </w:rPr>
        <w:t>We once again attained our theorized two-factor structure</w:t>
      </w:r>
      <w:r w:rsidR="007B3A02">
        <w:rPr>
          <w:lang w:val="en-US"/>
        </w:rPr>
        <w:t>, indicating participants differentiated between UCRs and SCRs, with only minor discrepancies in comparison to Study 1</w:t>
      </w:r>
      <w:r w:rsidR="00A240BF" w:rsidRPr="007515DE">
        <w:rPr>
          <w:lang w:val="en-US"/>
        </w:rPr>
        <w:t xml:space="preserve"> (see Supplementary Materials)</w:t>
      </w:r>
      <w:r w:rsidRPr="007515DE">
        <w:rPr>
          <w:lang w:val="en-US"/>
        </w:rPr>
        <w:t>. The data was well suited f</w:t>
      </w:r>
      <w:r w:rsidR="0077345D" w:rsidRPr="007515DE">
        <w:rPr>
          <w:lang w:val="en-US"/>
        </w:rPr>
        <w:t>or the analysis (</w:t>
      </w:r>
      <w:r w:rsidRPr="007515DE">
        <w:rPr>
          <w:i/>
          <w:iCs/>
          <w:lang w:val="en-US"/>
        </w:rPr>
        <w:t>KMO</w:t>
      </w:r>
      <w:r w:rsidRPr="007515DE">
        <w:rPr>
          <w:lang w:val="en-US"/>
        </w:rPr>
        <w:t xml:space="preserve"> = .90</w:t>
      </w:r>
      <w:r w:rsidR="0077345D" w:rsidRPr="007515DE">
        <w:rPr>
          <w:lang w:val="en-US"/>
        </w:rPr>
        <w:t xml:space="preserve">; Bartlett’s test: </w:t>
      </w:r>
      <w:r w:rsidRPr="007515DE">
        <w:rPr>
          <w:i/>
          <w:iCs/>
          <w:lang w:val="en-US"/>
        </w:rPr>
        <w:t>χ</w:t>
      </w:r>
      <w:r w:rsidRPr="007515DE">
        <w:rPr>
          <w:lang w:val="en-US"/>
        </w:rPr>
        <w:t xml:space="preserve"> = 4218.17, </w:t>
      </w:r>
      <w:proofErr w:type="spellStart"/>
      <w:r w:rsidRPr="007515DE">
        <w:rPr>
          <w:i/>
          <w:iCs/>
          <w:lang w:val="en-US"/>
        </w:rPr>
        <w:t>df</w:t>
      </w:r>
      <w:proofErr w:type="spellEnd"/>
      <w:r w:rsidRPr="007515DE">
        <w:rPr>
          <w:lang w:val="en-US"/>
        </w:rPr>
        <w:t xml:space="preserve"> = 496, </w:t>
      </w:r>
      <w:r w:rsidRPr="007515DE">
        <w:rPr>
          <w:i/>
          <w:iCs/>
          <w:lang w:val="en-US"/>
        </w:rPr>
        <w:t>p</w:t>
      </w:r>
      <w:r w:rsidRPr="007515DE">
        <w:rPr>
          <w:lang w:val="en-US"/>
        </w:rPr>
        <w:t xml:space="preserve"> &lt; .001). The two-factor solution explained 39.71% of </w:t>
      </w:r>
      <w:r w:rsidR="001656B6">
        <w:rPr>
          <w:lang w:val="en-US"/>
        </w:rPr>
        <w:t xml:space="preserve">the </w:t>
      </w:r>
      <w:r w:rsidRPr="007515DE">
        <w:rPr>
          <w:lang w:val="en-US"/>
        </w:rPr>
        <w:t xml:space="preserve">variance. Both subscales showed good reliability with Cronbach’s </w:t>
      </w:r>
      <w:r w:rsidRPr="007515DE">
        <w:rPr>
          <w:i/>
          <w:iCs/>
          <w:lang w:val="en-US"/>
        </w:rPr>
        <w:t>α</w:t>
      </w:r>
      <w:r w:rsidRPr="007515DE">
        <w:rPr>
          <w:lang w:val="en-US"/>
        </w:rPr>
        <w:t xml:space="preserve"> of .90 for UCR (1</w:t>
      </w:r>
      <w:r w:rsidR="008A5C28" w:rsidRPr="007515DE">
        <w:rPr>
          <w:lang w:val="en-US"/>
        </w:rPr>
        <w:t>9</w:t>
      </w:r>
      <w:r w:rsidRPr="007515DE">
        <w:rPr>
          <w:lang w:val="en-US"/>
        </w:rPr>
        <w:t xml:space="preserve"> </w:t>
      </w:r>
      <w:r w:rsidRPr="007515DE">
        <w:rPr>
          <w:lang w:val="en-US"/>
        </w:rPr>
        <w:lastRenderedPageBreak/>
        <w:t xml:space="preserve">items), and .79 for SCR (7 items). </w:t>
      </w:r>
      <w:bookmarkStart w:id="17" w:name="_Hlk149985511"/>
      <w:r w:rsidR="004B5364">
        <w:rPr>
          <w:lang w:val="en-US"/>
        </w:rPr>
        <w:t>Unlike in Study 1, support for the two types of resources were significantly positively correlated with a small-to-moderate effect size (</w:t>
      </w:r>
      <w:r w:rsidR="00F03765">
        <w:rPr>
          <w:lang w:val="en-US"/>
        </w:rPr>
        <w:t>see Table 1</w:t>
      </w:r>
      <w:r w:rsidR="004B5364">
        <w:rPr>
          <w:lang w:val="en-US"/>
        </w:rPr>
        <w:t>).</w:t>
      </w:r>
      <w:bookmarkEnd w:id="17"/>
    </w:p>
    <w:p w14:paraId="574E046E" w14:textId="77777777" w:rsidR="00240036" w:rsidRPr="007515DE" w:rsidRDefault="00240036" w:rsidP="004446AE">
      <w:pPr>
        <w:pStyle w:val="Heading3"/>
      </w:pPr>
      <w:r w:rsidRPr="007515DE">
        <w:t>Predictions about Minority Benefits and Contributions</w:t>
      </w:r>
    </w:p>
    <w:p w14:paraId="670CD82F" w14:textId="64982F38" w:rsidR="00240036" w:rsidRDefault="00240036" w:rsidP="004446AE">
      <w:pPr>
        <w:rPr>
          <w:lang w:val="en-US"/>
        </w:rPr>
      </w:pPr>
      <w:r w:rsidRPr="007515DE">
        <w:rPr>
          <w:lang w:val="en-US"/>
        </w:rPr>
        <w:t xml:space="preserve">We </w:t>
      </w:r>
      <w:r w:rsidR="00AE122C" w:rsidRPr="007515DE">
        <w:rPr>
          <w:lang w:val="en-US"/>
        </w:rPr>
        <w:t>continue</w:t>
      </w:r>
      <w:r w:rsidRPr="007515DE">
        <w:rPr>
          <w:lang w:val="en-US"/>
        </w:rPr>
        <w:t xml:space="preserve"> our analysis by looki</w:t>
      </w:r>
      <w:r w:rsidR="00C6298A" w:rsidRPr="007515DE">
        <w:rPr>
          <w:lang w:val="en-US"/>
        </w:rPr>
        <w:t xml:space="preserve">ng into </w:t>
      </w:r>
      <w:r w:rsidRPr="007515DE">
        <w:rPr>
          <w:lang w:val="en-US"/>
        </w:rPr>
        <w:t xml:space="preserve">predictions about the contributions to, and benefits </w:t>
      </w:r>
      <w:r w:rsidR="001656B6">
        <w:rPr>
          <w:lang w:val="en-US"/>
        </w:rPr>
        <w:t>of</w:t>
      </w:r>
      <w:r w:rsidRPr="007515DE">
        <w:rPr>
          <w:lang w:val="en-US"/>
        </w:rPr>
        <w:t xml:space="preserve">, </w:t>
      </w:r>
      <w:r w:rsidR="00C6298A" w:rsidRPr="007515DE">
        <w:rPr>
          <w:lang w:val="en-US"/>
        </w:rPr>
        <w:t>CRs</w:t>
      </w:r>
      <w:r w:rsidRPr="007515DE">
        <w:rPr>
          <w:lang w:val="en-US"/>
        </w:rPr>
        <w:t xml:space="preserve"> for </w:t>
      </w:r>
      <w:r w:rsidR="00C6298A" w:rsidRPr="007515DE">
        <w:rPr>
          <w:lang w:val="en-US"/>
        </w:rPr>
        <w:t>ethnic minorities</w:t>
      </w:r>
      <w:r w:rsidRPr="007515DE">
        <w:rPr>
          <w:lang w:val="en-US"/>
        </w:rPr>
        <w:t xml:space="preserve"> living in Croatia. Overall, our participants estimate</w:t>
      </w:r>
      <w:r w:rsidR="006642EB" w:rsidRPr="007515DE">
        <w:rPr>
          <w:lang w:val="en-US"/>
        </w:rPr>
        <w:t>d</w:t>
      </w:r>
      <w:r w:rsidRPr="007515DE">
        <w:rPr>
          <w:lang w:val="en-US"/>
        </w:rPr>
        <w:t xml:space="preserve"> that a member of an ethnic minority contributes significantly less than they benefit (</w:t>
      </w:r>
      <w:proofErr w:type="spellStart"/>
      <w:proofErr w:type="gramStart"/>
      <w:r w:rsidRPr="007515DE">
        <w:rPr>
          <w:i/>
          <w:iCs/>
          <w:lang w:val="en-US"/>
        </w:rPr>
        <w:t>M</w:t>
      </w:r>
      <w:r w:rsidRPr="007515DE">
        <w:rPr>
          <w:i/>
          <w:iCs/>
          <w:vertAlign w:val="subscript"/>
          <w:lang w:val="en-US"/>
        </w:rPr>
        <w:t>Contribute</w:t>
      </w:r>
      <w:proofErr w:type="spellEnd"/>
      <w:r w:rsidRPr="007515DE">
        <w:rPr>
          <w:lang w:val="en-US"/>
        </w:rPr>
        <w:t>(</w:t>
      </w:r>
      <w:proofErr w:type="gramEnd"/>
      <w:r w:rsidRPr="007515DE">
        <w:rPr>
          <w:lang w:val="en-US"/>
        </w:rPr>
        <w:t xml:space="preserve">290) = 74.32, </w:t>
      </w:r>
      <w:r w:rsidRPr="007515DE">
        <w:rPr>
          <w:i/>
          <w:iCs/>
          <w:lang w:val="en-US"/>
        </w:rPr>
        <w:t>SD</w:t>
      </w:r>
      <w:r w:rsidRPr="007515DE">
        <w:rPr>
          <w:lang w:val="en-US"/>
        </w:rPr>
        <w:t xml:space="preserve"> = 39.06; </w:t>
      </w:r>
      <w:proofErr w:type="spellStart"/>
      <w:r w:rsidRPr="007515DE">
        <w:rPr>
          <w:i/>
          <w:iCs/>
          <w:lang w:val="en-US"/>
        </w:rPr>
        <w:t>M</w:t>
      </w:r>
      <w:r w:rsidRPr="007515DE">
        <w:rPr>
          <w:i/>
          <w:iCs/>
          <w:vertAlign w:val="subscript"/>
          <w:lang w:val="en-US"/>
        </w:rPr>
        <w:t>Benefit</w:t>
      </w:r>
      <w:proofErr w:type="spellEnd"/>
      <w:r w:rsidRPr="007515DE">
        <w:rPr>
          <w:lang w:val="en-US"/>
        </w:rPr>
        <w:t xml:space="preserve">(290) = 92.67, </w:t>
      </w:r>
      <w:r w:rsidRPr="007515DE">
        <w:rPr>
          <w:i/>
          <w:iCs/>
          <w:lang w:val="en-US"/>
        </w:rPr>
        <w:t>SD</w:t>
      </w:r>
      <w:r w:rsidRPr="007515DE">
        <w:rPr>
          <w:lang w:val="en-US"/>
        </w:rPr>
        <w:t xml:space="preserve"> = 86.05; </w:t>
      </w:r>
      <w:r w:rsidRPr="007515DE">
        <w:rPr>
          <w:i/>
          <w:iCs/>
          <w:lang w:val="en-US"/>
        </w:rPr>
        <w:t>t</w:t>
      </w:r>
      <w:r w:rsidRPr="007515DE">
        <w:rPr>
          <w:lang w:val="en-US"/>
        </w:rPr>
        <w:t xml:space="preserve">(289) = -3.19, </w:t>
      </w:r>
      <w:r w:rsidRPr="007515DE">
        <w:rPr>
          <w:i/>
          <w:iCs/>
          <w:lang w:val="en-US"/>
        </w:rPr>
        <w:t>p</w:t>
      </w:r>
      <w:r w:rsidRPr="007515DE">
        <w:rPr>
          <w:lang w:val="en-US"/>
        </w:rPr>
        <w:t xml:space="preserve"> = .002, </w:t>
      </w:r>
      <w:r w:rsidR="002F61FD">
        <w:rPr>
          <w:i/>
          <w:lang w:val="en-US"/>
        </w:rPr>
        <w:t>d = 0.38</w:t>
      </w:r>
      <w:r w:rsidR="00E3216B">
        <w:rPr>
          <w:i/>
          <w:lang w:val="en-US"/>
        </w:rPr>
        <w:t xml:space="preserve">, </w:t>
      </w:r>
      <w:r w:rsidRPr="007515DE">
        <w:rPr>
          <w:lang w:val="en-US"/>
        </w:rPr>
        <w:t>95%CI [-28.53, -6.78]). Compared to the given hypothetical contributions of the average citizen (100 HRK), the predicted contributions of minorities were significantly lower (</w:t>
      </w:r>
      <w:proofErr w:type="gramStart"/>
      <w:r w:rsidRPr="007515DE">
        <w:rPr>
          <w:i/>
          <w:iCs/>
          <w:lang w:val="en-US"/>
        </w:rPr>
        <w:t>t</w:t>
      </w:r>
      <w:r w:rsidRPr="007515DE">
        <w:rPr>
          <w:lang w:val="en-US"/>
        </w:rPr>
        <w:t>(</w:t>
      </w:r>
      <w:proofErr w:type="gramEnd"/>
      <w:r w:rsidRPr="007515DE">
        <w:rPr>
          <w:lang w:val="en-US"/>
        </w:rPr>
        <w:t xml:space="preserve">289) = -10.76, </w:t>
      </w:r>
      <w:r w:rsidRPr="007515DE">
        <w:rPr>
          <w:i/>
          <w:iCs/>
          <w:lang w:val="en-US"/>
        </w:rPr>
        <w:t>p</w:t>
      </w:r>
      <w:r w:rsidRPr="007515DE">
        <w:rPr>
          <w:lang w:val="en-US"/>
        </w:rPr>
        <w:t>&lt;.001</w:t>
      </w:r>
      <w:r w:rsidR="002F61FD">
        <w:rPr>
          <w:lang w:val="en-US"/>
        </w:rPr>
        <w:t xml:space="preserve">, </w:t>
      </w:r>
      <w:r w:rsidR="002F61FD" w:rsidRPr="002F61FD">
        <w:rPr>
          <w:i/>
          <w:lang w:val="en-US"/>
        </w:rPr>
        <w:t>d</w:t>
      </w:r>
      <w:r w:rsidR="002F61FD">
        <w:rPr>
          <w:i/>
          <w:lang w:val="en-US"/>
        </w:rPr>
        <w:t xml:space="preserve"> </w:t>
      </w:r>
      <w:r w:rsidR="002F61FD">
        <w:rPr>
          <w:lang w:val="en-US"/>
        </w:rPr>
        <w:t>= 1.27</w:t>
      </w:r>
      <w:r w:rsidRPr="007515DE">
        <w:rPr>
          <w:lang w:val="en-US"/>
        </w:rPr>
        <w:t xml:space="preserve">). This was not the case for the predicted benefits enjoyed by members of ethnic minorities, which were estimated to </w:t>
      </w:r>
      <w:r w:rsidR="007B3A02">
        <w:rPr>
          <w:lang w:val="en-US"/>
        </w:rPr>
        <w:t>be equivalent to those of the</w:t>
      </w:r>
      <w:r w:rsidRPr="007515DE">
        <w:rPr>
          <w:lang w:val="en-US"/>
        </w:rPr>
        <w:t xml:space="preserve"> average citizen (</w:t>
      </w:r>
      <w:proofErr w:type="gramStart"/>
      <w:r w:rsidRPr="007515DE">
        <w:rPr>
          <w:i/>
          <w:iCs/>
          <w:lang w:val="en-US"/>
        </w:rPr>
        <w:t>t</w:t>
      </w:r>
      <w:r w:rsidRPr="007515DE">
        <w:rPr>
          <w:lang w:val="en-US"/>
        </w:rPr>
        <w:t>(</w:t>
      </w:r>
      <w:proofErr w:type="gramEnd"/>
      <w:r w:rsidRPr="007515DE">
        <w:rPr>
          <w:lang w:val="en-US"/>
        </w:rPr>
        <w:t xml:space="preserve">291) = -1.45, </w:t>
      </w:r>
      <w:r w:rsidRPr="007515DE">
        <w:rPr>
          <w:i/>
          <w:iCs/>
          <w:lang w:val="en-US"/>
        </w:rPr>
        <w:t>p</w:t>
      </w:r>
      <w:r w:rsidR="00C6298A" w:rsidRPr="007515DE">
        <w:rPr>
          <w:lang w:val="en-US"/>
        </w:rPr>
        <w:t xml:space="preserve"> = .15</w:t>
      </w:r>
      <w:r w:rsidR="002F61FD">
        <w:rPr>
          <w:lang w:val="en-US"/>
        </w:rPr>
        <w:t xml:space="preserve">, </w:t>
      </w:r>
      <w:r w:rsidR="002F61FD" w:rsidRPr="002F61FD">
        <w:rPr>
          <w:i/>
          <w:lang w:val="en-US"/>
        </w:rPr>
        <w:t>d</w:t>
      </w:r>
      <w:r w:rsidR="002F61FD">
        <w:rPr>
          <w:lang w:val="en-US"/>
        </w:rPr>
        <w:t xml:space="preserve"> = 0.17</w:t>
      </w:r>
      <w:r w:rsidR="00C6298A" w:rsidRPr="007515DE">
        <w:rPr>
          <w:lang w:val="en-US"/>
        </w:rPr>
        <w:t>)</w:t>
      </w:r>
      <w:r w:rsidRPr="007515DE">
        <w:rPr>
          <w:lang w:val="en-US"/>
        </w:rPr>
        <w:t xml:space="preserve">. </w:t>
      </w:r>
      <w:bookmarkStart w:id="18" w:name="_Hlk149985587"/>
      <w:r w:rsidR="004B5364">
        <w:rPr>
          <w:lang w:val="en-US"/>
        </w:rPr>
        <w:t>Predictions about contributions to, and benefits from, common resources were not significant</w:t>
      </w:r>
      <w:r w:rsidR="00807BDD">
        <w:rPr>
          <w:lang w:val="en-US"/>
        </w:rPr>
        <w:t>ly</w:t>
      </w:r>
      <w:r w:rsidR="004B5364">
        <w:rPr>
          <w:lang w:val="en-US"/>
        </w:rPr>
        <w:t xml:space="preserve"> related </w:t>
      </w:r>
      <w:r w:rsidR="00F03765">
        <w:rPr>
          <w:lang w:val="en-US"/>
        </w:rPr>
        <w:t>to each other. Minority Contributions, however, were negatively correlated to support for SCRs (see Table 1)</w:t>
      </w:r>
      <w:r w:rsidR="004B5364">
        <w:rPr>
          <w:lang w:val="en-US"/>
        </w:rPr>
        <w:t>.</w:t>
      </w:r>
      <w:bookmarkEnd w:id="18"/>
    </w:p>
    <w:p w14:paraId="5A59726B" w14:textId="605E02EA" w:rsidR="0050561D" w:rsidRPr="007515DE" w:rsidRDefault="0050561D" w:rsidP="0050561D">
      <w:pPr>
        <w:jc w:val="center"/>
        <w:rPr>
          <w:lang w:val="en-US"/>
        </w:rPr>
      </w:pPr>
      <w:r>
        <w:rPr>
          <w:lang w:val="en-US"/>
        </w:rPr>
        <w:t xml:space="preserve">Insert Table </w:t>
      </w:r>
      <w:r w:rsidR="00F03765">
        <w:rPr>
          <w:lang w:val="en-US"/>
        </w:rPr>
        <w:t xml:space="preserve">3 </w:t>
      </w:r>
      <w:r>
        <w:rPr>
          <w:lang w:val="en-US"/>
        </w:rPr>
        <w:t>around here.</w:t>
      </w:r>
    </w:p>
    <w:p w14:paraId="72CE7650" w14:textId="77777777" w:rsidR="00240036" w:rsidRPr="007515DE" w:rsidRDefault="00240036" w:rsidP="004446AE">
      <w:pPr>
        <w:pStyle w:val="Heading3"/>
      </w:pPr>
      <w:r w:rsidRPr="007515DE">
        <w:t>Support for Common Resources and Prejudice against Immigrants</w:t>
      </w:r>
    </w:p>
    <w:p w14:paraId="37BAF0DB" w14:textId="10BAE842" w:rsidR="00240036" w:rsidRPr="007515DE" w:rsidRDefault="00240036" w:rsidP="004446AE">
      <w:pPr>
        <w:rPr>
          <w:lang w:val="en-US"/>
        </w:rPr>
      </w:pPr>
      <w:r w:rsidRPr="007515DE">
        <w:rPr>
          <w:lang w:val="en-US"/>
        </w:rPr>
        <w:t xml:space="preserve">To address our hypotheses, we perform </w:t>
      </w:r>
      <w:r w:rsidR="00C6298A" w:rsidRPr="007515DE">
        <w:rPr>
          <w:lang w:val="en-US"/>
        </w:rPr>
        <w:t xml:space="preserve">a </w:t>
      </w:r>
      <w:r w:rsidRPr="007515DE">
        <w:rPr>
          <w:lang w:val="en-US"/>
        </w:rPr>
        <w:t xml:space="preserve">hierarchical linear regression </w:t>
      </w:r>
      <w:r w:rsidR="001656B6">
        <w:rPr>
          <w:lang w:val="en-US"/>
        </w:rPr>
        <w:t>that</w:t>
      </w:r>
      <w:r w:rsidR="001656B6" w:rsidRPr="007515DE">
        <w:rPr>
          <w:lang w:val="en-US"/>
        </w:rPr>
        <w:t xml:space="preserve"> </w:t>
      </w:r>
      <w:r w:rsidRPr="007515DE">
        <w:rPr>
          <w:lang w:val="en-US"/>
        </w:rPr>
        <w:t>predicts prejudice against immigrants by comparing 4 n</w:t>
      </w:r>
      <w:r w:rsidR="00A240BF" w:rsidRPr="007515DE">
        <w:rPr>
          <w:lang w:val="en-US"/>
        </w:rPr>
        <w:t xml:space="preserve">ested models (see Table </w:t>
      </w:r>
      <w:r w:rsidR="00D51D0C">
        <w:rPr>
          <w:lang w:val="en-US"/>
        </w:rPr>
        <w:t>3</w:t>
      </w:r>
      <w:r w:rsidRPr="007515DE">
        <w:rPr>
          <w:lang w:val="en-US"/>
        </w:rPr>
        <w:t>). Model 1 introduces demographic information</w:t>
      </w:r>
      <w:r w:rsidR="00C6298A" w:rsidRPr="007515DE">
        <w:rPr>
          <w:lang w:val="en-US"/>
        </w:rPr>
        <w:t>;</w:t>
      </w:r>
      <w:r w:rsidRPr="007515DE">
        <w:rPr>
          <w:lang w:val="en-US"/>
        </w:rPr>
        <w:t xml:space="preserve"> Model 2 add</w:t>
      </w:r>
      <w:r w:rsidR="007B3A02">
        <w:rPr>
          <w:lang w:val="en-US"/>
        </w:rPr>
        <w:t>s</w:t>
      </w:r>
      <w:r w:rsidRPr="007515DE">
        <w:rPr>
          <w:lang w:val="en-US"/>
        </w:rPr>
        <w:t xml:space="preserve"> political orientation</w:t>
      </w:r>
      <w:r w:rsidR="00C6298A" w:rsidRPr="007515DE">
        <w:rPr>
          <w:lang w:val="en-US"/>
        </w:rPr>
        <w:t xml:space="preserve"> </w:t>
      </w:r>
      <w:r w:rsidRPr="007515DE">
        <w:rPr>
          <w:lang w:val="en-US"/>
        </w:rPr>
        <w:t>and socio-economic indicators. Model 3 add</w:t>
      </w:r>
      <w:r w:rsidR="007B3A02">
        <w:rPr>
          <w:lang w:val="en-US"/>
        </w:rPr>
        <w:t>s</w:t>
      </w:r>
      <w:r w:rsidRPr="007515DE">
        <w:rPr>
          <w:lang w:val="en-US"/>
        </w:rPr>
        <w:t xml:space="preserve"> national and civic identity, national pride, and SDO. The final, Model 4, includes</w:t>
      </w:r>
      <w:r w:rsidR="007B3A02">
        <w:rPr>
          <w:lang w:val="en-US"/>
        </w:rPr>
        <w:t xml:space="preserve"> our main </w:t>
      </w:r>
      <w:r w:rsidR="006B11AC">
        <w:rPr>
          <w:lang w:val="en-US"/>
        </w:rPr>
        <w:t>predictor</w:t>
      </w:r>
      <w:r w:rsidR="007B3A02">
        <w:rPr>
          <w:lang w:val="en-US"/>
        </w:rPr>
        <w:t xml:space="preserve"> variables:</w:t>
      </w:r>
      <w:r w:rsidRPr="007515DE">
        <w:rPr>
          <w:lang w:val="en-US"/>
        </w:rPr>
        <w:t xml:space="preserve"> predicted minority contributions, predicted minority benefit, </w:t>
      </w:r>
      <w:r w:rsidR="001656B6">
        <w:rPr>
          <w:lang w:val="en-US"/>
        </w:rPr>
        <w:t xml:space="preserve">and </w:t>
      </w:r>
      <w:r w:rsidRPr="007515DE">
        <w:rPr>
          <w:lang w:val="en-US"/>
        </w:rPr>
        <w:t xml:space="preserve">support for universal and security </w:t>
      </w:r>
      <w:r w:rsidR="003D6B3C" w:rsidRPr="007515DE">
        <w:rPr>
          <w:lang w:val="en-US"/>
        </w:rPr>
        <w:t>CR</w:t>
      </w:r>
      <w:r w:rsidRPr="007515DE">
        <w:rPr>
          <w:lang w:val="en-US"/>
        </w:rPr>
        <w:t xml:space="preserve">s. Each model was statistically significant and </w:t>
      </w:r>
      <w:r w:rsidR="003D6B3C" w:rsidRPr="007515DE">
        <w:rPr>
          <w:lang w:val="en-US"/>
        </w:rPr>
        <w:t xml:space="preserve">added </w:t>
      </w:r>
      <w:r w:rsidRPr="007515DE">
        <w:rPr>
          <w:lang w:val="en-US"/>
        </w:rPr>
        <w:t xml:space="preserve">to the explanation of the </w:t>
      </w:r>
      <w:r w:rsidR="006B11AC">
        <w:rPr>
          <w:lang w:val="en-US"/>
        </w:rPr>
        <w:t>outcome</w:t>
      </w:r>
      <w:r w:rsidRPr="007515DE">
        <w:rPr>
          <w:lang w:val="en-US"/>
        </w:rPr>
        <w:t xml:space="preserve"> variable. The final model explained 43.5% of the variance. None of the demographic variables (age, gender, relig</w:t>
      </w:r>
      <w:r w:rsidR="00C6298A" w:rsidRPr="007515DE">
        <w:rPr>
          <w:lang w:val="en-US"/>
        </w:rPr>
        <w:t>iosity</w:t>
      </w:r>
      <w:r w:rsidR="003F094A" w:rsidRPr="007515DE">
        <w:rPr>
          <w:lang w:val="en-US"/>
        </w:rPr>
        <w:t>,</w:t>
      </w:r>
      <w:r w:rsidR="00C6298A" w:rsidRPr="007515DE">
        <w:rPr>
          <w:lang w:val="en-US"/>
        </w:rPr>
        <w:t xml:space="preserve"> and education level) had</w:t>
      </w:r>
      <w:r w:rsidRPr="007515DE">
        <w:rPr>
          <w:lang w:val="en-US"/>
        </w:rPr>
        <w:t xml:space="preserve"> a significant </w:t>
      </w:r>
      <w:r w:rsidR="008213A0">
        <w:rPr>
          <w:lang w:val="en-US"/>
        </w:rPr>
        <w:t>association with prejudice</w:t>
      </w:r>
      <w:r w:rsidRPr="007515DE">
        <w:rPr>
          <w:lang w:val="en-US"/>
        </w:rPr>
        <w:t xml:space="preserve"> in the f</w:t>
      </w:r>
      <w:r w:rsidR="008D22A9" w:rsidRPr="007515DE">
        <w:rPr>
          <w:lang w:val="en-US"/>
        </w:rPr>
        <w:t>inal model. G</w:t>
      </w:r>
      <w:r w:rsidRPr="007515DE">
        <w:rPr>
          <w:lang w:val="en-US"/>
        </w:rPr>
        <w:t xml:space="preserve">ender did not contribute to </w:t>
      </w:r>
      <w:r w:rsidR="008213A0">
        <w:rPr>
          <w:lang w:val="en-US"/>
        </w:rPr>
        <w:t>an</w:t>
      </w:r>
      <w:r w:rsidRPr="007515DE">
        <w:rPr>
          <w:lang w:val="en-US"/>
        </w:rPr>
        <w:t xml:space="preserve"> explanation of prejudice, but a moderate positive </w:t>
      </w:r>
      <w:r w:rsidR="008213A0">
        <w:rPr>
          <w:lang w:val="en-US"/>
        </w:rPr>
        <w:t>association between prejudice and</w:t>
      </w:r>
      <w:r w:rsidRPr="007515DE">
        <w:rPr>
          <w:lang w:val="en-US"/>
        </w:rPr>
        <w:t xml:space="preserve"> religiosity was sustained until Model 4. The majority of the variance was </w:t>
      </w:r>
      <w:r w:rsidRPr="007515DE">
        <w:rPr>
          <w:lang w:val="en-US"/>
        </w:rPr>
        <w:lastRenderedPageBreak/>
        <w:t xml:space="preserve">explained by support for </w:t>
      </w:r>
      <w:r w:rsidR="00C6298A" w:rsidRPr="007515DE">
        <w:rPr>
          <w:lang w:val="en-US"/>
        </w:rPr>
        <w:t>SCR</w:t>
      </w:r>
      <w:r w:rsidRPr="007515DE">
        <w:rPr>
          <w:lang w:val="en-US"/>
        </w:rPr>
        <w:t xml:space="preserve">, </w:t>
      </w:r>
      <w:r w:rsidR="00C6298A" w:rsidRPr="007515DE">
        <w:rPr>
          <w:lang w:val="en-US"/>
        </w:rPr>
        <w:t>UCR</w:t>
      </w:r>
      <w:r w:rsidRPr="007515DE">
        <w:rPr>
          <w:lang w:val="en-US"/>
        </w:rPr>
        <w:t xml:space="preserve">, SDO, political orientation, and predictions of minority </w:t>
      </w:r>
      <w:r w:rsidR="003D6B3C" w:rsidRPr="007515DE">
        <w:rPr>
          <w:lang w:val="en-US"/>
        </w:rPr>
        <w:t>contributions</w:t>
      </w:r>
      <w:r w:rsidRPr="007515DE">
        <w:rPr>
          <w:lang w:val="en-US"/>
        </w:rPr>
        <w:t xml:space="preserve">. In other words, we find that prejudice against immigrants is predicted by lower support for </w:t>
      </w:r>
      <w:r w:rsidR="00C6298A" w:rsidRPr="007515DE">
        <w:rPr>
          <w:lang w:val="en-US"/>
        </w:rPr>
        <w:t>UCR</w:t>
      </w:r>
      <w:r w:rsidRPr="007515DE">
        <w:rPr>
          <w:lang w:val="en-US"/>
        </w:rPr>
        <w:t xml:space="preserve">, higher support for </w:t>
      </w:r>
      <w:r w:rsidR="00C6298A" w:rsidRPr="007515DE">
        <w:rPr>
          <w:lang w:val="en-US"/>
        </w:rPr>
        <w:t>SCR</w:t>
      </w:r>
      <w:r w:rsidRPr="007515DE">
        <w:rPr>
          <w:lang w:val="en-US"/>
        </w:rPr>
        <w:t>, higher SDO, a more right-wing political orientation, and predictions of lower contributions to common resources by ethnic minority members. These f</w:t>
      </w:r>
      <w:r w:rsidR="00162274" w:rsidRPr="007515DE">
        <w:rPr>
          <w:lang w:val="en-US"/>
        </w:rPr>
        <w:t xml:space="preserve">indings </w:t>
      </w:r>
      <w:r w:rsidR="0028399B" w:rsidRPr="007515DE">
        <w:rPr>
          <w:lang w:val="en-US"/>
        </w:rPr>
        <w:t>support</w:t>
      </w:r>
      <w:r w:rsidR="00162274" w:rsidRPr="007515DE">
        <w:rPr>
          <w:lang w:val="en-US"/>
        </w:rPr>
        <w:t xml:space="preserve"> H1 and H2</w:t>
      </w:r>
      <w:r w:rsidRPr="007515DE">
        <w:rPr>
          <w:lang w:val="en-US"/>
        </w:rPr>
        <w:t>, and partially support</w:t>
      </w:r>
      <w:r w:rsidR="00C6298A" w:rsidRPr="007515DE">
        <w:rPr>
          <w:lang w:val="en-US"/>
        </w:rPr>
        <w:t xml:space="preserve"> H3</w:t>
      </w:r>
      <w:r w:rsidRPr="007515DE">
        <w:rPr>
          <w:lang w:val="en-US"/>
        </w:rPr>
        <w:t>.</w:t>
      </w:r>
    </w:p>
    <w:p w14:paraId="19B6CB97" w14:textId="03444369" w:rsidR="00240036" w:rsidRPr="007515DE" w:rsidRDefault="00C6298A" w:rsidP="004446AE">
      <w:pPr>
        <w:rPr>
          <w:lang w:val="en-US"/>
        </w:rPr>
      </w:pPr>
      <w:r w:rsidRPr="007515DE">
        <w:rPr>
          <w:lang w:val="en-US"/>
        </w:rPr>
        <w:t>Trust</w:t>
      </w:r>
      <w:r w:rsidR="00240036" w:rsidRPr="007515DE">
        <w:rPr>
          <w:lang w:val="en-US"/>
        </w:rPr>
        <w:t xml:space="preserve"> in institutions did not reach significance until the final model</w:t>
      </w:r>
      <w:r w:rsidR="0069336C" w:rsidRPr="007515DE">
        <w:rPr>
          <w:lang w:val="en-US"/>
        </w:rPr>
        <w:t>, once</w:t>
      </w:r>
      <w:r w:rsidR="00240036" w:rsidRPr="007515DE">
        <w:rPr>
          <w:lang w:val="en-US"/>
        </w:rPr>
        <w:t xml:space="preserve"> </w:t>
      </w:r>
      <w:r w:rsidR="000651B3" w:rsidRPr="007515DE">
        <w:rPr>
          <w:lang w:val="en-US"/>
        </w:rPr>
        <w:t>UCR and SCR were included as predictors in the model. T</w:t>
      </w:r>
      <w:r w:rsidR="00BD6146" w:rsidRPr="007515DE">
        <w:rPr>
          <w:lang w:val="en-US"/>
        </w:rPr>
        <w:t>his</w:t>
      </w:r>
      <w:r w:rsidR="00726C9C" w:rsidRPr="007515DE">
        <w:rPr>
          <w:lang w:val="en-US"/>
        </w:rPr>
        <w:t xml:space="preserve"> might indicate that</w:t>
      </w:r>
      <w:r w:rsidR="00240036" w:rsidRPr="007515DE">
        <w:rPr>
          <w:lang w:val="en-US"/>
        </w:rPr>
        <w:t xml:space="preserve"> trust in institutions </w:t>
      </w:r>
      <w:r w:rsidR="00726C9C" w:rsidRPr="007515DE">
        <w:rPr>
          <w:lang w:val="en-US"/>
        </w:rPr>
        <w:t>only has</w:t>
      </w:r>
      <w:r w:rsidR="00240036" w:rsidRPr="007515DE">
        <w:rPr>
          <w:lang w:val="en-US"/>
        </w:rPr>
        <w:t xml:space="preserve"> a “pathway” to prejudice against migrants</w:t>
      </w:r>
      <w:r w:rsidR="00726C9C" w:rsidRPr="007515DE">
        <w:rPr>
          <w:lang w:val="en-US"/>
        </w:rPr>
        <w:t xml:space="preserve"> when support for CRs is considered</w:t>
      </w:r>
      <w:r w:rsidR="00240036" w:rsidRPr="007515DE">
        <w:rPr>
          <w:lang w:val="en-US"/>
        </w:rPr>
        <w:t>. In our case, the less trust in institutions our participants ha</w:t>
      </w:r>
      <w:r w:rsidR="00BD6146" w:rsidRPr="007515DE">
        <w:rPr>
          <w:lang w:val="en-US"/>
        </w:rPr>
        <w:t>d</w:t>
      </w:r>
      <w:r w:rsidR="00240036" w:rsidRPr="007515DE">
        <w:rPr>
          <w:lang w:val="en-US"/>
        </w:rPr>
        <w:t xml:space="preserve"> the more prejudice they h</w:t>
      </w:r>
      <w:r w:rsidR="0028399B" w:rsidRPr="007515DE">
        <w:rPr>
          <w:lang w:val="en-US"/>
        </w:rPr>
        <w:t>e</w:t>
      </w:r>
      <w:r w:rsidR="00240036" w:rsidRPr="007515DE">
        <w:rPr>
          <w:lang w:val="en-US"/>
        </w:rPr>
        <w:t xml:space="preserve">ld against </w:t>
      </w:r>
      <w:r w:rsidR="009570C5" w:rsidRPr="007515DE">
        <w:rPr>
          <w:lang w:val="en-US"/>
        </w:rPr>
        <w:t>im</w:t>
      </w:r>
      <w:r w:rsidR="00240036" w:rsidRPr="007515DE">
        <w:rPr>
          <w:lang w:val="en-US"/>
        </w:rPr>
        <w:t>migrants, and the more they support</w:t>
      </w:r>
      <w:r w:rsidR="00BD6146" w:rsidRPr="007515DE">
        <w:rPr>
          <w:lang w:val="en-US"/>
        </w:rPr>
        <w:t>ed</w:t>
      </w:r>
      <w:r w:rsidR="00240036" w:rsidRPr="007515DE">
        <w:rPr>
          <w:lang w:val="en-US"/>
        </w:rPr>
        <w:t xml:space="preserve"> the financing of those resources which would address the uncertainty</w:t>
      </w:r>
      <w:r w:rsidR="00BD6146" w:rsidRPr="007515DE">
        <w:rPr>
          <w:lang w:val="en-US"/>
        </w:rPr>
        <w:t xml:space="preserve"> (SCR) while de</w:t>
      </w:r>
      <w:r w:rsidR="003D6B3C" w:rsidRPr="007515DE">
        <w:rPr>
          <w:lang w:val="en-US"/>
        </w:rPr>
        <w:t>-prioritizing</w:t>
      </w:r>
      <w:r w:rsidR="00BD6146" w:rsidRPr="007515DE">
        <w:rPr>
          <w:lang w:val="en-US"/>
        </w:rPr>
        <w:t xml:space="preserve"> universally beneficial CRs</w:t>
      </w:r>
      <w:r w:rsidR="00240036" w:rsidRPr="007515DE">
        <w:rPr>
          <w:lang w:val="en-US"/>
        </w:rPr>
        <w:t>.</w:t>
      </w:r>
      <w:r w:rsidR="00726C9C" w:rsidRPr="007515DE">
        <w:rPr>
          <w:lang w:val="en-US"/>
        </w:rPr>
        <w:t xml:space="preserve"> However, given the small effect size, this result should not be over-interpreted.</w:t>
      </w:r>
    </w:p>
    <w:p w14:paraId="14AD2504" w14:textId="3196D3CD" w:rsidR="00240036" w:rsidRDefault="0069336C" w:rsidP="004446AE">
      <w:pPr>
        <w:rPr>
          <w:lang w:val="en-US"/>
        </w:rPr>
      </w:pPr>
      <w:r w:rsidRPr="007515DE">
        <w:rPr>
          <w:lang w:val="en-US"/>
        </w:rPr>
        <w:t>Surprisingly, o</w:t>
      </w:r>
      <w:r w:rsidR="00240036" w:rsidRPr="007515DE">
        <w:rPr>
          <w:lang w:val="en-US"/>
        </w:rPr>
        <w:t xml:space="preserve">ur measure of national pride </w:t>
      </w:r>
      <w:r w:rsidR="00341696">
        <w:rPr>
          <w:lang w:val="en-US"/>
        </w:rPr>
        <w:t>was</w:t>
      </w:r>
      <w:r w:rsidR="00240036" w:rsidRPr="007515DE">
        <w:rPr>
          <w:lang w:val="en-US"/>
        </w:rPr>
        <w:t xml:space="preserve"> not significantly </w:t>
      </w:r>
      <w:r w:rsidR="00341696">
        <w:rPr>
          <w:lang w:val="en-US"/>
        </w:rPr>
        <w:t>associated with</w:t>
      </w:r>
      <w:r w:rsidR="00240036" w:rsidRPr="007515DE">
        <w:rPr>
          <w:lang w:val="en-US"/>
        </w:rPr>
        <w:t xml:space="preserve"> prejudice against immigrants. Neither did the measures of national and civic identity. Unlike in the international sample, Croatian participants’ socio-economic indicators </w:t>
      </w:r>
      <w:r w:rsidR="0051497B" w:rsidRPr="007515DE">
        <w:rPr>
          <w:lang w:val="en-US"/>
        </w:rPr>
        <w:t xml:space="preserve">and gender </w:t>
      </w:r>
      <w:r w:rsidR="00240036" w:rsidRPr="007515DE">
        <w:rPr>
          <w:lang w:val="en-US"/>
        </w:rPr>
        <w:t xml:space="preserve">did not </w:t>
      </w:r>
      <w:r w:rsidR="0051497B" w:rsidRPr="007515DE">
        <w:rPr>
          <w:lang w:val="en-US"/>
        </w:rPr>
        <w:t>predict</w:t>
      </w:r>
      <w:r w:rsidR="00240036" w:rsidRPr="007515DE">
        <w:rPr>
          <w:lang w:val="en-US"/>
        </w:rPr>
        <w:t xml:space="preserve"> their attitudes towards immi</w:t>
      </w:r>
      <w:bookmarkStart w:id="19" w:name="__DdeLink__1586_4072773431"/>
      <w:bookmarkEnd w:id="19"/>
      <w:r w:rsidR="00240036" w:rsidRPr="007515DE">
        <w:rPr>
          <w:lang w:val="en-US"/>
        </w:rPr>
        <w:t xml:space="preserve">grants either. </w:t>
      </w:r>
    </w:p>
    <w:p w14:paraId="26C8CF60" w14:textId="0F9CEBC4" w:rsidR="00341696" w:rsidRPr="007515DE" w:rsidRDefault="00341696" w:rsidP="004446AE">
      <w:pPr>
        <w:rPr>
          <w:lang w:val="en-US"/>
        </w:rPr>
      </w:pPr>
      <w:r>
        <w:rPr>
          <w:lang w:val="en-US"/>
        </w:rPr>
        <w:t>A sensitivity power analysis was conducted to determine whether our achieved sample size fell in the range where the achieved effect size could be reliably detected (</w:t>
      </w:r>
      <w:r w:rsidRPr="00341696">
        <w:rPr>
          <w:rFonts w:cs="Arial"/>
          <w:i/>
          <w:iCs/>
          <w:lang w:val="en-US"/>
        </w:rPr>
        <w:t>Δ</w:t>
      </w:r>
      <w:r w:rsidRPr="00341696">
        <w:rPr>
          <w:i/>
          <w:iCs/>
          <w:lang w:val="en-US"/>
        </w:rPr>
        <w:t>R</w:t>
      </w:r>
      <w:r w:rsidRPr="00341696">
        <w:rPr>
          <w:i/>
          <w:iCs/>
          <w:vertAlign w:val="subscript"/>
          <w:lang w:val="en-US"/>
        </w:rPr>
        <w:t>Partial</w:t>
      </w:r>
      <w:r w:rsidRPr="00341696">
        <w:rPr>
          <w:i/>
          <w:iCs/>
          <w:vertAlign w:val="superscript"/>
          <w:lang w:val="en-US"/>
        </w:rPr>
        <w:t>2</w:t>
      </w:r>
      <w:r w:rsidRPr="00341696">
        <w:rPr>
          <w:lang w:val="en-US"/>
        </w:rPr>
        <w:t xml:space="preserve"> =</w:t>
      </w:r>
      <w:r>
        <w:rPr>
          <w:lang w:val="en-US"/>
        </w:rPr>
        <w:t xml:space="preserve"> .067). Indeed, the sensitivity analysis indicated our sample size was sufficient to detect even slightly smaller effects (</w:t>
      </w:r>
      <w:r w:rsidRPr="00341696">
        <w:rPr>
          <w:rFonts w:cs="Arial"/>
          <w:i/>
          <w:iCs/>
          <w:lang w:val="en-US"/>
        </w:rPr>
        <w:t>Δ</w:t>
      </w:r>
      <w:r w:rsidRPr="00341696">
        <w:rPr>
          <w:i/>
          <w:iCs/>
          <w:lang w:val="en-US"/>
        </w:rPr>
        <w:t>R</w:t>
      </w:r>
      <w:r w:rsidRPr="00341696">
        <w:rPr>
          <w:i/>
          <w:iCs/>
          <w:vertAlign w:val="subscript"/>
          <w:lang w:val="en-US"/>
        </w:rPr>
        <w:t>Partial</w:t>
      </w:r>
      <w:r w:rsidRPr="00341696">
        <w:rPr>
          <w:i/>
          <w:iCs/>
          <w:vertAlign w:val="superscript"/>
          <w:lang w:val="en-US"/>
        </w:rPr>
        <w:t>2</w:t>
      </w:r>
      <w:r w:rsidRPr="00341696">
        <w:rPr>
          <w:lang w:val="en-US"/>
        </w:rPr>
        <w:t xml:space="preserve"> =</w:t>
      </w:r>
      <w:r>
        <w:rPr>
          <w:lang w:val="en-US"/>
        </w:rPr>
        <w:t xml:space="preserve"> .063).</w:t>
      </w:r>
    </w:p>
    <w:p w14:paraId="19E9D1F9" w14:textId="77777777" w:rsidR="00240036" w:rsidRPr="007515DE" w:rsidRDefault="00240036" w:rsidP="004446AE">
      <w:pPr>
        <w:pStyle w:val="Heading2"/>
      </w:pPr>
      <w:bookmarkStart w:id="20" w:name="__DdeLink__1586_40727734311"/>
      <w:bookmarkEnd w:id="20"/>
      <w:r w:rsidRPr="007515DE">
        <w:t>Discussion</w:t>
      </w:r>
    </w:p>
    <w:p w14:paraId="3A28EBB0" w14:textId="1AF68491" w:rsidR="00240036" w:rsidRPr="007515DE" w:rsidRDefault="00240036" w:rsidP="004446AE">
      <w:pPr>
        <w:rPr>
          <w:lang w:val="en-US"/>
        </w:rPr>
      </w:pPr>
      <w:r w:rsidRPr="007515DE">
        <w:rPr>
          <w:lang w:val="en-US"/>
        </w:rPr>
        <w:t>We were once again able to record the</w:t>
      </w:r>
      <w:r w:rsidR="008213A0">
        <w:rPr>
          <w:lang w:val="en-US"/>
        </w:rPr>
        <w:t xml:space="preserve"> negative association between</w:t>
      </w:r>
      <w:r w:rsidR="00ED46B8" w:rsidRPr="007515DE">
        <w:rPr>
          <w:lang w:val="en-US"/>
        </w:rPr>
        <w:t xml:space="preserve"> </w:t>
      </w:r>
      <w:r w:rsidRPr="007515DE">
        <w:rPr>
          <w:lang w:val="en-US"/>
        </w:rPr>
        <w:t xml:space="preserve">support for </w:t>
      </w:r>
      <w:r w:rsidR="00BD6146" w:rsidRPr="007515DE">
        <w:rPr>
          <w:lang w:val="en-US"/>
        </w:rPr>
        <w:t>UCR</w:t>
      </w:r>
      <w:r w:rsidR="00D51D0C">
        <w:rPr>
          <w:lang w:val="en-US"/>
        </w:rPr>
        <w:t>s</w:t>
      </w:r>
      <w:r w:rsidRPr="007515DE">
        <w:rPr>
          <w:lang w:val="en-US"/>
        </w:rPr>
        <w:t xml:space="preserve"> </w:t>
      </w:r>
      <w:r w:rsidR="008213A0">
        <w:rPr>
          <w:lang w:val="en-US"/>
        </w:rPr>
        <w:t>and</w:t>
      </w:r>
      <w:r w:rsidRPr="007515DE">
        <w:rPr>
          <w:lang w:val="en-US"/>
        </w:rPr>
        <w:t xml:space="preserve"> prejudice against </w:t>
      </w:r>
      <w:r w:rsidR="009570C5" w:rsidRPr="007515DE">
        <w:rPr>
          <w:lang w:val="en-US"/>
        </w:rPr>
        <w:t>im</w:t>
      </w:r>
      <w:r w:rsidRPr="007515DE">
        <w:rPr>
          <w:lang w:val="en-US"/>
        </w:rPr>
        <w:t>migrants</w:t>
      </w:r>
      <w:r w:rsidR="008213A0">
        <w:rPr>
          <w:lang w:val="en-US"/>
        </w:rPr>
        <w:t>, which extended</w:t>
      </w:r>
      <w:r w:rsidRPr="007515DE">
        <w:rPr>
          <w:lang w:val="en-US"/>
        </w:rPr>
        <w:t xml:space="preserve"> above and beyond other relevant indicators, as predicted in H</w:t>
      </w:r>
      <w:r w:rsidR="00162274" w:rsidRPr="007515DE">
        <w:rPr>
          <w:lang w:val="en-US"/>
        </w:rPr>
        <w:t>1</w:t>
      </w:r>
      <w:r w:rsidRPr="007515DE">
        <w:rPr>
          <w:lang w:val="en-US"/>
        </w:rPr>
        <w:t xml:space="preserve">. The more people supported public spending on resources which benefit the whole population or its most vulnerable members, the less prejudiced they were against </w:t>
      </w:r>
      <w:r w:rsidRPr="007515DE">
        <w:rPr>
          <w:lang w:val="en-US"/>
        </w:rPr>
        <w:lastRenderedPageBreak/>
        <w:t xml:space="preserve">immigrants. </w:t>
      </w:r>
      <w:r w:rsidR="001077DF" w:rsidRPr="007515DE">
        <w:rPr>
          <w:lang w:val="en-US"/>
        </w:rPr>
        <w:t>We</w:t>
      </w:r>
      <w:r w:rsidRPr="007515DE">
        <w:rPr>
          <w:lang w:val="en-US"/>
        </w:rPr>
        <w:t xml:space="preserve"> also recorded </w:t>
      </w:r>
      <w:r w:rsidR="008213A0">
        <w:rPr>
          <w:lang w:val="en-US"/>
        </w:rPr>
        <w:t>a positive association between</w:t>
      </w:r>
      <w:r w:rsidRPr="007515DE">
        <w:rPr>
          <w:lang w:val="en-US"/>
        </w:rPr>
        <w:t xml:space="preserve"> support for </w:t>
      </w:r>
      <w:r w:rsidR="00BD6146" w:rsidRPr="007515DE">
        <w:rPr>
          <w:lang w:val="en-US"/>
        </w:rPr>
        <w:t>SCR</w:t>
      </w:r>
      <w:r w:rsidR="008213A0">
        <w:rPr>
          <w:lang w:val="en-US"/>
        </w:rPr>
        <w:t xml:space="preserve"> and prejudice</w:t>
      </w:r>
      <w:r w:rsidRPr="007515DE">
        <w:rPr>
          <w:lang w:val="en-US"/>
        </w:rPr>
        <w:t xml:space="preserve"> as</w:t>
      </w:r>
      <w:r w:rsidR="00162274" w:rsidRPr="007515DE">
        <w:rPr>
          <w:lang w:val="en-US"/>
        </w:rPr>
        <w:t xml:space="preserve"> we proposed in H2</w:t>
      </w:r>
      <w:r w:rsidRPr="007515DE">
        <w:rPr>
          <w:lang w:val="en-US"/>
        </w:rPr>
        <w:t>, and which accounted for most of the variance in this study.</w:t>
      </w:r>
    </w:p>
    <w:p w14:paraId="4EE69B8C" w14:textId="74900A00" w:rsidR="00240036" w:rsidRPr="007515DE" w:rsidRDefault="00BD6146" w:rsidP="004446AE">
      <w:pPr>
        <w:rPr>
          <w:lang w:val="en-US"/>
        </w:rPr>
      </w:pPr>
      <w:r w:rsidRPr="007515DE">
        <w:rPr>
          <w:lang w:val="en-US"/>
        </w:rPr>
        <w:t xml:space="preserve">Croatian participants predicted ethnic minorities would </w:t>
      </w:r>
      <w:r w:rsidR="002840E0" w:rsidRPr="007515DE">
        <w:rPr>
          <w:lang w:val="en-US"/>
        </w:rPr>
        <w:t>contribute</w:t>
      </w:r>
      <w:r w:rsidRPr="007515DE">
        <w:rPr>
          <w:lang w:val="en-US"/>
        </w:rPr>
        <w:t xml:space="preserve"> less to the maintenance of CRs. The smalle</w:t>
      </w:r>
      <w:r w:rsidR="003D6B3C" w:rsidRPr="007515DE">
        <w:rPr>
          <w:lang w:val="en-US"/>
        </w:rPr>
        <w:t>r</w:t>
      </w:r>
      <w:r w:rsidRPr="007515DE">
        <w:rPr>
          <w:lang w:val="en-US"/>
        </w:rPr>
        <w:t xml:space="preserve"> the predicted contributions to CR management, the more prejudiced the individual was </w:t>
      </w:r>
      <w:r w:rsidR="00240036" w:rsidRPr="007515DE">
        <w:rPr>
          <w:lang w:val="en-US"/>
        </w:rPr>
        <w:t>against immigrants. The same was not true for predicted benefits ethnic minority members mig</w:t>
      </w:r>
      <w:r w:rsidRPr="007515DE">
        <w:rPr>
          <w:lang w:val="en-US"/>
        </w:rPr>
        <w:t xml:space="preserve">ht enjoy from common resources which </w:t>
      </w:r>
      <w:r w:rsidR="00136F19" w:rsidRPr="007515DE">
        <w:rPr>
          <w:lang w:val="en-US"/>
        </w:rPr>
        <w:t>was</w:t>
      </w:r>
      <w:r w:rsidRPr="007515DE">
        <w:rPr>
          <w:lang w:val="en-US"/>
        </w:rPr>
        <w:t xml:space="preserve"> not significantly </w:t>
      </w:r>
      <w:r w:rsidR="00136F19" w:rsidRPr="007515DE">
        <w:rPr>
          <w:lang w:val="en-US"/>
        </w:rPr>
        <w:t>related to</w:t>
      </w:r>
      <w:r w:rsidRPr="007515DE">
        <w:rPr>
          <w:lang w:val="en-US"/>
        </w:rPr>
        <w:t xml:space="preserve"> prejudice. </w:t>
      </w:r>
      <w:r w:rsidR="00240036" w:rsidRPr="007515DE">
        <w:rPr>
          <w:lang w:val="en-US"/>
        </w:rPr>
        <w:t>Thus, our H</w:t>
      </w:r>
      <w:r w:rsidR="00162274" w:rsidRPr="007515DE">
        <w:rPr>
          <w:lang w:val="en-US"/>
        </w:rPr>
        <w:t>3</w:t>
      </w:r>
      <w:r w:rsidR="00240036" w:rsidRPr="007515DE">
        <w:rPr>
          <w:lang w:val="en-US"/>
        </w:rPr>
        <w:t xml:space="preserve"> was partially supported.</w:t>
      </w:r>
    </w:p>
    <w:p w14:paraId="5753BA13" w14:textId="099E5D37" w:rsidR="00240036" w:rsidRPr="007515DE" w:rsidRDefault="008213A0" w:rsidP="00B02366">
      <w:pPr>
        <w:rPr>
          <w:lang w:val="en-US"/>
        </w:rPr>
      </w:pPr>
      <w:r>
        <w:rPr>
          <w:lang w:val="en-US"/>
        </w:rPr>
        <w:t>The positive association of</w:t>
      </w:r>
      <w:r w:rsidR="00240036" w:rsidRPr="007515DE">
        <w:rPr>
          <w:lang w:val="en-US"/>
        </w:rPr>
        <w:t xml:space="preserve"> </w:t>
      </w:r>
      <w:r>
        <w:rPr>
          <w:lang w:val="en-US"/>
        </w:rPr>
        <w:t xml:space="preserve">prejudice with </w:t>
      </w:r>
      <w:r w:rsidR="00240036" w:rsidRPr="007515DE">
        <w:rPr>
          <w:lang w:val="en-US"/>
        </w:rPr>
        <w:t>SDO and a right-wing polit</w:t>
      </w:r>
      <w:r w:rsidR="003365D7">
        <w:rPr>
          <w:lang w:val="en-US"/>
        </w:rPr>
        <w:t xml:space="preserve">ical orientation, both of which </w:t>
      </w:r>
      <w:r w:rsidR="00240036" w:rsidRPr="007515DE">
        <w:rPr>
          <w:lang w:val="en-US"/>
        </w:rPr>
        <w:t>explain</w:t>
      </w:r>
      <w:r w:rsidR="00BD6146" w:rsidRPr="007515DE">
        <w:rPr>
          <w:lang w:val="en-US"/>
        </w:rPr>
        <w:t>ed</w:t>
      </w:r>
      <w:r w:rsidR="00240036" w:rsidRPr="007515DE">
        <w:rPr>
          <w:lang w:val="en-US"/>
        </w:rPr>
        <w:t xml:space="preserve"> a large portion of the </w:t>
      </w:r>
      <w:r w:rsidR="00BD6146" w:rsidRPr="007515DE">
        <w:rPr>
          <w:lang w:val="en-US"/>
        </w:rPr>
        <w:t>variance</w:t>
      </w:r>
      <w:r>
        <w:rPr>
          <w:lang w:val="en-US"/>
        </w:rPr>
        <w:t>, was replicated</w:t>
      </w:r>
      <w:r w:rsidR="00240036" w:rsidRPr="007515DE">
        <w:rPr>
          <w:lang w:val="en-US"/>
        </w:rPr>
        <w:t>.</w:t>
      </w:r>
      <w:r w:rsidR="00B02366" w:rsidRPr="007515DE">
        <w:rPr>
          <w:lang w:val="en-US"/>
        </w:rPr>
        <w:t xml:space="preserve"> </w:t>
      </w:r>
      <w:r>
        <w:rPr>
          <w:lang w:val="en-US"/>
        </w:rPr>
        <w:t>No significant relationship between</w:t>
      </w:r>
      <w:r w:rsidR="00B02366" w:rsidRPr="007515DE">
        <w:rPr>
          <w:lang w:val="en-US"/>
        </w:rPr>
        <w:t xml:space="preserve"> national pride or identity on prejudice against immigrants</w:t>
      </w:r>
      <w:r>
        <w:rPr>
          <w:lang w:val="en-US"/>
        </w:rPr>
        <w:t xml:space="preserve"> was recorded</w:t>
      </w:r>
      <w:r w:rsidR="00B02366" w:rsidRPr="007515DE">
        <w:rPr>
          <w:lang w:val="en-US"/>
        </w:rPr>
        <w:t>. This is not in keeping with previous results from a similar cultural context (</w:t>
      </w:r>
      <w:r w:rsidR="00E5704F" w:rsidRPr="007515DE">
        <w:rPr>
          <w:lang w:val="en-US"/>
        </w:rPr>
        <w:t>e.g.,</w:t>
      </w:r>
      <w:r w:rsidR="00B02366" w:rsidRPr="007515DE">
        <w:rPr>
          <w:lang w:val="en-US"/>
        </w:rPr>
        <w:t xml:space="preserve"> </w:t>
      </w:r>
      <w:proofErr w:type="spellStart"/>
      <w:r w:rsidR="00B02366" w:rsidRPr="007515DE">
        <w:rPr>
          <w:lang w:val="en-US"/>
        </w:rPr>
        <w:t>Dušanić</w:t>
      </w:r>
      <w:proofErr w:type="spellEnd"/>
      <w:r w:rsidR="00B02366" w:rsidRPr="007515DE">
        <w:rPr>
          <w:lang w:val="en-US"/>
        </w:rPr>
        <w:t xml:space="preserve"> et al., 2019).</w:t>
      </w:r>
      <w:r w:rsidR="00240036" w:rsidRPr="007515DE">
        <w:rPr>
          <w:lang w:val="en-US"/>
        </w:rPr>
        <w:t xml:space="preserve"> Higher religiosity predicted more prejudic</w:t>
      </w:r>
      <w:r w:rsidR="00BD6146" w:rsidRPr="007515DE">
        <w:rPr>
          <w:lang w:val="en-US"/>
        </w:rPr>
        <w:t>e against immigrants in Croatia</w:t>
      </w:r>
      <w:r w:rsidR="00240036" w:rsidRPr="007515DE">
        <w:rPr>
          <w:lang w:val="en-US"/>
        </w:rPr>
        <w:t xml:space="preserve">. </w:t>
      </w:r>
      <w:r w:rsidR="00BD6146" w:rsidRPr="007515DE">
        <w:rPr>
          <w:lang w:val="en-US"/>
        </w:rPr>
        <w:t>This</w:t>
      </w:r>
      <w:r w:rsidR="00240036" w:rsidRPr="007515DE">
        <w:rPr>
          <w:lang w:val="en-US"/>
        </w:rPr>
        <w:t xml:space="preserve"> </w:t>
      </w:r>
      <w:r>
        <w:rPr>
          <w:lang w:val="en-US"/>
        </w:rPr>
        <w:t>association</w:t>
      </w:r>
      <w:r w:rsidR="00240036" w:rsidRPr="007515DE">
        <w:rPr>
          <w:lang w:val="en-US"/>
        </w:rPr>
        <w:t xml:space="preserve"> was partially explained by a more right-wing orientation in Model 2, and then fully explained in Model 4. This supports Sekulić’s (2016) findings that religiosity in Croatia can come to uphold more right-wing, as well as more neoliberal, political preferences which seek to disassemble the welfare state and protect existing resources against immigrants and ot</w:t>
      </w:r>
      <w:r w:rsidR="00B02366" w:rsidRPr="007515DE">
        <w:rPr>
          <w:lang w:val="en-US"/>
        </w:rPr>
        <w:t>her outgroups</w:t>
      </w:r>
      <w:r w:rsidR="00240036" w:rsidRPr="007515DE">
        <w:rPr>
          <w:lang w:val="en-US"/>
        </w:rPr>
        <w:t>.</w:t>
      </w:r>
    </w:p>
    <w:p w14:paraId="42164724" w14:textId="77777777" w:rsidR="00240036" w:rsidRPr="007515DE" w:rsidRDefault="00240036" w:rsidP="004446AE">
      <w:pPr>
        <w:pStyle w:val="Heading2"/>
      </w:pPr>
      <w:r w:rsidRPr="007515DE">
        <w:t>Limitations</w:t>
      </w:r>
    </w:p>
    <w:p w14:paraId="6BB3FA8E" w14:textId="1207AB9D" w:rsidR="00240036" w:rsidRDefault="00240036" w:rsidP="004446AE">
      <w:pPr>
        <w:rPr>
          <w:lang w:val="en-US"/>
        </w:rPr>
      </w:pPr>
      <w:r w:rsidRPr="007515DE">
        <w:rPr>
          <w:lang w:val="en-US"/>
        </w:rPr>
        <w:t xml:space="preserve">Our recruitment method encouraged self-selection. </w:t>
      </w:r>
      <w:r w:rsidR="003D6B3C" w:rsidRPr="007515DE">
        <w:rPr>
          <w:lang w:val="en-US"/>
        </w:rPr>
        <w:t>The</w:t>
      </w:r>
      <w:r w:rsidR="00B02366" w:rsidRPr="007515DE">
        <w:rPr>
          <w:lang w:val="en-US"/>
        </w:rPr>
        <w:t xml:space="preserve"> sample was</w:t>
      </w:r>
      <w:r w:rsidRPr="007515DE">
        <w:rPr>
          <w:lang w:val="en-US"/>
        </w:rPr>
        <w:t xml:space="preserve"> highly educated and relatively well-off</w:t>
      </w:r>
      <w:r w:rsidR="002C22A1" w:rsidRPr="007515DE">
        <w:rPr>
          <w:lang w:val="en-US"/>
        </w:rPr>
        <w:t>.</w:t>
      </w:r>
      <w:r w:rsidRPr="007515DE">
        <w:rPr>
          <w:lang w:val="en-US"/>
        </w:rPr>
        <w:t xml:space="preserve"> 60.1% of our participants hold a Master’s degree or a PhD. Additionally, 68.1% identified as members of the middle class and only 7 individuals (2.4%) were unemployed</w:t>
      </w:r>
      <w:r w:rsidR="00B02366" w:rsidRPr="007515DE">
        <w:rPr>
          <w:lang w:val="en-US"/>
        </w:rPr>
        <w:t>, far</w:t>
      </w:r>
      <w:r w:rsidRPr="007515DE">
        <w:rPr>
          <w:lang w:val="en-US"/>
        </w:rPr>
        <w:t xml:space="preserve"> below the national </w:t>
      </w:r>
      <w:r w:rsidR="008D22A9" w:rsidRPr="007515DE">
        <w:rPr>
          <w:lang w:val="en-US"/>
        </w:rPr>
        <w:t>average</w:t>
      </w:r>
      <w:r w:rsidR="00726C9C" w:rsidRPr="007515DE">
        <w:rPr>
          <w:lang w:val="en-US"/>
        </w:rPr>
        <w:t xml:space="preserve"> </w:t>
      </w:r>
      <w:r w:rsidR="0069336C" w:rsidRPr="007515DE">
        <w:rPr>
          <w:lang w:val="en-US"/>
        </w:rPr>
        <w:t>(8</w:t>
      </w:r>
      <w:r w:rsidR="00726C9C" w:rsidRPr="007515DE">
        <w:rPr>
          <w:lang w:val="en-US"/>
        </w:rPr>
        <w:t>%; HZZ, 2021)</w:t>
      </w:r>
      <w:r w:rsidR="008D22A9" w:rsidRPr="007515DE">
        <w:rPr>
          <w:lang w:val="en-US"/>
        </w:rPr>
        <w:t>.</w:t>
      </w:r>
      <w:r w:rsidRPr="007515DE">
        <w:rPr>
          <w:lang w:val="en-US"/>
        </w:rPr>
        <w:t xml:space="preserve"> This likely contributed to some of the inconsistencies in the findings from Study 2 compared to those from Study 1. Thus, the fact that socio-economic indicators, level of education and perceived financial difficulty did not play a part in explaining prejudice against immigrants should not be over-interpreted. It is likely that the </w:t>
      </w:r>
      <w:r w:rsidR="008213A0">
        <w:rPr>
          <w:lang w:val="en-US"/>
        </w:rPr>
        <w:t>contribution</w:t>
      </w:r>
      <w:r w:rsidRPr="007515DE">
        <w:rPr>
          <w:lang w:val="en-US"/>
        </w:rPr>
        <w:t xml:space="preserve"> of perceived financial difficulty </w:t>
      </w:r>
      <w:r w:rsidR="008213A0">
        <w:rPr>
          <w:lang w:val="en-US"/>
        </w:rPr>
        <w:t xml:space="preserve">to explaining prejudice </w:t>
      </w:r>
      <w:r w:rsidRPr="007515DE">
        <w:rPr>
          <w:lang w:val="en-US"/>
        </w:rPr>
        <w:t xml:space="preserve">would be </w:t>
      </w:r>
      <w:r w:rsidRPr="007515DE">
        <w:rPr>
          <w:lang w:val="en-US"/>
        </w:rPr>
        <w:lastRenderedPageBreak/>
        <w:t>replicated</w:t>
      </w:r>
      <w:r w:rsidR="001D685D" w:rsidRPr="007515DE">
        <w:rPr>
          <w:lang w:val="en-US"/>
        </w:rPr>
        <w:t xml:space="preserve"> in</w:t>
      </w:r>
      <w:r w:rsidRPr="007515DE">
        <w:rPr>
          <w:lang w:val="en-US"/>
        </w:rPr>
        <w:t xml:space="preserve"> Croatia </w:t>
      </w:r>
      <w:r w:rsidR="00B02366" w:rsidRPr="007515DE">
        <w:rPr>
          <w:lang w:val="en-US"/>
        </w:rPr>
        <w:t>given</w:t>
      </w:r>
      <w:r w:rsidRPr="007515DE">
        <w:rPr>
          <w:lang w:val="en-US"/>
        </w:rPr>
        <w:t xml:space="preserve"> </w:t>
      </w:r>
      <w:r w:rsidR="001656B6">
        <w:rPr>
          <w:lang w:val="en-US"/>
        </w:rPr>
        <w:t xml:space="preserve">a </w:t>
      </w:r>
      <w:r w:rsidRPr="007515DE">
        <w:rPr>
          <w:lang w:val="en-US"/>
        </w:rPr>
        <w:t>more balanced representation of different socio-economic backgrounds</w:t>
      </w:r>
      <w:r w:rsidR="001D685D" w:rsidRPr="007515DE">
        <w:rPr>
          <w:lang w:val="en-US"/>
        </w:rPr>
        <w:t xml:space="preserve"> in the sample</w:t>
      </w:r>
      <w:r w:rsidRPr="007515DE">
        <w:rPr>
          <w:lang w:val="en-US"/>
        </w:rPr>
        <w:t>.</w:t>
      </w:r>
    </w:p>
    <w:p w14:paraId="72A0088D" w14:textId="77777777" w:rsidR="00240036" w:rsidRPr="007515DE" w:rsidRDefault="00240036" w:rsidP="004446AE">
      <w:pPr>
        <w:pStyle w:val="Heading1"/>
      </w:pPr>
      <w:r w:rsidRPr="007515DE">
        <w:t>General Discussion</w:t>
      </w:r>
    </w:p>
    <w:p w14:paraId="007509E1" w14:textId="226B601A" w:rsidR="00240036" w:rsidRPr="007515DE" w:rsidRDefault="00240036" w:rsidP="004446AE">
      <w:pPr>
        <w:rPr>
          <w:lang w:val="en-US"/>
        </w:rPr>
      </w:pPr>
      <w:r w:rsidRPr="007515DE">
        <w:rPr>
          <w:lang w:val="en-US"/>
        </w:rPr>
        <w:t xml:space="preserve">We had set out to clarify the relationship between attitudes towards various types of </w:t>
      </w:r>
      <w:r w:rsidR="00B02366" w:rsidRPr="007515DE">
        <w:rPr>
          <w:lang w:val="en-US"/>
        </w:rPr>
        <w:t>CR</w:t>
      </w:r>
      <w:r w:rsidRPr="007515DE">
        <w:rPr>
          <w:lang w:val="en-US"/>
        </w:rPr>
        <w:t xml:space="preserve"> management and prejudice against immigrants. We viewed this relationship through a game-theoretical lens, in which the incentives inherent in social dilemma situations like the PGG create specific cognitive biases and shape attitudes towards various target groups. We wondered whether this</w:t>
      </w:r>
      <w:r w:rsidR="00B02366" w:rsidRPr="007515DE">
        <w:rPr>
          <w:lang w:val="en-US"/>
        </w:rPr>
        <w:t xml:space="preserve"> perspective had</w:t>
      </w:r>
      <w:r w:rsidRPr="007515DE">
        <w:rPr>
          <w:lang w:val="en-US"/>
        </w:rPr>
        <w:t xml:space="preserve"> value outside of the laboratory, where </w:t>
      </w:r>
      <w:r w:rsidR="00B02366" w:rsidRPr="007515DE">
        <w:rPr>
          <w:lang w:val="en-US"/>
        </w:rPr>
        <w:t>CR</w:t>
      </w:r>
      <w:r w:rsidRPr="007515DE">
        <w:rPr>
          <w:lang w:val="en-US"/>
        </w:rPr>
        <w:t xml:space="preserve"> management and its dilemmas are neither salient nor transparent, where the </w:t>
      </w:r>
      <w:r w:rsidR="00B02366" w:rsidRPr="007515DE">
        <w:rPr>
          <w:lang w:val="en-US"/>
        </w:rPr>
        <w:t>CRs are</w:t>
      </w:r>
      <w:r w:rsidRPr="007515DE">
        <w:rPr>
          <w:lang w:val="en-US"/>
        </w:rPr>
        <w:t xml:space="preserve"> not a monetary pot equally redistributed to all but a set of interconnected social goals, and where real, meaningful identities and political preferences come into play.</w:t>
      </w:r>
    </w:p>
    <w:p w14:paraId="2508AB92" w14:textId="7E4EE017" w:rsidR="00240036" w:rsidRPr="007515DE" w:rsidRDefault="00240036" w:rsidP="004446AE">
      <w:pPr>
        <w:rPr>
          <w:lang w:val="en-US"/>
        </w:rPr>
      </w:pPr>
      <w:r w:rsidRPr="007515DE">
        <w:rPr>
          <w:lang w:val="en-US"/>
        </w:rPr>
        <w:t>Overall, our results show that considering attitudes towards</w:t>
      </w:r>
      <w:r w:rsidR="002C22A1" w:rsidRPr="007515DE">
        <w:rPr>
          <w:lang w:val="en-US"/>
        </w:rPr>
        <w:t>, and prediction</w:t>
      </w:r>
      <w:r w:rsidR="0069336C" w:rsidRPr="007515DE">
        <w:rPr>
          <w:lang w:val="en-US"/>
        </w:rPr>
        <w:t>s</w:t>
      </w:r>
      <w:r w:rsidR="002C22A1" w:rsidRPr="007515DE">
        <w:rPr>
          <w:lang w:val="en-US"/>
        </w:rPr>
        <w:t xml:space="preserve"> about,</w:t>
      </w:r>
      <w:r w:rsidRPr="007515DE">
        <w:rPr>
          <w:lang w:val="en-US"/>
        </w:rPr>
        <w:t xml:space="preserve"> various types of </w:t>
      </w:r>
      <w:r w:rsidR="002C22A1" w:rsidRPr="007515DE">
        <w:rPr>
          <w:lang w:val="en-US"/>
        </w:rPr>
        <w:t xml:space="preserve">CRs </w:t>
      </w:r>
      <w:r w:rsidRPr="007515DE">
        <w:rPr>
          <w:lang w:val="en-US"/>
        </w:rPr>
        <w:t xml:space="preserve">contributes to our understanding of prejudice against immigrants above and beyond other, established factors like a more right-wing political orientation, national pride, and SDO. Greater support for those resources which provide direct benefits to the community or its most vulnerable members </w:t>
      </w:r>
      <w:r w:rsidR="00EF0084">
        <w:rPr>
          <w:lang w:val="en-US"/>
        </w:rPr>
        <w:t>is</w:t>
      </w:r>
      <w:r w:rsidR="001D685D" w:rsidRPr="007515DE">
        <w:rPr>
          <w:lang w:val="en-US"/>
        </w:rPr>
        <w:t xml:space="preserve"> related to lower </w:t>
      </w:r>
      <w:r w:rsidRPr="007515DE">
        <w:rPr>
          <w:lang w:val="en-US"/>
        </w:rPr>
        <w:t>prejudice against immigrants</w:t>
      </w:r>
      <w:r w:rsidR="001D685D" w:rsidRPr="007515DE">
        <w:rPr>
          <w:lang w:val="en-US"/>
        </w:rPr>
        <w:t>, whereas</w:t>
      </w:r>
      <w:r w:rsidRPr="007515DE">
        <w:rPr>
          <w:lang w:val="en-US"/>
        </w:rPr>
        <w:t xml:space="preserve"> </w:t>
      </w:r>
      <w:r w:rsidR="001D685D" w:rsidRPr="007515DE">
        <w:rPr>
          <w:lang w:val="en-US"/>
        </w:rPr>
        <w:t>g</w:t>
      </w:r>
      <w:r w:rsidRPr="007515DE">
        <w:rPr>
          <w:lang w:val="en-US"/>
        </w:rPr>
        <w:t xml:space="preserve">reater support for the resources which promote security and parochialism </w:t>
      </w:r>
      <w:r w:rsidR="001D685D" w:rsidRPr="007515DE">
        <w:rPr>
          <w:lang w:val="en-US"/>
        </w:rPr>
        <w:t>are related to stronger prejudice</w:t>
      </w:r>
      <w:r w:rsidRPr="007515DE">
        <w:rPr>
          <w:lang w:val="en-US"/>
        </w:rPr>
        <w:t xml:space="preserve">. Across the studies, there was broad agreement about which type of resource fell into which of the two factors, with only minor discrepancies between the international and Croatian samples. In Study 2, we dug further into </w:t>
      </w:r>
      <w:r w:rsidR="00EF0084">
        <w:rPr>
          <w:lang w:val="en-US"/>
        </w:rPr>
        <w:t>some specific beliefs which emerge from game theory and might help us understand the nature of the prejudice better</w:t>
      </w:r>
      <w:r w:rsidRPr="007515DE">
        <w:rPr>
          <w:lang w:val="en-US"/>
        </w:rPr>
        <w:t xml:space="preserve">. </w:t>
      </w:r>
      <w:bookmarkStart w:id="21" w:name="_Hlk149999785"/>
      <w:r w:rsidRPr="007515DE">
        <w:rPr>
          <w:lang w:val="en-US"/>
        </w:rPr>
        <w:t xml:space="preserve">We find that people assume ethnic minority groups would contribute less to the management of </w:t>
      </w:r>
      <w:r w:rsidR="00B02366" w:rsidRPr="007515DE">
        <w:rPr>
          <w:lang w:val="en-US"/>
        </w:rPr>
        <w:t>CRs</w:t>
      </w:r>
      <w:r w:rsidR="00A02CD6">
        <w:rPr>
          <w:lang w:val="en-US"/>
        </w:rPr>
        <w:t xml:space="preserve"> in comparison to average citizens while benefitting to a similar degree</w:t>
      </w:r>
      <w:r w:rsidRPr="007515DE">
        <w:rPr>
          <w:lang w:val="en-US"/>
        </w:rPr>
        <w:t>. This biased prediction spill</w:t>
      </w:r>
      <w:r w:rsidR="00BD1A94" w:rsidRPr="007515DE">
        <w:rPr>
          <w:lang w:val="en-US"/>
        </w:rPr>
        <w:t>ed</w:t>
      </w:r>
      <w:r w:rsidRPr="007515DE">
        <w:rPr>
          <w:lang w:val="en-US"/>
        </w:rPr>
        <w:t xml:space="preserve"> over from one target group (ethnic minorities) to another (immigrants) and contri</w:t>
      </w:r>
      <w:r w:rsidR="00B02366" w:rsidRPr="007515DE">
        <w:rPr>
          <w:lang w:val="en-US"/>
        </w:rPr>
        <w:t>bute</w:t>
      </w:r>
      <w:r w:rsidR="00BD1A94" w:rsidRPr="007515DE">
        <w:rPr>
          <w:lang w:val="en-US"/>
        </w:rPr>
        <w:t>d</w:t>
      </w:r>
      <w:r w:rsidR="00B02366" w:rsidRPr="007515DE">
        <w:rPr>
          <w:lang w:val="en-US"/>
        </w:rPr>
        <w:t xml:space="preserve"> to prejudice against them</w:t>
      </w:r>
      <w:r w:rsidRPr="007515DE">
        <w:rPr>
          <w:lang w:val="en-US"/>
        </w:rPr>
        <w:t xml:space="preserve">. </w:t>
      </w:r>
      <w:bookmarkEnd w:id="21"/>
    </w:p>
    <w:p w14:paraId="58AAC7AC" w14:textId="66CBBB7D" w:rsidR="00240036" w:rsidRDefault="00240036" w:rsidP="002C22A1">
      <w:pPr>
        <w:rPr>
          <w:lang w:val="en-US"/>
        </w:rPr>
      </w:pPr>
      <w:bookmarkStart w:id="22" w:name="_Hlk150000015"/>
      <w:r w:rsidRPr="007515DE">
        <w:rPr>
          <w:lang w:val="en-US"/>
        </w:rPr>
        <w:lastRenderedPageBreak/>
        <w:t xml:space="preserve">It is important to consider what it means that a person is more or less willing to </w:t>
      </w:r>
      <w:r w:rsidR="008D22A9" w:rsidRPr="007515DE">
        <w:rPr>
          <w:lang w:val="en-US"/>
        </w:rPr>
        <w:t xml:space="preserve">support </w:t>
      </w:r>
      <w:r w:rsidR="00A02CD6">
        <w:rPr>
          <w:lang w:val="en-US"/>
        </w:rPr>
        <w:t>UCR</w:t>
      </w:r>
      <w:r w:rsidR="00EF0084">
        <w:rPr>
          <w:lang w:val="en-US"/>
        </w:rPr>
        <w:t>s</w:t>
      </w:r>
      <w:r w:rsidR="00A02CD6">
        <w:rPr>
          <w:lang w:val="en-US"/>
        </w:rPr>
        <w:t xml:space="preserve"> and SCR</w:t>
      </w:r>
      <w:r w:rsidR="00EF0084">
        <w:rPr>
          <w:lang w:val="en-US"/>
        </w:rPr>
        <w:t>s</w:t>
      </w:r>
      <w:r w:rsidRPr="007515DE">
        <w:rPr>
          <w:lang w:val="en-US"/>
        </w:rPr>
        <w:t xml:space="preserve">. </w:t>
      </w:r>
      <w:r w:rsidR="00A02CD6">
        <w:rPr>
          <w:lang w:val="en-US"/>
        </w:rPr>
        <w:t>For example, t</w:t>
      </w:r>
      <w:r w:rsidRPr="007515DE">
        <w:rPr>
          <w:lang w:val="en-US"/>
        </w:rPr>
        <w:t>his distinction closely aligns with the left-right political orientation</w:t>
      </w:r>
      <w:r w:rsidR="00A02CD6">
        <w:rPr>
          <w:lang w:val="en-US"/>
        </w:rPr>
        <w:t>, which often entails more welcoming attitudes to immigrants and other minorities, greater support for UCRs, and lower support for SCR, acting as indicators of the same socio-political “profile”.</w:t>
      </w:r>
      <w:bookmarkEnd w:id="22"/>
      <w:r w:rsidR="00A02CD6">
        <w:rPr>
          <w:lang w:val="en-US"/>
        </w:rPr>
        <w:t xml:space="preserve"> Moreover, the support for either UCR or SCR also aligns with t</w:t>
      </w:r>
      <w:r w:rsidR="002C22A1" w:rsidRPr="007515DE">
        <w:rPr>
          <w:lang w:val="en-US"/>
        </w:rPr>
        <w:t>he dis</w:t>
      </w:r>
      <w:r w:rsidR="00A240BF" w:rsidRPr="007515DE">
        <w:rPr>
          <w:lang w:val="en-US"/>
        </w:rPr>
        <w:t>tinction between universalism</w:t>
      </w:r>
      <w:r w:rsidR="008D22A9" w:rsidRPr="007515DE">
        <w:rPr>
          <w:lang w:val="en-US"/>
        </w:rPr>
        <w:t xml:space="preserve"> and</w:t>
      </w:r>
      <w:r w:rsidR="002C22A1" w:rsidRPr="007515DE">
        <w:rPr>
          <w:lang w:val="en-US"/>
        </w:rPr>
        <w:t xml:space="preserve"> conservation values</w:t>
      </w:r>
      <w:r w:rsidR="004942F9" w:rsidRPr="007515DE">
        <w:rPr>
          <w:lang w:val="en-US"/>
        </w:rPr>
        <w:t>, which in turn predict in- and outgroup attitudes</w:t>
      </w:r>
      <w:r w:rsidR="002C22A1" w:rsidRPr="007515DE">
        <w:rPr>
          <w:lang w:val="en-US"/>
        </w:rPr>
        <w:t xml:space="preserve"> </w:t>
      </w:r>
      <w:r w:rsidR="004942F9" w:rsidRPr="007515DE">
        <w:rPr>
          <w:lang w:val="en-US"/>
        </w:rPr>
        <w:t xml:space="preserve">(Schwartz et al., 2012; Grigoryan &amp; Schwartz, 2021). In two studies, we showed that support for these types of CRs predicts prejudice over and above political orientation; </w:t>
      </w:r>
      <w:r w:rsidRPr="007515DE">
        <w:rPr>
          <w:lang w:val="en-US"/>
        </w:rPr>
        <w:t>future studies</w:t>
      </w:r>
      <w:r w:rsidR="004942F9" w:rsidRPr="007515DE">
        <w:rPr>
          <w:lang w:val="en-US"/>
        </w:rPr>
        <w:t xml:space="preserve"> could additionally control for values. </w:t>
      </w:r>
      <w:r w:rsidRPr="007515DE">
        <w:rPr>
          <w:lang w:val="en-US"/>
        </w:rPr>
        <w:t xml:space="preserve">However, </w:t>
      </w:r>
      <w:r w:rsidR="004942F9" w:rsidRPr="007515DE">
        <w:rPr>
          <w:lang w:val="en-US"/>
        </w:rPr>
        <w:t>values are abstract ideals that can translate into attitudes in different ways (</w:t>
      </w:r>
      <w:proofErr w:type="spellStart"/>
      <w:r w:rsidR="004942F9" w:rsidRPr="007515DE">
        <w:rPr>
          <w:lang w:val="en-US"/>
        </w:rPr>
        <w:t>Ponizovskiy</w:t>
      </w:r>
      <w:proofErr w:type="spellEnd"/>
      <w:r w:rsidR="004942F9" w:rsidRPr="007515DE">
        <w:rPr>
          <w:lang w:val="en-US"/>
        </w:rPr>
        <w:t xml:space="preserve">, 2021; </w:t>
      </w:r>
      <w:proofErr w:type="spellStart"/>
      <w:r w:rsidR="004942F9" w:rsidRPr="007515DE">
        <w:rPr>
          <w:lang w:val="en-US"/>
        </w:rPr>
        <w:t>Ponizovskiy</w:t>
      </w:r>
      <w:proofErr w:type="spellEnd"/>
      <w:r w:rsidR="004942F9" w:rsidRPr="007515DE">
        <w:rPr>
          <w:lang w:val="en-US"/>
        </w:rPr>
        <w:t xml:space="preserve"> et al., 2019), whereas support for different types of CRs is a more proximal predictor of attitudes towards immigrants. </w:t>
      </w:r>
      <w:r w:rsidR="00703510" w:rsidRPr="007515DE">
        <w:rPr>
          <w:lang w:val="en-US"/>
        </w:rPr>
        <w:t xml:space="preserve">We would expect </w:t>
      </w:r>
      <w:r w:rsidR="008213A0">
        <w:rPr>
          <w:lang w:val="en-US"/>
        </w:rPr>
        <w:t xml:space="preserve">similar associations </w:t>
      </w:r>
      <w:r w:rsidR="00703510" w:rsidRPr="007515DE">
        <w:rPr>
          <w:lang w:val="en-US"/>
        </w:rPr>
        <w:t xml:space="preserve">found here to replicate when values are included in the models. </w:t>
      </w:r>
    </w:p>
    <w:p w14:paraId="2ABAE957" w14:textId="1CFCC8B6" w:rsidR="00240036" w:rsidRPr="007515DE" w:rsidRDefault="009004EF" w:rsidP="002C22A1">
      <w:pPr>
        <w:rPr>
          <w:lang w:val="en-US"/>
        </w:rPr>
      </w:pPr>
      <w:r>
        <w:rPr>
          <w:lang w:val="en-US"/>
        </w:rPr>
        <w:t>The current research is, of course, correlational in nature. Thus, we cannot conclude that assumptions about different groups’ contributions to common resources, or one’s own support for public spending, causes more or less prejudice against immigrants. This would require an experimental approach where changes in prejudice against immigrants are related to different levels of common resource management concerns</w:t>
      </w:r>
      <w:r w:rsidR="00EF0084">
        <w:rPr>
          <w:lang w:val="en-US"/>
        </w:rPr>
        <w:t xml:space="preserve"> or preferences</w:t>
      </w:r>
      <w:r>
        <w:rPr>
          <w:lang w:val="en-US"/>
        </w:rPr>
        <w:t xml:space="preserve">. </w:t>
      </w:r>
      <w:r w:rsidR="0059772C">
        <w:rPr>
          <w:lang w:val="en-US"/>
        </w:rPr>
        <w:t xml:space="preserve">Nevertheless, </w:t>
      </w:r>
      <w:r w:rsidR="00D51D0C">
        <w:rPr>
          <w:lang w:val="en-US"/>
        </w:rPr>
        <w:t>our studies</w:t>
      </w:r>
      <w:r w:rsidR="00240036" w:rsidRPr="007515DE">
        <w:rPr>
          <w:lang w:val="en-US"/>
        </w:rPr>
        <w:t xml:space="preserve"> opens new avenues for understanding and managing intergroup conflict in heterogeneous societies. </w:t>
      </w:r>
      <w:bookmarkStart w:id="23" w:name="_Hlk149999709"/>
      <w:r w:rsidR="0059772C">
        <w:rPr>
          <w:lang w:val="en-US"/>
        </w:rPr>
        <w:t xml:space="preserve">It suggests </w:t>
      </w:r>
      <w:r w:rsidR="002C22A1" w:rsidRPr="007515DE">
        <w:rPr>
          <w:lang w:val="en-US"/>
        </w:rPr>
        <w:t xml:space="preserve">that concerns about CR management are not </w:t>
      </w:r>
      <w:r w:rsidR="00A02CD6">
        <w:rPr>
          <w:lang w:val="en-US"/>
        </w:rPr>
        <w:t xml:space="preserve">merely </w:t>
      </w:r>
      <w:r w:rsidR="002C22A1" w:rsidRPr="007515DE">
        <w:rPr>
          <w:lang w:val="en-US"/>
        </w:rPr>
        <w:t>a convenient excuse</w:t>
      </w:r>
      <w:r w:rsidR="00A240BF" w:rsidRPr="007515DE">
        <w:rPr>
          <w:lang w:val="en-US"/>
        </w:rPr>
        <w:t xml:space="preserve"> in</w:t>
      </w:r>
      <w:r w:rsidR="002C22A1" w:rsidRPr="007515DE">
        <w:rPr>
          <w:lang w:val="en-US"/>
        </w:rPr>
        <w:t xml:space="preserve"> </w:t>
      </w:r>
      <w:r w:rsidR="00A240BF" w:rsidRPr="007515DE">
        <w:rPr>
          <w:lang w:val="en-US"/>
        </w:rPr>
        <w:t>anti-immigrant</w:t>
      </w:r>
      <w:r w:rsidR="002C22A1" w:rsidRPr="007515DE">
        <w:rPr>
          <w:lang w:val="en-US"/>
        </w:rPr>
        <w:t xml:space="preserve"> narratives</w:t>
      </w:r>
      <w:r w:rsidR="00916F55">
        <w:rPr>
          <w:lang w:val="en-US"/>
        </w:rPr>
        <w:t xml:space="preserve"> of political elites</w:t>
      </w:r>
      <w:r w:rsidR="002C22A1" w:rsidRPr="007515DE">
        <w:rPr>
          <w:lang w:val="en-US"/>
        </w:rPr>
        <w:t xml:space="preserve">, but </w:t>
      </w:r>
      <w:r w:rsidR="00916F55">
        <w:rPr>
          <w:lang w:val="en-US"/>
        </w:rPr>
        <w:t>rather exploit the</w:t>
      </w:r>
      <w:r w:rsidR="00A02CD6">
        <w:rPr>
          <w:lang w:val="en-US"/>
        </w:rPr>
        <w:t xml:space="preserve"> </w:t>
      </w:r>
      <w:r w:rsidR="0059772C">
        <w:rPr>
          <w:lang w:val="en-US"/>
        </w:rPr>
        <w:t xml:space="preserve">existing </w:t>
      </w:r>
      <w:r w:rsidR="00A02CD6">
        <w:rPr>
          <w:lang w:val="en-US"/>
        </w:rPr>
        <w:t xml:space="preserve">intuition that those resources would be </w:t>
      </w:r>
      <w:r w:rsidR="0059772C">
        <w:rPr>
          <w:lang w:val="en-US"/>
        </w:rPr>
        <w:t xml:space="preserve">endangered </w:t>
      </w:r>
      <w:r w:rsidR="00A02CD6">
        <w:rPr>
          <w:lang w:val="en-US"/>
        </w:rPr>
        <w:t xml:space="preserve">by outgroup members, particularly minority </w:t>
      </w:r>
      <w:r w:rsidR="001656B6">
        <w:rPr>
          <w:lang w:val="en-US"/>
        </w:rPr>
        <w:t>group</w:t>
      </w:r>
      <w:r w:rsidR="00A02CD6">
        <w:rPr>
          <w:lang w:val="en-US"/>
        </w:rPr>
        <w:t xml:space="preserve"> members</w:t>
      </w:r>
      <w:r w:rsidR="002C22A1" w:rsidRPr="007515DE">
        <w:rPr>
          <w:lang w:val="en-US"/>
        </w:rPr>
        <w:t>. If these are</w:t>
      </w:r>
      <w:r w:rsidR="00916F55">
        <w:rPr>
          <w:lang w:val="en-US"/>
        </w:rPr>
        <w:t xml:space="preserve"> indeed</w:t>
      </w:r>
      <w:r w:rsidR="00240036" w:rsidRPr="007515DE">
        <w:rPr>
          <w:lang w:val="en-US"/>
        </w:rPr>
        <w:t xml:space="preserve"> relevant </w:t>
      </w:r>
      <w:r w:rsidR="001656B6">
        <w:rPr>
          <w:lang w:val="en-US"/>
        </w:rPr>
        <w:t>motivators</w:t>
      </w:r>
      <w:r w:rsidR="001656B6" w:rsidRPr="007515DE">
        <w:rPr>
          <w:lang w:val="en-US"/>
        </w:rPr>
        <w:t xml:space="preserve"> </w:t>
      </w:r>
      <w:r w:rsidR="00240036" w:rsidRPr="007515DE">
        <w:rPr>
          <w:lang w:val="en-US"/>
        </w:rPr>
        <w:t xml:space="preserve">of prejudice against migrants and potentially other minority groups, then a reasonable course of action is to ask ourselves what we might change about </w:t>
      </w:r>
      <w:r w:rsidR="00C9185A" w:rsidRPr="007515DE">
        <w:rPr>
          <w:lang w:val="en-US"/>
        </w:rPr>
        <w:t xml:space="preserve">CR </w:t>
      </w:r>
      <w:r w:rsidR="00240036" w:rsidRPr="007515DE">
        <w:rPr>
          <w:lang w:val="en-US"/>
        </w:rPr>
        <w:t xml:space="preserve">management to alleviate </w:t>
      </w:r>
      <w:r w:rsidR="005231B2">
        <w:rPr>
          <w:lang w:val="en-US"/>
        </w:rPr>
        <w:t xml:space="preserve">concerns about their sustainability and </w:t>
      </w:r>
      <w:r w:rsidR="00111F03">
        <w:rPr>
          <w:lang w:val="en-US"/>
        </w:rPr>
        <w:t>resilience</w:t>
      </w:r>
      <w:r w:rsidR="00240036" w:rsidRPr="007515DE">
        <w:rPr>
          <w:lang w:val="en-US"/>
        </w:rPr>
        <w:t>.</w:t>
      </w:r>
      <w:bookmarkEnd w:id="23"/>
      <w:r w:rsidR="00240036" w:rsidRPr="007515DE">
        <w:rPr>
          <w:lang w:val="en-US"/>
        </w:rPr>
        <w:t xml:space="preserve"> </w:t>
      </w:r>
      <w:r w:rsidR="00C9185A" w:rsidRPr="007515DE">
        <w:rPr>
          <w:lang w:val="en-US"/>
        </w:rPr>
        <w:t>Our preliminary findings of the role of trust in institutions on prejudice against immigrants, which only emerges when CR man</w:t>
      </w:r>
      <w:r w:rsidR="00A240BF" w:rsidRPr="007515DE">
        <w:rPr>
          <w:lang w:val="en-US"/>
        </w:rPr>
        <w:t>agement is considered, bolsters</w:t>
      </w:r>
      <w:r w:rsidR="00C9185A" w:rsidRPr="007515DE">
        <w:rPr>
          <w:lang w:val="en-US"/>
        </w:rPr>
        <w:t xml:space="preserve"> the importance of this question. </w:t>
      </w:r>
      <w:r w:rsidR="0059772C">
        <w:rPr>
          <w:lang w:val="en-US"/>
        </w:rPr>
        <w:t xml:space="preserve">Considering the fact immigrants are a net benefit to </w:t>
      </w:r>
      <w:r w:rsidR="0059772C">
        <w:rPr>
          <w:lang w:val="en-US"/>
        </w:rPr>
        <w:lastRenderedPageBreak/>
        <w:t>societal wealth</w:t>
      </w:r>
      <w:r w:rsidR="00E7441F">
        <w:rPr>
          <w:lang w:val="en-US"/>
        </w:rPr>
        <w:t xml:space="preserve"> (e.g., </w:t>
      </w:r>
      <w:proofErr w:type="spellStart"/>
      <w:r w:rsidR="00E7441F">
        <w:rPr>
          <w:lang w:val="en-US"/>
        </w:rPr>
        <w:t>Boubtane</w:t>
      </w:r>
      <w:proofErr w:type="spellEnd"/>
      <w:r w:rsidR="00E7441F">
        <w:rPr>
          <w:lang w:val="en-US"/>
        </w:rPr>
        <w:t xml:space="preserve"> &amp; Dumont, 2013)</w:t>
      </w:r>
      <w:r w:rsidR="0059772C">
        <w:rPr>
          <w:lang w:val="en-US"/>
        </w:rPr>
        <w:t>, and that their use of public services and benefits is restricted and well monitored</w:t>
      </w:r>
      <w:r w:rsidR="00EF0084">
        <w:rPr>
          <w:lang w:val="en-US"/>
        </w:rPr>
        <w:t>, sometimes unjustly</w:t>
      </w:r>
      <w:r w:rsidR="00E7441F">
        <w:rPr>
          <w:lang w:val="en-US"/>
        </w:rPr>
        <w:t xml:space="preserve"> (e.g., Thomann &amp; Rapp, 2018)</w:t>
      </w:r>
      <w:r w:rsidR="0059772C">
        <w:rPr>
          <w:lang w:val="en-US"/>
        </w:rPr>
        <w:t>, it should be clear that immigra</w:t>
      </w:r>
      <w:r w:rsidR="00F27F79">
        <w:rPr>
          <w:lang w:val="en-US"/>
        </w:rPr>
        <w:t>nts do not</w:t>
      </w:r>
      <w:r w:rsidR="0059772C">
        <w:rPr>
          <w:lang w:val="en-US"/>
        </w:rPr>
        <w:t xml:space="preserve"> actually endanger common resources in </w:t>
      </w:r>
      <w:r w:rsidR="00E7441F">
        <w:rPr>
          <w:lang w:val="en-US"/>
        </w:rPr>
        <w:t>industrialized</w:t>
      </w:r>
      <w:r w:rsidR="0059772C">
        <w:rPr>
          <w:lang w:val="en-US"/>
        </w:rPr>
        <w:t xml:space="preserve"> societies. To what extent does a lack of trust in the institutions which actually manage common resources, or communicate about their management, affect people’s impressions about minority freeriding? </w:t>
      </w:r>
      <w:r w:rsidR="00240036" w:rsidRPr="007515DE">
        <w:rPr>
          <w:lang w:val="en-US"/>
        </w:rPr>
        <w:t xml:space="preserve">In what ways do </w:t>
      </w:r>
      <w:r w:rsidR="001656B6">
        <w:rPr>
          <w:lang w:val="en-US"/>
        </w:rPr>
        <w:t xml:space="preserve">the </w:t>
      </w:r>
      <w:r w:rsidR="00240036" w:rsidRPr="007515DE">
        <w:rPr>
          <w:lang w:val="en-US"/>
        </w:rPr>
        <w:t xml:space="preserve">reliability, availability, transparency, and stability of </w:t>
      </w:r>
      <w:r w:rsidR="00C9185A" w:rsidRPr="007515DE">
        <w:rPr>
          <w:lang w:val="en-US"/>
        </w:rPr>
        <w:t>CR</w:t>
      </w:r>
      <w:r w:rsidR="00240036" w:rsidRPr="007515DE">
        <w:rPr>
          <w:lang w:val="en-US"/>
        </w:rPr>
        <w:t xml:space="preserve">, as a macro-level variable, affect outcomes for its immigrant populations and the majority ethnic group’s feelings towards them? </w:t>
      </w:r>
      <w:r w:rsidR="00C9185A" w:rsidRPr="007515DE">
        <w:rPr>
          <w:lang w:val="en-US"/>
        </w:rPr>
        <w:t>How</w:t>
      </w:r>
      <w:r w:rsidR="00240036" w:rsidRPr="007515DE">
        <w:rPr>
          <w:lang w:val="en-US"/>
        </w:rPr>
        <w:t xml:space="preserve"> could we communicate about the part minorities and immigrants play in </w:t>
      </w:r>
      <w:r w:rsidR="00C9185A" w:rsidRPr="007515DE">
        <w:rPr>
          <w:lang w:val="en-US"/>
        </w:rPr>
        <w:t>CR</w:t>
      </w:r>
      <w:r w:rsidR="00240036" w:rsidRPr="007515DE">
        <w:rPr>
          <w:lang w:val="en-US"/>
        </w:rPr>
        <w:t xml:space="preserve"> management in a way which alleviates suspicions about them? Addressing fears about </w:t>
      </w:r>
      <w:r w:rsidR="00C9185A" w:rsidRPr="007515DE">
        <w:rPr>
          <w:lang w:val="en-US"/>
        </w:rPr>
        <w:t>CR</w:t>
      </w:r>
      <w:r w:rsidR="00A240BF" w:rsidRPr="007515DE">
        <w:rPr>
          <w:lang w:val="en-US"/>
        </w:rPr>
        <w:t xml:space="preserve"> management might be a</w:t>
      </w:r>
      <w:r w:rsidR="00240036" w:rsidRPr="007515DE">
        <w:rPr>
          <w:lang w:val="en-US"/>
        </w:rPr>
        <w:t xml:space="preserve"> </w:t>
      </w:r>
      <w:r w:rsidR="005071F6" w:rsidRPr="007515DE">
        <w:rPr>
          <w:lang w:val="en-US"/>
        </w:rPr>
        <w:t>way</w:t>
      </w:r>
      <w:r w:rsidR="00240036" w:rsidRPr="007515DE">
        <w:rPr>
          <w:lang w:val="en-US"/>
        </w:rPr>
        <w:t xml:space="preserve"> to reducing intergroup </w:t>
      </w:r>
      <w:r w:rsidR="005071F6" w:rsidRPr="007515DE">
        <w:rPr>
          <w:lang w:val="en-US"/>
        </w:rPr>
        <w:t>anxiety and prejudice</w:t>
      </w:r>
      <w:r w:rsidR="00240036" w:rsidRPr="007515DE">
        <w:rPr>
          <w:lang w:val="en-US"/>
        </w:rPr>
        <w:t xml:space="preserve"> on a macro-level.</w:t>
      </w:r>
      <w:r w:rsidR="0059772C">
        <w:rPr>
          <w:lang w:val="en-US"/>
        </w:rPr>
        <w:t xml:space="preserve"> </w:t>
      </w:r>
    </w:p>
    <w:p w14:paraId="5F96744A" w14:textId="77777777" w:rsidR="00240036" w:rsidRPr="007515DE" w:rsidRDefault="00240036" w:rsidP="004446AE">
      <w:pPr>
        <w:pStyle w:val="Heading2"/>
      </w:pPr>
      <w:r w:rsidRPr="007515DE">
        <w:t>Conclusion</w:t>
      </w:r>
    </w:p>
    <w:p w14:paraId="29F811E0" w14:textId="1999FDF6" w:rsidR="00240036" w:rsidRDefault="00240036" w:rsidP="004446AE">
      <w:pPr>
        <w:rPr>
          <w:lang w:val="en-US"/>
        </w:rPr>
      </w:pPr>
      <w:r w:rsidRPr="007515DE">
        <w:rPr>
          <w:lang w:val="en-US"/>
        </w:rPr>
        <w:t xml:space="preserve">Our work has provided two empirical tests of the </w:t>
      </w:r>
      <w:r w:rsidR="00F20AF7">
        <w:rPr>
          <w:lang w:val="en-US"/>
        </w:rPr>
        <w:t>association</w:t>
      </w:r>
      <w:r w:rsidRPr="007515DE">
        <w:rPr>
          <w:lang w:val="en-US"/>
        </w:rPr>
        <w:t xml:space="preserve"> between </w:t>
      </w:r>
      <w:r w:rsidR="00F20AF7">
        <w:rPr>
          <w:lang w:val="en-US"/>
        </w:rPr>
        <w:t>support for, and predictions about,</w:t>
      </w:r>
      <w:r w:rsidRPr="007515DE">
        <w:rPr>
          <w:lang w:val="en-US"/>
        </w:rPr>
        <w:t xml:space="preserve"> communally managed resources and prejudice against </w:t>
      </w:r>
      <w:r w:rsidR="00136F19" w:rsidRPr="007515DE">
        <w:rPr>
          <w:lang w:val="en-US"/>
        </w:rPr>
        <w:t>im</w:t>
      </w:r>
      <w:r w:rsidRPr="007515DE">
        <w:rPr>
          <w:lang w:val="en-US"/>
        </w:rPr>
        <w:t xml:space="preserve">migrants. </w:t>
      </w:r>
      <w:r w:rsidR="00B02366" w:rsidRPr="007515DE">
        <w:rPr>
          <w:lang w:val="en-US"/>
        </w:rPr>
        <w:t>Indeed</w:t>
      </w:r>
      <w:r w:rsidRPr="007515DE">
        <w:rPr>
          <w:lang w:val="en-US"/>
        </w:rPr>
        <w:t>, we find such a connection</w:t>
      </w:r>
      <w:r w:rsidR="00B02366" w:rsidRPr="007515DE">
        <w:rPr>
          <w:lang w:val="en-US"/>
        </w:rPr>
        <w:t xml:space="preserve"> and</w:t>
      </w:r>
      <w:r w:rsidRPr="007515DE">
        <w:rPr>
          <w:lang w:val="en-US"/>
        </w:rPr>
        <w:t xml:space="preserve"> test it against other socio-psychological indicators of</w:t>
      </w:r>
      <w:r w:rsidR="00B02366" w:rsidRPr="007515DE">
        <w:rPr>
          <w:lang w:val="en-US"/>
        </w:rPr>
        <w:t xml:space="preserve"> prejudice</w:t>
      </w:r>
      <w:r w:rsidRPr="007515DE">
        <w:rPr>
          <w:lang w:val="en-US"/>
        </w:rPr>
        <w:t>. We assumed people would broadly recognize two different types of resources: those which create benefits for the community or so</w:t>
      </w:r>
      <w:r w:rsidR="00772C01" w:rsidRPr="007515DE">
        <w:rPr>
          <w:lang w:val="en-US"/>
        </w:rPr>
        <w:t>me part of it, which we dubbed u</w:t>
      </w:r>
      <w:r w:rsidRPr="007515DE">
        <w:rPr>
          <w:lang w:val="en-US"/>
        </w:rPr>
        <w:t>niversal</w:t>
      </w:r>
      <w:r w:rsidR="00772C01" w:rsidRPr="007515DE">
        <w:rPr>
          <w:lang w:val="en-US"/>
        </w:rPr>
        <w:t xml:space="preserve"> CRs</w:t>
      </w:r>
      <w:r w:rsidRPr="007515DE">
        <w:rPr>
          <w:lang w:val="en-US"/>
        </w:rPr>
        <w:t>, and those which protect community resources and sanction a</w:t>
      </w:r>
      <w:r w:rsidR="00772C01" w:rsidRPr="007515DE">
        <w:rPr>
          <w:lang w:val="en-US"/>
        </w:rPr>
        <w:t>buses of them, which we dubbed s</w:t>
      </w:r>
      <w:r w:rsidRPr="007515DE">
        <w:rPr>
          <w:lang w:val="en-US"/>
        </w:rPr>
        <w:t>ecurity</w:t>
      </w:r>
      <w:r w:rsidR="00772C01" w:rsidRPr="007515DE">
        <w:rPr>
          <w:lang w:val="en-US"/>
        </w:rPr>
        <w:t xml:space="preserve"> CRs</w:t>
      </w:r>
      <w:r w:rsidRPr="007515DE">
        <w:rPr>
          <w:lang w:val="en-US"/>
        </w:rPr>
        <w:t xml:space="preserve">. </w:t>
      </w:r>
      <w:r w:rsidR="00D51D0C">
        <w:rPr>
          <w:lang w:val="en-US"/>
        </w:rPr>
        <w:t>B</w:t>
      </w:r>
      <w:r w:rsidRPr="007515DE">
        <w:rPr>
          <w:lang w:val="en-US"/>
        </w:rPr>
        <w:t>oth</w:t>
      </w:r>
      <w:r w:rsidR="00D51D0C">
        <w:rPr>
          <w:lang w:val="en-US"/>
        </w:rPr>
        <w:t xml:space="preserve"> types</w:t>
      </w:r>
      <w:r w:rsidRPr="007515DE">
        <w:rPr>
          <w:lang w:val="en-US"/>
        </w:rPr>
        <w:t xml:space="preserve"> significantly contribute</w:t>
      </w:r>
      <w:r w:rsidR="00D51D0C">
        <w:rPr>
          <w:lang w:val="en-US"/>
        </w:rPr>
        <w:t>d</w:t>
      </w:r>
      <w:r w:rsidRPr="007515DE">
        <w:rPr>
          <w:lang w:val="en-US"/>
        </w:rPr>
        <w:t xml:space="preserve"> to an explanation of prejudice in opposite directions, although the </w:t>
      </w:r>
      <w:r w:rsidR="008213A0">
        <w:rPr>
          <w:lang w:val="en-US"/>
        </w:rPr>
        <w:t xml:space="preserve">association </w:t>
      </w:r>
      <w:r w:rsidRPr="007515DE">
        <w:rPr>
          <w:lang w:val="en-US"/>
        </w:rPr>
        <w:t xml:space="preserve">is less stable in the latter case. Thus, overall, valuing </w:t>
      </w:r>
      <w:r w:rsidR="00772C01" w:rsidRPr="007515DE">
        <w:rPr>
          <w:lang w:val="en-US"/>
        </w:rPr>
        <w:t>UCRs</w:t>
      </w:r>
      <w:r w:rsidRPr="007515DE">
        <w:rPr>
          <w:lang w:val="en-US"/>
        </w:rPr>
        <w:t xml:space="preserve"> </w:t>
      </w:r>
      <w:r w:rsidR="00D51D0C">
        <w:rPr>
          <w:lang w:val="en-US"/>
        </w:rPr>
        <w:t>related</w:t>
      </w:r>
      <w:r w:rsidR="00C77F1A" w:rsidRPr="007515DE">
        <w:rPr>
          <w:lang w:val="en-US"/>
        </w:rPr>
        <w:t xml:space="preserve"> to less</w:t>
      </w:r>
      <w:r w:rsidRPr="007515DE">
        <w:rPr>
          <w:lang w:val="en-US"/>
        </w:rPr>
        <w:t xml:space="preserve">, but valuing </w:t>
      </w:r>
      <w:r w:rsidR="00772C01" w:rsidRPr="007515DE">
        <w:rPr>
          <w:lang w:val="en-US"/>
        </w:rPr>
        <w:t>SCRs</w:t>
      </w:r>
      <w:r w:rsidRPr="007515DE">
        <w:rPr>
          <w:lang w:val="en-US"/>
        </w:rPr>
        <w:t xml:space="preserve"> </w:t>
      </w:r>
      <w:r w:rsidR="00C77F1A" w:rsidRPr="007515DE">
        <w:rPr>
          <w:lang w:val="en-US"/>
        </w:rPr>
        <w:t xml:space="preserve">to more prejudice, independent of SDO, socio-economic status, </w:t>
      </w:r>
      <w:r w:rsidR="00D51D0C">
        <w:rPr>
          <w:lang w:val="en-US"/>
        </w:rPr>
        <w:t xml:space="preserve">political affiliation, </w:t>
      </w:r>
      <w:r w:rsidR="00C77F1A" w:rsidRPr="007515DE">
        <w:rPr>
          <w:lang w:val="en-US"/>
        </w:rPr>
        <w:t>or national pride</w:t>
      </w:r>
      <w:r w:rsidRPr="007515DE">
        <w:rPr>
          <w:lang w:val="en-US"/>
        </w:rPr>
        <w:t xml:space="preserve">. </w:t>
      </w:r>
      <w:r w:rsidR="001C6E3E" w:rsidRPr="007515DE">
        <w:rPr>
          <w:lang w:val="en-US"/>
        </w:rPr>
        <w:t>Potentially, a</w:t>
      </w:r>
      <w:r w:rsidRPr="007515DE">
        <w:rPr>
          <w:lang w:val="en-US"/>
        </w:rPr>
        <w:t xml:space="preserve"> key cognitive mechanism </w:t>
      </w:r>
      <w:r w:rsidR="00162274" w:rsidRPr="007515DE">
        <w:rPr>
          <w:lang w:val="en-US"/>
        </w:rPr>
        <w:t>is</w:t>
      </w:r>
      <w:r w:rsidRPr="007515DE">
        <w:rPr>
          <w:lang w:val="en-US"/>
        </w:rPr>
        <w:t xml:space="preserve"> </w:t>
      </w:r>
      <w:r w:rsidR="00772C01" w:rsidRPr="007515DE">
        <w:rPr>
          <w:lang w:val="en-US"/>
        </w:rPr>
        <w:t>the prediction</w:t>
      </w:r>
      <w:r w:rsidRPr="007515DE">
        <w:rPr>
          <w:lang w:val="en-US"/>
        </w:rPr>
        <w:t xml:space="preserve"> that minorities </w:t>
      </w:r>
      <w:r w:rsidR="001C6E3E" w:rsidRPr="007515DE">
        <w:rPr>
          <w:lang w:val="en-US"/>
        </w:rPr>
        <w:t xml:space="preserve">overall </w:t>
      </w:r>
      <w:r w:rsidRPr="007515DE">
        <w:rPr>
          <w:lang w:val="en-US"/>
        </w:rPr>
        <w:t>are more likely to freeride. These intuitions are not necessarily tied to any one group, but easily spill over onto other targets.</w:t>
      </w:r>
    </w:p>
    <w:p w14:paraId="4A2120C6" w14:textId="124578B7" w:rsidR="000A4EE4" w:rsidRDefault="000A4EE4" w:rsidP="004446AE">
      <w:pPr>
        <w:rPr>
          <w:b/>
          <w:sz w:val="28"/>
          <w:szCs w:val="28"/>
          <w:lang w:val="en-US"/>
        </w:rPr>
      </w:pPr>
      <w:r>
        <w:rPr>
          <w:b/>
          <w:sz w:val="28"/>
          <w:szCs w:val="28"/>
          <w:lang w:val="en-US"/>
        </w:rPr>
        <w:t>Data Availibility</w:t>
      </w:r>
      <w:bookmarkStart w:id="24" w:name="_GoBack"/>
      <w:bookmarkEnd w:id="24"/>
    </w:p>
    <w:p w14:paraId="209613CC" w14:textId="78C867BD" w:rsidR="000A4EE4" w:rsidRPr="000A4EE4" w:rsidRDefault="000A4EE4" w:rsidP="004446AE">
      <w:pPr>
        <w:rPr>
          <w:lang w:val="en-US"/>
        </w:rPr>
      </w:pPr>
      <w:r>
        <w:rPr>
          <w:lang w:val="en-US"/>
        </w:rPr>
        <w:t>In compliance with open data policies, data from both studies (.</w:t>
      </w:r>
      <w:proofErr w:type="spellStart"/>
      <w:r>
        <w:rPr>
          <w:lang w:val="en-US"/>
        </w:rPr>
        <w:t>sav</w:t>
      </w:r>
      <w:proofErr w:type="spellEnd"/>
      <w:r>
        <w:rPr>
          <w:lang w:val="en-US"/>
        </w:rPr>
        <w:t xml:space="preserve">) can be accesses at: </w:t>
      </w:r>
      <w:r w:rsidRPr="000A4EE4">
        <w:rPr>
          <w:lang w:val="en-US"/>
        </w:rPr>
        <w:t>https://osf.io/cw6eh/?view_only=974e6f45a91d492abbdf94f287669f81</w:t>
      </w:r>
    </w:p>
    <w:p w14:paraId="0EBF382D" w14:textId="60FB37BC" w:rsidR="000A4EE4" w:rsidRPr="000A4EE4" w:rsidRDefault="000A4EE4" w:rsidP="004446AE">
      <w:pPr>
        <w:rPr>
          <w:sz w:val="2"/>
          <w:szCs w:val="2"/>
          <w:lang w:val="en-US"/>
        </w:rPr>
      </w:pPr>
    </w:p>
    <w:p w14:paraId="257CAF49" w14:textId="77777777" w:rsidR="00240036" w:rsidRPr="00454815" w:rsidRDefault="00240036" w:rsidP="004446AE">
      <w:pPr>
        <w:pStyle w:val="Heading2"/>
        <w:rPr>
          <w:lang w:val="pt-BR"/>
        </w:rPr>
      </w:pPr>
      <w:r w:rsidRPr="00454815">
        <w:rPr>
          <w:lang w:val="pt-BR"/>
        </w:rPr>
        <w:t>References</w:t>
      </w:r>
    </w:p>
    <w:p w14:paraId="432D4515" w14:textId="24C2C665" w:rsidR="004136C6" w:rsidRDefault="004136C6" w:rsidP="004136C6">
      <w:pPr>
        <w:spacing w:after="0" w:line="360" w:lineRule="auto"/>
        <w:ind w:left="709" w:hanging="709"/>
        <w:jc w:val="both"/>
      </w:pPr>
      <w:r>
        <w:rPr>
          <w:lang w:val="pt-BR" w:eastAsia="ja-JP"/>
        </w:rPr>
        <w:t xml:space="preserve">German opposition leader faces criticism for comments on dental care for migrants. (September 29, 2023). Associated Press. </w:t>
      </w:r>
      <w:hyperlink r:id="rId8" w:history="1">
        <w:r w:rsidRPr="00454815">
          <w:rPr>
            <w:rStyle w:val="Hyperlink"/>
          </w:rPr>
          <w:t>https://apnews.com/article/germany-migrants-opposition-dental-care-1d38e467cf30c5dcd74f8202653b19da</w:t>
        </w:r>
      </w:hyperlink>
      <w:r>
        <w:t xml:space="preserve"> </w:t>
      </w:r>
    </w:p>
    <w:p w14:paraId="05CAA960" w14:textId="1A8CF16A" w:rsidR="00E34C7C" w:rsidRPr="00E34C7C" w:rsidRDefault="00E34C7C" w:rsidP="00F35D44">
      <w:pPr>
        <w:spacing w:after="0" w:line="360" w:lineRule="auto"/>
        <w:ind w:left="709" w:hanging="709"/>
        <w:jc w:val="both"/>
        <w:rPr>
          <w:rFonts w:cs="Arial"/>
          <w:lang w:val="pt-BR" w:eastAsia="ja-JP"/>
        </w:rPr>
      </w:pPr>
      <w:r>
        <w:rPr>
          <w:rFonts w:cs="Arial"/>
          <w:lang w:val="pt-BR" w:eastAsia="ja-JP"/>
        </w:rPr>
        <w:t xml:space="preserve">Alesina, A., Baqir, R., &amp; Easterly, W. Public Goods and Ethnic Divisions. </w:t>
      </w:r>
      <w:r>
        <w:rPr>
          <w:rFonts w:cs="Arial"/>
          <w:i/>
          <w:iCs/>
          <w:lang w:val="pt-BR" w:eastAsia="ja-JP"/>
        </w:rPr>
        <w:t>The Quarterly Journal of Economics, 114</w:t>
      </w:r>
      <w:r>
        <w:rPr>
          <w:rFonts w:cs="Arial"/>
          <w:lang w:val="pt-BR" w:eastAsia="ja-JP"/>
        </w:rPr>
        <w:t xml:space="preserve">(4), 1243-1284. </w:t>
      </w:r>
      <w:r>
        <w:rPr>
          <w:rFonts w:cs="Arial"/>
          <w:lang w:val="pt-BR" w:eastAsia="ja-JP"/>
        </w:rPr>
        <w:fldChar w:fldCharType="begin"/>
      </w:r>
      <w:r>
        <w:rPr>
          <w:rFonts w:cs="Arial"/>
          <w:lang w:val="pt-BR" w:eastAsia="ja-JP"/>
        </w:rPr>
        <w:instrText>HYPERLINK "</w:instrText>
      </w:r>
      <w:r w:rsidRPr="00E34C7C">
        <w:rPr>
          <w:rFonts w:cs="Arial"/>
          <w:lang w:val="pt-BR" w:eastAsia="ja-JP"/>
        </w:rPr>
        <w:instrText>https://doi.org/10.1162/003355399556269</w:instrText>
      </w:r>
      <w:r>
        <w:rPr>
          <w:rFonts w:cs="Arial"/>
          <w:lang w:val="pt-BR" w:eastAsia="ja-JP"/>
        </w:rPr>
        <w:instrText>"</w:instrText>
      </w:r>
      <w:r>
        <w:rPr>
          <w:rFonts w:cs="Arial"/>
          <w:lang w:val="pt-BR" w:eastAsia="ja-JP"/>
        </w:rPr>
        <w:fldChar w:fldCharType="separate"/>
      </w:r>
      <w:r w:rsidRPr="003A2CB5">
        <w:rPr>
          <w:rStyle w:val="Hyperlink"/>
          <w:rFonts w:cs="Arial"/>
          <w:lang w:val="pt-BR" w:eastAsia="ja-JP"/>
        </w:rPr>
        <w:t>https://doi.org/10.1162/003355399556269</w:t>
      </w:r>
      <w:r>
        <w:rPr>
          <w:rFonts w:cs="Arial"/>
          <w:lang w:val="pt-BR" w:eastAsia="ja-JP"/>
        </w:rPr>
        <w:fldChar w:fldCharType="end"/>
      </w:r>
      <w:r>
        <w:rPr>
          <w:rFonts w:cs="Arial"/>
          <w:lang w:val="pt-BR" w:eastAsia="ja-JP"/>
        </w:rPr>
        <w:t xml:space="preserve">  </w:t>
      </w:r>
    </w:p>
    <w:p w14:paraId="67D00AD9" w14:textId="57DAF3DF" w:rsidR="004136C6" w:rsidRPr="007515DE" w:rsidRDefault="00C9185A" w:rsidP="00F35D44">
      <w:pPr>
        <w:spacing w:after="0" w:line="360" w:lineRule="auto"/>
        <w:ind w:left="709" w:hanging="709"/>
        <w:jc w:val="both"/>
        <w:rPr>
          <w:rFonts w:cs="Arial"/>
          <w:lang w:val="en-US" w:eastAsia="ja-JP"/>
        </w:rPr>
      </w:pPr>
      <w:r w:rsidRPr="00454815">
        <w:rPr>
          <w:rFonts w:cs="Arial"/>
          <w:lang w:val="pt-BR" w:eastAsia="ja-JP"/>
        </w:rPr>
        <w:t xml:space="preserve">Alesina, A., &amp; La Ferrara, E. (2000). </w:t>
      </w:r>
      <w:r w:rsidRPr="007515DE">
        <w:rPr>
          <w:rFonts w:cs="Arial"/>
          <w:lang w:val="en-US" w:eastAsia="ja-JP"/>
        </w:rPr>
        <w:t xml:space="preserve">Participation in heterogeneous communities. </w:t>
      </w:r>
      <w:r w:rsidRPr="007515DE">
        <w:rPr>
          <w:rFonts w:cs="Arial"/>
          <w:i/>
          <w:iCs/>
          <w:lang w:val="en-US" w:eastAsia="ja-JP"/>
        </w:rPr>
        <w:t xml:space="preserve">The </w:t>
      </w:r>
      <w:r w:rsidR="009D577F" w:rsidRPr="007515DE">
        <w:rPr>
          <w:rFonts w:cs="Arial"/>
          <w:i/>
          <w:iCs/>
          <w:lang w:val="en-US" w:eastAsia="ja-JP"/>
        </w:rPr>
        <w:t>Q</w:t>
      </w:r>
      <w:r w:rsidRPr="007515DE">
        <w:rPr>
          <w:rFonts w:cs="Arial"/>
          <w:i/>
          <w:iCs/>
          <w:lang w:val="en-US" w:eastAsia="ja-JP"/>
        </w:rPr>
        <w:t xml:space="preserve">uarterly </w:t>
      </w:r>
      <w:r w:rsidR="009D577F" w:rsidRPr="007515DE">
        <w:rPr>
          <w:rFonts w:cs="Arial"/>
          <w:i/>
          <w:iCs/>
          <w:lang w:val="en-US" w:eastAsia="ja-JP"/>
        </w:rPr>
        <w:t>J</w:t>
      </w:r>
      <w:r w:rsidRPr="007515DE">
        <w:rPr>
          <w:rFonts w:cs="Arial"/>
          <w:i/>
          <w:iCs/>
          <w:lang w:val="en-US" w:eastAsia="ja-JP"/>
        </w:rPr>
        <w:t xml:space="preserve">ournal of </w:t>
      </w:r>
      <w:r w:rsidR="009D577F" w:rsidRPr="007515DE">
        <w:rPr>
          <w:rFonts w:cs="Arial"/>
          <w:i/>
          <w:iCs/>
          <w:lang w:val="en-US" w:eastAsia="ja-JP"/>
        </w:rPr>
        <w:t>E</w:t>
      </w:r>
      <w:r w:rsidRPr="007515DE">
        <w:rPr>
          <w:rFonts w:cs="Arial"/>
          <w:i/>
          <w:iCs/>
          <w:lang w:val="en-US" w:eastAsia="ja-JP"/>
        </w:rPr>
        <w:t>conomics</w:t>
      </w:r>
      <w:r w:rsidRPr="007515DE">
        <w:rPr>
          <w:rFonts w:cs="Arial"/>
          <w:lang w:val="en-US" w:eastAsia="ja-JP"/>
        </w:rPr>
        <w:t xml:space="preserve">, </w:t>
      </w:r>
      <w:r w:rsidRPr="007515DE">
        <w:rPr>
          <w:rFonts w:cs="Arial"/>
          <w:i/>
          <w:iCs/>
          <w:lang w:val="en-US" w:eastAsia="ja-JP"/>
        </w:rPr>
        <w:t>115</w:t>
      </w:r>
      <w:r w:rsidRPr="007515DE">
        <w:rPr>
          <w:rFonts w:cs="Arial"/>
          <w:lang w:val="en-US" w:eastAsia="ja-JP"/>
        </w:rPr>
        <w:t>(3), 847-904.</w:t>
      </w:r>
      <w:r w:rsidR="00622920" w:rsidRPr="007515DE">
        <w:rPr>
          <w:rFonts w:cs="Arial"/>
          <w:lang w:val="en-US" w:eastAsia="ja-JP"/>
        </w:rPr>
        <w:t xml:space="preserve"> </w:t>
      </w:r>
      <w:hyperlink r:id="rId9" w:history="1">
        <w:r w:rsidR="00F35D44" w:rsidRPr="007515DE">
          <w:rPr>
            <w:rStyle w:val="Hyperlink"/>
            <w:lang w:val="en-US"/>
          </w:rPr>
          <w:t>https://doi.org/</w:t>
        </w:r>
        <w:r w:rsidR="00F35D44" w:rsidRPr="007515DE">
          <w:rPr>
            <w:rStyle w:val="Hyperlink"/>
            <w:rFonts w:cs="Arial"/>
            <w:lang w:val="en-US" w:eastAsia="ja-JP"/>
          </w:rPr>
          <w:t>10.3386/w7155</w:t>
        </w:r>
      </w:hyperlink>
    </w:p>
    <w:p w14:paraId="55CAF191" w14:textId="3ABFFFE9" w:rsidR="00C9185A" w:rsidRPr="007515DE" w:rsidRDefault="00C9185A" w:rsidP="00454815">
      <w:pPr>
        <w:spacing w:after="0" w:line="360" w:lineRule="auto"/>
        <w:ind w:left="709" w:hanging="709"/>
        <w:jc w:val="both"/>
        <w:rPr>
          <w:rFonts w:eastAsia="Times New Roman" w:cs="Arial"/>
          <w:lang w:val="en-US"/>
        </w:rPr>
      </w:pPr>
      <w:proofErr w:type="spellStart"/>
      <w:r w:rsidRPr="007515DE">
        <w:rPr>
          <w:lang w:val="en-US"/>
        </w:rPr>
        <w:t>Alesina</w:t>
      </w:r>
      <w:proofErr w:type="spellEnd"/>
      <w:r w:rsidRPr="007515DE">
        <w:rPr>
          <w:lang w:val="en-US"/>
        </w:rPr>
        <w:t xml:space="preserve">, A., </w:t>
      </w:r>
      <w:proofErr w:type="spellStart"/>
      <w:r w:rsidRPr="007515DE">
        <w:rPr>
          <w:lang w:val="en-US"/>
        </w:rPr>
        <w:t>Gennaioli</w:t>
      </w:r>
      <w:proofErr w:type="spellEnd"/>
      <w:r w:rsidRPr="007515DE">
        <w:rPr>
          <w:lang w:val="en-US"/>
        </w:rPr>
        <w:t xml:space="preserve">, C., &amp; Lovo, S. (2019). Public goods and ethnic diversity: Evidence from deforestation in Indonesia. </w:t>
      </w:r>
      <w:proofErr w:type="spellStart"/>
      <w:r w:rsidRPr="007515DE">
        <w:rPr>
          <w:i/>
          <w:iCs/>
          <w:lang w:val="en-US"/>
        </w:rPr>
        <w:t>Economica</w:t>
      </w:r>
      <w:proofErr w:type="spellEnd"/>
      <w:r w:rsidRPr="007515DE">
        <w:rPr>
          <w:lang w:val="en-US"/>
        </w:rPr>
        <w:t xml:space="preserve">, </w:t>
      </w:r>
      <w:r w:rsidRPr="007515DE">
        <w:rPr>
          <w:i/>
          <w:iCs/>
          <w:lang w:val="en-US"/>
        </w:rPr>
        <w:t>86</w:t>
      </w:r>
      <w:r w:rsidRPr="007515DE">
        <w:rPr>
          <w:lang w:val="en-US"/>
        </w:rPr>
        <w:t>(341), 32-66.</w:t>
      </w:r>
      <w:r w:rsidR="00B6550E" w:rsidRPr="007515DE">
        <w:rPr>
          <w:lang w:val="en-US"/>
        </w:rPr>
        <w:t xml:space="preserve"> </w:t>
      </w:r>
      <w:hyperlink r:id="rId10" w:history="1">
        <w:r w:rsidR="00F35D44" w:rsidRPr="007515DE">
          <w:rPr>
            <w:rStyle w:val="Hyperlink"/>
            <w:rFonts w:eastAsia="Times New Roman" w:cs="Arial"/>
            <w:lang w:val="en-US"/>
          </w:rPr>
          <w:t>https://doi.org/10.1111/ecca.12285</w:t>
        </w:r>
      </w:hyperlink>
    </w:p>
    <w:p w14:paraId="5C43174D" w14:textId="2104398B" w:rsidR="00C9185A" w:rsidRPr="007515DE" w:rsidRDefault="00C9185A" w:rsidP="00864917">
      <w:pPr>
        <w:spacing w:after="0" w:line="360" w:lineRule="auto"/>
        <w:ind w:left="709" w:hanging="709"/>
        <w:rPr>
          <w:rFonts w:eastAsia="Times New Roman" w:cs="Arial"/>
          <w:lang w:val="en-US"/>
        </w:rPr>
      </w:pPr>
      <w:r w:rsidRPr="007515DE">
        <w:rPr>
          <w:rFonts w:eastAsia="Times New Roman" w:cs="Arial"/>
          <w:lang w:val="en-US"/>
        </w:rPr>
        <w:t xml:space="preserve">Asbrock, F., Sibley, C. G., &amp; </w:t>
      </w:r>
      <w:proofErr w:type="spellStart"/>
      <w:r w:rsidRPr="007515DE">
        <w:rPr>
          <w:rFonts w:eastAsia="Times New Roman" w:cs="Arial"/>
          <w:lang w:val="en-US"/>
        </w:rPr>
        <w:t>Duckitt</w:t>
      </w:r>
      <w:proofErr w:type="spellEnd"/>
      <w:r w:rsidRPr="007515DE">
        <w:rPr>
          <w:rFonts w:eastAsia="Times New Roman" w:cs="Arial"/>
          <w:lang w:val="en-US"/>
        </w:rPr>
        <w:t>, J. (2010). Right</w:t>
      </w:r>
      <w:r w:rsidRPr="007515DE">
        <w:rPr>
          <w:rFonts w:ascii="Cambria Math" w:eastAsia="Times New Roman" w:hAnsi="Cambria Math" w:cs="Cambria Math"/>
          <w:lang w:val="en-US"/>
        </w:rPr>
        <w:t>‐</w:t>
      </w:r>
      <w:r w:rsidRPr="007515DE">
        <w:rPr>
          <w:rFonts w:eastAsia="Times New Roman" w:cs="Arial"/>
          <w:lang w:val="en-US"/>
        </w:rPr>
        <w:t xml:space="preserve">wing authoritarianism and social dominance orientation and the dimensions of generalized prejudice: A longitudinal test. </w:t>
      </w:r>
      <w:r w:rsidRPr="007515DE">
        <w:rPr>
          <w:rFonts w:eastAsia="Times New Roman" w:cs="Arial"/>
          <w:i/>
          <w:iCs/>
          <w:lang w:val="en-US"/>
        </w:rPr>
        <w:t>European Journal of Personality</w:t>
      </w:r>
      <w:r w:rsidRPr="007515DE">
        <w:rPr>
          <w:rFonts w:eastAsia="Times New Roman" w:cs="Arial"/>
          <w:lang w:val="en-US"/>
        </w:rPr>
        <w:t xml:space="preserve">, </w:t>
      </w:r>
      <w:r w:rsidRPr="007515DE">
        <w:rPr>
          <w:rFonts w:eastAsia="Times New Roman" w:cs="Arial"/>
          <w:i/>
          <w:iCs/>
          <w:lang w:val="en-US"/>
        </w:rPr>
        <w:t>24</w:t>
      </w:r>
      <w:r w:rsidRPr="007515DE">
        <w:rPr>
          <w:rFonts w:eastAsia="Times New Roman" w:cs="Arial"/>
          <w:lang w:val="en-US"/>
        </w:rPr>
        <w:t>(4), 324-340.</w:t>
      </w:r>
      <w:r w:rsidR="00B6550E" w:rsidRPr="007515DE">
        <w:rPr>
          <w:lang w:val="en-US"/>
        </w:rPr>
        <w:t xml:space="preserve"> </w:t>
      </w:r>
      <w:hyperlink r:id="rId11" w:history="1">
        <w:r w:rsidR="00F35D44" w:rsidRPr="007515DE">
          <w:rPr>
            <w:rStyle w:val="Hyperlink"/>
            <w:rFonts w:eastAsia="Times New Roman" w:cs="Arial"/>
            <w:lang w:val="en-US"/>
          </w:rPr>
          <w:t>https://doi.org/10.1002/per.746</w:t>
        </w:r>
      </w:hyperlink>
    </w:p>
    <w:p w14:paraId="36CF11D5" w14:textId="6D52D916" w:rsidR="00240036" w:rsidRPr="007515DE" w:rsidRDefault="00240036" w:rsidP="00864917">
      <w:pPr>
        <w:spacing w:after="0" w:line="360" w:lineRule="auto"/>
        <w:ind w:left="709" w:hanging="709"/>
        <w:rPr>
          <w:rFonts w:eastAsia="Times New Roman" w:cs="Arial"/>
          <w:lang w:val="en-US"/>
        </w:rPr>
      </w:pPr>
      <w:r w:rsidRPr="007515DE">
        <w:rPr>
          <w:rFonts w:eastAsia="Times New Roman" w:cs="Arial"/>
          <w:lang w:val="en-US"/>
        </w:rPr>
        <w:t xml:space="preserve">Azevedo, F., Jost, J. T., Rothmund, T., &amp; Sterling, J. (2019). Neoliberal ideology and the justification of inequality in capitalist societies: Why social and economic dimensions of ideology are intertwined. </w:t>
      </w:r>
      <w:r w:rsidRPr="007515DE">
        <w:rPr>
          <w:rFonts w:eastAsia="Times New Roman" w:cs="Arial"/>
          <w:i/>
          <w:iCs/>
          <w:lang w:val="en-US"/>
        </w:rPr>
        <w:t>Journal of Social Issues</w:t>
      </w:r>
      <w:r w:rsidRPr="007515DE">
        <w:rPr>
          <w:rFonts w:eastAsia="Times New Roman" w:cs="Arial"/>
          <w:lang w:val="en-US"/>
        </w:rPr>
        <w:t xml:space="preserve">, </w:t>
      </w:r>
      <w:r w:rsidRPr="007515DE">
        <w:rPr>
          <w:rFonts w:eastAsia="Times New Roman" w:cs="Arial"/>
          <w:i/>
          <w:iCs/>
          <w:lang w:val="en-US"/>
        </w:rPr>
        <w:t>75</w:t>
      </w:r>
      <w:r w:rsidRPr="007515DE">
        <w:rPr>
          <w:rFonts w:eastAsia="Times New Roman" w:cs="Arial"/>
          <w:lang w:val="en-US"/>
        </w:rPr>
        <w:t>(1), 49-88.</w:t>
      </w:r>
      <w:r w:rsidR="00B6550E" w:rsidRPr="007515DE">
        <w:rPr>
          <w:lang w:val="en-US"/>
        </w:rPr>
        <w:t xml:space="preserve"> </w:t>
      </w:r>
      <w:hyperlink r:id="rId12" w:history="1">
        <w:r w:rsidR="00F35D44" w:rsidRPr="007515DE">
          <w:rPr>
            <w:rStyle w:val="Hyperlink"/>
            <w:rFonts w:eastAsia="Times New Roman" w:cs="Arial"/>
            <w:lang w:val="en-US"/>
          </w:rPr>
          <w:t>https://doi.org/10.1111/josi.12310</w:t>
        </w:r>
      </w:hyperlink>
    </w:p>
    <w:p w14:paraId="35E0C0EE" w14:textId="7F9147E0" w:rsidR="00DA3300" w:rsidRPr="00DA3300" w:rsidRDefault="00DA3300" w:rsidP="00864917">
      <w:pPr>
        <w:spacing w:after="0" w:line="360" w:lineRule="auto"/>
        <w:ind w:left="709" w:hanging="709"/>
        <w:rPr>
          <w:rFonts w:cs="Arial"/>
          <w:lang w:val="en-US" w:eastAsia="ja-JP"/>
        </w:rPr>
      </w:pPr>
      <w:r>
        <w:rPr>
          <w:rFonts w:cs="Arial"/>
          <w:lang w:val="en-US" w:eastAsia="ja-JP"/>
        </w:rPr>
        <w:t xml:space="preserve">Bahns, A. J. (2017). Threat as justification of prejudice. </w:t>
      </w:r>
      <w:r>
        <w:rPr>
          <w:rFonts w:cs="Arial"/>
          <w:i/>
          <w:lang w:val="en-US" w:eastAsia="ja-JP"/>
        </w:rPr>
        <w:t>Group Processes &amp; Intergroup Relations, 20</w:t>
      </w:r>
      <w:r>
        <w:rPr>
          <w:rFonts w:cs="Arial"/>
          <w:lang w:val="en-US" w:eastAsia="ja-JP"/>
        </w:rPr>
        <w:t xml:space="preserve">(1), 52-74. </w:t>
      </w:r>
      <w:hyperlink r:id="rId13" w:history="1">
        <w:r w:rsidRPr="00F01B7B">
          <w:rPr>
            <w:rStyle w:val="Hyperlink"/>
            <w:rFonts w:cs="Arial"/>
            <w:lang w:val="en-US" w:eastAsia="ja-JP"/>
          </w:rPr>
          <w:t>https://doi.org/10.1177/1368430215591042</w:t>
        </w:r>
      </w:hyperlink>
      <w:r>
        <w:rPr>
          <w:rFonts w:cs="Arial"/>
          <w:lang w:val="en-US" w:eastAsia="ja-JP"/>
        </w:rPr>
        <w:t xml:space="preserve"> </w:t>
      </w:r>
    </w:p>
    <w:p w14:paraId="1467B2E5" w14:textId="21032CE2" w:rsidR="00A57E2F" w:rsidRPr="00A57E2F" w:rsidRDefault="00A57E2F" w:rsidP="00864917">
      <w:pPr>
        <w:spacing w:after="0" w:line="360" w:lineRule="auto"/>
        <w:ind w:left="709" w:hanging="709"/>
        <w:rPr>
          <w:rFonts w:cs="Arial"/>
          <w:lang w:val="en-US" w:eastAsia="ja-JP"/>
        </w:rPr>
      </w:pPr>
      <w:proofErr w:type="spellStart"/>
      <w:r>
        <w:rPr>
          <w:rFonts w:cs="Arial"/>
          <w:lang w:val="en-US" w:eastAsia="ja-JP"/>
        </w:rPr>
        <w:t>Boubtane</w:t>
      </w:r>
      <w:proofErr w:type="spellEnd"/>
      <w:r>
        <w:rPr>
          <w:rFonts w:cs="Arial"/>
          <w:lang w:val="en-US" w:eastAsia="ja-JP"/>
        </w:rPr>
        <w:t xml:space="preserve">, E., &amp; Dumont, J.C. (2013). Immigration and Economic Growth in the OECD countries 1986-2006: A Panel Data analysis. </w:t>
      </w:r>
      <w:r>
        <w:rPr>
          <w:rFonts w:cs="Arial"/>
          <w:i/>
          <w:lang w:val="en-US" w:eastAsia="ja-JP"/>
        </w:rPr>
        <w:t xml:space="preserve">Documents de Travail do Centre </w:t>
      </w:r>
      <w:proofErr w:type="spellStart"/>
      <w:r>
        <w:rPr>
          <w:rFonts w:cs="Arial"/>
          <w:i/>
          <w:lang w:val="en-US" w:eastAsia="ja-JP"/>
        </w:rPr>
        <w:t>d’Economic</w:t>
      </w:r>
      <w:proofErr w:type="spellEnd"/>
      <w:r>
        <w:rPr>
          <w:rFonts w:cs="Arial"/>
          <w:i/>
          <w:lang w:val="en-US" w:eastAsia="ja-JP"/>
        </w:rPr>
        <w:t xml:space="preserve"> de la Sorbonne, </w:t>
      </w:r>
      <w:r>
        <w:rPr>
          <w:rFonts w:cs="Arial"/>
          <w:lang w:val="en-US" w:eastAsia="ja-JP"/>
        </w:rPr>
        <w:t>no.2013.3</w:t>
      </w:r>
      <w:r w:rsidRPr="00A57E2F">
        <w:rPr>
          <w:rFonts w:cs="Arial"/>
          <w:lang w:val="en-US" w:eastAsia="ja-JP"/>
        </w:rPr>
        <w:t xml:space="preserve">, </w:t>
      </w:r>
      <w:r w:rsidRPr="00454815">
        <w:rPr>
          <w:iCs/>
        </w:rPr>
        <w:t xml:space="preserve">ftp://mse.univ-paris1.fr/pub/mse/ CES2013/ 13013.pdf </w:t>
      </w:r>
    </w:p>
    <w:p w14:paraId="3AD1873F" w14:textId="2FFAA9C9" w:rsidR="00C9185A" w:rsidRPr="007515DE" w:rsidRDefault="00240036" w:rsidP="00864917">
      <w:pPr>
        <w:spacing w:after="0" w:line="360" w:lineRule="auto"/>
        <w:ind w:left="709" w:hanging="709"/>
        <w:rPr>
          <w:rFonts w:cs="Arial"/>
          <w:lang w:val="en-US" w:eastAsia="ja-JP"/>
        </w:rPr>
      </w:pPr>
      <w:r w:rsidRPr="007515DE">
        <w:rPr>
          <w:rFonts w:cs="Arial"/>
          <w:lang w:val="en-US" w:eastAsia="ja-JP"/>
        </w:rPr>
        <w:t xml:space="preserve">Brewer, M. B. (1999). The psychology of prejudice: Ingroup love and outgroup hate? </w:t>
      </w:r>
      <w:r w:rsidRPr="007515DE">
        <w:rPr>
          <w:rFonts w:cs="Arial"/>
          <w:i/>
          <w:iCs/>
          <w:lang w:val="en-US" w:eastAsia="ja-JP"/>
        </w:rPr>
        <w:t xml:space="preserve">Journal of </w:t>
      </w:r>
      <w:r w:rsidR="009D577F" w:rsidRPr="007515DE">
        <w:rPr>
          <w:rFonts w:cs="Arial"/>
          <w:i/>
          <w:iCs/>
          <w:lang w:val="en-US" w:eastAsia="ja-JP"/>
        </w:rPr>
        <w:t>S</w:t>
      </w:r>
      <w:r w:rsidRPr="007515DE">
        <w:rPr>
          <w:rFonts w:cs="Arial"/>
          <w:i/>
          <w:iCs/>
          <w:lang w:val="en-US" w:eastAsia="ja-JP"/>
        </w:rPr>
        <w:t xml:space="preserve">ocial </w:t>
      </w:r>
      <w:r w:rsidR="009D577F" w:rsidRPr="007515DE">
        <w:rPr>
          <w:rFonts w:cs="Arial"/>
          <w:i/>
          <w:iCs/>
          <w:lang w:val="en-US" w:eastAsia="ja-JP"/>
        </w:rPr>
        <w:t>I</w:t>
      </w:r>
      <w:r w:rsidRPr="007515DE">
        <w:rPr>
          <w:rFonts w:cs="Arial"/>
          <w:i/>
          <w:iCs/>
          <w:lang w:val="en-US" w:eastAsia="ja-JP"/>
        </w:rPr>
        <w:t>ssues</w:t>
      </w:r>
      <w:r w:rsidRPr="007515DE">
        <w:rPr>
          <w:rFonts w:cs="Arial"/>
          <w:lang w:val="en-US" w:eastAsia="ja-JP"/>
        </w:rPr>
        <w:t xml:space="preserve">, </w:t>
      </w:r>
      <w:r w:rsidRPr="007515DE">
        <w:rPr>
          <w:rFonts w:cs="Arial"/>
          <w:i/>
          <w:iCs/>
          <w:lang w:val="en-US" w:eastAsia="ja-JP"/>
        </w:rPr>
        <w:t>55</w:t>
      </w:r>
      <w:r w:rsidRPr="007515DE">
        <w:rPr>
          <w:rFonts w:cs="Arial"/>
          <w:lang w:val="en-US" w:eastAsia="ja-JP"/>
        </w:rPr>
        <w:t>(3), 429-444.</w:t>
      </w:r>
      <w:r w:rsidR="00D33F7B" w:rsidRPr="007515DE">
        <w:rPr>
          <w:lang w:val="en-US"/>
        </w:rPr>
        <w:t xml:space="preserve"> </w:t>
      </w:r>
      <w:hyperlink r:id="rId14" w:history="1">
        <w:bookmarkStart w:id="25" w:name="_Hlk115270754"/>
        <w:r w:rsidR="00F35D44" w:rsidRPr="007515DE">
          <w:rPr>
            <w:rStyle w:val="Hyperlink"/>
            <w:rFonts w:cs="Arial"/>
            <w:lang w:val="en-US" w:eastAsia="ja-JP"/>
          </w:rPr>
          <w:t>https://doi.org/</w:t>
        </w:r>
        <w:bookmarkEnd w:id="25"/>
        <w:r w:rsidR="00F35D44" w:rsidRPr="007515DE">
          <w:rPr>
            <w:rStyle w:val="Hyperlink"/>
            <w:rFonts w:cs="Arial"/>
            <w:lang w:val="en-US" w:eastAsia="ja-JP"/>
          </w:rPr>
          <w:t>10.1111/0022-4537.00126</w:t>
        </w:r>
      </w:hyperlink>
    </w:p>
    <w:p w14:paraId="202539F9" w14:textId="20FB10F6" w:rsidR="00C9185A" w:rsidRPr="007515DE" w:rsidRDefault="00240036" w:rsidP="00864917">
      <w:pPr>
        <w:spacing w:after="0" w:line="360" w:lineRule="auto"/>
        <w:ind w:left="709" w:hanging="709"/>
        <w:rPr>
          <w:rFonts w:eastAsia="Times New Roman" w:cs="Arial"/>
          <w:lang w:val="en-US"/>
        </w:rPr>
      </w:pPr>
      <w:proofErr w:type="spellStart"/>
      <w:r w:rsidRPr="007515DE">
        <w:rPr>
          <w:rFonts w:eastAsia="Times New Roman" w:cs="Arial"/>
          <w:lang w:val="en-US"/>
        </w:rPr>
        <w:t>Čačić-Kumpes</w:t>
      </w:r>
      <w:proofErr w:type="spellEnd"/>
      <w:r w:rsidRPr="007515DE">
        <w:rPr>
          <w:rFonts w:eastAsia="Times New Roman" w:cs="Arial"/>
          <w:lang w:val="en-US"/>
        </w:rPr>
        <w:t xml:space="preserve">, J., Gregurović, S., &amp; </w:t>
      </w:r>
      <w:proofErr w:type="spellStart"/>
      <w:r w:rsidRPr="007515DE">
        <w:rPr>
          <w:rFonts w:eastAsia="Times New Roman" w:cs="Arial"/>
          <w:lang w:val="en-US"/>
        </w:rPr>
        <w:t>Kumpes</w:t>
      </w:r>
      <w:proofErr w:type="spellEnd"/>
      <w:r w:rsidRPr="007515DE">
        <w:rPr>
          <w:rFonts w:eastAsia="Times New Roman" w:cs="Arial"/>
          <w:lang w:val="en-US"/>
        </w:rPr>
        <w:t xml:space="preserve">, J. (2012). Migration, Integration, and Attitudes towards Immigrants in Croatia. </w:t>
      </w:r>
      <w:proofErr w:type="spellStart"/>
      <w:r w:rsidRPr="007515DE">
        <w:rPr>
          <w:rFonts w:eastAsia="Times New Roman" w:cs="Arial"/>
          <w:i/>
          <w:iCs/>
          <w:lang w:val="en-US"/>
        </w:rPr>
        <w:t>Revija</w:t>
      </w:r>
      <w:proofErr w:type="spellEnd"/>
      <w:r w:rsidRPr="007515DE">
        <w:rPr>
          <w:rFonts w:eastAsia="Times New Roman" w:cs="Arial"/>
          <w:i/>
          <w:iCs/>
          <w:lang w:val="en-US"/>
        </w:rPr>
        <w:t xml:space="preserve"> </w:t>
      </w:r>
      <w:proofErr w:type="spellStart"/>
      <w:r w:rsidRPr="007515DE">
        <w:rPr>
          <w:rFonts w:eastAsia="Times New Roman" w:cs="Arial"/>
          <w:i/>
          <w:iCs/>
          <w:lang w:val="en-US"/>
        </w:rPr>
        <w:t>za</w:t>
      </w:r>
      <w:proofErr w:type="spellEnd"/>
      <w:r w:rsidRPr="007515DE">
        <w:rPr>
          <w:rFonts w:eastAsia="Times New Roman" w:cs="Arial"/>
          <w:i/>
          <w:iCs/>
          <w:lang w:val="en-US"/>
        </w:rPr>
        <w:t xml:space="preserve"> </w:t>
      </w:r>
      <w:proofErr w:type="spellStart"/>
      <w:r w:rsidRPr="007515DE">
        <w:rPr>
          <w:rFonts w:eastAsia="Times New Roman" w:cs="Arial"/>
          <w:i/>
          <w:iCs/>
          <w:lang w:val="en-US"/>
        </w:rPr>
        <w:t>sociologiju</w:t>
      </w:r>
      <w:proofErr w:type="spellEnd"/>
      <w:r w:rsidRPr="007515DE">
        <w:rPr>
          <w:rFonts w:eastAsia="Times New Roman" w:cs="Arial"/>
          <w:lang w:val="en-US"/>
        </w:rPr>
        <w:t xml:space="preserve">, </w:t>
      </w:r>
      <w:r w:rsidRPr="007515DE">
        <w:rPr>
          <w:rFonts w:eastAsia="Times New Roman" w:cs="Arial"/>
          <w:i/>
          <w:iCs/>
          <w:lang w:val="en-US"/>
        </w:rPr>
        <w:t>42</w:t>
      </w:r>
      <w:r w:rsidR="00C9185A" w:rsidRPr="007515DE">
        <w:rPr>
          <w:rFonts w:eastAsia="Times New Roman" w:cs="Arial"/>
          <w:lang w:val="en-US"/>
        </w:rPr>
        <w:t>(3), 305-336.</w:t>
      </w:r>
      <w:r w:rsidR="00D33F7B" w:rsidRPr="007515DE">
        <w:rPr>
          <w:lang w:val="en-US"/>
        </w:rPr>
        <w:t xml:space="preserve"> </w:t>
      </w:r>
      <w:hyperlink r:id="rId15" w:history="1">
        <w:r w:rsidR="00F35D44" w:rsidRPr="007515DE">
          <w:rPr>
            <w:rStyle w:val="Hyperlink"/>
            <w:rFonts w:eastAsia="Times New Roman" w:cs="Arial"/>
            <w:lang w:val="en-US"/>
          </w:rPr>
          <w:t>https://doi.org/10.5613/rzs.42.3.3</w:t>
        </w:r>
      </w:hyperlink>
    </w:p>
    <w:p w14:paraId="7EF99276" w14:textId="77777777" w:rsidR="00917461" w:rsidRPr="00454815" w:rsidRDefault="00917461" w:rsidP="00864917">
      <w:pPr>
        <w:spacing w:after="0" w:line="360" w:lineRule="auto"/>
        <w:ind w:left="709" w:hanging="709"/>
        <w:rPr>
          <w:rFonts w:eastAsia="Times New Roman" w:cs="Arial"/>
          <w:lang w:val="en-US"/>
        </w:rPr>
      </w:pPr>
      <w:r w:rsidRPr="007515DE">
        <w:rPr>
          <w:rFonts w:eastAsia="Times New Roman" w:cs="Arial"/>
          <w:lang w:val="en-US"/>
        </w:rPr>
        <w:t xml:space="preserve">Croatian Bureau of Statistics (2021). </w:t>
      </w:r>
      <w:proofErr w:type="spellStart"/>
      <w:r w:rsidRPr="00454815">
        <w:rPr>
          <w:rFonts w:eastAsia="Times New Roman" w:cs="Arial"/>
          <w:i/>
          <w:lang w:val="en-US"/>
        </w:rPr>
        <w:t>Popis</w:t>
      </w:r>
      <w:proofErr w:type="spellEnd"/>
      <w:r w:rsidRPr="00454815">
        <w:rPr>
          <w:rFonts w:eastAsia="Times New Roman" w:cs="Arial"/>
          <w:i/>
          <w:lang w:val="en-US"/>
        </w:rPr>
        <w:t xml:space="preserve"> 2021</w:t>
      </w:r>
      <w:r w:rsidRPr="00454815">
        <w:rPr>
          <w:rFonts w:eastAsia="Times New Roman" w:cs="Arial"/>
          <w:lang w:val="en-US"/>
        </w:rPr>
        <w:t xml:space="preserve">. </w:t>
      </w:r>
      <w:hyperlink r:id="rId16" w:history="1">
        <w:r w:rsidRPr="00454815">
          <w:rPr>
            <w:rStyle w:val="Hyperlink"/>
            <w:rFonts w:eastAsia="Times New Roman" w:cs="Arial"/>
            <w:lang w:val="en-US"/>
          </w:rPr>
          <w:t>https://popis2021.hr/</w:t>
        </w:r>
      </w:hyperlink>
      <w:r w:rsidRPr="00454815">
        <w:rPr>
          <w:rFonts w:eastAsia="Times New Roman" w:cs="Arial"/>
          <w:lang w:val="en-US"/>
        </w:rPr>
        <w:t xml:space="preserve"> </w:t>
      </w:r>
    </w:p>
    <w:p w14:paraId="1B9CDC7C" w14:textId="4774BF4A" w:rsidR="00240036" w:rsidRPr="007515DE" w:rsidRDefault="00240036" w:rsidP="00864917">
      <w:pPr>
        <w:spacing w:after="0" w:line="360" w:lineRule="auto"/>
        <w:ind w:left="709" w:hanging="709"/>
        <w:rPr>
          <w:rFonts w:eastAsia="Times New Roman" w:cs="Arial"/>
          <w:lang w:val="en-US"/>
        </w:rPr>
      </w:pPr>
      <w:r w:rsidRPr="00454815">
        <w:rPr>
          <w:rFonts w:eastAsia="Times New Roman" w:cs="Arial"/>
          <w:lang w:val="en-US"/>
        </w:rPr>
        <w:t xml:space="preserve">Cutler, D. M., Elmendorf, D. W., &amp; </w:t>
      </w:r>
      <w:proofErr w:type="spellStart"/>
      <w:r w:rsidRPr="00454815">
        <w:rPr>
          <w:rFonts w:eastAsia="Times New Roman" w:cs="Arial"/>
          <w:lang w:val="en-US"/>
        </w:rPr>
        <w:t>Zeckhauser</w:t>
      </w:r>
      <w:proofErr w:type="spellEnd"/>
      <w:r w:rsidRPr="00454815">
        <w:rPr>
          <w:rFonts w:eastAsia="Times New Roman" w:cs="Arial"/>
          <w:lang w:val="en-US"/>
        </w:rPr>
        <w:t xml:space="preserve">, R. J. (1993). </w:t>
      </w:r>
      <w:r w:rsidRPr="007515DE">
        <w:rPr>
          <w:rFonts w:eastAsia="Times New Roman" w:cs="Arial"/>
          <w:iCs/>
          <w:lang w:val="en-US"/>
        </w:rPr>
        <w:t>Demographic characteristics and the public bundle</w:t>
      </w:r>
      <w:r w:rsidR="005071F6" w:rsidRPr="007515DE">
        <w:rPr>
          <w:rFonts w:eastAsia="Times New Roman" w:cs="Arial"/>
          <w:iCs/>
          <w:lang w:val="en-US"/>
        </w:rPr>
        <w:t xml:space="preserve"> (No.4283)</w:t>
      </w:r>
      <w:r w:rsidR="005071F6" w:rsidRPr="007515DE">
        <w:rPr>
          <w:rFonts w:eastAsia="Times New Roman" w:cs="Arial"/>
          <w:i/>
          <w:iCs/>
          <w:lang w:val="en-US"/>
        </w:rPr>
        <w:t>.</w:t>
      </w:r>
      <w:r w:rsidRPr="007515DE">
        <w:rPr>
          <w:rFonts w:eastAsia="Times New Roman" w:cs="Arial"/>
          <w:lang w:val="en-US"/>
        </w:rPr>
        <w:t xml:space="preserve"> </w:t>
      </w:r>
      <w:r w:rsidR="005071F6" w:rsidRPr="007515DE">
        <w:rPr>
          <w:rFonts w:eastAsia="Times New Roman" w:cs="Arial"/>
          <w:i/>
          <w:lang w:val="en-US"/>
        </w:rPr>
        <w:t>National Bureau of Economic Research Working Paper Series, 48</w:t>
      </w:r>
      <w:r w:rsidR="005071F6" w:rsidRPr="007515DE">
        <w:rPr>
          <w:rFonts w:eastAsia="Times New Roman" w:cs="Arial"/>
          <w:lang w:val="en-US"/>
        </w:rPr>
        <w:t>, 178-198.</w:t>
      </w:r>
    </w:p>
    <w:p w14:paraId="13692091" w14:textId="4BBD7BCF" w:rsidR="00C9185A" w:rsidRPr="008B0F00" w:rsidRDefault="00240036" w:rsidP="00864917">
      <w:pPr>
        <w:spacing w:after="0" w:line="360" w:lineRule="auto"/>
        <w:ind w:left="709" w:hanging="709"/>
        <w:rPr>
          <w:rFonts w:cs="Arial"/>
        </w:rPr>
      </w:pPr>
      <w:proofErr w:type="spellStart"/>
      <w:r w:rsidRPr="007515DE">
        <w:rPr>
          <w:rFonts w:cs="Arial"/>
          <w:lang w:val="en-US"/>
        </w:rPr>
        <w:t>Dušanić</w:t>
      </w:r>
      <w:proofErr w:type="spellEnd"/>
      <w:r w:rsidRPr="007515DE">
        <w:rPr>
          <w:rFonts w:cs="Arial"/>
          <w:lang w:val="en-US"/>
        </w:rPr>
        <w:t xml:space="preserve">, S., </w:t>
      </w:r>
      <w:proofErr w:type="spellStart"/>
      <w:r w:rsidRPr="007515DE">
        <w:rPr>
          <w:rFonts w:cs="Arial"/>
          <w:lang w:val="en-US"/>
        </w:rPr>
        <w:t>Hrekes</w:t>
      </w:r>
      <w:proofErr w:type="spellEnd"/>
      <w:r w:rsidRPr="007515DE">
        <w:rPr>
          <w:rFonts w:cs="Arial"/>
          <w:lang w:val="en-US"/>
        </w:rPr>
        <w:t xml:space="preserve">, Y., &amp; </w:t>
      </w:r>
      <w:proofErr w:type="spellStart"/>
      <w:r w:rsidRPr="007515DE">
        <w:rPr>
          <w:rFonts w:cs="Arial"/>
          <w:lang w:val="en-US"/>
        </w:rPr>
        <w:t>Pralica</w:t>
      </w:r>
      <w:proofErr w:type="spellEnd"/>
      <w:r w:rsidRPr="007515DE">
        <w:rPr>
          <w:rFonts w:cs="Arial"/>
          <w:lang w:val="en-US"/>
        </w:rPr>
        <w:t xml:space="preserve">, M. (2019). </w:t>
      </w:r>
      <w:r w:rsidRPr="00454815">
        <w:rPr>
          <w:rFonts w:cs="Arial"/>
          <w:i/>
          <w:lang w:val="pt-BR"/>
        </w:rPr>
        <w:t>Migranti i Mi: Sociopsihološka analiza uzajamne percepcije</w:t>
      </w:r>
      <w:r w:rsidRPr="00454815">
        <w:rPr>
          <w:rFonts w:cs="Arial"/>
          <w:lang w:val="pt-BR"/>
        </w:rPr>
        <w:t>.</w:t>
      </w:r>
      <w:r w:rsidR="00F63354" w:rsidRPr="00454815">
        <w:rPr>
          <w:rFonts w:cs="Arial"/>
          <w:lang w:val="pt-BR"/>
        </w:rPr>
        <w:t xml:space="preserve"> </w:t>
      </w:r>
      <w:r w:rsidR="00F63354" w:rsidRPr="008B0F00">
        <w:rPr>
          <w:rFonts w:cs="Arial"/>
        </w:rPr>
        <w:t>Sarajevo: Friedrich-Ebert-Stiftung</w:t>
      </w:r>
      <w:r w:rsidRPr="008B0F00">
        <w:rPr>
          <w:rFonts w:cs="Arial"/>
        </w:rPr>
        <w:t>.</w:t>
      </w:r>
      <w:r w:rsidR="00C9185A" w:rsidRPr="008B0F00">
        <w:rPr>
          <w:rFonts w:cs="Arial"/>
        </w:rPr>
        <w:t xml:space="preserve"> </w:t>
      </w:r>
    </w:p>
    <w:p w14:paraId="6727521D" w14:textId="2E1CA96C" w:rsidR="00DA3300" w:rsidRPr="00DA3300" w:rsidRDefault="00DA3300" w:rsidP="00864917">
      <w:pPr>
        <w:spacing w:after="0" w:line="360" w:lineRule="auto"/>
        <w:ind w:left="709" w:hanging="709"/>
        <w:rPr>
          <w:rFonts w:cs="Arial"/>
        </w:rPr>
      </w:pPr>
      <w:r>
        <w:rPr>
          <w:rFonts w:cs="Arial"/>
        </w:rPr>
        <w:lastRenderedPageBreak/>
        <w:t xml:space="preserve">Dustmann, C., &amp; Frattini, T. (2014). The Fiscal Effects of Immigration to the UK. </w:t>
      </w:r>
      <w:r>
        <w:rPr>
          <w:rFonts w:cs="Arial"/>
          <w:i/>
        </w:rPr>
        <w:t>The Economic Journal, 124</w:t>
      </w:r>
      <w:r>
        <w:rPr>
          <w:rFonts w:cs="Arial"/>
        </w:rPr>
        <w:t>(580)</w:t>
      </w:r>
      <w:r w:rsidR="00A57E2F">
        <w:rPr>
          <w:rFonts w:cs="Arial"/>
        </w:rPr>
        <w:t xml:space="preserve">, 593-643. </w:t>
      </w:r>
      <w:hyperlink r:id="rId17" w:history="1">
        <w:r w:rsidR="00A57E2F" w:rsidRPr="00F01B7B">
          <w:rPr>
            <w:rStyle w:val="Hyperlink"/>
            <w:rFonts w:cs="Arial"/>
          </w:rPr>
          <w:t>https://doi.org/10.1111/ecoj.12181</w:t>
        </w:r>
      </w:hyperlink>
      <w:r w:rsidR="00A57E2F">
        <w:rPr>
          <w:rFonts w:cs="Arial"/>
        </w:rPr>
        <w:t xml:space="preserve"> </w:t>
      </w:r>
    </w:p>
    <w:p w14:paraId="11060E8F" w14:textId="4C1B4394" w:rsidR="00C9185A" w:rsidRPr="007515DE" w:rsidRDefault="00C9185A" w:rsidP="00864917">
      <w:pPr>
        <w:spacing w:after="0" w:line="360" w:lineRule="auto"/>
        <w:ind w:left="709" w:hanging="709"/>
        <w:rPr>
          <w:rFonts w:cs="Arial"/>
          <w:lang w:val="en-US"/>
        </w:rPr>
      </w:pPr>
      <w:r w:rsidRPr="008B0F00">
        <w:rPr>
          <w:rFonts w:cs="Arial"/>
        </w:rPr>
        <w:t xml:space="preserve">Faul, F., Erdfelder, E., Lang, A. G., &amp; Buchner, A. (2007). </w:t>
      </w:r>
      <w:r w:rsidRPr="007515DE">
        <w:rPr>
          <w:rFonts w:cs="Arial"/>
          <w:lang w:val="en-US"/>
        </w:rPr>
        <w:t>G* Power 3: A flexible statistical power analysis program for the social, behavioral, and biomedical sciences.</w:t>
      </w:r>
      <w:r w:rsidRPr="007515DE">
        <w:rPr>
          <w:rFonts w:cs="Arial"/>
          <w:i/>
          <w:lang w:val="en-US"/>
        </w:rPr>
        <w:t xml:space="preserve"> Behavior </w:t>
      </w:r>
      <w:r w:rsidR="009D577F" w:rsidRPr="007515DE">
        <w:rPr>
          <w:rFonts w:cs="Arial"/>
          <w:i/>
          <w:lang w:val="en-US"/>
        </w:rPr>
        <w:t>R</w:t>
      </w:r>
      <w:r w:rsidRPr="007515DE">
        <w:rPr>
          <w:rFonts w:cs="Arial"/>
          <w:i/>
          <w:lang w:val="en-US"/>
        </w:rPr>
        <w:t xml:space="preserve">esearch </w:t>
      </w:r>
      <w:r w:rsidR="009D577F" w:rsidRPr="007515DE">
        <w:rPr>
          <w:rFonts w:cs="Arial"/>
          <w:i/>
          <w:lang w:val="en-US"/>
        </w:rPr>
        <w:t>M</w:t>
      </w:r>
      <w:r w:rsidRPr="007515DE">
        <w:rPr>
          <w:rFonts w:cs="Arial"/>
          <w:i/>
          <w:lang w:val="en-US"/>
        </w:rPr>
        <w:t>ethods, 39</w:t>
      </w:r>
      <w:r w:rsidRPr="007515DE">
        <w:rPr>
          <w:rFonts w:cs="Arial"/>
          <w:lang w:val="en-US"/>
        </w:rPr>
        <w:t>(2), 175-191.</w:t>
      </w:r>
      <w:r w:rsidR="00864917" w:rsidRPr="007515DE">
        <w:rPr>
          <w:lang w:val="en-US"/>
        </w:rPr>
        <w:t xml:space="preserve"> </w:t>
      </w:r>
    </w:p>
    <w:p w14:paraId="2A1880C9" w14:textId="22F7A34D" w:rsidR="00796F76" w:rsidRPr="007515DE" w:rsidRDefault="00796F76" w:rsidP="009D577F">
      <w:pPr>
        <w:spacing w:after="0" w:line="360" w:lineRule="auto"/>
        <w:ind w:left="709" w:hanging="709"/>
        <w:rPr>
          <w:rFonts w:eastAsia="Times New Roman" w:cs="Arial"/>
          <w:lang w:val="en-US"/>
        </w:rPr>
      </w:pPr>
      <w:r w:rsidRPr="007515DE">
        <w:rPr>
          <w:rFonts w:eastAsia="Times New Roman" w:cs="Arial"/>
          <w:lang w:val="en-US"/>
        </w:rPr>
        <w:t xml:space="preserve">Fink, J. J., &amp; Brady, D. (2020). Immigration and preferences for greater law enforcement spending in rich democracies. </w:t>
      </w:r>
      <w:r w:rsidRPr="007515DE">
        <w:rPr>
          <w:rFonts w:eastAsia="Times New Roman" w:cs="Arial"/>
          <w:i/>
          <w:iCs/>
          <w:lang w:val="en-US"/>
        </w:rPr>
        <w:t>Social Forces</w:t>
      </w:r>
      <w:r w:rsidRPr="007515DE">
        <w:rPr>
          <w:rFonts w:eastAsia="Times New Roman" w:cs="Arial"/>
          <w:lang w:val="en-US"/>
        </w:rPr>
        <w:t xml:space="preserve">, </w:t>
      </w:r>
      <w:r w:rsidRPr="007515DE">
        <w:rPr>
          <w:rFonts w:eastAsia="Times New Roman" w:cs="Arial"/>
          <w:i/>
          <w:iCs/>
          <w:lang w:val="en-US"/>
        </w:rPr>
        <w:t>98</w:t>
      </w:r>
      <w:r w:rsidRPr="007515DE">
        <w:rPr>
          <w:rFonts w:eastAsia="Times New Roman" w:cs="Arial"/>
          <w:lang w:val="en-US"/>
        </w:rPr>
        <w:t>(3), 1074-1111.</w:t>
      </w:r>
      <w:r w:rsidR="00C70EF3" w:rsidRPr="007515DE">
        <w:rPr>
          <w:lang w:val="en-US"/>
        </w:rPr>
        <w:t xml:space="preserve"> </w:t>
      </w:r>
      <w:hyperlink r:id="rId18" w:history="1">
        <w:r w:rsidR="00F35D44" w:rsidRPr="007515DE">
          <w:rPr>
            <w:rStyle w:val="Hyperlink"/>
            <w:lang w:val="en-US"/>
          </w:rPr>
          <w:t>https://doi.org/</w:t>
        </w:r>
        <w:r w:rsidR="00F35D44" w:rsidRPr="007515DE">
          <w:rPr>
            <w:rStyle w:val="Hyperlink"/>
            <w:rFonts w:cs="Arial"/>
            <w:lang w:val="en-US"/>
          </w:rPr>
          <w:t>10.3758/bf03193146</w:t>
        </w:r>
      </w:hyperlink>
    </w:p>
    <w:p w14:paraId="048688AD" w14:textId="1BE48D31" w:rsidR="00240036" w:rsidRPr="007515DE" w:rsidRDefault="00240036" w:rsidP="009D577F">
      <w:pPr>
        <w:spacing w:after="0" w:line="360" w:lineRule="auto"/>
        <w:ind w:left="709" w:hanging="709"/>
        <w:rPr>
          <w:rFonts w:cs="Arial"/>
          <w:lang w:val="en-US"/>
        </w:rPr>
      </w:pPr>
      <w:proofErr w:type="spellStart"/>
      <w:r w:rsidRPr="007515DE">
        <w:rPr>
          <w:rFonts w:cs="Arial"/>
          <w:lang w:val="en-US"/>
        </w:rPr>
        <w:t>Garcini</w:t>
      </w:r>
      <w:proofErr w:type="spellEnd"/>
      <w:r w:rsidRPr="007515DE">
        <w:rPr>
          <w:rFonts w:cs="Arial"/>
          <w:lang w:val="en-US"/>
        </w:rPr>
        <w:t xml:space="preserve">, L. M., Chen, M. A., Brown, R. L., Galvan, T., Saucedo, L., Berger Cardoso, J. A., &amp; Fagundes, C. P. (2018). Kicks hurt less: Discrimination predicts distress beyond trauma among undocumented Mexican immigrants. </w:t>
      </w:r>
      <w:r w:rsidRPr="007515DE">
        <w:rPr>
          <w:rFonts w:cs="Arial"/>
          <w:i/>
          <w:iCs/>
          <w:lang w:val="en-US"/>
        </w:rPr>
        <w:t xml:space="preserve">Psychology of </w:t>
      </w:r>
      <w:r w:rsidR="00C70EF3" w:rsidRPr="007515DE">
        <w:rPr>
          <w:rFonts w:cs="Arial"/>
          <w:i/>
          <w:iCs/>
          <w:lang w:val="en-US"/>
        </w:rPr>
        <w:t>V</w:t>
      </w:r>
      <w:r w:rsidRPr="007515DE">
        <w:rPr>
          <w:rFonts w:cs="Arial"/>
          <w:i/>
          <w:iCs/>
          <w:lang w:val="en-US"/>
        </w:rPr>
        <w:t>iolence</w:t>
      </w:r>
      <w:r w:rsidRPr="007515DE">
        <w:rPr>
          <w:rFonts w:cs="Arial"/>
          <w:lang w:val="en-US"/>
        </w:rPr>
        <w:t xml:space="preserve">, </w:t>
      </w:r>
      <w:r w:rsidRPr="007515DE">
        <w:rPr>
          <w:rFonts w:cs="Arial"/>
          <w:i/>
          <w:iCs/>
          <w:lang w:val="en-US"/>
        </w:rPr>
        <w:t>8</w:t>
      </w:r>
      <w:r w:rsidRPr="007515DE">
        <w:rPr>
          <w:rFonts w:cs="Arial"/>
          <w:lang w:val="en-US"/>
        </w:rPr>
        <w:t>(6), 692.</w:t>
      </w:r>
      <w:r w:rsidR="00622920" w:rsidRPr="007515DE">
        <w:rPr>
          <w:rFonts w:cs="Arial"/>
          <w:lang w:val="en-US"/>
        </w:rPr>
        <w:t xml:space="preserve"> </w:t>
      </w:r>
      <w:hyperlink r:id="rId19" w:history="1">
        <w:r w:rsidR="00F35D44" w:rsidRPr="007515DE">
          <w:rPr>
            <w:rStyle w:val="Hyperlink"/>
            <w:rFonts w:cs="Arial"/>
            <w:lang w:val="en-US"/>
          </w:rPr>
          <w:t>https://doi.org/10.1037/vio0000205</w:t>
        </w:r>
      </w:hyperlink>
    </w:p>
    <w:p w14:paraId="235246E8" w14:textId="694B8162" w:rsidR="005369F5" w:rsidRPr="005369F5" w:rsidRDefault="005369F5" w:rsidP="002B57F0">
      <w:pPr>
        <w:spacing w:after="0" w:line="360" w:lineRule="auto"/>
        <w:ind w:left="709" w:hanging="709"/>
        <w:rPr>
          <w:rFonts w:eastAsia="Times New Roman" w:cs="Arial"/>
          <w:lang w:val="en-US"/>
        </w:rPr>
      </w:pPr>
      <w:r>
        <w:rPr>
          <w:rFonts w:eastAsia="Times New Roman" w:cs="Arial"/>
          <w:lang w:val="en-US"/>
        </w:rPr>
        <w:t xml:space="preserve">Gilks, M. (2019). The security-prejudice nexus: “Islamist” terrorism and the structural logics of Islamophobia in the UK. </w:t>
      </w:r>
      <w:r>
        <w:rPr>
          <w:rFonts w:eastAsia="Times New Roman" w:cs="Arial"/>
          <w:i/>
          <w:lang w:val="en-US"/>
        </w:rPr>
        <w:t>Critical Studies on Terrorism, 13</w:t>
      </w:r>
      <w:r>
        <w:rPr>
          <w:rFonts w:eastAsia="Times New Roman" w:cs="Arial"/>
          <w:lang w:val="en-US"/>
        </w:rPr>
        <w:t>(1), 24-46.</w:t>
      </w:r>
    </w:p>
    <w:p w14:paraId="5DF23296" w14:textId="2676EE60" w:rsidR="00C9185A" w:rsidRPr="007515DE" w:rsidRDefault="00C9185A" w:rsidP="002B57F0">
      <w:pPr>
        <w:spacing w:after="0" w:line="360" w:lineRule="auto"/>
        <w:ind w:left="709" w:hanging="709"/>
        <w:rPr>
          <w:rFonts w:eastAsia="Times New Roman" w:cs="Arial"/>
          <w:lang w:val="en-US"/>
        </w:rPr>
      </w:pPr>
      <w:r w:rsidRPr="007515DE">
        <w:rPr>
          <w:rFonts w:eastAsia="Times New Roman" w:cs="Arial"/>
          <w:lang w:val="en-US"/>
        </w:rPr>
        <w:t xml:space="preserve">Gregurović, M., Kuti, S., &amp; </w:t>
      </w:r>
      <w:proofErr w:type="spellStart"/>
      <w:r w:rsidRPr="007515DE">
        <w:rPr>
          <w:rFonts w:eastAsia="Times New Roman" w:cs="Arial"/>
          <w:lang w:val="en-US"/>
        </w:rPr>
        <w:t>Župarić-Iljić</w:t>
      </w:r>
      <w:proofErr w:type="spellEnd"/>
      <w:r w:rsidRPr="007515DE">
        <w:rPr>
          <w:rFonts w:eastAsia="Times New Roman" w:cs="Arial"/>
          <w:lang w:val="en-US"/>
        </w:rPr>
        <w:t xml:space="preserve">, D. (2016). Attitudes towards immigrant workers and asylum seekers in eastern Croatia: dimensions, determinants and differences. </w:t>
      </w:r>
      <w:proofErr w:type="spellStart"/>
      <w:r w:rsidRPr="007515DE">
        <w:rPr>
          <w:rFonts w:eastAsia="Times New Roman" w:cs="Arial"/>
          <w:i/>
          <w:iCs/>
          <w:lang w:val="en-US"/>
        </w:rPr>
        <w:t>Migracijske</w:t>
      </w:r>
      <w:proofErr w:type="spellEnd"/>
      <w:r w:rsidRPr="007515DE">
        <w:rPr>
          <w:rFonts w:eastAsia="Times New Roman" w:cs="Arial"/>
          <w:i/>
          <w:iCs/>
          <w:lang w:val="en-US"/>
        </w:rPr>
        <w:t xml:space="preserve"> </w:t>
      </w:r>
      <w:proofErr w:type="spellStart"/>
      <w:r w:rsidRPr="007515DE">
        <w:rPr>
          <w:rFonts w:eastAsia="Times New Roman" w:cs="Arial"/>
          <w:i/>
          <w:iCs/>
          <w:lang w:val="en-US"/>
        </w:rPr>
        <w:t>i</w:t>
      </w:r>
      <w:proofErr w:type="spellEnd"/>
      <w:r w:rsidRPr="007515DE">
        <w:rPr>
          <w:rFonts w:eastAsia="Times New Roman" w:cs="Arial"/>
          <w:i/>
          <w:iCs/>
          <w:lang w:val="en-US"/>
        </w:rPr>
        <w:t xml:space="preserve"> </w:t>
      </w:r>
      <w:proofErr w:type="spellStart"/>
      <w:r w:rsidRPr="007515DE">
        <w:rPr>
          <w:rFonts w:eastAsia="Times New Roman" w:cs="Arial"/>
          <w:i/>
          <w:iCs/>
          <w:lang w:val="en-US"/>
        </w:rPr>
        <w:t>etničke</w:t>
      </w:r>
      <w:proofErr w:type="spellEnd"/>
      <w:r w:rsidRPr="007515DE">
        <w:rPr>
          <w:rFonts w:eastAsia="Times New Roman" w:cs="Arial"/>
          <w:i/>
          <w:iCs/>
          <w:lang w:val="en-US"/>
        </w:rPr>
        <w:t xml:space="preserve"> </w:t>
      </w:r>
      <w:proofErr w:type="spellStart"/>
      <w:r w:rsidRPr="007515DE">
        <w:rPr>
          <w:rFonts w:eastAsia="Times New Roman" w:cs="Arial"/>
          <w:i/>
          <w:iCs/>
          <w:lang w:val="en-US"/>
        </w:rPr>
        <w:t>teme</w:t>
      </w:r>
      <w:proofErr w:type="spellEnd"/>
      <w:r w:rsidRPr="007515DE">
        <w:rPr>
          <w:rFonts w:eastAsia="Times New Roman" w:cs="Arial"/>
          <w:lang w:val="en-US"/>
        </w:rPr>
        <w:t xml:space="preserve">, </w:t>
      </w:r>
      <w:r w:rsidRPr="007515DE">
        <w:rPr>
          <w:rFonts w:eastAsia="Times New Roman" w:cs="Arial"/>
          <w:i/>
          <w:iCs/>
          <w:lang w:val="en-US"/>
        </w:rPr>
        <w:t>32</w:t>
      </w:r>
      <w:r w:rsidRPr="007515DE">
        <w:rPr>
          <w:rFonts w:eastAsia="Times New Roman" w:cs="Arial"/>
          <w:lang w:val="en-US"/>
        </w:rPr>
        <w:t>(1), 91-122.</w:t>
      </w:r>
    </w:p>
    <w:p w14:paraId="40245D67" w14:textId="1FFCD96F" w:rsidR="00C9185A" w:rsidRPr="008B0F00" w:rsidRDefault="00C9185A" w:rsidP="002B57F0">
      <w:pPr>
        <w:spacing w:after="0" w:line="360" w:lineRule="auto"/>
        <w:ind w:left="709" w:hanging="709"/>
        <w:jc w:val="both"/>
        <w:rPr>
          <w:rFonts w:cs="Arial"/>
        </w:rPr>
      </w:pPr>
      <w:proofErr w:type="spellStart"/>
      <w:r w:rsidRPr="007515DE">
        <w:rPr>
          <w:rStyle w:val="personname"/>
          <w:rFonts w:cs="Arial"/>
          <w:lang w:val="en-US"/>
        </w:rPr>
        <w:t>Grgurev</w:t>
      </w:r>
      <w:proofErr w:type="spellEnd"/>
      <w:r w:rsidRPr="007515DE">
        <w:rPr>
          <w:rStyle w:val="personname"/>
          <w:rFonts w:cs="Arial"/>
          <w:lang w:val="en-US"/>
        </w:rPr>
        <w:t>, I</w:t>
      </w:r>
      <w:r w:rsidRPr="007515DE">
        <w:rPr>
          <w:rFonts w:cs="Arial"/>
          <w:lang w:val="en-US"/>
        </w:rPr>
        <w:t xml:space="preserve">. (2018). </w:t>
      </w:r>
      <w:r w:rsidRPr="007515DE">
        <w:rPr>
          <w:rStyle w:val="Emphasis"/>
          <w:rFonts w:cs="Arial"/>
          <w:lang w:val="en-US"/>
        </w:rPr>
        <w:t>Egalitarian Syndrome, Right-Wing Authoritarianism, and Social Dominance Orientation</w:t>
      </w:r>
      <w:r w:rsidR="002A7109" w:rsidRPr="007515DE">
        <w:rPr>
          <w:rStyle w:val="Emphasis"/>
          <w:rFonts w:cs="Arial"/>
          <w:lang w:val="en-US"/>
        </w:rPr>
        <w:t>.</w:t>
      </w:r>
      <w:r w:rsidRPr="007515DE">
        <w:rPr>
          <w:rFonts w:cs="Arial"/>
          <w:lang w:val="en-US"/>
        </w:rPr>
        <w:t xml:space="preserve"> </w:t>
      </w:r>
      <w:r w:rsidR="002A7109" w:rsidRPr="007515DE">
        <w:rPr>
          <w:rFonts w:cs="Arial"/>
          <w:lang w:val="en-US"/>
        </w:rPr>
        <w:t>(</w:t>
      </w:r>
      <w:r w:rsidRPr="007515DE">
        <w:rPr>
          <w:rFonts w:cs="Arial"/>
          <w:lang w:val="en-US"/>
        </w:rPr>
        <w:t>Diplo</w:t>
      </w:r>
      <w:r w:rsidR="002A7109" w:rsidRPr="007515DE">
        <w:rPr>
          <w:rFonts w:cs="Arial"/>
          <w:lang w:val="en-US"/>
        </w:rPr>
        <w:t xml:space="preserve">ma Thesis, </w:t>
      </w:r>
      <w:r w:rsidR="001C6E3E" w:rsidRPr="007515DE">
        <w:rPr>
          <w:rFonts w:cs="Arial"/>
          <w:lang w:val="en-US"/>
        </w:rPr>
        <w:t>Faculty of Philosophy</w:t>
      </w:r>
      <w:r w:rsidR="002A7109" w:rsidRPr="007515DE">
        <w:rPr>
          <w:rFonts w:cs="Arial"/>
          <w:lang w:val="en-US"/>
        </w:rPr>
        <w:t>,</w:t>
      </w:r>
      <w:r w:rsidRPr="007515DE">
        <w:rPr>
          <w:rFonts w:cs="Arial"/>
          <w:lang w:val="en-US"/>
        </w:rPr>
        <w:t xml:space="preserve"> </w:t>
      </w:r>
      <w:r w:rsidR="002A7109" w:rsidRPr="007515DE">
        <w:rPr>
          <w:rFonts w:cs="Arial"/>
          <w:lang w:val="en-US"/>
        </w:rPr>
        <w:t>Department of Psychology,</w:t>
      </w:r>
      <w:r w:rsidRPr="007515DE">
        <w:rPr>
          <w:rFonts w:cs="Arial"/>
          <w:lang w:val="en-US"/>
        </w:rPr>
        <w:t xml:space="preserve"> </w:t>
      </w:r>
      <w:r w:rsidR="002A7109" w:rsidRPr="007515DE">
        <w:rPr>
          <w:rFonts w:cs="Arial"/>
          <w:lang w:val="en-US"/>
        </w:rPr>
        <w:t xml:space="preserve">Zagreb, Croatia). </w:t>
      </w:r>
      <w:hyperlink r:id="rId20" w:history="1">
        <w:r w:rsidR="00F35D44" w:rsidRPr="008B0F00">
          <w:rPr>
            <w:rStyle w:val="Hyperlink"/>
            <w:rFonts w:cs="Arial"/>
          </w:rPr>
          <w:t>http://darhiv.ffzg.unizg.hr/id/eprint/10684</w:t>
        </w:r>
      </w:hyperlink>
    </w:p>
    <w:p w14:paraId="258CAD57" w14:textId="2D5388DE" w:rsidR="00240036" w:rsidRPr="007515DE" w:rsidRDefault="00240036" w:rsidP="009D577F">
      <w:pPr>
        <w:widowControl w:val="0"/>
        <w:spacing w:after="0" w:line="360" w:lineRule="auto"/>
        <w:ind w:left="709" w:hanging="709"/>
        <w:rPr>
          <w:rFonts w:cs="Arial"/>
          <w:lang w:val="en-US"/>
        </w:rPr>
      </w:pPr>
      <w:r w:rsidRPr="008B0F00">
        <w:rPr>
          <w:rFonts w:cs="Arial"/>
        </w:rPr>
        <w:t xml:space="preserve">Grigoryan, L., &amp; Schwartz, S. H. (2020). </w:t>
      </w:r>
      <w:r w:rsidRPr="007515DE">
        <w:rPr>
          <w:rFonts w:cs="Arial"/>
          <w:lang w:val="en-US"/>
        </w:rPr>
        <w:t xml:space="preserve">Values and attitudes towards cultural diversity : Exploring alternative moderators of the value – attitude link. </w:t>
      </w:r>
      <w:r w:rsidRPr="007515DE">
        <w:rPr>
          <w:rFonts w:cs="Arial"/>
          <w:i/>
          <w:iCs/>
          <w:lang w:val="en-US"/>
        </w:rPr>
        <w:t>Group Processes and Intergroup Relations</w:t>
      </w:r>
      <w:r w:rsidR="002A7109" w:rsidRPr="007515DE">
        <w:rPr>
          <w:rFonts w:cs="Arial"/>
          <w:i/>
          <w:iCs/>
          <w:lang w:val="en-US"/>
        </w:rPr>
        <w:t>, 24</w:t>
      </w:r>
      <w:r w:rsidR="002A7109" w:rsidRPr="007515DE">
        <w:rPr>
          <w:rFonts w:cs="Arial"/>
          <w:iCs/>
          <w:lang w:val="en-US"/>
        </w:rPr>
        <w:t>(6), 966-981</w:t>
      </w:r>
      <w:r w:rsidRPr="007515DE">
        <w:rPr>
          <w:rFonts w:cs="Arial"/>
          <w:lang w:val="en-US"/>
        </w:rPr>
        <w:t>.</w:t>
      </w:r>
      <w:r w:rsidR="00622920" w:rsidRPr="007515DE">
        <w:rPr>
          <w:rFonts w:cs="Arial"/>
          <w:lang w:val="en-US"/>
        </w:rPr>
        <w:t xml:space="preserve"> </w:t>
      </w:r>
      <w:hyperlink r:id="rId21" w:history="1">
        <w:r w:rsidR="00F35D44" w:rsidRPr="007515DE">
          <w:rPr>
            <w:rStyle w:val="Hyperlink"/>
            <w:rFonts w:cs="Arial"/>
            <w:lang w:val="en-US"/>
          </w:rPr>
          <w:t>https://doi.org/10.1177/1368430220929077</w:t>
        </w:r>
      </w:hyperlink>
    </w:p>
    <w:p w14:paraId="20E2A8F7" w14:textId="6C6B9108" w:rsidR="00240036" w:rsidRPr="007515DE" w:rsidRDefault="00240036" w:rsidP="009D577F">
      <w:pPr>
        <w:spacing w:after="0" w:line="360" w:lineRule="auto"/>
        <w:ind w:left="709" w:hanging="709"/>
        <w:rPr>
          <w:rFonts w:eastAsia="Times New Roman" w:cs="Arial"/>
          <w:lang w:val="en-US"/>
        </w:rPr>
      </w:pPr>
      <w:r w:rsidRPr="007515DE">
        <w:rPr>
          <w:rFonts w:eastAsia="Times New Roman" w:cs="Arial"/>
          <w:lang w:val="en-US"/>
        </w:rPr>
        <w:t xml:space="preserve">Grigoryan, L. K., &amp; </w:t>
      </w:r>
      <w:proofErr w:type="spellStart"/>
      <w:r w:rsidRPr="007515DE">
        <w:rPr>
          <w:rFonts w:eastAsia="Times New Roman" w:cs="Arial"/>
          <w:lang w:val="en-US"/>
        </w:rPr>
        <w:t>Ponizovskiy</w:t>
      </w:r>
      <w:proofErr w:type="spellEnd"/>
      <w:r w:rsidRPr="007515DE">
        <w:rPr>
          <w:rFonts w:eastAsia="Times New Roman" w:cs="Arial"/>
          <w:lang w:val="en-US"/>
        </w:rPr>
        <w:t xml:space="preserve">, V. (2018). The three facets of national identity: Identity dynamics and attitudes toward immigrants in Russia. </w:t>
      </w:r>
      <w:r w:rsidRPr="007515DE">
        <w:rPr>
          <w:rFonts w:eastAsia="Times New Roman" w:cs="Arial"/>
          <w:i/>
          <w:iCs/>
          <w:lang w:val="en-US"/>
        </w:rPr>
        <w:t>International Journal of Comparative Sociology</w:t>
      </w:r>
      <w:r w:rsidRPr="007515DE">
        <w:rPr>
          <w:rFonts w:eastAsia="Times New Roman" w:cs="Arial"/>
          <w:lang w:val="en-US"/>
        </w:rPr>
        <w:t xml:space="preserve">, </w:t>
      </w:r>
      <w:r w:rsidRPr="007515DE">
        <w:rPr>
          <w:rFonts w:eastAsia="Times New Roman" w:cs="Arial"/>
          <w:i/>
          <w:iCs/>
          <w:lang w:val="en-US"/>
        </w:rPr>
        <w:t>59</w:t>
      </w:r>
      <w:r w:rsidRPr="007515DE">
        <w:rPr>
          <w:rFonts w:eastAsia="Times New Roman" w:cs="Arial"/>
          <w:lang w:val="en-US"/>
        </w:rPr>
        <w:t>(5-6), 403-427.</w:t>
      </w:r>
      <w:r w:rsidR="00622920" w:rsidRPr="007515DE">
        <w:rPr>
          <w:rFonts w:eastAsia="Times New Roman" w:cs="Arial"/>
          <w:lang w:val="en-US"/>
        </w:rPr>
        <w:t xml:space="preserve"> </w:t>
      </w:r>
      <w:hyperlink r:id="rId22" w:history="1">
        <w:r w:rsidR="00F35D44" w:rsidRPr="007515DE">
          <w:rPr>
            <w:rStyle w:val="Hyperlink"/>
            <w:rFonts w:eastAsia="Times New Roman" w:cs="Arial"/>
            <w:lang w:val="en-US"/>
          </w:rPr>
          <w:t>https://doi.org/10.1177/0020715218806037</w:t>
        </w:r>
      </w:hyperlink>
    </w:p>
    <w:p w14:paraId="7AA95FEF" w14:textId="3F18B37D" w:rsidR="00E34C7C" w:rsidRDefault="00E34C7C" w:rsidP="009D577F">
      <w:pPr>
        <w:widowControl w:val="0"/>
        <w:spacing w:after="0" w:line="360" w:lineRule="auto"/>
        <w:ind w:left="709" w:hanging="709"/>
        <w:rPr>
          <w:rFonts w:eastAsia="Times New Roman" w:cs="Arial"/>
          <w:lang w:val="en-US"/>
        </w:rPr>
      </w:pPr>
      <w:r>
        <w:rPr>
          <w:rFonts w:eastAsia="Times New Roman" w:cs="Arial"/>
          <w:lang w:val="en-US"/>
        </w:rPr>
        <w:t xml:space="preserve">Gschwind, L., </w:t>
      </w:r>
      <w:proofErr w:type="spellStart"/>
      <w:r>
        <w:rPr>
          <w:rFonts w:eastAsia="Times New Roman" w:cs="Arial"/>
          <w:lang w:val="en-US"/>
        </w:rPr>
        <w:t>Ratzmann</w:t>
      </w:r>
      <w:proofErr w:type="spellEnd"/>
      <w:r>
        <w:rPr>
          <w:rFonts w:eastAsia="Times New Roman" w:cs="Arial"/>
          <w:lang w:val="en-US"/>
        </w:rPr>
        <w:t>, N</w:t>
      </w:r>
      <w:proofErr w:type="gramStart"/>
      <w:r>
        <w:rPr>
          <w:rFonts w:eastAsia="Times New Roman" w:cs="Arial"/>
          <w:lang w:val="en-US"/>
        </w:rPr>
        <w:t>,.</w:t>
      </w:r>
      <w:proofErr w:type="gramEnd"/>
      <w:r>
        <w:rPr>
          <w:rFonts w:eastAsia="Times New Roman" w:cs="Arial"/>
          <w:lang w:val="en-US"/>
        </w:rPr>
        <w:t xml:space="preserve"> &amp; Beste, J. (2022). Protected against all odds? A mixed-methods study on the risk of welfare sanctions for immigrants in Germany. </w:t>
      </w:r>
      <w:r>
        <w:rPr>
          <w:rFonts w:eastAsia="Times New Roman" w:cs="Arial"/>
          <w:i/>
          <w:iCs/>
          <w:lang w:val="en-US"/>
        </w:rPr>
        <w:t>Social policy administration, 56</w:t>
      </w:r>
      <w:r w:rsidRPr="00E34C7C">
        <w:rPr>
          <w:rFonts w:eastAsia="Times New Roman" w:cs="Arial"/>
          <w:lang w:val="en-US"/>
        </w:rPr>
        <w:t>(3)</w:t>
      </w:r>
      <w:r>
        <w:rPr>
          <w:rFonts w:eastAsia="Times New Roman" w:cs="Arial"/>
          <w:lang w:val="en-US"/>
        </w:rPr>
        <w:t xml:space="preserve">, 502-517. </w:t>
      </w:r>
      <w:hyperlink r:id="rId23" w:history="1">
        <w:r w:rsidRPr="003A2CB5">
          <w:rPr>
            <w:rStyle w:val="Hyperlink"/>
          </w:rPr>
          <w:t>https://doi.org/10.1111/spol.12783</w:t>
        </w:r>
      </w:hyperlink>
      <w:r>
        <w:t xml:space="preserve"> </w:t>
      </w:r>
    </w:p>
    <w:p w14:paraId="6E48851B" w14:textId="10AA91D5" w:rsidR="00240036" w:rsidRPr="00454815" w:rsidRDefault="00C9185A" w:rsidP="009D577F">
      <w:pPr>
        <w:widowControl w:val="0"/>
        <w:spacing w:after="0" w:line="360" w:lineRule="auto"/>
        <w:ind w:left="709" w:hanging="709"/>
        <w:rPr>
          <w:rFonts w:eastAsia="Times New Roman" w:cs="Arial"/>
          <w:lang w:val="nl-NL"/>
        </w:rPr>
      </w:pPr>
      <w:r w:rsidRPr="007515DE">
        <w:rPr>
          <w:rFonts w:eastAsia="Times New Roman" w:cs="Arial"/>
          <w:lang w:val="en-US"/>
        </w:rPr>
        <w:t xml:space="preserve">Habyarimana, J., Humphreys, M., Posner, D. N., &amp; Weinstein, J. M. (2007). Why does ethnic diversity undermine public goods provision? </w:t>
      </w:r>
      <w:r w:rsidRPr="007515DE">
        <w:rPr>
          <w:rFonts w:eastAsia="Times New Roman" w:cs="Arial"/>
          <w:i/>
          <w:iCs/>
          <w:lang w:val="en-US"/>
        </w:rPr>
        <w:t>American Political Science Review</w:t>
      </w:r>
      <w:r w:rsidRPr="007515DE">
        <w:rPr>
          <w:rFonts w:eastAsia="Times New Roman" w:cs="Arial"/>
          <w:lang w:val="en-US"/>
        </w:rPr>
        <w:t xml:space="preserve">, </w:t>
      </w:r>
      <w:r w:rsidRPr="007515DE">
        <w:rPr>
          <w:rFonts w:eastAsia="Times New Roman" w:cs="Arial"/>
          <w:i/>
          <w:iCs/>
          <w:lang w:val="en-US"/>
        </w:rPr>
        <w:t>101</w:t>
      </w:r>
      <w:r w:rsidRPr="007515DE">
        <w:rPr>
          <w:rFonts w:eastAsia="Times New Roman" w:cs="Arial"/>
          <w:lang w:val="en-US"/>
        </w:rPr>
        <w:t>(4), 709-725.</w:t>
      </w:r>
      <w:r w:rsidR="00622920" w:rsidRPr="007515DE">
        <w:rPr>
          <w:rFonts w:eastAsia="Times New Roman" w:cs="Arial"/>
          <w:lang w:val="en-US"/>
        </w:rPr>
        <w:t xml:space="preserve"> </w:t>
      </w:r>
      <w:hyperlink r:id="rId24" w:history="1">
        <w:r w:rsidR="00F35D44" w:rsidRPr="00454815">
          <w:rPr>
            <w:rStyle w:val="Hyperlink"/>
            <w:lang w:val="nl-NL"/>
          </w:rPr>
          <w:t>https://doi.org/</w:t>
        </w:r>
        <w:r w:rsidR="00F35D44" w:rsidRPr="00454815">
          <w:rPr>
            <w:rStyle w:val="Hyperlink"/>
            <w:rFonts w:eastAsia="Times New Roman" w:cs="Arial"/>
            <w:lang w:val="nl-NL"/>
          </w:rPr>
          <w:t>10.1017/S0003055407070499</w:t>
        </w:r>
      </w:hyperlink>
    </w:p>
    <w:p w14:paraId="2655EB30" w14:textId="5B95EFD3" w:rsidR="00C9185A" w:rsidRPr="007515DE" w:rsidRDefault="00C9185A" w:rsidP="009D577F">
      <w:pPr>
        <w:spacing w:after="0" w:line="360" w:lineRule="auto"/>
        <w:ind w:left="709" w:hanging="709"/>
        <w:rPr>
          <w:rFonts w:eastAsia="Times New Roman" w:cs="Arial"/>
          <w:lang w:val="en-US"/>
        </w:rPr>
      </w:pPr>
      <w:r w:rsidRPr="00454815">
        <w:rPr>
          <w:rFonts w:eastAsia="Times New Roman" w:cs="Arial"/>
          <w:lang w:val="nl-NL"/>
        </w:rPr>
        <w:t xml:space="preserve">Hagan, J., Rippl, S., Boehnke, K., &amp; Merkens, H. (1999). </w:t>
      </w:r>
      <w:r w:rsidRPr="007515DE">
        <w:rPr>
          <w:rFonts w:eastAsia="Times New Roman" w:cs="Arial"/>
          <w:lang w:val="en-US"/>
        </w:rPr>
        <w:t xml:space="preserve">The interest in evil: Hierarchic self-interest and right-wing extremism among East and West German youth. </w:t>
      </w:r>
      <w:r w:rsidRPr="007515DE">
        <w:rPr>
          <w:rFonts w:eastAsia="Times New Roman" w:cs="Arial"/>
          <w:i/>
          <w:iCs/>
          <w:lang w:val="en-US"/>
        </w:rPr>
        <w:t>Social Science Research</w:t>
      </w:r>
      <w:r w:rsidRPr="007515DE">
        <w:rPr>
          <w:rFonts w:eastAsia="Times New Roman" w:cs="Arial"/>
          <w:lang w:val="en-US"/>
        </w:rPr>
        <w:t xml:space="preserve">, </w:t>
      </w:r>
      <w:r w:rsidRPr="007515DE">
        <w:rPr>
          <w:rFonts w:eastAsia="Times New Roman" w:cs="Arial"/>
          <w:i/>
          <w:iCs/>
          <w:lang w:val="en-US"/>
        </w:rPr>
        <w:t>28</w:t>
      </w:r>
      <w:r w:rsidRPr="007515DE">
        <w:rPr>
          <w:rFonts w:eastAsia="Times New Roman" w:cs="Arial"/>
          <w:lang w:val="en-US"/>
        </w:rPr>
        <w:t>(2), 162-183.</w:t>
      </w:r>
      <w:r w:rsidR="00622920" w:rsidRPr="007515DE">
        <w:rPr>
          <w:rFonts w:eastAsia="Times New Roman" w:cs="Arial"/>
          <w:lang w:val="en-US"/>
        </w:rPr>
        <w:t xml:space="preserve"> </w:t>
      </w:r>
    </w:p>
    <w:p w14:paraId="492C518D" w14:textId="6347D2E9" w:rsidR="00C9185A" w:rsidRPr="00454815" w:rsidRDefault="00C9185A" w:rsidP="009D577F">
      <w:pPr>
        <w:spacing w:after="0" w:line="360" w:lineRule="auto"/>
        <w:ind w:left="709" w:hanging="709"/>
        <w:rPr>
          <w:rFonts w:eastAsia="Times New Roman" w:cs="Arial"/>
          <w:lang w:val="pt-BR"/>
        </w:rPr>
      </w:pPr>
      <w:proofErr w:type="spellStart"/>
      <w:r w:rsidRPr="007515DE">
        <w:rPr>
          <w:rFonts w:eastAsia="Times New Roman" w:cs="Arial"/>
          <w:lang w:val="en-US"/>
        </w:rPr>
        <w:lastRenderedPageBreak/>
        <w:t>Hjerm</w:t>
      </w:r>
      <w:proofErr w:type="spellEnd"/>
      <w:r w:rsidRPr="007515DE">
        <w:rPr>
          <w:rFonts w:eastAsia="Times New Roman" w:cs="Arial"/>
          <w:lang w:val="en-US"/>
        </w:rPr>
        <w:t xml:space="preserve">, M. (1998). National identities, national pride and xenophobia: A comparison of four Western countries. </w:t>
      </w:r>
      <w:r w:rsidRPr="00454815">
        <w:rPr>
          <w:rFonts w:eastAsia="Times New Roman" w:cs="Arial"/>
          <w:i/>
          <w:iCs/>
          <w:lang w:val="pt-BR"/>
        </w:rPr>
        <w:t xml:space="preserve">Acta </w:t>
      </w:r>
      <w:r w:rsidR="00AE7C42" w:rsidRPr="00454815">
        <w:rPr>
          <w:rFonts w:eastAsia="Times New Roman" w:cs="Arial"/>
          <w:i/>
          <w:iCs/>
          <w:lang w:val="pt-BR"/>
        </w:rPr>
        <w:t>S</w:t>
      </w:r>
      <w:r w:rsidRPr="00454815">
        <w:rPr>
          <w:rFonts w:eastAsia="Times New Roman" w:cs="Arial"/>
          <w:i/>
          <w:iCs/>
          <w:lang w:val="pt-BR"/>
        </w:rPr>
        <w:t>ociologica</w:t>
      </w:r>
      <w:r w:rsidRPr="00454815">
        <w:rPr>
          <w:rFonts w:eastAsia="Times New Roman" w:cs="Arial"/>
          <w:lang w:val="pt-BR"/>
        </w:rPr>
        <w:t xml:space="preserve">, </w:t>
      </w:r>
      <w:r w:rsidRPr="00454815">
        <w:rPr>
          <w:rFonts w:eastAsia="Times New Roman" w:cs="Arial"/>
          <w:i/>
          <w:iCs/>
          <w:lang w:val="pt-BR"/>
        </w:rPr>
        <w:t>41</w:t>
      </w:r>
      <w:r w:rsidRPr="00454815">
        <w:rPr>
          <w:rFonts w:eastAsia="Times New Roman" w:cs="Arial"/>
          <w:lang w:val="pt-BR"/>
        </w:rPr>
        <w:t>(4), 335-347.</w:t>
      </w:r>
      <w:r w:rsidR="00AE7C42" w:rsidRPr="00454815">
        <w:rPr>
          <w:lang w:val="pt-BR"/>
        </w:rPr>
        <w:t xml:space="preserve"> </w:t>
      </w:r>
      <w:hyperlink r:id="rId25" w:history="1">
        <w:r w:rsidR="00F35D44" w:rsidRPr="00454815">
          <w:rPr>
            <w:rStyle w:val="Hyperlink"/>
            <w:rFonts w:eastAsia="Times New Roman" w:cs="Arial"/>
            <w:lang w:val="pt-BR"/>
          </w:rPr>
          <w:t>https://doi.org/10.1006/ssre.1998.0637</w:t>
        </w:r>
      </w:hyperlink>
    </w:p>
    <w:p w14:paraId="51482EF1" w14:textId="7B63BDFD" w:rsidR="00240036" w:rsidRPr="007515DE" w:rsidRDefault="00240036" w:rsidP="009D577F">
      <w:pPr>
        <w:spacing w:after="0" w:line="360" w:lineRule="auto"/>
        <w:ind w:left="709" w:hanging="709"/>
        <w:rPr>
          <w:rFonts w:eastAsia="Times New Roman" w:cs="Arial"/>
          <w:color w:val="222222"/>
          <w:lang w:val="en-US"/>
        </w:rPr>
      </w:pPr>
      <w:r w:rsidRPr="00454815">
        <w:rPr>
          <w:rFonts w:eastAsia="Times New Roman" w:cs="Arial"/>
          <w:color w:val="222222"/>
          <w:lang w:val="pt-BR"/>
        </w:rPr>
        <w:t xml:space="preserve">Hogan, J., &amp; Haltinner, K. (2015). </w:t>
      </w:r>
      <w:r w:rsidRPr="007515DE">
        <w:rPr>
          <w:rFonts w:eastAsia="Times New Roman" w:cs="Arial"/>
          <w:color w:val="222222"/>
          <w:lang w:val="en-US"/>
        </w:rPr>
        <w:t xml:space="preserve">Floods, invaders, and parasites: Immigration threat narratives and right-wing populism in the USA, UK and Australia. </w:t>
      </w:r>
      <w:r w:rsidRPr="007515DE">
        <w:rPr>
          <w:rFonts w:eastAsia="Times New Roman" w:cs="Arial"/>
          <w:i/>
          <w:color w:val="222222"/>
          <w:lang w:val="en-US"/>
        </w:rPr>
        <w:t>Journal of Intercultural Studies</w:t>
      </w:r>
      <w:r w:rsidRPr="007515DE">
        <w:rPr>
          <w:rFonts w:eastAsia="Times New Roman" w:cs="Arial"/>
          <w:color w:val="222222"/>
          <w:lang w:val="en-US"/>
        </w:rPr>
        <w:t xml:space="preserve">, </w:t>
      </w:r>
      <w:r w:rsidRPr="007515DE">
        <w:rPr>
          <w:rFonts w:eastAsia="Times New Roman" w:cs="Arial"/>
          <w:i/>
          <w:color w:val="222222"/>
          <w:lang w:val="en-US"/>
        </w:rPr>
        <w:t>36</w:t>
      </w:r>
      <w:r w:rsidRPr="007515DE">
        <w:rPr>
          <w:rFonts w:eastAsia="Times New Roman" w:cs="Arial"/>
          <w:color w:val="222222"/>
          <w:lang w:val="en-US"/>
        </w:rPr>
        <w:t>(5), 520-543.</w:t>
      </w:r>
      <w:r w:rsidR="00622920" w:rsidRPr="007515DE">
        <w:rPr>
          <w:rFonts w:eastAsia="Times New Roman" w:cs="Arial"/>
          <w:color w:val="222222"/>
          <w:lang w:val="en-US"/>
        </w:rPr>
        <w:t xml:space="preserve"> </w:t>
      </w:r>
      <w:hyperlink r:id="rId26" w:history="1">
        <w:r w:rsidR="00F35D44" w:rsidRPr="007515DE">
          <w:rPr>
            <w:rStyle w:val="Hyperlink"/>
            <w:rFonts w:eastAsia="Times New Roman" w:cs="Arial"/>
            <w:lang w:val="en-US"/>
          </w:rPr>
          <w:t>https://doi.org/10.1080/07256868.2015.1072907</w:t>
        </w:r>
      </w:hyperlink>
    </w:p>
    <w:p w14:paraId="2B0C2ECC" w14:textId="77777777" w:rsidR="00C378B3" w:rsidRDefault="00C77F1A" w:rsidP="00C378B3">
      <w:pPr>
        <w:spacing w:after="0" w:line="360" w:lineRule="auto"/>
        <w:ind w:left="709" w:hanging="709"/>
        <w:rPr>
          <w:rFonts w:eastAsia="Segoe UI" w:cs="Arial"/>
          <w:lang w:val="en-US" w:bidi="en-US"/>
        </w:rPr>
      </w:pPr>
      <w:proofErr w:type="spellStart"/>
      <w:r w:rsidRPr="007515DE">
        <w:rPr>
          <w:rFonts w:eastAsia="Segoe UI" w:cs="Arial"/>
          <w:lang w:val="en-US" w:bidi="en-US"/>
        </w:rPr>
        <w:t>H</w:t>
      </w:r>
      <w:r w:rsidR="001C6E3E" w:rsidRPr="007515DE">
        <w:rPr>
          <w:rFonts w:eastAsia="Segoe UI" w:cs="Arial"/>
          <w:lang w:val="en-US" w:bidi="en-US"/>
        </w:rPr>
        <w:t>rvatski</w:t>
      </w:r>
      <w:proofErr w:type="spellEnd"/>
      <w:r w:rsidR="001C6E3E" w:rsidRPr="007515DE">
        <w:rPr>
          <w:rFonts w:eastAsia="Segoe UI" w:cs="Arial"/>
          <w:lang w:val="en-US" w:bidi="en-US"/>
        </w:rPr>
        <w:t xml:space="preserve"> </w:t>
      </w:r>
      <w:proofErr w:type="spellStart"/>
      <w:r w:rsidRPr="007515DE">
        <w:rPr>
          <w:rFonts w:eastAsia="Segoe UI" w:cs="Arial"/>
          <w:lang w:val="en-US" w:bidi="en-US"/>
        </w:rPr>
        <w:t>Z</w:t>
      </w:r>
      <w:r w:rsidR="001C6E3E" w:rsidRPr="007515DE">
        <w:rPr>
          <w:rFonts w:eastAsia="Segoe UI" w:cs="Arial"/>
          <w:lang w:val="en-US" w:bidi="en-US"/>
        </w:rPr>
        <w:t>avod</w:t>
      </w:r>
      <w:proofErr w:type="spellEnd"/>
      <w:r w:rsidR="001C6E3E" w:rsidRPr="007515DE">
        <w:rPr>
          <w:rFonts w:eastAsia="Segoe UI" w:cs="Arial"/>
          <w:lang w:val="en-US" w:bidi="en-US"/>
        </w:rPr>
        <w:t xml:space="preserve"> </w:t>
      </w:r>
      <w:proofErr w:type="spellStart"/>
      <w:r w:rsidR="001C6E3E" w:rsidRPr="007515DE">
        <w:rPr>
          <w:rFonts w:eastAsia="Segoe UI" w:cs="Arial"/>
          <w:lang w:val="en-US" w:bidi="en-US"/>
        </w:rPr>
        <w:t>za</w:t>
      </w:r>
      <w:proofErr w:type="spellEnd"/>
      <w:r w:rsidR="001C6E3E" w:rsidRPr="007515DE">
        <w:rPr>
          <w:rFonts w:eastAsia="Segoe UI" w:cs="Arial"/>
          <w:lang w:val="en-US" w:bidi="en-US"/>
        </w:rPr>
        <w:t xml:space="preserve"> </w:t>
      </w:r>
      <w:proofErr w:type="spellStart"/>
      <w:r w:rsidRPr="007515DE">
        <w:rPr>
          <w:rFonts w:eastAsia="Segoe UI" w:cs="Arial"/>
          <w:lang w:val="en-US" w:bidi="en-US"/>
        </w:rPr>
        <w:t>Z</w:t>
      </w:r>
      <w:r w:rsidR="001C6E3E" w:rsidRPr="007515DE">
        <w:rPr>
          <w:rFonts w:eastAsia="Segoe UI" w:cs="Arial"/>
          <w:lang w:val="en-US" w:bidi="en-US"/>
        </w:rPr>
        <w:t>apošljavanje</w:t>
      </w:r>
      <w:proofErr w:type="spellEnd"/>
      <w:r w:rsidRPr="007515DE">
        <w:rPr>
          <w:rFonts w:eastAsia="Segoe UI" w:cs="Arial"/>
          <w:lang w:val="en-US" w:bidi="en-US"/>
        </w:rPr>
        <w:t xml:space="preserve"> (2021). </w:t>
      </w:r>
      <w:proofErr w:type="spellStart"/>
      <w:r w:rsidRPr="007515DE">
        <w:rPr>
          <w:rFonts w:eastAsia="Segoe UI" w:cs="Arial"/>
          <w:i/>
          <w:lang w:val="en-US" w:bidi="en-US"/>
        </w:rPr>
        <w:t>Godišnjak</w:t>
      </w:r>
      <w:proofErr w:type="spellEnd"/>
      <w:r w:rsidRPr="007515DE">
        <w:rPr>
          <w:rFonts w:eastAsia="Segoe UI" w:cs="Arial"/>
          <w:i/>
          <w:lang w:val="en-US" w:bidi="en-US"/>
        </w:rPr>
        <w:t xml:space="preserve"> 2021.</w:t>
      </w:r>
      <w:r w:rsidRPr="007515DE">
        <w:rPr>
          <w:rFonts w:eastAsia="Segoe UI" w:cs="Arial"/>
          <w:lang w:val="en-US" w:bidi="en-US"/>
        </w:rPr>
        <w:t xml:space="preserve"> </w:t>
      </w:r>
      <w:hyperlink r:id="rId27" w:history="1">
        <w:r w:rsidR="00AE7C42" w:rsidRPr="007515DE">
          <w:rPr>
            <w:rStyle w:val="Hyperlink"/>
            <w:rFonts w:eastAsia="Segoe UI" w:cs="Arial"/>
            <w:lang w:val="en-US" w:bidi="en-US"/>
          </w:rPr>
          <w:t>https://publikacije.hzz.hr/statisticke-publikacije</w:t>
        </w:r>
      </w:hyperlink>
    </w:p>
    <w:p w14:paraId="3AC85F38" w14:textId="77777777" w:rsidR="00C378B3" w:rsidRDefault="00C378B3" w:rsidP="00C378B3">
      <w:pPr>
        <w:spacing w:after="0" w:line="360" w:lineRule="auto"/>
        <w:ind w:left="709" w:hanging="709"/>
        <w:rPr>
          <w:rFonts w:eastAsia="Segoe UI" w:cs="Arial"/>
          <w:lang w:val="en-US" w:bidi="en-US"/>
        </w:rPr>
      </w:pPr>
      <w:r>
        <w:rPr>
          <w:rFonts w:eastAsia="Segoe UI" w:cs="Arial"/>
          <w:lang w:val="en-US" w:bidi="en-US"/>
        </w:rPr>
        <w:t xml:space="preserve">Hugh-Jones, D. &amp; Perroni, C. (2017). The logic of costly punishment reversed: Expropriation of free-riders and outsiders. </w:t>
      </w:r>
      <w:r>
        <w:rPr>
          <w:rFonts w:eastAsia="Segoe UI" w:cs="Arial"/>
          <w:i/>
          <w:iCs/>
          <w:lang w:val="en-US" w:bidi="en-US"/>
        </w:rPr>
        <w:t>Journal of Economic Behavior and Organization, 135, 112-130.</w:t>
      </w:r>
      <w:r>
        <w:rPr>
          <w:rFonts w:eastAsia="Segoe UI" w:cs="Arial"/>
          <w:lang w:val="en-US" w:bidi="en-US"/>
        </w:rPr>
        <w:t xml:space="preserve"> </w:t>
      </w:r>
      <w:hyperlink r:id="rId28" w:history="1">
        <w:r w:rsidRPr="003A2CB5">
          <w:rPr>
            <w:rStyle w:val="Hyperlink"/>
          </w:rPr>
          <w:t>https://doi.org/10.1016/j.jebo.2017.01.006</w:t>
        </w:r>
      </w:hyperlink>
    </w:p>
    <w:p w14:paraId="603E1987" w14:textId="058AD98B" w:rsidR="002414A6" w:rsidRPr="00C378B3" w:rsidRDefault="002414A6" w:rsidP="00C378B3">
      <w:pPr>
        <w:spacing w:after="0" w:line="360" w:lineRule="auto"/>
        <w:ind w:left="709" w:hanging="709"/>
        <w:rPr>
          <w:rFonts w:eastAsia="Segoe UI" w:cs="Arial"/>
          <w:lang w:val="en-US" w:bidi="en-US"/>
        </w:rPr>
      </w:pPr>
      <w:r w:rsidRPr="007515DE">
        <w:rPr>
          <w:rFonts w:eastAsia="Segoe UI" w:cs="Arial"/>
          <w:lang w:val="en-US" w:bidi="en-US"/>
        </w:rPr>
        <w:t>ISSP Research Group. (2013</w:t>
      </w:r>
      <w:r w:rsidRPr="007515DE">
        <w:rPr>
          <w:rFonts w:eastAsia="Segoe UI" w:cs="Arial"/>
          <w:i/>
          <w:lang w:val="en-US" w:bidi="en-US"/>
        </w:rPr>
        <w:t xml:space="preserve">). International Social Survey Program (ISSP): National Identity III. </w:t>
      </w:r>
      <w:hyperlink r:id="rId29" w:history="1">
        <w:r w:rsidR="00AE7C42" w:rsidRPr="008B0F00">
          <w:rPr>
            <w:rStyle w:val="Hyperlink"/>
            <w:rFonts w:eastAsia="Segoe UI" w:cs="Arial"/>
            <w:lang w:bidi="en-US"/>
          </w:rPr>
          <w:t>https://www.gesis.org/en/issp/modules/issp-modules-by-topic/national-identity/2013</w:t>
        </w:r>
      </w:hyperlink>
    </w:p>
    <w:p w14:paraId="498BE697" w14:textId="2BAA2759" w:rsidR="00C9185A" w:rsidRPr="007515DE" w:rsidRDefault="00C9185A" w:rsidP="009D577F">
      <w:pPr>
        <w:autoSpaceDE w:val="0"/>
        <w:autoSpaceDN w:val="0"/>
        <w:adjustRightInd w:val="0"/>
        <w:spacing w:after="0" w:line="360" w:lineRule="auto"/>
        <w:ind w:left="709" w:hanging="709"/>
        <w:rPr>
          <w:rFonts w:eastAsiaTheme="minorHAnsi" w:cs="Arial"/>
          <w:lang w:val="en-US"/>
        </w:rPr>
      </w:pPr>
      <w:r w:rsidRPr="007515DE">
        <w:rPr>
          <w:rFonts w:eastAsiaTheme="minorHAnsi" w:cs="Arial"/>
          <w:lang w:val="en-US"/>
        </w:rPr>
        <w:t xml:space="preserve">Jackson, K. (2013). Diversity and the </w:t>
      </w:r>
      <w:r w:rsidR="00AE7C42" w:rsidRPr="007515DE">
        <w:rPr>
          <w:rFonts w:eastAsiaTheme="minorHAnsi" w:cs="Arial"/>
          <w:lang w:val="en-US"/>
        </w:rPr>
        <w:t>d</w:t>
      </w:r>
      <w:r w:rsidRPr="007515DE">
        <w:rPr>
          <w:rFonts w:eastAsiaTheme="minorHAnsi" w:cs="Arial"/>
          <w:lang w:val="en-US"/>
        </w:rPr>
        <w:t xml:space="preserve">istribution of </w:t>
      </w:r>
      <w:r w:rsidR="00AE7C42" w:rsidRPr="007515DE">
        <w:rPr>
          <w:rFonts w:eastAsiaTheme="minorHAnsi" w:cs="Arial"/>
          <w:lang w:val="en-US"/>
        </w:rPr>
        <w:t>p</w:t>
      </w:r>
      <w:r w:rsidRPr="007515DE">
        <w:rPr>
          <w:rFonts w:eastAsiaTheme="minorHAnsi" w:cs="Arial"/>
          <w:lang w:val="en-US"/>
        </w:rPr>
        <w:t xml:space="preserve">ublic </w:t>
      </w:r>
      <w:r w:rsidR="00AE7C42" w:rsidRPr="007515DE">
        <w:rPr>
          <w:rFonts w:eastAsiaTheme="minorHAnsi" w:cs="Arial"/>
          <w:lang w:val="en-US"/>
        </w:rPr>
        <w:t>g</w:t>
      </w:r>
      <w:r w:rsidRPr="007515DE">
        <w:rPr>
          <w:rFonts w:eastAsiaTheme="minorHAnsi" w:cs="Arial"/>
          <w:lang w:val="en-US"/>
        </w:rPr>
        <w:t xml:space="preserve">oods in </w:t>
      </w:r>
      <w:r w:rsidR="00AE7C42" w:rsidRPr="007515DE">
        <w:rPr>
          <w:rFonts w:eastAsiaTheme="minorHAnsi" w:cs="Arial"/>
          <w:lang w:val="en-US"/>
        </w:rPr>
        <w:t>s</w:t>
      </w:r>
      <w:r w:rsidRPr="007515DE">
        <w:rPr>
          <w:rFonts w:eastAsiaTheme="minorHAnsi" w:cs="Arial"/>
          <w:lang w:val="en-US"/>
        </w:rPr>
        <w:t xml:space="preserve">ub-Saharan Africa. </w:t>
      </w:r>
      <w:r w:rsidRPr="007515DE">
        <w:rPr>
          <w:rFonts w:eastAsiaTheme="minorHAnsi" w:cs="Arial"/>
          <w:i/>
          <w:iCs/>
          <w:lang w:val="en-US"/>
        </w:rPr>
        <w:t>Journal of African Economies, 23</w:t>
      </w:r>
      <w:r w:rsidRPr="007515DE">
        <w:rPr>
          <w:rFonts w:eastAsiaTheme="minorHAnsi" w:cs="Arial"/>
          <w:lang w:val="en-US"/>
        </w:rPr>
        <w:t>(3), 437-462</w:t>
      </w:r>
      <w:r w:rsidR="00622920" w:rsidRPr="007515DE">
        <w:rPr>
          <w:rFonts w:eastAsiaTheme="minorHAnsi" w:cs="Arial"/>
          <w:lang w:val="en-US"/>
        </w:rPr>
        <w:t xml:space="preserve">. </w:t>
      </w:r>
      <w:hyperlink r:id="rId30" w:history="1">
        <w:r w:rsidR="00F35D44" w:rsidRPr="007515DE">
          <w:rPr>
            <w:rStyle w:val="Hyperlink"/>
            <w:rFonts w:eastAsiaTheme="minorHAnsi" w:cs="Arial"/>
            <w:lang w:val="en-US"/>
          </w:rPr>
          <w:t>https://doi.org/10.1093/jae/ejt002</w:t>
        </w:r>
      </w:hyperlink>
    </w:p>
    <w:p w14:paraId="607CD9C1" w14:textId="23D2EFE4" w:rsidR="00240036" w:rsidRPr="007515DE" w:rsidRDefault="00240036" w:rsidP="009D577F">
      <w:pPr>
        <w:spacing w:after="0" w:line="360" w:lineRule="auto"/>
        <w:ind w:left="709" w:hanging="709"/>
        <w:rPr>
          <w:rFonts w:eastAsia="Times New Roman" w:cs="Arial"/>
          <w:lang w:val="en-US"/>
        </w:rPr>
      </w:pPr>
      <w:r w:rsidRPr="007515DE">
        <w:rPr>
          <w:rFonts w:eastAsia="Times New Roman" w:cs="Arial"/>
          <w:lang w:val="en-US"/>
        </w:rPr>
        <w:t xml:space="preserve">Jeon, S., Johnson, T., &amp; Robinson, A. L. (2017). Nationalism and social sanctioning across ethnic lines: Experimental evidence from the Kenya–Tanzania border. </w:t>
      </w:r>
      <w:r w:rsidRPr="007515DE">
        <w:rPr>
          <w:rFonts w:eastAsia="Times New Roman" w:cs="Arial"/>
          <w:i/>
          <w:iCs/>
          <w:lang w:val="en-US"/>
        </w:rPr>
        <w:t>Journal of Experimental Political Science</w:t>
      </w:r>
      <w:r w:rsidRPr="007515DE">
        <w:rPr>
          <w:rFonts w:eastAsia="Times New Roman" w:cs="Arial"/>
          <w:lang w:val="en-US"/>
        </w:rPr>
        <w:t xml:space="preserve">, </w:t>
      </w:r>
      <w:r w:rsidRPr="007515DE">
        <w:rPr>
          <w:rFonts w:eastAsia="Times New Roman" w:cs="Arial"/>
          <w:i/>
          <w:iCs/>
          <w:lang w:val="en-US"/>
        </w:rPr>
        <w:t>4</w:t>
      </w:r>
      <w:r w:rsidRPr="007515DE">
        <w:rPr>
          <w:rFonts w:eastAsia="Times New Roman" w:cs="Arial"/>
          <w:lang w:val="en-US"/>
        </w:rPr>
        <w:t>(1), 1-20.</w:t>
      </w:r>
      <w:r w:rsidR="00622920" w:rsidRPr="007515DE">
        <w:rPr>
          <w:rFonts w:eastAsia="Times New Roman" w:cs="Arial"/>
          <w:lang w:val="en-US"/>
        </w:rPr>
        <w:t xml:space="preserve"> </w:t>
      </w:r>
      <w:hyperlink r:id="rId31" w:history="1">
        <w:r w:rsidR="00F35D44" w:rsidRPr="007515DE">
          <w:rPr>
            <w:rStyle w:val="Hyperlink"/>
            <w:lang w:val="en-US"/>
          </w:rPr>
          <w:t>https://doi.org/</w:t>
        </w:r>
        <w:r w:rsidR="00F35D44" w:rsidRPr="007515DE">
          <w:rPr>
            <w:rStyle w:val="Hyperlink"/>
            <w:rFonts w:eastAsia="Times New Roman" w:cs="Arial"/>
            <w:lang w:val="en-US"/>
          </w:rPr>
          <w:t>10.1017/XPS.2017.10</w:t>
        </w:r>
      </w:hyperlink>
    </w:p>
    <w:p w14:paraId="5583F1F1" w14:textId="74BBB9B9" w:rsidR="00C9185A" w:rsidRPr="007515DE" w:rsidRDefault="00C9185A" w:rsidP="009D577F">
      <w:pPr>
        <w:spacing w:after="0" w:line="360" w:lineRule="auto"/>
        <w:ind w:left="709" w:hanging="709"/>
        <w:jc w:val="both"/>
        <w:rPr>
          <w:rFonts w:cs="Arial"/>
          <w:lang w:val="en-US" w:eastAsia="ja-JP"/>
        </w:rPr>
      </w:pPr>
      <w:r w:rsidRPr="00B870F3">
        <w:rPr>
          <w:rFonts w:cs="Arial"/>
          <w:lang w:val="en-GB" w:eastAsia="ja-JP"/>
        </w:rPr>
        <w:t xml:space="preserve">Kessler, T., </w:t>
      </w:r>
      <w:proofErr w:type="spellStart"/>
      <w:r w:rsidRPr="00B870F3">
        <w:rPr>
          <w:rFonts w:cs="Arial"/>
          <w:lang w:val="en-GB" w:eastAsia="ja-JP"/>
        </w:rPr>
        <w:t>Mummendey</w:t>
      </w:r>
      <w:proofErr w:type="spellEnd"/>
      <w:r w:rsidRPr="00B870F3">
        <w:rPr>
          <w:rFonts w:cs="Arial"/>
          <w:lang w:val="en-GB" w:eastAsia="ja-JP"/>
        </w:rPr>
        <w:t xml:space="preserve">, A., Funke, F., Brown, R., Binder, J., </w:t>
      </w:r>
      <w:proofErr w:type="spellStart"/>
      <w:r w:rsidRPr="00B870F3">
        <w:rPr>
          <w:rFonts w:cs="Arial"/>
          <w:lang w:val="en-GB" w:eastAsia="ja-JP"/>
        </w:rPr>
        <w:t>Zagefka</w:t>
      </w:r>
      <w:proofErr w:type="spellEnd"/>
      <w:r w:rsidRPr="00B870F3">
        <w:rPr>
          <w:rFonts w:cs="Arial"/>
          <w:lang w:val="en-GB" w:eastAsia="ja-JP"/>
        </w:rPr>
        <w:t>, H.</w:t>
      </w:r>
      <w:r w:rsidR="00AD1ADA" w:rsidRPr="00AD1ADA">
        <w:rPr>
          <w:rFonts w:cs="Arial"/>
          <w:lang w:val="en-GB" w:eastAsia="ja-JP"/>
        </w:rPr>
        <w:t xml:space="preserve">, </w:t>
      </w:r>
      <w:proofErr w:type="spellStart"/>
      <w:r w:rsidR="00AD1ADA" w:rsidRPr="00AD1ADA">
        <w:rPr>
          <w:rFonts w:cs="Arial"/>
          <w:lang w:val="en-GB" w:eastAsia="ja-JP"/>
        </w:rPr>
        <w:t>Leyens</w:t>
      </w:r>
      <w:proofErr w:type="spellEnd"/>
      <w:r w:rsidR="00AD1ADA" w:rsidRPr="00AD1ADA">
        <w:rPr>
          <w:rFonts w:cs="Arial"/>
          <w:lang w:val="en-GB" w:eastAsia="ja-JP"/>
        </w:rPr>
        <w:t xml:space="preserve">, </w:t>
      </w:r>
      <w:r w:rsidR="00AD1ADA">
        <w:rPr>
          <w:rFonts w:cs="Arial"/>
          <w:lang w:val="en-GB" w:eastAsia="ja-JP"/>
        </w:rPr>
        <w:t xml:space="preserve">J.-P., </w:t>
      </w:r>
      <w:r w:rsidR="00AD1ADA" w:rsidRPr="00AD1ADA">
        <w:rPr>
          <w:rFonts w:cs="Arial"/>
          <w:lang w:val="en-GB" w:eastAsia="ja-JP"/>
        </w:rPr>
        <w:t xml:space="preserve">Demoulin, </w:t>
      </w:r>
      <w:r w:rsidR="00AD1ADA">
        <w:rPr>
          <w:rFonts w:cs="Arial"/>
          <w:lang w:val="en-GB" w:eastAsia="ja-JP"/>
        </w:rPr>
        <w:t xml:space="preserve">S. </w:t>
      </w:r>
      <w:r w:rsidRPr="007515DE">
        <w:rPr>
          <w:rFonts w:cs="Arial"/>
          <w:lang w:val="en-US" w:eastAsia="ja-JP"/>
        </w:rPr>
        <w:t xml:space="preserve">&amp; </w:t>
      </w:r>
      <w:proofErr w:type="spellStart"/>
      <w:r w:rsidRPr="007515DE">
        <w:rPr>
          <w:rFonts w:cs="Arial"/>
          <w:lang w:val="en-US" w:eastAsia="ja-JP"/>
        </w:rPr>
        <w:t>Maquil</w:t>
      </w:r>
      <w:proofErr w:type="spellEnd"/>
      <w:r w:rsidRPr="007515DE">
        <w:rPr>
          <w:rFonts w:cs="Arial"/>
          <w:lang w:val="en-US" w:eastAsia="ja-JP"/>
        </w:rPr>
        <w:t>, A. (2010). We all live in Germany but… Ingroup projection, group</w:t>
      </w:r>
      <w:r w:rsidRPr="007515DE">
        <w:rPr>
          <w:rFonts w:ascii="Cambria Math" w:eastAsia="MS Mincho" w:hAnsi="Cambria Math" w:cs="Cambria Math"/>
          <w:lang w:val="en-US" w:eastAsia="ja-JP"/>
        </w:rPr>
        <w:t>‐</w:t>
      </w:r>
      <w:r w:rsidRPr="007515DE">
        <w:rPr>
          <w:rFonts w:cs="Arial"/>
          <w:lang w:val="en-US" w:eastAsia="ja-JP"/>
        </w:rPr>
        <w:t xml:space="preserve">based emotions and prejudice against immigrants. </w:t>
      </w:r>
      <w:r w:rsidRPr="007515DE">
        <w:rPr>
          <w:rFonts w:cs="Arial"/>
          <w:i/>
          <w:iCs/>
          <w:lang w:val="en-US" w:eastAsia="ja-JP"/>
        </w:rPr>
        <w:t>European Journal of Social Psychology</w:t>
      </w:r>
      <w:r w:rsidRPr="007515DE">
        <w:rPr>
          <w:rFonts w:cs="Arial"/>
          <w:lang w:val="en-US" w:eastAsia="ja-JP"/>
        </w:rPr>
        <w:t xml:space="preserve">, </w:t>
      </w:r>
      <w:r w:rsidRPr="007515DE">
        <w:rPr>
          <w:rFonts w:cs="Arial"/>
          <w:i/>
          <w:iCs/>
          <w:lang w:val="en-US" w:eastAsia="ja-JP"/>
        </w:rPr>
        <w:t>40</w:t>
      </w:r>
      <w:r w:rsidRPr="007515DE">
        <w:rPr>
          <w:rFonts w:cs="Arial"/>
          <w:lang w:val="en-US" w:eastAsia="ja-JP"/>
        </w:rPr>
        <w:t>(6), 985-997.</w:t>
      </w:r>
      <w:r w:rsidR="00AE7C42" w:rsidRPr="007515DE">
        <w:rPr>
          <w:lang w:val="en-US"/>
        </w:rPr>
        <w:t xml:space="preserve"> </w:t>
      </w:r>
      <w:hyperlink r:id="rId32" w:history="1">
        <w:r w:rsidR="00F35D44" w:rsidRPr="007515DE">
          <w:rPr>
            <w:rStyle w:val="Hyperlink"/>
            <w:rFonts w:cs="Arial"/>
            <w:lang w:val="en-US" w:eastAsia="ja-JP"/>
          </w:rPr>
          <w:t>https://doi.org/10.1002/ejsp.673</w:t>
        </w:r>
      </w:hyperlink>
    </w:p>
    <w:p w14:paraId="06665FCF" w14:textId="2CD8A969" w:rsidR="00240036" w:rsidRPr="007515DE" w:rsidRDefault="00240036" w:rsidP="009D577F">
      <w:pPr>
        <w:spacing w:after="0" w:line="360" w:lineRule="auto"/>
        <w:ind w:left="709" w:hanging="709"/>
        <w:rPr>
          <w:rFonts w:eastAsia="Times New Roman" w:cs="Arial"/>
          <w:lang w:val="en-US"/>
        </w:rPr>
      </w:pPr>
      <w:r w:rsidRPr="007515DE">
        <w:rPr>
          <w:rFonts w:eastAsia="Times New Roman" w:cs="Arial"/>
          <w:lang w:val="en-US"/>
        </w:rPr>
        <w:t xml:space="preserve">Kustov, A. (2021). Borders of compassion: Immigration preferences and parochial altruism. </w:t>
      </w:r>
      <w:r w:rsidRPr="007515DE">
        <w:rPr>
          <w:rFonts w:eastAsia="Times New Roman" w:cs="Arial"/>
          <w:i/>
          <w:iCs/>
          <w:lang w:val="en-US"/>
        </w:rPr>
        <w:t>Comparative Political Studies</w:t>
      </w:r>
      <w:r w:rsidRPr="007515DE">
        <w:rPr>
          <w:rFonts w:eastAsia="Times New Roman" w:cs="Arial"/>
          <w:lang w:val="en-US"/>
        </w:rPr>
        <w:t xml:space="preserve">, </w:t>
      </w:r>
      <w:r w:rsidRPr="007515DE">
        <w:rPr>
          <w:rFonts w:eastAsia="Times New Roman" w:cs="Arial"/>
          <w:i/>
          <w:iCs/>
          <w:lang w:val="en-US"/>
        </w:rPr>
        <w:t>54</w:t>
      </w:r>
      <w:r w:rsidRPr="007515DE">
        <w:rPr>
          <w:rFonts w:eastAsia="Times New Roman" w:cs="Arial"/>
          <w:lang w:val="en-US"/>
        </w:rPr>
        <w:t>(3-4), 445-481.</w:t>
      </w:r>
      <w:r w:rsidR="00C12261" w:rsidRPr="007515DE">
        <w:rPr>
          <w:lang w:val="en-US"/>
        </w:rPr>
        <w:t xml:space="preserve"> </w:t>
      </w:r>
      <w:hyperlink r:id="rId33" w:history="1">
        <w:r w:rsidR="00F35D44" w:rsidRPr="007515DE">
          <w:rPr>
            <w:rStyle w:val="Hyperlink"/>
            <w:rFonts w:eastAsia="Times New Roman" w:cs="Arial"/>
            <w:lang w:val="en-US"/>
          </w:rPr>
          <w:t>https://doi.org/10.1177/0010414020938087</w:t>
        </w:r>
      </w:hyperlink>
    </w:p>
    <w:p w14:paraId="750414B0" w14:textId="2331C778" w:rsidR="00240036" w:rsidRPr="007515DE" w:rsidRDefault="00240036" w:rsidP="002B57F0">
      <w:pPr>
        <w:spacing w:after="0" w:line="360" w:lineRule="auto"/>
        <w:ind w:left="709" w:hanging="709"/>
        <w:rPr>
          <w:rFonts w:cs="Arial"/>
          <w:lang w:val="en-US"/>
        </w:rPr>
      </w:pPr>
      <w:r w:rsidRPr="007515DE">
        <w:rPr>
          <w:rFonts w:cs="Arial"/>
          <w:lang w:val="en-US"/>
        </w:rPr>
        <w:t xml:space="preserve">Lyons-Padilla, S., </w:t>
      </w:r>
      <w:proofErr w:type="spellStart"/>
      <w:r w:rsidRPr="007515DE">
        <w:rPr>
          <w:rFonts w:cs="Arial"/>
          <w:lang w:val="en-US"/>
        </w:rPr>
        <w:t>Gelfand</w:t>
      </w:r>
      <w:proofErr w:type="spellEnd"/>
      <w:r w:rsidRPr="007515DE">
        <w:rPr>
          <w:rFonts w:cs="Arial"/>
          <w:lang w:val="en-US"/>
        </w:rPr>
        <w:t xml:space="preserve">, M.J., </w:t>
      </w:r>
      <w:proofErr w:type="spellStart"/>
      <w:r w:rsidRPr="007515DE">
        <w:rPr>
          <w:rFonts w:cs="Arial"/>
          <w:lang w:val="en-US"/>
        </w:rPr>
        <w:t>Mirahmadi</w:t>
      </w:r>
      <w:proofErr w:type="spellEnd"/>
      <w:r w:rsidRPr="007515DE">
        <w:rPr>
          <w:rFonts w:cs="Arial"/>
          <w:lang w:val="en-US"/>
        </w:rPr>
        <w:t xml:space="preserve">, H., Farooq, M., &amp; Van Egmond, M. (2015). Belonging nowhere: Marginalization and radicalization risk among Muslim immigrants. </w:t>
      </w:r>
      <w:r w:rsidRPr="007515DE">
        <w:rPr>
          <w:rFonts w:cs="Arial"/>
          <w:i/>
          <w:iCs/>
          <w:lang w:val="en-US"/>
        </w:rPr>
        <w:t>Behavioral Science and Policy, 1</w:t>
      </w:r>
      <w:r w:rsidRPr="007515DE">
        <w:rPr>
          <w:rFonts w:cs="Arial"/>
          <w:lang w:val="en-US"/>
        </w:rPr>
        <w:t>(2), 1-12.</w:t>
      </w:r>
    </w:p>
    <w:p w14:paraId="1BEEB4FD" w14:textId="74C23C50" w:rsidR="00240036" w:rsidRPr="007515DE" w:rsidRDefault="00240036" w:rsidP="002B57F0">
      <w:pPr>
        <w:spacing w:after="0" w:line="360" w:lineRule="auto"/>
        <w:ind w:left="709" w:hanging="709"/>
        <w:rPr>
          <w:rFonts w:cs="Arial"/>
          <w:lang w:val="en-US"/>
        </w:rPr>
      </w:pPr>
      <w:r w:rsidRPr="007515DE">
        <w:rPr>
          <w:rFonts w:cs="Arial"/>
          <w:lang w:val="en-US"/>
        </w:rPr>
        <w:t xml:space="preserve">Majstorovic, D., &amp; </w:t>
      </w:r>
      <w:proofErr w:type="spellStart"/>
      <w:r w:rsidRPr="007515DE">
        <w:rPr>
          <w:rFonts w:cs="Arial"/>
          <w:lang w:val="en-US"/>
        </w:rPr>
        <w:t>Turjacanin</w:t>
      </w:r>
      <w:proofErr w:type="spellEnd"/>
      <w:r w:rsidRPr="007515DE">
        <w:rPr>
          <w:rFonts w:cs="Arial"/>
          <w:lang w:val="en-US"/>
        </w:rPr>
        <w:t xml:space="preserve">, V. (2013). </w:t>
      </w:r>
      <w:r w:rsidRPr="007515DE">
        <w:rPr>
          <w:rFonts w:cs="Arial"/>
          <w:i/>
          <w:lang w:val="en-US"/>
        </w:rPr>
        <w:t>Youth ethnic and national identity in Bosnia and Herzegovina: Social science approaches</w:t>
      </w:r>
      <w:r w:rsidRPr="007515DE">
        <w:rPr>
          <w:rFonts w:cs="Arial"/>
          <w:lang w:val="en-US"/>
        </w:rPr>
        <w:t xml:space="preserve">. </w:t>
      </w:r>
      <w:r w:rsidR="00F63354" w:rsidRPr="007515DE">
        <w:rPr>
          <w:rFonts w:cs="Arial"/>
          <w:lang w:val="en-US"/>
        </w:rPr>
        <w:t>New Y</w:t>
      </w:r>
      <w:r w:rsidR="00867904" w:rsidRPr="007515DE">
        <w:rPr>
          <w:rFonts w:cs="Arial"/>
          <w:lang w:val="en-US"/>
        </w:rPr>
        <w:t>ork</w:t>
      </w:r>
      <w:r w:rsidR="00F63354" w:rsidRPr="007515DE">
        <w:rPr>
          <w:rFonts w:cs="Arial"/>
          <w:lang w:val="en-US"/>
        </w:rPr>
        <w:t>: Palgrave Macmillan.</w:t>
      </w:r>
    </w:p>
    <w:p w14:paraId="2FA208A8" w14:textId="62F9FA1E" w:rsidR="00240036" w:rsidRPr="008B0F00" w:rsidRDefault="00240036" w:rsidP="009D577F">
      <w:pPr>
        <w:spacing w:after="0" w:line="360" w:lineRule="auto"/>
        <w:ind w:left="709" w:hanging="709"/>
        <w:jc w:val="both"/>
        <w:rPr>
          <w:rFonts w:cs="Arial"/>
        </w:rPr>
      </w:pPr>
      <w:r w:rsidRPr="007515DE">
        <w:rPr>
          <w:rFonts w:cs="Arial"/>
          <w:lang w:val="en-US"/>
        </w:rPr>
        <w:t>Maričić, J., Franc, R.</w:t>
      </w:r>
      <w:r w:rsidR="0046283A" w:rsidRPr="007515DE">
        <w:rPr>
          <w:rFonts w:cs="Arial"/>
          <w:lang w:val="en-US"/>
        </w:rPr>
        <w:t>,</w:t>
      </w:r>
      <w:r w:rsidRPr="007515DE">
        <w:rPr>
          <w:rFonts w:cs="Arial"/>
          <w:lang w:val="en-US"/>
        </w:rPr>
        <w:t xml:space="preserve"> </w:t>
      </w:r>
      <w:r w:rsidR="0046283A" w:rsidRPr="007515DE">
        <w:rPr>
          <w:rFonts w:cs="Arial"/>
          <w:lang w:val="en-US"/>
        </w:rPr>
        <w:t>&amp;</w:t>
      </w:r>
      <w:r w:rsidRPr="007515DE">
        <w:rPr>
          <w:rFonts w:cs="Arial"/>
          <w:lang w:val="en-US"/>
        </w:rPr>
        <w:t xml:space="preserve"> Šakić, V. (2008</w:t>
      </w:r>
      <w:r w:rsidR="002A7109" w:rsidRPr="007515DE">
        <w:rPr>
          <w:rFonts w:cs="Arial"/>
          <w:lang w:val="en-US"/>
        </w:rPr>
        <w:t>, July</w:t>
      </w:r>
      <w:r w:rsidRPr="007515DE">
        <w:rPr>
          <w:rFonts w:cs="Arial"/>
          <w:lang w:val="en-US"/>
        </w:rPr>
        <w:t xml:space="preserve">). </w:t>
      </w:r>
      <w:r w:rsidRPr="007515DE">
        <w:rPr>
          <w:rFonts w:cs="Arial"/>
          <w:i/>
          <w:lang w:val="en-US"/>
        </w:rPr>
        <w:t>Dimensionality and Correlates of the Social Dominance Orientation Scale on Croatian Sample</w:t>
      </w:r>
      <w:r w:rsidRPr="007515DE">
        <w:rPr>
          <w:rFonts w:cs="Arial"/>
          <w:lang w:val="en-US"/>
        </w:rPr>
        <w:t xml:space="preserve">. </w:t>
      </w:r>
      <w:r w:rsidR="002A7109" w:rsidRPr="007515DE">
        <w:rPr>
          <w:rFonts w:cs="Arial"/>
          <w:lang w:val="en-US"/>
        </w:rPr>
        <w:t>Paper presented at the</w:t>
      </w:r>
      <w:r w:rsidRPr="007515DE">
        <w:rPr>
          <w:rFonts w:cs="Arial"/>
          <w:lang w:val="en-US"/>
        </w:rPr>
        <w:t xml:space="preserve"> </w:t>
      </w:r>
      <w:proofErr w:type="spellStart"/>
      <w:r w:rsidRPr="007515DE">
        <w:rPr>
          <w:rFonts w:cs="Arial"/>
          <w:lang w:val="en-US"/>
        </w:rPr>
        <w:t>XXIX</w:t>
      </w:r>
      <w:r w:rsidR="0046283A" w:rsidRPr="007515DE">
        <w:rPr>
          <w:rFonts w:cs="Arial"/>
          <w:vertAlign w:val="superscript"/>
          <w:lang w:val="en-US"/>
        </w:rPr>
        <w:t>th</w:t>
      </w:r>
      <w:proofErr w:type="spellEnd"/>
      <w:r w:rsidR="0046283A" w:rsidRPr="007515DE">
        <w:rPr>
          <w:rFonts w:cs="Arial"/>
          <w:lang w:val="en-US"/>
        </w:rPr>
        <w:t xml:space="preserve"> </w:t>
      </w:r>
      <w:r w:rsidRPr="007515DE">
        <w:rPr>
          <w:rFonts w:cs="Arial"/>
          <w:lang w:val="en-US"/>
        </w:rPr>
        <w:t xml:space="preserve">International Congress </w:t>
      </w:r>
      <w:r w:rsidR="002A7109" w:rsidRPr="007515DE">
        <w:rPr>
          <w:rFonts w:cs="Arial"/>
          <w:lang w:val="en-US"/>
        </w:rPr>
        <w:t>of Psychology, Berlin, Germany</w:t>
      </w:r>
      <w:r w:rsidRPr="007515DE">
        <w:rPr>
          <w:rFonts w:cs="Arial"/>
          <w:lang w:val="en-US"/>
        </w:rPr>
        <w:t xml:space="preserve">. </w:t>
      </w:r>
      <w:hyperlink r:id="rId34" w:history="1">
        <w:r w:rsidR="00C12261" w:rsidRPr="008B0F00">
          <w:rPr>
            <w:rStyle w:val="Hyperlink"/>
            <w:rFonts w:cs="Arial"/>
          </w:rPr>
          <w:t>https://bib.irb.hr/datoteka/373334.Maricic_Franc_Sakic-SDO-Croatian_sample.pdf</w:t>
        </w:r>
      </w:hyperlink>
    </w:p>
    <w:p w14:paraId="6E523726" w14:textId="3317240F" w:rsidR="007E5D41" w:rsidRPr="007515DE" w:rsidRDefault="007E5D41" w:rsidP="009D577F">
      <w:pPr>
        <w:spacing w:after="0" w:line="360" w:lineRule="auto"/>
        <w:ind w:left="709" w:hanging="709"/>
        <w:rPr>
          <w:rFonts w:eastAsia="Times New Roman" w:cs="Arial"/>
          <w:lang w:val="en-US"/>
        </w:rPr>
      </w:pPr>
      <w:r w:rsidRPr="007515DE">
        <w:rPr>
          <w:rFonts w:eastAsia="Times New Roman" w:cs="Arial"/>
          <w:lang w:val="en-US"/>
        </w:rPr>
        <w:lastRenderedPageBreak/>
        <w:t xml:space="preserve">Mau, S., &amp; Burkhardt, C. (2009). Migration and welfare state solidarity in Western Europe. </w:t>
      </w:r>
      <w:r w:rsidRPr="007515DE">
        <w:rPr>
          <w:rFonts w:eastAsia="Times New Roman" w:cs="Arial"/>
          <w:i/>
          <w:iCs/>
          <w:lang w:val="en-US"/>
        </w:rPr>
        <w:t>Journal of European Social Policy</w:t>
      </w:r>
      <w:r w:rsidRPr="007515DE">
        <w:rPr>
          <w:rFonts w:eastAsia="Times New Roman" w:cs="Arial"/>
          <w:lang w:val="en-US"/>
        </w:rPr>
        <w:t xml:space="preserve">, </w:t>
      </w:r>
      <w:r w:rsidRPr="007515DE">
        <w:rPr>
          <w:rFonts w:eastAsia="Times New Roman" w:cs="Arial"/>
          <w:i/>
          <w:iCs/>
          <w:lang w:val="en-US"/>
        </w:rPr>
        <w:t>19</w:t>
      </w:r>
      <w:r w:rsidRPr="007515DE">
        <w:rPr>
          <w:rFonts w:eastAsia="Times New Roman" w:cs="Arial"/>
          <w:lang w:val="en-US"/>
        </w:rPr>
        <w:t>(3), 213-229.</w:t>
      </w:r>
      <w:r w:rsidR="001651B6" w:rsidRPr="007515DE">
        <w:rPr>
          <w:lang w:val="en-US"/>
        </w:rPr>
        <w:t xml:space="preserve"> </w:t>
      </w:r>
      <w:hyperlink r:id="rId35" w:history="1">
        <w:r w:rsidR="00667202" w:rsidRPr="007515DE">
          <w:rPr>
            <w:rStyle w:val="Hyperlink"/>
            <w:rFonts w:eastAsia="Times New Roman" w:cs="Arial"/>
            <w:lang w:val="en-US"/>
          </w:rPr>
          <w:t>https://doi.org/10.1177/0958928709104737</w:t>
        </w:r>
      </w:hyperlink>
    </w:p>
    <w:p w14:paraId="316B07A8" w14:textId="5648C500" w:rsidR="00796F76" w:rsidRPr="007515DE" w:rsidRDefault="007E5D41" w:rsidP="009D577F">
      <w:pPr>
        <w:spacing w:after="0" w:line="360" w:lineRule="auto"/>
        <w:ind w:left="709" w:hanging="709"/>
        <w:rPr>
          <w:rFonts w:eastAsia="Times New Roman" w:cs="Arial"/>
          <w:lang w:val="en-US"/>
        </w:rPr>
      </w:pPr>
      <w:r w:rsidRPr="007515DE">
        <w:rPr>
          <w:rFonts w:eastAsia="Times New Roman" w:cs="Arial"/>
          <w:lang w:val="en-US"/>
        </w:rPr>
        <w:t xml:space="preserve">McLaren, L. M. (2003). Anti-immigrant prejudice in Europe: Contact, threat perception, and preferences for the exclusion of migrants. </w:t>
      </w:r>
      <w:r w:rsidRPr="007515DE">
        <w:rPr>
          <w:rFonts w:eastAsia="Times New Roman" w:cs="Arial"/>
          <w:i/>
          <w:iCs/>
          <w:lang w:val="en-US"/>
        </w:rPr>
        <w:t xml:space="preserve">Social </w:t>
      </w:r>
      <w:r w:rsidR="00584984" w:rsidRPr="007515DE">
        <w:rPr>
          <w:rFonts w:eastAsia="Times New Roman" w:cs="Arial"/>
          <w:i/>
          <w:iCs/>
          <w:lang w:val="en-US"/>
        </w:rPr>
        <w:t>F</w:t>
      </w:r>
      <w:r w:rsidRPr="007515DE">
        <w:rPr>
          <w:rFonts w:eastAsia="Times New Roman" w:cs="Arial"/>
          <w:i/>
          <w:iCs/>
          <w:lang w:val="en-US"/>
        </w:rPr>
        <w:t>orces</w:t>
      </w:r>
      <w:r w:rsidRPr="007515DE">
        <w:rPr>
          <w:rFonts w:eastAsia="Times New Roman" w:cs="Arial"/>
          <w:lang w:val="en-US"/>
        </w:rPr>
        <w:t xml:space="preserve">, </w:t>
      </w:r>
      <w:r w:rsidRPr="007515DE">
        <w:rPr>
          <w:rFonts w:eastAsia="Times New Roman" w:cs="Arial"/>
          <w:i/>
          <w:iCs/>
          <w:lang w:val="en-US"/>
        </w:rPr>
        <w:t>81</w:t>
      </w:r>
      <w:r w:rsidRPr="007515DE">
        <w:rPr>
          <w:rFonts w:eastAsia="Times New Roman" w:cs="Arial"/>
          <w:lang w:val="en-US"/>
        </w:rPr>
        <w:t xml:space="preserve">(3), 909-936. </w:t>
      </w:r>
      <w:hyperlink r:id="rId36" w:history="1">
        <w:r w:rsidR="00667202" w:rsidRPr="007515DE">
          <w:rPr>
            <w:rStyle w:val="Hyperlink"/>
            <w:rFonts w:eastAsia="Times New Roman" w:cs="Arial"/>
            <w:lang w:val="en-US"/>
          </w:rPr>
          <w:t>https://doi.org/10.1353/sof.2003.0038</w:t>
        </w:r>
      </w:hyperlink>
    </w:p>
    <w:p w14:paraId="4B5A0BCE" w14:textId="55F7D904" w:rsidR="00240036" w:rsidRPr="007515DE" w:rsidRDefault="00240036" w:rsidP="009D577F">
      <w:pPr>
        <w:autoSpaceDE w:val="0"/>
        <w:autoSpaceDN w:val="0"/>
        <w:adjustRightInd w:val="0"/>
        <w:spacing w:after="0" w:line="360" w:lineRule="auto"/>
        <w:ind w:left="709" w:hanging="709"/>
        <w:rPr>
          <w:rFonts w:eastAsiaTheme="minorHAnsi" w:cs="Arial"/>
          <w:lang w:val="en-US"/>
        </w:rPr>
      </w:pPr>
      <w:r w:rsidRPr="007515DE">
        <w:rPr>
          <w:rFonts w:eastAsiaTheme="minorHAnsi" w:cs="Arial"/>
          <w:lang w:val="en-US"/>
        </w:rPr>
        <w:t xml:space="preserve">Miguel, E. (2004). Tribe or nation? Nation building and public goods in Kenya versus Tanzania. </w:t>
      </w:r>
      <w:r w:rsidRPr="007515DE">
        <w:rPr>
          <w:rFonts w:eastAsiaTheme="minorHAnsi" w:cs="Arial"/>
          <w:i/>
          <w:iCs/>
          <w:lang w:val="en-US"/>
        </w:rPr>
        <w:t>World Politics</w:t>
      </w:r>
      <w:r w:rsidRPr="007515DE">
        <w:rPr>
          <w:rFonts w:eastAsiaTheme="minorHAnsi" w:cs="Arial"/>
          <w:lang w:val="en-US"/>
        </w:rPr>
        <w:t xml:space="preserve">, </w:t>
      </w:r>
      <w:r w:rsidRPr="007515DE">
        <w:rPr>
          <w:rFonts w:eastAsiaTheme="minorHAnsi" w:cs="Arial"/>
          <w:i/>
          <w:iCs/>
          <w:lang w:val="en-US"/>
        </w:rPr>
        <w:t>56</w:t>
      </w:r>
      <w:r w:rsidR="00796F76" w:rsidRPr="007515DE">
        <w:rPr>
          <w:rFonts w:eastAsiaTheme="minorHAnsi" w:cs="Arial"/>
          <w:lang w:val="en-US"/>
        </w:rPr>
        <w:t>(3), 327-362.</w:t>
      </w:r>
      <w:r w:rsidR="00584984" w:rsidRPr="007515DE">
        <w:rPr>
          <w:lang w:val="en-US"/>
        </w:rPr>
        <w:t xml:space="preserve"> </w:t>
      </w:r>
      <w:hyperlink r:id="rId37" w:history="1">
        <w:r w:rsidR="00667202" w:rsidRPr="007515DE">
          <w:rPr>
            <w:rStyle w:val="Hyperlink"/>
            <w:lang w:val="en-US"/>
          </w:rPr>
          <w:t>https://doi.org/</w:t>
        </w:r>
        <w:r w:rsidR="00667202" w:rsidRPr="007515DE">
          <w:rPr>
            <w:rStyle w:val="Hyperlink"/>
            <w:rFonts w:eastAsiaTheme="minorHAnsi" w:cs="Arial"/>
            <w:lang w:val="en-US"/>
          </w:rPr>
          <w:t>10.1017/S0043887100004330</w:t>
        </w:r>
      </w:hyperlink>
    </w:p>
    <w:p w14:paraId="388EB2CD" w14:textId="56ACD4EA" w:rsidR="00C378B3" w:rsidRPr="00C378B3" w:rsidRDefault="00C378B3" w:rsidP="00667202">
      <w:pPr>
        <w:spacing w:after="0" w:line="360" w:lineRule="auto"/>
        <w:ind w:left="709" w:hanging="709"/>
        <w:jc w:val="both"/>
        <w:rPr>
          <w:rFonts w:cs="Arial"/>
          <w:lang w:val="en-US" w:eastAsia="ja-JP"/>
        </w:rPr>
      </w:pPr>
      <w:r>
        <w:rPr>
          <w:rFonts w:cs="Arial"/>
          <w:lang w:val="en-US" w:eastAsia="ja-JP"/>
        </w:rPr>
        <w:t xml:space="preserve">Monnat, S. (2010). The Color of Welfare sanctioning: Exploring the Individual and Contextual Roles of Race on TANF Case Closures and Benefit Reductions. </w:t>
      </w:r>
      <w:r>
        <w:rPr>
          <w:rFonts w:cs="Arial"/>
          <w:i/>
          <w:iCs/>
          <w:lang w:val="en-US" w:eastAsia="ja-JP"/>
        </w:rPr>
        <w:t xml:space="preserve">The Sociological </w:t>
      </w:r>
      <w:proofErr w:type="spellStart"/>
      <w:r>
        <w:rPr>
          <w:rFonts w:cs="Arial"/>
          <w:i/>
          <w:iCs/>
          <w:lang w:val="en-US" w:eastAsia="ja-JP"/>
        </w:rPr>
        <w:t>Quareterly</w:t>
      </w:r>
      <w:proofErr w:type="spellEnd"/>
      <w:r>
        <w:rPr>
          <w:rFonts w:cs="Arial"/>
          <w:i/>
          <w:iCs/>
          <w:lang w:val="en-US" w:eastAsia="ja-JP"/>
        </w:rPr>
        <w:t>, 52</w:t>
      </w:r>
      <w:r>
        <w:rPr>
          <w:rFonts w:cs="Arial"/>
          <w:lang w:val="en-US" w:eastAsia="ja-JP"/>
        </w:rPr>
        <w:t xml:space="preserve">(4), 678-707. </w:t>
      </w:r>
      <w:hyperlink r:id="rId38" w:history="1">
        <w:r w:rsidRPr="003A2CB5">
          <w:rPr>
            <w:rStyle w:val="Hyperlink"/>
            <w:rFonts w:cs="Arial"/>
            <w:lang w:val="en-US" w:eastAsia="ja-JP"/>
          </w:rPr>
          <w:t>https://doi.org/10.1111/j.1533-8525.2010.01188.x</w:t>
        </w:r>
      </w:hyperlink>
      <w:r>
        <w:rPr>
          <w:rFonts w:cs="Arial"/>
          <w:lang w:val="en-US" w:eastAsia="ja-JP"/>
        </w:rPr>
        <w:t xml:space="preserve"> </w:t>
      </w:r>
    </w:p>
    <w:p w14:paraId="35C2E8E3" w14:textId="653EE2C6" w:rsidR="00240036" w:rsidRPr="007515DE" w:rsidRDefault="00240036" w:rsidP="00667202">
      <w:pPr>
        <w:spacing w:after="0" w:line="360" w:lineRule="auto"/>
        <w:ind w:left="709" w:hanging="709"/>
        <w:jc w:val="both"/>
        <w:rPr>
          <w:rFonts w:cs="Arial"/>
          <w:lang w:val="en-US" w:eastAsia="ja-JP"/>
        </w:rPr>
      </w:pPr>
      <w:r w:rsidRPr="007515DE">
        <w:rPr>
          <w:rFonts w:cs="Arial"/>
          <w:lang w:val="en-US" w:eastAsia="ja-JP"/>
        </w:rPr>
        <w:t xml:space="preserve">Montalvo, J. G., &amp; </w:t>
      </w:r>
      <w:proofErr w:type="spellStart"/>
      <w:r w:rsidRPr="007515DE">
        <w:rPr>
          <w:rFonts w:cs="Arial"/>
          <w:lang w:val="en-US" w:eastAsia="ja-JP"/>
        </w:rPr>
        <w:t>Reynal-Querol</w:t>
      </w:r>
      <w:proofErr w:type="spellEnd"/>
      <w:r w:rsidRPr="007515DE">
        <w:rPr>
          <w:rFonts w:cs="Arial"/>
          <w:lang w:val="en-US" w:eastAsia="ja-JP"/>
        </w:rPr>
        <w:t xml:space="preserve">, M. (2005). Ethnic diversity and economic development. </w:t>
      </w:r>
      <w:r w:rsidRPr="007515DE">
        <w:rPr>
          <w:rFonts w:cs="Arial"/>
          <w:i/>
          <w:iCs/>
          <w:lang w:val="en-US" w:eastAsia="ja-JP"/>
        </w:rPr>
        <w:t xml:space="preserve">Journal of Development </w:t>
      </w:r>
      <w:r w:rsidR="00276BEA" w:rsidRPr="007515DE">
        <w:rPr>
          <w:rFonts w:cs="Arial"/>
          <w:i/>
          <w:iCs/>
          <w:lang w:val="en-US" w:eastAsia="ja-JP"/>
        </w:rPr>
        <w:t>E</w:t>
      </w:r>
      <w:r w:rsidRPr="007515DE">
        <w:rPr>
          <w:rFonts w:cs="Arial"/>
          <w:i/>
          <w:iCs/>
          <w:lang w:val="en-US" w:eastAsia="ja-JP"/>
        </w:rPr>
        <w:t>conomics</w:t>
      </w:r>
      <w:r w:rsidRPr="007515DE">
        <w:rPr>
          <w:rFonts w:cs="Arial"/>
          <w:lang w:val="en-US" w:eastAsia="ja-JP"/>
        </w:rPr>
        <w:t xml:space="preserve">, </w:t>
      </w:r>
      <w:r w:rsidRPr="007515DE">
        <w:rPr>
          <w:rFonts w:cs="Arial"/>
          <w:i/>
          <w:iCs/>
          <w:lang w:val="en-US" w:eastAsia="ja-JP"/>
        </w:rPr>
        <w:t>76</w:t>
      </w:r>
      <w:r w:rsidRPr="007515DE">
        <w:rPr>
          <w:rFonts w:cs="Arial"/>
          <w:lang w:val="en-US" w:eastAsia="ja-JP"/>
        </w:rPr>
        <w:t>(2), 293-323.</w:t>
      </w:r>
      <w:r w:rsidR="00276BEA" w:rsidRPr="007515DE">
        <w:rPr>
          <w:lang w:val="en-US"/>
        </w:rPr>
        <w:t xml:space="preserve"> </w:t>
      </w:r>
      <w:hyperlink r:id="rId39" w:history="1">
        <w:r w:rsidR="00667202" w:rsidRPr="007515DE">
          <w:rPr>
            <w:rStyle w:val="Hyperlink"/>
            <w:rFonts w:cs="Arial"/>
            <w:lang w:val="en-US" w:eastAsia="ja-JP"/>
          </w:rPr>
          <w:t>https://doi.org/10.1016/j.jdeveco.2004.01.002</w:t>
        </w:r>
      </w:hyperlink>
    </w:p>
    <w:p w14:paraId="49A3554F" w14:textId="492158F6" w:rsidR="007E5D41" w:rsidRPr="007515DE" w:rsidRDefault="007E5D41" w:rsidP="009D577F">
      <w:pPr>
        <w:spacing w:after="0" w:line="360" w:lineRule="auto"/>
        <w:ind w:left="709" w:hanging="709"/>
        <w:rPr>
          <w:rFonts w:cs="Arial"/>
          <w:lang w:val="en-US"/>
        </w:rPr>
      </w:pPr>
      <w:proofErr w:type="spellStart"/>
      <w:r w:rsidRPr="007515DE">
        <w:rPr>
          <w:rFonts w:cs="Arial"/>
          <w:lang w:val="en-US"/>
        </w:rPr>
        <w:t>Mundfrom</w:t>
      </w:r>
      <w:proofErr w:type="spellEnd"/>
      <w:r w:rsidRPr="007515DE">
        <w:rPr>
          <w:rFonts w:cs="Arial"/>
          <w:lang w:val="en-US"/>
        </w:rPr>
        <w:t xml:space="preserve">, D. J., Shaw, D. G., &amp; Ke, T. L. (2005). Minimum sample size recommendations for conducting factor analyses. </w:t>
      </w:r>
      <w:r w:rsidRPr="007515DE">
        <w:rPr>
          <w:rFonts w:cs="Arial"/>
          <w:i/>
          <w:iCs/>
          <w:lang w:val="en-US"/>
        </w:rPr>
        <w:t xml:space="preserve">International </w:t>
      </w:r>
      <w:r w:rsidR="00DB6067" w:rsidRPr="007515DE">
        <w:rPr>
          <w:rFonts w:cs="Arial"/>
          <w:i/>
          <w:iCs/>
          <w:lang w:val="en-US"/>
        </w:rPr>
        <w:t>J</w:t>
      </w:r>
      <w:r w:rsidRPr="007515DE">
        <w:rPr>
          <w:rFonts w:cs="Arial"/>
          <w:i/>
          <w:iCs/>
          <w:lang w:val="en-US"/>
        </w:rPr>
        <w:t xml:space="preserve">ournal of </w:t>
      </w:r>
      <w:r w:rsidR="00DB6067" w:rsidRPr="007515DE">
        <w:rPr>
          <w:rFonts w:cs="Arial"/>
          <w:i/>
          <w:iCs/>
          <w:lang w:val="en-US"/>
        </w:rPr>
        <w:t>T</w:t>
      </w:r>
      <w:r w:rsidRPr="007515DE">
        <w:rPr>
          <w:rFonts w:cs="Arial"/>
          <w:i/>
          <w:iCs/>
          <w:lang w:val="en-US"/>
        </w:rPr>
        <w:t>esting</w:t>
      </w:r>
      <w:r w:rsidRPr="007515DE">
        <w:rPr>
          <w:rFonts w:cs="Arial"/>
          <w:lang w:val="en-US"/>
        </w:rPr>
        <w:t xml:space="preserve">, </w:t>
      </w:r>
      <w:r w:rsidRPr="007515DE">
        <w:rPr>
          <w:rFonts w:cs="Arial"/>
          <w:i/>
          <w:iCs/>
          <w:lang w:val="en-US"/>
        </w:rPr>
        <w:t>5</w:t>
      </w:r>
      <w:r w:rsidRPr="007515DE">
        <w:rPr>
          <w:rFonts w:cs="Arial"/>
          <w:lang w:val="en-US"/>
        </w:rPr>
        <w:t xml:space="preserve">(2), 159-168. </w:t>
      </w:r>
      <w:hyperlink r:id="rId40" w:history="1">
        <w:r w:rsidR="00667202" w:rsidRPr="007515DE">
          <w:rPr>
            <w:rStyle w:val="Hyperlink"/>
            <w:rFonts w:cs="Arial"/>
            <w:lang w:val="en-US"/>
          </w:rPr>
          <w:t>https://doi.org/10.1207/s15327574ijt0502_4</w:t>
        </w:r>
      </w:hyperlink>
    </w:p>
    <w:p w14:paraId="71C05164" w14:textId="77777777" w:rsidR="00C378B3" w:rsidRDefault="00C378B3" w:rsidP="00C378B3">
      <w:pPr>
        <w:spacing w:after="0" w:line="360" w:lineRule="auto"/>
        <w:ind w:left="709" w:hanging="709"/>
        <w:rPr>
          <w:rFonts w:eastAsia="Times New Roman" w:cs="Arial"/>
          <w:lang w:val="en-US"/>
        </w:rPr>
      </w:pPr>
      <w:r w:rsidRPr="007515DE">
        <w:rPr>
          <w:rFonts w:eastAsia="Times New Roman" w:cs="Arial"/>
          <w:lang w:val="en-US"/>
        </w:rPr>
        <w:t xml:space="preserve">Musolff, A. (2022). The Scenario of (Im-) Migrants as Scroungers and/or Parasites in British Media Discourses (pp.246-260). </w:t>
      </w:r>
      <w:r w:rsidRPr="008B0F00">
        <w:rPr>
          <w:rFonts w:eastAsia="Times New Roman" w:cs="Arial"/>
        </w:rPr>
        <w:t xml:space="preserve">In Schmidt-Haberkamp, B., Gymnich, M, &amp; Schenider, K.P. (Eds.) </w:t>
      </w:r>
      <w:r w:rsidRPr="007515DE">
        <w:rPr>
          <w:rFonts w:eastAsia="Times New Roman" w:cs="Arial"/>
          <w:i/>
          <w:lang w:val="en-US"/>
        </w:rPr>
        <w:t>Representing Poverty and Precarity in a Postcolonial World</w:t>
      </w:r>
      <w:r w:rsidRPr="007515DE">
        <w:rPr>
          <w:rFonts w:eastAsia="Times New Roman" w:cs="Arial"/>
          <w:lang w:val="en-US"/>
        </w:rPr>
        <w:t>. Leiden: Brill.</w:t>
      </w:r>
      <w:r w:rsidRPr="007515DE">
        <w:rPr>
          <w:lang w:val="en-US"/>
        </w:rPr>
        <w:t xml:space="preserve"> </w:t>
      </w:r>
      <w:hyperlink r:id="rId41" w:history="1">
        <w:r w:rsidRPr="007515DE">
          <w:rPr>
            <w:rStyle w:val="Hyperlink"/>
            <w:rFonts w:eastAsia="Times New Roman" w:cs="Arial"/>
            <w:lang w:val="en-US"/>
          </w:rPr>
          <w:t>https://doi.org/10.1163/9789004466395_016</w:t>
        </w:r>
      </w:hyperlink>
    </w:p>
    <w:p w14:paraId="7A1BCFCE" w14:textId="687BD5A7" w:rsidR="00C378B3" w:rsidRDefault="00C378B3" w:rsidP="00C378B3">
      <w:pPr>
        <w:spacing w:after="0" w:line="360" w:lineRule="auto"/>
        <w:ind w:left="709" w:hanging="709"/>
        <w:rPr>
          <w:rFonts w:eastAsia="Times New Roman" w:cs="Arial"/>
          <w:lang w:val="en-US"/>
        </w:rPr>
      </w:pPr>
      <w:r>
        <w:rPr>
          <w:rFonts w:eastAsia="Times New Roman" w:cs="Arial"/>
          <w:lang w:val="en-US"/>
        </w:rPr>
        <w:t xml:space="preserve">Pedersen, M.J., Stritch, J.M., &amp; Thuesen, F. (2018). Punishment on the Frontlines of Public Service Delivery: Client Ethnicity and Caseworker Sanctioning Decisions in a Scandinavian Welfare State. </w:t>
      </w:r>
      <w:r>
        <w:rPr>
          <w:rFonts w:eastAsia="Times New Roman" w:cs="Arial"/>
          <w:i/>
          <w:iCs/>
          <w:lang w:val="en-US"/>
        </w:rPr>
        <w:t>Journal of Public Administration Research and Theory, 28</w:t>
      </w:r>
      <w:r>
        <w:rPr>
          <w:rFonts w:eastAsia="Times New Roman" w:cs="Arial"/>
          <w:lang w:val="en-US"/>
        </w:rPr>
        <w:t xml:space="preserve">(3), 339-354. </w:t>
      </w:r>
      <w:hyperlink r:id="rId42" w:history="1">
        <w:r w:rsidRPr="003A2CB5">
          <w:rPr>
            <w:rStyle w:val="Hyperlink"/>
          </w:rPr>
          <w:t>https://doi.org/10.1093/jopart/muy018</w:t>
        </w:r>
      </w:hyperlink>
      <w:r>
        <w:t xml:space="preserve"> </w:t>
      </w:r>
      <w:r>
        <w:rPr>
          <w:rFonts w:eastAsia="Times New Roman" w:cs="Arial"/>
          <w:lang w:val="en-US"/>
        </w:rPr>
        <w:t xml:space="preserve"> </w:t>
      </w:r>
    </w:p>
    <w:p w14:paraId="7D03E150" w14:textId="1C40B992" w:rsidR="00240036" w:rsidRPr="007515DE" w:rsidRDefault="00240036" w:rsidP="009D577F">
      <w:pPr>
        <w:spacing w:after="0" w:line="360" w:lineRule="auto"/>
        <w:ind w:left="709" w:hanging="709"/>
        <w:rPr>
          <w:rFonts w:eastAsia="Times New Roman" w:cs="Arial"/>
          <w:lang w:val="en-US"/>
        </w:rPr>
      </w:pPr>
      <w:proofErr w:type="spellStart"/>
      <w:r w:rsidRPr="007515DE">
        <w:rPr>
          <w:rFonts w:eastAsia="Times New Roman" w:cs="Arial"/>
          <w:lang w:val="en-US"/>
        </w:rPr>
        <w:t>Pettigew</w:t>
      </w:r>
      <w:proofErr w:type="spellEnd"/>
      <w:r w:rsidRPr="007515DE">
        <w:rPr>
          <w:rFonts w:eastAsia="Times New Roman" w:cs="Arial"/>
          <w:lang w:val="en-US"/>
        </w:rPr>
        <w:t xml:space="preserve">, T.F., Wagner, U &amp; Christ, O. (2010). Population ratio and prejudice: Modelling both contact and threat effects. </w:t>
      </w:r>
      <w:r w:rsidRPr="007515DE">
        <w:rPr>
          <w:rFonts w:eastAsia="Times New Roman" w:cs="Arial"/>
          <w:i/>
          <w:iCs/>
          <w:lang w:val="en-US"/>
        </w:rPr>
        <w:t>Journal of Ethnic and Migration Studies, 36</w:t>
      </w:r>
      <w:r w:rsidRPr="007515DE">
        <w:rPr>
          <w:rFonts w:eastAsia="Times New Roman" w:cs="Arial"/>
          <w:lang w:val="en-US"/>
        </w:rPr>
        <w:t>(4), 635-650.</w:t>
      </w:r>
      <w:r w:rsidR="00DB6067" w:rsidRPr="007515DE">
        <w:rPr>
          <w:lang w:val="en-US"/>
        </w:rPr>
        <w:t xml:space="preserve"> </w:t>
      </w:r>
      <w:hyperlink r:id="rId43" w:history="1">
        <w:r w:rsidR="00667202" w:rsidRPr="007515DE">
          <w:rPr>
            <w:rStyle w:val="Hyperlink"/>
            <w:rFonts w:eastAsia="Times New Roman" w:cs="Arial"/>
            <w:lang w:val="en-US"/>
          </w:rPr>
          <w:t>https://doi.org/10.1080/13691830903516034</w:t>
        </w:r>
      </w:hyperlink>
    </w:p>
    <w:p w14:paraId="18E7BC11" w14:textId="5617E0A3" w:rsidR="00240036" w:rsidRPr="007515DE" w:rsidRDefault="00240036" w:rsidP="009D577F">
      <w:pPr>
        <w:widowControl w:val="0"/>
        <w:spacing w:after="0" w:line="360" w:lineRule="auto"/>
        <w:ind w:left="709" w:hanging="709"/>
        <w:rPr>
          <w:rFonts w:cs="Arial"/>
          <w:lang w:val="en-US"/>
        </w:rPr>
      </w:pPr>
      <w:proofErr w:type="spellStart"/>
      <w:r w:rsidRPr="007515DE">
        <w:rPr>
          <w:rFonts w:cs="Arial"/>
          <w:lang w:val="en-US"/>
        </w:rPr>
        <w:t>Ponizovskiy</w:t>
      </w:r>
      <w:proofErr w:type="spellEnd"/>
      <w:r w:rsidRPr="007515DE">
        <w:rPr>
          <w:rFonts w:cs="Arial"/>
          <w:lang w:val="en-US"/>
        </w:rPr>
        <w:t xml:space="preserve">, V. (2021). On Sanders, Trump, and rhinoceroses: Quantifying subjective </w:t>
      </w:r>
      <w:proofErr w:type="spellStart"/>
      <w:r w:rsidRPr="007515DE">
        <w:rPr>
          <w:rFonts w:cs="Arial"/>
          <w:lang w:val="en-US"/>
        </w:rPr>
        <w:t>construals</w:t>
      </w:r>
      <w:proofErr w:type="spellEnd"/>
      <w:r w:rsidRPr="007515DE">
        <w:rPr>
          <w:rFonts w:cs="Arial"/>
          <w:lang w:val="en-US"/>
        </w:rPr>
        <w:t xml:space="preserve"> helps predict political attitudes. </w:t>
      </w:r>
      <w:r w:rsidRPr="007515DE">
        <w:rPr>
          <w:rFonts w:cs="Arial"/>
          <w:i/>
          <w:iCs/>
          <w:lang w:val="en-US"/>
        </w:rPr>
        <w:t>British Journal of Social Psychology</w:t>
      </w:r>
      <w:r w:rsidR="00867904" w:rsidRPr="007515DE">
        <w:rPr>
          <w:rFonts w:cs="Arial"/>
          <w:i/>
          <w:iCs/>
          <w:lang w:val="en-US"/>
        </w:rPr>
        <w:t>, 61</w:t>
      </w:r>
      <w:r w:rsidRPr="007515DE">
        <w:rPr>
          <w:rFonts w:cs="Arial"/>
          <w:lang w:val="en-US"/>
        </w:rPr>
        <w:t xml:space="preserve">, </w:t>
      </w:r>
      <w:r w:rsidR="00867904" w:rsidRPr="007515DE">
        <w:rPr>
          <w:rFonts w:cs="Arial"/>
          <w:lang w:val="en-US"/>
        </w:rPr>
        <w:t>842-860</w:t>
      </w:r>
      <w:r w:rsidRPr="007515DE">
        <w:rPr>
          <w:rFonts w:cs="Arial"/>
          <w:lang w:val="en-US"/>
        </w:rPr>
        <w:t xml:space="preserve">. </w:t>
      </w:r>
      <w:hyperlink r:id="rId44" w:history="1">
        <w:r w:rsidR="00667202" w:rsidRPr="007515DE">
          <w:rPr>
            <w:rStyle w:val="Hyperlink"/>
            <w:rFonts w:eastAsia="Times New Roman" w:cs="Arial"/>
            <w:lang w:val="en-US"/>
          </w:rPr>
          <w:t>https://doi.org/10.1111/j.1467-9221.2011.00828.x</w:t>
        </w:r>
      </w:hyperlink>
    </w:p>
    <w:p w14:paraId="45011A58" w14:textId="5A4803A6" w:rsidR="007E5D41" w:rsidRPr="007515DE" w:rsidRDefault="007E5D41" w:rsidP="009D577F">
      <w:pPr>
        <w:widowControl w:val="0"/>
        <w:spacing w:after="0" w:line="360" w:lineRule="auto"/>
        <w:ind w:left="709" w:hanging="709"/>
        <w:rPr>
          <w:rFonts w:cs="Arial"/>
          <w:lang w:val="en-US"/>
        </w:rPr>
      </w:pPr>
      <w:proofErr w:type="spellStart"/>
      <w:r w:rsidRPr="007515DE">
        <w:rPr>
          <w:rFonts w:cs="Arial"/>
          <w:lang w:val="en-US"/>
        </w:rPr>
        <w:t>Ponizovskiy</w:t>
      </w:r>
      <w:proofErr w:type="spellEnd"/>
      <w:r w:rsidRPr="007515DE">
        <w:rPr>
          <w:rFonts w:cs="Arial"/>
          <w:lang w:val="en-US"/>
        </w:rPr>
        <w:t xml:space="preserve">, V., Grigoryan, L., </w:t>
      </w:r>
      <w:proofErr w:type="spellStart"/>
      <w:r w:rsidRPr="007515DE">
        <w:rPr>
          <w:rFonts w:cs="Arial"/>
          <w:lang w:val="en-US"/>
        </w:rPr>
        <w:t>Kühnen</w:t>
      </w:r>
      <w:proofErr w:type="spellEnd"/>
      <w:r w:rsidRPr="007515DE">
        <w:rPr>
          <w:rFonts w:cs="Arial"/>
          <w:lang w:val="en-US"/>
        </w:rPr>
        <w:t xml:space="preserve">, U., &amp; Boehnke, K. (2019). Social construction of the value-behavior relation. </w:t>
      </w:r>
      <w:r w:rsidRPr="007515DE">
        <w:rPr>
          <w:rFonts w:cs="Arial"/>
          <w:i/>
          <w:iCs/>
          <w:lang w:val="en-US"/>
        </w:rPr>
        <w:t>Frontiers in Psychology</w:t>
      </w:r>
      <w:r w:rsidRPr="007515DE">
        <w:rPr>
          <w:rFonts w:cs="Arial"/>
          <w:lang w:val="en-US"/>
        </w:rPr>
        <w:t xml:space="preserve">, </w:t>
      </w:r>
      <w:r w:rsidRPr="007515DE">
        <w:rPr>
          <w:rFonts w:cs="Arial"/>
          <w:i/>
          <w:iCs/>
          <w:lang w:val="en-US"/>
        </w:rPr>
        <w:t>10</w:t>
      </w:r>
      <w:r w:rsidRPr="007515DE">
        <w:rPr>
          <w:rFonts w:cs="Arial"/>
          <w:lang w:val="en-US"/>
        </w:rPr>
        <w:t xml:space="preserve">(934), 1–12. </w:t>
      </w:r>
      <w:hyperlink r:id="rId45" w:history="1">
        <w:r w:rsidR="00667202" w:rsidRPr="007515DE">
          <w:rPr>
            <w:rStyle w:val="Hyperlink"/>
            <w:rFonts w:cs="Arial"/>
            <w:lang w:val="en-US"/>
          </w:rPr>
          <w:t>https://doi.org/10.3389/fpsyg.2019.00934</w:t>
        </w:r>
      </w:hyperlink>
    </w:p>
    <w:p w14:paraId="2AFEFB55" w14:textId="4578D6DD" w:rsidR="00C378B3" w:rsidRDefault="00C378B3" w:rsidP="009D577F">
      <w:pPr>
        <w:spacing w:after="0" w:line="360" w:lineRule="auto"/>
        <w:ind w:left="709" w:hanging="709"/>
        <w:rPr>
          <w:rFonts w:eastAsia="Times New Roman" w:cs="Arial"/>
          <w:lang w:val="en-US"/>
        </w:rPr>
      </w:pPr>
      <w:proofErr w:type="spellStart"/>
      <w:r>
        <w:rPr>
          <w:rFonts w:eastAsia="Times New Roman" w:cs="Arial"/>
          <w:lang w:val="en-US"/>
        </w:rPr>
        <w:lastRenderedPageBreak/>
        <w:t>Ratzmann</w:t>
      </w:r>
      <w:proofErr w:type="spellEnd"/>
      <w:r>
        <w:rPr>
          <w:rFonts w:eastAsia="Times New Roman" w:cs="Arial"/>
          <w:lang w:val="en-US"/>
        </w:rPr>
        <w:t xml:space="preserve">, N. </w:t>
      </w:r>
      <w:r w:rsidR="00AD006C">
        <w:rPr>
          <w:rFonts w:eastAsia="Times New Roman" w:cs="Arial"/>
          <w:lang w:val="en-US"/>
        </w:rPr>
        <w:t xml:space="preserve">(2021). </w:t>
      </w:r>
      <w:r>
        <w:rPr>
          <w:rFonts w:eastAsia="Times New Roman" w:cs="Arial"/>
          <w:lang w:val="en-US"/>
        </w:rPr>
        <w:t xml:space="preserve">Deserving of Social Support? Street-level Bureaucrats’ Decisions on EU Migrants’ Benefits Claims in Germany. </w:t>
      </w:r>
      <w:r>
        <w:rPr>
          <w:rFonts w:eastAsia="Times New Roman" w:cs="Arial"/>
          <w:i/>
          <w:iCs/>
          <w:lang w:val="en-US"/>
        </w:rPr>
        <w:t xml:space="preserve">Social Policy and Society, </w:t>
      </w:r>
      <w:r w:rsidRPr="00C378B3">
        <w:rPr>
          <w:rFonts w:eastAsia="Times New Roman" w:cs="Arial"/>
          <w:i/>
          <w:iCs/>
          <w:lang w:val="en-US"/>
        </w:rPr>
        <w:t>20</w:t>
      </w:r>
      <w:r>
        <w:rPr>
          <w:rFonts w:eastAsia="Times New Roman" w:cs="Arial"/>
          <w:lang w:val="en-US"/>
        </w:rPr>
        <w:t xml:space="preserve">(3), 509-520. </w:t>
      </w:r>
      <w:r w:rsidRPr="00C378B3">
        <w:t>doi</w:t>
      </w:r>
      <w:r>
        <w:t xml:space="preserve">:10.1017/S1474746421000026 </w:t>
      </w:r>
    </w:p>
    <w:p w14:paraId="71FA674A" w14:textId="668C2F49" w:rsidR="00240036" w:rsidRPr="007515DE" w:rsidRDefault="00240036" w:rsidP="009D577F">
      <w:pPr>
        <w:spacing w:after="0" w:line="360" w:lineRule="auto"/>
        <w:ind w:left="709" w:hanging="709"/>
        <w:rPr>
          <w:rFonts w:eastAsia="Times New Roman" w:cs="Arial"/>
          <w:lang w:val="en-US"/>
        </w:rPr>
      </w:pPr>
      <w:r w:rsidRPr="007515DE">
        <w:rPr>
          <w:rFonts w:eastAsia="Times New Roman" w:cs="Arial"/>
          <w:lang w:val="en-US"/>
        </w:rPr>
        <w:t xml:space="preserve">Van Rijswijk, W., Hopkins, N., &amp; Johnston, H. (2009). The role of social categorization and identity threat in the perception of migrants. </w:t>
      </w:r>
      <w:r w:rsidRPr="007515DE">
        <w:rPr>
          <w:rFonts w:eastAsia="Times New Roman" w:cs="Arial"/>
          <w:i/>
          <w:iCs/>
          <w:lang w:val="en-US"/>
        </w:rPr>
        <w:t>Journal of Community &amp; Applied Social Psychology</w:t>
      </w:r>
      <w:r w:rsidRPr="007515DE">
        <w:rPr>
          <w:rFonts w:eastAsia="Times New Roman" w:cs="Arial"/>
          <w:lang w:val="en-US"/>
        </w:rPr>
        <w:t xml:space="preserve">, </w:t>
      </w:r>
      <w:r w:rsidRPr="007515DE">
        <w:rPr>
          <w:rFonts w:eastAsia="Times New Roman" w:cs="Arial"/>
          <w:i/>
          <w:iCs/>
          <w:lang w:val="en-US"/>
        </w:rPr>
        <w:t>19</w:t>
      </w:r>
      <w:r w:rsidR="00796F76" w:rsidRPr="007515DE">
        <w:rPr>
          <w:rFonts w:eastAsia="Times New Roman" w:cs="Arial"/>
          <w:lang w:val="en-US"/>
        </w:rPr>
        <w:t>(6), 515-520.</w:t>
      </w:r>
      <w:r w:rsidR="00622920" w:rsidRPr="007515DE">
        <w:rPr>
          <w:rFonts w:eastAsia="Times New Roman" w:cs="Arial"/>
          <w:lang w:val="en-US"/>
        </w:rPr>
        <w:t xml:space="preserve"> </w:t>
      </w:r>
      <w:hyperlink r:id="rId46" w:history="1">
        <w:r w:rsidR="00667202" w:rsidRPr="007515DE">
          <w:rPr>
            <w:rStyle w:val="Hyperlink"/>
            <w:rFonts w:eastAsia="Times New Roman" w:cs="Arial"/>
            <w:lang w:val="en-US"/>
          </w:rPr>
          <w:t>https://doi.org/10.1002/casp.1011</w:t>
        </w:r>
      </w:hyperlink>
    </w:p>
    <w:p w14:paraId="7EB97313" w14:textId="4DD9BCD2" w:rsidR="00971A45" w:rsidRPr="008B0F00" w:rsidRDefault="00BF2A7F" w:rsidP="002B57F0">
      <w:pPr>
        <w:autoSpaceDE w:val="0"/>
        <w:autoSpaceDN w:val="0"/>
        <w:adjustRightInd w:val="0"/>
        <w:spacing w:after="0" w:line="360" w:lineRule="auto"/>
        <w:ind w:left="709" w:hanging="709"/>
        <w:rPr>
          <w:rFonts w:cs="Arial"/>
          <w:color w:val="131413"/>
          <w:lang w:eastAsia="de-DE"/>
        </w:rPr>
      </w:pPr>
      <w:r w:rsidRPr="008B0F00">
        <w:rPr>
          <w:rFonts w:cs="Arial"/>
          <w:color w:val="131413"/>
          <w:lang w:eastAsia="de-DE"/>
        </w:rPr>
        <w:t>Sarrazin, T. (2010</w:t>
      </w:r>
      <w:r w:rsidR="00971A45" w:rsidRPr="008B0F00">
        <w:rPr>
          <w:rFonts w:cs="Arial"/>
          <w:color w:val="131413"/>
          <w:lang w:eastAsia="de-DE"/>
        </w:rPr>
        <w:t>)</w:t>
      </w:r>
      <w:r w:rsidRPr="008B0F00">
        <w:rPr>
          <w:rFonts w:cs="Arial"/>
          <w:color w:val="131413"/>
          <w:lang w:eastAsia="de-DE"/>
        </w:rPr>
        <w:t>.</w:t>
      </w:r>
      <w:r w:rsidR="00971A45" w:rsidRPr="008B0F00">
        <w:rPr>
          <w:rFonts w:cs="Arial"/>
          <w:color w:val="131413"/>
          <w:lang w:eastAsia="de-DE"/>
        </w:rPr>
        <w:t xml:space="preserve"> </w:t>
      </w:r>
      <w:r w:rsidR="00971A45" w:rsidRPr="008B0F00">
        <w:rPr>
          <w:rFonts w:cs="Arial"/>
          <w:i/>
          <w:color w:val="131413"/>
          <w:lang w:eastAsia="de-DE"/>
        </w:rPr>
        <w:t>Deutschland schafft sich ab. Wie wir unser Land aufs Spiel setzen</w:t>
      </w:r>
      <w:r w:rsidR="00971A45" w:rsidRPr="008B0F00">
        <w:rPr>
          <w:rFonts w:cs="Arial"/>
          <w:color w:val="131413"/>
          <w:lang w:eastAsia="de-DE"/>
        </w:rPr>
        <w:t xml:space="preserve">. </w:t>
      </w:r>
      <w:r w:rsidR="00867904" w:rsidRPr="008B0F00">
        <w:rPr>
          <w:rFonts w:cs="Arial"/>
          <w:color w:val="131413"/>
          <w:lang w:eastAsia="de-DE"/>
        </w:rPr>
        <w:t xml:space="preserve">Munich: </w:t>
      </w:r>
      <w:r w:rsidRPr="008B0F00">
        <w:rPr>
          <w:rFonts w:cs="Arial"/>
          <w:color w:val="131413"/>
          <w:lang w:eastAsia="de-DE"/>
        </w:rPr>
        <w:t>Langen Mueller H</w:t>
      </w:r>
      <w:r w:rsidR="00867904" w:rsidRPr="008B0F00">
        <w:rPr>
          <w:rFonts w:cs="Arial"/>
          <w:color w:val="131413"/>
          <w:lang w:eastAsia="de-DE"/>
        </w:rPr>
        <w:t>erbig</w:t>
      </w:r>
      <w:r w:rsidRPr="008B0F00">
        <w:rPr>
          <w:rFonts w:cs="Arial"/>
          <w:color w:val="131413"/>
          <w:lang w:eastAsia="de-DE"/>
        </w:rPr>
        <w:t>.</w:t>
      </w:r>
    </w:p>
    <w:p w14:paraId="6F3F8401" w14:textId="3B5065A2" w:rsidR="00DB6067" w:rsidRPr="007515DE" w:rsidRDefault="007E5D41" w:rsidP="009D577F">
      <w:pPr>
        <w:widowControl w:val="0"/>
        <w:spacing w:after="0" w:line="360" w:lineRule="auto"/>
        <w:ind w:left="709" w:hanging="709"/>
        <w:rPr>
          <w:rFonts w:eastAsia="Times New Roman" w:cs="Arial"/>
          <w:lang w:val="en-US"/>
        </w:rPr>
      </w:pPr>
      <w:r w:rsidRPr="008B0F00">
        <w:rPr>
          <w:rFonts w:eastAsia="Times New Roman" w:cs="Arial"/>
        </w:rPr>
        <w:t xml:space="preserve">Schmid, K., Ramiah, A. A., &amp; Hewstone, M. (2014). </w:t>
      </w:r>
      <w:r w:rsidRPr="007515DE">
        <w:rPr>
          <w:rFonts w:eastAsia="Times New Roman" w:cs="Arial"/>
          <w:lang w:val="en-US"/>
        </w:rPr>
        <w:t xml:space="preserve">Neighborhood ethnic diversity and trust: The role of intergroup contact and perceived threat. </w:t>
      </w:r>
      <w:r w:rsidRPr="007515DE">
        <w:rPr>
          <w:rFonts w:eastAsia="Times New Roman" w:cs="Arial"/>
          <w:i/>
          <w:iCs/>
          <w:lang w:val="en-US"/>
        </w:rPr>
        <w:t xml:space="preserve">Psychological </w:t>
      </w:r>
      <w:r w:rsidR="00DB6067" w:rsidRPr="007515DE">
        <w:rPr>
          <w:rFonts w:eastAsia="Times New Roman" w:cs="Arial"/>
          <w:i/>
          <w:iCs/>
          <w:lang w:val="en-US"/>
        </w:rPr>
        <w:t>S</w:t>
      </w:r>
      <w:r w:rsidRPr="007515DE">
        <w:rPr>
          <w:rFonts w:eastAsia="Times New Roman" w:cs="Arial"/>
          <w:i/>
          <w:iCs/>
          <w:lang w:val="en-US"/>
        </w:rPr>
        <w:t>cience</w:t>
      </w:r>
      <w:r w:rsidRPr="007515DE">
        <w:rPr>
          <w:rFonts w:eastAsia="Times New Roman" w:cs="Arial"/>
          <w:lang w:val="en-US"/>
        </w:rPr>
        <w:t xml:space="preserve">, </w:t>
      </w:r>
      <w:r w:rsidRPr="007515DE">
        <w:rPr>
          <w:rFonts w:eastAsia="Times New Roman" w:cs="Arial"/>
          <w:i/>
          <w:iCs/>
          <w:lang w:val="en-US"/>
        </w:rPr>
        <w:t>25</w:t>
      </w:r>
      <w:r w:rsidRPr="007515DE">
        <w:rPr>
          <w:rFonts w:eastAsia="Times New Roman" w:cs="Arial"/>
          <w:lang w:val="en-US"/>
        </w:rPr>
        <w:t>(3), 665-674.</w:t>
      </w:r>
      <w:r w:rsidR="00DB6067" w:rsidRPr="007515DE">
        <w:rPr>
          <w:lang w:val="en-US"/>
        </w:rPr>
        <w:t xml:space="preserve"> </w:t>
      </w:r>
      <w:hyperlink r:id="rId47" w:history="1">
        <w:r w:rsidR="00667202" w:rsidRPr="007515DE">
          <w:rPr>
            <w:rStyle w:val="Hyperlink"/>
            <w:rFonts w:eastAsia="Times New Roman" w:cs="Arial"/>
            <w:lang w:val="en-US"/>
          </w:rPr>
          <w:t>https://doi.org/10.1177/0956797613508956</w:t>
        </w:r>
      </w:hyperlink>
    </w:p>
    <w:p w14:paraId="081BB38D" w14:textId="243C6CEF" w:rsidR="007E5D41" w:rsidRPr="007515DE" w:rsidRDefault="007E5D41" w:rsidP="009D577F">
      <w:pPr>
        <w:widowControl w:val="0"/>
        <w:spacing w:after="0" w:line="360" w:lineRule="auto"/>
        <w:ind w:left="709" w:hanging="709"/>
        <w:rPr>
          <w:rFonts w:eastAsiaTheme="minorHAnsi" w:cs="Arial"/>
          <w:color w:val="222222"/>
          <w:lang w:val="en-US"/>
        </w:rPr>
      </w:pPr>
      <w:r w:rsidRPr="007515DE">
        <w:rPr>
          <w:rFonts w:eastAsiaTheme="minorHAnsi" w:cs="Arial"/>
          <w:color w:val="222222"/>
          <w:lang w:val="en-US"/>
        </w:rPr>
        <w:t>Schmidt-</w:t>
      </w:r>
      <w:proofErr w:type="spellStart"/>
      <w:r w:rsidRPr="007515DE">
        <w:rPr>
          <w:rFonts w:eastAsiaTheme="minorHAnsi" w:cs="Arial"/>
          <w:color w:val="222222"/>
          <w:lang w:val="en-US"/>
        </w:rPr>
        <w:t>Catran</w:t>
      </w:r>
      <w:proofErr w:type="spellEnd"/>
      <w:r w:rsidRPr="007515DE">
        <w:rPr>
          <w:rFonts w:eastAsiaTheme="minorHAnsi" w:cs="Arial"/>
          <w:color w:val="222222"/>
          <w:lang w:val="en-US"/>
        </w:rPr>
        <w:t xml:space="preserve">, A. W., &amp; Spies, D. C. (2016). Immigration and welfare support in Germany. </w:t>
      </w:r>
      <w:r w:rsidRPr="007515DE">
        <w:rPr>
          <w:rFonts w:eastAsiaTheme="minorHAnsi" w:cs="Arial"/>
          <w:i/>
          <w:iCs/>
          <w:color w:val="222222"/>
          <w:lang w:val="en-US"/>
        </w:rPr>
        <w:t>American Sociological Review</w:t>
      </w:r>
      <w:r w:rsidRPr="007515DE">
        <w:rPr>
          <w:rFonts w:eastAsiaTheme="minorHAnsi" w:cs="Arial"/>
          <w:color w:val="222222"/>
          <w:lang w:val="en-US"/>
        </w:rPr>
        <w:t xml:space="preserve">, </w:t>
      </w:r>
      <w:r w:rsidRPr="007515DE">
        <w:rPr>
          <w:rFonts w:eastAsiaTheme="minorHAnsi" w:cs="Arial"/>
          <w:i/>
          <w:iCs/>
          <w:color w:val="222222"/>
          <w:lang w:val="en-US"/>
        </w:rPr>
        <w:t>81</w:t>
      </w:r>
      <w:r w:rsidR="002C22A1" w:rsidRPr="007515DE">
        <w:rPr>
          <w:rFonts w:eastAsiaTheme="minorHAnsi" w:cs="Arial"/>
          <w:color w:val="222222"/>
          <w:lang w:val="en-US"/>
        </w:rPr>
        <w:t xml:space="preserve">(2), 242-261. </w:t>
      </w:r>
      <w:hyperlink r:id="rId48" w:history="1">
        <w:r w:rsidR="00667202" w:rsidRPr="007515DE">
          <w:rPr>
            <w:rStyle w:val="Hyperlink"/>
            <w:rFonts w:eastAsiaTheme="minorHAnsi" w:cs="Arial"/>
            <w:lang w:val="en-US"/>
          </w:rPr>
          <w:t>https://doi.org/10.1177/0003122416633140</w:t>
        </w:r>
      </w:hyperlink>
    </w:p>
    <w:p w14:paraId="602C9BB1" w14:textId="6E028A7D" w:rsidR="00E34C7C" w:rsidRDefault="00E34C7C" w:rsidP="009D577F">
      <w:pPr>
        <w:spacing w:after="0" w:line="360" w:lineRule="auto"/>
        <w:ind w:left="709" w:hanging="709"/>
        <w:rPr>
          <w:rFonts w:cs="Arial"/>
          <w:lang w:val="en-GB"/>
        </w:rPr>
      </w:pPr>
      <w:r w:rsidRPr="00E34C7C">
        <w:rPr>
          <w:rFonts w:cs="Arial"/>
          <w:lang w:val="en-GB"/>
        </w:rPr>
        <w:t xml:space="preserve">Schram, S. F., </w:t>
      </w:r>
      <w:proofErr w:type="spellStart"/>
      <w:r w:rsidRPr="00E34C7C">
        <w:rPr>
          <w:rFonts w:cs="Arial"/>
          <w:lang w:val="en-GB"/>
        </w:rPr>
        <w:t>Soss</w:t>
      </w:r>
      <w:proofErr w:type="spellEnd"/>
      <w:r w:rsidRPr="00E34C7C">
        <w:rPr>
          <w:rFonts w:cs="Arial"/>
          <w:lang w:val="en-GB"/>
        </w:rPr>
        <w:t xml:space="preserve">, J., Fording, R. C., &amp; Houser, L. (2009). Deciding to Discipline: Race, Choice, and Punishment at the Frontlines of Welfare Reform. </w:t>
      </w:r>
      <w:r w:rsidRPr="00E34C7C">
        <w:rPr>
          <w:rFonts w:cs="Arial"/>
          <w:i/>
          <w:iCs/>
          <w:lang w:val="en-GB"/>
        </w:rPr>
        <w:t>American Sociological Review, 74</w:t>
      </w:r>
      <w:r w:rsidRPr="00E34C7C">
        <w:rPr>
          <w:rFonts w:cs="Arial"/>
          <w:lang w:val="en-GB"/>
        </w:rPr>
        <w:t>(3), 398-422. https://doi.org/10.1177/000312240907400304</w:t>
      </w:r>
    </w:p>
    <w:p w14:paraId="08829D0F" w14:textId="4BA3A638" w:rsidR="000204E0" w:rsidRPr="00454815" w:rsidRDefault="000204E0" w:rsidP="009D577F">
      <w:pPr>
        <w:spacing w:after="0" w:line="360" w:lineRule="auto"/>
        <w:ind w:left="709" w:hanging="709"/>
        <w:rPr>
          <w:rFonts w:cs="Arial"/>
          <w:lang w:val="en-US"/>
        </w:rPr>
      </w:pPr>
      <w:r w:rsidRPr="00B870F3">
        <w:rPr>
          <w:rFonts w:cs="Arial"/>
          <w:lang w:val="en-GB"/>
        </w:rPr>
        <w:t xml:space="preserve">Sekulić, D. (2016) </w:t>
      </w:r>
      <w:proofErr w:type="spellStart"/>
      <w:r w:rsidRPr="00B870F3">
        <w:rPr>
          <w:rFonts w:cs="Arial"/>
          <w:lang w:val="en-GB"/>
        </w:rPr>
        <w:t>Ljevica</w:t>
      </w:r>
      <w:proofErr w:type="spellEnd"/>
      <w:r w:rsidRPr="00B870F3">
        <w:rPr>
          <w:rFonts w:cs="Arial"/>
          <w:lang w:val="en-GB"/>
        </w:rPr>
        <w:t xml:space="preserve"> </w:t>
      </w:r>
      <w:proofErr w:type="spellStart"/>
      <w:r w:rsidRPr="00B870F3">
        <w:rPr>
          <w:rFonts w:cs="Arial"/>
          <w:lang w:val="en-GB"/>
        </w:rPr>
        <w:t>i</w:t>
      </w:r>
      <w:proofErr w:type="spellEnd"/>
      <w:r w:rsidR="005813AD" w:rsidRPr="00B870F3">
        <w:rPr>
          <w:rFonts w:cs="Arial"/>
          <w:lang w:val="en-GB"/>
        </w:rPr>
        <w:t xml:space="preserve"> </w:t>
      </w:r>
      <w:proofErr w:type="spellStart"/>
      <w:r w:rsidR="005813AD" w:rsidRPr="00B870F3">
        <w:rPr>
          <w:rFonts w:cs="Arial"/>
          <w:lang w:val="en-GB"/>
        </w:rPr>
        <w:t>desnica</w:t>
      </w:r>
      <w:proofErr w:type="spellEnd"/>
      <w:r w:rsidR="005813AD" w:rsidRPr="00B870F3">
        <w:rPr>
          <w:rFonts w:cs="Arial"/>
          <w:lang w:val="en-GB"/>
        </w:rPr>
        <w:t xml:space="preserve"> u </w:t>
      </w:r>
      <w:proofErr w:type="spellStart"/>
      <w:r w:rsidR="005813AD" w:rsidRPr="00B870F3">
        <w:rPr>
          <w:rFonts w:cs="Arial"/>
          <w:lang w:val="en-GB"/>
        </w:rPr>
        <w:t>Hrvatskoj</w:t>
      </w:r>
      <w:proofErr w:type="spellEnd"/>
      <w:r w:rsidR="005813AD" w:rsidRPr="00B870F3">
        <w:rPr>
          <w:rFonts w:cs="Arial"/>
          <w:lang w:val="en-GB"/>
        </w:rPr>
        <w:t xml:space="preserve">. </w:t>
      </w:r>
      <w:r w:rsidR="005813AD" w:rsidRPr="00454815">
        <w:rPr>
          <w:rFonts w:cs="Arial"/>
          <w:lang w:val="en-US"/>
        </w:rPr>
        <w:t xml:space="preserve">(p.137-168). In </w:t>
      </w:r>
      <w:r w:rsidRPr="00454815">
        <w:rPr>
          <w:rFonts w:cs="Arial"/>
          <w:lang w:val="en-US"/>
        </w:rPr>
        <w:t>Sekulić</w:t>
      </w:r>
      <w:r w:rsidR="005813AD" w:rsidRPr="00454815">
        <w:rPr>
          <w:rFonts w:cs="Arial"/>
          <w:lang w:val="en-US"/>
        </w:rPr>
        <w:t>, D. (ed.).</w:t>
      </w:r>
      <w:r w:rsidRPr="00454815">
        <w:rPr>
          <w:rFonts w:cs="Arial"/>
          <w:lang w:val="en-US"/>
        </w:rPr>
        <w:t xml:space="preserve"> </w:t>
      </w:r>
      <w:proofErr w:type="spellStart"/>
      <w:r w:rsidRPr="00454815">
        <w:rPr>
          <w:rFonts w:cs="Arial"/>
          <w:i/>
          <w:lang w:val="en-US"/>
        </w:rPr>
        <w:t>Vrijednosti</w:t>
      </w:r>
      <w:proofErr w:type="spellEnd"/>
      <w:r w:rsidRPr="00454815">
        <w:rPr>
          <w:rFonts w:cs="Arial"/>
          <w:i/>
          <w:lang w:val="en-US"/>
        </w:rPr>
        <w:t xml:space="preserve"> u </w:t>
      </w:r>
      <w:proofErr w:type="spellStart"/>
      <w:r w:rsidRPr="00454815">
        <w:rPr>
          <w:rFonts w:cs="Arial"/>
          <w:i/>
          <w:lang w:val="en-US"/>
        </w:rPr>
        <w:t>hrvatskom</w:t>
      </w:r>
      <w:proofErr w:type="spellEnd"/>
      <w:r w:rsidRPr="00454815">
        <w:rPr>
          <w:rFonts w:cs="Arial"/>
          <w:i/>
          <w:lang w:val="en-US"/>
        </w:rPr>
        <w:t xml:space="preserve"> </w:t>
      </w:r>
      <w:proofErr w:type="spellStart"/>
      <w:r w:rsidRPr="00454815">
        <w:rPr>
          <w:rFonts w:cs="Arial"/>
          <w:i/>
          <w:lang w:val="en-US"/>
        </w:rPr>
        <w:t>dru</w:t>
      </w:r>
      <w:r w:rsidRPr="00454815">
        <w:rPr>
          <w:rFonts w:ascii="Calibri Light" w:hAnsi="Calibri Light" w:cs="Calibri Light"/>
          <w:i/>
          <w:lang w:val="en-US"/>
        </w:rPr>
        <w:t>š</w:t>
      </w:r>
      <w:r w:rsidRPr="00454815">
        <w:rPr>
          <w:rFonts w:cs="Arial"/>
          <w:i/>
          <w:lang w:val="en-US"/>
        </w:rPr>
        <w:t>tvu</w:t>
      </w:r>
      <w:proofErr w:type="spellEnd"/>
      <w:r w:rsidR="005813AD" w:rsidRPr="00454815">
        <w:rPr>
          <w:rFonts w:cs="Arial"/>
          <w:i/>
          <w:lang w:val="en-US"/>
        </w:rPr>
        <w:t>.</w:t>
      </w:r>
      <w:r w:rsidRPr="00454815">
        <w:rPr>
          <w:rFonts w:cs="Arial"/>
          <w:i/>
          <w:lang w:val="en-US"/>
        </w:rPr>
        <w:t xml:space="preserve"> </w:t>
      </w:r>
      <w:r w:rsidRPr="00454815">
        <w:rPr>
          <w:rFonts w:cs="Arial"/>
          <w:lang w:val="en-US"/>
        </w:rPr>
        <w:t xml:space="preserve">Zagreb: </w:t>
      </w:r>
      <w:proofErr w:type="spellStart"/>
      <w:r w:rsidRPr="00454815">
        <w:rPr>
          <w:rFonts w:cs="Arial"/>
          <w:lang w:val="en-US"/>
        </w:rPr>
        <w:t>Centar</w:t>
      </w:r>
      <w:proofErr w:type="spellEnd"/>
      <w:r w:rsidRPr="00454815">
        <w:rPr>
          <w:rFonts w:cs="Arial"/>
          <w:lang w:val="en-US"/>
        </w:rPr>
        <w:t xml:space="preserve"> </w:t>
      </w:r>
      <w:proofErr w:type="spellStart"/>
      <w:r w:rsidRPr="00454815">
        <w:rPr>
          <w:rFonts w:cs="Arial"/>
          <w:lang w:val="en-US"/>
        </w:rPr>
        <w:t>za</w:t>
      </w:r>
      <w:proofErr w:type="spellEnd"/>
      <w:r w:rsidRPr="00454815">
        <w:rPr>
          <w:rFonts w:cs="Arial"/>
          <w:lang w:val="en-US"/>
        </w:rPr>
        <w:t xml:space="preserve"> </w:t>
      </w:r>
      <w:proofErr w:type="spellStart"/>
      <w:r w:rsidRPr="00454815">
        <w:rPr>
          <w:rFonts w:cs="Arial"/>
          <w:lang w:val="en-US"/>
        </w:rPr>
        <w:t>demokraciju</w:t>
      </w:r>
      <w:proofErr w:type="spellEnd"/>
      <w:r w:rsidRPr="00454815">
        <w:rPr>
          <w:rFonts w:cs="Arial"/>
          <w:lang w:val="en-US"/>
        </w:rPr>
        <w:t xml:space="preserve"> </w:t>
      </w:r>
      <w:proofErr w:type="spellStart"/>
      <w:r w:rsidR="005813AD" w:rsidRPr="00454815">
        <w:rPr>
          <w:rFonts w:cs="Arial"/>
          <w:lang w:val="en-US"/>
        </w:rPr>
        <w:t>i</w:t>
      </w:r>
      <w:proofErr w:type="spellEnd"/>
      <w:r w:rsidR="005813AD" w:rsidRPr="00454815">
        <w:rPr>
          <w:rFonts w:cs="Arial"/>
          <w:lang w:val="en-US"/>
        </w:rPr>
        <w:t xml:space="preserve"> </w:t>
      </w:r>
      <w:proofErr w:type="spellStart"/>
      <w:r w:rsidR="005813AD" w:rsidRPr="00454815">
        <w:rPr>
          <w:rFonts w:cs="Arial"/>
          <w:lang w:val="en-US"/>
        </w:rPr>
        <w:t>pravo</w:t>
      </w:r>
      <w:proofErr w:type="spellEnd"/>
      <w:r w:rsidRPr="00454815">
        <w:rPr>
          <w:rFonts w:cs="Arial"/>
          <w:lang w:val="en-US"/>
        </w:rPr>
        <w:t xml:space="preserve"> </w:t>
      </w:r>
      <w:proofErr w:type="spellStart"/>
      <w:r w:rsidRPr="00454815">
        <w:rPr>
          <w:rFonts w:cs="Arial"/>
          <w:lang w:val="en-US"/>
        </w:rPr>
        <w:t>Miko</w:t>
      </w:r>
      <w:proofErr w:type="spellEnd"/>
      <w:r w:rsidRPr="00454815">
        <w:rPr>
          <w:rFonts w:cs="Arial"/>
          <w:lang w:val="en-US"/>
        </w:rPr>
        <w:t xml:space="preserve"> </w:t>
      </w:r>
      <w:proofErr w:type="spellStart"/>
      <w:r w:rsidRPr="00454815">
        <w:rPr>
          <w:rFonts w:cs="Arial"/>
          <w:lang w:val="en-US"/>
        </w:rPr>
        <w:t>Tripalo</w:t>
      </w:r>
      <w:proofErr w:type="spellEnd"/>
      <w:r w:rsidRPr="00454815">
        <w:rPr>
          <w:rFonts w:cs="Arial"/>
          <w:lang w:val="en-US"/>
        </w:rPr>
        <w:t>.</w:t>
      </w:r>
    </w:p>
    <w:p w14:paraId="53EAF9C1" w14:textId="6F1048AE" w:rsidR="007E5D41" w:rsidRPr="007515DE" w:rsidRDefault="007E5D41" w:rsidP="009D577F">
      <w:pPr>
        <w:spacing w:after="0" w:line="360" w:lineRule="auto"/>
        <w:ind w:left="709" w:hanging="709"/>
        <w:rPr>
          <w:rFonts w:cs="Arial"/>
          <w:lang w:val="en-US"/>
        </w:rPr>
      </w:pPr>
      <w:r w:rsidRPr="007515DE">
        <w:rPr>
          <w:rFonts w:cs="Arial"/>
          <w:lang w:val="en-US"/>
        </w:rPr>
        <w:t>Shin, H., &amp; Dovidio, J. F. (2018). Differences, threats, values, and country</w:t>
      </w:r>
      <w:r w:rsidRPr="007515DE">
        <w:rPr>
          <w:rFonts w:ascii="Cambria Math" w:hAnsi="Cambria Math" w:cs="Cambria Math"/>
          <w:lang w:val="en-US"/>
        </w:rPr>
        <w:t>‐</w:t>
      </w:r>
      <w:r w:rsidRPr="007515DE">
        <w:rPr>
          <w:rFonts w:cs="Arial"/>
          <w:lang w:val="en-US"/>
        </w:rPr>
        <w:t xml:space="preserve">specific prejudice toward immigrants and foreign workers in three major receiving countries: The United States, Germany, and Australia. </w:t>
      </w:r>
      <w:r w:rsidRPr="007515DE">
        <w:rPr>
          <w:rFonts w:cs="Arial"/>
          <w:i/>
          <w:iCs/>
          <w:lang w:val="en-US"/>
        </w:rPr>
        <w:t>Journal of Social Issues</w:t>
      </w:r>
      <w:r w:rsidRPr="007515DE">
        <w:rPr>
          <w:rFonts w:cs="Arial"/>
          <w:lang w:val="en-US"/>
        </w:rPr>
        <w:t xml:space="preserve">, </w:t>
      </w:r>
      <w:r w:rsidRPr="007515DE">
        <w:rPr>
          <w:rFonts w:cs="Arial"/>
          <w:i/>
          <w:iCs/>
          <w:lang w:val="en-US"/>
        </w:rPr>
        <w:t>74</w:t>
      </w:r>
      <w:r w:rsidRPr="007515DE">
        <w:rPr>
          <w:rFonts w:cs="Arial"/>
          <w:lang w:val="en-US"/>
        </w:rPr>
        <w:t xml:space="preserve">(4), 737-755. </w:t>
      </w:r>
      <w:hyperlink r:id="rId49" w:history="1">
        <w:r w:rsidR="00667202" w:rsidRPr="007515DE">
          <w:rPr>
            <w:rStyle w:val="Hyperlink"/>
            <w:rFonts w:cs="Arial"/>
            <w:lang w:val="en-US"/>
          </w:rPr>
          <w:t>https://doi.org/10.1111/josi.12296</w:t>
        </w:r>
      </w:hyperlink>
    </w:p>
    <w:p w14:paraId="4312D0ED" w14:textId="3F55F220" w:rsidR="007E5D41" w:rsidRPr="007515DE" w:rsidRDefault="007E5D41">
      <w:pPr>
        <w:spacing w:after="0" w:line="360" w:lineRule="auto"/>
        <w:ind w:left="709" w:hanging="709"/>
        <w:rPr>
          <w:rFonts w:eastAsia="Times New Roman" w:cs="Arial"/>
          <w:lang w:val="en-US"/>
        </w:rPr>
      </w:pPr>
      <w:proofErr w:type="spellStart"/>
      <w:r w:rsidRPr="007515DE">
        <w:rPr>
          <w:rFonts w:eastAsia="Times New Roman" w:cs="Arial"/>
          <w:lang w:val="en-US"/>
        </w:rPr>
        <w:t>Sidanius</w:t>
      </w:r>
      <w:proofErr w:type="spellEnd"/>
      <w:r w:rsidRPr="007515DE">
        <w:rPr>
          <w:rFonts w:eastAsia="Times New Roman" w:cs="Arial"/>
          <w:lang w:val="en-US"/>
        </w:rPr>
        <w:t xml:space="preserve">, J., &amp; Pratto, F. (1999). </w:t>
      </w:r>
      <w:r w:rsidRPr="007515DE">
        <w:rPr>
          <w:rFonts w:eastAsia="Times New Roman" w:cs="Arial"/>
          <w:i/>
          <w:lang w:val="en-US"/>
        </w:rPr>
        <w:t>Social dominance: An intergroup theory of social hierarchy and oppression</w:t>
      </w:r>
      <w:r w:rsidRPr="007515DE">
        <w:rPr>
          <w:rFonts w:eastAsia="Times New Roman" w:cs="Arial"/>
          <w:lang w:val="en-US"/>
        </w:rPr>
        <w:t>. New York: Cambridge University Press.</w:t>
      </w:r>
    </w:p>
    <w:p w14:paraId="5F368499" w14:textId="48C2B0B6" w:rsidR="00953A40" w:rsidRDefault="00667202" w:rsidP="002B57F0">
      <w:pPr>
        <w:spacing w:after="0" w:line="360" w:lineRule="auto"/>
        <w:ind w:left="709" w:hanging="709"/>
        <w:rPr>
          <w:rFonts w:eastAsia="Times New Roman" w:cs="Arial"/>
          <w:lang w:val="en-US"/>
        </w:rPr>
      </w:pPr>
      <w:r w:rsidRPr="007515DE">
        <w:rPr>
          <w:rFonts w:eastAsia="Times New Roman" w:cs="Arial"/>
          <w:lang w:val="en-US"/>
        </w:rPr>
        <w:t>Šimunović, D</w:t>
      </w:r>
      <w:r w:rsidR="00953A40" w:rsidRPr="007515DE">
        <w:rPr>
          <w:rFonts w:eastAsia="Times New Roman" w:cs="Arial"/>
          <w:lang w:val="en-US"/>
        </w:rPr>
        <w:t xml:space="preserve">. (2017). </w:t>
      </w:r>
      <w:r w:rsidR="004F41EA" w:rsidRPr="007515DE">
        <w:rPr>
          <w:rFonts w:eastAsia="Times New Roman" w:cs="Arial"/>
          <w:i/>
          <w:iCs/>
          <w:lang w:val="en-US"/>
        </w:rPr>
        <w:t>Minority versus Majority: A New Paradigm of Intergroup Conflict. [Doctoral dissertation, Bremen University]. SUU</w:t>
      </w:r>
      <w:r w:rsidR="0074549B" w:rsidRPr="007515DE">
        <w:rPr>
          <w:rFonts w:eastAsia="Times New Roman" w:cs="Arial"/>
          <w:i/>
          <w:iCs/>
          <w:lang w:val="en-US"/>
        </w:rPr>
        <w:t xml:space="preserve">B. </w:t>
      </w:r>
      <w:hyperlink r:id="rId50" w:history="1">
        <w:r w:rsidR="00CD5059" w:rsidRPr="00BE545F">
          <w:rPr>
            <w:rStyle w:val="Hyperlink"/>
            <w:rFonts w:eastAsia="Times New Roman" w:cs="Arial"/>
            <w:i/>
            <w:iCs/>
            <w:lang w:val="en-US"/>
          </w:rPr>
          <w:t>https://media.suub.uni-bremen.de/handle/elib/1472</w:t>
        </w:r>
      </w:hyperlink>
      <w:r w:rsidR="004F41EA" w:rsidRPr="007515DE">
        <w:rPr>
          <w:rFonts w:eastAsia="Times New Roman" w:cs="Arial"/>
          <w:lang w:val="en-US"/>
        </w:rPr>
        <w:t xml:space="preserve"> </w:t>
      </w:r>
    </w:p>
    <w:p w14:paraId="49EBF914" w14:textId="3F4B6072" w:rsidR="00CD5059" w:rsidRPr="007515DE" w:rsidRDefault="00CD5059" w:rsidP="002B57F0">
      <w:pPr>
        <w:spacing w:after="0" w:line="360" w:lineRule="auto"/>
        <w:ind w:left="709" w:hanging="709"/>
        <w:rPr>
          <w:rFonts w:eastAsia="Times New Roman" w:cs="Arial"/>
          <w:lang w:val="en-US"/>
        </w:rPr>
      </w:pPr>
      <w:r w:rsidRPr="00454815">
        <w:rPr>
          <w:lang w:val="en-US"/>
        </w:rPr>
        <w:t xml:space="preserve">Simunovic, D., </w:t>
      </w:r>
      <w:proofErr w:type="spellStart"/>
      <w:r w:rsidRPr="00454815">
        <w:rPr>
          <w:lang w:val="en-US"/>
        </w:rPr>
        <w:t>Kühnen</w:t>
      </w:r>
      <w:proofErr w:type="spellEnd"/>
      <w:r w:rsidRPr="00454815">
        <w:rPr>
          <w:lang w:val="en-US"/>
        </w:rPr>
        <w:t xml:space="preserve">, U., Spadaro, G., </w:t>
      </w:r>
      <w:proofErr w:type="spellStart"/>
      <w:r w:rsidRPr="00454815">
        <w:rPr>
          <w:lang w:val="en-US"/>
        </w:rPr>
        <w:t>Bandlow-Raffalski</w:t>
      </w:r>
      <w:proofErr w:type="spellEnd"/>
      <w:r w:rsidRPr="00454815">
        <w:rPr>
          <w:lang w:val="en-US"/>
        </w:rPr>
        <w:t xml:space="preserve">, S., &amp; </w:t>
      </w:r>
      <w:proofErr w:type="spellStart"/>
      <w:r w:rsidRPr="00454815">
        <w:rPr>
          <w:lang w:val="en-US"/>
        </w:rPr>
        <w:t>Wihelm</w:t>
      </w:r>
      <w:proofErr w:type="spellEnd"/>
      <w:r w:rsidRPr="00454815">
        <w:rPr>
          <w:lang w:val="en-US"/>
        </w:rPr>
        <w:t xml:space="preserve">, A.F.X. (2023). Fear, Greed and Group Composition: How Heterogeneity Impacts Expectations and Cooperation in the Public Goods Game. Available at SSRN: </w:t>
      </w:r>
      <w:hyperlink r:id="rId51" w:tgtFrame="_blank" w:history="1">
        <w:r w:rsidRPr="00454815">
          <w:rPr>
            <w:rStyle w:val="Hyperlink"/>
            <w:lang w:val="en-US"/>
          </w:rPr>
          <w:t>https://ssrn.com/abstract=4507865</w:t>
        </w:r>
      </w:hyperlink>
    </w:p>
    <w:p w14:paraId="3D0E2491" w14:textId="155CAE30" w:rsidR="007E5D41" w:rsidRDefault="007E5D41" w:rsidP="009D577F">
      <w:pPr>
        <w:spacing w:after="0" w:line="360" w:lineRule="auto"/>
        <w:ind w:left="709" w:hanging="709"/>
        <w:rPr>
          <w:rStyle w:val="Hyperlink"/>
          <w:rFonts w:eastAsia="Times New Roman" w:cs="Arial"/>
          <w:lang w:val="en-US"/>
        </w:rPr>
      </w:pPr>
      <w:proofErr w:type="spellStart"/>
      <w:r w:rsidRPr="007515DE">
        <w:rPr>
          <w:rFonts w:eastAsia="Times New Roman" w:cs="Arial"/>
          <w:lang w:val="en-US"/>
        </w:rPr>
        <w:t>Sjöstedt</w:t>
      </w:r>
      <w:proofErr w:type="spellEnd"/>
      <w:r w:rsidRPr="007515DE">
        <w:rPr>
          <w:rFonts w:eastAsia="Times New Roman" w:cs="Arial"/>
          <w:lang w:val="en-US"/>
        </w:rPr>
        <w:t xml:space="preserve">, M. (2013). Horizontal and vertical resource dilemmas in natural resource </w:t>
      </w:r>
      <w:r w:rsidR="00867904" w:rsidRPr="007515DE">
        <w:rPr>
          <w:rFonts w:eastAsia="Times New Roman" w:cs="Arial"/>
          <w:lang w:val="en-US"/>
        </w:rPr>
        <w:t>management: the case of A</w:t>
      </w:r>
      <w:r w:rsidRPr="007515DE">
        <w:rPr>
          <w:rFonts w:eastAsia="Times New Roman" w:cs="Arial"/>
          <w:lang w:val="en-US"/>
        </w:rPr>
        <w:t xml:space="preserve">frican fisheries. </w:t>
      </w:r>
      <w:r w:rsidRPr="007515DE">
        <w:rPr>
          <w:rFonts w:eastAsia="Times New Roman" w:cs="Arial"/>
          <w:i/>
          <w:iCs/>
          <w:lang w:val="en-US"/>
        </w:rPr>
        <w:t xml:space="preserve">Fish and </w:t>
      </w:r>
      <w:r w:rsidR="009D577F" w:rsidRPr="007515DE">
        <w:rPr>
          <w:rFonts w:eastAsia="Times New Roman" w:cs="Arial"/>
          <w:i/>
          <w:iCs/>
          <w:lang w:val="en-US"/>
        </w:rPr>
        <w:t>F</w:t>
      </w:r>
      <w:r w:rsidRPr="007515DE">
        <w:rPr>
          <w:rFonts w:eastAsia="Times New Roman" w:cs="Arial"/>
          <w:i/>
          <w:iCs/>
          <w:lang w:val="en-US"/>
        </w:rPr>
        <w:t>isheries</w:t>
      </w:r>
      <w:r w:rsidRPr="007515DE">
        <w:rPr>
          <w:rFonts w:eastAsia="Times New Roman" w:cs="Arial"/>
          <w:lang w:val="en-US"/>
        </w:rPr>
        <w:t xml:space="preserve">, </w:t>
      </w:r>
      <w:r w:rsidRPr="007515DE">
        <w:rPr>
          <w:rFonts w:eastAsia="Times New Roman" w:cs="Arial"/>
          <w:i/>
          <w:iCs/>
          <w:lang w:val="en-US"/>
        </w:rPr>
        <w:t>14</w:t>
      </w:r>
      <w:r w:rsidRPr="007515DE">
        <w:rPr>
          <w:rFonts w:eastAsia="Times New Roman" w:cs="Arial"/>
          <w:lang w:val="en-US"/>
        </w:rPr>
        <w:t>(4), 616-624.</w:t>
      </w:r>
      <w:r w:rsidR="00DB6067" w:rsidRPr="007515DE">
        <w:rPr>
          <w:rFonts w:eastAsia="Times New Roman" w:cs="Arial"/>
          <w:lang w:val="en-US"/>
        </w:rPr>
        <w:t xml:space="preserve"> </w:t>
      </w:r>
      <w:hyperlink r:id="rId52" w:history="1">
        <w:r w:rsidR="00667202" w:rsidRPr="007515DE">
          <w:rPr>
            <w:rStyle w:val="Hyperlink"/>
            <w:rFonts w:eastAsia="Times New Roman" w:cs="Arial"/>
            <w:lang w:val="en-US"/>
          </w:rPr>
          <w:t>https://doi.org/10.1111/j.1467-2979.2012.00481.x</w:t>
        </w:r>
      </w:hyperlink>
    </w:p>
    <w:p w14:paraId="0C795524" w14:textId="31E0C73D" w:rsidR="00F82593" w:rsidRPr="00E34C7C" w:rsidRDefault="00F82593" w:rsidP="009D577F">
      <w:pPr>
        <w:spacing w:after="0" w:line="360" w:lineRule="auto"/>
        <w:ind w:left="709" w:hanging="709"/>
        <w:rPr>
          <w:rFonts w:eastAsia="Times New Roman" w:cs="Arial"/>
          <w:lang w:val="en-US"/>
        </w:rPr>
      </w:pPr>
      <w:r>
        <w:rPr>
          <w:rStyle w:val="Hyperlink"/>
          <w:rFonts w:eastAsia="Times New Roman" w:cs="Arial"/>
          <w:color w:val="auto"/>
          <w:u w:val="none"/>
          <w:lang w:val="en-US"/>
        </w:rPr>
        <w:lastRenderedPageBreak/>
        <w:t xml:space="preserve">Soroka, S., </w:t>
      </w:r>
      <w:r w:rsidR="00E34C7C">
        <w:rPr>
          <w:rStyle w:val="Hyperlink"/>
          <w:rFonts w:eastAsia="Times New Roman" w:cs="Arial"/>
          <w:color w:val="auto"/>
          <w:u w:val="none"/>
          <w:lang w:val="en-US"/>
        </w:rPr>
        <w:t xml:space="preserve">Wright, M., Johnston, R., Citrin, J., Banting, K., &amp; </w:t>
      </w:r>
      <w:proofErr w:type="spellStart"/>
      <w:r w:rsidR="00E34C7C">
        <w:rPr>
          <w:rStyle w:val="Hyperlink"/>
          <w:rFonts w:eastAsia="Times New Roman" w:cs="Arial"/>
          <w:color w:val="auto"/>
          <w:u w:val="none"/>
          <w:lang w:val="en-US"/>
        </w:rPr>
        <w:t>Kymlicka</w:t>
      </w:r>
      <w:proofErr w:type="spellEnd"/>
      <w:r w:rsidR="00E34C7C">
        <w:rPr>
          <w:rStyle w:val="Hyperlink"/>
          <w:rFonts w:eastAsia="Times New Roman" w:cs="Arial"/>
          <w:color w:val="auto"/>
          <w:u w:val="none"/>
          <w:lang w:val="en-US"/>
        </w:rPr>
        <w:t xml:space="preserve">, W. (2017). Ethnoreligious Identity, Immigration and Redistribution. </w:t>
      </w:r>
      <w:r w:rsidR="00E34C7C">
        <w:rPr>
          <w:rStyle w:val="Hyperlink"/>
          <w:rFonts w:eastAsia="Times New Roman" w:cs="Arial"/>
          <w:i/>
          <w:iCs/>
          <w:color w:val="auto"/>
          <w:u w:val="none"/>
          <w:lang w:val="en-US"/>
        </w:rPr>
        <w:t>Journal of Experimental Political Science 4</w:t>
      </w:r>
      <w:r w:rsidR="00E34C7C">
        <w:rPr>
          <w:rStyle w:val="Hyperlink"/>
          <w:rFonts w:eastAsia="Times New Roman" w:cs="Arial"/>
          <w:color w:val="auto"/>
          <w:u w:val="none"/>
          <w:lang w:val="en-US"/>
        </w:rPr>
        <w:t>(3), 173-182</w:t>
      </w:r>
      <w:r>
        <w:rPr>
          <w:rStyle w:val="Hyperlink"/>
          <w:rFonts w:eastAsia="Times New Roman" w:cs="Arial"/>
          <w:i/>
          <w:iCs/>
          <w:color w:val="auto"/>
          <w:u w:val="none"/>
          <w:lang w:val="en-US"/>
        </w:rPr>
        <w:t>.</w:t>
      </w:r>
      <w:r w:rsidR="00E34C7C" w:rsidRPr="00E34C7C">
        <w:rPr>
          <w:rStyle w:val="Hyperlink"/>
          <w:rFonts w:eastAsia="Times New Roman" w:cs="Arial"/>
          <w:color w:val="auto"/>
          <w:u w:val="none"/>
          <w:lang w:val="en-US"/>
        </w:rPr>
        <w:t xml:space="preserve"> </w:t>
      </w:r>
      <w:hyperlink r:id="rId53" w:history="1">
        <w:r w:rsidR="00E34C7C" w:rsidRPr="00E34C7C">
          <w:rPr>
            <w:rStyle w:val="Hyperlink"/>
            <w:rFonts w:eastAsia="Times New Roman" w:cs="Arial"/>
            <w:lang w:val="en-US"/>
          </w:rPr>
          <w:t>https://doi.org/10.1017/XPS.2017.13</w:t>
        </w:r>
      </w:hyperlink>
      <w:r w:rsidR="00E34C7C" w:rsidRPr="00E34C7C">
        <w:rPr>
          <w:rStyle w:val="Hyperlink"/>
          <w:rFonts w:eastAsia="Times New Roman" w:cs="Arial"/>
          <w:color w:val="auto"/>
          <w:u w:val="none"/>
          <w:lang w:val="en-US"/>
        </w:rPr>
        <w:t xml:space="preserve"> </w:t>
      </w:r>
    </w:p>
    <w:p w14:paraId="0E89615A" w14:textId="161979C1" w:rsidR="00240036" w:rsidRPr="008B0F00" w:rsidRDefault="00240036" w:rsidP="002B57F0">
      <w:pPr>
        <w:spacing w:after="0" w:line="360" w:lineRule="auto"/>
        <w:ind w:left="709" w:hanging="709"/>
        <w:jc w:val="both"/>
        <w:rPr>
          <w:rFonts w:cs="Arial"/>
        </w:rPr>
      </w:pPr>
      <w:proofErr w:type="spellStart"/>
      <w:r w:rsidRPr="00E34C7C">
        <w:rPr>
          <w:rFonts w:cs="Arial"/>
          <w:lang w:val="en-US"/>
        </w:rPr>
        <w:t>Summermatter</w:t>
      </w:r>
      <w:proofErr w:type="spellEnd"/>
      <w:r w:rsidRPr="00E34C7C">
        <w:rPr>
          <w:rFonts w:cs="Arial"/>
          <w:lang w:val="en-US"/>
        </w:rPr>
        <w:t>, S. (2014, January 29).</w:t>
      </w:r>
      <w:r w:rsidRPr="007515DE">
        <w:rPr>
          <w:rFonts w:cs="Arial"/>
          <w:lang w:val="en-US"/>
        </w:rPr>
        <w:t xml:space="preserve"> </w:t>
      </w:r>
      <w:r w:rsidRPr="008B0F00">
        <w:rPr>
          <w:rFonts w:cs="Arial"/>
        </w:rPr>
        <w:t xml:space="preserve">Europas Migranten: “Parasiten” </w:t>
      </w:r>
      <w:r w:rsidR="007E5D41" w:rsidRPr="008B0F00">
        <w:rPr>
          <w:rFonts w:cs="Arial"/>
        </w:rPr>
        <w:t xml:space="preserve">des Sozialsystems? </w:t>
      </w:r>
      <w:r w:rsidR="007E5D41" w:rsidRPr="008B0F00">
        <w:rPr>
          <w:rFonts w:cs="Arial"/>
          <w:i/>
        </w:rPr>
        <w:t>Swissinfo.ch</w:t>
      </w:r>
      <w:r w:rsidR="007E5D41" w:rsidRPr="008B0F00">
        <w:rPr>
          <w:rFonts w:cs="Arial"/>
        </w:rPr>
        <w:t xml:space="preserve">. </w:t>
      </w:r>
      <w:r w:rsidRPr="008B0F00">
        <w:rPr>
          <w:rFonts w:cs="Arial"/>
        </w:rPr>
        <w:tab/>
      </w:r>
      <w:hyperlink r:id="rId54" w:history="1">
        <w:r w:rsidRPr="008B0F00">
          <w:rPr>
            <w:rStyle w:val="Hyperlink"/>
            <w:rFonts w:cs="Arial"/>
          </w:rPr>
          <w:t>http://www.swissinfo.ch/ger/politik/freier-personenverkehr_europas-migranten---parasiten--des-sozialsystems-/37789144</w:t>
        </w:r>
      </w:hyperlink>
    </w:p>
    <w:p w14:paraId="10149712" w14:textId="47B7CAB9" w:rsidR="00240036" w:rsidRPr="008B0F00" w:rsidRDefault="00240036" w:rsidP="009D577F">
      <w:pPr>
        <w:spacing w:after="0" w:line="360" w:lineRule="auto"/>
        <w:ind w:left="709" w:hanging="709"/>
        <w:jc w:val="both"/>
        <w:rPr>
          <w:rFonts w:cs="Arial"/>
        </w:rPr>
      </w:pPr>
      <w:r w:rsidRPr="008B0F00">
        <w:rPr>
          <w:rFonts w:cs="Arial"/>
        </w:rPr>
        <w:t>Tatalovi</w:t>
      </w:r>
      <w:r w:rsidR="00315812" w:rsidRPr="008B0F00">
        <w:rPr>
          <w:rFonts w:cs="Arial"/>
        </w:rPr>
        <w:t xml:space="preserve">ć, S. &amp; </w:t>
      </w:r>
      <w:r w:rsidRPr="008B0F00">
        <w:rPr>
          <w:rFonts w:cs="Arial"/>
        </w:rPr>
        <w:t>Jak</w:t>
      </w:r>
      <w:r w:rsidR="00315812" w:rsidRPr="008B0F00">
        <w:rPr>
          <w:rFonts w:cs="Arial"/>
        </w:rPr>
        <w:t>š</w:t>
      </w:r>
      <w:r w:rsidRPr="008B0F00">
        <w:rPr>
          <w:rFonts w:cs="Arial"/>
        </w:rPr>
        <w:t>evi</w:t>
      </w:r>
      <w:r w:rsidR="00315812" w:rsidRPr="008B0F00">
        <w:rPr>
          <w:rFonts w:cs="Arial"/>
        </w:rPr>
        <w:t xml:space="preserve">ć, R. (2016). </w:t>
      </w:r>
      <w:proofErr w:type="spellStart"/>
      <w:r w:rsidR="009D577F" w:rsidRPr="007515DE">
        <w:rPr>
          <w:rFonts w:cs="Arial"/>
          <w:i/>
          <w:lang w:val="en-US"/>
        </w:rPr>
        <w:t>Novopristigli</w:t>
      </w:r>
      <w:proofErr w:type="spellEnd"/>
      <w:r w:rsidR="009D577F" w:rsidRPr="007515DE">
        <w:rPr>
          <w:rFonts w:cs="Arial"/>
          <w:i/>
          <w:lang w:val="en-US"/>
        </w:rPr>
        <w:t xml:space="preserve"> </w:t>
      </w:r>
      <w:proofErr w:type="spellStart"/>
      <w:r w:rsidR="009D577F" w:rsidRPr="007515DE">
        <w:rPr>
          <w:rFonts w:cs="Arial"/>
          <w:i/>
          <w:lang w:val="en-US"/>
        </w:rPr>
        <w:t>migranti</w:t>
      </w:r>
      <w:proofErr w:type="spellEnd"/>
      <w:r w:rsidR="009D577F" w:rsidRPr="007515DE">
        <w:rPr>
          <w:rFonts w:cs="Arial"/>
          <w:i/>
          <w:lang w:val="en-US"/>
        </w:rPr>
        <w:t xml:space="preserve"> I </w:t>
      </w:r>
      <w:proofErr w:type="spellStart"/>
      <w:r w:rsidR="009D577F" w:rsidRPr="007515DE">
        <w:rPr>
          <w:rFonts w:cs="Arial"/>
          <w:i/>
          <w:lang w:val="en-US"/>
        </w:rPr>
        <w:t>nacionalne</w:t>
      </w:r>
      <w:proofErr w:type="spellEnd"/>
      <w:r w:rsidR="009D577F" w:rsidRPr="007515DE">
        <w:rPr>
          <w:rFonts w:cs="Arial"/>
          <w:i/>
          <w:lang w:val="en-US"/>
        </w:rPr>
        <w:t xml:space="preserve"> </w:t>
      </w:r>
      <w:proofErr w:type="spellStart"/>
      <w:r w:rsidR="009D577F" w:rsidRPr="007515DE">
        <w:rPr>
          <w:rFonts w:cs="Arial"/>
          <w:i/>
          <w:lang w:val="en-US"/>
        </w:rPr>
        <w:t>manjine</w:t>
      </w:r>
      <w:proofErr w:type="spellEnd"/>
      <w:r w:rsidR="009D577F" w:rsidRPr="007515DE">
        <w:rPr>
          <w:rFonts w:cs="Arial"/>
          <w:i/>
          <w:lang w:val="en-US"/>
        </w:rPr>
        <w:t xml:space="preserve"> u </w:t>
      </w:r>
      <w:proofErr w:type="spellStart"/>
      <w:r w:rsidR="009D577F" w:rsidRPr="007515DE">
        <w:rPr>
          <w:rFonts w:cs="Arial"/>
          <w:i/>
          <w:lang w:val="en-US"/>
        </w:rPr>
        <w:t>Hrvatskoj</w:t>
      </w:r>
      <w:proofErr w:type="spellEnd"/>
      <w:r w:rsidR="009D577F" w:rsidRPr="007515DE">
        <w:rPr>
          <w:rFonts w:cs="Arial"/>
          <w:i/>
          <w:lang w:val="en-US"/>
        </w:rPr>
        <w:t>/</w:t>
      </w:r>
      <w:r w:rsidR="00315812" w:rsidRPr="007515DE">
        <w:rPr>
          <w:rFonts w:cs="Arial"/>
          <w:i/>
          <w:lang w:val="en-US"/>
        </w:rPr>
        <w:t>Newly Arriving Migrants and Minorities in Croatia</w:t>
      </w:r>
      <w:r w:rsidR="00315812" w:rsidRPr="007515DE">
        <w:rPr>
          <w:rFonts w:cs="Arial"/>
          <w:lang w:val="en-US"/>
        </w:rPr>
        <w:t xml:space="preserve">. </w:t>
      </w:r>
      <w:r w:rsidR="00BF2A7F" w:rsidRPr="008B0F00">
        <w:rPr>
          <w:rFonts w:cs="Arial"/>
        </w:rPr>
        <w:t xml:space="preserve">Zagreb, Croatia: </w:t>
      </w:r>
      <w:r w:rsidR="00315812" w:rsidRPr="008B0F00">
        <w:rPr>
          <w:rFonts w:cs="Arial"/>
        </w:rPr>
        <w:t>Friedrich Ebert Stiftung.</w:t>
      </w:r>
      <w:r w:rsidR="009D577F" w:rsidRPr="008B0F00">
        <w:t xml:space="preserve"> </w:t>
      </w:r>
      <w:hyperlink r:id="rId55" w:history="1">
        <w:r w:rsidR="009D577F" w:rsidRPr="008B0F00">
          <w:rPr>
            <w:rStyle w:val="Hyperlink"/>
          </w:rPr>
          <w:t>https://library.fes.de/pdf-files/bueros/kroatien/13058.pdf</w:t>
        </w:r>
      </w:hyperlink>
    </w:p>
    <w:p w14:paraId="33EFC0FE" w14:textId="7CE65DEB" w:rsidR="007E5D41" w:rsidRPr="007515DE" w:rsidRDefault="007E5D41" w:rsidP="009D577F">
      <w:pPr>
        <w:spacing w:after="0" w:line="360" w:lineRule="auto"/>
        <w:ind w:left="709" w:hanging="709"/>
        <w:jc w:val="both"/>
        <w:rPr>
          <w:rFonts w:cs="Arial"/>
          <w:lang w:val="en-US"/>
        </w:rPr>
      </w:pPr>
      <w:r w:rsidRPr="007515DE">
        <w:rPr>
          <w:rFonts w:cs="Arial"/>
          <w:lang w:val="en-US"/>
        </w:rPr>
        <w:t xml:space="preserve">Thomann, E., &amp; Rapp, C. (2018). Who deserves solidarity? Unequal treatment of immigrants in Swiss welfare policy delivery. </w:t>
      </w:r>
      <w:r w:rsidRPr="007515DE">
        <w:rPr>
          <w:rFonts w:cs="Arial"/>
          <w:i/>
          <w:iCs/>
          <w:lang w:val="en-US"/>
        </w:rPr>
        <w:t>Policy Studies Journal</w:t>
      </w:r>
      <w:r w:rsidRPr="007515DE">
        <w:rPr>
          <w:rFonts w:cs="Arial"/>
          <w:lang w:val="en-US"/>
        </w:rPr>
        <w:t xml:space="preserve">, </w:t>
      </w:r>
      <w:r w:rsidRPr="007515DE">
        <w:rPr>
          <w:rFonts w:cs="Arial"/>
          <w:i/>
          <w:iCs/>
          <w:lang w:val="en-US"/>
        </w:rPr>
        <w:t>46</w:t>
      </w:r>
      <w:r w:rsidRPr="007515DE">
        <w:rPr>
          <w:rFonts w:cs="Arial"/>
          <w:lang w:val="en-US"/>
        </w:rPr>
        <w:t>(3), 531-552.</w:t>
      </w:r>
      <w:r w:rsidR="009D577F" w:rsidRPr="007515DE">
        <w:rPr>
          <w:rFonts w:cs="Arial"/>
          <w:lang w:val="en-US"/>
        </w:rPr>
        <w:t xml:space="preserve"> </w:t>
      </w:r>
      <w:hyperlink r:id="rId56" w:history="1">
        <w:r w:rsidR="00667202" w:rsidRPr="007515DE">
          <w:rPr>
            <w:rStyle w:val="Hyperlink"/>
            <w:rFonts w:cs="Arial"/>
            <w:lang w:val="en-US"/>
          </w:rPr>
          <w:t>https://doi.org/10.1111/psj.12225</w:t>
        </w:r>
      </w:hyperlink>
    </w:p>
    <w:p w14:paraId="73614B7C" w14:textId="77777777" w:rsidR="00CD5059" w:rsidRDefault="00240036" w:rsidP="00454815">
      <w:pPr>
        <w:spacing w:after="0" w:line="360" w:lineRule="auto"/>
        <w:ind w:left="709" w:hanging="709"/>
        <w:rPr>
          <w:rStyle w:val="Hyperlink"/>
          <w:rFonts w:cs="Arial"/>
          <w:lang w:val="en-US"/>
        </w:rPr>
      </w:pPr>
      <w:r w:rsidRPr="00454815">
        <w:rPr>
          <w:rFonts w:cs="Arial"/>
        </w:rPr>
        <w:t xml:space="preserve">Uhlendorff, A., &amp; Zimmermann, K. F. (2014). </w:t>
      </w:r>
      <w:r w:rsidRPr="007515DE">
        <w:rPr>
          <w:rFonts w:cs="Arial"/>
          <w:lang w:val="en-US"/>
        </w:rPr>
        <w:t xml:space="preserve">Unemployment dynamics among migrants and natives. </w:t>
      </w:r>
      <w:proofErr w:type="spellStart"/>
      <w:r w:rsidRPr="007515DE">
        <w:rPr>
          <w:rFonts w:cs="Arial"/>
          <w:i/>
          <w:iCs/>
          <w:lang w:val="en-US"/>
        </w:rPr>
        <w:t>Economica</w:t>
      </w:r>
      <w:proofErr w:type="spellEnd"/>
      <w:r w:rsidRPr="007515DE">
        <w:rPr>
          <w:rFonts w:cs="Arial"/>
          <w:lang w:val="en-US"/>
        </w:rPr>
        <w:t xml:space="preserve">, </w:t>
      </w:r>
      <w:r w:rsidRPr="007515DE">
        <w:rPr>
          <w:rFonts w:cs="Arial"/>
          <w:i/>
          <w:iCs/>
          <w:lang w:val="en-US"/>
        </w:rPr>
        <w:t>81</w:t>
      </w:r>
      <w:r w:rsidRPr="007515DE">
        <w:rPr>
          <w:rFonts w:cs="Arial"/>
          <w:lang w:val="en-US"/>
        </w:rPr>
        <w:t>(322), 348-367.</w:t>
      </w:r>
      <w:r w:rsidR="00622920" w:rsidRPr="007515DE">
        <w:rPr>
          <w:rFonts w:cs="Arial"/>
          <w:lang w:val="en-US"/>
        </w:rPr>
        <w:t xml:space="preserve"> </w:t>
      </w:r>
      <w:hyperlink r:id="rId57" w:history="1">
        <w:r w:rsidR="003A6947" w:rsidRPr="00DC707F">
          <w:rPr>
            <w:rStyle w:val="Hyperlink"/>
            <w:rFonts w:cs="Arial"/>
            <w:lang w:val="en-US"/>
          </w:rPr>
          <w:t>https://doi.org/10.1111/ecca.1207</w:t>
        </w:r>
      </w:hyperlink>
    </w:p>
    <w:p w14:paraId="174D9206" w14:textId="7699C124" w:rsidR="00CD5059" w:rsidRDefault="00CD5059" w:rsidP="00454815">
      <w:pPr>
        <w:spacing w:after="0" w:line="360" w:lineRule="auto"/>
        <w:ind w:left="709" w:hanging="709"/>
        <w:rPr>
          <w:rFonts w:eastAsia="Times New Roman" w:cs="Arial"/>
          <w:lang w:val="en-US"/>
        </w:rPr>
      </w:pPr>
      <w:r w:rsidRPr="00454815">
        <w:rPr>
          <w:rFonts w:eastAsia="Times New Roman" w:cs="Arial"/>
          <w:lang w:val="en-US"/>
        </w:rPr>
        <w:t xml:space="preserve">Wenzel, M., </w:t>
      </w:r>
      <w:proofErr w:type="spellStart"/>
      <w:r w:rsidRPr="00454815">
        <w:rPr>
          <w:rFonts w:eastAsia="Times New Roman" w:cs="Arial"/>
          <w:lang w:val="en-US"/>
        </w:rPr>
        <w:t>Mummendey</w:t>
      </w:r>
      <w:proofErr w:type="spellEnd"/>
      <w:r w:rsidRPr="00454815">
        <w:rPr>
          <w:rFonts w:eastAsia="Times New Roman" w:cs="Arial"/>
          <w:lang w:val="en-US"/>
        </w:rPr>
        <w:t xml:space="preserve">, A., &amp; </w:t>
      </w:r>
      <w:proofErr w:type="spellStart"/>
      <w:r w:rsidRPr="00454815">
        <w:rPr>
          <w:rFonts w:eastAsia="Times New Roman" w:cs="Arial"/>
          <w:lang w:val="en-US"/>
        </w:rPr>
        <w:t>Waldzus</w:t>
      </w:r>
      <w:proofErr w:type="spellEnd"/>
      <w:r w:rsidRPr="00454815">
        <w:rPr>
          <w:rFonts w:eastAsia="Times New Roman" w:cs="Arial"/>
          <w:lang w:val="en-US"/>
        </w:rPr>
        <w:t xml:space="preserve">, S. (2008). Superordinate identities and intergroup conflict: The ingroup projection model. </w:t>
      </w:r>
      <w:r w:rsidRPr="00454815">
        <w:rPr>
          <w:rFonts w:eastAsia="Times New Roman" w:cs="Arial"/>
          <w:i/>
          <w:iCs/>
          <w:lang w:val="en-US"/>
        </w:rPr>
        <w:t>European review of social psychology</w:t>
      </w:r>
      <w:r w:rsidRPr="00454815">
        <w:rPr>
          <w:rFonts w:eastAsia="Times New Roman" w:cs="Arial"/>
          <w:lang w:val="en-US"/>
        </w:rPr>
        <w:t xml:space="preserve">, </w:t>
      </w:r>
      <w:r w:rsidRPr="00454815">
        <w:rPr>
          <w:rFonts w:eastAsia="Times New Roman" w:cs="Arial"/>
          <w:i/>
          <w:iCs/>
          <w:lang w:val="en-US"/>
        </w:rPr>
        <w:t>18</w:t>
      </w:r>
      <w:r w:rsidRPr="00454815">
        <w:rPr>
          <w:rFonts w:eastAsia="Times New Roman" w:cs="Arial"/>
          <w:lang w:val="en-US"/>
        </w:rPr>
        <w:t>(1), 331-372.</w:t>
      </w:r>
    </w:p>
    <w:p w14:paraId="2AD00589" w14:textId="46211450" w:rsidR="00365B5B" w:rsidRPr="00454815" w:rsidRDefault="00365B5B" w:rsidP="00454815">
      <w:pPr>
        <w:spacing w:after="0" w:line="360" w:lineRule="auto"/>
        <w:ind w:left="709" w:hanging="709"/>
        <w:rPr>
          <w:rFonts w:cs="Arial"/>
          <w:color w:val="0000FF"/>
          <w:u w:val="single"/>
          <w:lang w:val="en-US"/>
        </w:rPr>
      </w:pPr>
      <w:r>
        <w:rPr>
          <w:rFonts w:eastAsia="Times New Roman" w:cs="Arial"/>
          <w:lang w:val="en-US"/>
        </w:rPr>
        <w:t>Zick, A., Wolf, C., K</w:t>
      </w:r>
      <w:r>
        <w:rPr>
          <w:rFonts w:ascii="Calibri" w:eastAsia="Times New Roman" w:hAnsi="Calibri" w:cs="Calibri"/>
          <w:lang w:val="en-US"/>
        </w:rPr>
        <w:t>ü</w:t>
      </w:r>
      <w:r>
        <w:rPr>
          <w:rFonts w:eastAsia="Times New Roman" w:cs="Arial"/>
          <w:lang w:val="en-US"/>
        </w:rPr>
        <w:t xml:space="preserve">pper, B., Davidov, E., Schmidt, P., &amp; Heitmeyer, W. (2008). The Syndrome of Group-Focused Enmity: The </w:t>
      </w:r>
      <w:r w:rsidR="006C2DF7">
        <w:rPr>
          <w:rFonts w:eastAsia="Times New Roman" w:cs="Arial"/>
          <w:lang w:val="en-US"/>
        </w:rPr>
        <w:t>Interrelation</w:t>
      </w:r>
      <w:r>
        <w:rPr>
          <w:rFonts w:eastAsia="Times New Roman" w:cs="Arial"/>
          <w:lang w:val="en-US"/>
        </w:rPr>
        <w:t xml:space="preserve"> of Prejudices Tested with Multiple Cross-</w:t>
      </w:r>
      <w:r w:rsidR="006C2DF7">
        <w:rPr>
          <w:rFonts w:eastAsia="Times New Roman" w:cs="Arial"/>
          <w:lang w:val="en-US"/>
        </w:rPr>
        <w:t>Sectional</w:t>
      </w:r>
      <w:r>
        <w:rPr>
          <w:rFonts w:eastAsia="Times New Roman" w:cs="Arial"/>
          <w:lang w:val="en-US"/>
        </w:rPr>
        <w:t xml:space="preserve"> and Panel Data. </w:t>
      </w:r>
      <w:r>
        <w:rPr>
          <w:rFonts w:eastAsia="Times New Roman" w:cs="Arial"/>
          <w:i/>
          <w:lang w:val="en-US"/>
        </w:rPr>
        <w:t xml:space="preserve">Social Issues </w:t>
      </w:r>
      <w:r w:rsidR="00BB6E8B">
        <w:rPr>
          <w:rFonts w:eastAsia="Times New Roman" w:cs="Arial"/>
          <w:i/>
          <w:lang w:val="en-US"/>
        </w:rPr>
        <w:t>64</w:t>
      </w:r>
      <w:r w:rsidR="00BB6E8B">
        <w:rPr>
          <w:rFonts w:eastAsia="Times New Roman" w:cs="Arial"/>
          <w:lang w:val="en-US"/>
        </w:rPr>
        <w:t>(2), 363-383.</w:t>
      </w:r>
    </w:p>
    <w:p w14:paraId="732BCA99" w14:textId="692A8D38" w:rsidR="00EA06EF" w:rsidRPr="00146CA3" w:rsidRDefault="00EA06EF" w:rsidP="00146CA3">
      <w:pPr>
        <w:spacing w:after="0" w:line="360" w:lineRule="auto"/>
        <w:jc w:val="both"/>
        <w:rPr>
          <w:rStyle w:val="Hyperlink"/>
          <w:rFonts w:cs="Arial"/>
          <w:color w:val="auto"/>
          <w:u w:val="none"/>
        </w:rPr>
      </w:pPr>
    </w:p>
    <w:sectPr w:rsidR="00EA06EF" w:rsidRPr="00146CA3" w:rsidSect="001E3D01">
      <w:headerReference w:type="default" r:id="rId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F16B1" w14:textId="77777777" w:rsidR="001749F2" w:rsidRDefault="001749F2" w:rsidP="001042BC">
      <w:pPr>
        <w:spacing w:after="0" w:line="240" w:lineRule="auto"/>
      </w:pPr>
      <w:r>
        <w:separator/>
      </w:r>
    </w:p>
  </w:endnote>
  <w:endnote w:type="continuationSeparator" w:id="0">
    <w:p w14:paraId="62A03755" w14:textId="77777777" w:rsidR="001749F2" w:rsidRDefault="001749F2" w:rsidP="0010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458E7" w14:textId="77777777" w:rsidR="001749F2" w:rsidRDefault="001749F2" w:rsidP="001042BC">
      <w:pPr>
        <w:spacing w:after="0" w:line="240" w:lineRule="auto"/>
      </w:pPr>
      <w:r>
        <w:separator/>
      </w:r>
    </w:p>
  </w:footnote>
  <w:footnote w:type="continuationSeparator" w:id="0">
    <w:p w14:paraId="79E53337" w14:textId="77777777" w:rsidR="001749F2" w:rsidRDefault="001749F2" w:rsidP="00104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524768"/>
      <w:docPartObj>
        <w:docPartGallery w:val="Page Numbers (Top of Page)"/>
        <w:docPartUnique/>
      </w:docPartObj>
    </w:sdtPr>
    <w:sdtEndPr>
      <w:rPr>
        <w:noProof/>
      </w:rPr>
    </w:sdtEndPr>
    <w:sdtContent>
      <w:p w14:paraId="75C59C95" w14:textId="27E06F3B" w:rsidR="0074763B" w:rsidRDefault="0074763B">
        <w:pPr>
          <w:pStyle w:val="Header"/>
        </w:pPr>
        <w:r>
          <w:fldChar w:fldCharType="begin"/>
        </w:r>
        <w:r>
          <w:instrText xml:space="preserve"> PAGE   \* MERGEFORMAT </w:instrText>
        </w:r>
        <w:r>
          <w:fldChar w:fldCharType="separate"/>
        </w:r>
        <w:r w:rsidR="000A4EE4">
          <w:rPr>
            <w:noProof/>
          </w:rPr>
          <w:t>29</w:t>
        </w:r>
        <w:r>
          <w:rPr>
            <w:noProof/>
          </w:rPr>
          <w:fldChar w:fldCharType="end"/>
        </w:r>
        <w:r>
          <w:rPr>
            <w:noProof/>
          </w:rPr>
          <w:tab/>
        </w:r>
        <w:r>
          <w:rPr>
            <w:noProof/>
          </w:rPr>
          <w:tab/>
          <w:t>Us and Ours</w:t>
        </w:r>
      </w:p>
    </w:sdtContent>
  </w:sdt>
  <w:p w14:paraId="2219D91A" w14:textId="77777777" w:rsidR="003365D7" w:rsidRDefault="00336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00844"/>
    <w:multiLevelType w:val="hybridMultilevel"/>
    <w:tmpl w:val="83249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0C1C65"/>
    <w:multiLevelType w:val="hybridMultilevel"/>
    <w:tmpl w:val="051C4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DA2779C"/>
    <w:multiLevelType w:val="hybridMultilevel"/>
    <w:tmpl w:val="C4A0E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D5"/>
    <w:rsid w:val="00010464"/>
    <w:rsid w:val="000204E0"/>
    <w:rsid w:val="00021883"/>
    <w:rsid w:val="00034343"/>
    <w:rsid w:val="00045987"/>
    <w:rsid w:val="00046737"/>
    <w:rsid w:val="00047E88"/>
    <w:rsid w:val="00051BD7"/>
    <w:rsid w:val="00054349"/>
    <w:rsid w:val="00060474"/>
    <w:rsid w:val="000649C0"/>
    <w:rsid w:val="000651B3"/>
    <w:rsid w:val="000659B5"/>
    <w:rsid w:val="00067B7A"/>
    <w:rsid w:val="00072FDD"/>
    <w:rsid w:val="000748DD"/>
    <w:rsid w:val="000749E5"/>
    <w:rsid w:val="00075B87"/>
    <w:rsid w:val="000804B3"/>
    <w:rsid w:val="00081E87"/>
    <w:rsid w:val="000948BF"/>
    <w:rsid w:val="000A0617"/>
    <w:rsid w:val="000A33DE"/>
    <w:rsid w:val="000A480D"/>
    <w:rsid w:val="000A4EE4"/>
    <w:rsid w:val="000B4F74"/>
    <w:rsid w:val="000C3205"/>
    <w:rsid w:val="000C3EBC"/>
    <w:rsid w:val="000D1160"/>
    <w:rsid w:val="000D677B"/>
    <w:rsid w:val="000E0210"/>
    <w:rsid w:val="000E1D72"/>
    <w:rsid w:val="000F1CD2"/>
    <w:rsid w:val="000F7B95"/>
    <w:rsid w:val="00101220"/>
    <w:rsid w:val="00102571"/>
    <w:rsid w:val="001042BC"/>
    <w:rsid w:val="001077DF"/>
    <w:rsid w:val="0011009F"/>
    <w:rsid w:val="00111F03"/>
    <w:rsid w:val="00113E01"/>
    <w:rsid w:val="0011654E"/>
    <w:rsid w:val="001251C6"/>
    <w:rsid w:val="001272DA"/>
    <w:rsid w:val="00130F5C"/>
    <w:rsid w:val="001364B9"/>
    <w:rsid w:val="00136F19"/>
    <w:rsid w:val="00141B83"/>
    <w:rsid w:val="00146CA3"/>
    <w:rsid w:val="00150B50"/>
    <w:rsid w:val="00152087"/>
    <w:rsid w:val="0015610F"/>
    <w:rsid w:val="00162274"/>
    <w:rsid w:val="00162A00"/>
    <w:rsid w:val="0016346B"/>
    <w:rsid w:val="00164BC3"/>
    <w:rsid w:val="001651B6"/>
    <w:rsid w:val="001656B6"/>
    <w:rsid w:val="00173D33"/>
    <w:rsid w:val="001746E6"/>
    <w:rsid w:val="001749F2"/>
    <w:rsid w:val="0018582A"/>
    <w:rsid w:val="00186CC9"/>
    <w:rsid w:val="001B70CE"/>
    <w:rsid w:val="001C1B3A"/>
    <w:rsid w:val="001C2547"/>
    <w:rsid w:val="001C6092"/>
    <w:rsid w:val="001C6E3E"/>
    <w:rsid w:val="001D2EE2"/>
    <w:rsid w:val="001D61EF"/>
    <w:rsid w:val="001D685D"/>
    <w:rsid w:val="001E1FE1"/>
    <w:rsid w:val="001E3D01"/>
    <w:rsid w:val="00202FEE"/>
    <w:rsid w:val="00216192"/>
    <w:rsid w:val="00240036"/>
    <w:rsid w:val="002414A6"/>
    <w:rsid w:val="00242161"/>
    <w:rsid w:val="0024493C"/>
    <w:rsid w:val="00256E66"/>
    <w:rsid w:val="002643B1"/>
    <w:rsid w:val="00267330"/>
    <w:rsid w:val="0026786D"/>
    <w:rsid w:val="00275397"/>
    <w:rsid w:val="002761E5"/>
    <w:rsid w:val="00276BEA"/>
    <w:rsid w:val="0028399B"/>
    <w:rsid w:val="002840E0"/>
    <w:rsid w:val="002848D2"/>
    <w:rsid w:val="0029517C"/>
    <w:rsid w:val="0029566F"/>
    <w:rsid w:val="00295A51"/>
    <w:rsid w:val="0029662F"/>
    <w:rsid w:val="002A7109"/>
    <w:rsid w:val="002A74A7"/>
    <w:rsid w:val="002B57F0"/>
    <w:rsid w:val="002C22A1"/>
    <w:rsid w:val="002C4862"/>
    <w:rsid w:val="002C7C0D"/>
    <w:rsid w:val="002C7C8E"/>
    <w:rsid w:val="002D4FA2"/>
    <w:rsid w:val="002F61FD"/>
    <w:rsid w:val="00300032"/>
    <w:rsid w:val="00303572"/>
    <w:rsid w:val="00306579"/>
    <w:rsid w:val="00306CA6"/>
    <w:rsid w:val="003070B7"/>
    <w:rsid w:val="00315812"/>
    <w:rsid w:val="003158CD"/>
    <w:rsid w:val="00316607"/>
    <w:rsid w:val="003365D7"/>
    <w:rsid w:val="00341696"/>
    <w:rsid w:val="00343FC8"/>
    <w:rsid w:val="00344210"/>
    <w:rsid w:val="003454DF"/>
    <w:rsid w:val="00346965"/>
    <w:rsid w:val="00356B32"/>
    <w:rsid w:val="00364D8B"/>
    <w:rsid w:val="00365B5B"/>
    <w:rsid w:val="00373209"/>
    <w:rsid w:val="003859D8"/>
    <w:rsid w:val="00397284"/>
    <w:rsid w:val="003A6947"/>
    <w:rsid w:val="003A76F8"/>
    <w:rsid w:val="003C0CD1"/>
    <w:rsid w:val="003C4EBD"/>
    <w:rsid w:val="003C72A3"/>
    <w:rsid w:val="003C7911"/>
    <w:rsid w:val="003D1AEC"/>
    <w:rsid w:val="003D6B3C"/>
    <w:rsid w:val="003E0B3C"/>
    <w:rsid w:val="003E1D42"/>
    <w:rsid w:val="003E35A9"/>
    <w:rsid w:val="003F094A"/>
    <w:rsid w:val="0040495D"/>
    <w:rsid w:val="00411093"/>
    <w:rsid w:val="0041263C"/>
    <w:rsid w:val="004136C6"/>
    <w:rsid w:val="00422C92"/>
    <w:rsid w:val="0042519D"/>
    <w:rsid w:val="00432568"/>
    <w:rsid w:val="004360C6"/>
    <w:rsid w:val="00437CAB"/>
    <w:rsid w:val="00442292"/>
    <w:rsid w:val="004446AE"/>
    <w:rsid w:val="00452C0A"/>
    <w:rsid w:val="00454815"/>
    <w:rsid w:val="00454B1A"/>
    <w:rsid w:val="0046283A"/>
    <w:rsid w:val="00465151"/>
    <w:rsid w:val="004709F0"/>
    <w:rsid w:val="00480A7B"/>
    <w:rsid w:val="00490108"/>
    <w:rsid w:val="00493B8E"/>
    <w:rsid w:val="004942F9"/>
    <w:rsid w:val="004A0B84"/>
    <w:rsid w:val="004A11AB"/>
    <w:rsid w:val="004A74AD"/>
    <w:rsid w:val="004A79CE"/>
    <w:rsid w:val="004B032B"/>
    <w:rsid w:val="004B158F"/>
    <w:rsid w:val="004B5364"/>
    <w:rsid w:val="004B66FA"/>
    <w:rsid w:val="004C01D3"/>
    <w:rsid w:val="004C0305"/>
    <w:rsid w:val="004C147A"/>
    <w:rsid w:val="004C2416"/>
    <w:rsid w:val="004D6011"/>
    <w:rsid w:val="004E53D7"/>
    <w:rsid w:val="004F0A55"/>
    <w:rsid w:val="004F41EA"/>
    <w:rsid w:val="0050561D"/>
    <w:rsid w:val="005071F6"/>
    <w:rsid w:val="00510171"/>
    <w:rsid w:val="00512572"/>
    <w:rsid w:val="005139F5"/>
    <w:rsid w:val="00513F31"/>
    <w:rsid w:val="0051497B"/>
    <w:rsid w:val="00521AD5"/>
    <w:rsid w:val="005231B2"/>
    <w:rsid w:val="005234B5"/>
    <w:rsid w:val="00524FE6"/>
    <w:rsid w:val="00534A53"/>
    <w:rsid w:val="00534BD3"/>
    <w:rsid w:val="005353E3"/>
    <w:rsid w:val="005369F5"/>
    <w:rsid w:val="00542F80"/>
    <w:rsid w:val="005445B2"/>
    <w:rsid w:val="0057037B"/>
    <w:rsid w:val="00573C88"/>
    <w:rsid w:val="00576CE5"/>
    <w:rsid w:val="00580A2F"/>
    <w:rsid w:val="005813AD"/>
    <w:rsid w:val="00581E1B"/>
    <w:rsid w:val="00584984"/>
    <w:rsid w:val="00584C59"/>
    <w:rsid w:val="005852C9"/>
    <w:rsid w:val="005864C0"/>
    <w:rsid w:val="00594F36"/>
    <w:rsid w:val="0059772C"/>
    <w:rsid w:val="005A41D5"/>
    <w:rsid w:val="005B2132"/>
    <w:rsid w:val="005C432D"/>
    <w:rsid w:val="005C45B2"/>
    <w:rsid w:val="005C5282"/>
    <w:rsid w:val="005C6A4E"/>
    <w:rsid w:val="005C6AFE"/>
    <w:rsid w:val="005D08F4"/>
    <w:rsid w:val="005E4AF4"/>
    <w:rsid w:val="00602461"/>
    <w:rsid w:val="00602E22"/>
    <w:rsid w:val="00622920"/>
    <w:rsid w:val="0064194C"/>
    <w:rsid w:val="00641FB9"/>
    <w:rsid w:val="00642891"/>
    <w:rsid w:val="00647960"/>
    <w:rsid w:val="006510CB"/>
    <w:rsid w:val="006544FA"/>
    <w:rsid w:val="00656717"/>
    <w:rsid w:val="006610C1"/>
    <w:rsid w:val="006617FD"/>
    <w:rsid w:val="006642EB"/>
    <w:rsid w:val="00667202"/>
    <w:rsid w:val="006674B1"/>
    <w:rsid w:val="00671C42"/>
    <w:rsid w:val="00681761"/>
    <w:rsid w:val="0069203F"/>
    <w:rsid w:val="0069336C"/>
    <w:rsid w:val="0069771E"/>
    <w:rsid w:val="006B11AC"/>
    <w:rsid w:val="006B170D"/>
    <w:rsid w:val="006B5E32"/>
    <w:rsid w:val="006C2DF7"/>
    <w:rsid w:val="006C4700"/>
    <w:rsid w:val="006C6BC3"/>
    <w:rsid w:val="006D6FCD"/>
    <w:rsid w:val="006E1E14"/>
    <w:rsid w:val="006F1E8E"/>
    <w:rsid w:val="00703510"/>
    <w:rsid w:val="007112F7"/>
    <w:rsid w:val="007163C2"/>
    <w:rsid w:val="007173BC"/>
    <w:rsid w:val="00720C3C"/>
    <w:rsid w:val="00721F3D"/>
    <w:rsid w:val="00726C9C"/>
    <w:rsid w:val="00735CDE"/>
    <w:rsid w:val="0074549B"/>
    <w:rsid w:val="00745EFC"/>
    <w:rsid w:val="00746199"/>
    <w:rsid w:val="0074763B"/>
    <w:rsid w:val="00750DFA"/>
    <w:rsid w:val="007515DE"/>
    <w:rsid w:val="00772C01"/>
    <w:rsid w:val="0077345D"/>
    <w:rsid w:val="00773E98"/>
    <w:rsid w:val="00777DB5"/>
    <w:rsid w:val="007809E5"/>
    <w:rsid w:val="00783519"/>
    <w:rsid w:val="00786DF4"/>
    <w:rsid w:val="00791A49"/>
    <w:rsid w:val="007945DD"/>
    <w:rsid w:val="00796F76"/>
    <w:rsid w:val="007A18C5"/>
    <w:rsid w:val="007A2B69"/>
    <w:rsid w:val="007A36CE"/>
    <w:rsid w:val="007A5949"/>
    <w:rsid w:val="007B26DE"/>
    <w:rsid w:val="007B3A02"/>
    <w:rsid w:val="007C1A89"/>
    <w:rsid w:val="007D10FB"/>
    <w:rsid w:val="007D315E"/>
    <w:rsid w:val="007D376F"/>
    <w:rsid w:val="007D3FB3"/>
    <w:rsid w:val="007D4A73"/>
    <w:rsid w:val="007E5D41"/>
    <w:rsid w:val="007F20AE"/>
    <w:rsid w:val="007F227F"/>
    <w:rsid w:val="00807BDD"/>
    <w:rsid w:val="008213A0"/>
    <w:rsid w:val="0082618A"/>
    <w:rsid w:val="00844237"/>
    <w:rsid w:val="00844971"/>
    <w:rsid w:val="008616D8"/>
    <w:rsid w:val="00864917"/>
    <w:rsid w:val="00864F12"/>
    <w:rsid w:val="00867904"/>
    <w:rsid w:val="00876633"/>
    <w:rsid w:val="00886483"/>
    <w:rsid w:val="0088702B"/>
    <w:rsid w:val="008901DF"/>
    <w:rsid w:val="00896A19"/>
    <w:rsid w:val="008A00DE"/>
    <w:rsid w:val="008A2554"/>
    <w:rsid w:val="008A5C28"/>
    <w:rsid w:val="008A6C0B"/>
    <w:rsid w:val="008B0F00"/>
    <w:rsid w:val="008C4576"/>
    <w:rsid w:val="008D0C2E"/>
    <w:rsid w:val="008D22A9"/>
    <w:rsid w:val="008D3C1F"/>
    <w:rsid w:val="008D4E77"/>
    <w:rsid w:val="008D6618"/>
    <w:rsid w:val="008E0835"/>
    <w:rsid w:val="008E42C3"/>
    <w:rsid w:val="008F07F4"/>
    <w:rsid w:val="008F284F"/>
    <w:rsid w:val="009004EF"/>
    <w:rsid w:val="00905792"/>
    <w:rsid w:val="00916F55"/>
    <w:rsid w:val="00917461"/>
    <w:rsid w:val="00922345"/>
    <w:rsid w:val="00924241"/>
    <w:rsid w:val="009364C1"/>
    <w:rsid w:val="0093715A"/>
    <w:rsid w:val="009407A5"/>
    <w:rsid w:val="00940F6E"/>
    <w:rsid w:val="009434F3"/>
    <w:rsid w:val="0094498E"/>
    <w:rsid w:val="00947E9C"/>
    <w:rsid w:val="00950577"/>
    <w:rsid w:val="00953A40"/>
    <w:rsid w:val="009570C5"/>
    <w:rsid w:val="00960DFF"/>
    <w:rsid w:val="00971A45"/>
    <w:rsid w:val="0098220A"/>
    <w:rsid w:val="009823CB"/>
    <w:rsid w:val="009824D8"/>
    <w:rsid w:val="0098627A"/>
    <w:rsid w:val="009915B1"/>
    <w:rsid w:val="0099455A"/>
    <w:rsid w:val="009A5843"/>
    <w:rsid w:val="009B0871"/>
    <w:rsid w:val="009C0CD0"/>
    <w:rsid w:val="009C41C4"/>
    <w:rsid w:val="009C77E7"/>
    <w:rsid w:val="009D02A8"/>
    <w:rsid w:val="009D577F"/>
    <w:rsid w:val="009D5E63"/>
    <w:rsid w:val="009D79EF"/>
    <w:rsid w:val="009E3AA3"/>
    <w:rsid w:val="009E46D6"/>
    <w:rsid w:val="009E56F9"/>
    <w:rsid w:val="009F09CC"/>
    <w:rsid w:val="009F22E4"/>
    <w:rsid w:val="00A00913"/>
    <w:rsid w:val="00A01363"/>
    <w:rsid w:val="00A02CD6"/>
    <w:rsid w:val="00A02F4C"/>
    <w:rsid w:val="00A05E67"/>
    <w:rsid w:val="00A06C77"/>
    <w:rsid w:val="00A115D5"/>
    <w:rsid w:val="00A1649F"/>
    <w:rsid w:val="00A215D3"/>
    <w:rsid w:val="00A240BF"/>
    <w:rsid w:val="00A26AB3"/>
    <w:rsid w:val="00A3095B"/>
    <w:rsid w:val="00A372D3"/>
    <w:rsid w:val="00A57E2F"/>
    <w:rsid w:val="00A600E3"/>
    <w:rsid w:val="00A656BC"/>
    <w:rsid w:val="00A725A4"/>
    <w:rsid w:val="00A75473"/>
    <w:rsid w:val="00A87FB5"/>
    <w:rsid w:val="00A900B9"/>
    <w:rsid w:val="00A93316"/>
    <w:rsid w:val="00A93F6D"/>
    <w:rsid w:val="00AC3D8C"/>
    <w:rsid w:val="00AC5BC3"/>
    <w:rsid w:val="00AD006C"/>
    <w:rsid w:val="00AD1ADA"/>
    <w:rsid w:val="00AE122C"/>
    <w:rsid w:val="00AE7C42"/>
    <w:rsid w:val="00AF3B62"/>
    <w:rsid w:val="00B02366"/>
    <w:rsid w:val="00B04DF9"/>
    <w:rsid w:val="00B05B81"/>
    <w:rsid w:val="00B120E1"/>
    <w:rsid w:val="00B14474"/>
    <w:rsid w:val="00B21DF5"/>
    <w:rsid w:val="00B55571"/>
    <w:rsid w:val="00B6550E"/>
    <w:rsid w:val="00B664AA"/>
    <w:rsid w:val="00B71E01"/>
    <w:rsid w:val="00B779C9"/>
    <w:rsid w:val="00B80414"/>
    <w:rsid w:val="00B870F3"/>
    <w:rsid w:val="00B902BA"/>
    <w:rsid w:val="00B94105"/>
    <w:rsid w:val="00BA5579"/>
    <w:rsid w:val="00BB30FC"/>
    <w:rsid w:val="00BB5784"/>
    <w:rsid w:val="00BB6E8B"/>
    <w:rsid w:val="00BC4D36"/>
    <w:rsid w:val="00BD1A94"/>
    <w:rsid w:val="00BD5F51"/>
    <w:rsid w:val="00BD6146"/>
    <w:rsid w:val="00BE505F"/>
    <w:rsid w:val="00BE61C0"/>
    <w:rsid w:val="00BF2A7F"/>
    <w:rsid w:val="00BF3F99"/>
    <w:rsid w:val="00C12261"/>
    <w:rsid w:val="00C163CE"/>
    <w:rsid w:val="00C254EF"/>
    <w:rsid w:val="00C30EC1"/>
    <w:rsid w:val="00C347F8"/>
    <w:rsid w:val="00C378B3"/>
    <w:rsid w:val="00C43DAC"/>
    <w:rsid w:val="00C46806"/>
    <w:rsid w:val="00C540F3"/>
    <w:rsid w:val="00C62892"/>
    <w:rsid w:val="00C6298A"/>
    <w:rsid w:val="00C64833"/>
    <w:rsid w:val="00C702A9"/>
    <w:rsid w:val="00C70EF3"/>
    <w:rsid w:val="00C7291B"/>
    <w:rsid w:val="00C77F1A"/>
    <w:rsid w:val="00C80617"/>
    <w:rsid w:val="00C83B0A"/>
    <w:rsid w:val="00C87C96"/>
    <w:rsid w:val="00C9185A"/>
    <w:rsid w:val="00CA1086"/>
    <w:rsid w:val="00CA7522"/>
    <w:rsid w:val="00CA7FF5"/>
    <w:rsid w:val="00CB7074"/>
    <w:rsid w:val="00CC61B3"/>
    <w:rsid w:val="00CD052A"/>
    <w:rsid w:val="00CD0BBB"/>
    <w:rsid w:val="00CD4A75"/>
    <w:rsid w:val="00CD5059"/>
    <w:rsid w:val="00CE5D2C"/>
    <w:rsid w:val="00CF6696"/>
    <w:rsid w:val="00D01490"/>
    <w:rsid w:val="00D047A1"/>
    <w:rsid w:val="00D04B87"/>
    <w:rsid w:val="00D21FC3"/>
    <w:rsid w:val="00D22B20"/>
    <w:rsid w:val="00D33F7B"/>
    <w:rsid w:val="00D36408"/>
    <w:rsid w:val="00D427B0"/>
    <w:rsid w:val="00D440F0"/>
    <w:rsid w:val="00D51D0C"/>
    <w:rsid w:val="00D5658A"/>
    <w:rsid w:val="00D63C03"/>
    <w:rsid w:val="00D729F6"/>
    <w:rsid w:val="00D75337"/>
    <w:rsid w:val="00D83DCB"/>
    <w:rsid w:val="00D95335"/>
    <w:rsid w:val="00DA3300"/>
    <w:rsid w:val="00DB1044"/>
    <w:rsid w:val="00DB56CC"/>
    <w:rsid w:val="00DB6067"/>
    <w:rsid w:val="00E105A8"/>
    <w:rsid w:val="00E11472"/>
    <w:rsid w:val="00E1641E"/>
    <w:rsid w:val="00E1694E"/>
    <w:rsid w:val="00E217E6"/>
    <w:rsid w:val="00E3216B"/>
    <w:rsid w:val="00E3319A"/>
    <w:rsid w:val="00E34C7C"/>
    <w:rsid w:val="00E4204B"/>
    <w:rsid w:val="00E43039"/>
    <w:rsid w:val="00E47A96"/>
    <w:rsid w:val="00E503EA"/>
    <w:rsid w:val="00E54DEA"/>
    <w:rsid w:val="00E5704F"/>
    <w:rsid w:val="00E60E99"/>
    <w:rsid w:val="00E6193B"/>
    <w:rsid w:val="00E6768D"/>
    <w:rsid w:val="00E73D91"/>
    <w:rsid w:val="00E7441F"/>
    <w:rsid w:val="00E909B0"/>
    <w:rsid w:val="00E92A73"/>
    <w:rsid w:val="00EA06EF"/>
    <w:rsid w:val="00EB024C"/>
    <w:rsid w:val="00EB36B8"/>
    <w:rsid w:val="00EB40B3"/>
    <w:rsid w:val="00EB532F"/>
    <w:rsid w:val="00EB7CEE"/>
    <w:rsid w:val="00EC09E7"/>
    <w:rsid w:val="00EC416C"/>
    <w:rsid w:val="00ED46B8"/>
    <w:rsid w:val="00ED5AC7"/>
    <w:rsid w:val="00EE307C"/>
    <w:rsid w:val="00EF0084"/>
    <w:rsid w:val="00EF1C18"/>
    <w:rsid w:val="00EF2D84"/>
    <w:rsid w:val="00EF3641"/>
    <w:rsid w:val="00EF38C9"/>
    <w:rsid w:val="00F03765"/>
    <w:rsid w:val="00F1422E"/>
    <w:rsid w:val="00F146DB"/>
    <w:rsid w:val="00F1620C"/>
    <w:rsid w:val="00F20AF7"/>
    <w:rsid w:val="00F27F79"/>
    <w:rsid w:val="00F31CDF"/>
    <w:rsid w:val="00F34D87"/>
    <w:rsid w:val="00F35D44"/>
    <w:rsid w:val="00F37457"/>
    <w:rsid w:val="00F41506"/>
    <w:rsid w:val="00F43ACF"/>
    <w:rsid w:val="00F53248"/>
    <w:rsid w:val="00F63354"/>
    <w:rsid w:val="00F64F90"/>
    <w:rsid w:val="00F66289"/>
    <w:rsid w:val="00F7409E"/>
    <w:rsid w:val="00F7633E"/>
    <w:rsid w:val="00F82593"/>
    <w:rsid w:val="00F93B2E"/>
    <w:rsid w:val="00F93C5A"/>
    <w:rsid w:val="00F96C3E"/>
    <w:rsid w:val="00FA7D79"/>
    <w:rsid w:val="00FB0D14"/>
    <w:rsid w:val="00FB5525"/>
    <w:rsid w:val="00FB65D6"/>
    <w:rsid w:val="00FC11BF"/>
    <w:rsid w:val="00FD4DEB"/>
    <w:rsid w:val="00FD5DF5"/>
    <w:rsid w:val="00FE3AA0"/>
    <w:rsid w:val="00FE3F5D"/>
    <w:rsid w:val="00FE4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2106B"/>
  <w15:chartTrackingRefBased/>
  <w15:docId w15:val="{A4BB0427-6765-4FD8-9879-A62CEDEE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D6"/>
    <w:pPr>
      <w:spacing w:after="200" w:line="480" w:lineRule="auto"/>
    </w:pPr>
    <w:rPr>
      <w:sz w:val="22"/>
      <w:szCs w:val="22"/>
      <w:lang w:eastAsia="en-US"/>
    </w:rPr>
  </w:style>
  <w:style w:type="paragraph" w:styleId="Heading1">
    <w:name w:val="heading 1"/>
    <w:basedOn w:val="Normal"/>
    <w:next w:val="Normal"/>
    <w:link w:val="Heading1Char"/>
    <w:uiPriority w:val="9"/>
    <w:qFormat/>
    <w:rsid w:val="00FB65D6"/>
    <w:pPr>
      <w:keepNext/>
      <w:keepLines/>
      <w:spacing w:before="480" w:after="0"/>
      <w:jc w:val="center"/>
      <w:outlineLvl w:val="0"/>
    </w:pPr>
    <w:rPr>
      <w:rFonts w:eastAsia="Times New Roman"/>
      <w:b/>
      <w:bCs/>
      <w:sz w:val="32"/>
      <w:szCs w:val="28"/>
      <w:lang w:val="en-US"/>
    </w:rPr>
  </w:style>
  <w:style w:type="paragraph" w:styleId="Heading2">
    <w:name w:val="heading 2"/>
    <w:basedOn w:val="Normal"/>
    <w:next w:val="Normal"/>
    <w:link w:val="Heading2Char"/>
    <w:uiPriority w:val="9"/>
    <w:unhideWhenUsed/>
    <w:qFormat/>
    <w:rsid w:val="00FB65D6"/>
    <w:pPr>
      <w:keepNext/>
      <w:keepLines/>
      <w:spacing w:before="200" w:after="0"/>
      <w:outlineLvl w:val="1"/>
    </w:pPr>
    <w:rPr>
      <w:rFonts w:eastAsia="Times New Roman"/>
      <w:b/>
      <w:bCs/>
      <w:sz w:val="28"/>
      <w:szCs w:val="26"/>
      <w:lang w:val="en-US"/>
    </w:rPr>
  </w:style>
  <w:style w:type="paragraph" w:styleId="Heading3">
    <w:name w:val="heading 3"/>
    <w:basedOn w:val="Normal"/>
    <w:next w:val="Normal"/>
    <w:link w:val="Heading3Char"/>
    <w:uiPriority w:val="9"/>
    <w:unhideWhenUsed/>
    <w:qFormat/>
    <w:rsid w:val="00FB65D6"/>
    <w:pPr>
      <w:keepNext/>
      <w:keepLines/>
      <w:spacing w:before="200" w:after="0"/>
      <w:outlineLvl w:val="2"/>
    </w:pPr>
    <w:rPr>
      <w:rFonts w:eastAsia="Times New Roman"/>
      <w:b/>
      <w:bCs/>
      <w:sz w:val="20"/>
      <w:szCs w:val="20"/>
      <w:lang w:val="en-US"/>
    </w:rPr>
  </w:style>
  <w:style w:type="paragraph" w:styleId="Heading4">
    <w:name w:val="heading 4"/>
    <w:basedOn w:val="Normal"/>
    <w:next w:val="Normal"/>
    <w:link w:val="Heading4Char"/>
    <w:uiPriority w:val="9"/>
    <w:unhideWhenUsed/>
    <w:qFormat/>
    <w:rsid w:val="00FB65D6"/>
    <w:pPr>
      <w:keepNext/>
      <w:keepLines/>
      <w:spacing w:before="200" w:after="0"/>
      <w:outlineLvl w:val="3"/>
    </w:pPr>
    <w:rPr>
      <w:rFonts w:eastAsia="Times New Roman"/>
      <w:bCs/>
      <w:i/>
      <w:iCs/>
      <w:lang w:val="en-US"/>
    </w:rPr>
  </w:style>
  <w:style w:type="paragraph" w:styleId="Heading5">
    <w:name w:val="heading 5"/>
    <w:basedOn w:val="Normal"/>
    <w:next w:val="Normal"/>
    <w:link w:val="Heading5Char"/>
    <w:uiPriority w:val="9"/>
    <w:semiHidden/>
    <w:unhideWhenUsed/>
    <w:qFormat/>
    <w:rsid w:val="00FB65D6"/>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B65D6"/>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B65D6"/>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B65D6"/>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FB65D6"/>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65D6"/>
    <w:pPr>
      <w:spacing w:after="300" w:line="240" w:lineRule="auto"/>
      <w:jc w:val="center"/>
    </w:pPr>
    <w:rPr>
      <w:rFonts w:eastAsia="Times New Roman"/>
      <w:sz w:val="44"/>
      <w:szCs w:val="52"/>
      <w:lang w:val="en-US"/>
    </w:rPr>
  </w:style>
  <w:style w:type="character" w:customStyle="1" w:styleId="TitleChar">
    <w:name w:val="Title Char"/>
    <w:link w:val="Title"/>
    <w:uiPriority w:val="10"/>
    <w:rsid w:val="00FB65D6"/>
    <w:rPr>
      <w:rFonts w:eastAsia="Times New Roman"/>
      <w:sz w:val="44"/>
      <w:szCs w:val="52"/>
    </w:rPr>
  </w:style>
  <w:style w:type="character" w:customStyle="1" w:styleId="Heading1Char">
    <w:name w:val="Heading 1 Char"/>
    <w:link w:val="Heading1"/>
    <w:uiPriority w:val="9"/>
    <w:rsid w:val="00FB65D6"/>
    <w:rPr>
      <w:rFonts w:eastAsia="Times New Roman"/>
      <w:b/>
      <w:bCs/>
      <w:sz w:val="32"/>
      <w:szCs w:val="28"/>
    </w:rPr>
  </w:style>
  <w:style w:type="character" w:customStyle="1" w:styleId="Heading2Char">
    <w:name w:val="Heading 2 Char"/>
    <w:link w:val="Heading2"/>
    <w:uiPriority w:val="9"/>
    <w:rsid w:val="00FB65D6"/>
    <w:rPr>
      <w:rFonts w:eastAsia="Times New Roman"/>
      <w:b/>
      <w:bCs/>
      <w:sz w:val="28"/>
      <w:szCs w:val="26"/>
    </w:rPr>
  </w:style>
  <w:style w:type="character" w:customStyle="1" w:styleId="Heading3Char">
    <w:name w:val="Heading 3 Char"/>
    <w:link w:val="Heading3"/>
    <w:uiPriority w:val="9"/>
    <w:rsid w:val="00FB65D6"/>
    <w:rPr>
      <w:rFonts w:eastAsia="Times New Roman"/>
      <w:b/>
      <w:bCs/>
    </w:rPr>
  </w:style>
  <w:style w:type="paragraph" w:styleId="Header">
    <w:name w:val="header"/>
    <w:basedOn w:val="Normal"/>
    <w:link w:val="HeaderChar"/>
    <w:uiPriority w:val="99"/>
    <w:unhideWhenUsed/>
    <w:rsid w:val="001042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42BC"/>
  </w:style>
  <w:style w:type="paragraph" w:styleId="Footer">
    <w:name w:val="footer"/>
    <w:basedOn w:val="Normal"/>
    <w:link w:val="FooterChar"/>
    <w:uiPriority w:val="99"/>
    <w:unhideWhenUsed/>
    <w:rsid w:val="001042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42BC"/>
  </w:style>
  <w:style w:type="paragraph" w:styleId="ListParagraph">
    <w:name w:val="List Paragraph"/>
    <w:basedOn w:val="Normal"/>
    <w:uiPriority w:val="34"/>
    <w:qFormat/>
    <w:rsid w:val="00FB65D6"/>
    <w:pPr>
      <w:ind w:left="720"/>
      <w:contextualSpacing/>
    </w:pPr>
  </w:style>
  <w:style w:type="character" w:styleId="Hyperlink">
    <w:name w:val="Hyperlink"/>
    <w:uiPriority w:val="99"/>
    <w:unhideWhenUsed/>
    <w:rsid w:val="00EC09E7"/>
    <w:rPr>
      <w:color w:val="0000FF"/>
      <w:u w:val="single"/>
    </w:rPr>
  </w:style>
  <w:style w:type="character" w:styleId="CommentReference">
    <w:name w:val="annotation reference"/>
    <w:uiPriority w:val="99"/>
    <w:unhideWhenUsed/>
    <w:qFormat/>
    <w:rsid w:val="00783519"/>
    <w:rPr>
      <w:sz w:val="16"/>
      <w:szCs w:val="16"/>
    </w:rPr>
  </w:style>
  <w:style w:type="paragraph" w:styleId="CommentText">
    <w:name w:val="annotation text"/>
    <w:basedOn w:val="Normal"/>
    <w:link w:val="CommentTextChar"/>
    <w:uiPriority w:val="99"/>
    <w:unhideWhenUsed/>
    <w:qFormat/>
    <w:rsid w:val="00783519"/>
    <w:pPr>
      <w:spacing w:line="240" w:lineRule="auto"/>
    </w:pPr>
    <w:rPr>
      <w:sz w:val="20"/>
      <w:szCs w:val="20"/>
    </w:rPr>
  </w:style>
  <w:style w:type="character" w:customStyle="1" w:styleId="CommentTextChar">
    <w:name w:val="Comment Text Char"/>
    <w:link w:val="CommentText"/>
    <w:uiPriority w:val="99"/>
    <w:semiHidden/>
    <w:rsid w:val="00783519"/>
    <w:rPr>
      <w:sz w:val="20"/>
      <w:szCs w:val="20"/>
    </w:rPr>
  </w:style>
  <w:style w:type="paragraph" w:styleId="CommentSubject">
    <w:name w:val="annotation subject"/>
    <w:basedOn w:val="CommentText"/>
    <w:next w:val="CommentText"/>
    <w:link w:val="CommentSubjectChar"/>
    <w:uiPriority w:val="99"/>
    <w:semiHidden/>
    <w:unhideWhenUsed/>
    <w:rsid w:val="00783519"/>
    <w:rPr>
      <w:b/>
      <w:bCs/>
    </w:rPr>
  </w:style>
  <w:style w:type="character" w:customStyle="1" w:styleId="CommentSubjectChar">
    <w:name w:val="Comment Subject Char"/>
    <w:link w:val="CommentSubject"/>
    <w:uiPriority w:val="99"/>
    <w:semiHidden/>
    <w:rsid w:val="00783519"/>
    <w:rPr>
      <w:b/>
      <w:bCs/>
      <w:sz w:val="20"/>
      <w:szCs w:val="20"/>
    </w:rPr>
  </w:style>
  <w:style w:type="paragraph" w:styleId="BalloonText">
    <w:name w:val="Balloon Text"/>
    <w:basedOn w:val="Normal"/>
    <w:link w:val="BalloonTextChar"/>
    <w:uiPriority w:val="99"/>
    <w:semiHidden/>
    <w:unhideWhenUsed/>
    <w:rsid w:val="007835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3519"/>
    <w:rPr>
      <w:rFonts w:ascii="Tahoma" w:hAnsi="Tahoma" w:cs="Tahoma"/>
      <w:sz w:val="16"/>
      <w:szCs w:val="16"/>
    </w:rPr>
  </w:style>
  <w:style w:type="character" w:customStyle="1" w:styleId="Heading4Char">
    <w:name w:val="Heading 4 Char"/>
    <w:link w:val="Heading4"/>
    <w:uiPriority w:val="9"/>
    <w:rsid w:val="00FB65D6"/>
    <w:rPr>
      <w:rFonts w:eastAsia="Times New Roman"/>
      <w:bCs/>
      <w:i/>
      <w:iCs/>
      <w:sz w:val="22"/>
      <w:szCs w:val="22"/>
    </w:rPr>
  </w:style>
  <w:style w:type="character" w:styleId="FollowedHyperlink">
    <w:name w:val="FollowedHyperlink"/>
    <w:uiPriority w:val="99"/>
    <w:semiHidden/>
    <w:unhideWhenUsed/>
    <w:rsid w:val="00671C42"/>
    <w:rPr>
      <w:color w:val="800080"/>
      <w:u w:val="single"/>
    </w:rPr>
  </w:style>
  <w:style w:type="character" w:customStyle="1" w:styleId="Heading5Char">
    <w:name w:val="Heading 5 Char"/>
    <w:link w:val="Heading5"/>
    <w:uiPriority w:val="9"/>
    <w:semiHidden/>
    <w:rsid w:val="00FB65D6"/>
    <w:rPr>
      <w:rFonts w:ascii="Cambria" w:eastAsia="Times New Roman" w:hAnsi="Cambria" w:cs="Times New Roman"/>
      <w:color w:val="243F60"/>
      <w:sz w:val="22"/>
      <w:szCs w:val="22"/>
      <w:lang w:val="de-DE"/>
    </w:rPr>
  </w:style>
  <w:style w:type="character" w:customStyle="1" w:styleId="Heading6Char">
    <w:name w:val="Heading 6 Char"/>
    <w:link w:val="Heading6"/>
    <w:uiPriority w:val="9"/>
    <w:semiHidden/>
    <w:rsid w:val="00FB65D6"/>
    <w:rPr>
      <w:rFonts w:ascii="Cambria" w:eastAsia="Times New Roman" w:hAnsi="Cambria" w:cs="Times New Roman"/>
      <w:i/>
      <w:iCs/>
      <w:color w:val="243F60"/>
      <w:sz w:val="22"/>
      <w:szCs w:val="22"/>
      <w:lang w:val="de-DE"/>
    </w:rPr>
  </w:style>
  <w:style w:type="character" w:customStyle="1" w:styleId="Heading7Char">
    <w:name w:val="Heading 7 Char"/>
    <w:link w:val="Heading7"/>
    <w:uiPriority w:val="9"/>
    <w:semiHidden/>
    <w:rsid w:val="00FB65D6"/>
    <w:rPr>
      <w:rFonts w:ascii="Cambria" w:eastAsia="Times New Roman" w:hAnsi="Cambria" w:cs="Times New Roman"/>
      <w:i/>
      <w:iCs/>
      <w:color w:val="404040"/>
      <w:sz w:val="22"/>
      <w:szCs w:val="22"/>
      <w:lang w:val="de-DE"/>
    </w:rPr>
  </w:style>
  <w:style w:type="character" w:customStyle="1" w:styleId="Heading8Char">
    <w:name w:val="Heading 8 Char"/>
    <w:link w:val="Heading8"/>
    <w:uiPriority w:val="9"/>
    <w:semiHidden/>
    <w:rsid w:val="00FB65D6"/>
    <w:rPr>
      <w:rFonts w:ascii="Cambria" w:eastAsia="Times New Roman" w:hAnsi="Cambria" w:cs="Times New Roman"/>
      <w:color w:val="404040"/>
      <w:lang w:val="de-DE"/>
    </w:rPr>
  </w:style>
  <w:style w:type="character" w:customStyle="1" w:styleId="Heading9Char">
    <w:name w:val="Heading 9 Char"/>
    <w:link w:val="Heading9"/>
    <w:uiPriority w:val="9"/>
    <w:semiHidden/>
    <w:rsid w:val="00FB65D6"/>
    <w:rPr>
      <w:rFonts w:ascii="Cambria" w:eastAsia="Times New Roman" w:hAnsi="Cambria" w:cs="Times New Roman"/>
      <w:i/>
      <w:iCs/>
      <w:color w:val="404040"/>
      <w:lang w:val="de-DE"/>
    </w:rPr>
  </w:style>
  <w:style w:type="paragraph" w:styleId="Subtitle">
    <w:name w:val="Subtitle"/>
    <w:basedOn w:val="Normal"/>
    <w:next w:val="Normal"/>
    <w:link w:val="SubtitleChar"/>
    <w:uiPriority w:val="11"/>
    <w:qFormat/>
    <w:rsid w:val="00FB65D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FB65D6"/>
    <w:rPr>
      <w:rFonts w:ascii="Cambria" w:eastAsia="Times New Roman" w:hAnsi="Cambria" w:cs="Times New Roman"/>
      <w:i/>
      <w:iCs/>
      <w:color w:val="4F81BD"/>
      <w:spacing w:val="15"/>
      <w:sz w:val="24"/>
      <w:szCs w:val="24"/>
      <w:lang w:val="de-DE"/>
    </w:rPr>
  </w:style>
  <w:style w:type="character" w:styleId="Strong">
    <w:name w:val="Strong"/>
    <w:uiPriority w:val="22"/>
    <w:qFormat/>
    <w:rsid w:val="00FB65D6"/>
    <w:rPr>
      <w:b/>
      <w:bCs/>
    </w:rPr>
  </w:style>
  <w:style w:type="character" w:styleId="Emphasis">
    <w:name w:val="Emphasis"/>
    <w:uiPriority w:val="20"/>
    <w:qFormat/>
    <w:rsid w:val="00FB65D6"/>
    <w:rPr>
      <w:i/>
      <w:iCs/>
    </w:rPr>
  </w:style>
  <w:style w:type="paragraph" w:styleId="NoSpacing">
    <w:name w:val="No Spacing"/>
    <w:basedOn w:val="Normal"/>
    <w:uiPriority w:val="1"/>
    <w:qFormat/>
    <w:rsid w:val="00FB65D6"/>
    <w:pPr>
      <w:spacing w:after="0" w:line="240" w:lineRule="auto"/>
    </w:pPr>
  </w:style>
  <w:style w:type="paragraph" w:styleId="Quote">
    <w:name w:val="Quote"/>
    <w:basedOn w:val="Normal"/>
    <w:next w:val="Normal"/>
    <w:link w:val="QuoteChar"/>
    <w:uiPriority w:val="29"/>
    <w:qFormat/>
    <w:rsid w:val="00FB65D6"/>
    <w:rPr>
      <w:i/>
      <w:iCs/>
      <w:color w:val="000000"/>
    </w:rPr>
  </w:style>
  <w:style w:type="character" w:customStyle="1" w:styleId="QuoteChar">
    <w:name w:val="Quote Char"/>
    <w:link w:val="Quote"/>
    <w:uiPriority w:val="29"/>
    <w:rsid w:val="00FB65D6"/>
    <w:rPr>
      <w:i/>
      <w:iCs/>
      <w:color w:val="000000"/>
      <w:sz w:val="22"/>
      <w:szCs w:val="22"/>
      <w:lang w:val="de-DE"/>
    </w:rPr>
  </w:style>
  <w:style w:type="paragraph" w:styleId="IntenseQuote">
    <w:name w:val="Intense Quote"/>
    <w:basedOn w:val="Normal"/>
    <w:next w:val="Normal"/>
    <w:link w:val="IntenseQuoteChar"/>
    <w:uiPriority w:val="30"/>
    <w:qFormat/>
    <w:rsid w:val="00FB65D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B65D6"/>
    <w:rPr>
      <w:b/>
      <w:bCs/>
      <w:i/>
      <w:iCs/>
      <w:color w:val="4F81BD"/>
      <w:sz w:val="22"/>
      <w:szCs w:val="22"/>
      <w:lang w:val="de-DE"/>
    </w:rPr>
  </w:style>
  <w:style w:type="character" w:styleId="SubtleEmphasis">
    <w:name w:val="Subtle Emphasis"/>
    <w:uiPriority w:val="19"/>
    <w:qFormat/>
    <w:rsid w:val="00FB65D6"/>
    <w:rPr>
      <w:i/>
      <w:iCs/>
      <w:color w:val="808080"/>
    </w:rPr>
  </w:style>
  <w:style w:type="character" w:styleId="IntenseEmphasis">
    <w:name w:val="Intense Emphasis"/>
    <w:uiPriority w:val="21"/>
    <w:qFormat/>
    <w:rsid w:val="00FB65D6"/>
    <w:rPr>
      <w:b/>
      <w:bCs/>
      <w:i/>
      <w:iCs/>
      <w:color w:val="4F81BD"/>
    </w:rPr>
  </w:style>
  <w:style w:type="character" w:styleId="SubtleReference">
    <w:name w:val="Subtle Reference"/>
    <w:uiPriority w:val="31"/>
    <w:qFormat/>
    <w:rsid w:val="00FB65D6"/>
    <w:rPr>
      <w:smallCaps/>
      <w:color w:val="C0504D"/>
      <w:u w:val="single"/>
    </w:rPr>
  </w:style>
  <w:style w:type="character" w:styleId="IntenseReference">
    <w:name w:val="Intense Reference"/>
    <w:uiPriority w:val="32"/>
    <w:qFormat/>
    <w:rsid w:val="00FB65D6"/>
    <w:rPr>
      <w:b/>
      <w:bCs/>
      <w:smallCaps/>
      <w:color w:val="C0504D"/>
      <w:spacing w:val="5"/>
      <w:u w:val="single"/>
    </w:rPr>
  </w:style>
  <w:style w:type="character" w:styleId="BookTitle">
    <w:name w:val="Book Title"/>
    <w:uiPriority w:val="33"/>
    <w:qFormat/>
    <w:rsid w:val="00FB65D6"/>
    <w:rPr>
      <w:b/>
      <w:bCs/>
      <w:smallCaps/>
      <w:spacing w:val="5"/>
    </w:rPr>
  </w:style>
  <w:style w:type="paragraph" w:styleId="TOCHeading">
    <w:name w:val="TOC Heading"/>
    <w:basedOn w:val="Heading1"/>
    <w:next w:val="Normal"/>
    <w:uiPriority w:val="39"/>
    <w:semiHidden/>
    <w:unhideWhenUsed/>
    <w:qFormat/>
    <w:rsid w:val="00FB65D6"/>
    <w:pPr>
      <w:jc w:val="left"/>
      <w:outlineLvl w:val="9"/>
    </w:pPr>
    <w:rPr>
      <w:rFonts w:ascii="Cambria" w:hAnsi="Cambria"/>
      <w:color w:val="365F91"/>
      <w:sz w:val="28"/>
      <w:lang w:val="de-DE"/>
    </w:rPr>
  </w:style>
  <w:style w:type="paragraph" w:styleId="FootnoteText">
    <w:name w:val="footnote text"/>
    <w:basedOn w:val="Normal"/>
    <w:link w:val="FootnoteTextChar"/>
    <w:uiPriority w:val="99"/>
    <w:semiHidden/>
    <w:unhideWhenUsed/>
    <w:rsid w:val="00FB65D6"/>
    <w:rPr>
      <w:sz w:val="20"/>
      <w:szCs w:val="20"/>
    </w:rPr>
  </w:style>
  <w:style w:type="character" w:customStyle="1" w:styleId="FootnoteTextChar">
    <w:name w:val="Footnote Text Char"/>
    <w:link w:val="FootnoteText"/>
    <w:uiPriority w:val="99"/>
    <w:semiHidden/>
    <w:rsid w:val="00FB65D6"/>
    <w:rPr>
      <w:lang w:val="de-DE"/>
    </w:rPr>
  </w:style>
  <w:style w:type="character" w:styleId="FootnoteReference">
    <w:name w:val="footnote reference"/>
    <w:uiPriority w:val="99"/>
    <w:semiHidden/>
    <w:unhideWhenUsed/>
    <w:rsid w:val="00FB65D6"/>
    <w:rPr>
      <w:vertAlign w:val="superscript"/>
    </w:rPr>
  </w:style>
  <w:style w:type="character" w:customStyle="1" w:styleId="personname">
    <w:name w:val="person_name"/>
    <w:basedOn w:val="DefaultParagraphFont"/>
    <w:rsid w:val="00240036"/>
  </w:style>
  <w:style w:type="character" w:customStyle="1" w:styleId="UnresolvedMention1">
    <w:name w:val="Unresolved Mention1"/>
    <w:basedOn w:val="DefaultParagraphFont"/>
    <w:uiPriority w:val="99"/>
    <w:semiHidden/>
    <w:unhideWhenUsed/>
    <w:rsid w:val="009D577F"/>
    <w:rPr>
      <w:color w:val="605E5C"/>
      <w:shd w:val="clear" w:color="auto" w:fill="E1DFDD"/>
    </w:rPr>
  </w:style>
  <w:style w:type="paragraph" w:styleId="Revision">
    <w:name w:val="Revision"/>
    <w:hidden/>
    <w:uiPriority w:val="99"/>
    <w:semiHidden/>
    <w:rsid w:val="0094498E"/>
    <w:rPr>
      <w:sz w:val="22"/>
      <w:szCs w:val="22"/>
      <w:lang w:eastAsia="en-US"/>
    </w:rPr>
  </w:style>
  <w:style w:type="character" w:customStyle="1" w:styleId="UnresolvedMention2">
    <w:name w:val="Unresolved Mention2"/>
    <w:basedOn w:val="DefaultParagraphFont"/>
    <w:uiPriority w:val="99"/>
    <w:semiHidden/>
    <w:unhideWhenUsed/>
    <w:rsid w:val="004A74AD"/>
    <w:rPr>
      <w:color w:val="605E5C"/>
      <w:shd w:val="clear" w:color="auto" w:fill="E1DFDD"/>
    </w:rPr>
  </w:style>
  <w:style w:type="character" w:customStyle="1" w:styleId="UnresolvedMention">
    <w:name w:val="Unresolved Mention"/>
    <w:basedOn w:val="DefaultParagraphFont"/>
    <w:uiPriority w:val="99"/>
    <w:semiHidden/>
    <w:unhideWhenUsed/>
    <w:rsid w:val="00E34C7C"/>
    <w:rPr>
      <w:color w:val="605E5C"/>
      <w:shd w:val="clear" w:color="auto" w:fill="E1DFDD"/>
    </w:rPr>
  </w:style>
  <w:style w:type="paragraph" w:customStyle="1" w:styleId="Autor">
    <w:name w:val="Autor"/>
    <w:basedOn w:val="Normal"/>
    <w:rsid w:val="0082618A"/>
    <w:pPr>
      <w:spacing w:before="240" w:after="120" w:line="360" w:lineRule="auto"/>
    </w:pPr>
    <w:rPr>
      <w:rFonts w:ascii="Calibri" w:eastAsia="Times New Roman" w:hAnsi="Calibri"/>
      <w:iCs/>
      <w:sz w:val="24"/>
      <w:szCs w:val="24"/>
      <w:lang w:eastAsia="de-DE"/>
    </w:rPr>
  </w:style>
  <w:style w:type="paragraph" w:customStyle="1" w:styleId="Adresse">
    <w:name w:val="Adresse"/>
    <w:basedOn w:val="Normal"/>
    <w:qFormat/>
    <w:rsid w:val="00306579"/>
    <w:pPr>
      <w:spacing w:before="240" w:after="120" w:line="360" w:lineRule="auto"/>
    </w:pPr>
    <w:rPr>
      <w:rFonts w:ascii="Calibri" w:eastAsia="Times New Roman" w:hAnsi="Calibri"/>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93203">
      <w:bodyDiv w:val="1"/>
      <w:marLeft w:val="0"/>
      <w:marRight w:val="0"/>
      <w:marTop w:val="0"/>
      <w:marBottom w:val="0"/>
      <w:divBdr>
        <w:top w:val="none" w:sz="0" w:space="0" w:color="auto"/>
        <w:left w:val="none" w:sz="0" w:space="0" w:color="auto"/>
        <w:bottom w:val="none" w:sz="0" w:space="0" w:color="auto"/>
        <w:right w:val="none" w:sz="0" w:space="0" w:color="auto"/>
      </w:divBdr>
      <w:divsChild>
        <w:div w:id="1465656447">
          <w:marLeft w:val="0"/>
          <w:marRight w:val="0"/>
          <w:marTop w:val="0"/>
          <w:marBottom w:val="0"/>
          <w:divBdr>
            <w:top w:val="none" w:sz="0" w:space="0" w:color="auto"/>
            <w:left w:val="none" w:sz="0" w:space="0" w:color="auto"/>
            <w:bottom w:val="none" w:sz="0" w:space="0" w:color="auto"/>
            <w:right w:val="none" w:sz="0" w:space="0" w:color="auto"/>
          </w:divBdr>
        </w:div>
      </w:divsChild>
    </w:div>
    <w:div w:id="1598908617">
      <w:bodyDiv w:val="1"/>
      <w:marLeft w:val="0"/>
      <w:marRight w:val="0"/>
      <w:marTop w:val="0"/>
      <w:marBottom w:val="0"/>
      <w:divBdr>
        <w:top w:val="none" w:sz="0" w:space="0" w:color="auto"/>
        <w:left w:val="none" w:sz="0" w:space="0" w:color="auto"/>
        <w:bottom w:val="none" w:sz="0" w:space="0" w:color="auto"/>
        <w:right w:val="none" w:sz="0" w:space="0" w:color="auto"/>
      </w:divBdr>
    </w:div>
    <w:div w:id="1798446086">
      <w:bodyDiv w:val="1"/>
      <w:marLeft w:val="0"/>
      <w:marRight w:val="0"/>
      <w:marTop w:val="0"/>
      <w:marBottom w:val="0"/>
      <w:divBdr>
        <w:top w:val="none" w:sz="0" w:space="0" w:color="auto"/>
        <w:left w:val="none" w:sz="0" w:space="0" w:color="auto"/>
        <w:bottom w:val="none" w:sz="0" w:space="0" w:color="auto"/>
        <w:right w:val="none" w:sz="0" w:space="0" w:color="auto"/>
      </w:divBdr>
      <w:divsChild>
        <w:div w:id="72872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368430215591042" TargetMode="External"/><Relationship Id="rId18" Type="http://schemas.openxmlformats.org/officeDocument/2006/relationships/hyperlink" Target="https://doi.org/10.3758/bf03193146" TargetMode="External"/><Relationship Id="rId26" Type="http://schemas.openxmlformats.org/officeDocument/2006/relationships/hyperlink" Target="https://doi.org/10.1080/07256868.2015.1072907" TargetMode="External"/><Relationship Id="rId39" Type="http://schemas.openxmlformats.org/officeDocument/2006/relationships/hyperlink" Target="https://doi.org/10.1016/j.jdeveco.2004.01.002" TargetMode="External"/><Relationship Id="rId21" Type="http://schemas.openxmlformats.org/officeDocument/2006/relationships/hyperlink" Target="https://doi.org/10.1177/1368430220929077" TargetMode="External"/><Relationship Id="rId34" Type="http://schemas.openxmlformats.org/officeDocument/2006/relationships/hyperlink" Target="https://bib.irb.hr/datoteka/373334.Maricic_Franc_Sakic-SDO-Croatian_sample.pdf" TargetMode="External"/><Relationship Id="rId42" Type="http://schemas.openxmlformats.org/officeDocument/2006/relationships/hyperlink" Target="https://doi.org/10.1093/jopart/muy018" TargetMode="External"/><Relationship Id="rId47" Type="http://schemas.openxmlformats.org/officeDocument/2006/relationships/hyperlink" Target="https://doi.org/10.1177/0956797613508956" TargetMode="External"/><Relationship Id="rId50" Type="http://schemas.openxmlformats.org/officeDocument/2006/relationships/hyperlink" Target="https://media.suub.uni-bremen.de/handle/elib/1472" TargetMode="External"/><Relationship Id="rId55" Type="http://schemas.openxmlformats.org/officeDocument/2006/relationships/hyperlink" Target="https://library.fes.de/pdf-files/bueros/kroatien/13058.pdf" TargetMode="External"/><Relationship Id="rId7" Type="http://schemas.openxmlformats.org/officeDocument/2006/relationships/endnotes" Target="endnotes.xml"/><Relationship Id="rId12" Type="http://schemas.openxmlformats.org/officeDocument/2006/relationships/hyperlink" Target="https://doi.org/10.1111/josi.12310" TargetMode="External"/><Relationship Id="rId17" Type="http://schemas.openxmlformats.org/officeDocument/2006/relationships/hyperlink" Target="https://doi.org/10.1111/ecoj.12181" TargetMode="External"/><Relationship Id="rId25" Type="http://schemas.openxmlformats.org/officeDocument/2006/relationships/hyperlink" Target="https://doi.org/10.1006/ssre.1998.0637" TargetMode="External"/><Relationship Id="rId33" Type="http://schemas.openxmlformats.org/officeDocument/2006/relationships/hyperlink" Target="https://doi.org/10.1177/0010414020938087" TargetMode="External"/><Relationship Id="rId38" Type="http://schemas.openxmlformats.org/officeDocument/2006/relationships/hyperlink" Target="https://doi.org/10.1111/j.1533-8525.2010.01188.x" TargetMode="External"/><Relationship Id="rId46" Type="http://schemas.openxmlformats.org/officeDocument/2006/relationships/hyperlink" Target="https://doi.org/10.1002/casp.101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pis2021.hr/" TargetMode="External"/><Relationship Id="rId20" Type="http://schemas.openxmlformats.org/officeDocument/2006/relationships/hyperlink" Target="http://darhiv.ffzg.unizg.hr/id/eprint/10684" TargetMode="External"/><Relationship Id="rId29" Type="http://schemas.openxmlformats.org/officeDocument/2006/relationships/hyperlink" Target="https://www.gesis.org/en/issp/modules/issp-modules-by-topic/national-identity/2013" TargetMode="External"/><Relationship Id="rId41" Type="http://schemas.openxmlformats.org/officeDocument/2006/relationships/hyperlink" Target="https://doi.org/10.1163/9789004466395_016" TargetMode="External"/><Relationship Id="rId54" Type="http://schemas.openxmlformats.org/officeDocument/2006/relationships/hyperlink" Target="http://www.swissinfo.ch/ger/politik/freier-personenverkehr_europas-migranten---parasiten--des-sozialsystems-/377891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per.746" TargetMode="External"/><Relationship Id="rId24" Type="http://schemas.openxmlformats.org/officeDocument/2006/relationships/hyperlink" Target="https://doi.org/10.1017/S0003055407070499" TargetMode="External"/><Relationship Id="rId32" Type="http://schemas.openxmlformats.org/officeDocument/2006/relationships/hyperlink" Target="https://doi.org/10.1002/ejsp.673" TargetMode="External"/><Relationship Id="rId37" Type="http://schemas.openxmlformats.org/officeDocument/2006/relationships/hyperlink" Target="https://doi.org/10.1017/S0043887100004330" TargetMode="External"/><Relationship Id="rId40" Type="http://schemas.openxmlformats.org/officeDocument/2006/relationships/hyperlink" Target="https://doi.org/10.1207/s15327574ijt0502_4" TargetMode="External"/><Relationship Id="rId45" Type="http://schemas.openxmlformats.org/officeDocument/2006/relationships/hyperlink" Target="https://doi.org/10.3389/fpsyg.2019.00934" TargetMode="External"/><Relationship Id="rId53" Type="http://schemas.openxmlformats.org/officeDocument/2006/relationships/hyperlink" Target="https://doi.org/10.1017/XPS.2017.13"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5613/rzs.42.3.3" TargetMode="External"/><Relationship Id="rId23" Type="http://schemas.openxmlformats.org/officeDocument/2006/relationships/hyperlink" Target="https://doi.org/10.1111/spol.12783" TargetMode="External"/><Relationship Id="rId28" Type="http://schemas.openxmlformats.org/officeDocument/2006/relationships/hyperlink" Target="https://doi.org/10.1016/j.jebo.2017.01.006" TargetMode="External"/><Relationship Id="rId36" Type="http://schemas.openxmlformats.org/officeDocument/2006/relationships/hyperlink" Target="https://doi.org/10.1353/sof.2003.0038" TargetMode="External"/><Relationship Id="rId49" Type="http://schemas.openxmlformats.org/officeDocument/2006/relationships/hyperlink" Target="https://doi.org/10.1111/josi.12296" TargetMode="External"/><Relationship Id="rId57" Type="http://schemas.openxmlformats.org/officeDocument/2006/relationships/hyperlink" Target="https://doi.org/10.1111/ecca.1207" TargetMode="External"/><Relationship Id="rId10" Type="http://schemas.openxmlformats.org/officeDocument/2006/relationships/hyperlink" Target="https://doi.org/10.1111/ecca.12285" TargetMode="External"/><Relationship Id="rId19" Type="http://schemas.openxmlformats.org/officeDocument/2006/relationships/hyperlink" Target="https://doi.org/10.1037/vio0000205" TargetMode="External"/><Relationship Id="rId31" Type="http://schemas.openxmlformats.org/officeDocument/2006/relationships/hyperlink" Target="https://doi.org/10.1017/XPS.2017.10" TargetMode="External"/><Relationship Id="rId44" Type="http://schemas.openxmlformats.org/officeDocument/2006/relationships/hyperlink" Target="https://doi.org/10.1111/j.1467-9221.2011.00828.x" TargetMode="External"/><Relationship Id="rId52" Type="http://schemas.openxmlformats.org/officeDocument/2006/relationships/hyperlink" Target="https://doi.org/10.1111/j.1467-2979.2012.00481.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86/w7155" TargetMode="External"/><Relationship Id="rId14" Type="http://schemas.openxmlformats.org/officeDocument/2006/relationships/hyperlink" Target="https://doi.org/10.1111/0022-4537.00126" TargetMode="External"/><Relationship Id="rId22" Type="http://schemas.openxmlformats.org/officeDocument/2006/relationships/hyperlink" Target="https://doi.org/10.1177/0020715218806037" TargetMode="External"/><Relationship Id="rId27" Type="http://schemas.openxmlformats.org/officeDocument/2006/relationships/hyperlink" Target="https://publikacije.hzz.hr/statisticke-publikacije" TargetMode="External"/><Relationship Id="rId30" Type="http://schemas.openxmlformats.org/officeDocument/2006/relationships/hyperlink" Target="https://doi.org/10.1093/jae/ejt002" TargetMode="External"/><Relationship Id="rId35" Type="http://schemas.openxmlformats.org/officeDocument/2006/relationships/hyperlink" Target="https://doi.org/10.1177/0958928709104737" TargetMode="External"/><Relationship Id="rId43" Type="http://schemas.openxmlformats.org/officeDocument/2006/relationships/hyperlink" Target="https://doi.org/10.1080/13691830903516034" TargetMode="External"/><Relationship Id="rId48" Type="http://schemas.openxmlformats.org/officeDocument/2006/relationships/hyperlink" Target="https://doi.org/10.1177/0003122416633140" TargetMode="External"/><Relationship Id="rId56" Type="http://schemas.openxmlformats.org/officeDocument/2006/relationships/hyperlink" Target="https://doi.org/10.1111/psj.12225" TargetMode="External"/><Relationship Id="rId8" Type="http://schemas.openxmlformats.org/officeDocument/2006/relationships/hyperlink" Target="https://apnews.com/article/germany-migrants-opposition-dental-care-1d38e467cf30c5dcd74f8202653b19da" TargetMode="External"/><Relationship Id="rId51" Type="http://schemas.openxmlformats.org/officeDocument/2006/relationships/hyperlink" Target="https://ssrn.com/abstract=450786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FAFF-C5CB-4EDF-A5C1-E466FB66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30</Pages>
  <Words>9940</Words>
  <Characters>56663</Characters>
  <Application>Microsoft Office Word</Application>
  <DocSecurity>0</DocSecurity>
  <Lines>472</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ZPID</Company>
  <LinksUpToDate>false</LinksUpToDate>
  <CharactersWithSpaces>66471</CharactersWithSpaces>
  <SharedDoc>false</SharedDoc>
  <HLinks>
    <vt:vector size="6" baseType="variant">
      <vt:variant>
        <vt:i4>3735636</vt:i4>
      </vt:variant>
      <vt:variant>
        <vt:i4>0</vt:i4>
      </vt:variant>
      <vt:variant>
        <vt:i4>0</vt:i4>
      </vt:variant>
      <vt:variant>
        <vt:i4>5</vt:i4>
      </vt:variant>
      <vt:variant>
        <vt:lpwstr>http://www.psychopen.eu/author_guidelines/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cp:lastModifiedBy>doras</cp:lastModifiedBy>
  <cp:revision>31</cp:revision>
  <cp:lastPrinted>2022-08-12T09:52:00Z</cp:lastPrinted>
  <dcterms:created xsi:type="dcterms:W3CDTF">2023-11-22T13:52:00Z</dcterms:created>
  <dcterms:modified xsi:type="dcterms:W3CDTF">2024-01-16T10:47:00Z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54b4305f6c8f77013fa30cb2235d97b16f1daadb762e7bc53224fd04eb9d6ce7</vt:lpwstr>
  </property>
</Properties>
</file>