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B78E5" w14:textId="0399AF2E" w:rsidR="005C48A9" w:rsidRPr="00946727" w:rsidRDefault="00BF0683" w:rsidP="00596FF9">
      <w:pPr>
        <w:spacing w:before="0" w:after="0" w:line="480" w:lineRule="auto"/>
      </w:pPr>
      <w:r w:rsidRPr="00946727">
        <w:rPr>
          <w:b/>
        </w:rPr>
        <w:t>Full title:</w:t>
      </w:r>
      <w:r w:rsidRPr="00946727">
        <w:t xml:space="preserve"> </w:t>
      </w:r>
      <w:proofErr w:type="spellStart"/>
      <w:r w:rsidRPr="00946727">
        <w:t>Alkylresorcinol</w:t>
      </w:r>
      <w:proofErr w:type="spellEnd"/>
      <w:r w:rsidRPr="00946727">
        <w:t xml:space="preserve"> detection and identification in archaeological pottery by </w:t>
      </w:r>
      <w:proofErr w:type="spellStart"/>
      <w:r w:rsidRPr="00946727">
        <w:t xml:space="preserve">ultra </w:t>
      </w:r>
      <w:proofErr w:type="gramStart"/>
      <w:r w:rsidRPr="00946727">
        <w:t>high</w:t>
      </w:r>
      <w:proofErr w:type="spellEnd"/>
      <w:r w:rsidRPr="00946727">
        <w:t xml:space="preserve"> performance</w:t>
      </w:r>
      <w:proofErr w:type="gramEnd"/>
      <w:r w:rsidRPr="00946727">
        <w:t xml:space="preserve"> liquid chromatography-quadrupole/Orbitrap mass spectrometry</w:t>
      </w:r>
    </w:p>
    <w:p w14:paraId="367EA73F" w14:textId="77777777" w:rsidR="005C48A9" w:rsidRPr="00946727" w:rsidRDefault="005C48A9" w:rsidP="00596FF9">
      <w:pPr>
        <w:spacing w:before="0" w:after="0" w:line="480" w:lineRule="auto"/>
      </w:pPr>
    </w:p>
    <w:p w14:paraId="4FE2FBF5" w14:textId="51E8BC2C" w:rsidR="005C48A9" w:rsidRPr="00946727" w:rsidRDefault="00BF0683" w:rsidP="00596FF9">
      <w:pPr>
        <w:spacing w:before="0" w:after="0" w:line="480" w:lineRule="auto"/>
      </w:pPr>
      <w:r w:rsidRPr="00946727">
        <w:rPr>
          <w:b/>
        </w:rPr>
        <w:t>Short title:</w:t>
      </w:r>
      <w:r w:rsidRPr="00946727">
        <w:t xml:space="preserve"> </w:t>
      </w:r>
      <w:proofErr w:type="spellStart"/>
      <w:r w:rsidRPr="00946727">
        <w:t>Alkylresorcinol</w:t>
      </w:r>
      <w:proofErr w:type="spellEnd"/>
      <w:r w:rsidRPr="00946727">
        <w:t xml:space="preserve"> detection and identification in pottery by UHPLC-Q/Orbitrap MS</w:t>
      </w:r>
    </w:p>
    <w:p w14:paraId="2624A4CB" w14:textId="77777777" w:rsidR="005C48A9" w:rsidRPr="00946727" w:rsidRDefault="005C48A9" w:rsidP="00596FF9">
      <w:pPr>
        <w:spacing w:before="0" w:after="0" w:line="480" w:lineRule="auto"/>
      </w:pPr>
    </w:p>
    <w:p w14:paraId="00000005" w14:textId="287AF70D" w:rsidR="0098306C" w:rsidRPr="00946727" w:rsidRDefault="00BF0683" w:rsidP="00596FF9">
      <w:pPr>
        <w:spacing w:before="0" w:after="0" w:line="480" w:lineRule="auto"/>
      </w:pPr>
      <w:r w:rsidRPr="00946727">
        <w:rPr>
          <w:b/>
        </w:rPr>
        <w:t>Authors:</w:t>
      </w:r>
      <w:r w:rsidRPr="00946727">
        <w:t xml:space="preserve"> Jonica Ella Doliente</w:t>
      </w:r>
      <w:r w:rsidRPr="00946727">
        <w:rPr>
          <w:vertAlign w:val="superscript"/>
        </w:rPr>
        <w:t>1,2,3</w:t>
      </w:r>
      <w:r w:rsidRPr="00946727">
        <w:t>, Swen Langer</w:t>
      </w:r>
      <w:r w:rsidRPr="00946727">
        <w:rPr>
          <w:vertAlign w:val="superscript"/>
        </w:rPr>
        <w:t>4</w:t>
      </w:r>
      <w:r w:rsidR="000D77B7" w:rsidRPr="00946727">
        <w:rPr>
          <w:vertAlign w:val="superscript"/>
        </w:rPr>
        <w:t>,5</w:t>
      </w:r>
      <w:r w:rsidRPr="00946727">
        <w:t>, Marc R. Dickinson</w:t>
      </w:r>
      <w:r w:rsidRPr="00946727">
        <w:rPr>
          <w:vertAlign w:val="superscript"/>
        </w:rPr>
        <w:t>1</w:t>
      </w:r>
      <w:r w:rsidRPr="00946727">
        <w:t>, Miriam Cubas</w:t>
      </w:r>
      <w:r w:rsidR="000D77B7" w:rsidRPr="00946727">
        <w:rPr>
          <w:vertAlign w:val="superscript"/>
        </w:rPr>
        <w:t>6</w:t>
      </w:r>
      <w:r w:rsidRPr="00946727">
        <w:t>, André C. Colonese</w:t>
      </w:r>
      <w:r w:rsidRPr="00946727">
        <w:rPr>
          <w:vertAlign w:val="superscript"/>
        </w:rPr>
        <w:t>3</w:t>
      </w:r>
      <w:r w:rsidRPr="00946727">
        <w:t>, Kirsty Penkman</w:t>
      </w:r>
      <w:r w:rsidRPr="00946727">
        <w:rPr>
          <w:vertAlign w:val="superscript"/>
        </w:rPr>
        <w:t>1</w:t>
      </w:r>
      <w:r w:rsidRPr="00946727">
        <w:t>, Oliver E. Craig</w:t>
      </w:r>
      <w:r w:rsidRPr="00946727">
        <w:rPr>
          <w:vertAlign w:val="superscript"/>
        </w:rPr>
        <w:t>2</w:t>
      </w:r>
    </w:p>
    <w:p w14:paraId="00000006" w14:textId="77777777" w:rsidR="0098306C" w:rsidRPr="00946727" w:rsidRDefault="0098306C" w:rsidP="00596FF9">
      <w:pPr>
        <w:spacing w:before="0" w:after="0" w:line="480" w:lineRule="auto"/>
      </w:pPr>
    </w:p>
    <w:p w14:paraId="00000007" w14:textId="4EFE3402" w:rsidR="0098306C" w:rsidRPr="00946727" w:rsidRDefault="00BF0683" w:rsidP="00596FF9">
      <w:pPr>
        <w:spacing w:before="0" w:after="0" w:line="480" w:lineRule="auto"/>
        <w:rPr>
          <w:vertAlign w:val="superscript"/>
        </w:rPr>
      </w:pPr>
      <w:r w:rsidRPr="00946727">
        <w:rPr>
          <w:b/>
        </w:rPr>
        <w:t>Affiliations:</w:t>
      </w:r>
      <w:r w:rsidRPr="00946727">
        <w:t xml:space="preserve"> </w:t>
      </w:r>
      <w:r w:rsidRPr="00946727">
        <w:rPr>
          <w:vertAlign w:val="superscript"/>
        </w:rPr>
        <w:t>1</w:t>
      </w:r>
      <w:r w:rsidRPr="00946727">
        <w:t xml:space="preserve">Department of Chemistry, University of York, York, United Kingdom; </w:t>
      </w:r>
      <w:r w:rsidRPr="00946727">
        <w:rPr>
          <w:vertAlign w:val="superscript"/>
        </w:rPr>
        <w:t>2</w:t>
      </w:r>
      <w:r w:rsidR="00737084" w:rsidRPr="00946727">
        <w:t xml:space="preserve">BioArCh, </w:t>
      </w:r>
      <w:r w:rsidRPr="00946727">
        <w:t xml:space="preserve">Department of Archaeology, University of York, York, United Kingdom; </w:t>
      </w:r>
      <w:r w:rsidRPr="00946727">
        <w:rPr>
          <w:vertAlign w:val="superscript"/>
        </w:rPr>
        <w:t>3</w:t>
      </w:r>
      <w:r w:rsidRPr="00946727">
        <w:t xml:space="preserve">Department of Prehistory, Institute of Environmental Science and Technology (ICTA), </w:t>
      </w:r>
      <w:proofErr w:type="spellStart"/>
      <w:r w:rsidRPr="00946727">
        <w:t>Universitat</w:t>
      </w:r>
      <w:proofErr w:type="spellEnd"/>
      <w:r w:rsidRPr="00946727">
        <w:t xml:space="preserve"> </w:t>
      </w:r>
      <w:proofErr w:type="spellStart"/>
      <w:r w:rsidRPr="00946727">
        <w:t>Autònoma</w:t>
      </w:r>
      <w:proofErr w:type="spellEnd"/>
      <w:r w:rsidRPr="00946727">
        <w:t xml:space="preserve"> de Barcelona, Barcelona, Spain; </w:t>
      </w:r>
      <w:r w:rsidRPr="00946727">
        <w:rPr>
          <w:vertAlign w:val="superscript"/>
        </w:rPr>
        <w:t>4</w:t>
      </w:r>
      <w:r w:rsidRPr="00946727">
        <w:t xml:space="preserve">Department of Biology, </w:t>
      </w:r>
      <w:r w:rsidR="003F7E3E" w:rsidRPr="00946727">
        <w:t xml:space="preserve">Bioscience Technology Facility, </w:t>
      </w:r>
      <w:r w:rsidRPr="00946727">
        <w:t xml:space="preserve">University of York, York, United Kingdom; </w:t>
      </w:r>
      <w:r w:rsidRPr="00946727">
        <w:rPr>
          <w:vertAlign w:val="superscript"/>
        </w:rPr>
        <w:t>5</w:t>
      </w:r>
      <w:r w:rsidR="000D77B7" w:rsidRPr="00946727">
        <w:t>Centre of Excellence in Mass Spectrometry, University of York, York, United Kingdom</w:t>
      </w:r>
      <w:r w:rsidR="000D77B7" w:rsidRPr="00946727">
        <w:rPr>
          <w:highlight w:val="white"/>
        </w:rPr>
        <w:t xml:space="preserve">; </w:t>
      </w:r>
      <w:r w:rsidR="000D77B7" w:rsidRPr="00946727">
        <w:rPr>
          <w:highlight w:val="white"/>
          <w:vertAlign w:val="superscript"/>
        </w:rPr>
        <w:t>6</w:t>
      </w:r>
      <w:r w:rsidRPr="00946727">
        <w:rPr>
          <w:highlight w:val="white"/>
        </w:rPr>
        <w:t>Department of History and Philosophy, University of Alcalá, Madrid, Spain</w:t>
      </w:r>
    </w:p>
    <w:p w14:paraId="00000008" w14:textId="77777777" w:rsidR="0098306C" w:rsidRPr="00946727" w:rsidRDefault="0098306C" w:rsidP="00596FF9">
      <w:pPr>
        <w:spacing w:before="0" w:after="0" w:line="480" w:lineRule="auto"/>
        <w:rPr>
          <w:highlight w:val="white"/>
        </w:rPr>
      </w:pPr>
    </w:p>
    <w:p w14:paraId="00000009" w14:textId="0B5522AC" w:rsidR="0098306C" w:rsidRPr="00946727" w:rsidRDefault="00BF0683" w:rsidP="00596FF9">
      <w:pPr>
        <w:spacing w:before="0" w:after="0" w:line="480" w:lineRule="auto"/>
      </w:pPr>
      <w:r w:rsidRPr="00946727">
        <w:rPr>
          <w:b/>
        </w:rPr>
        <w:t>Correspondence:</w:t>
      </w:r>
      <w:r w:rsidRPr="00946727">
        <w:t xml:space="preserve"> </w:t>
      </w:r>
      <w:r w:rsidR="009527BC" w:rsidRPr="00946727">
        <w:t>Jonica Ella Doliente,</w:t>
      </w:r>
      <w:r w:rsidRPr="00946727">
        <w:t xml:space="preserve"> </w:t>
      </w:r>
      <w:r w:rsidR="009527BC" w:rsidRPr="00946727">
        <w:t>Department of Chemistry</w:t>
      </w:r>
      <w:r w:rsidRPr="00946727">
        <w:t>, University of York, York YO10 5</w:t>
      </w:r>
      <w:r w:rsidR="009527BC" w:rsidRPr="00946727">
        <w:t>DD</w:t>
      </w:r>
      <w:r w:rsidRPr="00946727">
        <w:t xml:space="preserve">, United Kingdom; Email: </w:t>
      </w:r>
      <w:r w:rsidR="009527BC" w:rsidRPr="00946727">
        <w:rPr>
          <w:color w:val="1155CC"/>
          <w:u w:val="single"/>
        </w:rPr>
        <w:t>jonica.doliente@york.ac.uk</w:t>
      </w:r>
      <w:r w:rsidRPr="00946727">
        <w:t>; Telephone: +44</w:t>
      </w:r>
      <w:r w:rsidR="009527BC" w:rsidRPr="00946727">
        <w:t xml:space="preserve"> 7443 981282</w:t>
      </w:r>
    </w:p>
    <w:p w14:paraId="0000000A" w14:textId="77777777" w:rsidR="0098306C" w:rsidRPr="00946727" w:rsidRDefault="0098306C" w:rsidP="00596FF9">
      <w:pPr>
        <w:spacing w:before="0" w:after="0" w:line="480" w:lineRule="auto"/>
      </w:pPr>
    </w:p>
    <w:p w14:paraId="0000000B" w14:textId="77777777" w:rsidR="0098306C" w:rsidRPr="00946727" w:rsidRDefault="00BF0683" w:rsidP="00596FF9">
      <w:pPr>
        <w:spacing w:before="0" w:after="0" w:line="480" w:lineRule="auto"/>
      </w:pPr>
      <w:r w:rsidRPr="00946727">
        <w:rPr>
          <w:b/>
        </w:rPr>
        <w:t>Funding information:</w:t>
      </w:r>
      <w:r w:rsidRPr="00946727">
        <w:t xml:space="preserve"> This project is part of a Marie Sklodowska-Curie innovative training network (ITN) ‒ </w:t>
      </w:r>
      <w:proofErr w:type="spellStart"/>
      <w:r w:rsidRPr="00946727">
        <w:t>ChemArch</w:t>
      </w:r>
      <w:proofErr w:type="spellEnd"/>
      <w:r w:rsidRPr="00946727">
        <w:t>: The chemistry and molecular biology of prehistoric artefacts, funded by the European Union’s Horizon 2020 Research and Innovation programme under grant agreement No 956351.</w:t>
      </w:r>
    </w:p>
    <w:p w14:paraId="0000000C" w14:textId="77777777" w:rsidR="0098306C" w:rsidRPr="00946727" w:rsidRDefault="0098306C" w:rsidP="00596FF9">
      <w:pPr>
        <w:spacing w:before="0" w:after="0" w:line="480" w:lineRule="auto"/>
      </w:pPr>
    </w:p>
    <w:p w14:paraId="0000000D" w14:textId="77777777" w:rsidR="0098306C" w:rsidRPr="00946727" w:rsidRDefault="00BF0683" w:rsidP="00596FF9">
      <w:pPr>
        <w:spacing w:before="0" w:after="0" w:line="480" w:lineRule="auto"/>
        <w:rPr>
          <w:b/>
        </w:rPr>
      </w:pPr>
      <w:r w:rsidRPr="00946727">
        <w:rPr>
          <w:b/>
        </w:rPr>
        <w:lastRenderedPageBreak/>
        <w:t>ABSTRACT</w:t>
      </w:r>
    </w:p>
    <w:p w14:paraId="0000000E" w14:textId="77777777" w:rsidR="0098306C" w:rsidRPr="00946727" w:rsidRDefault="0098306C" w:rsidP="00596FF9">
      <w:pPr>
        <w:spacing w:before="0" w:after="0" w:line="480" w:lineRule="auto"/>
      </w:pPr>
    </w:p>
    <w:p w14:paraId="0000000F" w14:textId="349836F6" w:rsidR="0098306C" w:rsidRPr="00946727" w:rsidRDefault="00BF0683" w:rsidP="00596FF9">
      <w:pPr>
        <w:spacing w:before="0" w:after="0" w:line="480" w:lineRule="auto"/>
      </w:pPr>
      <w:r w:rsidRPr="00946727">
        <w:rPr>
          <w:b/>
        </w:rPr>
        <w:t>R</w:t>
      </w:r>
      <w:r w:rsidR="007736EE">
        <w:rPr>
          <w:b/>
        </w:rPr>
        <w:t>ATIONALE</w:t>
      </w:r>
      <w:r w:rsidRPr="00946727">
        <w:rPr>
          <w:b/>
        </w:rPr>
        <w:t>:</w:t>
      </w:r>
      <w:r w:rsidRPr="00946727">
        <w:t xml:space="preserve"> </w:t>
      </w:r>
      <w:proofErr w:type="spellStart"/>
      <w:r w:rsidRPr="00946727">
        <w:t>Alkylresorcinols</w:t>
      </w:r>
      <w:proofErr w:type="spellEnd"/>
      <w:r w:rsidRPr="00946727">
        <w:t xml:space="preserve"> (ARs) are cereal</w:t>
      </w:r>
      <w:r w:rsidR="007A6F52" w:rsidRPr="00946727">
        <w:t>-specific</w:t>
      </w:r>
      <w:r w:rsidRPr="00946727">
        <w:t xml:space="preserve"> biomarkers and have recently been found in archaeological pots. However, their low concentrations and high susceptibility to degradation make them difficult to detect using conventional gas chromatography mass spectrometry (GC/MS). Here we describe the development of a more sensitive liquid chromatography mass spectrometry (LC/MS) method to detect these compounds.</w:t>
      </w:r>
    </w:p>
    <w:p w14:paraId="00000010" w14:textId="77777777" w:rsidR="0098306C" w:rsidRPr="00946727" w:rsidRDefault="0098306C" w:rsidP="00596FF9">
      <w:pPr>
        <w:spacing w:before="0" w:after="0" w:line="480" w:lineRule="auto"/>
      </w:pPr>
    </w:p>
    <w:p w14:paraId="00000011" w14:textId="479722F8" w:rsidR="0098306C" w:rsidRPr="00946727" w:rsidRDefault="00BF0683" w:rsidP="00596FF9">
      <w:pPr>
        <w:spacing w:before="0" w:after="0" w:line="480" w:lineRule="auto"/>
      </w:pPr>
      <w:r w:rsidRPr="00946727">
        <w:rPr>
          <w:b/>
        </w:rPr>
        <w:t>M</w:t>
      </w:r>
      <w:r w:rsidR="007736EE">
        <w:rPr>
          <w:b/>
        </w:rPr>
        <w:t>ETHOD</w:t>
      </w:r>
      <w:r w:rsidRPr="00946727">
        <w:rPr>
          <w:b/>
        </w:rPr>
        <w:t>:</w:t>
      </w:r>
      <w:r w:rsidRPr="00946727">
        <w:t xml:space="preserve"> A method</w:t>
      </w:r>
      <w:r w:rsidR="00DA27B1" w:rsidRPr="00946727">
        <w:t xml:space="preserve"> based on the use of </w:t>
      </w:r>
      <w:proofErr w:type="spellStart"/>
      <w:r w:rsidR="00DA27B1" w:rsidRPr="00946727">
        <w:t xml:space="preserve">ultra </w:t>
      </w:r>
      <w:proofErr w:type="gramStart"/>
      <w:r w:rsidR="00DA27B1" w:rsidRPr="00946727">
        <w:t>high</w:t>
      </w:r>
      <w:proofErr w:type="spellEnd"/>
      <w:r w:rsidR="00DA27B1" w:rsidRPr="00946727">
        <w:t xml:space="preserve"> performance</w:t>
      </w:r>
      <w:proofErr w:type="gramEnd"/>
      <w:r w:rsidR="00DA27B1" w:rsidRPr="00946727">
        <w:t xml:space="preserve"> liquid chromatography (UHPLC) coupled to an Orbitrap mass analyser</w:t>
      </w:r>
      <w:r w:rsidRPr="00946727">
        <w:t xml:space="preserve"> was established and validated for the detection of low-concentration ARs in pottery. During the preliminary experiments, UHPLC-Q/Orbitrap MS was demonstrated to be more sensitive</w:t>
      </w:r>
      <w:r w:rsidR="00DA27B1" w:rsidRPr="00946727">
        <w:t>, and a wide range of AR homologues in cereal extracts were detected, unlike</w:t>
      </w:r>
      <w:r w:rsidRPr="00946727">
        <w:t xml:space="preserve"> UHPLC-QTOFMS and GC/MS. The developed method was utilised to profile AR homologue distribution in modern cereal samples and reanalyse AR-containing pots from the archaeological site of Must Farm. </w:t>
      </w:r>
    </w:p>
    <w:p w14:paraId="00000012" w14:textId="77777777" w:rsidR="0098306C" w:rsidRPr="00946727" w:rsidRDefault="0098306C" w:rsidP="00596FF9">
      <w:pPr>
        <w:spacing w:before="0" w:after="0" w:line="480" w:lineRule="auto"/>
      </w:pPr>
    </w:p>
    <w:p w14:paraId="00000013" w14:textId="7382C34D" w:rsidR="0098306C" w:rsidRPr="00946727" w:rsidRDefault="00BF0683" w:rsidP="00596FF9">
      <w:pPr>
        <w:spacing w:before="0" w:after="0" w:line="480" w:lineRule="auto"/>
      </w:pPr>
      <w:r w:rsidRPr="00946727">
        <w:rPr>
          <w:b/>
        </w:rPr>
        <w:t>R</w:t>
      </w:r>
      <w:r w:rsidR="007736EE">
        <w:rPr>
          <w:b/>
        </w:rPr>
        <w:t>ESULTS</w:t>
      </w:r>
      <w:r w:rsidRPr="00946727">
        <w:rPr>
          <w:b/>
        </w:rPr>
        <w:t>:</w:t>
      </w:r>
      <w:r w:rsidRPr="00946727">
        <w:t xml:space="preserve"> A highly sensitive LC/MS method with a limit of detection (LOD) of 0.02 µg/g and </w:t>
      </w:r>
      <w:r w:rsidR="00DA27B1" w:rsidRPr="00946727">
        <w:t xml:space="preserve">a </w:t>
      </w:r>
      <w:r w:rsidRPr="00946727">
        <w:t>limit of quantification (LOQ) of 0.0</w:t>
      </w:r>
      <w:r w:rsidR="00EF70E2">
        <w:t>6</w:t>
      </w:r>
      <w:r w:rsidRPr="00946727">
        <w:t xml:space="preserve"> µg/g has been used to profile ARs in five modern cereal grains. The obtained LOD is </w:t>
      </w:r>
      <w:r w:rsidR="00DA27B1" w:rsidRPr="00946727">
        <w:t>250 times</w:t>
      </w:r>
      <w:r w:rsidRPr="00946727">
        <w:t xml:space="preserve"> lower than the conventional GC/MS approach. AR 21:0 was the most abundant homologue in all four </w:t>
      </w:r>
      <w:r w:rsidRPr="00946727">
        <w:rPr>
          <w:i/>
        </w:rPr>
        <w:t>Triticum</w:t>
      </w:r>
      <w:r w:rsidRPr="00946727">
        <w:t xml:space="preserve"> spp. ‒ einkorn, emmer, Khorasan wheat, and common wheat. Meanwhile, AR 25:0 was the predominant homologue in barley, potentially enabling differentiation between wheat and barley. The developed LC/MS-based method was successfully used to analyse ARs extracted from Must Farm potsherds and identified the cereal species most likely processed in the pots ‒ emmer wheat.</w:t>
      </w:r>
    </w:p>
    <w:p w14:paraId="00000014" w14:textId="77777777" w:rsidR="0098306C" w:rsidRPr="00946727" w:rsidRDefault="0098306C" w:rsidP="00596FF9">
      <w:pPr>
        <w:spacing w:before="0" w:after="0" w:line="480" w:lineRule="auto"/>
      </w:pPr>
    </w:p>
    <w:p w14:paraId="6BF5F999" w14:textId="68081747" w:rsidR="004C74A0" w:rsidRPr="00946727" w:rsidRDefault="00BF0683" w:rsidP="00596FF9">
      <w:pPr>
        <w:spacing w:before="0" w:after="0" w:line="480" w:lineRule="auto"/>
      </w:pPr>
      <w:r w:rsidRPr="00946727">
        <w:rPr>
          <w:b/>
        </w:rPr>
        <w:lastRenderedPageBreak/>
        <w:t>C</w:t>
      </w:r>
      <w:r w:rsidR="007736EE">
        <w:rPr>
          <w:b/>
        </w:rPr>
        <w:t>ONCLUSION</w:t>
      </w:r>
      <w:r w:rsidRPr="00946727">
        <w:rPr>
          <w:b/>
        </w:rPr>
        <w:t>:</w:t>
      </w:r>
      <w:r w:rsidRPr="00946727">
        <w:t xml:space="preserve"> The described method offers an alternative and more sensitive approach for detecting and identifying ARs in ancient pottery. It has been successfully utilised to detect AR homologues in archaeological samples and</w:t>
      </w:r>
      <w:r w:rsidR="00622260" w:rsidRPr="00946727">
        <w:t xml:space="preserve"> </w:t>
      </w:r>
      <w:r w:rsidR="000A0FFE" w:rsidRPr="00946727">
        <w:t xml:space="preserve">discriminate </w:t>
      </w:r>
      <w:r w:rsidR="00622260" w:rsidRPr="00946727">
        <w:t>which cereal species –</w:t>
      </w:r>
      <w:r w:rsidR="004C74A0" w:rsidRPr="00946727">
        <w:t xml:space="preserve"> </w:t>
      </w:r>
      <w:r w:rsidR="00622260" w:rsidRPr="00946727">
        <w:t xml:space="preserve">wheat and barley – </w:t>
      </w:r>
      <w:r w:rsidR="00596FF9" w:rsidRPr="00946727">
        <w:t>were</w:t>
      </w:r>
      <w:r w:rsidR="00622260" w:rsidRPr="00946727">
        <w:t xml:space="preserve"> processed in the pots</w:t>
      </w:r>
      <w:r w:rsidR="004C74A0" w:rsidRPr="00946727">
        <w:t>.</w:t>
      </w:r>
    </w:p>
    <w:p w14:paraId="00000016" w14:textId="77777777" w:rsidR="0098306C" w:rsidRPr="00946727" w:rsidRDefault="0098306C" w:rsidP="00596FF9">
      <w:pPr>
        <w:spacing w:before="0" w:after="0" w:line="480" w:lineRule="auto"/>
      </w:pPr>
    </w:p>
    <w:p w14:paraId="00000017" w14:textId="77777777" w:rsidR="0098306C" w:rsidRPr="00946727" w:rsidRDefault="00BF0683" w:rsidP="00596FF9">
      <w:pPr>
        <w:numPr>
          <w:ilvl w:val="0"/>
          <w:numId w:val="1"/>
        </w:numPr>
        <w:spacing w:before="0" w:after="0" w:line="480" w:lineRule="auto"/>
        <w:ind w:left="425"/>
        <w:rPr>
          <w:b/>
        </w:rPr>
      </w:pPr>
      <w:r w:rsidRPr="00946727">
        <w:rPr>
          <w:b/>
        </w:rPr>
        <w:t>INTRODUCTION</w:t>
      </w:r>
    </w:p>
    <w:p w14:paraId="00000018" w14:textId="77777777" w:rsidR="0098306C" w:rsidRPr="00946727" w:rsidRDefault="0098306C" w:rsidP="00596FF9">
      <w:pPr>
        <w:spacing w:before="0" w:after="0" w:line="480" w:lineRule="auto"/>
        <w:rPr>
          <w:b/>
        </w:rPr>
      </w:pPr>
    </w:p>
    <w:p w14:paraId="0000001A" w14:textId="2B2CA338" w:rsidR="0098306C" w:rsidRPr="00946727" w:rsidRDefault="00BF0683" w:rsidP="00596FF9">
      <w:pPr>
        <w:spacing w:before="0" w:after="0" w:line="480" w:lineRule="auto"/>
      </w:pPr>
      <w:r w:rsidRPr="00946727">
        <w:t>The cultivation of cereals (such as wheat and barley) is thought to have been a major driver of population growth and sedentism during the spread of the Neolithic in Europe</w:t>
      </w:r>
      <w:hyperlink r:id="rId8">
        <w:r w:rsidRPr="00946727">
          <w:rPr>
            <w:color w:val="000000"/>
            <w:vertAlign w:val="superscript"/>
          </w:rPr>
          <w:t>1</w:t>
        </w:r>
      </w:hyperlink>
      <w:r w:rsidRPr="00946727">
        <w:t>, but their relative economic importance and social significance are debated</w:t>
      </w:r>
      <w:hyperlink r:id="rId9">
        <w:r w:rsidRPr="00946727">
          <w:rPr>
            <w:color w:val="000000"/>
            <w:vertAlign w:val="superscript"/>
          </w:rPr>
          <w:t>1–3</w:t>
        </w:r>
      </w:hyperlink>
      <w:r w:rsidRPr="00946727">
        <w:t xml:space="preserve">. Aside from the direct recovery of botanical and faunal remains in archaeological deposits, chemical analysis of residues from ceramic cooking vessels is an </w:t>
      </w:r>
      <w:r w:rsidR="001A00A7" w:rsidRPr="00946727">
        <w:t xml:space="preserve">essential </w:t>
      </w:r>
      <w:r w:rsidRPr="00946727">
        <w:t xml:space="preserve">line of evidence for investigating </w:t>
      </w:r>
      <w:r w:rsidR="00B7120C" w:rsidRPr="00946727">
        <w:t xml:space="preserve">ancient </w:t>
      </w:r>
      <w:r w:rsidRPr="00946727">
        <w:t>food production systems. Such studies have tended to focus on animal products</w:t>
      </w:r>
      <w:hyperlink r:id="rId10">
        <w:r w:rsidRPr="00946727">
          <w:rPr>
            <w:color w:val="000000"/>
            <w:vertAlign w:val="superscript"/>
          </w:rPr>
          <w:t>4–8</w:t>
        </w:r>
      </w:hyperlink>
      <w:r w:rsidRPr="00946727">
        <w:t>, whilst the chemical identification of cereal remains associated with ceramic artefacts remains a challenge due to their relatively low content of chemically stable lipid compounds</w:t>
      </w:r>
      <w:hyperlink r:id="rId11">
        <w:r w:rsidRPr="00946727">
          <w:rPr>
            <w:color w:val="000000"/>
            <w:vertAlign w:val="superscript"/>
          </w:rPr>
          <w:t>9</w:t>
        </w:r>
      </w:hyperlink>
      <w:r w:rsidRPr="00946727">
        <w:t>.</w:t>
      </w:r>
    </w:p>
    <w:p w14:paraId="03143FEE" w14:textId="77777777" w:rsidR="005C48A9" w:rsidRPr="00946727" w:rsidRDefault="005C48A9" w:rsidP="00596FF9">
      <w:pPr>
        <w:spacing w:before="0" w:after="0" w:line="480" w:lineRule="auto"/>
      </w:pPr>
    </w:p>
    <w:p w14:paraId="0000001B" w14:textId="2BFA6941" w:rsidR="0098306C" w:rsidRPr="00946727" w:rsidRDefault="00BF0683" w:rsidP="00596FF9">
      <w:pPr>
        <w:spacing w:before="0" w:after="0" w:line="480" w:lineRule="auto"/>
      </w:pPr>
      <w:proofErr w:type="spellStart"/>
      <w:r w:rsidRPr="00946727">
        <w:t>Alkylresorcinols</w:t>
      </w:r>
      <w:proofErr w:type="spellEnd"/>
      <w:r w:rsidRPr="00946727">
        <w:t xml:space="preserve"> (ARs) have been recently recognised as biomarkers for the presence of cereals in archaeological pottery from cold climates (e.g.</w:t>
      </w:r>
      <w:r w:rsidR="003072C4" w:rsidRPr="00946727">
        <w:t>,</w:t>
      </w:r>
      <w:r w:rsidRPr="00946727">
        <w:t xml:space="preserve"> the Alps)</w:t>
      </w:r>
      <w:hyperlink r:id="rId12">
        <w:r w:rsidRPr="00946727">
          <w:rPr>
            <w:color w:val="000000"/>
            <w:vertAlign w:val="superscript"/>
          </w:rPr>
          <w:t>10</w:t>
        </w:r>
      </w:hyperlink>
      <w:r w:rsidRPr="00946727">
        <w:t xml:space="preserve"> and in an</w:t>
      </w:r>
      <w:r w:rsidR="007351B0" w:rsidRPr="00946727">
        <w:t>oxic</w:t>
      </w:r>
      <w:r w:rsidRPr="00946727">
        <w:t xml:space="preserve"> conditions (</w:t>
      </w:r>
      <w:r w:rsidR="007351B0" w:rsidRPr="00946727">
        <w:t>e.g.</w:t>
      </w:r>
      <w:r w:rsidR="003072C4" w:rsidRPr="00946727">
        <w:t>,</w:t>
      </w:r>
      <w:r w:rsidR="007351B0" w:rsidRPr="00946727">
        <w:t xml:space="preserve"> </w:t>
      </w:r>
      <w:r w:rsidRPr="00946727">
        <w:t>waterlogged environments)</w:t>
      </w:r>
      <w:hyperlink r:id="rId13">
        <w:r w:rsidRPr="00946727">
          <w:rPr>
            <w:color w:val="000000"/>
            <w:vertAlign w:val="superscript"/>
          </w:rPr>
          <w:t>11,12</w:t>
        </w:r>
      </w:hyperlink>
      <w:r w:rsidRPr="00946727">
        <w:t>. They are a class of phenolic lipids characterised by a nonpolar odd-numbered alkyl side chain attached to a polar resorcinol ring (Figure 1</w:t>
      </w:r>
      <w:r w:rsidR="00E75118" w:rsidRPr="00946727">
        <w:t>A</w:t>
      </w:r>
      <w:r w:rsidRPr="00946727">
        <w:t>)</w:t>
      </w:r>
      <w:hyperlink r:id="rId14">
        <w:r w:rsidRPr="00946727">
          <w:rPr>
            <w:color w:val="000000"/>
            <w:vertAlign w:val="superscript"/>
          </w:rPr>
          <w:t>13</w:t>
        </w:r>
      </w:hyperlink>
      <w:r w:rsidRPr="00946727">
        <w:t>. ARs are reported to be present in high amounts in rye and wheat, and in low concentrations in barley and millet</w:t>
      </w:r>
      <w:hyperlink r:id="rId15">
        <w:r w:rsidRPr="00946727">
          <w:rPr>
            <w:color w:val="000000"/>
            <w:vertAlign w:val="superscript"/>
          </w:rPr>
          <w:t>13–15</w:t>
        </w:r>
      </w:hyperlink>
      <w:r w:rsidRPr="00946727">
        <w:t>, with alkyl chains ranging from 15 to 2</w:t>
      </w:r>
      <w:r w:rsidR="007351B0" w:rsidRPr="00946727">
        <w:t>7</w:t>
      </w:r>
      <w:r w:rsidRPr="00946727">
        <w:t xml:space="preserve"> carbon atoms. </w:t>
      </w:r>
      <w:r w:rsidR="005E626A" w:rsidRPr="00946727">
        <w:t>The shorthand naming convention for AR homologues is based on the length of the alkyl chain (e.g.</w:t>
      </w:r>
      <w:r w:rsidR="003072C4" w:rsidRPr="00946727">
        <w:t>,</w:t>
      </w:r>
      <w:r w:rsidR="005E626A" w:rsidRPr="00946727">
        <w:t xml:space="preserve"> the homologue with a 17-carbon alkyl chain is referred to as AR 17</w:t>
      </w:r>
      <w:r w:rsidR="00B82702" w:rsidRPr="00946727">
        <w:t>:0</w:t>
      </w:r>
      <w:r w:rsidR="005E626A" w:rsidRPr="00946727">
        <w:t>). Additionally, t</w:t>
      </w:r>
      <w:r w:rsidRPr="00946727">
        <w:t xml:space="preserve">heir survival in ancient pots </w:t>
      </w:r>
      <w:r w:rsidR="005E626A" w:rsidRPr="00946727">
        <w:t>depends highly</w:t>
      </w:r>
      <w:r w:rsidRPr="00946727">
        <w:t xml:space="preserve"> on burial contexts, with anoxic environments providing the most ideal </w:t>
      </w:r>
      <w:r w:rsidRPr="00946727">
        <w:lastRenderedPageBreak/>
        <w:t>conditions</w:t>
      </w:r>
      <w:hyperlink r:id="rId16">
        <w:r w:rsidRPr="00946727">
          <w:rPr>
            <w:color w:val="000000"/>
            <w:vertAlign w:val="superscript"/>
          </w:rPr>
          <w:t>10–12</w:t>
        </w:r>
      </w:hyperlink>
      <w:r w:rsidRPr="00946727">
        <w:t xml:space="preserve">. </w:t>
      </w:r>
      <w:r w:rsidR="007351B0" w:rsidRPr="00946727">
        <w:t>Detecting</w:t>
      </w:r>
      <w:r w:rsidRPr="00946727">
        <w:t xml:space="preserve"> these phenolic lipids in archaeological deposits offers a means to determine the spread of cereal exploitation by prehistoric communities</w:t>
      </w:r>
      <w:r w:rsidR="007351B0" w:rsidRPr="00946727">
        <w:t>,</w:t>
      </w:r>
      <w:hyperlink r:id="rId17">
        <w:r w:rsidRPr="00946727">
          <w:rPr>
            <w:color w:val="000000"/>
            <w:vertAlign w:val="superscript"/>
          </w:rPr>
          <w:t>10,16</w:t>
        </w:r>
      </w:hyperlink>
      <w:r w:rsidRPr="00946727">
        <w:t xml:space="preserve"> especially when botanical remains are poorly preserved or were not adequately collected in archaeological excavations.</w:t>
      </w:r>
    </w:p>
    <w:p w14:paraId="0000001C" w14:textId="77777777" w:rsidR="0098306C" w:rsidRPr="00946727" w:rsidRDefault="0098306C" w:rsidP="00596FF9">
      <w:pPr>
        <w:spacing w:before="0" w:after="0" w:line="480" w:lineRule="auto"/>
      </w:pPr>
    </w:p>
    <w:p w14:paraId="0000001D" w14:textId="77777777" w:rsidR="0098306C" w:rsidRPr="00946727" w:rsidRDefault="00BF0683" w:rsidP="00596FF9">
      <w:pPr>
        <w:spacing w:before="0" w:after="0" w:line="480" w:lineRule="auto"/>
      </w:pPr>
      <w:r w:rsidRPr="00946727">
        <w:t>Analysis of ARs has typically been carried out by gas chromatography mass spectrometry (GC/MS)-based methods</w:t>
      </w:r>
      <w:hyperlink r:id="rId18">
        <w:r w:rsidRPr="00946727">
          <w:rPr>
            <w:color w:val="000000"/>
            <w:vertAlign w:val="superscript"/>
          </w:rPr>
          <w:t>10–12,17</w:t>
        </w:r>
      </w:hyperlink>
      <w:r w:rsidRPr="00946727">
        <w:t>. Their high susceptibility to degradation during cooking and microbial attack in burial environments</w:t>
      </w:r>
      <w:hyperlink r:id="rId19">
        <w:r w:rsidRPr="00946727">
          <w:rPr>
            <w:color w:val="000000"/>
            <w:vertAlign w:val="superscript"/>
          </w:rPr>
          <w:t>10,17–19</w:t>
        </w:r>
      </w:hyperlink>
      <w:r w:rsidRPr="00946727">
        <w:t xml:space="preserve"> make these phenolic lipids elusive. Several strategies have been developed to increase the probability of detecting ARs by GC/MS. These include optimisation of the extraction process, application of enrichment steps for ARs, and utilisation of targeted approaches, such as the selected ion monitoring (SIM)</w:t>
      </w:r>
      <w:hyperlink r:id="rId20">
        <w:r w:rsidRPr="00946727">
          <w:rPr>
            <w:color w:val="000000"/>
            <w:vertAlign w:val="superscript"/>
          </w:rPr>
          <w:t>11,20</w:t>
        </w:r>
      </w:hyperlink>
      <w:r w:rsidRPr="00946727">
        <w:t>. Gas chromatography-quadrupole time of flight mass spectrometry (GC-Q/TOFMS) has also been used to increase the sensitivity of the approach</w:t>
      </w:r>
      <w:hyperlink r:id="rId21">
        <w:r w:rsidRPr="00946727">
          <w:rPr>
            <w:color w:val="000000"/>
            <w:vertAlign w:val="superscript"/>
          </w:rPr>
          <w:t>11,12,17</w:t>
        </w:r>
      </w:hyperlink>
      <w:r w:rsidRPr="00946727">
        <w:t xml:space="preserve">. </w:t>
      </w:r>
    </w:p>
    <w:p w14:paraId="0000001E" w14:textId="77777777" w:rsidR="0098306C" w:rsidRPr="00946727" w:rsidRDefault="0098306C" w:rsidP="00596FF9">
      <w:pPr>
        <w:spacing w:before="0" w:after="0" w:line="480" w:lineRule="auto"/>
      </w:pPr>
    </w:p>
    <w:p w14:paraId="2DD143F3" w14:textId="303F2137" w:rsidR="00755333" w:rsidRPr="00946727" w:rsidRDefault="00BF0683" w:rsidP="00596FF9">
      <w:pPr>
        <w:spacing w:before="0" w:after="0" w:line="480" w:lineRule="auto"/>
      </w:pPr>
      <w:r w:rsidRPr="00946727">
        <w:t>While GC/MS is becoming a conventional method for AR identification in archaeological ceramics</w:t>
      </w:r>
      <w:hyperlink r:id="rId22">
        <w:r w:rsidRPr="00946727">
          <w:rPr>
            <w:color w:val="000000"/>
            <w:vertAlign w:val="superscript"/>
          </w:rPr>
          <w:t>10,11,17</w:t>
        </w:r>
      </w:hyperlink>
      <w:r w:rsidRPr="00946727">
        <w:t>, liquid chromatography mass spectrometry (LC/MS) has been extensively used for decades for AR profiling and quantification in modern cereals</w:t>
      </w:r>
      <w:hyperlink r:id="rId23">
        <w:r w:rsidRPr="00946727">
          <w:rPr>
            <w:color w:val="000000"/>
            <w:vertAlign w:val="superscript"/>
          </w:rPr>
          <w:t>21–24</w:t>
        </w:r>
      </w:hyperlink>
      <w:r w:rsidRPr="00946727">
        <w:t xml:space="preserve">. </w:t>
      </w:r>
      <w:r w:rsidR="00070B5C" w:rsidRPr="00946727">
        <w:t>HPLC-DAD/FLD-</w:t>
      </w:r>
      <w:proofErr w:type="spellStart"/>
      <w:r w:rsidR="00070B5C" w:rsidRPr="00946727">
        <w:t>MS</w:t>
      </w:r>
      <w:r w:rsidR="00070B5C" w:rsidRPr="00467065">
        <w:rPr>
          <w:vertAlign w:val="superscript"/>
        </w:rPr>
        <w:t>n</w:t>
      </w:r>
      <w:proofErr w:type="spellEnd"/>
      <w:r w:rsidR="00070B5C" w:rsidRPr="00946727">
        <w:t xml:space="preserve"> was used by Ziegler and colleagues (2015)</w:t>
      </w:r>
      <w:r w:rsidR="000E7EC0" w:rsidRPr="00946727">
        <w:rPr>
          <w:vertAlign w:val="superscript"/>
        </w:rPr>
        <w:t>23</w:t>
      </w:r>
      <w:r w:rsidR="00070B5C" w:rsidRPr="00946727">
        <w:t xml:space="preserve"> to analyse the total AR content of various </w:t>
      </w:r>
      <w:r w:rsidR="00070B5C" w:rsidRPr="00467065">
        <w:rPr>
          <w:i/>
          <w:iCs/>
        </w:rPr>
        <w:t>Triticum</w:t>
      </w:r>
      <w:r w:rsidR="00070B5C" w:rsidRPr="00946727">
        <w:t xml:space="preserve"> spp. with different </w:t>
      </w:r>
      <w:r w:rsidR="000E7EC0" w:rsidRPr="00946727">
        <w:t>ploidy degrees</w:t>
      </w:r>
      <w:r w:rsidR="00070B5C" w:rsidRPr="00946727">
        <w:t xml:space="preserve">. </w:t>
      </w:r>
      <w:r w:rsidR="000E7EC0" w:rsidRPr="00946727">
        <w:t xml:space="preserve">Ploidy level refers to the number of </w:t>
      </w:r>
      <w:proofErr w:type="gramStart"/>
      <w:r w:rsidR="000E7EC0" w:rsidRPr="00946727">
        <w:t>chromosome</w:t>
      </w:r>
      <w:proofErr w:type="gramEnd"/>
      <w:r w:rsidR="000E7EC0" w:rsidRPr="00946727">
        <w:t xml:space="preserve"> sets in a cell, with prefixes indicating the number of sets in a given organism and the symbol x indicating the number of chromosomes in a set (e.g., diploid (2x) has two sets of chromosomes). The study revealed that the relative abundance of AR homologues differed significantly among </w:t>
      </w:r>
      <w:proofErr w:type="spellStart"/>
      <w:r w:rsidR="000E7EC0" w:rsidRPr="00946727">
        <w:t>hexaploid</w:t>
      </w:r>
      <w:proofErr w:type="spellEnd"/>
      <w:r w:rsidR="000E7EC0" w:rsidRPr="00946727">
        <w:t xml:space="preserve"> (common wheat), tetraploid (Khorasan wheat and emmer), and diploid (einkorn) species</w:t>
      </w:r>
      <w:r w:rsidR="000E7EC0" w:rsidRPr="00946727">
        <w:rPr>
          <w:vertAlign w:val="superscript"/>
        </w:rPr>
        <w:t>23</w:t>
      </w:r>
      <w:r w:rsidR="000E7EC0" w:rsidRPr="00946727">
        <w:t>. This information could be valuable in distinguishing between different types of wheat species</w:t>
      </w:r>
      <w:r w:rsidR="000E7EC0" w:rsidRPr="00946727">
        <w:rPr>
          <w:vertAlign w:val="superscript"/>
        </w:rPr>
        <w:t>23</w:t>
      </w:r>
      <w:r w:rsidR="000E7EC0" w:rsidRPr="00946727">
        <w:t>.</w:t>
      </w:r>
    </w:p>
    <w:p w14:paraId="523EDF5C" w14:textId="77777777" w:rsidR="00755333" w:rsidRPr="00946727" w:rsidRDefault="00755333" w:rsidP="00596FF9">
      <w:pPr>
        <w:spacing w:before="0" w:after="0" w:line="480" w:lineRule="auto"/>
      </w:pPr>
    </w:p>
    <w:p w14:paraId="0000001F" w14:textId="40A49E1B" w:rsidR="0098306C" w:rsidRPr="00946727" w:rsidRDefault="00BF0683" w:rsidP="00596FF9">
      <w:pPr>
        <w:spacing w:before="0" w:after="0" w:line="480" w:lineRule="auto"/>
      </w:pPr>
      <w:r w:rsidRPr="00946727">
        <w:t>LC-TOF and LC-Orbitrap have been increasingly utilised because of their high selectivity, accurate mass measurement (&lt;5 ppm), and high mass resolution (&gt;20,000 FWHM)</w:t>
      </w:r>
      <w:hyperlink r:id="rId24">
        <w:r w:rsidRPr="00946727">
          <w:rPr>
            <w:color w:val="000000"/>
            <w:vertAlign w:val="superscript"/>
          </w:rPr>
          <w:t>25,26</w:t>
        </w:r>
      </w:hyperlink>
      <w:r w:rsidRPr="00946727">
        <w:t>. Some key advantages of LC/MS-based methods include minimal sample preparation, fast scan speed, and remarkable sensitivity. The main drawback of these high-resolution methods is the relatively high analytical cost (associated with the overall high facility cost), but where this technique is available, it can enable the detection of ARs in modern specimens with much lower concentrations than the conventional GC/MS approach. The utilisation of these techniques in characterising ARs from archaeological pottery has not been reported before; this study therefore aims to determine the efficacy of an LC/MS approach for archaeological ARs.</w:t>
      </w:r>
    </w:p>
    <w:p w14:paraId="00000020" w14:textId="77777777" w:rsidR="0098306C" w:rsidRPr="00946727" w:rsidRDefault="0098306C" w:rsidP="00596FF9">
      <w:pPr>
        <w:spacing w:before="0" w:after="0" w:line="480" w:lineRule="auto"/>
      </w:pPr>
    </w:p>
    <w:p w14:paraId="00000021" w14:textId="5880A7BF" w:rsidR="0098306C" w:rsidRPr="00946727" w:rsidRDefault="00BF0683" w:rsidP="00596FF9">
      <w:pPr>
        <w:spacing w:before="0" w:after="0" w:line="480" w:lineRule="auto"/>
      </w:pPr>
      <w:r w:rsidRPr="00946727">
        <w:t xml:space="preserve">Preliminary experiments comparing the performance of high-temperature GC/MS, UHPLC-Q/TOFMS, and UHPLC-Q/Orbitrap MS were </w:t>
      </w:r>
      <w:r w:rsidR="008F49C4" w:rsidRPr="00946727">
        <w:t>conducted</w:t>
      </w:r>
      <w:r w:rsidRPr="00946727">
        <w:t xml:space="preserve"> to assess their sensitivity and selectivity in detecting AR homologues in five modern cereal species. </w:t>
      </w:r>
      <w:r w:rsidR="00D323A0" w:rsidRPr="00946727">
        <w:t xml:space="preserve">Of </w:t>
      </w:r>
      <w:r w:rsidRPr="00946727">
        <w:t>the three approaches, UHPLC-Q/Orbitrap MS was found to be the most sensitive. We</w:t>
      </w:r>
      <w:r w:rsidR="00D323A0" w:rsidRPr="00946727">
        <w:t>, therefore,</w:t>
      </w:r>
      <w:r w:rsidRPr="00946727">
        <w:t xml:space="preserve"> used this instrumentation to develop and validate a more sensitive approach to detect and identify AR homologues in modern cereal species and archaeological pottery. We present an LC/MS approach that can rapidly and accurately quantify the components detected to establish AR homologue distribution in modern cereal and total archaeological lipid extracts.</w:t>
      </w:r>
    </w:p>
    <w:p w14:paraId="00000022" w14:textId="77777777" w:rsidR="0098306C" w:rsidRPr="00946727" w:rsidRDefault="0098306C" w:rsidP="00596FF9">
      <w:pPr>
        <w:spacing w:before="0" w:after="0" w:line="480" w:lineRule="auto"/>
      </w:pPr>
    </w:p>
    <w:p w14:paraId="00000023" w14:textId="77777777" w:rsidR="0098306C" w:rsidRPr="00946727" w:rsidRDefault="00BF0683" w:rsidP="00596FF9">
      <w:pPr>
        <w:numPr>
          <w:ilvl w:val="0"/>
          <w:numId w:val="1"/>
        </w:numPr>
        <w:spacing w:before="0" w:after="0" w:line="480" w:lineRule="auto"/>
        <w:ind w:left="425"/>
        <w:rPr>
          <w:b/>
        </w:rPr>
      </w:pPr>
      <w:r w:rsidRPr="00946727">
        <w:rPr>
          <w:b/>
        </w:rPr>
        <w:t>MATERIALS AND METHODS</w:t>
      </w:r>
    </w:p>
    <w:p w14:paraId="00000024" w14:textId="77777777" w:rsidR="0098306C" w:rsidRPr="00946727" w:rsidRDefault="0098306C" w:rsidP="00596FF9">
      <w:pPr>
        <w:spacing w:before="0" w:after="0" w:line="480" w:lineRule="auto"/>
      </w:pPr>
    </w:p>
    <w:p w14:paraId="00000025" w14:textId="77777777" w:rsidR="0098306C" w:rsidRPr="00946727" w:rsidRDefault="00BF0683" w:rsidP="00596FF9">
      <w:pPr>
        <w:spacing w:before="0" w:after="0" w:line="480" w:lineRule="auto"/>
      </w:pPr>
      <w:r w:rsidRPr="00946727">
        <w:t>2.1. Chemicals and materials</w:t>
      </w:r>
    </w:p>
    <w:p w14:paraId="00000026" w14:textId="77777777" w:rsidR="0098306C" w:rsidRPr="00946727" w:rsidRDefault="0098306C" w:rsidP="00596FF9">
      <w:pPr>
        <w:spacing w:before="0" w:after="0" w:line="480" w:lineRule="auto"/>
      </w:pPr>
    </w:p>
    <w:p w14:paraId="00000027" w14:textId="2B13512F" w:rsidR="0098306C" w:rsidRPr="00946727" w:rsidRDefault="00BF0683" w:rsidP="00596FF9">
      <w:pPr>
        <w:spacing w:before="0" w:after="0" w:line="480" w:lineRule="auto"/>
      </w:pPr>
      <w:r w:rsidRPr="00946727">
        <w:lastRenderedPageBreak/>
        <w:t>The 5-</w:t>
      </w:r>
      <w:r w:rsidRPr="00946727">
        <w:rPr>
          <w:i/>
        </w:rPr>
        <w:t>n</w:t>
      </w:r>
      <w:r w:rsidRPr="00946727">
        <w:t xml:space="preserve">-docosylresorcinol (AR 22:0) standard was of &gt;98% purity and was purchased from </w:t>
      </w:r>
      <w:proofErr w:type="spellStart"/>
      <w:r w:rsidRPr="00946727">
        <w:t>ReseaChem</w:t>
      </w:r>
      <w:proofErr w:type="spellEnd"/>
      <w:r w:rsidRPr="00946727">
        <w:t xml:space="preserve"> Life Sciences (Burgdorf, Switzerland). </w:t>
      </w:r>
      <w:r w:rsidR="00737084" w:rsidRPr="00946727">
        <w:t xml:space="preserve">The </w:t>
      </w:r>
      <w:proofErr w:type="spellStart"/>
      <w:r w:rsidR="00737084" w:rsidRPr="00946727">
        <w:t>silylating</w:t>
      </w:r>
      <w:proofErr w:type="spellEnd"/>
      <w:r w:rsidR="00737084" w:rsidRPr="00946727">
        <w:t xml:space="preserve"> agent ‒ </w:t>
      </w:r>
      <w:proofErr w:type="gramStart"/>
      <w:r w:rsidR="00737084" w:rsidRPr="00946727">
        <w:t>N,O</w:t>
      </w:r>
      <w:proofErr w:type="gramEnd"/>
      <w:r w:rsidR="00737084" w:rsidRPr="00946727">
        <w:t xml:space="preserve">-bis(trimethylsilyl)trifluoroacetamide with trimethylchlorosilane (BSTFA/TMCS 99:1, v/v) were from </w:t>
      </w:r>
      <w:proofErr w:type="spellStart"/>
      <w:r w:rsidR="00737084" w:rsidRPr="00946727">
        <w:rPr>
          <w:highlight w:val="white"/>
        </w:rPr>
        <w:t>Thermo</w:t>
      </w:r>
      <w:proofErr w:type="spellEnd"/>
      <w:r w:rsidR="00737084" w:rsidRPr="00946727">
        <w:rPr>
          <w:highlight w:val="white"/>
        </w:rPr>
        <w:t xml:space="preserve"> Fisher Scientific Inc (Illinois, USA)</w:t>
      </w:r>
      <w:r w:rsidR="00737084" w:rsidRPr="00946727">
        <w:t xml:space="preserve">, and the internal standards ‒  </w:t>
      </w:r>
      <w:r w:rsidR="00737084" w:rsidRPr="00946727">
        <w:rPr>
          <w:i/>
        </w:rPr>
        <w:t>n-</w:t>
      </w:r>
      <w:r w:rsidR="00737084" w:rsidRPr="00946727">
        <w:t xml:space="preserve">tetratriacontane (C34, &gt;98%) and </w:t>
      </w:r>
      <w:r w:rsidR="00737084" w:rsidRPr="00946727">
        <w:rPr>
          <w:i/>
        </w:rPr>
        <w:t>n-</w:t>
      </w:r>
      <w:r w:rsidR="00737084" w:rsidRPr="00946727">
        <w:t xml:space="preserve">hexatriacontane (C36, &gt;98%) were from </w:t>
      </w:r>
      <w:r w:rsidR="00737084" w:rsidRPr="00946727">
        <w:rPr>
          <w:highlight w:val="white"/>
        </w:rPr>
        <w:t>Scientific Laboratory Supplies Ltd (Nottingham, UK).</w:t>
      </w:r>
      <w:r w:rsidR="00737084" w:rsidRPr="00946727">
        <w:t xml:space="preserve"> </w:t>
      </w:r>
      <w:r w:rsidRPr="00946727">
        <w:t>Isopropyl alcohol was HPLC grade and procured from Sigma-Aldrich (Darmstadt, Germany). Methanol, dichloromethane</w:t>
      </w:r>
      <w:r w:rsidR="001A00A7" w:rsidRPr="00946727">
        <w:t>,</w:t>
      </w:r>
      <w:r w:rsidRPr="00946727">
        <w:t xml:space="preserve"> and hexane were of HPLC grade and </w:t>
      </w:r>
      <w:r w:rsidR="001A00A7" w:rsidRPr="00946727">
        <w:t xml:space="preserve">were </w:t>
      </w:r>
      <w:r w:rsidRPr="00946727">
        <w:t>obtained from Fisher Scientific (Leicestershire, United Kingdom). Lastly, acetic acid was HPLC grade and provided by VWR (Leicestershire, United Kingdom).</w:t>
      </w:r>
    </w:p>
    <w:p w14:paraId="00000028" w14:textId="77777777" w:rsidR="0098306C" w:rsidRPr="00946727" w:rsidRDefault="0098306C" w:rsidP="00596FF9">
      <w:pPr>
        <w:spacing w:before="0" w:after="0" w:line="480" w:lineRule="auto"/>
      </w:pPr>
    </w:p>
    <w:p w14:paraId="00000029" w14:textId="24EF7221" w:rsidR="0098306C" w:rsidRPr="00946727" w:rsidRDefault="00BF0683" w:rsidP="00596FF9">
      <w:pPr>
        <w:spacing w:before="0" w:after="0" w:line="480" w:lineRule="auto"/>
      </w:pPr>
      <w:r w:rsidRPr="00946727">
        <w:t xml:space="preserve">Five cereal species, four of which are varieties of </w:t>
      </w:r>
      <w:r w:rsidRPr="00946727">
        <w:rPr>
          <w:i/>
        </w:rPr>
        <w:t>Triticum</w:t>
      </w:r>
      <w:r w:rsidRPr="00946727">
        <w:t xml:space="preserve"> spp. (wheat), were collected and assessed (</w:t>
      </w:r>
      <w:r w:rsidR="008F49C4" w:rsidRPr="00946727">
        <w:t xml:space="preserve">Supplementary </w:t>
      </w:r>
      <w:r w:rsidRPr="00946727">
        <w:t xml:space="preserve">Table 1). The Khorasan, emmer, and einkorn were sourced and </w:t>
      </w:r>
      <w:proofErr w:type="gramStart"/>
      <w:r w:rsidRPr="00946727">
        <w:t>stone-milled</w:t>
      </w:r>
      <w:proofErr w:type="gramEnd"/>
      <w:r w:rsidRPr="00946727">
        <w:t xml:space="preserve"> by Shipton Mill Ltd (Gloucestershire</w:t>
      </w:r>
      <w:r w:rsidRPr="00946727">
        <w:rPr>
          <w:color w:val="212529"/>
        </w:rPr>
        <w:t>, UK).</w:t>
      </w:r>
      <w:r w:rsidRPr="00946727">
        <w:t xml:space="preserve"> Meanwhile, the dehulled bread wheat purchased from Bobby’s Healthy Shop </w:t>
      </w:r>
      <w:proofErr w:type="spellStart"/>
      <w:r w:rsidRPr="00946727">
        <w:t>Karowi</w:t>
      </w:r>
      <w:proofErr w:type="spellEnd"/>
      <w:r w:rsidRPr="00946727">
        <w:t xml:space="preserve"> Ltd (Devon, UK), and the barley grains, produced by the </w:t>
      </w:r>
      <w:r w:rsidRPr="00946727">
        <w:rPr>
          <w:color w:val="212529"/>
        </w:rPr>
        <w:t>University of Highlands and Islands</w:t>
      </w:r>
      <w:r w:rsidRPr="00946727">
        <w:t xml:space="preserve"> (Orkney,</w:t>
      </w:r>
      <w:r w:rsidRPr="00946727">
        <w:rPr>
          <w:color w:val="212529"/>
        </w:rPr>
        <w:t xml:space="preserve"> UK), </w:t>
      </w:r>
      <w:r w:rsidRPr="00946727">
        <w:t>were crushed in the laboratory to a fine homogenised powder using a dichloromethane-washed mortar and pestle.</w:t>
      </w:r>
      <w:r w:rsidR="00E14F0A" w:rsidRPr="00946727">
        <w:t xml:space="preserve"> </w:t>
      </w:r>
      <w:r w:rsidR="00737084" w:rsidRPr="00946727">
        <w:t>These cereal species were chosen because they are relevant to our study site – the Late Bronze Age site of Must Farm, Cambridgeshire, UK</w:t>
      </w:r>
      <w:hyperlink r:id="rId25">
        <w:r w:rsidR="00737084" w:rsidRPr="00946727">
          <w:rPr>
            <w:color w:val="000000"/>
            <w:vertAlign w:val="superscript"/>
          </w:rPr>
          <w:t>27</w:t>
        </w:r>
      </w:hyperlink>
      <w:r w:rsidR="00737084" w:rsidRPr="00946727">
        <w:t>.</w:t>
      </w:r>
    </w:p>
    <w:p w14:paraId="0000002A" w14:textId="77777777" w:rsidR="0098306C" w:rsidRPr="00946727" w:rsidRDefault="0098306C" w:rsidP="00596FF9">
      <w:pPr>
        <w:spacing w:before="0" w:after="0" w:line="480" w:lineRule="auto"/>
      </w:pPr>
    </w:p>
    <w:p w14:paraId="0000002B" w14:textId="1EECD6D4" w:rsidR="0098306C" w:rsidRPr="00946727" w:rsidRDefault="00737084" w:rsidP="00596FF9">
      <w:pPr>
        <w:spacing w:before="0" w:after="0" w:line="480" w:lineRule="auto"/>
      </w:pPr>
      <w:r w:rsidRPr="00946727">
        <w:t xml:space="preserve">To test the efficacy of this approach on archaeological material, archaeological ceramics were selected from the site of Must Farm. </w:t>
      </w:r>
      <w:r w:rsidR="00091437" w:rsidRPr="00946727">
        <w:t>The site's stratigraphy reveals two main events – the construction of structures and the creation of middens, followed by their collapse due to a fire</w:t>
      </w:r>
      <w:hyperlink r:id="rId26">
        <w:r w:rsidRPr="00946727">
          <w:rPr>
            <w:color w:val="000000"/>
            <w:vertAlign w:val="superscript"/>
          </w:rPr>
          <w:t>27</w:t>
        </w:r>
      </w:hyperlink>
      <w:r w:rsidR="00091437" w:rsidRPr="00946727">
        <w:t xml:space="preserve">. </w:t>
      </w:r>
      <w:r w:rsidR="009170E7" w:rsidRPr="00946727">
        <w:t xml:space="preserve">The Late Bronze Age site </w:t>
      </w:r>
      <w:r w:rsidR="004B35F3" w:rsidRPr="00946727">
        <w:t xml:space="preserve">showed excellent anoxic preservation </w:t>
      </w:r>
      <w:r w:rsidR="00E93662" w:rsidRPr="00946727">
        <w:t>due to</w:t>
      </w:r>
      <w:r w:rsidR="004B35F3" w:rsidRPr="00946727">
        <w:t xml:space="preserve"> a wetland setting</w:t>
      </w:r>
      <w:hyperlink r:id="rId27">
        <w:r w:rsidRPr="00946727">
          <w:rPr>
            <w:color w:val="000000"/>
            <w:vertAlign w:val="superscript"/>
          </w:rPr>
          <w:t>27</w:t>
        </w:r>
      </w:hyperlink>
      <w:r w:rsidR="004B35F3" w:rsidRPr="00946727">
        <w:t xml:space="preserve">. Excavations revealed four roundhouses (Structures 1, 2, 3, and 5) dating to 1000-800 </w:t>
      </w:r>
      <w:proofErr w:type="spellStart"/>
      <w:r w:rsidR="004B35F3" w:rsidRPr="00946727">
        <w:t>cal</w:t>
      </w:r>
      <w:proofErr w:type="spellEnd"/>
      <w:r w:rsidR="004B35F3" w:rsidRPr="00946727">
        <w:t xml:space="preserve"> BC. The</w:t>
      </w:r>
      <w:r w:rsidR="00160B24" w:rsidRPr="00946727">
        <w:t xml:space="preserve"> </w:t>
      </w:r>
      <w:r w:rsidR="004B35F3" w:rsidRPr="00946727">
        <w:t xml:space="preserve">analysed </w:t>
      </w:r>
      <w:r w:rsidR="00160B24" w:rsidRPr="00946727">
        <w:t>potsherds</w:t>
      </w:r>
      <w:r w:rsidR="004B35F3" w:rsidRPr="00946727">
        <w:t xml:space="preserve"> were from Structure 1</w:t>
      </w:r>
      <w:r w:rsidR="00DE487C" w:rsidRPr="00946727">
        <w:t xml:space="preserve">, </w:t>
      </w:r>
      <w:r w:rsidR="004B35F3" w:rsidRPr="00946727">
        <w:t xml:space="preserve">and archaeobotanical analysis of the same </w:t>
      </w:r>
      <w:r w:rsidR="004B35F3" w:rsidRPr="00946727">
        <w:lastRenderedPageBreak/>
        <w:t>roundhouse structure revealed the charred remains of flax, barley, and emmer wheat</w:t>
      </w:r>
      <w:hyperlink r:id="rId28">
        <w:r w:rsidRPr="00946727">
          <w:rPr>
            <w:color w:val="000000"/>
            <w:vertAlign w:val="superscript"/>
          </w:rPr>
          <w:t>27</w:t>
        </w:r>
      </w:hyperlink>
      <w:r w:rsidR="004B35F3" w:rsidRPr="00946727">
        <w:t xml:space="preserve">, indicating that </w:t>
      </w:r>
      <w:r w:rsidR="00DE487C" w:rsidRPr="00946727">
        <w:t>this structure</w:t>
      </w:r>
      <w:r w:rsidR="004B35F3" w:rsidRPr="00946727">
        <w:t xml:space="preserve"> was used </w:t>
      </w:r>
      <w:r w:rsidR="0037022C" w:rsidRPr="00946727">
        <w:t>to store</w:t>
      </w:r>
      <w:r w:rsidR="004B35F3" w:rsidRPr="00946727">
        <w:t xml:space="preserve"> plant resources.</w:t>
      </w:r>
      <w:r w:rsidR="009F0C18" w:rsidRPr="00946727">
        <w:t xml:space="preserve"> </w:t>
      </w:r>
      <w:r w:rsidR="00307505" w:rsidRPr="00946727">
        <w:t xml:space="preserve">Lipid extraction was undertaken on 80 ceramic </w:t>
      </w:r>
      <w:r w:rsidR="00160B24" w:rsidRPr="00946727">
        <w:t xml:space="preserve">powdered </w:t>
      </w:r>
      <w:r w:rsidR="00307505" w:rsidRPr="00946727">
        <w:t>samples from the Must Farm assemblage</w:t>
      </w:r>
      <w:hyperlink r:id="rId29">
        <w:r w:rsidRPr="00946727">
          <w:rPr>
            <w:color w:val="000000"/>
            <w:vertAlign w:val="superscript"/>
          </w:rPr>
          <w:t>27</w:t>
        </w:r>
      </w:hyperlink>
      <w:r w:rsidR="00160B24" w:rsidRPr="00946727">
        <w:t xml:space="preserve">. </w:t>
      </w:r>
      <w:r w:rsidR="00160B24" w:rsidRPr="00946727">
        <w:rPr>
          <w:color w:val="212529"/>
        </w:rPr>
        <w:t>The powdered samples were collected by drilling into the cleaned surface of the interior wall of the sherds using a low-speed electric drill equipped with an abrasive tungsten drill bit.</w:t>
      </w:r>
      <w:r w:rsidR="00307505" w:rsidRPr="00946727">
        <w:t xml:space="preserve"> </w:t>
      </w:r>
      <w:r w:rsidR="00160B24" w:rsidRPr="00946727">
        <w:t>E</w:t>
      </w:r>
      <w:r w:rsidR="00BF0683" w:rsidRPr="00946727">
        <w:t>ight sherds (</w:t>
      </w:r>
      <w:r w:rsidR="00160B24" w:rsidRPr="00946727">
        <w:t xml:space="preserve">Supplementary </w:t>
      </w:r>
      <w:r w:rsidR="00BF0683" w:rsidRPr="00946727">
        <w:t xml:space="preserve">Table 2) are discussed here in relation to AR detection. </w:t>
      </w:r>
    </w:p>
    <w:p w14:paraId="0000002C" w14:textId="77777777" w:rsidR="0098306C" w:rsidRPr="00946727" w:rsidRDefault="0098306C" w:rsidP="00596FF9">
      <w:pPr>
        <w:spacing w:before="0" w:after="0" w:line="480" w:lineRule="auto"/>
      </w:pPr>
    </w:p>
    <w:p w14:paraId="0000002D" w14:textId="77777777" w:rsidR="0098306C" w:rsidRPr="00946727" w:rsidRDefault="00BF0683" w:rsidP="00596FF9">
      <w:pPr>
        <w:spacing w:before="0" w:after="0" w:line="480" w:lineRule="auto"/>
      </w:pPr>
      <w:r w:rsidRPr="00946727">
        <w:t xml:space="preserve">2.2. Sample </w:t>
      </w:r>
      <w:proofErr w:type="gramStart"/>
      <w:r w:rsidRPr="00946727">
        <w:t>preparation</w:t>
      </w:r>
      <w:proofErr w:type="gramEnd"/>
    </w:p>
    <w:p w14:paraId="0000002E" w14:textId="77777777" w:rsidR="0098306C" w:rsidRPr="00946727" w:rsidRDefault="0098306C" w:rsidP="00596FF9">
      <w:pPr>
        <w:spacing w:before="0" w:after="0" w:line="480" w:lineRule="auto"/>
      </w:pPr>
    </w:p>
    <w:p w14:paraId="51F9A6F3" w14:textId="61BE3DC9" w:rsidR="00596FF9" w:rsidRPr="00946727" w:rsidRDefault="00BF0683" w:rsidP="00596FF9">
      <w:pPr>
        <w:spacing w:before="0" w:after="0" w:line="480" w:lineRule="auto"/>
      </w:pPr>
      <w:r w:rsidRPr="00946727">
        <w:t xml:space="preserve">The extraction of lipids from cereals was carried out according to the published </w:t>
      </w:r>
      <w:r w:rsidR="00737084" w:rsidRPr="00946727">
        <w:t>methodology</w:t>
      </w:r>
      <w:hyperlink r:id="rId30">
        <w:r w:rsidR="00737084" w:rsidRPr="00946727">
          <w:rPr>
            <w:color w:val="000000"/>
            <w:vertAlign w:val="superscript"/>
          </w:rPr>
          <w:t>28</w:t>
        </w:r>
      </w:hyperlink>
      <w:r w:rsidRPr="00946727">
        <w:t>. Briefly, cereal powder (</w:t>
      </w:r>
      <w:r w:rsidRPr="00467065">
        <w:rPr>
          <w:i/>
          <w:iCs/>
        </w:rPr>
        <w:t>ca.</w:t>
      </w:r>
      <w:r w:rsidRPr="00946727">
        <w:t xml:space="preserve"> 300 mg) was placed in sterilised 8 mL glass culture tubes and spiked with 10 µg internal standard (C34 alkane). The powdered sample was extracted three times under sonication with 5 mL dichloromethane/methanol (2:1, v/v). After centrifugation, the successive AR-containing supernatants were combined and evaporated under nitrogen flow. </w:t>
      </w:r>
      <w:r w:rsidR="00737084" w:rsidRPr="00946727">
        <w:t>The same method</w:t>
      </w:r>
      <w:hyperlink r:id="rId31">
        <w:r w:rsidR="00737084" w:rsidRPr="00946727">
          <w:rPr>
            <w:color w:val="000000"/>
            <w:vertAlign w:val="superscript"/>
          </w:rPr>
          <w:t>28</w:t>
        </w:r>
      </w:hyperlink>
      <w:r w:rsidR="00737084" w:rsidRPr="00946727">
        <w:t xml:space="preserve">, with one modification, was used to extract lipids from the archaeological pots. </w:t>
      </w:r>
      <w:r w:rsidR="00737084" w:rsidRPr="00946727">
        <w:rPr>
          <w:color w:val="212529"/>
        </w:rPr>
        <w:t xml:space="preserve">Instead of using a smaller amount of powdered sample, </w:t>
      </w:r>
      <w:r w:rsidR="00737084" w:rsidRPr="00946727">
        <w:rPr>
          <w:i/>
          <w:color w:val="212529"/>
        </w:rPr>
        <w:t>ca.</w:t>
      </w:r>
      <w:r w:rsidR="00737084" w:rsidRPr="00946727">
        <w:rPr>
          <w:color w:val="212529"/>
        </w:rPr>
        <w:t xml:space="preserve"> 1 g of ceramic powder was used. </w:t>
      </w:r>
      <w:r w:rsidR="00737084" w:rsidRPr="00946727">
        <w:t>The dried-down cereal and Must Farm total lipid extracts (TLEs) were stored at -20 °C until further sample purification process and chromatographic analyses.</w:t>
      </w:r>
    </w:p>
    <w:p w14:paraId="0F3519F5" w14:textId="77777777" w:rsidR="00EF25E9" w:rsidRPr="00946727" w:rsidRDefault="00EF25E9" w:rsidP="00596FF9">
      <w:pPr>
        <w:spacing w:before="0" w:after="0" w:line="480" w:lineRule="auto"/>
      </w:pPr>
    </w:p>
    <w:p w14:paraId="260BC121" w14:textId="7C711A68" w:rsidR="00EF25E9" w:rsidRPr="00946727" w:rsidRDefault="00EF25E9" w:rsidP="00596FF9">
      <w:pPr>
        <w:spacing w:before="0" w:after="0" w:line="480" w:lineRule="auto"/>
      </w:pPr>
      <w:r w:rsidRPr="00946727">
        <w:t xml:space="preserve">Sample purification was performed to increase sensitivity by concentrating </w:t>
      </w:r>
      <w:r w:rsidR="00737084" w:rsidRPr="00946727">
        <w:t xml:space="preserve">any </w:t>
      </w:r>
      <w:r w:rsidRPr="00946727">
        <w:t xml:space="preserve">ARs and </w:t>
      </w:r>
      <w:r w:rsidR="00737084" w:rsidRPr="00946727">
        <w:t>removing interferences that may cause co-eluting peaks and high background noise.</w:t>
      </w:r>
      <w:r w:rsidRPr="00946727">
        <w:t xml:space="preserve"> </w:t>
      </w:r>
      <w:r w:rsidR="00737084" w:rsidRPr="00946727">
        <w:t>Such interferences include the animal fats that often exist in ancient pots in high concentration, making the detection of low-content ARs more challenging</w:t>
      </w:r>
      <w:hyperlink r:id="rId32">
        <w:r w:rsidR="00737084" w:rsidRPr="00946727">
          <w:rPr>
            <w:color w:val="000000"/>
            <w:vertAlign w:val="superscript"/>
          </w:rPr>
          <w:t>11</w:t>
        </w:r>
      </w:hyperlink>
      <w:r w:rsidR="00737084" w:rsidRPr="00946727">
        <w:t>. Moreover, purification through SPE also protects the LC column from contaminants (e.g., ceramic fine powder)</w:t>
      </w:r>
      <w:hyperlink r:id="rId33">
        <w:r w:rsidR="00737084" w:rsidRPr="00946727">
          <w:rPr>
            <w:color w:val="000000"/>
            <w:vertAlign w:val="superscript"/>
          </w:rPr>
          <w:t>29</w:t>
        </w:r>
      </w:hyperlink>
      <w:r w:rsidR="00737084" w:rsidRPr="00946727">
        <w:t xml:space="preserve">. </w:t>
      </w:r>
      <w:r w:rsidRPr="00946727">
        <w:t xml:space="preserve"> </w:t>
      </w:r>
      <w:r w:rsidRPr="00946727">
        <w:lastRenderedPageBreak/>
        <w:t>Accumulation of these inorganic contaminants leads to an increase in operating pressure, affecting the chromatographic selectivity</w:t>
      </w:r>
      <w:r w:rsidR="00737084" w:rsidRPr="00946727">
        <w:rPr>
          <w:color w:val="000000"/>
          <w:vertAlign w:val="superscript"/>
        </w:rPr>
        <w:t>30</w:t>
      </w:r>
      <w:r w:rsidRPr="00946727">
        <w:t>.</w:t>
      </w:r>
    </w:p>
    <w:p w14:paraId="00000030" w14:textId="0A62B9DF" w:rsidR="0098306C" w:rsidRPr="00946727" w:rsidRDefault="00160B24" w:rsidP="00596FF9">
      <w:pPr>
        <w:spacing w:before="0" w:after="0" w:line="480" w:lineRule="auto"/>
      </w:pPr>
      <w:r w:rsidRPr="00946727">
        <w:t xml:space="preserve"> </w:t>
      </w:r>
    </w:p>
    <w:p w14:paraId="00000031" w14:textId="6330824E" w:rsidR="0098306C" w:rsidRPr="00946727" w:rsidRDefault="00BF0683" w:rsidP="00596FF9">
      <w:pPr>
        <w:spacing w:before="0" w:after="0" w:line="480" w:lineRule="auto"/>
      </w:pPr>
      <w:r w:rsidRPr="00946727">
        <w:t xml:space="preserve">The purification </w:t>
      </w:r>
      <w:r w:rsidR="00EF25E9" w:rsidRPr="00946727">
        <w:t xml:space="preserve">protocol </w:t>
      </w:r>
      <w:r w:rsidRPr="00946727">
        <w:t>involved sample cleanup using silica filters and AR enhancement using commercial solid phase extraction (SPE) columns, as previously described</w:t>
      </w:r>
      <w:hyperlink r:id="rId34">
        <w:r w:rsidRPr="00946727">
          <w:rPr>
            <w:color w:val="000000"/>
            <w:vertAlign w:val="superscript"/>
          </w:rPr>
          <w:t>11</w:t>
        </w:r>
      </w:hyperlink>
      <w:r w:rsidRPr="00946727">
        <w:t xml:space="preserve">. The protocol was applied with minor modifications. </w:t>
      </w:r>
      <w:r w:rsidR="00E938E3" w:rsidRPr="00946727">
        <w:t>T</w:t>
      </w:r>
      <w:r w:rsidRPr="00946727">
        <w:t xml:space="preserve">he filter for the sample cleanup was prepared by packing a 3 mL glass column (1 cm </w:t>
      </w:r>
      <w:proofErr w:type="spellStart"/>
      <w:r w:rsidRPr="00946727">
        <w:t>i.d.</w:t>
      </w:r>
      <w:proofErr w:type="spellEnd"/>
      <w:r w:rsidRPr="00946727">
        <w:t>) with 0.5 g activated silica and conditioned using 5 mL dichloromethane/methanol (2:1, v/v). The dried TLEs of cereals and archaeological potsherds were redissolved in 2 mL dichloromethane/methanol (2:1, v/v) and an aliquot (1 mL) was passed through the prepared filter and eluted using 3 x 2 mL dichloromethane/methanol (2:1, v/v). The solvent was then removed under nitrogen flow.</w:t>
      </w:r>
    </w:p>
    <w:p w14:paraId="00000032" w14:textId="77777777" w:rsidR="0098306C" w:rsidRPr="00946727" w:rsidRDefault="0098306C" w:rsidP="00596FF9">
      <w:pPr>
        <w:spacing w:before="0" w:after="0" w:line="480" w:lineRule="auto"/>
      </w:pPr>
    </w:p>
    <w:p w14:paraId="01A7CF78" w14:textId="6ED36AF0" w:rsidR="00EF25E9" w:rsidRPr="00946727" w:rsidRDefault="00BF0683" w:rsidP="00596FF9">
      <w:pPr>
        <w:spacing w:before="0" w:after="0" w:line="480" w:lineRule="auto"/>
      </w:pPr>
      <w:r w:rsidRPr="00946727">
        <w:t>The extracts were reconstituted in 1 mL hexane and introduced into a preconditioned SPE column (</w:t>
      </w:r>
      <w:proofErr w:type="spellStart"/>
      <w:r w:rsidRPr="00946727">
        <w:t>Isolute</w:t>
      </w:r>
      <w:proofErr w:type="spellEnd"/>
      <w:r w:rsidRPr="00946727">
        <w:t xml:space="preserve">® NH2, </w:t>
      </w:r>
      <w:proofErr w:type="spellStart"/>
      <w:r w:rsidRPr="00946727">
        <w:t>Biotage</w:t>
      </w:r>
      <w:proofErr w:type="spellEnd"/>
      <w:r w:rsidRPr="00946727">
        <w:t>, 500 mg, 6 mL) after being spiked with 1 µg AR 22:0 standard.</w:t>
      </w:r>
      <w:r w:rsidR="00F3727A" w:rsidRPr="00946727">
        <w:t xml:space="preserve"> </w:t>
      </w:r>
      <w:r w:rsidR="00737084" w:rsidRPr="00946727">
        <w:t>AR 22:0 was utilised because it was not reported in cereals before but was detected in quinoa</w:t>
      </w:r>
      <w:hyperlink r:id="rId35">
        <w:r w:rsidR="00737084" w:rsidRPr="00946727">
          <w:rPr>
            <w:color w:val="000000"/>
            <w:vertAlign w:val="superscript"/>
          </w:rPr>
          <w:t>31</w:t>
        </w:r>
      </w:hyperlink>
      <w:r w:rsidR="00737084" w:rsidRPr="00946727">
        <w:t xml:space="preserve">. </w:t>
      </w:r>
      <w:r w:rsidRPr="00946727">
        <w:t>The column was preconditioned using 6 mL hexane. Potential interferences, such as nonpolar lipids, were eluted first using 6 mL hexane (Fraction A) and 6 mL dichloromethane (Fraction B). Then</w:t>
      </w:r>
      <w:r w:rsidR="0032067B" w:rsidRPr="00946727">
        <w:t>,</w:t>
      </w:r>
      <w:r w:rsidRPr="00946727">
        <w:t xml:space="preserve"> the targeted </w:t>
      </w:r>
      <w:proofErr w:type="spellStart"/>
      <w:r w:rsidRPr="00946727">
        <w:t>alkylresorcinols</w:t>
      </w:r>
      <w:proofErr w:type="spellEnd"/>
      <w:r w:rsidRPr="00946727">
        <w:t xml:space="preserve"> were eluted using 6 mL methanol (Fraction C). All fractions were collected and evaporated to dryness using nitrogen flow. Prior to chromatographic analyses, serial dilutions of the </w:t>
      </w:r>
      <w:r w:rsidR="00D53085" w:rsidRPr="00946727">
        <w:t xml:space="preserve">purified </w:t>
      </w:r>
      <w:r w:rsidRPr="00946727">
        <w:t>cereal extracts</w:t>
      </w:r>
      <w:r w:rsidR="00D53085" w:rsidRPr="00946727">
        <w:t xml:space="preserve"> (Fraction C)</w:t>
      </w:r>
      <w:r w:rsidRPr="00946727">
        <w:t xml:space="preserve"> were prepared: 1:10, 1:100, 1:1000, 1:2000, and 1:10,000. </w:t>
      </w:r>
    </w:p>
    <w:p w14:paraId="00000036" w14:textId="77777777" w:rsidR="0098306C" w:rsidRPr="00946727" w:rsidRDefault="0098306C" w:rsidP="00596FF9">
      <w:pPr>
        <w:spacing w:before="0" w:after="0" w:line="480" w:lineRule="auto"/>
      </w:pPr>
    </w:p>
    <w:p w14:paraId="00000037" w14:textId="77777777" w:rsidR="0098306C" w:rsidRPr="00946727" w:rsidRDefault="00BF0683" w:rsidP="00596FF9">
      <w:pPr>
        <w:spacing w:before="0" w:after="0" w:line="480" w:lineRule="auto"/>
      </w:pPr>
      <w:r w:rsidRPr="00946727">
        <w:t xml:space="preserve">2.3. Sample derivatisation and GC/MS </w:t>
      </w:r>
      <w:proofErr w:type="gramStart"/>
      <w:r w:rsidRPr="00946727">
        <w:t>conditions</w:t>
      </w:r>
      <w:proofErr w:type="gramEnd"/>
    </w:p>
    <w:p w14:paraId="00000038" w14:textId="77777777" w:rsidR="0098306C" w:rsidRPr="00946727" w:rsidRDefault="0098306C" w:rsidP="00596FF9">
      <w:pPr>
        <w:spacing w:before="0" w:after="0" w:line="480" w:lineRule="auto"/>
      </w:pPr>
    </w:p>
    <w:p w14:paraId="00000039" w14:textId="29B25AD6" w:rsidR="0098306C" w:rsidRPr="00946727" w:rsidRDefault="00BF0683" w:rsidP="00596FF9">
      <w:pPr>
        <w:spacing w:before="0" w:after="0" w:line="480" w:lineRule="auto"/>
      </w:pPr>
      <w:r w:rsidRPr="00946727">
        <w:lastRenderedPageBreak/>
        <w:t>The derivatisation step and GC/MS analysis were previously described</w:t>
      </w:r>
      <w:hyperlink r:id="rId36">
        <w:r w:rsidR="00737084" w:rsidRPr="00946727">
          <w:rPr>
            <w:color w:val="000000"/>
            <w:vertAlign w:val="superscript"/>
          </w:rPr>
          <w:t>28,32</w:t>
        </w:r>
      </w:hyperlink>
      <w:r w:rsidRPr="00946727">
        <w:t xml:space="preserve">. The dried-down </w:t>
      </w:r>
      <w:r w:rsidR="00CA5448" w:rsidRPr="00946727">
        <w:t xml:space="preserve">purified and </w:t>
      </w:r>
      <w:r w:rsidRPr="00946727">
        <w:t xml:space="preserve">diluted cereal extracts were reconstituted in 50 µL hexane and derivatised using a </w:t>
      </w:r>
      <w:proofErr w:type="spellStart"/>
      <w:r w:rsidRPr="00946727">
        <w:t>silylating</w:t>
      </w:r>
      <w:proofErr w:type="spellEnd"/>
      <w:r w:rsidRPr="00946727">
        <w:t xml:space="preserve"> agent ‒ </w:t>
      </w:r>
      <w:proofErr w:type="gramStart"/>
      <w:r w:rsidRPr="00946727">
        <w:t>N,O</w:t>
      </w:r>
      <w:proofErr w:type="gramEnd"/>
      <w:r w:rsidRPr="00946727">
        <w:t>-bis(trimethylsilyl)trifluoroacetamide with trimethylchlorosilane (BSTFA/TMCS 99:1, v/v). The vial was gently flushed with nitrogen, sealed, and heated at 70 °C for 60 min. Then, the sample was evaporated to dryness under a nitrogen flow</w:t>
      </w:r>
      <w:r w:rsidR="00284FA9" w:rsidRPr="00946727">
        <w:t>,</w:t>
      </w:r>
      <w:r w:rsidRPr="00946727">
        <w:t xml:space="preserve"> removing the excess </w:t>
      </w:r>
      <w:proofErr w:type="spellStart"/>
      <w:r w:rsidRPr="00946727">
        <w:t>silylating</w:t>
      </w:r>
      <w:proofErr w:type="spellEnd"/>
      <w:r w:rsidRPr="00946727">
        <w:t xml:space="preserve"> agent. The resulting residue was reconstituted in 90 µL and 10 µg of the second internal standard (C36 alkane), transferred to a 2 mL-GC vial with insert and used for GC-MS analysis.</w:t>
      </w:r>
    </w:p>
    <w:p w14:paraId="0000003A" w14:textId="77777777" w:rsidR="0098306C" w:rsidRPr="00946727" w:rsidRDefault="0098306C" w:rsidP="00596FF9">
      <w:pPr>
        <w:spacing w:before="0" w:after="0" w:line="480" w:lineRule="auto"/>
      </w:pPr>
    </w:p>
    <w:p w14:paraId="0000003B" w14:textId="79949D1E" w:rsidR="0098306C" w:rsidRPr="00946727" w:rsidRDefault="00BF0683" w:rsidP="00596FF9">
      <w:pPr>
        <w:spacing w:before="0" w:after="0" w:line="480" w:lineRule="auto"/>
      </w:pPr>
      <w:r w:rsidRPr="00946727">
        <w:t xml:space="preserve">The </w:t>
      </w:r>
      <w:proofErr w:type="spellStart"/>
      <w:r w:rsidRPr="00946727">
        <w:t>silylated</w:t>
      </w:r>
      <w:proofErr w:type="spellEnd"/>
      <w:r w:rsidRPr="00946727">
        <w:t xml:space="preserve"> samples were injected into a Clarus® 690 gas chromatograph coupled to a Clarus® SQ 8 T mass spectrometer (PerkinElmer) in electron ionisation mode (EI, 70 eV). The separation was performed on a DB-5HT (5%-phenyl)-</w:t>
      </w:r>
      <w:proofErr w:type="spellStart"/>
      <w:r w:rsidRPr="00946727">
        <w:t>methylpolysiloxane</w:t>
      </w:r>
      <w:proofErr w:type="spellEnd"/>
      <w:r w:rsidRPr="00946727">
        <w:t xml:space="preserve"> column (30 m x 0.250 mm x 0.10 µm; J&amp;W Scientific, Folsom, CA, USA). Helium was used as the carrier gas at a flow rate of 1.0 mL/min. The oven temperature was set at 50 °C for 2 min, then raised to 375 °C at a rate of 10 °C/min, where it was held for 15 min. The spectra were obtained in full scan (</w:t>
      </w:r>
      <w:r w:rsidRPr="00946727">
        <w:rPr>
          <w:i/>
        </w:rPr>
        <w:t>m/z</w:t>
      </w:r>
      <w:r w:rsidRPr="00946727">
        <w:t xml:space="preserve"> 50 to 610) and selected ion monitoring (SIM) (</w:t>
      </w:r>
      <w:r w:rsidRPr="00946727">
        <w:rPr>
          <w:i/>
        </w:rPr>
        <w:t>m/z</w:t>
      </w:r>
      <w:r w:rsidRPr="00946727">
        <w:t xml:space="preserve"> 73, 268, 464, 492, 520, 548, 576, 604) modes.</w:t>
      </w:r>
      <w:r w:rsidR="001D7D90" w:rsidRPr="00946727">
        <w:t xml:space="preserve"> The </w:t>
      </w:r>
      <w:r w:rsidR="00B06DAA" w:rsidRPr="00946727">
        <w:t>latter</w:t>
      </w:r>
      <w:r w:rsidR="001D7D90" w:rsidRPr="00946727">
        <w:t xml:space="preserve"> mode was applied to target ions of AR</w:t>
      </w:r>
      <w:r w:rsidR="00B06DAA" w:rsidRPr="00946727">
        <w:t xml:space="preserve"> homologues</w:t>
      </w:r>
      <w:r w:rsidR="001D7D90" w:rsidRPr="00946727">
        <w:t xml:space="preserve">. </w:t>
      </w:r>
    </w:p>
    <w:p w14:paraId="0000003C" w14:textId="77777777" w:rsidR="0098306C" w:rsidRPr="00946727" w:rsidRDefault="0098306C" w:rsidP="00596FF9">
      <w:pPr>
        <w:spacing w:before="0" w:after="0" w:line="480" w:lineRule="auto"/>
      </w:pPr>
    </w:p>
    <w:p w14:paraId="0000003D" w14:textId="24CDE965" w:rsidR="0098306C" w:rsidRPr="00946727" w:rsidRDefault="00BF0683" w:rsidP="00596FF9">
      <w:pPr>
        <w:spacing w:before="0" w:after="0" w:line="480" w:lineRule="auto"/>
      </w:pPr>
      <w:r w:rsidRPr="00946727">
        <w:t xml:space="preserve">2.4. </w:t>
      </w:r>
      <w:r w:rsidR="00D323A0" w:rsidRPr="00946727">
        <w:t>UHP</w:t>
      </w:r>
      <w:r w:rsidRPr="00946727">
        <w:t>LC-Q/TOFMS conditions</w:t>
      </w:r>
    </w:p>
    <w:p w14:paraId="0000003E" w14:textId="77777777" w:rsidR="0098306C" w:rsidRPr="00946727" w:rsidRDefault="0098306C" w:rsidP="00596FF9">
      <w:pPr>
        <w:spacing w:before="0" w:after="0" w:line="480" w:lineRule="auto"/>
      </w:pPr>
    </w:p>
    <w:p w14:paraId="0000003F" w14:textId="0326F515" w:rsidR="0098306C" w:rsidRPr="00946727" w:rsidRDefault="00BF0683" w:rsidP="00596FF9">
      <w:pPr>
        <w:spacing w:before="0" w:after="0" w:line="480" w:lineRule="auto"/>
      </w:pPr>
      <w:r w:rsidRPr="00946727">
        <w:t xml:space="preserve">An ACQUITY I-Class UHPLC separation system (Waters, UK) coupled to a </w:t>
      </w:r>
      <w:proofErr w:type="spellStart"/>
      <w:r w:rsidRPr="00946727">
        <w:t>maXis</w:t>
      </w:r>
      <w:proofErr w:type="spellEnd"/>
      <w:r w:rsidRPr="00946727">
        <w:t xml:space="preserve"> HD QTOF mass spectrometer (Bruker, UK) equipped with electrospray ionisation (ESI) interface was used for the analysis of the serial</w:t>
      </w:r>
      <w:r w:rsidR="00CA5448" w:rsidRPr="00946727">
        <w:t>ly</w:t>
      </w:r>
      <w:r w:rsidRPr="00946727">
        <w:t xml:space="preserve"> diluted extracts. The </w:t>
      </w:r>
      <w:r w:rsidR="00CA5448" w:rsidRPr="00946727">
        <w:t xml:space="preserve">purified cereal residues were reconstituted in 300 </w:t>
      </w:r>
      <w:r w:rsidR="00CA5448" w:rsidRPr="00467065">
        <w:t>µ</w:t>
      </w:r>
      <w:r w:rsidR="00CA5448" w:rsidRPr="00946727">
        <w:t xml:space="preserve">L methanol/isopropanol (7:3, v/v) </w:t>
      </w:r>
      <w:r w:rsidR="00596FF9" w:rsidRPr="00946727">
        <w:t xml:space="preserve">and </w:t>
      </w:r>
      <w:r w:rsidRPr="00946727">
        <w:t>were analysed in duplicate, modifying the reported method elsewhere</w:t>
      </w:r>
      <w:hyperlink r:id="rId37">
        <w:r w:rsidRPr="00946727">
          <w:rPr>
            <w:color w:val="000000"/>
            <w:vertAlign w:val="superscript"/>
          </w:rPr>
          <w:t>24</w:t>
        </w:r>
      </w:hyperlink>
      <w:r w:rsidRPr="00946727">
        <w:t xml:space="preserve">. Briefly, </w:t>
      </w:r>
      <w:proofErr w:type="spellStart"/>
      <w:r w:rsidRPr="00946727">
        <w:t>alkylresorcinols</w:t>
      </w:r>
      <w:proofErr w:type="spellEnd"/>
      <w:r w:rsidRPr="00946727">
        <w:t xml:space="preserve"> were isolated using a </w:t>
      </w:r>
      <w:r w:rsidRPr="00946727">
        <w:lastRenderedPageBreak/>
        <w:t xml:space="preserve">reversed-phase C18 ACQUITY HSS T3 column (2.1 x 100 mm, 1.8 µm particle size) (Waters, UK) at 40 °C with methanol/water (8:2, v/v) as solvent A and methanol/isopropanol (7:3, v/v) as solvent B. Both solvents were acidified with 0.1% acetic acid. The binary elution gradient was programmed as follows: 0 to 2 min (0% solvent B), 2 to 14 min (0-100% solvent B), 14-16 min (100% solvent B), 16-16.1 min (100-0% solvent B), and 16.1-17 min (0% solvent B). The flow rate and injection volume were set to 0.5 mL/min and 2 µL, respectively. Data were collected in negative electrospray mode </w:t>
      </w:r>
      <w:r w:rsidR="00CA5448" w:rsidRPr="00946727">
        <w:t xml:space="preserve">and </w:t>
      </w:r>
      <w:r w:rsidRPr="00946727">
        <w:t xml:space="preserve">scanned between </w:t>
      </w:r>
      <w:r w:rsidRPr="00946727">
        <w:rPr>
          <w:i/>
        </w:rPr>
        <w:t>m/z</w:t>
      </w:r>
      <w:r w:rsidRPr="00946727">
        <w:t xml:space="preserve"> 40 to 1000. The source settings were as follows: capillary voltage of 3 kV, drying gas heater of 300 °C and drying gas flow of 8 L/min.</w:t>
      </w:r>
    </w:p>
    <w:p w14:paraId="00000040" w14:textId="77777777" w:rsidR="0098306C" w:rsidRPr="00946727" w:rsidRDefault="0098306C" w:rsidP="00596FF9">
      <w:pPr>
        <w:spacing w:before="0" w:after="0" w:line="480" w:lineRule="auto"/>
      </w:pPr>
    </w:p>
    <w:p w14:paraId="00000041" w14:textId="3390C0A9" w:rsidR="0098306C" w:rsidRPr="00946727" w:rsidRDefault="00BF0683" w:rsidP="00596FF9">
      <w:pPr>
        <w:spacing w:before="0" w:after="0" w:line="480" w:lineRule="auto"/>
      </w:pPr>
      <w:r w:rsidRPr="00946727">
        <w:t xml:space="preserve">2.5. </w:t>
      </w:r>
      <w:r w:rsidR="00D323A0" w:rsidRPr="00946727">
        <w:t>UHP</w:t>
      </w:r>
      <w:r w:rsidRPr="00946727">
        <w:t>LC-Q/Orbitrap MS conditions</w:t>
      </w:r>
    </w:p>
    <w:p w14:paraId="00000042" w14:textId="77777777" w:rsidR="0098306C" w:rsidRPr="00946727" w:rsidRDefault="0098306C" w:rsidP="00596FF9">
      <w:pPr>
        <w:spacing w:before="0" w:after="0" w:line="480" w:lineRule="auto"/>
      </w:pPr>
    </w:p>
    <w:p w14:paraId="00000043" w14:textId="0894CFEB" w:rsidR="0098306C" w:rsidRPr="00946727" w:rsidRDefault="00BF0683" w:rsidP="00596FF9">
      <w:pPr>
        <w:spacing w:before="0" w:after="0" w:line="480" w:lineRule="auto"/>
      </w:pPr>
      <w:r w:rsidRPr="00946727">
        <w:t xml:space="preserve">The same LC separation system described above (Section 2.4) was coupled to an Orbitrap </w:t>
      </w:r>
      <w:proofErr w:type="spellStart"/>
      <w:r w:rsidRPr="00946727">
        <w:t>Fusion</w:t>
      </w:r>
      <w:r w:rsidRPr="00946727">
        <w:rPr>
          <w:vertAlign w:val="superscript"/>
        </w:rPr>
        <w:t>TM</w:t>
      </w:r>
      <w:proofErr w:type="spellEnd"/>
      <w:r w:rsidRPr="00946727">
        <w:t xml:space="preserve"> </w:t>
      </w:r>
      <w:proofErr w:type="spellStart"/>
      <w:r w:rsidRPr="00946727">
        <w:t>Tribrid</w:t>
      </w:r>
      <w:r w:rsidRPr="00946727">
        <w:rPr>
          <w:vertAlign w:val="superscript"/>
        </w:rPr>
        <w:t>TM</w:t>
      </w:r>
      <w:proofErr w:type="spellEnd"/>
      <w:r w:rsidRPr="00946727">
        <w:t xml:space="preserve"> mass spectrometer (</w:t>
      </w:r>
      <w:proofErr w:type="spellStart"/>
      <w:r w:rsidRPr="00946727">
        <w:t>Thermo</w:t>
      </w:r>
      <w:proofErr w:type="spellEnd"/>
      <w:r w:rsidRPr="00946727">
        <w:t xml:space="preserve">, UK). </w:t>
      </w:r>
      <w:r w:rsidR="00CA5448" w:rsidRPr="00946727">
        <w:t xml:space="preserve">The purified cereal </w:t>
      </w:r>
      <w:r w:rsidR="008D30DF" w:rsidRPr="00946727">
        <w:t xml:space="preserve">and archaeological </w:t>
      </w:r>
      <w:r w:rsidR="00CA5448" w:rsidRPr="00946727">
        <w:t xml:space="preserve">residues were reconstituted in 300 </w:t>
      </w:r>
      <w:r w:rsidR="00CA5448" w:rsidRPr="00467065">
        <w:t>µ</w:t>
      </w:r>
      <w:r w:rsidR="00CA5448" w:rsidRPr="00946727">
        <w:t>L methanol/isopropanol (7:3, v/v)</w:t>
      </w:r>
      <w:r w:rsidR="008D30DF" w:rsidRPr="00946727">
        <w:t xml:space="preserve"> and were analysed in duplicate.</w:t>
      </w:r>
      <w:r w:rsidR="00CA5448" w:rsidRPr="00946727">
        <w:t xml:space="preserve"> </w:t>
      </w:r>
      <w:r w:rsidRPr="00946727">
        <w:t xml:space="preserve">The mass spectrometer was operated in negative mode at 60,000 </w:t>
      </w:r>
      <w:proofErr w:type="gramStart"/>
      <w:r w:rsidRPr="00946727">
        <w:t>resolution</w:t>
      </w:r>
      <w:proofErr w:type="gramEnd"/>
      <w:r w:rsidRPr="00946727">
        <w:t xml:space="preserve"> (FWHM) for MS1 data and a scan range of 120-1200 </w:t>
      </w:r>
      <w:r w:rsidRPr="00946727">
        <w:rPr>
          <w:i/>
        </w:rPr>
        <w:t>m/z</w:t>
      </w:r>
      <w:r w:rsidRPr="00946727">
        <w:t xml:space="preserve">. The spectra were obtained at a spray voltage of 2500 V and sheath, aux, and sweep gas settings of 50, 10, and 1 arbitrary </w:t>
      </w:r>
      <w:proofErr w:type="gramStart"/>
      <w:r w:rsidRPr="00946727">
        <w:t>units</w:t>
      </w:r>
      <w:proofErr w:type="gramEnd"/>
      <w:r w:rsidRPr="00946727">
        <w:t xml:space="preserve">, respectively. The collected data were analysed using </w:t>
      </w:r>
      <w:proofErr w:type="spellStart"/>
      <w:r w:rsidRPr="00946727">
        <w:t>Xcalibur</w:t>
      </w:r>
      <w:proofErr w:type="spellEnd"/>
      <w:r w:rsidRPr="00946727">
        <w:t xml:space="preserve"> 4.0.27 software. </w:t>
      </w:r>
    </w:p>
    <w:p w14:paraId="00000044" w14:textId="77777777" w:rsidR="0098306C" w:rsidRPr="00946727" w:rsidRDefault="0098306C" w:rsidP="00596FF9">
      <w:pPr>
        <w:spacing w:before="0" w:after="0" w:line="480" w:lineRule="auto"/>
      </w:pPr>
    </w:p>
    <w:p w14:paraId="00000045" w14:textId="77777777" w:rsidR="0098306C" w:rsidRPr="00946727" w:rsidRDefault="00BF0683" w:rsidP="00596FF9">
      <w:pPr>
        <w:spacing w:before="0" w:after="0" w:line="480" w:lineRule="auto"/>
      </w:pPr>
      <w:r w:rsidRPr="00946727">
        <w:t>2.6. Method validation</w:t>
      </w:r>
    </w:p>
    <w:p w14:paraId="00000046" w14:textId="77777777" w:rsidR="0098306C" w:rsidRPr="00946727" w:rsidRDefault="0098306C" w:rsidP="00596FF9">
      <w:pPr>
        <w:spacing w:before="0" w:after="0" w:line="480" w:lineRule="auto"/>
      </w:pPr>
    </w:p>
    <w:p w14:paraId="00000047" w14:textId="16A316D7" w:rsidR="0098306C" w:rsidRPr="00946727" w:rsidRDefault="00BF0683" w:rsidP="00596FF9">
      <w:pPr>
        <w:spacing w:before="0" w:after="0" w:line="480" w:lineRule="auto"/>
      </w:pPr>
      <w:r w:rsidRPr="00946727">
        <w:t xml:space="preserve">The method used in the study was validated in terms of linearity, limit of detection (LOD), and limit of quantification (LOQ), following the guidelines of </w:t>
      </w:r>
      <w:r w:rsidR="00D323A0" w:rsidRPr="00946727">
        <w:t xml:space="preserve">the </w:t>
      </w:r>
      <w:r w:rsidRPr="00946727">
        <w:t>International Conference of Harmonisation (ICH)</w:t>
      </w:r>
      <w:hyperlink r:id="rId38">
        <w:r w:rsidR="00737084" w:rsidRPr="00946727">
          <w:rPr>
            <w:color w:val="000000"/>
            <w:vertAlign w:val="superscript"/>
          </w:rPr>
          <w:t>33</w:t>
        </w:r>
      </w:hyperlink>
      <w:r w:rsidRPr="00946727">
        <w:t xml:space="preserve">. According to </w:t>
      </w:r>
      <w:r w:rsidR="00737084" w:rsidRPr="00946727">
        <w:t>which</w:t>
      </w:r>
      <w:hyperlink r:id="rId39">
        <w:r w:rsidR="00737084" w:rsidRPr="00946727">
          <w:rPr>
            <w:color w:val="000000"/>
            <w:vertAlign w:val="superscript"/>
          </w:rPr>
          <w:t>33</w:t>
        </w:r>
      </w:hyperlink>
      <w:r w:rsidRPr="00946727">
        <w:t xml:space="preserve">, LOD refers to the lowest amount of analyte in </w:t>
      </w:r>
      <w:r w:rsidRPr="00946727">
        <w:lastRenderedPageBreak/>
        <w:t>the sample that can be detected and is not necessarily quantifiable as an exact value. LOQ, on the other hand, is the lowest detectable amount of analyte that can be quantified.</w:t>
      </w:r>
    </w:p>
    <w:p w14:paraId="00000048" w14:textId="77777777" w:rsidR="0098306C" w:rsidRPr="00946727" w:rsidRDefault="0098306C" w:rsidP="00596FF9">
      <w:pPr>
        <w:spacing w:before="0" w:after="0" w:line="480" w:lineRule="auto"/>
      </w:pPr>
    </w:p>
    <w:p w14:paraId="00000049" w14:textId="0564BD2A" w:rsidR="0098306C" w:rsidRPr="00946727" w:rsidRDefault="00BF0683" w:rsidP="00596FF9">
      <w:pPr>
        <w:spacing w:before="0" w:after="0" w:line="480" w:lineRule="auto"/>
      </w:pPr>
      <w:r w:rsidRPr="00946727">
        <w:t xml:space="preserve">Linearity was tested on the standard solutions of AR 22:0 and the calibration curve </w:t>
      </w:r>
      <w:proofErr w:type="gramStart"/>
      <w:r w:rsidRPr="00946727">
        <w:t>was</w:t>
      </w:r>
      <w:proofErr w:type="gramEnd"/>
      <w:r w:rsidRPr="00946727">
        <w:t xml:space="preserve"> obtained by analysing standard solutions at seven concentration levels between 0.0025 and 0.5 ng/µL. </w:t>
      </w:r>
      <w:r w:rsidR="00737084" w:rsidRPr="00946727">
        <w:t xml:space="preserve">A lower set of standard solutions was used to obtain a linear response. </w:t>
      </w:r>
      <w:r w:rsidRPr="00946727">
        <w:t xml:space="preserve">It was constructed by plotting the peak area (y) versus the seven concentrations of AR 22:0 (x) with least square linear regression. </w:t>
      </w:r>
      <w:r w:rsidR="00737084" w:rsidRPr="00946727">
        <w:t>LOD and LOQ are calculated based on the standard deviation (SD) of the signals and the slope of the calibration curve. The values were obtained using the following equations from the ICH</w:t>
      </w:r>
      <w:hyperlink r:id="rId40">
        <w:r w:rsidR="00737084" w:rsidRPr="00946727">
          <w:rPr>
            <w:color w:val="000000"/>
            <w:vertAlign w:val="superscript"/>
          </w:rPr>
          <w:t>33</w:t>
        </w:r>
      </w:hyperlink>
      <w:r w:rsidR="00737084" w:rsidRPr="00946727">
        <w:t>.</w:t>
      </w:r>
    </w:p>
    <w:p w14:paraId="0000004A" w14:textId="77777777" w:rsidR="0098306C" w:rsidRPr="00946727" w:rsidRDefault="0098306C" w:rsidP="00596FF9">
      <w:pPr>
        <w:spacing w:before="0" w:after="0" w:line="480" w:lineRule="auto"/>
      </w:pPr>
    </w:p>
    <w:p w14:paraId="0000004B" w14:textId="77777777" w:rsidR="0098306C" w:rsidRPr="00946727" w:rsidRDefault="00BF0683" w:rsidP="00596FF9">
      <w:pPr>
        <w:spacing w:before="0" w:after="0" w:line="480" w:lineRule="auto"/>
      </w:pPr>
      <w:r w:rsidRPr="00946727">
        <w:t>LOD = 3.3(SD/</w:t>
      </w:r>
      <w:proofErr w:type="gramStart"/>
      <w:r w:rsidRPr="00946727">
        <w:t xml:space="preserve">S)   </w:t>
      </w:r>
      <w:proofErr w:type="gramEnd"/>
      <w:r w:rsidRPr="00946727">
        <w:t xml:space="preserve"> (Equation 1) </w:t>
      </w:r>
    </w:p>
    <w:p w14:paraId="0000004C" w14:textId="77777777" w:rsidR="0098306C" w:rsidRPr="00946727" w:rsidRDefault="0098306C" w:rsidP="00596FF9">
      <w:pPr>
        <w:spacing w:before="0" w:after="0" w:line="480" w:lineRule="auto"/>
      </w:pPr>
    </w:p>
    <w:p w14:paraId="0000004D" w14:textId="77777777" w:rsidR="0098306C" w:rsidRPr="00946727" w:rsidRDefault="00BF0683" w:rsidP="00596FF9">
      <w:pPr>
        <w:spacing w:before="0" w:after="0" w:line="480" w:lineRule="auto"/>
      </w:pPr>
      <w:r w:rsidRPr="00946727">
        <w:t>LOQ = 10(SD/</w:t>
      </w:r>
      <w:proofErr w:type="gramStart"/>
      <w:r w:rsidRPr="00946727">
        <w:t xml:space="preserve">S)   </w:t>
      </w:r>
      <w:proofErr w:type="gramEnd"/>
      <w:r w:rsidRPr="00946727">
        <w:t xml:space="preserve">  (Equation 2) </w:t>
      </w:r>
    </w:p>
    <w:p w14:paraId="0000004E" w14:textId="77777777" w:rsidR="0098306C" w:rsidRPr="00946727" w:rsidRDefault="0098306C" w:rsidP="00596FF9">
      <w:pPr>
        <w:spacing w:before="0" w:after="0" w:line="480" w:lineRule="auto"/>
      </w:pPr>
    </w:p>
    <w:p w14:paraId="0000004F" w14:textId="62112135" w:rsidR="0098306C" w:rsidRPr="00946727" w:rsidRDefault="00BF0683" w:rsidP="00596FF9">
      <w:pPr>
        <w:spacing w:before="0" w:after="0" w:line="480" w:lineRule="auto"/>
      </w:pPr>
      <w:r w:rsidRPr="00946727">
        <w:t xml:space="preserve">where SD = standard deviation of the response and S = slope of the calibration </w:t>
      </w:r>
      <w:r w:rsidR="00C33346" w:rsidRPr="00946727">
        <w:t>curve</w:t>
      </w:r>
      <w:hyperlink r:id="rId41">
        <w:r w:rsidR="00C33346" w:rsidRPr="00946727">
          <w:rPr>
            <w:color w:val="000000"/>
            <w:vertAlign w:val="superscript"/>
          </w:rPr>
          <w:t>33</w:t>
        </w:r>
      </w:hyperlink>
      <w:r w:rsidRPr="00946727">
        <w:t>.</w:t>
      </w:r>
    </w:p>
    <w:p w14:paraId="00000050" w14:textId="77777777" w:rsidR="0098306C" w:rsidRPr="00946727" w:rsidRDefault="0098306C" w:rsidP="00596FF9">
      <w:pPr>
        <w:spacing w:before="0" w:after="0" w:line="480" w:lineRule="auto"/>
      </w:pPr>
    </w:p>
    <w:p w14:paraId="00000051" w14:textId="77777777" w:rsidR="0098306C" w:rsidRPr="00946727" w:rsidRDefault="00BF0683" w:rsidP="00596FF9">
      <w:pPr>
        <w:numPr>
          <w:ilvl w:val="0"/>
          <w:numId w:val="1"/>
        </w:numPr>
        <w:spacing w:before="0" w:after="0" w:line="480" w:lineRule="auto"/>
        <w:ind w:left="425"/>
        <w:rPr>
          <w:b/>
        </w:rPr>
      </w:pPr>
      <w:r w:rsidRPr="00946727">
        <w:rPr>
          <w:b/>
        </w:rPr>
        <w:t>RESULTS AND DISCUSSION</w:t>
      </w:r>
    </w:p>
    <w:p w14:paraId="00000052" w14:textId="77777777" w:rsidR="0098306C" w:rsidRPr="00946727" w:rsidRDefault="0098306C" w:rsidP="00596FF9">
      <w:pPr>
        <w:spacing w:before="0" w:after="0" w:line="480" w:lineRule="auto"/>
      </w:pPr>
    </w:p>
    <w:p w14:paraId="00000053" w14:textId="77777777" w:rsidR="0098306C" w:rsidRPr="00946727" w:rsidRDefault="00BF0683" w:rsidP="00596FF9">
      <w:pPr>
        <w:spacing w:before="0" w:after="0" w:line="480" w:lineRule="auto"/>
      </w:pPr>
      <w:r w:rsidRPr="00946727">
        <w:t>3.1. Comparison of the three instruments</w:t>
      </w:r>
    </w:p>
    <w:p w14:paraId="00000054" w14:textId="77777777" w:rsidR="0098306C" w:rsidRPr="00946727" w:rsidRDefault="0098306C" w:rsidP="00596FF9">
      <w:pPr>
        <w:spacing w:before="0" w:after="0" w:line="480" w:lineRule="auto"/>
      </w:pPr>
    </w:p>
    <w:p w14:paraId="00000055" w14:textId="4633DCEC" w:rsidR="0098306C" w:rsidRPr="00946727" w:rsidRDefault="00BF0683" w:rsidP="00596FF9">
      <w:pPr>
        <w:spacing w:before="0" w:after="0" w:line="480" w:lineRule="auto"/>
      </w:pPr>
      <w:r w:rsidRPr="00946727">
        <w:t xml:space="preserve">The performance of </w:t>
      </w:r>
      <w:r w:rsidR="00D323A0" w:rsidRPr="00946727">
        <w:t>UHP</w:t>
      </w:r>
      <w:r w:rsidRPr="00946727">
        <w:t xml:space="preserve">LC-Q/Orbitrap MS, </w:t>
      </w:r>
      <w:r w:rsidR="00D323A0" w:rsidRPr="00946727">
        <w:t>UHP</w:t>
      </w:r>
      <w:r w:rsidRPr="00946727">
        <w:t>LC-Q/TOFMS, and GC/MS was first assessed</w:t>
      </w:r>
      <w:r w:rsidR="00877B5B" w:rsidRPr="00946727">
        <w:t xml:space="preserve"> by detecting the presence of AR homologues in five cereal species to determine the most appropriate instrumentation for AR analysis. The latter used a GC system to separate the </w:t>
      </w:r>
      <w:r w:rsidR="00877B5B" w:rsidRPr="00946727">
        <w:lastRenderedPageBreak/>
        <w:t>lipids of interest. The remaining two used an LC system, and thus, a</w:t>
      </w:r>
      <w:r w:rsidRPr="00946727">
        <w:t xml:space="preserve"> derivatisation step is not required.</w:t>
      </w:r>
    </w:p>
    <w:p w14:paraId="00000056" w14:textId="77777777" w:rsidR="0098306C" w:rsidRPr="00946727" w:rsidRDefault="0098306C" w:rsidP="00596FF9">
      <w:pPr>
        <w:spacing w:before="0" w:after="0" w:line="480" w:lineRule="auto"/>
      </w:pPr>
    </w:p>
    <w:p w14:paraId="00000059" w14:textId="66E38828" w:rsidR="0098306C" w:rsidRPr="00946727" w:rsidRDefault="00BF0683" w:rsidP="00596FF9">
      <w:pPr>
        <w:spacing w:before="0" w:after="0" w:line="480" w:lineRule="auto"/>
      </w:pPr>
      <w:proofErr w:type="spellStart"/>
      <w:r w:rsidRPr="00946727">
        <w:t>Alkylresorcinols</w:t>
      </w:r>
      <w:proofErr w:type="spellEnd"/>
      <w:r w:rsidRPr="00946727">
        <w:t xml:space="preserve"> were analysed using GC/MS after converting them to their respective trimethylsilyl (TMS) ethers. TMS derivatives of AR give characteristic electron mass spectra with a distinct base fragment at </w:t>
      </w:r>
      <w:r w:rsidRPr="00946727">
        <w:rPr>
          <w:i/>
        </w:rPr>
        <w:t>m/z</w:t>
      </w:r>
      <w:r w:rsidRPr="00946727">
        <w:t xml:space="preserve"> 268 (Figure </w:t>
      </w:r>
      <w:r w:rsidR="00527773" w:rsidRPr="00946727">
        <w:t>1</w:t>
      </w:r>
      <w:r w:rsidR="004347B1" w:rsidRPr="00946727">
        <w:t>B</w:t>
      </w:r>
      <w:r w:rsidRPr="00946727">
        <w:t>), which is due to the McLafferty rearrangement of the phenolic ring</w:t>
      </w:r>
      <w:hyperlink r:id="rId42">
        <w:r w:rsidRPr="00946727">
          <w:rPr>
            <w:color w:val="000000"/>
            <w:vertAlign w:val="superscript"/>
          </w:rPr>
          <w:t>20</w:t>
        </w:r>
      </w:hyperlink>
      <w:r w:rsidRPr="00946727">
        <w:t>. Moreover, GC/MS analysis was performed with SIM</w:t>
      </w:r>
      <w:r w:rsidR="00877B5B" w:rsidRPr="00946727">
        <w:t xml:space="preserve"> mode, </w:t>
      </w:r>
      <w:r w:rsidRPr="00946727">
        <w:t xml:space="preserve"> </w:t>
      </w:r>
      <w:r w:rsidR="00877B5B" w:rsidRPr="00946727">
        <w:t>which</w:t>
      </w:r>
      <w:r w:rsidRPr="00946727">
        <w:t xml:space="preserve"> results in better sensitivity as it lowers the detection </w:t>
      </w:r>
      <w:r w:rsidR="00C33346" w:rsidRPr="00946727">
        <w:t>limit</w:t>
      </w:r>
      <w:hyperlink r:id="rId43">
        <w:r w:rsidR="00C33346" w:rsidRPr="00946727">
          <w:rPr>
            <w:color w:val="000000"/>
            <w:vertAlign w:val="superscript"/>
          </w:rPr>
          <w:t>34</w:t>
        </w:r>
      </w:hyperlink>
      <w:r w:rsidR="00C33346" w:rsidRPr="00946727">
        <w:t xml:space="preserve"> </w:t>
      </w:r>
      <w:r w:rsidRPr="00946727">
        <w:t xml:space="preserve">by only monitoring the targeted ions ‒ </w:t>
      </w:r>
      <w:r w:rsidRPr="00946727">
        <w:rPr>
          <w:i/>
        </w:rPr>
        <w:t>m/z</w:t>
      </w:r>
      <w:r w:rsidRPr="00946727">
        <w:t xml:space="preserve"> 73, 268, 464, 492, 520, 548, 576, </w:t>
      </w:r>
      <w:r w:rsidR="00596FF9" w:rsidRPr="00946727">
        <w:t xml:space="preserve">and </w:t>
      </w:r>
      <w:r w:rsidRPr="00946727">
        <w:t xml:space="preserve">604. These molecular ions correspond to the bis-TMS derivatives of saturated AR homologues (Table </w:t>
      </w:r>
      <w:r w:rsidR="004347B1" w:rsidRPr="00946727">
        <w:t>1</w:t>
      </w:r>
      <w:r w:rsidRPr="00946727">
        <w:t>)</w:t>
      </w:r>
      <w:r w:rsidR="00877B5B" w:rsidRPr="00946727">
        <w:t xml:space="preserve"> and,</w:t>
      </w:r>
      <w:r w:rsidRPr="00946727">
        <w:t xml:space="preserve"> together with the base ion </w:t>
      </w:r>
      <w:r w:rsidRPr="00946727">
        <w:rPr>
          <w:i/>
        </w:rPr>
        <w:t>m/z</w:t>
      </w:r>
      <w:r w:rsidRPr="00946727">
        <w:t xml:space="preserve"> 268, confirm the identity of the targeted compounds. The SIM (</w:t>
      </w:r>
      <w:r w:rsidRPr="00946727">
        <w:rPr>
          <w:i/>
        </w:rPr>
        <w:t>m/z</w:t>
      </w:r>
      <w:r w:rsidRPr="00946727">
        <w:t xml:space="preserve"> 268) chromatogram of common wheat samples (Figure </w:t>
      </w:r>
      <w:r w:rsidR="00C6678D" w:rsidRPr="00946727">
        <w:t>2</w:t>
      </w:r>
      <w:r w:rsidRPr="00946727">
        <w:t xml:space="preserve">A) showed the presence of saturated ARs. The mass spectra (Figure </w:t>
      </w:r>
      <w:r w:rsidR="00C6678D" w:rsidRPr="00946727">
        <w:t>2</w:t>
      </w:r>
      <w:r w:rsidRPr="00946727">
        <w:t>B) further substantiate their identities.</w:t>
      </w:r>
      <w:r w:rsidR="006A0E60" w:rsidRPr="00946727">
        <w:t xml:space="preserve"> </w:t>
      </w:r>
      <w:r w:rsidRPr="00946727">
        <w:t xml:space="preserve">Meanwhile, </w:t>
      </w:r>
      <w:r w:rsidR="00877B5B" w:rsidRPr="00946727">
        <w:t xml:space="preserve">the </w:t>
      </w:r>
      <w:r w:rsidRPr="00946727">
        <w:t xml:space="preserve">identification of AR homologues using LC/MS-based methods was executed by examining their respective accurate masses (Table </w:t>
      </w:r>
      <w:r w:rsidR="0016748F" w:rsidRPr="00946727">
        <w:t>1</w:t>
      </w:r>
      <w:r w:rsidRPr="00946727">
        <w:t>), retention times, and fragmentation patterns. Quantification of the saturated and unsaturated AR homologues was performed using AR 22:0 (0.002-200 ng/µL) as an external calibration standard, and the total AR concentration was calculated by calculating the sum of the saturated and unsaturated AR homologues</w:t>
      </w:r>
      <w:r w:rsidR="00596FF9" w:rsidRPr="00946727">
        <w:t>.</w:t>
      </w:r>
      <w:r w:rsidRPr="00946727">
        <w:t xml:space="preserve"> Figure </w:t>
      </w:r>
      <w:r w:rsidR="00C6678D" w:rsidRPr="00946727">
        <w:t>3</w:t>
      </w:r>
      <w:r w:rsidRPr="00946727">
        <w:t xml:space="preserve">A shows the </w:t>
      </w:r>
      <w:r w:rsidR="00D323A0" w:rsidRPr="00946727">
        <w:t>UHP</w:t>
      </w:r>
      <w:r w:rsidRPr="00946727">
        <w:t>LC-Q/Orbitrap MS chromatogram of common wheat extract</w:t>
      </w:r>
      <w:r w:rsidR="00877B5B" w:rsidRPr="00946727">
        <w:t>,</w:t>
      </w:r>
      <w:r w:rsidRPr="00946727">
        <w:t xml:space="preserve"> and the obtained MS spectra (Figure </w:t>
      </w:r>
      <w:r w:rsidR="00C6678D" w:rsidRPr="00946727">
        <w:t>3</w:t>
      </w:r>
      <w:r w:rsidRPr="00946727">
        <w:t>B) established the identification of the homologues.</w:t>
      </w:r>
    </w:p>
    <w:p w14:paraId="0000005A" w14:textId="77777777" w:rsidR="0098306C" w:rsidRPr="00946727" w:rsidRDefault="0098306C" w:rsidP="00596FF9">
      <w:pPr>
        <w:spacing w:before="0" w:after="0" w:line="480" w:lineRule="auto"/>
      </w:pPr>
    </w:p>
    <w:p w14:paraId="0000005B" w14:textId="1988F80F" w:rsidR="0098306C" w:rsidRPr="00946727" w:rsidRDefault="00BF0683" w:rsidP="00596FF9">
      <w:pPr>
        <w:spacing w:before="0" w:after="0" w:line="480" w:lineRule="auto"/>
      </w:pPr>
      <w:r w:rsidRPr="00946727">
        <w:t xml:space="preserve">Preliminary results revealed that LC/MS is a more effective technique for AR detection and identification in modern cereals. Overall, </w:t>
      </w:r>
      <w:r w:rsidR="00D323A0" w:rsidRPr="00946727">
        <w:t>UHP</w:t>
      </w:r>
      <w:r w:rsidRPr="00946727">
        <w:t>LC-Q/Orbitrap MS was the most sensitive instrument among the three techniques and was able to detect a wider range of AR homologues</w:t>
      </w:r>
      <w:r w:rsidR="001F32D4" w:rsidRPr="00946727">
        <w:t xml:space="preserve"> (Supplementary Table 3)</w:t>
      </w:r>
      <w:r w:rsidRPr="00946727">
        <w:t xml:space="preserve">. </w:t>
      </w:r>
      <w:r w:rsidR="00C33346" w:rsidRPr="00946727">
        <w:t xml:space="preserve">Specifically, it </w:t>
      </w:r>
      <w:r w:rsidR="00C33346" w:rsidRPr="00946727">
        <w:rPr>
          <w:highlight w:val="white"/>
        </w:rPr>
        <w:t xml:space="preserve">detected more types (saturated, unsaturated, oxidised </w:t>
      </w:r>
      <w:r w:rsidR="00C33346" w:rsidRPr="00946727">
        <w:rPr>
          <w:highlight w:val="white"/>
        </w:rPr>
        <w:lastRenderedPageBreak/>
        <w:t xml:space="preserve">forms) and numbers of AR homologues even in a more diluted concentration than </w:t>
      </w:r>
      <w:r w:rsidR="00C33346" w:rsidRPr="00946727">
        <w:t xml:space="preserve">UHPLC-Q/TOFMS and </w:t>
      </w:r>
      <w:r w:rsidR="00C33346" w:rsidRPr="00946727">
        <w:rPr>
          <w:highlight w:val="white"/>
        </w:rPr>
        <w:t>the conventional GC/MS in SIM mode (see Supplementary Discussion).</w:t>
      </w:r>
      <w:r w:rsidR="00C33346" w:rsidRPr="00946727">
        <w:t xml:space="preserve"> UHPLC-Q/Orbitrap MS</w:t>
      </w:r>
      <w:r w:rsidRPr="00946727">
        <w:t xml:space="preserve"> is 10- and 100-fold more sensitive than </w:t>
      </w:r>
      <w:r w:rsidR="00D323A0" w:rsidRPr="00946727">
        <w:t>UHP</w:t>
      </w:r>
      <w:r w:rsidRPr="00946727">
        <w:t>LC-Q/TOFMS and GC/MS, respectively</w:t>
      </w:r>
      <w:r w:rsidR="00CF3940" w:rsidRPr="00946727">
        <w:t xml:space="preserve"> (Supplementary Figure </w:t>
      </w:r>
      <w:r w:rsidR="006268AA" w:rsidRPr="00946727">
        <w:t>1</w:t>
      </w:r>
      <w:r w:rsidR="00CF3940" w:rsidRPr="00946727">
        <w:t>)</w:t>
      </w:r>
      <w:r w:rsidRPr="00946727">
        <w:t xml:space="preserve">. Moreover, analysis time using the LC/MS-based instruments is 6 times shorter </w:t>
      </w:r>
      <w:r w:rsidR="00877B5B" w:rsidRPr="00946727">
        <w:t>than</w:t>
      </w:r>
      <w:r w:rsidRPr="00946727">
        <w:t xml:space="preserve"> the GC/MS. We note</w:t>
      </w:r>
      <w:r w:rsidR="00877B5B" w:rsidRPr="00946727">
        <w:t>, however, that usage of high-resolution techniques (i.e., TOFMS and Orbitrap MS) costs approximately thrice as much per sample as the conventional GC/MS, although this cost will, of course,</w:t>
      </w:r>
      <w:r w:rsidRPr="00946727">
        <w:t xml:space="preserve"> depend on the facility. Given these observations, it was therefore decided to develop and validate a protocol based on a UHPLC system coupled to an Orbitrap.</w:t>
      </w:r>
    </w:p>
    <w:p w14:paraId="0000005C" w14:textId="77777777" w:rsidR="0098306C" w:rsidRPr="00946727" w:rsidRDefault="0098306C" w:rsidP="00596FF9">
      <w:pPr>
        <w:spacing w:before="0" w:after="0" w:line="480" w:lineRule="auto"/>
      </w:pPr>
    </w:p>
    <w:p w14:paraId="0000005D" w14:textId="1C9E4B5F" w:rsidR="0098306C" w:rsidRPr="00946727" w:rsidRDefault="00BF0683" w:rsidP="00596FF9">
      <w:pPr>
        <w:spacing w:before="0" w:after="0" w:line="480" w:lineRule="auto"/>
      </w:pPr>
      <w:r w:rsidRPr="00946727">
        <w:t xml:space="preserve">3.2. Method validation using the </w:t>
      </w:r>
      <w:r w:rsidR="00D323A0" w:rsidRPr="00946727">
        <w:t>UHP</w:t>
      </w:r>
      <w:r w:rsidRPr="00946727">
        <w:t>LC-Q/Orbitrap MS</w:t>
      </w:r>
    </w:p>
    <w:p w14:paraId="0000005E" w14:textId="77777777" w:rsidR="0098306C" w:rsidRPr="00946727" w:rsidRDefault="0098306C" w:rsidP="00596FF9">
      <w:pPr>
        <w:spacing w:before="0" w:after="0" w:line="480" w:lineRule="auto"/>
      </w:pPr>
    </w:p>
    <w:p w14:paraId="0000005F" w14:textId="1229D766" w:rsidR="0098306C" w:rsidRPr="00946727" w:rsidRDefault="00BF0683" w:rsidP="00596FF9">
      <w:pPr>
        <w:spacing w:before="0" w:after="0" w:line="480" w:lineRule="auto"/>
      </w:pPr>
      <w:r w:rsidRPr="00946727">
        <w:t>The seven-point calibration curve of AR 22:0 standard solutions was linear over the whole concentration range, resulting in a coefficient of determination (R</w:t>
      </w:r>
      <w:r w:rsidRPr="00946727">
        <w:rPr>
          <w:vertAlign w:val="superscript"/>
        </w:rPr>
        <w:t>2</w:t>
      </w:r>
      <w:r w:rsidRPr="00946727">
        <w:t>) of greater than 0.999</w:t>
      </w:r>
      <w:r w:rsidR="00596FF9" w:rsidRPr="00946727">
        <w:t xml:space="preserve"> (Supplementary Figure 2)</w:t>
      </w:r>
      <w:r w:rsidRPr="00946727">
        <w:t>. The linear range was 0.002-0.5 µg/g</w:t>
      </w:r>
      <w:r w:rsidR="00877B5B" w:rsidRPr="00946727">
        <w:t>,</w:t>
      </w:r>
      <w:r w:rsidRPr="00946727">
        <w:t xml:space="preserve"> and the regression equation was y = 1.36E+07x + 6.19E+04. The calculated LOD and LOQ values were 0.02 and 0.06 µg/g, respectively. The main validation parameters are summarised in Table</w:t>
      </w:r>
      <w:r w:rsidR="009B5B88" w:rsidRPr="00946727">
        <w:t xml:space="preserve"> </w:t>
      </w:r>
      <w:r w:rsidR="006268AA" w:rsidRPr="00946727">
        <w:t>2</w:t>
      </w:r>
      <w:r w:rsidRPr="00946727">
        <w:t>. The obtained results demonstrate that the LC/MS-based method exhibited greater sensitivity compared to the conventional GC/MS-based method. The LOD of the developed method is 250- and 10-fold lower than the LOD reported using GC/MS and GC-Q/TOFMS, respectively</w:t>
      </w:r>
      <w:hyperlink r:id="rId44">
        <w:r w:rsidRPr="00946727">
          <w:rPr>
            <w:color w:val="000000"/>
            <w:vertAlign w:val="superscript"/>
          </w:rPr>
          <w:t>11,13,24</w:t>
        </w:r>
      </w:hyperlink>
      <w:r w:rsidRPr="00946727">
        <w:t xml:space="preserve">. This observation is mainly due to Orbitrap’s superior sensitivity and high-resolution </w:t>
      </w:r>
      <w:r w:rsidR="00C33346" w:rsidRPr="00946727">
        <w:t>capabilities</w:t>
      </w:r>
      <w:hyperlink r:id="rId45">
        <w:r w:rsidR="00C33346" w:rsidRPr="00946727">
          <w:rPr>
            <w:color w:val="000000"/>
            <w:vertAlign w:val="superscript"/>
          </w:rPr>
          <w:t>35</w:t>
        </w:r>
      </w:hyperlink>
      <w:r w:rsidRPr="00946727">
        <w:t>.</w:t>
      </w:r>
    </w:p>
    <w:p w14:paraId="00000060" w14:textId="77777777" w:rsidR="0098306C" w:rsidRPr="00946727" w:rsidRDefault="0098306C" w:rsidP="00596FF9">
      <w:pPr>
        <w:spacing w:before="0" w:after="0" w:line="480" w:lineRule="auto"/>
      </w:pPr>
    </w:p>
    <w:p w14:paraId="00000061" w14:textId="77777777" w:rsidR="0098306C" w:rsidRPr="00946727" w:rsidRDefault="00BF0683" w:rsidP="00596FF9">
      <w:pPr>
        <w:spacing w:before="0" w:after="0" w:line="480" w:lineRule="auto"/>
      </w:pPr>
      <w:r w:rsidRPr="00946727">
        <w:t>3.3. AR characterisation in modern cereals</w:t>
      </w:r>
    </w:p>
    <w:p w14:paraId="00000062" w14:textId="77777777" w:rsidR="0098306C" w:rsidRPr="00946727" w:rsidRDefault="0098306C" w:rsidP="00596FF9">
      <w:pPr>
        <w:spacing w:before="0" w:after="0" w:line="480" w:lineRule="auto"/>
      </w:pPr>
    </w:p>
    <w:p w14:paraId="00000063" w14:textId="77777777" w:rsidR="0098306C" w:rsidRPr="00946727" w:rsidRDefault="00BF0683" w:rsidP="00596FF9">
      <w:pPr>
        <w:spacing w:before="0" w:after="0" w:line="480" w:lineRule="auto"/>
      </w:pPr>
      <w:r w:rsidRPr="00946727">
        <w:t xml:space="preserve">3.3.1. </w:t>
      </w:r>
      <w:r w:rsidRPr="00946727">
        <w:rPr>
          <w:i/>
        </w:rPr>
        <w:t>Triticum</w:t>
      </w:r>
      <w:r w:rsidRPr="00946727">
        <w:t xml:space="preserve"> spp.</w:t>
      </w:r>
    </w:p>
    <w:p w14:paraId="00000064" w14:textId="77777777" w:rsidR="0098306C" w:rsidRPr="00946727" w:rsidRDefault="0098306C" w:rsidP="00596FF9">
      <w:pPr>
        <w:spacing w:before="0" w:after="0" w:line="480" w:lineRule="auto"/>
      </w:pPr>
    </w:p>
    <w:p w14:paraId="7E2C5176" w14:textId="77C6571E" w:rsidR="009822C3" w:rsidRPr="00946727" w:rsidRDefault="009822C3" w:rsidP="00596FF9">
      <w:pPr>
        <w:spacing w:before="0" w:after="0" w:line="480" w:lineRule="auto"/>
      </w:pPr>
      <w:r w:rsidRPr="00946727">
        <w:t>Ten AR homologues (five saturated and five unsaturated ARs; Supplementary Figure 3) were identified in wheat extracts, and their relative contributions are summarised in Table 3. The dominant saturated homologues were AR 19:0, AR 21:0, and AR 23:0, with AR 21:0 as the predominant homologue in all four species (Figure 4</w:t>
      </w:r>
      <w:r w:rsidR="00EF70E2">
        <w:t>A</w:t>
      </w:r>
      <w:r w:rsidRPr="00946727">
        <w:t>), which agreed with previous reports of analyses of modern cereals</w:t>
      </w:r>
      <w:hyperlink r:id="rId46">
        <w:r w:rsidRPr="00946727">
          <w:rPr>
            <w:color w:val="000000"/>
            <w:vertAlign w:val="superscript"/>
          </w:rPr>
          <w:t>23,24</w:t>
        </w:r>
      </w:hyperlink>
      <w:r w:rsidRPr="00946727">
        <w:t xml:space="preserve">. The percentage of AR 21:0 ranges from 31.5% (common wheat) to 48.3% (Khorasan wheat). AR 23:0 was the second most abundant homologue in the tetraploid [emmer (24.0%) and Khorasan wheat (25.3%)], and diploid [einkorn (23.0%)] species, followed by AR 19:0, AR 25:0, and AR 17:0. In contrast, the </w:t>
      </w:r>
      <w:proofErr w:type="spellStart"/>
      <w:r w:rsidRPr="00946727">
        <w:t>hexaploid</w:t>
      </w:r>
      <w:proofErr w:type="spellEnd"/>
      <w:r w:rsidRPr="00946727">
        <w:t xml:space="preserve"> common wheat contained higher contributions of AR 19:0 (27.8%), followed by AR 23:0, AR 25:0, and AR 17:0. The overall trends of AR homologues in each wheat species are presented in Figure 4. AR 21:0 is the most abundant homologue, and the trends observed in common wheat, emmer, and einkorn species agreed with previously reported data</w:t>
      </w:r>
      <w:hyperlink r:id="rId47">
        <w:r w:rsidRPr="00946727">
          <w:rPr>
            <w:color w:val="000000"/>
            <w:vertAlign w:val="superscript"/>
          </w:rPr>
          <w:t>23,24</w:t>
        </w:r>
      </w:hyperlink>
      <w:r w:rsidRPr="00946727">
        <w:t xml:space="preserve"> (analysis of AR compositions in Khorasan wheat has not yet been reported). The relative abundance of AR 17:0 of the common wheat was at most 7 times higher (5.9%) than in the other species (0.8-1.2%). Such highly variable differences in the relative abundance of AR homologues among the </w:t>
      </w:r>
      <w:r w:rsidRPr="00946727">
        <w:rPr>
          <w:i/>
        </w:rPr>
        <w:t>Triticum</w:t>
      </w:r>
      <w:r w:rsidRPr="00946727">
        <w:t xml:space="preserve"> species have been previously reported</w:t>
      </w:r>
      <w:hyperlink r:id="rId48">
        <w:r w:rsidRPr="00946727">
          <w:rPr>
            <w:color w:val="000000"/>
            <w:vertAlign w:val="superscript"/>
          </w:rPr>
          <w:t>36</w:t>
        </w:r>
      </w:hyperlink>
      <w:r w:rsidRPr="00946727">
        <w:t>.</w:t>
      </w:r>
    </w:p>
    <w:p w14:paraId="0000006A" w14:textId="77777777" w:rsidR="0098306C" w:rsidRPr="00946727" w:rsidRDefault="0098306C" w:rsidP="00596FF9">
      <w:pPr>
        <w:spacing w:before="0" w:after="0" w:line="480" w:lineRule="auto"/>
      </w:pPr>
    </w:p>
    <w:p w14:paraId="1409B32A" w14:textId="77777777" w:rsidR="009822C3" w:rsidRPr="00946727" w:rsidRDefault="009822C3" w:rsidP="009822C3">
      <w:pPr>
        <w:spacing w:before="0" w:after="0" w:line="480" w:lineRule="auto"/>
      </w:pPr>
      <w:r w:rsidRPr="00946727">
        <w:t xml:space="preserve">To assess the cereal’s ploidy </w:t>
      </w:r>
      <w:proofErr w:type="gramStart"/>
      <w:r w:rsidRPr="00946727">
        <w:t>level,  the</w:t>
      </w:r>
      <w:proofErr w:type="gramEnd"/>
      <w:r w:rsidRPr="00946727">
        <w:t xml:space="preserve"> ratio of several AR homologues was calculated and discussed (Table 3). Specifically, the AR 17:0/AR 21:0 ratio discriminates between </w:t>
      </w:r>
      <w:r w:rsidRPr="00946727">
        <w:rPr>
          <w:i/>
        </w:rPr>
        <w:t>Triticum</w:t>
      </w:r>
      <w:r w:rsidRPr="00946727">
        <w:t xml:space="preserve"> species</w:t>
      </w:r>
      <w:hyperlink r:id="rId49">
        <w:r w:rsidRPr="00946727">
          <w:rPr>
            <w:color w:val="000000"/>
            <w:vertAlign w:val="superscript"/>
          </w:rPr>
          <w:t>36</w:t>
        </w:r>
      </w:hyperlink>
      <w:r w:rsidRPr="00946727">
        <w:t xml:space="preserve">, and </w:t>
      </w:r>
      <w:proofErr w:type="spellStart"/>
      <w:r w:rsidRPr="00946727">
        <w:t>Pedrazzani</w:t>
      </w:r>
      <w:proofErr w:type="spellEnd"/>
      <w:r w:rsidRPr="00946727">
        <w:t xml:space="preserve"> </w:t>
      </w:r>
      <w:r w:rsidRPr="00946727">
        <w:rPr>
          <w:i/>
        </w:rPr>
        <w:t>et al.</w:t>
      </w:r>
      <w:r w:rsidRPr="00946727">
        <w:t xml:space="preserve"> (2021)</w:t>
      </w:r>
      <w:hyperlink r:id="rId50">
        <w:r w:rsidRPr="00946727">
          <w:rPr>
            <w:color w:val="000000"/>
            <w:vertAlign w:val="superscript"/>
          </w:rPr>
          <w:t>24</w:t>
        </w:r>
      </w:hyperlink>
      <w:r w:rsidRPr="00946727">
        <w:t xml:space="preserve"> reported that this ratio substantially decreased from </w:t>
      </w:r>
      <w:proofErr w:type="spellStart"/>
      <w:r w:rsidRPr="00946727">
        <w:t>hexaploid</w:t>
      </w:r>
      <w:proofErr w:type="spellEnd"/>
      <w:r w:rsidRPr="00946727">
        <w:t xml:space="preserve"> &gt; tetraploid  ≥ diploid. The ratios for common wheat (0.19 ± 0.01), Khorasan wheat (0.03 ± 0.00), emmer (0.02 ± 0.00), and einkorn (0.04 ± 0.00) were in agreement with the values and trends reported in the literature</w:t>
      </w:r>
      <w:hyperlink r:id="rId51">
        <w:r w:rsidRPr="00946727">
          <w:rPr>
            <w:color w:val="000000"/>
            <w:vertAlign w:val="superscript"/>
          </w:rPr>
          <w:t>24,36,37</w:t>
        </w:r>
      </w:hyperlink>
      <w:r w:rsidRPr="00946727">
        <w:t xml:space="preserve">. This proved that the ratio could be used as an authenticity feature to distinguish </w:t>
      </w:r>
      <w:r w:rsidRPr="00946727">
        <w:rPr>
          <w:i/>
        </w:rPr>
        <w:t xml:space="preserve">Triticum </w:t>
      </w:r>
      <w:r w:rsidRPr="00946727">
        <w:t xml:space="preserve">species. This further demonstrated the differences </w:t>
      </w:r>
      <w:r w:rsidRPr="00946727">
        <w:lastRenderedPageBreak/>
        <w:t xml:space="preserve">in AR content between diploid, tetraploid, and </w:t>
      </w:r>
      <w:proofErr w:type="spellStart"/>
      <w:r w:rsidRPr="00946727">
        <w:t>hexaploid</w:t>
      </w:r>
      <w:proofErr w:type="spellEnd"/>
      <w:r w:rsidRPr="00946727">
        <w:t xml:space="preserve"> wheat species</w:t>
      </w:r>
      <w:hyperlink r:id="rId52">
        <w:r w:rsidRPr="00946727">
          <w:rPr>
            <w:color w:val="000000"/>
            <w:vertAlign w:val="superscript"/>
          </w:rPr>
          <w:t>23</w:t>
        </w:r>
      </w:hyperlink>
      <w:r w:rsidRPr="00946727">
        <w:t>. Meanwhile, the AR 21:0/AR 23:0 has been hypothesised to be a marker of antifungal activity in living crops</w:t>
      </w:r>
      <w:hyperlink r:id="rId53">
        <w:r w:rsidRPr="00946727">
          <w:rPr>
            <w:color w:val="000000"/>
            <w:vertAlign w:val="superscript"/>
          </w:rPr>
          <w:t>38</w:t>
        </w:r>
      </w:hyperlink>
      <w:r w:rsidRPr="00946727">
        <w:t xml:space="preserve">, and is also related to the ploidy level, following the trend: </w:t>
      </w:r>
      <w:proofErr w:type="spellStart"/>
      <w:r w:rsidRPr="00946727">
        <w:t>hexaploid</w:t>
      </w:r>
      <w:proofErr w:type="spellEnd"/>
      <w:r w:rsidRPr="00946727">
        <w:t xml:space="preserve"> &gt; tetraploid &gt; diploid speci</w:t>
      </w:r>
      <w:r w:rsidRPr="00946727">
        <w:rPr>
          <w:color w:val="212529"/>
        </w:rPr>
        <w:t>es</w:t>
      </w:r>
      <w:hyperlink r:id="rId54">
        <w:r w:rsidRPr="00946727">
          <w:rPr>
            <w:color w:val="000000"/>
            <w:vertAlign w:val="superscript"/>
          </w:rPr>
          <w:t>24</w:t>
        </w:r>
      </w:hyperlink>
      <w:r w:rsidRPr="00946727">
        <w:rPr>
          <w:color w:val="212529"/>
        </w:rPr>
        <w:t>.</w:t>
      </w:r>
      <w:r w:rsidRPr="00946727">
        <w:t xml:space="preserve"> In the present study, the </w:t>
      </w:r>
      <w:proofErr w:type="spellStart"/>
      <w:r w:rsidRPr="00946727">
        <w:t>hexaploid</w:t>
      </w:r>
      <w:proofErr w:type="spellEnd"/>
      <w:r w:rsidRPr="00946727">
        <w:t xml:space="preserve"> common wheat (2.60 ± 0.22) showed the highest ratio, followed by Khorasan wheat (1.91 ± 0.01) and emmer (1.69 ± 0.10), which are both tetraploid species. Lastly, the diploid einkorn (1.45 ± 0.02) had the lowest ratio. These values agree with those in previous studies,</w:t>
      </w:r>
      <w:hyperlink r:id="rId55">
        <w:r w:rsidRPr="00946727">
          <w:rPr>
            <w:color w:val="000000"/>
            <w:vertAlign w:val="superscript"/>
          </w:rPr>
          <w:t>39</w:t>
        </w:r>
      </w:hyperlink>
      <w:r w:rsidRPr="00946727">
        <w:t xml:space="preserve"> proving the stability of this marker despite the variability in AR 21:0 and AR 23:0 concentrations.</w:t>
      </w:r>
    </w:p>
    <w:p w14:paraId="0000006E" w14:textId="77777777" w:rsidR="0098306C" w:rsidRPr="00946727" w:rsidRDefault="0098306C" w:rsidP="00596FF9">
      <w:pPr>
        <w:spacing w:before="0" w:after="0" w:line="480" w:lineRule="auto"/>
      </w:pPr>
    </w:p>
    <w:p w14:paraId="0000006F" w14:textId="552F7DDD" w:rsidR="0098306C" w:rsidRPr="00946727" w:rsidRDefault="00BF0683" w:rsidP="00596FF9">
      <w:pPr>
        <w:spacing w:before="0" w:after="0" w:line="480" w:lineRule="auto"/>
      </w:pPr>
      <w:r w:rsidRPr="00946727">
        <w:t xml:space="preserve">The relative contribution of unsaturated AR homologues was also calculated (Table </w:t>
      </w:r>
      <w:r w:rsidR="00A66D74" w:rsidRPr="00946727">
        <w:t>3</w:t>
      </w:r>
      <w:r w:rsidRPr="00946727">
        <w:t xml:space="preserve">). Common wheat was the only species that yielded five </w:t>
      </w:r>
      <w:r w:rsidR="00836E95" w:rsidRPr="00946727">
        <w:t xml:space="preserve">unsaturated </w:t>
      </w:r>
      <w:r w:rsidRPr="00946727">
        <w:t>ARs, with AR 19:1 (7.2%) having the highest content</w:t>
      </w:r>
      <w:r w:rsidR="00EF70E2">
        <w:t xml:space="preserve"> (Figure 4</w:t>
      </w:r>
      <w:r w:rsidR="00F05C54">
        <w:t>B</w:t>
      </w:r>
      <w:r w:rsidR="00EF70E2">
        <w:t>)</w:t>
      </w:r>
      <w:r w:rsidRPr="00946727">
        <w:t xml:space="preserve">. The remaining wheat species had very low </w:t>
      </w:r>
      <w:proofErr w:type="gramStart"/>
      <w:r w:rsidRPr="00946727">
        <w:t>concentrations,  with</w:t>
      </w:r>
      <w:proofErr w:type="gramEnd"/>
      <w:r w:rsidRPr="00946727">
        <w:t xml:space="preserve"> AR 17:1 &lt;LOD. The small relative contribution of unsaturated ARs compared to their saturated counterparts has also been observed elsewhere</w:t>
      </w:r>
      <w:hyperlink r:id="rId56">
        <w:r w:rsidRPr="00946727">
          <w:rPr>
            <w:color w:val="000000"/>
            <w:vertAlign w:val="superscript"/>
          </w:rPr>
          <w:t>23,24</w:t>
        </w:r>
      </w:hyperlink>
      <w:r w:rsidRPr="00946727">
        <w:t xml:space="preserve">. The explanation for this observation is unclear, but the genetic background </w:t>
      </w:r>
      <w:r w:rsidR="00F44E2A" w:rsidRPr="00946727">
        <w:t xml:space="preserve">of </w:t>
      </w:r>
      <w:r w:rsidRPr="00946727">
        <w:t xml:space="preserve">AR accumulation in wheat could possibly explain the scarcity of unsaturated AR homologues in different  </w:t>
      </w:r>
      <w:r w:rsidRPr="00946727">
        <w:rPr>
          <w:i/>
        </w:rPr>
        <w:t>Triticum</w:t>
      </w:r>
      <w:r w:rsidRPr="00946727">
        <w:t xml:space="preserve"> species</w:t>
      </w:r>
      <w:hyperlink r:id="rId57">
        <w:r w:rsidRPr="00946727">
          <w:rPr>
            <w:color w:val="000000"/>
            <w:vertAlign w:val="superscript"/>
          </w:rPr>
          <w:t>23,24</w:t>
        </w:r>
      </w:hyperlink>
      <w:r w:rsidRPr="00946727">
        <w:t>.</w:t>
      </w:r>
    </w:p>
    <w:p w14:paraId="00000070" w14:textId="77777777" w:rsidR="0098306C" w:rsidRPr="00946727" w:rsidRDefault="0098306C" w:rsidP="00596FF9">
      <w:pPr>
        <w:spacing w:before="0" w:after="0" w:line="480" w:lineRule="auto"/>
      </w:pPr>
    </w:p>
    <w:p w14:paraId="00000071" w14:textId="77777777" w:rsidR="0098306C" w:rsidRPr="00946727" w:rsidRDefault="00BF0683" w:rsidP="00596FF9">
      <w:pPr>
        <w:spacing w:before="0" w:after="0" w:line="480" w:lineRule="auto"/>
      </w:pPr>
      <w:r w:rsidRPr="00946727">
        <w:t xml:space="preserve">3.3.2. </w:t>
      </w:r>
      <w:r w:rsidRPr="00946727">
        <w:rPr>
          <w:i/>
        </w:rPr>
        <w:t xml:space="preserve">Hordeum vulgare </w:t>
      </w:r>
      <w:r w:rsidRPr="00946727">
        <w:t>L.</w:t>
      </w:r>
    </w:p>
    <w:p w14:paraId="00000072" w14:textId="77777777" w:rsidR="0098306C" w:rsidRPr="00946727" w:rsidRDefault="0098306C" w:rsidP="00596FF9">
      <w:pPr>
        <w:spacing w:before="0" w:after="0" w:line="480" w:lineRule="auto"/>
      </w:pPr>
    </w:p>
    <w:p w14:paraId="2CF534D3" w14:textId="0540369B" w:rsidR="00654798" w:rsidRPr="00946727" w:rsidRDefault="00BF0683" w:rsidP="00596FF9">
      <w:pPr>
        <w:spacing w:before="0" w:after="0" w:line="480" w:lineRule="auto"/>
      </w:pPr>
      <w:r w:rsidRPr="00946727">
        <w:t xml:space="preserve">Five of the saturated ARs (AR 19;0, AR 21:0, AR 23:0, and AR 25:0) and only one of the unsaturated AR (AR 19:1) were detected in the barley samples (Table </w:t>
      </w:r>
      <w:r w:rsidR="00A66D74" w:rsidRPr="00946727">
        <w:t>3</w:t>
      </w:r>
      <w:r w:rsidRPr="00946727">
        <w:t>). Unlike the wheat species, the predominant AR homologue in barley was AR 25:0, followed by AR 21:0, AR 19:0, AR 23:0, AR 19:1, and AR 17:0, which agreed with previous data</w:t>
      </w:r>
      <w:hyperlink r:id="rId58">
        <w:r w:rsidRPr="00946727">
          <w:rPr>
            <w:color w:val="000000"/>
            <w:vertAlign w:val="superscript"/>
          </w:rPr>
          <w:t>38</w:t>
        </w:r>
      </w:hyperlink>
      <w:r w:rsidRPr="00946727">
        <w:t>.</w:t>
      </w:r>
      <w:r w:rsidR="006A0E60" w:rsidRPr="00946727">
        <w:t xml:space="preserve"> </w:t>
      </w:r>
      <w:r w:rsidR="002D21EF" w:rsidRPr="00946727">
        <w:t>Moreover, the observed lower detection of AR homologues is not surprising as they are approximately ten times less concentrated in barley than in wheat species</w:t>
      </w:r>
      <w:r w:rsidR="004C6B40" w:rsidRPr="00467065">
        <w:rPr>
          <w:vertAlign w:val="superscript"/>
        </w:rPr>
        <w:t>13</w:t>
      </w:r>
      <w:r w:rsidR="00654798" w:rsidRPr="00946727">
        <w:t>.</w:t>
      </w:r>
    </w:p>
    <w:p w14:paraId="00000074" w14:textId="77777777" w:rsidR="0098306C" w:rsidRPr="00946727" w:rsidRDefault="0098306C" w:rsidP="00596FF9">
      <w:pPr>
        <w:spacing w:before="0" w:after="0" w:line="480" w:lineRule="auto"/>
      </w:pPr>
    </w:p>
    <w:p w14:paraId="00000075" w14:textId="77777777" w:rsidR="0098306C" w:rsidRPr="00946727" w:rsidRDefault="00BF0683" w:rsidP="00596FF9">
      <w:pPr>
        <w:spacing w:before="0" w:after="0" w:line="480" w:lineRule="auto"/>
      </w:pPr>
      <w:r w:rsidRPr="00946727">
        <w:t>3.3.3. Saturated AR homologue distribution</w:t>
      </w:r>
    </w:p>
    <w:p w14:paraId="00000076" w14:textId="77777777" w:rsidR="0098306C" w:rsidRPr="00946727" w:rsidRDefault="0098306C" w:rsidP="00596FF9">
      <w:pPr>
        <w:spacing w:before="0" w:after="0" w:line="480" w:lineRule="auto"/>
      </w:pPr>
    </w:p>
    <w:p w14:paraId="61973A7F" w14:textId="77777777" w:rsidR="006F29FB" w:rsidRPr="00946727" w:rsidRDefault="006F29FB" w:rsidP="006F29FB">
      <w:pPr>
        <w:spacing w:before="0" w:after="0" w:line="480" w:lineRule="auto"/>
      </w:pPr>
      <w:r w:rsidRPr="00946727">
        <w:t>Due to the inherently low content of unsaturated ARs in cereal species</w:t>
      </w:r>
      <w:hyperlink r:id="rId59">
        <w:r w:rsidRPr="00946727">
          <w:rPr>
            <w:color w:val="000000"/>
            <w:vertAlign w:val="superscript"/>
          </w:rPr>
          <w:t>23,24</w:t>
        </w:r>
      </w:hyperlink>
      <w:r w:rsidRPr="00946727">
        <w:t xml:space="preserve"> and their high susceptibility to oxidation during vessel use and burial</w:t>
      </w:r>
      <w:hyperlink r:id="rId60">
        <w:r w:rsidRPr="00946727">
          <w:rPr>
            <w:color w:val="000000"/>
            <w:vertAlign w:val="superscript"/>
          </w:rPr>
          <w:t>41</w:t>
        </w:r>
      </w:hyperlink>
      <w:r w:rsidRPr="00946727">
        <w:t xml:space="preserve">, only the distribution patterns of saturated ARs were discussed and analysed. The obtained results corroborated the observation that the distribution of saturated AR homologues is markedly different between the different cereal species (Table 4). For instance, all </w:t>
      </w:r>
      <w:r w:rsidRPr="00946727">
        <w:rPr>
          <w:i/>
        </w:rPr>
        <w:t>Triticum</w:t>
      </w:r>
      <w:r w:rsidRPr="00946727">
        <w:t xml:space="preserve"> species (namely common wheat, spelt, einkorn, and emmer) showed AR 21:0 as the dominant homologue</w:t>
      </w:r>
      <w:bookmarkStart w:id="0" w:name="_Hlk165045096"/>
      <w:r w:rsidRPr="00946727">
        <w:fldChar w:fldCharType="begin"/>
      </w:r>
      <w:r w:rsidRPr="00946727">
        <w:instrText>HYPERLINK "https://paperpile.com/c/wDGqn3/eqtaM+7mhMl+mbYN9+QJJ6D+c5M3G+XSby7" \h</w:instrText>
      </w:r>
      <w:r w:rsidRPr="00946727">
        <w:fldChar w:fldCharType="separate"/>
      </w:r>
      <w:r w:rsidRPr="00946727">
        <w:rPr>
          <w:color w:val="000000"/>
          <w:vertAlign w:val="superscript"/>
        </w:rPr>
        <w:t>13,14,23,24,37,42</w:t>
      </w:r>
      <w:r w:rsidRPr="00946727">
        <w:rPr>
          <w:color w:val="000000"/>
          <w:vertAlign w:val="superscript"/>
        </w:rPr>
        <w:fldChar w:fldCharType="end"/>
      </w:r>
      <w:bookmarkEnd w:id="0"/>
      <w:r w:rsidRPr="00946727">
        <w:t>. In contrast, AR 25:0 is the predominant AR in barley</w:t>
      </w:r>
      <w:hyperlink r:id="rId61">
        <w:r w:rsidRPr="00946727">
          <w:rPr>
            <w:color w:val="000000"/>
            <w:vertAlign w:val="superscript"/>
          </w:rPr>
          <w:t>43,44</w:t>
        </w:r>
      </w:hyperlink>
      <w:r w:rsidRPr="00946727">
        <w:t>, and AR 19:0 is the most abundant AR homologue in rye</w:t>
      </w:r>
      <w:hyperlink r:id="rId62">
        <w:r w:rsidRPr="00946727">
          <w:rPr>
            <w:color w:val="000000"/>
            <w:vertAlign w:val="superscript"/>
          </w:rPr>
          <w:t>14,22,42,45</w:t>
        </w:r>
      </w:hyperlink>
      <w:r w:rsidRPr="00946727">
        <w:t>. Thus, these patterns can be utilised to differentiate cereal species from each other in modern samples. Moreover, the distribution patterns remain unchanged whether LC/ or GC/MS-based (Supplementary Figure 4) methods were used</w:t>
      </w:r>
      <w:hyperlink r:id="rId63">
        <w:r w:rsidRPr="00946727">
          <w:rPr>
            <w:color w:val="000000"/>
            <w:vertAlign w:val="superscript"/>
          </w:rPr>
          <w:t>13,14,17,45,46</w:t>
        </w:r>
      </w:hyperlink>
      <w:r w:rsidRPr="00946727">
        <w:t>.</w:t>
      </w:r>
    </w:p>
    <w:p w14:paraId="00000078" w14:textId="77777777" w:rsidR="0098306C" w:rsidRPr="00946727" w:rsidRDefault="0098306C" w:rsidP="00596FF9">
      <w:pPr>
        <w:spacing w:before="0" w:after="0" w:line="480" w:lineRule="auto"/>
      </w:pPr>
    </w:p>
    <w:p w14:paraId="00000079" w14:textId="147B6F4C" w:rsidR="0098306C" w:rsidRPr="00946727" w:rsidRDefault="00BF0683" w:rsidP="00596FF9">
      <w:pPr>
        <w:spacing w:before="0" w:after="0" w:line="480" w:lineRule="auto"/>
      </w:pPr>
      <w:r w:rsidRPr="00946727">
        <w:t xml:space="preserve">3.4. Application </w:t>
      </w:r>
      <w:r w:rsidR="006F29FB" w:rsidRPr="00946727">
        <w:t>to</w:t>
      </w:r>
      <w:r w:rsidRPr="00946727">
        <w:t xml:space="preserve"> archaeological pottery</w:t>
      </w:r>
    </w:p>
    <w:p w14:paraId="0000007A" w14:textId="77777777" w:rsidR="0098306C" w:rsidRPr="00946727" w:rsidRDefault="0098306C" w:rsidP="00596FF9">
      <w:pPr>
        <w:spacing w:before="0" w:after="0" w:line="480" w:lineRule="auto"/>
      </w:pPr>
    </w:p>
    <w:p w14:paraId="2E0C2B77" w14:textId="77777777" w:rsidR="006F29FB" w:rsidRPr="00946727" w:rsidRDefault="006F29FB" w:rsidP="006F29FB">
      <w:pPr>
        <w:spacing w:before="0" w:after="0" w:line="480" w:lineRule="auto"/>
      </w:pPr>
      <w:r w:rsidRPr="00946727">
        <w:t>To explore the application of the developed UHPLC-Q/Orbitrap MS method in an archaeological context, the presence and distribution of AR homologues were determined in pottery from the Must Farm site.</w:t>
      </w:r>
    </w:p>
    <w:p w14:paraId="23EC39B1" w14:textId="77777777" w:rsidR="006F29FB" w:rsidRPr="00946727" w:rsidRDefault="006F29FB" w:rsidP="006F29FB">
      <w:pPr>
        <w:spacing w:before="0" w:after="0" w:line="480" w:lineRule="auto"/>
      </w:pPr>
      <w:r w:rsidRPr="00946727">
        <w:t xml:space="preserve"> </w:t>
      </w:r>
    </w:p>
    <w:p w14:paraId="386DFD63" w14:textId="77777777" w:rsidR="006F29FB" w:rsidRPr="00946727" w:rsidRDefault="006F29FB" w:rsidP="006F29FB">
      <w:pPr>
        <w:spacing w:before="0" w:after="0" w:line="480" w:lineRule="auto"/>
      </w:pPr>
      <w:r w:rsidRPr="00946727">
        <w:t>GC/MS analysis of the Must Farm TLEs enabled the detection of multiple compounds with varying contributions (Figure 5A). Detailed information about the organic residue analysis results is published elsewhere</w:t>
      </w:r>
      <w:hyperlink r:id="rId64">
        <w:r w:rsidRPr="00946727">
          <w:rPr>
            <w:color w:val="000000"/>
            <w:vertAlign w:val="superscript"/>
          </w:rPr>
          <w:t>27</w:t>
        </w:r>
      </w:hyperlink>
      <w:r w:rsidRPr="00946727">
        <w:t xml:space="preserve">. A SIM approach targeting ions of AR homologues was applied in </w:t>
      </w:r>
      <w:proofErr w:type="gramStart"/>
      <w:r w:rsidRPr="00946727">
        <w:t>all of</w:t>
      </w:r>
      <w:proofErr w:type="gramEnd"/>
      <w:r w:rsidRPr="00946727">
        <w:t xml:space="preserve"> the samples to search for the cereal-specific biomarker. Eight extracts showed the possible presence of ARs (Figure 5B). However, identification and distribution profile </w:t>
      </w:r>
      <w:r w:rsidRPr="00946727">
        <w:lastRenderedPageBreak/>
        <w:t>assessment of AR homologues using the conventional GC/MS was not possible due to small peak sizes and the presence of several interfering peaks. To remove these interferences and concentrate AR in the extracts, the purification step was applied to all the TLEs. However, when analysed using GC/MS in SIM mode, no AR peaks were detected in the purified and derivatised samples, likely due to the ARs’ very low amounts, which this conventional approach was not able to detect. The probable explanation for the peaks detected in the unpurified extracts is that they belong to other interferences coeluting with AR homologues. When these interferences were removed after purification, no peaks were observed, but we know that AR homologues were present in the purified samples because they were detected and identified by UHPLC-Q/Orbitrap MS (Figure 6 and Supplementary Table 4).</w:t>
      </w:r>
    </w:p>
    <w:p w14:paraId="6E9EA0BE" w14:textId="77777777" w:rsidR="006F29FB" w:rsidRPr="00946727" w:rsidRDefault="006F29FB" w:rsidP="006F29FB">
      <w:pPr>
        <w:spacing w:before="0" w:after="0" w:line="480" w:lineRule="auto"/>
      </w:pPr>
      <w:r w:rsidRPr="00946727">
        <w:t xml:space="preserve"> </w:t>
      </w:r>
    </w:p>
    <w:p w14:paraId="56899ACC" w14:textId="77777777" w:rsidR="006F29FB" w:rsidRPr="00946727" w:rsidRDefault="006F29FB" w:rsidP="006F29FB">
      <w:pPr>
        <w:spacing w:before="0" w:after="0" w:line="480" w:lineRule="auto"/>
      </w:pPr>
      <w:r w:rsidRPr="00946727">
        <w:t>The presence of AR homologues was confirmed using the developed LC/MS-based method (Figure 6) in all but one of the Must Farm extracts (except for MUS 2830), with AR 21:0 as the most dominant homologue. In one sample, the dominant AR 21:0 was followed by AR 23:0 and AR 25:0. Additionally, AR 19:0 was detected in the same sample, but its content was too low to quantify (Supplementary Table 4). Four out of the eight extracts showed only the AR 21:0 homologue, and aside from the dominant homologue, two samples also featured AR 23:0. Meanwhile, AR 17:0 was not detected in any samples. The absence of AR 17:0 and minimal presence of AR 19:0 can be attributed to the shorter-chain homologues being more susceptible to degradation when subjected to heat, such as during cooking or fire incidents</w:t>
      </w:r>
      <w:hyperlink r:id="rId65">
        <w:r w:rsidRPr="00946727">
          <w:rPr>
            <w:color w:val="000000"/>
            <w:vertAlign w:val="superscript"/>
          </w:rPr>
          <w:t>11</w:t>
        </w:r>
      </w:hyperlink>
      <w:r w:rsidRPr="00946727">
        <w:t>. However, lipid residue analysis of the samples revealed that the pots were not subjected to protracted heating at high temperatures, suggesting that they were not used as cooking vessels</w:t>
      </w:r>
      <w:hyperlink r:id="rId66">
        <w:r w:rsidRPr="00946727">
          <w:rPr>
            <w:color w:val="000000"/>
            <w:vertAlign w:val="superscript"/>
          </w:rPr>
          <w:t>27</w:t>
        </w:r>
      </w:hyperlink>
      <w:r w:rsidRPr="00946727">
        <w:t xml:space="preserve">. The lack of AR 17:0 and AR 19:0 presence then is likely due to their inherently low content in the cereal grain to begin with. </w:t>
      </w:r>
    </w:p>
    <w:p w14:paraId="78047506" w14:textId="77777777" w:rsidR="006F29FB" w:rsidRPr="00946727" w:rsidRDefault="006F29FB" w:rsidP="006F29FB">
      <w:pPr>
        <w:spacing w:before="0" w:after="0" w:line="480" w:lineRule="auto"/>
      </w:pPr>
      <w:r w:rsidRPr="00946727">
        <w:t xml:space="preserve"> </w:t>
      </w:r>
    </w:p>
    <w:p w14:paraId="5E0A5D1E" w14:textId="77777777" w:rsidR="006F29FB" w:rsidRPr="00946727" w:rsidRDefault="006F29FB" w:rsidP="006F29FB">
      <w:pPr>
        <w:spacing w:before="0" w:after="0" w:line="480" w:lineRule="auto"/>
      </w:pPr>
      <w:r w:rsidRPr="00946727">
        <w:lastRenderedPageBreak/>
        <w:t>Preservation through charring and anoxic waterlogging at the site of Must Farm resulted in exceptional archaeobotanical and carpological records</w:t>
      </w:r>
      <w:hyperlink r:id="rId67">
        <w:r w:rsidRPr="00946727">
          <w:rPr>
            <w:color w:val="000000"/>
            <w:vertAlign w:val="superscript"/>
          </w:rPr>
          <w:t>27</w:t>
        </w:r>
      </w:hyperlink>
      <w:r w:rsidRPr="00946727">
        <w:t>. Charred emmer wheat and barley remains were recovered from the roundhouse structure (Structure 1) at the site presumed to store plant resources</w:t>
      </w:r>
      <w:hyperlink r:id="rId68">
        <w:r w:rsidRPr="00946727">
          <w:rPr>
            <w:color w:val="000000"/>
            <w:vertAlign w:val="superscript"/>
          </w:rPr>
          <w:t>27</w:t>
        </w:r>
      </w:hyperlink>
      <w:r w:rsidRPr="00946727">
        <w:t>. As discussed above (Subsection 3.3.3), AR distribution patterns can be used for cereal species discrimination in modern samples</w:t>
      </w:r>
      <w:hyperlink r:id="rId69">
        <w:r w:rsidRPr="00946727">
          <w:rPr>
            <w:color w:val="000000"/>
            <w:vertAlign w:val="superscript"/>
          </w:rPr>
          <w:t>10,12–14,36</w:t>
        </w:r>
      </w:hyperlink>
      <w:r w:rsidRPr="00946727">
        <w:t>. Its usage, however, has to be executed with care when dealing with archaeological samples since the AR homologues’ concentration and distribution may change over time</w:t>
      </w:r>
      <w:hyperlink r:id="rId70">
        <w:r w:rsidRPr="00946727">
          <w:rPr>
            <w:color w:val="000000"/>
            <w:vertAlign w:val="superscript"/>
          </w:rPr>
          <w:t>11,23,47</w:t>
        </w:r>
      </w:hyperlink>
      <w:r w:rsidRPr="00946727">
        <w:t>. Previous studies have demonstrated that these distribution patterns are relatively stable and can be used for species identification in archaeological material, at least as old as the 4th millennium BCE</w:t>
      </w:r>
      <w:hyperlink r:id="rId71">
        <w:r w:rsidRPr="00946727">
          <w:rPr>
            <w:color w:val="000000"/>
            <w:vertAlign w:val="superscript"/>
          </w:rPr>
          <w:t>10,12,36</w:t>
        </w:r>
      </w:hyperlink>
      <w:r w:rsidRPr="00946727">
        <w:t xml:space="preserve">. If so, the pattern observed in this study suggests that a </w:t>
      </w:r>
      <w:r w:rsidRPr="00946727">
        <w:rPr>
          <w:i/>
        </w:rPr>
        <w:t xml:space="preserve">Triticum </w:t>
      </w:r>
      <w:r w:rsidRPr="00946727">
        <w:t>species was processed rather than barley, the other relevant cereal crop at the settlement</w:t>
      </w:r>
      <w:hyperlink r:id="rId72">
        <w:r w:rsidRPr="00946727">
          <w:rPr>
            <w:color w:val="000000"/>
            <w:vertAlign w:val="superscript"/>
          </w:rPr>
          <w:t>27</w:t>
        </w:r>
      </w:hyperlink>
      <w:r w:rsidRPr="00946727">
        <w:t>. This conclusion is based on the dominance of AR 21:0, a characteristic of wheat species, and the presence of AR 25:0, the predominant homologue in barley, in only one sample. Furthermore, the carpological evidence</w:t>
      </w:r>
      <w:hyperlink r:id="rId73">
        <w:r w:rsidRPr="00946727">
          <w:rPr>
            <w:color w:val="000000"/>
            <w:vertAlign w:val="superscript"/>
          </w:rPr>
          <w:t>27</w:t>
        </w:r>
      </w:hyperlink>
      <w:r w:rsidRPr="00946727">
        <w:t xml:space="preserve"> obtained from Structure 1 has the potential to significantly narrow down the wheat species from which the detected AR homologues originated. Based on the available evidence, it is reasonable to conclude that emmer wheat is the most likely origin of the detected homologues.</w:t>
      </w:r>
    </w:p>
    <w:p w14:paraId="4EA31E24" w14:textId="77777777" w:rsidR="006F29FB" w:rsidRPr="00946727" w:rsidRDefault="006F29FB" w:rsidP="006F29FB">
      <w:pPr>
        <w:spacing w:before="0" w:after="0" w:line="480" w:lineRule="auto"/>
      </w:pPr>
      <w:r w:rsidRPr="00946727">
        <w:t xml:space="preserve"> </w:t>
      </w:r>
    </w:p>
    <w:p w14:paraId="62C8278A" w14:textId="77777777" w:rsidR="006F29FB" w:rsidRPr="00946727" w:rsidRDefault="006F29FB" w:rsidP="006F29FB">
      <w:pPr>
        <w:spacing w:before="0" w:after="0" w:line="480" w:lineRule="auto"/>
      </w:pPr>
      <w:r w:rsidRPr="00946727">
        <w:t>The results obtained here represent the first time that a cereal-specific biomarker, typically found in very low concentrations in archaeological pots, has been successfully detected and identified using an LC/MS-based method. Additionally, the findings provide significant evidence that AR homologues and their distribution patterns can be remarkably preserved under favourable conditions.</w:t>
      </w:r>
    </w:p>
    <w:p w14:paraId="00000080" w14:textId="77777777" w:rsidR="0098306C" w:rsidRPr="00946727" w:rsidRDefault="0098306C" w:rsidP="00596FF9">
      <w:pPr>
        <w:spacing w:before="0" w:after="0" w:line="480" w:lineRule="auto"/>
      </w:pPr>
    </w:p>
    <w:p w14:paraId="00000081" w14:textId="77777777" w:rsidR="0098306C" w:rsidRPr="00946727" w:rsidRDefault="00BF0683" w:rsidP="00596FF9">
      <w:pPr>
        <w:numPr>
          <w:ilvl w:val="0"/>
          <w:numId w:val="1"/>
        </w:numPr>
        <w:spacing w:before="0" w:after="0" w:line="480" w:lineRule="auto"/>
        <w:ind w:left="425"/>
        <w:rPr>
          <w:b/>
        </w:rPr>
      </w:pPr>
      <w:r w:rsidRPr="00946727">
        <w:rPr>
          <w:b/>
        </w:rPr>
        <w:t>CONCLUSION</w:t>
      </w:r>
    </w:p>
    <w:p w14:paraId="00000082" w14:textId="77777777" w:rsidR="0098306C" w:rsidRPr="00946727" w:rsidRDefault="0098306C" w:rsidP="00596FF9">
      <w:pPr>
        <w:spacing w:before="0" w:after="0" w:line="480" w:lineRule="auto"/>
      </w:pPr>
    </w:p>
    <w:p w14:paraId="13DB7846" w14:textId="77777777" w:rsidR="003003E0" w:rsidRPr="00946727" w:rsidRDefault="003003E0" w:rsidP="003003E0">
      <w:pPr>
        <w:spacing w:before="0" w:after="0" w:line="480" w:lineRule="auto"/>
      </w:pPr>
      <w:r w:rsidRPr="00946727">
        <w:lastRenderedPageBreak/>
        <w:t xml:space="preserve">A highly sensitive LC/MS-based method for the detection and identification of ARs in modern and archaeological extracts was developed and validated. The LOD achieved is 250-fold lower than that of the conventional GC/MS. The protocol involves the enhancement of ARs and the removal of interfering lipids </w:t>
      </w:r>
      <w:proofErr w:type="gramStart"/>
      <w:r w:rsidRPr="00946727">
        <w:t>through the use of</w:t>
      </w:r>
      <w:proofErr w:type="gramEnd"/>
      <w:r w:rsidRPr="00946727">
        <w:t xml:space="preserve"> an SPE column. The described method was successfully utilised to detect AR homologues in archaeological samples and determine their relative abundance. The observed distribution pattern (preserved by the site’s waterlogged conditions) indicates the processing of </w:t>
      </w:r>
      <w:r w:rsidRPr="00946727">
        <w:rPr>
          <w:i/>
        </w:rPr>
        <w:t>Triticum</w:t>
      </w:r>
      <w:r w:rsidRPr="00946727">
        <w:t xml:space="preserve"> species, most likely emmer wheat, based on the excellent archaeological remains at the site of Must Farm.</w:t>
      </w:r>
    </w:p>
    <w:p w14:paraId="65A1D9B0" w14:textId="77777777" w:rsidR="003003E0" w:rsidRPr="00946727" w:rsidRDefault="003003E0" w:rsidP="003003E0">
      <w:pPr>
        <w:spacing w:before="0" w:after="0" w:line="480" w:lineRule="auto"/>
      </w:pPr>
      <w:r w:rsidRPr="00946727">
        <w:t xml:space="preserve"> </w:t>
      </w:r>
    </w:p>
    <w:p w14:paraId="452B2030" w14:textId="3450DE83" w:rsidR="003003E0" w:rsidRPr="00946727" w:rsidRDefault="003003E0" w:rsidP="003003E0">
      <w:pPr>
        <w:spacing w:before="0" w:after="0" w:line="480" w:lineRule="auto"/>
      </w:pPr>
      <w:r w:rsidRPr="00946727">
        <w:t>While some factors still need to be considered (e.g., modifying AR extraction by introducing an internal AR standard</w:t>
      </w:r>
      <w:hyperlink r:id="rId74">
        <w:r w:rsidRPr="00946727">
          <w:rPr>
            <w:color w:val="000000"/>
            <w:vertAlign w:val="superscript"/>
          </w:rPr>
          <w:t>12</w:t>
        </w:r>
      </w:hyperlink>
      <w:r w:rsidRPr="00946727">
        <w:t xml:space="preserve"> to estimate AR loss during the extraction process and quantify AR homologues), the developed method shows great potential as an alternative approach for targeted lipid biomarker detection in archaeological materials, particularly for samples with low concentrations.</w:t>
      </w:r>
    </w:p>
    <w:p w14:paraId="00000084" w14:textId="77777777" w:rsidR="0098306C" w:rsidRPr="00946727" w:rsidRDefault="0098306C" w:rsidP="00596FF9">
      <w:pPr>
        <w:spacing w:before="0" w:after="0" w:line="480" w:lineRule="auto"/>
      </w:pPr>
    </w:p>
    <w:p w14:paraId="00000085" w14:textId="77777777" w:rsidR="0098306C" w:rsidRPr="00946727" w:rsidRDefault="00BF0683" w:rsidP="00596FF9">
      <w:pPr>
        <w:spacing w:before="0" w:after="0" w:line="480" w:lineRule="auto"/>
        <w:rPr>
          <w:b/>
        </w:rPr>
      </w:pPr>
      <w:r w:rsidRPr="00946727">
        <w:rPr>
          <w:b/>
        </w:rPr>
        <w:t>ACKNOWLEDGMENTS</w:t>
      </w:r>
    </w:p>
    <w:p w14:paraId="00000086" w14:textId="77777777" w:rsidR="0098306C" w:rsidRPr="00946727" w:rsidRDefault="0098306C" w:rsidP="00596FF9">
      <w:pPr>
        <w:spacing w:before="0" w:after="0" w:line="480" w:lineRule="auto"/>
      </w:pPr>
    </w:p>
    <w:p w14:paraId="2838A47F" w14:textId="77777777" w:rsidR="003003E0" w:rsidRPr="00946727" w:rsidRDefault="003003E0" w:rsidP="003003E0">
      <w:pPr>
        <w:spacing w:before="0" w:after="0" w:line="480" w:lineRule="auto"/>
        <w:rPr>
          <w:highlight w:val="white"/>
        </w:rPr>
      </w:pPr>
      <w:r w:rsidRPr="00946727">
        <w:t xml:space="preserve">The authors thank Jane Thomas-Oates for her original involvement, Helen </w:t>
      </w:r>
      <w:proofErr w:type="gramStart"/>
      <w:r w:rsidRPr="00946727">
        <w:t>Talbot</w:t>
      </w:r>
      <w:proofErr w:type="gramEnd"/>
      <w:r w:rsidRPr="00946727">
        <w:t xml:space="preserve"> and Alexandre </w:t>
      </w:r>
      <w:proofErr w:type="spellStart"/>
      <w:r w:rsidRPr="00946727">
        <w:t>Lucquin</w:t>
      </w:r>
      <w:proofErr w:type="spellEnd"/>
      <w:r w:rsidRPr="00946727">
        <w:t xml:space="preserve"> for their assistance with the optimisation experiments, and Mark Knight and the Must Farm Team. Lastly, we thank the two reviewers whose insightful comments improved this article. This work contributes to </w:t>
      </w:r>
      <w:proofErr w:type="spellStart"/>
      <w:r w:rsidRPr="00946727">
        <w:t>EarlyFoods</w:t>
      </w:r>
      <w:proofErr w:type="spellEnd"/>
      <w:r w:rsidRPr="00946727">
        <w:t>, which has received funding from the</w:t>
      </w:r>
      <w:hyperlink r:id="rId75">
        <w:r w:rsidRPr="00946727">
          <w:t xml:space="preserve"> </w:t>
        </w:r>
      </w:hyperlink>
      <w:hyperlink r:id="rId76">
        <w:proofErr w:type="spellStart"/>
        <w:r w:rsidRPr="00946727">
          <w:rPr>
            <w:highlight w:val="white"/>
          </w:rPr>
          <w:t>Agència</w:t>
        </w:r>
        <w:proofErr w:type="spellEnd"/>
        <w:r w:rsidRPr="00946727">
          <w:rPr>
            <w:highlight w:val="white"/>
          </w:rPr>
          <w:t xml:space="preserve"> de </w:t>
        </w:r>
        <w:proofErr w:type="spellStart"/>
        <w:r w:rsidRPr="00946727">
          <w:rPr>
            <w:highlight w:val="white"/>
          </w:rPr>
          <w:t>Gestió</w:t>
        </w:r>
        <w:proofErr w:type="spellEnd"/>
        <w:r w:rsidRPr="00946727">
          <w:rPr>
            <w:highlight w:val="white"/>
          </w:rPr>
          <w:t xml:space="preserve"> </w:t>
        </w:r>
        <w:proofErr w:type="spellStart"/>
        <w:r w:rsidRPr="00946727">
          <w:rPr>
            <w:highlight w:val="white"/>
          </w:rPr>
          <w:t>d'Ajuts</w:t>
        </w:r>
        <w:proofErr w:type="spellEnd"/>
        <w:r w:rsidRPr="00946727">
          <w:rPr>
            <w:highlight w:val="white"/>
          </w:rPr>
          <w:t xml:space="preserve"> </w:t>
        </w:r>
        <w:proofErr w:type="spellStart"/>
        <w:r w:rsidRPr="00946727">
          <w:rPr>
            <w:highlight w:val="white"/>
          </w:rPr>
          <w:t>Universitaris</w:t>
        </w:r>
        <w:proofErr w:type="spellEnd"/>
        <w:r w:rsidRPr="00946727">
          <w:rPr>
            <w:highlight w:val="white"/>
          </w:rPr>
          <w:t xml:space="preserve"> </w:t>
        </w:r>
        <w:proofErr w:type="spellStart"/>
        <w:r w:rsidRPr="00946727">
          <w:rPr>
            <w:highlight w:val="white"/>
          </w:rPr>
          <w:t>i</w:t>
        </w:r>
        <w:proofErr w:type="spellEnd"/>
        <w:r w:rsidRPr="00946727">
          <w:rPr>
            <w:highlight w:val="white"/>
          </w:rPr>
          <w:t xml:space="preserve"> de </w:t>
        </w:r>
        <w:proofErr w:type="spellStart"/>
        <w:r w:rsidRPr="00946727">
          <w:rPr>
            <w:highlight w:val="white"/>
          </w:rPr>
          <w:t>Recerca</w:t>
        </w:r>
        <w:proofErr w:type="spellEnd"/>
      </w:hyperlink>
      <w:r w:rsidRPr="00946727">
        <w:t xml:space="preserve"> de Catalunya (SGR-Cat 2021, 00527),</w:t>
      </w:r>
      <w:r w:rsidRPr="00946727">
        <w:rPr>
          <w:highlight w:val="white"/>
        </w:rPr>
        <w:t xml:space="preserve"> and  ANIMAL FARM project, which was funded by </w:t>
      </w:r>
      <w:proofErr w:type="spellStart"/>
      <w:r w:rsidRPr="00946727">
        <w:rPr>
          <w:highlight w:val="white"/>
        </w:rPr>
        <w:t>Proyectos</w:t>
      </w:r>
      <w:proofErr w:type="spellEnd"/>
      <w:r w:rsidRPr="00946727">
        <w:rPr>
          <w:highlight w:val="white"/>
        </w:rPr>
        <w:t xml:space="preserve"> I + D </w:t>
      </w:r>
      <w:proofErr w:type="spellStart"/>
      <w:r w:rsidRPr="00946727">
        <w:rPr>
          <w:highlight w:val="white"/>
        </w:rPr>
        <w:t>Generación</w:t>
      </w:r>
      <w:proofErr w:type="spellEnd"/>
      <w:r w:rsidRPr="00946727">
        <w:rPr>
          <w:highlight w:val="white"/>
        </w:rPr>
        <w:t xml:space="preserve"> de </w:t>
      </w:r>
      <w:proofErr w:type="spellStart"/>
      <w:r w:rsidRPr="00946727">
        <w:rPr>
          <w:highlight w:val="white"/>
        </w:rPr>
        <w:t>Conocimiento</w:t>
      </w:r>
      <w:proofErr w:type="spellEnd"/>
      <w:r w:rsidRPr="00946727">
        <w:rPr>
          <w:highlight w:val="white"/>
        </w:rPr>
        <w:t xml:space="preserve"> (PID 2020–115715 GB-I00).</w:t>
      </w:r>
    </w:p>
    <w:p w14:paraId="00000088" w14:textId="77777777" w:rsidR="0098306C" w:rsidRPr="00946727" w:rsidRDefault="0098306C" w:rsidP="00596FF9">
      <w:pPr>
        <w:spacing w:before="0" w:after="0" w:line="480" w:lineRule="auto"/>
      </w:pPr>
    </w:p>
    <w:p w14:paraId="00000089" w14:textId="77777777" w:rsidR="0098306C" w:rsidRPr="00946727" w:rsidRDefault="00BF0683" w:rsidP="00596FF9">
      <w:pPr>
        <w:spacing w:before="0" w:after="0" w:line="480" w:lineRule="auto"/>
        <w:rPr>
          <w:b/>
        </w:rPr>
      </w:pPr>
      <w:r w:rsidRPr="00946727">
        <w:rPr>
          <w:b/>
        </w:rPr>
        <w:lastRenderedPageBreak/>
        <w:t xml:space="preserve">REFERENCES </w:t>
      </w:r>
    </w:p>
    <w:p w14:paraId="5A74FD85" w14:textId="77777777" w:rsidR="003003E0" w:rsidRPr="00946727" w:rsidRDefault="003003E0" w:rsidP="003003E0">
      <w:pPr>
        <w:spacing w:before="0" w:after="0" w:line="480" w:lineRule="auto"/>
      </w:pPr>
    </w:p>
    <w:p w14:paraId="689F367D" w14:textId="50013C59" w:rsidR="003003E0" w:rsidRPr="00946727" w:rsidRDefault="003003E0" w:rsidP="003003E0">
      <w:pPr>
        <w:spacing w:before="0" w:after="0" w:line="480" w:lineRule="auto"/>
      </w:pPr>
      <w:r w:rsidRPr="00946727">
        <w:t>1.</w:t>
      </w:r>
      <w:r w:rsidRPr="00946727">
        <w:tab/>
        <w:t xml:space="preserve">Bogaard A. “Garden agriculture” and the nature of early farming in Europe and the Near East. World </w:t>
      </w:r>
      <w:proofErr w:type="spellStart"/>
      <w:r w:rsidRPr="00946727">
        <w:t>Archaeol</w:t>
      </w:r>
      <w:proofErr w:type="spellEnd"/>
      <w:r w:rsidRPr="00946727">
        <w:t>. 2005;37(2):177-196. doi:10.1080/00438240500094572</w:t>
      </w:r>
    </w:p>
    <w:p w14:paraId="3EFA55F1" w14:textId="77777777" w:rsidR="003003E0" w:rsidRPr="00946727" w:rsidRDefault="003003E0" w:rsidP="003003E0">
      <w:pPr>
        <w:spacing w:before="0" w:after="0" w:line="480" w:lineRule="auto"/>
      </w:pPr>
      <w:r w:rsidRPr="00946727">
        <w:t>2.</w:t>
      </w:r>
      <w:r w:rsidRPr="00946727">
        <w:tab/>
        <w:t xml:space="preserve">Bishop RR. Did Late Neolithic farming fail or flourish? A Scottish perspective on the evidence for Late Neolithic arable cultivation in the British Isles. World </w:t>
      </w:r>
      <w:proofErr w:type="spellStart"/>
      <w:r w:rsidRPr="00946727">
        <w:t>Archaeol</w:t>
      </w:r>
      <w:proofErr w:type="spellEnd"/>
      <w:r w:rsidRPr="00946727">
        <w:t>. 2015;47(5):834-855. doi:10.1080/00438243.2015.1072477</w:t>
      </w:r>
    </w:p>
    <w:p w14:paraId="24BFD40C" w14:textId="77777777" w:rsidR="003003E0" w:rsidRPr="00946727" w:rsidRDefault="003003E0" w:rsidP="003003E0">
      <w:pPr>
        <w:spacing w:before="0" w:after="0" w:line="480" w:lineRule="auto"/>
      </w:pPr>
      <w:r w:rsidRPr="00946727">
        <w:t>3.</w:t>
      </w:r>
      <w:r w:rsidRPr="00946727">
        <w:tab/>
        <w:t>Stevens CJ, Fuller DQ. Did Neolithic farming fail? The case for a Bronze Age agricultural revolution in the British Isles. Antiquity. 2012;86(333):707-722. doi:10.1017/S0003598X00047864</w:t>
      </w:r>
    </w:p>
    <w:p w14:paraId="6E368D80" w14:textId="77777777" w:rsidR="003003E0" w:rsidRPr="00946727" w:rsidRDefault="003003E0" w:rsidP="003003E0">
      <w:pPr>
        <w:spacing w:before="0" w:after="0" w:line="480" w:lineRule="auto"/>
      </w:pPr>
      <w:r w:rsidRPr="00946727">
        <w:t>4.</w:t>
      </w:r>
      <w:r w:rsidRPr="00946727">
        <w:tab/>
        <w:t xml:space="preserve">Copley MS, </w:t>
      </w:r>
      <w:proofErr w:type="spellStart"/>
      <w:r w:rsidRPr="00946727">
        <w:t>Berstan</w:t>
      </w:r>
      <w:proofErr w:type="spellEnd"/>
      <w:r w:rsidRPr="00946727">
        <w:t xml:space="preserve"> R, Dudd SN, et al. Direct chemical evidence for widespread dairying in prehistoric Britain. Proc Natl </w:t>
      </w:r>
      <w:proofErr w:type="spellStart"/>
      <w:r w:rsidRPr="00946727">
        <w:t>Acad</w:t>
      </w:r>
      <w:proofErr w:type="spellEnd"/>
      <w:r w:rsidRPr="00946727">
        <w:t xml:space="preserve"> Sci U S A. 2003;100(4):1524-1529. doi:10.1073/pnas.0335955100</w:t>
      </w:r>
    </w:p>
    <w:p w14:paraId="3DDF49BB" w14:textId="77777777" w:rsidR="003003E0" w:rsidRPr="00946727" w:rsidRDefault="003003E0" w:rsidP="003003E0">
      <w:pPr>
        <w:spacing w:before="0" w:after="0" w:line="480" w:lineRule="auto"/>
      </w:pPr>
      <w:r w:rsidRPr="00946727">
        <w:t>5.</w:t>
      </w:r>
      <w:r w:rsidRPr="00946727">
        <w:tab/>
      </w:r>
      <w:proofErr w:type="spellStart"/>
      <w:r w:rsidRPr="00946727">
        <w:t>Salque</w:t>
      </w:r>
      <w:proofErr w:type="spellEnd"/>
      <w:r w:rsidRPr="00946727">
        <w:t xml:space="preserve"> M, Bogucki PI, </w:t>
      </w:r>
      <w:proofErr w:type="spellStart"/>
      <w:r w:rsidRPr="00946727">
        <w:t>Pyzel</w:t>
      </w:r>
      <w:proofErr w:type="spellEnd"/>
      <w:r w:rsidRPr="00946727">
        <w:t xml:space="preserve"> J, et al. Earliest evidence for cheese making in the sixth millennium BC in northern Europe. Nature. 2013;493(7433):522-525. doi:10.1038/nature11698</w:t>
      </w:r>
    </w:p>
    <w:p w14:paraId="3A1C69DE" w14:textId="77777777" w:rsidR="003003E0" w:rsidRPr="00946727" w:rsidRDefault="003003E0" w:rsidP="003003E0">
      <w:pPr>
        <w:spacing w:before="0" w:after="0" w:line="480" w:lineRule="auto"/>
      </w:pPr>
      <w:r w:rsidRPr="00946727">
        <w:t>6.</w:t>
      </w:r>
      <w:r w:rsidRPr="00946727">
        <w:tab/>
        <w:t xml:space="preserve">Cramp LJE, Evershed RP, </w:t>
      </w:r>
      <w:proofErr w:type="spellStart"/>
      <w:r w:rsidRPr="00946727">
        <w:t>Lavento</w:t>
      </w:r>
      <w:proofErr w:type="spellEnd"/>
      <w:r w:rsidRPr="00946727">
        <w:t xml:space="preserve"> M, et al. Neolithic dairy farming at the extreme of agriculture in northern Europe. Proc Biol Sci. 2014;281(1791):20140819. doi:10.1098/rspb.2014.0819</w:t>
      </w:r>
    </w:p>
    <w:p w14:paraId="6F1648CE" w14:textId="77777777" w:rsidR="003003E0" w:rsidRPr="00946727" w:rsidRDefault="003003E0" w:rsidP="003003E0">
      <w:pPr>
        <w:spacing w:before="0" w:after="0" w:line="480" w:lineRule="auto"/>
      </w:pPr>
      <w:r w:rsidRPr="00946727">
        <w:t>7.</w:t>
      </w:r>
      <w:r w:rsidRPr="00946727">
        <w:tab/>
        <w:t xml:space="preserve">Debono Spiteri C, Gillis RE, </w:t>
      </w:r>
      <w:proofErr w:type="spellStart"/>
      <w:r w:rsidRPr="00946727">
        <w:t>Roffet-Salque</w:t>
      </w:r>
      <w:proofErr w:type="spellEnd"/>
      <w:r w:rsidRPr="00946727">
        <w:t xml:space="preserve"> M, et al. Regional </w:t>
      </w:r>
      <w:proofErr w:type="spellStart"/>
      <w:r w:rsidRPr="00946727">
        <w:t>asynchronicity</w:t>
      </w:r>
      <w:proofErr w:type="spellEnd"/>
      <w:r w:rsidRPr="00946727">
        <w:t xml:space="preserve"> in dairy production and processing in early farming communities of the northern Mediterranean. Proc Natl </w:t>
      </w:r>
      <w:proofErr w:type="spellStart"/>
      <w:r w:rsidRPr="00946727">
        <w:t>Acad</w:t>
      </w:r>
      <w:proofErr w:type="spellEnd"/>
      <w:r w:rsidRPr="00946727">
        <w:t xml:space="preserve"> Sci U S A. 2016;113(48):13594-13599. doi:10.1073/pnas.1607810113</w:t>
      </w:r>
    </w:p>
    <w:p w14:paraId="44F3FAE6" w14:textId="77777777" w:rsidR="003003E0" w:rsidRPr="00946727" w:rsidRDefault="003003E0" w:rsidP="003003E0">
      <w:pPr>
        <w:spacing w:before="0" w:after="0" w:line="480" w:lineRule="auto"/>
      </w:pPr>
      <w:r w:rsidRPr="00946727">
        <w:t>8.</w:t>
      </w:r>
      <w:r w:rsidRPr="00946727">
        <w:tab/>
        <w:t xml:space="preserve">Cubas M, </w:t>
      </w:r>
      <w:proofErr w:type="spellStart"/>
      <w:r w:rsidRPr="00946727">
        <w:t>Lucquin</w:t>
      </w:r>
      <w:proofErr w:type="spellEnd"/>
      <w:r w:rsidRPr="00946727">
        <w:t xml:space="preserve"> A, Robson HK, et al. Latitudinal gradient in dairy production with the introduction of farming in Atlantic Europe. Nat </w:t>
      </w:r>
      <w:proofErr w:type="spellStart"/>
      <w:r w:rsidRPr="00946727">
        <w:t>Commun</w:t>
      </w:r>
      <w:proofErr w:type="spellEnd"/>
      <w:r w:rsidRPr="00946727">
        <w:t>. 2020;11(1):2036. doi:10.1038/s41467-020-15907-4</w:t>
      </w:r>
    </w:p>
    <w:p w14:paraId="5EED3154" w14:textId="77777777" w:rsidR="003003E0" w:rsidRPr="00946727" w:rsidRDefault="003003E0" w:rsidP="003003E0">
      <w:pPr>
        <w:spacing w:before="0" w:after="0" w:line="480" w:lineRule="auto"/>
      </w:pPr>
      <w:r w:rsidRPr="00946727">
        <w:lastRenderedPageBreak/>
        <w:t>9.</w:t>
      </w:r>
      <w:r w:rsidRPr="00946727">
        <w:tab/>
        <w:t xml:space="preserve">Dunne J, Mercuri AM, Evershed RP, Bruni S, di </w:t>
      </w:r>
      <w:proofErr w:type="spellStart"/>
      <w:r w:rsidRPr="00946727">
        <w:t>Lernia</w:t>
      </w:r>
      <w:proofErr w:type="spellEnd"/>
      <w:r w:rsidRPr="00946727">
        <w:t xml:space="preserve"> S. Earliest direct evidence of plant processing in prehistoric Saharan pottery. Nat Plants. </w:t>
      </w:r>
      <w:proofErr w:type="gramStart"/>
      <w:r w:rsidRPr="00946727">
        <w:t>2016;3:16194</w:t>
      </w:r>
      <w:proofErr w:type="gramEnd"/>
      <w:r w:rsidRPr="00946727">
        <w:t>. doi:10.1038/nplants.2016.194</w:t>
      </w:r>
    </w:p>
    <w:p w14:paraId="4C8A534F" w14:textId="77777777" w:rsidR="003003E0" w:rsidRPr="00946727" w:rsidRDefault="003003E0" w:rsidP="003003E0">
      <w:pPr>
        <w:spacing w:before="0" w:after="0" w:line="480" w:lineRule="auto"/>
      </w:pPr>
      <w:r w:rsidRPr="00946727">
        <w:t>10.</w:t>
      </w:r>
      <w:r w:rsidRPr="00946727">
        <w:tab/>
      </w:r>
      <w:proofErr w:type="spellStart"/>
      <w:r w:rsidRPr="00946727">
        <w:t>Colonese</w:t>
      </w:r>
      <w:proofErr w:type="spellEnd"/>
      <w:r w:rsidRPr="00946727">
        <w:t xml:space="preserve"> AC, Hendy J, </w:t>
      </w:r>
      <w:proofErr w:type="spellStart"/>
      <w:r w:rsidRPr="00946727">
        <w:t>Lucquin</w:t>
      </w:r>
      <w:proofErr w:type="spellEnd"/>
      <w:r w:rsidRPr="00946727">
        <w:t xml:space="preserve"> A, et al. </w:t>
      </w:r>
      <w:proofErr w:type="gramStart"/>
      <w:r w:rsidRPr="00946727">
        <w:t>New</w:t>
      </w:r>
      <w:proofErr w:type="gramEnd"/>
      <w:r w:rsidRPr="00946727">
        <w:t xml:space="preserve"> criteria for the molecular identification of cereal grains associated with archaeological artefacts. Sci Rep. 2017;7(1):6633. doi:10.1038/s41598-017-06390-x</w:t>
      </w:r>
    </w:p>
    <w:p w14:paraId="71AAD7D6" w14:textId="77777777" w:rsidR="003003E0" w:rsidRPr="00946727" w:rsidRDefault="003003E0" w:rsidP="003003E0">
      <w:pPr>
        <w:spacing w:before="0" w:after="0" w:line="480" w:lineRule="auto"/>
      </w:pPr>
      <w:r w:rsidRPr="00946727">
        <w:t>11.</w:t>
      </w:r>
      <w:r w:rsidRPr="00946727">
        <w:tab/>
        <w:t xml:space="preserve">Hammann S, Cramp LJE. Towards the detection of dietary cereal processing through absorbed lipid biomarkers in archaeological pottery. J </w:t>
      </w:r>
      <w:proofErr w:type="spellStart"/>
      <w:r w:rsidRPr="00946727">
        <w:t>Archaeol</w:t>
      </w:r>
      <w:proofErr w:type="spellEnd"/>
      <w:r w:rsidRPr="00946727">
        <w:t xml:space="preserve"> Sci. </w:t>
      </w:r>
      <w:proofErr w:type="gramStart"/>
      <w:r w:rsidRPr="00946727">
        <w:t>2018;93:74</w:t>
      </w:r>
      <w:proofErr w:type="gramEnd"/>
      <w:r w:rsidRPr="00946727">
        <w:t xml:space="preserve">-81. </w:t>
      </w:r>
      <w:proofErr w:type="gramStart"/>
      <w:r w:rsidRPr="00946727">
        <w:t>doi:10.1016/j.jas</w:t>
      </w:r>
      <w:proofErr w:type="gramEnd"/>
      <w:r w:rsidRPr="00946727">
        <w:t>.2018.02.017</w:t>
      </w:r>
    </w:p>
    <w:p w14:paraId="42271A4A" w14:textId="77777777" w:rsidR="003003E0" w:rsidRPr="00946727" w:rsidRDefault="003003E0" w:rsidP="003003E0">
      <w:pPr>
        <w:spacing w:before="0" w:after="0" w:line="480" w:lineRule="auto"/>
      </w:pPr>
      <w:r w:rsidRPr="00946727">
        <w:t>12.</w:t>
      </w:r>
      <w:r w:rsidRPr="00946727">
        <w:tab/>
        <w:t xml:space="preserve">Hammann S, Bishop RR, Copper M, et al. Neolithic culinary traditions revealed by cereal, </w:t>
      </w:r>
      <w:proofErr w:type="gramStart"/>
      <w:r w:rsidRPr="00946727">
        <w:t>milk</w:t>
      </w:r>
      <w:proofErr w:type="gramEnd"/>
      <w:r w:rsidRPr="00946727">
        <w:t xml:space="preserve"> and meat lipids in pottery from Scottish crannogs. Nat </w:t>
      </w:r>
      <w:proofErr w:type="spellStart"/>
      <w:r w:rsidRPr="00946727">
        <w:t>Commun</w:t>
      </w:r>
      <w:proofErr w:type="spellEnd"/>
      <w:r w:rsidRPr="00946727">
        <w:t>. 2022;13(1):5045. doi:10.1038/s41467-022-32286-0</w:t>
      </w:r>
    </w:p>
    <w:p w14:paraId="712851EF" w14:textId="77777777" w:rsidR="003003E0" w:rsidRPr="00946727" w:rsidRDefault="003003E0" w:rsidP="003003E0">
      <w:pPr>
        <w:spacing w:before="0" w:after="0" w:line="480" w:lineRule="auto"/>
      </w:pPr>
      <w:r w:rsidRPr="00946727">
        <w:t>13.</w:t>
      </w:r>
      <w:r w:rsidRPr="00946727">
        <w:tab/>
        <w:t xml:space="preserve">Ross AB, Shepherd MJ, </w:t>
      </w:r>
      <w:proofErr w:type="spellStart"/>
      <w:r w:rsidRPr="00946727">
        <w:t>Schüpphaus</w:t>
      </w:r>
      <w:proofErr w:type="spellEnd"/>
      <w:r w:rsidRPr="00946727">
        <w:t xml:space="preserve"> M, et al. </w:t>
      </w:r>
      <w:proofErr w:type="spellStart"/>
      <w:r w:rsidRPr="00946727">
        <w:t>Alkylresorcinols</w:t>
      </w:r>
      <w:proofErr w:type="spellEnd"/>
      <w:r w:rsidRPr="00946727">
        <w:t xml:space="preserve"> in cereals and cereal products. J Agric Food Chem. 2003;51(14):4111-4118. doi:10.1021/jf0340456</w:t>
      </w:r>
    </w:p>
    <w:p w14:paraId="32DC41D9" w14:textId="77777777" w:rsidR="003003E0" w:rsidRPr="00946727" w:rsidRDefault="003003E0" w:rsidP="003003E0">
      <w:pPr>
        <w:spacing w:before="0" w:after="0" w:line="480" w:lineRule="auto"/>
      </w:pPr>
      <w:r w:rsidRPr="00946727">
        <w:t>14.</w:t>
      </w:r>
      <w:r w:rsidRPr="00946727">
        <w:tab/>
        <w:t xml:space="preserve">Chen Y, Ross AB, Aman P, Kamal-Eldin A. </w:t>
      </w:r>
      <w:proofErr w:type="spellStart"/>
      <w:r w:rsidRPr="00946727">
        <w:t>Alkylresorcinols</w:t>
      </w:r>
      <w:proofErr w:type="spellEnd"/>
      <w:r w:rsidRPr="00946727">
        <w:t xml:space="preserve"> as markers of whole grain wheat and rye in cereal products. J Agric Food Chem. 2004;52(26):8242-8246. doi:10.1021/jf049726v</w:t>
      </w:r>
    </w:p>
    <w:p w14:paraId="46D6FDC5" w14:textId="77777777" w:rsidR="003003E0" w:rsidRPr="00946727" w:rsidRDefault="003003E0" w:rsidP="003003E0">
      <w:pPr>
        <w:spacing w:before="0" w:after="0" w:line="480" w:lineRule="auto"/>
      </w:pPr>
      <w:r w:rsidRPr="00946727">
        <w:t>15.</w:t>
      </w:r>
      <w:r w:rsidRPr="00946727">
        <w:tab/>
        <w:t xml:space="preserve">Andersson AAM, Lampi AM, Nyström L, et al. Phytochemical and dietary </w:t>
      </w:r>
      <w:proofErr w:type="spellStart"/>
      <w:r w:rsidRPr="00946727">
        <w:t>fiber</w:t>
      </w:r>
      <w:proofErr w:type="spellEnd"/>
      <w:r w:rsidRPr="00946727">
        <w:t xml:space="preserve"> components in barley varieties in the HEALTHGRAIN Diversity Screen. J Agric Food Chem. 2008;56(21):9767-9776. doi:10.1021/jf802037f</w:t>
      </w:r>
    </w:p>
    <w:p w14:paraId="40D24389" w14:textId="77777777" w:rsidR="003003E0" w:rsidRPr="00946727" w:rsidRDefault="003003E0" w:rsidP="003003E0">
      <w:pPr>
        <w:spacing w:before="0" w:after="0" w:line="480" w:lineRule="auto"/>
      </w:pPr>
      <w:r w:rsidRPr="00946727">
        <w:t>16.</w:t>
      </w:r>
      <w:r w:rsidRPr="00946727">
        <w:tab/>
      </w:r>
      <w:proofErr w:type="spellStart"/>
      <w:r w:rsidRPr="00946727">
        <w:t>Roffet-Salque</w:t>
      </w:r>
      <w:proofErr w:type="spellEnd"/>
      <w:r w:rsidRPr="00946727">
        <w:t xml:space="preserve"> M, Dunne J, Altoft DT, et al. From the inside out: Upscaling organic residue analyses of archaeological ceramics. Journal of Archaeological Science: Reports. </w:t>
      </w:r>
      <w:proofErr w:type="gramStart"/>
      <w:r w:rsidRPr="00946727">
        <w:t>2017;16:627</w:t>
      </w:r>
      <w:proofErr w:type="gramEnd"/>
      <w:r w:rsidRPr="00946727">
        <w:t xml:space="preserve">-640. </w:t>
      </w:r>
      <w:proofErr w:type="gramStart"/>
      <w:r w:rsidRPr="00946727">
        <w:t>doi:10.1016/j.jasrep</w:t>
      </w:r>
      <w:proofErr w:type="gramEnd"/>
      <w:r w:rsidRPr="00946727">
        <w:t>.2016.04.005</w:t>
      </w:r>
    </w:p>
    <w:p w14:paraId="5D75B7DC" w14:textId="77777777" w:rsidR="003003E0" w:rsidRPr="00946727" w:rsidRDefault="003003E0" w:rsidP="003003E0">
      <w:pPr>
        <w:spacing w:before="0" w:after="0" w:line="480" w:lineRule="auto"/>
      </w:pPr>
      <w:r w:rsidRPr="00946727">
        <w:t>17.</w:t>
      </w:r>
      <w:r w:rsidRPr="00946727">
        <w:tab/>
        <w:t xml:space="preserve">Hammann S, Korf A, Bull ID, Hayen H, Cramp LJE. Lipid profiling and analytical discrimination of seven cereals using high temperature gas chromatography coupled to high </w:t>
      </w:r>
      <w:r w:rsidRPr="00946727">
        <w:lastRenderedPageBreak/>
        <w:t xml:space="preserve">resolution quadrupole time-of-flight mass spectrometry. Food Chem. </w:t>
      </w:r>
      <w:proofErr w:type="gramStart"/>
      <w:r w:rsidRPr="00946727">
        <w:t>2019;282:27</w:t>
      </w:r>
      <w:proofErr w:type="gramEnd"/>
      <w:r w:rsidRPr="00946727">
        <w:t xml:space="preserve">-35. </w:t>
      </w:r>
      <w:proofErr w:type="gramStart"/>
      <w:r w:rsidRPr="00946727">
        <w:t>doi:10.1016/j.foodchem</w:t>
      </w:r>
      <w:proofErr w:type="gramEnd"/>
      <w:r w:rsidRPr="00946727">
        <w:t>.2018.12.109</w:t>
      </w:r>
    </w:p>
    <w:p w14:paraId="081B4BA4" w14:textId="77777777" w:rsidR="003003E0" w:rsidRPr="00946727" w:rsidRDefault="003003E0" w:rsidP="003003E0">
      <w:pPr>
        <w:spacing w:before="0" w:after="0" w:line="480" w:lineRule="auto"/>
      </w:pPr>
      <w:r w:rsidRPr="00946727">
        <w:t>18.</w:t>
      </w:r>
      <w:r w:rsidRPr="00946727">
        <w:tab/>
        <w:t>Evershed RP. Organic residue analysis in archaeology: The archaeological biomarker revolution. Archaeometry. 2008;50(6):895-924. doi:10.1111/j.1475-4754.</w:t>
      </w:r>
      <w:proofErr w:type="gramStart"/>
      <w:r w:rsidRPr="00946727">
        <w:t>2008.00446.x</w:t>
      </w:r>
      <w:proofErr w:type="gramEnd"/>
    </w:p>
    <w:p w14:paraId="1A318874" w14:textId="77777777" w:rsidR="003003E0" w:rsidRPr="00946727" w:rsidRDefault="003003E0" w:rsidP="003003E0">
      <w:pPr>
        <w:spacing w:before="0" w:after="0" w:line="480" w:lineRule="auto"/>
      </w:pPr>
      <w:r w:rsidRPr="00946727">
        <w:t>19.</w:t>
      </w:r>
      <w:r w:rsidRPr="00946727">
        <w:tab/>
        <w:t xml:space="preserve">Evershed RP. Experimental approaches to the interpretation of absorbed organic residues in archaeological ceramics. World </w:t>
      </w:r>
      <w:proofErr w:type="spellStart"/>
      <w:r w:rsidRPr="00946727">
        <w:t>Archaeol</w:t>
      </w:r>
      <w:proofErr w:type="spellEnd"/>
      <w:r w:rsidRPr="00946727">
        <w:t>. 2008;40(1):26-47. doi:10.1080/00438240801889373</w:t>
      </w:r>
    </w:p>
    <w:p w14:paraId="794C949E" w14:textId="77777777" w:rsidR="003003E0" w:rsidRPr="00946727" w:rsidRDefault="003003E0" w:rsidP="003003E0">
      <w:pPr>
        <w:spacing w:before="0" w:after="0" w:line="480" w:lineRule="auto"/>
      </w:pPr>
      <w:r w:rsidRPr="00946727">
        <w:t>20.</w:t>
      </w:r>
      <w:r w:rsidRPr="00946727">
        <w:tab/>
        <w:t xml:space="preserve">Ross AB, Aman P, Andersson R, Kamal-Eldin A. Chromatographic analysis of </w:t>
      </w:r>
      <w:proofErr w:type="spellStart"/>
      <w:r w:rsidRPr="00946727">
        <w:t>alkylresorcinols</w:t>
      </w:r>
      <w:proofErr w:type="spellEnd"/>
      <w:r w:rsidRPr="00946727">
        <w:t xml:space="preserve"> and their metabolites. J </w:t>
      </w:r>
      <w:proofErr w:type="spellStart"/>
      <w:r w:rsidRPr="00946727">
        <w:t>Chromatogr</w:t>
      </w:r>
      <w:proofErr w:type="spellEnd"/>
      <w:r w:rsidRPr="00946727">
        <w:t xml:space="preserve"> A. 2004;1054(1-2):157-164. </w:t>
      </w:r>
      <w:proofErr w:type="gramStart"/>
      <w:r w:rsidRPr="00946727">
        <w:t>doi:10.1016/j.chroma</w:t>
      </w:r>
      <w:proofErr w:type="gramEnd"/>
      <w:r w:rsidRPr="00946727">
        <w:t>.2004.04.020</w:t>
      </w:r>
    </w:p>
    <w:p w14:paraId="09EE605F" w14:textId="77777777" w:rsidR="003003E0" w:rsidRPr="00946727" w:rsidRDefault="003003E0" w:rsidP="003003E0">
      <w:pPr>
        <w:spacing w:before="0" w:after="0" w:line="480" w:lineRule="auto"/>
      </w:pPr>
      <w:r w:rsidRPr="00946727">
        <w:t>21.</w:t>
      </w:r>
      <w:r w:rsidRPr="00946727">
        <w:tab/>
        <w:t xml:space="preserve">Suzuki Y, </w:t>
      </w:r>
      <w:proofErr w:type="spellStart"/>
      <w:r w:rsidRPr="00946727">
        <w:t>Esumi</w:t>
      </w:r>
      <w:proofErr w:type="spellEnd"/>
      <w:r w:rsidRPr="00946727">
        <w:t xml:space="preserve"> Y, Saito T, Kishimoto Y, Morita T. Identification of 5-n-(2’-</w:t>
      </w:r>
      <w:proofErr w:type="gramStart"/>
      <w:r w:rsidRPr="00946727">
        <w:t>oxo)</w:t>
      </w:r>
      <w:proofErr w:type="spellStart"/>
      <w:r w:rsidRPr="00946727">
        <w:t>alkylresorcinols</w:t>
      </w:r>
      <w:proofErr w:type="spellEnd"/>
      <w:proofErr w:type="gramEnd"/>
      <w:r w:rsidRPr="00946727">
        <w:t xml:space="preserve"> from Etiolated Rice Seedlings. Phytochemistry. 1998;47(7):1247-1252. doi:10.1016/S0031-9422(97)00720-6</w:t>
      </w:r>
    </w:p>
    <w:p w14:paraId="18F3D071" w14:textId="77777777" w:rsidR="003003E0" w:rsidRPr="00946727" w:rsidRDefault="003003E0" w:rsidP="003003E0">
      <w:pPr>
        <w:spacing w:before="0" w:after="0" w:line="480" w:lineRule="auto"/>
      </w:pPr>
      <w:r w:rsidRPr="00946727">
        <w:t>22.</w:t>
      </w:r>
      <w:r w:rsidRPr="00946727">
        <w:tab/>
        <w:t xml:space="preserve">Suzuki Y, </w:t>
      </w:r>
      <w:proofErr w:type="spellStart"/>
      <w:r w:rsidRPr="00946727">
        <w:t>Esumi</w:t>
      </w:r>
      <w:proofErr w:type="spellEnd"/>
      <w:r w:rsidRPr="00946727">
        <w:t xml:space="preserve"> Y, Yamaguchi I. Structures of 5-alkylresorcinol-related analogues in rye. Phytochemistry. </w:t>
      </w:r>
      <w:proofErr w:type="gramStart"/>
      <w:r w:rsidRPr="00946727">
        <w:t>1999;52:281</w:t>
      </w:r>
      <w:proofErr w:type="gramEnd"/>
      <w:r w:rsidRPr="00946727">
        <w:t>-289. doi:10.1016/S0031-9422(99)00196-X</w:t>
      </w:r>
    </w:p>
    <w:p w14:paraId="5C902DCE" w14:textId="77777777" w:rsidR="003003E0" w:rsidRPr="00946727" w:rsidRDefault="003003E0" w:rsidP="003003E0">
      <w:pPr>
        <w:spacing w:before="0" w:after="0" w:line="480" w:lineRule="auto"/>
      </w:pPr>
      <w:r w:rsidRPr="00946727">
        <w:t>23.</w:t>
      </w:r>
      <w:r w:rsidRPr="00946727">
        <w:tab/>
        <w:t xml:space="preserve">Ziegler JU, Steingass CB, Longin CFH, </w:t>
      </w:r>
      <w:proofErr w:type="spellStart"/>
      <w:r w:rsidRPr="00946727">
        <w:t>Würschum</w:t>
      </w:r>
      <w:proofErr w:type="spellEnd"/>
      <w:r w:rsidRPr="00946727">
        <w:t xml:space="preserve"> T, Carle R, </w:t>
      </w:r>
      <w:proofErr w:type="spellStart"/>
      <w:r w:rsidRPr="00946727">
        <w:t>Schweiggert</w:t>
      </w:r>
      <w:proofErr w:type="spellEnd"/>
      <w:r w:rsidRPr="00946727">
        <w:t xml:space="preserve"> RM. </w:t>
      </w:r>
      <w:proofErr w:type="spellStart"/>
      <w:r w:rsidRPr="00946727">
        <w:t>Alkylresorcinol</w:t>
      </w:r>
      <w:proofErr w:type="spellEnd"/>
      <w:r w:rsidRPr="00946727">
        <w:t xml:space="preserve"> composition allows the differentiation of Triticum spp. having different degrees of ploidy. J Cereal Sci. </w:t>
      </w:r>
      <w:proofErr w:type="gramStart"/>
      <w:r w:rsidRPr="00946727">
        <w:t>2015;65:244</w:t>
      </w:r>
      <w:proofErr w:type="gramEnd"/>
      <w:r w:rsidRPr="00946727">
        <w:t xml:space="preserve">-251. </w:t>
      </w:r>
      <w:proofErr w:type="gramStart"/>
      <w:r w:rsidRPr="00946727">
        <w:t>doi:10.1016/j.jcs</w:t>
      </w:r>
      <w:proofErr w:type="gramEnd"/>
      <w:r w:rsidRPr="00946727">
        <w:t>.2015.07.013</w:t>
      </w:r>
    </w:p>
    <w:p w14:paraId="223A1EDD" w14:textId="77777777" w:rsidR="003003E0" w:rsidRPr="00946727" w:rsidRDefault="003003E0" w:rsidP="003003E0">
      <w:pPr>
        <w:spacing w:before="0" w:after="0" w:line="480" w:lineRule="auto"/>
      </w:pPr>
      <w:r w:rsidRPr="00946727">
        <w:t>24.</w:t>
      </w:r>
      <w:r w:rsidRPr="00946727">
        <w:tab/>
      </w:r>
      <w:proofErr w:type="spellStart"/>
      <w:r w:rsidRPr="00946727">
        <w:t>Pedrazzani</w:t>
      </w:r>
      <w:proofErr w:type="spellEnd"/>
      <w:r w:rsidRPr="00946727">
        <w:t xml:space="preserve"> C, Vanara F, Bhandari DR, et al. 5-n-Alkylresorcinol Profiles in Different Cultivars of Einkorn, Emmer, Spelt, Common Wheat, and Tritordeum. J Agric Food Chem. 2021;69(47):14092-14102. </w:t>
      </w:r>
      <w:proofErr w:type="gramStart"/>
      <w:r w:rsidRPr="00946727">
        <w:t>doi:10.1021/acs.jafc</w:t>
      </w:r>
      <w:proofErr w:type="gramEnd"/>
      <w:r w:rsidRPr="00946727">
        <w:t>.1c05451</w:t>
      </w:r>
    </w:p>
    <w:p w14:paraId="2ABED4C3" w14:textId="77777777" w:rsidR="003003E0" w:rsidRPr="00946727" w:rsidRDefault="003003E0" w:rsidP="003003E0">
      <w:pPr>
        <w:spacing w:before="0" w:after="0" w:line="480" w:lineRule="auto"/>
      </w:pPr>
      <w:r w:rsidRPr="00946727">
        <w:t>25.</w:t>
      </w:r>
      <w:r w:rsidRPr="00946727">
        <w:tab/>
        <w:t xml:space="preserve">La Nasa J, </w:t>
      </w:r>
      <w:proofErr w:type="spellStart"/>
      <w:r w:rsidRPr="00946727">
        <w:t>Ghelardi</w:t>
      </w:r>
      <w:proofErr w:type="spellEnd"/>
      <w:r w:rsidRPr="00946727">
        <w:t xml:space="preserve"> E, Degano I, Modugno F, Colombini MP. Core shell stationary phases for a novel separation of triglycerides in plant oils by high performance liquid chromatography with electrospray-quadrupole-time of flight mass spectrometer. J </w:t>
      </w:r>
      <w:proofErr w:type="spellStart"/>
      <w:r w:rsidRPr="00946727">
        <w:t>Chromatogr</w:t>
      </w:r>
      <w:proofErr w:type="spellEnd"/>
      <w:r w:rsidRPr="00946727">
        <w:t xml:space="preserve"> A. </w:t>
      </w:r>
      <w:proofErr w:type="gramStart"/>
      <w:r w:rsidRPr="00946727">
        <w:t>2013;1308:114</w:t>
      </w:r>
      <w:proofErr w:type="gramEnd"/>
      <w:r w:rsidRPr="00946727">
        <w:t xml:space="preserve">-124. </w:t>
      </w:r>
      <w:proofErr w:type="gramStart"/>
      <w:r w:rsidRPr="00946727">
        <w:t>doi:10.1016/j.chroma</w:t>
      </w:r>
      <w:proofErr w:type="gramEnd"/>
      <w:r w:rsidRPr="00946727">
        <w:t>.2013.08.015</w:t>
      </w:r>
    </w:p>
    <w:p w14:paraId="75F4F376" w14:textId="77777777" w:rsidR="003003E0" w:rsidRPr="00946727" w:rsidRDefault="003003E0" w:rsidP="003003E0">
      <w:pPr>
        <w:spacing w:before="0" w:after="0" w:line="480" w:lineRule="auto"/>
      </w:pPr>
      <w:r w:rsidRPr="00946727">
        <w:lastRenderedPageBreak/>
        <w:t>26.</w:t>
      </w:r>
      <w:r w:rsidRPr="00946727">
        <w:tab/>
        <w:t>La Nasa J, Degano I, Brandolini L, Modugno F, Bonaduce I. A novel HPLC-ESI-Q-</w:t>
      </w:r>
      <w:proofErr w:type="spellStart"/>
      <w:r w:rsidRPr="00946727">
        <w:t>ToF</w:t>
      </w:r>
      <w:proofErr w:type="spellEnd"/>
      <w:r w:rsidRPr="00946727">
        <w:t xml:space="preserve"> approach for the determination of fatty acids and acylglycerols in food samples. Anal Chim Acta. </w:t>
      </w:r>
      <w:proofErr w:type="gramStart"/>
      <w:r w:rsidRPr="00946727">
        <w:t>2018;1013:98</w:t>
      </w:r>
      <w:proofErr w:type="gramEnd"/>
      <w:r w:rsidRPr="00946727">
        <w:t xml:space="preserve">-109. </w:t>
      </w:r>
      <w:proofErr w:type="gramStart"/>
      <w:r w:rsidRPr="00946727">
        <w:t>doi:10.1016/j.aca</w:t>
      </w:r>
      <w:proofErr w:type="gramEnd"/>
      <w:r w:rsidRPr="00946727">
        <w:t>.2017.12.047</w:t>
      </w:r>
    </w:p>
    <w:p w14:paraId="512CDFAA" w14:textId="77777777" w:rsidR="003003E0" w:rsidRPr="00946727" w:rsidRDefault="003003E0" w:rsidP="003003E0">
      <w:pPr>
        <w:spacing w:before="0" w:after="0" w:line="480" w:lineRule="auto"/>
      </w:pPr>
      <w:r w:rsidRPr="00946727">
        <w:t>27.</w:t>
      </w:r>
      <w:r w:rsidRPr="00946727">
        <w:tab/>
        <w:t xml:space="preserve">Cubas M, Dickinson M, von </w:t>
      </w:r>
      <w:proofErr w:type="spellStart"/>
      <w:r w:rsidRPr="00946727">
        <w:t>Tersch</w:t>
      </w:r>
      <w:proofErr w:type="spellEnd"/>
      <w:r w:rsidRPr="00946727">
        <w:t xml:space="preserve"> M, </w:t>
      </w:r>
      <w:proofErr w:type="spellStart"/>
      <w:r w:rsidRPr="00946727">
        <w:t>Lucquin</w:t>
      </w:r>
      <w:proofErr w:type="spellEnd"/>
      <w:r w:rsidRPr="00946727">
        <w:t xml:space="preserve"> A, Craig OE. Chapter 28: Organic residues. In: Knight M, Ballantyne R, Cooper A, Gibson D, Zeki IR, eds. Must Farm Pile Dwelling Settlement. In Press; :1175-1187.</w:t>
      </w:r>
    </w:p>
    <w:p w14:paraId="418D68E1" w14:textId="77777777" w:rsidR="003003E0" w:rsidRPr="00946727" w:rsidRDefault="003003E0" w:rsidP="003003E0">
      <w:pPr>
        <w:spacing w:before="0" w:after="0" w:line="480" w:lineRule="auto"/>
      </w:pPr>
      <w:r w:rsidRPr="00946727">
        <w:t>28.</w:t>
      </w:r>
      <w:r w:rsidRPr="00946727">
        <w:tab/>
        <w:t>Evershed RP, Heron C, John Goad L. Analysis of organic residues of archaeological origin by high-temperature gas chromatography and gas chromatography-mass spectrometry. Analyst. 1990;115(10):1339-1342. doi:10.1039/AN9901501339</w:t>
      </w:r>
    </w:p>
    <w:p w14:paraId="68FD5DB2" w14:textId="77777777" w:rsidR="003003E0" w:rsidRPr="00946727" w:rsidRDefault="003003E0" w:rsidP="003003E0">
      <w:pPr>
        <w:spacing w:before="0" w:after="0" w:line="480" w:lineRule="auto"/>
      </w:pPr>
      <w:r w:rsidRPr="00946727">
        <w:t>29.</w:t>
      </w:r>
      <w:r w:rsidRPr="00946727">
        <w:tab/>
        <w:t xml:space="preserve">Method Development Guidelines: Solid Phase Extraction Using ISOLUTE® NH2 SPE Sorbents for the Extraction of Aqueous Samples. </w:t>
      </w:r>
      <w:proofErr w:type="spellStart"/>
      <w:r w:rsidRPr="00946727">
        <w:t>Biotage</w:t>
      </w:r>
      <w:proofErr w:type="spellEnd"/>
      <w:r w:rsidRPr="00946727">
        <w:t>. Published 2017. Accessed July 7, 2023. https://www.biotage.com/documents/method-development-guidelines-solid-phase-extraction-using-isolute-nh2-spe-sorbents-for-the-extraction-of-aqueous-samples.pdf</w:t>
      </w:r>
    </w:p>
    <w:p w14:paraId="5B006D53" w14:textId="77777777" w:rsidR="003003E0" w:rsidRPr="00946727" w:rsidRDefault="003003E0" w:rsidP="003003E0">
      <w:pPr>
        <w:spacing w:before="0" w:after="0" w:line="480" w:lineRule="auto"/>
      </w:pPr>
      <w:r w:rsidRPr="00946727">
        <w:t>30.</w:t>
      </w:r>
      <w:r w:rsidRPr="00946727">
        <w:tab/>
        <w:t>Controlling Contamination in LC/MS Systems. Waters. Published 2016. Accessed July 17, 2023. https://www.waters.com/webassets/cms/support/docs/715001307rg.pdf</w:t>
      </w:r>
    </w:p>
    <w:p w14:paraId="3A6EE610" w14:textId="77777777" w:rsidR="003003E0" w:rsidRPr="00946727" w:rsidRDefault="003003E0" w:rsidP="003003E0">
      <w:pPr>
        <w:spacing w:before="0" w:after="0" w:line="480" w:lineRule="auto"/>
      </w:pPr>
      <w:r w:rsidRPr="00946727">
        <w:t>31.</w:t>
      </w:r>
      <w:r w:rsidRPr="00946727">
        <w:tab/>
        <w:t xml:space="preserve">Ross AB, </w:t>
      </w:r>
      <w:proofErr w:type="spellStart"/>
      <w:r w:rsidRPr="00946727">
        <w:t>Svelander</w:t>
      </w:r>
      <w:proofErr w:type="spellEnd"/>
      <w:r w:rsidRPr="00946727">
        <w:t xml:space="preserve"> C, Karlsson G, Savolainen OI. Identification and quantification of even and odd chained 5-n </w:t>
      </w:r>
      <w:proofErr w:type="spellStart"/>
      <w:r w:rsidRPr="00946727">
        <w:t>alkylresorcinols</w:t>
      </w:r>
      <w:proofErr w:type="spellEnd"/>
      <w:r w:rsidRPr="00946727">
        <w:t>, branched chain-</w:t>
      </w:r>
      <w:proofErr w:type="spellStart"/>
      <w:r w:rsidRPr="00946727">
        <w:t>alkylresorcinols</w:t>
      </w:r>
      <w:proofErr w:type="spellEnd"/>
      <w:r w:rsidRPr="00946727">
        <w:t xml:space="preserve"> and </w:t>
      </w:r>
      <w:proofErr w:type="spellStart"/>
      <w:r w:rsidRPr="00946727">
        <w:t>methylalkylresorcinols</w:t>
      </w:r>
      <w:proofErr w:type="spellEnd"/>
      <w:r w:rsidRPr="00946727">
        <w:t xml:space="preserve"> in Quinoa (Chenopodium quinoa). Food Chem. </w:t>
      </w:r>
      <w:proofErr w:type="gramStart"/>
      <w:r w:rsidRPr="00946727">
        <w:t>2017;220:344</w:t>
      </w:r>
      <w:proofErr w:type="gramEnd"/>
      <w:r w:rsidRPr="00946727">
        <w:t xml:space="preserve">-351. </w:t>
      </w:r>
      <w:proofErr w:type="gramStart"/>
      <w:r w:rsidRPr="00946727">
        <w:t>doi:10.1016/j.foodchem</w:t>
      </w:r>
      <w:proofErr w:type="gramEnd"/>
      <w:r w:rsidRPr="00946727">
        <w:t>.2016.10.020</w:t>
      </w:r>
    </w:p>
    <w:p w14:paraId="4B7CD6A4" w14:textId="77777777" w:rsidR="003003E0" w:rsidRPr="00946727" w:rsidRDefault="003003E0" w:rsidP="003003E0">
      <w:pPr>
        <w:spacing w:before="0" w:after="0" w:line="480" w:lineRule="auto"/>
      </w:pPr>
      <w:r w:rsidRPr="00946727">
        <w:t>32.</w:t>
      </w:r>
      <w:r w:rsidRPr="00946727">
        <w:tab/>
      </w:r>
      <w:proofErr w:type="spellStart"/>
      <w:r w:rsidRPr="00946727">
        <w:t>Lucquin</w:t>
      </w:r>
      <w:proofErr w:type="spellEnd"/>
      <w:r w:rsidRPr="00946727">
        <w:t xml:space="preserve"> A, Robson HK, Eley Y, et al. The impact of environmental change on the use of early pottery by East Asian hunter-gatherers. Proc Natl </w:t>
      </w:r>
      <w:proofErr w:type="spellStart"/>
      <w:r w:rsidRPr="00946727">
        <w:t>Acad</w:t>
      </w:r>
      <w:proofErr w:type="spellEnd"/>
      <w:r w:rsidRPr="00946727">
        <w:t xml:space="preserve"> Sci U S A. 2018;115(31):7931-7936. doi:10.1073/pnas.1803782115</w:t>
      </w:r>
    </w:p>
    <w:p w14:paraId="0F4341D3" w14:textId="77777777" w:rsidR="003003E0" w:rsidRPr="00946727" w:rsidRDefault="003003E0" w:rsidP="003003E0">
      <w:pPr>
        <w:spacing w:before="0" w:after="0" w:line="480" w:lineRule="auto"/>
      </w:pPr>
      <w:r w:rsidRPr="00946727">
        <w:t>33.</w:t>
      </w:r>
      <w:r w:rsidRPr="00946727">
        <w:tab/>
        <w:t>Validation of Analytical Procedures: Text and Methodology. ICH: International Council for Harmonisation. Published 2005. Accessed July 21, 2023. https://database.ich.org/sites/default/files/Q2%28R1%29%20Guideline.pdf</w:t>
      </w:r>
    </w:p>
    <w:p w14:paraId="2240F2E0" w14:textId="77777777" w:rsidR="003003E0" w:rsidRPr="00946727" w:rsidRDefault="003003E0" w:rsidP="003003E0">
      <w:pPr>
        <w:spacing w:before="0" w:after="0" w:line="480" w:lineRule="auto"/>
      </w:pPr>
      <w:r w:rsidRPr="00946727">
        <w:lastRenderedPageBreak/>
        <w:t>34.</w:t>
      </w:r>
      <w:r w:rsidRPr="00946727">
        <w:tab/>
        <w:t xml:space="preserve">Hollmann M, </w:t>
      </w:r>
      <w:proofErr w:type="spellStart"/>
      <w:r w:rsidRPr="00946727">
        <w:t>Boertz</w:t>
      </w:r>
      <w:proofErr w:type="spellEnd"/>
      <w:r w:rsidRPr="00946727">
        <w:t xml:space="preserve"> J, Dopp E, Hippler J, Hirner AV. Parallel on-line detection of a </w:t>
      </w:r>
      <w:proofErr w:type="spellStart"/>
      <w:r w:rsidRPr="00946727">
        <w:t>methylbismuth</w:t>
      </w:r>
      <w:proofErr w:type="spellEnd"/>
      <w:r w:rsidRPr="00946727">
        <w:t xml:space="preserve"> species by hyphenated GC/EI-MS/ICP-MS technique as evidence for bismuth methylation by human hepatic cells. </w:t>
      </w:r>
      <w:proofErr w:type="spellStart"/>
      <w:r w:rsidRPr="00946727">
        <w:t>Metallomics</w:t>
      </w:r>
      <w:proofErr w:type="spellEnd"/>
      <w:r w:rsidRPr="00946727">
        <w:t>. 2010;2(1):52-56. doi:10.1039/b911945k</w:t>
      </w:r>
    </w:p>
    <w:p w14:paraId="30B25032" w14:textId="77777777" w:rsidR="003003E0" w:rsidRPr="00946727" w:rsidRDefault="003003E0" w:rsidP="003003E0">
      <w:pPr>
        <w:spacing w:before="0" w:after="0" w:line="480" w:lineRule="auto"/>
      </w:pPr>
      <w:r w:rsidRPr="00946727">
        <w:t>35.</w:t>
      </w:r>
      <w:r w:rsidRPr="00946727">
        <w:tab/>
        <w:t xml:space="preserve">Orbitrap Fusion Lumos </w:t>
      </w:r>
      <w:proofErr w:type="spellStart"/>
      <w:r w:rsidRPr="00946727">
        <w:t>Tribrid</w:t>
      </w:r>
      <w:proofErr w:type="spellEnd"/>
      <w:r w:rsidRPr="00946727">
        <w:t xml:space="preserve"> Spectrometer. </w:t>
      </w:r>
      <w:proofErr w:type="spellStart"/>
      <w:r w:rsidRPr="00946727">
        <w:t>Thermo</w:t>
      </w:r>
      <w:proofErr w:type="spellEnd"/>
      <w:r w:rsidRPr="00946727">
        <w:t xml:space="preserve"> Fisher Scientific. Published 2020. Accessed July 21, 2023. https://assets.thermofisher.com/TFS-Assets/CMD/brochures/BR-64392-LC-MS-Orbitrap-Fusion-Lumos-Tribrid-BR64392-EN.pdf</w:t>
      </w:r>
    </w:p>
    <w:p w14:paraId="43BB5951" w14:textId="77777777" w:rsidR="003003E0" w:rsidRPr="00946727" w:rsidRDefault="003003E0" w:rsidP="003003E0">
      <w:pPr>
        <w:spacing w:before="0" w:after="0" w:line="480" w:lineRule="auto"/>
      </w:pPr>
      <w:r w:rsidRPr="00946727">
        <w:t>36.</w:t>
      </w:r>
      <w:r w:rsidRPr="00946727">
        <w:tab/>
        <w:t xml:space="preserve">Landberg R, Kamal-Eldin A, Andersson R, Aman P. </w:t>
      </w:r>
      <w:proofErr w:type="spellStart"/>
      <w:r w:rsidRPr="00946727">
        <w:t>Alkylresorcinol</w:t>
      </w:r>
      <w:proofErr w:type="spellEnd"/>
      <w:r w:rsidRPr="00946727">
        <w:t xml:space="preserve"> content and homologue composition in durum wheat (Triticum durum) kernels and pasta products. J Agric Food Chem. 2006;54(8):3012-3014. doi:10.1021/jf0530805</w:t>
      </w:r>
    </w:p>
    <w:p w14:paraId="055E5963" w14:textId="77777777" w:rsidR="003003E0" w:rsidRPr="00946727" w:rsidRDefault="003003E0" w:rsidP="003003E0">
      <w:pPr>
        <w:spacing w:before="0" w:after="0" w:line="480" w:lineRule="auto"/>
      </w:pPr>
      <w:r w:rsidRPr="00946727">
        <w:t>37.</w:t>
      </w:r>
      <w:r w:rsidRPr="00946727">
        <w:tab/>
        <w:t xml:space="preserve">Landberg R, Man P, Kamal-Eldin A. A rapid gas chromatography-mass spectrometry method for quantification of </w:t>
      </w:r>
      <w:proofErr w:type="spellStart"/>
      <w:r w:rsidRPr="00946727">
        <w:t>alkylresorcinols</w:t>
      </w:r>
      <w:proofErr w:type="spellEnd"/>
      <w:r w:rsidRPr="00946727">
        <w:t xml:space="preserve"> in human plasma. Anal </w:t>
      </w:r>
      <w:proofErr w:type="spellStart"/>
      <w:r w:rsidRPr="00946727">
        <w:t>Biochem</w:t>
      </w:r>
      <w:proofErr w:type="spellEnd"/>
      <w:r w:rsidRPr="00946727">
        <w:t>. 2009;385(1):7-12. doi:10.1016/j.ab.2008.10.031</w:t>
      </w:r>
    </w:p>
    <w:p w14:paraId="0F97E018" w14:textId="77777777" w:rsidR="003003E0" w:rsidRPr="00946727" w:rsidRDefault="003003E0" w:rsidP="003003E0">
      <w:pPr>
        <w:spacing w:before="0" w:after="0" w:line="480" w:lineRule="auto"/>
      </w:pPr>
      <w:r w:rsidRPr="00946727">
        <w:t>38.</w:t>
      </w:r>
      <w:r w:rsidRPr="00946727">
        <w:tab/>
      </w:r>
      <w:proofErr w:type="spellStart"/>
      <w:r w:rsidRPr="00946727">
        <w:t>Ciccoritti</w:t>
      </w:r>
      <w:proofErr w:type="spellEnd"/>
      <w:r w:rsidRPr="00946727">
        <w:t xml:space="preserve"> R, Pasquini M, </w:t>
      </w:r>
      <w:proofErr w:type="spellStart"/>
      <w:r w:rsidRPr="00946727">
        <w:t>Sgrulletta</w:t>
      </w:r>
      <w:proofErr w:type="spellEnd"/>
      <w:r w:rsidRPr="00946727">
        <w:t xml:space="preserve"> D, </w:t>
      </w:r>
      <w:proofErr w:type="spellStart"/>
      <w:r w:rsidRPr="00946727">
        <w:t>Nocente</w:t>
      </w:r>
      <w:proofErr w:type="spellEnd"/>
      <w:r w:rsidRPr="00946727">
        <w:t xml:space="preserve"> F. Effect of 5-n-alkylresorcinol extracts from durum wheat whole grain on the growth of fusarium head blight (FHB) causal agents. J Agric Food Chem. 2015;63(1):43-50. doi:10.1021/jf5054518</w:t>
      </w:r>
    </w:p>
    <w:p w14:paraId="507CA3E0" w14:textId="77777777" w:rsidR="003003E0" w:rsidRPr="00946727" w:rsidRDefault="003003E0" w:rsidP="003003E0">
      <w:pPr>
        <w:spacing w:before="0" w:after="0" w:line="480" w:lineRule="auto"/>
      </w:pPr>
      <w:r w:rsidRPr="00946727">
        <w:t>39.</w:t>
      </w:r>
      <w:r w:rsidRPr="00946727">
        <w:tab/>
        <w:t xml:space="preserve">Righetti L, Rubert J, </w:t>
      </w:r>
      <w:proofErr w:type="spellStart"/>
      <w:r w:rsidRPr="00946727">
        <w:t>Galaverna</w:t>
      </w:r>
      <w:proofErr w:type="spellEnd"/>
      <w:r w:rsidRPr="00946727">
        <w:t xml:space="preserve"> G, et al. Characterization and Discrimination of Ancient Grains: A Metabolomics Approach. Int J Mol Sci. 2016;17(8). doi:10.3390/ijms17081217</w:t>
      </w:r>
    </w:p>
    <w:p w14:paraId="58A7BA31" w14:textId="77777777" w:rsidR="003003E0" w:rsidRPr="00946727" w:rsidRDefault="003003E0" w:rsidP="003003E0">
      <w:pPr>
        <w:spacing w:before="0" w:after="0" w:line="480" w:lineRule="auto"/>
      </w:pPr>
      <w:r w:rsidRPr="00946727">
        <w:t>40.</w:t>
      </w:r>
      <w:r w:rsidRPr="00946727">
        <w:tab/>
      </w:r>
      <w:proofErr w:type="spellStart"/>
      <w:r w:rsidRPr="00946727">
        <w:t>Shewry</w:t>
      </w:r>
      <w:proofErr w:type="spellEnd"/>
      <w:r w:rsidRPr="00946727">
        <w:t xml:space="preserve"> PR. Minor Components of the Barley Grain: Minerals, Lipids, Terpenoids, Phenolics, and Vitamins. In: </w:t>
      </w:r>
      <w:proofErr w:type="spellStart"/>
      <w:r w:rsidRPr="00946727">
        <w:t>Shewry</w:t>
      </w:r>
      <w:proofErr w:type="spellEnd"/>
      <w:r w:rsidRPr="00946727">
        <w:t xml:space="preserve"> PR, Ullrich SE, eds. Barley (Second Edition). AACC International Press; 2014:169-192. doi:10.1016/B978-1-891127-79-3.50007-X</w:t>
      </w:r>
    </w:p>
    <w:p w14:paraId="359EC045" w14:textId="77777777" w:rsidR="003003E0" w:rsidRPr="00946727" w:rsidRDefault="003003E0" w:rsidP="003003E0">
      <w:pPr>
        <w:spacing w:before="0" w:after="0" w:line="480" w:lineRule="auto"/>
      </w:pPr>
      <w:r w:rsidRPr="00946727">
        <w:t>41.</w:t>
      </w:r>
      <w:r w:rsidRPr="00946727">
        <w:tab/>
        <w:t>Evershed RP, Copley MS, Dickson L, Hansel FA. EXPERIMENTAL EVIDENCE FOR THE PROCESSING OF MARINE ANIMAL PRODUCTS AND OTHER COMMODITIES CONTAINING POLYUNSATURATED FATTY ACIDS IN POTTERY VESSELS. Archaeometry. 2008;50(1):101-113. doi:10.1111/j.1475-4754.</w:t>
      </w:r>
      <w:proofErr w:type="gramStart"/>
      <w:r w:rsidRPr="00946727">
        <w:t>2007.00368.x</w:t>
      </w:r>
      <w:proofErr w:type="gramEnd"/>
    </w:p>
    <w:p w14:paraId="2642E212" w14:textId="77777777" w:rsidR="003003E0" w:rsidRPr="00946727" w:rsidRDefault="003003E0" w:rsidP="003003E0">
      <w:pPr>
        <w:spacing w:before="0" w:after="0" w:line="480" w:lineRule="auto"/>
      </w:pPr>
      <w:r w:rsidRPr="00946727">
        <w:lastRenderedPageBreak/>
        <w:t>42.</w:t>
      </w:r>
      <w:r w:rsidRPr="00946727">
        <w:tab/>
        <w:t xml:space="preserve">Suzuki Y, </w:t>
      </w:r>
      <w:proofErr w:type="spellStart"/>
      <w:r w:rsidRPr="00946727">
        <w:t>Esumi</w:t>
      </w:r>
      <w:proofErr w:type="spellEnd"/>
      <w:r w:rsidRPr="00946727">
        <w:t xml:space="preserve"> Y, Uramoto M, Kono Y, Sakurai A. Structural Analyses of Carbon Chains in 5-Alk(</w:t>
      </w:r>
      <w:proofErr w:type="spellStart"/>
      <w:r w:rsidRPr="00946727">
        <w:t>en</w:t>
      </w:r>
      <w:proofErr w:type="spellEnd"/>
      <w:r w:rsidRPr="00946727">
        <w:t>)</w:t>
      </w:r>
      <w:proofErr w:type="spellStart"/>
      <w:r w:rsidRPr="00946727">
        <w:t>ylresorcinols</w:t>
      </w:r>
      <w:proofErr w:type="spellEnd"/>
      <w:r w:rsidRPr="00946727">
        <w:t xml:space="preserve"> of Rye and Wheat Whole Flour by Tandem Mass Spectrometry. </w:t>
      </w:r>
      <w:proofErr w:type="spellStart"/>
      <w:r w:rsidRPr="00946727">
        <w:t>Biosci</w:t>
      </w:r>
      <w:proofErr w:type="spellEnd"/>
      <w:r w:rsidRPr="00946727">
        <w:t xml:space="preserve"> </w:t>
      </w:r>
      <w:proofErr w:type="spellStart"/>
      <w:r w:rsidRPr="00946727">
        <w:t>Biotechnol</w:t>
      </w:r>
      <w:proofErr w:type="spellEnd"/>
      <w:r w:rsidRPr="00946727">
        <w:t xml:space="preserve"> </w:t>
      </w:r>
      <w:proofErr w:type="spellStart"/>
      <w:r w:rsidRPr="00946727">
        <w:t>Biochem</w:t>
      </w:r>
      <w:proofErr w:type="spellEnd"/>
      <w:r w:rsidRPr="00946727">
        <w:t>. 1997;61(3):480-486. doi:10.1271/bbb.61.480</w:t>
      </w:r>
    </w:p>
    <w:p w14:paraId="6EE79F8F" w14:textId="77777777" w:rsidR="003003E0" w:rsidRPr="00946727" w:rsidRDefault="003003E0" w:rsidP="003003E0">
      <w:pPr>
        <w:spacing w:before="0" w:after="0" w:line="480" w:lineRule="auto"/>
      </w:pPr>
      <w:r w:rsidRPr="00946727">
        <w:t>43.</w:t>
      </w:r>
      <w:r w:rsidRPr="00946727">
        <w:tab/>
        <w:t xml:space="preserve">Zarnowski R, Suzuki Y, Yamaguchi I, </w:t>
      </w:r>
      <w:proofErr w:type="spellStart"/>
      <w:r w:rsidRPr="00946727">
        <w:t>Pietr</w:t>
      </w:r>
      <w:proofErr w:type="spellEnd"/>
      <w:r w:rsidRPr="00946727">
        <w:t xml:space="preserve"> SJ. </w:t>
      </w:r>
      <w:proofErr w:type="spellStart"/>
      <w:r w:rsidRPr="00946727">
        <w:t>Alkylresorcinols</w:t>
      </w:r>
      <w:proofErr w:type="spellEnd"/>
      <w:r w:rsidRPr="00946727">
        <w:t xml:space="preserve"> in barley (Hordeum vulgare L. </w:t>
      </w:r>
      <w:proofErr w:type="spellStart"/>
      <w:r w:rsidRPr="00946727">
        <w:t>distichon</w:t>
      </w:r>
      <w:proofErr w:type="spellEnd"/>
      <w:r w:rsidRPr="00946727">
        <w:t xml:space="preserve">) grains. Z </w:t>
      </w:r>
      <w:proofErr w:type="spellStart"/>
      <w:r w:rsidRPr="00946727">
        <w:t>Naturforsch</w:t>
      </w:r>
      <w:proofErr w:type="spellEnd"/>
      <w:r w:rsidRPr="00946727">
        <w:t xml:space="preserve"> C. 2002;57(1-2):57-62. doi:10.1515/znc-2002-1-210</w:t>
      </w:r>
    </w:p>
    <w:p w14:paraId="46E114AE" w14:textId="77777777" w:rsidR="003003E0" w:rsidRPr="00946727" w:rsidRDefault="003003E0" w:rsidP="003003E0">
      <w:pPr>
        <w:spacing w:before="0" w:after="0" w:line="480" w:lineRule="auto"/>
      </w:pPr>
      <w:r w:rsidRPr="00946727">
        <w:t>44.</w:t>
      </w:r>
      <w:r w:rsidRPr="00946727">
        <w:tab/>
        <w:t xml:space="preserve">Zarnowski R, Suzuki Y. 5-n-Alkylresorcinols from Grains of Winter Barley (Hordeum vulgare L.). Journal for Nature Research. </w:t>
      </w:r>
      <w:proofErr w:type="gramStart"/>
      <w:r w:rsidRPr="00946727">
        <w:t>2004;59:315</w:t>
      </w:r>
      <w:proofErr w:type="gramEnd"/>
      <w:r w:rsidRPr="00946727">
        <w:t>-317. doi:10.1515/znc-2004-5-603</w:t>
      </w:r>
    </w:p>
    <w:p w14:paraId="50BA6D7D" w14:textId="77777777" w:rsidR="003003E0" w:rsidRPr="00946727" w:rsidRDefault="003003E0" w:rsidP="003003E0">
      <w:pPr>
        <w:spacing w:before="0" w:after="0" w:line="480" w:lineRule="auto"/>
      </w:pPr>
      <w:r w:rsidRPr="00946727">
        <w:t>45.</w:t>
      </w:r>
      <w:r w:rsidRPr="00946727">
        <w:tab/>
        <w:t xml:space="preserve">Ross AB, Kamal-Eldin A, Jung C, Shepherd MJ, </w:t>
      </w:r>
      <w:proofErr w:type="spellStart"/>
      <w:r w:rsidRPr="00946727">
        <w:t>Åman</w:t>
      </w:r>
      <w:proofErr w:type="spellEnd"/>
      <w:r w:rsidRPr="00946727">
        <w:t xml:space="preserve"> P. Gas chromatographic analysis of </w:t>
      </w:r>
      <w:proofErr w:type="spellStart"/>
      <w:r w:rsidRPr="00946727">
        <w:t>alkylresorcinols</w:t>
      </w:r>
      <w:proofErr w:type="spellEnd"/>
      <w:r w:rsidRPr="00946727">
        <w:t xml:space="preserve"> in rye (Secale cereale L) grains. J Sci Food Agric. 2001;81(14):1405-1411. doi:10.1002/jsfa.956</w:t>
      </w:r>
    </w:p>
    <w:p w14:paraId="767E387C" w14:textId="77777777" w:rsidR="003003E0" w:rsidRPr="00946727" w:rsidRDefault="003003E0" w:rsidP="00596FF9">
      <w:pPr>
        <w:spacing w:line="480" w:lineRule="auto"/>
      </w:pPr>
      <w:r w:rsidRPr="00946727">
        <w:t>46.</w:t>
      </w:r>
      <w:r w:rsidRPr="00946727">
        <w:tab/>
        <w:t xml:space="preserve">Andersson AAM, Kamal-Eldin A, Aman P. Effects of environment and variety on </w:t>
      </w:r>
      <w:proofErr w:type="spellStart"/>
      <w:r w:rsidRPr="00946727">
        <w:t>alkylresorcinols</w:t>
      </w:r>
      <w:proofErr w:type="spellEnd"/>
      <w:r w:rsidRPr="00946727">
        <w:t xml:space="preserve"> in wheat in the HEALTHGRAIN diversity screen. J Agric Food Chem. 2010;58(17):9299-9305. doi:10.1021/jf904526d</w:t>
      </w:r>
    </w:p>
    <w:p w14:paraId="473266BE" w14:textId="72452071" w:rsidR="00FC2F1E" w:rsidRPr="00946727" w:rsidRDefault="003003E0" w:rsidP="00596FF9">
      <w:pPr>
        <w:spacing w:line="480" w:lineRule="auto"/>
        <w:rPr>
          <w:b/>
        </w:rPr>
      </w:pPr>
      <w:r w:rsidRPr="00946727">
        <w:t>47.</w:t>
      </w:r>
      <w:r w:rsidRPr="00946727">
        <w:tab/>
        <w:t>Miller MJ, Whelton HL, Swift JA, et al. Interpreting ancient food practices: stable isotope and molecular analyses of visible and absorbed residues from a year-long cooking experiment. Sci Rep. 2020;10(1):13704. doi:10.1038/s41598-020-70109-8</w:t>
      </w:r>
    </w:p>
    <w:p w14:paraId="000000B7" w14:textId="315E0219" w:rsidR="0098306C" w:rsidRDefault="0098306C" w:rsidP="00BD6D83">
      <w:pPr>
        <w:spacing w:line="480" w:lineRule="auto"/>
      </w:pPr>
    </w:p>
    <w:p w14:paraId="0124719E" w14:textId="77777777" w:rsidR="00BD6D83" w:rsidRDefault="00BD6D83" w:rsidP="00BD6D83">
      <w:pPr>
        <w:spacing w:line="480" w:lineRule="auto"/>
      </w:pPr>
    </w:p>
    <w:p w14:paraId="519E4026" w14:textId="77777777" w:rsidR="00BD6D83" w:rsidRDefault="00BD6D83" w:rsidP="00BD6D83">
      <w:pPr>
        <w:spacing w:line="480" w:lineRule="auto"/>
      </w:pPr>
    </w:p>
    <w:p w14:paraId="0AD5A887" w14:textId="77777777" w:rsidR="00BD6D83" w:rsidRDefault="00BD6D83" w:rsidP="00BD6D83">
      <w:pPr>
        <w:spacing w:line="480" w:lineRule="auto"/>
      </w:pPr>
    </w:p>
    <w:p w14:paraId="35DB815E" w14:textId="77777777" w:rsidR="003F1EDB" w:rsidRDefault="003F1EDB" w:rsidP="00467065">
      <w:pPr>
        <w:spacing w:line="480" w:lineRule="auto"/>
        <w:rPr>
          <w:b/>
          <w:bCs/>
        </w:rPr>
      </w:pPr>
    </w:p>
    <w:p w14:paraId="4A2B38CB" w14:textId="24C1B222" w:rsidR="007B04D1" w:rsidRDefault="007B04D1" w:rsidP="00467065">
      <w:pPr>
        <w:spacing w:line="480" w:lineRule="auto"/>
        <w:rPr>
          <w:b/>
          <w:bCs/>
        </w:rPr>
      </w:pPr>
      <w:r>
        <w:rPr>
          <w:b/>
          <w:bCs/>
        </w:rPr>
        <w:lastRenderedPageBreak/>
        <w:t>Tables</w:t>
      </w:r>
    </w:p>
    <w:p w14:paraId="49F10A8F" w14:textId="77777777" w:rsidR="007B04D1" w:rsidRDefault="007B04D1" w:rsidP="007B04D1">
      <w:pPr>
        <w:spacing w:before="0" w:after="0" w:line="480" w:lineRule="auto"/>
        <w:rPr>
          <w:rFonts w:eastAsia="Times New Roman"/>
          <w:color w:val="000000"/>
        </w:rPr>
      </w:pPr>
      <w:r w:rsidRPr="007B04D1">
        <w:rPr>
          <w:rFonts w:eastAsia="Times New Roman"/>
          <w:b/>
          <w:bCs/>
          <w:color w:val="000000"/>
        </w:rPr>
        <w:t>Table 1.</w:t>
      </w:r>
      <w:r w:rsidRPr="007B04D1">
        <w:rPr>
          <w:rFonts w:eastAsia="Times New Roman"/>
          <w:color w:val="000000"/>
        </w:rPr>
        <w:t xml:space="preserve"> Molecular formulas and accurate masses used to identify </w:t>
      </w:r>
      <w:proofErr w:type="spellStart"/>
      <w:r w:rsidRPr="007B04D1">
        <w:rPr>
          <w:rFonts w:eastAsia="Times New Roman"/>
          <w:color w:val="000000"/>
        </w:rPr>
        <w:t>underivatised</w:t>
      </w:r>
      <w:proofErr w:type="spellEnd"/>
      <w:r w:rsidRPr="007B04D1">
        <w:rPr>
          <w:rFonts w:eastAsia="Times New Roman"/>
          <w:color w:val="000000"/>
        </w:rPr>
        <w:t xml:space="preserve"> and derivatised </w:t>
      </w:r>
      <w:proofErr w:type="spellStart"/>
      <w:r w:rsidRPr="007B04D1">
        <w:rPr>
          <w:rFonts w:eastAsia="Times New Roman"/>
          <w:color w:val="000000"/>
        </w:rPr>
        <w:t>alkylresorcinols</w:t>
      </w:r>
      <w:proofErr w:type="spellEnd"/>
      <w:r w:rsidRPr="007B04D1">
        <w:rPr>
          <w:rFonts w:eastAsia="Times New Roman"/>
          <w:color w:val="000000"/>
        </w:rPr>
        <w:t xml:space="preserve"> (ARs). The </w:t>
      </w:r>
      <w:proofErr w:type="spellStart"/>
      <w:r w:rsidRPr="007B04D1">
        <w:rPr>
          <w:rFonts w:eastAsia="Times New Roman"/>
          <w:color w:val="000000"/>
        </w:rPr>
        <w:t>silylating</w:t>
      </w:r>
      <w:proofErr w:type="spellEnd"/>
      <w:r w:rsidRPr="007B04D1">
        <w:rPr>
          <w:rFonts w:eastAsia="Times New Roman"/>
          <w:color w:val="000000"/>
        </w:rPr>
        <w:t xml:space="preserve"> agent utilised was BSTFA/TCMS 99:1, v/v.</w:t>
      </w:r>
    </w:p>
    <w:p w14:paraId="29208775" w14:textId="77777777" w:rsidR="00A0175B" w:rsidRPr="007B04D1" w:rsidRDefault="00A0175B" w:rsidP="007B04D1">
      <w:pPr>
        <w:spacing w:before="0" w:after="0" w:line="480" w:lineRule="auto"/>
        <w:rPr>
          <w:rFonts w:ascii="Times New Roman" w:eastAsia="Times New Roman" w:hAnsi="Times New Roman" w:cs="Times New Roman"/>
        </w:rPr>
      </w:pPr>
    </w:p>
    <w:tbl>
      <w:tblPr>
        <w:tblW w:w="9026" w:type="dxa"/>
        <w:tblCellMar>
          <w:top w:w="15" w:type="dxa"/>
          <w:left w:w="15" w:type="dxa"/>
          <w:bottom w:w="15" w:type="dxa"/>
          <w:right w:w="15" w:type="dxa"/>
        </w:tblCellMar>
        <w:tblLook w:val="04A0" w:firstRow="1" w:lastRow="0" w:firstColumn="1" w:lastColumn="0" w:noHBand="0" w:noVBand="1"/>
      </w:tblPr>
      <w:tblGrid>
        <w:gridCol w:w="1391"/>
        <w:gridCol w:w="2176"/>
        <w:gridCol w:w="1736"/>
        <w:gridCol w:w="1936"/>
        <w:gridCol w:w="1787"/>
      </w:tblGrid>
      <w:tr w:rsidR="007B04D1" w:rsidRPr="007B04D1" w14:paraId="18DFB1DB" w14:textId="77777777" w:rsidTr="007B04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2EDC4D"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AR homologue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C65356"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Molecular formula (</w:t>
            </w:r>
            <w:proofErr w:type="spellStart"/>
            <w:r w:rsidRPr="007B04D1">
              <w:rPr>
                <w:rFonts w:eastAsia="Times New Roman"/>
                <w:color w:val="000000"/>
              </w:rPr>
              <w:t>underivatised</w:t>
            </w:r>
            <w:proofErr w:type="spellEnd"/>
            <w:r w:rsidRPr="007B04D1">
              <w:rPr>
                <w:rFonts w:eastAsia="Times New Roman"/>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77CA27"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[M</w:t>
            </w:r>
            <w:r w:rsidRPr="007B04D1">
              <w:rPr>
                <w:rFonts w:eastAsia="Times New Roman"/>
                <w:color w:val="1C1D1E"/>
                <w:shd w:val="clear" w:color="auto" w:fill="FFFFFF"/>
              </w:rPr>
              <w:t>–</w:t>
            </w:r>
            <w:proofErr w:type="gramStart"/>
            <w:r w:rsidRPr="007B04D1">
              <w:rPr>
                <w:rFonts w:eastAsia="Times New Roman"/>
                <w:color w:val="000000"/>
              </w:rPr>
              <w:t>H]</w:t>
            </w:r>
            <w:r w:rsidRPr="007B04D1">
              <w:rPr>
                <w:rFonts w:eastAsia="Times New Roman"/>
                <w:color w:val="000000"/>
                <w:sz w:val="14"/>
                <w:szCs w:val="14"/>
                <w:vertAlign w:val="superscript"/>
              </w:rPr>
              <w:t>‒</w:t>
            </w:r>
            <w:proofErr w:type="gramEnd"/>
            <w:r w:rsidRPr="007B04D1">
              <w:rPr>
                <w:rFonts w:eastAsia="Times New Roman"/>
                <w:color w:val="000000"/>
              </w:rPr>
              <w:t xml:space="preserve"> theoretical mass (</w:t>
            </w:r>
            <w:r w:rsidRPr="007B04D1">
              <w:rPr>
                <w:rFonts w:eastAsia="Times New Roman"/>
                <w:i/>
                <w:iCs/>
                <w:color w:val="000000"/>
              </w:rPr>
              <w:t>m/z</w:t>
            </w:r>
            <w:r w:rsidRPr="007B04D1">
              <w:rPr>
                <w:rFonts w:eastAsia="Times New Roman"/>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3380D"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Molecular formula (derivatised)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DA0430"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Bis-TMS theoretical mass (</w:t>
            </w:r>
            <w:r w:rsidRPr="007B04D1">
              <w:rPr>
                <w:rFonts w:eastAsia="Times New Roman"/>
                <w:i/>
                <w:iCs/>
                <w:color w:val="000000"/>
              </w:rPr>
              <w:t>m/z</w:t>
            </w:r>
            <w:r w:rsidRPr="007B04D1">
              <w:rPr>
                <w:rFonts w:eastAsia="Times New Roman"/>
                <w:color w:val="000000"/>
              </w:rPr>
              <w:t>)</w:t>
            </w:r>
          </w:p>
        </w:tc>
      </w:tr>
      <w:tr w:rsidR="007B04D1" w:rsidRPr="007B04D1" w14:paraId="6BBCBE24" w14:textId="77777777" w:rsidTr="007B04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B6E152"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AR 17:1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EEDA8E"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C</w:t>
            </w:r>
            <w:r w:rsidRPr="007B04D1">
              <w:rPr>
                <w:rFonts w:eastAsia="Times New Roman"/>
                <w:color w:val="000000"/>
                <w:sz w:val="14"/>
                <w:szCs w:val="14"/>
                <w:vertAlign w:val="subscript"/>
              </w:rPr>
              <w:t>23</w:t>
            </w:r>
            <w:r w:rsidRPr="007B04D1">
              <w:rPr>
                <w:rFonts w:eastAsia="Times New Roman"/>
                <w:color w:val="000000"/>
              </w:rPr>
              <w:t>H</w:t>
            </w:r>
            <w:r w:rsidRPr="007B04D1">
              <w:rPr>
                <w:rFonts w:eastAsia="Times New Roman"/>
                <w:color w:val="000000"/>
                <w:sz w:val="14"/>
                <w:szCs w:val="14"/>
                <w:vertAlign w:val="subscript"/>
              </w:rPr>
              <w:t>38</w:t>
            </w:r>
            <w:r w:rsidRPr="007B04D1">
              <w:rPr>
                <w:rFonts w:eastAsia="Times New Roman"/>
                <w:color w:val="000000"/>
              </w:rPr>
              <w:t>O</w:t>
            </w:r>
            <w:r w:rsidRPr="007B04D1">
              <w:rPr>
                <w:rFonts w:eastAsia="Times New Roman"/>
                <w:color w:val="000000"/>
                <w:sz w:val="14"/>
                <w:szCs w:val="14"/>
                <w:vertAlign w:val="subscript"/>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437CA3"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345.2799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114738"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C</w:t>
            </w:r>
            <w:r w:rsidRPr="007B04D1">
              <w:rPr>
                <w:rFonts w:eastAsia="Times New Roman"/>
                <w:color w:val="000000"/>
                <w:sz w:val="14"/>
                <w:szCs w:val="14"/>
                <w:vertAlign w:val="subscript"/>
              </w:rPr>
              <w:t>29</w:t>
            </w:r>
            <w:r w:rsidRPr="007B04D1">
              <w:rPr>
                <w:rFonts w:eastAsia="Times New Roman"/>
                <w:color w:val="000000"/>
              </w:rPr>
              <w:t>H</w:t>
            </w:r>
            <w:r w:rsidRPr="007B04D1">
              <w:rPr>
                <w:rFonts w:eastAsia="Times New Roman"/>
                <w:color w:val="000000"/>
                <w:sz w:val="14"/>
                <w:szCs w:val="14"/>
                <w:vertAlign w:val="subscript"/>
              </w:rPr>
              <w:t>54</w:t>
            </w:r>
            <w:r w:rsidRPr="007B04D1">
              <w:rPr>
                <w:rFonts w:eastAsia="Times New Roman"/>
                <w:color w:val="000000"/>
              </w:rPr>
              <w:t>O</w:t>
            </w:r>
            <w:r w:rsidRPr="007B04D1">
              <w:rPr>
                <w:rFonts w:eastAsia="Times New Roman"/>
                <w:color w:val="000000"/>
                <w:sz w:val="14"/>
                <w:szCs w:val="14"/>
                <w:vertAlign w:val="subscript"/>
              </w:rPr>
              <w:t>2</w:t>
            </w:r>
            <w:r w:rsidRPr="007B04D1">
              <w:rPr>
                <w:rFonts w:eastAsia="Times New Roman"/>
                <w:color w:val="000000"/>
              </w:rPr>
              <w:t>Si</w:t>
            </w:r>
            <w:r w:rsidRPr="007B04D1">
              <w:rPr>
                <w:rFonts w:eastAsia="Times New Roman"/>
                <w:color w:val="000000"/>
                <w:sz w:val="14"/>
                <w:szCs w:val="14"/>
                <w:vertAlign w:val="subscript"/>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5E632"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490.3663</w:t>
            </w:r>
          </w:p>
        </w:tc>
      </w:tr>
      <w:tr w:rsidR="007B04D1" w:rsidRPr="007B04D1" w14:paraId="290F19D3" w14:textId="77777777" w:rsidTr="007B04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D74AD7"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AR 17:0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5EE9E7"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C</w:t>
            </w:r>
            <w:r w:rsidRPr="007B04D1">
              <w:rPr>
                <w:rFonts w:eastAsia="Times New Roman"/>
                <w:color w:val="000000"/>
                <w:sz w:val="14"/>
                <w:szCs w:val="14"/>
                <w:vertAlign w:val="subscript"/>
              </w:rPr>
              <w:t>23</w:t>
            </w:r>
            <w:r w:rsidRPr="007B04D1">
              <w:rPr>
                <w:rFonts w:eastAsia="Times New Roman"/>
                <w:color w:val="000000"/>
              </w:rPr>
              <w:t>H</w:t>
            </w:r>
            <w:r w:rsidRPr="007B04D1">
              <w:rPr>
                <w:rFonts w:eastAsia="Times New Roman"/>
                <w:color w:val="000000"/>
                <w:sz w:val="14"/>
                <w:szCs w:val="14"/>
                <w:vertAlign w:val="subscript"/>
              </w:rPr>
              <w:t>40</w:t>
            </w:r>
            <w:r w:rsidRPr="007B04D1">
              <w:rPr>
                <w:rFonts w:eastAsia="Times New Roman"/>
                <w:color w:val="000000"/>
              </w:rPr>
              <w:t>O</w:t>
            </w:r>
            <w:r w:rsidRPr="007B04D1">
              <w:rPr>
                <w:rFonts w:eastAsia="Times New Roman"/>
                <w:color w:val="000000"/>
                <w:sz w:val="14"/>
                <w:szCs w:val="14"/>
                <w:vertAlign w:val="subscript"/>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402DEA"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347.2956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E5288"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C</w:t>
            </w:r>
            <w:r w:rsidRPr="007B04D1">
              <w:rPr>
                <w:rFonts w:eastAsia="Times New Roman"/>
                <w:color w:val="000000"/>
                <w:sz w:val="14"/>
                <w:szCs w:val="14"/>
                <w:vertAlign w:val="subscript"/>
              </w:rPr>
              <w:t>29</w:t>
            </w:r>
            <w:r w:rsidRPr="007B04D1">
              <w:rPr>
                <w:rFonts w:eastAsia="Times New Roman"/>
                <w:color w:val="000000"/>
              </w:rPr>
              <w:t>H</w:t>
            </w:r>
            <w:r w:rsidRPr="007B04D1">
              <w:rPr>
                <w:rFonts w:eastAsia="Times New Roman"/>
                <w:color w:val="000000"/>
                <w:sz w:val="14"/>
                <w:szCs w:val="14"/>
                <w:vertAlign w:val="subscript"/>
              </w:rPr>
              <w:t>56</w:t>
            </w:r>
            <w:r w:rsidRPr="007B04D1">
              <w:rPr>
                <w:rFonts w:eastAsia="Times New Roman"/>
                <w:color w:val="000000"/>
              </w:rPr>
              <w:t>O</w:t>
            </w:r>
            <w:r w:rsidRPr="007B04D1">
              <w:rPr>
                <w:rFonts w:eastAsia="Times New Roman"/>
                <w:color w:val="000000"/>
                <w:sz w:val="14"/>
                <w:szCs w:val="14"/>
                <w:vertAlign w:val="subscript"/>
              </w:rPr>
              <w:t>2</w:t>
            </w:r>
            <w:r w:rsidRPr="007B04D1">
              <w:rPr>
                <w:rFonts w:eastAsia="Times New Roman"/>
                <w:color w:val="000000"/>
              </w:rPr>
              <w:t>Si</w:t>
            </w:r>
            <w:r w:rsidRPr="007B04D1">
              <w:rPr>
                <w:rFonts w:eastAsia="Times New Roman"/>
                <w:color w:val="000000"/>
                <w:sz w:val="14"/>
                <w:szCs w:val="14"/>
                <w:vertAlign w:val="subscript"/>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211427"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492.3819</w:t>
            </w:r>
          </w:p>
        </w:tc>
      </w:tr>
      <w:tr w:rsidR="007B04D1" w:rsidRPr="007B04D1" w14:paraId="5659BB40" w14:textId="77777777" w:rsidTr="007B04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5E7EA8"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AR 19:1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2DC60E"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C</w:t>
            </w:r>
            <w:r w:rsidRPr="007B04D1">
              <w:rPr>
                <w:rFonts w:eastAsia="Times New Roman"/>
                <w:color w:val="000000"/>
                <w:sz w:val="14"/>
                <w:szCs w:val="14"/>
                <w:vertAlign w:val="subscript"/>
              </w:rPr>
              <w:t>25</w:t>
            </w:r>
            <w:r w:rsidRPr="007B04D1">
              <w:rPr>
                <w:rFonts w:eastAsia="Times New Roman"/>
                <w:color w:val="000000"/>
              </w:rPr>
              <w:t>H</w:t>
            </w:r>
            <w:r w:rsidRPr="007B04D1">
              <w:rPr>
                <w:rFonts w:eastAsia="Times New Roman"/>
                <w:color w:val="000000"/>
                <w:sz w:val="14"/>
                <w:szCs w:val="14"/>
                <w:vertAlign w:val="subscript"/>
              </w:rPr>
              <w:t>42</w:t>
            </w:r>
            <w:r w:rsidRPr="007B04D1">
              <w:rPr>
                <w:rFonts w:eastAsia="Times New Roman"/>
                <w:color w:val="000000"/>
              </w:rPr>
              <w:t>O</w:t>
            </w:r>
            <w:r w:rsidRPr="007B04D1">
              <w:rPr>
                <w:rFonts w:eastAsia="Times New Roman"/>
                <w:color w:val="000000"/>
                <w:sz w:val="14"/>
                <w:szCs w:val="14"/>
                <w:vertAlign w:val="subscript"/>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13C474"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373.3112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466E9"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C</w:t>
            </w:r>
            <w:r w:rsidRPr="007B04D1">
              <w:rPr>
                <w:rFonts w:eastAsia="Times New Roman"/>
                <w:color w:val="000000"/>
                <w:sz w:val="14"/>
                <w:szCs w:val="14"/>
                <w:vertAlign w:val="subscript"/>
              </w:rPr>
              <w:t>31</w:t>
            </w:r>
            <w:r w:rsidRPr="007B04D1">
              <w:rPr>
                <w:rFonts w:eastAsia="Times New Roman"/>
                <w:color w:val="000000"/>
              </w:rPr>
              <w:t>H</w:t>
            </w:r>
            <w:r w:rsidRPr="007B04D1">
              <w:rPr>
                <w:rFonts w:eastAsia="Times New Roman"/>
                <w:color w:val="000000"/>
                <w:sz w:val="14"/>
                <w:szCs w:val="14"/>
                <w:vertAlign w:val="subscript"/>
              </w:rPr>
              <w:t>58</w:t>
            </w:r>
            <w:r w:rsidRPr="007B04D1">
              <w:rPr>
                <w:rFonts w:eastAsia="Times New Roman"/>
                <w:color w:val="000000"/>
              </w:rPr>
              <w:t>O</w:t>
            </w:r>
            <w:r w:rsidRPr="007B04D1">
              <w:rPr>
                <w:rFonts w:eastAsia="Times New Roman"/>
                <w:color w:val="000000"/>
                <w:sz w:val="14"/>
                <w:szCs w:val="14"/>
                <w:vertAlign w:val="subscript"/>
              </w:rPr>
              <w:t>2</w:t>
            </w:r>
            <w:r w:rsidRPr="007B04D1">
              <w:rPr>
                <w:rFonts w:eastAsia="Times New Roman"/>
                <w:color w:val="000000"/>
              </w:rPr>
              <w:t>Si</w:t>
            </w:r>
            <w:r w:rsidRPr="007B04D1">
              <w:rPr>
                <w:rFonts w:eastAsia="Times New Roman"/>
                <w:color w:val="000000"/>
                <w:sz w:val="14"/>
                <w:szCs w:val="14"/>
                <w:vertAlign w:val="subscript"/>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CF181"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518.3975</w:t>
            </w:r>
          </w:p>
        </w:tc>
      </w:tr>
      <w:tr w:rsidR="007B04D1" w:rsidRPr="007B04D1" w14:paraId="15201BE6" w14:textId="77777777" w:rsidTr="007B04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17AD7"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AR 19:0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8255DB"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C</w:t>
            </w:r>
            <w:r w:rsidRPr="007B04D1">
              <w:rPr>
                <w:rFonts w:eastAsia="Times New Roman"/>
                <w:color w:val="000000"/>
                <w:sz w:val="14"/>
                <w:szCs w:val="14"/>
                <w:vertAlign w:val="subscript"/>
              </w:rPr>
              <w:t>25</w:t>
            </w:r>
            <w:r w:rsidRPr="007B04D1">
              <w:rPr>
                <w:rFonts w:eastAsia="Times New Roman"/>
                <w:color w:val="000000"/>
              </w:rPr>
              <w:t>H</w:t>
            </w:r>
            <w:r w:rsidRPr="007B04D1">
              <w:rPr>
                <w:rFonts w:eastAsia="Times New Roman"/>
                <w:color w:val="000000"/>
                <w:sz w:val="14"/>
                <w:szCs w:val="14"/>
                <w:vertAlign w:val="subscript"/>
              </w:rPr>
              <w:t>44</w:t>
            </w:r>
            <w:r w:rsidRPr="007B04D1">
              <w:rPr>
                <w:rFonts w:eastAsia="Times New Roman"/>
                <w:color w:val="000000"/>
              </w:rPr>
              <w:t>O</w:t>
            </w:r>
            <w:r w:rsidRPr="007B04D1">
              <w:rPr>
                <w:rFonts w:eastAsia="Times New Roman"/>
                <w:color w:val="000000"/>
                <w:sz w:val="14"/>
                <w:szCs w:val="14"/>
                <w:vertAlign w:val="subscript"/>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24A4E6"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375.3269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D6EC70"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C</w:t>
            </w:r>
            <w:r w:rsidRPr="007B04D1">
              <w:rPr>
                <w:rFonts w:eastAsia="Times New Roman"/>
                <w:color w:val="000000"/>
                <w:sz w:val="14"/>
                <w:szCs w:val="14"/>
                <w:vertAlign w:val="subscript"/>
              </w:rPr>
              <w:t>31</w:t>
            </w:r>
            <w:r w:rsidRPr="007B04D1">
              <w:rPr>
                <w:rFonts w:eastAsia="Times New Roman"/>
                <w:color w:val="000000"/>
              </w:rPr>
              <w:t>H</w:t>
            </w:r>
            <w:r w:rsidRPr="007B04D1">
              <w:rPr>
                <w:rFonts w:eastAsia="Times New Roman"/>
                <w:color w:val="000000"/>
                <w:sz w:val="14"/>
                <w:szCs w:val="14"/>
                <w:vertAlign w:val="subscript"/>
              </w:rPr>
              <w:t>60</w:t>
            </w:r>
            <w:r w:rsidRPr="007B04D1">
              <w:rPr>
                <w:rFonts w:eastAsia="Times New Roman"/>
                <w:color w:val="000000"/>
              </w:rPr>
              <w:t>O</w:t>
            </w:r>
            <w:r w:rsidRPr="007B04D1">
              <w:rPr>
                <w:rFonts w:eastAsia="Times New Roman"/>
                <w:color w:val="000000"/>
                <w:sz w:val="14"/>
                <w:szCs w:val="14"/>
                <w:vertAlign w:val="subscript"/>
              </w:rPr>
              <w:t>2</w:t>
            </w:r>
            <w:r w:rsidRPr="007B04D1">
              <w:rPr>
                <w:rFonts w:eastAsia="Times New Roman"/>
                <w:color w:val="000000"/>
              </w:rPr>
              <w:t>Si</w:t>
            </w:r>
            <w:r w:rsidRPr="007B04D1">
              <w:rPr>
                <w:rFonts w:eastAsia="Times New Roman"/>
                <w:color w:val="000000"/>
                <w:sz w:val="14"/>
                <w:szCs w:val="14"/>
                <w:vertAlign w:val="subscript"/>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395935"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520.4132</w:t>
            </w:r>
          </w:p>
        </w:tc>
      </w:tr>
      <w:tr w:rsidR="007B04D1" w:rsidRPr="007B04D1" w14:paraId="35F7A1F1" w14:textId="77777777" w:rsidTr="007B04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DB11A3"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AR 21:1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404DD7"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C</w:t>
            </w:r>
            <w:r w:rsidRPr="007B04D1">
              <w:rPr>
                <w:rFonts w:eastAsia="Times New Roman"/>
                <w:color w:val="000000"/>
                <w:sz w:val="14"/>
                <w:szCs w:val="14"/>
                <w:vertAlign w:val="subscript"/>
              </w:rPr>
              <w:t>27</w:t>
            </w:r>
            <w:r w:rsidRPr="007B04D1">
              <w:rPr>
                <w:rFonts w:eastAsia="Times New Roman"/>
                <w:color w:val="000000"/>
              </w:rPr>
              <w:t>H</w:t>
            </w:r>
            <w:r w:rsidRPr="007B04D1">
              <w:rPr>
                <w:rFonts w:eastAsia="Times New Roman"/>
                <w:color w:val="000000"/>
                <w:sz w:val="14"/>
                <w:szCs w:val="14"/>
                <w:vertAlign w:val="subscript"/>
              </w:rPr>
              <w:t>46</w:t>
            </w:r>
            <w:r w:rsidRPr="007B04D1">
              <w:rPr>
                <w:rFonts w:eastAsia="Times New Roman"/>
                <w:color w:val="000000"/>
              </w:rPr>
              <w:t>O</w:t>
            </w:r>
            <w:r w:rsidRPr="007B04D1">
              <w:rPr>
                <w:rFonts w:eastAsia="Times New Roman"/>
                <w:color w:val="000000"/>
                <w:sz w:val="14"/>
                <w:szCs w:val="14"/>
                <w:vertAlign w:val="subscript"/>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F710B7"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401.3425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90DA1"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C</w:t>
            </w:r>
            <w:r w:rsidRPr="007B04D1">
              <w:rPr>
                <w:rFonts w:eastAsia="Times New Roman"/>
                <w:color w:val="000000"/>
                <w:sz w:val="14"/>
                <w:szCs w:val="14"/>
                <w:vertAlign w:val="subscript"/>
              </w:rPr>
              <w:t>33</w:t>
            </w:r>
            <w:r w:rsidRPr="007B04D1">
              <w:rPr>
                <w:rFonts w:eastAsia="Times New Roman"/>
                <w:color w:val="000000"/>
              </w:rPr>
              <w:t>H</w:t>
            </w:r>
            <w:r w:rsidRPr="007B04D1">
              <w:rPr>
                <w:rFonts w:eastAsia="Times New Roman"/>
                <w:color w:val="000000"/>
                <w:sz w:val="14"/>
                <w:szCs w:val="14"/>
                <w:vertAlign w:val="subscript"/>
              </w:rPr>
              <w:t>62</w:t>
            </w:r>
            <w:r w:rsidRPr="007B04D1">
              <w:rPr>
                <w:rFonts w:eastAsia="Times New Roman"/>
                <w:color w:val="000000"/>
              </w:rPr>
              <w:t>O</w:t>
            </w:r>
            <w:r w:rsidRPr="007B04D1">
              <w:rPr>
                <w:rFonts w:eastAsia="Times New Roman"/>
                <w:color w:val="000000"/>
                <w:sz w:val="14"/>
                <w:szCs w:val="14"/>
                <w:vertAlign w:val="subscript"/>
              </w:rPr>
              <w:t>2</w:t>
            </w:r>
            <w:r w:rsidRPr="007B04D1">
              <w:rPr>
                <w:rFonts w:eastAsia="Times New Roman"/>
                <w:color w:val="000000"/>
              </w:rPr>
              <w:t>Si</w:t>
            </w:r>
            <w:r w:rsidRPr="007B04D1">
              <w:rPr>
                <w:rFonts w:eastAsia="Times New Roman"/>
                <w:color w:val="000000"/>
                <w:sz w:val="14"/>
                <w:szCs w:val="14"/>
                <w:vertAlign w:val="subscript"/>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9CA877"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546.4289</w:t>
            </w:r>
          </w:p>
        </w:tc>
      </w:tr>
      <w:tr w:rsidR="007B04D1" w:rsidRPr="007B04D1" w14:paraId="188D2DA7" w14:textId="77777777" w:rsidTr="007B04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0C63AD"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AR 21:0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58EED8"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C</w:t>
            </w:r>
            <w:r w:rsidRPr="007B04D1">
              <w:rPr>
                <w:rFonts w:eastAsia="Times New Roman"/>
                <w:color w:val="000000"/>
                <w:sz w:val="14"/>
                <w:szCs w:val="14"/>
                <w:vertAlign w:val="subscript"/>
              </w:rPr>
              <w:t>27</w:t>
            </w:r>
            <w:r w:rsidRPr="007B04D1">
              <w:rPr>
                <w:rFonts w:eastAsia="Times New Roman"/>
                <w:color w:val="000000"/>
              </w:rPr>
              <w:t>H</w:t>
            </w:r>
            <w:r w:rsidRPr="007B04D1">
              <w:rPr>
                <w:rFonts w:eastAsia="Times New Roman"/>
                <w:color w:val="000000"/>
                <w:sz w:val="14"/>
                <w:szCs w:val="14"/>
                <w:vertAlign w:val="subscript"/>
              </w:rPr>
              <w:t>48</w:t>
            </w:r>
            <w:r w:rsidRPr="007B04D1">
              <w:rPr>
                <w:rFonts w:eastAsia="Times New Roman"/>
                <w:color w:val="000000"/>
              </w:rPr>
              <w:t>O</w:t>
            </w:r>
            <w:r w:rsidRPr="007B04D1">
              <w:rPr>
                <w:rFonts w:eastAsia="Times New Roman"/>
                <w:color w:val="000000"/>
                <w:sz w:val="14"/>
                <w:szCs w:val="14"/>
                <w:vertAlign w:val="subscript"/>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CF85DA"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403.3582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EA435"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C</w:t>
            </w:r>
            <w:r w:rsidRPr="007B04D1">
              <w:rPr>
                <w:rFonts w:eastAsia="Times New Roman"/>
                <w:color w:val="000000"/>
                <w:sz w:val="14"/>
                <w:szCs w:val="14"/>
                <w:vertAlign w:val="subscript"/>
              </w:rPr>
              <w:t>33</w:t>
            </w:r>
            <w:r w:rsidRPr="007B04D1">
              <w:rPr>
                <w:rFonts w:eastAsia="Times New Roman"/>
                <w:color w:val="000000"/>
              </w:rPr>
              <w:t>H</w:t>
            </w:r>
            <w:r w:rsidRPr="007B04D1">
              <w:rPr>
                <w:rFonts w:eastAsia="Times New Roman"/>
                <w:color w:val="000000"/>
                <w:sz w:val="14"/>
                <w:szCs w:val="14"/>
                <w:vertAlign w:val="subscript"/>
              </w:rPr>
              <w:t>64</w:t>
            </w:r>
            <w:r w:rsidRPr="007B04D1">
              <w:rPr>
                <w:rFonts w:eastAsia="Times New Roman"/>
                <w:color w:val="000000"/>
              </w:rPr>
              <w:t>O</w:t>
            </w:r>
            <w:r w:rsidRPr="007B04D1">
              <w:rPr>
                <w:rFonts w:eastAsia="Times New Roman"/>
                <w:color w:val="000000"/>
                <w:sz w:val="14"/>
                <w:szCs w:val="14"/>
                <w:vertAlign w:val="subscript"/>
              </w:rPr>
              <w:t>2</w:t>
            </w:r>
            <w:r w:rsidRPr="007B04D1">
              <w:rPr>
                <w:rFonts w:eastAsia="Times New Roman"/>
                <w:color w:val="000000"/>
              </w:rPr>
              <w:t>Si</w:t>
            </w:r>
            <w:r w:rsidRPr="007B04D1">
              <w:rPr>
                <w:rFonts w:eastAsia="Times New Roman"/>
                <w:color w:val="000000"/>
                <w:sz w:val="14"/>
                <w:szCs w:val="14"/>
                <w:vertAlign w:val="subscript"/>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FE5EF1"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548.4445</w:t>
            </w:r>
          </w:p>
        </w:tc>
      </w:tr>
      <w:tr w:rsidR="007B04D1" w:rsidRPr="007B04D1" w14:paraId="099FA8F0" w14:textId="77777777" w:rsidTr="007B04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1D1AEF"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AR 22:0*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9F36AA"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C</w:t>
            </w:r>
            <w:r w:rsidRPr="007B04D1">
              <w:rPr>
                <w:rFonts w:eastAsia="Times New Roman"/>
                <w:color w:val="000000"/>
                <w:sz w:val="14"/>
                <w:szCs w:val="14"/>
                <w:vertAlign w:val="subscript"/>
              </w:rPr>
              <w:t>28</w:t>
            </w:r>
            <w:r w:rsidRPr="007B04D1">
              <w:rPr>
                <w:rFonts w:eastAsia="Times New Roman"/>
                <w:color w:val="000000"/>
              </w:rPr>
              <w:t>H</w:t>
            </w:r>
            <w:r w:rsidRPr="007B04D1">
              <w:rPr>
                <w:rFonts w:eastAsia="Times New Roman"/>
                <w:color w:val="000000"/>
                <w:sz w:val="14"/>
                <w:szCs w:val="14"/>
                <w:vertAlign w:val="subscript"/>
              </w:rPr>
              <w:t>50</w:t>
            </w:r>
            <w:r w:rsidRPr="007B04D1">
              <w:rPr>
                <w:rFonts w:eastAsia="Times New Roman"/>
                <w:color w:val="000000"/>
              </w:rPr>
              <w:t>O</w:t>
            </w:r>
            <w:r w:rsidRPr="007B04D1">
              <w:rPr>
                <w:rFonts w:eastAsia="Times New Roman"/>
                <w:color w:val="000000"/>
                <w:sz w:val="14"/>
                <w:szCs w:val="14"/>
                <w:vertAlign w:val="subscript"/>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00EAB4"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417.3738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8D827"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C</w:t>
            </w:r>
            <w:r w:rsidRPr="007B04D1">
              <w:rPr>
                <w:rFonts w:eastAsia="Times New Roman"/>
                <w:color w:val="000000"/>
                <w:sz w:val="14"/>
                <w:szCs w:val="14"/>
                <w:vertAlign w:val="subscript"/>
              </w:rPr>
              <w:t>34</w:t>
            </w:r>
            <w:r w:rsidRPr="007B04D1">
              <w:rPr>
                <w:rFonts w:eastAsia="Times New Roman"/>
                <w:color w:val="000000"/>
              </w:rPr>
              <w:t>H</w:t>
            </w:r>
            <w:r w:rsidRPr="007B04D1">
              <w:rPr>
                <w:rFonts w:eastAsia="Times New Roman"/>
                <w:color w:val="000000"/>
                <w:sz w:val="14"/>
                <w:szCs w:val="14"/>
                <w:vertAlign w:val="subscript"/>
              </w:rPr>
              <w:t>66</w:t>
            </w:r>
            <w:r w:rsidRPr="007B04D1">
              <w:rPr>
                <w:rFonts w:eastAsia="Times New Roman"/>
                <w:color w:val="000000"/>
              </w:rPr>
              <w:t>O</w:t>
            </w:r>
            <w:r w:rsidRPr="007B04D1">
              <w:rPr>
                <w:rFonts w:eastAsia="Times New Roman"/>
                <w:color w:val="000000"/>
                <w:sz w:val="14"/>
                <w:szCs w:val="14"/>
                <w:vertAlign w:val="subscript"/>
              </w:rPr>
              <w:t>2</w:t>
            </w:r>
            <w:r w:rsidRPr="007B04D1">
              <w:rPr>
                <w:rFonts w:eastAsia="Times New Roman"/>
                <w:color w:val="000000"/>
              </w:rPr>
              <w:t>Si</w:t>
            </w:r>
            <w:r w:rsidRPr="007B04D1">
              <w:rPr>
                <w:rFonts w:eastAsia="Times New Roman"/>
                <w:color w:val="000000"/>
                <w:sz w:val="14"/>
                <w:szCs w:val="14"/>
                <w:vertAlign w:val="subscript"/>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92510"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562.4602</w:t>
            </w:r>
          </w:p>
        </w:tc>
      </w:tr>
      <w:tr w:rsidR="007B04D1" w:rsidRPr="007B04D1" w14:paraId="1FA3128A" w14:textId="77777777" w:rsidTr="007B04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0B5A9"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AR 23:1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E5F041"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C</w:t>
            </w:r>
            <w:r w:rsidRPr="007B04D1">
              <w:rPr>
                <w:rFonts w:eastAsia="Times New Roman"/>
                <w:color w:val="000000"/>
                <w:sz w:val="14"/>
                <w:szCs w:val="14"/>
                <w:vertAlign w:val="subscript"/>
              </w:rPr>
              <w:t>29</w:t>
            </w:r>
            <w:r w:rsidRPr="007B04D1">
              <w:rPr>
                <w:rFonts w:eastAsia="Times New Roman"/>
                <w:color w:val="000000"/>
              </w:rPr>
              <w:t>H</w:t>
            </w:r>
            <w:r w:rsidRPr="007B04D1">
              <w:rPr>
                <w:rFonts w:eastAsia="Times New Roman"/>
                <w:color w:val="000000"/>
                <w:sz w:val="14"/>
                <w:szCs w:val="14"/>
                <w:vertAlign w:val="subscript"/>
              </w:rPr>
              <w:t>50</w:t>
            </w:r>
            <w:r w:rsidRPr="007B04D1">
              <w:rPr>
                <w:rFonts w:eastAsia="Times New Roman"/>
                <w:color w:val="000000"/>
              </w:rPr>
              <w:t>O</w:t>
            </w:r>
            <w:r w:rsidRPr="007B04D1">
              <w:rPr>
                <w:rFonts w:eastAsia="Times New Roman"/>
                <w:color w:val="000000"/>
                <w:sz w:val="14"/>
                <w:szCs w:val="14"/>
                <w:vertAlign w:val="subscript"/>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3EE1FA"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429.3738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70111C"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C</w:t>
            </w:r>
            <w:r w:rsidRPr="007B04D1">
              <w:rPr>
                <w:rFonts w:eastAsia="Times New Roman"/>
                <w:color w:val="000000"/>
                <w:sz w:val="14"/>
                <w:szCs w:val="14"/>
                <w:vertAlign w:val="subscript"/>
              </w:rPr>
              <w:t>35</w:t>
            </w:r>
            <w:r w:rsidRPr="007B04D1">
              <w:rPr>
                <w:rFonts w:eastAsia="Times New Roman"/>
                <w:color w:val="000000"/>
              </w:rPr>
              <w:t>H</w:t>
            </w:r>
            <w:r w:rsidRPr="007B04D1">
              <w:rPr>
                <w:rFonts w:eastAsia="Times New Roman"/>
                <w:color w:val="000000"/>
                <w:sz w:val="14"/>
                <w:szCs w:val="14"/>
                <w:vertAlign w:val="subscript"/>
              </w:rPr>
              <w:t>66</w:t>
            </w:r>
            <w:r w:rsidRPr="007B04D1">
              <w:rPr>
                <w:rFonts w:eastAsia="Times New Roman"/>
                <w:color w:val="000000"/>
              </w:rPr>
              <w:t>O</w:t>
            </w:r>
            <w:r w:rsidRPr="007B04D1">
              <w:rPr>
                <w:rFonts w:eastAsia="Times New Roman"/>
                <w:color w:val="000000"/>
                <w:sz w:val="14"/>
                <w:szCs w:val="14"/>
                <w:vertAlign w:val="subscript"/>
              </w:rPr>
              <w:t>2</w:t>
            </w:r>
            <w:r w:rsidRPr="007B04D1">
              <w:rPr>
                <w:rFonts w:eastAsia="Times New Roman"/>
                <w:color w:val="000000"/>
              </w:rPr>
              <w:t>Si</w:t>
            </w:r>
            <w:r w:rsidRPr="007B04D1">
              <w:rPr>
                <w:rFonts w:eastAsia="Times New Roman"/>
                <w:color w:val="000000"/>
                <w:sz w:val="14"/>
                <w:szCs w:val="14"/>
                <w:vertAlign w:val="subscript"/>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4D181E"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574.4602</w:t>
            </w:r>
          </w:p>
        </w:tc>
      </w:tr>
      <w:tr w:rsidR="007B04D1" w:rsidRPr="007B04D1" w14:paraId="187C3E6A" w14:textId="77777777" w:rsidTr="007B04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0AF13A"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AR 23:0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D527A6"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C</w:t>
            </w:r>
            <w:r w:rsidRPr="007B04D1">
              <w:rPr>
                <w:rFonts w:eastAsia="Times New Roman"/>
                <w:color w:val="000000"/>
                <w:sz w:val="14"/>
                <w:szCs w:val="14"/>
                <w:vertAlign w:val="subscript"/>
              </w:rPr>
              <w:t>29</w:t>
            </w:r>
            <w:r w:rsidRPr="007B04D1">
              <w:rPr>
                <w:rFonts w:eastAsia="Times New Roman"/>
                <w:color w:val="000000"/>
              </w:rPr>
              <w:t>H</w:t>
            </w:r>
            <w:r w:rsidRPr="007B04D1">
              <w:rPr>
                <w:rFonts w:eastAsia="Times New Roman"/>
                <w:color w:val="000000"/>
                <w:sz w:val="14"/>
                <w:szCs w:val="14"/>
                <w:vertAlign w:val="subscript"/>
              </w:rPr>
              <w:t>52</w:t>
            </w:r>
            <w:r w:rsidRPr="007B04D1">
              <w:rPr>
                <w:rFonts w:eastAsia="Times New Roman"/>
                <w:color w:val="000000"/>
              </w:rPr>
              <w:t>O</w:t>
            </w:r>
            <w:r w:rsidRPr="007B04D1">
              <w:rPr>
                <w:rFonts w:eastAsia="Times New Roman"/>
                <w:color w:val="000000"/>
                <w:sz w:val="14"/>
                <w:szCs w:val="14"/>
                <w:vertAlign w:val="subscript"/>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5EBC28"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431.3895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6534DA"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C</w:t>
            </w:r>
            <w:r w:rsidRPr="007B04D1">
              <w:rPr>
                <w:rFonts w:eastAsia="Times New Roman"/>
                <w:color w:val="000000"/>
                <w:sz w:val="14"/>
                <w:szCs w:val="14"/>
                <w:vertAlign w:val="subscript"/>
              </w:rPr>
              <w:t>35</w:t>
            </w:r>
            <w:r w:rsidRPr="007B04D1">
              <w:rPr>
                <w:rFonts w:eastAsia="Times New Roman"/>
                <w:color w:val="000000"/>
              </w:rPr>
              <w:t>H</w:t>
            </w:r>
            <w:r w:rsidRPr="007B04D1">
              <w:rPr>
                <w:rFonts w:eastAsia="Times New Roman"/>
                <w:color w:val="000000"/>
                <w:sz w:val="14"/>
                <w:szCs w:val="14"/>
                <w:vertAlign w:val="subscript"/>
              </w:rPr>
              <w:t>68</w:t>
            </w:r>
            <w:r w:rsidRPr="007B04D1">
              <w:rPr>
                <w:rFonts w:eastAsia="Times New Roman"/>
                <w:color w:val="000000"/>
              </w:rPr>
              <w:t>O</w:t>
            </w:r>
            <w:r w:rsidRPr="007B04D1">
              <w:rPr>
                <w:rFonts w:eastAsia="Times New Roman"/>
                <w:color w:val="000000"/>
                <w:sz w:val="14"/>
                <w:szCs w:val="14"/>
                <w:vertAlign w:val="subscript"/>
              </w:rPr>
              <w:t>2</w:t>
            </w:r>
            <w:r w:rsidRPr="007B04D1">
              <w:rPr>
                <w:rFonts w:eastAsia="Times New Roman"/>
                <w:color w:val="000000"/>
              </w:rPr>
              <w:t>Si</w:t>
            </w:r>
            <w:r w:rsidRPr="007B04D1">
              <w:rPr>
                <w:rFonts w:eastAsia="Times New Roman"/>
                <w:color w:val="000000"/>
                <w:sz w:val="14"/>
                <w:szCs w:val="14"/>
                <w:vertAlign w:val="subscript"/>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A985BC"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576.4758</w:t>
            </w:r>
          </w:p>
        </w:tc>
      </w:tr>
      <w:tr w:rsidR="007B04D1" w:rsidRPr="007B04D1" w14:paraId="1A7F97E6" w14:textId="77777777" w:rsidTr="007B04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731610"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AR 25:1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224E6F"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C</w:t>
            </w:r>
            <w:r w:rsidRPr="007B04D1">
              <w:rPr>
                <w:rFonts w:eastAsia="Times New Roman"/>
                <w:color w:val="000000"/>
                <w:sz w:val="14"/>
                <w:szCs w:val="14"/>
                <w:vertAlign w:val="subscript"/>
              </w:rPr>
              <w:t>31</w:t>
            </w:r>
            <w:r w:rsidRPr="007B04D1">
              <w:rPr>
                <w:rFonts w:eastAsia="Times New Roman"/>
                <w:color w:val="000000"/>
              </w:rPr>
              <w:t>H</w:t>
            </w:r>
            <w:r w:rsidRPr="007B04D1">
              <w:rPr>
                <w:rFonts w:eastAsia="Times New Roman"/>
                <w:color w:val="000000"/>
                <w:sz w:val="14"/>
                <w:szCs w:val="14"/>
                <w:vertAlign w:val="subscript"/>
              </w:rPr>
              <w:t>54</w:t>
            </w:r>
            <w:r w:rsidRPr="007B04D1">
              <w:rPr>
                <w:rFonts w:eastAsia="Times New Roman"/>
                <w:color w:val="000000"/>
              </w:rPr>
              <w:t>O</w:t>
            </w:r>
            <w:r w:rsidRPr="007B04D1">
              <w:rPr>
                <w:rFonts w:eastAsia="Times New Roman"/>
                <w:color w:val="000000"/>
                <w:sz w:val="14"/>
                <w:szCs w:val="14"/>
                <w:vertAlign w:val="subscript"/>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27E473"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457.4051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73C75F"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C</w:t>
            </w:r>
            <w:r w:rsidRPr="007B04D1">
              <w:rPr>
                <w:rFonts w:eastAsia="Times New Roman"/>
                <w:color w:val="000000"/>
                <w:sz w:val="14"/>
                <w:szCs w:val="14"/>
                <w:vertAlign w:val="subscript"/>
              </w:rPr>
              <w:t>37</w:t>
            </w:r>
            <w:r w:rsidRPr="007B04D1">
              <w:rPr>
                <w:rFonts w:eastAsia="Times New Roman"/>
                <w:color w:val="000000"/>
              </w:rPr>
              <w:t>H</w:t>
            </w:r>
            <w:r w:rsidRPr="007B04D1">
              <w:rPr>
                <w:rFonts w:eastAsia="Times New Roman"/>
                <w:color w:val="000000"/>
                <w:sz w:val="14"/>
                <w:szCs w:val="14"/>
                <w:vertAlign w:val="subscript"/>
              </w:rPr>
              <w:t>70</w:t>
            </w:r>
            <w:r w:rsidRPr="007B04D1">
              <w:rPr>
                <w:rFonts w:eastAsia="Times New Roman"/>
                <w:color w:val="000000"/>
              </w:rPr>
              <w:t>O</w:t>
            </w:r>
            <w:r w:rsidRPr="007B04D1">
              <w:rPr>
                <w:rFonts w:eastAsia="Times New Roman"/>
                <w:color w:val="000000"/>
                <w:sz w:val="14"/>
                <w:szCs w:val="14"/>
                <w:vertAlign w:val="subscript"/>
              </w:rPr>
              <w:t>2</w:t>
            </w:r>
            <w:r w:rsidRPr="007B04D1">
              <w:rPr>
                <w:rFonts w:eastAsia="Times New Roman"/>
                <w:color w:val="000000"/>
              </w:rPr>
              <w:t>Si</w:t>
            </w:r>
            <w:r w:rsidRPr="007B04D1">
              <w:rPr>
                <w:rFonts w:eastAsia="Times New Roman"/>
                <w:color w:val="000000"/>
                <w:sz w:val="14"/>
                <w:szCs w:val="14"/>
                <w:vertAlign w:val="subscript"/>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B47F2D"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602.4915</w:t>
            </w:r>
          </w:p>
        </w:tc>
      </w:tr>
      <w:tr w:rsidR="007B04D1" w:rsidRPr="007B04D1" w14:paraId="1725C743" w14:textId="77777777" w:rsidTr="007B04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F30F06"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AR 25:0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942310"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C</w:t>
            </w:r>
            <w:r w:rsidRPr="007B04D1">
              <w:rPr>
                <w:rFonts w:eastAsia="Times New Roman"/>
                <w:color w:val="000000"/>
                <w:sz w:val="14"/>
                <w:szCs w:val="14"/>
                <w:vertAlign w:val="subscript"/>
              </w:rPr>
              <w:t>31</w:t>
            </w:r>
            <w:r w:rsidRPr="007B04D1">
              <w:rPr>
                <w:rFonts w:eastAsia="Times New Roman"/>
                <w:color w:val="000000"/>
              </w:rPr>
              <w:t>H</w:t>
            </w:r>
            <w:r w:rsidRPr="007B04D1">
              <w:rPr>
                <w:rFonts w:eastAsia="Times New Roman"/>
                <w:color w:val="000000"/>
                <w:sz w:val="14"/>
                <w:szCs w:val="14"/>
                <w:vertAlign w:val="subscript"/>
              </w:rPr>
              <w:t>56</w:t>
            </w:r>
            <w:r w:rsidRPr="007B04D1">
              <w:rPr>
                <w:rFonts w:eastAsia="Times New Roman"/>
                <w:color w:val="000000"/>
              </w:rPr>
              <w:t>O</w:t>
            </w:r>
            <w:r w:rsidRPr="007B04D1">
              <w:rPr>
                <w:rFonts w:eastAsia="Times New Roman"/>
                <w:color w:val="000000"/>
                <w:sz w:val="14"/>
                <w:szCs w:val="14"/>
                <w:vertAlign w:val="subscript"/>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1D40A"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459.4208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003216"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C</w:t>
            </w:r>
            <w:r w:rsidRPr="007B04D1">
              <w:rPr>
                <w:rFonts w:eastAsia="Times New Roman"/>
                <w:color w:val="000000"/>
                <w:sz w:val="14"/>
                <w:szCs w:val="14"/>
                <w:vertAlign w:val="subscript"/>
              </w:rPr>
              <w:t>37</w:t>
            </w:r>
            <w:r w:rsidRPr="007B04D1">
              <w:rPr>
                <w:rFonts w:eastAsia="Times New Roman"/>
                <w:color w:val="000000"/>
              </w:rPr>
              <w:t>H</w:t>
            </w:r>
            <w:r w:rsidRPr="007B04D1">
              <w:rPr>
                <w:rFonts w:eastAsia="Times New Roman"/>
                <w:color w:val="000000"/>
                <w:sz w:val="14"/>
                <w:szCs w:val="14"/>
                <w:vertAlign w:val="subscript"/>
              </w:rPr>
              <w:t>72</w:t>
            </w:r>
            <w:r w:rsidRPr="007B04D1">
              <w:rPr>
                <w:rFonts w:eastAsia="Times New Roman"/>
                <w:color w:val="000000"/>
              </w:rPr>
              <w:t>O</w:t>
            </w:r>
            <w:r w:rsidRPr="007B04D1">
              <w:rPr>
                <w:rFonts w:eastAsia="Times New Roman"/>
                <w:color w:val="000000"/>
                <w:sz w:val="14"/>
                <w:szCs w:val="14"/>
                <w:vertAlign w:val="subscript"/>
              </w:rPr>
              <w:t>2</w:t>
            </w:r>
            <w:r w:rsidRPr="007B04D1">
              <w:rPr>
                <w:rFonts w:eastAsia="Times New Roman"/>
                <w:color w:val="000000"/>
              </w:rPr>
              <w:t>Si</w:t>
            </w:r>
            <w:r w:rsidRPr="007B04D1">
              <w:rPr>
                <w:rFonts w:eastAsia="Times New Roman"/>
                <w:color w:val="000000"/>
                <w:sz w:val="14"/>
                <w:szCs w:val="14"/>
                <w:vertAlign w:val="subscript"/>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8E6782" w14:textId="77777777" w:rsidR="007B04D1" w:rsidRPr="007B04D1" w:rsidRDefault="007B04D1" w:rsidP="007B04D1">
            <w:pPr>
              <w:spacing w:before="0" w:after="0" w:line="240" w:lineRule="auto"/>
              <w:jc w:val="left"/>
              <w:rPr>
                <w:rFonts w:ascii="Times New Roman" w:eastAsia="Times New Roman" w:hAnsi="Times New Roman" w:cs="Times New Roman"/>
              </w:rPr>
            </w:pPr>
            <w:r w:rsidRPr="007B04D1">
              <w:rPr>
                <w:rFonts w:eastAsia="Times New Roman"/>
                <w:color w:val="000000"/>
              </w:rPr>
              <w:t>604.5071</w:t>
            </w:r>
          </w:p>
        </w:tc>
      </w:tr>
    </w:tbl>
    <w:p w14:paraId="1F5A116F" w14:textId="77777777" w:rsidR="007B04D1" w:rsidRPr="007B04D1" w:rsidRDefault="007B04D1" w:rsidP="007B04D1">
      <w:pPr>
        <w:spacing w:before="0" w:after="0" w:line="480" w:lineRule="auto"/>
        <w:rPr>
          <w:rFonts w:ascii="Times New Roman" w:eastAsia="Times New Roman" w:hAnsi="Times New Roman" w:cs="Times New Roman"/>
        </w:rPr>
      </w:pPr>
      <w:r w:rsidRPr="007B04D1">
        <w:rPr>
          <w:rFonts w:eastAsia="Times New Roman"/>
          <w:color w:val="000000"/>
        </w:rPr>
        <w:t>*</w:t>
      </w:r>
      <w:proofErr w:type="gramStart"/>
      <w:r w:rsidRPr="007B04D1">
        <w:rPr>
          <w:rFonts w:eastAsia="Times New Roman"/>
          <w:color w:val="000000"/>
        </w:rPr>
        <w:t>standard</w:t>
      </w:r>
      <w:proofErr w:type="gramEnd"/>
      <w:r w:rsidRPr="007B04D1">
        <w:rPr>
          <w:rFonts w:eastAsia="Times New Roman"/>
          <w:color w:val="000000"/>
        </w:rPr>
        <w:t xml:space="preserve"> used to quantify AR homologues</w:t>
      </w:r>
    </w:p>
    <w:p w14:paraId="3F400620" w14:textId="77777777" w:rsidR="007B04D1" w:rsidRDefault="007B04D1" w:rsidP="00467065">
      <w:pPr>
        <w:spacing w:line="480" w:lineRule="auto"/>
        <w:rPr>
          <w:b/>
          <w:bCs/>
        </w:rPr>
      </w:pPr>
    </w:p>
    <w:p w14:paraId="4195792C" w14:textId="77777777" w:rsidR="007B04D1" w:rsidRDefault="007B04D1" w:rsidP="00467065">
      <w:pPr>
        <w:spacing w:line="480" w:lineRule="auto"/>
        <w:rPr>
          <w:b/>
          <w:bCs/>
        </w:rPr>
      </w:pPr>
    </w:p>
    <w:p w14:paraId="2687DCE4" w14:textId="77777777" w:rsidR="007B04D1" w:rsidRDefault="007B04D1" w:rsidP="00467065">
      <w:pPr>
        <w:spacing w:line="480" w:lineRule="auto"/>
        <w:rPr>
          <w:b/>
          <w:bCs/>
        </w:rPr>
      </w:pPr>
    </w:p>
    <w:p w14:paraId="70EC2757" w14:textId="77777777" w:rsidR="007B04D1" w:rsidRDefault="007B04D1" w:rsidP="00467065">
      <w:pPr>
        <w:spacing w:line="480" w:lineRule="auto"/>
        <w:rPr>
          <w:b/>
          <w:bCs/>
        </w:rPr>
      </w:pPr>
    </w:p>
    <w:p w14:paraId="356351FD" w14:textId="77777777" w:rsidR="007B04D1" w:rsidRDefault="007B04D1" w:rsidP="00467065">
      <w:pPr>
        <w:spacing w:line="480" w:lineRule="auto"/>
        <w:rPr>
          <w:b/>
          <w:bCs/>
        </w:rPr>
      </w:pPr>
    </w:p>
    <w:p w14:paraId="5AA1618E" w14:textId="77777777" w:rsidR="00A0175B" w:rsidRPr="00A0175B" w:rsidRDefault="00A0175B" w:rsidP="00A0175B">
      <w:pPr>
        <w:spacing w:line="480" w:lineRule="auto"/>
        <w:rPr>
          <w:rFonts w:ascii="Times New Roman" w:eastAsia="Times New Roman" w:hAnsi="Times New Roman" w:cs="Times New Roman"/>
        </w:rPr>
      </w:pPr>
      <w:r w:rsidRPr="00A0175B">
        <w:rPr>
          <w:rFonts w:eastAsia="Times New Roman"/>
          <w:b/>
          <w:bCs/>
          <w:color w:val="000000"/>
        </w:rPr>
        <w:lastRenderedPageBreak/>
        <w:t>Table 2.</w:t>
      </w:r>
      <w:r w:rsidRPr="00A0175B">
        <w:rPr>
          <w:rFonts w:eastAsia="Times New Roman"/>
          <w:color w:val="000000"/>
        </w:rPr>
        <w:t xml:space="preserve"> Validation parameters of various instruments reported in the literature.</w:t>
      </w:r>
    </w:p>
    <w:tbl>
      <w:tblPr>
        <w:tblW w:w="0" w:type="auto"/>
        <w:tblCellMar>
          <w:top w:w="15" w:type="dxa"/>
          <w:left w:w="15" w:type="dxa"/>
          <w:bottom w:w="15" w:type="dxa"/>
          <w:right w:w="15" w:type="dxa"/>
        </w:tblCellMar>
        <w:tblLook w:val="04A0" w:firstRow="1" w:lastRow="0" w:firstColumn="1" w:lastColumn="0" w:noHBand="0" w:noVBand="1"/>
      </w:tblPr>
      <w:tblGrid>
        <w:gridCol w:w="2146"/>
        <w:gridCol w:w="2577"/>
        <w:gridCol w:w="3030"/>
        <w:gridCol w:w="1266"/>
      </w:tblGrid>
      <w:tr w:rsidR="00A0175B" w:rsidRPr="00A0175B" w14:paraId="515A5911" w14:textId="77777777" w:rsidTr="00A0175B">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C2859DA" w14:textId="77777777" w:rsidR="00A0175B" w:rsidRPr="00BA7AB7" w:rsidRDefault="00A0175B" w:rsidP="00A0175B">
            <w:pPr>
              <w:spacing w:before="0" w:after="0" w:line="240" w:lineRule="auto"/>
              <w:jc w:val="left"/>
              <w:rPr>
                <w:rFonts w:ascii="Times New Roman" w:eastAsia="Times New Roman" w:hAnsi="Times New Roman" w:cs="Times New Roman"/>
              </w:rPr>
            </w:pPr>
            <w:r w:rsidRPr="00467065">
              <w:rPr>
                <w:rFonts w:eastAsia="Times New Roman"/>
              </w:rPr>
              <w:t>Instrument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30BF529" w14:textId="77777777" w:rsidR="00A0175B" w:rsidRPr="00BA7AB7" w:rsidRDefault="00A0175B" w:rsidP="00A0175B">
            <w:pPr>
              <w:spacing w:before="0" w:after="0" w:line="240" w:lineRule="auto"/>
              <w:jc w:val="left"/>
              <w:rPr>
                <w:rFonts w:ascii="Times New Roman" w:eastAsia="Times New Roman" w:hAnsi="Times New Roman" w:cs="Times New Roman"/>
              </w:rPr>
            </w:pPr>
            <w:r w:rsidRPr="00467065">
              <w:rPr>
                <w:rFonts w:eastAsia="Times New Roman"/>
              </w:rPr>
              <w:t>Limit of detection (LOD; µg/g)</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CC8EE33" w14:textId="77777777" w:rsidR="00A0175B" w:rsidRPr="00BA7AB7" w:rsidRDefault="00A0175B" w:rsidP="00A0175B">
            <w:pPr>
              <w:spacing w:before="0" w:after="0" w:line="240" w:lineRule="auto"/>
              <w:jc w:val="left"/>
              <w:rPr>
                <w:rFonts w:ascii="Times New Roman" w:eastAsia="Times New Roman" w:hAnsi="Times New Roman" w:cs="Times New Roman"/>
              </w:rPr>
            </w:pPr>
            <w:r w:rsidRPr="00467065">
              <w:rPr>
                <w:rFonts w:eastAsia="Times New Roman"/>
              </w:rPr>
              <w:t>Limit of quantification (LOQ; µg/g)</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366FF3A" w14:textId="77777777" w:rsidR="00A0175B" w:rsidRPr="00BA7AB7" w:rsidRDefault="00A0175B" w:rsidP="00A0175B">
            <w:pPr>
              <w:spacing w:before="0" w:after="0" w:line="240" w:lineRule="auto"/>
              <w:jc w:val="left"/>
              <w:rPr>
                <w:rFonts w:ascii="Times New Roman" w:eastAsia="Times New Roman" w:hAnsi="Times New Roman" w:cs="Times New Roman"/>
              </w:rPr>
            </w:pPr>
            <w:r w:rsidRPr="00467065">
              <w:rPr>
                <w:rFonts w:eastAsia="Times New Roman"/>
              </w:rPr>
              <w:t>References</w:t>
            </w:r>
          </w:p>
        </w:tc>
      </w:tr>
      <w:tr w:rsidR="00A0175B" w:rsidRPr="00A0175B" w14:paraId="31A4F331" w14:textId="77777777" w:rsidTr="00A0175B">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217CAE7" w14:textId="77777777" w:rsidR="00A0175B" w:rsidRPr="00BA7AB7" w:rsidRDefault="00A0175B" w:rsidP="00A0175B">
            <w:pPr>
              <w:spacing w:before="0" w:after="0" w:line="240" w:lineRule="auto"/>
              <w:jc w:val="left"/>
              <w:rPr>
                <w:rFonts w:ascii="Times New Roman" w:eastAsia="Times New Roman" w:hAnsi="Times New Roman" w:cs="Times New Roman"/>
              </w:rPr>
            </w:pPr>
            <w:r w:rsidRPr="00467065">
              <w:rPr>
                <w:rFonts w:eastAsia="Times New Roman"/>
              </w:rPr>
              <w:t>GC/MS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5CFBEB5" w14:textId="77777777" w:rsidR="00A0175B" w:rsidRPr="00BA7AB7" w:rsidRDefault="00A0175B" w:rsidP="00A0175B">
            <w:pPr>
              <w:spacing w:before="0" w:after="0" w:line="240" w:lineRule="auto"/>
              <w:jc w:val="left"/>
              <w:rPr>
                <w:rFonts w:ascii="Times New Roman" w:eastAsia="Times New Roman" w:hAnsi="Times New Roman" w:cs="Times New Roman"/>
              </w:rPr>
            </w:pPr>
            <w:r w:rsidRPr="00467065">
              <w:rPr>
                <w:rFonts w:eastAsia="Times New Roma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DD407D5" w14:textId="77777777" w:rsidR="00A0175B" w:rsidRPr="00BA7AB7" w:rsidRDefault="00A0175B" w:rsidP="00A0175B">
            <w:pPr>
              <w:spacing w:before="0" w:after="0" w:line="240" w:lineRule="auto"/>
              <w:jc w:val="left"/>
              <w:rPr>
                <w:rFonts w:ascii="Times New Roman" w:eastAsia="Times New Roman" w:hAnsi="Times New Roman" w:cs="Times New Roman"/>
              </w:rPr>
            </w:pPr>
            <w:r w:rsidRPr="00467065">
              <w:rPr>
                <w:rFonts w:eastAsia="Times New Roma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A3D6DAA" w14:textId="77777777" w:rsidR="00A0175B" w:rsidRPr="00BA7AB7" w:rsidRDefault="00000000" w:rsidP="00A0175B">
            <w:pPr>
              <w:spacing w:before="0" w:after="0" w:line="240" w:lineRule="auto"/>
              <w:jc w:val="left"/>
              <w:rPr>
                <w:rFonts w:ascii="Times New Roman" w:eastAsia="Times New Roman" w:hAnsi="Times New Roman" w:cs="Times New Roman"/>
              </w:rPr>
            </w:pPr>
            <w:hyperlink r:id="rId77" w:history="1">
              <w:r w:rsidR="00A0175B" w:rsidRPr="00467065">
                <w:rPr>
                  <w:rFonts w:eastAsia="Times New Roman"/>
                  <w:sz w:val="14"/>
                  <w:szCs w:val="14"/>
                  <w:u w:val="single"/>
                  <w:vertAlign w:val="superscript"/>
                </w:rPr>
                <w:t>13</w:t>
              </w:r>
            </w:hyperlink>
          </w:p>
        </w:tc>
      </w:tr>
      <w:tr w:rsidR="00A0175B" w:rsidRPr="00A0175B" w14:paraId="7CF05A7D" w14:textId="77777777" w:rsidTr="00A0175B">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0126FE0" w14:textId="77777777" w:rsidR="00A0175B" w:rsidRPr="00BA7AB7" w:rsidRDefault="00A0175B" w:rsidP="00A0175B">
            <w:pPr>
              <w:spacing w:before="0" w:after="0" w:line="240" w:lineRule="auto"/>
              <w:jc w:val="left"/>
              <w:rPr>
                <w:rFonts w:ascii="Times New Roman" w:eastAsia="Times New Roman" w:hAnsi="Times New Roman" w:cs="Times New Roman"/>
              </w:rPr>
            </w:pPr>
            <w:r w:rsidRPr="00467065">
              <w:rPr>
                <w:rFonts w:eastAsia="Times New Roman"/>
              </w:rPr>
              <w:t>GC-Q/TOFMS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E5AAC61" w14:textId="77777777" w:rsidR="00A0175B" w:rsidRPr="00BA7AB7" w:rsidRDefault="00A0175B" w:rsidP="00A0175B">
            <w:pPr>
              <w:spacing w:before="0" w:after="0" w:line="240" w:lineRule="auto"/>
              <w:jc w:val="left"/>
              <w:rPr>
                <w:rFonts w:ascii="Times New Roman" w:eastAsia="Times New Roman" w:hAnsi="Times New Roman" w:cs="Times New Roman"/>
              </w:rPr>
            </w:pPr>
            <w:r w:rsidRPr="00467065">
              <w:rPr>
                <w:rFonts w:eastAsia="Times New Roman"/>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793F46E" w14:textId="77777777" w:rsidR="00A0175B" w:rsidRPr="00BA7AB7" w:rsidRDefault="00A0175B" w:rsidP="00A0175B">
            <w:pPr>
              <w:spacing w:before="0" w:after="0" w:line="240" w:lineRule="auto"/>
              <w:jc w:val="left"/>
              <w:rPr>
                <w:rFonts w:ascii="Times New Roman" w:eastAsia="Times New Roman" w:hAnsi="Times New Roman" w:cs="Times New Roman"/>
              </w:rPr>
            </w:pPr>
            <w:r w:rsidRPr="00467065">
              <w:rPr>
                <w:rFonts w:eastAsia="Times New Roma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2150F15" w14:textId="77777777" w:rsidR="00A0175B" w:rsidRPr="00BA7AB7" w:rsidRDefault="00000000" w:rsidP="00A0175B">
            <w:pPr>
              <w:spacing w:before="0" w:after="0" w:line="240" w:lineRule="auto"/>
              <w:jc w:val="left"/>
              <w:rPr>
                <w:rFonts w:ascii="Times New Roman" w:eastAsia="Times New Roman" w:hAnsi="Times New Roman" w:cs="Times New Roman"/>
              </w:rPr>
            </w:pPr>
            <w:hyperlink r:id="rId78" w:history="1">
              <w:r w:rsidR="00A0175B" w:rsidRPr="00467065">
                <w:rPr>
                  <w:rFonts w:eastAsia="Times New Roman"/>
                  <w:sz w:val="14"/>
                  <w:szCs w:val="14"/>
                  <w:u w:val="single"/>
                  <w:vertAlign w:val="superscript"/>
                </w:rPr>
                <w:t>11</w:t>
              </w:r>
            </w:hyperlink>
          </w:p>
        </w:tc>
      </w:tr>
      <w:tr w:rsidR="00A0175B" w:rsidRPr="00A0175B" w14:paraId="5992EA90" w14:textId="77777777" w:rsidTr="00A0175B">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BCC60A7" w14:textId="77777777" w:rsidR="00A0175B" w:rsidRPr="00BA7AB7" w:rsidRDefault="00A0175B" w:rsidP="00A0175B">
            <w:pPr>
              <w:spacing w:before="0" w:after="0" w:line="240" w:lineRule="auto"/>
              <w:jc w:val="left"/>
              <w:rPr>
                <w:rFonts w:ascii="Times New Roman" w:eastAsia="Times New Roman" w:hAnsi="Times New Roman" w:cs="Times New Roman"/>
              </w:rPr>
            </w:pPr>
            <w:r w:rsidRPr="00467065">
              <w:rPr>
                <w:rFonts w:eastAsia="Times New Roman"/>
              </w:rPr>
              <w:t>UHPLC-Q/Orbitrap MS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AA4BF28" w14:textId="77777777" w:rsidR="00A0175B" w:rsidRPr="00BA7AB7" w:rsidRDefault="00A0175B" w:rsidP="00A0175B">
            <w:pPr>
              <w:spacing w:before="0" w:after="0" w:line="240" w:lineRule="auto"/>
              <w:jc w:val="left"/>
              <w:rPr>
                <w:rFonts w:ascii="Times New Roman" w:eastAsia="Times New Roman" w:hAnsi="Times New Roman" w:cs="Times New Roman"/>
              </w:rPr>
            </w:pPr>
            <w:r w:rsidRPr="00467065">
              <w:rPr>
                <w:rFonts w:eastAsia="Times New Roman"/>
              </w:rPr>
              <w:t>0.02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D464F39" w14:textId="77777777" w:rsidR="00A0175B" w:rsidRPr="00BA7AB7" w:rsidRDefault="00A0175B" w:rsidP="00A0175B">
            <w:pPr>
              <w:spacing w:before="0" w:after="0" w:line="240" w:lineRule="auto"/>
              <w:jc w:val="left"/>
              <w:rPr>
                <w:rFonts w:ascii="Times New Roman" w:eastAsia="Times New Roman" w:hAnsi="Times New Roman" w:cs="Times New Roman"/>
              </w:rPr>
            </w:pPr>
            <w:r w:rsidRPr="00467065">
              <w:rPr>
                <w:rFonts w:eastAsia="Times New Roman"/>
              </w:rPr>
              <w:t>0.06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D5A3AEA" w14:textId="77777777" w:rsidR="00A0175B" w:rsidRPr="00BA7AB7" w:rsidRDefault="00A0175B" w:rsidP="00A0175B">
            <w:pPr>
              <w:spacing w:before="0" w:after="0" w:line="240" w:lineRule="auto"/>
              <w:jc w:val="left"/>
              <w:rPr>
                <w:rFonts w:ascii="Times New Roman" w:eastAsia="Times New Roman" w:hAnsi="Times New Roman" w:cs="Times New Roman"/>
              </w:rPr>
            </w:pPr>
            <w:r w:rsidRPr="00467065">
              <w:rPr>
                <w:rFonts w:eastAsia="Times New Roman"/>
              </w:rPr>
              <w:t>This study</w:t>
            </w:r>
          </w:p>
        </w:tc>
      </w:tr>
    </w:tbl>
    <w:p w14:paraId="3F198A73" w14:textId="77777777" w:rsidR="007B04D1" w:rsidRDefault="007B04D1" w:rsidP="00467065">
      <w:pPr>
        <w:spacing w:line="480" w:lineRule="auto"/>
        <w:rPr>
          <w:b/>
          <w:bCs/>
        </w:rPr>
      </w:pPr>
    </w:p>
    <w:p w14:paraId="42D884D5" w14:textId="77777777" w:rsidR="007B04D1" w:rsidRDefault="007B04D1" w:rsidP="00467065">
      <w:pPr>
        <w:spacing w:line="480" w:lineRule="auto"/>
        <w:rPr>
          <w:b/>
          <w:bCs/>
        </w:rPr>
      </w:pPr>
    </w:p>
    <w:p w14:paraId="1ED7365A" w14:textId="77777777" w:rsidR="007B04D1" w:rsidRDefault="007B04D1" w:rsidP="00467065">
      <w:pPr>
        <w:spacing w:line="480" w:lineRule="auto"/>
        <w:rPr>
          <w:b/>
          <w:bCs/>
        </w:rPr>
      </w:pPr>
    </w:p>
    <w:p w14:paraId="01320634" w14:textId="77777777" w:rsidR="007B04D1" w:rsidRDefault="007B04D1" w:rsidP="00467065">
      <w:pPr>
        <w:spacing w:line="480" w:lineRule="auto"/>
        <w:rPr>
          <w:b/>
          <w:bCs/>
        </w:rPr>
      </w:pPr>
    </w:p>
    <w:p w14:paraId="498BDDE7" w14:textId="77777777" w:rsidR="007B04D1" w:rsidRDefault="007B04D1" w:rsidP="00467065">
      <w:pPr>
        <w:spacing w:line="480" w:lineRule="auto"/>
        <w:rPr>
          <w:b/>
          <w:bCs/>
        </w:rPr>
      </w:pPr>
    </w:p>
    <w:p w14:paraId="60CD61BF" w14:textId="77777777" w:rsidR="007B04D1" w:rsidRDefault="007B04D1" w:rsidP="00467065">
      <w:pPr>
        <w:spacing w:line="480" w:lineRule="auto"/>
        <w:rPr>
          <w:b/>
          <w:bCs/>
        </w:rPr>
      </w:pPr>
    </w:p>
    <w:p w14:paraId="4E70F574" w14:textId="77777777" w:rsidR="007B04D1" w:rsidRDefault="007B04D1" w:rsidP="00467065">
      <w:pPr>
        <w:spacing w:line="480" w:lineRule="auto"/>
        <w:rPr>
          <w:b/>
          <w:bCs/>
        </w:rPr>
      </w:pPr>
    </w:p>
    <w:p w14:paraId="48948BD2" w14:textId="77777777" w:rsidR="007B04D1" w:rsidRDefault="007B04D1" w:rsidP="00467065">
      <w:pPr>
        <w:spacing w:line="480" w:lineRule="auto"/>
        <w:rPr>
          <w:b/>
          <w:bCs/>
        </w:rPr>
      </w:pPr>
    </w:p>
    <w:p w14:paraId="6B07CB9D" w14:textId="77777777" w:rsidR="007B04D1" w:rsidRDefault="007B04D1" w:rsidP="00AD3FF1">
      <w:pPr>
        <w:spacing w:line="480" w:lineRule="auto"/>
        <w:rPr>
          <w:b/>
          <w:bCs/>
        </w:rPr>
      </w:pPr>
    </w:p>
    <w:p w14:paraId="60E53C13" w14:textId="77777777" w:rsidR="00BA7AB7" w:rsidRDefault="00BA7AB7" w:rsidP="00AD3FF1">
      <w:pPr>
        <w:spacing w:line="480" w:lineRule="auto"/>
        <w:rPr>
          <w:b/>
          <w:bCs/>
        </w:rPr>
      </w:pPr>
    </w:p>
    <w:p w14:paraId="21C5C276" w14:textId="77777777" w:rsidR="00BA7AB7" w:rsidRDefault="00BA7AB7" w:rsidP="00AD3FF1">
      <w:pPr>
        <w:spacing w:line="480" w:lineRule="auto"/>
        <w:rPr>
          <w:b/>
          <w:bCs/>
        </w:rPr>
      </w:pPr>
    </w:p>
    <w:p w14:paraId="160186A4" w14:textId="77777777" w:rsidR="00BA7AB7" w:rsidRDefault="00BA7AB7" w:rsidP="00AD3FF1">
      <w:pPr>
        <w:spacing w:line="480" w:lineRule="auto"/>
        <w:rPr>
          <w:b/>
          <w:bCs/>
        </w:rPr>
      </w:pPr>
    </w:p>
    <w:p w14:paraId="22C27AF3" w14:textId="77777777" w:rsidR="00BA7AB7" w:rsidRDefault="00BA7AB7" w:rsidP="00AD3FF1">
      <w:pPr>
        <w:spacing w:line="480" w:lineRule="auto"/>
        <w:rPr>
          <w:b/>
          <w:bCs/>
        </w:rPr>
      </w:pPr>
    </w:p>
    <w:p w14:paraId="7E24D0E6" w14:textId="77777777" w:rsidR="00BA7AB7" w:rsidRDefault="00BA7AB7" w:rsidP="00AD3FF1">
      <w:pPr>
        <w:spacing w:line="480" w:lineRule="auto"/>
        <w:rPr>
          <w:b/>
          <w:bCs/>
        </w:rPr>
        <w:sectPr w:rsidR="00BA7AB7" w:rsidSect="00735384">
          <w:headerReference w:type="default" r:id="rId79"/>
          <w:pgSz w:w="11909" w:h="16834"/>
          <w:pgMar w:top="1440" w:right="1440" w:bottom="1440" w:left="1440" w:header="720" w:footer="720" w:gutter="0"/>
          <w:lnNumType w:countBy="1"/>
          <w:pgNumType w:start="1"/>
          <w:cols w:space="720"/>
          <w:docGrid w:linePitch="326"/>
        </w:sectPr>
      </w:pPr>
    </w:p>
    <w:p w14:paraId="1DBDB89D" w14:textId="77777777" w:rsidR="00BA7AB7" w:rsidRDefault="00BA7AB7" w:rsidP="00BA7AB7">
      <w:pPr>
        <w:spacing w:line="480" w:lineRule="auto"/>
      </w:pPr>
      <w:r>
        <w:rPr>
          <w:b/>
        </w:rPr>
        <w:lastRenderedPageBreak/>
        <w:t>Table 3.</w:t>
      </w:r>
      <w:r>
        <w:t xml:space="preserve"> Mean distribution of AR homologues in five different cereal species (mean of duplicates) and standard deviation (SD) in parentheses detected and identified by UHPLC-Q/Orbitrap MS. The total AR concentration was expressed as the sum of the individual saturated and unsaturated homologues.</w:t>
      </w:r>
    </w:p>
    <w:tbl>
      <w:tblPr>
        <w:tblW w:w="14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5"/>
        <w:gridCol w:w="991"/>
        <w:gridCol w:w="1044"/>
        <w:gridCol w:w="1071"/>
        <w:gridCol w:w="1098"/>
        <w:gridCol w:w="1099"/>
        <w:gridCol w:w="1072"/>
        <w:gridCol w:w="1072"/>
        <w:gridCol w:w="992"/>
        <w:gridCol w:w="1072"/>
        <w:gridCol w:w="970"/>
        <w:gridCol w:w="1206"/>
        <w:gridCol w:w="1206"/>
        <w:gridCol w:w="6"/>
      </w:tblGrid>
      <w:tr w:rsidR="00BA7AB7" w14:paraId="50BCCAE3" w14:textId="77777777" w:rsidTr="00467065">
        <w:trPr>
          <w:trHeight w:val="471"/>
        </w:trPr>
        <w:tc>
          <w:tcPr>
            <w:tcW w:w="1206" w:type="dxa"/>
            <w:vMerge w:val="restart"/>
            <w:shd w:val="clear" w:color="auto" w:fill="auto"/>
            <w:tcMar>
              <w:top w:w="100" w:type="dxa"/>
              <w:left w:w="100" w:type="dxa"/>
              <w:bottom w:w="100" w:type="dxa"/>
              <w:right w:w="100" w:type="dxa"/>
            </w:tcMar>
          </w:tcPr>
          <w:p w14:paraId="12601091" w14:textId="77777777" w:rsidR="00BA7AB7" w:rsidRDefault="00BA7AB7" w:rsidP="00F934DE">
            <w:pPr>
              <w:widowControl w:val="0"/>
              <w:spacing w:before="0" w:after="0" w:line="240" w:lineRule="auto"/>
            </w:pPr>
            <w:r>
              <w:t>Species</w:t>
            </w:r>
          </w:p>
        </w:tc>
        <w:tc>
          <w:tcPr>
            <w:tcW w:w="10485" w:type="dxa"/>
            <w:gridSpan w:val="10"/>
            <w:shd w:val="clear" w:color="auto" w:fill="auto"/>
            <w:tcMar>
              <w:top w:w="100" w:type="dxa"/>
              <w:left w:w="100" w:type="dxa"/>
              <w:bottom w:w="100" w:type="dxa"/>
              <w:right w:w="100" w:type="dxa"/>
            </w:tcMar>
          </w:tcPr>
          <w:p w14:paraId="0A6840A1" w14:textId="77777777" w:rsidR="00BA7AB7" w:rsidRDefault="00BA7AB7" w:rsidP="00F934DE">
            <w:pPr>
              <w:widowControl w:val="0"/>
              <w:spacing w:before="0" w:after="0" w:line="240" w:lineRule="auto"/>
            </w:pPr>
            <w:r>
              <w:t>AR homologue content (%) (SD)</w:t>
            </w:r>
          </w:p>
        </w:tc>
        <w:tc>
          <w:tcPr>
            <w:tcW w:w="2413" w:type="dxa"/>
            <w:gridSpan w:val="3"/>
            <w:shd w:val="clear" w:color="auto" w:fill="auto"/>
            <w:tcMar>
              <w:top w:w="100" w:type="dxa"/>
              <w:left w:w="100" w:type="dxa"/>
              <w:bottom w:w="100" w:type="dxa"/>
              <w:right w:w="100" w:type="dxa"/>
            </w:tcMar>
          </w:tcPr>
          <w:p w14:paraId="5C840B92" w14:textId="77777777" w:rsidR="00BA7AB7" w:rsidRDefault="00BA7AB7" w:rsidP="00F934DE">
            <w:pPr>
              <w:widowControl w:val="0"/>
              <w:spacing w:before="0" w:after="0" w:line="240" w:lineRule="auto"/>
            </w:pPr>
            <w:r>
              <w:t>AR ratio</w:t>
            </w:r>
          </w:p>
        </w:tc>
      </w:tr>
      <w:tr w:rsidR="00BA7AB7" w14:paraId="16F32FDF" w14:textId="77777777" w:rsidTr="00BA7AB7">
        <w:trPr>
          <w:gridAfter w:val="1"/>
          <w:wAfter w:w="6" w:type="dxa"/>
          <w:trHeight w:val="471"/>
        </w:trPr>
        <w:tc>
          <w:tcPr>
            <w:tcW w:w="1206" w:type="dxa"/>
            <w:vMerge/>
            <w:shd w:val="clear" w:color="auto" w:fill="auto"/>
            <w:tcMar>
              <w:top w:w="100" w:type="dxa"/>
              <w:left w:w="100" w:type="dxa"/>
              <w:bottom w:w="100" w:type="dxa"/>
              <w:right w:w="100" w:type="dxa"/>
            </w:tcMar>
          </w:tcPr>
          <w:p w14:paraId="75C0410D" w14:textId="77777777" w:rsidR="00BA7AB7" w:rsidRDefault="00BA7AB7" w:rsidP="00F934DE">
            <w:pPr>
              <w:widowControl w:val="0"/>
              <w:spacing w:line="240" w:lineRule="auto"/>
            </w:pPr>
          </w:p>
        </w:tc>
        <w:tc>
          <w:tcPr>
            <w:tcW w:w="992" w:type="dxa"/>
            <w:shd w:val="clear" w:color="auto" w:fill="auto"/>
            <w:tcMar>
              <w:top w:w="100" w:type="dxa"/>
              <w:left w:w="100" w:type="dxa"/>
              <w:bottom w:w="100" w:type="dxa"/>
              <w:right w:w="100" w:type="dxa"/>
            </w:tcMar>
          </w:tcPr>
          <w:p w14:paraId="6B8C80B6" w14:textId="77777777" w:rsidR="00BA7AB7" w:rsidRDefault="00BA7AB7" w:rsidP="00F934DE">
            <w:pPr>
              <w:widowControl w:val="0"/>
              <w:spacing w:before="0" w:after="0" w:line="240" w:lineRule="auto"/>
            </w:pPr>
            <w:r>
              <w:t>17:0</w:t>
            </w:r>
          </w:p>
        </w:tc>
        <w:tc>
          <w:tcPr>
            <w:tcW w:w="1045" w:type="dxa"/>
            <w:shd w:val="clear" w:color="auto" w:fill="auto"/>
            <w:tcMar>
              <w:top w:w="100" w:type="dxa"/>
              <w:left w:w="100" w:type="dxa"/>
              <w:bottom w:w="100" w:type="dxa"/>
              <w:right w:w="100" w:type="dxa"/>
            </w:tcMar>
          </w:tcPr>
          <w:p w14:paraId="0832C307" w14:textId="77777777" w:rsidR="00BA7AB7" w:rsidRDefault="00BA7AB7" w:rsidP="00F934DE">
            <w:pPr>
              <w:widowControl w:val="0"/>
              <w:spacing w:before="0" w:after="0" w:line="240" w:lineRule="auto"/>
            </w:pPr>
            <w:r>
              <w:t>19:0</w:t>
            </w:r>
          </w:p>
        </w:tc>
        <w:tc>
          <w:tcPr>
            <w:tcW w:w="1072" w:type="dxa"/>
            <w:shd w:val="clear" w:color="auto" w:fill="auto"/>
            <w:tcMar>
              <w:top w:w="100" w:type="dxa"/>
              <w:left w:w="100" w:type="dxa"/>
              <w:bottom w:w="100" w:type="dxa"/>
              <w:right w:w="100" w:type="dxa"/>
            </w:tcMar>
          </w:tcPr>
          <w:p w14:paraId="1E708F3B" w14:textId="77777777" w:rsidR="00BA7AB7" w:rsidRDefault="00BA7AB7" w:rsidP="00F934DE">
            <w:pPr>
              <w:widowControl w:val="0"/>
              <w:spacing w:before="0" w:after="0" w:line="240" w:lineRule="auto"/>
            </w:pPr>
            <w:r>
              <w:t>21:0</w:t>
            </w:r>
          </w:p>
        </w:tc>
        <w:tc>
          <w:tcPr>
            <w:tcW w:w="1099" w:type="dxa"/>
            <w:shd w:val="clear" w:color="auto" w:fill="auto"/>
            <w:tcMar>
              <w:top w:w="100" w:type="dxa"/>
              <w:left w:w="100" w:type="dxa"/>
              <w:bottom w:w="100" w:type="dxa"/>
              <w:right w:w="100" w:type="dxa"/>
            </w:tcMar>
          </w:tcPr>
          <w:p w14:paraId="5F3379F0" w14:textId="77777777" w:rsidR="00BA7AB7" w:rsidRDefault="00BA7AB7" w:rsidP="00F934DE">
            <w:pPr>
              <w:widowControl w:val="0"/>
              <w:spacing w:before="0" w:after="0" w:line="240" w:lineRule="auto"/>
            </w:pPr>
            <w:r>
              <w:t>23:0</w:t>
            </w:r>
          </w:p>
        </w:tc>
        <w:tc>
          <w:tcPr>
            <w:tcW w:w="1099" w:type="dxa"/>
            <w:shd w:val="clear" w:color="auto" w:fill="auto"/>
            <w:tcMar>
              <w:top w:w="100" w:type="dxa"/>
              <w:left w:w="100" w:type="dxa"/>
              <w:bottom w:w="100" w:type="dxa"/>
              <w:right w:w="100" w:type="dxa"/>
            </w:tcMar>
          </w:tcPr>
          <w:p w14:paraId="54D9CC2B" w14:textId="77777777" w:rsidR="00BA7AB7" w:rsidRDefault="00BA7AB7" w:rsidP="00F934DE">
            <w:pPr>
              <w:widowControl w:val="0"/>
              <w:spacing w:before="0" w:after="0" w:line="240" w:lineRule="auto"/>
            </w:pPr>
            <w:r>
              <w:t>25:0</w:t>
            </w:r>
          </w:p>
        </w:tc>
        <w:tc>
          <w:tcPr>
            <w:tcW w:w="1072" w:type="dxa"/>
            <w:shd w:val="clear" w:color="auto" w:fill="auto"/>
            <w:tcMar>
              <w:top w:w="100" w:type="dxa"/>
              <w:left w:w="100" w:type="dxa"/>
              <w:bottom w:w="100" w:type="dxa"/>
              <w:right w:w="100" w:type="dxa"/>
            </w:tcMar>
          </w:tcPr>
          <w:p w14:paraId="427A819C" w14:textId="77777777" w:rsidR="00BA7AB7" w:rsidRDefault="00BA7AB7" w:rsidP="00F934DE">
            <w:pPr>
              <w:widowControl w:val="0"/>
              <w:spacing w:before="0" w:after="0" w:line="240" w:lineRule="auto"/>
            </w:pPr>
            <w:r>
              <w:t>17:1</w:t>
            </w:r>
          </w:p>
        </w:tc>
        <w:tc>
          <w:tcPr>
            <w:tcW w:w="1072" w:type="dxa"/>
            <w:shd w:val="clear" w:color="auto" w:fill="auto"/>
            <w:tcMar>
              <w:top w:w="100" w:type="dxa"/>
              <w:left w:w="100" w:type="dxa"/>
              <w:bottom w:w="100" w:type="dxa"/>
              <w:right w:w="100" w:type="dxa"/>
            </w:tcMar>
          </w:tcPr>
          <w:p w14:paraId="70CB1E67" w14:textId="77777777" w:rsidR="00BA7AB7" w:rsidRDefault="00BA7AB7" w:rsidP="00F934DE">
            <w:pPr>
              <w:widowControl w:val="0"/>
              <w:spacing w:before="0" w:after="0" w:line="240" w:lineRule="auto"/>
            </w:pPr>
            <w:r>
              <w:t>19:1</w:t>
            </w:r>
          </w:p>
        </w:tc>
        <w:tc>
          <w:tcPr>
            <w:tcW w:w="992" w:type="dxa"/>
            <w:shd w:val="clear" w:color="auto" w:fill="auto"/>
            <w:tcMar>
              <w:top w:w="100" w:type="dxa"/>
              <w:left w:w="100" w:type="dxa"/>
              <w:bottom w:w="100" w:type="dxa"/>
              <w:right w:w="100" w:type="dxa"/>
            </w:tcMar>
          </w:tcPr>
          <w:p w14:paraId="3B5A425D" w14:textId="77777777" w:rsidR="00BA7AB7" w:rsidRDefault="00BA7AB7" w:rsidP="00F934DE">
            <w:pPr>
              <w:widowControl w:val="0"/>
              <w:spacing w:before="0" w:after="0" w:line="240" w:lineRule="auto"/>
            </w:pPr>
            <w:r>
              <w:t>21:1</w:t>
            </w:r>
          </w:p>
        </w:tc>
        <w:tc>
          <w:tcPr>
            <w:tcW w:w="1072" w:type="dxa"/>
            <w:shd w:val="clear" w:color="auto" w:fill="auto"/>
            <w:tcMar>
              <w:top w:w="100" w:type="dxa"/>
              <w:left w:w="100" w:type="dxa"/>
              <w:bottom w:w="100" w:type="dxa"/>
              <w:right w:w="100" w:type="dxa"/>
            </w:tcMar>
          </w:tcPr>
          <w:p w14:paraId="10B0C7D3" w14:textId="77777777" w:rsidR="00BA7AB7" w:rsidRDefault="00BA7AB7" w:rsidP="00F934DE">
            <w:pPr>
              <w:widowControl w:val="0"/>
              <w:spacing w:before="0" w:after="0" w:line="240" w:lineRule="auto"/>
            </w:pPr>
            <w:r>
              <w:t>23:1</w:t>
            </w:r>
          </w:p>
        </w:tc>
        <w:tc>
          <w:tcPr>
            <w:tcW w:w="965" w:type="dxa"/>
            <w:shd w:val="clear" w:color="auto" w:fill="auto"/>
            <w:tcMar>
              <w:top w:w="100" w:type="dxa"/>
              <w:left w:w="100" w:type="dxa"/>
              <w:bottom w:w="100" w:type="dxa"/>
              <w:right w:w="100" w:type="dxa"/>
            </w:tcMar>
          </w:tcPr>
          <w:p w14:paraId="68EE9B8D" w14:textId="77777777" w:rsidR="00BA7AB7" w:rsidRDefault="00BA7AB7" w:rsidP="00F934DE">
            <w:pPr>
              <w:widowControl w:val="0"/>
              <w:spacing w:before="0" w:after="0" w:line="240" w:lineRule="auto"/>
            </w:pPr>
            <w:r>
              <w:t>25:1</w:t>
            </w:r>
          </w:p>
        </w:tc>
        <w:tc>
          <w:tcPr>
            <w:tcW w:w="1206" w:type="dxa"/>
            <w:shd w:val="clear" w:color="auto" w:fill="auto"/>
            <w:tcMar>
              <w:top w:w="100" w:type="dxa"/>
              <w:left w:w="100" w:type="dxa"/>
              <w:bottom w:w="100" w:type="dxa"/>
              <w:right w:w="100" w:type="dxa"/>
            </w:tcMar>
          </w:tcPr>
          <w:p w14:paraId="24D26F61" w14:textId="77777777" w:rsidR="00BA7AB7" w:rsidRDefault="00BA7AB7" w:rsidP="00F934DE">
            <w:pPr>
              <w:widowControl w:val="0"/>
              <w:spacing w:before="0" w:after="0" w:line="240" w:lineRule="auto"/>
            </w:pPr>
            <w:r>
              <w:t>17:0/21:0</w:t>
            </w:r>
          </w:p>
        </w:tc>
        <w:tc>
          <w:tcPr>
            <w:tcW w:w="1206" w:type="dxa"/>
            <w:shd w:val="clear" w:color="auto" w:fill="auto"/>
            <w:tcMar>
              <w:top w:w="100" w:type="dxa"/>
              <w:left w:w="100" w:type="dxa"/>
              <w:bottom w:w="100" w:type="dxa"/>
              <w:right w:w="100" w:type="dxa"/>
            </w:tcMar>
          </w:tcPr>
          <w:p w14:paraId="38079915" w14:textId="77777777" w:rsidR="00BA7AB7" w:rsidRDefault="00BA7AB7" w:rsidP="00F934DE">
            <w:pPr>
              <w:widowControl w:val="0"/>
              <w:spacing w:before="0" w:after="0" w:line="240" w:lineRule="auto"/>
            </w:pPr>
            <w:r>
              <w:t>21:0/23:0</w:t>
            </w:r>
          </w:p>
        </w:tc>
      </w:tr>
      <w:tr w:rsidR="00BA7AB7" w14:paraId="721A3892" w14:textId="77777777" w:rsidTr="00BA7AB7">
        <w:trPr>
          <w:gridAfter w:val="1"/>
          <w:wAfter w:w="6" w:type="dxa"/>
          <w:trHeight w:val="589"/>
        </w:trPr>
        <w:tc>
          <w:tcPr>
            <w:tcW w:w="1206" w:type="dxa"/>
            <w:shd w:val="clear" w:color="auto" w:fill="auto"/>
            <w:tcMar>
              <w:top w:w="100" w:type="dxa"/>
              <w:left w:w="100" w:type="dxa"/>
              <w:bottom w:w="100" w:type="dxa"/>
              <w:right w:w="100" w:type="dxa"/>
            </w:tcMar>
          </w:tcPr>
          <w:p w14:paraId="0DC932E5" w14:textId="77777777" w:rsidR="00BA7AB7" w:rsidRDefault="00BA7AB7" w:rsidP="00F934DE">
            <w:pPr>
              <w:widowControl w:val="0"/>
              <w:spacing w:before="0" w:after="0" w:line="240" w:lineRule="auto"/>
            </w:pPr>
            <w:r>
              <w:t>Einkorn</w:t>
            </w:r>
          </w:p>
        </w:tc>
        <w:tc>
          <w:tcPr>
            <w:tcW w:w="992" w:type="dxa"/>
            <w:shd w:val="clear" w:color="auto" w:fill="auto"/>
            <w:tcMar>
              <w:top w:w="100" w:type="dxa"/>
              <w:left w:w="100" w:type="dxa"/>
              <w:bottom w:w="100" w:type="dxa"/>
              <w:right w:w="100" w:type="dxa"/>
            </w:tcMar>
          </w:tcPr>
          <w:p w14:paraId="7AB22B84" w14:textId="77777777" w:rsidR="00BA7AB7" w:rsidRDefault="00BA7AB7" w:rsidP="00F934DE">
            <w:pPr>
              <w:widowControl w:val="0"/>
              <w:spacing w:before="0" w:after="0" w:line="240" w:lineRule="auto"/>
            </w:pPr>
            <w:r>
              <w:t>1.2 (0.0)</w:t>
            </w:r>
          </w:p>
        </w:tc>
        <w:tc>
          <w:tcPr>
            <w:tcW w:w="1045" w:type="dxa"/>
            <w:shd w:val="clear" w:color="auto" w:fill="auto"/>
            <w:tcMar>
              <w:top w:w="100" w:type="dxa"/>
              <w:left w:w="100" w:type="dxa"/>
              <w:bottom w:w="100" w:type="dxa"/>
              <w:right w:w="100" w:type="dxa"/>
            </w:tcMar>
          </w:tcPr>
          <w:p w14:paraId="203C6D3A" w14:textId="77777777" w:rsidR="00BA7AB7" w:rsidRDefault="00BA7AB7" w:rsidP="00F934DE">
            <w:pPr>
              <w:widowControl w:val="0"/>
              <w:spacing w:before="0" w:after="0" w:line="240" w:lineRule="auto"/>
            </w:pPr>
            <w:r>
              <w:t>15.0 (0.4)</w:t>
            </w:r>
          </w:p>
        </w:tc>
        <w:tc>
          <w:tcPr>
            <w:tcW w:w="1072" w:type="dxa"/>
            <w:shd w:val="clear" w:color="auto" w:fill="auto"/>
            <w:tcMar>
              <w:top w:w="100" w:type="dxa"/>
              <w:left w:w="100" w:type="dxa"/>
              <w:bottom w:w="100" w:type="dxa"/>
              <w:right w:w="100" w:type="dxa"/>
            </w:tcMar>
          </w:tcPr>
          <w:p w14:paraId="493710BA" w14:textId="77777777" w:rsidR="00BA7AB7" w:rsidRDefault="00BA7AB7" w:rsidP="00F934DE">
            <w:pPr>
              <w:widowControl w:val="0"/>
              <w:spacing w:before="0" w:after="0" w:line="240" w:lineRule="auto"/>
            </w:pPr>
            <w:r>
              <w:t>33.5 (0.3)</w:t>
            </w:r>
          </w:p>
        </w:tc>
        <w:tc>
          <w:tcPr>
            <w:tcW w:w="1099" w:type="dxa"/>
            <w:shd w:val="clear" w:color="auto" w:fill="auto"/>
            <w:tcMar>
              <w:top w:w="100" w:type="dxa"/>
              <w:left w:w="100" w:type="dxa"/>
              <w:bottom w:w="100" w:type="dxa"/>
              <w:right w:w="100" w:type="dxa"/>
            </w:tcMar>
          </w:tcPr>
          <w:p w14:paraId="6089946C" w14:textId="77777777" w:rsidR="00BA7AB7" w:rsidRDefault="00BA7AB7" w:rsidP="00F934DE">
            <w:pPr>
              <w:widowControl w:val="0"/>
              <w:spacing w:before="0" w:after="0" w:line="240" w:lineRule="auto"/>
            </w:pPr>
            <w:r>
              <w:t>23.0 (0.5)</w:t>
            </w:r>
          </w:p>
        </w:tc>
        <w:tc>
          <w:tcPr>
            <w:tcW w:w="1099" w:type="dxa"/>
            <w:shd w:val="clear" w:color="auto" w:fill="auto"/>
            <w:tcMar>
              <w:top w:w="100" w:type="dxa"/>
              <w:left w:w="100" w:type="dxa"/>
              <w:bottom w:w="100" w:type="dxa"/>
              <w:right w:w="100" w:type="dxa"/>
            </w:tcMar>
          </w:tcPr>
          <w:p w14:paraId="190FDFCF" w14:textId="77777777" w:rsidR="00BA7AB7" w:rsidRDefault="00BA7AB7" w:rsidP="00F934DE">
            <w:pPr>
              <w:widowControl w:val="0"/>
              <w:spacing w:before="0" w:after="0" w:line="240" w:lineRule="auto"/>
            </w:pPr>
            <w:r>
              <w:t>13.1 (1.4)</w:t>
            </w:r>
          </w:p>
        </w:tc>
        <w:tc>
          <w:tcPr>
            <w:tcW w:w="1072" w:type="dxa"/>
            <w:shd w:val="clear" w:color="auto" w:fill="auto"/>
            <w:tcMar>
              <w:top w:w="100" w:type="dxa"/>
              <w:left w:w="100" w:type="dxa"/>
              <w:bottom w:w="100" w:type="dxa"/>
              <w:right w:w="100" w:type="dxa"/>
            </w:tcMar>
          </w:tcPr>
          <w:p w14:paraId="1109C33F" w14:textId="77777777" w:rsidR="00BA7AB7" w:rsidRDefault="00BA7AB7" w:rsidP="00F934DE">
            <w:pPr>
              <w:widowControl w:val="0"/>
              <w:spacing w:before="0" w:after="0" w:line="240" w:lineRule="auto"/>
            </w:pPr>
            <w:r>
              <w:t>&lt;LOD</w:t>
            </w:r>
          </w:p>
        </w:tc>
        <w:tc>
          <w:tcPr>
            <w:tcW w:w="1072" w:type="dxa"/>
            <w:shd w:val="clear" w:color="auto" w:fill="auto"/>
            <w:tcMar>
              <w:top w:w="100" w:type="dxa"/>
              <w:left w:w="100" w:type="dxa"/>
              <w:bottom w:w="100" w:type="dxa"/>
              <w:right w:w="100" w:type="dxa"/>
            </w:tcMar>
          </w:tcPr>
          <w:p w14:paraId="3E940075" w14:textId="77777777" w:rsidR="00BA7AB7" w:rsidRDefault="00BA7AB7" w:rsidP="00F934DE">
            <w:pPr>
              <w:widowControl w:val="0"/>
              <w:spacing w:before="0" w:after="0" w:line="240" w:lineRule="auto"/>
            </w:pPr>
            <w:r>
              <w:t>1.3 (0.0)</w:t>
            </w:r>
          </w:p>
        </w:tc>
        <w:tc>
          <w:tcPr>
            <w:tcW w:w="992" w:type="dxa"/>
            <w:shd w:val="clear" w:color="auto" w:fill="auto"/>
            <w:tcMar>
              <w:top w:w="100" w:type="dxa"/>
              <w:left w:w="100" w:type="dxa"/>
              <w:bottom w:w="100" w:type="dxa"/>
              <w:right w:w="100" w:type="dxa"/>
            </w:tcMar>
          </w:tcPr>
          <w:p w14:paraId="4EE267AA" w14:textId="77777777" w:rsidR="00BA7AB7" w:rsidRDefault="00BA7AB7" w:rsidP="00F934DE">
            <w:pPr>
              <w:widowControl w:val="0"/>
              <w:spacing w:before="0" w:after="0" w:line="240" w:lineRule="auto"/>
            </w:pPr>
            <w:r>
              <w:t>4.2 (0.1)</w:t>
            </w:r>
          </w:p>
        </w:tc>
        <w:tc>
          <w:tcPr>
            <w:tcW w:w="1072" w:type="dxa"/>
            <w:shd w:val="clear" w:color="auto" w:fill="auto"/>
            <w:tcMar>
              <w:top w:w="100" w:type="dxa"/>
              <w:left w:w="100" w:type="dxa"/>
              <w:bottom w:w="100" w:type="dxa"/>
              <w:right w:w="100" w:type="dxa"/>
            </w:tcMar>
          </w:tcPr>
          <w:p w14:paraId="5EAFB275" w14:textId="77777777" w:rsidR="00BA7AB7" w:rsidRDefault="00BA7AB7" w:rsidP="00F934DE">
            <w:pPr>
              <w:widowControl w:val="0"/>
              <w:spacing w:before="0" w:after="0" w:line="240" w:lineRule="auto"/>
            </w:pPr>
            <w:r>
              <w:t>5.1 (0.0)</w:t>
            </w:r>
          </w:p>
        </w:tc>
        <w:tc>
          <w:tcPr>
            <w:tcW w:w="965" w:type="dxa"/>
            <w:shd w:val="clear" w:color="auto" w:fill="auto"/>
            <w:tcMar>
              <w:top w:w="100" w:type="dxa"/>
              <w:left w:w="100" w:type="dxa"/>
              <w:bottom w:w="100" w:type="dxa"/>
              <w:right w:w="100" w:type="dxa"/>
            </w:tcMar>
          </w:tcPr>
          <w:p w14:paraId="155E1A35" w14:textId="77777777" w:rsidR="00BA7AB7" w:rsidRDefault="00BA7AB7" w:rsidP="00F934DE">
            <w:pPr>
              <w:widowControl w:val="0"/>
              <w:spacing w:before="0" w:after="0" w:line="240" w:lineRule="auto"/>
            </w:pPr>
            <w:r>
              <w:t>3.6 (0.1)</w:t>
            </w:r>
          </w:p>
        </w:tc>
        <w:tc>
          <w:tcPr>
            <w:tcW w:w="1206" w:type="dxa"/>
            <w:shd w:val="clear" w:color="auto" w:fill="auto"/>
            <w:tcMar>
              <w:top w:w="100" w:type="dxa"/>
              <w:left w:w="100" w:type="dxa"/>
              <w:bottom w:w="100" w:type="dxa"/>
              <w:right w:w="100" w:type="dxa"/>
            </w:tcMar>
          </w:tcPr>
          <w:p w14:paraId="562025B7" w14:textId="77777777" w:rsidR="00BA7AB7" w:rsidRDefault="00BA7AB7" w:rsidP="00F934DE">
            <w:pPr>
              <w:widowControl w:val="0"/>
              <w:spacing w:before="0" w:after="0" w:line="240" w:lineRule="auto"/>
            </w:pPr>
            <w:r>
              <w:t>0.04 (0.00)</w:t>
            </w:r>
          </w:p>
        </w:tc>
        <w:tc>
          <w:tcPr>
            <w:tcW w:w="1206" w:type="dxa"/>
            <w:shd w:val="clear" w:color="auto" w:fill="auto"/>
            <w:tcMar>
              <w:top w:w="100" w:type="dxa"/>
              <w:left w:w="100" w:type="dxa"/>
              <w:bottom w:w="100" w:type="dxa"/>
              <w:right w:w="100" w:type="dxa"/>
            </w:tcMar>
          </w:tcPr>
          <w:p w14:paraId="2A53BBBE" w14:textId="77777777" w:rsidR="00BA7AB7" w:rsidRDefault="00BA7AB7" w:rsidP="00F934DE">
            <w:pPr>
              <w:widowControl w:val="0"/>
              <w:spacing w:before="0" w:after="0" w:line="240" w:lineRule="auto"/>
            </w:pPr>
            <w:r>
              <w:t>1.45 (0.02)</w:t>
            </w:r>
          </w:p>
        </w:tc>
      </w:tr>
      <w:tr w:rsidR="00BA7AB7" w14:paraId="0A6AE9D7" w14:textId="77777777" w:rsidTr="00BA7AB7">
        <w:trPr>
          <w:gridAfter w:val="1"/>
          <w:wAfter w:w="6" w:type="dxa"/>
          <w:trHeight w:val="600"/>
        </w:trPr>
        <w:tc>
          <w:tcPr>
            <w:tcW w:w="1206" w:type="dxa"/>
            <w:shd w:val="clear" w:color="auto" w:fill="auto"/>
            <w:tcMar>
              <w:top w:w="100" w:type="dxa"/>
              <w:left w:w="100" w:type="dxa"/>
              <w:bottom w:w="100" w:type="dxa"/>
              <w:right w:w="100" w:type="dxa"/>
            </w:tcMar>
          </w:tcPr>
          <w:p w14:paraId="2A4F6DCF" w14:textId="77777777" w:rsidR="00BA7AB7" w:rsidRDefault="00BA7AB7" w:rsidP="00F934DE">
            <w:pPr>
              <w:widowControl w:val="0"/>
              <w:spacing w:before="0" w:after="0" w:line="240" w:lineRule="auto"/>
            </w:pPr>
            <w:r>
              <w:t>Emmer</w:t>
            </w:r>
          </w:p>
        </w:tc>
        <w:tc>
          <w:tcPr>
            <w:tcW w:w="992" w:type="dxa"/>
            <w:shd w:val="clear" w:color="auto" w:fill="auto"/>
            <w:tcMar>
              <w:top w:w="100" w:type="dxa"/>
              <w:left w:w="100" w:type="dxa"/>
              <w:bottom w:w="100" w:type="dxa"/>
              <w:right w:w="100" w:type="dxa"/>
            </w:tcMar>
          </w:tcPr>
          <w:p w14:paraId="44345C2A" w14:textId="77777777" w:rsidR="00BA7AB7" w:rsidRDefault="00BA7AB7" w:rsidP="00F934DE">
            <w:pPr>
              <w:widowControl w:val="0"/>
              <w:spacing w:before="0" w:after="0" w:line="240" w:lineRule="auto"/>
            </w:pPr>
            <w:r>
              <w:t>0.8 (0.0)</w:t>
            </w:r>
          </w:p>
        </w:tc>
        <w:tc>
          <w:tcPr>
            <w:tcW w:w="1045" w:type="dxa"/>
            <w:shd w:val="clear" w:color="auto" w:fill="auto"/>
            <w:tcMar>
              <w:top w:w="100" w:type="dxa"/>
              <w:left w:w="100" w:type="dxa"/>
              <w:bottom w:w="100" w:type="dxa"/>
              <w:right w:w="100" w:type="dxa"/>
            </w:tcMar>
          </w:tcPr>
          <w:p w14:paraId="27C0996A" w14:textId="77777777" w:rsidR="00BA7AB7" w:rsidRDefault="00BA7AB7" w:rsidP="00F934DE">
            <w:pPr>
              <w:widowControl w:val="0"/>
              <w:spacing w:before="0" w:after="0" w:line="240" w:lineRule="auto"/>
            </w:pPr>
            <w:r>
              <w:t>13.8 (0.3)</w:t>
            </w:r>
          </w:p>
        </w:tc>
        <w:tc>
          <w:tcPr>
            <w:tcW w:w="1072" w:type="dxa"/>
            <w:shd w:val="clear" w:color="auto" w:fill="auto"/>
            <w:tcMar>
              <w:top w:w="100" w:type="dxa"/>
              <w:left w:w="100" w:type="dxa"/>
              <w:bottom w:w="100" w:type="dxa"/>
              <w:right w:w="100" w:type="dxa"/>
            </w:tcMar>
          </w:tcPr>
          <w:p w14:paraId="22CA4F67" w14:textId="77777777" w:rsidR="00BA7AB7" w:rsidRDefault="00BA7AB7" w:rsidP="00F934DE">
            <w:pPr>
              <w:widowControl w:val="0"/>
              <w:spacing w:before="0" w:after="0" w:line="240" w:lineRule="auto"/>
            </w:pPr>
            <w:r>
              <w:t>40.5 (0.4)</w:t>
            </w:r>
          </w:p>
        </w:tc>
        <w:tc>
          <w:tcPr>
            <w:tcW w:w="1099" w:type="dxa"/>
            <w:shd w:val="clear" w:color="auto" w:fill="auto"/>
            <w:tcMar>
              <w:top w:w="100" w:type="dxa"/>
              <w:left w:w="100" w:type="dxa"/>
              <w:bottom w:w="100" w:type="dxa"/>
              <w:right w:w="100" w:type="dxa"/>
            </w:tcMar>
          </w:tcPr>
          <w:p w14:paraId="4654D85E" w14:textId="77777777" w:rsidR="00BA7AB7" w:rsidRDefault="00BA7AB7" w:rsidP="00F934DE">
            <w:pPr>
              <w:widowControl w:val="0"/>
              <w:spacing w:before="0" w:after="0" w:line="240" w:lineRule="auto"/>
            </w:pPr>
            <w:r>
              <w:t>24.0 (1.2)</w:t>
            </w:r>
          </w:p>
        </w:tc>
        <w:tc>
          <w:tcPr>
            <w:tcW w:w="1099" w:type="dxa"/>
            <w:shd w:val="clear" w:color="auto" w:fill="auto"/>
            <w:tcMar>
              <w:top w:w="100" w:type="dxa"/>
              <w:left w:w="100" w:type="dxa"/>
              <w:bottom w:w="100" w:type="dxa"/>
              <w:right w:w="100" w:type="dxa"/>
            </w:tcMar>
          </w:tcPr>
          <w:p w14:paraId="3FFD5F99" w14:textId="77777777" w:rsidR="00BA7AB7" w:rsidRDefault="00BA7AB7" w:rsidP="00F934DE">
            <w:pPr>
              <w:widowControl w:val="0"/>
              <w:spacing w:before="0" w:after="0" w:line="240" w:lineRule="auto"/>
            </w:pPr>
            <w:r>
              <w:t>15.0 (0.4)</w:t>
            </w:r>
          </w:p>
        </w:tc>
        <w:tc>
          <w:tcPr>
            <w:tcW w:w="1072" w:type="dxa"/>
            <w:shd w:val="clear" w:color="auto" w:fill="auto"/>
            <w:tcMar>
              <w:top w:w="100" w:type="dxa"/>
              <w:left w:w="100" w:type="dxa"/>
              <w:bottom w:w="100" w:type="dxa"/>
              <w:right w:w="100" w:type="dxa"/>
            </w:tcMar>
          </w:tcPr>
          <w:p w14:paraId="76493510" w14:textId="77777777" w:rsidR="00BA7AB7" w:rsidRDefault="00BA7AB7" w:rsidP="00F934DE">
            <w:pPr>
              <w:widowControl w:val="0"/>
              <w:spacing w:before="0" w:after="0" w:line="240" w:lineRule="auto"/>
            </w:pPr>
            <w:r>
              <w:t>&lt;LOD</w:t>
            </w:r>
          </w:p>
        </w:tc>
        <w:tc>
          <w:tcPr>
            <w:tcW w:w="1072" w:type="dxa"/>
            <w:shd w:val="clear" w:color="auto" w:fill="auto"/>
            <w:tcMar>
              <w:top w:w="100" w:type="dxa"/>
              <w:left w:w="100" w:type="dxa"/>
              <w:bottom w:w="100" w:type="dxa"/>
              <w:right w:w="100" w:type="dxa"/>
            </w:tcMar>
          </w:tcPr>
          <w:p w14:paraId="7185A7C3" w14:textId="77777777" w:rsidR="00BA7AB7" w:rsidRDefault="00BA7AB7" w:rsidP="00F934DE">
            <w:pPr>
              <w:widowControl w:val="0"/>
              <w:spacing w:before="0" w:after="0" w:line="240" w:lineRule="auto"/>
            </w:pPr>
            <w:r>
              <w:t>1.0 (0.0)</w:t>
            </w:r>
          </w:p>
        </w:tc>
        <w:tc>
          <w:tcPr>
            <w:tcW w:w="992" w:type="dxa"/>
            <w:shd w:val="clear" w:color="auto" w:fill="auto"/>
            <w:tcMar>
              <w:top w:w="100" w:type="dxa"/>
              <w:left w:w="100" w:type="dxa"/>
              <w:bottom w:w="100" w:type="dxa"/>
              <w:right w:w="100" w:type="dxa"/>
            </w:tcMar>
          </w:tcPr>
          <w:p w14:paraId="2F81D4E8" w14:textId="77777777" w:rsidR="00BA7AB7" w:rsidRDefault="00BA7AB7" w:rsidP="00F934DE">
            <w:pPr>
              <w:widowControl w:val="0"/>
              <w:spacing w:before="0" w:after="0" w:line="240" w:lineRule="auto"/>
            </w:pPr>
            <w:r>
              <w:t>2.8 (0.0)</w:t>
            </w:r>
          </w:p>
        </w:tc>
        <w:tc>
          <w:tcPr>
            <w:tcW w:w="1072" w:type="dxa"/>
            <w:shd w:val="clear" w:color="auto" w:fill="auto"/>
            <w:tcMar>
              <w:top w:w="100" w:type="dxa"/>
              <w:left w:w="100" w:type="dxa"/>
              <w:bottom w:w="100" w:type="dxa"/>
              <w:right w:w="100" w:type="dxa"/>
            </w:tcMar>
          </w:tcPr>
          <w:p w14:paraId="22D1A5DE" w14:textId="77777777" w:rsidR="00BA7AB7" w:rsidRDefault="00BA7AB7" w:rsidP="00F934DE">
            <w:pPr>
              <w:widowControl w:val="0"/>
              <w:spacing w:before="0" w:after="0" w:line="240" w:lineRule="auto"/>
            </w:pPr>
            <w:r>
              <w:t>1.5 (0.0)</w:t>
            </w:r>
          </w:p>
        </w:tc>
        <w:tc>
          <w:tcPr>
            <w:tcW w:w="965" w:type="dxa"/>
            <w:shd w:val="clear" w:color="auto" w:fill="auto"/>
            <w:tcMar>
              <w:top w:w="100" w:type="dxa"/>
              <w:left w:w="100" w:type="dxa"/>
              <w:bottom w:w="100" w:type="dxa"/>
              <w:right w:w="100" w:type="dxa"/>
            </w:tcMar>
          </w:tcPr>
          <w:p w14:paraId="5FD50A77" w14:textId="77777777" w:rsidR="00BA7AB7" w:rsidRDefault="00BA7AB7" w:rsidP="00F934DE">
            <w:pPr>
              <w:widowControl w:val="0"/>
              <w:spacing w:before="0" w:after="0" w:line="240" w:lineRule="auto"/>
            </w:pPr>
            <w:r>
              <w:t>0.7 (0.0)</w:t>
            </w:r>
          </w:p>
        </w:tc>
        <w:tc>
          <w:tcPr>
            <w:tcW w:w="1206" w:type="dxa"/>
            <w:shd w:val="clear" w:color="auto" w:fill="auto"/>
            <w:tcMar>
              <w:top w:w="100" w:type="dxa"/>
              <w:left w:w="100" w:type="dxa"/>
              <w:bottom w:w="100" w:type="dxa"/>
              <w:right w:w="100" w:type="dxa"/>
            </w:tcMar>
          </w:tcPr>
          <w:p w14:paraId="0AFF68C0" w14:textId="77777777" w:rsidR="00BA7AB7" w:rsidRDefault="00BA7AB7" w:rsidP="00F934DE">
            <w:pPr>
              <w:widowControl w:val="0"/>
              <w:spacing w:before="0" w:after="0" w:line="240" w:lineRule="auto"/>
            </w:pPr>
            <w:r>
              <w:t>0.02 (0.00)</w:t>
            </w:r>
          </w:p>
        </w:tc>
        <w:tc>
          <w:tcPr>
            <w:tcW w:w="1206" w:type="dxa"/>
            <w:shd w:val="clear" w:color="auto" w:fill="auto"/>
            <w:tcMar>
              <w:top w:w="100" w:type="dxa"/>
              <w:left w:w="100" w:type="dxa"/>
              <w:bottom w:w="100" w:type="dxa"/>
              <w:right w:w="100" w:type="dxa"/>
            </w:tcMar>
          </w:tcPr>
          <w:p w14:paraId="03624859" w14:textId="77777777" w:rsidR="00BA7AB7" w:rsidRDefault="00BA7AB7" w:rsidP="00F934DE">
            <w:pPr>
              <w:widowControl w:val="0"/>
              <w:spacing w:before="0" w:after="0" w:line="240" w:lineRule="auto"/>
            </w:pPr>
            <w:r>
              <w:t>1.69 (0.10)</w:t>
            </w:r>
          </w:p>
        </w:tc>
      </w:tr>
      <w:tr w:rsidR="00BA7AB7" w14:paraId="095384E8" w14:textId="77777777" w:rsidTr="00BA7AB7">
        <w:trPr>
          <w:gridAfter w:val="1"/>
          <w:wAfter w:w="6" w:type="dxa"/>
          <w:trHeight w:val="878"/>
        </w:trPr>
        <w:tc>
          <w:tcPr>
            <w:tcW w:w="1206" w:type="dxa"/>
            <w:shd w:val="clear" w:color="auto" w:fill="auto"/>
            <w:tcMar>
              <w:top w:w="100" w:type="dxa"/>
              <w:left w:w="100" w:type="dxa"/>
              <w:bottom w:w="100" w:type="dxa"/>
              <w:right w:w="100" w:type="dxa"/>
            </w:tcMar>
          </w:tcPr>
          <w:p w14:paraId="4088E107" w14:textId="77777777" w:rsidR="00BA7AB7" w:rsidRDefault="00BA7AB7" w:rsidP="00F934DE">
            <w:pPr>
              <w:widowControl w:val="0"/>
              <w:spacing w:before="0" w:after="0" w:line="240" w:lineRule="auto"/>
            </w:pPr>
            <w:r>
              <w:t>Khorasan wheat</w:t>
            </w:r>
          </w:p>
        </w:tc>
        <w:tc>
          <w:tcPr>
            <w:tcW w:w="992" w:type="dxa"/>
            <w:shd w:val="clear" w:color="auto" w:fill="auto"/>
            <w:tcMar>
              <w:top w:w="100" w:type="dxa"/>
              <w:left w:w="100" w:type="dxa"/>
              <w:bottom w:w="100" w:type="dxa"/>
              <w:right w:w="100" w:type="dxa"/>
            </w:tcMar>
          </w:tcPr>
          <w:p w14:paraId="5E2D94FF" w14:textId="77777777" w:rsidR="00BA7AB7" w:rsidRDefault="00BA7AB7" w:rsidP="00F934DE">
            <w:pPr>
              <w:widowControl w:val="0"/>
              <w:spacing w:before="0" w:after="0" w:line="240" w:lineRule="auto"/>
            </w:pPr>
            <w:r>
              <w:t>1.2 (0.1)</w:t>
            </w:r>
          </w:p>
        </w:tc>
        <w:tc>
          <w:tcPr>
            <w:tcW w:w="1045" w:type="dxa"/>
            <w:shd w:val="clear" w:color="auto" w:fill="auto"/>
            <w:tcMar>
              <w:top w:w="100" w:type="dxa"/>
              <w:left w:w="100" w:type="dxa"/>
              <w:bottom w:w="100" w:type="dxa"/>
              <w:right w:w="100" w:type="dxa"/>
            </w:tcMar>
          </w:tcPr>
          <w:p w14:paraId="15B9D11B" w14:textId="77777777" w:rsidR="00BA7AB7" w:rsidRDefault="00BA7AB7" w:rsidP="00F934DE">
            <w:pPr>
              <w:widowControl w:val="0"/>
              <w:spacing w:before="0" w:after="0" w:line="240" w:lineRule="auto"/>
            </w:pPr>
            <w:r>
              <w:t>12.7 (0.2)</w:t>
            </w:r>
          </w:p>
        </w:tc>
        <w:tc>
          <w:tcPr>
            <w:tcW w:w="1072" w:type="dxa"/>
            <w:shd w:val="clear" w:color="auto" w:fill="auto"/>
            <w:tcMar>
              <w:top w:w="100" w:type="dxa"/>
              <w:left w:w="100" w:type="dxa"/>
              <w:bottom w:w="100" w:type="dxa"/>
              <w:right w:w="100" w:type="dxa"/>
            </w:tcMar>
          </w:tcPr>
          <w:p w14:paraId="1497C3D1" w14:textId="77777777" w:rsidR="00BA7AB7" w:rsidRDefault="00BA7AB7" w:rsidP="00F934DE">
            <w:pPr>
              <w:widowControl w:val="0"/>
              <w:spacing w:before="0" w:after="0" w:line="240" w:lineRule="auto"/>
            </w:pPr>
            <w:r>
              <w:t>48.3 (0.9)</w:t>
            </w:r>
          </w:p>
        </w:tc>
        <w:tc>
          <w:tcPr>
            <w:tcW w:w="1099" w:type="dxa"/>
            <w:shd w:val="clear" w:color="auto" w:fill="auto"/>
            <w:tcMar>
              <w:top w:w="100" w:type="dxa"/>
              <w:left w:w="100" w:type="dxa"/>
              <w:bottom w:w="100" w:type="dxa"/>
              <w:right w:w="100" w:type="dxa"/>
            </w:tcMar>
          </w:tcPr>
          <w:p w14:paraId="1D3FD596" w14:textId="77777777" w:rsidR="00BA7AB7" w:rsidRDefault="00BA7AB7" w:rsidP="00F934DE">
            <w:pPr>
              <w:widowControl w:val="0"/>
              <w:spacing w:before="0" w:after="0" w:line="240" w:lineRule="auto"/>
            </w:pPr>
            <w:r>
              <w:t>25.3 (0.6)</w:t>
            </w:r>
          </w:p>
        </w:tc>
        <w:tc>
          <w:tcPr>
            <w:tcW w:w="1099" w:type="dxa"/>
            <w:shd w:val="clear" w:color="auto" w:fill="auto"/>
            <w:tcMar>
              <w:top w:w="100" w:type="dxa"/>
              <w:left w:w="100" w:type="dxa"/>
              <w:bottom w:w="100" w:type="dxa"/>
              <w:right w:w="100" w:type="dxa"/>
            </w:tcMar>
          </w:tcPr>
          <w:p w14:paraId="34F198DC" w14:textId="77777777" w:rsidR="00BA7AB7" w:rsidRDefault="00BA7AB7" w:rsidP="00F934DE">
            <w:pPr>
              <w:widowControl w:val="0"/>
              <w:spacing w:before="0" w:after="0" w:line="240" w:lineRule="auto"/>
            </w:pPr>
            <w:r>
              <w:t>9.8 (1.2)</w:t>
            </w:r>
          </w:p>
        </w:tc>
        <w:tc>
          <w:tcPr>
            <w:tcW w:w="1072" w:type="dxa"/>
            <w:shd w:val="clear" w:color="auto" w:fill="auto"/>
            <w:tcMar>
              <w:top w:w="100" w:type="dxa"/>
              <w:left w:w="100" w:type="dxa"/>
              <w:bottom w:w="100" w:type="dxa"/>
              <w:right w:w="100" w:type="dxa"/>
            </w:tcMar>
          </w:tcPr>
          <w:p w14:paraId="338200B2" w14:textId="77777777" w:rsidR="00BA7AB7" w:rsidRDefault="00BA7AB7" w:rsidP="00F934DE">
            <w:pPr>
              <w:widowControl w:val="0"/>
              <w:spacing w:before="0" w:after="0" w:line="240" w:lineRule="auto"/>
            </w:pPr>
            <w:r>
              <w:t>&lt;LOD</w:t>
            </w:r>
          </w:p>
        </w:tc>
        <w:tc>
          <w:tcPr>
            <w:tcW w:w="1072" w:type="dxa"/>
            <w:shd w:val="clear" w:color="auto" w:fill="auto"/>
            <w:tcMar>
              <w:top w:w="100" w:type="dxa"/>
              <w:left w:w="100" w:type="dxa"/>
              <w:bottom w:w="100" w:type="dxa"/>
              <w:right w:w="100" w:type="dxa"/>
            </w:tcMar>
          </w:tcPr>
          <w:p w14:paraId="1D617F2A" w14:textId="77777777" w:rsidR="00BA7AB7" w:rsidRDefault="00BA7AB7" w:rsidP="00F934DE">
            <w:pPr>
              <w:widowControl w:val="0"/>
              <w:spacing w:before="0" w:after="0" w:line="240" w:lineRule="auto"/>
            </w:pPr>
            <w:r>
              <w:t>0.9 (0.0)</w:t>
            </w:r>
          </w:p>
        </w:tc>
        <w:tc>
          <w:tcPr>
            <w:tcW w:w="992" w:type="dxa"/>
            <w:shd w:val="clear" w:color="auto" w:fill="auto"/>
            <w:tcMar>
              <w:top w:w="100" w:type="dxa"/>
              <w:left w:w="100" w:type="dxa"/>
              <w:bottom w:w="100" w:type="dxa"/>
              <w:right w:w="100" w:type="dxa"/>
            </w:tcMar>
          </w:tcPr>
          <w:p w14:paraId="40582136" w14:textId="77777777" w:rsidR="00BA7AB7" w:rsidRDefault="00BA7AB7" w:rsidP="00F934DE">
            <w:pPr>
              <w:widowControl w:val="0"/>
              <w:spacing w:before="0" w:after="0" w:line="240" w:lineRule="auto"/>
            </w:pPr>
            <w:r>
              <w:t>1.5 (0.0)</w:t>
            </w:r>
          </w:p>
        </w:tc>
        <w:tc>
          <w:tcPr>
            <w:tcW w:w="1072" w:type="dxa"/>
            <w:shd w:val="clear" w:color="auto" w:fill="auto"/>
            <w:tcMar>
              <w:top w:w="100" w:type="dxa"/>
              <w:left w:w="100" w:type="dxa"/>
              <w:bottom w:w="100" w:type="dxa"/>
              <w:right w:w="100" w:type="dxa"/>
            </w:tcMar>
          </w:tcPr>
          <w:p w14:paraId="0FFEDBE1" w14:textId="77777777" w:rsidR="00BA7AB7" w:rsidRDefault="00BA7AB7" w:rsidP="00F934DE">
            <w:pPr>
              <w:widowControl w:val="0"/>
              <w:spacing w:before="0" w:after="0" w:line="240" w:lineRule="auto"/>
            </w:pPr>
            <w:r>
              <w:t>0.4 (0.0)</w:t>
            </w:r>
          </w:p>
        </w:tc>
        <w:tc>
          <w:tcPr>
            <w:tcW w:w="965" w:type="dxa"/>
            <w:shd w:val="clear" w:color="auto" w:fill="auto"/>
            <w:tcMar>
              <w:top w:w="100" w:type="dxa"/>
              <w:left w:w="100" w:type="dxa"/>
              <w:bottom w:w="100" w:type="dxa"/>
              <w:right w:w="100" w:type="dxa"/>
            </w:tcMar>
          </w:tcPr>
          <w:p w14:paraId="3F45F040" w14:textId="77777777" w:rsidR="00BA7AB7" w:rsidRDefault="00BA7AB7" w:rsidP="00F934DE">
            <w:pPr>
              <w:widowControl w:val="0"/>
              <w:spacing w:before="0" w:after="0" w:line="240" w:lineRule="auto"/>
            </w:pPr>
            <w:r>
              <w:t>&lt;LOD</w:t>
            </w:r>
          </w:p>
        </w:tc>
        <w:tc>
          <w:tcPr>
            <w:tcW w:w="1206" w:type="dxa"/>
            <w:shd w:val="clear" w:color="auto" w:fill="auto"/>
            <w:tcMar>
              <w:top w:w="100" w:type="dxa"/>
              <w:left w:w="100" w:type="dxa"/>
              <w:bottom w:w="100" w:type="dxa"/>
              <w:right w:w="100" w:type="dxa"/>
            </w:tcMar>
          </w:tcPr>
          <w:p w14:paraId="791E92D9" w14:textId="77777777" w:rsidR="00BA7AB7" w:rsidRDefault="00BA7AB7" w:rsidP="00F934DE">
            <w:pPr>
              <w:widowControl w:val="0"/>
              <w:spacing w:before="0" w:after="0" w:line="240" w:lineRule="auto"/>
            </w:pPr>
            <w:r>
              <w:t>0.03 (0.00)</w:t>
            </w:r>
          </w:p>
        </w:tc>
        <w:tc>
          <w:tcPr>
            <w:tcW w:w="1206" w:type="dxa"/>
            <w:shd w:val="clear" w:color="auto" w:fill="auto"/>
            <w:tcMar>
              <w:top w:w="100" w:type="dxa"/>
              <w:left w:w="100" w:type="dxa"/>
              <w:bottom w:w="100" w:type="dxa"/>
              <w:right w:w="100" w:type="dxa"/>
            </w:tcMar>
          </w:tcPr>
          <w:p w14:paraId="24F4999A" w14:textId="77777777" w:rsidR="00BA7AB7" w:rsidRDefault="00BA7AB7" w:rsidP="00F934DE">
            <w:pPr>
              <w:widowControl w:val="0"/>
              <w:spacing w:before="0" w:after="0" w:line="240" w:lineRule="auto"/>
            </w:pPr>
            <w:r>
              <w:t>1.91 (0.01)</w:t>
            </w:r>
          </w:p>
        </w:tc>
      </w:tr>
      <w:tr w:rsidR="00BA7AB7" w14:paraId="2A1A0A49" w14:textId="77777777" w:rsidTr="00BA7AB7">
        <w:trPr>
          <w:gridAfter w:val="1"/>
          <w:wAfter w:w="6" w:type="dxa"/>
          <w:trHeight w:val="889"/>
        </w:trPr>
        <w:tc>
          <w:tcPr>
            <w:tcW w:w="1206" w:type="dxa"/>
            <w:shd w:val="clear" w:color="auto" w:fill="auto"/>
            <w:tcMar>
              <w:top w:w="100" w:type="dxa"/>
              <w:left w:w="100" w:type="dxa"/>
              <w:bottom w:w="100" w:type="dxa"/>
              <w:right w:w="100" w:type="dxa"/>
            </w:tcMar>
          </w:tcPr>
          <w:p w14:paraId="08F1D287" w14:textId="77777777" w:rsidR="00BA7AB7" w:rsidRDefault="00BA7AB7" w:rsidP="00F934DE">
            <w:pPr>
              <w:widowControl w:val="0"/>
              <w:spacing w:before="0" w:after="0" w:line="240" w:lineRule="auto"/>
            </w:pPr>
            <w:r>
              <w:t>Common wheat</w:t>
            </w:r>
          </w:p>
        </w:tc>
        <w:tc>
          <w:tcPr>
            <w:tcW w:w="992" w:type="dxa"/>
            <w:shd w:val="clear" w:color="auto" w:fill="auto"/>
            <w:tcMar>
              <w:top w:w="100" w:type="dxa"/>
              <w:left w:w="100" w:type="dxa"/>
              <w:bottom w:w="100" w:type="dxa"/>
              <w:right w:w="100" w:type="dxa"/>
            </w:tcMar>
          </w:tcPr>
          <w:p w14:paraId="40263B5E" w14:textId="77777777" w:rsidR="00BA7AB7" w:rsidRDefault="00BA7AB7" w:rsidP="00F934DE">
            <w:pPr>
              <w:widowControl w:val="0"/>
              <w:spacing w:before="0" w:after="0" w:line="240" w:lineRule="auto"/>
            </w:pPr>
            <w:r>
              <w:t>5.9 (0.3)</w:t>
            </w:r>
          </w:p>
        </w:tc>
        <w:tc>
          <w:tcPr>
            <w:tcW w:w="1045" w:type="dxa"/>
            <w:shd w:val="clear" w:color="auto" w:fill="auto"/>
            <w:tcMar>
              <w:top w:w="100" w:type="dxa"/>
              <w:left w:w="100" w:type="dxa"/>
              <w:bottom w:w="100" w:type="dxa"/>
              <w:right w:w="100" w:type="dxa"/>
            </w:tcMar>
          </w:tcPr>
          <w:p w14:paraId="15C05314" w14:textId="77777777" w:rsidR="00BA7AB7" w:rsidRDefault="00BA7AB7" w:rsidP="00F934DE">
            <w:pPr>
              <w:widowControl w:val="0"/>
              <w:spacing w:before="0" w:after="0" w:line="240" w:lineRule="auto"/>
            </w:pPr>
            <w:r>
              <w:t>27.8 (0.8)</w:t>
            </w:r>
          </w:p>
        </w:tc>
        <w:tc>
          <w:tcPr>
            <w:tcW w:w="1072" w:type="dxa"/>
            <w:shd w:val="clear" w:color="auto" w:fill="auto"/>
            <w:tcMar>
              <w:top w:w="100" w:type="dxa"/>
              <w:left w:w="100" w:type="dxa"/>
              <w:bottom w:w="100" w:type="dxa"/>
              <w:right w:w="100" w:type="dxa"/>
            </w:tcMar>
          </w:tcPr>
          <w:p w14:paraId="0E3FD626" w14:textId="77777777" w:rsidR="00BA7AB7" w:rsidRDefault="00BA7AB7" w:rsidP="00F934DE">
            <w:pPr>
              <w:widowControl w:val="0"/>
              <w:spacing w:before="0" w:after="0" w:line="240" w:lineRule="auto"/>
            </w:pPr>
            <w:r>
              <w:t>31.5 (0.5)</w:t>
            </w:r>
          </w:p>
        </w:tc>
        <w:tc>
          <w:tcPr>
            <w:tcW w:w="1099" w:type="dxa"/>
            <w:shd w:val="clear" w:color="auto" w:fill="auto"/>
            <w:tcMar>
              <w:top w:w="100" w:type="dxa"/>
              <w:left w:w="100" w:type="dxa"/>
              <w:bottom w:w="100" w:type="dxa"/>
              <w:right w:w="100" w:type="dxa"/>
            </w:tcMar>
          </w:tcPr>
          <w:p w14:paraId="420725E7" w14:textId="77777777" w:rsidR="00BA7AB7" w:rsidRDefault="00BA7AB7" w:rsidP="00F934DE">
            <w:pPr>
              <w:widowControl w:val="0"/>
              <w:spacing w:before="0" w:after="0" w:line="240" w:lineRule="auto"/>
            </w:pPr>
            <w:r>
              <w:t>12.2 (0.8)</w:t>
            </w:r>
          </w:p>
        </w:tc>
        <w:tc>
          <w:tcPr>
            <w:tcW w:w="1099" w:type="dxa"/>
            <w:shd w:val="clear" w:color="auto" w:fill="auto"/>
            <w:tcMar>
              <w:top w:w="100" w:type="dxa"/>
              <w:left w:w="100" w:type="dxa"/>
              <w:bottom w:w="100" w:type="dxa"/>
              <w:right w:w="100" w:type="dxa"/>
            </w:tcMar>
          </w:tcPr>
          <w:p w14:paraId="2745EE4E" w14:textId="77777777" w:rsidR="00BA7AB7" w:rsidRDefault="00BA7AB7" w:rsidP="00F934DE">
            <w:pPr>
              <w:widowControl w:val="0"/>
              <w:spacing w:before="0" w:after="0" w:line="240" w:lineRule="auto"/>
            </w:pPr>
            <w:r>
              <w:t>8.4 (1.4)</w:t>
            </w:r>
          </w:p>
        </w:tc>
        <w:tc>
          <w:tcPr>
            <w:tcW w:w="1072" w:type="dxa"/>
            <w:shd w:val="clear" w:color="auto" w:fill="auto"/>
            <w:tcMar>
              <w:top w:w="100" w:type="dxa"/>
              <w:left w:w="100" w:type="dxa"/>
              <w:bottom w:w="100" w:type="dxa"/>
              <w:right w:w="100" w:type="dxa"/>
            </w:tcMar>
          </w:tcPr>
          <w:p w14:paraId="40D3E294" w14:textId="77777777" w:rsidR="00BA7AB7" w:rsidRDefault="00BA7AB7" w:rsidP="00F934DE">
            <w:pPr>
              <w:widowControl w:val="0"/>
              <w:spacing w:before="0" w:after="0" w:line="240" w:lineRule="auto"/>
            </w:pPr>
            <w:r>
              <w:t>0.9 (0.0)</w:t>
            </w:r>
          </w:p>
        </w:tc>
        <w:tc>
          <w:tcPr>
            <w:tcW w:w="1072" w:type="dxa"/>
            <w:shd w:val="clear" w:color="auto" w:fill="auto"/>
            <w:tcMar>
              <w:top w:w="100" w:type="dxa"/>
              <w:left w:w="100" w:type="dxa"/>
              <w:bottom w:w="100" w:type="dxa"/>
              <w:right w:w="100" w:type="dxa"/>
            </w:tcMar>
          </w:tcPr>
          <w:p w14:paraId="1BA8231B" w14:textId="77777777" w:rsidR="00BA7AB7" w:rsidRDefault="00BA7AB7" w:rsidP="00F934DE">
            <w:pPr>
              <w:widowControl w:val="0"/>
              <w:spacing w:before="0" w:after="0" w:line="240" w:lineRule="auto"/>
            </w:pPr>
            <w:r>
              <w:t>7.2 (0.3)</w:t>
            </w:r>
          </w:p>
        </w:tc>
        <w:tc>
          <w:tcPr>
            <w:tcW w:w="992" w:type="dxa"/>
            <w:shd w:val="clear" w:color="auto" w:fill="auto"/>
            <w:tcMar>
              <w:top w:w="100" w:type="dxa"/>
              <w:left w:w="100" w:type="dxa"/>
              <w:bottom w:w="100" w:type="dxa"/>
              <w:right w:w="100" w:type="dxa"/>
            </w:tcMar>
          </w:tcPr>
          <w:p w14:paraId="1C578665" w14:textId="77777777" w:rsidR="00BA7AB7" w:rsidRDefault="00BA7AB7" w:rsidP="00F934DE">
            <w:pPr>
              <w:widowControl w:val="0"/>
              <w:spacing w:before="0" w:after="0" w:line="240" w:lineRule="auto"/>
            </w:pPr>
            <w:r>
              <w:t>4.8 (0.2)</w:t>
            </w:r>
          </w:p>
        </w:tc>
        <w:tc>
          <w:tcPr>
            <w:tcW w:w="1072" w:type="dxa"/>
            <w:shd w:val="clear" w:color="auto" w:fill="auto"/>
            <w:tcMar>
              <w:top w:w="100" w:type="dxa"/>
              <w:left w:w="100" w:type="dxa"/>
              <w:bottom w:w="100" w:type="dxa"/>
              <w:right w:w="100" w:type="dxa"/>
            </w:tcMar>
          </w:tcPr>
          <w:p w14:paraId="64CBA462" w14:textId="77777777" w:rsidR="00BA7AB7" w:rsidRDefault="00BA7AB7" w:rsidP="00F934DE">
            <w:pPr>
              <w:widowControl w:val="0"/>
              <w:spacing w:before="0" w:after="0" w:line="240" w:lineRule="auto"/>
            </w:pPr>
            <w:r>
              <w:t>1.0 (0.0)</w:t>
            </w:r>
          </w:p>
        </w:tc>
        <w:tc>
          <w:tcPr>
            <w:tcW w:w="965" w:type="dxa"/>
            <w:shd w:val="clear" w:color="auto" w:fill="auto"/>
            <w:tcMar>
              <w:top w:w="100" w:type="dxa"/>
              <w:left w:w="100" w:type="dxa"/>
              <w:bottom w:w="100" w:type="dxa"/>
              <w:right w:w="100" w:type="dxa"/>
            </w:tcMar>
          </w:tcPr>
          <w:p w14:paraId="736E3FAE" w14:textId="77777777" w:rsidR="00BA7AB7" w:rsidRDefault="00BA7AB7" w:rsidP="00F934DE">
            <w:pPr>
              <w:widowControl w:val="0"/>
              <w:spacing w:before="0" w:after="0" w:line="240" w:lineRule="auto"/>
            </w:pPr>
            <w:r>
              <w:t>0.3 (0.0)</w:t>
            </w:r>
          </w:p>
        </w:tc>
        <w:tc>
          <w:tcPr>
            <w:tcW w:w="1206" w:type="dxa"/>
            <w:shd w:val="clear" w:color="auto" w:fill="auto"/>
            <w:tcMar>
              <w:top w:w="100" w:type="dxa"/>
              <w:left w:w="100" w:type="dxa"/>
              <w:bottom w:w="100" w:type="dxa"/>
              <w:right w:w="100" w:type="dxa"/>
            </w:tcMar>
          </w:tcPr>
          <w:p w14:paraId="678DEE9E" w14:textId="77777777" w:rsidR="00BA7AB7" w:rsidRDefault="00BA7AB7" w:rsidP="00F934DE">
            <w:pPr>
              <w:widowControl w:val="0"/>
              <w:spacing w:before="0" w:after="0" w:line="240" w:lineRule="auto"/>
            </w:pPr>
            <w:r>
              <w:t>0.19 (0.01)</w:t>
            </w:r>
          </w:p>
        </w:tc>
        <w:tc>
          <w:tcPr>
            <w:tcW w:w="1206" w:type="dxa"/>
            <w:shd w:val="clear" w:color="auto" w:fill="auto"/>
            <w:tcMar>
              <w:top w:w="100" w:type="dxa"/>
              <w:left w:w="100" w:type="dxa"/>
              <w:bottom w:w="100" w:type="dxa"/>
              <w:right w:w="100" w:type="dxa"/>
            </w:tcMar>
          </w:tcPr>
          <w:p w14:paraId="4B081FB4" w14:textId="77777777" w:rsidR="00BA7AB7" w:rsidRDefault="00BA7AB7" w:rsidP="00F934DE">
            <w:pPr>
              <w:widowControl w:val="0"/>
              <w:spacing w:before="0" w:after="0" w:line="240" w:lineRule="auto"/>
            </w:pPr>
            <w:r>
              <w:t>2.60 (0.22)</w:t>
            </w:r>
          </w:p>
        </w:tc>
      </w:tr>
      <w:tr w:rsidR="00BA7AB7" w14:paraId="2D7DE1C3" w14:textId="77777777" w:rsidTr="00BA7AB7">
        <w:trPr>
          <w:gridAfter w:val="1"/>
          <w:wAfter w:w="6" w:type="dxa"/>
          <w:trHeight w:val="589"/>
        </w:trPr>
        <w:tc>
          <w:tcPr>
            <w:tcW w:w="1206" w:type="dxa"/>
            <w:shd w:val="clear" w:color="auto" w:fill="auto"/>
            <w:tcMar>
              <w:top w:w="100" w:type="dxa"/>
              <w:left w:w="100" w:type="dxa"/>
              <w:bottom w:w="100" w:type="dxa"/>
              <w:right w:w="100" w:type="dxa"/>
            </w:tcMar>
          </w:tcPr>
          <w:p w14:paraId="6D19B079" w14:textId="77777777" w:rsidR="00BA7AB7" w:rsidRDefault="00BA7AB7" w:rsidP="00F934DE">
            <w:pPr>
              <w:widowControl w:val="0"/>
              <w:spacing w:before="0" w:after="0" w:line="240" w:lineRule="auto"/>
            </w:pPr>
            <w:r>
              <w:t>Barley</w:t>
            </w:r>
          </w:p>
        </w:tc>
        <w:tc>
          <w:tcPr>
            <w:tcW w:w="992" w:type="dxa"/>
            <w:shd w:val="clear" w:color="auto" w:fill="auto"/>
            <w:tcMar>
              <w:top w:w="100" w:type="dxa"/>
              <w:left w:w="100" w:type="dxa"/>
              <w:bottom w:w="100" w:type="dxa"/>
              <w:right w:w="100" w:type="dxa"/>
            </w:tcMar>
          </w:tcPr>
          <w:p w14:paraId="0D93F311" w14:textId="77777777" w:rsidR="00BA7AB7" w:rsidRDefault="00BA7AB7" w:rsidP="00F934DE">
            <w:pPr>
              <w:widowControl w:val="0"/>
              <w:spacing w:before="0" w:after="0" w:line="240" w:lineRule="auto"/>
            </w:pPr>
            <w:r>
              <w:t>0.02 (0.0)</w:t>
            </w:r>
          </w:p>
        </w:tc>
        <w:tc>
          <w:tcPr>
            <w:tcW w:w="1045" w:type="dxa"/>
            <w:shd w:val="clear" w:color="auto" w:fill="auto"/>
            <w:tcMar>
              <w:top w:w="100" w:type="dxa"/>
              <w:left w:w="100" w:type="dxa"/>
              <w:bottom w:w="100" w:type="dxa"/>
              <w:right w:w="100" w:type="dxa"/>
            </w:tcMar>
          </w:tcPr>
          <w:p w14:paraId="7FE0963C" w14:textId="77777777" w:rsidR="00BA7AB7" w:rsidRDefault="00BA7AB7" w:rsidP="00F934DE">
            <w:pPr>
              <w:widowControl w:val="0"/>
              <w:spacing w:before="0" w:after="0" w:line="240" w:lineRule="auto"/>
            </w:pPr>
            <w:r>
              <w:t>12.7 (0.3)</w:t>
            </w:r>
          </w:p>
        </w:tc>
        <w:tc>
          <w:tcPr>
            <w:tcW w:w="1072" w:type="dxa"/>
            <w:shd w:val="clear" w:color="auto" w:fill="auto"/>
            <w:tcMar>
              <w:top w:w="100" w:type="dxa"/>
              <w:left w:w="100" w:type="dxa"/>
              <w:bottom w:w="100" w:type="dxa"/>
              <w:right w:w="100" w:type="dxa"/>
            </w:tcMar>
          </w:tcPr>
          <w:p w14:paraId="65F06B70" w14:textId="77777777" w:rsidR="00BA7AB7" w:rsidRDefault="00BA7AB7" w:rsidP="00F934DE">
            <w:pPr>
              <w:widowControl w:val="0"/>
              <w:spacing w:before="0" w:after="0" w:line="240" w:lineRule="auto"/>
            </w:pPr>
            <w:r>
              <w:t>33.8 (0.1)</w:t>
            </w:r>
          </w:p>
        </w:tc>
        <w:tc>
          <w:tcPr>
            <w:tcW w:w="1099" w:type="dxa"/>
            <w:shd w:val="clear" w:color="auto" w:fill="auto"/>
            <w:tcMar>
              <w:top w:w="100" w:type="dxa"/>
              <w:left w:w="100" w:type="dxa"/>
              <w:bottom w:w="100" w:type="dxa"/>
              <w:right w:w="100" w:type="dxa"/>
            </w:tcMar>
          </w:tcPr>
          <w:p w14:paraId="53569A67" w14:textId="77777777" w:rsidR="00BA7AB7" w:rsidRDefault="00BA7AB7" w:rsidP="00F934DE">
            <w:pPr>
              <w:widowControl w:val="0"/>
              <w:spacing w:before="0" w:after="0" w:line="240" w:lineRule="auto"/>
            </w:pPr>
            <w:r>
              <w:t>9.2 (0.8)</w:t>
            </w:r>
          </w:p>
        </w:tc>
        <w:tc>
          <w:tcPr>
            <w:tcW w:w="1099" w:type="dxa"/>
            <w:shd w:val="clear" w:color="auto" w:fill="auto"/>
            <w:tcMar>
              <w:top w:w="100" w:type="dxa"/>
              <w:left w:w="100" w:type="dxa"/>
              <w:bottom w:w="100" w:type="dxa"/>
              <w:right w:w="100" w:type="dxa"/>
            </w:tcMar>
          </w:tcPr>
          <w:p w14:paraId="3C6E3EC7" w14:textId="77777777" w:rsidR="00BA7AB7" w:rsidRDefault="00BA7AB7" w:rsidP="00F934DE">
            <w:pPr>
              <w:widowControl w:val="0"/>
              <w:spacing w:before="0" w:after="0" w:line="240" w:lineRule="auto"/>
            </w:pPr>
            <w:r>
              <w:t>44.2 (1.3)</w:t>
            </w:r>
          </w:p>
        </w:tc>
        <w:tc>
          <w:tcPr>
            <w:tcW w:w="1072" w:type="dxa"/>
            <w:shd w:val="clear" w:color="auto" w:fill="auto"/>
            <w:tcMar>
              <w:top w:w="100" w:type="dxa"/>
              <w:left w:w="100" w:type="dxa"/>
              <w:bottom w:w="100" w:type="dxa"/>
              <w:right w:w="100" w:type="dxa"/>
            </w:tcMar>
          </w:tcPr>
          <w:p w14:paraId="6C6B3E91" w14:textId="77777777" w:rsidR="00BA7AB7" w:rsidRDefault="00BA7AB7" w:rsidP="00F934DE">
            <w:pPr>
              <w:widowControl w:val="0"/>
              <w:spacing w:before="0" w:after="0" w:line="240" w:lineRule="auto"/>
            </w:pPr>
            <w:r>
              <w:t>&lt;LOD</w:t>
            </w:r>
          </w:p>
        </w:tc>
        <w:tc>
          <w:tcPr>
            <w:tcW w:w="1072" w:type="dxa"/>
            <w:shd w:val="clear" w:color="auto" w:fill="auto"/>
            <w:tcMar>
              <w:top w:w="100" w:type="dxa"/>
              <w:left w:w="100" w:type="dxa"/>
              <w:bottom w:w="100" w:type="dxa"/>
              <w:right w:w="100" w:type="dxa"/>
            </w:tcMar>
          </w:tcPr>
          <w:p w14:paraId="694C3E8E" w14:textId="77777777" w:rsidR="00BA7AB7" w:rsidRDefault="00BA7AB7" w:rsidP="00F934DE">
            <w:pPr>
              <w:widowControl w:val="0"/>
              <w:spacing w:before="0" w:after="0" w:line="240" w:lineRule="auto"/>
            </w:pPr>
            <w:r>
              <w:t>0.09 (0.0)</w:t>
            </w:r>
          </w:p>
        </w:tc>
        <w:tc>
          <w:tcPr>
            <w:tcW w:w="992" w:type="dxa"/>
            <w:shd w:val="clear" w:color="auto" w:fill="auto"/>
            <w:tcMar>
              <w:top w:w="100" w:type="dxa"/>
              <w:left w:w="100" w:type="dxa"/>
              <w:bottom w:w="100" w:type="dxa"/>
              <w:right w:w="100" w:type="dxa"/>
            </w:tcMar>
          </w:tcPr>
          <w:p w14:paraId="2D08AD6C" w14:textId="77777777" w:rsidR="00BA7AB7" w:rsidRDefault="00BA7AB7" w:rsidP="00F934DE">
            <w:pPr>
              <w:widowControl w:val="0"/>
              <w:spacing w:before="0" w:after="0" w:line="240" w:lineRule="auto"/>
            </w:pPr>
            <w:r>
              <w:t>&lt;LOD</w:t>
            </w:r>
          </w:p>
        </w:tc>
        <w:tc>
          <w:tcPr>
            <w:tcW w:w="1072" w:type="dxa"/>
            <w:shd w:val="clear" w:color="auto" w:fill="auto"/>
            <w:tcMar>
              <w:top w:w="100" w:type="dxa"/>
              <w:left w:w="100" w:type="dxa"/>
              <w:bottom w:w="100" w:type="dxa"/>
              <w:right w:w="100" w:type="dxa"/>
            </w:tcMar>
          </w:tcPr>
          <w:p w14:paraId="40F1C7EC" w14:textId="77777777" w:rsidR="00BA7AB7" w:rsidRDefault="00BA7AB7" w:rsidP="00F934DE">
            <w:pPr>
              <w:widowControl w:val="0"/>
              <w:spacing w:before="0" w:after="0" w:line="240" w:lineRule="auto"/>
            </w:pPr>
            <w:r>
              <w:t>&lt;LOD</w:t>
            </w:r>
          </w:p>
        </w:tc>
        <w:tc>
          <w:tcPr>
            <w:tcW w:w="965" w:type="dxa"/>
            <w:shd w:val="clear" w:color="auto" w:fill="auto"/>
            <w:tcMar>
              <w:top w:w="100" w:type="dxa"/>
              <w:left w:w="100" w:type="dxa"/>
              <w:bottom w:w="100" w:type="dxa"/>
              <w:right w:w="100" w:type="dxa"/>
            </w:tcMar>
          </w:tcPr>
          <w:p w14:paraId="168F91B6" w14:textId="77777777" w:rsidR="00BA7AB7" w:rsidRDefault="00BA7AB7" w:rsidP="00F934DE">
            <w:pPr>
              <w:widowControl w:val="0"/>
              <w:spacing w:before="0" w:after="0" w:line="240" w:lineRule="auto"/>
            </w:pPr>
            <w:r>
              <w:t>&lt;LOD</w:t>
            </w:r>
          </w:p>
        </w:tc>
        <w:tc>
          <w:tcPr>
            <w:tcW w:w="1206" w:type="dxa"/>
            <w:shd w:val="clear" w:color="auto" w:fill="auto"/>
            <w:tcMar>
              <w:top w:w="100" w:type="dxa"/>
              <w:left w:w="100" w:type="dxa"/>
              <w:bottom w:w="100" w:type="dxa"/>
              <w:right w:w="100" w:type="dxa"/>
            </w:tcMar>
          </w:tcPr>
          <w:p w14:paraId="1CD5B8F4" w14:textId="77777777" w:rsidR="00BA7AB7" w:rsidRDefault="00BA7AB7" w:rsidP="00F934DE">
            <w:pPr>
              <w:widowControl w:val="0"/>
              <w:spacing w:before="0" w:after="0" w:line="240" w:lineRule="auto"/>
            </w:pPr>
            <w:r>
              <w:t>-</w:t>
            </w:r>
          </w:p>
        </w:tc>
        <w:tc>
          <w:tcPr>
            <w:tcW w:w="1206" w:type="dxa"/>
            <w:shd w:val="clear" w:color="auto" w:fill="auto"/>
            <w:tcMar>
              <w:top w:w="100" w:type="dxa"/>
              <w:left w:w="100" w:type="dxa"/>
              <w:bottom w:w="100" w:type="dxa"/>
              <w:right w:w="100" w:type="dxa"/>
            </w:tcMar>
          </w:tcPr>
          <w:p w14:paraId="4E252735" w14:textId="77777777" w:rsidR="00BA7AB7" w:rsidRDefault="00BA7AB7" w:rsidP="00F934DE">
            <w:pPr>
              <w:widowControl w:val="0"/>
              <w:spacing w:before="0" w:after="0" w:line="240" w:lineRule="auto"/>
            </w:pPr>
            <w:r>
              <w:t>-</w:t>
            </w:r>
          </w:p>
        </w:tc>
      </w:tr>
    </w:tbl>
    <w:p w14:paraId="497E05DC" w14:textId="77777777" w:rsidR="00BA7AB7" w:rsidRDefault="00BA7AB7" w:rsidP="00AD3FF1">
      <w:pPr>
        <w:spacing w:line="480" w:lineRule="auto"/>
        <w:rPr>
          <w:b/>
          <w:bCs/>
        </w:rPr>
      </w:pPr>
    </w:p>
    <w:p w14:paraId="2712E0A9" w14:textId="77777777" w:rsidR="00BA7AB7" w:rsidRDefault="00BA7AB7" w:rsidP="00AD3FF1">
      <w:pPr>
        <w:spacing w:line="480" w:lineRule="auto"/>
        <w:rPr>
          <w:b/>
          <w:bCs/>
        </w:rPr>
        <w:sectPr w:rsidR="00BA7AB7" w:rsidSect="00735384">
          <w:pgSz w:w="16834" w:h="11909" w:orient="landscape"/>
          <w:pgMar w:top="1440" w:right="1440" w:bottom="1440" w:left="1440" w:header="720" w:footer="720" w:gutter="0"/>
          <w:lnNumType w:countBy="1"/>
          <w:cols w:space="720"/>
          <w:docGrid w:linePitch="326"/>
        </w:sectPr>
      </w:pPr>
    </w:p>
    <w:p w14:paraId="2DD76902" w14:textId="77777777" w:rsidR="00BA7AB7" w:rsidRDefault="00BA7AB7" w:rsidP="00BA7AB7">
      <w:pPr>
        <w:spacing w:before="0" w:after="0" w:line="480" w:lineRule="auto"/>
      </w:pPr>
      <w:r>
        <w:rPr>
          <w:b/>
        </w:rPr>
        <w:lastRenderedPageBreak/>
        <w:t>Table 4.</w:t>
      </w:r>
      <w:r>
        <w:t xml:space="preserve"> Reported distribution of the saturated AR homologues in different cereal species analysed using GC/MS- and LC/MS-based protocols.</w:t>
      </w:r>
    </w:p>
    <w:tbl>
      <w:tblPr>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2235"/>
        <w:gridCol w:w="3030"/>
        <w:gridCol w:w="1440"/>
      </w:tblGrid>
      <w:tr w:rsidR="00BA7AB7" w14:paraId="4B780271" w14:textId="77777777" w:rsidTr="00F934DE">
        <w:trPr>
          <w:cantSplit/>
        </w:trPr>
        <w:tc>
          <w:tcPr>
            <w:tcW w:w="2235" w:type="dxa"/>
            <w:shd w:val="clear" w:color="auto" w:fill="auto"/>
            <w:tcMar>
              <w:top w:w="100" w:type="dxa"/>
              <w:left w:w="100" w:type="dxa"/>
              <w:bottom w:w="100" w:type="dxa"/>
              <w:right w:w="100" w:type="dxa"/>
            </w:tcMar>
          </w:tcPr>
          <w:p w14:paraId="3BE42FBB" w14:textId="77777777" w:rsidR="00BA7AB7" w:rsidRDefault="00BA7AB7" w:rsidP="00F934DE">
            <w:pPr>
              <w:widowControl w:val="0"/>
              <w:spacing w:before="0" w:after="0" w:line="240" w:lineRule="auto"/>
              <w:jc w:val="left"/>
            </w:pPr>
            <w:r>
              <w:t>Species</w:t>
            </w:r>
          </w:p>
        </w:tc>
        <w:tc>
          <w:tcPr>
            <w:tcW w:w="2235" w:type="dxa"/>
            <w:shd w:val="clear" w:color="auto" w:fill="auto"/>
            <w:tcMar>
              <w:top w:w="100" w:type="dxa"/>
              <w:left w:w="100" w:type="dxa"/>
              <w:bottom w:w="100" w:type="dxa"/>
              <w:right w:w="100" w:type="dxa"/>
            </w:tcMar>
          </w:tcPr>
          <w:p w14:paraId="3C07EB65" w14:textId="77777777" w:rsidR="00BA7AB7" w:rsidRDefault="00BA7AB7" w:rsidP="00F934DE">
            <w:pPr>
              <w:widowControl w:val="0"/>
              <w:spacing w:before="0" w:after="0" w:line="240" w:lineRule="auto"/>
              <w:jc w:val="left"/>
            </w:pPr>
            <w:r>
              <w:t>Ploidy level</w:t>
            </w:r>
          </w:p>
        </w:tc>
        <w:tc>
          <w:tcPr>
            <w:tcW w:w="3030" w:type="dxa"/>
            <w:shd w:val="clear" w:color="auto" w:fill="auto"/>
            <w:tcMar>
              <w:top w:w="100" w:type="dxa"/>
              <w:left w:w="100" w:type="dxa"/>
              <w:bottom w:w="100" w:type="dxa"/>
              <w:right w:w="100" w:type="dxa"/>
            </w:tcMar>
          </w:tcPr>
          <w:p w14:paraId="16DE4461" w14:textId="77777777" w:rsidR="00BA7AB7" w:rsidRDefault="00BA7AB7" w:rsidP="00F934DE">
            <w:pPr>
              <w:widowControl w:val="0"/>
              <w:spacing w:before="0" w:after="0" w:line="240" w:lineRule="auto"/>
              <w:jc w:val="left"/>
            </w:pPr>
            <w:r>
              <w:t>AR homologue relative distribution</w:t>
            </w:r>
          </w:p>
        </w:tc>
        <w:tc>
          <w:tcPr>
            <w:tcW w:w="1440" w:type="dxa"/>
            <w:shd w:val="clear" w:color="auto" w:fill="auto"/>
            <w:tcMar>
              <w:top w:w="100" w:type="dxa"/>
              <w:left w:w="100" w:type="dxa"/>
              <w:bottom w:w="100" w:type="dxa"/>
              <w:right w:w="100" w:type="dxa"/>
            </w:tcMar>
          </w:tcPr>
          <w:p w14:paraId="67F20A0A" w14:textId="77777777" w:rsidR="00BA7AB7" w:rsidRDefault="00BA7AB7" w:rsidP="00F934DE">
            <w:pPr>
              <w:widowControl w:val="0"/>
              <w:spacing w:before="0" w:after="0" w:line="240" w:lineRule="auto"/>
              <w:jc w:val="left"/>
            </w:pPr>
            <w:r>
              <w:t>References</w:t>
            </w:r>
          </w:p>
        </w:tc>
      </w:tr>
      <w:tr w:rsidR="00BA7AB7" w14:paraId="4A80EE53" w14:textId="77777777" w:rsidTr="00F934DE">
        <w:trPr>
          <w:trHeight w:val="440"/>
        </w:trPr>
        <w:tc>
          <w:tcPr>
            <w:tcW w:w="2235" w:type="dxa"/>
            <w:shd w:val="clear" w:color="auto" w:fill="auto"/>
            <w:tcMar>
              <w:top w:w="100" w:type="dxa"/>
              <w:left w:w="100" w:type="dxa"/>
              <w:bottom w:w="100" w:type="dxa"/>
              <w:right w:w="100" w:type="dxa"/>
            </w:tcMar>
          </w:tcPr>
          <w:p w14:paraId="5602769A" w14:textId="77777777" w:rsidR="00BA7AB7" w:rsidRDefault="00BA7AB7" w:rsidP="00F934DE">
            <w:pPr>
              <w:widowControl w:val="0"/>
              <w:spacing w:before="0" w:after="0" w:line="240" w:lineRule="auto"/>
              <w:jc w:val="left"/>
            </w:pPr>
            <w:r>
              <w:t>Common/bread wheat (</w:t>
            </w:r>
            <w:r>
              <w:rPr>
                <w:i/>
              </w:rPr>
              <w:t>Triticum aestivum</w:t>
            </w:r>
            <w:r>
              <w:t xml:space="preserve"> spp. </w:t>
            </w:r>
            <w:r>
              <w:rPr>
                <w:i/>
              </w:rPr>
              <w:t>aestivum</w:t>
            </w:r>
            <w:r>
              <w:t>)</w:t>
            </w:r>
          </w:p>
        </w:tc>
        <w:tc>
          <w:tcPr>
            <w:tcW w:w="2235" w:type="dxa"/>
            <w:vMerge w:val="restart"/>
            <w:shd w:val="clear" w:color="auto" w:fill="auto"/>
            <w:tcMar>
              <w:top w:w="100" w:type="dxa"/>
              <w:left w:w="100" w:type="dxa"/>
              <w:bottom w:w="100" w:type="dxa"/>
              <w:right w:w="100" w:type="dxa"/>
            </w:tcMar>
          </w:tcPr>
          <w:p w14:paraId="378CCBB6" w14:textId="77777777" w:rsidR="00BA7AB7" w:rsidRDefault="00BA7AB7" w:rsidP="00F934DE">
            <w:pPr>
              <w:widowControl w:val="0"/>
              <w:spacing w:before="0" w:after="0" w:line="240" w:lineRule="auto"/>
              <w:jc w:val="left"/>
            </w:pPr>
            <w:proofErr w:type="spellStart"/>
            <w:r>
              <w:t>hexaploid</w:t>
            </w:r>
            <w:proofErr w:type="spellEnd"/>
            <w:r>
              <w:t xml:space="preserve"> (6x)</w:t>
            </w:r>
          </w:p>
        </w:tc>
        <w:tc>
          <w:tcPr>
            <w:tcW w:w="3030" w:type="dxa"/>
            <w:vMerge w:val="restart"/>
            <w:shd w:val="clear" w:color="auto" w:fill="auto"/>
            <w:tcMar>
              <w:top w:w="100" w:type="dxa"/>
              <w:left w:w="100" w:type="dxa"/>
              <w:bottom w:w="100" w:type="dxa"/>
              <w:right w:w="100" w:type="dxa"/>
            </w:tcMar>
          </w:tcPr>
          <w:p w14:paraId="2F6FCFD2" w14:textId="77777777" w:rsidR="00BA7AB7" w:rsidRDefault="00BA7AB7" w:rsidP="00F934DE">
            <w:pPr>
              <w:spacing w:before="0" w:after="0" w:line="240" w:lineRule="auto"/>
              <w:jc w:val="left"/>
            </w:pPr>
            <w:r>
              <w:t>AR 21:0 &gt; AR 19:0 &gt; AR 23:0 &gt; AR 17:0 &gt; AR 25:0</w:t>
            </w:r>
          </w:p>
        </w:tc>
        <w:tc>
          <w:tcPr>
            <w:tcW w:w="1440" w:type="dxa"/>
            <w:shd w:val="clear" w:color="auto" w:fill="auto"/>
            <w:tcMar>
              <w:top w:w="100" w:type="dxa"/>
              <w:left w:w="100" w:type="dxa"/>
              <w:bottom w:w="100" w:type="dxa"/>
              <w:right w:w="100" w:type="dxa"/>
            </w:tcMar>
          </w:tcPr>
          <w:p w14:paraId="6F8488CC" w14:textId="77777777" w:rsidR="00BA7AB7" w:rsidRDefault="00BA7AB7" w:rsidP="00F934DE">
            <w:pPr>
              <w:widowControl w:val="0"/>
              <w:spacing w:before="0" w:after="0" w:line="240" w:lineRule="auto"/>
              <w:jc w:val="left"/>
            </w:pPr>
            <w:r>
              <w:t xml:space="preserve">This study, </w:t>
            </w:r>
            <w:hyperlink r:id="rId80">
              <w:r>
                <w:rPr>
                  <w:color w:val="000000"/>
                  <w:vertAlign w:val="superscript"/>
                </w:rPr>
                <w:t>23,24,37</w:t>
              </w:r>
            </w:hyperlink>
          </w:p>
        </w:tc>
      </w:tr>
      <w:tr w:rsidR="00BA7AB7" w14:paraId="47B0575A" w14:textId="77777777" w:rsidTr="00F934DE">
        <w:trPr>
          <w:trHeight w:val="440"/>
        </w:trPr>
        <w:tc>
          <w:tcPr>
            <w:tcW w:w="2235" w:type="dxa"/>
            <w:shd w:val="clear" w:color="auto" w:fill="auto"/>
            <w:tcMar>
              <w:top w:w="100" w:type="dxa"/>
              <w:left w:w="100" w:type="dxa"/>
              <w:bottom w:w="100" w:type="dxa"/>
              <w:right w:w="100" w:type="dxa"/>
            </w:tcMar>
          </w:tcPr>
          <w:p w14:paraId="4F43B580" w14:textId="77777777" w:rsidR="00BA7AB7" w:rsidRDefault="00BA7AB7" w:rsidP="00F934DE">
            <w:pPr>
              <w:widowControl w:val="0"/>
              <w:spacing w:before="0" w:after="0" w:line="240" w:lineRule="auto"/>
              <w:jc w:val="left"/>
            </w:pPr>
            <w:r>
              <w:t>Spelt (</w:t>
            </w:r>
            <w:r>
              <w:rPr>
                <w:i/>
              </w:rPr>
              <w:t>Triticum aestivum</w:t>
            </w:r>
            <w:r>
              <w:t xml:space="preserve"> spp. </w:t>
            </w:r>
            <w:proofErr w:type="spellStart"/>
            <w:r>
              <w:rPr>
                <w:i/>
              </w:rPr>
              <w:t>spelta</w:t>
            </w:r>
            <w:proofErr w:type="spellEnd"/>
            <w:r>
              <w:t xml:space="preserve">) </w:t>
            </w:r>
          </w:p>
        </w:tc>
        <w:tc>
          <w:tcPr>
            <w:tcW w:w="2235" w:type="dxa"/>
            <w:vMerge/>
            <w:shd w:val="clear" w:color="auto" w:fill="auto"/>
            <w:tcMar>
              <w:top w:w="100" w:type="dxa"/>
              <w:left w:w="100" w:type="dxa"/>
              <w:bottom w:w="100" w:type="dxa"/>
              <w:right w:w="100" w:type="dxa"/>
            </w:tcMar>
          </w:tcPr>
          <w:p w14:paraId="7396D70C" w14:textId="77777777" w:rsidR="00BA7AB7" w:rsidRDefault="00BA7AB7" w:rsidP="00F934DE">
            <w:pPr>
              <w:widowControl w:val="0"/>
              <w:spacing w:before="0" w:after="0" w:line="480" w:lineRule="auto"/>
              <w:jc w:val="left"/>
            </w:pPr>
          </w:p>
        </w:tc>
        <w:tc>
          <w:tcPr>
            <w:tcW w:w="3030" w:type="dxa"/>
            <w:vMerge/>
            <w:shd w:val="clear" w:color="auto" w:fill="auto"/>
            <w:tcMar>
              <w:top w:w="100" w:type="dxa"/>
              <w:left w:w="100" w:type="dxa"/>
              <w:bottom w:w="100" w:type="dxa"/>
              <w:right w:w="100" w:type="dxa"/>
            </w:tcMar>
          </w:tcPr>
          <w:p w14:paraId="7CC4E89B" w14:textId="77777777" w:rsidR="00BA7AB7" w:rsidRDefault="00BA7AB7" w:rsidP="00F934DE">
            <w:pPr>
              <w:widowControl w:val="0"/>
              <w:spacing w:line="480" w:lineRule="auto"/>
            </w:pPr>
          </w:p>
        </w:tc>
        <w:tc>
          <w:tcPr>
            <w:tcW w:w="1440" w:type="dxa"/>
            <w:shd w:val="clear" w:color="auto" w:fill="auto"/>
            <w:tcMar>
              <w:top w:w="100" w:type="dxa"/>
              <w:left w:w="100" w:type="dxa"/>
              <w:bottom w:w="100" w:type="dxa"/>
              <w:right w:w="100" w:type="dxa"/>
            </w:tcMar>
          </w:tcPr>
          <w:p w14:paraId="291C8F40" w14:textId="77777777" w:rsidR="00BA7AB7" w:rsidRDefault="00000000" w:rsidP="00F934DE">
            <w:pPr>
              <w:widowControl w:val="0"/>
              <w:spacing w:before="0" w:after="0" w:line="240" w:lineRule="auto"/>
              <w:jc w:val="left"/>
            </w:pPr>
            <w:hyperlink r:id="rId81">
              <w:r w:rsidR="00BA7AB7">
                <w:rPr>
                  <w:color w:val="000000"/>
                  <w:vertAlign w:val="superscript"/>
                </w:rPr>
                <w:t>23,24,37</w:t>
              </w:r>
            </w:hyperlink>
          </w:p>
        </w:tc>
      </w:tr>
      <w:tr w:rsidR="00BA7AB7" w14:paraId="0FE31448" w14:textId="77777777" w:rsidTr="00F934DE">
        <w:trPr>
          <w:trHeight w:val="420"/>
        </w:trPr>
        <w:tc>
          <w:tcPr>
            <w:tcW w:w="2235" w:type="dxa"/>
            <w:shd w:val="clear" w:color="auto" w:fill="auto"/>
            <w:tcMar>
              <w:top w:w="100" w:type="dxa"/>
              <w:left w:w="100" w:type="dxa"/>
              <w:bottom w:w="100" w:type="dxa"/>
              <w:right w:w="100" w:type="dxa"/>
            </w:tcMar>
          </w:tcPr>
          <w:p w14:paraId="5313EE03" w14:textId="77777777" w:rsidR="00BA7AB7" w:rsidRDefault="00BA7AB7" w:rsidP="00F934DE">
            <w:pPr>
              <w:widowControl w:val="0"/>
              <w:spacing w:before="0" w:after="0" w:line="240" w:lineRule="auto"/>
              <w:jc w:val="left"/>
            </w:pPr>
            <w:r>
              <w:t>Tritordeum (</w:t>
            </w:r>
            <w:r>
              <w:rPr>
                <w:i/>
              </w:rPr>
              <w:t xml:space="preserve">X tritordeum </w:t>
            </w:r>
            <w:proofErr w:type="spellStart"/>
            <w:r>
              <w:rPr>
                <w:i/>
              </w:rPr>
              <w:t>martinii</w:t>
            </w:r>
            <w:proofErr w:type="spellEnd"/>
            <w:r>
              <w:t xml:space="preserve">) </w:t>
            </w:r>
          </w:p>
        </w:tc>
        <w:tc>
          <w:tcPr>
            <w:tcW w:w="2235" w:type="dxa"/>
            <w:shd w:val="clear" w:color="auto" w:fill="auto"/>
            <w:tcMar>
              <w:top w:w="100" w:type="dxa"/>
              <w:left w:w="100" w:type="dxa"/>
              <w:bottom w:w="100" w:type="dxa"/>
              <w:right w:w="100" w:type="dxa"/>
            </w:tcMar>
          </w:tcPr>
          <w:p w14:paraId="3E9ECC85" w14:textId="77777777" w:rsidR="00BA7AB7" w:rsidRDefault="00BA7AB7" w:rsidP="00F934DE">
            <w:pPr>
              <w:widowControl w:val="0"/>
              <w:spacing w:before="0" w:after="0" w:line="240" w:lineRule="auto"/>
              <w:jc w:val="left"/>
            </w:pPr>
            <w:proofErr w:type="spellStart"/>
            <w:r>
              <w:t>hexaploid</w:t>
            </w:r>
            <w:proofErr w:type="spellEnd"/>
            <w:r>
              <w:t xml:space="preserve"> (6x)</w:t>
            </w:r>
          </w:p>
        </w:tc>
        <w:tc>
          <w:tcPr>
            <w:tcW w:w="3030" w:type="dxa"/>
            <w:vMerge w:val="restart"/>
            <w:shd w:val="clear" w:color="auto" w:fill="auto"/>
            <w:tcMar>
              <w:top w:w="100" w:type="dxa"/>
              <w:left w:w="100" w:type="dxa"/>
              <w:bottom w:w="100" w:type="dxa"/>
              <w:right w:w="100" w:type="dxa"/>
            </w:tcMar>
          </w:tcPr>
          <w:p w14:paraId="6D18E594" w14:textId="77777777" w:rsidR="00BA7AB7" w:rsidRDefault="00BA7AB7" w:rsidP="00F934DE">
            <w:pPr>
              <w:spacing w:before="0" w:after="0" w:line="240" w:lineRule="auto"/>
              <w:jc w:val="left"/>
            </w:pPr>
            <w:r>
              <w:t>AR 21:0 &gt; AR 23:0 &gt; AR 19:0 &gt; AR 25:0 &gt; AR 17:0</w:t>
            </w:r>
          </w:p>
        </w:tc>
        <w:tc>
          <w:tcPr>
            <w:tcW w:w="1440" w:type="dxa"/>
            <w:shd w:val="clear" w:color="auto" w:fill="auto"/>
            <w:tcMar>
              <w:top w:w="100" w:type="dxa"/>
              <w:left w:w="100" w:type="dxa"/>
              <w:bottom w:w="100" w:type="dxa"/>
              <w:right w:w="100" w:type="dxa"/>
            </w:tcMar>
          </w:tcPr>
          <w:p w14:paraId="6F2C41BE" w14:textId="77777777" w:rsidR="00BA7AB7" w:rsidRDefault="00000000" w:rsidP="00F934DE">
            <w:pPr>
              <w:widowControl w:val="0"/>
              <w:spacing w:before="0" w:after="0" w:line="240" w:lineRule="auto"/>
              <w:jc w:val="left"/>
            </w:pPr>
            <w:hyperlink r:id="rId82">
              <w:r w:rsidR="00BA7AB7">
                <w:rPr>
                  <w:color w:val="000000"/>
                  <w:vertAlign w:val="superscript"/>
                </w:rPr>
                <w:t>23,24,37</w:t>
              </w:r>
            </w:hyperlink>
          </w:p>
        </w:tc>
      </w:tr>
      <w:tr w:rsidR="00BA7AB7" w14:paraId="58970C5F" w14:textId="77777777" w:rsidTr="00F934DE">
        <w:trPr>
          <w:trHeight w:val="440"/>
        </w:trPr>
        <w:tc>
          <w:tcPr>
            <w:tcW w:w="2235" w:type="dxa"/>
            <w:shd w:val="clear" w:color="auto" w:fill="auto"/>
            <w:tcMar>
              <w:top w:w="100" w:type="dxa"/>
              <w:left w:w="100" w:type="dxa"/>
              <w:bottom w:w="100" w:type="dxa"/>
              <w:right w:w="100" w:type="dxa"/>
            </w:tcMar>
          </w:tcPr>
          <w:p w14:paraId="158DC42F" w14:textId="77777777" w:rsidR="00BA7AB7" w:rsidRDefault="00BA7AB7" w:rsidP="00F934DE">
            <w:pPr>
              <w:widowControl w:val="0"/>
              <w:spacing w:before="0" w:after="0" w:line="240" w:lineRule="auto"/>
              <w:jc w:val="left"/>
            </w:pPr>
            <w:r>
              <w:t>Durum (</w:t>
            </w:r>
            <w:r>
              <w:rPr>
                <w:i/>
              </w:rPr>
              <w:t xml:space="preserve">Triticum turgidum </w:t>
            </w:r>
            <w:r>
              <w:t xml:space="preserve">spp. </w:t>
            </w:r>
            <w:r>
              <w:rPr>
                <w:i/>
              </w:rPr>
              <w:t>durum</w:t>
            </w:r>
            <w:r>
              <w:t>)</w:t>
            </w:r>
          </w:p>
        </w:tc>
        <w:tc>
          <w:tcPr>
            <w:tcW w:w="2235" w:type="dxa"/>
            <w:vMerge w:val="restart"/>
            <w:shd w:val="clear" w:color="auto" w:fill="auto"/>
            <w:tcMar>
              <w:top w:w="100" w:type="dxa"/>
              <w:left w:w="100" w:type="dxa"/>
              <w:bottom w:w="100" w:type="dxa"/>
              <w:right w:w="100" w:type="dxa"/>
            </w:tcMar>
          </w:tcPr>
          <w:p w14:paraId="7AABF120" w14:textId="77777777" w:rsidR="00BA7AB7" w:rsidRDefault="00BA7AB7" w:rsidP="00F934DE">
            <w:pPr>
              <w:widowControl w:val="0"/>
              <w:spacing w:before="0" w:after="0" w:line="240" w:lineRule="auto"/>
              <w:jc w:val="left"/>
            </w:pPr>
            <w:r>
              <w:t>tetraploid (4x)</w:t>
            </w:r>
          </w:p>
        </w:tc>
        <w:tc>
          <w:tcPr>
            <w:tcW w:w="3030" w:type="dxa"/>
            <w:vMerge/>
            <w:shd w:val="clear" w:color="auto" w:fill="auto"/>
            <w:tcMar>
              <w:top w:w="100" w:type="dxa"/>
              <w:left w:w="100" w:type="dxa"/>
              <w:bottom w:w="100" w:type="dxa"/>
              <w:right w:w="100" w:type="dxa"/>
            </w:tcMar>
          </w:tcPr>
          <w:p w14:paraId="314E3F5A" w14:textId="77777777" w:rsidR="00BA7AB7" w:rsidRDefault="00BA7AB7" w:rsidP="00F934DE">
            <w:pPr>
              <w:widowControl w:val="0"/>
              <w:spacing w:line="480" w:lineRule="auto"/>
            </w:pPr>
          </w:p>
        </w:tc>
        <w:tc>
          <w:tcPr>
            <w:tcW w:w="1440" w:type="dxa"/>
            <w:shd w:val="clear" w:color="auto" w:fill="auto"/>
            <w:tcMar>
              <w:top w:w="100" w:type="dxa"/>
              <w:left w:w="100" w:type="dxa"/>
              <w:bottom w:w="100" w:type="dxa"/>
              <w:right w:w="100" w:type="dxa"/>
            </w:tcMar>
          </w:tcPr>
          <w:p w14:paraId="21E13ABC" w14:textId="77777777" w:rsidR="00BA7AB7" w:rsidRDefault="00000000" w:rsidP="00F934DE">
            <w:pPr>
              <w:widowControl w:val="0"/>
              <w:spacing w:before="0" w:after="0" w:line="240" w:lineRule="auto"/>
              <w:jc w:val="left"/>
            </w:pPr>
            <w:hyperlink r:id="rId83">
              <w:r w:rsidR="00BA7AB7">
                <w:rPr>
                  <w:color w:val="000000"/>
                  <w:vertAlign w:val="superscript"/>
                </w:rPr>
                <w:t>23</w:t>
              </w:r>
            </w:hyperlink>
          </w:p>
        </w:tc>
      </w:tr>
      <w:tr w:rsidR="00BA7AB7" w14:paraId="3B0A0499" w14:textId="77777777" w:rsidTr="00F934DE">
        <w:trPr>
          <w:trHeight w:val="440"/>
        </w:trPr>
        <w:tc>
          <w:tcPr>
            <w:tcW w:w="2235" w:type="dxa"/>
            <w:shd w:val="clear" w:color="auto" w:fill="auto"/>
            <w:tcMar>
              <w:top w:w="100" w:type="dxa"/>
              <w:left w:w="100" w:type="dxa"/>
              <w:bottom w:w="100" w:type="dxa"/>
              <w:right w:w="100" w:type="dxa"/>
            </w:tcMar>
          </w:tcPr>
          <w:p w14:paraId="35C27CB1" w14:textId="77777777" w:rsidR="00BA7AB7" w:rsidRDefault="00BA7AB7" w:rsidP="00F934DE">
            <w:pPr>
              <w:widowControl w:val="0"/>
              <w:spacing w:before="0" w:after="0" w:line="240" w:lineRule="auto"/>
              <w:jc w:val="left"/>
            </w:pPr>
            <w:r>
              <w:t>Khorasan wheat (</w:t>
            </w:r>
            <w:r>
              <w:rPr>
                <w:i/>
              </w:rPr>
              <w:t xml:space="preserve">Triticum turgidum </w:t>
            </w:r>
            <w:r>
              <w:t xml:space="preserve">spp. </w:t>
            </w:r>
            <w:proofErr w:type="spellStart"/>
            <w:r>
              <w:rPr>
                <w:i/>
              </w:rPr>
              <w:t>turanicum</w:t>
            </w:r>
            <w:proofErr w:type="spellEnd"/>
            <w:r>
              <w:t>)</w:t>
            </w:r>
          </w:p>
        </w:tc>
        <w:tc>
          <w:tcPr>
            <w:tcW w:w="2235" w:type="dxa"/>
            <w:vMerge/>
            <w:shd w:val="clear" w:color="auto" w:fill="auto"/>
            <w:tcMar>
              <w:top w:w="100" w:type="dxa"/>
              <w:left w:w="100" w:type="dxa"/>
              <w:bottom w:w="100" w:type="dxa"/>
              <w:right w:w="100" w:type="dxa"/>
            </w:tcMar>
          </w:tcPr>
          <w:p w14:paraId="01366686" w14:textId="77777777" w:rsidR="00BA7AB7" w:rsidRDefault="00BA7AB7" w:rsidP="00F934DE">
            <w:pPr>
              <w:widowControl w:val="0"/>
              <w:spacing w:line="480" w:lineRule="auto"/>
            </w:pPr>
          </w:p>
        </w:tc>
        <w:tc>
          <w:tcPr>
            <w:tcW w:w="3030" w:type="dxa"/>
            <w:vMerge/>
            <w:shd w:val="clear" w:color="auto" w:fill="auto"/>
            <w:tcMar>
              <w:top w:w="100" w:type="dxa"/>
              <w:left w:w="100" w:type="dxa"/>
              <w:bottom w:w="100" w:type="dxa"/>
              <w:right w:w="100" w:type="dxa"/>
            </w:tcMar>
          </w:tcPr>
          <w:p w14:paraId="1F07DC74" w14:textId="77777777" w:rsidR="00BA7AB7" w:rsidRDefault="00BA7AB7" w:rsidP="00F934DE">
            <w:pPr>
              <w:widowControl w:val="0"/>
              <w:spacing w:line="480" w:lineRule="auto"/>
            </w:pPr>
          </w:p>
        </w:tc>
        <w:tc>
          <w:tcPr>
            <w:tcW w:w="1440" w:type="dxa"/>
            <w:shd w:val="clear" w:color="auto" w:fill="auto"/>
            <w:tcMar>
              <w:top w:w="100" w:type="dxa"/>
              <w:left w:w="100" w:type="dxa"/>
              <w:bottom w:w="100" w:type="dxa"/>
              <w:right w:w="100" w:type="dxa"/>
            </w:tcMar>
          </w:tcPr>
          <w:p w14:paraId="0BA10358" w14:textId="77777777" w:rsidR="00BA7AB7" w:rsidRDefault="00BA7AB7" w:rsidP="00F934DE">
            <w:pPr>
              <w:widowControl w:val="0"/>
              <w:spacing w:before="0" w:after="0" w:line="240" w:lineRule="auto"/>
              <w:jc w:val="left"/>
            </w:pPr>
            <w:r>
              <w:t>This study</w:t>
            </w:r>
          </w:p>
        </w:tc>
      </w:tr>
      <w:tr w:rsidR="00BA7AB7" w14:paraId="157AE143" w14:textId="77777777" w:rsidTr="00F934DE">
        <w:trPr>
          <w:trHeight w:val="440"/>
        </w:trPr>
        <w:tc>
          <w:tcPr>
            <w:tcW w:w="2235" w:type="dxa"/>
            <w:shd w:val="clear" w:color="auto" w:fill="auto"/>
            <w:tcMar>
              <w:top w:w="100" w:type="dxa"/>
              <w:left w:w="100" w:type="dxa"/>
              <w:bottom w:w="100" w:type="dxa"/>
              <w:right w:w="100" w:type="dxa"/>
            </w:tcMar>
          </w:tcPr>
          <w:p w14:paraId="0A5F3791" w14:textId="77777777" w:rsidR="00BA7AB7" w:rsidRDefault="00BA7AB7" w:rsidP="00F934DE">
            <w:pPr>
              <w:widowControl w:val="0"/>
              <w:spacing w:before="0" w:after="0" w:line="240" w:lineRule="auto"/>
              <w:jc w:val="left"/>
            </w:pPr>
            <w:r>
              <w:t>Emmer (</w:t>
            </w:r>
            <w:r>
              <w:rPr>
                <w:i/>
              </w:rPr>
              <w:t xml:space="preserve">Triticum turgidum </w:t>
            </w:r>
            <w:r>
              <w:t xml:space="preserve">spp. </w:t>
            </w:r>
            <w:proofErr w:type="spellStart"/>
            <w:r>
              <w:rPr>
                <w:i/>
              </w:rPr>
              <w:t>dicoccum</w:t>
            </w:r>
            <w:proofErr w:type="spellEnd"/>
            <w:r>
              <w:t>)</w:t>
            </w:r>
          </w:p>
        </w:tc>
        <w:tc>
          <w:tcPr>
            <w:tcW w:w="2235" w:type="dxa"/>
            <w:vMerge/>
            <w:shd w:val="clear" w:color="auto" w:fill="auto"/>
            <w:tcMar>
              <w:top w:w="100" w:type="dxa"/>
              <w:left w:w="100" w:type="dxa"/>
              <w:bottom w:w="100" w:type="dxa"/>
              <w:right w:w="100" w:type="dxa"/>
            </w:tcMar>
          </w:tcPr>
          <w:p w14:paraId="01E36688" w14:textId="77777777" w:rsidR="00BA7AB7" w:rsidRDefault="00BA7AB7" w:rsidP="00F934DE">
            <w:pPr>
              <w:widowControl w:val="0"/>
              <w:spacing w:line="480" w:lineRule="auto"/>
            </w:pPr>
          </w:p>
        </w:tc>
        <w:tc>
          <w:tcPr>
            <w:tcW w:w="3030" w:type="dxa"/>
            <w:vMerge/>
            <w:shd w:val="clear" w:color="auto" w:fill="auto"/>
            <w:tcMar>
              <w:top w:w="100" w:type="dxa"/>
              <w:left w:w="100" w:type="dxa"/>
              <w:bottom w:w="100" w:type="dxa"/>
              <w:right w:w="100" w:type="dxa"/>
            </w:tcMar>
          </w:tcPr>
          <w:p w14:paraId="0BE1335F" w14:textId="77777777" w:rsidR="00BA7AB7" w:rsidRDefault="00BA7AB7" w:rsidP="00F934DE">
            <w:pPr>
              <w:widowControl w:val="0"/>
              <w:spacing w:line="480" w:lineRule="auto"/>
            </w:pPr>
          </w:p>
        </w:tc>
        <w:tc>
          <w:tcPr>
            <w:tcW w:w="1440" w:type="dxa"/>
            <w:vMerge w:val="restart"/>
            <w:shd w:val="clear" w:color="auto" w:fill="auto"/>
            <w:tcMar>
              <w:top w:w="100" w:type="dxa"/>
              <w:left w:w="100" w:type="dxa"/>
              <w:bottom w:w="100" w:type="dxa"/>
              <w:right w:w="100" w:type="dxa"/>
            </w:tcMar>
          </w:tcPr>
          <w:p w14:paraId="597C6D53" w14:textId="77777777" w:rsidR="00BA7AB7" w:rsidRDefault="00BA7AB7" w:rsidP="00F934DE">
            <w:pPr>
              <w:widowControl w:val="0"/>
              <w:spacing w:before="0" w:after="0" w:line="240" w:lineRule="auto"/>
              <w:jc w:val="left"/>
            </w:pPr>
            <w:r>
              <w:t xml:space="preserve">This study, </w:t>
            </w:r>
            <w:hyperlink r:id="rId84">
              <w:r>
                <w:rPr>
                  <w:color w:val="000000"/>
                  <w:vertAlign w:val="superscript"/>
                </w:rPr>
                <w:t>23,24,37</w:t>
              </w:r>
            </w:hyperlink>
          </w:p>
        </w:tc>
      </w:tr>
      <w:tr w:rsidR="00BA7AB7" w14:paraId="78BD862D" w14:textId="77777777" w:rsidTr="00F934DE">
        <w:trPr>
          <w:trHeight w:val="420"/>
        </w:trPr>
        <w:tc>
          <w:tcPr>
            <w:tcW w:w="2235" w:type="dxa"/>
            <w:shd w:val="clear" w:color="auto" w:fill="auto"/>
            <w:tcMar>
              <w:top w:w="100" w:type="dxa"/>
              <w:left w:w="100" w:type="dxa"/>
              <w:bottom w:w="100" w:type="dxa"/>
              <w:right w:w="100" w:type="dxa"/>
            </w:tcMar>
          </w:tcPr>
          <w:p w14:paraId="262082E9" w14:textId="77777777" w:rsidR="00BA7AB7" w:rsidRDefault="00BA7AB7" w:rsidP="00F934DE">
            <w:pPr>
              <w:widowControl w:val="0"/>
              <w:spacing w:before="0" w:after="0" w:line="240" w:lineRule="auto"/>
              <w:jc w:val="left"/>
            </w:pPr>
            <w:r>
              <w:t>Einkorn (</w:t>
            </w:r>
            <w:r>
              <w:rPr>
                <w:i/>
              </w:rPr>
              <w:t xml:space="preserve">Triticum </w:t>
            </w:r>
            <w:proofErr w:type="spellStart"/>
            <w:r>
              <w:rPr>
                <w:i/>
              </w:rPr>
              <w:t>monococcum</w:t>
            </w:r>
            <w:proofErr w:type="spellEnd"/>
            <w:r>
              <w:t xml:space="preserve"> spp. </w:t>
            </w:r>
            <w:proofErr w:type="spellStart"/>
            <w:r>
              <w:rPr>
                <w:i/>
              </w:rPr>
              <w:t>monococcum</w:t>
            </w:r>
            <w:proofErr w:type="spellEnd"/>
            <w:r>
              <w:t>)</w:t>
            </w:r>
          </w:p>
        </w:tc>
        <w:tc>
          <w:tcPr>
            <w:tcW w:w="2235" w:type="dxa"/>
            <w:shd w:val="clear" w:color="auto" w:fill="auto"/>
            <w:tcMar>
              <w:top w:w="100" w:type="dxa"/>
              <w:left w:w="100" w:type="dxa"/>
              <w:bottom w:w="100" w:type="dxa"/>
              <w:right w:w="100" w:type="dxa"/>
            </w:tcMar>
          </w:tcPr>
          <w:p w14:paraId="484AE7A1" w14:textId="77777777" w:rsidR="00BA7AB7" w:rsidRDefault="00BA7AB7" w:rsidP="00F934DE">
            <w:pPr>
              <w:widowControl w:val="0"/>
              <w:spacing w:before="0" w:after="0" w:line="240" w:lineRule="auto"/>
              <w:jc w:val="left"/>
            </w:pPr>
            <w:r>
              <w:t>diploid (2x)</w:t>
            </w:r>
          </w:p>
        </w:tc>
        <w:tc>
          <w:tcPr>
            <w:tcW w:w="3030" w:type="dxa"/>
            <w:vMerge/>
            <w:shd w:val="clear" w:color="auto" w:fill="auto"/>
            <w:tcMar>
              <w:top w:w="100" w:type="dxa"/>
              <w:left w:w="100" w:type="dxa"/>
              <w:bottom w:w="100" w:type="dxa"/>
              <w:right w:w="100" w:type="dxa"/>
            </w:tcMar>
          </w:tcPr>
          <w:p w14:paraId="7CA4F429" w14:textId="77777777" w:rsidR="00BA7AB7" w:rsidRDefault="00BA7AB7" w:rsidP="00F934DE">
            <w:pPr>
              <w:widowControl w:val="0"/>
              <w:spacing w:line="480" w:lineRule="auto"/>
            </w:pPr>
          </w:p>
        </w:tc>
        <w:tc>
          <w:tcPr>
            <w:tcW w:w="1440" w:type="dxa"/>
            <w:vMerge/>
            <w:shd w:val="clear" w:color="auto" w:fill="auto"/>
            <w:tcMar>
              <w:top w:w="100" w:type="dxa"/>
              <w:left w:w="100" w:type="dxa"/>
              <w:bottom w:w="100" w:type="dxa"/>
              <w:right w:w="100" w:type="dxa"/>
            </w:tcMar>
          </w:tcPr>
          <w:p w14:paraId="5F37BF94" w14:textId="77777777" w:rsidR="00BA7AB7" w:rsidRDefault="00BA7AB7" w:rsidP="00F934DE">
            <w:pPr>
              <w:widowControl w:val="0"/>
              <w:spacing w:line="480" w:lineRule="auto"/>
            </w:pPr>
          </w:p>
        </w:tc>
      </w:tr>
      <w:tr w:rsidR="00BA7AB7" w14:paraId="28F4487A" w14:textId="77777777" w:rsidTr="00F934DE">
        <w:tc>
          <w:tcPr>
            <w:tcW w:w="2235" w:type="dxa"/>
            <w:shd w:val="clear" w:color="auto" w:fill="auto"/>
            <w:tcMar>
              <w:top w:w="100" w:type="dxa"/>
              <w:left w:w="100" w:type="dxa"/>
              <w:bottom w:w="100" w:type="dxa"/>
              <w:right w:w="100" w:type="dxa"/>
            </w:tcMar>
          </w:tcPr>
          <w:p w14:paraId="19D15E64" w14:textId="77777777" w:rsidR="00BA7AB7" w:rsidRDefault="00BA7AB7" w:rsidP="00F934DE">
            <w:pPr>
              <w:widowControl w:val="0"/>
              <w:spacing w:before="0" w:after="0" w:line="240" w:lineRule="auto"/>
              <w:jc w:val="left"/>
            </w:pPr>
            <w:r>
              <w:t>Barley (</w:t>
            </w:r>
            <w:r>
              <w:rPr>
                <w:i/>
              </w:rPr>
              <w:t>Hordeum vulgare</w:t>
            </w:r>
            <w:r>
              <w:t xml:space="preserve"> L.)</w:t>
            </w:r>
          </w:p>
        </w:tc>
        <w:tc>
          <w:tcPr>
            <w:tcW w:w="2235" w:type="dxa"/>
            <w:shd w:val="clear" w:color="auto" w:fill="auto"/>
            <w:tcMar>
              <w:top w:w="100" w:type="dxa"/>
              <w:left w:w="100" w:type="dxa"/>
              <w:bottom w:w="100" w:type="dxa"/>
              <w:right w:w="100" w:type="dxa"/>
            </w:tcMar>
          </w:tcPr>
          <w:p w14:paraId="101EE77D" w14:textId="77777777" w:rsidR="00BA7AB7" w:rsidRDefault="00BA7AB7" w:rsidP="00F934DE">
            <w:pPr>
              <w:widowControl w:val="0"/>
              <w:spacing w:before="0" w:after="0" w:line="240" w:lineRule="auto"/>
              <w:jc w:val="left"/>
            </w:pPr>
            <w:r>
              <w:t>-</w:t>
            </w:r>
          </w:p>
        </w:tc>
        <w:tc>
          <w:tcPr>
            <w:tcW w:w="3030" w:type="dxa"/>
            <w:shd w:val="clear" w:color="auto" w:fill="auto"/>
            <w:tcMar>
              <w:top w:w="100" w:type="dxa"/>
              <w:left w:w="100" w:type="dxa"/>
              <w:bottom w:w="100" w:type="dxa"/>
              <w:right w:w="100" w:type="dxa"/>
            </w:tcMar>
          </w:tcPr>
          <w:p w14:paraId="0CA372FE" w14:textId="77777777" w:rsidR="00BA7AB7" w:rsidRDefault="00BA7AB7" w:rsidP="00F934DE">
            <w:pPr>
              <w:spacing w:before="0" w:after="0" w:line="240" w:lineRule="auto"/>
              <w:jc w:val="left"/>
            </w:pPr>
            <w:r>
              <w:rPr>
                <w:color w:val="212529"/>
              </w:rPr>
              <w:t xml:space="preserve">AR 25:0 &gt; AR 21:0 &gt; AR 23:0 &gt; AR 19:0 &gt; AR 17:0 </w:t>
            </w:r>
          </w:p>
        </w:tc>
        <w:tc>
          <w:tcPr>
            <w:tcW w:w="1440" w:type="dxa"/>
            <w:shd w:val="clear" w:color="auto" w:fill="auto"/>
            <w:tcMar>
              <w:top w:w="100" w:type="dxa"/>
              <w:left w:w="100" w:type="dxa"/>
              <w:bottom w:w="100" w:type="dxa"/>
              <w:right w:w="100" w:type="dxa"/>
            </w:tcMar>
          </w:tcPr>
          <w:p w14:paraId="757F1FCF" w14:textId="77777777" w:rsidR="00BA7AB7" w:rsidRDefault="00BA7AB7" w:rsidP="00F934DE">
            <w:pPr>
              <w:widowControl w:val="0"/>
              <w:spacing w:before="0" w:after="0" w:line="240" w:lineRule="auto"/>
              <w:jc w:val="left"/>
            </w:pPr>
            <w:r>
              <w:t xml:space="preserve">This study, </w:t>
            </w:r>
            <w:hyperlink r:id="rId85">
              <w:r>
                <w:rPr>
                  <w:color w:val="000000"/>
                  <w:vertAlign w:val="superscript"/>
                </w:rPr>
                <w:t>43,44</w:t>
              </w:r>
            </w:hyperlink>
          </w:p>
        </w:tc>
      </w:tr>
      <w:tr w:rsidR="00BA7AB7" w14:paraId="5216E344" w14:textId="77777777" w:rsidTr="00F934DE">
        <w:tc>
          <w:tcPr>
            <w:tcW w:w="2235" w:type="dxa"/>
            <w:shd w:val="clear" w:color="auto" w:fill="auto"/>
            <w:tcMar>
              <w:top w:w="100" w:type="dxa"/>
              <w:left w:w="100" w:type="dxa"/>
              <w:bottom w:w="100" w:type="dxa"/>
              <w:right w:w="100" w:type="dxa"/>
            </w:tcMar>
          </w:tcPr>
          <w:p w14:paraId="3E8D48F6" w14:textId="77777777" w:rsidR="00BA7AB7" w:rsidRDefault="00BA7AB7" w:rsidP="00F934DE">
            <w:pPr>
              <w:widowControl w:val="0"/>
              <w:spacing w:before="0" w:after="0" w:line="240" w:lineRule="auto"/>
              <w:jc w:val="left"/>
            </w:pPr>
            <w:r>
              <w:t>Rye (</w:t>
            </w:r>
            <w:r>
              <w:rPr>
                <w:i/>
              </w:rPr>
              <w:t>Secale cereale</w:t>
            </w:r>
            <w:r>
              <w:t xml:space="preserve"> L.)</w:t>
            </w:r>
          </w:p>
        </w:tc>
        <w:tc>
          <w:tcPr>
            <w:tcW w:w="2235" w:type="dxa"/>
            <w:shd w:val="clear" w:color="auto" w:fill="auto"/>
            <w:tcMar>
              <w:top w:w="100" w:type="dxa"/>
              <w:left w:w="100" w:type="dxa"/>
              <w:bottom w:w="100" w:type="dxa"/>
              <w:right w:w="100" w:type="dxa"/>
            </w:tcMar>
          </w:tcPr>
          <w:p w14:paraId="4D34DAA3" w14:textId="77777777" w:rsidR="00BA7AB7" w:rsidRDefault="00BA7AB7" w:rsidP="00F934DE">
            <w:pPr>
              <w:widowControl w:val="0"/>
              <w:spacing w:before="0" w:after="0" w:line="240" w:lineRule="auto"/>
              <w:jc w:val="left"/>
            </w:pPr>
            <w:r>
              <w:t>-</w:t>
            </w:r>
          </w:p>
        </w:tc>
        <w:tc>
          <w:tcPr>
            <w:tcW w:w="3030" w:type="dxa"/>
            <w:shd w:val="clear" w:color="auto" w:fill="auto"/>
            <w:tcMar>
              <w:top w:w="100" w:type="dxa"/>
              <w:left w:w="100" w:type="dxa"/>
              <w:bottom w:w="100" w:type="dxa"/>
              <w:right w:w="100" w:type="dxa"/>
            </w:tcMar>
          </w:tcPr>
          <w:p w14:paraId="7FB46DD0" w14:textId="77777777" w:rsidR="00BA7AB7" w:rsidRDefault="00BA7AB7" w:rsidP="00F934DE">
            <w:pPr>
              <w:spacing w:before="0" w:after="0" w:line="240" w:lineRule="auto"/>
              <w:jc w:val="left"/>
            </w:pPr>
            <w:r>
              <w:t>AR 19:0 &gt; AR 21:0 &gt; AR 17:0 &gt; AR 23:0 &gt; AR 25:0</w:t>
            </w:r>
          </w:p>
        </w:tc>
        <w:tc>
          <w:tcPr>
            <w:tcW w:w="1440" w:type="dxa"/>
            <w:shd w:val="clear" w:color="auto" w:fill="auto"/>
            <w:tcMar>
              <w:top w:w="100" w:type="dxa"/>
              <w:left w:w="100" w:type="dxa"/>
              <w:bottom w:w="100" w:type="dxa"/>
              <w:right w:w="100" w:type="dxa"/>
            </w:tcMar>
          </w:tcPr>
          <w:p w14:paraId="47E5B328" w14:textId="77777777" w:rsidR="00BA7AB7" w:rsidRDefault="00000000" w:rsidP="00F934DE">
            <w:pPr>
              <w:widowControl w:val="0"/>
              <w:spacing w:before="0" w:after="0" w:line="240" w:lineRule="auto"/>
              <w:jc w:val="left"/>
            </w:pPr>
            <w:hyperlink r:id="rId86">
              <w:r w:rsidR="00BA7AB7">
                <w:rPr>
                  <w:color w:val="000000"/>
                  <w:vertAlign w:val="superscript"/>
                </w:rPr>
                <w:t>14,22,42,45</w:t>
              </w:r>
            </w:hyperlink>
          </w:p>
        </w:tc>
      </w:tr>
    </w:tbl>
    <w:p w14:paraId="7321713D" w14:textId="77777777" w:rsidR="00BA7AB7" w:rsidRDefault="00BA7AB7" w:rsidP="00AD3FF1">
      <w:pPr>
        <w:spacing w:line="480" w:lineRule="auto"/>
        <w:rPr>
          <w:b/>
          <w:bCs/>
        </w:rPr>
      </w:pPr>
    </w:p>
    <w:p w14:paraId="7AD1A72C" w14:textId="77777777" w:rsidR="00BA7AB7" w:rsidRDefault="00BA7AB7" w:rsidP="00AD3FF1">
      <w:pPr>
        <w:spacing w:line="480" w:lineRule="auto"/>
        <w:rPr>
          <w:b/>
          <w:bCs/>
        </w:rPr>
      </w:pPr>
    </w:p>
    <w:p w14:paraId="7E8B59A3" w14:textId="77777777" w:rsidR="00BA7AB7" w:rsidRDefault="00BA7AB7" w:rsidP="00AD3FF1">
      <w:pPr>
        <w:spacing w:line="480" w:lineRule="auto"/>
        <w:rPr>
          <w:b/>
          <w:bCs/>
        </w:rPr>
      </w:pPr>
    </w:p>
    <w:p w14:paraId="5A81952E" w14:textId="77777777" w:rsidR="00BA7AB7" w:rsidRDefault="00BA7AB7" w:rsidP="00467065">
      <w:pPr>
        <w:spacing w:line="480" w:lineRule="auto"/>
        <w:rPr>
          <w:b/>
          <w:bCs/>
        </w:rPr>
      </w:pPr>
    </w:p>
    <w:p w14:paraId="3C891F3A" w14:textId="05C4D40E" w:rsidR="007B04D1" w:rsidRDefault="007B04D1" w:rsidP="00467065">
      <w:pPr>
        <w:spacing w:line="480" w:lineRule="auto"/>
        <w:rPr>
          <w:b/>
          <w:bCs/>
        </w:rPr>
      </w:pPr>
      <w:r>
        <w:rPr>
          <w:b/>
          <w:bCs/>
        </w:rPr>
        <w:lastRenderedPageBreak/>
        <w:t>Figures</w:t>
      </w:r>
    </w:p>
    <w:p w14:paraId="1A35CB5C" w14:textId="77777777" w:rsidR="007B04D1" w:rsidRPr="00467065" w:rsidRDefault="007B04D1" w:rsidP="00467065">
      <w:pPr>
        <w:spacing w:line="480" w:lineRule="auto"/>
        <w:rPr>
          <w:b/>
          <w:bCs/>
        </w:rPr>
      </w:pPr>
    </w:p>
    <w:p w14:paraId="18F320D7" w14:textId="018ADDDF" w:rsidR="003C7DEC" w:rsidRDefault="003C7DEC" w:rsidP="003C7DEC">
      <w:pPr>
        <w:pStyle w:val="NormalWeb"/>
        <w:spacing w:before="0" w:beforeAutospacing="0" w:after="0" w:afterAutospacing="0" w:line="480" w:lineRule="auto"/>
        <w:jc w:val="both"/>
      </w:pPr>
      <w:r>
        <w:rPr>
          <w:rFonts w:ascii="Times" w:hAnsi="Times" w:cs="Times"/>
          <w:noProof/>
          <w:color w:val="000000"/>
          <w:bdr w:val="none" w:sz="0" w:space="0" w:color="auto" w:frame="1"/>
        </w:rPr>
        <w:drawing>
          <wp:inline distT="0" distB="0" distL="0" distR="0" wp14:anchorId="20C6B526" wp14:editId="0E71855C">
            <wp:extent cx="5733415" cy="2705100"/>
            <wp:effectExtent l="0" t="0" r="635" b="0"/>
            <wp:docPr id="357166293" name="Picture 6" descr="A chemical structur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66293" name="Picture 6" descr="A chemical structure with text&#10;&#10;Description automatically generated"/>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733415" cy="2705100"/>
                    </a:xfrm>
                    <a:prstGeom prst="rect">
                      <a:avLst/>
                    </a:prstGeom>
                    <a:noFill/>
                    <a:ln>
                      <a:noFill/>
                    </a:ln>
                  </pic:spPr>
                </pic:pic>
              </a:graphicData>
            </a:graphic>
          </wp:inline>
        </w:drawing>
      </w:r>
    </w:p>
    <w:p w14:paraId="423F909A" w14:textId="77777777" w:rsidR="003C7DEC" w:rsidRDefault="003C7DEC" w:rsidP="003C7DEC"/>
    <w:p w14:paraId="1B9B3C23" w14:textId="77777777" w:rsidR="003C7DEC" w:rsidRDefault="003C7DEC" w:rsidP="003C7DEC">
      <w:pPr>
        <w:pStyle w:val="NormalWeb"/>
        <w:spacing w:before="0" w:beforeAutospacing="0" w:after="0" w:afterAutospacing="0" w:line="480" w:lineRule="auto"/>
        <w:jc w:val="both"/>
      </w:pPr>
      <w:r>
        <w:rPr>
          <w:rFonts w:ascii="Times" w:hAnsi="Times" w:cs="Times"/>
          <w:b/>
          <w:bCs/>
          <w:color w:val="000000"/>
        </w:rPr>
        <w:t>Figure 1.</w:t>
      </w:r>
      <w:r>
        <w:rPr>
          <w:rFonts w:ascii="Times" w:hAnsi="Times" w:cs="Times"/>
          <w:color w:val="000000"/>
        </w:rPr>
        <w:t xml:space="preserve"> General structure of </w:t>
      </w:r>
      <w:proofErr w:type="spellStart"/>
      <w:r>
        <w:rPr>
          <w:rFonts w:ascii="Times" w:hAnsi="Times" w:cs="Times"/>
          <w:color w:val="000000"/>
        </w:rPr>
        <w:t>alkylresorcinol</w:t>
      </w:r>
      <w:proofErr w:type="spellEnd"/>
      <w:r>
        <w:rPr>
          <w:rFonts w:ascii="Times" w:hAnsi="Times" w:cs="Times"/>
          <w:color w:val="000000"/>
        </w:rPr>
        <w:t xml:space="preserve"> (A) and the characteristic base fragment ion of TMS derivatised </w:t>
      </w:r>
      <w:proofErr w:type="spellStart"/>
      <w:r>
        <w:rPr>
          <w:rFonts w:ascii="Times" w:hAnsi="Times" w:cs="Times"/>
          <w:color w:val="000000"/>
        </w:rPr>
        <w:t>alkylresorcinol</w:t>
      </w:r>
      <w:proofErr w:type="spellEnd"/>
      <w:r>
        <w:rPr>
          <w:rFonts w:ascii="Times" w:hAnsi="Times" w:cs="Times"/>
          <w:color w:val="000000"/>
        </w:rPr>
        <w:t xml:space="preserve"> at </w:t>
      </w:r>
      <w:r>
        <w:rPr>
          <w:rFonts w:ascii="Times" w:hAnsi="Times" w:cs="Times"/>
          <w:i/>
          <w:iCs/>
          <w:color w:val="000000"/>
        </w:rPr>
        <w:t>m/z</w:t>
      </w:r>
      <w:r>
        <w:rPr>
          <w:rFonts w:ascii="Times" w:hAnsi="Times" w:cs="Times"/>
          <w:color w:val="000000"/>
        </w:rPr>
        <w:t xml:space="preserve"> 268 (B).</w:t>
      </w:r>
    </w:p>
    <w:p w14:paraId="2D5EDC8A" w14:textId="77777777" w:rsidR="003C7DEC" w:rsidRDefault="003C7DEC" w:rsidP="003C7DEC"/>
    <w:p w14:paraId="2B3F5B19" w14:textId="6BB5A1C0" w:rsidR="003C7DEC" w:rsidRDefault="003C7DEC" w:rsidP="003C7DEC">
      <w:pPr>
        <w:pStyle w:val="NormalWeb"/>
        <w:spacing w:before="0" w:beforeAutospacing="0" w:after="0" w:afterAutospacing="0" w:line="480" w:lineRule="auto"/>
        <w:jc w:val="both"/>
      </w:pPr>
      <w:r>
        <w:rPr>
          <w:rFonts w:ascii="Times" w:hAnsi="Times" w:cs="Times"/>
          <w:b/>
          <w:bCs/>
          <w:noProof/>
          <w:color w:val="000000"/>
          <w:bdr w:val="none" w:sz="0" w:space="0" w:color="auto" w:frame="1"/>
        </w:rPr>
        <w:lastRenderedPageBreak/>
        <w:drawing>
          <wp:inline distT="0" distB="0" distL="0" distR="0" wp14:anchorId="02204827" wp14:editId="51455408">
            <wp:extent cx="4559300" cy="7105650"/>
            <wp:effectExtent l="0" t="0" r="0" b="0"/>
            <wp:docPr id="2102102878" name="Picture 5" descr="A diagram of a sam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102878" name="Picture 5" descr="A diagram of a sample&#10;&#10;Description automatically generated with medium confidence"/>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559300" cy="7105650"/>
                    </a:xfrm>
                    <a:prstGeom prst="rect">
                      <a:avLst/>
                    </a:prstGeom>
                    <a:noFill/>
                    <a:ln>
                      <a:noFill/>
                    </a:ln>
                  </pic:spPr>
                </pic:pic>
              </a:graphicData>
            </a:graphic>
          </wp:inline>
        </w:drawing>
      </w:r>
    </w:p>
    <w:p w14:paraId="38969411" w14:textId="77777777" w:rsidR="003C7DEC" w:rsidRDefault="003C7DEC" w:rsidP="003C7DEC">
      <w:pPr>
        <w:pStyle w:val="NormalWeb"/>
        <w:spacing w:before="0" w:beforeAutospacing="0" w:after="0" w:afterAutospacing="0" w:line="480" w:lineRule="auto"/>
        <w:jc w:val="both"/>
      </w:pPr>
      <w:r>
        <w:rPr>
          <w:rFonts w:ascii="Times" w:hAnsi="Times" w:cs="Times"/>
          <w:b/>
          <w:bCs/>
          <w:color w:val="000000"/>
        </w:rPr>
        <w:t>Figure 2.</w:t>
      </w:r>
      <w:r>
        <w:rPr>
          <w:rFonts w:ascii="Times" w:hAnsi="Times" w:cs="Times"/>
          <w:color w:val="000000"/>
        </w:rPr>
        <w:t xml:space="preserve"> GC/MS SIM (</w:t>
      </w:r>
      <w:r>
        <w:rPr>
          <w:rFonts w:ascii="Times" w:hAnsi="Times" w:cs="Times"/>
          <w:i/>
          <w:iCs/>
          <w:color w:val="000000"/>
        </w:rPr>
        <w:t>m/z</w:t>
      </w:r>
      <w:r>
        <w:rPr>
          <w:rFonts w:ascii="Times" w:hAnsi="Times" w:cs="Times"/>
          <w:color w:val="000000"/>
        </w:rPr>
        <w:t xml:space="preserve"> 268) chromatogram of TMS derivatised ARs detected in purified common wheat samples (A). The presence of five saturated homologues ‒ AR 17:0, AR 19:0, AR 21:0, AR 23:0, and AR 25:0 ‒ were confirmed by their mass spectra (B). IS: internal standard</w:t>
      </w:r>
    </w:p>
    <w:p w14:paraId="03BB1CAE" w14:textId="24A1959B" w:rsidR="003C7DEC" w:rsidRDefault="003C7DEC" w:rsidP="003C7DEC">
      <w:pPr>
        <w:pStyle w:val="NormalWeb"/>
        <w:spacing w:before="0" w:beforeAutospacing="0" w:after="0" w:afterAutospacing="0" w:line="480" w:lineRule="auto"/>
        <w:jc w:val="both"/>
      </w:pPr>
      <w:r>
        <w:rPr>
          <w:rFonts w:ascii="Times" w:hAnsi="Times" w:cs="Times"/>
          <w:noProof/>
          <w:color w:val="000000"/>
          <w:bdr w:val="none" w:sz="0" w:space="0" w:color="auto" w:frame="1"/>
        </w:rPr>
        <w:lastRenderedPageBreak/>
        <w:drawing>
          <wp:inline distT="0" distB="0" distL="0" distR="0" wp14:anchorId="2B7CAF60" wp14:editId="08DD15FF">
            <wp:extent cx="5733415" cy="7225665"/>
            <wp:effectExtent l="0" t="0" r="635" b="0"/>
            <wp:docPr id="7240591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733415" cy="7225665"/>
                    </a:xfrm>
                    <a:prstGeom prst="rect">
                      <a:avLst/>
                    </a:prstGeom>
                    <a:noFill/>
                    <a:ln>
                      <a:noFill/>
                    </a:ln>
                  </pic:spPr>
                </pic:pic>
              </a:graphicData>
            </a:graphic>
          </wp:inline>
        </w:drawing>
      </w:r>
    </w:p>
    <w:p w14:paraId="31D3DD7A" w14:textId="673683F0" w:rsidR="003C7DEC" w:rsidRDefault="003C7DEC" w:rsidP="00467065">
      <w:pPr>
        <w:pStyle w:val="NormalWeb"/>
        <w:spacing w:before="0" w:beforeAutospacing="0" w:after="0" w:afterAutospacing="0" w:line="480" w:lineRule="auto"/>
        <w:jc w:val="both"/>
      </w:pPr>
      <w:r>
        <w:rPr>
          <w:rFonts w:ascii="Times" w:hAnsi="Times" w:cs="Times"/>
          <w:b/>
          <w:bCs/>
          <w:color w:val="000000"/>
        </w:rPr>
        <w:t>Figure 3.</w:t>
      </w:r>
      <w:r>
        <w:rPr>
          <w:rFonts w:ascii="Times" w:hAnsi="Times" w:cs="Times"/>
          <w:color w:val="000000"/>
        </w:rPr>
        <w:t xml:space="preserve"> UHPLC-Q/Orbitrap MS chromatogram of AR 17:0, AR 19:0, AR 21:0, AR 23:0, and AR 25:0 detected in purified common wheat samples (A). The obtained MS spectra (B) confirmed their identities.</w:t>
      </w:r>
    </w:p>
    <w:p w14:paraId="27E46996" w14:textId="7E596D9F" w:rsidR="003C7DEC" w:rsidRDefault="003C7DEC" w:rsidP="003C7DEC">
      <w:pPr>
        <w:pStyle w:val="NormalWeb"/>
        <w:spacing w:before="0" w:beforeAutospacing="0" w:after="0" w:afterAutospacing="0" w:line="480" w:lineRule="auto"/>
        <w:jc w:val="both"/>
      </w:pPr>
      <w:r>
        <w:rPr>
          <w:rFonts w:ascii="Times" w:hAnsi="Times" w:cs="Times"/>
          <w:noProof/>
          <w:color w:val="000000"/>
          <w:bdr w:val="none" w:sz="0" w:space="0" w:color="auto" w:frame="1"/>
        </w:rPr>
        <w:lastRenderedPageBreak/>
        <w:drawing>
          <wp:inline distT="0" distB="0" distL="0" distR="0" wp14:anchorId="6960B9FC" wp14:editId="05E0062C">
            <wp:extent cx="5264150" cy="7296150"/>
            <wp:effectExtent l="0" t="0" r="0" b="0"/>
            <wp:docPr id="1920250897" name="Picture 3" descr="A graph of different colors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250897" name="Picture 3" descr="A graph of different colors and numbers&#10;&#10;Description automatically generated with medium confidence"/>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264150" cy="7296150"/>
                    </a:xfrm>
                    <a:prstGeom prst="rect">
                      <a:avLst/>
                    </a:prstGeom>
                    <a:noFill/>
                    <a:ln>
                      <a:noFill/>
                    </a:ln>
                  </pic:spPr>
                </pic:pic>
              </a:graphicData>
            </a:graphic>
          </wp:inline>
        </w:drawing>
      </w:r>
    </w:p>
    <w:p w14:paraId="001A455E" w14:textId="4E4CF5FB" w:rsidR="003C7DEC" w:rsidRDefault="003C7DEC" w:rsidP="00467065">
      <w:pPr>
        <w:pStyle w:val="NormalWeb"/>
        <w:spacing w:before="0" w:beforeAutospacing="0" w:after="0" w:afterAutospacing="0" w:line="480" w:lineRule="auto"/>
        <w:jc w:val="both"/>
      </w:pPr>
      <w:r>
        <w:rPr>
          <w:rFonts w:ascii="Times" w:hAnsi="Times" w:cs="Times"/>
          <w:b/>
          <w:bCs/>
          <w:color w:val="000000"/>
        </w:rPr>
        <w:t>Figure 4.</w:t>
      </w:r>
      <w:r>
        <w:rPr>
          <w:rFonts w:ascii="Times" w:hAnsi="Times" w:cs="Times"/>
          <w:color w:val="000000"/>
        </w:rPr>
        <w:t xml:space="preserve"> Saturated (A) and unsaturated (B) AR composition of different purified cereal species. The ARs were detected and identified using UHPLC-Q/Orbitrap MS. Saturated AR 21:0 dominated in wheat species, while AR 25:0 dominated in barley.</w:t>
      </w:r>
    </w:p>
    <w:p w14:paraId="0AE3C726" w14:textId="34C0C2C0" w:rsidR="003C7DEC" w:rsidRDefault="003C7DEC" w:rsidP="003C7DEC">
      <w:pPr>
        <w:pStyle w:val="NormalWeb"/>
        <w:spacing w:before="0" w:beforeAutospacing="0" w:after="0" w:afterAutospacing="0" w:line="480" w:lineRule="auto"/>
        <w:jc w:val="both"/>
      </w:pPr>
      <w:r>
        <w:rPr>
          <w:rFonts w:ascii="Times" w:hAnsi="Times" w:cs="Times"/>
          <w:noProof/>
          <w:color w:val="000000"/>
          <w:bdr w:val="none" w:sz="0" w:space="0" w:color="auto" w:frame="1"/>
        </w:rPr>
        <w:lastRenderedPageBreak/>
        <w:drawing>
          <wp:inline distT="0" distB="0" distL="0" distR="0" wp14:anchorId="3ECBEDA9" wp14:editId="63DF73FC">
            <wp:extent cx="5733415" cy="3326765"/>
            <wp:effectExtent l="0" t="0" r="635" b="6985"/>
            <wp:docPr id="903876268" name="Picture 2" descr="A graph of a sam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876268" name="Picture 2" descr="A graph of a sample&#10;&#10;Description automatically generated with medium confidence"/>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733415" cy="3326765"/>
                    </a:xfrm>
                    <a:prstGeom prst="rect">
                      <a:avLst/>
                    </a:prstGeom>
                    <a:noFill/>
                    <a:ln>
                      <a:noFill/>
                    </a:ln>
                  </pic:spPr>
                </pic:pic>
              </a:graphicData>
            </a:graphic>
          </wp:inline>
        </w:drawing>
      </w:r>
    </w:p>
    <w:p w14:paraId="5F5BAAEB" w14:textId="77777777" w:rsidR="003C7DEC" w:rsidRPr="00E42918" w:rsidRDefault="003C7DEC" w:rsidP="003C7DEC">
      <w:pPr>
        <w:pStyle w:val="NormalWeb"/>
        <w:spacing w:before="0" w:beforeAutospacing="0" w:after="0" w:afterAutospacing="0" w:line="480" w:lineRule="auto"/>
        <w:jc w:val="both"/>
      </w:pPr>
      <w:r w:rsidRPr="00E42918">
        <w:rPr>
          <w:rFonts w:ascii="Times" w:hAnsi="Times" w:cs="Times"/>
          <w:b/>
          <w:bCs/>
          <w:color w:val="000000"/>
        </w:rPr>
        <w:t xml:space="preserve">Figure 5. </w:t>
      </w:r>
      <w:r w:rsidRPr="00E42918">
        <w:rPr>
          <w:rFonts w:ascii="Times" w:hAnsi="Times" w:cs="Times"/>
          <w:color w:val="000000"/>
        </w:rPr>
        <w:t>GC/MS TIC (A) and SIM (</w:t>
      </w:r>
      <w:r w:rsidRPr="00E42918">
        <w:rPr>
          <w:rFonts w:ascii="Times" w:hAnsi="Times" w:cs="Times"/>
          <w:i/>
          <w:iCs/>
          <w:color w:val="000000"/>
        </w:rPr>
        <w:t>m/z</w:t>
      </w:r>
      <w:r w:rsidRPr="00E42918">
        <w:rPr>
          <w:rFonts w:ascii="Times" w:hAnsi="Times" w:cs="Times"/>
          <w:color w:val="000000"/>
        </w:rPr>
        <w:t xml:space="preserve"> 268; B) chromatograms of the unpurified and TMS derivatised MUS 2835 sample showing some of the detected molecular compounds (</w:t>
      </w:r>
      <w:proofErr w:type="spellStart"/>
      <w:r w:rsidRPr="00E42918">
        <w:rPr>
          <w:rFonts w:ascii="Times" w:hAnsi="Times" w:cs="Times"/>
          <w:color w:val="000000"/>
        </w:rPr>
        <w:t>C</w:t>
      </w:r>
      <w:r w:rsidRPr="00E42918">
        <w:rPr>
          <w:rFonts w:ascii="Times" w:hAnsi="Times" w:cs="Times"/>
          <w:i/>
          <w:iCs/>
          <w:color w:val="000000"/>
        </w:rPr>
        <w:t>n:x</w:t>
      </w:r>
      <w:proofErr w:type="spellEnd"/>
      <w:r w:rsidRPr="00E42918">
        <w:rPr>
          <w:rFonts w:ascii="Times" w:hAnsi="Times" w:cs="Times"/>
          <w:color w:val="000000"/>
        </w:rPr>
        <w:t xml:space="preserve">, fatty acids with carbon length </w:t>
      </w:r>
      <w:r w:rsidRPr="00E42918">
        <w:rPr>
          <w:rFonts w:ascii="Times" w:hAnsi="Times" w:cs="Times"/>
          <w:i/>
          <w:iCs/>
          <w:color w:val="000000"/>
        </w:rPr>
        <w:t>n</w:t>
      </w:r>
      <w:r w:rsidRPr="00E42918">
        <w:rPr>
          <w:rFonts w:ascii="Times" w:hAnsi="Times" w:cs="Times"/>
          <w:color w:val="000000"/>
        </w:rPr>
        <w:t xml:space="preserve"> and number of </w:t>
      </w:r>
      <w:proofErr w:type="spellStart"/>
      <w:r w:rsidRPr="00E42918">
        <w:rPr>
          <w:rFonts w:ascii="Times" w:hAnsi="Times" w:cs="Times"/>
          <w:color w:val="000000"/>
        </w:rPr>
        <w:t>unsaturations</w:t>
      </w:r>
      <w:proofErr w:type="spellEnd"/>
      <w:r w:rsidRPr="00E42918">
        <w:rPr>
          <w:rFonts w:ascii="Times" w:hAnsi="Times" w:cs="Times"/>
          <w:color w:val="000000"/>
        </w:rPr>
        <w:t xml:space="preserve"> </w:t>
      </w:r>
      <w:r w:rsidRPr="00E42918">
        <w:rPr>
          <w:rFonts w:ascii="Times" w:hAnsi="Times" w:cs="Times"/>
          <w:i/>
          <w:iCs/>
          <w:color w:val="000000"/>
        </w:rPr>
        <w:t>x</w:t>
      </w:r>
      <w:r w:rsidRPr="00E42918">
        <w:rPr>
          <w:rFonts w:ascii="Times" w:hAnsi="Times" w:cs="Times"/>
          <w:color w:val="000000"/>
        </w:rPr>
        <w:t>) and the possible presence of AR (*). UHPLC-Q/Orbitrap MS analysis identified these three peaks as AR 21:0, AR 23:0, and AR 25:0 homologues. Detailed information about other identified lipid compounds can be found elsewhere</w:t>
      </w:r>
      <w:hyperlink r:id="rId92" w:history="1">
        <w:r w:rsidRPr="00C1652E">
          <w:rPr>
            <w:rStyle w:val="Hyperlink"/>
            <w:rFonts w:ascii="Times" w:hAnsi="Times" w:cs="Times"/>
            <w:color w:val="000000"/>
            <w:u w:val="none"/>
            <w:vertAlign w:val="superscript"/>
          </w:rPr>
          <w:t>27</w:t>
        </w:r>
      </w:hyperlink>
      <w:r w:rsidRPr="00E42918">
        <w:rPr>
          <w:rFonts w:ascii="Times" w:hAnsi="Times" w:cs="Times"/>
          <w:color w:val="000000"/>
        </w:rPr>
        <w:t>. IS: internal standard</w:t>
      </w:r>
    </w:p>
    <w:p w14:paraId="5AB8F0F5" w14:textId="77777777" w:rsidR="003C7DEC" w:rsidRDefault="003C7DEC" w:rsidP="003C7DEC">
      <w:r>
        <w:br/>
      </w:r>
    </w:p>
    <w:p w14:paraId="0400BCF3" w14:textId="0E31CF6B" w:rsidR="003C7DEC" w:rsidRDefault="003C7DEC" w:rsidP="003C7DEC">
      <w:pPr>
        <w:pStyle w:val="NormalWeb"/>
        <w:spacing w:before="0" w:beforeAutospacing="0" w:after="0" w:afterAutospacing="0" w:line="480" w:lineRule="auto"/>
        <w:jc w:val="both"/>
      </w:pPr>
      <w:r>
        <w:rPr>
          <w:rFonts w:ascii="Times" w:hAnsi="Times" w:cs="Times"/>
          <w:b/>
          <w:bCs/>
          <w:noProof/>
          <w:color w:val="000000"/>
          <w:bdr w:val="none" w:sz="0" w:space="0" w:color="auto" w:frame="1"/>
        </w:rPr>
        <w:lastRenderedPageBreak/>
        <w:drawing>
          <wp:inline distT="0" distB="0" distL="0" distR="0" wp14:anchorId="30694290" wp14:editId="631626E8">
            <wp:extent cx="5733415" cy="4431665"/>
            <wp:effectExtent l="0" t="0" r="635" b="6985"/>
            <wp:docPr id="1589667878" name="Picture 1" descr="A graph showing the number of samp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667878" name="Picture 1" descr="A graph showing the number of samples&#10;&#10;Description automatically generated"/>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733415" cy="4431665"/>
                    </a:xfrm>
                    <a:prstGeom prst="rect">
                      <a:avLst/>
                    </a:prstGeom>
                    <a:noFill/>
                    <a:ln>
                      <a:noFill/>
                    </a:ln>
                  </pic:spPr>
                </pic:pic>
              </a:graphicData>
            </a:graphic>
          </wp:inline>
        </w:drawing>
      </w:r>
    </w:p>
    <w:p w14:paraId="2B5D76DE" w14:textId="77777777" w:rsidR="003C7DEC" w:rsidRDefault="003C7DEC" w:rsidP="003C7DEC">
      <w:pPr>
        <w:pStyle w:val="NormalWeb"/>
        <w:spacing w:before="0" w:beforeAutospacing="0" w:after="0" w:afterAutospacing="0" w:line="480" w:lineRule="auto"/>
        <w:jc w:val="both"/>
      </w:pPr>
      <w:r>
        <w:rPr>
          <w:rFonts w:ascii="Times" w:hAnsi="Times" w:cs="Times"/>
          <w:b/>
          <w:bCs/>
          <w:color w:val="000000"/>
        </w:rPr>
        <w:t>Figure 6.</w:t>
      </w:r>
      <w:r>
        <w:rPr>
          <w:rFonts w:ascii="Times" w:hAnsi="Times" w:cs="Times"/>
          <w:color w:val="000000"/>
        </w:rPr>
        <w:t xml:space="preserve"> Relative distribution of AR homologues in eight purified Must Farm TLEs. The ARs were detected and identified using UHPLC-Q/Orbitrap MS.</w:t>
      </w:r>
    </w:p>
    <w:p w14:paraId="37A852D6" w14:textId="77777777" w:rsidR="003C7DEC" w:rsidRDefault="003C7DEC" w:rsidP="00BD6D83">
      <w:pPr>
        <w:spacing w:line="480" w:lineRule="auto"/>
        <w:rPr>
          <w:b/>
          <w:bCs/>
        </w:rPr>
      </w:pPr>
    </w:p>
    <w:p w14:paraId="3E3A4418" w14:textId="77777777" w:rsidR="007B04D1" w:rsidRDefault="007B04D1" w:rsidP="00BD6D83">
      <w:pPr>
        <w:spacing w:line="480" w:lineRule="auto"/>
        <w:rPr>
          <w:b/>
          <w:bCs/>
        </w:rPr>
      </w:pPr>
    </w:p>
    <w:p w14:paraId="1F9A72C2" w14:textId="77777777" w:rsidR="007B04D1" w:rsidRDefault="007B04D1" w:rsidP="00BD6D83">
      <w:pPr>
        <w:spacing w:line="480" w:lineRule="auto"/>
        <w:rPr>
          <w:b/>
          <w:bCs/>
        </w:rPr>
      </w:pPr>
    </w:p>
    <w:p w14:paraId="3492F74E" w14:textId="77777777" w:rsidR="007B04D1" w:rsidRDefault="007B04D1" w:rsidP="00BD6D83">
      <w:pPr>
        <w:spacing w:line="480" w:lineRule="auto"/>
        <w:rPr>
          <w:b/>
          <w:bCs/>
        </w:rPr>
      </w:pPr>
    </w:p>
    <w:p w14:paraId="0231687A" w14:textId="77777777" w:rsidR="007B04D1" w:rsidRDefault="007B04D1" w:rsidP="00BD6D83">
      <w:pPr>
        <w:spacing w:line="480" w:lineRule="auto"/>
        <w:rPr>
          <w:b/>
          <w:bCs/>
        </w:rPr>
      </w:pPr>
    </w:p>
    <w:p w14:paraId="11150E39" w14:textId="77777777" w:rsidR="007B04D1" w:rsidRPr="00467065" w:rsidRDefault="007B04D1" w:rsidP="00467065">
      <w:pPr>
        <w:spacing w:line="480" w:lineRule="auto"/>
        <w:rPr>
          <w:b/>
          <w:bCs/>
        </w:rPr>
      </w:pPr>
    </w:p>
    <w:sectPr w:rsidR="007B04D1" w:rsidRPr="00467065" w:rsidSect="00735384">
      <w:pgSz w:w="11909" w:h="16834"/>
      <w:pgMar w:top="1440" w:right="1440" w:bottom="1440" w:left="1440" w:header="720" w:footer="720"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C0EC7" w14:textId="77777777" w:rsidR="00735384" w:rsidRDefault="00735384">
      <w:pPr>
        <w:spacing w:before="0" w:after="0" w:line="240" w:lineRule="auto"/>
      </w:pPr>
      <w:r>
        <w:separator/>
      </w:r>
    </w:p>
  </w:endnote>
  <w:endnote w:type="continuationSeparator" w:id="0">
    <w:p w14:paraId="4B2795AF" w14:textId="77777777" w:rsidR="00735384" w:rsidRDefault="007353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84A74" w14:textId="77777777" w:rsidR="00735384" w:rsidRDefault="00735384">
      <w:pPr>
        <w:spacing w:before="0" w:after="0" w:line="240" w:lineRule="auto"/>
      </w:pPr>
      <w:r>
        <w:separator/>
      </w:r>
    </w:p>
  </w:footnote>
  <w:footnote w:type="continuationSeparator" w:id="0">
    <w:p w14:paraId="4A2EB47E" w14:textId="77777777" w:rsidR="00735384" w:rsidRDefault="0073538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707503"/>
      <w:docPartObj>
        <w:docPartGallery w:val="Page Numbers (Top of Page)"/>
        <w:docPartUnique/>
      </w:docPartObj>
    </w:sdtPr>
    <w:sdtContent>
      <w:p w14:paraId="1D17AA18" w14:textId="77777777" w:rsidR="00141D8F" w:rsidRDefault="00141D8F">
        <w:pPr>
          <w:pStyle w:val="Head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000000B8" w14:textId="77777777" w:rsidR="0098306C" w:rsidRDefault="009830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8016C"/>
    <w:multiLevelType w:val="multilevel"/>
    <w:tmpl w:val="8C2842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61098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06C"/>
    <w:rsid w:val="00041917"/>
    <w:rsid w:val="00042EF9"/>
    <w:rsid w:val="00047FBF"/>
    <w:rsid w:val="000549F5"/>
    <w:rsid w:val="00070B5C"/>
    <w:rsid w:val="00091437"/>
    <w:rsid w:val="000A0115"/>
    <w:rsid w:val="000A0FFE"/>
    <w:rsid w:val="000D77B7"/>
    <w:rsid w:val="000E7EC0"/>
    <w:rsid w:val="001231DC"/>
    <w:rsid w:val="00141D8F"/>
    <w:rsid w:val="00145A92"/>
    <w:rsid w:val="00146EC7"/>
    <w:rsid w:val="00160B24"/>
    <w:rsid w:val="0016748F"/>
    <w:rsid w:val="001701F4"/>
    <w:rsid w:val="00170752"/>
    <w:rsid w:val="001A00A7"/>
    <w:rsid w:val="001D7D90"/>
    <w:rsid w:val="001F32D4"/>
    <w:rsid w:val="001F4DCF"/>
    <w:rsid w:val="00210024"/>
    <w:rsid w:val="002119C6"/>
    <w:rsid w:val="00232624"/>
    <w:rsid w:val="00264E55"/>
    <w:rsid w:val="002673C1"/>
    <w:rsid w:val="00267CD7"/>
    <w:rsid w:val="00284FA9"/>
    <w:rsid w:val="002C1219"/>
    <w:rsid w:val="002D21EF"/>
    <w:rsid w:val="002D3DC0"/>
    <w:rsid w:val="002E4463"/>
    <w:rsid w:val="002E4986"/>
    <w:rsid w:val="003003E0"/>
    <w:rsid w:val="0030717D"/>
    <w:rsid w:val="003072C4"/>
    <w:rsid w:val="00307505"/>
    <w:rsid w:val="0031289B"/>
    <w:rsid w:val="0032067B"/>
    <w:rsid w:val="00361E3A"/>
    <w:rsid w:val="0037022C"/>
    <w:rsid w:val="0039437F"/>
    <w:rsid w:val="00394DA4"/>
    <w:rsid w:val="003A1951"/>
    <w:rsid w:val="003C7DEC"/>
    <w:rsid w:val="003F1EDB"/>
    <w:rsid w:val="003F7E3E"/>
    <w:rsid w:val="004026D8"/>
    <w:rsid w:val="00405FB9"/>
    <w:rsid w:val="0041175E"/>
    <w:rsid w:val="004253A0"/>
    <w:rsid w:val="004347B1"/>
    <w:rsid w:val="00441A6C"/>
    <w:rsid w:val="00466B1E"/>
    <w:rsid w:val="00467065"/>
    <w:rsid w:val="004804E0"/>
    <w:rsid w:val="00484F62"/>
    <w:rsid w:val="004B35F3"/>
    <w:rsid w:val="004C6B40"/>
    <w:rsid w:val="004C74A0"/>
    <w:rsid w:val="005200CA"/>
    <w:rsid w:val="00527773"/>
    <w:rsid w:val="00531A81"/>
    <w:rsid w:val="005436B1"/>
    <w:rsid w:val="00547958"/>
    <w:rsid w:val="005703CE"/>
    <w:rsid w:val="0057686C"/>
    <w:rsid w:val="00587258"/>
    <w:rsid w:val="00596FF9"/>
    <w:rsid w:val="005C48A9"/>
    <w:rsid w:val="005C5F42"/>
    <w:rsid w:val="005E626A"/>
    <w:rsid w:val="005F2803"/>
    <w:rsid w:val="00602B07"/>
    <w:rsid w:val="0062088A"/>
    <w:rsid w:val="00622260"/>
    <w:rsid w:val="006268AA"/>
    <w:rsid w:val="00643D01"/>
    <w:rsid w:val="00654798"/>
    <w:rsid w:val="00670C0E"/>
    <w:rsid w:val="006712B0"/>
    <w:rsid w:val="00671734"/>
    <w:rsid w:val="0067650F"/>
    <w:rsid w:val="0068587D"/>
    <w:rsid w:val="006A0E60"/>
    <w:rsid w:val="006A68DE"/>
    <w:rsid w:val="006E295A"/>
    <w:rsid w:val="006F29FB"/>
    <w:rsid w:val="007023CD"/>
    <w:rsid w:val="0071256D"/>
    <w:rsid w:val="00730A13"/>
    <w:rsid w:val="007351B0"/>
    <w:rsid w:val="00735384"/>
    <w:rsid w:val="00737084"/>
    <w:rsid w:val="007405D4"/>
    <w:rsid w:val="007475ED"/>
    <w:rsid w:val="00751AF9"/>
    <w:rsid w:val="00755333"/>
    <w:rsid w:val="007736EE"/>
    <w:rsid w:val="007A6F52"/>
    <w:rsid w:val="007B04D1"/>
    <w:rsid w:val="007B6EAC"/>
    <w:rsid w:val="00817D8D"/>
    <w:rsid w:val="00832835"/>
    <w:rsid w:val="00836E95"/>
    <w:rsid w:val="0084672D"/>
    <w:rsid w:val="00877B5B"/>
    <w:rsid w:val="00880497"/>
    <w:rsid w:val="00890984"/>
    <w:rsid w:val="008B38A8"/>
    <w:rsid w:val="008D30DF"/>
    <w:rsid w:val="008E73FA"/>
    <w:rsid w:val="008F316E"/>
    <w:rsid w:val="008F49C4"/>
    <w:rsid w:val="008F5B00"/>
    <w:rsid w:val="009008B2"/>
    <w:rsid w:val="009170E7"/>
    <w:rsid w:val="009268F8"/>
    <w:rsid w:val="00933161"/>
    <w:rsid w:val="00933C80"/>
    <w:rsid w:val="00946727"/>
    <w:rsid w:val="009527BC"/>
    <w:rsid w:val="009536D2"/>
    <w:rsid w:val="009822C3"/>
    <w:rsid w:val="0098306C"/>
    <w:rsid w:val="00996331"/>
    <w:rsid w:val="009A58AE"/>
    <w:rsid w:val="009B5B88"/>
    <w:rsid w:val="009F0C18"/>
    <w:rsid w:val="009F2DEB"/>
    <w:rsid w:val="009F7DA6"/>
    <w:rsid w:val="00A0175B"/>
    <w:rsid w:val="00A14585"/>
    <w:rsid w:val="00A2006A"/>
    <w:rsid w:val="00A4781B"/>
    <w:rsid w:val="00A47B47"/>
    <w:rsid w:val="00A66D74"/>
    <w:rsid w:val="00AD3FF1"/>
    <w:rsid w:val="00AE5B47"/>
    <w:rsid w:val="00B02AE5"/>
    <w:rsid w:val="00B04635"/>
    <w:rsid w:val="00B06DAA"/>
    <w:rsid w:val="00B7120C"/>
    <w:rsid w:val="00B82702"/>
    <w:rsid w:val="00BA7AB7"/>
    <w:rsid w:val="00BD6D83"/>
    <w:rsid w:val="00BF0683"/>
    <w:rsid w:val="00C1652E"/>
    <w:rsid w:val="00C33346"/>
    <w:rsid w:val="00C462F2"/>
    <w:rsid w:val="00C6678D"/>
    <w:rsid w:val="00C87A04"/>
    <w:rsid w:val="00CA5448"/>
    <w:rsid w:val="00CD29E5"/>
    <w:rsid w:val="00CD4EF1"/>
    <w:rsid w:val="00CF2619"/>
    <w:rsid w:val="00CF3940"/>
    <w:rsid w:val="00CF581C"/>
    <w:rsid w:val="00CF7720"/>
    <w:rsid w:val="00D00418"/>
    <w:rsid w:val="00D323A0"/>
    <w:rsid w:val="00D33BA5"/>
    <w:rsid w:val="00D378D4"/>
    <w:rsid w:val="00D53085"/>
    <w:rsid w:val="00D62420"/>
    <w:rsid w:val="00D647D2"/>
    <w:rsid w:val="00D71319"/>
    <w:rsid w:val="00D750C1"/>
    <w:rsid w:val="00DA27B1"/>
    <w:rsid w:val="00DD7B45"/>
    <w:rsid w:val="00DE487C"/>
    <w:rsid w:val="00E14F0A"/>
    <w:rsid w:val="00E25007"/>
    <w:rsid w:val="00E42918"/>
    <w:rsid w:val="00E42F79"/>
    <w:rsid w:val="00E50EAA"/>
    <w:rsid w:val="00E74B77"/>
    <w:rsid w:val="00E75118"/>
    <w:rsid w:val="00E93662"/>
    <w:rsid w:val="00E938E3"/>
    <w:rsid w:val="00EB497B"/>
    <w:rsid w:val="00EE09CC"/>
    <w:rsid w:val="00EE2545"/>
    <w:rsid w:val="00EF25E9"/>
    <w:rsid w:val="00EF70E2"/>
    <w:rsid w:val="00F05C54"/>
    <w:rsid w:val="00F05F38"/>
    <w:rsid w:val="00F24017"/>
    <w:rsid w:val="00F3727A"/>
    <w:rsid w:val="00F44E2A"/>
    <w:rsid w:val="00F61CC7"/>
    <w:rsid w:val="00FA2698"/>
    <w:rsid w:val="00FA5CCD"/>
    <w:rsid w:val="00FC2F1E"/>
    <w:rsid w:val="00FD2131"/>
    <w:rsid w:val="00FD2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78FCD"/>
  <w15:docId w15:val="{B0C54120-16DA-4E2D-8F90-58F76A05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GB" w:eastAsia="en-GB" w:bidi="ar-SA"/>
      </w:rPr>
    </w:rPrDefault>
    <w:pPrDefault>
      <w:pPr>
        <w:spacing w:before="240" w:after="24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after="80"/>
      <w:outlineLvl w:val="4"/>
    </w:pPr>
    <w:rPr>
      <w:color w:val="666666"/>
      <w:sz w:val="22"/>
      <w:szCs w:val="22"/>
    </w:rPr>
  </w:style>
  <w:style w:type="paragraph" w:styleId="Heading6">
    <w:name w:val="heading 6"/>
    <w:basedOn w:val="Normal"/>
    <w:next w:val="Normal"/>
    <w:uiPriority w:val="9"/>
    <w:semiHidden/>
    <w:unhideWhenUsed/>
    <w:qFormat/>
    <w:pPr>
      <w:keepNext/>
      <w:keepLines/>
      <w:spacing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378D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378D4"/>
  </w:style>
  <w:style w:type="paragraph" w:styleId="Footer">
    <w:name w:val="footer"/>
    <w:basedOn w:val="Normal"/>
    <w:link w:val="FooterChar"/>
    <w:uiPriority w:val="99"/>
    <w:unhideWhenUsed/>
    <w:rsid w:val="00D378D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378D4"/>
  </w:style>
  <w:style w:type="character" w:styleId="LineNumber">
    <w:name w:val="line number"/>
    <w:basedOn w:val="DefaultParagraphFont"/>
    <w:uiPriority w:val="99"/>
    <w:semiHidden/>
    <w:unhideWhenUsed/>
    <w:rsid w:val="007023CD"/>
  </w:style>
  <w:style w:type="paragraph" w:styleId="Revision">
    <w:name w:val="Revision"/>
    <w:hidden/>
    <w:uiPriority w:val="99"/>
    <w:semiHidden/>
    <w:rsid w:val="008B38A8"/>
    <w:pPr>
      <w:spacing w:before="0" w:after="0" w:line="240" w:lineRule="auto"/>
      <w:jc w:val="left"/>
    </w:pPr>
  </w:style>
  <w:style w:type="table" w:styleId="TableGrid">
    <w:name w:val="Table Grid"/>
    <w:basedOn w:val="TableNormal"/>
    <w:uiPriority w:val="39"/>
    <w:rsid w:val="00267CD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03E0"/>
    <w:pPr>
      <w:ind w:left="720"/>
      <w:contextualSpacing/>
    </w:pPr>
  </w:style>
  <w:style w:type="paragraph" w:styleId="NormalWeb">
    <w:name w:val="Normal (Web)"/>
    <w:basedOn w:val="Normal"/>
    <w:uiPriority w:val="99"/>
    <w:unhideWhenUsed/>
    <w:rsid w:val="003C7DEC"/>
    <w:pPr>
      <w:spacing w:before="100" w:beforeAutospacing="1" w:after="100" w:afterAutospacing="1" w:line="240" w:lineRule="auto"/>
      <w:jc w:val="left"/>
    </w:pPr>
    <w:rPr>
      <w:rFonts w:ascii="Times New Roman" w:eastAsia="Times New Roman" w:hAnsi="Times New Roman" w:cs="Times New Roman"/>
    </w:rPr>
  </w:style>
  <w:style w:type="character" w:styleId="Hyperlink">
    <w:name w:val="Hyperlink"/>
    <w:basedOn w:val="DefaultParagraphFont"/>
    <w:uiPriority w:val="99"/>
    <w:semiHidden/>
    <w:unhideWhenUsed/>
    <w:rsid w:val="003C7D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544515">
      <w:bodyDiv w:val="1"/>
      <w:marLeft w:val="0"/>
      <w:marRight w:val="0"/>
      <w:marTop w:val="0"/>
      <w:marBottom w:val="0"/>
      <w:divBdr>
        <w:top w:val="none" w:sz="0" w:space="0" w:color="auto"/>
        <w:left w:val="none" w:sz="0" w:space="0" w:color="auto"/>
        <w:bottom w:val="none" w:sz="0" w:space="0" w:color="auto"/>
        <w:right w:val="none" w:sz="0" w:space="0" w:color="auto"/>
      </w:divBdr>
    </w:div>
    <w:div w:id="578558617">
      <w:bodyDiv w:val="1"/>
      <w:marLeft w:val="0"/>
      <w:marRight w:val="0"/>
      <w:marTop w:val="0"/>
      <w:marBottom w:val="0"/>
      <w:divBdr>
        <w:top w:val="none" w:sz="0" w:space="0" w:color="auto"/>
        <w:left w:val="none" w:sz="0" w:space="0" w:color="auto"/>
        <w:bottom w:val="none" w:sz="0" w:space="0" w:color="auto"/>
        <w:right w:val="none" w:sz="0" w:space="0" w:color="auto"/>
      </w:divBdr>
    </w:div>
    <w:div w:id="1649944200">
      <w:bodyDiv w:val="1"/>
      <w:marLeft w:val="0"/>
      <w:marRight w:val="0"/>
      <w:marTop w:val="0"/>
      <w:marBottom w:val="0"/>
      <w:divBdr>
        <w:top w:val="none" w:sz="0" w:space="0" w:color="auto"/>
        <w:left w:val="none" w:sz="0" w:space="0" w:color="auto"/>
        <w:bottom w:val="none" w:sz="0" w:space="0" w:color="auto"/>
        <w:right w:val="none" w:sz="0" w:space="0" w:color="auto"/>
      </w:divBdr>
    </w:div>
    <w:div w:id="1911771305">
      <w:bodyDiv w:val="1"/>
      <w:marLeft w:val="0"/>
      <w:marRight w:val="0"/>
      <w:marTop w:val="0"/>
      <w:marBottom w:val="0"/>
      <w:divBdr>
        <w:top w:val="none" w:sz="0" w:space="0" w:color="auto"/>
        <w:left w:val="none" w:sz="0" w:space="0" w:color="auto"/>
        <w:bottom w:val="none" w:sz="0" w:space="0" w:color="auto"/>
        <w:right w:val="none" w:sz="0" w:space="0" w:color="auto"/>
      </w:divBdr>
    </w:div>
    <w:div w:id="1938172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aperpile.com/c/wDGqn3/0TTd3" TargetMode="External"/><Relationship Id="rId21" Type="http://schemas.openxmlformats.org/officeDocument/2006/relationships/hyperlink" Target="https://paperpile.com/c/7UY57s/4AA6q+JiI3W+LlJVS" TargetMode="External"/><Relationship Id="rId42" Type="http://schemas.openxmlformats.org/officeDocument/2006/relationships/hyperlink" Target="https://paperpile.com/c/7UY57s/boxOr" TargetMode="External"/><Relationship Id="rId47" Type="http://schemas.openxmlformats.org/officeDocument/2006/relationships/hyperlink" Target="https://paperpile.com/c/wDGqn3/c5M3G+XSby7" TargetMode="External"/><Relationship Id="rId63" Type="http://schemas.openxmlformats.org/officeDocument/2006/relationships/hyperlink" Target="https://paperpile.com/c/wDGqn3/McglH+7mhMl+mbYN9+8w8j2+rt3hJ" TargetMode="External"/><Relationship Id="rId68" Type="http://schemas.openxmlformats.org/officeDocument/2006/relationships/hyperlink" Target="https://paperpile.com/c/wDGqn3/0TTd3" TargetMode="External"/><Relationship Id="rId84" Type="http://schemas.openxmlformats.org/officeDocument/2006/relationships/hyperlink" Target="https://paperpile.com/c/wDGqn3/QJJ6D+c5M3G+XSby7" TargetMode="External"/><Relationship Id="rId89" Type="http://schemas.openxmlformats.org/officeDocument/2006/relationships/image" Target="media/image3.jpeg"/><Relationship Id="rId16" Type="http://schemas.openxmlformats.org/officeDocument/2006/relationships/hyperlink" Target="https://paperpile.com/c/7UY57s/Gkb7H+4AA6q+LlJVS" TargetMode="External"/><Relationship Id="rId11" Type="http://schemas.openxmlformats.org/officeDocument/2006/relationships/hyperlink" Target="https://paperpile.com/c/7UY57s/jfp1" TargetMode="External"/><Relationship Id="rId32" Type="http://schemas.openxmlformats.org/officeDocument/2006/relationships/hyperlink" Target="https://paperpile.com/c/wDGqn3/XECon" TargetMode="External"/><Relationship Id="rId37" Type="http://schemas.openxmlformats.org/officeDocument/2006/relationships/hyperlink" Target="https://paperpile.com/c/7UY57s/lwexD" TargetMode="External"/><Relationship Id="rId53" Type="http://schemas.openxmlformats.org/officeDocument/2006/relationships/hyperlink" Target="https://paperpile.com/c/wDGqn3/fi2dc" TargetMode="External"/><Relationship Id="rId58" Type="http://schemas.openxmlformats.org/officeDocument/2006/relationships/hyperlink" Target="https://paperpile.com/c/7UY57s/JLUOk" TargetMode="External"/><Relationship Id="rId74" Type="http://schemas.openxmlformats.org/officeDocument/2006/relationships/hyperlink" Target="https://paperpile.com/c/wDGqn3/Gofit" TargetMode="External"/><Relationship Id="rId79"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image" Target="media/image4.jpeg"/><Relationship Id="rId95" Type="http://schemas.openxmlformats.org/officeDocument/2006/relationships/theme" Target="theme/theme1.xml"/><Relationship Id="rId22" Type="http://schemas.openxmlformats.org/officeDocument/2006/relationships/hyperlink" Target="https://paperpile.com/c/7UY57s/Gkb7H+4AA6q+JiI3W" TargetMode="External"/><Relationship Id="rId27" Type="http://schemas.openxmlformats.org/officeDocument/2006/relationships/hyperlink" Target="https://paperpile.com/c/wDGqn3/0TTd3" TargetMode="External"/><Relationship Id="rId43" Type="http://schemas.openxmlformats.org/officeDocument/2006/relationships/hyperlink" Target="https://paperpile.com/c/7UY57s/Iq1oW" TargetMode="External"/><Relationship Id="rId48" Type="http://schemas.openxmlformats.org/officeDocument/2006/relationships/hyperlink" Target="https://paperpile.com/c/wDGqn3/eqlGm" TargetMode="External"/><Relationship Id="rId64" Type="http://schemas.openxmlformats.org/officeDocument/2006/relationships/hyperlink" Target="https://paperpile.com/c/wDGqn3/0TTd3" TargetMode="External"/><Relationship Id="rId69" Type="http://schemas.openxmlformats.org/officeDocument/2006/relationships/hyperlink" Target="https://paperpile.com/c/wDGqn3/7mhMl+mbYN9+eqlGm+brebg+Gofit" TargetMode="External"/><Relationship Id="rId8" Type="http://schemas.openxmlformats.org/officeDocument/2006/relationships/hyperlink" Target="https://paperpile.com/c/7UY57s/W1Mk" TargetMode="External"/><Relationship Id="rId51" Type="http://schemas.openxmlformats.org/officeDocument/2006/relationships/hyperlink" Target="https://paperpile.com/c/wDGqn3/eqlGm+QJJ6D+XSby7" TargetMode="External"/><Relationship Id="rId72" Type="http://schemas.openxmlformats.org/officeDocument/2006/relationships/hyperlink" Target="https://paperpile.com/c/wDGqn3/0TTd3" TargetMode="External"/><Relationship Id="rId80" Type="http://schemas.openxmlformats.org/officeDocument/2006/relationships/hyperlink" Target="https://paperpile.com/c/wDGqn3/QJJ6D+c5M3G+XSby7" TargetMode="External"/><Relationship Id="rId85" Type="http://schemas.openxmlformats.org/officeDocument/2006/relationships/hyperlink" Target="https://paperpile.com/c/wDGqn3/gRazW+g2l9e" TargetMode="External"/><Relationship Id="rId93" Type="http://schemas.openxmlformats.org/officeDocument/2006/relationships/image" Target="media/image6.jpeg"/><Relationship Id="rId3" Type="http://schemas.openxmlformats.org/officeDocument/2006/relationships/styles" Target="styles.xml"/><Relationship Id="rId12" Type="http://schemas.openxmlformats.org/officeDocument/2006/relationships/hyperlink" Target="https://paperpile.com/c/7UY57s/Gkb7H" TargetMode="External"/><Relationship Id="rId17" Type="http://schemas.openxmlformats.org/officeDocument/2006/relationships/hyperlink" Target="https://paperpile.com/c/7UY57s/Gkb7H+SF3uD" TargetMode="External"/><Relationship Id="rId25" Type="http://schemas.openxmlformats.org/officeDocument/2006/relationships/hyperlink" Target="https://paperpile.com/c/wDGqn3/0TTd3" TargetMode="External"/><Relationship Id="rId33" Type="http://schemas.openxmlformats.org/officeDocument/2006/relationships/hyperlink" Target="https://paperpile.com/c/wDGqn3/cSCKG" TargetMode="External"/><Relationship Id="rId38" Type="http://schemas.openxmlformats.org/officeDocument/2006/relationships/hyperlink" Target="https://paperpile.com/c/7UY57s/fAvd" TargetMode="External"/><Relationship Id="rId46" Type="http://schemas.openxmlformats.org/officeDocument/2006/relationships/hyperlink" Target="https://paperpile.com/c/wDGqn3/c5M3G+XSby7" TargetMode="External"/><Relationship Id="rId59" Type="http://schemas.openxmlformats.org/officeDocument/2006/relationships/hyperlink" Target="https://paperpile.com/c/wDGqn3/c5M3G+XSby7" TargetMode="External"/><Relationship Id="rId67" Type="http://schemas.openxmlformats.org/officeDocument/2006/relationships/hyperlink" Target="https://paperpile.com/c/wDGqn3/0TTd3" TargetMode="External"/><Relationship Id="rId20" Type="http://schemas.openxmlformats.org/officeDocument/2006/relationships/hyperlink" Target="https://paperpile.com/c/7UY57s/boxOr+4AA6q" TargetMode="External"/><Relationship Id="rId41" Type="http://schemas.openxmlformats.org/officeDocument/2006/relationships/hyperlink" Target="https://paperpile.com/c/7UY57s/fAvd" TargetMode="External"/><Relationship Id="rId54" Type="http://schemas.openxmlformats.org/officeDocument/2006/relationships/hyperlink" Target="https://paperpile.com/c/wDGqn3/XSby7" TargetMode="External"/><Relationship Id="rId62" Type="http://schemas.openxmlformats.org/officeDocument/2006/relationships/hyperlink" Target="https://paperpile.com/c/wDGqn3/eqtaM+l20f9+McglH+mbYN9" TargetMode="External"/><Relationship Id="rId70" Type="http://schemas.openxmlformats.org/officeDocument/2006/relationships/hyperlink" Target="https://paperpile.com/c/wDGqn3/c5M3G+XECon+f5suL" TargetMode="External"/><Relationship Id="rId75" Type="http://schemas.openxmlformats.org/officeDocument/2006/relationships/hyperlink" Target="https://ca.wikipedia.org/wiki/Ag%C3%A8ncia_de_Gesti%C3%B3_d%27Ajuts_Universitaris_i_de_Recerca" TargetMode="External"/><Relationship Id="rId83" Type="http://schemas.openxmlformats.org/officeDocument/2006/relationships/hyperlink" Target="https://paperpile.com/c/wDGqn3/c5M3G" TargetMode="External"/><Relationship Id="rId88" Type="http://schemas.openxmlformats.org/officeDocument/2006/relationships/image" Target="media/image2.jpeg"/><Relationship Id="rId91"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aperpile.com/c/7UY57s/PlIy4+HWPg2+b9F8K" TargetMode="External"/><Relationship Id="rId23" Type="http://schemas.openxmlformats.org/officeDocument/2006/relationships/hyperlink" Target="https://paperpile.com/c/7UY57s/ZHa9E+eO0X2+Hz8Qv+lwexD" TargetMode="External"/><Relationship Id="rId28" Type="http://schemas.openxmlformats.org/officeDocument/2006/relationships/hyperlink" Target="https://paperpile.com/c/wDGqn3/0TTd3" TargetMode="External"/><Relationship Id="rId36" Type="http://schemas.openxmlformats.org/officeDocument/2006/relationships/hyperlink" Target="https://paperpile.com/c/wDGqn3/A8nX+VQa0U" TargetMode="External"/><Relationship Id="rId49" Type="http://schemas.openxmlformats.org/officeDocument/2006/relationships/hyperlink" Target="https://paperpile.com/c/wDGqn3/eqlGm" TargetMode="External"/><Relationship Id="rId57" Type="http://schemas.openxmlformats.org/officeDocument/2006/relationships/hyperlink" Target="https://paperpile.com/c/7UY57s/Hz8Qv+lwexD" TargetMode="External"/><Relationship Id="rId10" Type="http://schemas.openxmlformats.org/officeDocument/2006/relationships/hyperlink" Target="https://paperpile.com/c/7UY57s/7x1m+1C1h+AJaD+O7V4+Awny" TargetMode="External"/><Relationship Id="rId31" Type="http://schemas.openxmlformats.org/officeDocument/2006/relationships/hyperlink" Target="https://paperpile.com/c/wDGqn3/A8nX" TargetMode="External"/><Relationship Id="rId44" Type="http://schemas.openxmlformats.org/officeDocument/2006/relationships/hyperlink" Target="https://paperpile.com/c/7UY57s/PlIy4+4AA6q+lwexD" TargetMode="External"/><Relationship Id="rId52" Type="http://schemas.openxmlformats.org/officeDocument/2006/relationships/hyperlink" Target="https://paperpile.com/c/wDGqn3/c5M3G" TargetMode="External"/><Relationship Id="rId60" Type="http://schemas.openxmlformats.org/officeDocument/2006/relationships/hyperlink" Target="https://paperpile.com/c/wDGqn3/exCM" TargetMode="External"/><Relationship Id="rId65" Type="http://schemas.openxmlformats.org/officeDocument/2006/relationships/hyperlink" Target="https://paperpile.com/c/wDGqn3/XECon" TargetMode="External"/><Relationship Id="rId73" Type="http://schemas.openxmlformats.org/officeDocument/2006/relationships/hyperlink" Target="https://paperpile.com/c/wDGqn3/0TTd3" TargetMode="External"/><Relationship Id="rId78" Type="http://schemas.openxmlformats.org/officeDocument/2006/relationships/hyperlink" Target="https://paperpile.com/c/wDGqn3/XECon" TargetMode="External"/><Relationship Id="rId81" Type="http://schemas.openxmlformats.org/officeDocument/2006/relationships/hyperlink" Target="https://paperpile.com/c/wDGqn3/QJJ6D+c5M3G+XSby7" TargetMode="External"/><Relationship Id="rId86" Type="http://schemas.openxmlformats.org/officeDocument/2006/relationships/hyperlink" Target="https://paperpile.com/c/wDGqn3/eqtaM+l20f9+McglH+mbYN9"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perpile.com/c/7UY57s/W1Mk+z3QR+w40r" TargetMode="External"/><Relationship Id="rId13" Type="http://schemas.openxmlformats.org/officeDocument/2006/relationships/hyperlink" Target="https://paperpile.com/c/7UY57s/4AA6q+LlJVS" TargetMode="External"/><Relationship Id="rId18" Type="http://schemas.openxmlformats.org/officeDocument/2006/relationships/hyperlink" Target="https://paperpile.com/c/7UY57s/Gkb7H+4AA6q+JiI3W+LlJVS" TargetMode="External"/><Relationship Id="rId39" Type="http://schemas.openxmlformats.org/officeDocument/2006/relationships/hyperlink" Target="https://paperpile.com/c/7UY57s/fAvd" TargetMode="External"/><Relationship Id="rId34" Type="http://schemas.openxmlformats.org/officeDocument/2006/relationships/hyperlink" Target="https://paperpile.com/c/7UY57s/4AA6q" TargetMode="External"/><Relationship Id="rId50" Type="http://schemas.openxmlformats.org/officeDocument/2006/relationships/hyperlink" Target="https://paperpile.com/c/wDGqn3/XSby7" TargetMode="External"/><Relationship Id="rId55" Type="http://schemas.openxmlformats.org/officeDocument/2006/relationships/hyperlink" Target="https://paperpile.com/c/wDGqn3/jj94N" TargetMode="External"/><Relationship Id="rId76" Type="http://schemas.openxmlformats.org/officeDocument/2006/relationships/hyperlink" Target="https://ca.wikipedia.org/wiki/Ag%C3%A8ncia_de_Gesti%C3%B3_d%27Ajuts_Universitaris_i_de_Recerca" TargetMode="External"/><Relationship Id="rId7" Type="http://schemas.openxmlformats.org/officeDocument/2006/relationships/endnotes" Target="endnotes.xml"/><Relationship Id="rId71" Type="http://schemas.openxmlformats.org/officeDocument/2006/relationships/hyperlink" Target="https://paperpile.com/c/wDGqn3/eqlGm+brebg+Gofit" TargetMode="External"/><Relationship Id="rId92" Type="http://schemas.openxmlformats.org/officeDocument/2006/relationships/hyperlink" Target="https://paperpile.com/c/wDGqn3/0TTd3" TargetMode="External"/><Relationship Id="rId2" Type="http://schemas.openxmlformats.org/officeDocument/2006/relationships/numbering" Target="numbering.xml"/><Relationship Id="rId29" Type="http://schemas.openxmlformats.org/officeDocument/2006/relationships/hyperlink" Target="https://paperpile.com/c/wDGqn3/0TTd3" TargetMode="External"/><Relationship Id="rId24" Type="http://schemas.openxmlformats.org/officeDocument/2006/relationships/hyperlink" Target="https://paperpile.com/c/7UY57s/lVdcT+w9uiX" TargetMode="External"/><Relationship Id="rId40" Type="http://schemas.openxmlformats.org/officeDocument/2006/relationships/hyperlink" Target="https://paperpile.com/c/wDGqn3/xMGwX" TargetMode="External"/><Relationship Id="rId45" Type="http://schemas.openxmlformats.org/officeDocument/2006/relationships/hyperlink" Target="https://paperpile.com/c/7UY57s/G7Ai" TargetMode="External"/><Relationship Id="rId66" Type="http://schemas.openxmlformats.org/officeDocument/2006/relationships/hyperlink" Target="https://paperpile.com/c/wDGqn3/0TTd3" TargetMode="External"/><Relationship Id="rId87" Type="http://schemas.openxmlformats.org/officeDocument/2006/relationships/image" Target="media/image1.jpeg"/><Relationship Id="rId61" Type="http://schemas.openxmlformats.org/officeDocument/2006/relationships/hyperlink" Target="https://paperpile.com/c/wDGqn3/gRazW+g2l9e" TargetMode="External"/><Relationship Id="rId82" Type="http://schemas.openxmlformats.org/officeDocument/2006/relationships/hyperlink" Target="https://paperpile.com/c/wDGqn3/QJJ6D+c5M3G+XSby7" TargetMode="External"/><Relationship Id="rId19" Type="http://schemas.openxmlformats.org/officeDocument/2006/relationships/hyperlink" Target="https://paperpile.com/c/7UY57s/QN4bz+O4wxI+Gkb7H+JiI3W" TargetMode="External"/><Relationship Id="rId14" Type="http://schemas.openxmlformats.org/officeDocument/2006/relationships/hyperlink" Target="https://paperpile.com/c/7UY57s/PlIy4" TargetMode="External"/><Relationship Id="rId30" Type="http://schemas.openxmlformats.org/officeDocument/2006/relationships/hyperlink" Target="https://paperpile.com/c/7UY57s/cTaCI" TargetMode="External"/><Relationship Id="rId35" Type="http://schemas.openxmlformats.org/officeDocument/2006/relationships/hyperlink" Target="https://paperpile.com/c/wDGqn3/TQRJ" TargetMode="External"/><Relationship Id="rId56" Type="http://schemas.openxmlformats.org/officeDocument/2006/relationships/hyperlink" Target="https://paperpile.com/c/7UY57s/Hz8Qv+lwexD" TargetMode="External"/><Relationship Id="rId77" Type="http://schemas.openxmlformats.org/officeDocument/2006/relationships/hyperlink" Target="https://paperpile.com/c/wDGqn3/7mh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70C0A-39F4-4FBB-8E9D-D8509F5A0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4406</TotalTime>
  <Pages>35</Pages>
  <Words>7700</Words>
  <Characters>45513</Characters>
  <Application>Microsoft Office Word</Application>
  <DocSecurity>0</DocSecurity>
  <Lines>1083</Lines>
  <Paragraphs>406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Jonica Doliente</cp:lastModifiedBy>
  <cp:revision>112</cp:revision>
  <dcterms:created xsi:type="dcterms:W3CDTF">2024-03-01T07:43:00Z</dcterms:created>
  <dcterms:modified xsi:type="dcterms:W3CDTF">2024-04-26T18:48:00Z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7c9631a7005ef4ac126343373d8f97ddba3a43511eea0a08ec0b99b8c0121b7c</vt:lpwstr>
  </property>
</Properties>
</file>