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9E40" w14:textId="77777777" w:rsidR="001B18B5" w:rsidRDefault="00AC4CD6" w:rsidP="001B18B5">
      <w:pPr>
        <w:spacing w:after="0"/>
        <w:jc w:val="center"/>
        <w:rPr>
          <w:rFonts w:ascii="Arial" w:hAnsi="Arial" w:cs="Arial"/>
          <w:b/>
          <w:bCs/>
        </w:rPr>
      </w:pPr>
      <w:r>
        <w:rPr>
          <w:rFonts w:ascii="Arial" w:hAnsi="Arial" w:cs="Arial"/>
          <w:b/>
          <w:bCs/>
        </w:rPr>
        <w:t xml:space="preserve">Making a Hybrid out of a Crisis: </w:t>
      </w:r>
    </w:p>
    <w:p w14:paraId="0207216A" w14:textId="1B14C688" w:rsidR="008E6E11" w:rsidRPr="00A128DB" w:rsidRDefault="000E0269" w:rsidP="001B18B5">
      <w:pPr>
        <w:spacing w:after="0"/>
        <w:jc w:val="center"/>
        <w:rPr>
          <w:rFonts w:ascii="Arial" w:hAnsi="Arial" w:cs="Arial"/>
          <w:b/>
          <w:bCs/>
        </w:rPr>
      </w:pPr>
      <w:r>
        <w:rPr>
          <w:rFonts w:ascii="Arial" w:hAnsi="Arial" w:cs="Arial"/>
          <w:b/>
          <w:bCs/>
        </w:rPr>
        <w:t xml:space="preserve">Historical Contingency </w:t>
      </w:r>
      <w:r w:rsidR="001B18B5">
        <w:rPr>
          <w:rFonts w:ascii="Arial" w:hAnsi="Arial" w:cs="Arial"/>
          <w:b/>
          <w:bCs/>
        </w:rPr>
        <w:t>and the Institutional Logics</w:t>
      </w:r>
      <w:r>
        <w:rPr>
          <w:rFonts w:ascii="Arial" w:hAnsi="Arial" w:cs="Arial"/>
          <w:b/>
          <w:bCs/>
        </w:rPr>
        <w:t xml:space="preserve"> </w:t>
      </w:r>
      <w:r w:rsidR="001B18B5">
        <w:rPr>
          <w:rFonts w:ascii="Arial" w:hAnsi="Arial" w:cs="Arial"/>
          <w:b/>
          <w:bCs/>
        </w:rPr>
        <w:t>of London’s Public Transport Monopoly</w:t>
      </w:r>
    </w:p>
    <w:p w14:paraId="62B5BB79" w14:textId="77777777" w:rsidR="00744692" w:rsidRDefault="00744692" w:rsidP="00744692">
      <w:pPr>
        <w:spacing w:after="0" w:line="240" w:lineRule="auto"/>
        <w:rPr>
          <w:rFonts w:ascii="Arial" w:hAnsi="Arial" w:cs="Arial"/>
          <w:b/>
          <w:bCs/>
        </w:rPr>
      </w:pPr>
    </w:p>
    <w:p w14:paraId="42D69717" w14:textId="335F9EEA" w:rsidR="00DD4BC3" w:rsidRPr="00070B63" w:rsidRDefault="00070B63" w:rsidP="00744692">
      <w:pPr>
        <w:spacing w:after="0" w:line="240" w:lineRule="auto"/>
        <w:rPr>
          <w:rFonts w:ascii="Arial" w:hAnsi="Arial" w:cs="Arial"/>
          <w:b/>
          <w:bCs/>
        </w:rPr>
      </w:pPr>
      <w:r>
        <w:rPr>
          <w:rFonts w:ascii="Arial" w:hAnsi="Arial" w:cs="Arial"/>
          <w:b/>
          <w:bCs/>
        </w:rPr>
        <w:t>Introduction</w:t>
      </w:r>
    </w:p>
    <w:p w14:paraId="69233EA8" w14:textId="0827A96C" w:rsidR="00DD4BC3" w:rsidRPr="00DD4BC3" w:rsidRDefault="00DD4BC3" w:rsidP="00744692">
      <w:pPr>
        <w:spacing w:after="0" w:line="240" w:lineRule="auto"/>
        <w:rPr>
          <w:rFonts w:ascii="Arial" w:hAnsi="Arial" w:cs="Arial"/>
        </w:rPr>
      </w:pPr>
    </w:p>
    <w:p w14:paraId="78E8736C" w14:textId="0EA68646" w:rsidR="00D25A86" w:rsidRDefault="00233E7B" w:rsidP="007D5217">
      <w:pPr>
        <w:spacing w:after="0" w:line="480" w:lineRule="auto"/>
        <w:rPr>
          <w:rFonts w:ascii="Arial" w:hAnsi="Arial" w:cs="Arial"/>
        </w:rPr>
      </w:pPr>
      <w:r>
        <w:rPr>
          <w:rFonts w:ascii="Arial" w:hAnsi="Arial" w:cs="Arial"/>
        </w:rPr>
        <w:t xml:space="preserve">This paper </w:t>
      </w:r>
      <w:r w:rsidR="00977792">
        <w:rPr>
          <w:rFonts w:ascii="Arial" w:hAnsi="Arial" w:cs="Arial"/>
        </w:rPr>
        <w:t>seeks to extend</w:t>
      </w:r>
      <w:r w:rsidR="004A2DAB">
        <w:rPr>
          <w:rFonts w:ascii="Arial" w:hAnsi="Arial" w:cs="Arial"/>
        </w:rPr>
        <w:t xml:space="preserve"> </w:t>
      </w:r>
      <w:r w:rsidR="00977792">
        <w:rPr>
          <w:rFonts w:ascii="Arial" w:hAnsi="Arial" w:cs="Arial"/>
        </w:rPr>
        <w:t>historical enquiry</w:t>
      </w:r>
      <w:r w:rsidR="00977792" w:rsidRPr="00D77487">
        <w:rPr>
          <w:rFonts w:ascii="Arial" w:hAnsi="Arial" w:cs="Arial"/>
          <w:color w:val="8EAADB" w:themeColor="accent1" w:themeTint="99"/>
        </w:rPr>
        <w:t xml:space="preserve"> </w:t>
      </w:r>
      <w:r w:rsidR="00C477C9" w:rsidRPr="00D77487">
        <w:rPr>
          <w:rFonts w:ascii="Arial" w:hAnsi="Arial" w:cs="Arial"/>
          <w:color w:val="2F5496" w:themeColor="accent1" w:themeShade="BF"/>
        </w:rPr>
        <w:t>into</w:t>
      </w:r>
      <w:r w:rsidR="004A2DAB" w:rsidRPr="00D77487">
        <w:rPr>
          <w:rFonts w:ascii="Arial" w:hAnsi="Arial" w:cs="Arial"/>
          <w:color w:val="8EAADB" w:themeColor="accent1" w:themeTint="99"/>
        </w:rPr>
        <w:t xml:space="preserve"> </w:t>
      </w:r>
      <w:r w:rsidR="00977792">
        <w:rPr>
          <w:rFonts w:ascii="Arial" w:hAnsi="Arial" w:cs="Arial"/>
        </w:rPr>
        <w:t xml:space="preserve">hybridity and </w:t>
      </w:r>
      <w:r w:rsidR="005E38C1">
        <w:rPr>
          <w:rFonts w:ascii="Arial" w:hAnsi="Arial" w:cs="Arial"/>
        </w:rPr>
        <w:t>evaluate</w:t>
      </w:r>
      <w:r w:rsidR="00810B0D">
        <w:rPr>
          <w:rFonts w:ascii="Arial" w:hAnsi="Arial" w:cs="Arial"/>
        </w:rPr>
        <w:t xml:space="preserve"> </w:t>
      </w:r>
      <w:r w:rsidR="00D70C34">
        <w:rPr>
          <w:rFonts w:ascii="Arial" w:hAnsi="Arial" w:cs="Arial"/>
        </w:rPr>
        <w:t>the</w:t>
      </w:r>
      <w:r w:rsidR="00975155">
        <w:rPr>
          <w:rFonts w:ascii="Arial" w:hAnsi="Arial" w:cs="Arial"/>
        </w:rPr>
        <w:t xml:space="preserve"> </w:t>
      </w:r>
      <w:r w:rsidR="00631F1F">
        <w:rPr>
          <w:rFonts w:ascii="Arial" w:hAnsi="Arial" w:cs="Arial"/>
        </w:rPr>
        <w:t>reasons for creating</w:t>
      </w:r>
      <w:r w:rsidR="00AF2C9D">
        <w:rPr>
          <w:rFonts w:ascii="Arial" w:hAnsi="Arial" w:cs="Arial"/>
        </w:rPr>
        <w:t xml:space="preserve"> </w:t>
      </w:r>
      <w:r w:rsidR="00631F1F">
        <w:rPr>
          <w:rFonts w:ascii="Arial" w:hAnsi="Arial" w:cs="Arial"/>
        </w:rPr>
        <w:t>a monopoly public service provider</w:t>
      </w:r>
      <w:r w:rsidR="00883BD9">
        <w:rPr>
          <w:rFonts w:ascii="Arial" w:hAnsi="Arial" w:cs="Arial"/>
        </w:rPr>
        <w:t xml:space="preserve"> </w:t>
      </w:r>
      <w:r w:rsidR="00810B0D">
        <w:rPr>
          <w:rFonts w:ascii="Arial" w:hAnsi="Arial" w:cs="Arial"/>
        </w:rPr>
        <w:t>through a historical case study</w:t>
      </w:r>
      <w:r w:rsidR="00D77487">
        <w:rPr>
          <w:rFonts w:ascii="Arial" w:hAnsi="Arial" w:cs="Arial"/>
        </w:rPr>
        <w:t xml:space="preserve"> </w:t>
      </w:r>
      <w:r w:rsidR="00D77487" w:rsidRPr="00D77487">
        <w:rPr>
          <w:rFonts w:ascii="Arial" w:hAnsi="Arial" w:cs="Arial"/>
          <w:color w:val="4472C4" w:themeColor="accent1"/>
        </w:rPr>
        <w:t xml:space="preserve">blending </w:t>
      </w:r>
      <w:r w:rsidR="00FD58D6">
        <w:rPr>
          <w:rFonts w:ascii="Arial" w:hAnsi="Arial" w:cs="Arial"/>
          <w:color w:val="4472C4" w:themeColor="accent1"/>
        </w:rPr>
        <w:t>both</w:t>
      </w:r>
      <w:r w:rsidR="00D77487" w:rsidRPr="00D77487">
        <w:rPr>
          <w:rFonts w:ascii="Arial" w:hAnsi="Arial" w:cs="Arial"/>
          <w:color w:val="4472C4" w:themeColor="accent1"/>
        </w:rPr>
        <w:t xml:space="preserve"> economic </w:t>
      </w:r>
      <w:r w:rsidR="00FD58D6">
        <w:rPr>
          <w:rFonts w:ascii="Arial" w:hAnsi="Arial" w:cs="Arial"/>
          <w:color w:val="4472C4" w:themeColor="accent1"/>
        </w:rPr>
        <w:t xml:space="preserve">and political </w:t>
      </w:r>
      <w:r w:rsidR="00D77487" w:rsidRPr="00D77487">
        <w:rPr>
          <w:rFonts w:ascii="Arial" w:hAnsi="Arial" w:cs="Arial"/>
          <w:color w:val="4472C4" w:themeColor="accent1"/>
        </w:rPr>
        <w:t>sources of evidence</w:t>
      </w:r>
      <w:r w:rsidR="00652113">
        <w:rPr>
          <w:rFonts w:ascii="Arial" w:hAnsi="Arial" w:cs="Arial"/>
        </w:rPr>
        <w:t>.</w:t>
      </w:r>
      <w:r w:rsidR="00FA542F">
        <w:rPr>
          <w:rFonts w:ascii="Arial" w:hAnsi="Arial" w:cs="Arial"/>
        </w:rPr>
        <w:t xml:space="preserve"> </w:t>
      </w:r>
      <w:r w:rsidR="009C3583">
        <w:rPr>
          <w:rFonts w:ascii="Arial" w:hAnsi="Arial" w:cs="Arial"/>
        </w:rPr>
        <w:t xml:space="preserve">We think that this approach allows a mode of historical explanation which permits a dialogue with, yet circumvents, the pure abstraction of new economic history and encourages a multi-modal methodology (Tennent, 2020). Therefore, while we offer six tables of statistical information, we use this quantitative data to support our wider qualitative evaluation rather than presenting it as the totality of our analysis. </w:t>
      </w:r>
      <w:r w:rsidR="00C872B0">
        <w:rPr>
          <w:rFonts w:ascii="Arial" w:hAnsi="Arial" w:cs="Arial"/>
        </w:rPr>
        <w:t>Instead, w</w:t>
      </w:r>
      <w:r w:rsidR="00FA542F">
        <w:rPr>
          <w:rFonts w:ascii="Arial" w:hAnsi="Arial" w:cs="Arial"/>
        </w:rPr>
        <w:t xml:space="preserve">e </w:t>
      </w:r>
      <w:r w:rsidR="00CD0C29">
        <w:rPr>
          <w:rFonts w:ascii="Arial" w:hAnsi="Arial" w:cs="Arial"/>
        </w:rPr>
        <w:t>situate</w:t>
      </w:r>
      <w:r w:rsidR="00FA542F">
        <w:rPr>
          <w:rFonts w:ascii="Arial" w:hAnsi="Arial" w:cs="Arial"/>
        </w:rPr>
        <w:t xml:space="preserve"> </w:t>
      </w:r>
      <w:r w:rsidR="00CD0C29">
        <w:rPr>
          <w:rFonts w:ascii="Arial" w:hAnsi="Arial" w:cs="Arial"/>
        </w:rPr>
        <w:t>the creation of</w:t>
      </w:r>
      <w:r w:rsidR="00FA542F">
        <w:rPr>
          <w:rFonts w:ascii="Arial" w:hAnsi="Arial" w:cs="Arial"/>
        </w:rPr>
        <w:t xml:space="preserve"> </w:t>
      </w:r>
      <w:r w:rsidR="00CD0C29">
        <w:rPr>
          <w:rFonts w:ascii="Arial" w:hAnsi="Arial" w:cs="Arial"/>
        </w:rPr>
        <w:t xml:space="preserve">a </w:t>
      </w:r>
      <w:r w:rsidR="00FA542F">
        <w:rPr>
          <w:rFonts w:ascii="Arial" w:hAnsi="Arial" w:cs="Arial"/>
        </w:rPr>
        <w:t>new hybrid organisation as a</w:t>
      </w:r>
      <w:r w:rsidR="00CD0C29">
        <w:rPr>
          <w:rFonts w:ascii="Arial" w:hAnsi="Arial" w:cs="Arial"/>
        </w:rPr>
        <w:t xml:space="preserve"> </w:t>
      </w:r>
      <w:r w:rsidR="00C872B0">
        <w:rPr>
          <w:rFonts w:ascii="Arial" w:hAnsi="Arial" w:cs="Arial"/>
        </w:rPr>
        <w:t>political</w:t>
      </w:r>
      <w:r w:rsidR="00CD0C29">
        <w:rPr>
          <w:rFonts w:ascii="Arial" w:hAnsi="Arial" w:cs="Arial"/>
        </w:rPr>
        <w:t xml:space="preserve"> </w:t>
      </w:r>
      <w:r w:rsidR="00FA542F">
        <w:rPr>
          <w:rFonts w:ascii="Arial" w:hAnsi="Arial" w:cs="Arial"/>
        </w:rPr>
        <w:t>re</w:t>
      </w:r>
      <w:r w:rsidR="00BB1108">
        <w:rPr>
          <w:rFonts w:ascii="Arial" w:hAnsi="Arial" w:cs="Arial"/>
        </w:rPr>
        <w:t>action</w:t>
      </w:r>
      <w:r w:rsidR="00FA542F">
        <w:rPr>
          <w:rFonts w:ascii="Arial" w:hAnsi="Arial" w:cs="Arial"/>
        </w:rPr>
        <w:t xml:space="preserve"> to a </w:t>
      </w:r>
      <w:r w:rsidR="00CD0C29">
        <w:rPr>
          <w:rFonts w:ascii="Arial" w:hAnsi="Arial" w:cs="Arial"/>
        </w:rPr>
        <w:t xml:space="preserve">specific </w:t>
      </w:r>
      <w:r w:rsidR="00FA542F">
        <w:rPr>
          <w:rFonts w:ascii="Arial" w:hAnsi="Arial" w:cs="Arial"/>
        </w:rPr>
        <w:t>crisis arising out of a</w:t>
      </w:r>
      <w:r w:rsidR="00CD0C29">
        <w:rPr>
          <w:rFonts w:ascii="Arial" w:hAnsi="Arial" w:cs="Arial"/>
        </w:rPr>
        <w:t xml:space="preserve"> combination</w:t>
      </w:r>
      <w:r w:rsidR="00FA542F">
        <w:rPr>
          <w:rFonts w:ascii="Arial" w:hAnsi="Arial" w:cs="Arial"/>
        </w:rPr>
        <w:t xml:space="preserve"> of market failure and democratic deficit.</w:t>
      </w:r>
      <w:r w:rsidR="00F657C0">
        <w:rPr>
          <w:rFonts w:ascii="Arial" w:hAnsi="Arial" w:cs="Arial"/>
        </w:rPr>
        <w:t xml:space="preserve"> </w:t>
      </w:r>
      <w:r w:rsidR="00C9075D">
        <w:rPr>
          <w:rFonts w:ascii="Arial" w:hAnsi="Arial" w:cs="Arial"/>
        </w:rPr>
        <w:t>Here, w</w:t>
      </w:r>
      <w:r w:rsidR="00F657C0">
        <w:rPr>
          <w:rFonts w:ascii="Arial" w:hAnsi="Arial" w:cs="Arial"/>
        </w:rPr>
        <w:t xml:space="preserve">e </w:t>
      </w:r>
      <w:r w:rsidR="00C9075D">
        <w:rPr>
          <w:rFonts w:ascii="Arial" w:hAnsi="Arial" w:cs="Arial"/>
        </w:rPr>
        <w:t>build on</w:t>
      </w:r>
      <w:r w:rsidR="00F657C0">
        <w:rPr>
          <w:rFonts w:ascii="Arial" w:hAnsi="Arial" w:cs="Arial"/>
        </w:rPr>
        <w:t xml:space="preserve"> </w:t>
      </w:r>
      <w:proofErr w:type="spellStart"/>
      <w:r w:rsidR="00C9075D">
        <w:rPr>
          <w:rFonts w:ascii="Arial" w:hAnsi="Arial" w:cs="Arial"/>
        </w:rPr>
        <w:t>Bratzel’s</w:t>
      </w:r>
      <w:proofErr w:type="spellEnd"/>
      <w:r w:rsidR="00C9075D">
        <w:rPr>
          <w:rFonts w:ascii="Arial" w:hAnsi="Arial" w:cs="Arial"/>
        </w:rPr>
        <w:t xml:space="preserve"> (1999) study of public transport in European cities where he observes that crises and social conflicts are essential ingredients in re-casting transport policy</w:t>
      </w:r>
      <w:r w:rsidR="0002614C">
        <w:rPr>
          <w:rFonts w:ascii="Arial" w:hAnsi="Arial" w:cs="Arial"/>
        </w:rPr>
        <w:t>,</w:t>
      </w:r>
      <w:r w:rsidR="009D6C1A">
        <w:rPr>
          <w:rFonts w:ascii="Arial" w:hAnsi="Arial" w:cs="Arial"/>
        </w:rPr>
        <w:t xml:space="preserve"> </w:t>
      </w:r>
      <w:r w:rsidR="009D6C1A" w:rsidRPr="009D6C1A">
        <w:rPr>
          <w:rFonts w:ascii="Arial" w:hAnsi="Arial" w:cs="Arial"/>
          <w:color w:val="2F5496" w:themeColor="accent1" w:themeShade="BF"/>
        </w:rPr>
        <w:t xml:space="preserve">and </w:t>
      </w:r>
      <w:r w:rsidR="0002614C">
        <w:rPr>
          <w:rFonts w:ascii="Arial" w:hAnsi="Arial" w:cs="Arial"/>
          <w:color w:val="2F5496" w:themeColor="accent1" w:themeShade="BF"/>
        </w:rPr>
        <w:t xml:space="preserve">we </w:t>
      </w:r>
      <w:r w:rsidR="009D6C1A" w:rsidRPr="009D6C1A">
        <w:rPr>
          <w:rFonts w:ascii="Arial" w:hAnsi="Arial" w:cs="Arial"/>
          <w:color w:val="2F5496" w:themeColor="accent1" w:themeShade="BF"/>
        </w:rPr>
        <w:t xml:space="preserve">pursue the pre-war origins of Mees’ </w:t>
      </w:r>
      <w:r w:rsidR="009D6C1A">
        <w:rPr>
          <w:rFonts w:ascii="Arial" w:hAnsi="Arial" w:cs="Arial"/>
          <w:color w:val="2F5496" w:themeColor="accent1" w:themeShade="BF"/>
        </w:rPr>
        <w:t xml:space="preserve">recent </w:t>
      </w:r>
      <w:r w:rsidR="009D6C1A" w:rsidRPr="009D6C1A">
        <w:rPr>
          <w:rFonts w:ascii="Arial" w:hAnsi="Arial" w:cs="Arial"/>
          <w:color w:val="2F5496" w:themeColor="accent1" w:themeShade="BF"/>
        </w:rPr>
        <w:t xml:space="preserve">(2010) proposal that public transport </w:t>
      </w:r>
      <w:r w:rsidR="009D6C1A">
        <w:rPr>
          <w:rFonts w:ascii="Arial" w:hAnsi="Arial" w:cs="Arial"/>
          <w:color w:val="2F5496" w:themeColor="accent1" w:themeShade="BF"/>
        </w:rPr>
        <w:t>benefits from</w:t>
      </w:r>
      <w:r w:rsidR="009D6C1A" w:rsidRPr="009D6C1A">
        <w:rPr>
          <w:rFonts w:ascii="Arial" w:hAnsi="Arial" w:cs="Arial"/>
          <w:color w:val="2F5496" w:themeColor="accent1" w:themeShade="BF"/>
        </w:rPr>
        <w:t xml:space="preserve"> provi</w:t>
      </w:r>
      <w:r w:rsidR="009D6C1A">
        <w:rPr>
          <w:rFonts w:ascii="Arial" w:hAnsi="Arial" w:cs="Arial"/>
          <w:color w:val="2F5496" w:themeColor="accent1" w:themeShade="BF"/>
        </w:rPr>
        <w:t>sion</w:t>
      </w:r>
      <w:r w:rsidR="009D6C1A" w:rsidRPr="009D6C1A">
        <w:rPr>
          <w:rFonts w:ascii="Arial" w:hAnsi="Arial" w:cs="Arial"/>
          <w:color w:val="2F5496" w:themeColor="accent1" w:themeShade="BF"/>
        </w:rPr>
        <w:t xml:space="preserve"> by arms-length organisations</w:t>
      </w:r>
      <w:r w:rsidR="00F657C0">
        <w:rPr>
          <w:rFonts w:ascii="Arial" w:hAnsi="Arial" w:cs="Arial"/>
        </w:rPr>
        <w:t>.</w:t>
      </w:r>
      <w:r w:rsidR="00FA542F">
        <w:rPr>
          <w:rFonts w:ascii="Arial" w:hAnsi="Arial" w:cs="Arial"/>
        </w:rPr>
        <w:t xml:space="preserve"> We </w:t>
      </w:r>
      <w:r w:rsidR="00F657C0">
        <w:rPr>
          <w:rFonts w:ascii="Arial" w:hAnsi="Arial" w:cs="Arial"/>
        </w:rPr>
        <w:t xml:space="preserve">also </w:t>
      </w:r>
      <w:r w:rsidR="00FA542F">
        <w:rPr>
          <w:rFonts w:ascii="Arial" w:hAnsi="Arial" w:cs="Arial"/>
        </w:rPr>
        <w:t>note that</w:t>
      </w:r>
      <w:r w:rsidR="00CD0C29">
        <w:rPr>
          <w:rFonts w:ascii="Arial" w:hAnsi="Arial" w:cs="Arial"/>
        </w:rPr>
        <w:t xml:space="preserve"> </w:t>
      </w:r>
      <w:r w:rsidR="00FA542F">
        <w:rPr>
          <w:rFonts w:ascii="Arial" w:hAnsi="Arial" w:cs="Arial"/>
        </w:rPr>
        <w:t>resistance to changes in institutional logic as an organisational response hinders isomorphism and accentuates idiosyncrasy and the role of historical contingency (Marquis &amp; Lounsbury, 2007).</w:t>
      </w:r>
      <w:r w:rsidR="00652113">
        <w:rPr>
          <w:rFonts w:ascii="Arial" w:hAnsi="Arial" w:cs="Arial"/>
        </w:rPr>
        <w:t xml:space="preserve"> </w:t>
      </w:r>
    </w:p>
    <w:p w14:paraId="280AF317" w14:textId="5E6E79A4" w:rsidR="00C259DE" w:rsidRDefault="0002614C" w:rsidP="00F44900">
      <w:pPr>
        <w:spacing w:after="0" w:line="480" w:lineRule="auto"/>
        <w:ind w:firstLine="720"/>
        <w:rPr>
          <w:rFonts w:ascii="Arial" w:hAnsi="Arial" w:cs="Arial"/>
        </w:rPr>
      </w:pPr>
      <w:r>
        <w:rPr>
          <w:rFonts w:ascii="Arial" w:hAnsi="Arial" w:cs="Arial"/>
        </w:rPr>
        <w:t>This paper</w:t>
      </w:r>
      <w:r w:rsidR="00B16F43">
        <w:rPr>
          <w:rFonts w:ascii="Arial" w:hAnsi="Arial" w:cs="Arial"/>
        </w:rPr>
        <w:t xml:space="preserve"> begin</w:t>
      </w:r>
      <w:r>
        <w:rPr>
          <w:rFonts w:ascii="Arial" w:hAnsi="Arial" w:cs="Arial"/>
        </w:rPr>
        <w:t>s</w:t>
      </w:r>
      <w:r w:rsidR="00810B0D">
        <w:rPr>
          <w:rFonts w:ascii="Arial" w:hAnsi="Arial" w:cs="Arial"/>
        </w:rPr>
        <w:t xml:space="preserve"> </w:t>
      </w:r>
      <w:r w:rsidR="003F1606">
        <w:rPr>
          <w:rFonts w:ascii="Arial" w:hAnsi="Arial" w:cs="Arial"/>
        </w:rPr>
        <w:t xml:space="preserve">by </w:t>
      </w:r>
      <w:r w:rsidR="00B16F43">
        <w:rPr>
          <w:rFonts w:ascii="Arial" w:hAnsi="Arial" w:cs="Arial"/>
        </w:rPr>
        <w:t xml:space="preserve">critiquing the existing explanation </w:t>
      </w:r>
      <w:r w:rsidR="003F1606">
        <w:rPr>
          <w:rFonts w:ascii="Arial" w:hAnsi="Arial" w:cs="Arial"/>
        </w:rPr>
        <w:t xml:space="preserve">for unifying London Transport </w:t>
      </w:r>
      <w:r w:rsidR="00B16F43">
        <w:rPr>
          <w:rFonts w:ascii="Arial" w:hAnsi="Arial" w:cs="Arial"/>
        </w:rPr>
        <w:t>a</w:t>
      </w:r>
      <w:r w:rsidR="009C2CA6">
        <w:rPr>
          <w:rFonts w:ascii="Arial" w:hAnsi="Arial" w:cs="Arial"/>
        </w:rPr>
        <w:t>s being overly dependent on economic data</w:t>
      </w:r>
      <w:r w:rsidR="009F2EC5">
        <w:rPr>
          <w:rFonts w:ascii="Arial" w:hAnsi="Arial" w:cs="Arial"/>
        </w:rPr>
        <w:t xml:space="preserve"> </w:t>
      </w:r>
      <w:r w:rsidR="009F2EC5" w:rsidRPr="0001376E">
        <w:rPr>
          <w:rFonts w:ascii="Arial" w:hAnsi="Arial" w:cs="Arial"/>
          <w:color w:val="2F5496" w:themeColor="accent1" w:themeShade="BF"/>
        </w:rPr>
        <w:t xml:space="preserve">and </w:t>
      </w:r>
      <w:r w:rsidR="0001376E" w:rsidRPr="0001376E">
        <w:rPr>
          <w:rFonts w:ascii="Arial" w:hAnsi="Arial" w:cs="Arial"/>
          <w:color w:val="2F5496" w:themeColor="accent1" w:themeShade="BF"/>
        </w:rPr>
        <w:t xml:space="preserve">therefore </w:t>
      </w:r>
      <w:r w:rsidR="0001376E">
        <w:rPr>
          <w:rFonts w:ascii="Arial" w:hAnsi="Arial" w:cs="Arial"/>
          <w:color w:val="2F5496" w:themeColor="accent1" w:themeShade="BF"/>
        </w:rPr>
        <w:t>over emphasises</w:t>
      </w:r>
      <w:r w:rsidR="0001376E" w:rsidRPr="0001376E">
        <w:rPr>
          <w:rFonts w:ascii="Arial" w:hAnsi="Arial" w:cs="Arial"/>
          <w:color w:val="2F5496" w:themeColor="accent1" w:themeShade="BF"/>
        </w:rPr>
        <w:t xml:space="preserve"> </w:t>
      </w:r>
      <w:r w:rsidR="009F2EC5" w:rsidRPr="009F2EC5">
        <w:rPr>
          <w:rFonts w:ascii="Arial" w:hAnsi="Arial" w:cs="Arial"/>
          <w:color w:val="2F5496" w:themeColor="accent1" w:themeShade="BF"/>
        </w:rPr>
        <w:t>efficiency-based arguments</w:t>
      </w:r>
      <w:r w:rsidR="00FC5A06">
        <w:rPr>
          <w:rFonts w:ascii="Arial" w:hAnsi="Arial" w:cs="Arial"/>
        </w:rPr>
        <w:t xml:space="preserve">. </w:t>
      </w:r>
      <w:r w:rsidR="009F2EC5">
        <w:rPr>
          <w:rFonts w:ascii="Arial" w:hAnsi="Arial" w:cs="Arial"/>
        </w:rPr>
        <w:t xml:space="preserve">By </w:t>
      </w:r>
      <w:r w:rsidR="00977792">
        <w:rPr>
          <w:rFonts w:ascii="Arial" w:hAnsi="Arial" w:cs="Arial"/>
        </w:rPr>
        <w:t>compar</w:t>
      </w:r>
      <w:r w:rsidR="009F2EC5">
        <w:rPr>
          <w:rFonts w:ascii="Arial" w:hAnsi="Arial" w:cs="Arial"/>
        </w:rPr>
        <w:t>ing</w:t>
      </w:r>
      <w:r w:rsidR="00D70C34">
        <w:rPr>
          <w:rFonts w:ascii="Arial" w:hAnsi="Arial" w:cs="Arial"/>
        </w:rPr>
        <w:t xml:space="preserve"> the performance</w:t>
      </w:r>
      <w:r w:rsidR="00810B0D">
        <w:rPr>
          <w:rFonts w:ascii="Arial" w:hAnsi="Arial" w:cs="Arial"/>
        </w:rPr>
        <w:t xml:space="preserve"> of London</w:t>
      </w:r>
      <w:r w:rsidR="00D25A86">
        <w:rPr>
          <w:rFonts w:ascii="Arial" w:hAnsi="Arial" w:cs="Arial"/>
        </w:rPr>
        <w:t xml:space="preserve"> Transport</w:t>
      </w:r>
      <w:r w:rsidR="00810B0D">
        <w:rPr>
          <w:rFonts w:ascii="Arial" w:hAnsi="Arial" w:cs="Arial"/>
        </w:rPr>
        <w:t xml:space="preserve"> </w:t>
      </w:r>
      <w:r w:rsidR="00AF2C9D">
        <w:rPr>
          <w:rFonts w:ascii="Arial" w:hAnsi="Arial" w:cs="Arial"/>
        </w:rPr>
        <w:t xml:space="preserve">prior to </w:t>
      </w:r>
      <w:r w:rsidR="00FD52A4">
        <w:rPr>
          <w:rFonts w:ascii="Arial" w:hAnsi="Arial" w:cs="Arial"/>
        </w:rPr>
        <w:t xml:space="preserve">and after </w:t>
      </w:r>
      <w:r w:rsidR="00AF2C9D">
        <w:rPr>
          <w:rFonts w:ascii="Arial" w:hAnsi="Arial" w:cs="Arial"/>
        </w:rPr>
        <w:t>amalgamation</w:t>
      </w:r>
      <w:r w:rsidR="00585663">
        <w:rPr>
          <w:rFonts w:ascii="Arial" w:hAnsi="Arial" w:cs="Arial"/>
        </w:rPr>
        <w:t>,</w:t>
      </w:r>
      <w:r w:rsidR="009C2CA6">
        <w:rPr>
          <w:rFonts w:ascii="Arial" w:hAnsi="Arial" w:cs="Arial"/>
        </w:rPr>
        <w:t xml:space="preserve"> we show that </w:t>
      </w:r>
      <w:r w:rsidR="009F2EC5">
        <w:rPr>
          <w:rFonts w:ascii="Arial" w:hAnsi="Arial" w:cs="Arial"/>
        </w:rPr>
        <w:t>purely</w:t>
      </w:r>
      <w:r w:rsidR="009C2CA6">
        <w:rPr>
          <w:rFonts w:ascii="Arial" w:hAnsi="Arial" w:cs="Arial"/>
        </w:rPr>
        <w:t xml:space="preserve"> economic justification</w:t>
      </w:r>
      <w:r w:rsidR="009F2EC5">
        <w:rPr>
          <w:rFonts w:ascii="Arial" w:hAnsi="Arial" w:cs="Arial"/>
        </w:rPr>
        <w:t>s</w:t>
      </w:r>
      <w:r w:rsidR="009C2CA6">
        <w:rPr>
          <w:rFonts w:ascii="Arial" w:hAnsi="Arial" w:cs="Arial"/>
        </w:rPr>
        <w:t xml:space="preserve"> </w:t>
      </w:r>
      <w:r w:rsidR="009F2EC5" w:rsidRPr="009F2EC5">
        <w:rPr>
          <w:rFonts w:ascii="Arial" w:hAnsi="Arial" w:cs="Arial"/>
          <w:color w:val="2F5496" w:themeColor="accent1" w:themeShade="BF"/>
        </w:rPr>
        <w:t xml:space="preserve">for this </w:t>
      </w:r>
      <w:r w:rsidR="009F2EC5">
        <w:rPr>
          <w:rFonts w:ascii="Arial" w:hAnsi="Arial" w:cs="Arial"/>
          <w:color w:val="2F5496" w:themeColor="accent1" w:themeShade="BF"/>
        </w:rPr>
        <w:t>ou</w:t>
      </w:r>
      <w:r w:rsidR="009F2EC5" w:rsidRPr="009F2EC5">
        <w:rPr>
          <w:rFonts w:ascii="Arial" w:hAnsi="Arial" w:cs="Arial"/>
          <w:color w:val="2F5496" w:themeColor="accent1" w:themeShade="BF"/>
        </w:rPr>
        <w:t>t</w:t>
      </w:r>
      <w:r w:rsidR="009F2EC5">
        <w:rPr>
          <w:rFonts w:ascii="Arial" w:hAnsi="Arial" w:cs="Arial"/>
          <w:color w:val="2F5496" w:themeColor="accent1" w:themeShade="BF"/>
        </w:rPr>
        <w:t>come</w:t>
      </w:r>
      <w:r w:rsidR="009F2EC5" w:rsidRPr="009F2EC5">
        <w:rPr>
          <w:rFonts w:ascii="Arial" w:hAnsi="Arial" w:cs="Arial"/>
          <w:color w:val="2F5496" w:themeColor="accent1" w:themeShade="BF"/>
        </w:rPr>
        <w:t xml:space="preserve"> </w:t>
      </w:r>
      <w:r w:rsidR="009F2EC5">
        <w:rPr>
          <w:rFonts w:ascii="Arial" w:hAnsi="Arial" w:cs="Arial"/>
        </w:rPr>
        <w:t>are</w:t>
      </w:r>
      <w:r w:rsidR="009C2CA6">
        <w:rPr>
          <w:rFonts w:ascii="Arial" w:hAnsi="Arial" w:cs="Arial"/>
        </w:rPr>
        <w:t xml:space="preserve"> </w:t>
      </w:r>
      <w:r w:rsidR="00D77487" w:rsidRPr="00D77487">
        <w:rPr>
          <w:rFonts w:ascii="Arial" w:hAnsi="Arial" w:cs="Arial"/>
          <w:color w:val="2F5496" w:themeColor="accent1" w:themeShade="BF"/>
        </w:rPr>
        <w:t xml:space="preserve">not </w:t>
      </w:r>
      <w:r w:rsidR="009F2EC5">
        <w:rPr>
          <w:rFonts w:ascii="Arial" w:hAnsi="Arial" w:cs="Arial"/>
          <w:color w:val="2F5496" w:themeColor="accent1" w:themeShade="BF"/>
        </w:rPr>
        <w:t>entirely credible</w:t>
      </w:r>
      <w:r w:rsidR="009C2CA6" w:rsidRPr="00D77487">
        <w:rPr>
          <w:rFonts w:ascii="Arial" w:hAnsi="Arial" w:cs="Arial"/>
          <w:color w:val="2F5496" w:themeColor="accent1" w:themeShade="BF"/>
        </w:rPr>
        <w:t xml:space="preserve"> </w:t>
      </w:r>
      <w:r w:rsidR="009C2CA6">
        <w:rPr>
          <w:rFonts w:ascii="Arial" w:hAnsi="Arial" w:cs="Arial"/>
        </w:rPr>
        <w:t xml:space="preserve">even in </w:t>
      </w:r>
      <w:r w:rsidR="009F2EC5">
        <w:rPr>
          <w:rFonts w:ascii="Arial" w:hAnsi="Arial" w:cs="Arial"/>
        </w:rPr>
        <w:t>their</w:t>
      </w:r>
      <w:r w:rsidR="009C2CA6">
        <w:rPr>
          <w:rFonts w:ascii="Arial" w:hAnsi="Arial" w:cs="Arial"/>
        </w:rPr>
        <w:t xml:space="preserve"> own terms</w:t>
      </w:r>
      <w:r w:rsidR="00D70C34">
        <w:rPr>
          <w:rFonts w:ascii="Arial" w:hAnsi="Arial" w:cs="Arial"/>
        </w:rPr>
        <w:t>.</w:t>
      </w:r>
      <w:r w:rsidR="009F2EC5">
        <w:rPr>
          <w:rFonts w:ascii="Arial" w:hAnsi="Arial" w:cs="Arial"/>
        </w:rPr>
        <w:t xml:space="preserve"> </w:t>
      </w:r>
      <w:r w:rsidR="009F2EC5" w:rsidRPr="009F2EC5">
        <w:rPr>
          <w:rFonts w:ascii="Arial" w:hAnsi="Arial" w:cs="Arial"/>
          <w:color w:val="2F5496" w:themeColor="accent1" w:themeShade="BF"/>
        </w:rPr>
        <w:t>Therefore, we supplement th</w:t>
      </w:r>
      <w:r w:rsidR="009F2EC5">
        <w:rPr>
          <w:rFonts w:ascii="Arial" w:hAnsi="Arial" w:cs="Arial"/>
          <w:color w:val="2F5496" w:themeColor="accent1" w:themeShade="BF"/>
        </w:rPr>
        <w:t>is quantitative data</w:t>
      </w:r>
      <w:r w:rsidR="009F2EC5" w:rsidRPr="009F2EC5">
        <w:rPr>
          <w:rFonts w:ascii="Arial" w:hAnsi="Arial" w:cs="Arial"/>
          <w:color w:val="2F5496" w:themeColor="accent1" w:themeShade="BF"/>
        </w:rPr>
        <w:t xml:space="preserve"> by using evidence from</w:t>
      </w:r>
      <w:r w:rsidR="009F2EC5">
        <w:rPr>
          <w:rFonts w:ascii="Arial" w:hAnsi="Arial" w:cs="Arial"/>
        </w:rPr>
        <w:t xml:space="preserve"> </w:t>
      </w:r>
      <w:r w:rsidR="009F2EC5" w:rsidRPr="009F2EC5">
        <w:rPr>
          <w:rFonts w:ascii="Arial" w:hAnsi="Arial" w:cs="Arial"/>
          <w:color w:val="2F5496" w:themeColor="accent1" w:themeShade="BF"/>
        </w:rPr>
        <w:t xml:space="preserve">Parliamentary debates, newspapers, </w:t>
      </w:r>
      <w:r w:rsidR="001F062A">
        <w:rPr>
          <w:rFonts w:ascii="Arial" w:hAnsi="Arial" w:cs="Arial"/>
          <w:color w:val="2F5496" w:themeColor="accent1" w:themeShade="BF"/>
        </w:rPr>
        <w:t xml:space="preserve">annual company reports </w:t>
      </w:r>
      <w:r w:rsidR="009F2EC5" w:rsidRPr="009F2EC5">
        <w:rPr>
          <w:rFonts w:ascii="Arial" w:hAnsi="Arial" w:cs="Arial"/>
          <w:color w:val="2F5496" w:themeColor="accent1" w:themeShade="BF"/>
        </w:rPr>
        <w:t xml:space="preserve">and London Transport’s </w:t>
      </w:r>
      <w:r w:rsidR="009F2EC5">
        <w:rPr>
          <w:rFonts w:ascii="Arial" w:hAnsi="Arial" w:cs="Arial"/>
          <w:color w:val="2F5496" w:themeColor="accent1" w:themeShade="BF"/>
        </w:rPr>
        <w:t xml:space="preserve">own </w:t>
      </w:r>
      <w:r w:rsidR="009F2EC5" w:rsidRPr="009F2EC5">
        <w:rPr>
          <w:rFonts w:ascii="Arial" w:hAnsi="Arial" w:cs="Arial"/>
          <w:color w:val="2F5496" w:themeColor="accent1" w:themeShade="BF"/>
        </w:rPr>
        <w:t>senior managers</w:t>
      </w:r>
      <w:r w:rsidR="009F2EC5">
        <w:rPr>
          <w:rFonts w:ascii="Arial" w:hAnsi="Arial" w:cs="Arial"/>
          <w:color w:val="2F5496" w:themeColor="accent1" w:themeShade="BF"/>
        </w:rPr>
        <w:t xml:space="preserve"> in the period to construct an explanation t</w:t>
      </w:r>
      <w:r w:rsidR="001F062A">
        <w:rPr>
          <w:rFonts w:ascii="Arial" w:hAnsi="Arial" w:cs="Arial"/>
          <w:color w:val="2F5496" w:themeColor="accent1" w:themeShade="BF"/>
        </w:rPr>
        <w:t>hat</w:t>
      </w:r>
      <w:r w:rsidR="009F2EC5">
        <w:rPr>
          <w:rFonts w:ascii="Arial" w:hAnsi="Arial" w:cs="Arial"/>
          <w:color w:val="2F5496" w:themeColor="accent1" w:themeShade="BF"/>
        </w:rPr>
        <w:t xml:space="preserve"> addresses the subjective, political aspects of amalgamation. </w:t>
      </w:r>
      <w:r w:rsidR="00C259DE">
        <w:rPr>
          <w:rFonts w:ascii="Arial" w:hAnsi="Arial" w:cs="Arial"/>
        </w:rPr>
        <w:t xml:space="preserve">Our </w:t>
      </w:r>
      <w:r w:rsidR="00E93D47">
        <w:rPr>
          <w:rFonts w:ascii="Arial" w:hAnsi="Arial" w:cs="Arial"/>
        </w:rPr>
        <w:t>next</w:t>
      </w:r>
      <w:r w:rsidR="00C259DE">
        <w:rPr>
          <w:rFonts w:ascii="Arial" w:hAnsi="Arial" w:cs="Arial"/>
        </w:rPr>
        <w:t xml:space="preserve"> line of </w:t>
      </w:r>
      <w:r w:rsidR="00E93D47">
        <w:rPr>
          <w:rFonts w:ascii="Arial" w:hAnsi="Arial" w:cs="Arial"/>
        </w:rPr>
        <w:t>reason</w:t>
      </w:r>
      <w:r w:rsidR="00652113">
        <w:rPr>
          <w:rFonts w:ascii="Arial" w:hAnsi="Arial" w:cs="Arial"/>
        </w:rPr>
        <w:t>ing</w:t>
      </w:r>
      <w:r w:rsidR="00C259DE">
        <w:rPr>
          <w:rFonts w:ascii="Arial" w:hAnsi="Arial" w:cs="Arial"/>
        </w:rPr>
        <w:t xml:space="preserve"> relates to </w:t>
      </w:r>
      <w:r w:rsidR="00652113">
        <w:rPr>
          <w:rFonts w:ascii="Arial" w:hAnsi="Arial" w:cs="Arial"/>
        </w:rPr>
        <w:t xml:space="preserve">the role of </w:t>
      </w:r>
      <w:r w:rsidR="00C259DE">
        <w:rPr>
          <w:rFonts w:ascii="Arial" w:hAnsi="Arial" w:cs="Arial"/>
        </w:rPr>
        <w:t>historical contingency</w:t>
      </w:r>
      <w:r w:rsidR="00B16F43">
        <w:rPr>
          <w:rFonts w:ascii="Arial" w:hAnsi="Arial" w:cs="Arial"/>
        </w:rPr>
        <w:t xml:space="preserve"> in shaping the type of response to crisis</w:t>
      </w:r>
      <w:r w:rsidR="00C259DE">
        <w:rPr>
          <w:rFonts w:ascii="Arial" w:hAnsi="Arial" w:cs="Arial"/>
        </w:rPr>
        <w:t xml:space="preserve">. </w:t>
      </w:r>
      <w:r w:rsidR="009752CA">
        <w:rPr>
          <w:rFonts w:ascii="Arial" w:hAnsi="Arial" w:cs="Arial"/>
        </w:rPr>
        <w:t>Here, w</w:t>
      </w:r>
      <w:r w:rsidR="00C259DE">
        <w:rPr>
          <w:rFonts w:ascii="Arial" w:hAnsi="Arial" w:cs="Arial"/>
        </w:rPr>
        <w:t xml:space="preserve">e emphasise </w:t>
      </w:r>
      <w:r w:rsidR="00C259DE">
        <w:rPr>
          <w:rFonts w:ascii="Arial" w:hAnsi="Arial" w:cs="Arial"/>
        </w:rPr>
        <w:lastRenderedPageBreak/>
        <w:t>the inter-war period as the frame for our investigation to</w:t>
      </w:r>
      <w:r w:rsidR="009A6E8A">
        <w:rPr>
          <w:rFonts w:ascii="Arial" w:hAnsi="Arial" w:cs="Arial"/>
        </w:rPr>
        <w:t xml:space="preserve"> encompass the </w:t>
      </w:r>
      <w:r w:rsidR="005E38C1">
        <w:rPr>
          <w:rFonts w:ascii="Arial" w:hAnsi="Arial" w:cs="Arial"/>
        </w:rPr>
        <w:t xml:space="preserve">statutory </w:t>
      </w:r>
      <w:r w:rsidR="009A6E8A">
        <w:rPr>
          <w:rFonts w:ascii="Arial" w:hAnsi="Arial" w:cs="Arial"/>
        </w:rPr>
        <w:t>creation</w:t>
      </w:r>
      <w:r w:rsidR="00E22238">
        <w:rPr>
          <w:rFonts w:ascii="Arial" w:hAnsi="Arial" w:cs="Arial"/>
        </w:rPr>
        <w:t xml:space="preserve"> </w:t>
      </w:r>
      <w:r w:rsidR="005E38C1">
        <w:rPr>
          <w:rFonts w:ascii="Arial" w:hAnsi="Arial" w:cs="Arial"/>
        </w:rPr>
        <w:t>of</w:t>
      </w:r>
      <w:r w:rsidR="009A6E8A">
        <w:rPr>
          <w:rFonts w:ascii="Arial" w:hAnsi="Arial" w:cs="Arial"/>
        </w:rPr>
        <w:t xml:space="preserve"> London </w:t>
      </w:r>
      <w:r w:rsidR="00DC7371">
        <w:rPr>
          <w:rFonts w:ascii="Arial" w:hAnsi="Arial" w:cs="Arial"/>
        </w:rPr>
        <w:t>T</w:t>
      </w:r>
      <w:r w:rsidR="009A6E8A">
        <w:rPr>
          <w:rFonts w:ascii="Arial" w:hAnsi="Arial" w:cs="Arial"/>
        </w:rPr>
        <w:t xml:space="preserve">ransport </w:t>
      </w:r>
      <w:r w:rsidR="000C1FD4">
        <w:rPr>
          <w:rFonts w:ascii="Arial" w:hAnsi="Arial" w:cs="Arial"/>
        </w:rPr>
        <w:t xml:space="preserve">as a </w:t>
      </w:r>
      <w:r w:rsidR="009A6E8A">
        <w:rPr>
          <w:rFonts w:ascii="Arial" w:hAnsi="Arial" w:cs="Arial"/>
        </w:rPr>
        <w:t xml:space="preserve">‘hybrid’ </w:t>
      </w:r>
      <w:r w:rsidR="000C1FD4">
        <w:rPr>
          <w:rFonts w:ascii="Arial" w:hAnsi="Arial" w:cs="Arial"/>
        </w:rPr>
        <w:t xml:space="preserve">public service </w:t>
      </w:r>
      <w:r w:rsidR="00A637BA">
        <w:rPr>
          <w:rFonts w:ascii="Arial" w:hAnsi="Arial" w:cs="Arial"/>
        </w:rPr>
        <w:t xml:space="preserve">monopoly </w:t>
      </w:r>
      <w:r w:rsidR="009A6E8A">
        <w:rPr>
          <w:rFonts w:ascii="Arial" w:hAnsi="Arial" w:cs="Arial"/>
        </w:rPr>
        <w:t>in 1933</w:t>
      </w:r>
      <w:r w:rsidR="000310B1">
        <w:rPr>
          <w:rFonts w:ascii="Arial" w:hAnsi="Arial" w:cs="Arial"/>
        </w:rPr>
        <w:t xml:space="preserve"> and allow sufficient time either side of that event to make valid comparisons</w:t>
      </w:r>
      <w:r w:rsidR="00585663">
        <w:rPr>
          <w:rFonts w:ascii="Arial" w:hAnsi="Arial" w:cs="Arial"/>
        </w:rPr>
        <w:t>.</w:t>
      </w:r>
      <w:r w:rsidR="009A6E8A">
        <w:rPr>
          <w:rFonts w:ascii="Arial" w:hAnsi="Arial" w:cs="Arial"/>
        </w:rPr>
        <w:t xml:space="preserve"> </w:t>
      </w:r>
      <w:r w:rsidR="00577EF5" w:rsidRPr="00577EF5">
        <w:rPr>
          <w:rFonts w:ascii="Arial" w:hAnsi="Arial" w:cs="Arial"/>
          <w:color w:val="2F5496" w:themeColor="accent1" w:themeShade="BF"/>
        </w:rPr>
        <w:t>Just as importantly</w:t>
      </w:r>
      <w:r w:rsidR="00577EF5">
        <w:rPr>
          <w:rFonts w:ascii="Arial" w:hAnsi="Arial" w:cs="Arial"/>
        </w:rPr>
        <w:t>, w</w:t>
      </w:r>
      <w:r w:rsidR="006045D3">
        <w:rPr>
          <w:rFonts w:ascii="Arial" w:hAnsi="Arial" w:cs="Arial"/>
        </w:rPr>
        <w:t xml:space="preserve">e argue </w:t>
      </w:r>
      <w:r w:rsidR="00AA33E3">
        <w:rPr>
          <w:rFonts w:ascii="Arial" w:hAnsi="Arial" w:cs="Arial"/>
        </w:rPr>
        <w:t xml:space="preserve">this period </w:t>
      </w:r>
      <w:r w:rsidR="00577EF5">
        <w:rPr>
          <w:rFonts w:ascii="Arial" w:hAnsi="Arial" w:cs="Arial"/>
        </w:rPr>
        <w:t xml:space="preserve">also </w:t>
      </w:r>
      <w:r w:rsidR="00AA33E3">
        <w:rPr>
          <w:rFonts w:ascii="Arial" w:hAnsi="Arial" w:cs="Arial"/>
        </w:rPr>
        <w:t>covers</w:t>
      </w:r>
      <w:r w:rsidR="006045D3">
        <w:rPr>
          <w:rFonts w:ascii="Arial" w:hAnsi="Arial" w:cs="Arial"/>
        </w:rPr>
        <w:t xml:space="preserve"> </w:t>
      </w:r>
      <w:r w:rsidR="00ED44AD">
        <w:rPr>
          <w:rFonts w:ascii="Arial" w:hAnsi="Arial" w:cs="Arial"/>
        </w:rPr>
        <w:t>the</w:t>
      </w:r>
      <w:r w:rsidR="009A6E8A">
        <w:rPr>
          <w:rFonts w:ascii="Arial" w:hAnsi="Arial" w:cs="Arial"/>
        </w:rPr>
        <w:t xml:space="preserve"> major </w:t>
      </w:r>
      <w:r w:rsidR="00E00F54">
        <w:rPr>
          <w:rFonts w:ascii="Arial" w:hAnsi="Arial" w:cs="Arial"/>
        </w:rPr>
        <w:t>defining moment</w:t>
      </w:r>
      <w:r w:rsidR="009A6E8A">
        <w:rPr>
          <w:rFonts w:ascii="Arial" w:hAnsi="Arial" w:cs="Arial"/>
        </w:rPr>
        <w:t xml:space="preserve"> in </w:t>
      </w:r>
      <w:r w:rsidR="00ED44AD">
        <w:rPr>
          <w:rFonts w:ascii="Arial" w:hAnsi="Arial" w:cs="Arial"/>
        </w:rPr>
        <w:t>the process of unifying</w:t>
      </w:r>
      <w:r w:rsidR="009A6E8A">
        <w:rPr>
          <w:rFonts w:ascii="Arial" w:hAnsi="Arial" w:cs="Arial"/>
        </w:rPr>
        <w:t xml:space="preserve"> London </w:t>
      </w:r>
      <w:r w:rsidR="00ED44AD">
        <w:rPr>
          <w:rFonts w:ascii="Arial" w:hAnsi="Arial" w:cs="Arial"/>
        </w:rPr>
        <w:t>T</w:t>
      </w:r>
      <w:r w:rsidR="009A6E8A">
        <w:rPr>
          <w:rFonts w:ascii="Arial" w:hAnsi="Arial" w:cs="Arial"/>
        </w:rPr>
        <w:t>ransport</w:t>
      </w:r>
      <w:r w:rsidR="00ED44AD">
        <w:rPr>
          <w:rFonts w:ascii="Arial" w:hAnsi="Arial" w:cs="Arial"/>
        </w:rPr>
        <w:t>,</w:t>
      </w:r>
      <w:r w:rsidR="009A6E8A">
        <w:rPr>
          <w:rFonts w:ascii="Arial" w:hAnsi="Arial" w:cs="Arial"/>
        </w:rPr>
        <w:t xml:space="preserve"> the so called ‘pirate </w:t>
      </w:r>
      <w:proofErr w:type="spellStart"/>
      <w:r w:rsidR="009A6E8A">
        <w:rPr>
          <w:rFonts w:ascii="Arial" w:hAnsi="Arial" w:cs="Arial"/>
        </w:rPr>
        <w:t>bus’</w:t>
      </w:r>
      <w:proofErr w:type="spellEnd"/>
      <w:r w:rsidR="009A6E8A">
        <w:rPr>
          <w:rFonts w:ascii="Arial" w:hAnsi="Arial" w:cs="Arial"/>
        </w:rPr>
        <w:t xml:space="preserve"> </w:t>
      </w:r>
      <w:r w:rsidR="00E00F54">
        <w:rPr>
          <w:rFonts w:ascii="Arial" w:hAnsi="Arial" w:cs="Arial"/>
        </w:rPr>
        <w:t>crisis</w:t>
      </w:r>
      <w:r w:rsidR="00ED44AD">
        <w:rPr>
          <w:rFonts w:ascii="Arial" w:hAnsi="Arial" w:cs="Arial"/>
        </w:rPr>
        <w:t xml:space="preserve"> in 1924</w:t>
      </w:r>
      <w:r w:rsidR="00DC7371">
        <w:rPr>
          <w:rFonts w:ascii="Arial" w:hAnsi="Arial" w:cs="Arial"/>
        </w:rPr>
        <w:t xml:space="preserve">. </w:t>
      </w:r>
      <w:r w:rsidR="00585663">
        <w:rPr>
          <w:rFonts w:ascii="Arial" w:hAnsi="Arial" w:cs="Arial"/>
        </w:rPr>
        <w:t>In common with some other jurisdictions, t</w:t>
      </w:r>
      <w:r w:rsidR="00DC7371">
        <w:rPr>
          <w:rFonts w:ascii="Arial" w:hAnsi="Arial" w:cs="Arial"/>
        </w:rPr>
        <w:t>his arose</w:t>
      </w:r>
      <w:r w:rsidR="004A2DAB">
        <w:rPr>
          <w:rFonts w:ascii="Arial" w:hAnsi="Arial" w:cs="Arial"/>
        </w:rPr>
        <w:t xml:space="preserve"> from</w:t>
      </w:r>
      <w:r w:rsidR="00DC7371">
        <w:rPr>
          <w:rFonts w:ascii="Arial" w:hAnsi="Arial" w:cs="Arial"/>
        </w:rPr>
        <w:t xml:space="preserve"> the unregulated proliferation of private buses</w:t>
      </w:r>
      <w:r w:rsidR="00585663">
        <w:rPr>
          <w:rFonts w:ascii="Arial" w:hAnsi="Arial" w:cs="Arial"/>
        </w:rPr>
        <w:t xml:space="preserve"> </w:t>
      </w:r>
      <w:r w:rsidR="00DC7371">
        <w:rPr>
          <w:rFonts w:ascii="Arial" w:hAnsi="Arial" w:cs="Arial"/>
        </w:rPr>
        <w:t>which caused danger, congestion, a fall in revenues and transport workers’ wages</w:t>
      </w:r>
      <w:r w:rsidR="00E259FC">
        <w:rPr>
          <w:rFonts w:ascii="Arial" w:hAnsi="Arial" w:cs="Arial"/>
        </w:rPr>
        <w:t xml:space="preserve"> and a strike</w:t>
      </w:r>
      <w:r w:rsidR="00DC7371">
        <w:rPr>
          <w:rFonts w:ascii="Arial" w:hAnsi="Arial" w:cs="Arial"/>
        </w:rPr>
        <w:t xml:space="preserve"> (Barker &amp; Robbins, 1976; </w:t>
      </w:r>
      <w:r w:rsidR="00585663">
        <w:rPr>
          <w:rFonts w:ascii="Arial" w:hAnsi="Arial" w:cs="Arial"/>
        </w:rPr>
        <w:t xml:space="preserve">Cudahy, 1995; Heras, 1994; </w:t>
      </w:r>
      <w:r w:rsidR="00A06697" w:rsidRPr="00D77487">
        <w:rPr>
          <w:rFonts w:ascii="Arial" w:hAnsi="Arial" w:cs="Arial"/>
          <w:color w:val="2F5496" w:themeColor="accent1" w:themeShade="BF"/>
        </w:rPr>
        <w:t xml:space="preserve">Croome &amp; </w:t>
      </w:r>
      <w:r w:rsidR="00DC7371" w:rsidRPr="00D77487">
        <w:rPr>
          <w:rFonts w:ascii="Arial" w:hAnsi="Arial" w:cs="Arial"/>
          <w:color w:val="2F5496" w:themeColor="accent1" w:themeShade="BF"/>
        </w:rPr>
        <w:t>Jackson</w:t>
      </w:r>
      <w:r w:rsidR="00A06697" w:rsidRPr="00D77487">
        <w:rPr>
          <w:rFonts w:ascii="Arial" w:hAnsi="Arial" w:cs="Arial"/>
          <w:color w:val="2F5496" w:themeColor="accent1" w:themeShade="BF"/>
        </w:rPr>
        <w:t>,</w:t>
      </w:r>
      <w:r w:rsidR="00DC7371" w:rsidRPr="00D77487">
        <w:rPr>
          <w:rFonts w:ascii="Arial" w:hAnsi="Arial" w:cs="Arial"/>
          <w:color w:val="2F5496" w:themeColor="accent1" w:themeShade="BF"/>
        </w:rPr>
        <w:t xml:space="preserve"> 1993</w:t>
      </w:r>
      <w:r w:rsidR="00585663">
        <w:rPr>
          <w:rFonts w:ascii="Arial" w:hAnsi="Arial" w:cs="Arial"/>
        </w:rPr>
        <w:t>; Mom, 1995</w:t>
      </w:r>
      <w:r w:rsidR="00DC7371">
        <w:rPr>
          <w:rFonts w:ascii="Arial" w:hAnsi="Arial" w:cs="Arial"/>
        </w:rPr>
        <w:t>)</w:t>
      </w:r>
      <w:r w:rsidR="007D5217">
        <w:rPr>
          <w:rFonts w:ascii="Arial" w:hAnsi="Arial" w:cs="Arial"/>
        </w:rPr>
        <w:t>.</w:t>
      </w:r>
      <w:r w:rsidR="005E38C1">
        <w:rPr>
          <w:rFonts w:ascii="Arial" w:hAnsi="Arial" w:cs="Arial"/>
        </w:rPr>
        <w:t xml:space="preserve"> </w:t>
      </w:r>
      <w:r w:rsidR="00DC7371">
        <w:rPr>
          <w:rFonts w:ascii="Arial" w:hAnsi="Arial" w:cs="Arial"/>
        </w:rPr>
        <w:t xml:space="preserve">We </w:t>
      </w:r>
      <w:r w:rsidR="00C259DE">
        <w:rPr>
          <w:rFonts w:ascii="Arial" w:hAnsi="Arial" w:cs="Arial"/>
        </w:rPr>
        <w:t>propose</w:t>
      </w:r>
      <w:r w:rsidR="00DC7371">
        <w:rPr>
          <w:rFonts w:ascii="Arial" w:hAnsi="Arial" w:cs="Arial"/>
        </w:rPr>
        <w:t xml:space="preserve"> that the</w:t>
      </w:r>
      <w:r w:rsidR="00E259FC">
        <w:rPr>
          <w:rFonts w:ascii="Arial" w:hAnsi="Arial" w:cs="Arial"/>
        </w:rPr>
        <w:t xml:space="preserve"> London</w:t>
      </w:r>
      <w:r w:rsidR="00DC7371">
        <w:rPr>
          <w:rFonts w:ascii="Arial" w:hAnsi="Arial" w:cs="Arial"/>
        </w:rPr>
        <w:t xml:space="preserve"> </w:t>
      </w:r>
      <w:r w:rsidR="00C30419">
        <w:rPr>
          <w:rFonts w:ascii="Arial" w:hAnsi="Arial" w:cs="Arial"/>
        </w:rPr>
        <w:t>‘pirate buses’ were especially influential because they exposed both a market failure and a democratic deficit simultaneously.</w:t>
      </w:r>
      <w:r w:rsidR="00D77487">
        <w:rPr>
          <w:rFonts w:ascii="Arial" w:hAnsi="Arial" w:cs="Arial"/>
        </w:rPr>
        <w:t xml:space="preserve"> </w:t>
      </w:r>
      <w:r w:rsidR="00EE4500">
        <w:rPr>
          <w:rFonts w:ascii="Arial" w:hAnsi="Arial" w:cs="Arial"/>
          <w:color w:val="2F5496" w:themeColor="accent1" w:themeShade="BF"/>
        </w:rPr>
        <w:t>This contingency</w:t>
      </w:r>
      <w:r w:rsidR="00577EF5" w:rsidRPr="00577EF5">
        <w:rPr>
          <w:rFonts w:ascii="Arial" w:hAnsi="Arial" w:cs="Arial"/>
          <w:color w:val="2F5496" w:themeColor="accent1" w:themeShade="BF"/>
        </w:rPr>
        <w:t xml:space="preserve"> </w:t>
      </w:r>
      <w:r w:rsidR="00B47D17">
        <w:rPr>
          <w:rFonts w:ascii="Arial" w:hAnsi="Arial" w:cs="Arial"/>
          <w:color w:val="2F5496" w:themeColor="accent1" w:themeShade="BF"/>
        </w:rPr>
        <w:t>focussed</w:t>
      </w:r>
      <w:r w:rsidR="00577EF5">
        <w:rPr>
          <w:rFonts w:ascii="Arial" w:hAnsi="Arial" w:cs="Arial"/>
          <w:color w:val="2F5496" w:themeColor="accent1" w:themeShade="BF"/>
        </w:rPr>
        <w:t xml:space="preserve"> a</w:t>
      </w:r>
      <w:r w:rsidR="00EE4500">
        <w:rPr>
          <w:rFonts w:ascii="Arial" w:hAnsi="Arial" w:cs="Arial"/>
          <w:color w:val="2F5496" w:themeColor="accent1" w:themeShade="BF"/>
        </w:rPr>
        <w:t xml:space="preserve"> previously</w:t>
      </w:r>
      <w:r w:rsidR="00577EF5">
        <w:rPr>
          <w:rFonts w:ascii="Arial" w:hAnsi="Arial" w:cs="Arial"/>
          <w:color w:val="2F5496" w:themeColor="accent1" w:themeShade="BF"/>
        </w:rPr>
        <w:t xml:space="preserve"> </w:t>
      </w:r>
      <w:r w:rsidR="00B47D17">
        <w:rPr>
          <w:rFonts w:ascii="Arial" w:hAnsi="Arial" w:cs="Arial"/>
          <w:color w:val="2F5496" w:themeColor="accent1" w:themeShade="BF"/>
        </w:rPr>
        <w:t>fissiparous</w:t>
      </w:r>
      <w:r w:rsidR="00577EF5">
        <w:rPr>
          <w:rFonts w:ascii="Arial" w:hAnsi="Arial" w:cs="Arial"/>
          <w:color w:val="2F5496" w:themeColor="accent1" w:themeShade="BF"/>
        </w:rPr>
        <w:t xml:space="preserve"> </w:t>
      </w:r>
      <w:r w:rsidR="00B47D17">
        <w:rPr>
          <w:rFonts w:ascii="Arial" w:hAnsi="Arial" w:cs="Arial"/>
          <w:color w:val="2F5496" w:themeColor="accent1" w:themeShade="BF"/>
        </w:rPr>
        <w:t>discussion</w:t>
      </w:r>
      <w:r w:rsidR="00577EF5">
        <w:rPr>
          <w:rFonts w:ascii="Arial" w:hAnsi="Arial" w:cs="Arial"/>
          <w:color w:val="2F5496" w:themeColor="accent1" w:themeShade="BF"/>
        </w:rPr>
        <w:t xml:space="preserve"> about what was positively required from transport </w:t>
      </w:r>
      <w:r w:rsidR="00B47D17">
        <w:rPr>
          <w:rFonts w:ascii="Arial" w:hAnsi="Arial" w:cs="Arial"/>
          <w:color w:val="2F5496" w:themeColor="accent1" w:themeShade="BF"/>
        </w:rPr>
        <w:t>by reversing the question and providing</w:t>
      </w:r>
      <w:r w:rsidR="00577EF5">
        <w:rPr>
          <w:rFonts w:ascii="Arial" w:hAnsi="Arial" w:cs="Arial"/>
          <w:color w:val="2F5496" w:themeColor="accent1" w:themeShade="BF"/>
        </w:rPr>
        <w:t xml:space="preserve"> </w:t>
      </w:r>
      <w:r w:rsidR="00B47D17">
        <w:rPr>
          <w:rFonts w:ascii="Arial" w:hAnsi="Arial" w:cs="Arial"/>
          <w:color w:val="2F5496" w:themeColor="accent1" w:themeShade="BF"/>
        </w:rPr>
        <w:t xml:space="preserve">politicians and the public with </w:t>
      </w:r>
      <w:proofErr w:type="gramStart"/>
      <w:r w:rsidR="00B47D17">
        <w:rPr>
          <w:rFonts w:ascii="Arial" w:hAnsi="Arial" w:cs="Arial"/>
          <w:color w:val="2F5496" w:themeColor="accent1" w:themeShade="BF"/>
        </w:rPr>
        <w:t xml:space="preserve">a </w:t>
      </w:r>
      <w:r w:rsidR="00577EF5">
        <w:rPr>
          <w:rFonts w:ascii="Arial" w:hAnsi="Arial" w:cs="Arial"/>
          <w:color w:val="2F5496" w:themeColor="accent1" w:themeShade="BF"/>
        </w:rPr>
        <w:t>very clear</w:t>
      </w:r>
      <w:proofErr w:type="gramEnd"/>
      <w:r w:rsidR="00577EF5">
        <w:rPr>
          <w:rFonts w:ascii="Arial" w:hAnsi="Arial" w:cs="Arial"/>
          <w:color w:val="2F5496" w:themeColor="accent1" w:themeShade="BF"/>
        </w:rPr>
        <w:t xml:space="preserve"> </w:t>
      </w:r>
      <w:r w:rsidR="00B47D17">
        <w:rPr>
          <w:rFonts w:ascii="Arial" w:hAnsi="Arial" w:cs="Arial"/>
          <w:color w:val="2F5496" w:themeColor="accent1" w:themeShade="BF"/>
        </w:rPr>
        <w:t>example</w:t>
      </w:r>
      <w:r w:rsidR="00577EF5">
        <w:rPr>
          <w:rFonts w:ascii="Arial" w:hAnsi="Arial" w:cs="Arial"/>
          <w:color w:val="2F5496" w:themeColor="accent1" w:themeShade="BF"/>
        </w:rPr>
        <w:t xml:space="preserve"> of what was definitely not wanted.</w:t>
      </w:r>
      <w:r w:rsidR="00577EF5" w:rsidRPr="00577EF5">
        <w:rPr>
          <w:rFonts w:ascii="Arial" w:hAnsi="Arial" w:cs="Arial"/>
          <w:color w:val="2F5496" w:themeColor="accent1" w:themeShade="BF"/>
        </w:rPr>
        <w:t xml:space="preserve"> </w:t>
      </w:r>
      <w:r w:rsidR="00D77487" w:rsidRPr="00D77487">
        <w:rPr>
          <w:rFonts w:ascii="Arial" w:hAnsi="Arial" w:cs="Arial"/>
          <w:color w:val="2F5496" w:themeColor="accent1" w:themeShade="BF"/>
        </w:rPr>
        <w:t xml:space="preserve">Moreover, events in London inevitably unfolded in full view of the </w:t>
      </w:r>
      <w:r w:rsidR="00967702">
        <w:rPr>
          <w:rFonts w:ascii="Arial" w:hAnsi="Arial" w:cs="Arial"/>
          <w:color w:val="2F5496" w:themeColor="accent1" w:themeShade="BF"/>
        </w:rPr>
        <w:t xml:space="preserve">national </w:t>
      </w:r>
      <w:r w:rsidR="00D77487" w:rsidRPr="00D77487">
        <w:rPr>
          <w:rFonts w:ascii="Arial" w:hAnsi="Arial" w:cs="Arial"/>
          <w:color w:val="2F5496" w:themeColor="accent1" w:themeShade="BF"/>
        </w:rPr>
        <w:t xml:space="preserve">press, the </w:t>
      </w:r>
      <w:proofErr w:type="gramStart"/>
      <w:r w:rsidR="00D77487" w:rsidRPr="00D77487">
        <w:rPr>
          <w:rFonts w:ascii="Arial" w:hAnsi="Arial" w:cs="Arial"/>
          <w:color w:val="2F5496" w:themeColor="accent1" w:themeShade="BF"/>
        </w:rPr>
        <w:t>executive</w:t>
      </w:r>
      <w:proofErr w:type="gramEnd"/>
      <w:r w:rsidR="00D77487" w:rsidRPr="00D77487">
        <w:rPr>
          <w:rFonts w:ascii="Arial" w:hAnsi="Arial" w:cs="Arial"/>
          <w:color w:val="2F5496" w:themeColor="accent1" w:themeShade="BF"/>
        </w:rPr>
        <w:t xml:space="preserve"> and the legislature, as well as taking place in a capital city whose scale dwarfed other regional cities and still had, </w:t>
      </w:r>
      <w:r w:rsidR="00FD58D6">
        <w:rPr>
          <w:rFonts w:ascii="Arial" w:hAnsi="Arial" w:cs="Arial"/>
          <w:color w:val="2F5496" w:themeColor="accent1" w:themeShade="BF"/>
        </w:rPr>
        <w:t>in the inter-war period</w:t>
      </w:r>
      <w:r w:rsidR="00D77487" w:rsidRPr="00D77487">
        <w:rPr>
          <w:rFonts w:ascii="Arial" w:hAnsi="Arial" w:cs="Arial"/>
          <w:color w:val="2F5496" w:themeColor="accent1" w:themeShade="BF"/>
        </w:rPr>
        <w:t>, pretentions to</w:t>
      </w:r>
      <w:r w:rsidR="00386DD6">
        <w:rPr>
          <w:rFonts w:ascii="Arial" w:hAnsi="Arial" w:cs="Arial"/>
          <w:color w:val="2F5496" w:themeColor="accent1" w:themeShade="BF"/>
        </w:rPr>
        <w:t xml:space="preserve"> symbolising</w:t>
      </w:r>
      <w:r w:rsidR="00D77487" w:rsidRPr="00D77487">
        <w:rPr>
          <w:rFonts w:ascii="Arial" w:hAnsi="Arial" w:cs="Arial"/>
          <w:color w:val="2F5496" w:themeColor="accent1" w:themeShade="BF"/>
        </w:rPr>
        <w:t xml:space="preserve"> </w:t>
      </w:r>
      <w:r w:rsidR="00FD58D6">
        <w:rPr>
          <w:rFonts w:ascii="Arial" w:hAnsi="Arial" w:cs="Arial"/>
          <w:color w:val="2F5496" w:themeColor="accent1" w:themeShade="BF"/>
        </w:rPr>
        <w:t>the</w:t>
      </w:r>
      <w:r w:rsidR="00D77487" w:rsidRPr="00D77487">
        <w:rPr>
          <w:rFonts w:ascii="Arial" w:hAnsi="Arial" w:cs="Arial"/>
          <w:color w:val="2F5496" w:themeColor="accent1" w:themeShade="BF"/>
        </w:rPr>
        <w:t xml:space="preserve"> </w:t>
      </w:r>
      <w:r w:rsidR="00386DD6">
        <w:rPr>
          <w:rFonts w:ascii="Arial" w:hAnsi="Arial" w:cs="Arial"/>
          <w:color w:val="2F5496" w:themeColor="accent1" w:themeShade="BF"/>
        </w:rPr>
        <w:t>order</w:t>
      </w:r>
      <w:r w:rsidR="00FD58D6">
        <w:rPr>
          <w:rFonts w:ascii="Arial" w:hAnsi="Arial" w:cs="Arial"/>
          <w:color w:val="2F5496" w:themeColor="accent1" w:themeShade="BF"/>
        </w:rPr>
        <w:t>liness</w:t>
      </w:r>
      <w:r w:rsidR="00386DD6">
        <w:rPr>
          <w:rFonts w:ascii="Arial" w:hAnsi="Arial" w:cs="Arial"/>
          <w:color w:val="2F5496" w:themeColor="accent1" w:themeShade="BF"/>
        </w:rPr>
        <w:t xml:space="preserve"> </w:t>
      </w:r>
      <w:r w:rsidR="00FD58D6">
        <w:rPr>
          <w:rFonts w:ascii="Arial" w:hAnsi="Arial" w:cs="Arial"/>
          <w:color w:val="2F5496" w:themeColor="accent1" w:themeShade="BF"/>
        </w:rPr>
        <w:t>expected of the centre of Empire</w:t>
      </w:r>
      <w:r w:rsidR="00D77487" w:rsidRPr="00D77487">
        <w:rPr>
          <w:rFonts w:ascii="Arial" w:hAnsi="Arial" w:cs="Arial"/>
          <w:color w:val="1F3864" w:themeColor="accent1" w:themeShade="80"/>
        </w:rPr>
        <w:t xml:space="preserve">. </w:t>
      </w:r>
      <w:r w:rsidR="00B47D17">
        <w:rPr>
          <w:rFonts w:ascii="Arial" w:hAnsi="Arial" w:cs="Arial"/>
        </w:rPr>
        <w:t>All these factors</w:t>
      </w:r>
      <w:r w:rsidR="00B16F43">
        <w:rPr>
          <w:rFonts w:ascii="Arial" w:hAnsi="Arial" w:cs="Arial"/>
        </w:rPr>
        <w:t xml:space="preserve"> </w:t>
      </w:r>
      <w:r w:rsidR="00852273">
        <w:rPr>
          <w:rFonts w:ascii="Arial" w:hAnsi="Arial" w:cs="Arial"/>
        </w:rPr>
        <w:t>generated</w:t>
      </w:r>
      <w:r w:rsidR="00E259FC">
        <w:rPr>
          <w:rFonts w:ascii="Arial" w:hAnsi="Arial" w:cs="Arial"/>
        </w:rPr>
        <w:t xml:space="preserve"> </w:t>
      </w:r>
      <w:r w:rsidR="00852273">
        <w:rPr>
          <w:rFonts w:ascii="Arial" w:hAnsi="Arial" w:cs="Arial"/>
        </w:rPr>
        <w:t>renewed</w:t>
      </w:r>
      <w:r w:rsidR="00E259FC">
        <w:rPr>
          <w:rFonts w:ascii="Arial" w:hAnsi="Arial" w:cs="Arial"/>
        </w:rPr>
        <w:t xml:space="preserve"> urgen</w:t>
      </w:r>
      <w:r w:rsidR="00852273">
        <w:rPr>
          <w:rFonts w:ascii="Arial" w:hAnsi="Arial" w:cs="Arial"/>
        </w:rPr>
        <w:t>cy</w:t>
      </w:r>
      <w:r w:rsidR="00E259FC">
        <w:rPr>
          <w:rFonts w:ascii="Arial" w:hAnsi="Arial" w:cs="Arial"/>
        </w:rPr>
        <w:t xml:space="preserve"> </w:t>
      </w:r>
      <w:r w:rsidR="006045D3">
        <w:rPr>
          <w:rFonts w:ascii="Arial" w:hAnsi="Arial" w:cs="Arial"/>
        </w:rPr>
        <w:t xml:space="preserve">in </w:t>
      </w:r>
      <w:r w:rsidR="00585663">
        <w:rPr>
          <w:rFonts w:ascii="Arial" w:hAnsi="Arial" w:cs="Arial"/>
        </w:rPr>
        <w:t>politics</w:t>
      </w:r>
      <w:r w:rsidR="006045D3">
        <w:rPr>
          <w:rFonts w:ascii="Arial" w:hAnsi="Arial" w:cs="Arial"/>
        </w:rPr>
        <w:t xml:space="preserve"> </w:t>
      </w:r>
      <w:r w:rsidR="00E259FC">
        <w:rPr>
          <w:rFonts w:ascii="Arial" w:hAnsi="Arial" w:cs="Arial"/>
        </w:rPr>
        <w:t xml:space="preserve">to create a new body to regulate London’s transport which incorporated </w:t>
      </w:r>
      <w:r w:rsidR="00C259DE">
        <w:rPr>
          <w:rFonts w:ascii="Arial" w:hAnsi="Arial" w:cs="Arial"/>
        </w:rPr>
        <w:t>a new balance of</w:t>
      </w:r>
      <w:r w:rsidR="00E259FC">
        <w:rPr>
          <w:rFonts w:ascii="Arial" w:hAnsi="Arial" w:cs="Arial"/>
        </w:rPr>
        <w:t xml:space="preserve"> </w:t>
      </w:r>
      <w:r w:rsidR="00C259DE">
        <w:rPr>
          <w:rFonts w:ascii="Arial" w:hAnsi="Arial" w:cs="Arial"/>
        </w:rPr>
        <w:t>institutional logics</w:t>
      </w:r>
      <w:r w:rsidR="001053A5">
        <w:rPr>
          <w:rFonts w:ascii="Arial" w:hAnsi="Arial" w:cs="Arial"/>
        </w:rPr>
        <w:t>, supposedly</w:t>
      </w:r>
      <w:r w:rsidR="00C259DE">
        <w:rPr>
          <w:rFonts w:ascii="Arial" w:hAnsi="Arial" w:cs="Arial"/>
        </w:rPr>
        <w:t xml:space="preserve"> tilted away from the </w:t>
      </w:r>
      <w:r w:rsidR="00E259FC">
        <w:rPr>
          <w:rFonts w:ascii="Arial" w:hAnsi="Arial" w:cs="Arial"/>
        </w:rPr>
        <w:t xml:space="preserve">market and </w:t>
      </w:r>
      <w:r w:rsidR="00C259DE">
        <w:rPr>
          <w:rFonts w:ascii="Arial" w:hAnsi="Arial" w:cs="Arial"/>
        </w:rPr>
        <w:t>towards the state</w:t>
      </w:r>
      <w:r w:rsidR="00C3196B">
        <w:rPr>
          <w:rFonts w:ascii="Arial" w:hAnsi="Arial" w:cs="Arial"/>
        </w:rPr>
        <w:t xml:space="preserve"> </w:t>
      </w:r>
      <w:r w:rsidR="00E259FC">
        <w:rPr>
          <w:rFonts w:ascii="Arial" w:hAnsi="Arial" w:cs="Arial"/>
        </w:rPr>
        <w:t xml:space="preserve">(Gordon, 1938; Morrison, 1933; 1960). </w:t>
      </w:r>
    </w:p>
    <w:p w14:paraId="6B523AD9" w14:textId="3E54C50F" w:rsidR="00F44900" w:rsidRPr="00AA33E3" w:rsidRDefault="00585663" w:rsidP="00AA33E3">
      <w:pPr>
        <w:spacing w:after="0" w:line="480" w:lineRule="auto"/>
        <w:ind w:firstLine="720"/>
        <w:rPr>
          <w:rFonts w:ascii="Arial" w:hAnsi="Arial" w:cs="Arial"/>
        </w:rPr>
      </w:pPr>
      <w:r>
        <w:rPr>
          <w:rFonts w:ascii="Arial" w:hAnsi="Arial" w:cs="Arial"/>
        </w:rPr>
        <w:t>O</w:t>
      </w:r>
      <w:r w:rsidR="00C259DE">
        <w:rPr>
          <w:rFonts w:ascii="Arial" w:hAnsi="Arial" w:cs="Arial"/>
        </w:rPr>
        <w:t xml:space="preserve">ur third strand of </w:t>
      </w:r>
      <w:r w:rsidR="00652113">
        <w:rPr>
          <w:rFonts w:ascii="Arial" w:hAnsi="Arial" w:cs="Arial"/>
        </w:rPr>
        <w:t>questioning</w:t>
      </w:r>
      <w:r w:rsidR="00C259DE">
        <w:rPr>
          <w:rFonts w:ascii="Arial" w:hAnsi="Arial" w:cs="Arial"/>
        </w:rPr>
        <w:t xml:space="preserve"> </w:t>
      </w:r>
      <w:r>
        <w:rPr>
          <w:rFonts w:ascii="Arial" w:hAnsi="Arial" w:cs="Arial"/>
        </w:rPr>
        <w:t xml:space="preserve">relates to politics. </w:t>
      </w:r>
      <w:r w:rsidR="002A0050" w:rsidRPr="002A0050">
        <w:rPr>
          <w:rFonts w:ascii="Arial" w:hAnsi="Arial" w:cs="Arial"/>
          <w:color w:val="2F5496" w:themeColor="accent1" w:themeShade="BF"/>
        </w:rPr>
        <w:t xml:space="preserve">We note that in contrast </w:t>
      </w:r>
      <w:r w:rsidR="00114A65">
        <w:rPr>
          <w:rFonts w:ascii="Arial" w:hAnsi="Arial" w:cs="Arial"/>
          <w:color w:val="2F5496" w:themeColor="accent1" w:themeShade="BF"/>
        </w:rPr>
        <w:t xml:space="preserve">to </w:t>
      </w:r>
      <w:r w:rsidR="002A0050" w:rsidRPr="002A0050">
        <w:rPr>
          <w:rFonts w:ascii="Arial" w:hAnsi="Arial" w:cs="Arial"/>
          <w:color w:val="2F5496" w:themeColor="accent1" w:themeShade="BF"/>
        </w:rPr>
        <w:t>recent</w:t>
      </w:r>
      <w:r w:rsidR="00114A65">
        <w:rPr>
          <w:rFonts w:ascii="Arial" w:hAnsi="Arial" w:cs="Arial"/>
          <w:color w:val="2F5496" w:themeColor="accent1" w:themeShade="BF"/>
        </w:rPr>
        <w:t xml:space="preserve"> interest in hybrid organisations</w:t>
      </w:r>
      <w:r w:rsidR="002A0050" w:rsidRPr="002A0050">
        <w:rPr>
          <w:rFonts w:ascii="Arial" w:hAnsi="Arial" w:cs="Arial"/>
          <w:color w:val="2F5496" w:themeColor="accent1" w:themeShade="BF"/>
        </w:rPr>
        <w:t xml:space="preserve"> from the early 1980s onwards</w:t>
      </w:r>
      <w:r w:rsidR="002A0050">
        <w:rPr>
          <w:rFonts w:ascii="Arial" w:hAnsi="Arial" w:cs="Arial"/>
          <w:color w:val="2F5496" w:themeColor="accent1" w:themeShade="BF"/>
        </w:rPr>
        <w:t>, our study assesses hybridity as a supposed move away from the private sector rather than towards it</w:t>
      </w:r>
      <w:r w:rsidR="00114A65">
        <w:rPr>
          <w:rFonts w:ascii="Arial" w:hAnsi="Arial" w:cs="Arial"/>
          <w:color w:val="2F5496" w:themeColor="accent1" w:themeShade="BF"/>
        </w:rPr>
        <w:t>.</w:t>
      </w:r>
      <w:r w:rsidR="002A0050">
        <w:rPr>
          <w:rFonts w:ascii="Arial" w:hAnsi="Arial" w:cs="Arial"/>
          <w:color w:val="2F5496" w:themeColor="accent1" w:themeShade="BF"/>
        </w:rPr>
        <w:t xml:space="preserve"> </w:t>
      </w:r>
      <w:r w:rsidR="00AA33E3">
        <w:rPr>
          <w:rFonts w:ascii="Arial" w:hAnsi="Arial" w:cs="Arial"/>
          <w:color w:val="2F5496" w:themeColor="accent1" w:themeShade="BF"/>
        </w:rPr>
        <w:t>Using this novel approach</w:t>
      </w:r>
      <w:r w:rsidR="00114A65">
        <w:rPr>
          <w:rFonts w:ascii="Arial" w:hAnsi="Arial" w:cs="Arial"/>
        </w:rPr>
        <w:t>,</w:t>
      </w:r>
      <w:r w:rsidR="00C259DE">
        <w:rPr>
          <w:rFonts w:ascii="Arial" w:hAnsi="Arial" w:cs="Arial"/>
        </w:rPr>
        <w:t xml:space="preserve"> </w:t>
      </w:r>
      <w:r w:rsidR="00114A65">
        <w:rPr>
          <w:rFonts w:ascii="Arial" w:hAnsi="Arial" w:cs="Arial"/>
        </w:rPr>
        <w:t>w</w:t>
      </w:r>
      <w:r w:rsidR="00652113">
        <w:rPr>
          <w:rFonts w:ascii="Arial" w:hAnsi="Arial" w:cs="Arial"/>
        </w:rPr>
        <w:t>e examine to what degree state and market logics blended</w:t>
      </w:r>
      <w:r w:rsidR="00F14234">
        <w:rPr>
          <w:rFonts w:ascii="Arial" w:hAnsi="Arial" w:cs="Arial"/>
        </w:rPr>
        <w:t>,</w:t>
      </w:r>
      <w:r w:rsidR="00652113">
        <w:rPr>
          <w:rFonts w:ascii="Arial" w:hAnsi="Arial" w:cs="Arial"/>
        </w:rPr>
        <w:t xml:space="preserve"> </w:t>
      </w:r>
      <w:proofErr w:type="gramStart"/>
      <w:r w:rsidR="00652113">
        <w:rPr>
          <w:rFonts w:ascii="Arial" w:hAnsi="Arial" w:cs="Arial"/>
        </w:rPr>
        <w:t>replaced</w:t>
      </w:r>
      <w:proofErr w:type="gramEnd"/>
      <w:r w:rsidR="004A2DAB">
        <w:rPr>
          <w:rFonts w:ascii="Arial" w:hAnsi="Arial" w:cs="Arial"/>
        </w:rPr>
        <w:t xml:space="preserve"> </w:t>
      </w:r>
      <w:r w:rsidR="00652113">
        <w:rPr>
          <w:rFonts w:ascii="Arial" w:hAnsi="Arial" w:cs="Arial"/>
        </w:rPr>
        <w:t xml:space="preserve">or </w:t>
      </w:r>
      <w:r w:rsidR="004A2DAB">
        <w:rPr>
          <w:rFonts w:ascii="Arial" w:hAnsi="Arial" w:cs="Arial"/>
        </w:rPr>
        <w:t>a</w:t>
      </w:r>
      <w:r w:rsidR="00652113">
        <w:rPr>
          <w:rFonts w:ascii="Arial" w:hAnsi="Arial" w:cs="Arial"/>
        </w:rPr>
        <w:t>ssimilated</w:t>
      </w:r>
      <w:r w:rsidR="004A2DAB">
        <w:rPr>
          <w:rFonts w:ascii="Arial" w:hAnsi="Arial" w:cs="Arial"/>
        </w:rPr>
        <w:t xml:space="preserve"> into each other</w:t>
      </w:r>
      <w:r w:rsidR="00652113">
        <w:rPr>
          <w:rFonts w:ascii="Arial" w:hAnsi="Arial" w:cs="Arial"/>
        </w:rPr>
        <w:t xml:space="preserve"> (Thornton et al. 2012). </w:t>
      </w:r>
      <w:r w:rsidR="00D25A86">
        <w:rPr>
          <w:rFonts w:ascii="Arial" w:hAnsi="Arial" w:cs="Arial"/>
        </w:rPr>
        <w:t>W</w:t>
      </w:r>
      <w:r w:rsidR="00652113">
        <w:rPr>
          <w:rFonts w:ascii="Arial" w:hAnsi="Arial" w:cs="Arial"/>
        </w:rPr>
        <w:t>e argue</w:t>
      </w:r>
      <w:r w:rsidR="00C259DE">
        <w:rPr>
          <w:rFonts w:ascii="Arial" w:hAnsi="Arial" w:cs="Arial"/>
        </w:rPr>
        <w:t xml:space="preserve"> that</w:t>
      </w:r>
      <w:r w:rsidR="00E259FC">
        <w:rPr>
          <w:rFonts w:ascii="Arial" w:hAnsi="Arial" w:cs="Arial"/>
        </w:rPr>
        <w:t xml:space="preserve"> </w:t>
      </w:r>
      <w:r w:rsidR="001053A5">
        <w:rPr>
          <w:rFonts w:ascii="Arial" w:hAnsi="Arial" w:cs="Arial"/>
        </w:rPr>
        <w:t>despite an ostensible commitment to civic service</w:t>
      </w:r>
      <w:r w:rsidR="00967702">
        <w:rPr>
          <w:rFonts w:ascii="Arial" w:hAnsi="Arial" w:cs="Arial"/>
        </w:rPr>
        <w:t>,</w:t>
      </w:r>
      <w:r w:rsidR="001053A5">
        <w:rPr>
          <w:rFonts w:ascii="Arial" w:hAnsi="Arial" w:cs="Arial"/>
        </w:rPr>
        <w:t xml:space="preserve"> </w:t>
      </w:r>
      <w:r w:rsidR="00E259FC">
        <w:rPr>
          <w:rFonts w:ascii="Arial" w:hAnsi="Arial" w:cs="Arial"/>
        </w:rPr>
        <w:t xml:space="preserve">the balance of these logics within the new institution </w:t>
      </w:r>
      <w:r w:rsidR="00C259DE">
        <w:rPr>
          <w:rFonts w:ascii="Arial" w:hAnsi="Arial" w:cs="Arial"/>
        </w:rPr>
        <w:t>remained</w:t>
      </w:r>
      <w:r w:rsidR="00E259FC">
        <w:rPr>
          <w:rFonts w:ascii="Arial" w:hAnsi="Arial" w:cs="Arial"/>
        </w:rPr>
        <w:t xml:space="preserve"> skewed towards the market</w:t>
      </w:r>
      <w:r w:rsidR="00AA33E3">
        <w:rPr>
          <w:rFonts w:ascii="Arial" w:hAnsi="Arial" w:cs="Arial"/>
        </w:rPr>
        <w:t xml:space="preserve">, excluding </w:t>
      </w:r>
      <w:r w:rsidR="00E259FC">
        <w:rPr>
          <w:rFonts w:ascii="Arial" w:hAnsi="Arial" w:cs="Arial"/>
        </w:rPr>
        <w:t xml:space="preserve">public transport </w:t>
      </w:r>
      <w:r w:rsidR="00AA33E3">
        <w:rPr>
          <w:rFonts w:ascii="Arial" w:hAnsi="Arial" w:cs="Arial"/>
        </w:rPr>
        <w:t>from democratic control</w:t>
      </w:r>
      <w:r w:rsidR="00E259FC">
        <w:rPr>
          <w:rFonts w:ascii="Arial" w:hAnsi="Arial" w:cs="Arial"/>
        </w:rPr>
        <w:t xml:space="preserve"> (Chandler, 2007; Fowler, 2019). </w:t>
      </w:r>
      <w:r w:rsidR="00C3196B">
        <w:rPr>
          <w:rFonts w:ascii="Arial" w:hAnsi="Arial" w:cs="Arial"/>
        </w:rPr>
        <w:t xml:space="preserve">This uneven balance </w:t>
      </w:r>
      <w:proofErr w:type="gramStart"/>
      <w:r w:rsidR="00C3196B">
        <w:rPr>
          <w:rFonts w:ascii="Arial" w:hAnsi="Arial" w:cs="Arial"/>
        </w:rPr>
        <w:t>was concealed</w:t>
      </w:r>
      <w:proofErr w:type="gramEnd"/>
      <w:r w:rsidR="00C3196B">
        <w:rPr>
          <w:rFonts w:ascii="Arial" w:hAnsi="Arial" w:cs="Arial"/>
        </w:rPr>
        <w:t xml:space="preserve"> behind political rhetoric that </w:t>
      </w:r>
      <w:r w:rsidR="00852273">
        <w:rPr>
          <w:rFonts w:ascii="Arial" w:hAnsi="Arial" w:cs="Arial"/>
        </w:rPr>
        <w:t>propagated</w:t>
      </w:r>
      <w:r w:rsidR="00C3196B">
        <w:rPr>
          <w:rFonts w:ascii="Arial" w:hAnsi="Arial" w:cs="Arial"/>
        </w:rPr>
        <w:t xml:space="preserve"> unification as being synonymous with rationality and efficiency</w:t>
      </w:r>
      <w:r w:rsidR="00AA33E3">
        <w:rPr>
          <w:rFonts w:ascii="Arial" w:hAnsi="Arial" w:cs="Arial"/>
        </w:rPr>
        <w:t>,</w:t>
      </w:r>
      <w:r w:rsidR="00883938">
        <w:rPr>
          <w:rFonts w:ascii="Arial" w:hAnsi="Arial" w:cs="Arial"/>
        </w:rPr>
        <w:t xml:space="preserve"> </w:t>
      </w:r>
      <w:r w:rsidR="00AA33E3">
        <w:rPr>
          <w:rFonts w:ascii="Arial" w:hAnsi="Arial" w:cs="Arial"/>
        </w:rPr>
        <w:t>which appealed</w:t>
      </w:r>
      <w:r w:rsidR="00295E07">
        <w:rPr>
          <w:rFonts w:ascii="Arial" w:hAnsi="Arial" w:cs="Arial"/>
        </w:rPr>
        <w:t xml:space="preserve"> </w:t>
      </w:r>
      <w:r w:rsidR="00295E07">
        <w:rPr>
          <w:rFonts w:ascii="Arial" w:hAnsi="Arial" w:cs="Arial"/>
        </w:rPr>
        <w:lastRenderedPageBreak/>
        <w:t xml:space="preserve">to politicians in a turbulent period because </w:t>
      </w:r>
      <w:r w:rsidR="000310B1">
        <w:rPr>
          <w:rFonts w:ascii="Arial" w:hAnsi="Arial" w:cs="Arial"/>
        </w:rPr>
        <w:t xml:space="preserve">it </w:t>
      </w:r>
      <w:r w:rsidR="00883938">
        <w:rPr>
          <w:rFonts w:ascii="Arial" w:hAnsi="Arial" w:cs="Arial"/>
        </w:rPr>
        <w:t>transcended the political left and right (</w:t>
      </w:r>
      <w:r w:rsidR="00AA33E3">
        <w:rPr>
          <w:rFonts w:ascii="Arial" w:hAnsi="Arial" w:cs="Arial"/>
        </w:rPr>
        <w:t xml:space="preserve">Fowler, 2019; </w:t>
      </w:r>
      <w:r w:rsidR="00883938">
        <w:rPr>
          <w:rFonts w:ascii="Arial" w:hAnsi="Arial" w:cs="Arial"/>
        </w:rPr>
        <w:t>Hey, 2010</w:t>
      </w:r>
      <w:r w:rsidR="00AA33E3">
        <w:rPr>
          <w:rFonts w:ascii="Arial" w:hAnsi="Arial" w:cs="Arial"/>
        </w:rPr>
        <w:t>; Mulley 2008</w:t>
      </w:r>
      <w:r w:rsidR="00883938">
        <w:rPr>
          <w:rFonts w:ascii="Arial" w:hAnsi="Arial" w:cs="Arial"/>
        </w:rPr>
        <w:t>)</w:t>
      </w:r>
      <w:r w:rsidR="009A6E8A">
        <w:rPr>
          <w:rFonts w:ascii="Arial" w:hAnsi="Arial" w:cs="Arial"/>
        </w:rPr>
        <w:t>.</w:t>
      </w:r>
      <w:r w:rsidR="006045D3">
        <w:rPr>
          <w:rFonts w:ascii="Arial" w:hAnsi="Arial" w:cs="Arial"/>
        </w:rPr>
        <w:t xml:space="preserve"> </w:t>
      </w:r>
      <w:r w:rsidR="007E0BE4">
        <w:rPr>
          <w:rFonts w:ascii="Arial" w:hAnsi="Arial" w:cs="Arial"/>
        </w:rPr>
        <w:t>In conclusion</w:t>
      </w:r>
      <w:r w:rsidR="00D25A86">
        <w:rPr>
          <w:rFonts w:ascii="Arial" w:hAnsi="Arial" w:cs="Arial"/>
        </w:rPr>
        <w:t>,</w:t>
      </w:r>
      <w:r w:rsidR="007E0BE4">
        <w:rPr>
          <w:rFonts w:ascii="Arial" w:hAnsi="Arial" w:cs="Arial"/>
        </w:rPr>
        <w:t xml:space="preserve"> this study shows that</w:t>
      </w:r>
      <w:r w:rsidR="000310B1">
        <w:rPr>
          <w:rFonts w:ascii="Arial" w:hAnsi="Arial" w:cs="Arial"/>
        </w:rPr>
        <w:t xml:space="preserve"> </w:t>
      </w:r>
      <w:r w:rsidR="00967702">
        <w:rPr>
          <w:rFonts w:ascii="Arial" w:hAnsi="Arial" w:cs="Arial"/>
        </w:rPr>
        <w:t>t</w:t>
      </w:r>
      <w:r w:rsidR="000310B1">
        <w:rPr>
          <w:rFonts w:ascii="Arial" w:hAnsi="Arial" w:cs="Arial"/>
        </w:rPr>
        <w:t>his form of quasi-municipal capitalism has a long antecedence.</w:t>
      </w:r>
      <w:r w:rsidR="007E0BE4">
        <w:rPr>
          <w:rFonts w:ascii="Arial" w:hAnsi="Arial" w:cs="Arial"/>
        </w:rPr>
        <w:t xml:space="preserve"> </w:t>
      </w:r>
      <w:r w:rsidR="000310B1">
        <w:rPr>
          <w:rFonts w:ascii="Arial" w:hAnsi="Arial" w:cs="Arial"/>
        </w:rPr>
        <w:t>I</w:t>
      </w:r>
      <w:r w:rsidR="00D25A86">
        <w:rPr>
          <w:rFonts w:ascii="Arial" w:hAnsi="Arial" w:cs="Arial"/>
        </w:rPr>
        <w:t>n Britain</w:t>
      </w:r>
      <w:r w:rsidR="000310B1">
        <w:rPr>
          <w:rFonts w:ascii="Arial" w:hAnsi="Arial" w:cs="Arial"/>
        </w:rPr>
        <w:t>,</w:t>
      </w:r>
      <w:r w:rsidR="006045D3">
        <w:rPr>
          <w:rFonts w:ascii="Arial" w:hAnsi="Arial" w:cs="Arial"/>
        </w:rPr>
        <w:t xml:space="preserve"> hybrid organisations remove</w:t>
      </w:r>
      <w:r w:rsidR="000310B1">
        <w:rPr>
          <w:rFonts w:ascii="Arial" w:hAnsi="Arial" w:cs="Arial"/>
        </w:rPr>
        <w:t>d</w:t>
      </w:r>
      <w:r w:rsidR="006045D3">
        <w:rPr>
          <w:rFonts w:ascii="Arial" w:hAnsi="Arial" w:cs="Arial"/>
        </w:rPr>
        <w:t xml:space="preserve"> the state from the direct provision public services</w:t>
      </w:r>
      <w:r w:rsidR="00CC7579">
        <w:rPr>
          <w:rFonts w:ascii="Arial" w:hAnsi="Arial" w:cs="Arial"/>
        </w:rPr>
        <w:t xml:space="preserve"> decades before the</w:t>
      </w:r>
      <w:r w:rsidR="007E0BE4">
        <w:rPr>
          <w:rFonts w:ascii="Arial" w:hAnsi="Arial" w:cs="Arial"/>
        </w:rPr>
        <w:t xml:space="preserve"> </w:t>
      </w:r>
      <w:r w:rsidR="000310B1">
        <w:rPr>
          <w:rFonts w:ascii="Arial" w:hAnsi="Arial" w:cs="Arial"/>
        </w:rPr>
        <w:t>(re)</w:t>
      </w:r>
      <w:r w:rsidR="007E0BE4">
        <w:rPr>
          <w:rFonts w:ascii="Arial" w:hAnsi="Arial" w:cs="Arial"/>
        </w:rPr>
        <w:t>introduction of New Public Management in the</w:t>
      </w:r>
      <w:r w:rsidR="00CC7579">
        <w:rPr>
          <w:rFonts w:ascii="Arial" w:hAnsi="Arial" w:cs="Arial"/>
        </w:rPr>
        <w:t xml:space="preserve"> 1980s</w:t>
      </w:r>
      <w:r w:rsidR="004A2DAB">
        <w:rPr>
          <w:rFonts w:ascii="Arial" w:hAnsi="Arial" w:cs="Arial"/>
        </w:rPr>
        <w:t xml:space="preserve"> (Hood, 1991)</w:t>
      </w:r>
      <w:r w:rsidR="007E0BE4">
        <w:rPr>
          <w:rFonts w:ascii="Arial" w:hAnsi="Arial" w:cs="Arial"/>
        </w:rPr>
        <w:t>.</w:t>
      </w:r>
      <w:r w:rsidR="00D15348">
        <w:rPr>
          <w:rFonts w:ascii="Arial" w:hAnsi="Arial" w:cs="Arial"/>
        </w:rPr>
        <w:t xml:space="preserve"> </w:t>
      </w:r>
      <w:r w:rsidR="007E0BE4">
        <w:rPr>
          <w:rFonts w:ascii="Arial" w:hAnsi="Arial" w:cs="Arial"/>
        </w:rPr>
        <w:t>W</w:t>
      </w:r>
      <w:r w:rsidR="00D15348">
        <w:rPr>
          <w:rFonts w:ascii="Arial" w:hAnsi="Arial" w:cs="Arial"/>
        </w:rPr>
        <w:t xml:space="preserve">e </w:t>
      </w:r>
      <w:r>
        <w:rPr>
          <w:rFonts w:ascii="Arial" w:hAnsi="Arial" w:cs="Arial"/>
        </w:rPr>
        <w:t xml:space="preserve">would welcome future research </w:t>
      </w:r>
      <w:r w:rsidR="000310B1">
        <w:rPr>
          <w:rFonts w:ascii="Arial" w:hAnsi="Arial" w:cs="Arial"/>
        </w:rPr>
        <w:t>regarding</w:t>
      </w:r>
      <w:r>
        <w:rPr>
          <w:rFonts w:ascii="Arial" w:hAnsi="Arial" w:cs="Arial"/>
        </w:rPr>
        <w:t xml:space="preserve"> how </w:t>
      </w:r>
      <w:r w:rsidR="00D15348">
        <w:rPr>
          <w:rFonts w:ascii="Arial" w:hAnsi="Arial" w:cs="Arial"/>
        </w:rPr>
        <w:t xml:space="preserve">this re-emergence </w:t>
      </w:r>
      <w:proofErr w:type="gramStart"/>
      <w:r>
        <w:rPr>
          <w:rFonts w:ascii="Arial" w:hAnsi="Arial" w:cs="Arial"/>
        </w:rPr>
        <w:t xml:space="preserve">was </w:t>
      </w:r>
      <w:r w:rsidR="00D15348">
        <w:rPr>
          <w:rFonts w:ascii="Arial" w:hAnsi="Arial" w:cs="Arial"/>
        </w:rPr>
        <w:t>facilitated</w:t>
      </w:r>
      <w:proofErr w:type="gramEnd"/>
      <w:r w:rsidR="00D15348">
        <w:rPr>
          <w:rFonts w:ascii="Arial" w:hAnsi="Arial" w:cs="Arial"/>
        </w:rPr>
        <w:t xml:space="preserve"> by the</w:t>
      </w:r>
      <w:r w:rsidR="007E0BE4">
        <w:rPr>
          <w:rFonts w:ascii="Arial" w:hAnsi="Arial" w:cs="Arial"/>
        </w:rPr>
        <w:t xml:space="preserve"> </w:t>
      </w:r>
      <w:r w:rsidR="00D15348">
        <w:rPr>
          <w:rFonts w:ascii="Arial" w:hAnsi="Arial" w:cs="Arial"/>
        </w:rPr>
        <w:t xml:space="preserve">endurance of market institutional logics </w:t>
      </w:r>
      <w:r w:rsidR="007E0BE4">
        <w:rPr>
          <w:rFonts w:ascii="Arial" w:hAnsi="Arial" w:cs="Arial"/>
        </w:rPr>
        <w:t xml:space="preserve">concealed </w:t>
      </w:r>
      <w:r w:rsidR="00D15348">
        <w:rPr>
          <w:rFonts w:ascii="Arial" w:hAnsi="Arial" w:cs="Arial"/>
        </w:rPr>
        <w:t>within public service</w:t>
      </w:r>
      <w:r>
        <w:rPr>
          <w:rFonts w:ascii="Arial" w:hAnsi="Arial" w:cs="Arial"/>
        </w:rPr>
        <w:t>s</w:t>
      </w:r>
      <w:r w:rsidR="00D15348">
        <w:rPr>
          <w:rFonts w:ascii="Arial" w:hAnsi="Arial" w:cs="Arial"/>
        </w:rPr>
        <w:t xml:space="preserve"> outwardly associated </w:t>
      </w:r>
      <w:r w:rsidR="001164B7">
        <w:rPr>
          <w:rFonts w:ascii="Arial" w:hAnsi="Arial" w:cs="Arial"/>
        </w:rPr>
        <w:t>with</w:t>
      </w:r>
      <w:r w:rsidR="00D15348">
        <w:rPr>
          <w:rFonts w:ascii="Arial" w:hAnsi="Arial" w:cs="Arial"/>
        </w:rPr>
        <w:t xml:space="preserve"> state logic</w:t>
      </w:r>
      <w:r w:rsidR="007E0BE4">
        <w:rPr>
          <w:rFonts w:ascii="Arial" w:hAnsi="Arial" w:cs="Arial"/>
        </w:rPr>
        <w:t>, as can be observed in this study</w:t>
      </w:r>
      <w:r w:rsidR="00CC7579">
        <w:rPr>
          <w:rFonts w:ascii="Arial" w:hAnsi="Arial" w:cs="Arial"/>
        </w:rPr>
        <w:t>.</w:t>
      </w:r>
    </w:p>
    <w:p w14:paraId="52882FF4" w14:textId="363A0803" w:rsidR="00C30419" w:rsidRPr="00003589" w:rsidRDefault="006045D3" w:rsidP="00DD1B53">
      <w:pPr>
        <w:spacing w:after="0" w:line="480" w:lineRule="auto"/>
        <w:rPr>
          <w:rFonts w:ascii="Arial" w:hAnsi="Arial" w:cs="Arial"/>
        </w:rPr>
      </w:pPr>
      <w:r>
        <w:rPr>
          <w:rFonts w:ascii="Arial" w:hAnsi="Arial" w:cs="Arial"/>
          <w:b/>
          <w:bCs/>
        </w:rPr>
        <w:t>Background</w:t>
      </w:r>
      <w:r w:rsidR="002F27BE">
        <w:rPr>
          <w:rFonts w:ascii="Arial" w:hAnsi="Arial" w:cs="Arial"/>
        </w:rPr>
        <w:t xml:space="preserve"> </w:t>
      </w:r>
      <w:r w:rsidR="00E22238">
        <w:rPr>
          <w:rFonts w:ascii="Arial" w:hAnsi="Arial" w:cs="Arial"/>
        </w:rPr>
        <w:t xml:space="preserve"> </w:t>
      </w:r>
      <w:r w:rsidR="009A6E8A">
        <w:rPr>
          <w:rFonts w:ascii="Arial" w:hAnsi="Arial" w:cs="Arial"/>
        </w:rPr>
        <w:t xml:space="preserve">            </w:t>
      </w:r>
      <w:r w:rsidR="00F55573">
        <w:rPr>
          <w:rFonts w:ascii="Arial" w:hAnsi="Arial" w:cs="Arial"/>
        </w:rPr>
        <w:t xml:space="preserve"> </w:t>
      </w:r>
    </w:p>
    <w:p w14:paraId="23E82C3C" w14:textId="5DC227F2" w:rsidR="008A0A47" w:rsidRPr="008A0A47" w:rsidRDefault="00350C0D" w:rsidP="003A12D6">
      <w:pPr>
        <w:spacing w:after="0" w:line="480" w:lineRule="auto"/>
        <w:rPr>
          <w:rFonts w:ascii="Arial" w:hAnsi="Arial" w:cs="Arial"/>
          <w:color w:val="2F5496" w:themeColor="accent1" w:themeShade="BF"/>
        </w:rPr>
      </w:pPr>
      <w:r>
        <w:rPr>
          <w:rFonts w:ascii="Arial" w:hAnsi="Arial" w:cs="Arial"/>
        </w:rPr>
        <w:t xml:space="preserve">Before 1933 transport in London was provided by </w:t>
      </w:r>
      <w:r w:rsidR="007D6261">
        <w:rPr>
          <w:rFonts w:ascii="Arial" w:hAnsi="Arial" w:cs="Arial"/>
        </w:rPr>
        <w:t xml:space="preserve">well </w:t>
      </w:r>
      <w:r>
        <w:rPr>
          <w:rFonts w:ascii="Arial" w:hAnsi="Arial" w:cs="Arial"/>
        </w:rPr>
        <w:t xml:space="preserve">over a hundred different organisations ranging through large scale private companies, local authorities and small independent operators (Barker &amp; Robbins, 1976). </w:t>
      </w:r>
      <w:r w:rsidR="00967702" w:rsidRPr="008A0A47">
        <w:rPr>
          <w:rFonts w:ascii="Arial" w:hAnsi="Arial" w:cs="Arial"/>
          <w:color w:val="2F5496" w:themeColor="accent1" w:themeShade="BF"/>
        </w:rPr>
        <w:t xml:space="preserve">London’s transportation was particularly fragmented because of the existence of both a London County Council and a set of London Borough Councils which resulted in significant overlaps and conflicts </w:t>
      </w:r>
      <w:r w:rsidR="008A0A47">
        <w:rPr>
          <w:rFonts w:ascii="Arial" w:hAnsi="Arial" w:cs="Arial"/>
          <w:color w:val="2F5496" w:themeColor="accent1" w:themeShade="BF"/>
        </w:rPr>
        <w:t xml:space="preserve">in transport provision </w:t>
      </w:r>
      <w:r w:rsidR="00967702" w:rsidRPr="008A0A47">
        <w:rPr>
          <w:rFonts w:ascii="Arial" w:hAnsi="Arial" w:cs="Arial"/>
          <w:color w:val="2F5496" w:themeColor="accent1" w:themeShade="BF"/>
        </w:rPr>
        <w:t xml:space="preserve">at a municipal level. </w:t>
      </w:r>
      <w:r w:rsidR="008A0A47">
        <w:rPr>
          <w:rFonts w:ascii="Arial" w:hAnsi="Arial" w:cs="Arial"/>
          <w:color w:val="2F5496" w:themeColor="accent1" w:themeShade="BF"/>
        </w:rPr>
        <w:t xml:space="preserve">Some Boroughs operated rival tramways, while others banned them altogether. </w:t>
      </w:r>
      <w:r w:rsidR="00967702" w:rsidRPr="008A0A47">
        <w:rPr>
          <w:rFonts w:ascii="Arial" w:hAnsi="Arial" w:cs="Arial"/>
          <w:color w:val="2F5496" w:themeColor="accent1" w:themeShade="BF"/>
        </w:rPr>
        <w:t>Matters were further complicated by the existence of a unique body, the Corporation of the City London, which held significant political influence and veto powers over the use of the streets in the ‘Square Mile’ of London’s commercial centre</w:t>
      </w:r>
      <w:r w:rsidR="00FD58D6">
        <w:rPr>
          <w:rFonts w:ascii="Arial" w:hAnsi="Arial" w:cs="Arial"/>
          <w:color w:val="2F5496" w:themeColor="accent1" w:themeShade="BF"/>
        </w:rPr>
        <w:t xml:space="preserve"> (Robson, 1939)</w:t>
      </w:r>
      <w:r w:rsidR="008A0A47">
        <w:rPr>
          <w:rFonts w:ascii="Arial" w:hAnsi="Arial" w:cs="Arial"/>
          <w:color w:val="2F5496" w:themeColor="accent1" w:themeShade="BF"/>
        </w:rPr>
        <w:t>.</w:t>
      </w:r>
      <w:r w:rsidR="00967702" w:rsidRPr="008A0A47">
        <w:rPr>
          <w:rFonts w:ascii="Arial" w:hAnsi="Arial" w:cs="Arial"/>
          <w:color w:val="2F5496" w:themeColor="accent1" w:themeShade="BF"/>
        </w:rPr>
        <w:t xml:space="preserve"> Finally, municipal transport was restricted </w:t>
      </w:r>
      <w:r w:rsidR="004B3469">
        <w:rPr>
          <w:rFonts w:ascii="Arial" w:hAnsi="Arial" w:cs="Arial"/>
          <w:color w:val="2F5496" w:themeColor="accent1" w:themeShade="BF"/>
        </w:rPr>
        <w:t xml:space="preserve">legally </w:t>
      </w:r>
      <w:r w:rsidR="00967702" w:rsidRPr="008A0A47">
        <w:rPr>
          <w:rFonts w:ascii="Arial" w:hAnsi="Arial" w:cs="Arial"/>
          <w:color w:val="2F5496" w:themeColor="accent1" w:themeShade="BF"/>
        </w:rPr>
        <w:t>to the operation of trams</w:t>
      </w:r>
      <w:r w:rsidR="008A0A47" w:rsidRPr="008A0A47">
        <w:rPr>
          <w:rFonts w:ascii="Arial" w:hAnsi="Arial" w:cs="Arial"/>
          <w:color w:val="2F5496" w:themeColor="accent1" w:themeShade="BF"/>
        </w:rPr>
        <w:t xml:space="preserve">, </w:t>
      </w:r>
      <w:r w:rsidR="008A0A47">
        <w:rPr>
          <w:rFonts w:ascii="Arial" w:hAnsi="Arial" w:cs="Arial"/>
          <w:color w:val="2F5496" w:themeColor="accent1" w:themeShade="BF"/>
        </w:rPr>
        <w:t>and</w:t>
      </w:r>
      <w:r w:rsidR="004B3469">
        <w:rPr>
          <w:rFonts w:ascii="Arial" w:hAnsi="Arial" w:cs="Arial"/>
          <w:color w:val="2F5496" w:themeColor="accent1" w:themeShade="BF"/>
        </w:rPr>
        <w:t xml:space="preserve"> therefore</w:t>
      </w:r>
      <w:r w:rsidR="008A0A47">
        <w:rPr>
          <w:rFonts w:ascii="Arial" w:hAnsi="Arial" w:cs="Arial"/>
          <w:color w:val="2F5496" w:themeColor="accent1" w:themeShade="BF"/>
        </w:rPr>
        <w:t xml:space="preserve"> </w:t>
      </w:r>
      <w:r w:rsidR="008A0A47" w:rsidRPr="008A0A47">
        <w:rPr>
          <w:rFonts w:ascii="Arial" w:hAnsi="Arial" w:cs="Arial"/>
          <w:color w:val="2F5496" w:themeColor="accent1" w:themeShade="BF"/>
        </w:rPr>
        <w:t>all buses and trains were privately operated</w:t>
      </w:r>
      <w:r w:rsidR="008A0A47">
        <w:rPr>
          <w:rFonts w:ascii="Arial" w:hAnsi="Arial" w:cs="Arial"/>
          <w:color w:val="2F5496" w:themeColor="accent1" w:themeShade="BF"/>
        </w:rPr>
        <w:t xml:space="preserve"> (</w:t>
      </w:r>
      <w:r w:rsidR="00FD58D6">
        <w:rPr>
          <w:rFonts w:ascii="Arial" w:hAnsi="Arial" w:cs="Arial"/>
          <w:color w:val="2F5496" w:themeColor="accent1" w:themeShade="BF"/>
        </w:rPr>
        <w:t>Turner &amp; Tennent</w:t>
      </w:r>
      <w:r w:rsidR="008A0A47">
        <w:rPr>
          <w:rFonts w:ascii="Arial" w:hAnsi="Arial" w:cs="Arial"/>
          <w:color w:val="2F5496" w:themeColor="accent1" w:themeShade="BF"/>
        </w:rPr>
        <w:t xml:space="preserve">, </w:t>
      </w:r>
      <w:r w:rsidR="00FD58D6">
        <w:rPr>
          <w:rFonts w:ascii="Arial" w:hAnsi="Arial" w:cs="Arial"/>
          <w:color w:val="2F5496" w:themeColor="accent1" w:themeShade="BF"/>
        </w:rPr>
        <w:t>201</w:t>
      </w:r>
      <w:r w:rsidR="008A0A47">
        <w:rPr>
          <w:rFonts w:ascii="Arial" w:hAnsi="Arial" w:cs="Arial"/>
          <w:color w:val="2F5496" w:themeColor="accent1" w:themeShade="BF"/>
        </w:rPr>
        <w:t>9)</w:t>
      </w:r>
      <w:r w:rsidR="008A0A47" w:rsidRPr="008A0A47">
        <w:rPr>
          <w:rFonts w:ascii="Arial" w:hAnsi="Arial" w:cs="Arial"/>
          <w:color w:val="2F5496" w:themeColor="accent1" w:themeShade="BF"/>
        </w:rPr>
        <w:t xml:space="preserve">. </w:t>
      </w:r>
    </w:p>
    <w:p w14:paraId="170F65ED" w14:textId="73074ABD" w:rsidR="00967702" w:rsidRDefault="00EE4500" w:rsidP="003A12D6">
      <w:pPr>
        <w:spacing w:after="0" w:line="480" w:lineRule="auto"/>
        <w:rPr>
          <w:rFonts w:ascii="Arial" w:hAnsi="Arial" w:cs="Arial"/>
        </w:rPr>
      </w:pPr>
      <w:r>
        <w:rPr>
          <w:rFonts w:ascii="Arial" w:hAnsi="Arial" w:cs="Arial"/>
          <w:color w:val="2F5496" w:themeColor="accent1" w:themeShade="BF"/>
        </w:rPr>
        <w:t>I</w:t>
      </w:r>
      <w:r w:rsidR="008A0A47" w:rsidRPr="008A0A47">
        <w:rPr>
          <w:rFonts w:ascii="Arial" w:hAnsi="Arial" w:cs="Arial"/>
          <w:color w:val="2F5496" w:themeColor="accent1" w:themeShade="BF"/>
        </w:rPr>
        <w:t xml:space="preserve">n this </w:t>
      </w:r>
      <w:proofErr w:type="gramStart"/>
      <w:r w:rsidR="008A0A47" w:rsidRPr="008A0A47">
        <w:rPr>
          <w:rFonts w:ascii="Arial" w:hAnsi="Arial" w:cs="Arial"/>
          <w:color w:val="2F5496" w:themeColor="accent1" w:themeShade="BF"/>
        </w:rPr>
        <w:t>highly complex</w:t>
      </w:r>
      <w:proofErr w:type="gramEnd"/>
      <w:r w:rsidR="008A0A47" w:rsidRPr="008A0A47">
        <w:rPr>
          <w:rFonts w:ascii="Arial" w:hAnsi="Arial" w:cs="Arial"/>
          <w:color w:val="2F5496" w:themeColor="accent1" w:themeShade="BF"/>
        </w:rPr>
        <w:t xml:space="preserve"> picture</w:t>
      </w:r>
      <w:r w:rsidR="00967702" w:rsidRPr="008A0A47">
        <w:rPr>
          <w:rFonts w:ascii="Arial" w:hAnsi="Arial" w:cs="Arial"/>
          <w:color w:val="2F5496" w:themeColor="accent1" w:themeShade="BF"/>
        </w:rPr>
        <w:t xml:space="preserve"> </w:t>
      </w:r>
      <w:r w:rsidR="00350C0D">
        <w:rPr>
          <w:rFonts w:ascii="Arial" w:hAnsi="Arial" w:cs="Arial"/>
        </w:rPr>
        <w:t xml:space="preserve">Yuzawa (2015) </w:t>
      </w:r>
      <w:r w:rsidR="007D6261">
        <w:rPr>
          <w:rFonts w:ascii="Arial" w:hAnsi="Arial" w:cs="Arial"/>
        </w:rPr>
        <w:t xml:space="preserve">shows that only three </w:t>
      </w:r>
      <w:r w:rsidR="00967702">
        <w:rPr>
          <w:rFonts w:ascii="Arial" w:hAnsi="Arial" w:cs="Arial"/>
        </w:rPr>
        <w:t>transport organisations</w:t>
      </w:r>
      <w:r w:rsidR="00873602">
        <w:rPr>
          <w:rFonts w:ascii="Arial" w:hAnsi="Arial" w:cs="Arial"/>
        </w:rPr>
        <w:t xml:space="preserve"> </w:t>
      </w:r>
      <w:r w:rsidR="007D6261">
        <w:rPr>
          <w:rFonts w:ascii="Arial" w:hAnsi="Arial" w:cs="Arial"/>
        </w:rPr>
        <w:t xml:space="preserve">were of any </w:t>
      </w:r>
      <w:r w:rsidR="00967702">
        <w:rPr>
          <w:rFonts w:ascii="Arial" w:hAnsi="Arial" w:cs="Arial"/>
        </w:rPr>
        <w:t xml:space="preserve">city-wide </w:t>
      </w:r>
      <w:r w:rsidR="007D6261">
        <w:rPr>
          <w:rFonts w:ascii="Arial" w:hAnsi="Arial" w:cs="Arial"/>
        </w:rPr>
        <w:t>significance: The Underground Electric Railway Company of London (UERL)</w:t>
      </w:r>
      <w:r w:rsidR="007D6261">
        <w:rPr>
          <w:rStyle w:val="FootnoteReference"/>
          <w:rFonts w:ascii="Arial" w:hAnsi="Arial" w:cs="Arial"/>
        </w:rPr>
        <w:footnoteReference w:id="1"/>
      </w:r>
      <w:r w:rsidR="007D6261">
        <w:rPr>
          <w:rFonts w:ascii="Arial" w:hAnsi="Arial" w:cs="Arial"/>
        </w:rPr>
        <w:t xml:space="preserve"> which accounted for 6</w:t>
      </w:r>
      <w:r w:rsidR="00873602">
        <w:rPr>
          <w:rFonts w:ascii="Arial" w:hAnsi="Arial" w:cs="Arial"/>
        </w:rPr>
        <w:t>6</w:t>
      </w:r>
      <w:r w:rsidR="007D6261">
        <w:rPr>
          <w:rFonts w:ascii="Arial" w:hAnsi="Arial" w:cs="Arial"/>
        </w:rPr>
        <w:t xml:space="preserve">% of </w:t>
      </w:r>
      <w:r w:rsidR="00873602">
        <w:rPr>
          <w:rFonts w:ascii="Arial" w:hAnsi="Arial" w:cs="Arial"/>
        </w:rPr>
        <w:t>gross</w:t>
      </w:r>
      <w:r w:rsidR="007D6261">
        <w:rPr>
          <w:rFonts w:ascii="Arial" w:hAnsi="Arial" w:cs="Arial"/>
        </w:rPr>
        <w:t xml:space="preserve"> </w:t>
      </w:r>
      <w:r w:rsidR="00967702">
        <w:rPr>
          <w:rFonts w:ascii="Arial" w:hAnsi="Arial" w:cs="Arial"/>
        </w:rPr>
        <w:t xml:space="preserve">transport </w:t>
      </w:r>
      <w:r w:rsidR="007D6261">
        <w:rPr>
          <w:rFonts w:ascii="Arial" w:hAnsi="Arial" w:cs="Arial"/>
        </w:rPr>
        <w:t xml:space="preserve">revenues, The Metropolitan Railway </w:t>
      </w:r>
      <w:r w:rsidR="007D6261">
        <w:rPr>
          <w:rFonts w:ascii="Arial" w:hAnsi="Arial" w:cs="Arial"/>
        </w:rPr>
        <w:lastRenderedPageBreak/>
        <w:t>(MR)</w:t>
      </w:r>
      <w:r w:rsidR="007D6261">
        <w:rPr>
          <w:rStyle w:val="FootnoteReference"/>
          <w:rFonts w:ascii="Arial" w:hAnsi="Arial" w:cs="Arial"/>
        </w:rPr>
        <w:footnoteReference w:id="2"/>
      </w:r>
      <w:r w:rsidR="007D6261">
        <w:rPr>
          <w:rFonts w:ascii="Arial" w:hAnsi="Arial" w:cs="Arial"/>
        </w:rPr>
        <w:t xml:space="preserve"> which accounted for 7% and the London County Council (LCC)</w:t>
      </w:r>
      <w:r w:rsidR="00873602">
        <w:rPr>
          <w:rStyle w:val="FootnoteReference"/>
          <w:rFonts w:ascii="Arial" w:hAnsi="Arial" w:cs="Arial"/>
        </w:rPr>
        <w:footnoteReference w:id="3"/>
      </w:r>
      <w:r w:rsidR="00883BD9">
        <w:rPr>
          <w:rFonts w:ascii="Arial" w:hAnsi="Arial" w:cs="Arial"/>
        </w:rPr>
        <w:t>,</w:t>
      </w:r>
      <w:r w:rsidR="007D6261">
        <w:rPr>
          <w:rFonts w:ascii="Arial" w:hAnsi="Arial" w:cs="Arial"/>
        </w:rPr>
        <w:t xml:space="preserve"> which </w:t>
      </w:r>
      <w:r w:rsidR="00883BD9">
        <w:rPr>
          <w:rFonts w:ascii="Arial" w:hAnsi="Arial" w:cs="Arial"/>
        </w:rPr>
        <w:t xml:space="preserve">operated </w:t>
      </w:r>
      <w:r w:rsidR="008A0A47" w:rsidRPr="008A0A47">
        <w:rPr>
          <w:rFonts w:ascii="Arial" w:hAnsi="Arial" w:cs="Arial"/>
          <w:color w:val="2F5496" w:themeColor="accent1" w:themeShade="BF"/>
        </w:rPr>
        <w:t>the largest</w:t>
      </w:r>
      <w:r w:rsidR="00883BD9" w:rsidRPr="008A0A47">
        <w:rPr>
          <w:rFonts w:ascii="Arial" w:hAnsi="Arial" w:cs="Arial"/>
          <w:color w:val="2F5496" w:themeColor="accent1" w:themeShade="BF"/>
        </w:rPr>
        <w:t xml:space="preserve"> </w:t>
      </w:r>
      <w:r w:rsidR="00883BD9">
        <w:rPr>
          <w:rFonts w:ascii="Arial" w:hAnsi="Arial" w:cs="Arial"/>
        </w:rPr>
        <w:t>tramway network</w:t>
      </w:r>
      <w:r w:rsidR="008A0A47">
        <w:rPr>
          <w:rFonts w:ascii="Arial" w:hAnsi="Arial" w:cs="Arial"/>
        </w:rPr>
        <w:t>,</w:t>
      </w:r>
      <w:r w:rsidR="001164B7">
        <w:rPr>
          <w:rFonts w:ascii="Arial" w:hAnsi="Arial" w:cs="Arial"/>
        </w:rPr>
        <w:t xml:space="preserve"> </w:t>
      </w:r>
      <w:r w:rsidR="007D6261">
        <w:rPr>
          <w:rFonts w:ascii="Arial" w:hAnsi="Arial" w:cs="Arial"/>
        </w:rPr>
        <w:t>account</w:t>
      </w:r>
      <w:r w:rsidR="008A0A47">
        <w:rPr>
          <w:rFonts w:ascii="Arial" w:hAnsi="Arial" w:cs="Arial"/>
        </w:rPr>
        <w:t>ed</w:t>
      </w:r>
      <w:r w:rsidR="007D6261">
        <w:rPr>
          <w:rFonts w:ascii="Arial" w:hAnsi="Arial" w:cs="Arial"/>
        </w:rPr>
        <w:t xml:space="preserve"> for </w:t>
      </w:r>
      <w:r w:rsidR="000310B1">
        <w:rPr>
          <w:rFonts w:ascii="Arial" w:hAnsi="Arial" w:cs="Arial"/>
        </w:rPr>
        <w:t xml:space="preserve">another </w:t>
      </w:r>
      <w:r w:rsidR="007D6261">
        <w:rPr>
          <w:rFonts w:ascii="Arial" w:hAnsi="Arial" w:cs="Arial"/>
        </w:rPr>
        <w:t>1</w:t>
      </w:r>
      <w:r w:rsidR="00873602">
        <w:rPr>
          <w:rFonts w:ascii="Arial" w:hAnsi="Arial" w:cs="Arial"/>
        </w:rPr>
        <w:t>8</w:t>
      </w:r>
      <w:r w:rsidR="007D6261">
        <w:rPr>
          <w:rFonts w:ascii="Arial" w:hAnsi="Arial" w:cs="Arial"/>
        </w:rPr>
        <w:t>%.</w:t>
      </w:r>
      <w:r w:rsidR="00873602">
        <w:rPr>
          <w:rFonts w:ascii="Arial" w:hAnsi="Arial" w:cs="Arial"/>
        </w:rPr>
        <w:t xml:space="preserve"> </w:t>
      </w:r>
      <w:r w:rsidR="00FD52A4">
        <w:rPr>
          <w:rFonts w:ascii="Arial" w:hAnsi="Arial" w:cs="Arial"/>
        </w:rPr>
        <w:t>W</w:t>
      </w:r>
      <w:r w:rsidR="00E96264">
        <w:rPr>
          <w:rFonts w:ascii="Arial" w:hAnsi="Arial" w:cs="Arial"/>
        </w:rPr>
        <w:t>e</w:t>
      </w:r>
      <w:r w:rsidR="00FD52A4">
        <w:rPr>
          <w:rFonts w:ascii="Arial" w:hAnsi="Arial" w:cs="Arial"/>
        </w:rPr>
        <w:t xml:space="preserve"> use these</w:t>
      </w:r>
      <w:r w:rsidR="00C3196B">
        <w:rPr>
          <w:rFonts w:ascii="Arial" w:hAnsi="Arial" w:cs="Arial"/>
        </w:rPr>
        <w:t xml:space="preserve"> </w:t>
      </w:r>
      <w:r w:rsidR="00183003">
        <w:rPr>
          <w:rFonts w:ascii="Arial" w:hAnsi="Arial" w:cs="Arial"/>
        </w:rPr>
        <w:t xml:space="preserve">organisations </w:t>
      </w:r>
      <w:r w:rsidR="00AB5454">
        <w:rPr>
          <w:rFonts w:ascii="Arial" w:hAnsi="Arial" w:cs="Arial"/>
        </w:rPr>
        <w:t>as well a</w:t>
      </w:r>
      <w:r w:rsidR="00967702">
        <w:rPr>
          <w:rFonts w:ascii="Arial" w:hAnsi="Arial" w:cs="Arial"/>
        </w:rPr>
        <w:t>s</w:t>
      </w:r>
      <w:r w:rsidR="00AB5454">
        <w:rPr>
          <w:rFonts w:ascii="Arial" w:hAnsi="Arial" w:cs="Arial"/>
        </w:rPr>
        <w:t xml:space="preserve"> London based suburban railway companies </w:t>
      </w:r>
      <w:r w:rsidR="00C3196B">
        <w:rPr>
          <w:rFonts w:ascii="Arial" w:hAnsi="Arial" w:cs="Arial"/>
        </w:rPr>
        <w:t xml:space="preserve">as </w:t>
      </w:r>
      <w:r w:rsidR="00FD52A4">
        <w:rPr>
          <w:rFonts w:ascii="Arial" w:hAnsi="Arial" w:cs="Arial"/>
        </w:rPr>
        <w:t xml:space="preserve">the </w:t>
      </w:r>
      <w:r w:rsidR="00C3196B">
        <w:rPr>
          <w:rFonts w:ascii="Arial" w:hAnsi="Arial" w:cs="Arial"/>
        </w:rPr>
        <w:t xml:space="preserve">pre-unification comparators throughout this study. </w:t>
      </w:r>
    </w:p>
    <w:p w14:paraId="38FEF338" w14:textId="1C3B0AC5" w:rsidR="003A12D6" w:rsidRDefault="00873602" w:rsidP="00F44900">
      <w:pPr>
        <w:spacing w:after="0" w:line="480" w:lineRule="auto"/>
        <w:ind w:firstLine="720"/>
        <w:rPr>
          <w:rFonts w:ascii="Arial" w:hAnsi="Arial" w:cs="Arial"/>
        </w:rPr>
      </w:pPr>
      <w:r>
        <w:rPr>
          <w:rFonts w:ascii="Arial" w:hAnsi="Arial" w:cs="Arial"/>
        </w:rPr>
        <w:t>In 1933 all the companies in the London transport area</w:t>
      </w:r>
      <w:r w:rsidR="00AA33E3">
        <w:rPr>
          <w:rStyle w:val="FootnoteReference"/>
          <w:rFonts w:ascii="Arial" w:hAnsi="Arial" w:cs="Arial"/>
        </w:rPr>
        <w:footnoteReference w:id="4"/>
      </w:r>
      <w:r w:rsidR="00E51583">
        <w:rPr>
          <w:rFonts w:ascii="Arial" w:hAnsi="Arial" w:cs="Arial"/>
        </w:rPr>
        <w:t xml:space="preserve"> </w:t>
      </w:r>
      <w:proofErr w:type="gramStart"/>
      <w:r>
        <w:rPr>
          <w:rFonts w:ascii="Arial" w:hAnsi="Arial" w:cs="Arial"/>
        </w:rPr>
        <w:t>were amalgamated</w:t>
      </w:r>
      <w:proofErr w:type="gramEnd"/>
      <w:r>
        <w:rPr>
          <w:rFonts w:ascii="Arial" w:hAnsi="Arial" w:cs="Arial"/>
        </w:rPr>
        <w:t xml:space="preserve"> by statute into the London Passenger Transport Board</w:t>
      </w:r>
      <w:r w:rsidR="00CC7579">
        <w:rPr>
          <w:rFonts w:ascii="Arial" w:hAnsi="Arial" w:cs="Arial"/>
        </w:rPr>
        <w:t xml:space="preserve"> (LPTB)</w:t>
      </w:r>
      <w:r w:rsidR="00E51583">
        <w:rPr>
          <w:rFonts w:ascii="Arial" w:hAnsi="Arial" w:cs="Arial"/>
        </w:rPr>
        <w:t>. Th</w:t>
      </w:r>
      <w:r w:rsidR="003314E2">
        <w:rPr>
          <w:rFonts w:ascii="Arial" w:hAnsi="Arial" w:cs="Arial"/>
        </w:rPr>
        <w:t xml:space="preserve">ough it was created by government, the Board remained in private ownership, </w:t>
      </w:r>
      <w:r w:rsidR="005819E9">
        <w:rPr>
          <w:rFonts w:ascii="Arial" w:hAnsi="Arial" w:cs="Arial"/>
        </w:rPr>
        <w:t xml:space="preserve">symbolically </w:t>
      </w:r>
      <w:r w:rsidR="003314E2">
        <w:rPr>
          <w:rFonts w:ascii="Arial" w:hAnsi="Arial" w:cs="Arial"/>
        </w:rPr>
        <w:t>retaining the chief executives of the former UERL, Lord Ashfield</w:t>
      </w:r>
      <w:r w:rsidR="003314E2">
        <w:rPr>
          <w:rStyle w:val="FootnoteReference"/>
          <w:rFonts w:ascii="Arial" w:hAnsi="Arial" w:cs="Arial"/>
        </w:rPr>
        <w:footnoteReference w:id="5"/>
      </w:r>
      <w:r w:rsidR="003314E2">
        <w:rPr>
          <w:rFonts w:ascii="Arial" w:hAnsi="Arial" w:cs="Arial"/>
        </w:rPr>
        <w:t xml:space="preserve"> and Frank Pick</w:t>
      </w:r>
      <w:r w:rsidR="003314E2">
        <w:rPr>
          <w:rStyle w:val="FootnoteReference"/>
          <w:rFonts w:ascii="Arial" w:hAnsi="Arial" w:cs="Arial"/>
        </w:rPr>
        <w:footnoteReference w:id="6"/>
      </w:r>
      <w:r w:rsidR="003314E2">
        <w:rPr>
          <w:rFonts w:ascii="Arial" w:hAnsi="Arial" w:cs="Arial"/>
        </w:rPr>
        <w:t xml:space="preserve"> as the new chairman and vice-chairman. This </w:t>
      </w:r>
      <w:r w:rsidR="00295E07">
        <w:rPr>
          <w:rFonts w:ascii="Arial" w:hAnsi="Arial" w:cs="Arial"/>
        </w:rPr>
        <w:t xml:space="preserve">‘hybrid’ </w:t>
      </w:r>
      <w:r w:rsidR="003314E2">
        <w:rPr>
          <w:rFonts w:ascii="Arial" w:hAnsi="Arial" w:cs="Arial"/>
        </w:rPr>
        <w:t xml:space="preserve">mix of </w:t>
      </w:r>
      <w:r w:rsidR="001164B7">
        <w:rPr>
          <w:rFonts w:ascii="Arial" w:hAnsi="Arial" w:cs="Arial"/>
        </w:rPr>
        <w:t>state</w:t>
      </w:r>
      <w:r w:rsidR="003314E2">
        <w:rPr>
          <w:rFonts w:ascii="Arial" w:hAnsi="Arial" w:cs="Arial"/>
        </w:rPr>
        <w:t xml:space="preserve"> and </w:t>
      </w:r>
      <w:r w:rsidR="001164B7">
        <w:rPr>
          <w:rFonts w:ascii="Arial" w:hAnsi="Arial" w:cs="Arial"/>
        </w:rPr>
        <w:t xml:space="preserve">market principles, practices and symbols </w:t>
      </w:r>
      <w:r w:rsidR="007B76C3">
        <w:rPr>
          <w:rFonts w:ascii="Arial" w:hAnsi="Arial" w:cs="Arial"/>
        </w:rPr>
        <w:t>occurred</w:t>
      </w:r>
      <w:r w:rsidR="00E51583">
        <w:rPr>
          <w:rFonts w:ascii="Arial" w:hAnsi="Arial" w:cs="Arial"/>
        </w:rPr>
        <w:t xml:space="preserve"> in</w:t>
      </w:r>
      <w:r w:rsidR="00B271AE">
        <w:rPr>
          <w:rFonts w:ascii="Arial" w:hAnsi="Arial" w:cs="Arial"/>
        </w:rPr>
        <w:t xml:space="preserve"> other</w:t>
      </w:r>
      <w:r w:rsidR="00E51583">
        <w:rPr>
          <w:rFonts w:ascii="Arial" w:hAnsi="Arial" w:cs="Arial"/>
        </w:rPr>
        <w:t xml:space="preserve"> major cities</w:t>
      </w:r>
      <w:r w:rsidR="00C3196B">
        <w:rPr>
          <w:rFonts w:ascii="Arial" w:hAnsi="Arial" w:cs="Arial"/>
        </w:rPr>
        <w:t>.</w:t>
      </w:r>
      <w:r w:rsidR="00E51583">
        <w:rPr>
          <w:rFonts w:ascii="Arial" w:hAnsi="Arial" w:cs="Arial"/>
        </w:rPr>
        <w:t xml:space="preserve"> </w:t>
      </w:r>
      <w:r w:rsidR="00C3196B">
        <w:rPr>
          <w:rFonts w:ascii="Arial" w:hAnsi="Arial" w:cs="Arial"/>
        </w:rPr>
        <w:t>Th</w:t>
      </w:r>
      <w:r w:rsidR="00E96264">
        <w:rPr>
          <w:rFonts w:ascii="Arial" w:hAnsi="Arial" w:cs="Arial"/>
        </w:rPr>
        <w:t>is outcome had</w:t>
      </w:r>
      <w:r w:rsidR="00883BD9">
        <w:rPr>
          <w:rFonts w:ascii="Arial" w:hAnsi="Arial" w:cs="Arial"/>
        </w:rPr>
        <w:t xml:space="preserve"> close</w:t>
      </w:r>
      <w:r w:rsidR="0045396E">
        <w:rPr>
          <w:rFonts w:ascii="Arial" w:hAnsi="Arial" w:cs="Arial"/>
        </w:rPr>
        <w:t xml:space="preserve"> </w:t>
      </w:r>
      <w:r>
        <w:rPr>
          <w:rFonts w:ascii="Arial" w:hAnsi="Arial" w:cs="Arial"/>
        </w:rPr>
        <w:t xml:space="preserve">parallels </w:t>
      </w:r>
      <w:r w:rsidR="0045396E">
        <w:rPr>
          <w:rFonts w:ascii="Arial" w:hAnsi="Arial" w:cs="Arial"/>
        </w:rPr>
        <w:t>to</w:t>
      </w:r>
      <w:r>
        <w:rPr>
          <w:rFonts w:ascii="Arial" w:hAnsi="Arial" w:cs="Arial"/>
        </w:rPr>
        <w:t xml:space="preserve"> </w:t>
      </w:r>
      <w:r w:rsidR="0045396E" w:rsidRPr="0045396E">
        <w:rPr>
          <w:rFonts w:ascii="Arial" w:hAnsi="Arial" w:cs="Arial"/>
        </w:rPr>
        <w:t xml:space="preserve">the </w:t>
      </w:r>
      <w:proofErr w:type="spellStart"/>
      <w:r w:rsidR="0045396E" w:rsidRPr="0045396E">
        <w:rPr>
          <w:rFonts w:ascii="Arial" w:hAnsi="Arial" w:cs="Arial"/>
        </w:rPr>
        <w:t>Corporacion</w:t>
      </w:r>
      <w:proofErr w:type="spellEnd"/>
      <w:r w:rsidR="0045396E" w:rsidRPr="0045396E">
        <w:rPr>
          <w:rFonts w:ascii="Arial" w:hAnsi="Arial" w:cs="Arial"/>
        </w:rPr>
        <w:t xml:space="preserve"> de </w:t>
      </w:r>
      <w:proofErr w:type="spellStart"/>
      <w:r w:rsidR="0045396E" w:rsidRPr="0045396E">
        <w:rPr>
          <w:rFonts w:ascii="Arial" w:hAnsi="Arial" w:cs="Arial"/>
        </w:rPr>
        <w:t>Transportes</w:t>
      </w:r>
      <w:proofErr w:type="spellEnd"/>
      <w:r w:rsidR="0045396E" w:rsidRPr="0045396E">
        <w:rPr>
          <w:rFonts w:ascii="Arial" w:hAnsi="Arial" w:cs="Arial"/>
        </w:rPr>
        <w:t xml:space="preserve"> de la Ciudad de Buenos Aires</w:t>
      </w:r>
      <w:r w:rsidR="0045396E">
        <w:rPr>
          <w:rFonts w:ascii="Arial" w:hAnsi="Arial" w:cs="Arial"/>
        </w:rPr>
        <w:t xml:space="preserve"> in </w:t>
      </w:r>
      <w:proofErr w:type="gramStart"/>
      <w:r w:rsidR="0045396E">
        <w:rPr>
          <w:rFonts w:ascii="Arial" w:hAnsi="Arial" w:cs="Arial"/>
        </w:rPr>
        <w:t>Argentina</w:t>
      </w:r>
      <w:r w:rsidR="0045396E">
        <w:rPr>
          <w:sz w:val="15"/>
          <w:szCs w:val="15"/>
        </w:rPr>
        <w:t xml:space="preserve"> </w:t>
      </w:r>
      <w:r w:rsidR="0045396E">
        <w:rPr>
          <w:rFonts w:ascii="Arial" w:hAnsi="Arial" w:cs="Arial"/>
        </w:rPr>
        <w:t xml:space="preserve"> (</w:t>
      </w:r>
      <w:proofErr w:type="gramEnd"/>
      <w:r w:rsidR="0045396E">
        <w:rPr>
          <w:rFonts w:ascii="Arial" w:hAnsi="Arial" w:cs="Arial"/>
        </w:rPr>
        <w:t>Heras, 1994)</w:t>
      </w:r>
      <w:r>
        <w:rPr>
          <w:rFonts w:ascii="Arial" w:hAnsi="Arial" w:cs="Arial"/>
        </w:rPr>
        <w:t xml:space="preserve">, </w:t>
      </w:r>
      <w:r w:rsidR="00C3196B">
        <w:rPr>
          <w:rFonts w:ascii="Arial" w:hAnsi="Arial" w:cs="Arial"/>
        </w:rPr>
        <w:t>a</w:t>
      </w:r>
      <w:r w:rsidR="001164B7">
        <w:rPr>
          <w:rFonts w:ascii="Arial" w:hAnsi="Arial" w:cs="Arial"/>
        </w:rPr>
        <w:t>s well as</w:t>
      </w:r>
      <w:r w:rsidR="00C3196B">
        <w:rPr>
          <w:rFonts w:ascii="Arial" w:hAnsi="Arial" w:cs="Arial"/>
        </w:rPr>
        <w:t xml:space="preserve"> </w:t>
      </w:r>
      <w:r w:rsidR="00883BD9">
        <w:rPr>
          <w:rFonts w:ascii="Arial" w:hAnsi="Arial" w:cs="Arial"/>
        </w:rPr>
        <w:t xml:space="preserve">some commonalities with </w:t>
      </w:r>
      <w:r w:rsidR="0045396E">
        <w:rPr>
          <w:rFonts w:ascii="Arial" w:hAnsi="Arial" w:cs="Arial"/>
        </w:rPr>
        <w:t xml:space="preserve">the French </w:t>
      </w:r>
      <w:proofErr w:type="spellStart"/>
      <w:r w:rsidR="0045396E" w:rsidRPr="008D3418">
        <w:rPr>
          <w:rFonts w:ascii="Arial" w:hAnsi="Arial" w:cs="Arial"/>
        </w:rPr>
        <w:t>Régie</w:t>
      </w:r>
      <w:proofErr w:type="spellEnd"/>
      <w:r w:rsidR="0045396E" w:rsidRPr="008D3418">
        <w:rPr>
          <w:rFonts w:ascii="Arial" w:hAnsi="Arial" w:cs="Arial"/>
        </w:rPr>
        <w:t xml:space="preserve"> </w:t>
      </w:r>
      <w:proofErr w:type="spellStart"/>
      <w:r w:rsidR="0045396E" w:rsidRPr="008D3418">
        <w:rPr>
          <w:rFonts w:ascii="Arial" w:hAnsi="Arial" w:cs="Arial"/>
        </w:rPr>
        <w:t>Autonome</w:t>
      </w:r>
      <w:proofErr w:type="spellEnd"/>
      <w:r w:rsidR="0045396E" w:rsidRPr="008D3418">
        <w:rPr>
          <w:rFonts w:ascii="Arial" w:hAnsi="Arial" w:cs="Arial"/>
        </w:rPr>
        <w:t xml:space="preserve"> des Transports </w:t>
      </w:r>
      <w:proofErr w:type="spellStart"/>
      <w:r w:rsidR="0045396E" w:rsidRPr="008D3418">
        <w:rPr>
          <w:rFonts w:ascii="Arial" w:hAnsi="Arial" w:cs="Arial"/>
        </w:rPr>
        <w:t>Parisiens</w:t>
      </w:r>
      <w:proofErr w:type="spellEnd"/>
      <w:r w:rsidR="0045396E">
        <w:rPr>
          <w:rFonts w:ascii="Arial" w:hAnsi="Arial" w:cs="Arial"/>
        </w:rPr>
        <w:t xml:space="preserve"> (Garbutt, 1997) </w:t>
      </w:r>
      <w:r>
        <w:rPr>
          <w:rFonts w:ascii="Arial" w:hAnsi="Arial" w:cs="Arial"/>
        </w:rPr>
        <w:t>and</w:t>
      </w:r>
      <w:r w:rsidR="0045396E">
        <w:rPr>
          <w:rFonts w:ascii="Arial" w:hAnsi="Arial" w:cs="Arial"/>
        </w:rPr>
        <w:t xml:space="preserve"> the </w:t>
      </w:r>
      <w:r>
        <w:rPr>
          <w:rFonts w:ascii="Arial" w:hAnsi="Arial" w:cs="Arial"/>
        </w:rPr>
        <w:t>New York</w:t>
      </w:r>
      <w:r w:rsidR="002F27BE">
        <w:rPr>
          <w:rFonts w:ascii="Arial" w:hAnsi="Arial" w:cs="Arial"/>
        </w:rPr>
        <w:t xml:space="preserve"> City Transit Authority</w:t>
      </w:r>
      <w:r>
        <w:rPr>
          <w:rFonts w:ascii="Arial" w:hAnsi="Arial" w:cs="Arial"/>
        </w:rPr>
        <w:t xml:space="preserve"> </w:t>
      </w:r>
      <w:r w:rsidR="00E51583">
        <w:rPr>
          <w:rFonts w:ascii="Arial" w:hAnsi="Arial" w:cs="Arial"/>
        </w:rPr>
        <w:t>(</w:t>
      </w:r>
      <w:r w:rsidR="00C30419">
        <w:rPr>
          <w:rFonts w:ascii="Arial" w:hAnsi="Arial" w:cs="Arial"/>
        </w:rPr>
        <w:t>Cudahy, 1995</w:t>
      </w:r>
      <w:r w:rsidR="00E51583">
        <w:rPr>
          <w:rFonts w:ascii="Arial" w:hAnsi="Arial" w:cs="Arial"/>
        </w:rPr>
        <w:t>)</w:t>
      </w:r>
      <w:r>
        <w:rPr>
          <w:rFonts w:ascii="Arial" w:hAnsi="Arial" w:cs="Arial"/>
        </w:rPr>
        <w:t>.</w:t>
      </w:r>
      <w:r w:rsidR="00B271AE">
        <w:rPr>
          <w:rFonts w:ascii="Arial" w:hAnsi="Arial" w:cs="Arial"/>
        </w:rPr>
        <w:t xml:space="preserve"> </w:t>
      </w:r>
      <w:r w:rsidR="00C3196B">
        <w:rPr>
          <w:rFonts w:ascii="Arial" w:hAnsi="Arial" w:cs="Arial"/>
        </w:rPr>
        <w:t>Domestically, t</w:t>
      </w:r>
      <w:r w:rsidR="003314E2">
        <w:rPr>
          <w:rFonts w:ascii="Arial" w:hAnsi="Arial" w:cs="Arial"/>
        </w:rPr>
        <w:t>he Board</w:t>
      </w:r>
      <w:r w:rsidR="00CE1C85">
        <w:rPr>
          <w:rFonts w:ascii="Arial" w:hAnsi="Arial" w:cs="Arial"/>
        </w:rPr>
        <w:t xml:space="preserve"> </w:t>
      </w:r>
      <w:r w:rsidR="0045396E">
        <w:rPr>
          <w:rFonts w:ascii="Arial" w:hAnsi="Arial" w:cs="Arial"/>
        </w:rPr>
        <w:t xml:space="preserve">also </w:t>
      </w:r>
      <w:r w:rsidR="00CE1C85">
        <w:rPr>
          <w:rFonts w:ascii="Arial" w:hAnsi="Arial" w:cs="Arial"/>
        </w:rPr>
        <w:t xml:space="preserve">had </w:t>
      </w:r>
      <w:r w:rsidR="003314E2">
        <w:rPr>
          <w:rFonts w:ascii="Arial" w:hAnsi="Arial" w:cs="Arial"/>
        </w:rPr>
        <w:t>some</w:t>
      </w:r>
      <w:r w:rsidR="00CE1C85">
        <w:rPr>
          <w:rFonts w:ascii="Arial" w:hAnsi="Arial" w:cs="Arial"/>
        </w:rPr>
        <w:t xml:space="preserve"> </w:t>
      </w:r>
      <w:r w:rsidR="00C3196B">
        <w:rPr>
          <w:rFonts w:ascii="Arial" w:hAnsi="Arial" w:cs="Arial"/>
        </w:rPr>
        <w:t>resembl</w:t>
      </w:r>
      <w:r w:rsidR="00003589">
        <w:rPr>
          <w:rFonts w:ascii="Arial" w:hAnsi="Arial" w:cs="Arial"/>
        </w:rPr>
        <w:t>a</w:t>
      </w:r>
      <w:r w:rsidR="00C3196B">
        <w:rPr>
          <w:rFonts w:ascii="Arial" w:hAnsi="Arial" w:cs="Arial"/>
        </w:rPr>
        <w:t>nces</w:t>
      </w:r>
      <w:r w:rsidR="00CE1C85">
        <w:rPr>
          <w:rFonts w:ascii="Arial" w:hAnsi="Arial" w:cs="Arial"/>
        </w:rPr>
        <w:t xml:space="preserve"> to the contemporaneous British Broadcasting Corporation and the Central Electricity Board in the UK (Millward &amp; Singleton, 1995)</w:t>
      </w:r>
      <w:r w:rsidR="0045396E">
        <w:rPr>
          <w:rFonts w:ascii="Arial" w:hAnsi="Arial" w:cs="Arial"/>
        </w:rPr>
        <w:t xml:space="preserve">. </w:t>
      </w:r>
      <w:r w:rsidR="00295E07">
        <w:rPr>
          <w:rFonts w:ascii="Arial" w:hAnsi="Arial" w:cs="Arial"/>
        </w:rPr>
        <w:t xml:space="preserve">The </w:t>
      </w:r>
      <w:r w:rsidR="00003589">
        <w:rPr>
          <w:rFonts w:ascii="Arial" w:hAnsi="Arial" w:cs="Arial"/>
        </w:rPr>
        <w:t xml:space="preserve">statutory </w:t>
      </w:r>
      <w:r w:rsidR="003A12D6">
        <w:rPr>
          <w:rFonts w:ascii="Arial" w:hAnsi="Arial" w:cs="Arial"/>
        </w:rPr>
        <w:t xml:space="preserve">goals </w:t>
      </w:r>
      <w:r w:rsidR="00AB5454">
        <w:rPr>
          <w:rFonts w:ascii="Arial" w:hAnsi="Arial" w:cs="Arial"/>
        </w:rPr>
        <w:t xml:space="preserve">of the new unified organisation </w:t>
      </w:r>
      <w:r w:rsidR="003A12D6">
        <w:rPr>
          <w:rFonts w:ascii="Arial" w:hAnsi="Arial" w:cs="Arial"/>
        </w:rPr>
        <w:t>were set out in the 1933 London Passenger Transport Act. Sections 3(1) and 3(4) oblige</w:t>
      </w:r>
      <w:r w:rsidR="00FD52A4">
        <w:rPr>
          <w:rFonts w:ascii="Arial" w:hAnsi="Arial" w:cs="Arial"/>
        </w:rPr>
        <w:t>d</w:t>
      </w:r>
      <w:r w:rsidR="003A12D6">
        <w:rPr>
          <w:rFonts w:ascii="Arial" w:hAnsi="Arial" w:cs="Arial"/>
        </w:rPr>
        <w:t xml:space="preserve"> London Transport to offer both an improving service</w:t>
      </w:r>
      <w:r w:rsidR="00AB5454">
        <w:rPr>
          <w:rFonts w:ascii="Arial" w:hAnsi="Arial" w:cs="Arial"/>
        </w:rPr>
        <w:t xml:space="preserve"> to the public </w:t>
      </w:r>
      <w:r w:rsidR="003A12D6">
        <w:rPr>
          <w:rFonts w:ascii="Arial" w:hAnsi="Arial" w:cs="Arial"/>
        </w:rPr>
        <w:t xml:space="preserve">and ensure </w:t>
      </w:r>
      <w:r w:rsidR="00AB5454">
        <w:rPr>
          <w:rFonts w:ascii="Arial" w:hAnsi="Arial" w:cs="Arial"/>
        </w:rPr>
        <w:t xml:space="preserve">that </w:t>
      </w:r>
      <w:r w:rsidR="003A12D6">
        <w:rPr>
          <w:rFonts w:ascii="Arial" w:hAnsi="Arial" w:cs="Arial"/>
        </w:rPr>
        <w:t>fares cover</w:t>
      </w:r>
      <w:r w:rsidR="00AB5454">
        <w:rPr>
          <w:rFonts w:ascii="Arial" w:hAnsi="Arial" w:cs="Arial"/>
        </w:rPr>
        <w:t>ed</w:t>
      </w:r>
      <w:r w:rsidR="003A12D6">
        <w:rPr>
          <w:rFonts w:ascii="Arial" w:hAnsi="Arial" w:cs="Arial"/>
        </w:rPr>
        <w:t xml:space="preserve"> all costs</w:t>
      </w:r>
      <w:r w:rsidR="00FD52A4">
        <w:rPr>
          <w:rFonts w:ascii="Arial" w:hAnsi="Arial" w:cs="Arial"/>
        </w:rPr>
        <w:t>. These requirements</w:t>
      </w:r>
      <w:r w:rsidR="003A12D6">
        <w:rPr>
          <w:rFonts w:ascii="Arial" w:hAnsi="Arial" w:cs="Arial"/>
        </w:rPr>
        <w:t xml:space="preserve"> offer good examples </w:t>
      </w:r>
      <w:r w:rsidR="00295E07" w:rsidRPr="003A12D6">
        <w:rPr>
          <w:rFonts w:ascii="Arial" w:hAnsi="Arial" w:cs="Arial"/>
        </w:rPr>
        <w:t>of the</w:t>
      </w:r>
      <w:r w:rsidR="00003589" w:rsidRPr="003A12D6">
        <w:rPr>
          <w:rFonts w:ascii="Arial" w:hAnsi="Arial" w:cs="Arial"/>
        </w:rPr>
        <w:t xml:space="preserve"> </w:t>
      </w:r>
      <w:r w:rsidR="00295E07" w:rsidRPr="003A12D6">
        <w:rPr>
          <w:rFonts w:ascii="Arial" w:hAnsi="Arial" w:cs="Arial"/>
        </w:rPr>
        <w:t>conflicting</w:t>
      </w:r>
      <w:r w:rsidR="00003589" w:rsidRPr="003A12D6">
        <w:rPr>
          <w:rFonts w:ascii="Arial" w:hAnsi="Arial" w:cs="Arial"/>
        </w:rPr>
        <w:t xml:space="preserve"> </w:t>
      </w:r>
      <w:r w:rsidR="005C4477" w:rsidRPr="003A12D6">
        <w:rPr>
          <w:rFonts w:ascii="Arial" w:hAnsi="Arial" w:cs="Arial"/>
        </w:rPr>
        <w:t>state and market logics</w:t>
      </w:r>
      <w:r w:rsidR="00003589" w:rsidRPr="003A12D6">
        <w:rPr>
          <w:rFonts w:ascii="Arial" w:hAnsi="Arial" w:cs="Arial"/>
        </w:rPr>
        <w:t xml:space="preserve"> that are the hallmark of hybrid organisations. We now </w:t>
      </w:r>
      <w:r w:rsidR="005C4477" w:rsidRPr="003A12D6">
        <w:rPr>
          <w:rFonts w:ascii="Arial" w:hAnsi="Arial" w:cs="Arial"/>
        </w:rPr>
        <w:t>discuss</w:t>
      </w:r>
      <w:r w:rsidR="00003589" w:rsidRPr="003A12D6">
        <w:rPr>
          <w:rFonts w:ascii="Arial" w:hAnsi="Arial" w:cs="Arial"/>
        </w:rPr>
        <w:t xml:space="preserve"> th</w:t>
      </w:r>
      <w:r w:rsidR="005C4477" w:rsidRPr="003A12D6">
        <w:rPr>
          <w:rFonts w:ascii="Arial" w:hAnsi="Arial" w:cs="Arial"/>
        </w:rPr>
        <w:t>e</w:t>
      </w:r>
      <w:r w:rsidR="00FD52A4">
        <w:rPr>
          <w:rFonts w:ascii="Arial" w:hAnsi="Arial" w:cs="Arial"/>
        </w:rPr>
        <w:t>m</w:t>
      </w:r>
      <w:r w:rsidR="00003589" w:rsidRPr="003A12D6">
        <w:rPr>
          <w:rFonts w:ascii="Arial" w:hAnsi="Arial" w:cs="Arial"/>
        </w:rPr>
        <w:t xml:space="preserve"> in more detail.</w:t>
      </w:r>
    </w:p>
    <w:p w14:paraId="45D898DA" w14:textId="54862324" w:rsidR="00191902" w:rsidRPr="003A12D6" w:rsidRDefault="00926CCC" w:rsidP="003A12D6">
      <w:pPr>
        <w:spacing w:after="0" w:line="480" w:lineRule="auto"/>
        <w:rPr>
          <w:rFonts w:ascii="Arial" w:hAnsi="Arial" w:cs="Arial"/>
        </w:rPr>
      </w:pPr>
      <w:r w:rsidRPr="00926CCC">
        <w:rPr>
          <w:rFonts w:ascii="Arial" w:hAnsi="Arial" w:cs="Arial"/>
          <w:b/>
          <w:bCs/>
        </w:rPr>
        <w:t>Literature</w:t>
      </w:r>
      <w:r w:rsidR="00C30419">
        <w:rPr>
          <w:rFonts w:ascii="Arial" w:hAnsi="Arial" w:cs="Arial"/>
          <w:b/>
          <w:bCs/>
        </w:rPr>
        <w:t xml:space="preserve"> </w:t>
      </w:r>
    </w:p>
    <w:p w14:paraId="5F59E382" w14:textId="4E7F3F21" w:rsidR="005B4C39" w:rsidRPr="00F44900" w:rsidRDefault="00C30419" w:rsidP="003A12D6">
      <w:pPr>
        <w:spacing w:after="0" w:line="480" w:lineRule="auto"/>
        <w:rPr>
          <w:rFonts w:ascii="Arial" w:hAnsi="Arial" w:cs="Arial"/>
          <w:b/>
          <w:bCs/>
          <w:i/>
          <w:iCs/>
        </w:rPr>
      </w:pPr>
      <w:r w:rsidRPr="00F44900">
        <w:rPr>
          <w:rFonts w:ascii="Arial" w:hAnsi="Arial" w:cs="Arial"/>
          <w:b/>
          <w:bCs/>
          <w:i/>
          <w:iCs/>
        </w:rPr>
        <w:lastRenderedPageBreak/>
        <w:t xml:space="preserve">Hybrid </w:t>
      </w:r>
      <w:r w:rsidR="00B079E8">
        <w:rPr>
          <w:rFonts w:ascii="Arial" w:hAnsi="Arial" w:cs="Arial"/>
          <w:b/>
          <w:bCs/>
          <w:i/>
          <w:iCs/>
        </w:rPr>
        <w:t>o</w:t>
      </w:r>
      <w:r w:rsidRPr="00F44900">
        <w:rPr>
          <w:rFonts w:ascii="Arial" w:hAnsi="Arial" w:cs="Arial"/>
          <w:b/>
          <w:bCs/>
          <w:i/>
          <w:iCs/>
        </w:rPr>
        <w:t>rganisations</w:t>
      </w:r>
      <w:r w:rsidR="002A09A7" w:rsidRPr="00F44900">
        <w:rPr>
          <w:rFonts w:ascii="Arial" w:hAnsi="Arial" w:cs="Arial"/>
          <w:b/>
          <w:bCs/>
          <w:i/>
          <w:iCs/>
        </w:rPr>
        <w:t xml:space="preserve"> and </w:t>
      </w:r>
      <w:r w:rsidR="00B079E8">
        <w:rPr>
          <w:rFonts w:ascii="Arial" w:hAnsi="Arial" w:cs="Arial"/>
          <w:b/>
          <w:bCs/>
          <w:i/>
          <w:iCs/>
        </w:rPr>
        <w:t>i</w:t>
      </w:r>
      <w:r w:rsidR="002A09A7" w:rsidRPr="00F44900">
        <w:rPr>
          <w:rFonts w:ascii="Arial" w:hAnsi="Arial" w:cs="Arial"/>
          <w:b/>
          <w:bCs/>
          <w:i/>
          <w:iCs/>
        </w:rPr>
        <w:t xml:space="preserve">nstitutional </w:t>
      </w:r>
      <w:r w:rsidR="00B079E8">
        <w:rPr>
          <w:rFonts w:ascii="Arial" w:hAnsi="Arial" w:cs="Arial"/>
          <w:b/>
          <w:bCs/>
          <w:i/>
          <w:iCs/>
        </w:rPr>
        <w:t>l</w:t>
      </w:r>
      <w:r w:rsidR="002A09A7" w:rsidRPr="00F44900">
        <w:rPr>
          <w:rFonts w:ascii="Arial" w:hAnsi="Arial" w:cs="Arial"/>
          <w:b/>
          <w:bCs/>
          <w:i/>
          <w:iCs/>
        </w:rPr>
        <w:t>ogics</w:t>
      </w:r>
    </w:p>
    <w:p w14:paraId="7FD99FA1" w14:textId="3D17F757" w:rsidR="00150B3A" w:rsidRDefault="005F2AA2" w:rsidP="003A12D6">
      <w:pPr>
        <w:spacing w:after="0" w:line="480" w:lineRule="auto"/>
        <w:rPr>
          <w:rFonts w:ascii="Arial" w:hAnsi="Arial" w:cs="Arial"/>
        </w:rPr>
      </w:pPr>
      <w:r>
        <w:rPr>
          <w:rFonts w:ascii="Arial" w:hAnsi="Arial" w:cs="Arial"/>
        </w:rPr>
        <w:t>H</w:t>
      </w:r>
      <w:r w:rsidR="005B4C39">
        <w:rPr>
          <w:rFonts w:ascii="Arial" w:hAnsi="Arial" w:cs="Arial"/>
        </w:rPr>
        <w:t xml:space="preserve">ybrid organisations </w:t>
      </w:r>
      <w:r>
        <w:rPr>
          <w:rFonts w:ascii="Arial" w:hAnsi="Arial" w:cs="Arial"/>
        </w:rPr>
        <w:t xml:space="preserve">combine the functions and characteristics of private, public and charitable </w:t>
      </w:r>
      <w:r w:rsidR="00295E07">
        <w:rPr>
          <w:rFonts w:ascii="Arial" w:hAnsi="Arial" w:cs="Arial"/>
        </w:rPr>
        <w:t>bodies</w:t>
      </w:r>
      <w:r>
        <w:rPr>
          <w:rFonts w:ascii="Arial" w:hAnsi="Arial" w:cs="Arial"/>
        </w:rPr>
        <w:t xml:space="preserve">. Their multi-faceted and abstruse nature </w:t>
      </w:r>
      <w:r w:rsidR="005B4C39">
        <w:rPr>
          <w:rFonts w:ascii="Arial" w:hAnsi="Arial" w:cs="Arial"/>
        </w:rPr>
        <w:t>has ensured that p</w:t>
      </w:r>
      <w:r w:rsidR="007A12C9">
        <w:rPr>
          <w:rFonts w:ascii="Arial" w:hAnsi="Arial" w:cs="Arial"/>
        </w:rPr>
        <w:t>lentiful research has been carried out into</w:t>
      </w:r>
      <w:r w:rsidR="005D5841">
        <w:rPr>
          <w:rFonts w:ascii="Arial" w:hAnsi="Arial" w:cs="Arial"/>
        </w:rPr>
        <w:t xml:space="preserve"> describing and</w:t>
      </w:r>
      <w:r w:rsidR="007A12C9">
        <w:rPr>
          <w:rFonts w:ascii="Arial" w:hAnsi="Arial" w:cs="Arial"/>
        </w:rPr>
        <w:t xml:space="preserve"> categorising </w:t>
      </w:r>
      <w:r w:rsidR="00310CA7">
        <w:rPr>
          <w:rFonts w:ascii="Arial" w:hAnsi="Arial" w:cs="Arial"/>
        </w:rPr>
        <w:t>them</w:t>
      </w:r>
      <w:r w:rsidR="00066108">
        <w:rPr>
          <w:rFonts w:ascii="Arial" w:hAnsi="Arial" w:cs="Arial"/>
        </w:rPr>
        <w:t>, though their combination of multiple organisational forms</w:t>
      </w:r>
      <w:r w:rsidR="00951D53">
        <w:rPr>
          <w:rFonts w:ascii="Arial" w:hAnsi="Arial" w:cs="Arial"/>
        </w:rPr>
        <w:t xml:space="preserve"> and origins</w:t>
      </w:r>
      <w:r w:rsidR="00066108">
        <w:rPr>
          <w:rFonts w:ascii="Arial" w:hAnsi="Arial" w:cs="Arial"/>
        </w:rPr>
        <w:t xml:space="preserve"> make</w:t>
      </w:r>
      <w:r w:rsidR="00D92EF0">
        <w:rPr>
          <w:rFonts w:ascii="Arial" w:hAnsi="Arial" w:cs="Arial"/>
        </w:rPr>
        <w:t xml:space="preserve"> </w:t>
      </w:r>
      <w:r w:rsidR="00AB5454">
        <w:rPr>
          <w:rFonts w:ascii="Arial" w:hAnsi="Arial" w:cs="Arial"/>
        </w:rPr>
        <w:t xml:space="preserve">wide ranging </w:t>
      </w:r>
      <w:r w:rsidR="00D92EF0">
        <w:rPr>
          <w:rFonts w:ascii="Arial" w:hAnsi="Arial" w:cs="Arial"/>
        </w:rPr>
        <w:t>generalisations difficult</w:t>
      </w:r>
      <w:r w:rsidR="004E3F8B">
        <w:rPr>
          <w:rFonts w:ascii="Arial" w:hAnsi="Arial" w:cs="Arial"/>
        </w:rPr>
        <w:t xml:space="preserve"> (</w:t>
      </w:r>
      <w:proofErr w:type="spellStart"/>
      <w:r w:rsidR="00962BED">
        <w:rPr>
          <w:rFonts w:ascii="Arial" w:hAnsi="Arial" w:cs="Arial"/>
        </w:rPr>
        <w:t>Alcock</w:t>
      </w:r>
      <w:proofErr w:type="spellEnd"/>
      <w:r w:rsidR="00962BED">
        <w:rPr>
          <w:rFonts w:ascii="Arial" w:hAnsi="Arial" w:cs="Arial"/>
        </w:rPr>
        <w:t xml:space="preserve">, 2016; </w:t>
      </w:r>
      <w:proofErr w:type="spellStart"/>
      <w:r w:rsidR="00962BED">
        <w:rPr>
          <w:rFonts w:ascii="Arial" w:hAnsi="Arial" w:cs="Arial"/>
        </w:rPr>
        <w:t>Billis</w:t>
      </w:r>
      <w:proofErr w:type="spellEnd"/>
      <w:r w:rsidR="00962BED">
        <w:rPr>
          <w:rFonts w:ascii="Arial" w:hAnsi="Arial" w:cs="Arial"/>
        </w:rPr>
        <w:t xml:space="preserve">, 2010; </w:t>
      </w:r>
      <w:proofErr w:type="spellStart"/>
      <w:r w:rsidR="008A5499">
        <w:rPr>
          <w:rFonts w:ascii="Arial" w:hAnsi="Arial" w:cs="Arial"/>
        </w:rPr>
        <w:t>Brandsen</w:t>
      </w:r>
      <w:proofErr w:type="spellEnd"/>
      <w:r w:rsidR="008A5499">
        <w:rPr>
          <w:rFonts w:ascii="Arial" w:hAnsi="Arial" w:cs="Arial"/>
        </w:rPr>
        <w:t xml:space="preserve"> et al. 2005; </w:t>
      </w:r>
      <w:r w:rsidR="004E3F8B">
        <w:rPr>
          <w:rFonts w:ascii="Arial" w:hAnsi="Arial" w:cs="Arial"/>
        </w:rPr>
        <w:t>Docherty, 2014)</w:t>
      </w:r>
      <w:r w:rsidR="007A12C9">
        <w:rPr>
          <w:rFonts w:ascii="Arial" w:hAnsi="Arial" w:cs="Arial"/>
        </w:rPr>
        <w:t xml:space="preserve">. </w:t>
      </w:r>
      <w:r w:rsidR="00AB5454">
        <w:rPr>
          <w:rFonts w:ascii="Arial" w:hAnsi="Arial" w:cs="Arial"/>
        </w:rPr>
        <w:t>Thus, h</w:t>
      </w:r>
      <w:r w:rsidR="0016710D">
        <w:rPr>
          <w:rFonts w:ascii="Arial" w:hAnsi="Arial" w:cs="Arial"/>
        </w:rPr>
        <w:t>ybrids like London Transport represent complex, incongruent and composite rationalities</w:t>
      </w:r>
      <w:r w:rsidR="00D92EF0">
        <w:rPr>
          <w:rFonts w:ascii="Arial" w:hAnsi="Arial" w:cs="Arial"/>
        </w:rPr>
        <w:t>. These can be explored via</w:t>
      </w:r>
      <w:r w:rsidR="0016710D">
        <w:rPr>
          <w:rFonts w:ascii="Arial" w:hAnsi="Arial" w:cs="Arial"/>
        </w:rPr>
        <w:t xml:space="preserve"> institutional logics within different institutional orders: family, religion, state, market, profession and corporatio</w:t>
      </w:r>
      <w:r w:rsidR="004A2DAB">
        <w:rPr>
          <w:rFonts w:ascii="Arial" w:hAnsi="Arial" w:cs="Arial"/>
        </w:rPr>
        <w:t>n (Thornton et al. 2012)</w:t>
      </w:r>
      <w:r w:rsidR="0016710D">
        <w:rPr>
          <w:rFonts w:ascii="Arial" w:hAnsi="Arial" w:cs="Arial"/>
        </w:rPr>
        <w:t>.</w:t>
      </w:r>
      <w:r w:rsidR="00D92EF0">
        <w:rPr>
          <w:rFonts w:ascii="Arial" w:hAnsi="Arial" w:cs="Arial"/>
        </w:rPr>
        <w:t xml:space="preserve"> Here we concern ourselves primarily with state and market logics.</w:t>
      </w:r>
      <w:r w:rsidR="0016710D">
        <w:rPr>
          <w:rFonts w:ascii="Arial" w:hAnsi="Arial" w:cs="Arial"/>
        </w:rPr>
        <w:t xml:space="preserve"> Each presents unique organising principles, practises and symbols wh</w:t>
      </w:r>
      <w:r w:rsidR="00D92EF0">
        <w:rPr>
          <w:rFonts w:ascii="Arial" w:hAnsi="Arial" w:cs="Arial"/>
        </w:rPr>
        <w:t xml:space="preserve">ich </w:t>
      </w:r>
      <w:r w:rsidR="0016710D">
        <w:rPr>
          <w:rFonts w:ascii="Arial" w:hAnsi="Arial" w:cs="Arial"/>
        </w:rPr>
        <w:t xml:space="preserve">influence actors’ decisions </w:t>
      </w:r>
      <w:r w:rsidR="00D92EF0">
        <w:rPr>
          <w:rFonts w:ascii="Arial" w:hAnsi="Arial" w:cs="Arial"/>
        </w:rPr>
        <w:t>through</w:t>
      </w:r>
      <w:r w:rsidR="0016710D">
        <w:rPr>
          <w:rFonts w:ascii="Arial" w:hAnsi="Arial" w:cs="Arial"/>
        </w:rPr>
        <w:t xml:space="preserve"> dominant norms, values and behavioural expectations which enforce legitimacy, authority and identity (</w:t>
      </w:r>
      <w:proofErr w:type="spellStart"/>
      <w:r w:rsidR="0016710D">
        <w:rPr>
          <w:rFonts w:ascii="Arial" w:hAnsi="Arial" w:cs="Arial"/>
        </w:rPr>
        <w:t>Skelcher</w:t>
      </w:r>
      <w:proofErr w:type="spellEnd"/>
      <w:r w:rsidR="0016710D">
        <w:rPr>
          <w:rFonts w:ascii="Arial" w:hAnsi="Arial" w:cs="Arial"/>
        </w:rPr>
        <w:t xml:space="preserve"> &amp; Smith, 2015; Thornton et al. 2012). </w:t>
      </w:r>
    </w:p>
    <w:p w14:paraId="71E56C32" w14:textId="5A1E7FB4" w:rsidR="00150B3A" w:rsidRDefault="00AB5454" w:rsidP="00F44900">
      <w:pPr>
        <w:spacing w:after="0" w:line="480" w:lineRule="auto"/>
        <w:ind w:firstLine="720"/>
        <w:rPr>
          <w:rFonts w:ascii="Arial" w:hAnsi="Arial" w:cs="Arial"/>
        </w:rPr>
      </w:pPr>
      <w:r>
        <w:rPr>
          <w:rFonts w:ascii="Arial" w:hAnsi="Arial" w:cs="Arial"/>
        </w:rPr>
        <w:t>The existence of these complex bodies</w:t>
      </w:r>
      <w:r w:rsidR="00D92EF0">
        <w:rPr>
          <w:rFonts w:ascii="Arial" w:hAnsi="Arial" w:cs="Arial"/>
        </w:rPr>
        <w:t xml:space="preserve"> is</w:t>
      </w:r>
      <w:r>
        <w:rPr>
          <w:rFonts w:ascii="Arial" w:hAnsi="Arial" w:cs="Arial"/>
        </w:rPr>
        <w:t xml:space="preserve"> </w:t>
      </w:r>
      <w:r w:rsidR="00D92EF0">
        <w:rPr>
          <w:rFonts w:ascii="Arial" w:hAnsi="Arial" w:cs="Arial"/>
        </w:rPr>
        <w:t>justified</w:t>
      </w:r>
      <w:r w:rsidR="00150B3A">
        <w:rPr>
          <w:rFonts w:ascii="Arial" w:hAnsi="Arial" w:cs="Arial"/>
        </w:rPr>
        <w:t xml:space="preserve"> </w:t>
      </w:r>
      <w:r>
        <w:rPr>
          <w:rFonts w:ascii="Arial" w:hAnsi="Arial" w:cs="Arial"/>
        </w:rPr>
        <w:t xml:space="preserve">predominantly </w:t>
      </w:r>
      <w:r w:rsidR="00150B3A">
        <w:rPr>
          <w:rFonts w:ascii="Arial" w:hAnsi="Arial" w:cs="Arial"/>
        </w:rPr>
        <w:t xml:space="preserve">in two ways. One explanation offers mimetic isomorphism (Di Maggio &amp; Powell, 1983), concluding that hybrids emerge simply because there are other hybrids (Van </w:t>
      </w:r>
      <w:proofErr w:type="spellStart"/>
      <w:r w:rsidR="00150B3A">
        <w:rPr>
          <w:rFonts w:ascii="Arial" w:hAnsi="Arial" w:cs="Arial"/>
        </w:rPr>
        <w:t>Thiel</w:t>
      </w:r>
      <w:proofErr w:type="spellEnd"/>
      <w:r w:rsidR="00150B3A">
        <w:rPr>
          <w:rFonts w:ascii="Arial" w:hAnsi="Arial" w:cs="Arial"/>
        </w:rPr>
        <w:t xml:space="preserve">, 2004). This explains an accelerating trend in hybrid creation since the 1980’s but does not offer much clarity about their antecedents. Other studies </w:t>
      </w:r>
      <w:r w:rsidR="00D92EF0">
        <w:rPr>
          <w:rFonts w:ascii="Arial" w:hAnsi="Arial" w:cs="Arial"/>
        </w:rPr>
        <w:t xml:space="preserve">use economic data to </w:t>
      </w:r>
      <w:r w:rsidR="00150B3A">
        <w:rPr>
          <w:rFonts w:ascii="Arial" w:hAnsi="Arial" w:cs="Arial"/>
        </w:rPr>
        <w:t>make comparative analyses of public service performance before and after the creation of a new hybrid organisation as the service deliverer</w:t>
      </w:r>
      <w:r w:rsidR="00F14234">
        <w:rPr>
          <w:rFonts w:ascii="Arial" w:hAnsi="Arial" w:cs="Arial"/>
        </w:rPr>
        <w:t xml:space="preserve"> </w:t>
      </w:r>
      <w:r w:rsidR="00F14234" w:rsidRPr="009D6C1A">
        <w:rPr>
          <w:rFonts w:ascii="Arial" w:hAnsi="Arial" w:cs="Arial"/>
          <w:color w:val="2F5496" w:themeColor="accent1" w:themeShade="BF"/>
        </w:rPr>
        <w:t>(Haigh et al. 2015)</w:t>
      </w:r>
      <w:r w:rsidR="00F14234">
        <w:rPr>
          <w:rFonts w:ascii="Arial" w:hAnsi="Arial" w:cs="Arial"/>
          <w:color w:val="1F3864" w:themeColor="accent1" w:themeShade="80"/>
        </w:rPr>
        <w:t xml:space="preserve">. </w:t>
      </w:r>
      <w:r w:rsidR="00150B3A">
        <w:rPr>
          <w:rFonts w:ascii="Arial" w:hAnsi="Arial" w:cs="Arial"/>
        </w:rPr>
        <w:t>It follows that the reasons for their creation and existence can be objectively related to the reality of improved services or benefits stemming out of transaction cost advantages (Nee, 1992). However, conclusive advantages to customers and citizens have been hard to find in practice (</w:t>
      </w:r>
      <w:proofErr w:type="spellStart"/>
      <w:r w:rsidR="00150B3A">
        <w:rPr>
          <w:rFonts w:ascii="Arial" w:hAnsi="Arial" w:cs="Arial"/>
        </w:rPr>
        <w:t>Jilke</w:t>
      </w:r>
      <w:proofErr w:type="spellEnd"/>
      <w:r w:rsidR="00150B3A">
        <w:rPr>
          <w:rFonts w:ascii="Arial" w:hAnsi="Arial" w:cs="Arial"/>
        </w:rPr>
        <w:t xml:space="preserve"> et al. 2016; Overman &amp; Van </w:t>
      </w:r>
      <w:proofErr w:type="spellStart"/>
      <w:r w:rsidR="00150B3A">
        <w:rPr>
          <w:rFonts w:ascii="Arial" w:hAnsi="Arial" w:cs="Arial"/>
        </w:rPr>
        <w:t>Thiel</w:t>
      </w:r>
      <w:proofErr w:type="spellEnd"/>
      <w:r w:rsidR="00150B3A">
        <w:rPr>
          <w:rFonts w:ascii="Arial" w:hAnsi="Arial" w:cs="Arial"/>
        </w:rPr>
        <w:t xml:space="preserve">, 2015; Van der </w:t>
      </w:r>
      <w:proofErr w:type="spellStart"/>
      <w:r w:rsidR="00150B3A">
        <w:rPr>
          <w:rFonts w:ascii="Arial" w:hAnsi="Arial" w:cs="Arial"/>
        </w:rPr>
        <w:t>Walle</w:t>
      </w:r>
      <w:proofErr w:type="spellEnd"/>
      <w:r w:rsidR="00150B3A">
        <w:rPr>
          <w:rFonts w:ascii="Arial" w:hAnsi="Arial" w:cs="Arial"/>
        </w:rPr>
        <w:t>, 2008).</w:t>
      </w:r>
    </w:p>
    <w:p w14:paraId="0974B9FF" w14:textId="489BC47D" w:rsidR="00150B3A" w:rsidRDefault="00150B3A" w:rsidP="00F44900">
      <w:pPr>
        <w:spacing w:after="0" w:line="480" w:lineRule="auto"/>
        <w:ind w:firstLine="720"/>
        <w:rPr>
          <w:rFonts w:ascii="Arial" w:hAnsi="Arial" w:cs="Arial"/>
        </w:rPr>
      </w:pPr>
      <w:r>
        <w:rPr>
          <w:rFonts w:ascii="Arial" w:hAnsi="Arial" w:cs="Arial"/>
        </w:rPr>
        <w:t xml:space="preserve">To overcome some of these explanatory problems, this paper </w:t>
      </w:r>
      <w:r w:rsidR="006E5F8B" w:rsidRPr="009D6C1A">
        <w:rPr>
          <w:rFonts w:ascii="Arial" w:hAnsi="Arial" w:cs="Arial"/>
          <w:color w:val="2F5496" w:themeColor="accent1" w:themeShade="BF"/>
        </w:rPr>
        <w:t xml:space="preserve">follows other research </w:t>
      </w:r>
      <w:r w:rsidRPr="009D6C1A">
        <w:rPr>
          <w:rFonts w:ascii="Arial" w:hAnsi="Arial" w:cs="Arial"/>
          <w:color w:val="2F5496" w:themeColor="accent1" w:themeShade="BF"/>
        </w:rPr>
        <w:t>look</w:t>
      </w:r>
      <w:r w:rsidR="006E5F8B" w:rsidRPr="009D6C1A">
        <w:rPr>
          <w:rFonts w:ascii="Arial" w:hAnsi="Arial" w:cs="Arial"/>
          <w:color w:val="2F5496" w:themeColor="accent1" w:themeShade="BF"/>
        </w:rPr>
        <w:t>ing</w:t>
      </w:r>
      <w:r w:rsidRPr="009D6C1A">
        <w:rPr>
          <w:rFonts w:ascii="Arial" w:hAnsi="Arial" w:cs="Arial"/>
          <w:color w:val="2F5496" w:themeColor="accent1" w:themeShade="BF"/>
        </w:rPr>
        <w:t xml:space="preserve"> </w:t>
      </w:r>
      <w:r>
        <w:rPr>
          <w:rFonts w:ascii="Arial" w:hAnsi="Arial" w:cs="Arial"/>
        </w:rPr>
        <w:t xml:space="preserve">more intensively at </w:t>
      </w:r>
      <w:r w:rsidR="009D6C1A">
        <w:rPr>
          <w:rFonts w:ascii="Arial" w:hAnsi="Arial" w:cs="Arial"/>
        </w:rPr>
        <w:t xml:space="preserve">the </w:t>
      </w:r>
      <w:r>
        <w:rPr>
          <w:rFonts w:ascii="Arial" w:hAnsi="Arial" w:cs="Arial"/>
        </w:rPr>
        <w:t>historical circumstances</w:t>
      </w:r>
      <w:r w:rsidR="00D15348">
        <w:rPr>
          <w:rFonts w:ascii="Arial" w:hAnsi="Arial" w:cs="Arial"/>
        </w:rPr>
        <w:t xml:space="preserve"> </w:t>
      </w:r>
      <w:r w:rsidR="00D15348" w:rsidRPr="009D6C1A">
        <w:rPr>
          <w:rFonts w:ascii="Arial" w:hAnsi="Arial" w:cs="Arial"/>
          <w:color w:val="2F5496" w:themeColor="accent1" w:themeShade="BF"/>
        </w:rPr>
        <w:t xml:space="preserve">and </w:t>
      </w:r>
      <w:r w:rsidR="00D92EF0" w:rsidRPr="009D6C1A">
        <w:rPr>
          <w:rFonts w:ascii="Arial" w:hAnsi="Arial" w:cs="Arial"/>
          <w:color w:val="2F5496" w:themeColor="accent1" w:themeShade="BF"/>
        </w:rPr>
        <w:t>politics</w:t>
      </w:r>
      <w:r w:rsidR="009C2CA6" w:rsidRPr="009D6C1A">
        <w:rPr>
          <w:rFonts w:ascii="Arial" w:hAnsi="Arial" w:cs="Arial"/>
          <w:color w:val="2F5496" w:themeColor="accent1" w:themeShade="BF"/>
        </w:rPr>
        <w:t xml:space="preserve"> </w:t>
      </w:r>
      <w:r w:rsidR="009D6C1A" w:rsidRPr="009D6C1A">
        <w:rPr>
          <w:rFonts w:ascii="Arial" w:hAnsi="Arial" w:cs="Arial"/>
          <w:color w:val="2F5496" w:themeColor="accent1" w:themeShade="BF"/>
        </w:rPr>
        <w:t xml:space="preserve">of Hybrid organisations </w:t>
      </w:r>
      <w:r w:rsidR="009C2CA6">
        <w:rPr>
          <w:rFonts w:ascii="Arial" w:hAnsi="Arial" w:cs="Arial"/>
        </w:rPr>
        <w:t>(Friedland &amp; Alford, 1991</w:t>
      </w:r>
      <w:r w:rsidR="0000000D">
        <w:rPr>
          <w:rFonts w:ascii="Arial" w:hAnsi="Arial" w:cs="Arial"/>
        </w:rPr>
        <w:t xml:space="preserve">; </w:t>
      </w:r>
      <w:r w:rsidR="0000000D" w:rsidRPr="009D6C1A">
        <w:rPr>
          <w:rFonts w:ascii="Arial" w:hAnsi="Arial" w:cs="Arial"/>
          <w:color w:val="2F5496" w:themeColor="accent1" w:themeShade="BF"/>
        </w:rPr>
        <w:t>Gillett &amp; Tennent, 2018; Radford, 2013</w:t>
      </w:r>
      <w:r w:rsidR="009C2CA6">
        <w:rPr>
          <w:rFonts w:ascii="Arial" w:hAnsi="Arial" w:cs="Arial"/>
        </w:rPr>
        <w:t>)</w:t>
      </w:r>
      <w:r w:rsidR="00D92EF0">
        <w:rPr>
          <w:rFonts w:ascii="Arial" w:hAnsi="Arial" w:cs="Arial"/>
        </w:rPr>
        <w:t>.</w:t>
      </w:r>
      <w:r w:rsidR="00F14234">
        <w:rPr>
          <w:rFonts w:ascii="Arial" w:hAnsi="Arial" w:cs="Arial"/>
        </w:rPr>
        <w:t xml:space="preserve"> </w:t>
      </w:r>
      <w:r w:rsidR="00D92EF0">
        <w:rPr>
          <w:rFonts w:ascii="Arial" w:hAnsi="Arial" w:cs="Arial"/>
        </w:rPr>
        <w:t xml:space="preserve">It traces their influence through </w:t>
      </w:r>
      <w:r w:rsidR="00D15348">
        <w:rPr>
          <w:rFonts w:ascii="Arial" w:hAnsi="Arial" w:cs="Arial"/>
        </w:rPr>
        <w:t>the balance of institutional logics evident</w:t>
      </w:r>
      <w:r>
        <w:rPr>
          <w:rFonts w:ascii="Arial" w:hAnsi="Arial" w:cs="Arial"/>
        </w:rPr>
        <w:t xml:space="preserve"> </w:t>
      </w:r>
      <w:r w:rsidR="00D92EF0">
        <w:rPr>
          <w:rFonts w:ascii="Arial" w:hAnsi="Arial" w:cs="Arial"/>
        </w:rPr>
        <w:t xml:space="preserve">before and after the unification of London </w:t>
      </w:r>
      <w:r w:rsidR="00D92EF0">
        <w:rPr>
          <w:rFonts w:ascii="Arial" w:hAnsi="Arial" w:cs="Arial"/>
        </w:rPr>
        <w:lastRenderedPageBreak/>
        <w:t>Transport as a hybrid organisation</w:t>
      </w:r>
      <w:r>
        <w:rPr>
          <w:rFonts w:ascii="Arial" w:hAnsi="Arial" w:cs="Arial"/>
        </w:rPr>
        <w:t xml:space="preserve">. </w:t>
      </w:r>
      <w:r w:rsidR="009C2CA6">
        <w:rPr>
          <w:rFonts w:ascii="Arial" w:hAnsi="Arial" w:cs="Arial"/>
        </w:rPr>
        <w:t>We</w:t>
      </w:r>
      <w:r>
        <w:rPr>
          <w:rFonts w:ascii="Arial" w:hAnsi="Arial" w:cs="Arial"/>
        </w:rPr>
        <w:t xml:space="preserve"> start with Stinchcombe’s (1965) proposition </w:t>
      </w:r>
      <w:r w:rsidR="009C2CA6">
        <w:rPr>
          <w:rFonts w:ascii="Arial" w:hAnsi="Arial" w:cs="Arial"/>
        </w:rPr>
        <w:t>that</w:t>
      </w:r>
      <w:r>
        <w:rPr>
          <w:rFonts w:ascii="Arial" w:hAnsi="Arial" w:cs="Arial"/>
        </w:rPr>
        <w:t xml:space="preserve"> distinct ‘spurts’ of rapid organisational transition which occur when the wider political consensus is disturbed. Disruptive historical contingencies </w:t>
      </w:r>
      <w:r w:rsidR="00D15348">
        <w:rPr>
          <w:rFonts w:ascii="Arial" w:hAnsi="Arial" w:cs="Arial"/>
        </w:rPr>
        <w:t>such as</w:t>
      </w:r>
      <w:r>
        <w:rPr>
          <w:rFonts w:ascii="Arial" w:hAnsi="Arial" w:cs="Arial"/>
        </w:rPr>
        <w:t xml:space="preserve"> democratic deficits and market failures act as accelerators </w:t>
      </w:r>
      <w:r w:rsidR="00D15348">
        <w:rPr>
          <w:rFonts w:ascii="Arial" w:hAnsi="Arial" w:cs="Arial"/>
        </w:rPr>
        <w:t xml:space="preserve">and influencers </w:t>
      </w:r>
      <w:r>
        <w:rPr>
          <w:rFonts w:ascii="Arial" w:hAnsi="Arial" w:cs="Arial"/>
        </w:rPr>
        <w:t xml:space="preserve">of </w:t>
      </w:r>
      <w:r w:rsidR="00D15348">
        <w:rPr>
          <w:rFonts w:ascii="Arial" w:hAnsi="Arial" w:cs="Arial"/>
        </w:rPr>
        <w:t xml:space="preserve">the timing and nature of </w:t>
      </w:r>
      <w:r>
        <w:rPr>
          <w:rFonts w:ascii="Arial" w:hAnsi="Arial" w:cs="Arial"/>
        </w:rPr>
        <w:t xml:space="preserve">changes in organisational form (Minkoff, 2002; Ruef, 2000; </w:t>
      </w:r>
      <w:proofErr w:type="spellStart"/>
      <w:r>
        <w:rPr>
          <w:rFonts w:ascii="Arial" w:hAnsi="Arial" w:cs="Arial"/>
        </w:rPr>
        <w:t>Sneiberg</w:t>
      </w:r>
      <w:proofErr w:type="spellEnd"/>
      <w:r>
        <w:rPr>
          <w:rFonts w:ascii="Arial" w:hAnsi="Arial" w:cs="Arial"/>
        </w:rPr>
        <w:t xml:space="preserve"> et al. 2008; Wadhwani, 2011). </w:t>
      </w:r>
      <w:r w:rsidR="00D15348">
        <w:rPr>
          <w:rFonts w:ascii="Arial" w:hAnsi="Arial" w:cs="Arial"/>
        </w:rPr>
        <w:t>I</w:t>
      </w:r>
      <w:r>
        <w:rPr>
          <w:rFonts w:ascii="Arial" w:hAnsi="Arial" w:cs="Arial"/>
        </w:rPr>
        <w:t xml:space="preserve">n this study we </w:t>
      </w:r>
      <w:r w:rsidR="00366114">
        <w:rPr>
          <w:rFonts w:ascii="Arial" w:hAnsi="Arial" w:cs="Arial"/>
        </w:rPr>
        <w:t xml:space="preserve">emphasise the importance of both democratic deficits and market failures </w:t>
      </w:r>
      <w:r w:rsidR="004D50EF">
        <w:rPr>
          <w:rFonts w:ascii="Arial" w:hAnsi="Arial" w:cs="Arial"/>
        </w:rPr>
        <w:t>in</w:t>
      </w:r>
      <w:r w:rsidR="00366114">
        <w:rPr>
          <w:rFonts w:ascii="Arial" w:hAnsi="Arial" w:cs="Arial"/>
        </w:rPr>
        <w:t xml:space="preserve"> the creation of hybrid organisations, but we </w:t>
      </w:r>
      <w:r>
        <w:rPr>
          <w:rFonts w:ascii="Arial" w:hAnsi="Arial" w:cs="Arial"/>
        </w:rPr>
        <w:t xml:space="preserve">draw </w:t>
      </w:r>
      <w:r w:rsidR="00366114">
        <w:rPr>
          <w:rFonts w:ascii="Arial" w:hAnsi="Arial" w:cs="Arial"/>
        </w:rPr>
        <w:t xml:space="preserve">what we see as </w:t>
      </w:r>
      <w:r>
        <w:rPr>
          <w:rFonts w:ascii="Arial" w:hAnsi="Arial" w:cs="Arial"/>
        </w:rPr>
        <w:t>a</w:t>
      </w:r>
      <w:r w:rsidR="00366114">
        <w:rPr>
          <w:rFonts w:ascii="Arial" w:hAnsi="Arial" w:cs="Arial"/>
        </w:rPr>
        <w:t>n important</w:t>
      </w:r>
      <w:r>
        <w:rPr>
          <w:rFonts w:ascii="Arial" w:hAnsi="Arial" w:cs="Arial"/>
        </w:rPr>
        <w:t xml:space="preserve"> distinction between hybrid organisations created as social enterprises </w:t>
      </w:r>
      <w:r w:rsidR="00366114">
        <w:rPr>
          <w:rFonts w:ascii="Arial" w:hAnsi="Arial" w:cs="Arial"/>
        </w:rPr>
        <w:t>and hybrids created as semi-independent government agencies. The former</w:t>
      </w:r>
      <w:r>
        <w:rPr>
          <w:rFonts w:ascii="Arial" w:hAnsi="Arial" w:cs="Arial"/>
        </w:rPr>
        <w:t xml:space="preserve"> </w:t>
      </w:r>
      <w:proofErr w:type="gramStart"/>
      <w:r>
        <w:rPr>
          <w:rFonts w:ascii="Arial" w:hAnsi="Arial" w:cs="Arial"/>
        </w:rPr>
        <w:t>integrat</w:t>
      </w:r>
      <w:r w:rsidR="00366114">
        <w:rPr>
          <w:rFonts w:ascii="Arial" w:hAnsi="Arial" w:cs="Arial"/>
        </w:rPr>
        <w:t>e</w:t>
      </w:r>
      <w:proofErr w:type="gramEnd"/>
      <w:r>
        <w:rPr>
          <w:rFonts w:ascii="Arial" w:hAnsi="Arial" w:cs="Arial"/>
        </w:rPr>
        <w:t xml:space="preserve"> the wider public into the process of organisational decision making (</w:t>
      </w:r>
      <w:proofErr w:type="spellStart"/>
      <w:r>
        <w:rPr>
          <w:rFonts w:ascii="Arial" w:hAnsi="Arial" w:cs="Arial"/>
        </w:rPr>
        <w:t>Battaliana</w:t>
      </w:r>
      <w:proofErr w:type="spellEnd"/>
      <w:r>
        <w:rPr>
          <w:rFonts w:ascii="Arial" w:hAnsi="Arial" w:cs="Arial"/>
        </w:rPr>
        <w:t xml:space="preserve"> &amp; Lee, 2014), and </w:t>
      </w:r>
      <w:r w:rsidR="00366114">
        <w:rPr>
          <w:rFonts w:ascii="Arial" w:hAnsi="Arial" w:cs="Arial"/>
        </w:rPr>
        <w:t xml:space="preserve">the latter </w:t>
      </w:r>
      <w:r>
        <w:rPr>
          <w:rFonts w:ascii="Arial" w:hAnsi="Arial" w:cs="Arial"/>
        </w:rPr>
        <w:t xml:space="preserve">limit or reduce popular influence in service provision (Van </w:t>
      </w:r>
      <w:proofErr w:type="spellStart"/>
      <w:r>
        <w:rPr>
          <w:rFonts w:ascii="Arial" w:hAnsi="Arial" w:cs="Arial"/>
        </w:rPr>
        <w:t>Thiel</w:t>
      </w:r>
      <w:proofErr w:type="spellEnd"/>
      <w:r>
        <w:rPr>
          <w:rFonts w:ascii="Arial" w:hAnsi="Arial" w:cs="Arial"/>
        </w:rPr>
        <w:t xml:space="preserve">, 2004). </w:t>
      </w:r>
      <w:r w:rsidR="00366114">
        <w:rPr>
          <w:rFonts w:ascii="Arial" w:hAnsi="Arial" w:cs="Arial"/>
        </w:rPr>
        <w:t>Through</w:t>
      </w:r>
      <w:r>
        <w:rPr>
          <w:rFonts w:ascii="Arial" w:hAnsi="Arial" w:cs="Arial"/>
        </w:rPr>
        <w:t xml:space="preserve"> this analysis, </w:t>
      </w:r>
      <w:r w:rsidR="00366114">
        <w:rPr>
          <w:rFonts w:ascii="Arial" w:hAnsi="Arial" w:cs="Arial"/>
        </w:rPr>
        <w:t xml:space="preserve">we characterise </w:t>
      </w:r>
      <w:r>
        <w:rPr>
          <w:rFonts w:ascii="Arial" w:hAnsi="Arial" w:cs="Arial"/>
        </w:rPr>
        <w:t>London Transport as a Quasi</w:t>
      </w:r>
      <w:r w:rsidR="00D07B12">
        <w:rPr>
          <w:rFonts w:ascii="Arial" w:hAnsi="Arial" w:cs="Arial"/>
        </w:rPr>
        <w:t>-</w:t>
      </w:r>
      <w:r>
        <w:rPr>
          <w:rFonts w:ascii="Arial" w:hAnsi="Arial" w:cs="Arial"/>
        </w:rPr>
        <w:t xml:space="preserve">Autonomous Non-Governmental Organisation (QUANGO) </w:t>
      </w:r>
      <w:proofErr w:type="gramStart"/>
      <w:r>
        <w:rPr>
          <w:rFonts w:ascii="Arial" w:hAnsi="Arial" w:cs="Arial"/>
        </w:rPr>
        <w:t>i.e.</w:t>
      </w:r>
      <w:proofErr w:type="gramEnd"/>
      <w:r>
        <w:rPr>
          <w:rFonts w:ascii="Arial" w:hAnsi="Arial" w:cs="Arial"/>
        </w:rPr>
        <w:t xml:space="preserve"> an arms-length government agency</w:t>
      </w:r>
      <w:r w:rsidRPr="002A09A7">
        <w:rPr>
          <w:rFonts w:ascii="Arial" w:hAnsi="Arial" w:cs="Arial"/>
        </w:rPr>
        <w:t xml:space="preserve"> </w:t>
      </w:r>
      <w:r>
        <w:rPr>
          <w:rFonts w:ascii="Arial" w:hAnsi="Arial" w:cs="Arial"/>
        </w:rPr>
        <w:t>whose purpose is to provide a social good normally associated with public institutions but without direct government responsibility or public involvement (</w:t>
      </w:r>
      <w:proofErr w:type="spellStart"/>
      <w:r>
        <w:rPr>
          <w:rFonts w:ascii="Arial" w:hAnsi="Arial" w:cs="Arial"/>
        </w:rPr>
        <w:t>Brandsen</w:t>
      </w:r>
      <w:proofErr w:type="spellEnd"/>
      <w:r>
        <w:rPr>
          <w:rFonts w:ascii="Arial" w:hAnsi="Arial" w:cs="Arial"/>
        </w:rPr>
        <w:t xml:space="preserve"> &amp; </w:t>
      </w:r>
      <w:proofErr w:type="spellStart"/>
      <w:r>
        <w:rPr>
          <w:rFonts w:ascii="Arial" w:hAnsi="Arial" w:cs="Arial"/>
        </w:rPr>
        <w:t>Karre</w:t>
      </w:r>
      <w:proofErr w:type="spellEnd"/>
      <w:r>
        <w:rPr>
          <w:rFonts w:ascii="Arial" w:hAnsi="Arial" w:cs="Arial"/>
        </w:rPr>
        <w:t xml:space="preserve">, 2011; Jay, 2013; Smith, 2010). </w:t>
      </w:r>
    </w:p>
    <w:p w14:paraId="75C07F2D" w14:textId="02B51FAD" w:rsidR="00F44900" w:rsidRPr="00EE4500" w:rsidRDefault="009C2CA6" w:rsidP="00EE4500">
      <w:pPr>
        <w:spacing w:after="0" w:line="480" w:lineRule="auto"/>
        <w:ind w:firstLine="720"/>
        <w:rPr>
          <w:rFonts w:ascii="Arial" w:hAnsi="Arial" w:cs="Arial"/>
        </w:rPr>
      </w:pPr>
      <w:r>
        <w:rPr>
          <w:rFonts w:ascii="Arial" w:hAnsi="Arial" w:cs="Arial"/>
        </w:rPr>
        <w:t>Havi</w:t>
      </w:r>
      <w:r w:rsidR="00D07B12">
        <w:rPr>
          <w:rFonts w:ascii="Arial" w:hAnsi="Arial" w:cs="Arial"/>
        </w:rPr>
        <w:t xml:space="preserve">ng established organisational form, </w:t>
      </w:r>
      <w:r>
        <w:rPr>
          <w:rFonts w:ascii="Arial" w:hAnsi="Arial" w:cs="Arial"/>
        </w:rPr>
        <w:t>we then employ i</w:t>
      </w:r>
      <w:r w:rsidR="001E5A87">
        <w:rPr>
          <w:rFonts w:ascii="Arial" w:hAnsi="Arial" w:cs="Arial"/>
        </w:rPr>
        <w:t>nstitutional logic</w:t>
      </w:r>
      <w:r>
        <w:rPr>
          <w:rFonts w:ascii="Arial" w:hAnsi="Arial" w:cs="Arial"/>
        </w:rPr>
        <w:t>s to tease out the detail of how the balance of influences changed before and after unification. Institutional logic</w:t>
      </w:r>
      <w:r w:rsidR="00A743C8">
        <w:rPr>
          <w:rFonts w:ascii="Arial" w:hAnsi="Arial" w:cs="Arial"/>
        </w:rPr>
        <w:t xml:space="preserve"> </w:t>
      </w:r>
      <w:r w:rsidR="001E5A87">
        <w:rPr>
          <w:rFonts w:ascii="Arial" w:hAnsi="Arial" w:cs="Arial"/>
        </w:rPr>
        <w:t>has four underlying assumptions which make it useful in discussing hybridity</w:t>
      </w:r>
      <w:r w:rsidR="002451A8">
        <w:rPr>
          <w:rFonts w:ascii="Arial" w:hAnsi="Arial" w:cs="Arial"/>
        </w:rPr>
        <w:t xml:space="preserve"> in the manner adopted by this study</w:t>
      </w:r>
      <w:r w:rsidR="001E5A87">
        <w:rPr>
          <w:rFonts w:ascii="Arial" w:hAnsi="Arial" w:cs="Arial"/>
        </w:rPr>
        <w:t>: First</w:t>
      </w:r>
      <w:r w:rsidR="002451A8">
        <w:rPr>
          <w:rFonts w:ascii="Arial" w:hAnsi="Arial" w:cs="Arial"/>
        </w:rPr>
        <w:t>ly</w:t>
      </w:r>
      <w:r w:rsidR="007E0BE4">
        <w:rPr>
          <w:rFonts w:ascii="Arial" w:hAnsi="Arial" w:cs="Arial"/>
        </w:rPr>
        <w:t>,</w:t>
      </w:r>
      <w:r w:rsidR="001E5A87">
        <w:rPr>
          <w:rFonts w:ascii="Arial" w:hAnsi="Arial" w:cs="Arial"/>
        </w:rPr>
        <w:t xml:space="preserve"> it </w:t>
      </w:r>
      <w:r w:rsidR="00A743C8">
        <w:rPr>
          <w:rFonts w:ascii="Arial" w:hAnsi="Arial" w:cs="Arial"/>
        </w:rPr>
        <w:t>disputes the primacy of rational choice</w:t>
      </w:r>
      <w:r w:rsidR="007E0BE4">
        <w:rPr>
          <w:rFonts w:ascii="Arial" w:hAnsi="Arial" w:cs="Arial"/>
        </w:rPr>
        <w:t>.</w:t>
      </w:r>
      <w:r w:rsidR="00A743C8">
        <w:rPr>
          <w:rFonts w:ascii="Arial" w:hAnsi="Arial" w:cs="Arial"/>
        </w:rPr>
        <w:t xml:space="preserve"> </w:t>
      </w:r>
      <w:r w:rsidR="007E0BE4">
        <w:rPr>
          <w:rFonts w:ascii="Arial" w:hAnsi="Arial" w:cs="Arial"/>
        </w:rPr>
        <w:t>It</w:t>
      </w:r>
      <w:r w:rsidR="001E5A87">
        <w:rPr>
          <w:rFonts w:ascii="Arial" w:hAnsi="Arial" w:cs="Arial"/>
        </w:rPr>
        <w:t xml:space="preserve"> allows actors</w:t>
      </w:r>
      <w:r w:rsidR="00A743C8">
        <w:rPr>
          <w:rFonts w:ascii="Arial" w:hAnsi="Arial" w:cs="Arial"/>
        </w:rPr>
        <w:t xml:space="preserve"> partial aut</w:t>
      </w:r>
      <w:r w:rsidR="001E5A87">
        <w:rPr>
          <w:rFonts w:ascii="Arial" w:hAnsi="Arial" w:cs="Arial"/>
        </w:rPr>
        <w:t>o</w:t>
      </w:r>
      <w:r w:rsidR="00A743C8">
        <w:rPr>
          <w:rFonts w:ascii="Arial" w:hAnsi="Arial" w:cs="Arial"/>
        </w:rPr>
        <w:t xml:space="preserve">nomy and </w:t>
      </w:r>
      <w:r w:rsidR="001E5A87">
        <w:rPr>
          <w:rFonts w:ascii="Arial" w:hAnsi="Arial" w:cs="Arial"/>
        </w:rPr>
        <w:t>seeks to explain their actions through bounded</w:t>
      </w:r>
      <w:r w:rsidR="00A743C8">
        <w:rPr>
          <w:rFonts w:ascii="Arial" w:hAnsi="Arial" w:cs="Arial"/>
        </w:rPr>
        <w:t xml:space="preserve"> intentions</w:t>
      </w:r>
      <w:r w:rsidR="001E5A87">
        <w:rPr>
          <w:rFonts w:ascii="Arial" w:hAnsi="Arial" w:cs="Arial"/>
        </w:rPr>
        <w:t xml:space="preserve"> rather than bounded rationality</w:t>
      </w:r>
      <w:r w:rsidR="002451A8">
        <w:rPr>
          <w:rFonts w:ascii="Arial" w:hAnsi="Arial" w:cs="Arial"/>
        </w:rPr>
        <w:t>.</w:t>
      </w:r>
      <w:r w:rsidR="00C665D9">
        <w:rPr>
          <w:rFonts w:ascii="Arial" w:hAnsi="Arial" w:cs="Arial"/>
        </w:rPr>
        <w:t xml:space="preserve"> </w:t>
      </w:r>
      <w:r w:rsidR="00C665D9" w:rsidRPr="00C665D9">
        <w:rPr>
          <w:rFonts w:ascii="Arial" w:hAnsi="Arial" w:cs="Arial"/>
          <w:color w:val="2F5496" w:themeColor="accent1" w:themeShade="BF"/>
        </w:rPr>
        <w:t xml:space="preserve">Bounded intentions take into account not just cognitive </w:t>
      </w:r>
      <w:r w:rsidR="00635CCE">
        <w:rPr>
          <w:rFonts w:ascii="Arial" w:hAnsi="Arial" w:cs="Arial"/>
          <w:color w:val="2F5496" w:themeColor="accent1" w:themeShade="BF"/>
        </w:rPr>
        <w:t>restraints</w:t>
      </w:r>
      <w:r w:rsidR="00C665D9" w:rsidRPr="00C665D9">
        <w:rPr>
          <w:rFonts w:ascii="Arial" w:hAnsi="Arial" w:cs="Arial"/>
          <w:color w:val="2F5496" w:themeColor="accent1" w:themeShade="BF"/>
        </w:rPr>
        <w:t xml:space="preserve"> as per </w:t>
      </w:r>
      <w:r w:rsidR="00635CCE">
        <w:rPr>
          <w:rFonts w:ascii="Arial" w:hAnsi="Arial" w:cs="Arial"/>
          <w:color w:val="2F5496" w:themeColor="accent1" w:themeShade="BF"/>
        </w:rPr>
        <w:t xml:space="preserve">the limitations of </w:t>
      </w:r>
      <w:r w:rsidR="00C665D9" w:rsidRPr="00C665D9">
        <w:rPr>
          <w:rFonts w:ascii="Arial" w:hAnsi="Arial" w:cs="Arial"/>
          <w:color w:val="2F5496" w:themeColor="accent1" w:themeShade="BF"/>
        </w:rPr>
        <w:t>rationality</w:t>
      </w:r>
      <w:r w:rsidR="00C665D9">
        <w:rPr>
          <w:rFonts w:ascii="Arial" w:hAnsi="Arial" w:cs="Arial"/>
          <w:color w:val="2F5496" w:themeColor="accent1" w:themeShade="BF"/>
        </w:rPr>
        <w:t>, but also the parameters to behaviour imposed by individuals’ goals and identities. These accentuate the role of political influence</w:t>
      </w:r>
      <w:r w:rsidR="00EE4500">
        <w:rPr>
          <w:rFonts w:ascii="Arial" w:hAnsi="Arial" w:cs="Arial"/>
          <w:color w:val="2F5496" w:themeColor="accent1" w:themeShade="BF"/>
        </w:rPr>
        <w:t>s</w:t>
      </w:r>
      <w:r w:rsidR="00C665D9">
        <w:rPr>
          <w:rFonts w:ascii="Arial" w:hAnsi="Arial" w:cs="Arial"/>
          <w:color w:val="2F5496" w:themeColor="accent1" w:themeShade="BF"/>
        </w:rPr>
        <w:t xml:space="preserve">. </w:t>
      </w:r>
      <w:r w:rsidR="002451A8">
        <w:rPr>
          <w:rFonts w:ascii="Arial" w:hAnsi="Arial" w:cs="Arial"/>
        </w:rPr>
        <w:t>Secondly, it allows for micro analysis at the organisational level. Thirdly, it allows the integration of symbolic and material evidence found in archives</w:t>
      </w:r>
      <w:r w:rsidR="00C665D9">
        <w:rPr>
          <w:rFonts w:ascii="Arial" w:hAnsi="Arial" w:cs="Arial"/>
        </w:rPr>
        <w:t xml:space="preserve">. </w:t>
      </w:r>
      <w:r w:rsidR="00C665D9" w:rsidRPr="005F670A">
        <w:rPr>
          <w:rFonts w:ascii="Arial" w:hAnsi="Arial" w:cs="Arial"/>
          <w:color w:val="2F5496" w:themeColor="accent1" w:themeShade="BF"/>
        </w:rPr>
        <w:t xml:space="preserve">Hybrid organisations fulfil social and economic </w:t>
      </w:r>
      <w:r w:rsidR="005F670A">
        <w:rPr>
          <w:rFonts w:ascii="Arial" w:hAnsi="Arial" w:cs="Arial"/>
          <w:color w:val="2F5496" w:themeColor="accent1" w:themeShade="BF"/>
        </w:rPr>
        <w:t>roles</w:t>
      </w:r>
      <w:r w:rsidR="00C665D9" w:rsidRPr="005F670A">
        <w:rPr>
          <w:rFonts w:ascii="Arial" w:hAnsi="Arial" w:cs="Arial"/>
          <w:color w:val="2F5496" w:themeColor="accent1" w:themeShade="BF"/>
        </w:rPr>
        <w:t xml:space="preserve"> and</w:t>
      </w:r>
      <w:r w:rsidR="005F670A">
        <w:rPr>
          <w:rFonts w:ascii="Arial" w:hAnsi="Arial" w:cs="Arial"/>
          <w:color w:val="2F5496" w:themeColor="accent1" w:themeShade="BF"/>
        </w:rPr>
        <w:t xml:space="preserve"> therefore</w:t>
      </w:r>
      <w:r w:rsidR="00C665D9" w:rsidRPr="005F670A">
        <w:rPr>
          <w:rFonts w:ascii="Arial" w:hAnsi="Arial" w:cs="Arial"/>
          <w:color w:val="2F5496" w:themeColor="accent1" w:themeShade="BF"/>
        </w:rPr>
        <w:t xml:space="preserve"> </w:t>
      </w:r>
      <w:r w:rsidR="005F670A">
        <w:rPr>
          <w:rFonts w:ascii="Arial" w:hAnsi="Arial" w:cs="Arial"/>
          <w:color w:val="2F5496" w:themeColor="accent1" w:themeShade="BF"/>
        </w:rPr>
        <w:t>leave behind both qualitative and factual evidence in the records they generate. W</w:t>
      </w:r>
      <w:r w:rsidR="00C665D9" w:rsidRPr="005F670A">
        <w:rPr>
          <w:rFonts w:ascii="Arial" w:hAnsi="Arial" w:cs="Arial"/>
          <w:color w:val="2F5496" w:themeColor="accent1" w:themeShade="BF"/>
        </w:rPr>
        <w:t>e argue that</w:t>
      </w:r>
      <w:r w:rsidR="005F670A">
        <w:rPr>
          <w:rFonts w:ascii="Arial" w:hAnsi="Arial" w:cs="Arial"/>
          <w:color w:val="2F5496" w:themeColor="accent1" w:themeShade="BF"/>
        </w:rPr>
        <w:t xml:space="preserve"> interpreting that evidence requires a framework that accounts for both functions.</w:t>
      </w:r>
      <w:r w:rsidR="00C665D9" w:rsidRPr="005F670A">
        <w:rPr>
          <w:rFonts w:ascii="Arial" w:hAnsi="Arial" w:cs="Arial"/>
          <w:color w:val="2F5496" w:themeColor="accent1" w:themeShade="BF"/>
        </w:rPr>
        <w:t xml:space="preserve"> </w:t>
      </w:r>
      <w:r w:rsidR="00C665D9">
        <w:rPr>
          <w:rFonts w:ascii="Arial" w:hAnsi="Arial" w:cs="Arial"/>
        </w:rPr>
        <w:t>F</w:t>
      </w:r>
      <w:r w:rsidR="002451A8">
        <w:rPr>
          <w:rFonts w:ascii="Arial" w:hAnsi="Arial" w:cs="Arial"/>
        </w:rPr>
        <w:t>ourthly</w:t>
      </w:r>
      <w:r w:rsidR="005F670A">
        <w:rPr>
          <w:rFonts w:ascii="Arial" w:hAnsi="Arial" w:cs="Arial"/>
        </w:rPr>
        <w:t>,</w:t>
      </w:r>
      <w:r w:rsidR="002451A8">
        <w:rPr>
          <w:rFonts w:ascii="Arial" w:hAnsi="Arial" w:cs="Arial"/>
        </w:rPr>
        <w:t xml:space="preserve"> it accepts historical contingency</w:t>
      </w:r>
      <w:r w:rsidR="00EA3501">
        <w:rPr>
          <w:rFonts w:ascii="Arial" w:hAnsi="Arial" w:cs="Arial"/>
        </w:rPr>
        <w:t xml:space="preserve"> whilst conceding </w:t>
      </w:r>
      <w:r w:rsidR="00EA3501">
        <w:rPr>
          <w:rFonts w:ascii="Arial" w:hAnsi="Arial" w:cs="Arial"/>
        </w:rPr>
        <w:lastRenderedPageBreak/>
        <w:t>that relatively little research has been done in this area</w:t>
      </w:r>
      <w:r w:rsidR="001E5A87">
        <w:rPr>
          <w:rFonts w:ascii="Arial" w:hAnsi="Arial" w:cs="Arial"/>
        </w:rPr>
        <w:t xml:space="preserve"> (Thornton et al. 2012).</w:t>
      </w:r>
      <w:r w:rsidR="00880DFA">
        <w:rPr>
          <w:rFonts w:ascii="Arial" w:hAnsi="Arial" w:cs="Arial"/>
        </w:rPr>
        <w:t xml:space="preserve"> </w:t>
      </w:r>
      <w:r w:rsidR="00893260">
        <w:rPr>
          <w:rFonts w:ascii="Arial" w:hAnsi="Arial" w:cs="Arial"/>
        </w:rPr>
        <w:t>In summary</w:t>
      </w:r>
      <w:r w:rsidR="004D50EF">
        <w:rPr>
          <w:rFonts w:ascii="Arial" w:hAnsi="Arial" w:cs="Arial"/>
        </w:rPr>
        <w:t>,</w:t>
      </w:r>
      <w:r w:rsidR="00802565">
        <w:rPr>
          <w:rFonts w:ascii="Arial" w:hAnsi="Arial" w:cs="Arial"/>
        </w:rPr>
        <w:t xml:space="preserve"> t</w:t>
      </w:r>
      <w:r w:rsidR="004D6F60">
        <w:rPr>
          <w:rFonts w:ascii="Arial" w:hAnsi="Arial" w:cs="Arial"/>
        </w:rPr>
        <w:t xml:space="preserve">his paper </w:t>
      </w:r>
      <w:r w:rsidR="00893260">
        <w:rPr>
          <w:rFonts w:ascii="Arial" w:hAnsi="Arial" w:cs="Arial"/>
        </w:rPr>
        <w:t xml:space="preserve">finds theories driven by mimetics or economic data to be incomplete explanations of </w:t>
      </w:r>
      <w:r w:rsidR="00AB5454">
        <w:rPr>
          <w:rFonts w:ascii="Arial" w:hAnsi="Arial" w:cs="Arial"/>
        </w:rPr>
        <w:t xml:space="preserve">both the creation and the nature of </w:t>
      </w:r>
      <w:r w:rsidR="00893260">
        <w:rPr>
          <w:rFonts w:ascii="Arial" w:hAnsi="Arial" w:cs="Arial"/>
        </w:rPr>
        <w:t>hybrid</w:t>
      </w:r>
      <w:r w:rsidR="00AB5454">
        <w:rPr>
          <w:rFonts w:ascii="Arial" w:hAnsi="Arial" w:cs="Arial"/>
        </w:rPr>
        <w:t xml:space="preserve"> organisations</w:t>
      </w:r>
      <w:r w:rsidR="00893260">
        <w:rPr>
          <w:rFonts w:ascii="Arial" w:hAnsi="Arial" w:cs="Arial"/>
        </w:rPr>
        <w:t>. Instead</w:t>
      </w:r>
      <w:r w:rsidR="00AB5454">
        <w:rPr>
          <w:rFonts w:ascii="Arial" w:hAnsi="Arial" w:cs="Arial"/>
        </w:rPr>
        <w:t>,</w:t>
      </w:r>
      <w:r w:rsidR="00893260">
        <w:rPr>
          <w:rFonts w:ascii="Arial" w:hAnsi="Arial" w:cs="Arial"/>
        </w:rPr>
        <w:t xml:space="preserve"> </w:t>
      </w:r>
      <w:r w:rsidR="00AB5454">
        <w:rPr>
          <w:rFonts w:ascii="Arial" w:hAnsi="Arial" w:cs="Arial"/>
        </w:rPr>
        <w:t>we</w:t>
      </w:r>
      <w:r w:rsidR="00893260">
        <w:rPr>
          <w:rFonts w:ascii="Arial" w:hAnsi="Arial" w:cs="Arial"/>
        </w:rPr>
        <w:t xml:space="preserve"> </w:t>
      </w:r>
      <w:r w:rsidR="00585663">
        <w:rPr>
          <w:rFonts w:ascii="Arial" w:hAnsi="Arial" w:cs="Arial"/>
        </w:rPr>
        <w:t xml:space="preserve">privilege </w:t>
      </w:r>
      <w:r w:rsidR="00893260">
        <w:rPr>
          <w:rFonts w:ascii="Arial" w:hAnsi="Arial" w:cs="Arial"/>
        </w:rPr>
        <w:t xml:space="preserve">a historically contingent and </w:t>
      </w:r>
      <w:r w:rsidR="00585663">
        <w:rPr>
          <w:rFonts w:ascii="Arial" w:hAnsi="Arial" w:cs="Arial"/>
        </w:rPr>
        <w:t xml:space="preserve">political </w:t>
      </w:r>
      <w:r w:rsidR="00802565">
        <w:rPr>
          <w:rFonts w:ascii="Arial" w:hAnsi="Arial" w:cs="Arial"/>
        </w:rPr>
        <w:t>explanation</w:t>
      </w:r>
      <w:r w:rsidR="00893260">
        <w:rPr>
          <w:rFonts w:ascii="Arial" w:hAnsi="Arial" w:cs="Arial"/>
        </w:rPr>
        <w:t xml:space="preserve"> via institutional logics, charting how a</w:t>
      </w:r>
      <w:r w:rsidR="00150B3A">
        <w:rPr>
          <w:rFonts w:ascii="Arial" w:hAnsi="Arial" w:cs="Arial"/>
        </w:rPr>
        <w:t xml:space="preserve"> combination of </w:t>
      </w:r>
      <w:r w:rsidR="004D6F60">
        <w:rPr>
          <w:rFonts w:ascii="Arial" w:hAnsi="Arial" w:cs="Arial"/>
        </w:rPr>
        <w:t>democratic deficit</w:t>
      </w:r>
      <w:r w:rsidR="00150B3A">
        <w:rPr>
          <w:rFonts w:ascii="Arial" w:hAnsi="Arial" w:cs="Arial"/>
        </w:rPr>
        <w:t xml:space="preserve"> and</w:t>
      </w:r>
      <w:r w:rsidR="004D6F60">
        <w:rPr>
          <w:rFonts w:ascii="Arial" w:hAnsi="Arial" w:cs="Arial"/>
        </w:rPr>
        <w:t xml:space="preserve"> market failure </w:t>
      </w:r>
      <w:r w:rsidR="00150B3A">
        <w:rPr>
          <w:rFonts w:ascii="Arial" w:hAnsi="Arial" w:cs="Arial"/>
        </w:rPr>
        <w:t>gave rise to a new balance of state and market logics</w:t>
      </w:r>
      <w:r w:rsidR="00893260">
        <w:rPr>
          <w:rFonts w:ascii="Arial" w:hAnsi="Arial" w:cs="Arial"/>
        </w:rPr>
        <w:t xml:space="preserve"> in a particular organisation.</w:t>
      </w:r>
    </w:p>
    <w:p w14:paraId="33939E2F" w14:textId="0C08B08D" w:rsidR="0036670E" w:rsidRPr="00F44900" w:rsidRDefault="00B079E8" w:rsidP="0036670E">
      <w:pPr>
        <w:autoSpaceDE w:val="0"/>
        <w:autoSpaceDN w:val="0"/>
        <w:adjustRightInd w:val="0"/>
        <w:spacing w:after="0" w:line="480" w:lineRule="auto"/>
        <w:rPr>
          <w:rFonts w:ascii="Arial" w:hAnsi="Arial" w:cs="Arial"/>
          <w:b/>
          <w:bCs/>
          <w:i/>
          <w:iCs/>
        </w:rPr>
      </w:pPr>
      <w:r>
        <w:rPr>
          <w:rFonts w:ascii="Arial" w:hAnsi="Arial" w:cs="Arial"/>
          <w:b/>
          <w:bCs/>
          <w:i/>
          <w:iCs/>
        </w:rPr>
        <w:t>T</w:t>
      </w:r>
      <w:r w:rsidR="00C30419" w:rsidRPr="00F44900">
        <w:rPr>
          <w:rFonts w:ascii="Arial" w:hAnsi="Arial" w:cs="Arial"/>
          <w:b/>
          <w:bCs/>
          <w:i/>
          <w:iCs/>
        </w:rPr>
        <w:t xml:space="preserve">he </w:t>
      </w:r>
      <w:r>
        <w:rPr>
          <w:rFonts w:ascii="Arial" w:hAnsi="Arial" w:cs="Arial"/>
          <w:b/>
          <w:bCs/>
          <w:i/>
          <w:iCs/>
        </w:rPr>
        <w:t>u</w:t>
      </w:r>
      <w:r w:rsidR="00C30419" w:rsidRPr="00F44900">
        <w:rPr>
          <w:rFonts w:ascii="Arial" w:hAnsi="Arial" w:cs="Arial"/>
          <w:b/>
          <w:bCs/>
          <w:i/>
          <w:iCs/>
        </w:rPr>
        <w:t xml:space="preserve">nification of </w:t>
      </w:r>
      <w:r>
        <w:rPr>
          <w:rFonts w:ascii="Arial" w:hAnsi="Arial" w:cs="Arial"/>
          <w:b/>
          <w:bCs/>
          <w:i/>
          <w:iCs/>
        </w:rPr>
        <w:t>t</w:t>
      </w:r>
      <w:r w:rsidR="00C30419" w:rsidRPr="00F44900">
        <w:rPr>
          <w:rFonts w:ascii="Arial" w:hAnsi="Arial" w:cs="Arial"/>
          <w:b/>
          <w:bCs/>
          <w:i/>
          <w:iCs/>
        </w:rPr>
        <w:t>ransport in London</w:t>
      </w:r>
    </w:p>
    <w:p w14:paraId="59D39657" w14:textId="7DF32BC2" w:rsidR="0074243E" w:rsidRDefault="00EB0A16" w:rsidP="00984091">
      <w:pPr>
        <w:spacing w:after="0" w:line="480" w:lineRule="auto"/>
        <w:rPr>
          <w:rFonts w:ascii="Arial" w:hAnsi="Arial" w:cs="Arial"/>
          <w:color w:val="2F5496" w:themeColor="accent1" w:themeShade="BF"/>
        </w:rPr>
      </w:pPr>
      <w:r>
        <w:rPr>
          <w:rFonts w:ascii="Arial" w:hAnsi="Arial" w:cs="Arial"/>
        </w:rPr>
        <w:t>Almost all historical</w:t>
      </w:r>
      <w:r w:rsidR="00E75BE7">
        <w:rPr>
          <w:rFonts w:ascii="Arial" w:hAnsi="Arial" w:cs="Arial"/>
        </w:rPr>
        <w:t xml:space="preserve"> </w:t>
      </w:r>
      <w:r w:rsidR="005C4918">
        <w:rPr>
          <w:rFonts w:ascii="Arial" w:hAnsi="Arial" w:cs="Arial"/>
        </w:rPr>
        <w:t xml:space="preserve">accounts </w:t>
      </w:r>
      <w:r>
        <w:rPr>
          <w:rFonts w:ascii="Arial" w:hAnsi="Arial" w:cs="Arial"/>
        </w:rPr>
        <w:t>of the unification London’s transport e</w:t>
      </w:r>
      <w:r w:rsidR="005C4918">
        <w:rPr>
          <w:rFonts w:ascii="Arial" w:hAnsi="Arial" w:cs="Arial"/>
        </w:rPr>
        <w:t>xplain the move</w:t>
      </w:r>
      <w:r w:rsidR="00150EC0">
        <w:rPr>
          <w:rFonts w:ascii="Arial" w:hAnsi="Arial" w:cs="Arial"/>
        </w:rPr>
        <w:t xml:space="preserve"> </w:t>
      </w:r>
      <w:r w:rsidR="005C4918">
        <w:rPr>
          <w:rFonts w:ascii="Arial" w:hAnsi="Arial" w:cs="Arial"/>
        </w:rPr>
        <w:t>as a desire for efficiency</w:t>
      </w:r>
      <w:r>
        <w:rPr>
          <w:rFonts w:ascii="Arial" w:hAnsi="Arial" w:cs="Arial"/>
        </w:rPr>
        <w:t xml:space="preserve"> </w:t>
      </w:r>
      <w:r w:rsidR="0036670E">
        <w:rPr>
          <w:rFonts w:ascii="Arial" w:hAnsi="Arial" w:cs="Arial"/>
        </w:rPr>
        <w:t>(Barker &amp; Robbins, 197</w:t>
      </w:r>
      <w:r w:rsidR="008A59E7">
        <w:rPr>
          <w:rFonts w:ascii="Arial" w:hAnsi="Arial" w:cs="Arial"/>
        </w:rPr>
        <w:t>6</w:t>
      </w:r>
      <w:r>
        <w:rPr>
          <w:rFonts w:ascii="Arial" w:hAnsi="Arial" w:cs="Arial"/>
        </w:rPr>
        <w:t xml:space="preserve">; Gordon, 1938; </w:t>
      </w:r>
      <w:r w:rsidR="00A06697" w:rsidRPr="005F670A">
        <w:rPr>
          <w:rFonts w:ascii="Arial" w:hAnsi="Arial" w:cs="Arial"/>
          <w:color w:val="2F5496" w:themeColor="accent1" w:themeShade="BF"/>
        </w:rPr>
        <w:t xml:space="preserve">Croome &amp; </w:t>
      </w:r>
      <w:r w:rsidRPr="005F670A">
        <w:rPr>
          <w:rFonts w:ascii="Arial" w:hAnsi="Arial" w:cs="Arial"/>
          <w:color w:val="2F5496" w:themeColor="accent1" w:themeShade="BF"/>
        </w:rPr>
        <w:t xml:space="preserve">Jackson, 1993; </w:t>
      </w:r>
      <w:r>
        <w:rPr>
          <w:rFonts w:ascii="Arial" w:hAnsi="Arial" w:cs="Arial"/>
        </w:rPr>
        <w:t>Lloyd-Wilson, 1939; Morrison, 1933</w:t>
      </w:r>
      <w:r w:rsidR="0036670E">
        <w:rPr>
          <w:rFonts w:ascii="Arial" w:hAnsi="Arial" w:cs="Arial"/>
        </w:rPr>
        <w:t>).</w:t>
      </w:r>
      <w:r>
        <w:rPr>
          <w:rFonts w:ascii="Arial" w:hAnsi="Arial" w:cs="Arial"/>
        </w:rPr>
        <w:t xml:space="preserve"> </w:t>
      </w:r>
      <w:r w:rsidR="005C4918">
        <w:rPr>
          <w:rFonts w:ascii="Arial" w:hAnsi="Arial" w:cs="Arial"/>
        </w:rPr>
        <w:t xml:space="preserve">In doing so they have </w:t>
      </w:r>
      <w:r>
        <w:rPr>
          <w:rFonts w:ascii="Arial" w:hAnsi="Arial" w:cs="Arial"/>
        </w:rPr>
        <w:t>much</w:t>
      </w:r>
      <w:r w:rsidR="005C4918">
        <w:rPr>
          <w:rFonts w:ascii="Arial" w:hAnsi="Arial" w:cs="Arial"/>
        </w:rPr>
        <w:t xml:space="preserve"> in common with more recent attempts to </w:t>
      </w:r>
      <w:r w:rsidR="000B6A79">
        <w:rPr>
          <w:rFonts w:ascii="Arial" w:hAnsi="Arial" w:cs="Arial"/>
        </w:rPr>
        <w:t xml:space="preserve">explain hybrids as rational choices by </w:t>
      </w:r>
      <w:r w:rsidR="005C4918">
        <w:rPr>
          <w:rFonts w:ascii="Arial" w:hAnsi="Arial" w:cs="Arial"/>
        </w:rPr>
        <w:t>assess</w:t>
      </w:r>
      <w:r w:rsidR="000B6A79">
        <w:rPr>
          <w:rFonts w:ascii="Arial" w:hAnsi="Arial" w:cs="Arial"/>
        </w:rPr>
        <w:t>ing</w:t>
      </w:r>
      <w:r w:rsidR="005C4918">
        <w:rPr>
          <w:rFonts w:ascii="Arial" w:hAnsi="Arial" w:cs="Arial"/>
        </w:rPr>
        <w:t xml:space="preserve"> the performance of public services ‘before and after’ the introduction of a hybrid monopoly</w:t>
      </w:r>
      <w:r w:rsidR="000B6A79">
        <w:rPr>
          <w:rFonts w:ascii="Arial" w:hAnsi="Arial" w:cs="Arial"/>
        </w:rPr>
        <w:t>.</w:t>
      </w:r>
      <w:r w:rsidR="005C4918">
        <w:rPr>
          <w:rFonts w:ascii="Arial" w:hAnsi="Arial" w:cs="Arial"/>
        </w:rPr>
        <w:t xml:space="preserve"> </w:t>
      </w:r>
      <w:r w:rsidR="0036670E">
        <w:rPr>
          <w:rFonts w:ascii="Arial" w:hAnsi="Arial" w:cs="Arial"/>
        </w:rPr>
        <w:t>Barker</w:t>
      </w:r>
      <w:r w:rsidR="005C4918">
        <w:rPr>
          <w:rFonts w:ascii="Arial" w:hAnsi="Arial" w:cs="Arial"/>
        </w:rPr>
        <w:t xml:space="preserve">, Gordon, </w:t>
      </w:r>
      <w:r w:rsidR="0036670E">
        <w:rPr>
          <w:rFonts w:ascii="Arial" w:hAnsi="Arial" w:cs="Arial"/>
        </w:rPr>
        <w:t xml:space="preserve">Jackson’s </w:t>
      </w:r>
      <w:r w:rsidR="00236261">
        <w:rPr>
          <w:rFonts w:ascii="Arial" w:hAnsi="Arial" w:cs="Arial"/>
        </w:rPr>
        <w:t xml:space="preserve">and Morrison’s </w:t>
      </w:r>
      <w:r w:rsidR="0036670E">
        <w:rPr>
          <w:rFonts w:ascii="Arial" w:hAnsi="Arial" w:cs="Arial"/>
        </w:rPr>
        <w:t xml:space="preserve">monographs </w:t>
      </w:r>
      <w:r w:rsidR="00236261">
        <w:rPr>
          <w:rFonts w:ascii="Arial" w:hAnsi="Arial" w:cs="Arial"/>
        </w:rPr>
        <w:t>and articles</w:t>
      </w:r>
      <w:r>
        <w:rPr>
          <w:rFonts w:ascii="Arial" w:hAnsi="Arial" w:cs="Arial"/>
        </w:rPr>
        <w:t xml:space="preserve"> all d</w:t>
      </w:r>
      <w:r w:rsidR="0036670E">
        <w:rPr>
          <w:rFonts w:ascii="Arial" w:hAnsi="Arial" w:cs="Arial"/>
        </w:rPr>
        <w:t xml:space="preserve">raw heavily on the </w:t>
      </w:r>
      <w:r>
        <w:rPr>
          <w:rFonts w:ascii="Arial" w:hAnsi="Arial" w:cs="Arial"/>
        </w:rPr>
        <w:t xml:space="preserve">1924 </w:t>
      </w:r>
      <w:r w:rsidR="0036670E">
        <w:rPr>
          <w:rFonts w:ascii="Arial" w:hAnsi="Arial" w:cs="Arial"/>
        </w:rPr>
        <w:t xml:space="preserve">‘Pirate </w:t>
      </w:r>
      <w:proofErr w:type="spellStart"/>
      <w:r w:rsidR="0036670E">
        <w:rPr>
          <w:rFonts w:ascii="Arial" w:hAnsi="Arial" w:cs="Arial"/>
        </w:rPr>
        <w:t>Bus’</w:t>
      </w:r>
      <w:proofErr w:type="spellEnd"/>
      <w:r>
        <w:rPr>
          <w:rFonts w:ascii="Arial" w:hAnsi="Arial" w:cs="Arial"/>
        </w:rPr>
        <w:t xml:space="preserve"> crisis to</w:t>
      </w:r>
      <w:r w:rsidR="0036670E">
        <w:rPr>
          <w:rFonts w:ascii="Arial" w:hAnsi="Arial" w:cs="Arial"/>
        </w:rPr>
        <w:t xml:space="preserve"> </w:t>
      </w:r>
      <w:r w:rsidR="00051182">
        <w:rPr>
          <w:rFonts w:ascii="Arial" w:hAnsi="Arial" w:cs="Arial"/>
        </w:rPr>
        <w:t>attack</w:t>
      </w:r>
      <w:r w:rsidR="0036670E">
        <w:rPr>
          <w:rFonts w:ascii="Arial" w:hAnsi="Arial" w:cs="Arial"/>
        </w:rPr>
        <w:t xml:space="preserve"> the </w:t>
      </w:r>
      <w:r>
        <w:rPr>
          <w:rFonts w:ascii="Arial" w:hAnsi="Arial" w:cs="Arial"/>
        </w:rPr>
        <w:t>market logic</w:t>
      </w:r>
      <w:r w:rsidR="00C5185B">
        <w:rPr>
          <w:rFonts w:ascii="Arial" w:hAnsi="Arial" w:cs="Arial"/>
        </w:rPr>
        <w:t xml:space="preserve"> of </w:t>
      </w:r>
      <w:r w:rsidR="00051182">
        <w:rPr>
          <w:rFonts w:ascii="Arial" w:hAnsi="Arial" w:cs="Arial"/>
        </w:rPr>
        <w:t xml:space="preserve">competitive </w:t>
      </w:r>
      <w:r w:rsidR="0036670E">
        <w:rPr>
          <w:rFonts w:ascii="Arial" w:hAnsi="Arial" w:cs="Arial"/>
        </w:rPr>
        <w:t>transport provision</w:t>
      </w:r>
      <w:r w:rsidR="00051182">
        <w:rPr>
          <w:rFonts w:ascii="Arial" w:hAnsi="Arial" w:cs="Arial"/>
        </w:rPr>
        <w:t xml:space="preserve"> as wasteful</w:t>
      </w:r>
      <w:r w:rsidR="00C5185B">
        <w:rPr>
          <w:rFonts w:ascii="Arial" w:hAnsi="Arial" w:cs="Arial"/>
        </w:rPr>
        <w:t>.</w:t>
      </w:r>
      <w:r>
        <w:rPr>
          <w:rFonts w:ascii="Arial" w:hAnsi="Arial" w:cs="Arial"/>
        </w:rPr>
        <w:t xml:space="preserve"> </w:t>
      </w:r>
      <w:r w:rsidR="007E0BE4">
        <w:rPr>
          <w:rFonts w:ascii="Arial" w:hAnsi="Arial" w:cs="Arial"/>
        </w:rPr>
        <w:t>L</w:t>
      </w:r>
      <w:r>
        <w:rPr>
          <w:rFonts w:ascii="Arial" w:hAnsi="Arial" w:cs="Arial"/>
        </w:rPr>
        <w:t>eading</w:t>
      </w:r>
      <w:r w:rsidR="007E0BE4">
        <w:rPr>
          <w:rFonts w:ascii="Arial" w:hAnsi="Arial" w:cs="Arial"/>
        </w:rPr>
        <w:t xml:space="preserve"> </w:t>
      </w:r>
      <w:r>
        <w:rPr>
          <w:rFonts w:ascii="Arial" w:hAnsi="Arial" w:cs="Arial"/>
        </w:rPr>
        <w:t xml:space="preserve">officials </w:t>
      </w:r>
      <w:r w:rsidR="007E0BE4">
        <w:rPr>
          <w:rFonts w:ascii="Arial" w:hAnsi="Arial" w:cs="Arial"/>
        </w:rPr>
        <w:t xml:space="preserve">from the largest pre-unified private organisations </w:t>
      </w:r>
      <w:proofErr w:type="gramStart"/>
      <w:r>
        <w:rPr>
          <w:rFonts w:ascii="Arial" w:hAnsi="Arial" w:cs="Arial"/>
        </w:rPr>
        <w:t>are portrayed</w:t>
      </w:r>
      <w:proofErr w:type="gramEnd"/>
      <w:r>
        <w:rPr>
          <w:rFonts w:ascii="Arial" w:hAnsi="Arial" w:cs="Arial"/>
        </w:rPr>
        <w:t xml:space="preserve"> as the foremost experts in their field and their succession as Chairman and Vice Chairman of the new </w:t>
      </w:r>
      <w:r w:rsidR="007E0BE4">
        <w:rPr>
          <w:rFonts w:ascii="Arial" w:hAnsi="Arial" w:cs="Arial"/>
        </w:rPr>
        <w:t>unified London Transport</w:t>
      </w:r>
      <w:r>
        <w:rPr>
          <w:rFonts w:ascii="Arial" w:hAnsi="Arial" w:cs="Arial"/>
        </w:rPr>
        <w:t xml:space="preserve"> is seen as the rightful assumption of authority</w:t>
      </w:r>
      <w:r w:rsidR="006F314E">
        <w:rPr>
          <w:rFonts w:ascii="Arial" w:hAnsi="Arial" w:cs="Arial"/>
        </w:rPr>
        <w:t xml:space="preserve"> (Barker &amp; Robbins, 1976; </w:t>
      </w:r>
      <w:r w:rsidR="006F314E" w:rsidRPr="00FD58D6">
        <w:rPr>
          <w:rFonts w:ascii="Arial" w:hAnsi="Arial" w:cs="Arial"/>
          <w:color w:val="2F5496" w:themeColor="accent1" w:themeShade="BF"/>
        </w:rPr>
        <w:t>Croome</w:t>
      </w:r>
      <w:r w:rsidR="00A06697" w:rsidRPr="00FD58D6">
        <w:rPr>
          <w:rFonts w:ascii="Arial" w:hAnsi="Arial" w:cs="Arial"/>
          <w:color w:val="2F5496" w:themeColor="accent1" w:themeShade="BF"/>
        </w:rPr>
        <w:t xml:space="preserve"> &amp; Jackson</w:t>
      </w:r>
      <w:r w:rsidR="006F314E" w:rsidRPr="00FD58D6">
        <w:rPr>
          <w:rFonts w:ascii="Arial" w:hAnsi="Arial" w:cs="Arial"/>
          <w:color w:val="2F5496" w:themeColor="accent1" w:themeShade="BF"/>
        </w:rPr>
        <w:t>, 1993</w:t>
      </w:r>
      <w:r w:rsidR="006F314E">
        <w:rPr>
          <w:rFonts w:ascii="Arial" w:hAnsi="Arial" w:cs="Arial"/>
        </w:rPr>
        <w:t xml:space="preserve">; </w:t>
      </w:r>
      <w:proofErr w:type="spellStart"/>
      <w:r w:rsidR="006F314E">
        <w:rPr>
          <w:rFonts w:ascii="Arial" w:hAnsi="Arial" w:cs="Arial"/>
        </w:rPr>
        <w:t>Wolmar</w:t>
      </w:r>
      <w:proofErr w:type="spellEnd"/>
      <w:r w:rsidR="006F314E">
        <w:rPr>
          <w:rFonts w:ascii="Arial" w:hAnsi="Arial" w:cs="Arial"/>
        </w:rPr>
        <w:t>, 2004)</w:t>
      </w:r>
      <w:r>
        <w:rPr>
          <w:rFonts w:ascii="Arial" w:hAnsi="Arial" w:cs="Arial"/>
        </w:rPr>
        <w:t>. The</w:t>
      </w:r>
      <w:r w:rsidR="00427A54">
        <w:rPr>
          <w:rFonts w:ascii="Arial" w:hAnsi="Arial" w:cs="Arial"/>
        </w:rPr>
        <w:t xml:space="preserve"> literature</w:t>
      </w:r>
      <w:r w:rsidR="000B6A79">
        <w:rPr>
          <w:rFonts w:ascii="Arial" w:hAnsi="Arial" w:cs="Arial"/>
        </w:rPr>
        <w:t xml:space="preserve"> present</w:t>
      </w:r>
      <w:r w:rsidR="00427A54">
        <w:rPr>
          <w:rFonts w:ascii="Arial" w:hAnsi="Arial" w:cs="Arial"/>
        </w:rPr>
        <w:t>s</w:t>
      </w:r>
      <w:r w:rsidR="000B6A79">
        <w:rPr>
          <w:rFonts w:ascii="Arial" w:hAnsi="Arial" w:cs="Arial"/>
        </w:rPr>
        <w:t xml:space="preserve"> the</w:t>
      </w:r>
      <w:r w:rsidR="0036670E">
        <w:rPr>
          <w:rFonts w:ascii="Arial" w:hAnsi="Arial" w:cs="Arial"/>
        </w:rPr>
        <w:t xml:space="preserve"> purpose of </w:t>
      </w:r>
      <w:r w:rsidR="000B6A79">
        <w:rPr>
          <w:rFonts w:ascii="Arial" w:hAnsi="Arial" w:cs="Arial"/>
        </w:rPr>
        <w:t>consolidation</w:t>
      </w:r>
      <w:r w:rsidR="0036670E">
        <w:rPr>
          <w:rFonts w:ascii="Arial" w:hAnsi="Arial" w:cs="Arial"/>
        </w:rPr>
        <w:t xml:space="preserve"> as</w:t>
      </w:r>
      <w:r w:rsidR="00C25DB1">
        <w:rPr>
          <w:rFonts w:ascii="Arial" w:hAnsi="Arial" w:cs="Arial"/>
        </w:rPr>
        <w:t xml:space="preserve"> </w:t>
      </w:r>
      <w:r w:rsidR="00C5185B">
        <w:rPr>
          <w:rFonts w:ascii="Arial" w:hAnsi="Arial" w:cs="Arial"/>
        </w:rPr>
        <w:t>financial</w:t>
      </w:r>
      <w:r w:rsidR="00102CBF">
        <w:rPr>
          <w:rFonts w:ascii="Arial" w:hAnsi="Arial" w:cs="Arial"/>
        </w:rPr>
        <w:t xml:space="preserve">, </w:t>
      </w:r>
      <w:proofErr w:type="gramStart"/>
      <w:r w:rsidR="00102CBF">
        <w:rPr>
          <w:rFonts w:ascii="Arial" w:hAnsi="Arial" w:cs="Arial"/>
        </w:rPr>
        <w:t>service</w:t>
      </w:r>
      <w:proofErr w:type="gramEnd"/>
      <w:r w:rsidR="00C5185B">
        <w:rPr>
          <w:rFonts w:ascii="Arial" w:hAnsi="Arial" w:cs="Arial"/>
        </w:rPr>
        <w:t xml:space="preserve"> and managerial </w:t>
      </w:r>
      <w:r w:rsidR="0036670E">
        <w:rPr>
          <w:rFonts w:ascii="Arial" w:hAnsi="Arial" w:cs="Arial"/>
        </w:rPr>
        <w:t>efficiency.</w:t>
      </w:r>
      <w:r w:rsidR="00114A65">
        <w:rPr>
          <w:rFonts w:ascii="Arial" w:hAnsi="Arial" w:cs="Arial"/>
        </w:rPr>
        <w:t xml:space="preserve"> </w:t>
      </w:r>
      <w:r w:rsidR="00114A65" w:rsidRPr="00114A65">
        <w:rPr>
          <w:rFonts w:ascii="Arial" w:hAnsi="Arial" w:cs="Arial"/>
          <w:color w:val="2F5496" w:themeColor="accent1" w:themeShade="BF"/>
        </w:rPr>
        <w:t xml:space="preserve">Collectively, these prospective benefits </w:t>
      </w:r>
      <w:proofErr w:type="gramStart"/>
      <w:r w:rsidR="00114A65" w:rsidRPr="00114A65">
        <w:rPr>
          <w:rFonts w:ascii="Arial" w:hAnsi="Arial" w:cs="Arial"/>
          <w:color w:val="2F5496" w:themeColor="accent1" w:themeShade="BF"/>
        </w:rPr>
        <w:t>were referred</w:t>
      </w:r>
      <w:proofErr w:type="gramEnd"/>
      <w:r w:rsidR="00114A65" w:rsidRPr="00114A65">
        <w:rPr>
          <w:rFonts w:ascii="Arial" w:hAnsi="Arial" w:cs="Arial"/>
          <w:color w:val="2F5496" w:themeColor="accent1" w:themeShade="BF"/>
        </w:rPr>
        <w:t xml:space="preserve"> to at the time under umbrella term ‘co-ordination’.</w:t>
      </w:r>
      <w:r w:rsidR="00114A65">
        <w:rPr>
          <w:rFonts w:ascii="Arial" w:hAnsi="Arial" w:cs="Arial"/>
          <w:color w:val="2F5496" w:themeColor="accent1" w:themeShade="BF"/>
        </w:rPr>
        <w:t xml:space="preserve"> Co-ordination </w:t>
      </w:r>
      <w:r w:rsidR="0074243E">
        <w:rPr>
          <w:rFonts w:ascii="Arial" w:hAnsi="Arial" w:cs="Arial"/>
          <w:color w:val="2F5496" w:themeColor="accent1" w:themeShade="BF"/>
        </w:rPr>
        <w:t>of transport was a promise that encompassed</w:t>
      </w:r>
      <w:r w:rsidR="00114A65">
        <w:rPr>
          <w:rFonts w:ascii="Arial" w:hAnsi="Arial" w:cs="Arial"/>
          <w:color w:val="2F5496" w:themeColor="accent1" w:themeShade="BF"/>
        </w:rPr>
        <w:t xml:space="preserve"> higher dividends, better pay, faster, cheaper and more modern services to be delivered by a professionalised cadre of ‘scientific’ managers</w:t>
      </w:r>
      <w:r w:rsidR="0074243E">
        <w:rPr>
          <w:rFonts w:ascii="Arial" w:hAnsi="Arial" w:cs="Arial"/>
          <w:color w:val="2F5496" w:themeColor="accent1" w:themeShade="BF"/>
        </w:rPr>
        <w:t xml:space="preserve"> (Hey, 2010)</w:t>
      </w:r>
      <w:r w:rsidR="00114A65">
        <w:rPr>
          <w:rFonts w:ascii="Arial" w:hAnsi="Arial" w:cs="Arial"/>
          <w:color w:val="2F5496" w:themeColor="accent1" w:themeShade="BF"/>
        </w:rPr>
        <w:t xml:space="preserve">. </w:t>
      </w:r>
      <w:r w:rsidR="0036670E" w:rsidRPr="00114A65">
        <w:rPr>
          <w:rFonts w:ascii="Arial" w:hAnsi="Arial" w:cs="Arial"/>
          <w:color w:val="2F5496" w:themeColor="accent1" w:themeShade="BF"/>
        </w:rPr>
        <w:t xml:space="preserve"> </w:t>
      </w:r>
    </w:p>
    <w:p w14:paraId="7E0E27C4" w14:textId="25528E89" w:rsidR="0074243E" w:rsidRDefault="00984DE1" w:rsidP="00F44900">
      <w:pPr>
        <w:spacing w:after="0" w:line="480" w:lineRule="auto"/>
        <w:ind w:firstLine="720"/>
        <w:rPr>
          <w:rFonts w:ascii="Arial" w:hAnsi="Arial" w:cs="Arial"/>
        </w:rPr>
      </w:pPr>
      <w:r>
        <w:rPr>
          <w:rFonts w:ascii="Arial" w:hAnsi="Arial" w:cs="Arial"/>
          <w:color w:val="2F5496" w:themeColor="accent1" w:themeShade="BF"/>
        </w:rPr>
        <w:t>Some t</w:t>
      </w:r>
      <w:r w:rsidR="001B18B5" w:rsidRPr="0074243E">
        <w:rPr>
          <w:rFonts w:ascii="Arial" w:hAnsi="Arial" w:cs="Arial"/>
          <w:color w:val="2F5496" w:themeColor="accent1" w:themeShade="BF"/>
        </w:rPr>
        <w:t>he</w:t>
      </w:r>
      <w:r w:rsidR="0074243E" w:rsidRPr="0074243E">
        <w:rPr>
          <w:rFonts w:ascii="Arial" w:hAnsi="Arial" w:cs="Arial"/>
          <w:color w:val="2F5496" w:themeColor="accent1" w:themeShade="BF"/>
        </w:rPr>
        <w:t xml:space="preserve"> critics of </w:t>
      </w:r>
      <w:r w:rsidR="009752CA">
        <w:rPr>
          <w:rFonts w:ascii="Arial" w:hAnsi="Arial" w:cs="Arial"/>
          <w:color w:val="2F5496" w:themeColor="accent1" w:themeShade="BF"/>
        </w:rPr>
        <w:t>co-ordination</w:t>
      </w:r>
      <w:r w:rsidR="0074243E" w:rsidRPr="0074243E">
        <w:rPr>
          <w:rFonts w:ascii="Arial" w:hAnsi="Arial" w:cs="Arial"/>
          <w:color w:val="2F5496" w:themeColor="accent1" w:themeShade="BF"/>
        </w:rPr>
        <w:t xml:space="preserve"> </w:t>
      </w:r>
      <w:r>
        <w:rPr>
          <w:rFonts w:ascii="Arial" w:hAnsi="Arial" w:cs="Arial"/>
          <w:color w:val="2F5496" w:themeColor="accent1" w:themeShade="BF"/>
        </w:rPr>
        <w:t>used efficiency in support of their arguments too</w:t>
      </w:r>
      <w:r w:rsidR="00635CCE">
        <w:rPr>
          <w:rFonts w:ascii="Arial" w:hAnsi="Arial" w:cs="Arial"/>
          <w:color w:val="2F5496" w:themeColor="accent1" w:themeShade="BF"/>
        </w:rPr>
        <w:t>.</w:t>
      </w:r>
      <w:r w:rsidR="0074243E" w:rsidRPr="0074243E">
        <w:rPr>
          <w:rFonts w:ascii="Arial" w:hAnsi="Arial" w:cs="Arial"/>
          <w:color w:val="2F5496" w:themeColor="accent1" w:themeShade="BF"/>
        </w:rPr>
        <w:t xml:space="preserve"> </w:t>
      </w:r>
      <w:r w:rsidR="00366114">
        <w:rPr>
          <w:rFonts w:ascii="Arial" w:hAnsi="Arial" w:cs="Arial"/>
        </w:rPr>
        <w:t xml:space="preserve">Porter </w:t>
      </w:r>
      <w:r w:rsidR="0074243E">
        <w:rPr>
          <w:rFonts w:ascii="Arial" w:hAnsi="Arial" w:cs="Arial"/>
        </w:rPr>
        <w:t xml:space="preserve">(1907) </w:t>
      </w:r>
      <w:r w:rsidR="00366114">
        <w:rPr>
          <w:rFonts w:ascii="Arial" w:hAnsi="Arial" w:cs="Arial"/>
        </w:rPr>
        <w:t xml:space="preserve">opposed municipal or state monopoly </w:t>
      </w:r>
      <w:r w:rsidR="003B768A">
        <w:rPr>
          <w:rFonts w:ascii="Arial" w:hAnsi="Arial" w:cs="Arial"/>
        </w:rPr>
        <w:t xml:space="preserve">of public services </w:t>
      </w:r>
      <w:r w:rsidR="00366114">
        <w:rPr>
          <w:rFonts w:ascii="Arial" w:hAnsi="Arial" w:cs="Arial"/>
        </w:rPr>
        <w:t xml:space="preserve">on </w:t>
      </w:r>
      <w:r w:rsidR="003B768A">
        <w:rPr>
          <w:rFonts w:ascii="Arial" w:hAnsi="Arial" w:cs="Arial"/>
        </w:rPr>
        <w:t xml:space="preserve">the </w:t>
      </w:r>
      <w:r w:rsidR="00366114">
        <w:rPr>
          <w:rFonts w:ascii="Arial" w:hAnsi="Arial" w:cs="Arial"/>
        </w:rPr>
        <w:t xml:space="preserve">grounds of </w:t>
      </w:r>
      <w:r>
        <w:rPr>
          <w:rFonts w:ascii="Arial" w:hAnsi="Arial" w:cs="Arial"/>
        </w:rPr>
        <w:t xml:space="preserve">waste and </w:t>
      </w:r>
      <w:r w:rsidR="00366114">
        <w:rPr>
          <w:rFonts w:ascii="Arial" w:hAnsi="Arial" w:cs="Arial"/>
        </w:rPr>
        <w:t>moral hazard</w:t>
      </w:r>
      <w:r w:rsidR="003B768A">
        <w:rPr>
          <w:rFonts w:ascii="Arial" w:hAnsi="Arial" w:cs="Arial"/>
        </w:rPr>
        <w:t>. He was concerned about excessive debts accumulated by irresponsible</w:t>
      </w:r>
      <w:r w:rsidR="00BE6744">
        <w:rPr>
          <w:rFonts w:ascii="Arial" w:hAnsi="Arial" w:cs="Arial"/>
        </w:rPr>
        <w:t>, populist</w:t>
      </w:r>
      <w:r w:rsidR="003B768A">
        <w:rPr>
          <w:rFonts w:ascii="Arial" w:hAnsi="Arial" w:cs="Arial"/>
        </w:rPr>
        <w:t xml:space="preserve"> policies </w:t>
      </w:r>
      <w:r w:rsidR="00AB5454">
        <w:rPr>
          <w:rFonts w:ascii="Arial" w:hAnsi="Arial" w:cs="Arial"/>
        </w:rPr>
        <w:t>enacted by</w:t>
      </w:r>
      <w:r w:rsidR="003B768A">
        <w:rPr>
          <w:rFonts w:ascii="Arial" w:hAnsi="Arial" w:cs="Arial"/>
        </w:rPr>
        <w:t xml:space="preserve"> public bodies </w:t>
      </w:r>
      <w:r w:rsidR="00AB5454">
        <w:rPr>
          <w:rFonts w:ascii="Arial" w:hAnsi="Arial" w:cs="Arial"/>
        </w:rPr>
        <w:t>as a result of appeasing the electorate</w:t>
      </w:r>
      <w:r w:rsidR="00366114">
        <w:rPr>
          <w:rFonts w:ascii="Arial" w:hAnsi="Arial" w:cs="Arial"/>
        </w:rPr>
        <w:t>.</w:t>
      </w:r>
      <w:r w:rsidR="003B768A">
        <w:rPr>
          <w:rFonts w:ascii="Arial" w:hAnsi="Arial" w:cs="Arial"/>
        </w:rPr>
        <w:t xml:space="preserve"> </w:t>
      </w:r>
      <w:r w:rsidR="00D07B12">
        <w:rPr>
          <w:rFonts w:ascii="Arial" w:hAnsi="Arial" w:cs="Arial"/>
        </w:rPr>
        <w:t xml:space="preserve">Alternatively, </w:t>
      </w:r>
      <w:r w:rsidR="00366114">
        <w:rPr>
          <w:rFonts w:ascii="Arial" w:hAnsi="Arial" w:cs="Arial"/>
        </w:rPr>
        <w:t>Morrison</w:t>
      </w:r>
      <w:r w:rsidR="003B768A">
        <w:rPr>
          <w:rFonts w:ascii="Arial" w:hAnsi="Arial" w:cs="Arial"/>
        </w:rPr>
        <w:t xml:space="preserve"> </w:t>
      </w:r>
      <w:r w:rsidR="0074243E">
        <w:rPr>
          <w:rFonts w:ascii="Arial" w:hAnsi="Arial" w:cs="Arial"/>
        </w:rPr>
        <w:t xml:space="preserve">(1933) </w:t>
      </w:r>
      <w:r w:rsidR="003B768A">
        <w:rPr>
          <w:rFonts w:ascii="Arial" w:hAnsi="Arial" w:cs="Arial"/>
        </w:rPr>
        <w:t xml:space="preserve">opposed private monopoly on the grounds of </w:t>
      </w:r>
      <w:r w:rsidR="003B768A">
        <w:rPr>
          <w:rFonts w:ascii="Arial" w:hAnsi="Arial" w:cs="Arial"/>
        </w:rPr>
        <w:lastRenderedPageBreak/>
        <w:t>excess profits</w:t>
      </w:r>
      <w:r w:rsidR="00D07B12">
        <w:rPr>
          <w:rFonts w:ascii="Arial" w:hAnsi="Arial" w:cs="Arial"/>
        </w:rPr>
        <w:t>, but</w:t>
      </w:r>
      <w:r w:rsidR="003B768A">
        <w:rPr>
          <w:rFonts w:ascii="Arial" w:hAnsi="Arial" w:cs="Arial"/>
        </w:rPr>
        <w:t xml:space="preserve"> </w:t>
      </w:r>
      <w:r w:rsidR="00D07B12">
        <w:rPr>
          <w:rFonts w:ascii="Arial" w:hAnsi="Arial" w:cs="Arial"/>
        </w:rPr>
        <w:t>h</w:t>
      </w:r>
      <w:r w:rsidR="003B768A">
        <w:rPr>
          <w:rFonts w:ascii="Arial" w:hAnsi="Arial" w:cs="Arial"/>
        </w:rPr>
        <w:t xml:space="preserve">e was </w:t>
      </w:r>
      <w:r w:rsidR="0074243E">
        <w:rPr>
          <w:rFonts w:ascii="Arial" w:hAnsi="Arial" w:cs="Arial"/>
        </w:rPr>
        <w:t>confident that</w:t>
      </w:r>
      <w:r w:rsidR="003B768A">
        <w:rPr>
          <w:rFonts w:ascii="Arial" w:hAnsi="Arial" w:cs="Arial"/>
        </w:rPr>
        <w:t xml:space="preserve"> a state monopoly for London Transport </w:t>
      </w:r>
      <w:r w:rsidR="0074243E">
        <w:rPr>
          <w:rFonts w:ascii="Arial" w:hAnsi="Arial" w:cs="Arial"/>
        </w:rPr>
        <w:t xml:space="preserve">would deliver the benefits implied by ‘co-ordination’ </w:t>
      </w:r>
      <w:r w:rsidR="003B768A">
        <w:rPr>
          <w:rFonts w:ascii="Arial" w:hAnsi="Arial" w:cs="Arial"/>
        </w:rPr>
        <w:t xml:space="preserve">on the same efficiency-based reasoning as given in other literature. </w:t>
      </w:r>
    </w:p>
    <w:p w14:paraId="359D65C3" w14:textId="18F672AF" w:rsidR="005F7C16" w:rsidRDefault="0074243E" w:rsidP="00984091">
      <w:pPr>
        <w:spacing w:after="0" w:line="480" w:lineRule="auto"/>
        <w:rPr>
          <w:rFonts w:ascii="Arial" w:hAnsi="Arial" w:cs="Arial"/>
        </w:rPr>
      </w:pPr>
      <w:r>
        <w:rPr>
          <w:rFonts w:ascii="Arial" w:hAnsi="Arial" w:cs="Arial"/>
        </w:rPr>
        <w:t xml:space="preserve">Only </w:t>
      </w:r>
      <w:r w:rsidR="0036670E">
        <w:rPr>
          <w:rFonts w:ascii="Arial" w:hAnsi="Arial" w:cs="Arial"/>
        </w:rPr>
        <w:t xml:space="preserve">Lloyd-Wilson </w:t>
      </w:r>
      <w:r w:rsidR="003B768A">
        <w:rPr>
          <w:rFonts w:ascii="Arial" w:hAnsi="Arial" w:cs="Arial"/>
        </w:rPr>
        <w:t>(</w:t>
      </w:r>
      <w:r w:rsidR="0036670E">
        <w:rPr>
          <w:rFonts w:ascii="Arial" w:hAnsi="Arial" w:cs="Arial"/>
        </w:rPr>
        <w:t>1939</w:t>
      </w:r>
      <w:r w:rsidR="003B768A">
        <w:rPr>
          <w:rFonts w:ascii="Arial" w:hAnsi="Arial" w:cs="Arial"/>
        </w:rPr>
        <w:t>)</w:t>
      </w:r>
      <w:r w:rsidR="0036670E">
        <w:rPr>
          <w:rFonts w:ascii="Arial" w:hAnsi="Arial" w:cs="Arial"/>
        </w:rPr>
        <w:t xml:space="preserve"> </w:t>
      </w:r>
      <w:r w:rsidR="003B768A">
        <w:rPr>
          <w:rFonts w:ascii="Arial" w:hAnsi="Arial" w:cs="Arial"/>
        </w:rPr>
        <w:t>discusse</w:t>
      </w:r>
      <w:r>
        <w:rPr>
          <w:rFonts w:ascii="Arial" w:hAnsi="Arial" w:cs="Arial"/>
        </w:rPr>
        <w:t>s</w:t>
      </w:r>
      <w:r w:rsidR="003B768A">
        <w:rPr>
          <w:rFonts w:ascii="Arial" w:hAnsi="Arial" w:cs="Arial"/>
        </w:rPr>
        <w:t xml:space="preserve"> the creation and operation of the new London Transport monopoly</w:t>
      </w:r>
      <w:r w:rsidR="0036670E">
        <w:rPr>
          <w:rFonts w:ascii="Arial" w:hAnsi="Arial" w:cs="Arial"/>
        </w:rPr>
        <w:t xml:space="preserve"> </w:t>
      </w:r>
      <w:r w:rsidR="003B768A">
        <w:rPr>
          <w:rFonts w:ascii="Arial" w:hAnsi="Arial" w:cs="Arial"/>
        </w:rPr>
        <w:t xml:space="preserve">in terms </w:t>
      </w:r>
      <w:r>
        <w:rPr>
          <w:rFonts w:ascii="Arial" w:hAnsi="Arial" w:cs="Arial"/>
        </w:rPr>
        <w:t>other than</w:t>
      </w:r>
      <w:r w:rsidR="0036670E">
        <w:rPr>
          <w:rFonts w:ascii="Arial" w:hAnsi="Arial" w:cs="Arial"/>
        </w:rPr>
        <w:t xml:space="preserve"> efficiency. </w:t>
      </w:r>
      <w:r w:rsidR="003B768A">
        <w:rPr>
          <w:rFonts w:ascii="Arial" w:hAnsi="Arial" w:cs="Arial"/>
        </w:rPr>
        <w:t>He</w:t>
      </w:r>
      <w:r w:rsidR="0036670E">
        <w:rPr>
          <w:rFonts w:ascii="Arial" w:hAnsi="Arial" w:cs="Arial"/>
        </w:rPr>
        <w:t xml:space="preserve"> situate</w:t>
      </w:r>
      <w:r w:rsidR="003B768A">
        <w:rPr>
          <w:rFonts w:ascii="Arial" w:hAnsi="Arial" w:cs="Arial"/>
        </w:rPr>
        <w:t>d</w:t>
      </w:r>
      <w:r w:rsidR="0036670E">
        <w:rPr>
          <w:rFonts w:ascii="Arial" w:hAnsi="Arial" w:cs="Arial"/>
        </w:rPr>
        <w:t xml:space="preserve"> the origins of the LPTB as a general problem of ownership exacerbated by a particular crisi</w:t>
      </w:r>
      <w:r w:rsidR="003B768A">
        <w:rPr>
          <w:rFonts w:ascii="Arial" w:hAnsi="Arial" w:cs="Arial"/>
        </w:rPr>
        <w:t xml:space="preserve">s, </w:t>
      </w:r>
      <w:r w:rsidR="0036670E">
        <w:rPr>
          <w:rFonts w:ascii="Arial" w:hAnsi="Arial" w:cs="Arial"/>
        </w:rPr>
        <w:t>cit</w:t>
      </w:r>
      <w:r w:rsidR="003B768A">
        <w:rPr>
          <w:rFonts w:ascii="Arial" w:hAnsi="Arial" w:cs="Arial"/>
        </w:rPr>
        <w:t>ing</w:t>
      </w:r>
      <w:r w:rsidR="0036670E">
        <w:rPr>
          <w:rFonts w:ascii="Arial" w:hAnsi="Arial" w:cs="Arial"/>
        </w:rPr>
        <w:t xml:space="preserve"> four factors: The crisis of destructive competition amongst the buses, the resulting strike, the general problem of congestion and the recession of the early 1920s. However, </w:t>
      </w:r>
      <w:r w:rsidR="004D50EF">
        <w:rPr>
          <w:rFonts w:ascii="Arial" w:hAnsi="Arial" w:cs="Arial"/>
        </w:rPr>
        <w:t>he offers little</w:t>
      </w:r>
      <w:r w:rsidR="0036670E">
        <w:rPr>
          <w:rFonts w:ascii="Arial" w:hAnsi="Arial" w:cs="Arial"/>
        </w:rPr>
        <w:t xml:space="preserve"> evidence and most of the work describes</w:t>
      </w:r>
      <w:r w:rsidR="004D50EF">
        <w:rPr>
          <w:rFonts w:ascii="Arial" w:hAnsi="Arial" w:cs="Arial"/>
        </w:rPr>
        <w:t xml:space="preserve"> rather than critiques</w:t>
      </w:r>
      <w:r w:rsidR="0036670E">
        <w:rPr>
          <w:rFonts w:ascii="Arial" w:hAnsi="Arial" w:cs="Arial"/>
        </w:rPr>
        <w:t xml:space="preserve"> the mechanisms and structure of the new organisation. </w:t>
      </w:r>
    </w:p>
    <w:p w14:paraId="479348E4" w14:textId="4A318967" w:rsidR="008C277D" w:rsidRPr="00AB5454" w:rsidRDefault="00C25DB1" w:rsidP="00F44900">
      <w:pPr>
        <w:spacing w:after="0" w:line="480" w:lineRule="auto"/>
        <w:ind w:firstLine="720"/>
        <w:rPr>
          <w:rFonts w:ascii="Arial" w:hAnsi="Arial" w:cs="Arial"/>
        </w:rPr>
      </w:pPr>
      <w:r>
        <w:rPr>
          <w:rFonts w:ascii="Arial" w:hAnsi="Arial" w:cs="Arial"/>
        </w:rPr>
        <w:t xml:space="preserve">This leaves two </w:t>
      </w:r>
      <w:r w:rsidR="00984091">
        <w:rPr>
          <w:rFonts w:ascii="Arial" w:hAnsi="Arial" w:cs="Arial"/>
        </w:rPr>
        <w:t>gaps in the literature</w:t>
      </w:r>
      <w:r>
        <w:rPr>
          <w:rFonts w:ascii="Arial" w:hAnsi="Arial" w:cs="Arial"/>
        </w:rPr>
        <w:t xml:space="preserve"> </w:t>
      </w:r>
      <w:r w:rsidR="008C277D" w:rsidRPr="00893260">
        <w:rPr>
          <w:rFonts w:ascii="Arial" w:hAnsi="Arial" w:cs="Arial"/>
        </w:rPr>
        <w:t xml:space="preserve">which </w:t>
      </w:r>
      <w:r w:rsidR="00102CBF" w:rsidRPr="00893260">
        <w:rPr>
          <w:rFonts w:ascii="Arial" w:hAnsi="Arial" w:cs="Arial"/>
        </w:rPr>
        <w:t xml:space="preserve">this </w:t>
      </w:r>
      <w:r w:rsidRPr="00893260">
        <w:rPr>
          <w:rFonts w:ascii="Arial" w:hAnsi="Arial" w:cs="Arial"/>
        </w:rPr>
        <w:t xml:space="preserve">paper </w:t>
      </w:r>
      <w:r w:rsidR="00893260" w:rsidRPr="00893260">
        <w:rPr>
          <w:rFonts w:ascii="Arial" w:hAnsi="Arial" w:cs="Arial"/>
        </w:rPr>
        <w:t>investigates</w:t>
      </w:r>
      <w:r>
        <w:rPr>
          <w:rFonts w:ascii="Arial" w:hAnsi="Arial" w:cs="Arial"/>
        </w:rPr>
        <w:t>. Firstly,</w:t>
      </w:r>
      <w:r w:rsidR="0036670E">
        <w:rPr>
          <w:rFonts w:ascii="Arial" w:hAnsi="Arial" w:cs="Arial"/>
        </w:rPr>
        <w:t xml:space="preserve"> the lack </w:t>
      </w:r>
      <w:r w:rsidR="00102CBF">
        <w:rPr>
          <w:rFonts w:ascii="Arial" w:hAnsi="Arial" w:cs="Arial"/>
        </w:rPr>
        <w:t xml:space="preserve">of </w:t>
      </w:r>
      <w:r w:rsidR="0036670E">
        <w:rPr>
          <w:rFonts w:ascii="Arial" w:hAnsi="Arial" w:cs="Arial"/>
        </w:rPr>
        <w:t xml:space="preserve">a thorough analysis of </w:t>
      </w:r>
      <w:r w:rsidR="00984091">
        <w:rPr>
          <w:rFonts w:ascii="Arial" w:hAnsi="Arial" w:cs="Arial"/>
        </w:rPr>
        <w:t>London transport providers as</w:t>
      </w:r>
      <w:r w:rsidR="0036670E">
        <w:rPr>
          <w:rFonts w:ascii="Arial" w:hAnsi="Arial" w:cs="Arial"/>
        </w:rPr>
        <w:t xml:space="preserve"> businesses before </w:t>
      </w:r>
      <w:r w:rsidR="00984091">
        <w:rPr>
          <w:rFonts w:ascii="Arial" w:hAnsi="Arial" w:cs="Arial"/>
        </w:rPr>
        <w:t>and</w:t>
      </w:r>
      <w:r w:rsidR="0036670E">
        <w:rPr>
          <w:rFonts w:ascii="Arial" w:hAnsi="Arial" w:cs="Arial"/>
        </w:rPr>
        <w:t xml:space="preserve"> after amalgamation to substantiate or disprove</w:t>
      </w:r>
      <w:r w:rsidR="004D50EF">
        <w:rPr>
          <w:rFonts w:ascii="Arial" w:hAnsi="Arial" w:cs="Arial"/>
        </w:rPr>
        <w:t xml:space="preserve"> the</w:t>
      </w:r>
      <w:r w:rsidR="009F3F94">
        <w:rPr>
          <w:rFonts w:ascii="Arial" w:hAnsi="Arial" w:cs="Arial"/>
        </w:rPr>
        <w:t xml:space="preserve"> efficiency</w:t>
      </w:r>
      <w:r w:rsidR="0036670E">
        <w:rPr>
          <w:rFonts w:ascii="Arial" w:hAnsi="Arial" w:cs="Arial"/>
        </w:rPr>
        <w:t xml:space="preserve"> claims. </w:t>
      </w:r>
      <w:r>
        <w:rPr>
          <w:rFonts w:ascii="Arial" w:hAnsi="Arial" w:cs="Arial"/>
        </w:rPr>
        <w:t xml:space="preserve">Secondly, </w:t>
      </w:r>
      <w:r w:rsidR="00984091">
        <w:rPr>
          <w:rFonts w:ascii="Arial" w:hAnsi="Arial" w:cs="Arial"/>
        </w:rPr>
        <w:t>the</w:t>
      </w:r>
      <w:r w:rsidR="00EA31E0">
        <w:rPr>
          <w:rFonts w:ascii="Arial" w:hAnsi="Arial" w:cs="Arial"/>
        </w:rPr>
        <w:t xml:space="preserve"> political </w:t>
      </w:r>
      <w:r w:rsidR="00984091">
        <w:rPr>
          <w:rFonts w:ascii="Arial" w:hAnsi="Arial" w:cs="Arial"/>
        </w:rPr>
        <w:t>environment</w:t>
      </w:r>
      <w:r w:rsidR="00EA31E0">
        <w:rPr>
          <w:rFonts w:ascii="Arial" w:hAnsi="Arial" w:cs="Arial"/>
        </w:rPr>
        <w:t xml:space="preserve"> </w:t>
      </w:r>
      <w:r w:rsidR="004D50EF">
        <w:rPr>
          <w:rFonts w:ascii="Arial" w:hAnsi="Arial" w:cs="Arial"/>
        </w:rPr>
        <w:t>and the nature of organisational forms</w:t>
      </w:r>
      <w:r w:rsidR="00EA31E0">
        <w:rPr>
          <w:rFonts w:ascii="Arial" w:hAnsi="Arial" w:cs="Arial"/>
        </w:rPr>
        <w:t xml:space="preserve"> </w:t>
      </w:r>
      <w:r w:rsidR="004D50EF">
        <w:rPr>
          <w:rFonts w:ascii="Arial" w:hAnsi="Arial" w:cs="Arial"/>
        </w:rPr>
        <w:t xml:space="preserve">in transport at that time </w:t>
      </w:r>
      <w:r w:rsidR="00EA31E0">
        <w:rPr>
          <w:rFonts w:ascii="Arial" w:hAnsi="Arial" w:cs="Arial"/>
        </w:rPr>
        <w:t>is under researched</w:t>
      </w:r>
      <w:r w:rsidR="004D50EF">
        <w:rPr>
          <w:rFonts w:ascii="Arial" w:hAnsi="Arial" w:cs="Arial"/>
        </w:rPr>
        <w:t xml:space="preserve"> and under theorised</w:t>
      </w:r>
      <w:r w:rsidR="00EA31E0">
        <w:rPr>
          <w:rFonts w:ascii="Arial" w:hAnsi="Arial" w:cs="Arial"/>
        </w:rPr>
        <w:t xml:space="preserve">, leading to an over reliance on </w:t>
      </w:r>
      <w:r w:rsidR="00893260">
        <w:rPr>
          <w:rFonts w:ascii="Arial" w:hAnsi="Arial" w:cs="Arial"/>
        </w:rPr>
        <w:t>economic data</w:t>
      </w:r>
      <w:r w:rsidR="00984091">
        <w:rPr>
          <w:rFonts w:ascii="Arial" w:hAnsi="Arial" w:cs="Arial"/>
        </w:rPr>
        <w:t xml:space="preserve"> for policy choices</w:t>
      </w:r>
      <w:r w:rsidR="0036670E">
        <w:rPr>
          <w:rFonts w:ascii="Arial" w:hAnsi="Arial" w:cs="Arial"/>
        </w:rPr>
        <w:t xml:space="preserve">. </w:t>
      </w:r>
      <w:r w:rsidR="009F3F94">
        <w:rPr>
          <w:rFonts w:ascii="Arial" w:hAnsi="Arial" w:cs="Arial"/>
        </w:rPr>
        <w:t>Addressing the shortfalls requires</w:t>
      </w:r>
      <w:r w:rsidR="00984091">
        <w:rPr>
          <w:rFonts w:ascii="Arial" w:hAnsi="Arial" w:cs="Arial"/>
        </w:rPr>
        <w:t xml:space="preserve"> longitudinal archival research of the organisations, contemporary media reporting and parliamentary records combined with appropriate secondary literature as an analytical framework</w:t>
      </w:r>
      <w:r w:rsidR="0036670E">
        <w:rPr>
          <w:rFonts w:ascii="Arial" w:hAnsi="Arial" w:cs="Arial"/>
        </w:rPr>
        <w:t xml:space="preserve">.  </w:t>
      </w:r>
    </w:p>
    <w:p w14:paraId="3066270C" w14:textId="77777777" w:rsidR="00F44900" w:rsidRDefault="00F44900" w:rsidP="008C277D">
      <w:pPr>
        <w:spacing w:after="0" w:line="480" w:lineRule="auto"/>
        <w:rPr>
          <w:rFonts w:ascii="Arial" w:hAnsi="Arial" w:cs="Arial"/>
          <w:b/>
          <w:bCs/>
        </w:rPr>
      </w:pPr>
    </w:p>
    <w:p w14:paraId="712746DA" w14:textId="74DBD423" w:rsidR="008C277D" w:rsidRDefault="00070B63" w:rsidP="008C277D">
      <w:pPr>
        <w:spacing w:after="0" w:line="480" w:lineRule="auto"/>
        <w:rPr>
          <w:rFonts w:ascii="Arial" w:hAnsi="Arial" w:cs="Arial"/>
          <w:b/>
          <w:bCs/>
        </w:rPr>
      </w:pPr>
      <w:r>
        <w:rPr>
          <w:rFonts w:ascii="Arial" w:hAnsi="Arial" w:cs="Arial"/>
          <w:b/>
          <w:bCs/>
        </w:rPr>
        <w:t>Methods</w:t>
      </w:r>
    </w:p>
    <w:p w14:paraId="4BA0DD44" w14:textId="75556526" w:rsidR="005F7C16" w:rsidRPr="008C277D" w:rsidRDefault="008C277D" w:rsidP="008C277D">
      <w:pPr>
        <w:spacing w:after="0" w:line="480" w:lineRule="auto"/>
        <w:rPr>
          <w:rFonts w:ascii="Arial" w:hAnsi="Arial" w:cs="Arial"/>
        </w:rPr>
      </w:pPr>
      <w:r w:rsidRPr="008D6278">
        <w:rPr>
          <w:rFonts w:ascii="Arial" w:hAnsi="Arial" w:cs="Arial"/>
        </w:rPr>
        <w:t>Following Yin’s (2003) matrix of relevant situations for different situation strategies, our study exists within the intersection of archival analysis, history, and case study. As inferred by our aforementioned research aims, we were mainly concerned with the “How?” and “Why?” of our case in relation to motives and decision-making</w:t>
      </w:r>
      <w:r w:rsidR="008D6278">
        <w:rPr>
          <w:rFonts w:ascii="Arial" w:hAnsi="Arial" w:cs="Arial"/>
        </w:rPr>
        <w:t xml:space="preserve">. </w:t>
      </w:r>
      <w:r w:rsidR="00C17ECB" w:rsidRPr="008D6278">
        <w:rPr>
          <w:rFonts w:ascii="Arial" w:hAnsi="Arial" w:cs="Arial"/>
        </w:rPr>
        <w:t xml:space="preserve">This </w:t>
      </w:r>
      <w:r w:rsidR="006704AB" w:rsidRPr="008D6278">
        <w:rPr>
          <w:rFonts w:ascii="Arial" w:hAnsi="Arial" w:cs="Arial"/>
        </w:rPr>
        <w:t>paper</w:t>
      </w:r>
      <w:r w:rsidR="00C17ECB" w:rsidRPr="008D6278">
        <w:rPr>
          <w:rFonts w:ascii="Arial" w:hAnsi="Arial" w:cs="Arial"/>
        </w:rPr>
        <w:t xml:space="preserve"> seeks to </w:t>
      </w:r>
      <w:r w:rsidR="00C30419" w:rsidRPr="008D6278">
        <w:rPr>
          <w:rFonts w:ascii="Arial" w:hAnsi="Arial" w:cs="Arial"/>
        </w:rPr>
        <w:t>review history</w:t>
      </w:r>
      <w:r w:rsidR="00C17ECB" w:rsidRPr="008D6278">
        <w:rPr>
          <w:rFonts w:ascii="Arial" w:hAnsi="Arial" w:cs="Arial"/>
        </w:rPr>
        <w:t xml:space="preserve"> and </w:t>
      </w:r>
      <w:r w:rsidR="00097B70" w:rsidRPr="008D6278">
        <w:rPr>
          <w:rFonts w:ascii="Arial" w:hAnsi="Arial" w:cs="Arial"/>
        </w:rPr>
        <w:t>develop</w:t>
      </w:r>
      <w:r w:rsidR="00C17ECB" w:rsidRPr="008D6278">
        <w:rPr>
          <w:rFonts w:ascii="Arial" w:hAnsi="Arial" w:cs="Arial"/>
        </w:rPr>
        <w:t xml:space="preserve"> theory</w:t>
      </w:r>
      <w:r w:rsidR="0063708A" w:rsidRPr="008D6278">
        <w:rPr>
          <w:rFonts w:ascii="Arial" w:hAnsi="Arial" w:cs="Arial"/>
        </w:rPr>
        <w:t xml:space="preserve"> in the field of hybrid organisations</w:t>
      </w:r>
      <w:r w:rsidR="00B36770" w:rsidRPr="008D6278">
        <w:rPr>
          <w:rFonts w:ascii="Arial" w:hAnsi="Arial" w:cs="Arial"/>
        </w:rPr>
        <w:t>.</w:t>
      </w:r>
      <w:r w:rsidR="00C17ECB" w:rsidRPr="008D6278">
        <w:rPr>
          <w:rFonts w:ascii="Arial" w:hAnsi="Arial" w:cs="Arial"/>
        </w:rPr>
        <w:t xml:space="preserve"> </w:t>
      </w:r>
      <w:r w:rsidR="0063708A" w:rsidRPr="008D6278">
        <w:rPr>
          <w:rFonts w:ascii="Arial" w:hAnsi="Arial" w:cs="Arial"/>
        </w:rPr>
        <w:t>I</w:t>
      </w:r>
      <w:r w:rsidR="00C17ECB" w:rsidRPr="008D6278">
        <w:rPr>
          <w:rFonts w:ascii="Arial" w:hAnsi="Arial" w:cs="Arial"/>
        </w:rPr>
        <w:t xml:space="preserve">t </w:t>
      </w:r>
      <w:r w:rsidR="0063708A" w:rsidRPr="008D6278">
        <w:rPr>
          <w:rFonts w:ascii="Arial" w:hAnsi="Arial" w:cs="Arial"/>
        </w:rPr>
        <w:t>applies</w:t>
      </w:r>
      <w:r w:rsidR="00C17ECB" w:rsidRPr="008D6278">
        <w:rPr>
          <w:rFonts w:ascii="Arial" w:hAnsi="Arial" w:cs="Arial"/>
        </w:rPr>
        <w:t xml:space="preserve"> </w:t>
      </w:r>
      <w:r w:rsidRPr="008D6278">
        <w:rPr>
          <w:rFonts w:ascii="Arial" w:hAnsi="Arial" w:cs="Arial"/>
        </w:rPr>
        <w:t xml:space="preserve">a </w:t>
      </w:r>
      <w:r w:rsidR="0063708A" w:rsidRPr="008D6278">
        <w:rPr>
          <w:rFonts w:ascii="Arial" w:hAnsi="Arial" w:cs="Arial"/>
        </w:rPr>
        <w:t>series of</w:t>
      </w:r>
      <w:r w:rsidR="00C17ECB" w:rsidRPr="008C277D">
        <w:rPr>
          <w:rFonts w:ascii="Arial" w:hAnsi="Arial" w:cs="Arial"/>
        </w:rPr>
        <w:t xml:space="preserve"> </w:t>
      </w:r>
      <w:r w:rsidR="0063708A" w:rsidRPr="008C277D">
        <w:rPr>
          <w:rFonts w:ascii="Arial" w:hAnsi="Arial" w:cs="Arial"/>
        </w:rPr>
        <w:t xml:space="preserve">accountancy based </w:t>
      </w:r>
      <w:r w:rsidR="00C17ECB" w:rsidRPr="008C277D">
        <w:rPr>
          <w:rFonts w:ascii="Arial" w:hAnsi="Arial" w:cs="Arial"/>
        </w:rPr>
        <w:t xml:space="preserve">quantitative </w:t>
      </w:r>
      <w:r w:rsidR="0063708A" w:rsidRPr="008C277D">
        <w:rPr>
          <w:rFonts w:ascii="Arial" w:hAnsi="Arial" w:cs="Arial"/>
        </w:rPr>
        <w:t xml:space="preserve">analyses </w:t>
      </w:r>
      <w:r w:rsidR="00C17ECB" w:rsidRPr="008C277D">
        <w:rPr>
          <w:rFonts w:ascii="Arial" w:hAnsi="Arial" w:cs="Arial"/>
        </w:rPr>
        <w:t xml:space="preserve">and </w:t>
      </w:r>
      <w:r w:rsidR="0063708A" w:rsidRPr="008C277D">
        <w:rPr>
          <w:rFonts w:ascii="Arial" w:hAnsi="Arial" w:cs="Arial"/>
        </w:rPr>
        <w:t xml:space="preserve">Reay &amp; Jones’s (2016) pattern matching </w:t>
      </w:r>
      <w:r w:rsidR="00C17ECB" w:rsidRPr="008C277D">
        <w:rPr>
          <w:rFonts w:ascii="Arial" w:hAnsi="Arial" w:cs="Arial"/>
        </w:rPr>
        <w:t xml:space="preserve">qualitative </w:t>
      </w:r>
      <w:r w:rsidR="0063708A" w:rsidRPr="008C277D">
        <w:rPr>
          <w:rFonts w:ascii="Arial" w:hAnsi="Arial" w:cs="Arial"/>
        </w:rPr>
        <w:t>analysis</w:t>
      </w:r>
      <w:r w:rsidR="00EA31E0" w:rsidRPr="008C277D">
        <w:rPr>
          <w:rFonts w:ascii="Arial" w:hAnsi="Arial" w:cs="Arial"/>
        </w:rPr>
        <w:t xml:space="preserve"> to combine </w:t>
      </w:r>
      <w:r w:rsidR="00D9693B" w:rsidRPr="008C277D">
        <w:rPr>
          <w:rFonts w:ascii="Arial" w:hAnsi="Arial" w:cs="Arial"/>
        </w:rPr>
        <w:t xml:space="preserve">the </w:t>
      </w:r>
      <w:r w:rsidR="0063708A" w:rsidRPr="008C277D">
        <w:rPr>
          <w:rFonts w:ascii="Arial" w:hAnsi="Arial" w:cs="Arial"/>
        </w:rPr>
        <w:t>objectivity</w:t>
      </w:r>
      <w:r w:rsidR="00EA31E0" w:rsidRPr="008C277D">
        <w:rPr>
          <w:rFonts w:ascii="Arial" w:hAnsi="Arial" w:cs="Arial"/>
        </w:rPr>
        <w:t xml:space="preserve"> </w:t>
      </w:r>
      <w:r w:rsidR="00D9693B" w:rsidRPr="008C277D">
        <w:rPr>
          <w:rFonts w:ascii="Arial" w:hAnsi="Arial" w:cs="Arial"/>
        </w:rPr>
        <w:t xml:space="preserve">of organisation studies </w:t>
      </w:r>
      <w:r w:rsidR="008B563F" w:rsidRPr="008C277D">
        <w:rPr>
          <w:rFonts w:ascii="Arial" w:hAnsi="Arial" w:cs="Arial"/>
        </w:rPr>
        <w:t>with</w:t>
      </w:r>
      <w:r w:rsidR="00EA31E0" w:rsidRPr="008C277D">
        <w:rPr>
          <w:rFonts w:ascii="Arial" w:hAnsi="Arial" w:cs="Arial"/>
        </w:rPr>
        <w:t xml:space="preserve"> </w:t>
      </w:r>
      <w:r w:rsidR="00D9693B" w:rsidRPr="008C277D">
        <w:rPr>
          <w:rFonts w:ascii="Arial" w:hAnsi="Arial" w:cs="Arial"/>
        </w:rPr>
        <w:t xml:space="preserve">historical </w:t>
      </w:r>
      <w:r w:rsidR="00EA31E0" w:rsidRPr="008C277D">
        <w:rPr>
          <w:rFonts w:ascii="Arial" w:hAnsi="Arial" w:cs="Arial"/>
        </w:rPr>
        <w:t>interpretati</w:t>
      </w:r>
      <w:r w:rsidR="0063708A" w:rsidRPr="008C277D">
        <w:rPr>
          <w:rFonts w:ascii="Arial" w:hAnsi="Arial" w:cs="Arial"/>
        </w:rPr>
        <w:t xml:space="preserve">on </w:t>
      </w:r>
      <w:r w:rsidR="00C17ECB" w:rsidRPr="008C277D">
        <w:rPr>
          <w:rFonts w:ascii="Arial" w:hAnsi="Arial" w:cs="Arial"/>
        </w:rPr>
        <w:t>(</w:t>
      </w:r>
      <w:proofErr w:type="spellStart"/>
      <w:r w:rsidR="00C17ECB" w:rsidRPr="008C277D">
        <w:rPr>
          <w:rFonts w:ascii="Arial" w:hAnsi="Arial" w:cs="Arial"/>
        </w:rPr>
        <w:t>Buchleli</w:t>
      </w:r>
      <w:proofErr w:type="spellEnd"/>
      <w:r w:rsidR="00C17ECB" w:rsidRPr="008C277D">
        <w:rPr>
          <w:rFonts w:ascii="Arial" w:hAnsi="Arial" w:cs="Arial"/>
        </w:rPr>
        <w:t xml:space="preserve"> &amp; Wadhwani, 2014</w:t>
      </w:r>
      <w:r w:rsidR="00EA31E0" w:rsidRPr="008C277D">
        <w:rPr>
          <w:rFonts w:ascii="Arial" w:hAnsi="Arial" w:cs="Arial"/>
        </w:rPr>
        <w:t>; Decker at al. 2015</w:t>
      </w:r>
      <w:r w:rsidR="00D9693B" w:rsidRPr="008C277D">
        <w:rPr>
          <w:rFonts w:ascii="Arial" w:hAnsi="Arial" w:cs="Arial"/>
        </w:rPr>
        <w:t>; Maclean et al. Decker; 2018</w:t>
      </w:r>
      <w:r w:rsidR="00C17ECB" w:rsidRPr="008C277D">
        <w:rPr>
          <w:rFonts w:ascii="Arial" w:hAnsi="Arial" w:cs="Arial"/>
        </w:rPr>
        <w:t>)</w:t>
      </w:r>
      <w:r w:rsidR="006704AB" w:rsidRPr="008C277D">
        <w:rPr>
          <w:rFonts w:ascii="Arial" w:hAnsi="Arial" w:cs="Arial"/>
        </w:rPr>
        <w:t>.</w:t>
      </w:r>
      <w:r w:rsidR="00B36770" w:rsidRPr="008C277D">
        <w:rPr>
          <w:rFonts w:ascii="Arial" w:hAnsi="Arial" w:cs="Arial"/>
        </w:rPr>
        <w:t xml:space="preserve"> </w:t>
      </w:r>
      <w:r w:rsidR="00595AA4">
        <w:rPr>
          <w:rFonts w:ascii="Arial" w:hAnsi="Arial" w:cs="Arial"/>
        </w:rPr>
        <w:t>This is c</w:t>
      </w:r>
      <w:r w:rsidR="00595AA4" w:rsidRPr="008D6278">
        <w:rPr>
          <w:rFonts w:ascii="Arial" w:hAnsi="Arial" w:cs="Arial"/>
        </w:rPr>
        <w:t>ompat</w:t>
      </w:r>
      <w:r w:rsidR="00595AA4">
        <w:rPr>
          <w:rFonts w:ascii="Arial" w:hAnsi="Arial" w:cs="Arial"/>
        </w:rPr>
        <w:t>i</w:t>
      </w:r>
      <w:r w:rsidR="00595AA4" w:rsidRPr="008D6278">
        <w:rPr>
          <w:rFonts w:ascii="Arial" w:hAnsi="Arial" w:cs="Arial"/>
        </w:rPr>
        <w:t>bl</w:t>
      </w:r>
      <w:r w:rsidR="00595AA4">
        <w:rPr>
          <w:rFonts w:ascii="Arial" w:hAnsi="Arial" w:cs="Arial"/>
        </w:rPr>
        <w:t>e</w:t>
      </w:r>
      <w:r w:rsidRPr="008D6278">
        <w:rPr>
          <w:rFonts w:ascii="Arial" w:hAnsi="Arial" w:cs="Arial"/>
        </w:rPr>
        <w:t xml:space="preserve"> with </w:t>
      </w:r>
      <w:r w:rsidRPr="008D6278">
        <w:rPr>
          <w:rFonts w:ascii="Arial" w:hAnsi="Arial" w:cs="Arial"/>
        </w:rPr>
        <w:lastRenderedPageBreak/>
        <w:t>Gillett and Tennent</w:t>
      </w:r>
      <w:r w:rsidR="008D6278" w:rsidRPr="008D6278">
        <w:rPr>
          <w:rFonts w:ascii="Arial" w:hAnsi="Arial" w:cs="Arial"/>
        </w:rPr>
        <w:t>’s</w:t>
      </w:r>
      <w:r w:rsidRPr="008D6278">
        <w:rPr>
          <w:rFonts w:ascii="Arial" w:hAnsi="Arial" w:cs="Arial"/>
        </w:rPr>
        <w:t xml:space="preserve"> (</w:t>
      </w:r>
      <w:r w:rsidRPr="00595AA4">
        <w:rPr>
          <w:rFonts w:ascii="Arial" w:hAnsi="Arial" w:cs="Arial"/>
        </w:rPr>
        <w:t>2020)</w:t>
      </w:r>
      <w:r w:rsidRPr="008D6278">
        <w:rPr>
          <w:rFonts w:ascii="Arial" w:hAnsi="Arial" w:cs="Arial"/>
        </w:rPr>
        <w:t xml:space="preserve"> definition of the archive as a distinct collection of materials kept in an archival location, t</w:t>
      </w:r>
      <w:r w:rsidR="0080662C" w:rsidRPr="008D6278">
        <w:rPr>
          <w:rFonts w:ascii="Arial" w:hAnsi="Arial" w:cs="Arial"/>
        </w:rPr>
        <w:t xml:space="preserve">he </w:t>
      </w:r>
      <w:r w:rsidR="00CE33E4" w:rsidRPr="008D6278">
        <w:rPr>
          <w:rFonts w:ascii="Arial" w:hAnsi="Arial" w:cs="Arial"/>
        </w:rPr>
        <w:t xml:space="preserve">primary evidence </w:t>
      </w:r>
      <w:r w:rsidR="00D9693B" w:rsidRPr="008D6278">
        <w:rPr>
          <w:rFonts w:ascii="Arial" w:hAnsi="Arial" w:cs="Arial"/>
        </w:rPr>
        <w:t>was</w:t>
      </w:r>
      <w:r w:rsidR="0080662C" w:rsidRPr="008D6278">
        <w:rPr>
          <w:rFonts w:ascii="Arial" w:hAnsi="Arial" w:cs="Arial"/>
        </w:rPr>
        <w:t xml:space="preserve"> drawn </w:t>
      </w:r>
      <w:r w:rsidR="008B563F" w:rsidRPr="008D6278">
        <w:rPr>
          <w:rFonts w:ascii="Arial" w:hAnsi="Arial" w:cs="Arial"/>
        </w:rPr>
        <w:t>from</w:t>
      </w:r>
      <w:r w:rsidR="00CE33E4" w:rsidRPr="008D6278">
        <w:rPr>
          <w:rFonts w:ascii="Arial" w:hAnsi="Arial" w:cs="Arial"/>
        </w:rPr>
        <w:t xml:space="preserve"> archives</w:t>
      </w:r>
      <w:r w:rsidR="00CE33E4">
        <w:rPr>
          <w:rFonts w:ascii="Arial" w:hAnsi="Arial" w:cs="Arial"/>
        </w:rPr>
        <w:t xml:space="preserve"> most closely related to the organisation</w:t>
      </w:r>
      <w:r w:rsidR="00D9693B">
        <w:rPr>
          <w:rFonts w:ascii="Arial" w:hAnsi="Arial" w:cs="Arial"/>
        </w:rPr>
        <w:t>:</w:t>
      </w:r>
      <w:r w:rsidR="00CE33E4">
        <w:rPr>
          <w:rFonts w:ascii="Arial" w:hAnsi="Arial" w:cs="Arial"/>
        </w:rPr>
        <w:t xml:space="preserve"> </w:t>
      </w:r>
      <w:r w:rsidR="00D9693B">
        <w:rPr>
          <w:rFonts w:ascii="Arial" w:hAnsi="Arial" w:cs="Arial"/>
        </w:rPr>
        <w:t>T</w:t>
      </w:r>
      <w:r w:rsidR="00CE33E4">
        <w:rPr>
          <w:rFonts w:ascii="Arial" w:hAnsi="Arial" w:cs="Arial"/>
        </w:rPr>
        <w:t xml:space="preserve">he Transport for London corporate archive and the London Metropolitan archive. </w:t>
      </w:r>
      <w:r w:rsidR="00F90650">
        <w:rPr>
          <w:rFonts w:ascii="Arial" w:hAnsi="Arial" w:cs="Arial"/>
        </w:rPr>
        <w:t>We</w:t>
      </w:r>
      <w:r w:rsidR="0080662C">
        <w:rPr>
          <w:rFonts w:ascii="Arial" w:hAnsi="Arial" w:cs="Arial"/>
        </w:rPr>
        <w:t xml:space="preserve"> supplement</w:t>
      </w:r>
      <w:r w:rsidR="00F90650">
        <w:rPr>
          <w:rFonts w:ascii="Arial" w:hAnsi="Arial" w:cs="Arial"/>
        </w:rPr>
        <w:t xml:space="preserve"> this with</w:t>
      </w:r>
      <w:r w:rsidR="0080662C">
        <w:rPr>
          <w:rFonts w:ascii="Arial" w:hAnsi="Arial" w:cs="Arial"/>
        </w:rPr>
        <w:t xml:space="preserve"> evidence from the British Newspaper archive and records of British parliamentary business via Hansard. </w:t>
      </w:r>
      <w:r w:rsidR="00F90650">
        <w:rPr>
          <w:rFonts w:ascii="Arial" w:hAnsi="Arial" w:cs="Arial"/>
        </w:rPr>
        <w:t>We identified t</w:t>
      </w:r>
      <w:r w:rsidR="0080662C" w:rsidRPr="00CE33E4">
        <w:rPr>
          <w:rFonts w:ascii="Arial" w:hAnsi="Arial" w:cs="Arial"/>
        </w:rPr>
        <w:t xml:space="preserve">he secondary sources </w:t>
      </w:r>
      <w:r w:rsidR="00F90650">
        <w:rPr>
          <w:rFonts w:ascii="Arial" w:hAnsi="Arial" w:cs="Arial"/>
        </w:rPr>
        <w:t>through the</w:t>
      </w:r>
      <w:r w:rsidR="0080662C" w:rsidRPr="00CE33E4">
        <w:rPr>
          <w:rFonts w:ascii="Arial" w:hAnsi="Arial" w:cs="Arial"/>
        </w:rPr>
        <w:t xml:space="preserve"> study of the relevant journals, </w:t>
      </w:r>
      <w:r w:rsidR="0080662C">
        <w:rPr>
          <w:rFonts w:ascii="Arial" w:hAnsi="Arial" w:cs="Arial"/>
        </w:rPr>
        <w:t xml:space="preserve">their </w:t>
      </w:r>
      <w:r w:rsidR="0080662C" w:rsidRPr="00CE33E4">
        <w:rPr>
          <w:rFonts w:ascii="Arial" w:hAnsi="Arial" w:cs="Arial"/>
        </w:rPr>
        <w:t>articles and following their citations.</w:t>
      </w:r>
      <w:r w:rsidR="0080662C">
        <w:rPr>
          <w:rFonts w:ascii="Arial" w:hAnsi="Arial" w:cs="Arial"/>
        </w:rPr>
        <w:t xml:space="preserve"> They allow triangulation of evidence of the same events between different commentators and different time periods. </w:t>
      </w:r>
      <w:r w:rsidR="0080662C" w:rsidRPr="00CE33E4">
        <w:rPr>
          <w:rFonts w:ascii="Arial" w:hAnsi="Arial" w:cs="Arial"/>
        </w:rPr>
        <w:t xml:space="preserve"> </w:t>
      </w:r>
      <w:r w:rsidRPr="008D6278">
        <w:rPr>
          <w:rFonts w:ascii="Arial" w:hAnsi="Arial" w:cs="Arial"/>
        </w:rPr>
        <w:t xml:space="preserve">To produce </w:t>
      </w:r>
      <w:r w:rsidR="008D6278">
        <w:rPr>
          <w:rFonts w:ascii="Arial" w:hAnsi="Arial" w:cs="Arial"/>
        </w:rPr>
        <w:t>the</w:t>
      </w:r>
      <w:r w:rsidRPr="008D6278">
        <w:rPr>
          <w:rFonts w:ascii="Arial" w:hAnsi="Arial" w:cs="Arial"/>
        </w:rPr>
        <w:t xml:space="preserve"> case study, we investigated beyond descriptive case history, by observing patterns within the data (Pettigrew 1997), identifying motives for amalgamation and efficiency claims, and interaction with political and public authorities.</w:t>
      </w:r>
      <w:r w:rsidRPr="008C277D">
        <w:rPr>
          <w:rFonts w:ascii="Arial" w:hAnsi="Arial" w:cs="Arial"/>
        </w:rPr>
        <w:t xml:space="preserve"> </w:t>
      </w:r>
    </w:p>
    <w:p w14:paraId="14BCD32C" w14:textId="66B13488" w:rsidR="008B563F" w:rsidRDefault="006F314E" w:rsidP="00F44900">
      <w:pPr>
        <w:spacing w:after="0" w:line="480" w:lineRule="auto"/>
        <w:ind w:firstLine="720"/>
        <w:rPr>
          <w:rFonts w:ascii="Arial" w:hAnsi="Arial" w:cs="Arial"/>
        </w:rPr>
      </w:pPr>
      <w:r>
        <w:rPr>
          <w:rFonts w:ascii="Arial" w:hAnsi="Arial" w:cs="Arial"/>
        </w:rPr>
        <w:t>In our first line of analysis</w:t>
      </w:r>
      <w:r w:rsidR="003D5BB5">
        <w:rPr>
          <w:rFonts w:ascii="Arial" w:hAnsi="Arial" w:cs="Arial"/>
        </w:rPr>
        <w:t>,</w:t>
      </w:r>
      <w:r>
        <w:rPr>
          <w:rFonts w:ascii="Arial" w:hAnsi="Arial" w:cs="Arial"/>
        </w:rPr>
        <w:t xml:space="preserve"> we compare London Transport’s performance before and after hybridisation. Here, f</w:t>
      </w:r>
      <w:r w:rsidR="001B18B5">
        <w:rPr>
          <w:rFonts w:ascii="Arial" w:hAnsi="Arial" w:cs="Arial"/>
        </w:rPr>
        <w:t>inancial data in t</w:t>
      </w:r>
      <w:r w:rsidR="00D9693B">
        <w:rPr>
          <w:rFonts w:ascii="Arial" w:hAnsi="Arial" w:cs="Arial"/>
        </w:rPr>
        <w:t xml:space="preserve">he primary </w:t>
      </w:r>
      <w:r w:rsidR="00AE30D7">
        <w:rPr>
          <w:rFonts w:ascii="Arial" w:hAnsi="Arial" w:cs="Arial"/>
        </w:rPr>
        <w:t>sources allow</w:t>
      </w:r>
      <w:r>
        <w:rPr>
          <w:rFonts w:ascii="Arial" w:hAnsi="Arial" w:cs="Arial"/>
        </w:rPr>
        <w:t>s</w:t>
      </w:r>
      <w:r w:rsidR="00AE30D7">
        <w:rPr>
          <w:rFonts w:ascii="Arial" w:hAnsi="Arial" w:cs="Arial"/>
        </w:rPr>
        <w:t xml:space="preserve"> the </w:t>
      </w:r>
      <w:r w:rsidR="00B36770">
        <w:rPr>
          <w:rFonts w:ascii="Arial" w:hAnsi="Arial" w:cs="Arial"/>
        </w:rPr>
        <w:t>application of a series of management accounting ratios to the financial records of the Metropolitan Railway 19</w:t>
      </w:r>
      <w:r w:rsidR="00672AB7">
        <w:rPr>
          <w:rFonts w:ascii="Arial" w:hAnsi="Arial" w:cs="Arial"/>
        </w:rPr>
        <w:t>13</w:t>
      </w:r>
      <w:r w:rsidR="00B36770">
        <w:rPr>
          <w:rFonts w:ascii="Arial" w:hAnsi="Arial" w:cs="Arial"/>
        </w:rPr>
        <w:t>-3</w:t>
      </w:r>
      <w:r w:rsidR="00672AB7">
        <w:rPr>
          <w:rFonts w:ascii="Arial" w:hAnsi="Arial" w:cs="Arial"/>
        </w:rPr>
        <w:t>1</w:t>
      </w:r>
      <w:r w:rsidR="00B36770">
        <w:rPr>
          <w:rFonts w:ascii="Arial" w:hAnsi="Arial" w:cs="Arial"/>
        </w:rPr>
        <w:t xml:space="preserve">, the </w:t>
      </w:r>
      <w:r w:rsidR="00D23E9C">
        <w:rPr>
          <w:rFonts w:ascii="Arial" w:hAnsi="Arial" w:cs="Arial"/>
        </w:rPr>
        <w:t>Underground Electric Railway Company of London</w:t>
      </w:r>
      <w:r w:rsidR="00B36770">
        <w:rPr>
          <w:rFonts w:ascii="Arial" w:hAnsi="Arial" w:cs="Arial"/>
        </w:rPr>
        <w:t xml:space="preserve"> 19</w:t>
      </w:r>
      <w:r w:rsidR="00672AB7">
        <w:rPr>
          <w:rFonts w:ascii="Arial" w:hAnsi="Arial" w:cs="Arial"/>
        </w:rPr>
        <w:t>13</w:t>
      </w:r>
      <w:r w:rsidR="00B36770">
        <w:rPr>
          <w:rFonts w:ascii="Arial" w:hAnsi="Arial" w:cs="Arial"/>
        </w:rPr>
        <w:t>-32 and the London Passenger Transport Board 1934-39</w:t>
      </w:r>
      <w:r w:rsidR="00672AB7">
        <w:rPr>
          <w:rFonts w:ascii="Arial" w:hAnsi="Arial" w:cs="Arial"/>
        </w:rPr>
        <w:t xml:space="preserve"> and 1946-47</w:t>
      </w:r>
      <w:r w:rsidR="00B36770">
        <w:rPr>
          <w:rFonts w:ascii="Arial" w:hAnsi="Arial" w:cs="Arial"/>
        </w:rPr>
        <w:t>. 1933 is omitted as the amalgamation of the first two businesses into the latter hybrid organisation took place in June that year</w:t>
      </w:r>
      <w:r w:rsidR="00A70D88">
        <w:rPr>
          <w:rFonts w:ascii="Arial" w:hAnsi="Arial" w:cs="Arial"/>
        </w:rPr>
        <w:t xml:space="preserve"> and t</w:t>
      </w:r>
      <w:r w:rsidR="00B36770">
        <w:rPr>
          <w:rFonts w:ascii="Arial" w:hAnsi="Arial" w:cs="Arial"/>
        </w:rPr>
        <w:t>he war years</w:t>
      </w:r>
      <w:r w:rsidR="00DB25A6">
        <w:rPr>
          <w:rFonts w:ascii="Arial" w:hAnsi="Arial" w:cs="Arial"/>
        </w:rPr>
        <w:t xml:space="preserve"> between 1939-45</w:t>
      </w:r>
      <w:r w:rsidR="00B36770">
        <w:rPr>
          <w:rFonts w:ascii="Arial" w:hAnsi="Arial" w:cs="Arial"/>
        </w:rPr>
        <w:t xml:space="preserve"> are also omitted as anomalous.</w:t>
      </w:r>
      <w:r w:rsidR="00745FE5">
        <w:rPr>
          <w:rFonts w:ascii="Arial" w:hAnsi="Arial" w:cs="Arial"/>
        </w:rPr>
        <w:t xml:space="preserve"> </w:t>
      </w:r>
      <w:r w:rsidR="00DB25A6">
        <w:rPr>
          <w:rFonts w:ascii="Arial" w:hAnsi="Arial" w:cs="Arial"/>
        </w:rPr>
        <w:t>T</w:t>
      </w:r>
      <w:r w:rsidR="00D832F3">
        <w:rPr>
          <w:rFonts w:ascii="Arial" w:hAnsi="Arial" w:cs="Arial"/>
        </w:rPr>
        <w:t>he</w:t>
      </w:r>
      <w:r w:rsidR="00745FE5">
        <w:rPr>
          <w:rFonts w:ascii="Arial" w:hAnsi="Arial" w:cs="Arial"/>
        </w:rPr>
        <w:t xml:space="preserve"> annual report</w:t>
      </w:r>
      <w:r w:rsidR="00D832F3">
        <w:rPr>
          <w:rFonts w:ascii="Arial" w:hAnsi="Arial" w:cs="Arial"/>
        </w:rPr>
        <w:t>s</w:t>
      </w:r>
      <w:r w:rsidR="00745FE5">
        <w:rPr>
          <w:rFonts w:ascii="Arial" w:hAnsi="Arial" w:cs="Arial"/>
        </w:rPr>
        <w:t xml:space="preserve"> for the Metropolitan Railway </w:t>
      </w:r>
      <w:r w:rsidR="00D832F3">
        <w:rPr>
          <w:rFonts w:ascii="Arial" w:hAnsi="Arial" w:cs="Arial"/>
        </w:rPr>
        <w:t xml:space="preserve">for 1920, 1925, 1929 and 1932 </w:t>
      </w:r>
      <w:r w:rsidR="00DB25A6">
        <w:rPr>
          <w:rFonts w:ascii="Arial" w:hAnsi="Arial" w:cs="Arial"/>
        </w:rPr>
        <w:t xml:space="preserve">are missing </w:t>
      </w:r>
      <w:r w:rsidR="00D832F3">
        <w:rPr>
          <w:rFonts w:ascii="Arial" w:hAnsi="Arial" w:cs="Arial"/>
        </w:rPr>
        <w:t>in</w:t>
      </w:r>
      <w:r w:rsidR="00745FE5">
        <w:rPr>
          <w:rFonts w:ascii="Arial" w:hAnsi="Arial" w:cs="Arial"/>
        </w:rPr>
        <w:t xml:space="preserve"> the archive, but </w:t>
      </w:r>
      <w:r w:rsidR="00DB25A6">
        <w:rPr>
          <w:rFonts w:ascii="Arial" w:hAnsi="Arial" w:cs="Arial"/>
        </w:rPr>
        <w:t>we</w:t>
      </w:r>
      <w:r w:rsidR="00672AB7">
        <w:rPr>
          <w:rFonts w:ascii="Arial" w:hAnsi="Arial" w:cs="Arial"/>
        </w:rPr>
        <w:t xml:space="preserve"> </w:t>
      </w:r>
      <w:r w:rsidR="006704AB">
        <w:rPr>
          <w:rFonts w:ascii="Arial" w:hAnsi="Arial" w:cs="Arial"/>
        </w:rPr>
        <w:t>consider</w:t>
      </w:r>
      <w:r w:rsidR="00672AB7">
        <w:rPr>
          <w:rFonts w:ascii="Arial" w:hAnsi="Arial" w:cs="Arial"/>
        </w:rPr>
        <w:t xml:space="preserve"> that </w:t>
      </w:r>
      <w:r w:rsidR="00745FE5">
        <w:rPr>
          <w:rFonts w:ascii="Arial" w:hAnsi="Arial" w:cs="Arial"/>
        </w:rPr>
        <w:t xml:space="preserve">the remaining records are sufficient to discern </w:t>
      </w:r>
      <w:r w:rsidR="00672AB7">
        <w:rPr>
          <w:rFonts w:ascii="Arial" w:hAnsi="Arial" w:cs="Arial"/>
        </w:rPr>
        <w:t xml:space="preserve">the </w:t>
      </w:r>
      <w:r w:rsidR="00745FE5">
        <w:rPr>
          <w:rFonts w:ascii="Arial" w:hAnsi="Arial" w:cs="Arial"/>
        </w:rPr>
        <w:t>trends.</w:t>
      </w:r>
      <w:r w:rsidR="00C17ECB">
        <w:rPr>
          <w:rFonts w:ascii="Arial" w:hAnsi="Arial" w:cs="Arial"/>
        </w:rPr>
        <w:t xml:space="preserve"> </w:t>
      </w:r>
    </w:p>
    <w:p w14:paraId="207DABAD" w14:textId="0895492E" w:rsidR="00780B18" w:rsidRDefault="00780B18" w:rsidP="00F44900">
      <w:pPr>
        <w:spacing w:after="0" w:line="480" w:lineRule="auto"/>
        <w:ind w:firstLine="720"/>
        <w:rPr>
          <w:rFonts w:ascii="Arial" w:hAnsi="Arial" w:cs="Arial"/>
        </w:rPr>
      </w:pPr>
      <w:r>
        <w:rPr>
          <w:rFonts w:ascii="Arial" w:hAnsi="Arial" w:cs="Arial"/>
        </w:rPr>
        <w:t>As we</w:t>
      </w:r>
      <w:r w:rsidR="004A2DAB">
        <w:rPr>
          <w:rFonts w:ascii="Arial" w:hAnsi="Arial" w:cs="Arial"/>
        </w:rPr>
        <w:t xml:space="preserve"> explained,</w:t>
      </w:r>
      <w:r>
        <w:rPr>
          <w:rFonts w:ascii="Arial" w:hAnsi="Arial" w:cs="Arial"/>
        </w:rPr>
        <w:t xml:space="preserve"> both the specific literature concerning the creation of London Transport as well as much literature about hybrids in general couches its arguments in terms of statistical and economic data. We want to test those claims in their own terms, and we have selected a variety of common</w:t>
      </w:r>
      <w:r w:rsidR="00595AA4">
        <w:rPr>
          <w:rFonts w:ascii="Arial" w:hAnsi="Arial" w:cs="Arial"/>
        </w:rPr>
        <w:t>ly used</w:t>
      </w:r>
      <w:r>
        <w:rPr>
          <w:rFonts w:ascii="Arial" w:hAnsi="Arial" w:cs="Arial"/>
        </w:rPr>
        <w:t xml:space="preserve"> accounting formulae and service statistics to make valid, reliable judgements about London Transport’s performance before and after hybridisation</w:t>
      </w:r>
      <w:r w:rsidR="00595AA4">
        <w:rPr>
          <w:rFonts w:ascii="Arial" w:hAnsi="Arial" w:cs="Arial"/>
        </w:rPr>
        <w:t xml:space="preserve"> (</w:t>
      </w:r>
      <w:r w:rsidR="00595AA4" w:rsidRPr="00595AA4">
        <w:rPr>
          <w:rFonts w:ascii="Arial" w:hAnsi="Arial" w:cs="Arial"/>
        </w:rPr>
        <w:t>Holmes et al. 2005; Parker, 2007; Walsh &amp; Warner, 2015</w:t>
      </w:r>
      <w:r w:rsidR="00595AA4">
        <w:rPr>
          <w:rFonts w:ascii="Arial" w:hAnsi="Arial" w:cs="Arial"/>
        </w:rPr>
        <w:t>)</w:t>
      </w:r>
      <w:r>
        <w:rPr>
          <w:rFonts w:ascii="Arial" w:hAnsi="Arial" w:cs="Arial"/>
        </w:rPr>
        <w:t xml:space="preserve">. </w:t>
      </w:r>
    </w:p>
    <w:p w14:paraId="61C7A871" w14:textId="77777777" w:rsidR="00F44900" w:rsidRDefault="00F44900" w:rsidP="008C277D">
      <w:pPr>
        <w:spacing w:after="0" w:line="480" w:lineRule="auto"/>
        <w:rPr>
          <w:rFonts w:ascii="Arial" w:hAnsi="Arial" w:cs="Arial"/>
          <w:noProof/>
        </w:rPr>
      </w:pPr>
    </w:p>
    <w:p w14:paraId="717E8B36" w14:textId="72848AA4" w:rsidR="00021C1F" w:rsidRDefault="00021C1F" w:rsidP="00F44900">
      <w:pPr>
        <w:spacing w:after="0" w:line="480" w:lineRule="auto"/>
        <w:jc w:val="center"/>
        <w:rPr>
          <w:rFonts w:ascii="Arial" w:hAnsi="Arial" w:cs="Arial"/>
          <w:noProof/>
        </w:rPr>
      </w:pPr>
      <w:r>
        <w:rPr>
          <w:rFonts w:ascii="Arial" w:hAnsi="Arial" w:cs="Arial"/>
          <w:noProof/>
        </w:rPr>
        <w:t>(Insert Table I about here)</w:t>
      </w:r>
    </w:p>
    <w:p w14:paraId="681C2E3C" w14:textId="77777777" w:rsidR="00F44900" w:rsidRDefault="00F44900" w:rsidP="00F44900">
      <w:pPr>
        <w:spacing w:after="0" w:line="480" w:lineRule="auto"/>
        <w:rPr>
          <w:rFonts w:ascii="Arial" w:hAnsi="Arial" w:cs="Arial"/>
        </w:rPr>
      </w:pPr>
    </w:p>
    <w:p w14:paraId="71256208" w14:textId="4395E26C" w:rsidR="008C277D" w:rsidRPr="008C277D" w:rsidRDefault="00F90650" w:rsidP="00F44900">
      <w:pPr>
        <w:spacing w:after="0" w:line="480" w:lineRule="auto"/>
        <w:rPr>
          <w:rFonts w:ascii="MinionPro" w:hAnsi="MinionPro"/>
          <w:sz w:val="20"/>
          <w:szCs w:val="20"/>
        </w:rPr>
      </w:pPr>
      <w:r>
        <w:rPr>
          <w:rFonts w:ascii="Arial" w:hAnsi="Arial" w:cs="Arial"/>
        </w:rPr>
        <w:lastRenderedPageBreak/>
        <w:t>In addition, we used</w:t>
      </w:r>
      <w:r w:rsidR="00AB0C33">
        <w:rPr>
          <w:rFonts w:ascii="Arial" w:hAnsi="Arial" w:cs="Arial"/>
        </w:rPr>
        <w:t xml:space="preserve"> qualitative records to help</w:t>
      </w:r>
      <w:r w:rsidR="00B25A83">
        <w:rPr>
          <w:rFonts w:ascii="Arial" w:hAnsi="Arial" w:cs="Arial"/>
        </w:rPr>
        <w:t xml:space="preserve"> us examine the </w:t>
      </w:r>
      <w:r w:rsidR="00DA26AE">
        <w:rPr>
          <w:rFonts w:ascii="Arial" w:hAnsi="Arial" w:cs="Arial"/>
        </w:rPr>
        <w:t>role of politics and the evolution of institutional logics</w:t>
      </w:r>
      <w:r w:rsidR="00AE30D7">
        <w:rPr>
          <w:rFonts w:ascii="Arial" w:hAnsi="Arial" w:cs="Arial"/>
        </w:rPr>
        <w:t xml:space="preserve">. </w:t>
      </w:r>
      <w:r w:rsidR="008C277D" w:rsidRPr="00780B18">
        <w:rPr>
          <w:rFonts w:ascii="Arial" w:hAnsi="Arial" w:cs="Arial"/>
        </w:rPr>
        <w:t>We followed Eisenhardt’s (1989) claim that linking to existing theory enhances the internal validity and level of theory building from case research. Considering public and quasi-public management theory, because our case shared cosmetic similarity to that described in the public–private partnership literature (</w:t>
      </w:r>
      <w:proofErr w:type="gramStart"/>
      <w:r w:rsidR="008C277D" w:rsidRPr="00780B18">
        <w:rPr>
          <w:rFonts w:ascii="Arial" w:hAnsi="Arial" w:cs="Arial"/>
        </w:rPr>
        <w:t>e.g.</w:t>
      </w:r>
      <w:proofErr w:type="gramEnd"/>
      <w:r w:rsidR="008C277D" w:rsidRPr="00780B18">
        <w:rPr>
          <w:rFonts w:ascii="Arial" w:hAnsi="Arial" w:cs="Arial"/>
        </w:rPr>
        <w:t xml:space="preserve"> </w:t>
      </w:r>
      <w:proofErr w:type="spellStart"/>
      <w:r w:rsidR="008C277D" w:rsidRPr="00780B18">
        <w:rPr>
          <w:rFonts w:ascii="Arial" w:hAnsi="Arial" w:cs="Arial"/>
        </w:rPr>
        <w:t>Skelcher</w:t>
      </w:r>
      <w:proofErr w:type="spellEnd"/>
      <w:r w:rsidR="008C277D" w:rsidRPr="00780B18">
        <w:rPr>
          <w:rFonts w:ascii="Arial" w:hAnsi="Arial" w:cs="Arial"/>
        </w:rPr>
        <w:t xml:space="preserve"> 2005).  Consistent with Gillett and Tennent’s (2018) study </w:t>
      </w:r>
      <w:r w:rsidR="004A2DAB">
        <w:rPr>
          <w:rFonts w:ascii="Arial" w:hAnsi="Arial" w:cs="Arial"/>
        </w:rPr>
        <w:t xml:space="preserve">of </w:t>
      </w:r>
      <w:r w:rsidR="008C277D" w:rsidRPr="00780B18">
        <w:rPr>
          <w:rFonts w:ascii="Arial" w:hAnsi="Arial" w:cs="Arial"/>
        </w:rPr>
        <w:t>relationships between public authorities and private business, we identified ‘hybridity’ and ‘institutional logics’ as two applicable concepts, which were also compatible with one another to enhance the explanatory power of our research.</w:t>
      </w:r>
    </w:p>
    <w:p w14:paraId="01A5836F" w14:textId="59F4B33A" w:rsidR="00B25A83" w:rsidRDefault="008C277D" w:rsidP="00F44900">
      <w:pPr>
        <w:spacing w:after="0" w:line="480" w:lineRule="auto"/>
        <w:ind w:firstLine="720"/>
        <w:rPr>
          <w:rFonts w:ascii="Arial" w:hAnsi="Arial" w:cs="Arial"/>
        </w:rPr>
      </w:pPr>
      <w:r>
        <w:rPr>
          <w:rFonts w:ascii="Arial" w:hAnsi="Arial" w:cs="Arial"/>
        </w:rPr>
        <w:t>T</w:t>
      </w:r>
      <w:r w:rsidR="00AE30D7">
        <w:rPr>
          <w:rFonts w:ascii="Arial" w:hAnsi="Arial" w:cs="Arial"/>
        </w:rPr>
        <w:t xml:space="preserve">he </w:t>
      </w:r>
      <w:r w:rsidR="00AB0C33">
        <w:rPr>
          <w:rFonts w:ascii="Arial" w:hAnsi="Arial" w:cs="Arial"/>
        </w:rPr>
        <w:t xml:space="preserve">qualitative evidence covers </w:t>
      </w:r>
      <w:r w:rsidR="00AE30D7">
        <w:rPr>
          <w:rFonts w:ascii="Arial" w:hAnsi="Arial" w:cs="Arial"/>
        </w:rPr>
        <w:t>company reports describing, explaining or justifying the financial results. There is a large business correspondence between the key actors, minutes of their meetings and memoirs published after the events</w:t>
      </w:r>
      <w:r w:rsidR="00B25A83">
        <w:rPr>
          <w:rFonts w:ascii="Arial" w:hAnsi="Arial" w:cs="Arial"/>
        </w:rPr>
        <w:t xml:space="preserve"> and a large volume of evidence in newspapers and in parliamentary records of debates at the time</w:t>
      </w:r>
      <w:r w:rsidR="00AE30D7">
        <w:rPr>
          <w:rFonts w:ascii="Arial" w:hAnsi="Arial" w:cs="Arial"/>
        </w:rPr>
        <w:t xml:space="preserve">. </w:t>
      </w:r>
      <w:r w:rsidR="00AB0C33">
        <w:rPr>
          <w:rFonts w:ascii="Arial" w:hAnsi="Arial" w:cs="Arial"/>
        </w:rPr>
        <w:t>Through this w</w:t>
      </w:r>
      <w:r w:rsidR="00B25A83">
        <w:rPr>
          <w:rFonts w:ascii="Arial" w:hAnsi="Arial" w:cs="Arial"/>
        </w:rPr>
        <w:t>e can assess changes in logics at London Transport by u</w:t>
      </w:r>
      <w:r w:rsidR="00D9693B">
        <w:rPr>
          <w:rFonts w:ascii="Arial" w:hAnsi="Arial" w:cs="Arial"/>
        </w:rPr>
        <w:t>sing elements of Reay &amp; Jones’s (2016) pattern matching method to qualitatively capture</w:t>
      </w:r>
      <w:r w:rsidR="006704AB">
        <w:rPr>
          <w:rFonts w:ascii="Arial" w:hAnsi="Arial" w:cs="Arial"/>
        </w:rPr>
        <w:t xml:space="preserve"> </w:t>
      </w:r>
      <w:r w:rsidR="00D9693B">
        <w:rPr>
          <w:rFonts w:ascii="Arial" w:hAnsi="Arial" w:cs="Arial"/>
        </w:rPr>
        <w:t>institutional logics</w:t>
      </w:r>
      <w:r w:rsidR="007927EF">
        <w:rPr>
          <w:rFonts w:ascii="Arial" w:hAnsi="Arial" w:cs="Arial"/>
        </w:rPr>
        <w:t xml:space="preserve"> we compared </w:t>
      </w:r>
      <w:r w:rsidR="00F74A57">
        <w:rPr>
          <w:rFonts w:ascii="Arial" w:hAnsi="Arial" w:cs="Arial"/>
        </w:rPr>
        <w:t>our data</w:t>
      </w:r>
      <w:r w:rsidR="007927EF">
        <w:rPr>
          <w:rFonts w:ascii="Arial" w:hAnsi="Arial" w:cs="Arial"/>
        </w:rPr>
        <w:t xml:space="preserve"> against an ‘ideal’ type of </w:t>
      </w:r>
      <w:r w:rsidR="00F74A57">
        <w:rPr>
          <w:rFonts w:ascii="Arial" w:hAnsi="Arial" w:cs="Arial"/>
        </w:rPr>
        <w:t xml:space="preserve">institutional order </w:t>
      </w:r>
      <w:r w:rsidR="008A417F">
        <w:rPr>
          <w:rFonts w:ascii="Arial" w:hAnsi="Arial" w:cs="Arial"/>
        </w:rPr>
        <w:t xml:space="preserve">shown in the diagram below </w:t>
      </w:r>
      <w:r w:rsidR="00F74A57">
        <w:rPr>
          <w:rFonts w:ascii="Arial" w:hAnsi="Arial" w:cs="Arial"/>
        </w:rPr>
        <w:t>(Thornton, 2004)</w:t>
      </w:r>
      <w:r w:rsidR="00B25A83">
        <w:rPr>
          <w:rFonts w:ascii="Arial" w:hAnsi="Arial" w:cs="Arial"/>
        </w:rPr>
        <w:t>.</w:t>
      </w:r>
      <w:r w:rsidR="007927EF">
        <w:rPr>
          <w:rFonts w:ascii="Arial" w:hAnsi="Arial" w:cs="Arial"/>
        </w:rPr>
        <w:t xml:space="preserve"> </w:t>
      </w:r>
      <w:r w:rsidR="00B25A83">
        <w:rPr>
          <w:rFonts w:ascii="Arial" w:hAnsi="Arial" w:cs="Arial"/>
        </w:rPr>
        <w:t xml:space="preserve">This is </w:t>
      </w:r>
      <w:r w:rsidR="003C26AA">
        <w:rPr>
          <w:rFonts w:ascii="Arial" w:hAnsi="Arial" w:cs="Arial"/>
        </w:rPr>
        <w:t xml:space="preserve">especially </w:t>
      </w:r>
      <w:r w:rsidR="00AB0C33">
        <w:rPr>
          <w:rFonts w:ascii="Arial" w:hAnsi="Arial" w:cs="Arial"/>
        </w:rPr>
        <w:t xml:space="preserve">so </w:t>
      </w:r>
      <w:r w:rsidR="003C26AA">
        <w:rPr>
          <w:rFonts w:ascii="Arial" w:hAnsi="Arial" w:cs="Arial"/>
        </w:rPr>
        <w:t xml:space="preserve">where </w:t>
      </w:r>
      <w:r w:rsidR="00B25A83">
        <w:rPr>
          <w:rFonts w:ascii="Arial" w:hAnsi="Arial" w:cs="Arial"/>
        </w:rPr>
        <w:t>quantitative data</w:t>
      </w:r>
      <w:r w:rsidR="003C26AA">
        <w:rPr>
          <w:rFonts w:ascii="Arial" w:hAnsi="Arial" w:cs="Arial"/>
        </w:rPr>
        <w:t xml:space="preserve"> give</w:t>
      </w:r>
      <w:r w:rsidR="00B25A83">
        <w:rPr>
          <w:rFonts w:ascii="Arial" w:hAnsi="Arial" w:cs="Arial"/>
        </w:rPr>
        <w:t>s</w:t>
      </w:r>
      <w:r w:rsidR="003C26AA">
        <w:rPr>
          <w:rFonts w:ascii="Arial" w:hAnsi="Arial" w:cs="Arial"/>
        </w:rPr>
        <w:t xml:space="preserve"> unexpected or apparently incongruous </w:t>
      </w:r>
      <w:r w:rsidR="007927EF">
        <w:rPr>
          <w:rFonts w:ascii="Arial" w:hAnsi="Arial" w:cs="Arial"/>
        </w:rPr>
        <w:t>results</w:t>
      </w:r>
      <w:r w:rsidR="00B25A83">
        <w:rPr>
          <w:rFonts w:ascii="Arial" w:hAnsi="Arial" w:cs="Arial"/>
        </w:rPr>
        <w:t xml:space="preserve"> which benefit from</w:t>
      </w:r>
      <w:r w:rsidR="007927EF">
        <w:rPr>
          <w:rFonts w:ascii="Arial" w:hAnsi="Arial" w:cs="Arial"/>
        </w:rPr>
        <w:t xml:space="preserve"> </w:t>
      </w:r>
      <w:r w:rsidR="007927EF" w:rsidRPr="00CE33E4">
        <w:rPr>
          <w:rFonts w:ascii="Arial" w:hAnsi="Arial" w:cs="Arial"/>
        </w:rPr>
        <w:t>historical interpretation of the</w:t>
      </w:r>
      <w:r w:rsidR="007927EF">
        <w:rPr>
          <w:rFonts w:ascii="Arial" w:hAnsi="Arial" w:cs="Arial"/>
        </w:rPr>
        <w:t xml:space="preserve"> events and</w:t>
      </w:r>
      <w:r w:rsidR="007927EF" w:rsidRPr="00CE33E4">
        <w:rPr>
          <w:rFonts w:ascii="Arial" w:hAnsi="Arial" w:cs="Arial"/>
        </w:rPr>
        <w:t xml:space="preserve"> </w:t>
      </w:r>
      <w:r w:rsidR="007927EF">
        <w:rPr>
          <w:rFonts w:ascii="Arial" w:hAnsi="Arial" w:cs="Arial"/>
        </w:rPr>
        <w:t>figures in the discussion of the results.</w:t>
      </w:r>
      <w:r w:rsidR="00CD725C">
        <w:rPr>
          <w:rFonts w:ascii="Arial" w:hAnsi="Arial" w:cs="Arial"/>
        </w:rPr>
        <w:t xml:space="preserve"> </w:t>
      </w:r>
      <w:r w:rsidR="00B25A83">
        <w:rPr>
          <w:rFonts w:ascii="Arial" w:hAnsi="Arial" w:cs="Arial"/>
        </w:rPr>
        <w:t xml:space="preserve">Lastly, we interpret our archival evidence through </w:t>
      </w:r>
      <w:r w:rsidR="007E3902">
        <w:rPr>
          <w:rFonts w:ascii="Arial" w:hAnsi="Arial" w:cs="Arial"/>
        </w:rPr>
        <w:t xml:space="preserve">a </w:t>
      </w:r>
      <w:r w:rsidR="00B25A83">
        <w:rPr>
          <w:rFonts w:ascii="Arial" w:hAnsi="Arial" w:cs="Arial"/>
        </w:rPr>
        <w:t>typology of change in institutional logics to discern what new blend of logic was inherent in the newly created London Transport.</w:t>
      </w:r>
      <w:r w:rsidR="00D079A5">
        <w:rPr>
          <w:rFonts w:ascii="Arial" w:hAnsi="Arial" w:cs="Arial"/>
        </w:rPr>
        <w:t xml:space="preserve"> Thornton et al. (2012) </w:t>
      </w:r>
      <w:proofErr w:type="gramStart"/>
      <w:r w:rsidR="00D079A5">
        <w:rPr>
          <w:rFonts w:ascii="Arial" w:hAnsi="Arial" w:cs="Arial"/>
        </w:rPr>
        <w:t>offer</w:t>
      </w:r>
      <w:proofErr w:type="gramEnd"/>
      <w:r w:rsidR="00D079A5">
        <w:rPr>
          <w:rFonts w:ascii="Arial" w:hAnsi="Arial" w:cs="Arial"/>
        </w:rPr>
        <w:t xml:space="preserve"> the following taxonomy which we use to frame our interpretation</w:t>
      </w:r>
      <w:r w:rsidR="007E3902">
        <w:rPr>
          <w:rFonts w:ascii="Arial" w:hAnsi="Arial" w:cs="Arial"/>
        </w:rPr>
        <w:t xml:space="preserve"> of the primary evidence</w:t>
      </w:r>
      <w:r w:rsidR="00D079A5">
        <w:rPr>
          <w:rFonts w:ascii="Arial" w:hAnsi="Arial" w:cs="Arial"/>
        </w:rPr>
        <w:t>:</w:t>
      </w:r>
      <w:r w:rsidR="00B25A83">
        <w:rPr>
          <w:rFonts w:ascii="Arial" w:hAnsi="Arial" w:cs="Arial"/>
        </w:rPr>
        <w:t xml:space="preserve"> </w:t>
      </w:r>
    </w:p>
    <w:p w14:paraId="7B8700A6" w14:textId="77777777" w:rsidR="00F44900" w:rsidRDefault="00F44900" w:rsidP="00021C1F">
      <w:pPr>
        <w:spacing w:after="0" w:line="480" w:lineRule="auto"/>
        <w:rPr>
          <w:rFonts w:ascii="Arial" w:hAnsi="Arial" w:cs="Arial"/>
        </w:rPr>
      </w:pPr>
    </w:p>
    <w:p w14:paraId="7006913C" w14:textId="1B8C96EF" w:rsidR="0067681A" w:rsidRDefault="00021C1F" w:rsidP="00F44900">
      <w:pPr>
        <w:spacing w:after="0" w:line="480" w:lineRule="auto"/>
        <w:jc w:val="center"/>
        <w:rPr>
          <w:rFonts w:ascii="Arial" w:hAnsi="Arial" w:cs="Arial"/>
        </w:rPr>
      </w:pPr>
      <w:r>
        <w:rPr>
          <w:rFonts w:ascii="Arial" w:hAnsi="Arial" w:cs="Arial"/>
        </w:rPr>
        <w:t>(Insert Tables II and III about here)</w:t>
      </w:r>
    </w:p>
    <w:p w14:paraId="3DEE1ABD" w14:textId="77777777" w:rsidR="00F44900" w:rsidRDefault="00F44900" w:rsidP="00DD1B53">
      <w:pPr>
        <w:spacing w:after="0" w:line="480" w:lineRule="auto"/>
        <w:rPr>
          <w:rFonts w:ascii="Arial" w:hAnsi="Arial" w:cs="Arial"/>
        </w:rPr>
      </w:pPr>
    </w:p>
    <w:p w14:paraId="7051C1EE" w14:textId="0530D87E" w:rsidR="005A3C74" w:rsidRDefault="00520F45" w:rsidP="00F44900">
      <w:pPr>
        <w:spacing w:after="0" w:line="480" w:lineRule="auto"/>
        <w:rPr>
          <w:rFonts w:ascii="Arial" w:hAnsi="Arial" w:cs="Arial"/>
        </w:rPr>
      </w:pPr>
      <w:r>
        <w:rPr>
          <w:rFonts w:ascii="Arial" w:hAnsi="Arial" w:cs="Arial"/>
        </w:rPr>
        <w:t>The case study approach to research contains two significant weaknesses relating to generalisability. Firstly, that the data itself is drawn too narrowly to reliably infer trends</w:t>
      </w:r>
      <w:r w:rsidR="00DB3540">
        <w:rPr>
          <w:rFonts w:ascii="Arial" w:hAnsi="Arial" w:cs="Arial"/>
        </w:rPr>
        <w:t xml:space="preserve"> within the context of the study</w:t>
      </w:r>
      <w:r>
        <w:rPr>
          <w:rFonts w:ascii="Arial" w:hAnsi="Arial" w:cs="Arial"/>
        </w:rPr>
        <w:t>.</w:t>
      </w:r>
      <w:r w:rsidR="00C17ECB">
        <w:rPr>
          <w:rFonts w:ascii="Arial" w:hAnsi="Arial" w:cs="Arial"/>
        </w:rPr>
        <w:t xml:space="preserve"> </w:t>
      </w:r>
      <w:r w:rsidR="00DA26AE">
        <w:rPr>
          <w:rFonts w:ascii="Arial" w:hAnsi="Arial" w:cs="Arial"/>
        </w:rPr>
        <w:t>Here we argue that</w:t>
      </w:r>
      <w:r>
        <w:rPr>
          <w:rFonts w:ascii="Arial" w:hAnsi="Arial" w:cs="Arial"/>
        </w:rPr>
        <w:t xml:space="preserve"> as</w:t>
      </w:r>
      <w:r w:rsidR="00D9693B">
        <w:rPr>
          <w:rFonts w:ascii="Arial" w:hAnsi="Arial" w:cs="Arial"/>
        </w:rPr>
        <w:t xml:space="preserve"> </w:t>
      </w:r>
      <w:r w:rsidR="00D9693B" w:rsidRPr="00CE33E4">
        <w:rPr>
          <w:rFonts w:ascii="Arial" w:hAnsi="Arial" w:cs="Arial"/>
        </w:rPr>
        <w:t xml:space="preserve">the primary data is </w:t>
      </w:r>
      <w:r w:rsidR="00D9693B">
        <w:rPr>
          <w:rFonts w:ascii="Arial" w:hAnsi="Arial" w:cs="Arial"/>
        </w:rPr>
        <w:t xml:space="preserve">drawn from a 30-year </w:t>
      </w:r>
      <w:r w:rsidR="00D9693B">
        <w:rPr>
          <w:rFonts w:ascii="Arial" w:hAnsi="Arial" w:cs="Arial"/>
        </w:rPr>
        <w:lastRenderedPageBreak/>
        <w:t>period</w:t>
      </w:r>
      <w:r w:rsidR="00DA26AE">
        <w:rPr>
          <w:rFonts w:ascii="Arial" w:hAnsi="Arial" w:cs="Arial"/>
        </w:rPr>
        <w:t>,</w:t>
      </w:r>
      <w:r w:rsidR="008B563F">
        <w:rPr>
          <w:rFonts w:ascii="Arial" w:hAnsi="Arial" w:cs="Arial"/>
        </w:rPr>
        <w:t xml:space="preserve"> </w:t>
      </w:r>
      <w:r w:rsidR="00D9693B" w:rsidRPr="00CE33E4">
        <w:rPr>
          <w:rFonts w:ascii="Arial" w:hAnsi="Arial" w:cs="Arial"/>
        </w:rPr>
        <w:t>anomalies</w:t>
      </w:r>
      <w:r w:rsidR="008B563F">
        <w:rPr>
          <w:rFonts w:ascii="Arial" w:hAnsi="Arial" w:cs="Arial"/>
        </w:rPr>
        <w:t xml:space="preserve"> </w:t>
      </w:r>
      <w:r w:rsidR="00DA26AE">
        <w:rPr>
          <w:rFonts w:ascii="Arial" w:hAnsi="Arial" w:cs="Arial"/>
        </w:rPr>
        <w:t>can</w:t>
      </w:r>
      <w:r w:rsidR="008B563F">
        <w:rPr>
          <w:rFonts w:ascii="Arial" w:hAnsi="Arial" w:cs="Arial"/>
        </w:rPr>
        <w:t xml:space="preserve"> be identified and contextualised</w:t>
      </w:r>
      <w:r w:rsidR="00D9693B" w:rsidRPr="00CE33E4">
        <w:rPr>
          <w:rFonts w:ascii="Arial" w:hAnsi="Arial" w:cs="Arial"/>
        </w:rPr>
        <w:t>.</w:t>
      </w:r>
      <w:r w:rsidR="00D9693B">
        <w:rPr>
          <w:rFonts w:ascii="Arial" w:hAnsi="Arial" w:cs="Arial"/>
        </w:rPr>
        <w:t xml:space="preserve"> </w:t>
      </w:r>
      <w:r>
        <w:rPr>
          <w:rFonts w:ascii="Arial" w:hAnsi="Arial" w:cs="Arial"/>
        </w:rPr>
        <w:t xml:space="preserve">The second weakness is </w:t>
      </w:r>
      <w:r w:rsidR="00DB3540">
        <w:rPr>
          <w:rFonts w:ascii="Arial" w:hAnsi="Arial" w:cs="Arial"/>
        </w:rPr>
        <w:t>th</w:t>
      </w:r>
      <w:r w:rsidR="00DA26AE">
        <w:rPr>
          <w:rFonts w:ascii="Arial" w:hAnsi="Arial" w:cs="Arial"/>
        </w:rPr>
        <w:t xml:space="preserve">at the </w:t>
      </w:r>
      <w:r>
        <w:rPr>
          <w:rFonts w:ascii="Arial" w:hAnsi="Arial" w:cs="Arial"/>
        </w:rPr>
        <w:t>London Transport was just one example of a hybrid organisation</w:t>
      </w:r>
      <w:r w:rsidR="00DA26AE">
        <w:rPr>
          <w:rFonts w:ascii="Arial" w:hAnsi="Arial" w:cs="Arial"/>
        </w:rPr>
        <w:t xml:space="preserve"> in particular circumstances.</w:t>
      </w:r>
      <w:r w:rsidR="00DB3540">
        <w:rPr>
          <w:rFonts w:ascii="Arial" w:hAnsi="Arial" w:cs="Arial"/>
        </w:rPr>
        <w:t xml:space="preserve"> We acknowledge this criticism but argue </w:t>
      </w:r>
      <w:r w:rsidR="005F670A" w:rsidRPr="005F670A">
        <w:rPr>
          <w:rFonts w:ascii="Arial" w:hAnsi="Arial" w:cs="Arial"/>
          <w:color w:val="2F5496" w:themeColor="accent1" w:themeShade="BF"/>
        </w:rPr>
        <w:t>for several mitigatory factors</w:t>
      </w:r>
      <w:r w:rsidR="005F670A">
        <w:rPr>
          <w:rFonts w:ascii="Arial" w:hAnsi="Arial" w:cs="Arial"/>
        </w:rPr>
        <w:t xml:space="preserve">. </w:t>
      </w:r>
      <w:r w:rsidR="005F670A" w:rsidRPr="005F670A">
        <w:rPr>
          <w:rFonts w:ascii="Arial" w:hAnsi="Arial" w:cs="Arial"/>
          <w:color w:val="2F5496" w:themeColor="accent1" w:themeShade="BF"/>
        </w:rPr>
        <w:t xml:space="preserve">Firstly, that London was a city of global </w:t>
      </w:r>
      <w:r w:rsidR="009752CA">
        <w:rPr>
          <w:rFonts w:ascii="Arial" w:hAnsi="Arial" w:cs="Arial"/>
          <w:color w:val="2F5496" w:themeColor="accent1" w:themeShade="BF"/>
        </w:rPr>
        <w:t>importance</w:t>
      </w:r>
      <w:r w:rsidR="005F670A" w:rsidRPr="005F670A">
        <w:rPr>
          <w:rFonts w:ascii="Arial" w:hAnsi="Arial" w:cs="Arial"/>
          <w:color w:val="2F5496" w:themeColor="accent1" w:themeShade="BF"/>
        </w:rPr>
        <w:t>, especially in the period we discuss</w:t>
      </w:r>
      <w:r w:rsidR="00A12479">
        <w:rPr>
          <w:rFonts w:ascii="Arial" w:hAnsi="Arial" w:cs="Arial"/>
          <w:color w:val="2F5496" w:themeColor="accent1" w:themeShade="BF"/>
        </w:rPr>
        <w:t>, and its sheer scale and influence ensures its enduring significance</w:t>
      </w:r>
      <w:r w:rsidR="005F670A" w:rsidRPr="005F670A">
        <w:rPr>
          <w:rFonts w:ascii="Arial" w:hAnsi="Arial" w:cs="Arial"/>
          <w:color w:val="2F5496" w:themeColor="accent1" w:themeShade="BF"/>
        </w:rPr>
        <w:t xml:space="preserve">. Secondly, we argue </w:t>
      </w:r>
      <w:r w:rsidR="00DB3540">
        <w:rPr>
          <w:rFonts w:ascii="Arial" w:hAnsi="Arial" w:cs="Arial"/>
        </w:rPr>
        <w:t xml:space="preserve">that conceding </w:t>
      </w:r>
      <w:r w:rsidR="00DA26AE">
        <w:rPr>
          <w:rFonts w:ascii="Arial" w:hAnsi="Arial" w:cs="Arial"/>
        </w:rPr>
        <w:t xml:space="preserve">some </w:t>
      </w:r>
      <w:r w:rsidR="00DB3540">
        <w:rPr>
          <w:rFonts w:ascii="Arial" w:hAnsi="Arial" w:cs="Arial"/>
        </w:rPr>
        <w:t xml:space="preserve">applicability for fidelity is an acceptable trade-off. What singular accounts give up in terms of generalisability they gain in terms of fidelity and contextual accuracy (Bryant, 2000). </w:t>
      </w:r>
      <w:r w:rsidR="005A3C74" w:rsidRPr="00DA26AE">
        <w:rPr>
          <w:rFonts w:ascii="Arial" w:hAnsi="Arial" w:cs="Arial"/>
        </w:rPr>
        <w:t>The case does however demonstrate the generalizability of the principles of hybridity and institutional logics to be equally applicable to the first half of the 20</w:t>
      </w:r>
      <w:r w:rsidR="005A3C74" w:rsidRPr="00DA26AE">
        <w:rPr>
          <w:rFonts w:ascii="Arial" w:hAnsi="Arial" w:cs="Arial"/>
          <w:vertAlign w:val="superscript"/>
        </w:rPr>
        <w:t>th</w:t>
      </w:r>
      <w:r w:rsidR="005A3C74" w:rsidRPr="00DA26AE">
        <w:rPr>
          <w:rFonts w:ascii="Arial" w:hAnsi="Arial" w:cs="Arial"/>
        </w:rPr>
        <w:t xml:space="preserve"> Century, thus broadening the evidence base for their temporal scope.  This is important because extant literature focuses either mainly on the 21</w:t>
      </w:r>
      <w:r w:rsidR="005A3C74" w:rsidRPr="00DA26AE">
        <w:rPr>
          <w:rFonts w:ascii="Arial" w:hAnsi="Arial" w:cs="Arial"/>
          <w:vertAlign w:val="superscript"/>
        </w:rPr>
        <w:t>st</w:t>
      </w:r>
      <w:r w:rsidR="005A3C74" w:rsidRPr="00DA26AE">
        <w:rPr>
          <w:rFonts w:ascii="Arial" w:hAnsi="Arial" w:cs="Arial"/>
        </w:rPr>
        <w:t xml:space="preserve"> century context but with some longitudinal element (</w:t>
      </w:r>
      <w:proofErr w:type="gramStart"/>
      <w:r w:rsidR="005A3C74" w:rsidRPr="00DA26AE">
        <w:rPr>
          <w:rFonts w:ascii="Arial" w:hAnsi="Arial" w:cs="Arial"/>
        </w:rPr>
        <w:t>e.g.</w:t>
      </w:r>
      <w:proofErr w:type="gramEnd"/>
      <w:r w:rsidR="005A3C74" w:rsidRPr="00DA26AE">
        <w:rPr>
          <w:rFonts w:ascii="Arial" w:hAnsi="Arial" w:cs="Arial"/>
        </w:rPr>
        <w:t xml:space="preserve"> </w:t>
      </w:r>
      <w:proofErr w:type="spellStart"/>
      <w:r w:rsidR="005A3C74" w:rsidRPr="00DA26AE">
        <w:rPr>
          <w:rFonts w:ascii="Arial" w:hAnsi="Arial" w:cs="Arial"/>
        </w:rPr>
        <w:t>Pache</w:t>
      </w:r>
      <w:proofErr w:type="spellEnd"/>
      <w:r w:rsidR="005A3C74" w:rsidRPr="00DA26AE">
        <w:rPr>
          <w:rFonts w:ascii="Arial" w:hAnsi="Arial" w:cs="Arial"/>
        </w:rPr>
        <w:t xml:space="preserve"> and Santos, 2013) or is based upon cases situated within the latter half of the 20</w:t>
      </w:r>
      <w:r w:rsidR="005A3C74" w:rsidRPr="00DA26AE">
        <w:rPr>
          <w:rFonts w:ascii="Arial" w:hAnsi="Arial" w:cs="Arial"/>
          <w:vertAlign w:val="superscript"/>
        </w:rPr>
        <w:t>th</w:t>
      </w:r>
      <w:r w:rsidR="005A3C74" w:rsidRPr="00DA26AE">
        <w:rPr>
          <w:rFonts w:ascii="Arial" w:hAnsi="Arial" w:cs="Arial"/>
        </w:rPr>
        <w:t xml:space="preserve"> Century (e.g. Ba</w:t>
      </w:r>
      <w:r w:rsidR="008C277D" w:rsidRPr="00DA26AE">
        <w:rPr>
          <w:rFonts w:ascii="Arial" w:hAnsi="Arial" w:cs="Arial"/>
        </w:rPr>
        <w:t>t</w:t>
      </w:r>
      <w:r w:rsidR="005A3C74" w:rsidRPr="00DA26AE">
        <w:rPr>
          <w:rFonts w:ascii="Arial" w:hAnsi="Arial" w:cs="Arial"/>
        </w:rPr>
        <w:t>tilana and Dorado, 2010; Gillett and Tennent 2017; 2018; 2020; Thornton and Ocasio, 1999).</w:t>
      </w:r>
      <w:r w:rsidR="005A3C74">
        <w:rPr>
          <w:rFonts w:ascii="Arial" w:hAnsi="Arial" w:cs="Arial"/>
        </w:rPr>
        <w:t xml:space="preserve">  </w:t>
      </w:r>
    </w:p>
    <w:p w14:paraId="12F9BF81" w14:textId="77777777" w:rsidR="00F44900" w:rsidRDefault="00F44900" w:rsidP="00DD1B53">
      <w:pPr>
        <w:spacing w:after="0" w:line="480" w:lineRule="auto"/>
        <w:rPr>
          <w:rFonts w:ascii="Arial" w:hAnsi="Arial" w:cs="Arial"/>
          <w:b/>
          <w:bCs/>
        </w:rPr>
      </w:pPr>
    </w:p>
    <w:p w14:paraId="52E87CE6" w14:textId="1C26AE4F" w:rsidR="0031535D" w:rsidRPr="0031535D" w:rsidRDefault="0031535D" w:rsidP="00DD1B53">
      <w:pPr>
        <w:spacing w:after="0" w:line="480" w:lineRule="auto"/>
        <w:rPr>
          <w:rFonts w:ascii="Arial" w:hAnsi="Arial" w:cs="Arial"/>
          <w:b/>
          <w:bCs/>
        </w:rPr>
      </w:pPr>
      <w:r>
        <w:rPr>
          <w:rFonts w:ascii="Arial" w:hAnsi="Arial" w:cs="Arial"/>
          <w:b/>
          <w:bCs/>
        </w:rPr>
        <w:t>Findings and Discussion</w:t>
      </w:r>
    </w:p>
    <w:p w14:paraId="49CF3934" w14:textId="7AB80DFE" w:rsidR="002F110B" w:rsidRPr="00F44900" w:rsidRDefault="00380A07" w:rsidP="00DD1B53">
      <w:pPr>
        <w:spacing w:after="0" w:line="480" w:lineRule="auto"/>
        <w:rPr>
          <w:rFonts w:ascii="Arial" w:hAnsi="Arial" w:cs="Arial"/>
          <w:b/>
          <w:bCs/>
          <w:i/>
          <w:iCs/>
        </w:rPr>
      </w:pPr>
      <w:r w:rsidRPr="00F44900">
        <w:rPr>
          <w:rFonts w:ascii="Arial" w:hAnsi="Arial" w:cs="Arial"/>
          <w:b/>
          <w:bCs/>
          <w:i/>
          <w:iCs/>
        </w:rPr>
        <w:t xml:space="preserve">The </w:t>
      </w:r>
      <w:r w:rsidR="00B079E8">
        <w:rPr>
          <w:rFonts w:ascii="Arial" w:hAnsi="Arial" w:cs="Arial"/>
          <w:b/>
          <w:bCs/>
          <w:i/>
          <w:iCs/>
        </w:rPr>
        <w:t>e</w:t>
      </w:r>
      <w:r w:rsidRPr="00F44900">
        <w:rPr>
          <w:rFonts w:ascii="Arial" w:hAnsi="Arial" w:cs="Arial"/>
          <w:b/>
          <w:bCs/>
          <w:i/>
          <w:iCs/>
        </w:rPr>
        <w:t xml:space="preserve">conomic </w:t>
      </w:r>
      <w:r w:rsidR="00B079E8">
        <w:rPr>
          <w:rFonts w:ascii="Arial" w:hAnsi="Arial" w:cs="Arial"/>
          <w:b/>
          <w:bCs/>
          <w:i/>
          <w:iCs/>
        </w:rPr>
        <w:t>d</w:t>
      </w:r>
      <w:r w:rsidRPr="00F44900">
        <w:rPr>
          <w:rFonts w:ascii="Arial" w:hAnsi="Arial" w:cs="Arial"/>
          <w:b/>
          <w:bCs/>
          <w:i/>
          <w:iCs/>
        </w:rPr>
        <w:t>ata</w:t>
      </w:r>
    </w:p>
    <w:p w14:paraId="7BCC4F9B" w14:textId="25F806B9" w:rsidR="00DD4BC3" w:rsidRDefault="00423C74" w:rsidP="00D45936">
      <w:pPr>
        <w:autoSpaceDE w:val="0"/>
        <w:autoSpaceDN w:val="0"/>
        <w:adjustRightInd w:val="0"/>
        <w:spacing w:after="0" w:line="480" w:lineRule="auto"/>
        <w:rPr>
          <w:rFonts w:ascii="Arial" w:hAnsi="Arial" w:cs="Arial"/>
        </w:rPr>
      </w:pPr>
      <w:r>
        <w:rPr>
          <w:rFonts w:ascii="Arial" w:hAnsi="Arial" w:cs="Arial"/>
        </w:rPr>
        <w:t>As ou</w:t>
      </w:r>
      <w:r w:rsidR="00353B27">
        <w:rPr>
          <w:rFonts w:ascii="Arial" w:hAnsi="Arial" w:cs="Arial"/>
        </w:rPr>
        <w:t>r</w:t>
      </w:r>
      <w:r>
        <w:rPr>
          <w:rFonts w:ascii="Arial" w:hAnsi="Arial" w:cs="Arial"/>
        </w:rPr>
        <w:t xml:space="preserve"> first analytical theme we asked whether </w:t>
      </w:r>
      <w:r w:rsidR="00F90650">
        <w:rPr>
          <w:rFonts w:ascii="Arial" w:hAnsi="Arial" w:cs="Arial"/>
        </w:rPr>
        <w:t>the move to unified ‘hybrid’ transport provider</w:t>
      </w:r>
      <w:r w:rsidR="00380A07">
        <w:rPr>
          <w:rFonts w:ascii="Arial" w:hAnsi="Arial" w:cs="Arial"/>
        </w:rPr>
        <w:t xml:space="preserve"> could </w:t>
      </w:r>
      <w:r w:rsidR="00F90650">
        <w:rPr>
          <w:rFonts w:ascii="Arial" w:hAnsi="Arial" w:cs="Arial"/>
        </w:rPr>
        <w:t xml:space="preserve">indeed </w:t>
      </w:r>
      <w:r w:rsidR="00380A07">
        <w:rPr>
          <w:rFonts w:ascii="Arial" w:hAnsi="Arial" w:cs="Arial"/>
        </w:rPr>
        <w:t>be justified on economic grounds</w:t>
      </w:r>
      <w:r>
        <w:rPr>
          <w:rFonts w:ascii="Arial" w:hAnsi="Arial" w:cs="Arial"/>
        </w:rPr>
        <w:t xml:space="preserve">. </w:t>
      </w:r>
      <w:r w:rsidR="00380A07">
        <w:rPr>
          <w:rFonts w:ascii="Arial" w:hAnsi="Arial" w:cs="Arial"/>
        </w:rPr>
        <w:t xml:space="preserve">In the period, the American ‘efficiency craze’ prior to the First World War suggested that amalgamation could dramatically improve allocative efficiency and commensurate financial performance. It was strongly associated </w:t>
      </w:r>
      <w:r w:rsidR="00951700">
        <w:rPr>
          <w:rFonts w:ascii="Arial" w:hAnsi="Arial" w:cs="Arial"/>
        </w:rPr>
        <w:t xml:space="preserve">with </w:t>
      </w:r>
      <w:r w:rsidR="00F90650">
        <w:rPr>
          <w:rFonts w:ascii="Arial" w:hAnsi="Arial" w:cs="Arial"/>
        </w:rPr>
        <w:t xml:space="preserve">rationalising </w:t>
      </w:r>
      <w:r w:rsidR="00380A07">
        <w:rPr>
          <w:rFonts w:ascii="Arial" w:hAnsi="Arial" w:cs="Arial"/>
        </w:rPr>
        <w:t xml:space="preserve">transport </w:t>
      </w:r>
      <w:r w:rsidR="00F90650">
        <w:rPr>
          <w:rFonts w:ascii="Arial" w:hAnsi="Arial" w:cs="Arial"/>
        </w:rPr>
        <w:t xml:space="preserve">organisations </w:t>
      </w:r>
      <w:r w:rsidR="00380A07">
        <w:rPr>
          <w:rFonts w:ascii="Arial" w:hAnsi="Arial" w:cs="Arial"/>
        </w:rPr>
        <w:t>(</w:t>
      </w:r>
      <w:proofErr w:type="spellStart"/>
      <w:r w:rsidR="00380A07">
        <w:rPr>
          <w:rFonts w:ascii="Arial" w:hAnsi="Arial" w:cs="Arial"/>
        </w:rPr>
        <w:t>Miranti</w:t>
      </w:r>
      <w:proofErr w:type="spellEnd"/>
      <w:r w:rsidR="00380A07">
        <w:rPr>
          <w:rFonts w:ascii="Arial" w:hAnsi="Arial" w:cs="Arial"/>
        </w:rPr>
        <w:t xml:space="preserve">, 1989; Oakes &amp; </w:t>
      </w:r>
      <w:proofErr w:type="spellStart"/>
      <w:r w:rsidR="00380A07">
        <w:rPr>
          <w:rFonts w:ascii="Arial" w:hAnsi="Arial" w:cs="Arial"/>
        </w:rPr>
        <w:t>Miranti</w:t>
      </w:r>
      <w:proofErr w:type="spellEnd"/>
      <w:r w:rsidR="00380A07">
        <w:rPr>
          <w:rFonts w:ascii="Arial" w:hAnsi="Arial" w:cs="Arial"/>
        </w:rPr>
        <w:t xml:space="preserve">, 1996; </w:t>
      </w:r>
      <w:proofErr w:type="spellStart"/>
      <w:r w:rsidR="00380A07">
        <w:rPr>
          <w:rFonts w:ascii="Arial" w:hAnsi="Arial" w:cs="Arial"/>
        </w:rPr>
        <w:t>Paish</w:t>
      </w:r>
      <w:proofErr w:type="spellEnd"/>
      <w:r w:rsidR="00380A07">
        <w:rPr>
          <w:rFonts w:ascii="Arial" w:hAnsi="Arial" w:cs="Arial"/>
        </w:rPr>
        <w:t xml:space="preserve">, 1902). These improvements in financial viability and service outputs </w:t>
      </w:r>
      <w:r w:rsidR="00F90650">
        <w:rPr>
          <w:rFonts w:ascii="Arial" w:hAnsi="Arial" w:cs="Arial"/>
        </w:rPr>
        <w:t xml:space="preserve">resulting from unification and co-ordination </w:t>
      </w:r>
      <w:r w:rsidR="00380A07">
        <w:rPr>
          <w:rFonts w:ascii="Arial" w:hAnsi="Arial" w:cs="Arial"/>
        </w:rPr>
        <w:t>were also anticipated in Britain</w:t>
      </w:r>
      <w:r w:rsidR="00414B9B">
        <w:rPr>
          <w:rFonts w:ascii="Arial" w:hAnsi="Arial" w:cs="Arial"/>
        </w:rPr>
        <w:t xml:space="preserve"> </w:t>
      </w:r>
      <w:r w:rsidR="00414B9B" w:rsidRPr="00414B9B">
        <w:rPr>
          <w:rFonts w:ascii="Arial" w:hAnsi="Arial" w:cs="Arial"/>
          <w:color w:val="2F5496" w:themeColor="accent1" w:themeShade="BF"/>
        </w:rPr>
        <w:t>(Lowes-Dickinson, 1924</w:t>
      </w:r>
      <w:r w:rsidR="00414B9B">
        <w:rPr>
          <w:rFonts w:ascii="Arial" w:hAnsi="Arial" w:cs="Arial"/>
          <w:color w:val="2F5496" w:themeColor="accent1" w:themeShade="BF"/>
        </w:rPr>
        <w:t>)</w:t>
      </w:r>
      <w:r w:rsidR="00380A07">
        <w:rPr>
          <w:rFonts w:ascii="Arial" w:hAnsi="Arial" w:cs="Arial"/>
        </w:rPr>
        <w:t>.</w:t>
      </w:r>
      <w:r w:rsidR="00567817">
        <w:rPr>
          <w:rFonts w:ascii="Arial" w:hAnsi="Arial" w:cs="Arial"/>
        </w:rPr>
        <w:t xml:space="preserve"> </w:t>
      </w:r>
      <w:r w:rsidR="00567817" w:rsidRPr="00414B9B">
        <w:rPr>
          <w:rFonts w:ascii="Arial" w:hAnsi="Arial" w:cs="Arial"/>
          <w:color w:val="2F5496" w:themeColor="accent1" w:themeShade="BF"/>
        </w:rPr>
        <w:t>Sir George Gibb’s re-organisation of the North Eastern Railway owed much to his observation of American methods, and he became the managing director of the UERL in 1906</w:t>
      </w:r>
      <w:r w:rsidR="00414B9B">
        <w:rPr>
          <w:rFonts w:ascii="Arial" w:hAnsi="Arial" w:cs="Arial"/>
        </w:rPr>
        <w:t xml:space="preserve">. </w:t>
      </w:r>
      <w:r w:rsidR="00414B9B" w:rsidRPr="00414B9B">
        <w:rPr>
          <w:rFonts w:ascii="Arial" w:hAnsi="Arial" w:cs="Arial"/>
          <w:color w:val="2F5496" w:themeColor="accent1" w:themeShade="BF"/>
        </w:rPr>
        <w:t>His protégé</w:t>
      </w:r>
      <w:r w:rsidR="00414B9B">
        <w:rPr>
          <w:rFonts w:ascii="Arial" w:hAnsi="Arial" w:cs="Arial"/>
          <w:color w:val="2F5496" w:themeColor="accent1" w:themeShade="BF"/>
        </w:rPr>
        <w:t>,</w:t>
      </w:r>
      <w:r w:rsidR="00414B9B" w:rsidRPr="00414B9B">
        <w:rPr>
          <w:rFonts w:ascii="Arial" w:hAnsi="Arial" w:cs="Arial"/>
          <w:color w:val="2F5496" w:themeColor="accent1" w:themeShade="BF"/>
        </w:rPr>
        <w:t xml:space="preserve"> Frank Pick</w:t>
      </w:r>
      <w:r w:rsidR="00414B9B">
        <w:rPr>
          <w:rFonts w:ascii="Arial" w:hAnsi="Arial" w:cs="Arial"/>
          <w:color w:val="2F5496" w:themeColor="accent1" w:themeShade="BF"/>
        </w:rPr>
        <w:t>,</w:t>
      </w:r>
      <w:r w:rsidR="00414B9B" w:rsidRPr="00414B9B">
        <w:rPr>
          <w:rFonts w:ascii="Arial" w:hAnsi="Arial" w:cs="Arial"/>
          <w:color w:val="2F5496" w:themeColor="accent1" w:themeShade="BF"/>
        </w:rPr>
        <w:t xml:space="preserve"> </w:t>
      </w:r>
      <w:r w:rsidR="00414B9B">
        <w:rPr>
          <w:rFonts w:ascii="Arial" w:hAnsi="Arial" w:cs="Arial"/>
          <w:color w:val="2F5496" w:themeColor="accent1" w:themeShade="BF"/>
        </w:rPr>
        <w:t>cemented the implementation of detailed statistical accounting and the general manager, Albert Stanley, drew on his experience of re-</w:t>
      </w:r>
      <w:proofErr w:type="spellStart"/>
      <w:r w:rsidR="00414B9B">
        <w:rPr>
          <w:rFonts w:ascii="Arial" w:hAnsi="Arial" w:cs="Arial"/>
          <w:color w:val="2F5496" w:themeColor="accent1" w:themeShade="BF"/>
        </w:rPr>
        <w:t>organisjng</w:t>
      </w:r>
      <w:proofErr w:type="spellEnd"/>
      <w:r w:rsidR="00414B9B">
        <w:rPr>
          <w:rFonts w:ascii="Arial" w:hAnsi="Arial" w:cs="Arial"/>
          <w:color w:val="2F5496" w:themeColor="accent1" w:themeShade="BF"/>
        </w:rPr>
        <w:t xml:space="preserve"> the Public Service </w:t>
      </w:r>
      <w:r w:rsidR="00414B9B">
        <w:rPr>
          <w:rFonts w:ascii="Arial" w:hAnsi="Arial" w:cs="Arial"/>
          <w:color w:val="2F5496" w:themeColor="accent1" w:themeShade="BF"/>
        </w:rPr>
        <w:lastRenderedPageBreak/>
        <w:t>Corporation of New Jersey to continue the agglomeration of transport provision under UERL auspices after Gibb</w:t>
      </w:r>
      <w:r w:rsidR="00F73125">
        <w:rPr>
          <w:rFonts w:ascii="Arial" w:hAnsi="Arial" w:cs="Arial"/>
          <w:color w:val="2F5496" w:themeColor="accent1" w:themeShade="BF"/>
        </w:rPr>
        <w:t>’</w:t>
      </w:r>
      <w:r w:rsidR="00414B9B">
        <w:rPr>
          <w:rFonts w:ascii="Arial" w:hAnsi="Arial" w:cs="Arial"/>
          <w:color w:val="2F5496" w:themeColor="accent1" w:themeShade="BF"/>
        </w:rPr>
        <w:t>s departure in 1910</w:t>
      </w:r>
      <w:r w:rsidR="00951700" w:rsidRPr="00414B9B">
        <w:rPr>
          <w:rFonts w:ascii="Arial" w:hAnsi="Arial" w:cs="Arial"/>
          <w:color w:val="2F5496" w:themeColor="accent1" w:themeShade="BF"/>
        </w:rPr>
        <w:t xml:space="preserve"> </w:t>
      </w:r>
      <w:r w:rsidR="00414B9B">
        <w:rPr>
          <w:rFonts w:ascii="Arial" w:hAnsi="Arial" w:cs="Arial"/>
        </w:rPr>
        <w:t>(</w:t>
      </w:r>
      <w:r w:rsidR="007162C1">
        <w:rPr>
          <w:rFonts w:ascii="Arial" w:hAnsi="Arial" w:cs="Arial"/>
        </w:rPr>
        <w:t xml:space="preserve">LT1172; </w:t>
      </w:r>
      <w:r w:rsidR="00380A07">
        <w:rPr>
          <w:rFonts w:ascii="Arial" w:hAnsi="Arial" w:cs="Arial"/>
        </w:rPr>
        <w:t xml:space="preserve">LT612-002; LTM Box B6 ASH, Morrison, </w:t>
      </w:r>
      <w:r w:rsidR="00951700">
        <w:rPr>
          <w:rFonts w:ascii="Arial" w:hAnsi="Arial" w:cs="Arial"/>
        </w:rPr>
        <w:t xml:space="preserve">1933). </w:t>
      </w:r>
      <w:r w:rsidR="007162C1" w:rsidRPr="007162C1">
        <w:rPr>
          <w:rFonts w:ascii="Arial" w:hAnsi="Arial" w:cs="Arial"/>
          <w:color w:val="2F5496" w:themeColor="accent1" w:themeShade="BF"/>
        </w:rPr>
        <w:t>Following</w:t>
      </w:r>
      <w:r w:rsidR="007162C1">
        <w:rPr>
          <w:rFonts w:ascii="Arial" w:hAnsi="Arial" w:cs="Arial"/>
          <w:color w:val="2F5496" w:themeColor="accent1" w:themeShade="BF"/>
        </w:rPr>
        <w:t>, though not overtly acknowledging,</w:t>
      </w:r>
      <w:r w:rsidR="007162C1" w:rsidRPr="007162C1">
        <w:rPr>
          <w:rFonts w:ascii="Arial" w:hAnsi="Arial" w:cs="Arial"/>
          <w:color w:val="2F5496" w:themeColor="accent1" w:themeShade="BF"/>
        </w:rPr>
        <w:t xml:space="preserve"> these </w:t>
      </w:r>
      <w:r w:rsidR="007162C1">
        <w:rPr>
          <w:rFonts w:ascii="Arial" w:hAnsi="Arial" w:cs="Arial"/>
          <w:color w:val="2F5496" w:themeColor="accent1" w:themeShade="BF"/>
        </w:rPr>
        <w:t xml:space="preserve">American </w:t>
      </w:r>
      <w:r w:rsidR="007162C1" w:rsidRPr="007162C1">
        <w:rPr>
          <w:rFonts w:ascii="Arial" w:hAnsi="Arial" w:cs="Arial"/>
          <w:color w:val="2F5496" w:themeColor="accent1" w:themeShade="BF"/>
        </w:rPr>
        <w:t xml:space="preserve">leads </w:t>
      </w:r>
      <w:r w:rsidR="007162C1">
        <w:rPr>
          <w:rFonts w:ascii="Arial" w:hAnsi="Arial" w:cs="Arial"/>
        </w:rPr>
        <w:t>t</w:t>
      </w:r>
      <w:r w:rsidR="00D45936">
        <w:rPr>
          <w:rFonts w:ascii="Arial" w:hAnsi="Arial" w:cs="Arial"/>
        </w:rPr>
        <w:t xml:space="preserve">he </w:t>
      </w:r>
      <w:r w:rsidR="00476871">
        <w:rPr>
          <w:rFonts w:ascii="Arial" w:hAnsi="Arial" w:cs="Arial"/>
        </w:rPr>
        <w:t xml:space="preserve">1933 </w:t>
      </w:r>
      <w:r w:rsidR="00BE6744">
        <w:rPr>
          <w:rFonts w:ascii="Arial" w:hAnsi="Arial" w:cs="Arial"/>
        </w:rPr>
        <w:t xml:space="preserve">London Passenger Transport </w:t>
      </w:r>
      <w:r w:rsidR="00476871">
        <w:rPr>
          <w:rFonts w:ascii="Arial" w:hAnsi="Arial" w:cs="Arial"/>
        </w:rPr>
        <w:t>Act m</w:t>
      </w:r>
      <w:r w:rsidR="00D45936">
        <w:rPr>
          <w:rFonts w:ascii="Arial" w:hAnsi="Arial" w:cs="Arial"/>
        </w:rPr>
        <w:t>a</w:t>
      </w:r>
      <w:r w:rsidR="00951700">
        <w:rPr>
          <w:rFonts w:ascii="Arial" w:hAnsi="Arial" w:cs="Arial"/>
        </w:rPr>
        <w:t>d</w:t>
      </w:r>
      <w:r w:rsidR="00D45936">
        <w:rPr>
          <w:rFonts w:ascii="Arial" w:hAnsi="Arial" w:cs="Arial"/>
        </w:rPr>
        <w:t>e it a duty of the Board to: ‘P</w:t>
      </w:r>
      <w:r w:rsidR="00D45936" w:rsidRPr="005E0624">
        <w:rPr>
          <w:rFonts w:ascii="Arial" w:hAnsi="Arial" w:cs="Arial"/>
        </w:rPr>
        <w:t>roperly co-ordinate</w:t>
      </w:r>
      <w:r w:rsidR="00D45936">
        <w:rPr>
          <w:rFonts w:ascii="Arial" w:hAnsi="Arial" w:cs="Arial"/>
        </w:rPr>
        <w:t xml:space="preserve"> [a] </w:t>
      </w:r>
      <w:r w:rsidR="00D45936" w:rsidRPr="005E0624">
        <w:rPr>
          <w:rFonts w:ascii="Arial" w:hAnsi="Arial" w:cs="Arial"/>
        </w:rPr>
        <w:t>system of passenger transport</w:t>
      </w:r>
      <w:r w:rsidR="00D45936">
        <w:rPr>
          <w:rFonts w:ascii="Arial" w:hAnsi="Arial" w:cs="Arial"/>
        </w:rPr>
        <w:t>…</w:t>
      </w:r>
      <w:r w:rsidR="00D45936" w:rsidRPr="005E0624">
        <w:rPr>
          <w:rFonts w:ascii="Arial" w:hAnsi="Arial" w:cs="Arial"/>
        </w:rPr>
        <w:t xml:space="preserve"> avoiding the provision of unnecessary</w:t>
      </w:r>
      <w:r w:rsidR="00D45936">
        <w:rPr>
          <w:rFonts w:ascii="Arial" w:hAnsi="Arial" w:cs="Arial"/>
        </w:rPr>
        <w:t xml:space="preserve"> </w:t>
      </w:r>
      <w:r w:rsidR="00D45936" w:rsidRPr="005E0624">
        <w:rPr>
          <w:rFonts w:ascii="Arial" w:hAnsi="Arial" w:cs="Arial"/>
        </w:rPr>
        <w:t>and wasteful competitive services</w:t>
      </w:r>
      <w:r w:rsidR="00D45936">
        <w:rPr>
          <w:rFonts w:ascii="Arial" w:hAnsi="Arial" w:cs="Arial"/>
        </w:rPr>
        <w:t xml:space="preserve">… </w:t>
      </w:r>
      <w:r w:rsidR="00D45936" w:rsidRPr="005E0624">
        <w:rPr>
          <w:rFonts w:ascii="Arial" w:hAnsi="Arial" w:cs="Arial"/>
        </w:rPr>
        <w:t>to provide most</w:t>
      </w:r>
      <w:r w:rsidR="00D45936">
        <w:rPr>
          <w:rFonts w:ascii="Arial" w:hAnsi="Arial" w:cs="Arial"/>
        </w:rPr>
        <w:t xml:space="preserve"> </w:t>
      </w:r>
      <w:r w:rsidR="00D45936" w:rsidRPr="005E0624">
        <w:rPr>
          <w:rFonts w:ascii="Arial" w:hAnsi="Arial" w:cs="Arial"/>
        </w:rPr>
        <w:t>efficiently and</w:t>
      </w:r>
      <w:r w:rsidR="00D45936">
        <w:rPr>
          <w:rFonts w:ascii="Arial" w:hAnsi="Arial" w:cs="Arial"/>
        </w:rPr>
        <w:t xml:space="preserve"> </w:t>
      </w:r>
      <w:r w:rsidR="00D45936" w:rsidRPr="005E0624">
        <w:rPr>
          <w:rFonts w:ascii="Arial" w:hAnsi="Arial" w:cs="Arial"/>
        </w:rPr>
        <w:t xml:space="preserve">conveniently for the needs </w:t>
      </w:r>
      <w:r w:rsidR="00D45936">
        <w:rPr>
          <w:rFonts w:ascii="Arial" w:hAnsi="Arial" w:cs="Arial"/>
        </w:rPr>
        <w:t>[of passengers]’</w:t>
      </w:r>
      <w:r w:rsidR="008C2C00">
        <w:rPr>
          <w:rFonts w:ascii="Arial" w:hAnsi="Arial" w:cs="Arial"/>
        </w:rPr>
        <w:t xml:space="preserve">. </w:t>
      </w:r>
      <w:r w:rsidR="00D45936">
        <w:rPr>
          <w:rFonts w:ascii="Arial" w:hAnsi="Arial" w:cs="Arial"/>
        </w:rPr>
        <w:t>All t</w:t>
      </w:r>
      <w:r w:rsidR="00602E51">
        <w:rPr>
          <w:rFonts w:ascii="Arial" w:hAnsi="Arial" w:cs="Arial"/>
        </w:rPr>
        <w:t>h</w:t>
      </w:r>
      <w:r w:rsidR="00C37571">
        <w:rPr>
          <w:rFonts w:ascii="Arial" w:hAnsi="Arial" w:cs="Arial"/>
        </w:rPr>
        <w:t>e</w:t>
      </w:r>
      <w:r w:rsidR="00602E51">
        <w:rPr>
          <w:rFonts w:ascii="Arial" w:hAnsi="Arial" w:cs="Arial"/>
        </w:rPr>
        <w:t>s</w:t>
      </w:r>
      <w:r w:rsidR="00C37571">
        <w:rPr>
          <w:rFonts w:ascii="Arial" w:hAnsi="Arial" w:cs="Arial"/>
        </w:rPr>
        <w:t>e</w:t>
      </w:r>
      <w:r w:rsidR="00602E51">
        <w:rPr>
          <w:rFonts w:ascii="Arial" w:hAnsi="Arial" w:cs="Arial"/>
        </w:rPr>
        <w:t xml:space="preserve"> </w:t>
      </w:r>
      <w:r w:rsidR="001069DD">
        <w:rPr>
          <w:rFonts w:ascii="Arial" w:hAnsi="Arial" w:cs="Arial"/>
        </w:rPr>
        <w:t xml:space="preserve">prevalent </w:t>
      </w:r>
      <w:r w:rsidR="003D5BB5" w:rsidRPr="003D5BB5">
        <w:rPr>
          <w:rFonts w:ascii="Arial" w:hAnsi="Arial" w:cs="Arial"/>
          <w:color w:val="2F5496" w:themeColor="accent1" w:themeShade="BF"/>
        </w:rPr>
        <w:t xml:space="preserve">financial and operational </w:t>
      </w:r>
      <w:r w:rsidR="00602E51">
        <w:rPr>
          <w:rFonts w:ascii="Arial" w:hAnsi="Arial" w:cs="Arial"/>
        </w:rPr>
        <w:t>expectation</w:t>
      </w:r>
      <w:r w:rsidR="00C37571">
        <w:rPr>
          <w:rFonts w:ascii="Arial" w:hAnsi="Arial" w:cs="Arial"/>
        </w:rPr>
        <w:t>s</w:t>
      </w:r>
      <w:r w:rsidR="00602E51">
        <w:rPr>
          <w:rFonts w:ascii="Arial" w:hAnsi="Arial" w:cs="Arial"/>
        </w:rPr>
        <w:t xml:space="preserve"> form the background</w:t>
      </w:r>
      <w:r w:rsidR="002F110B">
        <w:rPr>
          <w:rFonts w:ascii="Arial" w:hAnsi="Arial" w:cs="Arial"/>
        </w:rPr>
        <w:t xml:space="preserve"> to the</w:t>
      </w:r>
      <w:r w:rsidR="001069DD">
        <w:rPr>
          <w:rFonts w:ascii="Arial" w:hAnsi="Arial" w:cs="Arial"/>
        </w:rPr>
        <w:t xml:space="preserve"> discussion of the</w:t>
      </w:r>
      <w:r w:rsidR="002F110B">
        <w:rPr>
          <w:rFonts w:ascii="Arial" w:hAnsi="Arial" w:cs="Arial"/>
        </w:rPr>
        <w:t xml:space="preserve"> data in Tables </w:t>
      </w:r>
      <w:r w:rsidR="0067681A">
        <w:rPr>
          <w:rFonts w:ascii="Arial" w:hAnsi="Arial" w:cs="Arial"/>
        </w:rPr>
        <w:t>4</w:t>
      </w:r>
      <w:r w:rsidR="002F110B">
        <w:rPr>
          <w:rFonts w:ascii="Arial" w:hAnsi="Arial" w:cs="Arial"/>
        </w:rPr>
        <w:t>-</w:t>
      </w:r>
      <w:r w:rsidR="00157FDB">
        <w:rPr>
          <w:rFonts w:ascii="Arial" w:hAnsi="Arial" w:cs="Arial"/>
        </w:rPr>
        <w:t>9</w:t>
      </w:r>
      <w:r w:rsidR="00602E51">
        <w:rPr>
          <w:rFonts w:ascii="Arial" w:hAnsi="Arial" w:cs="Arial"/>
        </w:rPr>
        <w:t>.</w:t>
      </w:r>
    </w:p>
    <w:p w14:paraId="3304BC1E" w14:textId="77777777" w:rsidR="00F44900" w:rsidRDefault="00F44900" w:rsidP="00D45936">
      <w:pPr>
        <w:autoSpaceDE w:val="0"/>
        <w:autoSpaceDN w:val="0"/>
        <w:adjustRightInd w:val="0"/>
        <w:spacing w:after="0" w:line="480" w:lineRule="auto"/>
        <w:rPr>
          <w:rFonts w:ascii="Arial" w:hAnsi="Arial" w:cs="Arial"/>
        </w:rPr>
      </w:pPr>
    </w:p>
    <w:p w14:paraId="50AA880E" w14:textId="369952A8" w:rsidR="00951700" w:rsidRDefault="00021C1F" w:rsidP="00F44900">
      <w:pPr>
        <w:autoSpaceDE w:val="0"/>
        <w:autoSpaceDN w:val="0"/>
        <w:adjustRightInd w:val="0"/>
        <w:spacing w:after="0" w:line="480" w:lineRule="auto"/>
        <w:jc w:val="center"/>
        <w:rPr>
          <w:rFonts w:ascii="Arial" w:hAnsi="Arial" w:cs="Arial"/>
        </w:rPr>
      </w:pPr>
      <w:r>
        <w:rPr>
          <w:rFonts w:ascii="Arial" w:hAnsi="Arial" w:cs="Arial"/>
        </w:rPr>
        <w:t>(Insert Table IV about here)</w:t>
      </w:r>
    </w:p>
    <w:p w14:paraId="53B96776" w14:textId="77777777" w:rsidR="00F44900" w:rsidRDefault="00F44900" w:rsidP="00A072AF">
      <w:pPr>
        <w:spacing w:after="0" w:line="480" w:lineRule="auto"/>
        <w:rPr>
          <w:rFonts w:ascii="Arial" w:hAnsi="Arial" w:cs="Arial"/>
        </w:rPr>
      </w:pPr>
    </w:p>
    <w:p w14:paraId="5E924551" w14:textId="716DB292" w:rsidR="00A072AF" w:rsidRDefault="00995DCB" w:rsidP="00A072AF">
      <w:pPr>
        <w:spacing w:after="0" w:line="480" w:lineRule="auto"/>
        <w:rPr>
          <w:rFonts w:ascii="Arial" w:hAnsi="Arial" w:cs="Arial"/>
        </w:rPr>
      </w:pPr>
      <w:r>
        <w:rPr>
          <w:rFonts w:ascii="Arial" w:hAnsi="Arial" w:cs="Arial"/>
        </w:rPr>
        <w:t xml:space="preserve">Table </w:t>
      </w:r>
      <w:r w:rsidR="0067681A">
        <w:rPr>
          <w:rFonts w:ascii="Arial" w:hAnsi="Arial" w:cs="Arial"/>
        </w:rPr>
        <w:t>Four</w:t>
      </w:r>
      <w:r>
        <w:rPr>
          <w:rFonts w:ascii="Arial" w:hAnsi="Arial" w:cs="Arial"/>
        </w:rPr>
        <w:t xml:space="preserve"> show</w:t>
      </w:r>
      <w:r w:rsidR="00F17BD8">
        <w:rPr>
          <w:rFonts w:ascii="Arial" w:hAnsi="Arial" w:cs="Arial"/>
        </w:rPr>
        <w:t>s</w:t>
      </w:r>
      <w:r>
        <w:rPr>
          <w:rFonts w:ascii="Arial" w:hAnsi="Arial" w:cs="Arial"/>
        </w:rPr>
        <w:t xml:space="preserve"> that the </w:t>
      </w:r>
      <w:r w:rsidR="0031535D">
        <w:rPr>
          <w:rFonts w:ascii="Arial" w:hAnsi="Arial" w:cs="Arial"/>
        </w:rPr>
        <w:t>UERL</w:t>
      </w:r>
      <w:r>
        <w:rPr>
          <w:rFonts w:ascii="Arial" w:hAnsi="Arial" w:cs="Arial"/>
        </w:rPr>
        <w:t xml:space="preserve"> could return a</w:t>
      </w:r>
      <w:r w:rsidR="00C37571">
        <w:rPr>
          <w:rFonts w:ascii="Arial" w:hAnsi="Arial" w:cs="Arial"/>
        </w:rPr>
        <w:t xml:space="preserve">n </w:t>
      </w:r>
      <w:r>
        <w:rPr>
          <w:rFonts w:ascii="Arial" w:hAnsi="Arial" w:cs="Arial"/>
        </w:rPr>
        <w:t>average of 5-6% on their investors’ capital, slightly better than the Metropolitan</w:t>
      </w:r>
      <w:r w:rsidR="0031535D">
        <w:rPr>
          <w:rFonts w:ascii="Arial" w:hAnsi="Arial" w:cs="Arial"/>
        </w:rPr>
        <w:t xml:space="preserve"> Railway</w:t>
      </w:r>
      <w:r>
        <w:rPr>
          <w:rFonts w:ascii="Arial" w:hAnsi="Arial" w:cs="Arial"/>
        </w:rPr>
        <w:t>’s 4%.</w:t>
      </w:r>
      <w:r w:rsidR="00984DE1">
        <w:rPr>
          <w:rStyle w:val="FootnoteReference"/>
          <w:rFonts w:ascii="Arial" w:hAnsi="Arial" w:cs="Arial"/>
        </w:rPr>
        <w:footnoteReference w:id="7"/>
      </w:r>
      <w:r>
        <w:rPr>
          <w:rFonts w:ascii="Arial" w:hAnsi="Arial" w:cs="Arial"/>
        </w:rPr>
        <w:t xml:space="preserve"> </w:t>
      </w:r>
      <w:r w:rsidR="00B415F8">
        <w:rPr>
          <w:rFonts w:ascii="Arial" w:hAnsi="Arial" w:cs="Arial"/>
        </w:rPr>
        <w:t xml:space="preserve">This was in line with reasonable expectations </w:t>
      </w:r>
      <w:r w:rsidR="00025E5E">
        <w:rPr>
          <w:rFonts w:ascii="Arial" w:hAnsi="Arial" w:cs="Arial"/>
        </w:rPr>
        <w:t>of</w:t>
      </w:r>
      <w:r w:rsidR="00B415F8">
        <w:rPr>
          <w:rFonts w:ascii="Arial" w:hAnsi="Arial" w:cs="Arial"/>
        </w:rPr>
        <w:t xml:space="preserve"> the period and better than competitors such as the </w:t>
      </w:r>
      <w:r w:rsidR="00025E5E">
        <w:rPr>
          <w:rFonts w:ascii="Arial" w:hAnsi="Arial" w:cs="Arial"/>
        </w:rPr>
        <w:t>Big Four</w:t>
      </w:r>
      <w:r w:rsidR="00B415F8">
        <w:rPr>
          <w:rFonts w:ascii="Arial" w:hAnsi="Arial" w:cs="Arial"/>
        </w:rPr>
        <w:t xml:space="preserve"> Railway</w:t>
      </w:r>
      <w:r w:rsidR="00025E5E">
        <w:rPr>
          <w:rFonts w:ascii="Arial" w:hAnsi="Arial" w:cs="Arial"/>
        </w:rPr>
        <w:t>s</w:t>
      </w:r>
      <w:r w:rsidR="00B415F8">
        <w:rPr>
          <w:rFonts w:ascii="Arial" w:hAnsi="Arial" w:cs="Arial"/>
        </w:rPr>
        <w:t xml:space="preserve"> (Weston, 1908; </w:t>
      </w:r>
      <w:r w:rsidR="000F1ECE">
        <w:rPr>
          <w:rFonts w:ascii="Arial" w:hAnsi="Arial" w:cs="Arial"/>
        </w:rPr>
        <w:t>Crompton, 1985; Davies, 2014</w:t>
      </w:r>
      <w:r w:rsidR="00B415F8">
        <w:rPr>
          <w:rFonts w:ascii="Arial" w:hAnsi="Arial" w:cs="Arial"/>
        </w:rPr>
        <w:t>)</w:t>
      </w:r>
      <w:r w:rsidR="00025E5E">
        <w:rPr>
          <w:rFonts w:ascii="Arial" w:hAnsi="Arial" w:cs="Arial"/>
        </w:rPr>
        <w:t xml:space="preserve">. However, </w:t>
      </w:r>
      <w:r w:rsidR="00AD2353">
        <w:rPr>
          <w:rFonts w:ascii="Arial" w:hAnsi="Arial" w:cs="Arial"/>
        </w:rPr>
        <w:t>t</w:t>
      </w:r>
      <w:r w:rsidR="00025E5E">
        <w:rPr>
          <w:rFonts w:ascii="Arial" w:hAnsi="Arial" w:cs="Arial"/>
        </w:rPr>
        <w:t xml:space="preserve">he LPTB </w:t>
      </w:r>
      <w:r w:rsidR="004B4D82">
        <w:rPr>
          <w:rFonts w:ascii="Arial" w:hAnsi="Arial" w:cs="Arial"/>
        </w:rPr>
        <w:t>achieved</w:t>
      </w:r>
      <w:r w:rsidR="00025E5E">
        <w:rPr>
          <w:rFonts w:ascii="Arial" w:hAnsi="Arial" w:cs="Arial"/>
        </w:rPr>
        <w:t xml:space="preserve"> a </w:t>
      </w:r>
      <w:r w:rsidR="001E4494">
        <w:rPr>
          <w:rFonts w:ascii="Arial" w:hAnsi="Arial" w:cs="Arial"/>
        </w:rPr>
        <w:t xml:space="preserve">slightly better </w:t>
      </w:r>
      <w:r w:rsidR="00025E5E">
        <w:rPr>
          <w:rFonts w:ascii="Arial" w:hAnsi="Arial" w:cs="Arial"/>
        </w:rPr>
        <w:t>6-8% return from its capital and assets</w:t>
      </w:r>
      <w:r w:rsidR="00AD2353">
        <w:rPr>
          <w:rFonts w:ascii="Arial" w:hAnsi="Arial" w:cs="Arial"/>
        </w:rPr>
        <w:t>.</w:t>
      </w:r>
      <w:r w:rsidR="00025E5E">
        <w:rPr>
          <w:rFonts w:ascii="Arial" w:hAnsi="Arial" w:cs="Arial"/>
        </w:rPr>
        <w:t xml:space="preserve"> </w:t>
      </w:r>
    </w:p>
    <w:p w14:paraId="773F7391" w14:textId="77777777" w:rsidR="00F44900" w:rsidRDefault="00F44900" w:rsidP="00A072AF">
      <w:pPr>
        <w:spacing w:after="0" w:line="480" w:lineRule="auto"/>
        <w:rPr>
          <w:rFonts w:ascii="Arial" w:hAnsi="Arial" w:cs="Arial"/>
        </w:rPr>
      </w:pPr>
    </w:p>
    <w:p w14:paraId="4648E08A" w14:textId="1EE560D1" w:rsidR="004D7A5A" w:rsidRPr="00F44900" w:rsidRDefault="00021C1F" w:rsidP="00F44900">
      <w:pPr>
        <w:spacing w:after="0" w:line="240" w:lineRule="auto"/>
        <w:jc w:val="center"/>
        <w:rPr>
          <w:rFonts w:ascii="Arial" w:hAnsi="Arial" w:cs="Arial"/>
          <w:i/>
          <w:iCs/>
        </w:rPr>
      </w:pPr>
      <w:r w:rsidRPr="00F44900">
        <w:rPr>
          <w:rFonts w:ascii="Arial" w:hAnsi="Arial" w:cs="Arial"/>
          <w:i/>
          <w:iCs/>
        </w:rPr>
        <w:t>(Insert Tables V and VI about here)</w:t>
      </w:r>
    </w:p>
    <w:p w14:paraId="58334089" w14:textId="77777777" w:rsidR="00A072AF" w:rsidRDefault="00A072AF" w:rsidP="00A072AF">
      <w:pPr>
        <w:spacing w:after="0" w:line="240" w:lineRule="auto"/>
        <w:rPr>
          <w:rFonts w:ascii="Arial" w:hAnsi="Arial" w:cs="Arial"/>
        </w:rPr>
      </w:pPr>
    </w:p>
    <w:p w14:paraId="6085B012" w14:textId="77777777" w:rsidR="00F44900" w:rsidRDefault="00F44900" w:rsidP="00DD1B53">
      <w:pPr>
        <w:spacing w:after="0" w:line="480" w:lineRule="auto"/>
        <w:rPr>
          <w:rFonts w:ascii="Arial" w:hAnsi="Arial" w:cs="Arial"/>
        </w:rPr>
      </w:pPr>
    </w:p>
    <w:p w14:paraId="3B5AFD5C" w14:textId="24AF7FAC" w:rsidR="004B4D82" w:rsidRDefault="005930DC" w:rsidP="00DD1B53">
      <w:pPr>
        <w:spacing w:after="0" w:line="480" w:lineRule="auto"/>
        <w:rPr>
          <w:rFonts w:ascii="Arial" w:hAnsi="Arial" w:cs="Arial"/>
        </w:rPr>
      </w:pPr>
      <w:r>
        <w:rPr>
          <w:rFonts w:ascii="Arial" w:hAnsi="Arial" w:cs="Arial"/>
        </w:rPr>
        <w:t>Tables F</w:t>
      </w:r>
      <w:r w:rsidR="00951700">
        <w:rPr>
          <w:rFonts w:ascii="Arial" w:hAnsi="Arial" w:cs="Arial"/>
        </w:rPr>
        <w:t>ive</w:t>
      </w:r>
      <w:r>
        <w:rPr>
          <w:rFonts w:ascii="Arial" w:hAnsi="Arial" w:cs="Arial"/>
        </w:rPr>
        <w:t xml:space="preserve"> and </w:t>
      </w:r>
      <w:r w:rsidR="00951700">
        <w:rPr>
          <w:rFonts w:ascii="Arial" w:hAnsi="Arial" w:cs="Arial"/>
        </w:rPr>
        <w:t>Six</w:t>
      </w:r>
      <w:r>
        <w:rPr>
          <w:rFonts w:ascii="Arial" w:hAnsi="Arial" w:cs="Arial"/>
        </w:rPr>
        <w:t xml:space="preserve"> show </w:t>
      </w:r>
      <w:r w:rsidR="002F110B">
        <w:rPr>
          <w:rFonts w:ascii="Arial" w:hAnsi="Arial" w:cs="Arial"/>
        </w:rPr>
        <w:t>that t</w:t>
      </w:r>
      <w:r>
        <w:rPr>
          <w:rFonts w:ascii="Arial" w:hAnsi="Arial" w:cs="Arial"/>
        </w:rPr>
        <w:t xml:space="preserve">he short-term liquidity of the Metropolitan Railway and the LPTB </w:t>
      </w:r>
      <w:r w:rsidR="002F110B">
        <w:rPr>
          <w:rFonts w:ascii="Arial" w:hAnsi="Arial" w:cs="Arial"/>
        </w:rPr>
        <w:t>was</w:t>
      </w:r>
      <w:r>
        <w:rPr>
          <w:rFonts w:ascii="Arial" w:hAnsi="Arial" w:cs="Arial"/>
        </w:rPr>
        <w:t xml:space="preserve"> good for organisations with such </w:t>
      </w:r>
      <w:r w:rsidR="00D14982">
        <w:rPr>
          <w:rFonts w:ascii="Arial" w:hAnsi="Arial" w:cs="Arial"/>
        </w:rPr>
        <w:t xml:space="preserve">large </w:t>
      </w:r>
      <w:r>
        <w:rPr>
          <w:rFonts w:ascii="Arial" w:hAnsi="Arial" w:cs="Arial"/>
        </w:rPr>
        <w:t xml:space="preserve">long term sunk costs. </w:t>
      </w:r>
      <w:r w:rsidR="00D14982">
        <w:rPr>
          <w:rFonts w:ascii="Arial" w:hAnsi="Arial" w:cs="Arial"/>
        </w:rPr>
        <w:t xml:space="preserve">The Metropolitan Railway’s final annual report in 1933 shows that the company had made £23.3 million of capital expenditure (LT897-6) and by 1938 the LPTB had spent £131.3 million (LT1011-005) on the network. </w:t>
      </w:r>
      <w:r>
        <w:rPr>
          <w:rFonts w:ascii="Arial" w:hAnsi="Arial" w:cs="Arial"/>
        </w:rPr>
        <w:t>However, Warner &amp; Walsh (2015) explain</w:t>
      </w:r>
      <w:r w:rsidR="004C137D">
        <w:rPr>
          <w:rFonts w:ascii="Arial" w:hAnsi="Arial" w:cs="Arial"/>
        </w:rPr>
        <w:t xml:space="preserve"> that: ‘a</w:t>
      </w:r>
      <w:r>
        <w:rPr>
          <w:rFonts w:ascii="Arial" w:hAnsi="Arial" w:cs="Arial"/>
        </w:rPr>
        <w:t xml:space="preserve">n interesting aspect of the depreciation effect is that certain types of companies can suffer serious trading losses </w:t>
      </w:r>
      <w:r>
        <w:rPr>
          <w:rFonts w:ascii="Arial" w:hAnsi="Arial" w:cs="Arial"/>
        </w:rPr>
        <w:lastRenderedPageBreak/>
        <w:t>without suffering from cash shortage</w:t>
      </w:r>
      <w:r w:rsidR="00F44900">
        <w:rPr>
          <w:rFonts w:ascii="Arial" w:hAnsi="Arial" w:cs="Arial"/>
        </w:rPr>
        <w:t xml:space="preserve">s, </w:t>
      </w:r>
      <w:proofErr w:type="gramStart"/>
      <w:r>
        <w:rPr>
          <w:rFonts w:ascii="Arial" w:hAnsi="Arial" w:cs="Arial"/>
        </w:rPr>
        <w:t>e.g.</w:t>
      </w:r>
      <w:proofErr w:type="gramEnd"/>
      <w:r>
        <w:rPr>
          <w:rFonts w:ascii="Arial" w:hAnsi="Arial" w:cs="Arial"/>
        </w:rPr>
        <w:t xml:space="preserve"> transportation or utility companies. So long as losses are less than the depreciation charged in the accounts, their operations are cash positive’. </w:t>
      </w:r>
      <w:r w:rsidR="004C137D">
        <w:rPr>
          <w:rFonts w:ascii="Arial" w:hAnsi="Arial" w:cs="Arial"/>
        </w:rPr>
        <w:t>Indeed</w:t>
      </w:r>
      <w:r w:rsidR="00B11B95">
        <w:rPr>
          <w:rFonts w:ascii="Arial" w:hAnsi="Arial" w:cs="Arial"/>
        </w:rPr>
        <w:t>,</w:t>
      </w:r>
      <w:r>
        <w:rPr>
          <w:rFonts w:ascii="Arial" w:hAnsi="Arial" w:cs="Arial"/>
        </w:rPr>
        <w:t xml:space="preserve"> when the Second World War causes depreciation to rise rapidly the LPTB’s position deteriorates drastically.</w:t>
      </w:r>
      <w:r w:rsidR="00B11B95">
        <w:rPr>
          <w:rFonts w:ascii="Arial" w:hAnsi="Arial" w:cs="Arial"/>
        </w:rPr>
        <w:t xml:space="preserve"> </w:t>
      </w:r>
      <w:r w:rsidR="006704AB">
        <w:rPr>
          <w:rFonts w:ascii="Arial" w:hAnsi="Arial" w:cs="Arial"/>
        </w:rPr>
        <w:t>Nevertheless</w:t>
      </w:r>
      <w:r w:rsidR="00B11B95">
        <w:rPr>
          <w:rFonts w:ascii="Arial" w:hAnsi="Arial" w:cs="Arial"/>
        </w:rPr>
        <w:t>, the overall picture is that none of the organisations in question were seriously affected by liquidity problems</w:t>
      </w:r>
      <w:r w:rsidR="00E21791">
        <w:rPr>
          <w:rFonts w:ascii="Arial" w:hAnsi="Arial" w:cs="Arial"/>
        </w:rPr>
        <w:t xml:space="preserve"> in the inter-war period</w:t>
      </w:r>
      <w:r w:rsidR="00B11B95">
        <w:rPr>
          <w:rFonts w:ascii="Arial" w:hAnsi="Arial" w:cs="Arial"/>
        </w:rPr>
        <w:t>.</w:t>
      </w:r>
    </w:p>
    <w:p w14:paraId="7BC1BE86" w14:textId="77777777" w:rsidR="00F44900" w:rsidRDefault="00F44900" w:rsidP="00DD1B53">
      <w:pPr>
        <w:spacing w:after="0" w:line="480" w:lineRule="auto"/>
        <w:rPr>
          <w:rFonts w:ascii="Arial" w:hAnsi="Arial" w:cs="Arial"/>
        </w:rPr>
      </w:pPr>
    </w:p>
    <w:p w14:paraId="1AC7E884" w14:textId="43450D76" w:rsidR="00021C1F" w:rsidRDefault="00021C1F" w:rsidP="00F44900">
      <w:pPr>
        <w:spacing w:after="0" w:line="480" w:lineRule="auto"/>
        <w:jc w:val="center"/>
        <w:rPr>
          <w:rFonts w:ascii="Arial" w:hAnsi="Arial" w:cs="Arial"/>
        </w:rPr>
      </w:pPr>
      <w:r>
        <w:rPr>
          <w:rFonts w:ascii="Arial" w:hAnsi="Arial" w:cs="Arial"/>
        </w:rPr>
        <w:t>(Insert Table VII about here)</w:t>
      </w:r>
    </w:p>
    <w:p w14:paraId="567DB730" w14:textId="77777777" w:rsidR="00F44900" w:rsidRDefault="00F44900" w:rsidP="00E86C90">
      <w:pPr>
        <w:spacing w:after="0" w:line="480" w:lineRule="auto"/>
        <w:rPr>
          <w:rFonts w:ascii="Arial" w:hAnsi="Arial" w:cs="Arial"/>
        </w:rPr>
      </w:pPr>
    </w:p>
    <w:p w14:paraId="36A09312" w14:textId="61156C5C" w:rsidR="00682589" w:rsidRDefault="00226F2A" w:rsidP="00E86C90">
      <w:pPr>
        <w:spacing w:after="0" w:line="480" w:lineRule="auto"/>
        <w:rPr>
          <w:rFonts w:ascii="Arial" w:hAnsi="Arial" w:cs="Arial"/>
        </w:rPr>
      </w:pPr>
      <w:r>
        <w:rPr>
          <w:rFonts w:ascii="Arial" w:hAnsi="Arial" w:cs="Arial"/>
        </w:rPr>
        <w:t xml:space="preserve">Table </w:t>
      </w:r>
      <w:r w:rsidR="00870534">
        <w:rPr>
          <w:rFonts w:ascii="Arial" w:hAnsi="Arial" w:cs="Arial"/>
        </w:rPr>
        <w:t>S</w:t>
      </w:r>
      <w:r>
        <w:rPr>
          <w:rFonts w:ascii="Arial" w:hAnsi="Arial" w:cs="Arial"/>
        </w:rPr>
        <w:t>eve</w:t>
      </w:r>
      <w:r w:rsidR="009D26E4">
        <w:rPr>
          <w:rFonts w:ascii="Arial" w:hAnsi="Arial" w:cs="Arial"/>
        </w:rPr>
        <w:t>n shows that</w:t>
      </w:r>
      <w:r w:rsidR="009544BE">
        <w:rPr>
          <w:rFonts w:ascii="Arial" w:hAnsi="Arial" w:cs="Arial"/>
        </w:rPr>
        <w:t xml:space="preserve"> </w:t>
      </w:r>
      <w:r w:rsidR="009D26E4">
        <w:rPr>
          <w:rFonts w:ascii="Arial" w:hAnsi="Arial" w:cs="Arial"/>
        </w:rPr>
        <w:t>the market valued the UERL’s ordinary shares as junk</w:t>
      </w:r>
      <w:r w:rsidR="00682589">
        <w:rPr>
          <w:rFonts w:ascii="Arial" w:hAnsi="Arial" w:cs="Arial"/>
        </w:rPr>
        <w:t xml:space="preserve">. Since public transport systems need continual large investments for building infrastructure and renewing rolling stock, London’s main pre-amalgamation transport provider was therefore in long term difficulty. </w:t>
      </w:r>
      <w:r w:rsidR="00682589" w:rsidRPr="00682589">
        <w:rPr>
          <w:rFonts w:ascii="Arial" w:hAnsi="Arial" w:cs="Arial"/>
          <w:color w:val="2F5496" w:themeColor="accent1" w:themeShade="BF"/>
        </w:rPr>
        <w:t>Note that their suburban and mainline competitors suffered similar dramatic declines.</w:t>
      </w:r>
      <w:r w:rsidR="00F36F64">
        <w:rPr>
          <w:rFonts w:ascii="Arial" w:hAnsi="Arial" w:cs="Arial"/>
        </w:rPr>
        <w:t xml:space="preserve"> </w:t>
      </w:r>
      <w:r w:rsidR="00682589">
        <w:rPr>
          <w:rFonts w:ascii="Arial" w:hAnsi="Arial" w:cs="Arial"/>
          <w:color w:val="2F5496" w:themeColor="accent1" w:themeShade="BF"/>
        </w:rPr>
        <w:t>By contrast, t</w:t>
      </w:r>
      <w:r w:rsidR="00F36F64" w:rsidRPr="00F36F64">
        <w:rPr>
          <w:rFonts w:ascii="Arial" w:hAnsi="Arial" w:cs="Arial"/>
          <w:color w:val="2F5496" w:themeColor="accent1" w:themeShade="BF"/>
        </w:rPr>
        <w:t>he MR’s shares retained their value</w:t>
      </w:r>
      <w:r w:rsidR="00682589">
        <w:rPr>
          <w:rFonts w:ascii="Arial" w:hAnsi="Arial" w:cs="Arial"/>
        </w:rPr>
        <w:t>,</w:t>
      </w:r>
      <w:r w:rsidR="009D26E4" w:rsidRPr="00F36F64">
        <w:rPr>
          <w:rFonts w:ascii="Arial" w:hAnsi="Arial" w:cs="Arial"/>
          <w:color w:val="2F5496" w:themeColor="accent1" w:themeShade="BF"/>
        </w:rPr>
        <w:t xml:space="preserve"> show</w:t>
      </w:r>
      <w:r w:rsidR="00682589">
        <w:rPr>
          <w:rFonts w:ascii="Arial" w:hAnsi="Arial" w:cs="Arial"/>
          <w:color w:val="2F5496" w:themeColor="accent1" w:themeShade="BF"/>
        </w:rPr>
        <w:t>ing</w:t>
      </w:r>
      <w:r w:rsidR="009D26E4" w:rsidRPr="00F36F64">
        <w:rPr>
          <w:rFonts w:ascii="Arial" w:hAnsi="Arial" w:cs="Arial"/>
          <w:color w:val="2F5496" w:themeColor="accent1" w:themeShade="BF"/>
        </w:rPr>
        <w:t xml:space="preserve"> that </w:t>
      </w:r>
      <w:r w:rsidR="00F36F64" w:rsidRPr="00F36F64">
        <w:rPr>
          <w:rFonts w:ascii="Arial" w:hAnsi="Arial" w:cs="Arial"/>
          <w:color w:val="2F5496" w:themeColor="accent1" w:themeShade="BF"/>
        </w:rPr>
        <w:t>not all the constituent elements of the LPTB had failed the market test</w:t>
      </w:r>
      <w:r w:rsidR="009D26E4" w:rsidRPr="00682589">
        <w:rPr>
          <w:rFonts w:ascii="Arial" w:hAnsi="Arial" w:cs="Arial"/>
          <w:color w:val="2F5496" w:themeColor="accent1" w:themeShade="BF"/>
        </w:rPr>
        <w:t>.</w:t>
      </w:r>
      <w:r w:rsidR="00682589">
        <w:rPr>
          <w:rFonts w:ascii="Arial" w:hAnsi="Arial" w:cs="Arial"/>
          <w:color w:val="2F5496" w:themeColor="accent1" w:themeShade="BF"/>
        </w:rPr>
        <w:t xml:space="preserve"> This result strengthened the MR’s negotiating position and ensured that statutory returns to LPTB bondholders were higher than might reasonably </w:t>
      </w:r>
      <w:proofErr w:type="gramStart"/>
      <w:r w:rsidR="00682589">
        <w:rPr>
          <w:rFonts w:ascii="Arial" w:hAnsi="Arial" w:cs="Arial"/>
          <w:color w:val="2F5496" w:themeColor="accent1" w:themeShade="BF"/>
        </w:rPr>
        <w:t>be expected</w:t>
      </w:r>
      <w:proofErr w:type="gramEnd"/>
      <w:r w:rsidR="00682589">
        <w:rPr>
          <w:rFonts w:ascii="Arial" w:hAnsi="Arial" w:cs="Arial"/>
          <w:color w:val="2F5496" w:themeColor="accent1" w:themeShade="BF"/>
        </w:rPr>
        <w:t xml:space="preserve"> of a socialised industry (Barker, 1976; Croome, 1993), an example of the enduring influence of market logics on the formation of the LPTB.</w:t>
      </w:r>
    </w:p>
    <w:p w14:paraId="49CEE057" w14:textId="5E98B8D7" w:rsidR="00E86C90" w:rsidRDefault="00682589" w:rsidP="00E86C90">
      <w:pPr>
        <w:spacing w:after="0" w:line="480" w:lineRule="auto"/>
        <w:rPr>
          <w:rFonts w:ascii="Arial" w:hAnsi="Arial" w:cs="Arial"/>
        </w:rPr>
      </w:pPr>
      <w:r>
        <w:rPr>
          <w:rFonts w:ascii="Arial" w:hAnsi="Arial" w:cs="Arial"/>
        </w:rPr>
        <w:t>After unification,</w:t>
      </w:r>
      <w:r w:rsidR="00870534">
        <w:rPr>
          <w:rFonts w:ascii="Arial" w:hAnsi="Arial" w:cs="Arial"/>
        </w:rPr>
        <w:t xml:space="preserve"> the bonds issued by the LPTB to support its activities compare well with</w:t>
      </w:r>
      <w:r w:rsidR="00A25237">
        <w:rPr>
          <w:rFonts w:ascii="Arial" w:hAnsi="Arial" w:cs="Arial"/>
        </w:rPr>
        <w:t xml:space="preserve"> similar bond issues by</w:t>
      </w:r>
      <w:r w:rsidR="00870534">
        <w:rPr>
          <w:rFonts w:ascii="Arial" w:hAnsi="Arial" w:cs="Arial"/>
        </w:rPr>
        <w:t xml:space="preserve"> city corporations that engaged with municipal trading</w:t>
      </w:r>
      <w:r w:rsidR="00A15B7E">
        <w:rPr>
          <w:rFonts w:ascii="Arial" w:hAnsi="Arial" w:cs="Arial"/>
        </w:rPr>
        <w:t>,</w:t>
      </w:r>
      <w:r w:rsidR="00870534">
        <w:rPr>
          <w:rFonts w:ascii="Arial" w:hAnsi="Arial" w:cs="Arial"/>
        </w:rPr>
        <w:t xml:space="preserve"> such as the provision of major tramway and bus systems.</w:t>
      </w:r>
      <w:r w:rsidR="009E3BF2">
        <w:rPr>
          <w:rFonts w:ascii="Arial" w:hAnsi="Arial" w:cs="Arial"/>
        </w:rPr>
        <w:t xml:space="preserve"> </w:t>
      </w:r>
      <w:r w:rsidR="009E3BF2" w:rsidRPr="009E3BF2">
        <w:rPr>
          <w:rFonts w:ascii="Arial" w:hAnsi="Arial" w:cs="Arial"/>
          <w:color w:val="2F5496" w:themeColor="accent1" w:themeShade="BF"/>
        </w:rPr>
        <w:t>Unlike the Corporations, the LPTB was not able to offer the guarantee of a tax base via ratepayers to secure it preferential</w:t>
      </w:r>
      <w:r w:rsidR="009E3BF2">
        <w:rPr>
          <w:rFonts w:ascii="Arial" w:hAnsi="Arial" w:cs="Arial"/>
          <w:color w:val="2F5496" w:themeColor="accent1" w:themeShade="BF"/>
        </w:rPr>
        <w:t>ly low</w:t>
      </w:r>
      <w:r w:rsidR="009E3BF2" w:rsidRPr="009E3BF2">
        <w:rPr>
          <w:rFonts w:ascii="Arial" w:hAnsi="Arial" w:cs="Arial"/>
          <w:color w:val="2F5496" w:themeColor="accent1" w:themeShade="BF"/>
        </w:rPr>
        <w:t xml:space="preserve"> interest rates</w:t>
      </w:r>
      <w:r w:rsidR="009E3BF2">
        <w:rPr>
          <w:rFonts w:ascii="Arial" w:hAnsi="Arial" w:cs="Arial"/>
          <w:color w:val="2F5496" w:themeColor="accent1" w:themeShade="BF"/>
        </w:rPr>
        <w:t xml:space="preserve"> on its loans</w:t>
      </w:r>
      <w:r w:rsidR="009E3BF2" w:rsidRPr="009E3BF2">
        <w:rPr>
          <w:rFonts w:ascii="Arial" w:hAnsi="Arial" w:cs="Arial"/>
          <w:color w:val="2F5496" w:themeColor="accent1" w:themeShade="BF"/>
        </w:rPr>
        <w:t xml:space="preserve"> (Shaw, 1904)</w:t>
      </w:r>
      <w:r w:rsidR="009E3BF2">
        <w:rPr>
          <w:rFonts w:ascii="Arial" w:hAnsi="Arial" w:cs="Arial"/>
        </w:rPr>
        <w:t xml:space="preserve">. </w:t>
      </w:r>
      <w:r w:rsidR="00151605">
        <w:rPr>
          <w:rFonts w:ascii="Arial" w:hAnsi="Arial" w:cs="Arial"/>
        </w:rPr>
        <w:t xml:space="preserve"> </w:t>
      </w:r>
      <w:r w:rsidR="009E3BF2" w:rsidRPr="009E3BF2">
        <w:rPr>
          <w:rFonts w:ascii="Arial" w:hAnsi="Arial" w:cs="Arial"/>
          <w:color w:val="2F5496" w:themeColor="accent1" w:themeShade="BF"/>
        </w:rPr>
        <w:t>Nevertheless</w:t>
      </w:r>
      <w:r w:rsidR="009E3BF2">
        <w:rPr>
          <w:rFonts w:ascii="Arial" w:hAnsi="Arial" w:cs="Arial"/>
        </w:rPr>
        <w:t>, t</w:t>
      </w:r>
      <w:r w:rsidR="00151605">
        <w:rPr>
          <w:rFonts w:ascii="Arial" w:hAnsi="Arial" w:cs="Arial"/>
        </w:rPr>
        <w:t>he market clearly</w:t>
      </w:r>
      <w:r w:rsidR="00A25237">
        <w:rPr>
          <w:rFonts w:ascii="Arial" w:hAnsi="Arial" w:cs="Arial"/>
        </w:rPr>
        <w:t xml:space="preserve"> had confidence in the LPTB</w:t>
      </w:r>
      <w:r w:rsidR="00151605">
        <w:rPr>
          <w:rFonts w:ascii="Arial" w:hAnsi="Arial" w:cs="Arial"/>
        </w:rPr>
        <w:t xml:space="preserve"> as a viable organisation</w:t>
      </w:r>
      <w:r w:rsidR="00A25237">
        <w:rPr>
          <w:rFonts w:ascii="Arial" w:hAnsi="Arial" w:cs="Arial"/>
        </w:rPr>
        <w:t xml:space="preserve"> comparable in value to municipal corporations</w:t>
      </w:r>
      <w:r w:rsidR="00C30D10">
        <w:rPr>
          <w:rFonts w:ascii="Arial" w:hAnsi="Arial" w:cs="Arial"/>
        </w:rPr>
        <w:t xml:space="preserve">. </w:t>
      </w:r>
      <w:r w:rsidR="00C30D10" w:rsidRPr="00C30D10">
        <w:rPr>
          <w:rFonts w:ascii="Arial" w:hAnsi="Arial" w:cs="Arial"/>
          <w:color w:val="2F5496" w:themeColor="accent1" w:themeShade="BF"/>
        </w:rPr>
        <w:t>We argue that this was</w:t>
      </w:r>
      <w:r w:rsidR="009E3BF2" w:rsidRPr="00C30D10">
        <w:rPr>
          <w:rFonts w:ascii="Arial" w:hAnsi="Arial" w:cs="Arial"/>
          <w:color w:val="2F5496" w:themeColor="accent1" w:themeShade="BF"/>
        </w:rPr>
        <w:t xml:space="preserve"> </w:t>
      </w:r>
      <w:r w:rsidR="009E3BF2" w:rsidRPr="009E3BF2">
        <w:rPr>
          <w:rFonts w:ascii="Arial" w:hAnsi="Arial" w:cs="Arial"/>
          <w:color w:val="2F5496" w:themeColor="accent1" w:themeShade="BF"/>
        </w:rPr>
        <w:t>based on an assumption that it was ‘too big to fail’</w:t>
      </w:r>
      <w:r w:rsidR="00C30D10">
        <w:rPr>
          <w:rFonts w:ascii="Arial" w:hAnsi="Arial" w:cs="Arial"/>
          <w:color w:val="2F5496" w:themeColor="accent1" w:themeShade="BF"/>
        </w:rPr>
        <w:t xml:space="preserve">, </w:t>
      </w:r>
      <w:r w:rsidR="00635CCE">
        <w:rPr>
          <w:rFonts w:ascii="Arial" w:hAnsi="Arial" w:cs="Arial"/>
          <w:color w:val="2F5496" w:themeColor="accent1" w:themeShade="BF"/>
        </w:rPr>
        <w:t xml:space="preserve">and </w:t>
      </w:r>
      <w:r w:rsidR="00C30D10">
        <w:rPr>
          <w:rFonts w:ascii="Arial" w:hAnsi="Arial" w:cs="Arial"/>
          <w:color w:val="2F5496" w:themeColor="accent1" w:themeShade="BF"/>
        </w:rPr>
        <w:t>the conservative establishment credentials of its Board and the appointing trustees</w:t>
      </w:r>
      <w:r w:rsidR="00635CCE">
        <w:rPr>
          <w:rFonts w:ascii="Arial" w:hAnsi="Arial" w:cs="Arial"/>
          <w:color w:val="2F5496" w:themeColor="accent1" w:themeShade="BF"/>
        </w:rPr>
        <w:t>. These factors were</w:t>
      </w:r>
      <w:r w:rsidR="00C30D10">
        <w:rPr>
          <w:rFonts w:ascii="Arial" w:hAnsi="Arial" w:cs="Arial"/>
          <w:color w:val="2F5496" w:themeColor="accent1" w:themeShade="BF"/>
        </w:rPr>
        <w:t xml:space="preserve"> combined </w:t>
      </w:r>
      <w:r w:rsidR="009752CA">
        <w:rPr>
          <w:rFonts w:ascii="Arial" w:hAnsi="Arial" w:cs="Arial"/>
          <w:color w:val="2F5496" w:themeColor="accent1" w:themeShade="BF"/>
        </w:rPr>
        <w:t xml:space="preserve">with </w:t>
      </w:r>
      <w:r w:rsidR="00C30D10">
        <w:rPr>
          <w:rFonts w:ascii="Arial" w:hAnsi="Arial" w:cs="Arial"/>
          <w:color w:val="2F5496" w:themeColor="accent1" w:themeShade="BF"/>
        </w:rPr>
        <w:t xml:space="preserve">their </w:t>
      </w:r>
      <w:r w:rsidR="009752CA">
        <w:rPr>
          <w:rFonts w:ascii="Arial" w:hAnsi="Arial" w:cs="Arial"/>
          <w:color w:val="2F5496" w:themeColor="accent1" w:themeShade="BF"/>
        </w:rPr>
        <w:t xml:space="preserve">statutory </w:t>
      </w:r>
      <w:r w:rsidR="00C30D10">
        <w:rPr>
          <w:rFonts w:ascii="Arial" w:hAnsi="Arial" w:cs="Arial"/>
          <w:color w:val="2F5496" w:themeColor="accent1" w:themeShade="BF"/>
        </w:rPr>
        <w:t xml:space="preserve">immunity from </w:t>
      </w:r>
      <w:r w:rsidR="009752CA">
        <w:rPr>
          <w:rFonts w:ascii="Arial" w:hAnsi="Arial" w:cs="Arial"/>
          <w:color w:val="2F5496" w:themeColor="accent1" w:themeShade="BF"/>
        </w:rPr>
        <w:t xml:space="preserve">the vicissitudes of </w:t>
      </w:r>
      <w:r w:rsidR="00C30D10">
        <w:rPr>
          <w:rFonts w:ascii="Arial" w:hAnsi="Arial" w:cs="Arial"/>
          <w:color w:val="2F5496" w:themeColor="accent1" w:themeShade="BF"/>
        </w:rPr>
        <w:t>democratic politics.</w:t>
      </w:r>
      <w:r w:rsidR="009E3BF2" w:rsidRPr="009E3BF2">
        <w:rPr>
          <w:rFonts w:ascii="Arial" w:hAnsi="Arial" w:cs="Arial"/>
          <w:color w:val="2F5496" w:themeColor="accent1" w:themeShade="BF"/>
        </w:rPr>
        <w:t xml:space="preserve"> </w:t>
      </w:r>
      <w:r w:rsidR="00635CCE">
        <w:rPr>
          <w:rFonts w:ascii="Arial" w:hAnsi="Arial" w:cs="Arial"/>
          <w:color w:val="2F5496" w:themeColor="accent1" w:themeShade="BF"/>
        </w:rPr>
        <w:t xml:space="preserve">Taken </w:t>
      </w:r>
      <w:r w:rsidR="00635CCE">
        <w:rPr>
          <w:rFonts w:ascii="Arial" w:hAnsi="Arial" w:cs="Arial"/>
          <w:color w:val="2F5496" w:themeColor="accent1" w:themeShade="BF"/>
        </w:rPr>
        <w:lastRenderedPageBreak/>
        <w:t>together they</w:t>
      </w:r>
      <w:r w:rsidR="00C30D10">
        <w:rPr>
          <w:rFonts w:ascii="Arial" w:hAnsi="Arial" w:cs="Arial"/>
          <w:color w:val="2F5496" w:themeColor="accent1" w:themeShade="BF"/>
        </w:rPr>
        <w:t xml:space="preserve"> </w:t>
      </w:r>
      <w:r w:rsidR="009E3BF2" w:rsidRPr="009E3BF2">
        <w:rPr>
          <w:rFonts w:ascii="Arial" w:hAnsi="Arial" w:cs="Arial"/>
          <w:color w:val="2F5496" w:themeColor="accent1" w:themeShade="BF"/>
        </w:rPr>
        <w:t xml:space="preserve">were </w:t>
      </w:r>
      <w:r w:rsidR="00C30D10">
        <w:rPr>
          <w:rFonts w:ascii="Arial" w:hAnsi="Arial" w:cs="Arial"/>
          <w:color w:val="2F5496" w:themeColor="accent1" w:themeShade="BF"/>
        </w:rPr>
        <w:t xml:space="preserve">collectively </w:t>
      </w:r>
      <w:r w:rsidR="009E3BF2" w:rsidRPr="009E3BF2">
        <w:rPr>
          <w:rFonts w:ascii="Arial" w:hAnsi="Arial" w:cs="Arial"/>
          <w:color w:val="2F5496" w:themeColor="accent1" w:themeShade="BF"/>
        </w:rPr>
        <w:t xml:space="preserve">sufficient to guarantee </w:t>
      </w:r>
      <w:r w:rsidR="00C30D10">
        <w:rPr>
          <w:rFonts w:ascii="Arial" w:hAnsi="Arial" w:cs="Arial"/>
          <w:color w:val="2F5496" w:themeColor="accent1" w:themeShade="BF"/>
        </w:rPr>
        <w:t>direct</w:t>
      </w:r>
      <w:r w:rsidR="009E3BF2" w:rsidRPr="009E3BF2">
        <w:rPr>
          <w:rFonts w:ascii="Arial" w:hAnsi="Arial" w:cs="Arial"/>
          <w:color w:val="2F5496" w:themeColor="accent1" w:themeShade="BF"/>
        </w:rPr>
        <w:t xml:space="preserve"> government backed loans</w:t>
      </w:r>
      <w:r w:rsidR="009E3BF2">
        <w:rPr>
          <w:rFonts w:ascii="Arial" w:hAnsi="Arial" w:cs="Arial"/>
          <w:color w:val="2F5496" w:themeColor="accent1" w:themeShade="BF"/>
        </w:rPr>
        <w:t xml:space="preserve"> (Davies, 1937</w:t>
      </w:r>
      <w:r w:rsidR="00C30D10">
        <w:rPr>
          <w:rFonts w:ascii="Arial" w:hAnsi="Arial" w:cs="Arial"/>
          <w:color w:val="2F5496" w:themeColor="accent1" w:themeShade="BF"/>
        </w:rPr>
        <w:t>, Finer, 1941</w:t>
      </w:r>
      <w:r w:rsidR="009E3BF2">
        <w:rPr>
          <w:rFonts w:ascii="Arial" w:hAnsi="Arial" w:cs="Arial"/>
          <w:color w:val="2F5496" w:themeColor="accent1" w:themeShade="BF"/>
        </w:rPr>
        <w:t>)</w:t>
      </w:r>
      <w:r w:rsidR="00A25237" w:rsidRPr="009E3BF2">
        <w:rPr>
          <w:rFonts w:ascii="Arial" w:hAnsi="Arial" w:cs="Arial"/>
          <w:color w:val="2F5496" w:themeColor="accent1" w:themeShade="BF"/>
        </w:rPr>
        <w:t>.</w:t>
      </w:r>
    </w:p>
    <w:p w14:paraId="2F5226A0" w14:textId="77777777" w:rsidR="00F44900" w:rsidRDefault="00F44900" w:rsidP="00E86C90">
      <w:pPr>
        <w:spacing w:after="0" w:line="480" w:lineRule="auto"/>
        <w:rPr>
          <w:rFonts w:ascii="Arial" w:hAnsi="Arial" w:cs="Arial"/>
        </w:rPr>
      </w:pPr>
    </w:p>
    <w:p w14:paraId="69F61F1C" w14:textId="2FE996FD" w:rsidR="00E86C90" w:rsidRDefault="00021C1F" w:rsidP="00F44900">
      <w:pPr>
        <w:spacing w:after="0" w:line="480" w:lineRule="auto"/>
        <w:jc w:val="center"/>
        <w:rPr>
          <w:rFonts w:ascii="Arial" w:hAnsi="Arial" w:cs="Arial"/>
        </w:rPr>
      </w:pPr>
      <w:r>
        <w:rPr>
          <w:rFonts w:ascii="Arial" w:hAnsi="Arial" w:cs="Arial"/>
        </w:rPr>
        <w:t>(Insert Table VII</w:t>
      </w:r>
      <w:r w:rsidR="003D5BB5">
        <w:rPr>
          <w:rFonts w:ascii="Arial" w:hAnsi="Arial" w:cs="Arial"/>
        </w:rPr>
        <w:t>I</w:t>
      </w:r>
      <w:r>
        <w:rPr>
          <w:rFonts w:ascii="Arial" w:hAnsi="Arial" w:cs="Arial"/>
        </w:rPr>
        <w:t xml:space="preserve"> about here)</w:t>
      </w:r>
    </w:p>
    <w:p w14:paraId="16A33035" w14:textId="77777777" w:rsidR="00F44900" w:rsidRDefault="00F44900" w:rsidP="00DD1B53">
      <w:pPr>
        <w:spacing w:after="0" w:line="480" w:lineRule="auto"/>
        <w:rPr>
          <w:rFonts w:ascii="Arial" w:hAnsi="Arial" w:cs="Arial"/>
        </w:rPr>
      </w:pPr>
    </w:p>
    <w:p w14:paraId="0D78DDCA" w14:textId="3A95EC53" w:rsidR="000B6AAA" w:rsidRPr="003D5BB5" w:rsidRDefault="00A15B7E" w:rsidP="00DD1B53">
      <w:pPr>
        <w:spacing w:after="0" w:line="480" w:lineRule="auto"/>
        <w:rPr>
          <w:rFonts w:ascii="Arial" w:hAnsi="Arial" w:cs="Arial"/>
          <w:color w:val="2F5496" w:themeColor="accent1" w:themeShade="BF"/>
        </w:rPr>
      </w:pPr>
      <w:r>
        <w:rPr>
          <w:rFonts w:ascii="Arial" w:hAnsi="Arial" w:cs="Arial"/>
        </w:rPr>
        <w:t xml:space="preserve">Moving </w:t>
      </w:r>
      <w:r w:rsidR="005F1BC9">
        <w:rPr>
          <w:rFonts w:ascii="Arial" w:hAnsi="Arial" w:cs="Arial"/>
        </w:rPr>
        <w:t xml:space="preserve">to </w:t>
      </w:r>
      <w:r>
        <w:rPr>
          <w:rFonts w:ascii="Arial" w:hAnsi="Arial" w:cs="Arial"/>
        </w:rPr>
        <w:t xml:space="preserve">service comparisons, </w:t>
      </w:r>
      <w:r w:rsidR="00D17721">
        <w:rPr>
          <w:rFonts w:ascii="Arial" w:hAnsi="Arial" w:cs="Arial"/>
        </w:rPr>
        <w:t>Table</w:t>
      </w:r>
      <w:r w:rsidR="005F1BC9">
        <w:rPr>
          <w:rFonts w:ascii="Arial" w:hAnsi="Arial" w:cs="Arial"/>
        </w:rPr>
        <w:t xml:space="preserve"> Eight</w:t>
      </w:r>
      <w:r w:rsidR="00CF320E">
        <w:rPr>
          <w:rFonts w:ascii="Arial" w:hAnsi="Arial" w:cs="Arial"/>
        </w:rPr>
        <w:t xml:space="preserve"> presents </w:t>
      </w:r>
      <w:r w:rsidR="00602E51">
        <w:rPr>
          <w:rFonts w:ascii="Arial" w:hAnsi="Arial" w:cs="Arial"/>
        </w:rPr>
        <w:t>evidence</w:t>
      </w:r>
      <w:r w:rsidR="00CF320E">
        <w:rPr>
          <w:rFonts w:ascii="Arial" w:hAnsi="Arial" w:cs="Arial"/>
        </w:rPr>
        <w:t xml:space="preserve"> that neither the Metropolitan Railway </w:t>
      </w:r>
      <w:r w:rsidR="00B528EB">
        <w:rPr>
          <w:rFonts w:ascii="Arial" w:hAnsi="Arial" w:cs="Arial"/>
        </w:rPr>
        <w:t>n</w:t>
      </w:r>
      <w:r w:rsidR="00CF320E">
        <w:rPr>
          <w:rFonts w:ascii="Arial" w:hAnsi="Arial" w:cs="Arial"/>
        </w:rPr>
        <w:t xml:space="preserve">or the </w:t>
      </w:r>
      <w:r w:rsidR="0081138C">
        <w:rPr>
          <w:rFonts w:ascii="Arial" w:hAnsi="Arial" w:cs="Arial"/>
        </w:rPr>
        <w:t>UERL</w:t>
      </w:r>
      <w:r w:rsidR="00CF320E">
        <w:rPr>
          <w:rFonts w:ascii="Arial" w:hAnsi="Arial" w:cs="Arial"/>
        </w:rPr>
        <w:t xml:space="preserve"> were getting noticeably better </w:t>
      </w:r>
      <w:r w:rsidR="00C37571">
        <w:rPr>
          <w:rFonts w:ascii="Arial" w:hAnsi="Arial" w:cs="Arial"/>
        </w:rPr>
        <w:t xml:space="preserve">or worse </w:t>
      </w:r>
      <w:r w:rsidR="00CF320E">
        <w:rPr>
          <w:rFonts w:ascii="Arial" w:hAnsi="Arial" w:cs="Arial"/>
        </w:rPr>
        <w:t xml:space="preserve">at </w:t>
      </w:r>
      <w:r w:rsidR="003F2873">
        <w:rPr>
          <w:rFonts w:ascii="Arial" w:hAnsi="Arial" w:cs="Arial"/>
        </w:rPr>
        <w:t>efficiently moving passengers</w:t>
      </w:r>
      <w:r w:rsidR="00CF320E">
        <w:rPr>
          <w:rFonts w:ascii="Arial" w:hAnsi="Arial" w:cs="Arial"/>
        </w:rPr>
        <w:t xml:space="preserve">. </w:t>
      </w:r>
      <w:r w:rsidR="00602E51">
        <w:rPr>
          <w:rFonts w:ascii="Arial" w:hAnsi="Arial" w:cs="Arial"/>
        </w:rPr>
        <w:t xml:space="preserve">After amalgamation, the period of control by the Board itself shows </w:t>
      </w:r>
      <w:r w:rsidR="003D5BB5">
        <w:rPr>
          <w:rFonts w:ascii="Arial" w:hAnsi="Arial" w:cs="Arial"/>
        </w:rPr>
        <w:t>some slight</w:t>
      </w:r>
      <w:r w:rsidR="00602E51">
        <w:rPr>
          <w:rFonts w:ascii="Arial" w:hAnsi="Arial" w:cs="Arial"/>
        </w:rPr>
        <w:t xml:space="preserve"> deterioration</w:t>
      </w:r>
      <w:r w:rsidR="003D5BB5">
        <w:rPr>
          <w:rFonts w:ascii="Arial" w:hAnsi="Arial" w:cs="Arial"/>
        </w:rPr>
        <w:t xml:space="preserve"> on the railways and a plateau as regards trams, trolleys and buses</w:t>
      </w:r>
      <w:r w:rsidR="003F2873" w:rsidRPr="003D5BB5">
        <w:rPr>
          <w:rFonts w:ascii="Arial" w:hAnsi="Arial" w:cs="Arial"/>
          <w:color w:val="2F5496" w:themeColor="accent1" w:themeShade="BF"/>
        </w:rPr>
        <w:t>.</w:t>
      </w:r>
      <w:r w:rsidR="003D5BB5" w:rsidRPr="003D5BB5">
        <w:rPr>
          <w:rFonts w:ascii="Arial" w:hAnsi="Arial" w:cs="Arial"/>
          <w:color w:val="2F5496" w:themeColor="accent1" w:themeShade="BF"/>
        </w:rPr>
        <w:t xml:space="preserve"> Morrison and others had hoped for </w:t>
      </w:r>
      <w:r w:rsidR="00181B45">
        <w:rPr>
          <w:rFonts w:ascii="Arial" w:hAnsi="Arial" w:cs="Arial"/>
          <w:color w:val="2F5496" w:themeColor="accent1" w:themeShade="BF"/>
        </w:rPr>
        <w:t>distinct</w:t>
      </w:r>
      <w:r w:rsidR="003D5BB5" w:rsidRPr="003D5BB5">
        <w:rPr>
          <w:rFonts w:ascii="Arial" w:hAnsi="Arial" w:cs="Arial"/>
          <w:color w:val="2F5496" w:themeColor="accent1" w:themeShade="BF"/>
        </w:rPr>
        <w:t xml:space="preserve"> </w:t>
      </w:r>
      <w:r w:rsidR="00844472">
        <w:rPr>
          <w:rFonts w:ascii="Arial" w:hAnsi="Arial" w:cs="Arial"/>
          <w:color w:val="2F5496" w:themeColor="accent1" w:themeShade="BF"/>
        </w:rPr>
        <w:t>efficiencies</w:t>
      </w:r>
      <w:r w:rsidR="003F2873" w:rsidRPr="003D5BB5">
        <w:rPr>
          <w:rFonts w:ascii="Arial" w:hAnsi="Arial" w:cs="Arial"/>
          <w:color w:val="2F5496" w:themeColor="accent1" w:themeShade="BF"/>
        </w:rPr>
        <w:t xml:space="preserve"> </w:t>
      </w:r>
      <w:r w:rsidR="003D5BB5">
        <w:rPr>
          <w:rFonts w:ascii="Arial" w:hAnsi="Arial" w:cs="Arial"/>
          <w:color w:val="2F5496" w:themeColor="accent1" w:themeShade="BF"/>
        </w:rPr>
        <w:t>arising out of co-ordination (Morrison, 1933). Table Eight shows that they were</w:t>
      </w:r>
      <w:r w:rsidR="00181B45">
        <w:rPr>
          <w:rFonts w:ascii="Arial" w:hAnsi="Arial" w:cs="Arial"/>
          <w:color w:val="2F5496" w:themeColor="accent1" w:themeShade="BF"/>
        </w:rPr>
        <w:t xml:space="preserve"> to some extent</w:t>
      </w:r>
      <w:r w:rsidR="003D5BB5">
        <w:rPr>
          <w:rFonts w:ascii="Arial" w:hAnsi="Arial" w:cs="Arial"/>
          <w:color w:val="2F5496" w:themeColor="accent1" w:themeShade="BF"/>
        </w:rPr>
        <w:t xml:space="preserve"> disappointed.</w:t>
      </w:r>
      <w:r w:rsidR="00181B45">
        <w:rPr>
          <w:rFonts w:ascii="Arial" w:hAnsi="Arial" w:cs="Arial"/>
          <w:color w:val="2F5496" w:themeColor="accent1" w:themeShade="BF"/>
        </w:rPr>
        <w:t xml:space="preserve"> Nevertheless, operational co-ordination did occur in some </w:t>
      </w:r>
      <w:r w:rsidR="00C35876">
        <w:rPr>
          <w:rFonts w:ascii="Arial" w:hAnsi="Arial" w:cs="Arial"/>
          <w:color w:val="2F5496" w:themeColor="accent1" w:themeShade="BF"/>
        </w:rPr>
        <w:t xml:space="preserve">other </w:t>
      </w:r>
      <w:r w:rsidR="00181B45">
        <w:rPr>
          <w:rFonts w:ascii="Arial" w:hAnsi="Arial" w:cs="Arial"/>
          <w:color w:val="2F5496" w:themeColor="accent1" w:themeShade="BF"/>
        </w:rPr>
        <w:t>areas such as the standardisation of wages and rolling stock. Since these</w:t>
      </w:r>
      <w:r w:rsidR="00266E54">
        <w:rPr>
          <w:rFonts w:ascii="Arial" w:hAnsi="Arial" w:cs="Arial"/>
          <w:color w:val="2F5496" w:themeColor="accent1" w:themeShade="BF"/>
        </w:rPr>
        <w:t xml:space="preserve"> meant that the highest standards of the pre-amalgamation companies were then applied universally </w:t>
      </w:r>
      <w:r w:rsidR="00844472">
        <w:rPr>
          <w:rFonts w:ascii="Arial" w:hAnsi="Arial" w:cs="Arial"/>
          <w:color w:val="2F5496" w:themeColor="accent1" w:themeShade="BF"/>
        </w:rPr>
        <w:t>across the whole of the newly unified board (Barker &amp; Robbins, 1976; Clegg, 1950; Croome &amp; Jackson, 1993)</w:t>
      </w:r>
      <w:r w:rsidR="00266E54">
        <w:rPr>
          <w:rFonts w:ascii="Arial" w:hAnsi="Arial" w:cs="Arial"/>
          <w:color w:val="2F5496" w:themeColor="accent1" w:themeShade="BF"/>
        </w:rPr>
        <w:t>, Morrison can claim to have been vindicated as regard</w:t>
      </w:r>
      <w:r w:rsidR="009752CA">
        <w:rPr>
          <w:rFonts w:ascii="Arial" w:hAnsi="Arial" w:cs="Arial"/>
          <w:color w:val="2F5496" w:themeColor="accent1" w:themeShade="BF"/>
        </w:rPr>
        <w:t>s</w:t>
      </w:r>
      <w:r w:rsidR="00266E54">
        <w:rPr>
          <w:rFonts w:ascii="Arial" w:hAnsi="Arial" w:cs="Arial"/>
          <w:color w:val="2F5496" w:themeColor="accent1" w:themeShade="BF"/>
        </w:rPr>
        <w:t xml:space="preserve"> the benefits </w:t>
      </w:r>
      <w:r w:rsidR="009752CA">
        <w:rPr>
          <w:rFonts w:ascii="Arial" w:hAnsi="Arial" w:cs="Arial"/>
          <w:color w:val="2F5496" w:themeColor="accent1" w:themeShade="BF"/>
        </w:rPr>
        <w:t xml:space="preserve">of co-ordination </w:t>
      </w:r>
      <w:r w:rsidR="00266E54">
        <w:rPr>
          <w:rFonts w:ascii="Arial" w:hAnsi="Arial" w:cs="Arial"/>
          <w:color w:val="2F5496" w:themeColor="accent1" w:themeShade="BF"/>
        </w:rPr>
        <w:t>for employees</w:t>
      </w:r>
      <w:r w:rsidR="00844472">
        <w:rPr>
          <w:rFonts w:ascii="Arial" w:hAnsi="Arial" w:cs="Arial"/>
          <w:color w:val="2F5496" w:themeColor="accent1" w:themeShade="BF"/>
        </w:rPr>
        <w:t xml:space="preserve"> and to some extent passengers. The downside was that, as with other amalgamated </w:t>
      </w:r>
      <w:r w:rsidR="00C35876">
        <w:rPr>
          <w:rFonts w:ascii="Arial" w:hAnsi="Arial" w:cs="Arial"/>
          <w:color w:val="2F5496" w:themeColor="accent1" w:themeShade="BF"/>
        </w:rPr>
        <w:t xml:space="preserve">transport </w:t>
      </w:r>
      <w:r w:rsidR="00844472">
        <w:rPr>
          <w:rFonts w:ascii="Arial" w:hAnsi="Arial" w:cs="Arial"/>
          <w:color w:val="2F5496" w:themeColor="accent1" w:themeShade="BF"/>
        </w:rPr>
        <w:t>companies, the costs of these co-ordinating moves undermined the market</w:t>
      </w:r>
      <w:r w:rsidR="00E70943">
        <w:rPr>
          <w:rFonts w:ascii="Arial" w:hAnsi="Arial" w:cs="Arial"/>
          <w:color w:val="2F5496" w:themeColor="accent1" w:themeShade="BF"/>
        </w:rPr>
        <w:t>-</w:t>
      </w:r>
      <w:r w:rsidR="00C35876">
        <w:rPr>
          <w:rFonts w:ascii="Arial" w:hAnsi="Arial" w:cs="Arial"/>
          <w:color w:val="2F5496" w:themeColor="accent1" w:themeShade="BF"/>
        </w:rPr>
        <w:t xml:space="preserve">based </w:t>
      </w:r>
      <w:r w:rsidR="00844472">
        <w:rPr>
          <w:rFonts w:ascii="Arial" w:hAnsi="Arial" w:cs="Arial"/>
          <w:color w:val="2F5496" w:themeColor="accent1" w:themeShade="BF"/>
        </w:rPr>
        <w:t xml:space="preserve">logic hopes for </w:t>
      </w:r>
      <w:r w:rsidR="0012255C">
        <w:rPr>
          <w:rFonts w:ascii="Arial" w:hAnsi="Arial" w:cs="Arial"/>
          <w:color w:val="2F5496" w:themeColor="accent1" w:themeShade="BF"/>
        </w:rPr>
        <w:t>financial savings</w:t>
      </w:r>
      <w:r w:rsidR="00844472">
        <w:rPr>
          <w:rFonts w:ascii="Arial" w:hAnsi="Arial" w:cs="Arial"/>
          <w:color w:val="2F5496" w:themeColor="accent1" w:themeShade="BF"/>
        </w:rPr>
        <w:t xml:space="preserve"> via rationalisation (</w:t>
      </w:r>
      <w:proofErr w:type="spellStart"/>
      <w:r w:rsidR="00844472">
        <w:rPr>
          <w:rFonts w:ascii="Arial" w:hAnsi="Arial" w:cs="Arial"/>
          <w:color w:val="2F5496" w:themeColor="accent1" w:themeShade="BF"/>
        </w:rPr>
        <w:t>Bonavia</w:t>
      </w:r>
      <w:proofErr w:type="spellEnd"/>
      <w:r w:rsidR="00844472">
        <w:rPr>
          <w:rFonts w:ascii="Arial" w:hAnsi="Arial" w:cs="Arial"/>
          <w:color w:val="2F5496" w:themeColor="accent1" w:themeShade="BF"/>
        </w:rPr>
        <w:t>, 1981).</w:t>
      </w:r>
      <w:r w:rsidR="00E70943">
        <w:rPr>
          <w:rFonts w:ascii="Arial" w:hAnsi="Arial" w:cs="Arial"/>
          <w:color w:val="2F5496" w:themeColor="accent1" w:themeShade="BF"/>
        </w:rPr>
        <w:t xml:space="preserve"> We argue that, like efficiency, co-ordination was </w:t>
      </w:r>
      <w:r w:rsidR="00793DA3">
        <w:rPr>
          <w:rFonts w:ascii="Arial" w:hAnsi="Arial" w:cs="Arial"/>
          <w:color w:val="2F5496" w:themeColor="accent1" w:themeShade="BF"/>
        </w:rPr>
        <w:t xml:space="preserve">primarily </w:t>
      </w:r>
      <w:r w:rsidR="00E70943">
        <w:rPr>
          <w:rFonts w:ascii="Arial" w:hAnsi="Arial" w:cs="Arial"/>
          <w:color w:val="2F5496" w:themeColor="accent1" w:themeShade="BF"/>
        </w:rPr>
        <w:t xml:space="preserve">a useful rhetorical device to obscure division. </w:t>
      </w:r>
      <w:r w:rsidR="00793DA3">
        <w:rPr>
          <w:rFonts w:ascii="Arial" w:hAnsi="Arial" w:cs="Arial"/>
          <w:color w:val="2F5496" w:themeColor="accent1" w:themeShade="BF"/>
        </w:rPr>
        <w:t>Where it did practically occur, there appears to have some slant towards state logics in its outcomes</w:t>
      </w:r>
      <w:r w:rsidR="00E70943">
        <w:rPr>
          <w:rFonts w:ascii="Arial" w:hAnsi="Arial" w:cs="Arial"/>
          <w:color w:val="2F5496" w:themeColor="accent1" w:themeShade="BF"/>
        </w:rPr>
        <w:t xml:space="preserve">.  </w:t>
      </w:r>
      <w:r w:rsidR="00844472">
        <w:rPr>
          <w:rFonts w:ascii="Arial" w:hAnsi="Arial" w:cs="Arial"/>
          <w:color w:val="2F5496" w:themeColor="accent1" w:themeShade="BF"/>
        </w:rPr>
        <w:t xml:space="preserve">    </w:t>
      </w:r>
      <w:r w:rsidR="00181B45">
        <w:rPr>
          <w:rFonts w:ascii="Arial" w:hAnsi="Arial" w:cs="Arial"/>
          <w:color w:val="2F5496" w:themeColor="accent1" w:themeShade="BF"/>
        </w:rPr>
        <w:t xml:space="preserve"> </w:t>
      </w:r>
      <w:r w:rsidR="003D5BB5">
        <w:rPr>
          <w:rFonts w:ascii="Arial" w:hAnsi="Arial" w:cs="Arial"/>
          <w:color w:val="2F5496" w:themeColor="accent1" w:themeShade="BF"/>
        </w:rPr>
        <w:t xml:space="preserve">  </w:t>
      </w:r>
    </w:p>
    <w:p w14:paraId="138290BF" w14:textId="77777777" w:rsidR="00F44900" w:rsidRDefault="00F44900" w:rsidP="005F1BC9">
      <w:pPr>
        <w:spacing w:after="0" w:line="240" w:lineRule="auto"/>
        <w:rPr>
          <w:rFonts w:ascii="Arial" w:hAnsi="Arial" w:cs="Arial"/>
        </w:rPr>
      </w:pPr>
    </w:p>
    <w:p w14:paraId="319189FC" w14:textId="0D7D1B07" w:rsidR="005F1BC9" w:rsidRDefault="00021C1F" w:rsidP="00F44900">
      <w:pPr>
        <w:spacing w:after="0" w:line="240" w:lineRule="auto"/>
        <w:jc w:val="center"/>
        <w:rPr>
          <w:rFonts w:ascii="Arial" w:hAnsi="Arial" w:cs="Arial"/>
        </w:rPr>
      </w:pPr>
      <w:r>
        <w:rPr>
          <w:rFonts w:ascii="Arial" w:hAnsi="Arial" w:cs="Arial"/>
        </w:rPr>
        <w:t>(Insert Table IX about here)</w:t>
      </w:r>
    </w:p>
    <w:p w14:paraId="1C27EC03" w14:textId="77777777" w:rsidR="005F1BC9" w:rsidRDefault="005F1BC9" w:rsidP="00207B4F">
      <w:pPr>
        <w:spacing w:after="0" w:line="240" w:lineRule="auto"/>
        <w:rPr>
          <w:rFonts w:ascii="Arial" w:hAnsi="Arial" w:cs="Arial"/>
          <w:b/>
          <w:bCs/>
        </w:rPr>
      </w:pPr>
    </w:p>
    <w:p w14:paraId="40FC0C49" w14:textId="77777777" w:rsidR="00F44900" w:rsidRDefault="00F44900" w:rsidP="00DD1B53">
      <w:pPr>
        <w:spacing w:after="0" w:line="480" w:lineRule="auto"/>
        <w:rPr>
          <w:rFonts w:ascii="Arial" w:hAnsi="Arial" w:cs="Arial"/>
        </w:rPr>
      </w:pPr>
    </w:p>
    <w:p w14:paraId="6F5084F5" w14:textId="12F7A184" w:rsidR="00602E51" w:rsidRDefault="00A15B7E" w:rsidP="00DD1B53">
      <w:pPr>
        <w:spacing w:after="0" w:line="480" w:lineRule="auto"/>
        <w:rPr>
          <w:rFonts w:ascii="Arial" w:hAnsi="Arial" w:cs="Arial"/>
        </w:rPr>
      </w:pPr>
      <w:r>
        <w:rPr>
          <w:rFonts w:ascii="Arial" w:hAnsi="Arial" w:cs="Arial"/>
        </w:rPr>
        <w:t xml:space="preserve">Regarding fares, </w:t>
      </w:r>
      <w:r w:rsidR="00602E51">
        <w:rPr>
          <w:rFonts w:ascii="Arial" w:hAnsi="Arial" w:cs="Arial"/>
        </w:rPr>
        <w:t xml:space="preserve">Table </w:t>
      </w:r>
      <w:r w:rsidR="002B2B61">
        <w:rPr>
          <w:rFonts w:ascii="Arial" w:hAnsi="Arial" w:cs="Arial"/>
        </w:rPr>
        <w:t>Nine</w:t>
      </w:r>
      <w:r w:rsidR="00151605">
        <w:rPr>
          <w:rFonts w:ascii="Arial" w:hAnsi="Arial" w:cs="Arial"/>
        </w:rPr>
        <w:t xml:space="preserve"> </w:t>
      </w:r>
      <w:r w:rsidR="00207B4F">
        <w:rPr>
          <w:rFonts w:ascii="Arial" w:hAnsi="Arial" w:cs="Arial"/>
        </w:rPr>
        <w:t xml:space="preserve">shows that </w:t>
      </w:r>
      <w:r w:rsidR="00BB1489">
        <w:rPr>
          <w:rFonts w:ascii="Arial" w:hAnsi="Arial" w:cs="Arial"/>
        </w:rPr>
        <w:t>b</w:t>
      </w:r>
      <w:r w:rsidR="00151605">
        <w:rPr>
          <w:rFonts w:ascii="Arial" w:hAnsi="Arial" w:cs="Arial"/>
        </w:rPr>
        <w:t>etween 1925 and 1933 the real cost of travelling a mile r</w:t>
      </w:r>
      <w:r w:rsidR="00215AFF">
        <w:rPr>
          <w:rFonts w:ascii="Arial" w:hAnsi="Arial" w:cs="Arial"/>
        </w:rPr>
        <w:t>ose</w:t>
      </w:r>
      <w:r w:rsidR="00151605">
        <w:rPr>
          <w:rFonts w:ascii="Arial" w:hAnsi="Arial" w:cs="Arial"/>
        </w:rPr>
        <w:t xml:space="preserve"> by 17%</w:t>
      </w:r>
      <w:r w:rsidR="00BB1489">
        <w:rPr>
          <w:rFonts w:ascii="Arial" w:hAnsi="Arial" w:cs="Arial"/>
        </w:rPr>
        <w:t xml:space="preserve"> and thereafter it f</w:t>
      </w:r>
      <w:r w:rsidR="00215AFF">
        <w:rPr>
          <w:rFonts w:ascii="Arial" w:hAnsi="Arial" w:cs="Arial"/>
        </w:rPr>
        <w:t>e</w:t>
      </w:r>
      <w:r w:rsidR="00BB1489">
        <w:rPr>
          <w:rFonts w:ascii="Arial" w:hAnsi="Arial" w:cs="Arial"/>
        </w:rPr>
        <w:t xml:space="preserve">ll 9% by 1939. During the </w:t>
      </w:r>
      <w:r w:rsidR="00A25237">
        <w:rPr>
          <w:rFonts w:ascii="Arial" w:hAnsi="Arial" w:cs="Arial"/>
        </w:rPr>
        <w:t>Second World W</w:t>
      </w:r>
      <w:r w:rsidR="00BB1489">
        <w:rPr>
          <w:rFonts w:ascii="Arial" w:hAnsi="Arial" w:cs="Arial"/>
        </w:rPr>
        <w:t xml:space="preserve">ar the LPTB raised fares by 50% in 1940 and then by 33% in 1947. However, wartime </w:t>
      </w:r>
      <w:r w:rsidR="00A25237">
        <w:rPr>
          <w:rFonts w:ascii="Arial" w:hAnsi="Arial" w:cs="Arial"/>
        </w:rPr>
        <w:t>incomes</w:t>
      </w:r>
      <w:r w:rsidR="00BB1489">
        <w:rPr>
          <w:rFonts w:ascii="Arial" w:hAnsi="Arial" w:cs="Arial"/>
        </w:rPr>
        <w:t xml:space="preserve"> also increased by 64%</w:t>
      </w:r>
      <w:r w:rsidR="00805C21">
        <w:rPr>
          <w:rFonts w:ascii="Arial" w:hAnsi="Arial" w:cs="Arial"/>
        </w:rPr>
        <w:t>,</w:t>
      </w:r>
      <w:r w:rsidR="001D0451">
        <w:rPr>
          <w:rFonts w:ascii="Arial" w:hAnsi="Arial" w:cs="Arial"/>
        </w:rPr>
        <w:t xml:space="preserve"> </w:t>
      </w:r>
      <w:r w:rsidR="00805C21">
        <w:rPr>
          <w:rFonts w:ascii="Arial" w:hAnsi="Arial" w:cs="Arial"/>
        </w:rPr>
        <w:t xml:space="preserve">keeping the cost of travel </w:t>
      </w:r>
      <w:r w:rsidR="001D0451">
        <w:rPr>
          <w:rFonts w:ascii="Arial" w:hAnsi="Arial" w:cs="Arial"/>
        </w:rPr>
        <w:t>comparatively</w:t>
      </w:r>
      <w:r w:rsidR="00805C21">
        <w:rPr>
          <w:rFonts w:ascii="Arial" w:hAnsi="Arial" w:cs="Arial"/>
        </w:rPr>
        <w:t xml:space="preserve"> stable</w:t>
      </w:r>
      <w:r w:rsidR="00BB1489">
        <w:rPr>
          <w:rFonts w:ascii="Arial" w:hAnsi="Arial" w:cs="Arial"/>
        </w:rPr>
        <w:t>. Overall</w:t>
      </w:r>
      <w:r w:rsidR="00EB29E9">
        <w:rPr>
          <w:rFonts w:ascii="Arial" w:hAnsi="Arial" w:cs="Arial"/>
        </w:rPr>
        <w:t xml:space="preserve">, </w:t>
      </w:r>
      <w:r w:rsidR="00AD2353">
        <w:rPr>
          <w:rFonts w:ascii="Arial" w:hAnsi="Arial" w:cs="Arial"/>
        </w:rPr>
        <w:t>we</w:t>
      </w:r>
      <w:r w:rsidR="00EB29E9">
        <w:rPr>
          <w:rFonts w:ascii="Arial" w:hAnsi="Arial" w:cs="Arial"/>
        </w:rPr>
        <w:t xml:space="preserve"> find that</w:t>
      </w:r>
      <w:r w:rsidR="00BB1489">
        <w:rPr>
          <w:rFonts w:ascii="Arial" w:hAnsi="Arial" w:cs="Arial"/>
        </w:rPr>
        <w:t xml:space="preserve"> the </w:t>
      </w:r>
      <w:r w:rsidR="00BB1489">
        <w:rPr>
          <w:rFonts w:ascii="Arial" w:hAnsi="Arial" w:cs="Arial"/>
        </w:rPr>
        <w:lastRenderedPageBreak/>
        <w:t xml:space="preserve">real cost of travelling rose </w:t>
      </w:r>
      <w:r w:rsidR="0087213B">
        <w:rPr>
          <w:rFonts w:ascii="Arial" w:hAnsi="Arial" w:cs="Arial"/>
        </w:rPr>
        <w:t>pre-amalgamation</w:t>
      </w:r>
      <w:r w:rsidR="002E5857">
        <w:rPr>
          <w:rFonts w:ascii="Arial" w:hAnsi="Arial" w:cs="Arial"/>
        </w:rPr>
        <w:t xml:space="preserve">. </w:t>
      </w:r>
      <w:r w:rsidR="00EB29E9">
        <w:rPr>
          <w:rFonts w:ascii="Arial" w:hAnsi="Arial" w:cs="Arial"/>
        </w:rPr>
        <w:t>By contrast i</w:t>
      </w:r>
      <w:r w:rsidR="002E5857">
        <w:rPr>
          <w:rFonts w:ascii="Arial" w:hAnsi="Arial" w:cs="Arial"/>
        </w:rPr>
        <w:t>t remained stable or fell</w:t>
      </w:r>
      <w:r w:rsidR="00BB1489">
        <w:rPr>
          <w:rFonts w:ascii="Arial" w:hAnsi="Arial" w:cs="Arial"/>
        </w:rPr>
        <w:t xml:space="preserve"> </w:t>
      </w:r>
      <w:r w:rsidR="002E5857">
        <w:rPr>
          <w:rFonts w:ascii="Arial" w:hAnsi="Arial" w:cs="Arial"/>
        </w:rPr>
        <w:t xml:space="preserve">during the period of provision by a hybrid monopoly. </w:t>
      </w:r>
    </w:p>
    <w:p w14:paraId="5834824D" w14:textId="2B0F9608" w:rsidR="00AD2353" w:rsidRDefault="00A15B7E" w:rsidP="00F44900">
      <w:pPr>
        <w:spacing w:after="0" w:line="480" w:lineRule="auto"/>
        <w:ind w:firstLine="720"/>
        <w:rPr>
          <w:rFonts w:ascii="Arial" w:hAnsi="Arial" w:cs="Arial"/>
        </w:rPr>
      </w:pPr>
      <w:r>
        <w:rPr>
          <w:rFonts w:ascii="Arial" w:hAnsi="Arial" w:cs="Arial"/>
        </w:rPr>
        <w:t>In summary</w:t>
      </w:r>
      <w:r w:rsidR="009544BE">
        <w:rPr>
          <w:rFonts w:ascii="Arial" w:hAnsi="Arial" w:cs="Arial"/>
        </w:rPr>
        <w:t xml:space="preserve"> </w:t>
      </w:r>
      <w:r>
        <w:rPr>
          <w:rFonts w:ascii="Arial" w:hAnsi="Arial" w:cs="Arial"/>
        </w:rPr>
        <w:t xml:space="preserve">the quantitative data presents </w:t>
      </w:r>
      <w:r w:rsidR="009544BE">
        <w:rPr>
          <w:rFonts w:ascii="Arial" w:hAnsi="Arial" w:cs="Arial"/>
        </w:rPr>
        <w:t xml:space="preserve">amalgamation </w:t>
      </w:r>
      <w:r w:rsidR="009544BE" w:rsidRPr="009544BE">
        <w:rPr>
          <w:rFonts w:ascii="Arial" w:hAnsi="Arial" w:cs="Arial"/>
          <w:color w:val="2F5496" w:themeColor="accent1" w:themeShade="BF"/>
        </w:rPr>
        <w:t>in a qualified,</w:t>
      </w:r>
      <w:r w:rsidR="009544BE">
        <w:rPr>
          <w:rFonts w:ascii="Arial" w:hAnsi="Arial" w:cs="Arial"/>
          <w:color w:val="2F5496" w:themeColor="accent1" w:themeShade="BF"/>
        </w:rPr>
        <w:t xml:space="preserve"> complex,</w:t>
      </w:r>
      <w:r w:rsidR="009544BE" w:rsidRPr="009544BE">
        <w:rPr>
          <w:rFonts w:ascii="Arial" w:hAnsi="Arial" w:cs="Arial"/>
          <w:color w:val="2F5496" w:themeColor="accent1" w:themeShade="BF"/>
        </w:rPr>
        <w:t xml:space="preserve"> but</w:t>
      </w:r>
      <w:r w:rsidR="009544BE">
        <w:rPr>
          <w:rFonts w:ascii="Arial" w:hAnsi="Arial" w:cs="Arial"/>
          <w:color w:val="2F5496" w:themeColor="accent1" w:themeShade="BF"/>
        </w:rPr>
        <w:t xml:space="preserve"> broadly</w:t>
      </w:r>
      <w:r w:rsidR="009544BE" w:rsidRPr="009544BE">
        <w:rPr>
          <w:rFonts w:ascii="Arial" w:hAnsi="Arial" w:cs="Arial"/>
          <w:color w:val="2F5496" w:themeColor="accent1" w:themeShade="BF"/>
        </w:rPr>
        <w:t xml:space="preserve"> positive light</w:t>
      </w:r>
      <w:r w:rsidRPr="009544BE">
        <w:rPr>
          <w:rFonts w:ascii="Arial" w:hAnsi="Arial" w:cs="Arial"/>
          <w:color w:val="2F5496" w:themeColor="accent1" w:themeShade="BF"/>
        </w:rPr>
        <w:t>.</w:t>
      </w:r>
      <w:r>
        <w:rPr>
          <w:rFonts w:ascii="Arial" w:hAnsi="Arial" w:cs="Arial"/>
        </w:rPr>
        <w:t xml:space="preserve"> </w:t>
      </w:r>
      <w:r w:rsidR="00395A0D">
        <w:rPr>
          <w:rFonts w:ascii="Arial" w:hAnsi="Arial" w:cs="Arial"/>
        </w:rPr>
        <w:t>O</w:t>
      </w:r>
      <w:r w:rsidR="0087213B">
        <w:rPr>
          <w:rFonts w:ascii="Arial" w:hAnsi="Arial" w:cs="Arial"/>
        </w:rPr>
        <w:t>ver the long-term,</w:t>
      </w:r>
      <w:r>
        <w:rPr>
          <w:rFonts w:ascii="Arial" w:hAnsi="Arial" w:cs="Arial"/>
        </w:rPr>
        <w:t xml:space="preserve"> </w:t>
      </w:r>
      <w:r w:rsidR="0087213B">
        <w:rPr>
          <w:rFonts w:ascii="Arial" w:hAnsi="Arial" w:cs="Arial"/>
        </w:rPr>
        <w:t>unification ensure</w:t>
      </w:r>
      <w:r w:rsidR="009544BE">
        <w:rPr>
          <w:rFonts w:ascii="Arial" w:hAnsi="Arial" w:cs="Arial"/>
        </w:rPr>
        <w:t>d</w:t>
      </w:r>
      <w:r>
        <w:rPr>
          <w:rFonts w:ascii="Arial" w:hAnsi="Arial" w:cs="Arial"/>
        </w:rPr>
        <w:t xml:space="preserve"> support from the market to sell debt</w:t>
      </w:r>
      <w:r w:rsidR="009544BE">
        <w:rPr>
          <w:rFonts w:ascii="Arial" w:hAnsi="Arial" w:cs="Arial"/>
        </w:rPr>
        <w:t>.</w:t>
      </w:r>
      <w:r w:rsidR="0087213B">
        <w:rPr>
          <w:rFonts w:ascii="Arial" w:hAnsi="Arial" w:cs="Arial"/>
        </w:rPr>
        <w:t xml:space="preserve"> </w:t>
      </w:r>
      <w:r w:rsidR="009544BE">
        <w:rPr>
          <w:rFonts w:ascii="Arial" w:hAnsi="Arial" w:cs="Arial"/>
        </w:rPr>
        <w:t>I</w:t>
      </w:r>
      <w:r>
        <w:rPr>
          <w:rFonts w:ascii="Arial" w:hAnsi="Arial" w:cs="Arial"/>
        </w:rPr>
        <w:t xml:space="preserve">t </w:t>
      </w:r>
      <w:r w:rsidR="009544BE">
        <w:rPr>
          <w:rFonts w:ascii="Arial" w:hAnsi="Arial" w:cs="Arial"/>
        </w:rPr>
        <w:t xml:space="preserve">also </w:t>
      </w:r>
      <w:r>
        <w:rPr>
          <w:rFonts w:ascii="Arial" w:hAnsi="Arial" w:cs="Arial"/>
        </w:rPr>
        <w:t xml:space="preserve">provided passengers a </w:t>
      </w:r>
      <w:r w:rsidR="00D006F9">
        <w:rPr>
          <w:rFonts w:ascii="Arial" w:hAnsi="Arial" w:cs="Arial"/>
        </w:rPr>
        <w:t xml:space="preserve">gradually </w:t>
      </w:r>
      <w:r>
        <w:rPr>
          <w:rFonts w:ascii="Arial" w:hAnsi="Arial" w:cs="Arial"/>
        </w:rPr>
        <w:t>cheaper service.</w:t>
      </w:r>
      <w:r w:rsidR="00793DA3" w:rsidRPr="00793DA3">
        <w:rPr>
          <w:rFonts w:ascii="Arial" w:hAnsi="Arial" w:cs="Arial"/>
          <w:color w:val="2F5496" w:themeColor="accent1" w:themeShade="BF"/>
        </w:rPr>
        <w:t xml:space="preserve"> </w:t>
      </w:r>
      <w:r w:rsidR="00793DA3">
        <w:rPr>
          <w:rFonts w:ascii="Arial" w:hAnsi="Arial" w:cs="Arial"/>
          <w:color w:val="2F5496" w:themeColor="accent1" w:themeShade="BF"/>
        </w:rPr>
        <w:t>Practical c</w:t>
      </w:r>
      <w:r w:rsidR="00793DA3" w:rsidRPr="00793DA3">
        <w:rPr>
          <w:rFonts w:ascii="Arial" w:hAnsi="Arial" w:cs="Arial"/>
          <w:color w:val="2F5496" w:themeColor="accent1" w:themeShade="BF"/>
        </w:rPr>
        <w:t xml:space="preserve">o-ordination </w:t>
      </w:r>
      <w:proofErr w:type="gramStart"/>
      <w:r w:rsidR="00793DA3">
        <w:rPr>
          <w:rFonts w:ascii="Arial" w:hAnsi="Arial" w:cs="Arial"/>
          <w:color w:val="2F5496" w:themeColor="accent1" w:themeShade="BF"/>
        </w:rPr>
        <w:t>was limited</w:t>
      </w:r>
      <w:proofErr w:type="gramEnd"/>
      <w:r w:rsidR="00793DA3">
        <w:rPr>
          <w:rFonts w:ascii="Arial" w:hAnsi="Arial" w:cs="Arial"/>
          <w:color w:val="2F5496" w:themeColor="accent1" w:themeShade="BF"/>
        </w:rPr>
        <w:t xml:space="preserve"> but where </w:t>
      </w:r>
      <w:r w:rsidR="00793DA3" w:rsidRPr="00793DA3">
        <w:rPr>
          <w:rFonts w:ascii="Arial" w:hAnsi="Arial" w:cs="Arial"/>
          <w:color w:val="2F5496" w:themeColor="accent1" w:themeShade="BF"/>
        </w:rPr>
        <w:t xml:space="preserve">did occur it improved </w:t>
      </w:r>
      <w:r w:rsidR="009544BE">
        <w:rPr>
          <w:rFonts w:ascii="Arial" w:hAnsi="Arial" w:cs="Arial"/>
          <w:color w:val="2F5496" w:themeColor="accent1" w:themeShade="BF"/>
        </w:rPr>
        <w:t>standards</w:t>
      </w:r>
      <w:r w:rsidR="0012255C">
        <w:rPr>
          <w:rFonts w:ascii="Arial" w:hAnsi="Arial" w:cs="Arial"/>
          <w:color w:val="2F5496" w:themeColor="accent1" w:themeShade="BF"/>
        </w:rPr>
        <w:t>, albeit</w:t>
      </w:r>
      <w:r w:rsidR="009544BE">
        <w:rPr>
          <w:rFonts w:ascii="Arial" w:hAnsi="Arial" w:cs="Arial"/>
          <w:color w:val="2F5496" w:themeColor="accent1" w:themeShade="BF"/>
        </w:rPr>
        <w:t xml:space="preserve"> with commensurate costs</w:t>
      </w:r>
      <w:r w:rsidR="00793DA3">
        <w:rPr>
          <w:rFonts w:ascii="Arial" w:hAnsi="Arial" w:cs="Arial"/>
        </w:rPr>
        <w:t>.</w:t>
      </w:r>
      <w:r>
        <w:rPr>
          <w:rFonts w:ascii="Arial" w:hAnsi="Arial" w:cs="Arial"/>
        </w:rPr>
        <w:t xml:space="preserve"> </w:t>
      </w:r>
      <w:r w:rsidR="009544BE">
        <w:rPr>
          <w:rFonts w:ascii="Arial" w:hAnsi="Arial" w:cs="Arial"/>
          <w:color w:val="2F5496" w:themeColor="accent1" w:themeShade="BF"/>
        </w:rPr>
        <w:t>These were all gains</w:t>
      </w:r>
      <w:r w:rsidR="00D006F9" w:rsidRPr="00793DA3">
        <w:rPr>
          <w:rFonts w:ascii="Arial" w:hAnsi="Arial" w:cs="Arial"/>
          <w:color w:val="2F5496" w:themeColor="accent1" w:themeShade="BF"/>
        </w:rPr>
        <w:t xml:space="preserve">, </w:t>
      </w:r>
      <w:r w:rsidR="009544BE">
        <w:rPr>
          <w:rFonts w:ascii="Arial" w:hAnsi="Arial" w:cs="Arial"/>
          <w:color w:val="2F5496" w:themeColor="accent1" w:themeShade="BF"/>
        </w:rPr>
        <w:t xml:space="preserve">but </w:t>
      </w:r>
      <w:r w:rsidR="00D006F9" w:rsidRPr="00793DA3">
        <w:rPr>
          <w:rFonts w:ascii="Arial" w:hAnsi="Arial" w:cs="Arial"/>
          <w:color w:val="2F5496" w:themeColor="accent1" w:themeShade="BF"/>
        </w:rPr>
        <w:t>w</w:t>
      </w:r>
      <w:r w:rsidRPr="00793DA3">
        <w:rPr>
          <w:rFonts w:ascii="Arial" w:hAnsi="Arial" w:cs="Arial"/>
          <w:color w:val="2F5496" w:themeColor="accent1" w:themeShade="BF"/>
        </w:rPr>
        <w:t xml:space="preserve">e </w:t>
      </w:r>
      <w:r w:rsidR="00793DA3" w:rsidRPr="00793DA3">
        <w:rPr>
          <w:rFonts w:ascii="Arial" w:hAnsi="Arial" w:cs="Arial"/>
          <w:color w:val="2F5496" w:themeColor="accent1" w:themeShade="BF"/>
        </w:rPr>
        <w:t xml:space="preserve">argue that </w:t>
      </w:r>
      <w:proofErr w:type="gramStart"/>
      <w:r w:rsidR="00793DA3" w:rsidRPr="00793DA3">
        <w:rPr>
          <w:rFonts w:ascii="Arial" w:hAnsi="Arial" w:cs="Arial"/>
          <w:color w:val="2F5496" w:themeColor="accent1" w:themeShade="BF"/>
        </w:rPr>
        <w:t>overall</w:t>
      </w:r>
      <w:proofErr w:type="gramEnd"/>
      <w:r w:rsidR="00793DA3" w:rsidRPr="00793DA3">
        <w:rPr>
          <w:rFonts w:ascii="Arial" w:hAnsi="Arial" w:cs="Arial"/>
          <w:color w:val="2F5496" w:themeColor="accent1" w:themeShade="BF"/>
        </w:rPr>
        <w:t xml:space="preserve"> these indices of</w:t>
      </w:r>
      <w:r w:rsidR="00717A71" w:rsidRPr="00793DA3">
        <w:rPr>
          <w:rFonts w:ascii="Arial" w:hAnsi="Arial" w:cs="Arial"/>
          <w:color w:val="2F5496" w:themeColor="accent1" w:themeShade="BF"/>
        </w:rPr>
        <w:t xml:space="preserve"> efficiency and performance </w:t>
      </w:r>
      <w:r w:rsidR="00793DA3" w:rsidRPr="00793DA3">
        <w:rPr>
          <w:rFonts w:ascii="Arial" w:hAnsi="Arial" w:cs="Arial"/>
          <w:color w:val="2F5496" w:themeColor="accent1" w:themeShade="BF"/>
        </w:rPr>
        <w:t xml:space="preserve">remained too similar </w:t>
      </w:r>
      <w:r w:rsidR="009544BE">
        <w:rPr>
          <w:rFonts w:ascii="Arial" w:hAnsi="Arial" w:cs="Arial"/>
          <w:color w:val="2F5496" w:themeColor="accent1" w:themeShade="BF"/>
        </w:rPr>
        <w:t xml:space="preserve">and were realised too slowly </w:t>
      </w:r>
      <w:r w:rsidR="00793DA3" w:rsidRPr="00793DA3">
        <w:rPr>
          <w:rFonts w:ascii="Arial" w:hAnsi="Arial" w:cs="Arial"/>
          <w:color w:val="2F5496" w:themeColor="accent1" w:themeShade="BF"/>
        </w:rPr>
        <w:t>for them to satisfactorily justify the dramatic change to hybrid monopoly provision</w:t>
      </w:r>
      <w:r w:rsidR="00805C21" w:rsidRPr="00793DA3">
        <w:rPr>
          <w:rFonts w:ascii="Arial" w:hAnsi="Arial" w:cs="Arial"/>
          <w:color w:val="2F5496" w:themeColor="accent1" w:themeShade="BF"/>
        </w:rPr>
        <w:t>.</w:t>
      </w:r>
      <w:r w:rsidR="00717A71" w:rsidRPr="00793DA3">
        <w:rPr>
          <w:rFonts w:ascii="Arial" w:hAnsi="Arial" w:cs="Arial"/>
          <w:color w:val="2F5496" w:themeColor="accent1" w:themeShade="BF"/>
        </w:rPr>
        <w:t xml:space="preserve"> </w:t>
      </w:r>
    </w:p>
    <w:p w14:paraId="09096E45" w14:textId="77777777" w:rsidR="00F44900" w:rsidRDefault="00F44900" w:rsidP="00DD1B53">
      <w:pPr>
        <w:spacing w:after="0" w:line="480" w:lineRule="auto"/>
        <w:rPr>
          <w:rFonts w:ascii="Arial" w:hAnsi="Arial" w:cs="Arial"/>
          <w:b/>
          <w:bCs/>
          <w:i/>
          <w:iCs/>
        </w:rPr>
      </w:pPr>
    </w:p>
    <w:p w14:paraId="2B7AC25D" w14:textId="7F246AB4" w:rsidR="00BD40A2" w:rsidRPr="00D006F9" w:rsidRDefault="00717A71" w:rsidP="00DD1B53">
      <w:pPr>
        <w:spacing w:after="0" w:line="480" w:lineRule="auto"/>
        <w:rPr>
          <w:rFonts w:ascii="Arial" w:hAnsi="Arial" w:cs="Arial"/>
          <w:b/>
          <w:bCs/>
          <w:i/>
          <w:iCs/>
        </w:rPr>
      </w:pPr>
      <w:r w:rsidRPr="00D006F9">
        <w:rPr>
          <w:rFonts w:ascii="Arial" w:hAnsi="Arial" w:cs="Arial"/>
          <w:b/>
          <w:bCs/>
          <w:i/>
          <w:iCs/>
        </w:rPr>
        <w:t xml:space="preserve">Historical </w:t>
      </w:r>
      <w:r w:rsidR="00B079E8">
        <w:rPr>
          <w:rFonts w:ascii="Arial" w:hAnsi="Arial" w:cs="Arial"/>
          <w:b/>
          <w:bCs/>
          <w:i/>
          <w:iCs/>
        </w:rPr>
        <w:t>c</w:t>
      </w:r>
      <w:r w:rsidRPr="00D006F9">
        <w:rPr>
          <w:rFonts w:ascii="Arial" w:hAnsi="Arial" w:cs="Arial"/>
          <w:b/>
          <w:bCs/>
          <w:i/>
          <w:iCs/>
        </w:rPr>
        <w:t>ontingency</w:t>
      </w:r>
    </w:p>
    <w:p w14:paraId="4AD49A62" w14:textId="6ED28F87" w:rsidR="00793DA3" w:rsidRDefault="00353B27" w:rsidP="00BD40A2">
      <w:pPr>
        <w:spacing w:after="0" w:line="480" w:lineRule="auto"/>
        <w:rPr>
          <w:rFonts w:ascii="Arial" w:hAnsi="Arial" w:cs="Arial"/>
        </w:rPr>
      </w:pPr>
      <w:r>
        <w:rPr>
          <w:rFonts w:ascii="Arial" w:hAnsi="Arial" w:cs="Arial"/>
        </w:rPr>
        <w:t xml:space="preserve">In our second theme, we argued for the importance of </w:t>
      </w:r>
      <w:r w:rsidR="0075140A">
        <w:rPr>
          <w:rFonts w:ascii="Arial" w:hAnsi="Arial" w:cs="Arial"/>
        </w:rPr>
        <w:t>fortuity</w:t>
      </w:r>
      <w:r>
        <w:rPr>
          <w:rFonts w:ascii="Arial" w:hAnsi="Arial" w:cs="Arial"/>
        </w:rPr>
        <w:t xml:space="preserve"> </w:t>
      </w:r>
      <w:r w:rsidR="0075140A">
        <w:rPr>
          <w:rFonts w:ascii="Arial" w:hAnsi="Arial" w:cs="Arial"/>
        </w:rPr>
        <w:t xml:space="preserve">and </w:t>
      </w:r>
      <w:r w:rsidR="00D5351F">
        <w:rPr>
          <w:rFonts w:ascii="Arial" w:hAnsi="Arial" w:cs="Arial"/>
        </w:rPr>
        <w:t>historical</w:t>
      </w:r>
      <w:r w:rsidR="0075140A">
        <w:rPr>
          <w:rFonts w:ascii="Arial" w:hAnsi="Arial" w:cs="Arial"/>
        </w:rPr>
        <w:t xml:space="preserve"> context </w:t>
      </w:r>
      <w:r>
        <w:rPr>
          <w:rFonts w:ascii="Arial" w:hAnsi="Arial" w:cs="Arial"/>
        </w:rPr>
        <w:t xml:space="preserve">in understanding the nature </w:t>
      </w:r>
      <w:r w:rsidR="00DA26AE">
        <w:rPr>
          <w:rFonts w:ascii="Arial" w:hAnsi="Arial" w:cs="Arial"/>
        </w:rPr>
        <w:t xml:space="preserve">of </w:t>
      </w:r>
      <w:r>
        <w:rPr>
          <w:rFonts w:ascii="Arial" w:hAnsi="Arial" w:cs="Arial"/>
        </w:rPr>
        <w:t>hybrid organisations.</w:t>
      </w:r>
      <w:r w:rsidR="00207B4F">
        <w:rPr>
          <w:rFonts w:ascii="Arial" w:hAnsi="Arial" w:cs="Arial"/>
        </w:rPr>
        <w:t xml:space="preserve"> At Appendix One we borrow Gillett &amp; Tennent’s (2020) model of evolving project organisation to show diagrammatically how these events coincided. </w:t>
      </w:r>
      <w:r w:rsidR="00CC5CFA">
        <w:rPr>
          <w:rFonts w:ascii="Arial" w:hAnsi="Arial" w:cs="Arial"/>
        </w:rPr>
        <w:t xml:space="preserve">As it shows, there was considerable </w:t>
      </w:r>
      <w:r w:rsidR="002B2B61">
        <w:rPr>
          <w:rFonts w:ascii="Arial" w:hAnsi="Arial" w:cs="Arial"/>
        </w:rPr>
        <w:t xml:space="preserve">simultaneous </w:t>
      </w:r>
      <w:r w:rsidR="00CC5CFA">
        <w:rPr>
          <w:rFonts w:ascii="Arial" w:hAnsi="Arial" w:cs="Arial"/>
        </w:rPr>
        <w:t>turbulence in politics, transport provision and industrial relations</w:t>
      </w:r>
      <w:r w:rsidR="002B2B61">
        <w:rPr>
          <w:rFonts w:ascii="Arial" w:hAnsi="Arial" w:cs="Arial"/>
        </w:rPr>
        <w:t xml:space="preserve"> in the early 1920s. </w:t>
      </w:r>
    </w:p>
    <w:p w14:paraId="003D534A" w14:textId="77777777" w:rsidR="00F44900" w:rsidRDefault="002B2B61" w:rsidP="00F44900">
      <w:pPr>
        <w:spacing w:after="0" w:line="480" w:lineRule="auto"/>
        <w:ind w:firstLine="720"/>
        <w:rPr>
          <w:rFonts w:ascii="Arial" w:hAnsi="Arial" w:cs="Arial"/>
        </w:rPr>
      </w:pPr>
      <w:r>
        <w:rPr>
          <w:rFonts w:ascii="Arial" w:hAnsi="Arial" w:cs="Arial"/>
        </w:rPr>
        <w:t>Existing literature and archival record points to</w:t>
      </w:r>
      <w:r w:rsidR="00BD40A2">
        <w:rPr>
          <w:rFonts w:ascii="Arial" w:hAnsi="Arial" w:cs="Arial"/>
        </w:rPr>
        <w:t xml:space="preserve"> an enormous growth in the number of </w:t>
      </w:r>
      <w:r>
        <w:rPr>
          <w:rFonts w:ascii="Arial" w:hAnsi="Arial" w:cs="Arial"/>
        </w:rPr>
        <w:t xml:space="preserve">private </w:t>
      </w:r>
      <w:r w:rsidR="00BD40A2">
        <w:rPr>
          <w:rFonts w:ascii="Arial" w:hAnsi="Arial" w:cs="Arial"/>
        </w:rPr>
        <w:t>buses</w:t>
      </w:r>
      <w:r>
        <w:rPr>
          <w:rFonts w:ascii="Arial" w:hAnsi="Arial" w:cs="Arial"/>
        </w:rPr>
        <w:t xml:space="preserve"> in London at this time</w:t>
      </w:r>
      <w:r w:rsidR="00BD40A2">
        <w:rPr>
          <w:rFonts w:ascii="Arial" w:hAnsi="Arial" w:cs="Arial"/>
        </w:rPr>
        <w:t xml:space="preserve">. </w:t>
      </w:r>
      <w:r w:rsidR="000B6AAA">
        <w:rPr>
          <w:rFonts w:ascii="Arial" w:hAnsi="Arial" w:cs="Arial"/>
        </w:rPr>
        <w:t>Giving evidence to Parliament, Frank Pick</w:t>
      </w:r>
      <w:r w:rsidR="00BB2914">
        <w:rPr>
          <w:rFonts w:ascii="Arial" w:hAnsi="Arial" w:cs="Arial"/>
        </w:rPr>
        <w:t xml:space="preserve"> estimated that</w:t>
      </w:r>
      <w:r w:rsidR="003C6DE2">
        <w:rPr>
          <w:rFonts w:ascii="Arial" w:hAnsi="Arial" w:cs="Arial"/>
        </w:rPr>
        <w:t xml:space="preserve"> n</w:t>
      </w:r>
      <w:r w:rsidR="00BD40A2">
        <w:rPr>
          <w:rFonts w:ascii="Arial" w:hAnsi="Arial" w:cs="Arial"/>
        </w:rPr>
        <w:t>ew private buses arrived on London’s streets at the rate of 20 a week</w:t>
      </w:r>
      <w:r w:rsidR="003C6DE2">
        <w:rPr>
          <w:rFonts w:ascii="Arial" w:hAnsi="Arial" w:cs="Arial"/>
        </w:rPr>
        <w:t>,</w:t>
      </w:r>
      <w:r w:rsidR="00BD40A2">
        <w:rPr>
          <w:rFonts w:ascii="Arial" w:hAnsi="Arial" w:cs="Arial"/>
        </w:rPr>
        <w:t xml:space="preserve"> </w:t>
      </w:r>
      <w:r w:rsidR="00D006F9">
        <w:rPr>
          <w:rFonts w:ascii="Arial" w:hAnsi="Arial" w:cs="Arial"/>
        </w:rPr>
        <w:t xml:space="preserve">competing aggressively and unscrupulously for custom </w:t>
      </w:r>
      <w:r w:rsidR="00BD40A2">
        <w:rPr>
          <w:rFonts w:ascii="Arial" w:hAnsi="Arial" w:cs="Arial"/>
        </w:rPr>
        <w:t>(</w:t>
      </w:r>
      <w:r w:rsidR="0041066A">
        <w:rPr>
          <w:rFonts w:ascii="Arial" w:hAnsi="Arial" w:cs="Arial"/>
        </w:rPr>
        <w:t xml:space="preserve">Barker &amp; Robbins, 1976; </w:t>
      </w:r>
      <w:r w:rsidR="00BD40A2">
        <w:rPr>
          <w:rFonts w:ascii="Arial" w:hAnsi="Arial" w:cs="Arial"/>
        </w:rPr>
        <w:t>Gordon, 1938</w:t>
      </w:r>
      <w:r w:rsidR="0041066A">
        <w:rPr>
          <w:rFonts w:ascii="Arial" w:hAnsi="Arial" w:cs="Arial"/>
        </w:rPr>
        <w:t xml:space="preserve">; </w:t>
      </w:r>
      <w:r w:rsidR="00A06697" w:rsidRPr="00682589">
        <w:rPr>
          <w:rFonts w:ascii="Arial" w:hAnsi="Arial" w:cs="Arial"/>
          <w:color w:val="2F5496" w:themeColor="accent1" w:themeShade="BF"/>
        </w:rPr>
        <w:t xml:space="preserve">Croome &amp; </w:t>
      </w:r>
      <w:r w:rsidR="0041066A" w:rsidRPr="00682589">
        <w:rPr>
          <w:rFonts w:ascii="Arial" w:hAnsi="Arial" w:cs="Arial"/>
          <w:color w:val="2F5496" w:themeColor="accent1" w:themeShade="BF"/>
        </w:rPr>
        <w:t>Jackson, 1993</w:t>
      </w:r>
      <w:r w:rsidR="00BD40A2">
        <w:rPr>
          <w:rFonts w:ascii="Arial" w:hAnsi="Arial" w:cs="Arial"/>
        </w:rPr>
        <w:t>).</w:t>
      </w:r>
      <w:r w:rsidR="00D006F9">
        <w:rPr>
          <w:rFonts w:ascii="Arial" w:hAnsi="Arial" w:cs="Arial"/>
        </w:rPr>
        <w:t xml:space="preserve"> </w:t>
      </w:r>
      <w:r w:rsidR="00BD40A2">
        <w:rPr>
          <w:rFonts w:ascii="Arial" w:hAnsi="Arial" w:cs="Arial"/>
        </w:rPr>
        <w:t xml:space="preserve">Their tactics led to the term ‘pirate buses’, practically identical to the Dutch phrase ‘wild buses’ which appeared concurrently to describe the same phenomenon of unregulated small provider chaos in Holland (Mom, 2015). The term also echoed the ‘railway mania’ of destructive transport competition in Britain during the 1840s (Morrison, 1933; Lloyd-Wilson, 1939). Concerned articles appeared in the newspapers (LT346-01; “Strike Prevention”, 1924), senior figures in the existing companies spoke out (“Pirates and Common Sense”, 1923; “The Pirate Bus”, 1923; Lord Ashfield Cross-Examined”, 1924) and questions were raised in Parliament (Gordon, 1938, Jackson, 1962; </w:t>
      </w:r>
      <w:r w:rsidR="00BD40A2">
        <w:rPr>
          <w:rFonts w:ascii="Arial" w:hAnsi="Arial" w:cs="Arial"/>
        </w:rPr>
        <w:lastRenderedPageBreak/>
        <w:t>Barker, 1974).</w:t>
      </w:r>
      <w:r w:rsidR="00E612FD">
        <w:rPr>
          <w:rFonts w:ascii="Arial" w:hAnsi="Arial" w:cs="Arial"/>
        </w:rPr>
        <w:t xml:space="preserve"> </w:t>
      </w:r>
      <w:r w:rsidR="00BD40A2">
        <w:rPr>
          <w:rFonts w:ascii="Arial" w:hAnsi="Arial" w:cs="Arial"/>
        </w:rPr>
        <w:t xml:space="preserve">By late 1923 existing </w:t>
      </w:r>
      <w:r w:rsidR="00927988">
        <w:rPr>
          <w:rFonts w:ascii="Arial" w:hAnsi="Arial" w:cs="Arial"/>
        </w:rPr>
        <w:t xml:space="preserve">market logic </w:t>
      </w:r>
      <w:r w:rsidR="00BD40A2">
        <w:rPr>
          <w:rFonts w:ascii="Arial" w:hAnsi="Arial" w:cs="Arial"/>
        </w:rPr>
        <w:t>consensus regarding fares, rational service provision, congestion, safety and fair wages had</w:t>
      </w:r>
      <w:r w:rsidR="00927988">
        <w:rPr>
          <w:rFonts w:ascii="Arial" w:hAnsi="Arial" w:cs="Arial"/>
        </w:rPr>
        <w:t xml:space="preserve"> lost credibility</w:t>
      </w:r>
      <w:r w:rsidR="00BD40A2">
        <w:rPr>
          <w:rFonts w:ascii="Arial" w:hAnsi="Arial" w:cs="Arial"/>
        </w:rPr>
        <w:t>.</w:t>
      </w:r>
      <w:r w:rsidR="00927988">
        <w:rPr>
          <w:rFonts w:ascii="Arial" w:hAnsi="Arial" w:cs="Arial"/>
        </w:rPr>
        <w:t xml:space="preserve"> Unrestrained competition had led to market failure.</w:t>
      </w:r>
      <w:r w:rsidR="00BD40A2">
        <w:rPr>
          <w:rFonts w:ascii="Arial" w:hAnsi="Arial" w:cs="Arial"/>
        </w:rPr>
        <w:t xml:space="preserve"> </w:t>
      </w:r>
      <w:r w:rsidR="006A1190">
        <w:rPr>
          <w:rFonts w:ascii="Arial" w:hAnsi="Arial" w:cs="Arial"/>
        </w:rPr>
        <w:t>Then o</w:t>
      </w:r>
      <w:r w:rsidR="003C6DE2">
        <w:rPr>
          <w:rFonts w:ascii="Arial" w:hAnsi="Arial" w:cs="Arial"/>
        </w:rPr>
        <w:t>n the 21</w:t>
      </w:r>
      <w:r w:rsidR="003C6DE2" w:rsidRPr="003C6DE2">
        <w:rPr>
          <w:rFonts w:ascii="Arial" w:hAnsi="Arial" w:cs="Arial"/>
          <w:vertAlign w:val="superscript"/>
        </w:rPr>
        <w:t>st</w:t>
      </w:r>
      <w:r w:rsidR="003C6DE2">
        <w:rPr>
          <w:rFonts w:ascii="Arial" w:hAnsi="Arial" w:cs="Arial"/>
        </w:rPr>
        <w:t xml:space="preserve"> </w:t>
      </w:r>
      <w:r w:rsidR="00BD40A2">
        <w:rPr>
          <w:rFonts w:ascii="Arial" w:hAnsi="Arial" w:cs="Arial"/>
        </w:rPr>
        <w:t>March 1924 the</w:t>
      </w:r>
      <w:r w:rsidR="003C6DE2">
        <w:rPr>
          <w:rFonts w:ascii="Arial" w:hAnsi="Arial" w:cs="Arial"/>
        </w:rPr>
        <w:t xml:space="preserve"> situation deteriorated further when</w:t>
      </w:r>
      <w:r w:rsidR="00BD40A2">
        <w:rPr>
          <w:rFonts w:ascii="Arial" w:hAnsi="Arial" w:cs="Arial"/>
        </w:rPr>
        <w:t xml:space="preserve"> tram and bus workers struck</w:t>
      </w:r>
      <w:r w:rsidR="003F43FF">
        <w:rPr>
          <w:rFonts w:ascii="Arial" w:hAnsi="Arial" w:cs="Arial"/>
        </w:rPr>
        <w:t xml:space="preserve">. </w:t>
      </w:r>
    </w:p>
    <w:p w14:paraId="5DE3FA96" w14:textId="49D80B7B" w:rsidR="00B16C3F" w:rsidRDefault="003F43FF" w:rsidP="00F44900">
      <w:pPr>
        <w:spacing w:after="0" w:line="480" w:lineRule="auto"/>
        <w:ind w:firstLine="720"/>
        <w:rPr>
          <w:rFonts w:ascii="Arial" w:hAnsi="Arial" w:cs="Arial"/>
        </w:rPr>
      </w:pPr>
      <w:r w:rsidRPr="003F43FF">
        <w:rPr>
          <w:rFonts w:ascii="Arial" w:hAnsi="Arial" w:cs="Arial"/>
          <w:color w:val="2F5496" w:themeColor="accent1" w:themeShade="BF"/>
        </w:rPr>
        <w:t>The dispute arose out of</w:t>
      </w:r>
      <w:r w:rsidR="00BD40A2" w:rsidRPr="003F43FF">
        <w:rPr>
          <w:rFonts w:ascii="Arial" w:hAnsi="Arial" w:cs="Arial"/>
          <w:color w:val="2F5496" w:themeColor="accent1" w:themeShade="BF"/>
        </w:rPr>
        <w:t xml:space="preserve"> </w:t>
      </w:r>
      <w:r w:rsidRPr="003F43FF">
        <w:rPr>
          <w:rFonts w:ascii="Arial" w:hAnsi="Arial" w:cs="Arial"/>
          <w:color w:val="2F5496" w:themeColor="accent1" w:themeShade="BF"/>
        </w:rPr>
        <w:t>a proposed reduction in wages for tramway workers</w:t>
      </w:r>
      <w:r>
        <w:rPr>
          <w:rFonts w:ascii="Arial" w:hAnsi="Arial" w:cs="Arial"/>
          <w:color w:val="2F5496" w:themeColor="accent1" w:themeShade="BF"/>
        </w:rPr>
        <w:t xml:space="preserve"> on the London and Suburban Traction Company,</w:t>
      </w:r>
      <w:r>
        <w:rPr>
          <w:rStyle w:val="FootnoteReference"/>
          <w:rFonts w:ascii="Arial" w:hAnsi="Arial" w:cs="Arial"/>
          <w:color w:val="2F5496" w:themeColor="accent1" w:themeShade="BF"/>
        </w:rPr>
        <w:footnoteReference w:id="8"/>
      </w:r>
      <w:r>
        <w:rPr>
          <w:rFonts w:ascii="Arial" w:hAnsi="Arial" w:cs="Arial"/>
          <w:color w:val="2F5496" w:themeColor="accent1" w:themeShade="BF"/>
        </w:rPr>
        <w:t xml:space="preserve"> caused by loss of traffic to buses. The T</w:t>
      </w:r>
      <w:r w:rsidR="00850431">
        <w:rPr>
          <w:rFonts w:ascii="Arial" w:hAnsi="Arial" w:cs="Arial"/>
          <w:color w:val="2F5496" w:themeColor="accent1" w:themeShade="BF"/>
        </w:rPr>
        <w:t xml:space="preserve">ransport and </w:t>
      </w:r>
      <w:r>
        <w:rPr>
          <w:rFonts w:ascii="Arial" w:hAnsi="Arial" w:cs="Arial"/>
          <w:color w:val="2F5496" w:themeColor="accent1" w:themeShade="BF"/>
        </w:rPr>
        <w:t>G</w:t>
      </w:r>
      <w:r w:rsidR="00850431">
        <w:rPr>
          <w:rFonts w:ascii="Arial" w:hAnsi="Arial" w:cs="Arial"/>
          <w:color w:val="2F5496" w:themeColor="accent1" w:themeShade="BF"/>
        </w:rPr>
        <w:t xml:space="preserve">eneral </w:t>
      </w:r>
      <w:r>
        <w:rPr>
          <w:rFonts w:ascii="Arial" w:hAnsi="Arial" w:cs="Arial"/>
          <w:color w:val="2F5496" w:themeColor="accent1" w:themeShade="BF"/>
        </w:rPr>
        <w:t>W</w:t>
      </w:r>
      <w:r w:rsidR="00850431">
        <w:rPr>
          <w:rFonts w:ascii="Arial" w:hAnsi="Arial" w:cs="Arial"/>
          <w:color w:val="2F5496" w:themeColor="accent1" w:themeShade="BF"/>
        </w:rPr>
        <w:t xml:space="preserve">orkers’ </w:t>
      </w:r>
      <w:r>
        <w:rPr>
          <w:rFonts w:ascii="Arial" w:hAnsi="Arial" w:cs="Arial"/>
          <w:color w:val="2F5496" w:themeColor="accent1" w:themeShade="BF"/>
        </w:rPr>
        <w:t>U</w:t>
      </w:r>
      <w:r w:rsidR="00850431">
        <w:rPr>
          <w:rFonts w:ascii="Arial" w:hAnsi="Arial" w:cs="Arial"/>
          <w:color w:val="2F5496" w:themeColor="accent1" w:themeShade="BF"/>
        </w:rPr>
        <w:t>nion (TGWU)</w:t>
      </w:r>
      <w:r>
        <w:rPr>
          <w:rFonts w:ascii="Arial" w:hAnsi="Arial" w:cs="Arial"/>
          <w:color w:val="2F5496" w:themeColor="accent1" w:themeShade="BF"/>
        </w:rPr>
        <w:t xml:space="preserve"> met the cut by a counter claim</w:t>
      </w:r>
      <w:r w:rsidRPr="003F43FF">
        <w:rPr>
          <w:rFonts w:ascii="Arial" w:hAnsi="Arial" w:cs="Arial"/>
          <w:color w:val="2F5496" w:themeColor="accent1" w:themeShade="BF"/>
        </w:rPr>
        <w:t xml:space="preserve"> </w:t>
      </w:r>
      <w:r>
        <w:rPr>
          <w:rFonts w:ascii="Arial" w:hAnsi="Arial" w:cs="Arial"/>
          <w:color w:val="2F5496" w:themeColor="accent1" w:themeShade="BF"/>
        </w:rPr>
        <w:t xml:space="preserve">for a rise which </w:t>
      </w:r>
      <w:r w:rsidR="00850431">
        <w:rPr>
          <w:rFonts w:ascii="Arial" w:hAnsi="Arial" w:cs="Arial"/>
          <w:color w:val="2F5496" w:themeColor="accent1" w:themeShade="BF"/>
        </w:rPr>
        <w:t>management</w:t>
      </w:r>
      <w:r>
        <w:rPr>
          <w:rFonts w:ascii="Arial" w:hAnsi="Arial" w:cs="Arial"/>
          <w:color w:val="2F5496" w:themeColor="accent1" w:themeShade="BF"/>
        </w:rPr>
        <w:t xml:space="preserve"> rejected, and the strike began (Clegg, 1950)</w:t>
      </w:r>
      <w:r w:rsidR="00BD40A2">
        <w:rPr>
          <w:rFonts w:ascii="Arial" w:hAnsi="Arial" w:cs="Arial"/>
        </w:rPr>
        <w:t xml:space="preserve">. </w:t>
      </w:r>
      <w:r>
        <w:rPr>
          <w:rFonts w:ascii="Arial" w:hAnsi="Arial" w:cs="Arial"/>
        </w:rPr>
        <w:t>The u</w:t>
      </w:r>
      <w:r w:rsidR="00BD40A2">
        <w:rPr>
          <w:rFonts w:ascii="Arial" w:hAnsi="Arial" w:cs="Arial"/>
        </w:rPr>
        <w:t xml:space="preserve">nderground railway workers promised to join them, </w:t>
      </w:r>
      <w:r w:rsidR="00927988">
        <w:rPr>
          <w:rFonts w:ascii="Arial" w:hAnsi="Arial" w:cs="Arial"/>
        </w:rPr>
        <w:t>threatening a complete shutdown of transport provision (</w:t>
      </w:r>
      <w:proofErr w:type="spellStart"/>
      <w:r w:rsidR="00927988">
        <w:rPr>
          <w:rFonts w:ascii="Arial" w:hAnsi="Arial" w:cs="Arial"/>
        </w:rPr>
        <w:t>Eady</w:t>
      </w:r>
      <w:proofErr w:type="spellEnd"/>
      <w:r w:rsidR="00927988">
        <w:rPr>
          <w:rFonts w:ascii="Arial" w:hAnsi="Arial" w:cs="Arial"/>
        </w:rPr>
        <w:t>, 2016)</w:t>
      </w:r>
      <w:r w:rsidR="00BD40A2">
        <w:rPr>
          <w:rFonts w:ascii="Arial" w:hAnsi="Arial" w:cs="Arial"/>
        </w:rPr>
        <w:t>.</w:t>
      </w:r>
      <w:r w:rsidR="00B16C3F">
        <w:rPr>
          <w:rFonts w:ascii="Arial" w:hAnsi="Arial" w:cs="Arial"/>
        </w:rPr>
        <w:t xml:space="preserve"> As the crisis escalated it was clear that the L</w:t>
      </w:r>
      <w:r w:rsidR="002B2B61">
        <w:rPr>
          <w:rFonts w:ascii="Arial" w:hAnsi="Arial" w:cs="Arial"/>
        </w:rPr>
        <w:t xml:space="preserve">ondon </w:t>
      </w:r>
      <w:r w:rsidR="00B16C3F">
        <w:rPr>
          <w:rFonts w:ascii="Arial" w:hAnsi="Arial" w:cs="Arial"/>
        </w:rPr>
        <w:t>C</w:t>
      </w:r>
      <w:r w:rsidR="002B2B61">
        <w:rPr>
          <w:rFonts w:ascii="Arial" w:hAnsi="Arial" w:cs="Arial"/>
        </w:rPr>
        <w:t xml:space="preserve">ounty </w:t>
      </w:r>
      <w:r w:rsidR="00B16C3F">
        <w:rPr>
          <w:rFonts w:ascii="Arial" w:hAnsi="Arial" w:cs="Arial"/>
        </w:rPr>
        <w:t>C</w:t>
      </w:r>
      <w:r w:rsidR="002B2B61">
        <w:rPr>
          <w:rFonts w:ascii="Arial" w:hAnsi="Arial" w:cs="Arial"/>
        </w:rPr>
        <w:t>ouncil</w:t>
      </w:r>
      <w:r w:rsidR="00B16C3F">
        <w:rPr>
          <w:rFonts w:ascii="Arial" w:hAnsi="Arial" w:cs="Arial"/>
        </w:rPr>
        <w:t xml:space="preserve">, the only democratic institution that represented the </w:t>
      </w:r>
      <w:r w:rsidR="002B2B61">
        <w:rPr>
          <w:rFonts w:ascii="Arial" w:hAnsi="Arial" w:cs="Arial"/>
        </w:rPr>
        <w:t xml:space="preserve">London </w:t>
      </w:r>
      <w:r w:rsidR="00B16C3F">
        <w:rPr>
          <w:rFonts w:ascii="Arial" w:hAnsi="Arial" w:cs="Arial"/>
        </w:rPr>
        <w:t>public’s interest in the provision of public transport, was wedded to market control and had little interest or leverage in events.</w:t>
      </w:r>
      <w:r w:rsidR="004A49CC">
        <w:rPr>
          <w:rStyle w:val="FootnoteReference"/>
          <w:rFonts w:ascii="Arial" w:hAnsi="Arial" w:cs="Arial"/>
        </w:rPr>
        <w:footnoteReference w:id="9"/>
      </w:r>
      <w:r w:rsidR="00B16C3F">
        <w:rPr>
          <w:rFonts w:ascii="Arial" w:hAnsi="Arial" w:cs="Arial"/>
        </w:rPr>
        <w:t xml:space="preserve"> A market failure and a democratic deficit coincided. </w:t>
      </w:r>
      <w:r w:rsidR="00BD40A2">
        <w:rPr>
          <w:rFonts w:ascii="Arial" w:hAnsi="Arial" w:cs="Arial"/>
        </w:rPr>
        <w:t xml:space="preserve"> </w:t>
      </w:r>
    </w:p>
    <w:p w14:paraId="6BEEEF8F" w14:textId="66F0B862" w:rsidR="0011695D" w:rsidRDefault="003C6DE2" w:rsidP="00F44900">
      <w:pPr>
        <w:spacing w:after="0" w:line="480" w:lineRule="auto"/>
        <w:ind w:firstLine="720"/>
        <w:rPr>
          <w:rFonts w:ascii="Arial" w:hAnsi="Arial" w:cs="Arial"/>
        </w:rPr>
      </w:pPr>
      <w:r>
        <w:rPr>
          <w:rFonts w:ascii="Arial" w:hAnsi="Arial" w:cs="Arial"/>
        </w:rPr>
        <w:t>W</w:t>
      </w:r>
      <w:r w:rsidR="00FC713C">
        <w:rPr>
          <w:rFonts w:ascii="Arial" w:hAnsi="Arial" w:cs="Arial"/>
        </w:rPr>
        <w:t>e argue that</w:t>
      </w:r>
      <w:r>
        <w:rPr>
          <w:rFonts w:ascii="Arial" w:hAnsi="Arial" w:cs="Arial"/>
        </w:rPr>
        <w:t xml:space="preserve"> this was the</w:t>
      </w:r>
      <w:r w:rsidR="00FC713C">
        <w:rPr>
          <w:rFonts w:ascii="Arial" w:hAnsi="Arial" w:cs="Arial"/>
        </w:rPr>
        <w:t xml:space="preserve"> decisive moment in the drive to </w:t>
      </w:r>
      <w:r w:rsidR="00391790">
        <w:rPr>
          <w:rFonts w:ascii="Arial" w:hAnsi="Arial" w:cs="Arial"/>
        </w:rPr>
        <w:t>unification</w:t>
      </w:r>
      <w:r>
        <w:rPr>
          <w:rFonts w:ascii="Arial" w:hAnsi="Arial" w:cs="Arial"/>
        </w:rPr>
        <w:t>.</w:t>
      </w:r>
      <w:r w:rsidR="00FC713C">
        <w:rPr>
          <w:rFonts w:ascii="Arial" w:hAnsi="Arial" w:cs="Arial"/>
        </w:rPr>
        <w:t xml:space="preserve"> </w:t>
      </w:r>
      <w:r>
        <w:rPr>
          <w:rFonts w:ascii="Arial" w:hAnsi="Arial" w:cs="Arial"/>
        </w:rPr>
        <w:t>In response to the crises</w:t>
      </w:r>
      <w:r w:rsidR="00E612FD">
        <w:rPr>
          <w:rFonts w:ascii="Arial" w:hAnsi="Arial" w:cs="Arial"/>
        </w:rPr>
        <w:t xml:space="preserve"> caused by the pirate buses</w:t>
      </w:r>
      <w:r>
        <w:rPr>
          <w:rFonts w:ascii="Arial" w:hAnsi="Arial" w:cs="Arial"/>
        </w:rPr>
        <w:t xml:space="preserve"> central government took rapid and drastic action. Just four days after the start of the strike the</w:t>
      </w:r>
      <w:r w:rsidR="00FC713C">
        <w:rPr>
          <w:rFonts w:ascii="Arial" w:hAnsi="Arial" w:cs="Arial"/>
        </w:rPr>
        <w:t xml:space="preserve"> London Traffic Act </w:t>
      </w:r>
      <w:r>
        <w:rPr>
          <w:rFonts w:ascii="Arial" w:hAnsi="Arial" w:cs="Arial"/>
        </w:rPr>
        <w:t xml:space="preserve">received its first reading </w:t>
      </w:r>
      <w:r w:rsidR="00FC713C">
        <w:rPr>
          <w:rFonts w:ascii="Arial" w:hAnsi="Arial" w:cs="Arial"/>
        </w:rPr>
        <w:t>(Hansard, 16</w:t>
      </w:r>
      <w:r w:rsidR="00FC713C" w:rsidRPr="005351A3">
        <w:rPr>
          <w:rFonts w:ascii="Arial" w:hAnsi="Arial" w:cs="Arial"/>
          <w:vertAlign w:val="superscript"/>
        </w:rPr>
        <w:t>th</w:t>
      </w:r>
      <w:r w:rsidR="00FC713C">
        <w:rPr>
          <w:rFonts w:ascii="Arial" w:hAnsi="Arial" w:cs="Arial"/>
        </w:rPr>
        <w:t xml:space="preserve"> and 24</w:t>
      </w:r>
      <w:r w:rsidR="00FC713C" w:rsidRPr="00D67C45">
        <w:rPr>
          <w:rFonts w:ascii="Arial" w:hAnsi="Arial" w:cs="Arial"/>
          <w:vertAlign w:val="superscript"/>
        </w:rPr>
        <w:t>th</w:t>
      </w:r>
      <w:r w:rsidR="00FC713C">
        <w:rPr>
          <w:rFonts w:ascii="Arial" w:hAnsi="Arial" w:cs="Arial"/>
        </w:rPr>
        <w:t xml:space="preserve"> June 1924). </w:t>
      </w:r>
      <w:r w:rsidR="0011695D">
        <w:rPr>
          <w:rFonts w:ascii="Arial" w:hAnsi="Arial" w:cs="Arial"/>
        </w:rPr>
        <w:t>The Act dramatically restricted the number of streets that new companies could use. The</w:t>
      </w:r>
      <w:r>
        <w:rPr>
          <w:rFonts w:ascii="Arial" w:hAnsi="Arial" w:cs="Arial"/>
        </w:rPr>
        <w:t>reafter</w:t>
      </w:r>
      <w:r w:rsidR="0011695D">
        <w:rPr>
          <w:rFonts w:ascii="Arial" w:hAnsi="Arial" w:cs="Arial"/>
        </w:rPr>
        <w:t xml:space="preserve"> number of buses run by small operators peaked at 550 in 1925 and then declined rapidly as the existing companies bought them out (Barker &amp; Robbins, 1976). This transition from disorderly competition to regulated provision is </w:t>
      </w:r>
      <w:r w:rsidR="00A145E7">
        <w:rPr>
          <w:rFonts w:ascii="Arial" w:hAnsi="Arial" w:cs="Arial"/>
        </w:rPr>
        <w:t xml:space="preserve">also </w:t>
      </w:r>
      <w:r w:rsidR="0011695D">
        <w:rPr>
          <w:rFonts w:ascii="Arial" w:hAnsi="Arial" w:cs="Arial"/>
        </w:rPr>
        <w:t>observable in the same period in Buenos Aires (Heras, 1994) and Santiago (Figueroa, 2013) as well as being replicated more recently in Bogota (</w:t>
      </w:r>
      <w:proofErr w:type="spellStart"/>
      <w:r w:rsidR="0011695D">
        <w:rPr>
          <w:rFonts w:ascii="Arial" w:hAnsi="Arial" w:cs="Arial"/>
        </w:rPr>
        <w:t>Bocarejo</w:t>
      </w:r>
      <w:proofErr w:type="spellEnd"/>
      <w:r w:rsidR="0011695D">
        <w:rPr>
          <w:rFonts w:ascii="Arial" w:hAnsi="Arial" w:cs="Arial"/>
        </w:rPr>
        <w:t xml:space="preserve"> et al., 2013). </w:t>
      </w:r>
    </w:p>
    <w:p w14:paraId="46DDB9C9" w14:textId="432D2A30" w:rsidR="005F7C16" w:rsidRDefault="0011695D" w:rsidP="006A1190">
      <w:pPr>
        <w:spacing w:after="0" w:line="480" w:lineRule="auto"/>
        <w:rPr>
          <w:rFonts w:ascii="Arial" w:hAnsi="Arial" w:cs="Arial"/>
        </w:rPr>
      </w:pPr>
      <w:r>
        <w:rPr>
          <w:rFonts w:ascii="Arial" w:hAnsi="Arial" w:cs="Arial"/>
        </w:rPr>
        <w:lastRenderedPageBreak/>
        <w:t>T</w:t>
      </w:r>
      <w:r w:rsidR="007E2B74">
        <w:rPr>
          <w:rFonts w:ascii="Arial" w:hAnsi="Arial" w:cs="Arial"/>
        </w:rPr>
        <w:t>h</w:t>
      </w:r>
      <w:r w:rsidR="00E612FD">
        <w:rPr>
          <w:rFonts w:ascii="Arial" w:hAnsi="Arial" w:cs="Arial"/>
        </w:rPr>
        <w:t>is rapid and effective response needs to be contrasted with decades long debate that had already occurred between advocates and market and state logic in the provision of public transport (Morrison, 1933). The</w:t>
      </w:r>
      <w:r w:rsidR="007E2B74">
        <w:rPr>
          <w:rFonts w:ascii="Arial" w:hAnsi="Arial" w:cs="Arial"/>
        </w:rPr>
        <w:t xml:space="preserve"> arguments </w:t>
      </w:r>
      <w:r w:rsidR="00391790">
        <w:rPr>
          <w:rFonts w:ascii="Arial" w:hAnsi="Arial" w:cs="Arial"/>
        </w:rPr>
        <w:t>had already been debated</w:t>
      </w:r>
      <w:r w:rsidR="007E2B74">
        <w:rPr>
          <w:rFonts w:ascii="Arial" w:hAnsi="Arial" w:cs="Arial"/>
        </w:rPr>
        <w:t xml:space="preserve"> </w:t>
      </w:r>
      <w:r w:rsidR="00391790">
        <w:rPr>
          <w:rFonts w:ascii="Arial" w:hAnsi="Arial" w:cs="Arial"/>
        </w:rPr>
        <w:t xml:space="preserve">in parliament </w:t>
      </w:r>
      <w:r w:rsidR="007E2B74">
        <w:rPr>
          <w:rFonts w:ascii="Arial" w:hAnsi="Arial" w:cs="Arial"/>
        </w:rPr>
        <w:t>(Hansard, 17</w:t>
      </w:r>
      <w:r w:rsidR="007E2B74" w:rsidRPr="00B4478A">
        <w:rPr>
          <w:rFonts w:ascii="Arial" w:hAnsi="Arial" w:cs="Arial"/>
          <w:vertAlign w:val="superscript"/>
        </w:rPr>
        <w:t>th</w:t>
      </w:r>
      <w:r w:rsidR="007E2B74">
        <w:rPr>
          <w:rFonts w:ascii="Arial" w:hAnsi="Arial" w:cs="Arial"/>
        </w:rPr>
        <w:t xml:space="preserve"> March 1919) and clashes on this topic between rival lobbyists had al</w:t>
      </w:r>
      <w:r w:rsidR="00391790">
        <w:rPr>
          <w:rFonts w:ascii="Arial" w:hAnsi="Arial" w:cs="Arial"/>
        </w:rPr>
        <w:t>so</w:t>
      </w:r>
      <w:r w:rsidR="007E2B74">
        <w:rPr>
          <w:rFonts w:ascii="Arial" w:hAnsi="Arial" w:cs="Arial"/>
        </w:rPr>
        <w:t xml:space="preserve"> occurred during the Kennedy-Jones investigation into the governance of London transport in 1920 (Morrison, 1933; MT33/200; MT33/246). However, the Kennedy-Jones proposals for a unified body to run London transport were stymied over disagreement about the practicalities of unifying London</w:t>
      </w:r>
      <w:r w:rsidR="00A145E7">
        <w:rPr>
          <w:rFonts w:ascii="Arial" w:hAnsi="Arial" w:cs="Arial"/>
        </w:rPr>
        <w:t>’s</w:t>
      </w:r>
      <w:r w:rsidR="007E2B74">
        <w:rPr>
          <w:rFonts w:ascii="Arial" w:hAnsi="Arial" w:cs="Arial"/>
        </w:rPr>
        <w:t xml:space="preserve"> disparate local authorities</w:t>
      </w:r>
      <w:r w:rsidR="00A145E7">
        <w:rPr>
          <w:rFonts w:ascii="Arial" w:hAnsi="Arial" w:cs="Arial"/>
        </w:rPr>
        <w:t>. T</w:t>
      </w:r>
      <w:r w:rsidR="007E2B74">
        <w:rPr>
          <w:rFonts w:ascii="Arial" w:hAnsi="Arial" w:cs="Arial"/>
        </w:rPr>
        <w:t>he proposal ran out of parliamentary time (Hansard, 15</w:t>
      </w:r>
      <w:r w:rsidR="007E2B74" w:rsidRPr="00B4478A">
        <w:rPr>
          <w:rFonts w:ascii="Arial" w:hAnsi="Arial" w:cs="Arial"/>
          <w:vertAlign w:val="superscript"/>
        </w:rPr>
        <w:t>th</w:t>
      </w:r>
      <w:r w:rsidR="007E2B74">
        <w:rPr>
          <w:rFonts w:ascii="Arial" w:hAnsi="Arial" w:cs="Arial"/>
        </w:rPr>
        <w:t xml:space="preserve"> November 1920).</w:t>
      </w:r>
      <w:r w:rsidR="00A145E7">
        <w:rPr>
          <w:rFonts w:ascii="Arial" w:hAnsi="Arial" w:cs="Arial"/>
        </w:rPr>
        <w:t xml:space="preserve"> </w:t>
      </w:r>
    </w:p>
    <w:p w14:paraId="16B5E664" w14:textId="72E2C6D3" w:rsidR="006A1190" w:rsidRDefault="00A145E7" w:rsidP="00F44900">
      <w:pPr>
        <w:spacing w:after="0" w:line="480" w:lineRule="auto"/>
        <w:ind w:firstLine="720"/>
        <w:rPr>
          <w:rFonts w:ascii="Arial" w:hAnsi="Arial" w:cs="Arial"/>
        </w:rPr>
      </w:pPr>
      <w:r>
        <w:rPr>
          <w:rFonts w:ascii="Arial" w:hAnsi="Arial" w:cs="Arial"/>
        </w:rPr>
        <w:t>T</w:t>
      </w:r>
      <w:r w:rsidR="007E2B74">
        <w:rPr>
          <w:rFonts w:ascii="Arial" w:hAnsi="Arial" w:cs="Arial"/>
        </w:rPr>
        <w:t>he 1924 crisis</w:t>
      </w:r>
      <w:r>
        <w:rPr>
          <w:rFonts w:ascii="Arial" w:hAnsi="Arial" w:cs="Arial"/>
        </w:rPr>
        <w:t xml:space="preserve"> ended the deadlock</w:t>
      </w:r>
      <w:r w:rsidR="007E2B74">
        <w:rPr>
          <w:rFonts w:ascii="Arial" w:hAnsi="Arial" w:cs="Arial"/>
        </w:rPr>
        <w:t>. Not only did it bring about a rapid escalation in the intensity of lobbying, it also re-configured the balance between the lobbyists in terms of the evidence that they were able to deploy and the terms in which they were able to present it</w:t>
      </w:r>
      <w:r w:rsidR="00391790">
        <w:rPr>
          <w:rFonts w:ascii="Arial" w:hAnsi="Arial" w:cs="Arial"/>
        </w:rPr>
        <w:t xml:space="preserve"> (Stigler, 1971)</w:t>
      </w:r>
      <w:r w:rsidR="007E2B74">
        <w:rPr>
          <w:rFonts w:ascii="Arial" w:hAnsi="Arial" w:cs="Arial"/>
        </w:rPr>
        <w:t>. The Kennedy-Jones proposals for a unified</w:t>
      </w:r>
      <w:r w:rsidR="00E612FD">
        <w:rPr>
          <w:rFonts w:ascii="Arial" w:hAnsi="Arial" w:cs="Arial"/>
        </w:rPr>
        <w:t>, state backed</w:t>
      </w:r>
      <w:r w:rsidR="007E2B74">
        <w:rPr>
          <w:rFonts w:ascii="Arial" w:hAnsi="Arial" w:cs="Arial"/>
        </w:rPr>
        <w:t xml:space="preserve"> transport provider had been fought out in a relatively private manner between the lobbyists and had attracted little attention outside parliament. The turmoil caused by pirate buses meant that lobbying schemes now took place in the public eye and with a sense of urgency that had not been present</w:t>
      </w:r>
      <w:r w:rsidR="00E42D0C">
        <w:rPr>
          <w:rFonts w:ascii="Arial" w:hAnsi="Arial" w:cs="Arial"/>
        </w:rPr>
        <w:t xml:space="preserve"> previously</w:t>
      </w:r>
      <w:r w:rsidR="007E2B74">
        <w:rPr>
          <w:rFonts w:ascii="Arial" w:hAnsi="Arial" w:cs="Arial"/>
        </w:rPr>
        <w:t xml:space="preserve"> (“Absolute Chaos”, 1923; “Complete Stoppage of Trams and Buses”, 1924; Hansard, 25</w:t>
      </w:r>
      <w:r w:rsidR="007E2B74" w:rsidRPr="00B4478A">
        <w:rPr>
          <w:rFonts w:ascii="Arial" w:hAnsi="Arial" w:cs="Arial"/>
          <w:vertAlign w:val="superscript"/>
        </w:rPr>
        <w:t>th</w:t>
      </w:r>
      <w:r w:rsidR="007E2B74">
        <w:rPr>
          <w:rFonts w:ascii="Arial" w:hAnsi="Arial" w:cs="Arial"/>
        </w:rPr>
        <w:t xml:space="preserve"> February 1924). </w:t>
      </w:r>
      <w:r w:rsidR="006A1190">
        <w:rPr>
          <w:rFonts w:ascii="Arial" w:hAnsi="Arial" w:cs="Arial"/>
        </w:rPr>
        <w:t>The urgency and proximity of the crises to central government created a consensus combining interests from left and right of the political spectrum in favour</w:t>
      </w:r>
      <w:r w:rsidR="00E42D0C">
        <w:rPr>
          <w:rFonts w:ascii="Arial" w:hAnsi="Arial" w:cs="Arial"/>
        </w:rPr>
        <w:t xml:space="preserve"> of</w:t>
      </w:r>
      <w:r w:rsidR="006A1190">
        <w:rPr>
          <w:rFonts w:ascii="Arial" w:hAnsi="Arial" w:cs="Arial"/>
        </w:rPr>
        <w:t xml:space="preserve"> unification. </w:t>
      </w:r>
      <w:r>
        <w:rPr>
          <w:rFonts w:ascii="Arial" w:hAnsi="Arial" w:cs="Arial"/>
        </w:rPr>
        <w:t>Existing transport b</w:t>
      </w:r>
      <w:r w:rsidR="006A1190">
        <w:rPr>
          <w:rFonts w:ascii="Arial" w:hAnsi="Arial" w:cs="Arial"/>
        </w:rPr>
        <w:t>usiness interests allied with large trade unions such as the TGWU to press for unified control to protect profits and wages. Opposition came from the Liberal Party and parts of the Labour Party who favoured municipal management (Hansard, 16</w:t>
      </w:r>
      <w:r w:rsidR="006A1190" w:rsidRPr="005351A3">
        <w:rPr>
          <w:rFonts w:ascii="Arial" w:hAnsi="Arial" w:cs="Arial"/>
          <w:vertAlign w:val="superscript"/>
        </w:rPr>
        <w:t>th</w:t>
      </w:r>
      <w:r w:rsidR="006A1190">
        <w:rPr>
          <w:rFonts w:ascii="Arial" w:hAnsi="Arial" w:cs="Arial"/>
        </w:rPr>
        <w:t xml:space="preserve"> June 1924). </w:t>
      </w:r>
      <w:r>
        <w:rPr>
          <w:rFonts w:ascii="Arial" w:hAnsi="Arial" w:cs="Arial"/>
        </w:rPr>
        <w:t>Their</w:t>
      </w:r>
      <w:r w:rsidR="006A1190">
        <w:rPr>
          <w:rFonts w:ascii="Arial" w:hAnsi="Arial" w:cs="Arial"/>
        </w:rPr>
        <w:t xml:space="preserve"> </w:t>
      </w:r>
      <w:r>
        <w:rPr>
          <w:rFonts w:ascii="Arial" w:hAnsi="Arial" w:cs="Arial"/>
        </w:rPr>
        <w:t>resistance</w:t>
      </w:r>
      <w:r w:rsidR="006A1190">
        <w:rPr>
          <w:rFonts w:ascii="Arial" w:hAnsi="Arial" w:cs="Arial"/>
        </w:rPr>
        <w:t xml:space="preserve"> failed because it was undermined on key issues. Their preferred public controlling body, the LCC, was run by the Municipal Reform Party whose primary objective was to relinquish rather than aggregate control. Secondly, the </w:t>
      </w:r>
      <w:r>
        <w:rPr>
          <w:rFonts w:ascii="Arial" w:hAnsi="Arial" w:cs="Arial"/>
        </w:rPr>
        <w:t xml:space="preserve">majority of the </w:t>
      </w:r>
      <w:r w:rsidR="006A1190">
        <w:rPr>
          <w:rFonts w:ascii="Arial" w:hAnsi="Arial" w:cs="Arial"/>
        </w:rPr>
        <w:t>Labour Party preferred to act in accordance with the wishes of the TGWU in controlling competition and creating a consolidated transport provider (Donoghue, 1973; Hansard, 25</w:t>
      </w:r>
      <w:r w:rsidR="006A1190" w:rsidRPr="00D67C45">
        <w:rPr>
          <w:rFonts w:ascii="Arial" w:hAnsi="Arial" w:cs="Arial"/>
          <w:vertAlign w:val="superscript"/>
        </w:rPr>
        <w:t>th</w:t>
      </w:r>
      <w:r w:rsidR="006A1190">
        <w:rPr>
          <w:rFonts w:ascii="Arial" w:hAnsi="Arial" w:cs="Arial"/>
        </w:rPr>
        <w:t xml:space="preserve"> </w:t>
      </w:r>
      <w:proofErr w:type="gramStart"/>
      <w:r w:rsidR="006A1190">
        <w:rPr>
          <w:rFonts w:ascii="Arial" w:hAnsi="Arial" w:cs="Arial"/>
        </w:rPr>
        <w:t>February,</w:t>
      </w:r>
      <w:proofErr w:type="gramEnd"/>
      <w:r w:rsidR="006A1190">
        <w:rPr>
          <w:rFonts w:ascii="Arial" w:hAnsi="Arial" w:cs="Arial"/>
        </w:rPr>
        <w:t xml:space="preserve"> 1924). </w:t>
      </w:r>
    </w:p>
    <w:p w14:paraId="5C3A741D" w14:textId="187A1961" w:rsidR="001A3A7E" w:rsidRDefault="001A3A7E" w:rsidP="00F44900">
      <w:pPr>
        <w:spacing w:after="0" w:line="480" w:lineRule="auto"/>
        <w:ind w:firstLine="720"/>
        <w:rPr>
          <w:rFonts w:ascii="Arial" w:hAnsi="Arial" w:cs="Arial"/>
        </w:rPr>
      </w:pPr>
      <w:r>
        <w:rPr>
          <w:rFonts w:ascii="Arial" w:hAnsi="Arial" w:cs="Arial"/>
        </w:rPr>
        <w:lastRenderedPageBreak/>
        <w:t>The 1924 Act was therefore followed by a succession on Bills from 1927 onwards to create a hybrid monopoly provider exhibiting both state and market logics in its governing principles and practices (Hansard, 23</w:t>
      </w:r>
      <w:r w:rsidRPr="00A117CC">
        <w:rPr>
          <w:rFonts w:ascii="Arial" w:hAnsi="Arial" w:cs="Arial"/>
          <w:vertAlign w:val="superscript"/>
        </w:rPr>
        <w:t>rd</w:t>
      </w:r>
      <w:r>
        <w:rPr>
          <w:rFonts w:ascii="Arial" w:hAnsi="Arial" w:cs="Arial"/>
        </w:rPr>
        <w:t xml:space="preserve"> April 1928; 19</w:t>
      </w:r>
      <w:r w:rsidRPr="00A117CC">
        <w:rPr>
          <w:rFonts w:ascii="Arial" w:hAnsi="Arial" w:cs="Arial"/>
          <w:vertAlign w:val="superscript"/>
        </w:rPr>
        <w:t>th</w:t>
      </w:r>
      <w:r>
        <w:rPr>
          <w:rFonts w:ascii="Arial" w:hAnsi="Arial" w:cs="Arial"/>
        </w:rPr>
        <w:t xml:space="preserve"> February and 1</w:t>
      </w:r>
      <w:r w:rsidRPr="00A117CC">
        <w:rPr>
          <w:rFonts w:ascii="Arial" w:hAnsi="Arial" w:cs="Arial"/>
          <w:vertAlign w:val="superscript"/>
        </w:rPr>
        <w:t>st</w:t>
      </w:r>
      <w:r>
        <w:rPr>
          <w:rFonts w:ascii="Arial" w:hAnsi="Arial" w:cs="Arial"/>
        </w:rPr>
        <w:t xml:space="preserve"> May 1929). Several changes of government caused delays until 1933</w:t>
      </w:r>
      <w:r w:rsidR="00A145E7">
        <w:rPr>
          <w:rFonts w:ascii="Arial" w:hAnsi="Arial" w:cs="Arial"/>
        </w:rPr>
        <w:t>.</w:t>
      </w:r>
      <w:r>
        <w:rPr>
          <w:rFonts w:ascii="Arial" w:hAnsi="Arial" w:cs="Arial"/>
        </w:rPr>
        <w:t xml:space="preserve"> </w:t>
      </w:r>
      <w:r w:rsidR="00A145E7">
        <w:rPr>
          <w:rFonts w:ascii="Arial" w:hAnsi="Arial" w:cs="Arial"/>
        </w:rPr>
        <w:t>However, with</w:t>
      </w:r>
      <w:r>
        <w:rPr>
          <w:rFonts w:ascii="Arial" w:hAnsi="Arial" w:cs="Arial"/>
        </w:rPr>
        <w:t xml:space="preserve"> minor </w:t>
      </w:r>
      <w:r w:rsidR="00A145E7">
        <w:rPr>
          <w:rFonts w:ascii="Arial" w:hAnsi="Arial" w:cs="Arial"/>
        </w:rPr>
        <w:t xml:space="preserve">cosmetic </w:t>
      </w:r>
      <w:r>
        <w:rPr>
          <w:rFonts w:ascii="Arial" w:hAnsi="Arial" w:cs="Arial"/>
        </w:rPr>
        <w:t>changes to the original 1927 proposals</w:t>
      </w:r>
      <w:r w:rsidR="00E27E34">
        <w:rPr>
          <w:rFonts w:ascii="Arial" w:hAnsi="Arial" w:cs="Arial"/>
        </w:rPr>
        <w:t>, they</w:t>
      </w:r>
      <w:r>
        <w:rPr>
          <w:rFonts w:ascii="Arial" w:hAnsi="Arial" w:cs="Arial"/>
        </w:rPr>
        <w:t xml:space="preserve"> wer</w:t>
      </w:r>
      <w:r w:rsidR="00A145E7">
        <w:rPr>
          <w:rFonts w:ascii="Arial" w:hAnsi="Arial" w:cs="Arial"/>
        </w:rPr>
        <w:t>e adopted in that year</w:t>
      </w:r>
      <w:r>
        <w:rPr>
          <w:rFonts w:ascii="Arial" w:hAnsi="Arial" w:cs="Arial"/>
        </w:rPr>
        <w:t xml:space="preserve"> (Donoghue, 1973; Hansard, 6</w:t>
      </w:r>
      <w:r w:rsidRPr="00F32E96">
        <w:rPr>
          <w:rFonts w:ascii="Arial" w:hAnsi="Arial" w:cs="Arial"/>
          <w:vertAlign w:val="superscript"/>
        </w:rPr>
        <w:t>th</w:t>
      </w:r>
      <w:r>
        <w:rPr>
          <w:rFonts w:ascii="Arial" w:hAnsi="Arial" w:cs="Arial"/>
        </w:rPr>
        <w:t xml:space="preserve"> October 1931). The creation of a unified London Transport organisation was the product of a </w:t>
      </w:r>
      <w:r w:rsidR="006A1190">
        <w:rPr>
          <w:rFonts w:ascii="Arial" w:hAnsi="Arial" w:cs="Arial"/>
        </w:rPr>
        <w:t xml:space="preserve">dominant </w:t>
      </w:r>
      <w:r>
        <w:rPr>
          <w:rFonts w:ascii="Arial" w:hAnsi="Arial" w:cs="Arial"/>
        </w:rPr>
        <w:t>consensus that spanned both left and right. The ability to apparently resolve contradictory institutional logics in a complimentary way was and is one of the great attractions of a ‘hybrid’ solution to a crisis (</w:t>
      </w:r>
      <w:proofErr w:type="spellStart"/>
      <w:r>
        <w:rPr>
          <w:rFonts w:ascii="Arial" w:hAnsi="Arial" w:cs="Arial"/>
        </w:rPr>
        <w:t>Busco</w:t>
      </w:r>
      <w:proofErr w:type="spellEnd"/>
      <w:r>
        <w:rPr>
          <w:rFonts w:ascii="Arial" w:hAnsi="Arial" w:cs="Arial"/>
        </w:rPr>
        <w:t xml:space="preserve"> et al, 2017). The question remained what balance of logics the new unified organisation represented.</w:t>
      </w:r>
    </w:p>
    <w:p w14:paraId="5FE893EB" w14:textId="77777777" w:rsidR="00F44900" w:rsidRDefault="00F44900" w:rsidP="0011695D">
      <w:pPr>
        <w:spacing w:after="0" w:line="480" w:lineRule="auto"/>
        <w:rPr>
          <w:rFonts w:ascii="Arial" w:hAnsi="Arial" w:cs="Arial"/>
          <w:b/>
          <w:bCs/>
          <w:i/>
          <w:iCs/>
        </w:rPr>
      </w:pPr>
    </w:p>
    <w:p w14:paraId="13CF4B8D" w14:textId="3289C9B4" w:rsidR="00BD40A2" w:rsidRPr="00E612FD" w:rsidRDefault="00E612FD" w:rsidP="0011695D">
      <w:pPr>
        <w:spacing w:after="0" w:line="480" w:lineRule="auto"/>
        <w:rPr>
          <w:rFonts w:ascii="Arial" w:hAnsi="Arial" w:cs="Arial"/>
          <w:b/>
          <w:bCs/>
        </w:rPr>
      </w:pPr>
      <w:r w:rsidRPr="00E612FD">
        <w:rPr>
          <w:rFonts w:ascii="Arial" w:hAnsi="Arial" w:cs="Arial"/>
          <w:b/>
          <w:bCs/>
          <w:i/>
          <w:iCs/>
        </w:rPr>
        <w:t xml:space="preserve">Institutional </w:t>
      </w:r>
      <w:r w:rsidR="00B079E8">
        <w:rPr>
          <w:rFonts w:ascii="Arial" w:hAnsi="Arial" w:cs="Arial"/>
          <w:b/>
          <w:bCs/>
          <w:i/>
          <w:iCs/>
        </w:rPr>
        <w:t>l</w:t>
      </w:r>
      <w:r w:rsidRPr="00E612FD">
        <w:rPr>
          <w:rFonts w:ascii="Arial" w:hAnsi="Arial" w:cs="Arial"/>
          <w:b/>
          <w:bCs/>
          <w:i/>
          <w:iCs/>
        </w:rPr>
        <w:t>ogics</w:t>
      </w:r>
      <w:r w:rsidR="00BD40A2" w:rsidRPr="00E612FD">
        <w:rPr>
          <w:rFonts w:ascii="Arial" w:hAnsi="Arial" w:cs="Arial"/>
          <w:b/>
          <w:bCs/>
        </w:rPr>
        <w:t xml:space="preserve">           </w:t>
      </w:r>
    </w:p>
    <w:p w14:paraId="50335454" w14:textId="10F065D6" w:rsidR="001A3A7E" w:rsidRDefault="003A12D6" w:rsidP="007E2B74">
      <w:pPr>
        <w:spacing w:after="0" w:line="480" w:lineRule="auto"/>
        <w:rPr>
          <w:rFonts w:ascii="Arial" w:hAnsi="Arial" w:cs="Arial"/>
        </w:rPr>
      </w:pPr>
      <w:r>
        <w:rPr>
          <w:rFonts w:ascii="Arial" w:hAnsi="Arial" w:cs="Arial"/>
        </w:rPr>
        <w:t xml:space="preserve">In this section we </w:t>
      </w:r>
      <w:r w:rsidR="006A1190">
        <w:rPr>
          <w:rFonts w:ascii="Arial" w:hAnsi="Arial" w:cs="Arial"/>
        </w:rPr>
        <w:t>discuss another</w:t>
      </w:r>
      <w:r>
        <w:rPr>
          <w:rFonts w:ascii="Arial" w:hAnsi="Arial" w:cs="Arial"/>
        </w:rPr>
        <w:t xml:space="preserve"> </w:t>
      </w:r>
      <w:r w:rsidR="00A145E7">
        <w:rPr>
          <w:rFonts w:ascii="Arial" w:hAnsi="Arial" w:cs="Arial"/>
        </w:rPr>
        <w:t>‘</w:t>
      </w:r>
      <w:r>
        <w:rPr>
          <w:rFonts w:ascii="Arial" w:hAnsi="Arial" w:cs="Arial"/>
        </w:rPr>
        <w:t>before and after</w:t>
      </w:r>
      <w:r w:rsidR="00A145E7">
        <w:rPr>
          <w:rFonts w:ascii="Arial" w:hAnsi="Arial" w:cs="Arial"/>
        </w:rPr>
        <w:t>’</w:t>
      </w:r>
      <w:r>
        <w:rPr>
          <w:rFonts w:ascii="Arial" w:hAnsi="Arial" w:cs="Arial"/>
        </w:rPr>
        <w:t xml:space="preserve"> comparison between the princip</w:t>
      </w:r>
      <w:r w:rsidR="00A145E7">
        <w:rPr>
          <w:rFonts w:ascii="Arial" w:hAnsi="Arial" w:cs="Arial"/>
        </w:rPr>
        <w:t>al</w:t>
      </w:r>
      <w:r>
        <w:rPr>
          <w:rFonts w:ascii="Arial" w:hAnsi="Arial" w:cs="Arial"/>
        </w:rPr>
        <w:t xml:space="preserve"> transport providers that existed prior to amalgamation and the subsequent single unified organisation. We look at the</w:t>
      </w:r>
      <w:r w:rsidR="002A5BC3">
        <w:rPr>
          <w:rFonts w:ascii="Arial" w:hAnsi="Arial" w:cs="Arial"/>
        </w:rPr>
        <w:t xml:space="preserve"> evidence of</w:t>
      </w:r>
      <w:r>
        <w:rPr>
          <w:rFonts w:ascii="Arial" w:hAnsi="Arial" w:cs="Arial"/>
        </w:rPr>
        <w:t xml:space="preserve"> key p</w:t>
      </w:r>
      <w:r w:rsidR="00016893">
        <w:rPr>
          <w:rFonts w:ascii="Arial" w:hAnsi="Arial" w:cs="Arial"/>
        </w:rPr>
        <w:t>rinciples, practices, symbols</w:t>
      </w:r>
      <w:r>
        <w:rPr>
          <w:rFonts w:ascii="Arial" w:hAnsi="Arial" w:cs="Arial"/>
        </w:rPr>
        <w:t xml:space="preserve"> and </w:t>
      </w:r>
      <w:r w:rsidR="00D5351F">
        <w:rPr>
          <w:rFonts w:ascii="Arial" w:hAnsi="Arial" w:cs="Arial"/>
        </w:rPr>
        <w:t xml:space="preserve">assess </w:t>
      </w:r>
      <w:r>
        <w:rPr>
          <w:rFonts w:ascii="Arial" w:hAnsi="Arial" w:cs="Arial"/>
        </w:rPr>
        <w:t xml:space="preserve">if they exist in the forms described in Thornton et </w:t>
      </w:r>
      <w:proofErr w:type="spellStart"/>
      <w:r>
        <w:rPr>
          <w:rFonts w:ascii="Arial" w:hAnsi="Arial" w:cs="Arial"/>
        </w:rPr>
        <w:t>al’s</w:t>
      </w:r>
      <w:proofErr w:type="spellEnd"/>
      <w:r>
        <w:rPr>
          <w:rFonts w:ascii="Arial" w:hAnsi="Arial" w:cs="Arial"/>
        </w:rPr>
        <w:t xml:space="preserve"> </w:t>
      </w:r>
      <w:r w:rsidR="002A5BC3">
        <w:rPr>
          <w:rFonts w:ascii="Arial" w:hAnsi="Arial" w:cs="Arial"/>
        </w:rPr>
        <w:t xml:space="preserve">table of ideal institutional </w:t>
      </w:r>
      <w:r w:rsidR="006A1190">
        <w:rPr>
          <w:rFonts w:ascii="Arial" w:hAnsi="Arial" w:cs="Arial"/>
        </w:rPr>
        <w:t xml:space="preserve">logic </w:t>
      </w:r>
      <w:r w:rsidR="002A5BC3">
        <w:rPr>
          <w:rFonts w:ascii="Arial" w:hAnsi="Arial" w:cs="Arial"/>
        </w:rPr>
        <w:t>types and characteristics. We then ask what form of change occurred</w:t>
      </w:r>
      <w:r w:rsidR="00717C43">
        <w:rPr>
          <w:rFonts w:ascii="Arial" w:hAnsi="Arial" w:cs="Arial"/>
        </w:rPr>
        <w:t xml:space="preserve">, and how and why it manifested itself in that way. </w:t>
      </w:r>
    </w:p>
    <w:p w14:paraId="03B9BEA4" w14:textId="1E3995E8" w:rsidR="00DE2F47" w:rsidRDefault="00717C43" w:rsidP="00F44900">
      <w:pPr>
        <w:spacing w:after="0" w:line="480" w:lineRule="auto"/>
        <w:ind w:firstLine="720"/>
        <w:rPr>
          <w:rFonts w:ascii="Arial" w:hAnsi="Arial" w:cs="Arial"/>
        </w:rPr>
      </w:pPr>
      <w:r>
        <w:rPr>
          <w:rFonts w:ascii="Arial" w:hAnsi="Arial" w:cs="Arial"/>
        </w:rPr>
        <w:t>Prior to the creation of a single hybrid provider, t</w:t>
      </w:r>
      <w:r w:rsidR="00167C1A">
        <w:rPr>
          <w:rFonts w:ascii="Arial" w:hAnsi="Arial" w:cs="Arial"/>
        </w:rPr>
        <w:t>he three key organisations that provided the overwhelming majority of London’s transport prior to unification were the Metropolitan Railway, The Underground Electric Railway Company of London</w:t>
      </w:r>
      <w:r w:rsidR="008C2C00">
        <w:rPr>
          <w:rFonts w:ascii="Arial" w:hAnsi="Arial" w:cs="Arial"/>
        </w:rPr>
        <w:t xml:space="preserve"> </w:t>
      </w:r>
      <w:r w:rsidR="00167C1A">
        <w:rPr>
          <w:rFonts w:ascii="Arial" w:hAnsi="Arial" w:cs="Arial"/>
        </w:rPr>
        <w:t xml:space="preserve">and the London County Council. The first two </w:t>
      </w:r>
      <w:r>
        <w:rPr>
          <w:rFonts w:ascii="Arial" w:hAnsi="Arial" w:cs="Arial"/>
        </w:rPr>
        <w:t>were</w:t>
      </w:r>
      <w:r w:rsidR="00167C1A">
        <w:rPr>
          <w:rFonts w:ascii="Arial" w:hAnsi="Arial" w:cs="Arial"/>
        </w:rPr>
        <w:t xml:space="preserve"> private companies</w:t>
      </w:r>
      <w:r>
        <w:rPr>
          <w:rFonts w:ascii="Arial" w:hAnsi="Arial" w:cs="Arial"/>
        </w:rPr>
        <w:t>, the latter a municipally controlled organisation.</w:t>
      </w:r>
      <w:r w:rsidR="008C2C00">
        <w:rPr>
          <w:rFonts w:ascii="Arial" w:hAnsi="Arial" w:cs="Arial"/>
        </w:rPr>
        <w:t xml:space="preserve"> However, by 1933 </w:t>
      </w:r>
      <w:r>
        <w:rPr>
          <w:rFonts w:ascii="Arial" w:hAnsi="Arial" w:cs="Arial"/>
        </w:rPr>
        <w:t>both of the private companies were</w:t>
      </w:r>
      <w:r w:rsidR="008C2C00">
        <w:rPr>
          <w:rFonts w:ascii="Arial" w:hAnsi="Arial" w:cs="Arial"/>
        </w:rPr>
        <w:t xml:space="preserve"> </w:t>
      </w:r>
      <w:r>
        <w:rPr>
          <w:rFonts w:ascii="Arial" w:hAnsi="Arial" w:cs="Arial"/>
        </w:rPr>
        <w:t>already to</w:t>
      </w:r>
      <w:r w:rsidR="0075477F">
        <w:rPr>
          <w:rFonts w:ascii="Arial" w:hAnsi="Arial" w:cs="Arial"/>
        </w:rPr>
        <w:t xml:space="preserve"> </w:t>
      </w:r>
      <w:r w:rsidR="008C2C00">
        <w:rPr>
          <w:rFonts w:ascii="Arial" w:hAnsi="Arial" w:cs="Arial"/>
        </w:rPr>
        <w:t>some degree constrained and supported by the state.</w:t>
      </w:r>
      <w:r w:rsidR="0075477F">
        <w:rPr>
          <w:rFonts w:ascii="Arial" w:hAnsi="Arial" w:cs="Arial"/>
        </w:rPr>
        <w:t xml:space="preserve"> </w:t>
      </w:r>
      <w:r>
        <w:rPr>
          <w:rFonts w:ascii="Arial" w:hAnsi="Arial" w:cs="Arial"/>
        </w:rPr>
        <w:t>During the First World War the Metropolitan Railway had been brough under state control. Though the UERL was not, it had ceased issuing private share capital and instead raised its investment income through state backed bonds (Barker &amp; Robbins, 1976; Fowler, 2019). The market logic of shareholder activism was diminished, but not entirely extirpated. In terms of revenue, t</w:t>
      </w:r>
      <w:r w:rsidR="00D5351F">
        <w:rPr>
          <w:rFonts w:ascii="Arial" w:hAnsi="Arial" w:cs="Arial"/>
        </w:rPr>
        <w:t xml:space="preserve">he fares that </w:t>
      </w:r>
      <w:r w:rsidR="00D5351F">
        <w:rPr>
          <w:rFonts w:ascii="Arial" w:hAnsi="Arial" w:cs="Arial"/>
        </w:rPr>
        <w:lastRenderedPageBreak/>
        <w:t>railway companies could charge had been controlled by central government in some respects since the late 19</w:t>
      </w:r>
      <w:r w:rsidR="00D5351F" w:rsidRPr="00D5351F">
        <w:rPr>
          <w:rFonts w:ascii="Arial" w:hAnsi="Arial" w:cs="Arial"/>
          <w:vertAlign w:val="superscript"/>
        </w:rPr>
        <w:t>th</w:t>
      </w:r>
      <w:r w:rsidR="00D5351F">
        <w:rPr>
          <w:rFonts w:ascii="Arial" w:hAnsi="Arial" w:cs="Arial"/>
        </w:rPr>
        <w:t xml:space="preserve"> century</w:t>
      </w:r>
      <w:r w:rsidR="00A41D56">
        <w:rPr>
          <w:rFonts w:ascii="Arial" w:hAnsi="Arial" w:cs="Arial"/>
        </w:rPr>
        <w:t xml:space="preserve">. </w:t>
      </w:r>
      <w:r w:rsidR="00D5351F">
        <w:rPr>
          <w:rFonts w:ascii="Arial" w:hAnsi="Arial" w:cs="Arial"/>
        </w:rPr>
        <w:t>After 1921 companies had to apply to the railway rates tribunal if they wished to alter their fares.</w:t>
      </w:r>
      <w:r w:rsidR="00A41D56">
        <w:rPr>
          <w:rFonts w:ascii="Arial" w:hAnsi="Arial" w:cs="Arial"/>
        </w:rPr>
        <w:t xml:space="preserve"> The tribunal viewed railways as a common social carrier, duty bound to carry all traffic (</w:t>
      </w:r>
      <w:proofErr w:type="spellStart"/>
      <w:r w:rsidR="00A41D56">
        <w:rPr>
          <w:rFonts w:ascii="Arial" w:hAnsi="Arial" w:cs="Arial"/>
        </w:rPr>
        <w:t>Gourvish</w:t>
      </w:r>
      <w:proofErr w:type="spellEnd"/>
      <w:r w:rsidR="00A41D56">
        <w:rPr>
          <w:rFonts w:ascii="Arial" w:hAnsi="Arial" w:cs="Arial"/>
        </w:rPr>
        <w:t>, 1980).</w:t>
      </w:r>
      <w:r w:rsidR="00D5351F">
        <w:rPr>
          <w:rFonts w:ascii="Arial" w:hAnsi="Arial" w:cs="Arial"/>
        </w:rPr>
        <w:t xml:space="preserve"> </w:t>
      </w:r>
      <w:r w:rsidR="00A41D56">
        <w:rPr>
          <w:rFonts w:ascii="Arial" w:hAnsi="Arial" w:cs="Arial"/>
        </w:rPr>
        <w:t xml:space="preserve">In Thornton et </w:t>
      </w:r>
      <w:proofErr w:type="spellStart"/>
      <w:r w:rsidR="00A41D56">
        <w:rPr>
          <w:rFonts w:ascii="Arial" w:hAnsi="Arial" w:cs="Arial"/>
        </w:rPr>
        <w:t>al’s</w:t>
      </w:r>
      <w:proofErr w:type="spellEnd"/>
      <w:r w:rsidR="00A41D56">
        <w:rPr>
          <w:rFonts w:ascii="Arial" w:hAnsi="Arial" w:cs="Arial"/>
        </w:rPr>
        <w:t xml:space="preserve"> (2012) schema, this development led the metaphor of transaction towards redistribution, and the basis of strategy shifted from </w:t>
      </w:r>
      <w:r w:rsidR="001D0542">
        <w:rPr>
          <w:rFonts w:ascii="Arial" w:hAnsi="Arial" w:cs="Arial"/>
        </w:rPr>
        <w:t xml:space="preserve">away from pure </w:t>
      </w:r>
      <w:r w:rsidR="00A41D56">
        <w:rPr>
          <w:rFonts w:ascii="Arial" w:hAnsi="Arial" w:cs="Arial"/>
        </w:rPr>
        <w:t xml:space="preserve">profit. </w:t>
      </w:r>
      <w:r>
        <w:rPr>
          <w:rFonts w:ascii="Arial" w:hAnsi="Arial" w:cs="Arial"/>
        </w:rPr>
        <w:t>We can see that</w:t>
      </w:r>
      <w:r w:rsidR="00A41D56">
        <w:rPr>
          <w:rFonts w:ascii="Arial" w:hAnsi="Arial" w:cs="Arial"/>
        </w:rPr>
        <w:t xml:space="preserve"> two of the three major component parts of the new unified London Transport had already acquired some </w:t>
      </w:r>
      <w:r w:rsidR="0075477F">
        <w:rPr>
          <w:rFonts w:ascii="Arial" w:hAnsi="Arial" w:cs="Arial"/>
        </w:rPr>
        <w:t xml:space="preserve">distinctly state-like logics to their activities and intentions, though this was </w:t>
      </w:r>
      <w:r w:rsidR="00E42D0C">
        <w:rPr>
          <w:rFonts w:ascii="Arial" w:hAnsi="Arial" w:cs="Arial"/>
        </w:rPr>
        <w:t xml:space="preserve">much </w:t>
      </w:r>
      <w:proofErr w:type="gramStart"/>
      <w:r w:rsidR="00E42D0C">
        <w:rPr>
          <w:rFonts w:ascii="Arial" w:hAnsi="Arial" w:cs="Arial"/>
        </w:rPr>
        <w:t>more true</w:t>
      </w:r>
      <w:proofErr w:type="gramEnd"/>
      <w:r w:rsidR="0075477F">
        <w:rPr>
          <w:rFonts w:ascii="Arial" w:hAnsi="Arial" w:cs="Arial"/>
        </w:rPr>
        <w:t xml:space="preserve"> of the UERL than the Metropolitan Railway.</w:t>
      </w:r>
      <w:r w:rsidR="00A41D56">
        <w:rPr>
          <w:rFonts w:ascii="Arial" w:hAnsi="Arial" w:cs="Arial"/>
        </w:rPr>
        <w:t xml:space="preserve"> </w:t>
      </w:r>
    </w:p>
    <w:p w14:paraId="50AE9933" w14:textId="77777777" w:rsidR="00F44900" w:rsidRDefault="0075477F" w:rsidP="00F44900">
      <w:pPr>
        <w:spacing w:after="0" w:line="480" w:lineRule="auto"/>
        <w:ind w:firstLine="720"/>
        <w:rPr>
          <w:rFonts w:ascii="Arial" w:hAnsi="Arial" w:cs="Arial"/>
        </w:rPr>
      </w:pPr>
      <w:r>
        <w:rPr>
          <w:rFonts w:ascii="Arial" w:hAnsi="Arial" w:cs="Arial"/>
        </w:rPr>
        <w:t>The third individually significant segment of London</w:t>
      </w:r>
      <w:r w:rsidR="00717C43">
        <w:rPr>
          <w:rFonts w:ascii="Arial" w:hAnsi="Arial" w:cs="Arial"/>
        </w:rPr>
        <w:t>’s</w:t>
      </w:r>
      <w:r>
        <w:rPr>
          <w:rFonts w:ascii="Arial" w:hAnsi="Arial" w:cs="Arial"/>
        </w:rPr>
        <w:t xml:space="preserve"> </w:t>
      </w:r>
      <w:r w:rsidR="00717C43">
        <w:rPr>
          <w:rFonts w:ascii="Arial" w:hAnsi="Arial" w:cs="Arial"/>
        </w:rPr>
        <w:t>t</w:t>
      </w:r>
      <w:r>
        <w:rPr>
          <w:rFonts w:ascii="Arial" w:hAnsi="Arial" w:cs="Arial"/>
        </w:rPr>
        <w:t>ransport</w:t>
      </w:r>
      <w:r w:rsidR="00717C43">
        <w:rPr>
          <w:rFonts w:ascii="Arial" w:hAnsi="Arial" w:cs="Arial"/>
        </w:rPr>
        <w:t xml:space="preserve"> system</w:t>
      </w:r>
      <w:r>
        <w:rPr>
          <w:rFonts w:ascii="Arial" w:hAnsi="Arial" w:cs="Arial"/>
        </w:rPr>
        <w:t xml:space="preserve"> were the trams operated by the LCC. As their council minutes and reports show, this organisation conceived of itself as a public service provider </w:t>
      </w:r>
      <w:r w:rsidR="00571C81">
        <w:rPr>
          <w:rFonts w:ascii="Arial" w:hAnsi="Arial" w:cs="Arial"/>
        </w:rPr>
        <w:t xml:space="preserve">with social as well as financial objectives </w:t>
      </w:r>
      <w:r>
        <w:rPr>
          <w:rFonts w:ascii="Arial" w:hAnsi="Arial" w:cs="Arial"/>
        </w:rPr>
        <w:t>and was subject to the strictures of democratic oversight rather than shareholders’ meetings</w:t>
      </w:r>
      <w:r w:rsidR="00571C81">
        <w:rPr>
          <w:rFonts w:ascii="Arial" w:hAnsi="Arial" w:cs="Arial"/>
        </w:rPr>
        <w:t xml:space="preserve"> (LMA927 to 959 </w:t>
      </w:r>
      <w:proofErr w:type="gramStart"/>
      <w:r w:rsidR="00571C81">
        <w:rPr>
          <w:rFonts w:ascii="Arial" w:hAnsi="Arial" w:cs="Arial"/>
        </w:rPr>
        <w:t>series;</w:t>
      </w:r>
      <w:proofErr w:type="gramEnd"/>
      <w:r w:rsidR="00571C81">
        <w:rPr>
          <w:rFonts w:ascii="Arial" w:hAnsi="Arial" w:cs="Arial"/>
        </w:rPr>
        <w:t xml:space="preserve"> Turner &amp; Tennent, 2019)</w:t>
      </w:r>
      <w:r>
        <w:rPr>
          <w:rFonts w:ascii="Arial" w:hAnsi="Arial" w:cs="Arial"/>
        </w:rPr>
        <w:t>.</w:t>
      </w:r>
      <w:r w:rsidR="00571C81">
        <w:rPr>
          <w:rFonts w:ascii="Arial" w:hAnsi="Arial" w:cs="Arial"/>
        </w:rPr>
        <w:t xml:space="preserve"> </w:t>
      </w:r>
      <w:r w:rsidR="00E079DD">
        <w:rPr>
          <w:rFonts w:ascii="Arial" w:hAnsi="Arial" w:cs="Arial"/>
        </w:rPr>
        <w:t xml:space="preserve">In terms of state logics, its policies towards its employees were openly redistributive, it sought the community good </w:t>
      </w:r>
      <w:r w:rsidR="00564A1C" w:rsidRPr="00564A1C">
        <w:rPr>
          <w:rFonts w:ascii="Arial" w:hAnsi="Arial" w:cs="Arial"/>
          <w:color w:val="2F5496" w:themeColor="accent1" w:themeShade="BF"/>
        </w:rPr>
        <w:t>through control of its fares, especially for economically marginalised groups such as workmen</w:t>
      </w:r>
      <w:r w:rsidR="00564A1C">
        <w:rPr>
          <w:rFonts w:ascii="Arial" w:hAnsi="Arial" w:cs="Arial"/>
        </w:rPr>
        <w:t xml:space="preserve">, </w:t>
      </w:r>
      <w:r w:rsidR="00E079DD">
        <w:rPr>
          <w:rFonts w:ascii="Arial" w:hAnsi="Arial" w:cs="Arial"/>
        </w:rPr>
        <w:t>and it derived its legitimacy through regular democratic participation in both elections and its committee structure</w:t>
      </w:r>
      <w:r w:rsidR="00564A1C">
        <w:rPr>
          <w:rFonts w:ascii="Arial" w:hAnsi="Arial" w:cs="Arial"/>
        </w:rPr>
        <w:t xml:space="preserve"> </w:t>
      </w:r>
      <w:r w:rsidR="00564A1C" w:rsidRPr="00564A1C">
        <w:rPr>
          <w:rFonts w:ascii="Arial" w:hAnsi="Arial" w:cs="Arial"/>
          <w:color w:val="2F5496" w:themeColor="accent1" w:themeShade="BF"/>
        </w:rPr>
        <w:t>(Finer, 1941)</w:t>
      </w:r>
      <w:r w:rsidR="00E079DD">
        <w:rPr>
          <w:rFonts w:ascii="Arial" w:hAnsi="Arial" w:cs="Arial"/>
        </w:rPr>
        <w:t xml:space="preserve">. </w:t>
      </w:r>
    </w:p>
    <w:p w14:paraId="46EF4EB3" w14:textId="787F8F6F" w:rsidR="001A3A7E" w:rsidRDefault="00571C81" w:rsidP="00F44900">
      <w:pPr>
        <w:spacing w:after="0" w:line="480" w:lineRule="auto"/>
        <w:ind w:firstLine="720"/>
        <w:rPr>
          <w:rFonts w:ascii="Arial" w:hAnsi="Arial" w:cs="Arial"/>
        </w:rPr>
      </w:pPr>
      <w:r>
        <w:rPr>
          <w:rFonts w:ascii="Arial" w:hAnsi="Arial" w:cs="Arial"/>
        </w:rPr>
        <w:t xml:space="preserve">Finally, we also consider the </w:t>
      </w:r>
      <w:r w:rsidR="00036E7D">
        <w:rPr>
          <w:rFonts w:ascii="Arial" w:hAnsi="Arial" w:cs="Arial"/>
        </w:rPr>
        <w:t>ninety-two</w:t>
      </w:r>
      <w:r>
        <w:rPr>
          <w:rFonts w:ascii="Arial" w:hAnsi="Arial" w:cs="Arial"/>
        </w:rPr>
        <w:t xml:space="preserve"> smaller </w:t>
      </w:r>
      <w:r w:rsidR="00036E7D">
        <w:rPr>
          <w:rFonts w:ascii="Arial" w:hAnsi="Arial" w:cs="Arial"/>
        </w:rPr>
        <w:t xml:space="preserve">undertakings </w:t>
      </w:r>
      <w:r>
        <w:rPr>
          <w:rFonts w:ascii="Arial" w:hAnsi="Arial" w:cs="Arial"/>
        </w:rPr>
        <w:t>that were amalgamated</w:t>
      </w:r>
      <w:r w:rsidR="00036E7D">
        <w:rPr>
          <w:rFonts w:ascii="Arial" w:hAnsi="Arial" w:cs="Arial"/>
        </w:rPr>
        <w:t xml:space="preserve"> in 1933. Of these fourteen were Borough Council tramway systems, similar to the LCC but of a much smaller size. </w:t>
      </w:r>
      <w:r w:rsidR="00E079DD">
        <w:rPr>
          <w:rFonts w:ascii="Arial" w:hAnsi="Arial" w:cs="Arial"/>
        </w:rPr>
        <w:t>By contrast, f</w:t>
      </w:r>
      <w:r w:rsidR="00036E7D">
        <w:rPr>
          <w:rFonts w:ascii="Arial" w:hAnsi="Arial" w:cs="Arial"/>
        </w:rPr>
        <w:t xml:space="preserve">ifty-five were small bus companies employing fewer than </w:t>
      </w:r>
      <w:r w:rsidR="00E079DD">
        <w:rPr>
          <w:rFonts w:ascii="Arial" w:hAnsi="Arial" w:cs="Arial"/>
        </w:rPr>
        <w:t>thirty</w:t>
      </w:r>
      <w:r w:rsidR="00036E7D">
        <w:rPr>
          <w:rFonts w:ascii="Arial" w:hAnsi="Arial" w:cs="Arial"/>
        </w:rPr>
        <w:t xml:space="preserve"> people (LT1011-01 and LT1011-02 LPTB Annual Reports; Barker &amp; Robbins, 1976). We conclude that in 1933 London Transport absorbed a full spectrum of state and market logics</w:t>
      </w:r>
      <w:r w:rsidR="00605C2E">
        <w:rPr>
          <w:rFonts w:ascii="Arial" w:hAnsi="Arial" w:cs="Arial"/>
        </w:rPr>
        <w:t>. These were</w:t>
      </w:r>
      <w:r w:rsidR="00036E7D">
        <w:rPr>
          <w:rFonts w:ascii="Arial" w:hAnsi="Arial" w:cs="Arial"/>
        </w:rPr>
        <w:t xml:space="preserve"> implicit in </w:t>
      </w:r>
      <w:r w:rsidR="00A145E7">
        <w:rPr>
          <w:rFonts w:ascii="Arial" w:hAnsi="Arial" w:cs="Arial"/>
        </w:rPr>
        <w:t xml:space="preserve">the range of </w:t>
      </w:r>
      <w:r w:rsidR="00036E7D">
        <w:rPr>
          <w:rFonts w:ascii="Arial" w:hAnsi="Arial" w:cs="Arial"/>
        </w:rPr>
        <w:t>organisations as small as just five people operating in conditions approximating perfect competition</w:t>
      </w:r>
      <w:r w:rsidR="00461B03">
        <w:rPr>
          <w:rFonts w:ascii="Arial" w:hAnsi="Arial" w:cs="Arial"/>
        </w:rPr>
        <w:t xml:space="preserve"> and responding to consumer demand</w:t>
      </w:r>
      <w:r w:rsidR="00E079DD">
        <w:rPr>
          <w:rFonts w:ascii="Arial" w:hAnsi="Arial" w:cs="Arial"/>
        </w:rPr>
        <w:t>,</w:t>
      </w:r>
      <w:r w:rsidR="00036E7D">
        <w:rPr>
          <w:rFonts w:ascii="Arial" w:hAnsi="Arial" w:cs="Arial"/>
        </w:rPr>
        <w:t xml:space="preserve"> through to </w:t>
      </w:r>
      <w:r w:rsidR="00E079DD">
        <w:rPr>
          <w:rFonts w:ascii="Arial" w:hAnsi="Arial" w:cs="Arial"/>
        </w:rPr>
        <w:t xml:space="preserve">a </w:t>
      </w:r>
      <w:r w:rsidR="00036E7D">
        <w:rPr>
          <w:rFonts w:ascii="Arial" w:hAnsi="Arial" w:cs="Arial"/>
        </w:rPr>
        <w:t>huge munic</w:t>
      </w:r>
      <w:r w:rsidR="00E079DD">
        <w:rPr>
          <w:rFonts w:ascii="Arial" w:hAnsi="Arial" w:cs="Arial"/>
        </w:rPr>
        <w:t>ipality</w:t>
      </w:r>
      <w:r w:rsidR="00461B03">
        <w:rPr>
          <w:rFonts w:ascii="Arial" w:hAnsi="Arial" w:cs="Arial"/>
        </w:rPr>
        <w:t xml:space="preserve"> intent on socialising the costs of it</w:t>
      </w:r>
      <w:r w:rsidR="00CD725C">
        <w:rPr>
          <w:rFonts w:ascii="Arial" w:hAnsi="Arial" w:cs="Arial"/>
        </w:rPr>
        <w:t>s</w:t>
      </w:r>
      <w:r w:rsidR="00461B03">
        <w:rPr>
          <w:rFonts w:ascii="Arial" w:hAnsi="Arial" w:cs="Arial"/>
        </w:rPr>
        <w:t xml:space="preserve"> service and accountable to it its citizens through the ballot box</w:t>
      </w:r>
      <w:r w:rsidR="00E079DD">
        <w:rPr>
          <w:rFonts w:ascii="Arial" w:hAnsi="Arial" w:cs="Arial"/>
        </w:rPr>
        <w:t>.</w:t>
      </w:r>
      <w:r w:rsidR="00036E7D">
        <w:rPr>
          <w:rFonts w:ascii="Arial" w:hAnsi="Arial" w:cs="Arial"/>
        </w:rPr>
        <w:t xml:space="preserve">   </w:t>
      </w:r>
      <w:r>
        <w:rPr>
          <w:rFonts w:ascii="Arial" w:hAnsi="Arial" w:cs="Arial"/>
        </w:rPr>
        <w:t xml:space="preserve"> </w:t>
      </w:r>
    </w:p>
    <w:p w14:paraId="7414F9C9" w14:textId="5ADA4C92" w:rsidR="0084047D" w:rsidRDefault="00C84988" w:rsidP="00F44900">
      <w:pPr>
        <w:spacing w:after="0" w:line="480" w:lineRule="auto"/>
        <w:ind w:firstLine="720"/>
        <w:rPr>
          <w:rFonts w:ascii="Arial" w:hAnsi="Arial" w:cs="Arial"/>
        </w:rPr>
      </w:pPr>
      <w:r>
        <w:rPr>
          <w:rFonts w:ascii="Arial" w:hAnsi="Arial" w:cs="Arial"/>
        </w:rPr>
        <w:lastRenderedPageBreak/>
        <w:t xml:space="preserve">It is therefore understandable that </w:t>
      </w:r>
      <w:r w:rsidR="00461B03">
        <w:rPr>
          <w:rFonts w:ascii="Arial" w:hAnsi="Arial" w:cs="Arial"/>
        </w:rPr>
        <w:t>London Transport’s</w:t>
      </w:r>
      <w:r>
        <w:rPr>
          <w:rFonts w:ascii="Arial" w:hAnsi="Arial" w:cs="Arial"/>
        </w:rPr>
        <w:t xml:space="preserve"> founding statute contains </w:t>
      </w:r>
      <w:r w:rsidR="00461B03">
        <w:rPr>
          <w:rFonts w:ascii="Arial" w:hAnsi="Arial" w:cs="Arial"/>
        </w:rPr>
        <w:t xml:space="preserve">significant </w:t>
      </w:r>
      <w:r>
        <w:rPr>
          <w:rFonts w:ascii="Arial" w:hAnsi="Arial" w:cs="Arial"/>
        </w:rPr>
        <w:t>ambiguit</w:t>
      </w:r>
      <w:r w:rsidR="00461B03">
        <w:rPr>
          <w:rFonts w:ascii="Arial" w:hAnsi="Arial" w:cs="Arial"/>
        </w:rPr>
        <w:t>y in its principles</w:t>
      </w:r>
      <w:r>
        <w:rPr>
          <w:rFonts w:ascii="Arial" w:hAnsi="Arial" w:cs="Arial"/>
        </w:rPr>
        <w:t xml:space="preserve">. </w:t>
      </w:r>
      <w:r w:rsidR="00C30D10" w:rsidRPr="00EB2935">
        <w:rPr>
          <w:rFonts w:ascii="Arial" w:hAnsi="Arial" w:cs="Arial"/>
          <w:color w:val="2F5496" w:themeColor="accent1" w:themeShade="BF"/>
        </w:rPr>
        <w:t xml:space="preserve">As Robson (1937) comments: ‘These </w:t>
      </w:r>
      <w:r w:rsidR="00EB2935" w:rsidRPr="00EB2935">
        <w:rPr>
          <w:rFonts w:ascii="Arial" w:hAnsi="Arial" w:cs="Arial"/>
          <w:color w:val="2F5496" w:themeColor="accent1" w:themeShade="BF"/>
        </w:rPr>
        <w:t>b</w:t>
      </w:r>
      <w:r w:rsidR="00C30D10" w:rsidRPr="00EB2935">
        <w:rPr>
          <w:rFonts w:ascii="Arial" w:hAnsi="Arial" w:cs="Arial"/>
          <w:color w:val="2F5496" w:themeColor="accent1" w:themeShade="BF"/>
        </w:rPr>
        <w:t>oards [</w:t>
      </w:r>
      <w:r w:rsidR="00EB2935">
        <w:rPr>
          <w:rFonts w:ascii="Arial" w:hAnsi="Arial" w:cs="Arial"/>
          <w:color w:val="2F5496" w:themeColor="accent1" w:themeShade="BF"/>
        </w:rPr>
        <w:t>like t</w:t>
      </w:r>
      <w:r w:rsidR="00C30D10" w:rsidRPr="00EB2935">
        <w:rPr>
          <w:rFonts w:ascii="Arial" w:hAnsi="Arial" w:cs="Arial"/>
          <w:color w:val="2F5496" w:themeColor="accent1" w:themeShade="BF"/>
        </w:rPr>
        <w:t>he LPTB]</w:t>
      </w:r>
      <w:r w:rsidR="00EB2935" w:rsidRPr="00EB2935">
        <w:rPr>
          <w:rFonts w:ascii="Arial" w:hAnsi="Arial" w:cs="Arial"/>
          <w:color w:val="2F5496" w:themeColor="accent1" w:themeShade="BF"/>
        </w:rPr>
        <w:t xml:space="preserve"> grew up in typically British fashion. They were not based on any clearly defined principle; they evolved in a haphazard and empirical manner.’</w:t>
      </w:r>
      <w:r w:rsidR="00C30D10">
        <w:rPr>
          <w:rFonts w:ascii="Arial" w:hAnsi="Arial" w:cs="Arial"/>
        </w:rPr>
        <w:t xml:space="preserve">  </w:t>
      </w:r>
      <w:r w:rsidR="00EB2935">
        <w:rPr>
          <w:rFonts w:ascii="Arial" w:hAnsi="Arial" w:cs="Arial"/>
        </w:rPr>
        <w:t>Therefore, a</w:t>
      </w:r>
      <w:r w:rsidR="00C673E1">
        <w:rPr>
          <w:rFonts w:ascii="Arial" w:hAnsi="Arial" w:cs="Arial"/>
        </w:rPr>
        <w:t xml:space="preserve">t section 3(1) </w:t>
      </w:r>
      <w:r>
        <w:rPr>
          <w:rFonts w:ascii="Arial" w:hAnsi="Arial" w:cs="Arial"/>
        </w:rPr>
        <w:t>London Transport was supposed to</w:t>
      </w:r>
      <w:r w:rsidR="00D45936">
        <w:rPr>
          <w:rFonts w:ascii="Arial" w:hAnsi="Arial" w:cs="Arial"/>
        </w:rPr>
        <w:t>:</w:t>
      </w:r>
      <w:r>
        <w:rPr>
          <w:rFonts w:ascii="Arial" w:hAnsi="Arial" w:cs="Arial"/>
        </w:rPr>
        <w:t xml:space="preserve"> ‘</w:t>
      </w:r>
      <w:r w:rsidR="00D45936">
        <w:rPr>
          <w:rFonts w:ascii="Arial" w:hAnsi="Arial" w:cs="Arial"/>
        </w:rPr>
        <w:t>S</w:t>
      </w:r>
      <w:r w:rsidRPr="005E0624">
        <w:rPr>
          <w:rFonts w:ascii="Arial" w:hAnsi="Arial" w:cs="Arial"/>
        </w:rPr>
        <w:t>ecure</w:t>
      </w:r>
      <w:r>
        <w:rPr>
          <w:rFonts w:ascii="Arial" w:hAnsi="Arial" w:cs="Arial"/>
        </w:rPr>
        <w:t xml:space="preserve"> </w:t>
      </w:r>
      <w:r w:rsidRPr="005E0624">
        <w:rPr>
          <w:rFonts w:ascii="Arial" w:hAnsi="Arial" w:cs="Arial"/>
        </w:rPr>
        <w:t>the provision of an adequate and properly co-ordinated</w:t>
      </w:r>
      <w:r>
        <w:rPr>
          <w:rFonts w:ascii="Arial" w:hAnsi="Arial" w:cs="Arial"/>
        </w:rPr>
        <w:t xml:space="preserve"> </w:t>
      </w:r>
      <w:r w:rsidRPr="005E0624">
        <w:rPr>
          <w:rFonts w:ascii="Arial" w:hAnsi="Arial" w:cs="Arial"/>
        </w:rPr>
        <w:t>system of passenger transport</w:t>
      </w:r>
      <w:r w:rsidR="00D45936">
        <w:rPr>
          <w:rFonts w:ascii="Arial" w:hAnsi="Arial" w:cs="Arial"/>
        </w:rPr>
        <w:t>…</w:t>
      </w:r>
      <w:r w:rsidRPr="005E0624">
        <w:rPr>
          <w:rFonts w:ascii="Arial" w:hAnsi="Arial" w:cs="Arial"/>
        </w:rPr>
        <w:t xml:space="preserve"> </w:t>
      </w:r>
      <w:r w:rsidR="00D45936">
        <w:rPr>
          <w:rFonts w:ascii="Arial" w:hAnsi="Arial" w:cs="Arial"/>
        </w:rPr>
        <w:t>[and]</w:t>
      </w:r>
      <w:r w:rsidRPr="005E0624">
        <w:rPr>
          <w:rFonts w:ascii="Arial" w:hAnsi="Arial" w:cs="Arial"/>
        </w:rPr>
        <w:t xml:space="preserve"> extend</w:t>
      </w:r>
      <w:r>
        <w:rPr>
          <w:rFonts w:ascii="Arial" w:hAnsi="Arial" w:cs="Arial"/>
        </w:rPr>
        <w:t xml:space="preserve"> </w:t>
      </w:r>
      <w:r w:rsidRPr="005E0624">
        <w:rPr>
          <w:rFonts w:ascii="Arial" w:hAnsi="Arial" w:cs="Arial"/>
        </w:rPr>
        <w:t>and improv</w:t>
      </w:r>
      <w:r w:rsidR="00D45936">
        <w:rPr>
          <w:rFonts w:ascii="Arial" w:hAnsi="Arial" w:cs="Arial"/>
        </w:rPr>
        <w:t>e</w:t>
      </w:r>
      <w:r w:rsidRPr="005E0624">
        <w:rPr>
          <w:rFonts w:ascii="Arial" w:hAnsi="Arial" w:cs="Arial"/>
        </w:rPr>
        <w:t xml:space="preserve"> the facilities</w:t>
      </w:r>
      <w:r w:rsidR="00D45936">
        <w:rPr>
          <w:rFonts w:ascii="Arial" w:hAnsi="Arial" w:cs="Arial"/>
        </w:rPr>
        <w:t>’</w:t>
      </w:r>
      <w:r w:rsidR="008326DD">
        <w:rPr>
          <w:rFonts w:ascii="Arial" w:hAnsi="Arial" w:cs="Arial"/>
        </w:rPr>
        <w:t>,</w:t>
      </w:r>
      <w:r w:rsidR="00D45936">
        <w:rPr>
          <w:rFonts w:ascii="Arial" w:hAnsi="Arial" w:cs="Arial"/>
        </w:rPr>
        <w:t xml:space="preserve"> </w:t>
      </w:r>
      <w:r w:rsidR="008326DD">
        <w:rPr>
          <w:rFonts w:ascii="Arial" w:hAnsi="Arial" w:cs="Arial"/>
        </w:rPr>
        <w:t>while a</w:t>
      </w:r>
      <w:r w:rsidR="00C673E1">
        <w:rPr>
          <w:rFonts w:ascii="Arial" w:hAnsi="Arial" w:cs="Arial"/>
        </w:rPr>
        <w:t>t section 3(4) i</w:t>
      </w:r>
      <w:r w:rsidR="00D45936">
        <w:rPr>
          <w:rFonts w:ascii="Arial" w:hAnsi="Arial" w:cs="Arial"/>
        </w:rPr>
        <w:t>t was also supposed to: ‘C</w:t>
      </w:r>
      <w:r w:rsidR="00D45936" w:rsidRPr="00A258C5">
        <w:rPr>
          <w:rFonts w:ascii="Arial" w:hAnsi="Arial" w:cs="Arial"/>
        </w:rPr>
        <w:t>onduct</w:t>
      </w:r>
      <w:r w:rsidR="00D45936">
        <w:rPr>
          <w:rFonts w:ascii="Arial" w:hAnsi="Arial" w:cs="Arial"/>
        </w:rPr>
        <w:t xml:space="preserve"> </w:t>
      </w:r>
      <w:r w:rsidR="0084047D">
        <w:rPr>
          <w:rFonts w:ascii="Arial" w:hAnsi="Arial" w:cs="Arial"/>
        </w:rPr>
        <w:t>[</w:t>
      </w:r>
      <w:r w:rsidR="00D45936" w:rsidRPr="00A258C5">
        <w:rPr>
          <w:rFonts w:ascii="Arial" w:hAnsi="Arial" w:cs="Arial"/>
        </w:rPr>
        <w:t>the</w:t>
      </w:r>
      <w:r w:rsidR="0084047D">
        <w:rPr>
          <w:rFonts w:ascii="Arial" w:hAnsi="Arial" w:cs="Arial"/>
        </w:rPr>
        <w:t>]</w:t>
      </w:r>
      <w:r w:rsidR="00D45936" w:rsidRPr="00A258C5">
        <w:rPr>
          <w:rFonts w:ascii="Arial" w:hAnsi="Arial" w:cs="Arial"/>
        </w:rPr>
        <w:t xml:space="preserve"> undertaking in such manner, and to fix such</w:t>
      </w:r>
      <w:r w:rsidR="00D45936">
        <w:rPr>
          <w:rFonts w:ascii="Arial" w:hAnsi="Arial" w:cs="Arial"/>
        </w:rPr>
        <w:t xml:space="preserve"> </w:t>
      </w:r>
      <w:r w:rsidR="00D45936" w:rsidRPr="00A258C5">
        <w:rPr>
          <w:rFonts w:ascii="Arial" w:hAnsi="Arial" w:cs="Arial"/>
        </w:rPr>
        <w:t>fares and charg</w:t>
      </w:r>
      <w:r w:rsidR="00D45936">
        <w:rPr>
          <w:rFonts w:ascii="Arial" w:hAnsi="Arial" w:cs="Arial"/>
        </w:rPr>
        <w:t xml:space="preserve">es </w:t>
      </w:r>
      <w:r w:rsidR="00D45936" w:rsidRPr="00A258C5">
        <w:rPr>
          <w:rFonts w:ascii="Arial" w:hAnsi="Arial" w:cs="Arial"/>
        </w:rPr>
        <w:t>as to secure that their revenues shall be</w:t>
      </w:r>
      <w:r w:rsidR="00D45936">
        <w:rPr>
          <w:rFonts w:ascii="Arial" w:hAnsi="Arial" w:cs="Arial"/>
        </w:rPr>
        <w:t xml:space="preserve"> </w:t>
      </w:r>
      <w:r w:rsidR="00D45936" w:rsidRPr="00A258C5">
        <w:rPr>
          <w:rFonts w:ascii="Arial" w:hAnsi="Arial" w:cs="Arial"/>
        </w:rPr>
        <w:t>sufficient to defray all charges</w:t>
      </w:r>
      <w:r w:rsidR="00D45936">
        <w:rPr>
          <w:rFonts w:ascii="Arial" w:hAnsi="Arial" w:cs="Arial"/>
        </w:rPr>
        <w:t>.’</w:t>
      </w:r>
      <w:r w:rsidR="0084047D">
        <w:rPr>
          <w:rFonts w:ascii="Arial" w:hAnsi="Arial" w:cs="Arial"/>
        </w:rPr>
        <w:t xml:space="preserve"> This wording indicates a balance between profit and community good as the basis for </w:t>
      </w:r>
      <w:r w:rsidR="00461B03">
        <w:rPr>
          <w:rFonts w:ascii="Arial" w:hAnsi="Arial" w:cs="Arial"/>
        </w:rPr>
        <w:t xml:space="preserve">the organisation’s </w:t>
      </w:r>
      <w:r w:rsidR="0084047D">
        <w:rPr>
          <w:rFonts w:ascii="Arial" w:hAnsi="Arial" w:cs="Arial"/>
        </w:rPr>
        <w:t>strategy and suggests an equal blending of state and market logics in the t</w:t>
      </w:r>
      <w:r w:rsidR="0084047D" w:rsidRPr="0084047D">
        <w:rPr>
          <w:rFonts w:ascii="Arial" w:hAnsi="Arial" w:cs="Arial"/>
        </w:rPr>
        <w:t xml:space="preserve">ypology of </w:t>
      </w:r>
      <w:r w:rsidR="0084047D">
        <w:rPr>
          <w:rFonts w:ascii="Arial" w:hAnsi="Arial" w:cs="Arial"/>
        </w:rPr>
        <w:t>c</w:t>
      </w:r>
      <w:r w:rsidR="0084047D" w:rsidRPr="0084047D">
        <w:rPr>
          <w:rFonts w:ascii="Arial" w:hAnsi="Arial" w:cs="Arial"/>
        </w:rPr>
        <w:t xml:space="preserve">hange in </w:t>
      </w:r>
      <w:r w:rsidR="0084047D">
        <w:rPr>
          <w:rFonts w:ascii="Arial" w:hAnsi="Arial" w:cs="Arial"/>
        </w:rPr>
        <w:t>f</w:t>
      </w:r>
      <w:r w:rsidR="0084047D" w:rsidRPr="0084047D">
        <w:rPr>
          <w:rFonts w:ascii="Arial" w:hAnsi="Arial" w:cs="Arial"/>
        </w:rPr>
        <w:t>ield-</w:t>
      </w:r>
      <w:r w:rsidR="0084047D">
        <w:rPr>
          <w:rFonts w:ascii="Arial" w:hAnsi="Arial" w:cs="Arial"/>
        </w:rPr>
        <w:t>l</w:t>
      </w:r>
      <w:r w:rsidR="0084047D" w:rsidRPr="0084047D">
        <w:rPr>
          <w:rFonts w:ascii="Arial" w:hAnsi="Arial" w:cs="Arial"/>
        </w:rPr>
        <w:t xml:space="preserve">evel </w:t>
      </w:r>
      <w:r w:rsidR="0084047D">
        <w:rPr>
          <w:rFonts w:ascii="Arial" w:hAnsi="Arial" w:cs="Arial"/>
        </w:rPr>
        <w:t>i</w:t>
      </w:r>
      <w:r w:rsidR="0084047D" w:rsidRPr="0084047D">
        <w:rPr>
          <w:rFonts w:ascii="Arial" w:hAnsi="Arial" w:cs="Arial"/>
        </w:rPr>
        <w:t xml:space="preserve">nstitutional </w:t>
      </w:r>
      <w:r w:rsidR="0084047D">
        <w:rPr>
          <w:rFonts w:ascii="Arial" w:hAnsi="Arial" w:cs="Arial"/>
        </w:rPr>
        <w:t>l</w:t>
      </w:r>
      <w:r w:rsidR="0084047D" w:rsidRPr="0084047D">
        <w:rPr>
          <w:rFonts w:ascii="Arial" w:hAnsi="Arial" w:cs="Arial"/>
        </w:rPr>
        <w:t>ogic</w:t>
      </w:r>
      <w:r w:rsidR="0084047D">
        <w:rPr>
          <w:rFonts w:ascii="Arial" w:hAnsi="Arial" w:cs="Arial"/>
        </w:rPr>
        <w:t>.</w:t>
      </w:r>
    </w:p>
    <w:p w14:paraId="617FE383" w14:textId="77777777" w:rsidR="00F44900" w:rsidRDefault="0084047D" w:rsidP="00F44900">
      <w:pPr>
        <w:spacing w:after="0" w:line="480" w:lineRule="auto"/>
        <w:ind w:firstLine="720"/>
        <w:rPr>
          <w:rFonts w:ascii="Arial" w:hAnsi="Arial" w:cs="Arial"/>
        </w:rPr>
      </w:pPr>
      <w:r>
        <w:rPr>
          <w:rFonts w:ascii="Arial" w:hAnsi="Arial" w:cs="Arial"/>
        </w:rPr>
        <w:t xml:space="preserve">However, we now argue that the remainder of the statute and the actual practices of the organisation show a distinct tilt towards market logic. We suggest that change in London’s transport </w:t>
      </w:r>
      <w:r w:rsidR="00461B03">
        <w:rPr>
          <w:rFonts w:ascii="Arial" w:hAnsi="Arial" w:cs="Arial"/>
        </w:rPr>
        <w:t xml:space="preserve">logics </w:t>
      </w:r>
      <w:r>
        <w:rPr>
          <w:rFonts w:ascii="Arial" w:hAnsi="Arial" w:cs="Arial"/>
        </w:rPr>
        <w:t>was more developmental than transformational</w:t>
      </w:r>
      <w:r w:rsidR="00461B03">
        <w:rPr>
          <w:rFonts w:ascii="Arial" w:hAnsi="Arial" w:cs="Arial"/>
        </w:rPr>
        <w:t>. H</w:t>
      </w:r>
      <w:r>
        <w:rPr>
          <w:rFonts w:ascii="Arial" w:hAnsi="Arial" w:cs="Arial"/>
        </w:rPr>
        <w:t xml:space="preserve">ybridisation allowed the assimilation of </w:t>
      </w:r>
      <w:r w:rsidR="00943C86">
        <w:rPr>
          <w:rFonts w:ascii="Arial" w:hAnsi="Arial" w:cs="Arial"/>
        </w:rPr>
        <w:t xml:space="preserve">some of </w:t>
      </w:r>
      <w:r>
        <w:rPr>
          <w:rFonts w:ascii="Arial" w:hAnsi="Arial" w:cs="Arial"/>
        </w:rPr>
        <w:t>the outward dimensions of state logic</w:t>
      </w:r>
      <w:r w:rsidR="00ED4D1F">
        <w:rPr>
          <w:rFonts w:ascii="Arial" w:hAnsi="Arial" w:cs="Arial"/>
        </w:rPr>
        <w:t>, but only</w:t>
      </w:r>
      <w:r w:rsidR="00943C86">
        <w:rPr>
          <w:rFonts w:ascii="Arial" w:hAnsi="Arial" w:cs="Arial"/>
        </w:rPr>
        <w:t xml:space="preserve"> at the level of the principles of the organisation</w:t>
      </w:r>
      <w:r w:rsidR="00461B03">
        <w:rPr>
          <w:rFonts w:ascii="Arial" w:hAnsi="Arial" w:cs="Arial"/>
        </w:rPr>
        <w:t xml:space="preserve"> and </w:t>
      </w:r>
      <w:r w:rsidR="001D0542">
        <w:rPr>
          <w:rFonts w:ascii="Arial" w:hAnsi="Arial" w:cs="Arial"/>
        </w:rPr>
        <w:t>not conclusively</w:t>
      </w:r>
      <w:r w:rsidR="00943C86">
        <w:rPr>
          <w:rFonts w:ascii="Arial" w:hAnsi="Arial" w:cs="Arial"/>
        </w:rPr>
        <w:t>.</w:t>
      </w:r>
      <w:r w:rsidR="009325F4">
        <w:rPr>
          <w:rFonts w:ascii="Arial" w:hAnsi="Arial" w:cs="Arial"/>
        </w:rPr>
        <w:t xml:space="preserve"> At the level of practices and symbols, the market order remained dominant. There was little or no progress </w:t>
      </w:r>
      <w:r w:rsidR="00461B03">
        <w:rPr>
          <w:rFonts w:ascii="Arial" w:hAnsi="Arial" w:cs="Arial"/>
        </w:rPr>
        <w:t xml:space="preserve">at all </w:t>
      </w:r>
      <w:r w:rsidR="009325F4">
        <w:rPr>
          <w:rFonts w:ascii="Arial" w:hAnsi="Arial" w:cs="Arial"/>
        </w:rPr>
        <w:t>towards democratic participation</w:t>
      </w:r>
      <w:r w:rsidR="00461B03">
        <w:rPr>
          <w:rFonts w:ascii="Arial" w:hAnsi="Arial" w:cs="Arial"/>
        </w:rPr>
        <w:t xml:space="preserve"> and passengers remained consumers rather than citizens</w:t>
      </w:r>
      <w:r w:rsidR="009325F4">
        <w:rPr>
          <w:rFonts w:ascii="Arial" w:hAnsi="Arial" w:cs="Arial"/>
        </w:rPr>
        <w:t>.</w:t>
      </w:r>
      <w:r w:rsidR="00943C86">
        <w:rPr>
          <w:rFonts w:ascii="Arial" w:hAnsi="Arial" w:cs="Arial"/>
        </w:rPr>
        <w:t xml:space="preserve"> </w:t>
      </w:r>
      <w:r w:rsidR="00EF42CB">
        <w:rPr>
          <w:rFonts w:ascii="Arial" w:hAnsi="Arial" w:cs="Arial"/>
        </w:rPr>
        <w:t>T</w:t>
      </w:r>
      <w:r w:rsidR="004B032E">
        <w:rPr>
          <w:rFonts w:ascii="Arial" w:hAnsi="Arial" w:cs="Arial"/>
        </w:rPr>
        <w:t xml:space="preserve">he statute </w:t>
      </w:r>
      <w:r w:rsidR="00EF42CB">
        <w:rPr>
          <w:rFonts w:ascii="Arial" w:hAnsi="Arial" w:cs="Arial"/>
        </w:rPr>
        <w:t>unified London Transport as an</w:t>
      </w:r>
      <w:r w:rsidR="004B032E">
        <w:rPr>
          <w:rFonts w:ascii="Arial" w:hAnsi="Arial" w:cs="Arial"/>
        </w:rPr>
        <w:t xml:space="preserve"> organisation emphasis</w:t>
      </w:r>
      <w:r w:rsidR="00EF42CB">
        <w:rPr>
          <w:rFonts w:ascii="Arial" w:hAnsi="Arial" w:cs="Arial"/>
        </w:rPr>
        <w:t>ing</w:t>
      </w:r>
      <w:r w:rsidR="004B032E">
        <w:rPr>
          <w:rFonts w:ascii="Arial" w:hAnsi="Arial" w:cs="Arial"/>
        </w:rPr>
        <w:t xml:space="preserve"> the insularity of the Board of Directors</w:t>
      </w:r>
      <w:r w:rsidR="00EF42CB">
        <w:rPr>
          <w:rFonts w:ascii="Arial" w:hAnsi="Arial" w:cs="Arial"/>
        </w:rPr>
        <w:t xml:space="preserve"> from democratic control</w:t>
      </w:r>
      <w:r w:rsidR="004B032E">
        <w:rPr>
          <w:rFonts w:ascii="Arial" w:hAnsi="Arial" w:cs="Arial"/>
        </w:rPr>
        <w:t xml:space="preserve">. </w:t>
      </w:r>
      <w:r w:rsidR="00C673E1">
        <w:rPr>
          <w:rFonts w:ascii="Arial" w:hAnsi="Arial" w:cs="Arial"/>
        </w:rPr>
        <w:t>Section 1(1) and (4) shows that t</w:t>
      </w:r>
      <w:r w:rsidR="004B032E">
        <w:rPr>
          <w:rFonts w:ascii="Arial" w:hAnsi="Arial" w:cs="Arial"/>
        </w:rPr>
        <w:t xml:space="preserve">hey were selected to serve for up to seven years by a group of five trustees. </w:t>
      </w:r>
      <w:r w:rsidR="00EF42CB">
        <w:rPr>
          <w:rFonts w:ascii="Arial" w:hAnsi="Arial" w:cs="Arial"/>
        </w:rPr>
        <w:t xml:space="preserve">The majority of the trustees were not subject to public </w:t>
      </w:r>
      <w:r w:rsidR="001F5A50">
        <w:rPr>
          <w:rFonts w:ascii="Arial" w:hAnsi="Arial" w:cs="Arial"/>
        </w:rPr>
        <w:t>scrutiny</w:t>
      </w:r>
      <w:r w:rsidR="00EF42CB">
        <w:rPr>
          <w:rFonts w:ascii="Arial" w:hAnsi="Arial" w:cs="Arial"/>
        </w:rPr>
        <w:t xml:space="preserve">. </w:t>
      </w:r>
    </w:p>
    <w:p w14:paraId="1E2EEBFF" w14:textId="3AE23B67" w:rsidR="00F44900" w:rsidRDefault="004B032E" w:rsidP="00F44900">
      <w:pPr>
        <w:spacing w:after="0" w:line="480" w:lineRule="auto"/>
        <w:ind w:firstLine="720"/>
        <w:rPr>
          <w:rFonts w:ascii="Arial" w:hAnsi="Arial" w:cs="Arial"/>
        </w:rPr>
      </w:pPr>
      <w:r>
        <w:rPr>
          <w:rFonts w:ascii="Arial" w:hAnsi="Arial" w:cs="Arial"/>
        </w:rPr>
        <w:t>Two of the</w:t>
      </w:r>
      <w:r w:rsidR="00EF42CB">
        <w:rPr>
          <w:rFonts w:ascii="Arial" w:hAnsi="Arial" w:cs="Arial"/>
        </w:rPr>
        <w:t>m</w:t>
      </w:r>
      <w:r w:rsidR="00C673E1">
        <w:rPr>
          <w:rFonts w:ascii="Arial" w:hAnsi="Arial" w:cs="Arial"/>
        </w:rPr>
        <w:t xml:space="preserve"> </w:t>
      </w:r>
      <w:proofErr w:type="gramStart"/>
      <w:r>
        <w:rPr>
          <w:rFonts w:ascii="Arial" w:hAnsi="Arial" w:cs="Arial"/>
        </w:rPr>
        <w:t>were drawn</w:t>
      </w:r>
      <w:proofErr w:type="gramEnd"/>
      <w:r>
        <w:rPr>
          <w:rFonts w:ascii="Arial" w:hAnsi="Arial" w:cs="Arial"/>
        </w:rPr>
        <w:t xml:space="preserve"> from financial professions, one from a legal background and two from local government</w:t>
      </w:r>
      <w:r w:rsidR="001F5A50">
        <w:rPr>
          <w:rFonts w:ascii="Arial" w:hAnsi="Arial" w:cs="Arial"/>
        </w:rPr>
        <w:t>. Furthermore, i</w:t>
      </w:r>
      <w:r w:rsidR="009325F4">
        <w:rPr>
          <w:rFonts w:ascii="Arial" w:hAnsi="Arial" w:cs="Arial"/>
        </w:rPr>
        <w:t>n terms of actual practice</w:t>
      </w:r>
      <w:r w:rsidR="00461B03">
        <w:rPr>
          <w:rFonts w:ascii="Arial" w:hAnsi="Arial" w:cs="Arial"/>
        </w:rPr>
        <w:t xml:space="preserve"> the </w:t>
      </w:r>
      <w:r w:rsidR="00976FDD">
        <w:rPr>
          <w:rFonts w:ascii="Arial" w:hAnsi="Arial" w:cs="Arial"/>
        </w:rPr>
        <w:t xml:space="preserve">Board’s composition and expertise was </w:t>
      </w:r>
      <w:r w:rsidR="001F5A50">
        <w:rPr>
          <w:rFonts w:ascii="Arial" w:hAnsi="Arial" w:cs="Arial"/>
        </w:rPr>
        <w:t>additionally weighted towards the market</w:t>
      </w:r>
      <w:r w:rsidR="00976FDD">
        <w:rPr>
          <w:rFonts w:ascii="Arial" w:hAnsi="Arial" w:cs="Arial"/>
        </w:rPr>
        <w:t xml:space="preserve">. </w:t>
      </w:r>
      <w:r w:rsidR="001F5A50">
        <w:rPr>
          <w:rFonts w:ascii="Arial" w:hAnsi="Arial" w:cs="Arial"/>
        </w:rPr>
        <w:t>By far the most influential figures on the Board were the</w:t>
      </w:r>
      <w:r w:rsidR="00976FDD">
        <w:rPr>
          <w:rFonts w:ascii="Arial" w:hAnsi="Arial" w:cs="Arial"/>
        </w:rPr>
        <w:t xml:space="preserve"> chairman and vice-chairman</w:t>
      </w:r>
      <w:r w:rsidR="001F5A50">
        <w:rPr>
          <w:rFonts w:ascii="Arial" w:hAnsi="Arial" w:cs="Arial"/>
        </w:rPr>
        <w:t xml:space="preserve"> who</w:t>
      </w:r>
      <w:r w:rsidR="00976FDD">
        <w:rPr>
          <w:rFonts w:ascii="Arial" w:hAnsi="Arial" w:cs="Arial"/>
        </w:rPr>
        <w:t xml:space="preserve"> were both drawn from the privately owned UERL. </w:t>
      </w:r>
      <w:r w:rsidR="001F5A50">
        <w:rPr>
          <w:rFonts w:ascii="Arial" w:hAnsi="Arial" w:cs="Arial"/>
        </w:rPr>
        <w:t>Collectively they served for 21 years. Alongside the chairman, t</w:t>
      </w:r>
      <w:r w:rsidR="00976FDD">
        <w:rPr>
          <w:rFonts w:ascii="Arial" w:hAnsi="Arial" w:cs="Arial"/>
        </w:rPr>
        <w:t xml:space="preserve">he only other members who served for the entire </w:t>
      </w:r>
      <w:r w:rsidR="001F5A50">
        <w:rPr>
          <w:rFonts w:ascii="Arial" w:hAnsi="Arial" w:cs="Arial"/>
        </w:rPr>
        <w:t xml:space="preserve">14-year </w:t>
      </w:r>
      <w:r w:rsidR="00976FDD">
        <w:rPr>
          <w:rFonts w:ascii="Arial" w:hAnsi="Arial" w:cs="Arial"/>
        </w:rPr>
        <w:t xml:space="preserve">duration of the Board’s existence </w:t>
      </w:r>
      <w:r w:rsidR="00976FDD">
        <w:rPr>
          <w:rFonts w:ascii="Arial" w:hAnsi="Arial" w:cs="Arial"/>
        </w:rPr>
        <w:lastRenderedPageBreak/>
        <w:t xml:space="preserve">were a director of the Bank </w:t>
      </w:r>
      <w:r w:rsidR="000C18DC">
        <w:rPr>
          <w:rFonts w:ascii="Arial" w:hAnsi="Arial" w:cs="Arial"/>
        </w:rPr>
        <w:t xml:space="preserve">of </w:t>
      </w:r>
      <w:r w:rsidR="00976FDD">
        <w:rPr>
          <w:rFonts w:ascii="Arial" w:hAnsi="Arial" w:cs="Arial"/>
        </w:rPr>
        <w:t>England and the secretary of the TGWU. The three remaining posts shuttled between a succession nine senior local government figures who were</w:t>
      </w:r>
      <w:r w:rsidR="001F5A50">
        <w:rPr>
          <w:rFonts w:ascii="Arial" w:hAnsi="Arial" w:cs="Arial"/>
        </w:rPr>
        <w:t xml:space="preserve"> democratically accountable</w:t>
      </w:r>
      <w:r w:rsidR="00976FDD">
        <w:rPr>
          <w:rFonts w:ascii="Arial" w:hAnsi="Arial" w:cs="Arial"/>
        </w:rPr>
        <w:t>, but three of whom served for no more than a year (</w:t>
      </w:r>
      <w:r w:rsidR="00C673E1">
        <w:rPr>
          <w:rFonts w:ascii="Arial" w:hAnsi="Arial" w:cs="Arial"/>
        </w:rPr>
        <w:t>LT-1011 series</w:t>
      </w:r>
      <w:r w:rsidR="00976FDD">
        <w:rPr>
          <w:rFonts w:ascii="Arial" w:hAnsi="Arial" w:cs="Arial"/>
        </w:rPr>
        <w:t>).</w:t>
      </w:r>
      <w:r w:rsidR="00C673E1">
        <w:rPr>
          <w:rFonts w:ascii="Arial" w:hAnsi="Arial" w:cs="Arial"/>
        </w:rPr>
        <w:t xml:space="preserve"> </w:t>
      </w:r>
      <w:r w:rsidR="001F5A50">
        <w:rPr>
          <w:rFonts w:ascii="Arial" w:hAnsi="Arial" w:cs="Arial"/>
        </w:rPr>
        <w:t>In practice, the Chairman and Vice-chairman</w:t>
      </w:r>
      <w:r w:rsidR="000C18DC">
        <w:rPr>
          <w:rFonts w:ascii="Arial" w:hAnsi="Arial" w:cs="Arial"/>
        </w:rPr>
        <w:t xml:space="preserve"> </w:t>
      </w:r>
      <w:r w:rsidR="000C18DC" w:rsidRPr="000C18DC">
        <w:rPr>
          <w:rFonts w:ascii="Arial" w:hAnsi="Arial" w:cs="Arial"/>
          <w:color w:val="2F5496" w:themeColor="accent1" w:themeShade="BF"/>
        </w:rPr>
        <w:t>were the only members with industry experience and therefore</w:t>
      </w:r>
      <w:r w:rsidR="001F5A50" w:rsidRPr="000C18DC">
        <w:rPr>
          <w:rFonts w:ascii="Arial" w:hAnsi="Arial" w:cs="Arial"/>
          <w:color w:val="2F5496" w:themeColor="accent1" w:themeShade="BF"/>
        </w:rPr>
        <w:t xml:space="preserve"> </w:t>
      </w:r>
      <w:r w:rsidR="001F5A50">
        <w:rPr>
          <w:rFonts w:ascii="Arial" w:hAnsi="Arial" w:cs="Arial"/>
        </w:rPr>
        <w:t>found it easy to control debate (</w:t>
      </w:r>
      <w:r w:rsidR="000C18DC" w:rsidRPr="000C18DC">
        <w:rPr>
          <w:rFonts w:ascii="Arial" w:hAnsi="Arial" w:cs="Arial"/>
          <w:color w:val="2F5496" w:themeColor="accent1" w:themeShade="BF"/>
        </w:rPr>
        <w:t>Finer, 1941</w:t>
      </w:r>
      <w:r w:rsidR="000C18DC">
        <w:rPr>
          <w:rFonts w:ascii="Arial" w:hAnsi="Arial" w:cs="Arial"/>
        </w:rPr>
        <w:t xml:space="preserve">; </w:t>
      </w:r>
      <w:r w:rsidR="001F5A50">
        <w:rPr>
          <w:rFonts w:ascii="Arial" w:hAnsi="Arial" w:cs="Arial"/>
        </w:rPr>
        <w:t xml:space="preserve">LT-1172-13), nor were the public representatives eager to press their claims. </w:t>
      </w:r>
    </w:p>
    <w:p w14:paraId="1E029049" w14:textId="1C59AC03" w:rsidR="00DE2F47" w:rsidRDefault="00C673E1" w:rsidP="00F44900">
      <w:pPr>
        <w:spacing w:after="0" w:line="480" w:lineRule="auto"/>
        <w:ind w:firstLine="720"/>
        <w:rPr>
          <w:rFonts w:ascii="Arial" w:hAnsi="Arial" w:cs="Arial"/>
        </w:rPr>
      </w:pPr>
      <w:r>
        <w:rPr>
          <w:rFonts w:ascii="Arial" w:hAnsi="Arial" w:cs="Arial"/>
        </w:rPr>
        <w:t xml:space="preserve">At section 30(1) the act allowed local authorities the power petition London Transport about services and fares. In theory, a committee met up to four times a year to discuss points raised via public bodies but by 1939 it had met on just three occasions, drawing critical comments from MPs (Fowler, 2019). Instead, London Transport </w:t>
      </w:r>
      <w:r w:rsidR="00A145E7">
        <w:rPr>
          <w:rFonts w:ascii="Arial" w:hAnsi="Arial" w:cs="Arial"/>
        </w:rPr>
        <w:t>interacted with</w:t>
      </w:r>
      <w:r>
        <w:rPr>
          <w:rFonts w:ascii="Arial" w:hAnsi="Arial" w:cs="Arial"/>
        </w:rPr>
        <w:t xml:space="preserve"> the public through carefully monitoring the press and its postbag. </w:t>
      </w:r>
      <w:r w:rsidR="00C645C4">
        <w:rPr>
          <w:rFonts w:ascii="Arial" w:hAnsi="Arial" w:cs="Arial"/>
        </w:rPr>
        <w:t xml:space="preserve">Archives show that a selection of news items was prepared weekly for the </w:t>
      </w:r>
      <w:r w:rsidR="000C18DC">
        <w:rPr>
          <w:rFonts w:ascii="Arial" w:hAnsi="Arial" w:cs="Arial"/>
        </w:rPr>
        <w:t>V</w:t>
      </w:r>
      <w:r w:rsidR="00C645C4">
        <w:rPr>
          <w:rFonts w:ascii="Arial" w:hAnsi="Arial" w:cs="Arial"/>
        </w:rPr>
        <w:t>ice chairman</w:t>
      </w:r>
      <w:r w:rsidR="00A145E7">
        <w:rPr>
          <w:rFonts w:ascii="Arial" w:hAnsi="Arial" w:cs="Arial"/>
        </w:rPr>
        <w:t>. Responding to one particular aspect of service provision in</w:t>
      </w:r>
      <w:r>
        <w:rPr>
          <w:rFonts w:ascii="Arial" w:hAnsi="Arial" w:cs="Arial"/>
        </w:rPr>
        <w:t xml:space="preserve"> 1937-38</w:t>
      </w:r>
      <w:r w:rsidR="00A145E7">
        <w:rPr>
          <w:rFonts w:ascii="Arial" w:hAnsi="Arial" w:cs="Arial"/>
        </w:rPr>
        <w:t>, the vice-chairman</w:t>
      </w:r>
      <w:r>
        <w:rPr>
          <w:rFonts w:ascii="Arial" w:hAnsi="Arial" w:cs="Arial"/>
        </w:rPr>
        <w:t xml:space="preserve"> </w:t>
      </w:r>
      <w:r w:rsidR="00C645C4">
        <w:rPr>
          <w:rFonts w:ascii="Arial" w:hAnsi="Arial" w:cs="Arial"/>
        </w:rPr>
        <w:t xml:space="preserve">wrote </w:t>
      </w:r>
      <w:r w:rsidR="00BE3F61">
        <w:rPr>
          <w:rFonts w:ascii="Arial" w:hAnsi="Arial" w:cs="Arial"/>
        </w:rPr>
        <w:t xml:space="preserve">direct </w:t>
      </w:r>
      <w:r w:rsidR="00C645C4">
        <w:rPr>
          <w:rFonts w:ascii="Arial" w:hAnsi="Arial" w:cs="Arial"/>
        </w:rPr>
        <w:t xml:space="preserve">personal replies </w:t>
      </w:r>
      <w:r>
        <w:rPr>
          <w:rFonts w:ascii="Arial" w:hAnsi="Arial" w:cs="Arial"/>
        </w:rPr>
        <w:t>to critical letters</w:t>
      </w:r>
      <w:r w:rsidR="00C645C4">
        <w:rPr>
          <w:rFonts w:ascii="Arial" w:hAnsi="Arial" w:cs="Arial"/>
        </w:rPr>
        <w:t>, all of which appeared</w:t>
      </w:r>
      <w:r>
        <w:rPr>
          <w:rFonts w:ascii="Arial" w:hAnsi="Arial" w:cs="Arial"/>
        </w:rPr>
        <w:t xml:space="preserve"> </w:t>
      </w:r>
      <w:r w:rsidR="00BE3F61">
        <w:rPr>
          <w:rFonts w:ascii="Arial" w:hAnsi="Arial" w:cs="Arial"/>
        </w:rPr>
        <w:t xml:space="preserve">as a rolling correspondence </w:t>
      </w:r>
      <w:r>
        <w:rPr>
          <w:rFonts w:ascii="Arial" w:hAnsi="Arial" w:cs="Arial"/>
        </w:rPr>
        <w:t xml:space="preserve">in </w:t>
      </w:r>
      <w:r w:rsidR="00C645C4">
        <w:rPr>
          <w:rFonts w:ascii="Arial" w:hAnsi="Arial" w:cs="Arial"/>
        </w:rPr>
        <w:t>T</w:t>
      </w:r>
      <w:r>
        <w:rPr>
          <w:rFonts w:ascii="Arial" w:hAnsi="Arial" w:cs="Arial"/>
        </w:rPr>
        <w:t>he Time</w:t>
      </w:r>
      <w:r w:rsidR="00C645C4">
        <w:rPr>
          <w:rFonts w:ascii="Arial" w:hAnsi="Arial" w:cs="Arial"/>
        </w:rPr>
        <w:t>s</w:t>
      </w:r>
      <w:r>
        <w:rPr>
          <w:rFonts w:ascii="Arial" w:hAnsi="Arial" w:cs="Arial"/>
        </w:rPr>
        <w:t xml:space="preserve"> newspaper</w:t>
      </w:r>
      <w:r w:rsidR="00C645C4">
        <w:rPr>
          <w:rFonts w:ascii="Arial" w:hAnsi="Arial" w:cs="Arial"/>
        </w:rPr>
        <w:t xml:space="preserve"> (</w:t>
      </w:r>
      <w:r w:rsidR="00A06697" w:rsidRPr="000C708F">
        <w:rPr>
          <w:rFonts w:ascii="Arial" w:hAnsi="Arial" w:cs="Arial"/>
          <w:color w:val="2F5496" w:themeColor="accent1" w:themeShade="BF"/>
        </w:rPr>
        <w:t xml:space="preserve">Croome &amp; </w:t>
      </w:r>
      <w:r w:rsidR="00C645C4" w:rsidRPr="000C708F">
        <w:rPr>
          <w:rFonts w:ascii="Arial" w:hAnsi="Arial" w:cs="Arial"/>
          <w:color w:val="2F5496" w:themeColor="accent1" w:themeShade="BF"/>
        </w:rPr>
        <w:t>Jackson, 1993</w:t>
      </w:r>
      <w:r w:rsidR="00C645C4">
        <w:rPr>
          <w:rFonts w:ascii="Arial" w:hAnsi="Arial" w:cs="Arial"/>
        </w:rPr>
        <w:t>). During the 1937 bus strike the number of individual letters supporting, criticising and remaining neutral on the issue were counted on a daily basis and reported directly to the chairman</w:t>
      </w:r>
      <w:r w:rsidR="00BE3F61">
        <w:rPr>
          <w:rFonts w:ascii="Arial" w:hAnsi="Arial" w:cs="Arial"/>
        </w:rPr>
        <w:t>. Remarkably, he found the time to make a number of personal replies</w:t>
      </w:r>
      <w:r w:rsidR="00AD03B5">
        <w:rPr>
          <w:rFonts w:ascii="Arial" w:hAnsi="Arial" w:cs="Arial"/>
        </w:rPr>
        <w:t xml:space="preserve">, </w:t>
      </w:r>
      <w:r w:rsidR="00AD03B5" w:rsidRPr="00C77A2C">
        <w:rPr>
          <w:rFonts w:ascii="Arial" w:hAnsi="Arial" w:cs="Arial"/>
          <w:color w:val="2F5496" w:themeColor="accent1" w:themeShade="BF"/>
        </w:rPr>
        <w:t>which, in a deferential society, gratified their recipients</w:t>
      </w:r>
      <w:r w:rsidR="00C645C4" w:rsidRPr="00C77A2C">
        <w:rPr>
          <w:rFonts w:ascii="Arial" w:hAnsi="Arial" w:cs="Arial"/>
          <w:color w:val="2F5496" w:themeColor="accent1" w:themeShade="BF"/>
        </w:rPr>
        <w:t xml:space="preserve"> </w:t>
      </w:r>
      <w:r w:rsidR="00C645C4">
        <w:rPr>
          <w:rFonts w:ascii="Arial" w:hAnsi="Arial" w:cs="Arial"/>
        </w:rPr>
        <w:t>(LT</w:t>
      </w:r>
      <w:r w:rsidR="009D185F">
        <w:rPr>
          <w:rFonts w:ascii="Arial" w:hAnsi="Arial" w:cs="Arial"/>
        </w:rPr>
        <w:t>-493-051-002)</w:t>
      </w:r>
      <w:r w:rsidR="00AD03B5">
        <w:rPr>
          <w:rFonts w:ascii="Arial" w:hAnsi="Arial" w:cs="Arial"/>
        </w:rPr>
        <w:t xml:space="preserve"> </w:t>
      </w:r>
      <w:r w:rsidR="00AD03B5" w:rsidRPr="00C77A2C">
        <w:rPr>
          <w:rFonts w:ascii="Arial" w:hAnsi="Arial" w:cs="Arial"/>
          <w:color w:val="2F5496" w:themeColor="accent1" w:themeShade="BF"/>
        </w:rPr>
        <w:t>and help</w:t>
      </w:r>
      <w:r w:rsidR="0086764D" w:rsidRPr="00C77A2C">
        <w:rPr>
          <w:rFonts w:ascii="Arial" w:hAnsi="Arial" w:cs="Arial"/>
          <w:color w:val="2F5496" w:themeColor="accent1" w:themeShade="BF"/>
        </w:rPr>
        <w:t>ed</w:t>
      </w:r>
      <w:r w:rsidR="00AD03B5" w:rsidRPr="00C77A2C">
        <w:rPr>
          <w:rFonts w:ascii="Arial" w:hAnsi="Arial" w:cs="Arial"/>
          <w:color w:val="2F5496" w:themeColor="accent1" w:themeShade="BF"/>
        </w:rPr>
        <w:t xml:space="preserve"> to foster Lord Ashfield’s reputation for having ‘the common touch’ </w:t>
      </w:r>
      <w:r w:rsidR="00C77A2C" w:rsidRPr="00C77A2C">
        <w:rPr>
          <w:rFonts w:ascii="Arial" w:hAnsi="Arial" w:cs="Arial"/>
          <w:color w:val="2F5496" w:themeColor="accent1" w:themeShade="BF"/>
        </w:rPr>
        <w:t>(LT42-023)</w:t>
      </w:r>
      <w:r w:rsidR="00C645C4" w:rsidRPr="00C77A2C">
        <w:rPr>
          <w:rFonts w:ascii="Arial" w:hAnsi="Arial" w:cs="Arial"/>
          <w:color w:val="2F5496" w:themeColor="accent1" w:themeShade="BF"/>
        </w:rPr>
        <w:t>.</w:t>
      </w:r>
      <w:r w:rsidR="00AD03B5" w:rsidRPr="00C77A2C">
        <w:rPr>
          <w:rFonts w:ascii="Arial" w:hAnsi="Arial" w:cs="Arial"/>
          <w:color w:val="2F5496" w:themeColor="accent1" w:themeShade="BF"/>
        </w:rPr>
        <w:t xml:space="preserve"> </w:t>
      </w:r>
      <w:r w:rsidR="00AD03B5" w:rsidRPr="00AD03B5">
        <w:rPr>
          <w:rFonts w:ascii="Arial" w:hAnsi="Arial" w:cs="Arial"/>
          <w:color w:val="2F5496" w:themeColor="accent1" w:themeShade="BF"/>
        </w:rPr>
        <w:t>Actual policy changes were rare, though small technical adjustments</w:t>
      </w:r>
      <w:r w:rsidR="00AD03B5">
        <w:rPr>
          <w:rFonts w:ascii="Arial" w:hAnsi="Arial" w:cs="Arial"/>
          <w:color w:val="2F5496" w:themeColor="accent1" w:themeShade="BF"/>
        </w:rPr>
        <w:t>, such as to individual fares,</w:t>
      </w:r>
      <w:r w:rsidR="00AD03B5" w:rsidRPr="00AD03B5">
        <w:rPr>
          <w:rFonts w:ascii="Arial" w:hAnsi="Arial" w:cs="Arial"/>
          <w:color w:val="2F5496" w:themeColor="accent1" w:themeShade="BF"/>
        </w:rPr>
        <w:t xml:space="preserve"> did occur (Croome &amp; Jackson, 1993)</w:t>
      </w:r>
      <w:r w:rsidR="00AD03B5">
        <w:rPr>
          <w:rFonts w:ascii="Arial" w:hAnsi="Arial" w:cs="Arial"/>
        </w:rPr>
        <w:t>.</w:t>
      </w:r>
      <w:r w:rsidR="00C645C4">
        <w:rPr>
          <w:rFonts w:ascii="Arial" w:hAnsi="Arial" w:cs="Arial"/>
        </w:rPr>
        <w:t xml:space="preserve"> </w:t>
      </w:r>
      <w:r w:rsidR="000478E9">
        <w:rPr>
          <w:rFonts w:ascii="Arial" w:hAnsi="Arial" w:cs="Arial"/>
        </w:rPr>
        <w:t>The archives show us that there was no effective way for passengers to affect wider policy at London Transport</w:t>
      </w:r>
      <w:r w:rsidR="00CD725C">
        <w:rPr>
          <w:rFonts w:ascii="Arial" w:hAnsi="Arial" w:cs="Arial"/>
        </w:rPr>
        <w:t xml:space="preserve"> through civic structures</w:t>
      </w:r>
      <w:r w:rsidR="000478E9">
        <w:rPr>
          <w:rFonts w:ascii="Arial" w:hAnsi="Arial" w:cs="Arial"/>
        </w:rPr>
        <w:t xml:space="preserve">, yet if they expressed a view in the form of a customer complaint </w:t>
      </w:r>
      <w:r w:rsidR="000478E9" w:rsidRPr="000C18DC">
        <w:rPr>
          <w:rFonts w:ascii="Arial" w:hAnsi="Arial" w:cs="Arial"/>
          <w:color w:val="2F5496" w:themeColor="accent1" w:themeShade="BF"/>
        </w:rPr>
        <w:t xml:space="preserve">it </w:t>
      </w:r>
      <w:r w:rsidR="000C18DC">
        <w:rPr>
          <w:rFonts w:ascii="Arial" w:hAnsi="Arial" w:cs="Arial"/>
          <w:color w:val="2F5496" w:themeColor="accent1" w:themeShade="BF"/>
        </w:rPr>
        <w:t xml:space="preserve">at least </w:t>
      </w:r>
      <w:r w:rsidR="000C18DC" w:rsidRPr="000C18DC">
        <w:rPr>
          <w:rFonts w:ascii="Arial" w:hAnsi="Arial" w:cs="Arial"/>
          <w:color w:val="2F5496" w:themeColor="accent1" w:themeShade="BF"/>
        </w:rPr>
        <w:t>merited a response</w:t>
      </w:r>
      <w:r w:rsidR="000C18DC">
        <w:rPr>
          <w:rFonts w:ascii="Arial" w:hAnsi="Arial" w:cs="Arial"/>
          <w:color w:val="2F5496" w:themeColor="accent1" w:themeShade="BF"/>
        </w:rPr>
        <w:t>, and occasionally action</w:t>
      </w:r>
      <w:r w:rsidR="000478E9">
        <w:rPr>
          <w:rFonts w:ascii="Arial" w:hAnsi="Arial" w:cs="Arial"/>
        </w:rPr>
        <w:t xml:space="preserve">. We take this as being indicative of market orientated organisation willing to engage with users as consumers but not as citizens. </w:t>
      </w:r>
    </w:p>
    <w:p w14:paraId="504C0B00" w14:textId="795B0D29" w:rsidR="009325F4" w:rsidRDefault="000478E9" w:rsidP="00F44900">
      <w:pPr>
        <w:spacing w:after="0" w:line="480" w:lineRule="auto"/>
        <w:ind w:firstLine="720"/>
        <w:rPr>
          <w:rFonts w:ascii="Arial" w:hAnsi="Arial" w:cs="Arial"/>
        </w:rPr>
      </w:pPr>
      <w:r>
        <w:rPr>
          <w:rFonts w:ascii="Arial" w:hAnsi="Arial" w:cs="Arial"/>
        </w:rPr>
        <w:t>The emasculation of local government and passengers as a result of de jure and de facto market logics left London Transport’s bondholders and Trade Union power as t</w:t>
      </w:r>
      <w:r w:rsidR="00A234BC">
        <w:rPr>
          <w:rFonts w:ascii="Arial" w:hAnsi="Arial" w:cs="Arial"/>
        </w:rPr>
        <w:t>wo</w:t>
      </w:r>
      <w:r>
        <w:rPr>
          <w:rFonts w:ascii="Arial" w:hAnsi="Arial" w:cs="Arial"/>
        </w:rPr>
        <w:t xml:space="preserve"> other potential restraints </w:t>
      </w:r>
      <w:r w:rsidR="00A234BC">
        <w:rPr>
          <w:rFonts w:ascii="Arial" w:hAnsi="Arial" w:cs="Arial"/>
        </w:rPr>
        <w:t>o</w:t>
      </w:r>
      <w:r>
        <w:rPr>
          <w:rFonts w:ascii="Arial" w:hAnsi="Arial" w:cs="Arial"/>
        </w:rPr>
        <w:t xml:space="preserve">n the Board’s autonomy. Sections 39 (1) and (14) of the Act show </w:t>
      </w:r>
      <w:r>
        <w:rPr>
          <w:rFonts w:ascii="Arial" w:hAnsi="Arial" w:cs="Arial"/>
        </w:rPr>
        <w:lastRenderedPageBreak/>
        <w:t>that London Transport could autonomously raise capital</w:t>
      </w:r>
      <w:r w:rsidR="00A234BC">
        <w:rPr>
          <w:rFonts w:ascii="Arial" w:hAnsi="Arial" w:cs="Arial"/>
        </w:rPr>
        <w:t xml:space="preserve"> by bond issues and that should it fail to satisfy the requirements of the bondholders they were empowered to call in receivers. These mechanisms were aligned to market norms of shareholder activism and measures of the organisation’s status in the market as expressed through share price and financial analysts’ forecasts. Here, clear principles and symbols of market logic were tempered in practice. London Transport did raise significant volumes capital by floating bond issues, but only with state guarantees.</w:t>
      </w:r>
      <w:r w:rsidR="00884D49">
        <w:rPr>
          <w:rFonts w:ascii="Arial" w:hAnsi="Arial" w:cs="Arial"/>
        </w:rPr>
        <w:t xml:space="preserve"> London Transport cast itself as a commercial organisation responding to the need for profits and the opinions of industry analysts, but it could not ignore its relationship with central government. However, the relationship with the state was only sporadic</w:t>
      </w:r>
      <w:r w:rsidR="00CA76E9">
        <w:rPr>
          <w:rFonts w:ascii="Arial" w:hAnsi="Arial" w:cs="Arial"/>
        </w:rPr>
        <w:t xml:space="preserve">. </w:t>
      </w:r>
      <w:r w:rsidR="00CA76E9" w:rsidRPr="00CA76E9">
        <w:rPr>
          <w:rFonts w:ascii="Arial" w:hAnsi="Arial" w:cs="Arial"/>
          <w:color w:val="2F5496" w:themeColor="accent1" w:themeShade="BF"/>
        </w:rPr>
        <w:t>This was</w:t>
      </w:r>
      <w:r w:rsidR="008326DD" w:rsidRPr="00CA76E9">
        <w:rPr>
          <w:rFonts w:ascii="Arial" w:hAnsi="Arial" w:cs="Arial"/>
          <w:color w:val="2F5496" w:themeColor="accent1" w:themeShade="BF"/>
        </w:rPr>
        <w:t xml:space="preserve"> </w:t>
      </w:r>
      <w:r w:rsidR="008326DD" w:rsidRPr="008326DD">
        <w:rPr>
          <w:rFonts w:ascii="Arial" w:hAnsi="Arial" w:cs="Arial"/>
          <w:color w:val="2F5496" w:themeColor="accent1" w:themeShade="BF"/>
        </w:rPr>
        <w:t xml:space="preserve">a market logic legacy, we argue, of </w:t>
      </w:r>
      <w:r w:rsidR="008326DD">
        <w:rPr>
          <w:rFonts w:ascii="Arial" w:hAnsi="Arial" w:cs="Arial"/>
          <w:color w:val="2F5496" w:themeColor="accent1" w:themeShade="BF"/>
        </w:rPr>
        <w:t xml:space="preserve">the </w:t>
      </w:r>
      <w:r w:rsidR="008326DD" w:rsidRPr="008326DD">
        <w:rPr>
          <w:rFonts w:ascii="Arial" w:hAnsi="Arial" w:cs="Arial"/>
          <w:color w:val="2F5496" w:themeColor="accent1" w:themeShade="BF"/>
        </w:rPr>
        <w:t>traditional antipathy to continual subventions to public services from ratepayers (Porter, 1907)</w:t>
      </w:r>
      <w:r w:rsidR="00884D49">
        <w:rPr>
          <w:rFonts w:ascii="Arial" w:hAnsi="Arial" w:cs="Arial"/>
        </w:rPr>
        <w:t xml:space="preserve">. </w:t>
      </w:r>
      <w:r w:rsidR="008326DD" w:rsidRPr="008326DD">
        <w:rPr>
          <w:rFonts w:ascii="Arial" w:hAnsi="Arial" w:cs="Arial"/>
          <w:color w:val="2F5496" w:themeColor="accent1" w:themeShade="BF"/>
        </w:rPr>
        <w:t>Therefore, the Board</w:t>
      </w:r>
      <w:r w:rsidR="00884D49" w:rsidRPr="008326DD">
        <w:rPr>
          <w:rFonts w:ascii="Arial" w:hAnsi="Arial" w:cs="Arial"/>
          <w:color w:val="2F5496" w:themeColor="accent1" w:themeShade="BF"/>
        </w:rPr>
        <w:t xml:space="preserve"> </w:t>
      </w:r>
      <w:r w:rsidR="00884D49">
        <w:rPr>
          <w:rFonts w:ascii="Arial" w:hAnsi="Arial" w:cs="Arial"/>
        </w:rPr>
        <w:t>approached the state only twice, once in 1935 for the approval of large investment programme and once again in 1939 to request an increase in fares. The money raised was strictly on the basis of a capital investment programme rather than underwriting daily operational costs,</w:t>
      </w:r>
      <w:r w:rsidR="00CE1B74">
        <w:rPr>
          <w:rFonts w:ascii="Arial" w:hAnsi="Arial" w:cs="Arial"/>
        </w:rPr>
        <w:t xml:space="preserve"> and</w:t>
      </w:r>
      <w:r w:rsidR="00884D49">
        <w:rPr>
          <w:rFonts w:ascii="Arial" w:hAnsi="Arial" w:cs="Arial"/>
        </w:rPr>
        <w:t xml:space="preserve"> there was no continu</w:t>
      </w:r>
      <w:r w:rsidR="00CE1B74">
        <w:rPr>
          <w:rFonts w:ascii="Arial" w:hAnsi="Arial" w:cs="Arial"/>
        </w:rPr>
        <w:t>ous annual</w:t>
      </w:r>
      <w:r w:rsidR="00884D49">
        <w:rPr>
          <w:rFonts w:ascii="Arial" w:hAnsi="Arial" w:cs="Arial"/>
        </w:rPr>
        <w:t xml:space="preserve"> subsidy. </w:t>
      </w:r>
      <w:r w:rsidR="00A234BC">
        <w:rPr>
          <w:rFonts w:ascii="Arial" w:hAnsi="Arial" w:cs="Arial"/>
        </w:rPr>
        <w:t xml:space="preserve">     </w:t>
      </w:r>
      <w:r>
        <w:rPr>
          <w:rFonts w:ascii="Arial" w:hAnsi="Arial" w:cs="Arial"/>
        </w:rPr>
        <w:t xml:space="preserve"> </w:t>
      </w:r>
    </w:p>
    <w:p w14:paraId="47BBC5D0" w14:textId="2A3F1244" w:rsidR="00BE3F61" w:rsidRDefault="00E56836" w:rsidP="00F44900">
      <w:pPr>
        <w:spacing w:after="0" w:line="480" w:lineRule="auto"/>
        <w:ind w:firstLine="720"/>
        <w:rPr>
          <w:rFonts w:ascii="Arial" w:hAnsi="Arial" w:cs="Arial"/>
        </w:rPr>
      </w:pPr>
      <w:r>
        <w:rPr>
          <w:rFonts w:ascii="Arial" w:hAnsi="Arial" w:cs="Arial"/>
        </w:rPr>
        <w:t xml:space="preserve">By contrast, London Transport had </w:t>
      </w:r>
      <w:r w:rsidR="00CE1B74">
        <w:rPr>
          <w:rFonts w:ascii="Arial" w:hAnsi="Arial" w:cs="Arial"/>
        </w:rPr>
        <w:t>frequent</w:t>
      </w:r>
      <w:r>
        <w:rPr>
          <w:rFonts w:ascii="Arial" w:hAnsi="Arial" w:cs="Arial"/>
        </w:rPr>
        <w:t xml:space="preserve"> contact with the major Trade Unions (LT-493-080). Note that one of three members of the Board to hold their seat </w:t>
      </w:r>
      <w:r w:rsidR="00CE1B74">
        <w:rPr>
          <w:rFonts w:ascii="Arial" w:hAnsi="Arial" w:cs="Arial"/>
        </w:rPr>
        <w:t>continuously</w:t>
      </w:r>
      <w:r>
        <w:rPr>
          <w:rFonts w:ascii="Arial" w:hAnsi="Arial" w:cs="Arial"/>
        </w:rPr>
        <w:t xml:space="preserve"> was the Trade Union member, and that the 1933 Act gives a clear mechanism by which employee negotiations c</w:t>
      </w:r>
      <w:r w:rsidR="000614A9">
        <w:rPr>
          <w:rFonts w:ascii="Arial" w:hAnsi="Arial" w:cs="Arial"/>
        </w:rPr>
        <w:t>ould</w:t>
      </w:r>
      <w:r>
        <w:rPr>
          <w:rFonts w:ascii="Arial" w:hAnsi="Arial" w:cs="Arial"/>
        </w:rPr>
        <w:t xml:space="preserve"> </w:t>
      </w:r>
      <w:proofErr w:type="gramStart"/>
      <w:r>
        <w:rPr>
          <w:rFonts w:ascii="Arial" w:hAnsi="Arial" w:cs="Arial"/>
        </w:rPr>
        <w:t>be conducted</w:t>
      </w:r>
      <w:proofErr w:type="gramEnd"/>
      <w:r w:rsidR="000614A9">
        <w:rPr>
          <w:rFonts w:ascii="Arial" w:hAnsi="Arial" w:cs="Arial"/>
        </w:rPr>
        <w:t xml:space="preserve"> at Sections 68 and 69</w:t>
      </w:r>
      <w:r w:rsidR="00D2560C">
        <w:rPr>
          <w:rFonts w:ascii="Arial" w:hAnsi="Arial" w:cs="Arial"/>
        </w:rPr>
        <w:t>.</w:t>
      </w:r>
      <w:r w:rsidR="000614A9">
        <w:rPr>
          <w:rFonts w:ascii="Arial" w:hAnsi="Arial" w:cs="Arial"/>
        </w:rPr>
        <w:t xml:space="preserve"> U</w:t>
      </w:r>
      <w:r>
        <w:rPr>
          <w:rFonts w:ascii="Arial" w:hAnsi="Arial" w:cs="Arial"/>
        </w:rPr>
        <w:t xml:space="preserve">nlike the local authority and passenger mechanisms, </w:t>
      </w:r>
      <w:r w:rsidR="000614A9">
        <w:rPr>
          <w:rFonts w:ascii="Arial" w:hAnsi="Arial" w:cs="Arial"/>
        </w:rPr>
        <w:t xml:space="preserve">it </w:t>
      </w:r>
      <w:r>
        <w:rPr>
          <w:rFonts w:ascii="Arial" w:hAnsi="Arial" w:cs="Arial"/>
        </w:rPr>
        <w:t xml:space="preserve">operated </w:t>
      </w:r>
      <w:r w:rsidR="00CE1B74">
        <w:rPr>
          <w:rFonts w:ascii="Arial" w:hAnsi="Arial" w:cs="Arial"/>
        </w:rPr>
        <w:t>regularly</w:t>
      </w:r>
      <w:r w:rsidR="000614A9">
        <w:rPr>
          <w:rFonts w:ascii="Arial" w:hAnsi="Arial" w:cs="Arial"/>
        </w:rPr>
        <w:t xml:space="preserve"> (Clegg, 1950, </w:t>
      </w:r>
      <w:proofErr w:type="spellStart"/>
      <w:r w:rsidR="000614A9">
        <w:rPr>
          <w:rFonts w:ascii="Arial" w:hAnsi="Arial" w:cs="Arial"/>
        </w:rPr>
        <w:t>Eady</w:t>
      </w:r>
      <w:proofErr w:type="spellEnd"/>
      <w:r w:rsidR="000614A9">
        <w:rPr>
          <w:rFonts w:ascii="Arial" w:hAnsi="Arial" w:cs="Arial"/>
        </w:rPr>
        <w:t>, 2016)</w:t>
      </w:r>
      <w:r>
        <w:rPr>
          <w:rFonts w:ascii="Arial" w:hAnsi="Arial" w:cs="Arial"/>
        </w:rPr>
        <w:t>.</w:t>
      </w:r>
      <w:r w:rsidR="000614A9">
        <w:rPr>
          <w:rFonts w:ascii="Arial" w:hAnsi="Arial" w:cs="Arial"/>
        </w:rPr>
        <w:t xml:space="preserve"> The close integration of Trade Unions into the fabric of London Transport’s structures and decision-making processes would seem to make an argument for the influence of state related institutional logic related to the integration of communities and interest groups into organisational practices outside the narrow sense of market transactions. However, we argue that this misunderstands the nature of British Trade Unionism. </w:t>
      </w:r>
      <w:r w:rsidR="00F9368F">
        <w:rPr>
          <w:rFonts w:ascii="Arial" w:hAnsi="Arial" w:cs="Arial"/>
        </w:rPr>
        <w:t xml:space="preserve">Although Trade Unions often invoked statist symbols like nationalisation, they always resisted integration into the state and successfully fought to retain free collective bargaining as independent organisations (Egerton, 2018; Greaves, 2005; Marquand, 2008; </w:t>
      </w:r>
      <w:proofErr w:type="spellStart"/>
      <w:r w:rsidR="00F9368F">
        <w:rPr>
          <w:rFonts w:ascii="Arial" w:hAnsi="Arial" w:cs="Arial"/>
        </w:rPr>
        <w:t>Middlemas</w:t>
      </w:r>
      <w:proofErr w:type="spellEnd"/>
      <w:r w:rsidR="00F9368F">
        <w:rPr>
          <w:rFonts w:ascii="Arial" w:hAnsi="Arial" w:cs="Arial"/>
        </w:rPr>
        <w:t xml:space="preserve">, 1979; Millward </w:t>
      </w:r>
      <w:r w:rsidR="00F9368F">
        <w:rPr>
          <w:rFonts w:ascii="Arial" w:hAnsi="Arial" w:cs="Arial"/>
        </w:rPr>
        <w:lastRenderedPageBreak/>
        <w:t>&amp; Singleton, 1995).</w:t>
      </w:r>
      <w:r w:rsidR="000614A9">
        <w:rPr>
          <w:rFonts w:ascii="Arial" w:hAnsi="Arial" w:cs="Arial"/>
        </w:rPr>
        <w:t xml:space="preserve"> </w:t>
      </w:r>
      <w:r w:rsidR="00160E86">
        <w:rPr>
          <w:rFonts w:ascii="Arial" w:hAnsi="Arial" w:cs="Arial"/>
        </w:rPr>
        <w:t>Thus John Cliff</w:t>
      </w:r>
      <w:r w:rsidR="00CE1B74">
        <w:rPr>
          <w:rFonts w:ascii="Arial" w:hAnsi="Arial" w:cs="Arial"/>
        </w:rPr>
        <w:t>,</w:t>
      </w:r>
      <w:r w:rsidR="00160E86">
        <w:rPr>
          <w:rFonts w:ascii="Arial" w:hAnsi="Arial" w:cs="Arial"/>
        </w:rPr>
        <w:t xml:space="preserve"> the TGWU London Transport Board Member, </w:t>
      </w:r>
      <w:r w:rsidR="00CE1B74">
        <w:rPr>
          <w:rFonts w:ascii="Arial" w:hAnsi="Arial" w:cs="Arial"/>
        </w:rPr>
        <w:t>should be understood as</w:t>
      </w:r>
      <w:r w:rsidR="00160E86">
        <w:rPr>
          <w:rFonts w:ascii="Arial" w:hAnsi="Arial" w:cs="Arial"/>
        </w:rPr>
        <w:t xml:space="preserve"> a representative of labour </w:t>
      </w:r>
      <w:r w:rsidR="00CE1B74">
        <w:rPr>
          <w:rFonts w:ascii="Arial" w:hAnsi="Arial" w:cs="Arial"/>
        </w:rPr>
        <w:t xml:space="preserve">as an interest group </w:t>
      </w:r>
      <w:r w:rsidR="00160E86">
        <w:rPr>
          <w:rFonts w:ascii="Arial" w:hAnsi="Arial" w:cs="Arial"/>
        </w:rPr>
        <w:t>in the context of competitive marketplace. This tendency for Trade Unions to see themselves as organisations which bargain</w:t>
      </w:r>
      <w:r w:rsidR="00965CA8">
        <w:rPr>
          <w:rFonts w:ascii="Arial" w:hAnsi="Arial" w:cs="Arial"/>
        </w:rPr>
        <w:t>ed</w:t>
      </w:r>
      <w:r w:rsidR="00160E86">
        <w:rPr>
          <w:rFonts w:ascii="Arial" w:hAnsi="Arial" w:cs="Arial"/>
        </w:rPr>
        <w:t xml:space="preserve"> for the best deal for their members borrow</w:t>
      </w:r>
      <w:r w:rsidR="00965CA8">
        <w:rPr>
          <w:rFonts w:ascii="Arial" w:hAnsi="Arial" w:cs="Arial"/>
        </w:rPr>
        <w:t>ed</w:t>
      </w:r>
      <w:r w:rsidR="00160E86">
        <w:rPr>
          <w:rFonts w:ascii="Arial" w:hAnsi="Arial" w:cs="Arial"/>
        </w:rPr>
        <w:t xml:space="preserve"> heavily from market logics. </w:t>
      </w:r>
      <w:r w:rsidR="00965CA8">
        <w:rPr>
          <w:rFonts w:ascii="Arial" w:hAnsi="Arial" w:cs="Arial"/>
        </w:rPr>
        <w:t>The sense of employment as an openly negotiable and individualised transaction</w:t>
      </w:r>
      <w:r w:rsidR="00160E86">
        <w:rPr>
          <w:rFonts w:ascii="Arial" w:hAnsi="Arial" w:cs="Arial"/>
        </w:rPr>
        <w:t xml:space="preserve"> was reinforced in London Transport </w:t>
      </w:r>
      <w:r w:rsidR="00160E86" w:rsidRPr="00CA76E9">
        <w:rPr>
          <w:rFonts w:ascii="Arial" w:hAnsi="Arial" w:cs="Arial"/>
          <w:color w:val="2F5496" w:themeColor="accent1" w:themeShade="BF"/>
        </w:rPr>
        <w:t>by</w:t>
      </w:r>
      <w:r w:rsidR="00CA76E9" w:rsidRPr="00CA76E9">
        <w:rPr>
          <w:rFonts w:ascii="Arial" w:hAnsi="Arial" w:cs="Arial"/>
          <w:color w:val="2F5496" w:themeColor="accent1" w:themeShade="BF"/>
        </w:rPr>
        <w:t xml:space="preserve"> professional demarcation and</w:t>
      </w:r>
      <w:r w:rsidR="00160E86" w:rsidRPr="00CA76E9">
        <w:rPr>
          <w:rFonts w:ascii="Arial" w:hAnsi="Arial" w:cs="Arial"/>
          <w:color w:val="2F5496" w:themeColor="accent1" w:themeShade="BF"/>
        </w:rPr>
        <w:t xml:space="preserve"> </w:t>
      </w:r>
      <w:r w:rsidR="00160E86">
        <w:rPr>
          <w:rFonts w:ascii="Arial" w:hAnsi="Arial" w:cs="Arial"/>
        </w:rPr>
        <w:t xml:space="preserve">the threat of </w:t>
      </w:r>
      <w:r w:rsidR="00965CA8">
        <w:rPr>
          <w:rFonts w:ascii="Arial" w:hAnsi="Arial" w:cs="Arial"/>
        </w:rPr>
        <w:t xml:space="preserve">small </w:t>
      </w:r>
      <w:r w:rsidR="00160E86">
        <w:rPr>
          <w:rFonts w:ascii="Arial" w:hAnsi="Arial" w:cs="Arial"/>
        </w:rPr>
        <w:t>breakaway Unions offering better terms for their members than parent organisations, such as the National Passenger Workers Union</w:t>
      </w:r>
      <w:r w:rsidR="00965CA8">
        <w:rPr>
          <w:rFonts w:ascii="Arial" w:hAnsi="Arial" w:cs="Arial"/>
        </w:rPr>
        <w:t>, and the continual refusal of many road transport staff to join a Union at all (LT-493-047)</w:t>
      </w:r>
      <w:r w:rsidR="00160E86">
        <w:rPr>
          <w:rFonts w:ascii="Arial" w:hAnsi="Arial" w:cs="Arial"/>
        </w:rPr>
        <w:t xml:space="preserve">.  </w:t>
      </w:r>
      <w:r>
        <w:rPr>
          <w:rFonts w:ascii="Arial" w:hAnsi="Arial" w:cs="Arial"/>
        </w:rPr>
        <w:t xml:space="preserve"> </w:t>
      </w:r>
    </w:p>
    <w:p w14:paraId="70930B13" w14:textId="1A4276B2" w:rsidR="00167C1A" w:rsidRDefault="00796170" w:rsidP="00F44900">
      <w:pPr>
        <w:spacing w:after="0" w:line="480" w:lineRule="auto"/>
        <w:ind w:firstLine="720"/>
        <w:rPr>
          <w:rFonts w:ascii="Arial" w:hAnsi="Arial" w:cs="Arial"/>
        </w:rPr>
      </w:pPr>
      <w:r>
        <w:rPr>
          <w:rFonts w:ascii="Arial" w:hAnsi="Arial" w:cs="Arial"/>
        </w:rPr>
        <w:t>Therefore,</w:t>
      </w:r>
      <w:r w:rsidR="00965CA8">
        <w:rPr>
          <w:rFonts w:ascii="Arial" w:hAnsi="Arial" w:cs="Arial"/>
        </w:rPr>
        <w:t xml:space="preserve"> we propose </w:t>
      </w:r>
      <w:r w:rsidR="00FC5586">
        <w:rPr>
          <w:rFonts w:ascii="Arial" w:hAnsi="Arial" w:cs="Arial"/>
        </w:rPr>
        <w:t xml:space="preserve">that London Transport was </w:t>
      </w:r>
      <w:r w:rsidR="00965CA8">
        <w:rPr>
          <w:rFonts w:ascii="Arial" w:hAnsi="Arial" w:cs="Arial"/>
        </w:rPr>
        <w:t>a carefully constructed balance of institutional logics</w:t>
      </w:r>
      <w:r w:rsidR="00FC5586">
        <w:rPr>
          <w:rFonts w:ascii="Arial" w:hAnsi="Arial" w:cs="Arial"/>
        </w:rPr>
        <w:t xml:space="preserve">. Outwardly, it assimilated some features of state logic as principles enshrined in statute, but these were </w:t>
      </w:r>
      <w:r w:rsidR="00CE1B74">
        <w:rPr>
          <w:rFonts w:ascii="Arial" w:hAnsi="Arial" w:cs="Arial"/>
        </w:rPr>
        <w:t xml:space="preserve">more than </w:t>
      </w:r>
      <w:r w:rsidR="00FC5586">
        <w:rPr>
          <w:rFonts w:ascii="Arial" w:hAnsi="Arial" w:cs="Arial"/>
        </w:rPr>
        <w:t xml:space="preserve">balanced by clear </w:t>
      </w:r>
      <w:r w:rsidR="00CE1B74">
        <w:rPr>
          <w:rFonts w:ascii="Arial" w:hAnsi="Arial" w:cs="Arial"/>
        </w:rPr>
        <w:t>obligations</w:t>
      </w:r>
      <w:r w:rsidR="00FC5586">
        <w:rPr>
          <w:rFonts w:ascii="Arial" w:hAnsi="Arial" w:cs="Arial"/>
        </w:rPr>
        <w:t xml:space="preserve"> to market logics</w:t>
      </w:r>
      <w:r w:rsidR="00B34041">
        <w:rPr>
          <w:rFonts w:ascii="Arial" w:hAnsi="Arial" w:cs="Arial"/>
        </w:rPr>
        <w:t>, sometimes concomitantly</w:t>
      </w:r>
      <w:r w:rsidR="00FC5586">
        <w:rPr>
          <w:rFonts w:ascii="Arial" w:hAnsi="Arial" w:cs="Arial"/>
        </w:rPr>
        <w:t xml:space="preserve">. In the realm of practice, and in some important symbolic ways such as the choice of the Chairman, market logic was cleaved to. </w:t>
      </w:r>
      <w:r w:rsidR="00B34041">
        <w:rPr>
          <w:rFonts w:ascii="Arial" w:hAnsi="Arial" w:cs="Arial"/>
        </w:rPr>
        <w:t>This construction gave a nominal commitment to state logic at a time considerable social and industrial unrest whilst preserving the essential features of the market (Murray, 2010</w:t>
      </w:r>
      <w:r w:rsidR="001D0542">
        <w:rPr>
          <w:rFonts w:ascii="Arial" w:hAnsi="Arial" w:cs="Arial"/>
        </w:rPr>
        <w:t>).</w:t>
      </w:r>
    </w:p>
    <w:p w14:paraId="2EC8D124" w14:textId="77777777" w:rsidR="00F44900" w:rsidRDefault="00F44900" w:rsidP="00DD1B53">
      <w:pPr>
        <w:spacing w:after="0" w:line="480" w:lineRule="auto"/>
        <w:rPr>
          <w:rFonts w:ascii="Arial" w:hAnsi="Arial" w:cs="Arial"/>
          <w:b/>
          <w:bCs/>
        </w:rPr>
      </w:pPr>
    </w:p>
    <w:p w14:paraId="0C1FB470" w14:textId="3728AEDB" w:rsidR="000A79F9" w:rsidRPr="006973E5" w:rsidRDefault="006973E5" w:rsidP="00DD1B53">
      <w:pPr>
        <w:spacing w:after="0" w:line="480" w:lineRule="auto"/>
        <w:rPr>
          <w:rFonts w:ascii="Arial" w:hAnsi="Arial" w:cs="Arial"/>
          <w:b/>
          <w:bCs/>
        </w:rPr>
      </w:pPr>
      <w:r>
        <w:rPr>
          <w:rFonts w:ascii="Arial" w:hAnsi="Arial" w:cs="Arial"/>
          <w:b/>
          <w:bCs/>
        </w:rPr>
        <w:t>Conclusions</w:t>
      </w:r>
    </w:p>
    <w:p w14:paraId="2C9DC22C" w14:textId="4863167D" w:rsidR="00EF306C" w:rsidRDefault="00797236" w:rsidP="00650624">
      <w:pPr>
        <w:spacing w:after="0" w:line="480" w:lineRule="auto"/>
        <w:rPr>
          <w:rFonts w:ascii="Arial" w:hAnsi="Arial" w:cs="Arial"/>
        </w:rPr>
      </w:pPr>
      <w:r w:rsidRPr="00797236">
        <w:rPr>
          <w:rFonts w:ascii="Arial" w:hAnsi="Arial" w:cs="Arial"/>
          <w:color w:val="2F5496" w:themeColor="accent1" w:themeShade="BF"/>
        </w:rPr>
        <w:t xml:space="preserve">We explain the creation of a unified, hybrid, provider of London’s transport via </w:t>
      </w:r>
      <w:r>
        <w:rPr>
          <w:rFonts w:ascii="Arial" w:hAnsi="Arial" w:cs="Arial"/>
        </w:rPr>
        <w:t>a particular crisis of market competition and democratic accountability which the national government, municipal government and London’s transport providers were obliged to respond to in 1924. Furthermore, we argue that the political volatility of this period exp</w:t>
      </w:r>
      <w:r w:rsidR="00D7532B">
        <w:rPr>
          <w:rFonts w:ascii="Arial" w:hAnsi="Arial" w:cs="Arial"/>
        </w:rPr>
        <w:t>licate</w:t>
      </w:r>
      <w:r>
        <w:rPr>
          <w:rFonts w:ascii="Arial" w:hAnsi="Arial" w:cs="Arial"/>
        </w:rPr>
        <w:t xml:space="preserve">s the need to obscure both the true nature of the confrontation between state and market logics and the hidden endurance of market logic in an outwardly public organisation. </w:t>
      </w:r>
      <w:r w:rsidRPr="00D7532B">
        <w:rPr>
          <w:rFonts w:ascii="Arial" w:hAnsi="Arial" w:cs="Arial"/>
          <w:color w:val="2F5496" w:themeColor="accent1" w:themeShade="BF"/>
        </w:rPr>
        <w:t>The LPTB retained many capitalist characteristics and was the first Board to be created t</w:t>
      </w:r>
      <w:r w:rsidR="00D7532B">
        <w:rPr>
          <w:rFonts w:ascii="Arial" w:hAnsi="Arial" w:cs="Arial"/>
          <w:color w:val="2F5496" w:themeColor="accent1" w:themeShade="BF"/>
        </w:rPr>
        <w:t>hat was</w:t>
      </w:r>
      <w:r w:rsidRPr="00D7532B">
        <w:rPr>
          <w:rFonts w:ascii="Arial" w:hAnsi="Arial" w:cs="Arial"/>
          <w:color w:val="2F5496" w:themeColor="accent1" w:themeShade="BF"/>
        </w:rPr>
        <w:t xml:space="preserve"> modelled on the capitalist public company with financial autonomy with no d</w:t>
      </w:r>
      <w:r w:rsidR="00D7532B" w:rsidRPr="00D7532B">
        <w:rPr>
          <w:rFonts w:ascii="Arial" w:hAnsi="Arial" w:cs="Arial"/>
          <w:color w:val="2F5496" w:themeColor="accent1" w:themeShade="BF"/>
        </w:rPr>
        <w:t>emocratic responsibility (Davies, 1937).</w:t>
      </w:r>
      <w:r>
        <w:rPr>
          <w:rFonts w:ascii="Arial" w:hAnsi="Arial" w:cs="Arial"/>
        </w:rPr>
        <w:t xml:space="preserve"> Hence the prominence of ‘efficiency’ as a mutually acceptable, though unproven, rhetoric around which adherents of both the state and the market could coalesce</w:t>
      </w:r>
      <w:r w:rsidR="00564881">
        <w:rPr>
          <w:rFonts w:ascii="Arial" w:hAnsi="Arial" w:cs="Arial"/>
        </w:rPr>
        <w:t xml:space="preserve">. </w:t>
      </w:r>
      <w:r w:rsidR="00564881">
        <w:rPr>
          <w:rFonts w:ascii="Arial" w:hAnsi="Arial" w:cs="Arial"/>
        </w:rPr>
        <w:lastRenderedPageBreak/>
        <w:t>W</w:t>
      </w:r>
      <w:r w:rsidR="00EF306C">
        <w:rPr>
          <w:rFonts w:ascii="Arial" w:hAnsi="Arial" w:cs="Arial"/>
        </w:rPr>
        <w:t xml:space="preserve">e cast doubt on arguments </w:t>
      </w:r>
      <w:r w:rsidR="00564881">
        <w:rPr>
          <w:rFonts w:ascii="Arial" w:hAnsi="Arial" w:cs="Arial"/>
        </w:rPr>
        <w:t xml:space="preserve">based on economic data </w:t>
      </w:r>
      <w:r w:rsidR="00EF306C">
        <w:rPr>
          <w:rFonts w:ascii="Arial" w:hAnsi="Arial" w:cs="Arial"/>
        </w:rPr>
        <w:t>as sufficient justification for hybridity</w:t>
      </w:r>
      <w:r>
        <w:rPr>
          <w:rFonts w:ascii="Arial" w:hAnsi="Arial" w:cs="Arial"/>
        </w:rPr>
        <w:t xml:space="preserve"> and in doing so, make a historical contribution through its use of archival material to challenge extant historical narratives in standard texts (Tennent, 2020)</w:t>
      </w:r>
      <w:r w:rsidR="001D0542">
        <w:rPr>
          <w:rFonts w:ascii="Arial" w:hAnsi="Arial" w:cs="Arial"/>
        </w:rPr>
        <w:t>.</w:t>
      </w:r>
      <w:r w:rsidR="002D2D6F">
        <w:rPr>
          <w:rFonts w:ascii="Arial" w:hAnsi="Arial" w:cs="Arial"/>
        </w:rPr>
        <w:t xml:space="preserve"> </w:t>
      </w:r>
    </w:p>
    <w:p w14:paraId="7FE750F2" w14:textId="0C967543" w:rsidR="00DE2F47" w:rsidRDefault="00D7532B" w:rsidP="00F44900">
      <w:pPr>
        <w:spacing w:after="0" w:line="480" w:lineRule="auto"/>
        <w:ind w:firstLine="720"/>
        <w:rPr>
          <w:rFonts w:ascii="Arial" w:hAnsi="Arial" w:cs="Arial"/>
        </w:rPr>
      </w:pPr>
      <w:r>
        <w:rPr>
          <w:rFonts w:ascii="Arial" w:hAnsi="Arial" w:cs="Arial"/>
        </w:rPr>
        <w:t>Looking forward, w</w:t>
      </w:r>
      <w:r w:rsidR="00797236">
        <w:rPr>
          <w:rFonts w:ascii="Arial" w:hAnsi="Arial" w:cs="Arial"/>
        </w:rPr>
        <w:t>e suggest that while</w:t>
      </w:r>
      <w:r w:rsidR="00794640">
        <w:rPr>
          <w:rFonts w:ascii="Arial" w:hAnsi="Arial" w:cs="Arial"/>
        </w:rPr>
        <w:t xml:space="preserve"> </w:t>
      </w:r>
      <w:r w:rsidR="00564881">
        <w:rPr>
          <w:rFonts w:ascii="Arial" w:hAnsi="Arial" w:cs="Arial"/>
        </w:rPr>
        <w:t xml:space="preserve">this is a relatively specialised paper dealing with a single </w:t>
      </w:r>
      <w:r w:rsidR="00794640">
        <w:rPr>
          <w:rFonts w:ascii="Arial" w:hAnsi="Arial" w:cs="Arial"/>
        </w:rPr>
        <w:t>organisation,</w:t>
      </w:r>
      <w:r w:rsidR="00EF306C">
        <w:rPr>
          <w:rFonts w:ascii="Arial" w:hAnsi="Arial" w:cs="Arial"/>
        </w:rPr>
        <w:t xml:space="preserve"> there may be a much more expansive area for future research</w:t>
      </w:r>
      <w:r w:rsidR="00564881">
        <w:rPr>
          <w:rFonts w:ascii="Arial" w:hAnsi="Arial" w:cs="Arial"/>
        </w:rPr>
        <w:t xml:space="preserve"> agenda</w:t>
      </w:r>
      <w:r w:rsidR="00EF306C">
        <w:rPr>
          <w:rFonts w:ascii="Arial" w:hAnsi="Arial" w:cs="Arial"/>
        </w:rPr>
        <w:t xml:space="preserve"> in the development of hybrid municipal bodies combining element</w:t>
      </w:r>
      <w:r w:rsidR="00564881">
        <w:rPr>
          <w:rFonts w:ascii="Arial" w:hAnsi="Arial" w:cs="Arial"/>
        </w:rPr>
        <w:t>s</w:t>
      </w:r>
      <w:r w:rsidR="00EF306C">
        <w:rPr>
          <w:rFonts w:ascii="Arial" w:hAnsi="Arial" w:cs="Arial"/>
        </w:rPr>
        <w:t xml:space="preserve"> of municipal capitalism and municipal socialism (Tennent et al.</w:t>
      </w:r>
      <w:r w:rsidR="00564881">
        <w:rPr>
          <w:rFonts w:ascii="Arial" w:hAnsi="Arial" w:cs="Arial"/>
        </w:rPr>
        <w:t xml:space="preserve"> 2020</w:t>
      </w:r>
      <w:r w:rsidR="00EF306C">
        <w:rPr>
          <w:rFonts w:ascii="Arial" w:hAnsi="Arial" w:cs="Arial"/>
        </w:rPr>
        <w:t xml:space="preserve">). Much research </w:t>
      </w:r>
      <w:r w:rsidR="00564881">
        <w:rPr>
          <w:rFonts w:ascii="Arial" w:hAnsi="Arial" w:cs="Arial"/>
        </w:rPr>
        <w:t xml:space="preserve">in hybridity </w:t>
      </w:r>
      <w:r w:rsidR="00EF306C">
        <w:rPr>
          <w:rFonts w:ascii="Arial" w:hAnsi="Arial" w:cs="Arial"/>
        </w:rPr>
        <w:t xml:space="preserve">assumes that hybrid organisations emerged in the 1980s. </w:t>
      </w:r>
      <w:r w:rsidR="00794640">
        <w:rPr>
          <w:rFonts w:ascii="Arial" w:hAnsi="Arial" w:cs="Arial"/>
        </w:rPr>
        <w:t>T</w:t>
      </w:r>
      <w:r w:rsidR="00EF306C">
        <w:rPr>
          <w:rFonts w:ascii="Arial" w:hAnsi="Arial" w:cs="Arial"/>
        </w:rPr>
        <w:t xml:space="preserve">he </w:t>
      </w:r>
      <w:r w:rsidR="00564881">
        <w:rPr>
          <w:rFonts w:ascii="Arial" w:hAnsi="Arial" w:cs="Arial"/>
        </w:rPr>
        <w:t xml:space="preserve">minor theoretical </w:t>
      </w:r>
      <w:r w:rsidR="00EF306C">
        <w:rPr>
          <w:rFonts w:ascii="Arial" w:hAnsi="Arial" w:cs="Arial"/>
        </w:rPr>
        <w:t xml:space="preserve">contribution of this paper is to show they appeared far earlier. </w:t>
      </w:r>
      <w:r w:rsidR="00794640">
        <w:rPr>
          <w:rFonts w:ascii="Arial" w:hAnsi="Arial" w:cs="Arial"/>
        </w:rPr>
        <w:t>Expanding on this agenda i</w:t>
      </w:r>
      <w:r w:rsidR="00EF306C">
        <w:rPr>
          <w:rFonts w:ascii="Arial" w:hAnsi="Arial" w:cs="Arial"/>
        </w:rPr>
        <w:t xml:space="preserve">n the context of the UK, we </w:t>
      </w:r>
      <w:r w:rsidR="00564881">
        <w:rPr>
          <w:rFonts w:ascii="Arial" w:hAnsi="Arial" w:cs="Arial"/>
        </w:rPr>
        <w:t xml:space="preserve">tentatively </w:t>
      </w:r>
      <w:r w:rsidR="00EF306C">
        <w:rPr>
          <w:rFonts w:ascii="Arial" w:hAnsi="Arial" w:cs="Arial"/>
        </w:rPr>
        <w:t xml:space="preserve">argue for a </w:t>
      </w:r>
      <w:r w:rsidR="009D2036">
        <w:rPr>
          <w:rFonts w:ascii="Arial" w:hAnsi="Arial" w:cs="Arial"/>
        </w:rPr>
        <w:t xml:space="preserve">long hibernation of market logics in public services </w:t>
      </w:r>
      <w:r w:rsidR="00EF306C">
        <w:rPr>
          <w:rFonts w:ascii="Arial" w:hAnsi="Arial" w:cs="Arial"/>
        </w:rPr>
        <w:t xml:space="preserve">which </w:t>
      </w:r>
      <w:r w:rsidR="009D2036">
        <w:rPr>
          <w:rFonts w:ascii="Arial" w:hAnsi="Arial" w:cs="Arial"/>
        </w:rPr>
        <w:t>ended in th</w:t>
      </w:r>
      <w:r w:rsidR="00EF306C">
        <w:rPr>
          <w:rFonts w:ascii="Arial" w:hAnsi="Arial" w:cs="Arial"/>
        </w:rPr>
        <w:t>e</w:t>
      </w:r>
      <w:r w:rsidR="009D2036">
        <w:rPr>
          <w:rFonts w:ascii="Arial" w:hAnsi="Arial" w:cs="Arial"/>
        </w:rPr>
        <w:t xml:space="preserve"> early 1980s when they were able </w:t>
      </w:r>
      <w:r w:rsidR="00391790">
        <w:rPr>
          <w:rFonts w:ascii="Arial" w:hAnsi="Arial" w:cs="Arial"/>
        </w:rPr>
        <w:t xml:space="preserve">to </w:t>
      </w:r>
      <w:r w:rsidR="009D2036">
        <w:rPr>
          <w:rFonts w:ascii="Arial" w:hAnsi="Arial" w:cs="Arial"/>
        </w:rPr>
        <w:t xml:space="preserve">re-emerge, re-invigorated and with the benefit of long, hidden antecedence. </w:t>
      </w:r>
      <w:r w:rsidR="002C273F" w:rsidRPr="002C273F">
        <w:rPr>
          <w:rFonts w:ascii="Arial" w:hAnsi="Arial" w:cs="Arial"/>
          <w:color w:val="2F5496" w:themeColor="accent1" w:themeShade="BF"/>
        </w:rPr>
        <w:t>If, as Mees (2010) suggests, the future of transport provision is best given to ‘Hybrid’ organisations</w:t>
      </w:r>
      <w:r w:rsidR="002C273F">
        <w:rPr>
          <w:rFonts w:ascii="Arial" w:hAnsi="Arial" w:cs="Arial"/>
        </w:rPr>
        <w:t>, then f</w:t>
      </w:r>
      <w:r w:rsidR="0005640E">
        <w:rPr>
          <w:rFonts w:ascii="Arial" w:hAnsi="Arial" w:cs="Arial"/>
        </w:rPr>
        <w:t>uture</w:t>
      </w:r>
      <w:r w:rsidR="00B7775D">
        <w:rPr>
          <w:rFonts w:ascii="Arial" w:hAnsi="Arial" w:cs="Arial"/>
        </w:rPr>
        <w:t xml:space="preserve"> </w:t>
      </w:r>
      <w:r w:rsidR="0005640E">
        <w:rPr>
          <w:rFonts w:ascii="Arial" w:hAnsi="Arial" w:cs="Arial"/>
        </w:rPr>
        <w:t>r</w:t>
      </w:r>
      <w:r w:rsidR="00815C92">
        <w:rPr>
          <w:rFonts w:ascii="Arial" w:hAnsi="Arial" w:cs="Arial"/>
        </w:rPr>
        <w:t>esearch should</w:t>
      </w:r>
      <w:r w:rsidR="0044684A">
        <w:rPr>
          <w:rFonts w:ascii="Arial" w:hAnsi="Arial" w:cs="Arial"/>
        </w:rPr>
        <w:t xml:space="preserve"> continue to</w:t>
      </w:r>
      <w:r w:rsidR="00815C92">
        <w:rPr>
          <w:rFonts w:ascii="Arial" w:hAnsi="Arial" w:cs="Arial"/>
        </w:rPr>
        <w:t xml:space="preserve"> </w:t>
      </w:r>
      <w:r w:rsidR="00F21255">
        <w:rPr>
          <w:rFonts w:ascii="Arial" w:hAnsi="Arial" w:cs="Arial"/>
        </w:rPr>
        <w:t xml:space="preserve">improve </w:t>
      </w:r>
      <w:r w:rsidR="0044684A">
        <w:rPr>
          <w:rFonts w:ascii="Arial" w:hAnsi="Arial" w:cs="Arial"/>
        </w:rPr>
        <w:t xml:space="preserve">wider </w:t>
      </w:r>
      <w:r w:rsidR="00F21255">
        <w:rPr>
          <w:rFonts w:ascii="Arial" w:hAnsi="Arial" w:cs="Arial"/>
        </w:rPr>
        <w:t xml:space="preserve">understanding </w:t>
      </w:r>
      <w:r w:rsidR="0044684A">
        <w:rPr>
          <w:rFonts w:ascii="Arial" w:hAnsi="Arial" w:cs="Arial"/>
        </w:rPr>
        <w:t>of hybridi</w:t>
      </w:r>
      <w:r w:rsidR="00B7775D">
        <w:rPr>
          <w:rFonts w:ascii="Arial" w:hAnsi="Arial" w:cs="Arial"/>
        </w:rPr>
        <w:t>sation</w:t>
      </w:r>
      <w:r w:rsidR="0044684A">
        <w:rPr>
          <w:rFonts w:ascii="Arial" w:hAnsi="Arial" w:cs="Arial"/>
        </w:rPr>
        <w:t xml:space="preserve"> </w:t>
      </w:r>
      <w:r w:rsidR="00F21255">
        <w:rPr>
          <w:rFonts w:ascii="Arial" w:hAnsi="Arial" w:cs="Arial"/>
        </w:rPr>
        <w:t xml:space="preserve">by </w:t>
      </w:r>
      <w:r w:rsidR="00815C92">
        <w:rPr>
          <w:rFonts w:ascii="Arial" w:hAnsi="Arial" w:cs="Arial"/>
        </w:rPr>
        <w:t>draw</w:t>
      </w:r>
      <w:r w:rsidR="00F21255">
        <w:rPr>
          <w:rFonts w:ascii="Arial" w:hAnsi="Arial" w:cs="Arial"/>
        </w:rPr>
        <w:t>ing</w:t>
      </w:r>
      <w:r w:rsidR="00815C92">
        <w:rPr>
          <w:rFonts w:ascii="Arial" w:hAnsi="Arial" w:cs="Arial"/>
        </w:rPr>
        <w:t xml:space="preserve"> connections </w:t>
      </w:r>
      <w:r w:rsidR="00DA2978">
        <w:rPr>
          <w:rFonts w:ascii="Arial" w:hAnsi="Arial" w:cs="Arial"/>
        </w:rPr>
        <w:t>between the creation of hybrid organisations</w:t>
      </w:r>
      <w:r w:rsidR="00815C92">
        <w:rPr>
          <w:rFonts w:ascii="Arial" w:hAnsi="Arial" w:cs="Arial"/>
        </w:rPr>
        <w:t xml:space="preserve"> </w:t>
      </w:r>
      <w:r w:rsidR="00DA2978">
        <w:rPr>
          <w:rFonts w:ascii="Arial" w:hAnsi="Arial" w:cs="Arial"/>
        </w:rPr>
        <w:t xml:space="preserve">and </w:t>
      </w:r>
      <w:r w:rsidR="00815C92">
        <w:rPr>
          <w:rFonts w:ascii="Arial" w:hAnsi="Arial" w:cs="Arial"/>
        </w:rPr>
        <w:t xml:space="preserve">the </w:t>
      </w:r>
      <w:r w:rsidR="0044684A">
        <w:rPr>
          <w:rFonts w:ascii="Arial" w:hAnsi="Arial" w:cs="Arial"/>
        </w:rPr>
        <w:t>specific</w:t>
      </w:r>
      <w:r w:rsidR="00DA2978">
        <w:rPr>
          <w:rFonts w:ascii="Arial" w:hAnsi="Arial" w:cs="Arial"/>
        </w:rPr>
        <w:t xml:space="preserve"> dis</w:t>
      </w:r>
      <w:r w:rsidR="00B7775D">
        <w:rPr>
          <w:rFonts w:ascii="Arial" w:hAnsi="Arial" w:cs="Arial"/>
        </w:rPr>
        <w:t>turbances</w:t>
      </w:r>
      <w:r w:rsidR="00DA2978">
        <w:rPr>
          <w:rFonts w:ascii="Arial" w:hAnsi="Arial" w:cs="Arial"/>
        </w:rPr>
        <w:t xml:space="preserve"> </w:t>
      </w:r>
      <w:r w:rsidR="004B7024">
        <w:rPr>
          <w:rFonts w:ascii="Arial" w:hAnsi="Arial" w:cs="Arial"/>
        </w:rPr>
        <w:t xml:space="preserve">to </w:t>
      </w:r>
      <w:r w:rsidR="00B80F47">
        <w:rPr>
          <w:rFonts w:ascii="Arial" w:hAnsi="Arial" w:cs="Arial"/>
        </w:rPr>
        <w:t>histor</w:t>
      </w:r>
      <w:r w:rsidR="00815C92">
        <w:rPr>
          <w:rFonts w:ascii="Arial" w:hAnsi="Arial" w:cs="Arial"/>
        </w:rPr>
        <w:t>ical</w:t>
      </w:r>
      <w:r w:rsidR="00DA2978">
        <w:rPr>
          <w:rFonts w:ascii="Arial" w:hAnsi="Arial" w:cs="Arial"/>
        </w:rPr>
        <w:t xml:space="preserve"> consensuses over ownership and control </w:t>
      </w:r>
      <w:r w:rsidR="004B7024">
        <w:rPr>
          <w:rFonts w:ascii="Arial" w:hAnsi="Arial" w:cs="Arial"/>
        </w:rPr>
        <w:t>surrounding</w:t>
      </w:r>
      <w:r w:rsidR="00DA2978">
        <w:rPr>
          <w:rFonts w:ascii="Arial" w:hAnsi="Arial" w:cs="Arial"/>
        </w:rPr>
        <w:t xml:space="preserve"> their formation</w:t>
      </w:r>
      <w:r w:rsidR="00CE1B74">
        <w:rPr>
          <w:rFonts w:ascii="Arial" w:hAnsi="Arial" w:cs="Arial"/>
        </w:rPr>
        <w:t xml:space="preserve">. </w:t>
      </w:r>
      <w:r w:rsidR="00CE1B74" w:rsidRPr="003B21A9">
        <w:rPr>
          <w:rFonts w:ascii="Arial" w:hAnsi="Arial" w:cs="Arial"/>
          <w:color w:val="2F5496" w:themeColor="accent1" w:themeShade="BF"/>
        </w:rPr>
        <w:t>In Britain</w:t>
      </w:r>
      <w:r w:rsidR="003B21A9" w:rsidRPr="003B21A9">
        <w:rPr>
          <w:rFonts w:ascii="Arial" w:hAnsi="Arial" w:cs="Arial"/>
          <w:color w:val="2F5496" w:themeColor="accent1" w:themeShade="BF"/>
        </w:rPr>
        <w:t xml:space="preserve">, </w:t>
      </w:r>
      <w:r w:rsidR="002C273F">
        <w:rPr>
          <w:rFonts w:ascii="Arial" w:hAnsi="Arial" w:cs="Arial"/>
          <w:color w:val="2F5496" w:themeColor="accent1" w:themeShade="BF"/>
        </w:rPr>
        <w:t xml:space="preserve">and potentially throughout the ‘Anglosphere’, </w:t>
      </w:r>
      <w:r w:rsidR="003B21A9" w:rsidRPr="003B21A9">
        <w:rPr>
          <w:rFonts w:ascii="Arial" w:hAnsi="Arial" w:cs="Arial"/>
          <w:color w:val="2F5496" w:themeColor="accent1" w:themeShade="BF"/>
        </w:rPr>
        <w:t xml:space="preserve">exploring the origins of the </w:t>
      </w:r>
      <w:r w:rsidR="002C273F">
        <w:rPr>
          <w:rFonts w:ascii="Arial" w:hAnsi="Arial" w:cs="Arial"/>
          <w:color w:val="2F5496" w:themeColor="accent1" w:themeShade="BF"/>
        </w:rPr>
        <w:t xml:space="preserve">contested </w:t>
      </w:r>
      <w:r w:rsidR="003B21A9" w:rsidRPr="003B21A9">
        <w:rPr>
          <w:rFonts w:ascii="Arial" w:hAnsi="Arial" w:cs="Arial"/>
          <w:color w:val="2F5496" w:themeColor="accent1" w:themeShade="BF"/>
        </w:rPr>
        <w:t xml:space="preserve">shift towards redistribution via state or municipal action can </w:t>
      </w:r>
      <w:r w:rsidR="00CE1B74" w:rsidRPr="003B21A9">
        <w:rPr>
          <w:rFonts w:ascii="Arial" w:hAnsi="Arial" w:cs="Arial"/>
          <w:color w:val="2F5496" w:themeColor="accent1" w:themeShade="BF"/>
        </w:rPr>
        <w:t>offer a</w:t>
      </w:r>
      <w:r w:rsidR="00564881" w:rsidRPr="003B21A9">
        <w:rPr>
          <w:rFonts w:ascii="Arial" w:hAnsi="Arial" w:cs="Arial"/>
          <w:color w:val="2F5496" w:themeColor="accent1" w:themeShade="BF"/>
        </w:rPr>
        <w:t xml:space="preserve"> more extensive </w:t>
      </w:r>
      <w:r w:rsidR="003B21A9" w:rsidRPr="003B21A9">
        <w:rPr>
          <w:rFonts w:ascii="Arial" w:hAnsi="Arial" w:cs="Arial"/>
          <w:color w:val="2F5496" w:themeColor="accent1" w:themeShade="BF"/>
        </w:rPr>
        <w:t>understanding</w:t>
      </w:r>
      <w:r w:rsidR="00564881" w:rsidRPr="003B21A9">
        <w:rPr>
          <w:rFonts w:ascii="Arial" w:hAnsi="Arial" w:cs="Arial"/>
          <w:color w:val="2F5496" w:themeColor="accent1" w:themeShade="BF"/>
        </w:rPr>
        <w:t xml:space="preserve"> of municipal trading</w:t>
      </w:r>
      <w:r w:rsidR="003B21A9" w:rsidRPr="003B21A9">
        <w:rPr>
          <w:rFonts w:ascii="Arial" w:hAnsi="Arial" w:cs="Arial"/>
          <w:color w:val="2F5496" w:themeColor="accent1" w:themeShade="BF"/>
        </w:rPr>
        <w:t xml:space="preserve"> and the source of the conflicted expectations that nationalised industries should offer both a social service and yet</w:t>
      </w:r>
      <w:r w:rsidR="002C273F">
        <w:rPr>
          <w:rFonts w:ascii="Arial" w:hAnsi="Arial" w:cs="Arial"/>
          <w:color w:val="2F5496" w:themeColor="accent1" w:themeShade="BF"/>
        </w:rPr>
        <w:t xml:space="preserve"> also</w:t>
      </w:r>
      <w:r w:rsidR="003B21A9" w:rsidRPr="003B21A9">
        <w:rPr>
          <w:rFonts w:ascii="Arial" w:hAnsi="Arial" w:cs="Arial"/>
          <w:color w:val="2F5496" w:themeColor="accent1" w:themeShade="BF"/>
        </w:rPr>
        <w:t xml:space="preserve"> ‘pay their way’ in later decades</w:t>
      </w:r>
      <w:r w:rsidR="00815C92" w:rsidRPr="003B21A9">
        <w:rPr>
          <w:rFonts w:ascii="Arial" w:hAnsi="Arial" w:cs="Arial"/>
          <w:color w:val="2F5496" w:themeColor="accent1" w:themeShade="BF"/>
        </w:rPr>
        <w:t xml:space="preserve">. </w:t>
      </w:r>
    </w:p>
    <w:p w14:paraId="0F6011B0" w14:textId="77777777" w:rsidR="00F44900" w:rsidRDefault="00F44900" w:rsidP="00FA4DEE">
      <w:pPr>
        <w:spacing w:after="0" w:line="480" w:lineRule="auto"/>
        <w:rPr>
          <w:rFonts w:ascii="Arial" w:hAnsi="Arial" w:cs="Arial"/>
          <w:b/>
          <w:bCs/>
        </w:rPr>
      </w:pPr>
    </w:p>
    <w:p w14:paraId="6E7F1CE5" w14:textId="690C13CA" w:rsidR="001F7B20" w:rsidRPr="00FA4DEE" w:rsidRDefault="001F7B20" w:rsidP="00FA4DEE">
      <w:pPr>
        <w:spacing w:after="0" w:line="480" w:lineRule="auto"/>
        <w:rPr>
          <w:rFonts w:ascii="Arial" w:hAnsi="Arial" w:cs="Arial"/>
        </w:rPr>
      </w:pPr>
      <w:r>
        <w:rPr>
          <w:rFonts w:ascii="Arial" w:hAnsi="Arial" w:cs="Arial"/>
          <w:b/>
          <w:bCs/>
        </w:rPr>
        <w:t>D</w:t>
      </w:r>
      <w:r w:rsidR="00BB73CF">
        <w:rPr>
          <w:rFonts w:ascii="Arial" w:hAnsi="Arial" w:cs="Arial"/>
          <w:b/>
          <w:bCs/>
        </w:rPr>
        <w:t>eclaration of Interests</w:t>
      </w:r>
      <w:r>
        <w:rPr>
          <w:rFonts w:ascii="Arial" w:hAnsi="Arial" w:cs="Arial"/>
          <w:b/>
          <w:bCs/>
        </w:rPr>
        <w:t xml:space="preserve"> Statement</w:t>
      </w:r>
    </w:p>
    <w:p w14:paraId="7CC43E64" w14:textId="46A853A0" w:rsidR="00A118AB" w:rsidRDefault="001F7B20" w:rsidP="00DD4BC3">
      <w:pPr>
        <w:spacing w:after="0" w:line="240" w:lineRule="auto"/>
        <w:rPr>
          <w:rFonts w:ascii="Arial" w:hAnsi="Arial" w:cs="Arial"/>
        </w:rPr>
      </w:pPr>
      <w:r>
        <w:rPr>
          <w:rFonts w:ascii="Arial" w:hAnsi="Arial" w:cs="Arial"/>
        </w:rPr>
        <w:t>There are no conflicts of interest for the author</w:t>
      </w:r>
      <w:r w:rsidR="00CE1B74">
        <w:rPr>
          <w:rFonts w:ascii="Arial" w:hAnsi="Arial" w:cs="Arial"/>
        </w:rPr>
        <w:t>s</w:t>
      </w:r>
      <w:r>
        <w:rPr>
          <w:rFonts w:ascii="Arial" w:hAnsi="Arial" w:cs="Arial"/>
        </w:rPr>
        <w:t xml:space="preserve"> arising out of this article.</w:t>
      </w:r>
      <w:r w:rsidR="00815C92">
        <w:rPr>
          <w:rFonts w:ascii="Arial" w:hAnsi="Arial" w:cs="Arial"/>
        </w:rPr>
        <w:t xml:space="preserve"> </w:t>
      </w:r>
      <w:r w:rsidR="00CE2CC5">
        <w:rPr>
          <w:rFonts w:ascii="Arial" w:hAnsi="Arial" w:cs="Arial"/>
        </w:rPr>
        <w:t xml:space="preserve"> </w:t>
      </w:r>
      <w:r w:rsidR="003A4489">
        <w:rPr>
          <w:rFonts w:ascii="Arial" w:hAnsi="Arial" w:cs="Arial"/>
        </w:rPr>
        <w:t xml:space="preserve"> </w:t>
      </w:r>
      <w:r w:rsidR="008A6D71">
        <w:rPr>
          <w:rFonts w:ascii="Arial" w:hAnsi="Arial" w:cs="Arial"/>
        </w:rPr>
        <w:t xml:space="preserve"> </w:t>
      </w:r>
      <w:r w:rsidR="000A72F8">
        <w:rPr>
          <w:rFonts w:ascii="Arial" w:hAnsi="Arial" w:cs="Arial"/>
        </w:rPr>
        <w:t xml:space="preserve"> </w:t>
      </w:r>
      <w:r w:rsidR="006906A3">
        <w:rPr>
          <w:rFonts w:ascii="Arial" w:hAnsi="Arial" w:cs="Arial"/>
        </w:rPr>
        <w:t xml:space="preserve"> </w:t>
      </w:r>
      <w:r w:rsidR="0003689B">
        <w:rPr>
          <w:rFonts w:ascii="Arial" w:hAnsi="Arial" w:cs="Arial"/>
        </w:rPr>
        <w:t xml:space="preserve"> </w:t>
      </w:r>
      <w:r w:rsidR="000874B8">
        <w:rPr>
          <w:rFonts w:ascii="Arial" w:hAnsi="Arial" w:cs="Arial"/>
        </w:rPr>
        <w:t xml:space="preserve">  </w:t>
      </w:r>
    </w:p>
    <w:p w14:paraId="2634B0DD" w14:textId="77777777" w:rsidR="00A118AB" w:rsidRDefault="00A118AB" w:rsidP="00DD4BC3">
      <w:pPr>
        <w:spacing w:after="0" w:line="240" w:lineRule="auto"/>
        <w:rPr>
          <w:rFonts w:ascii="Arial" w:hAnsi="Arial" w:cs="Arial"/>
        </w:rPr>
      </w:pPr>
    </w:p>
    <w:p w14:paraId="766DCDE5" w14:textId="77777777" w:rsidR="00F44900" w:rsidRDefault="00F44900" w:rsidP="00DD4BC3">
      <w:pPr>
        <w:spacing w:after="0" w:line="240" w:lineRule="auto"/>
        <w:rPr>
          <w:rFonts w:ascii="Arial" w:hAnsi="Arial" w:cs="Arial"/>
          <w:b/>
          <w:bCs/>
        </w:rPr>
      </w:pPr>
    </w:p>
    <w:p w14:paraId="0200C982" w14:textId="77777777" w:rsidR="00F44900" w:rsidRDefault="00F44900" w:rsidP="00DD4BC3">
      <w:pPr>
        <w:spacing w:after="0" w:line="240" w:lineRule="auto"/>
        <w:rPr>
          <w:rFonts w:ascii="Arial" w:hAnsi="Arial" w:cs="Arial"/>
          <w:b/>
          <w:bCs/>
        </w:rPr>
      </w:pPr>
    </w:p>
    <w:p w14:paraId="5D27B59D" w14:textId="77777777" w:rsidR="00F44900" w:rsidRDefault="00F44900" w:rsidP="00DD4BC3">
      <w:pPr>
        <w:spacing w:after="0" w:line="240" w:lineRule="auto"/>
        <w:rPr>
          <w:rFonts w:ascii="Arial" w:hAnsi="Arial" w:cs="Arial"/>
          <w:b/>
          <w:bCs/>
        </w:rPr>
      </w:pPr>
    </w:p>
    <w:p w14:paraId="0FC2FAE6" w14:textId="733F442F" w:rsidR="00070B63" w:rsidRPr="00A118AB" w:rsidRDefault="00A118AB" w:rsidP="00DD4BC3">
      <w:pPr>
        <w:spacing w:after="0" w:line="240" w:lineRule="auto"/>
        <w:rPr>
          <w:rFonts w:ascii="Arial" w:hAnsi="Arial" w:cs="Arial"/>
          <w:b/>
          <w:bCs/>
        </w:rPr>
      </w:pPr>
      <w:r w:rsidRPr="00A118AB">
        <w:rPr>
          <w:rFonts w:ascii="Arial" w:hAnsi="Arial" w:cs="Arial"/>
          <w:b/>
          <w:bCs/>
        </w:rPr>
        <w:t>References</w:t>
      </w:r>
    </w:p>
    <w:p w14:paraId="54D066DA" w14:textId="5A06A278" w:rsidR="00070B63" w:rsidRDefault="00070B63" w:rsidP="00DD4BC3">
      <w:pPr>
        <w:spacing w:after="0" w:line="240" w:lineRule="auto"/>
        <w:rPr>
          <w:rFonts w:ascii="Arial" w:hAnsi="Arial" w:cs="Arial"/>
        </w:rPr>
      </w:pPr>
    </w:p>
    <w:p w14:paraId="4B93B74D" w14:textId="22AAC6A6" w:rsidR="00070B63" w:rsidRPr="00A118AB" w:rsidRDefault="00A118AB" w:rsidP="00DD4BC3">
      <w:pPr>
        <w:spacing w:after="0" w:line="240" w:lineRule="auto"/>
        <w:rPr>
          <w:rFonts w:ascii="Arial" w:hAnsi="Arial" w:cs="Arial"/>
          <w:b/>
          <w:bCs/>
        </w:rPr>
      </w:pPr>
      <w:r>
        <w:rPr>
          <w:rFonts w:ascii="Arial" w:hAnsi="Arial" w:cs="Arial"/>
          <w:b/>
          <w:bCs/>
        </w:rPr>
        <w:t>Primary Sources</w:t>
      </w:r>
    </w:p>
    <w:p w14:paraId="17F92934" w14:textId="04E67B2A" w:rsidR="00A118AB" w:rsidRDefault="00A118AB" w:rsidP="00DD4BC3">
      <w:pPr>
        <w:spacing w:after="0" w:line="240" w:lineRule="auto"/>
        <w:rPr>
          <w:rFonts w:ascii="Arial" w:hAnsi="Arial" w:cs="Arial"/>
        </w:rPr>
      </w:pPr>
    </w:p>
    <w:p w14:paraId="190FA9B1" w14:textId="260D2B8A" w:rsidR="00A205BA" w:rsidRDefault="00A205BA" w:rsidP="00DD4BC3">
      <w:pPr>
        <w:spacing w:after="0" w:line="240" w:lineRule="auto"/>
        <w:rPr>
          <w:rFonts w:ascii="Arial" w:hAnsi="Arial" w:cs="Arial"/>
        </w:rPr>
      </w:pPr>
      <w:r>
        <w:rPr>
          <w:rFonts w:ascii="Arial" w:hAnsi="Arial" w:cs="Arial"/>
        </w:rPr>
        <w:t>The London Metropolitan Archive</w:t>
      </w:r>
    </w:p>
    <w:p w14:paraId="6D1F6CDF" w14:textId="77777777" w:rsidR="00DC0077" w:rsidRDefault="00DC0077" w:rsidP="00DD4BC3">
      <w:pPr>
        <w:spacing w:after="0" w:line="240" w:lineRule="auto"/>
        <w:rPr>
          <w:rFonts w:ascii="Arial" w:hAnsi="Arial" w:cs="Arial"/>
        </w:rPr>
      </w:pPr>
    </w:p>
    <w:p w14:paraId="5D542EB6" w14:textId="482AA311" w:rsidR="00A118AB" w:rsidRDefault="00A205BA" w:rsidP="00DD4BC3">
      <w:pPr>
        <w:spacing w:after="0" w:line="240" w:lineRule="auto"/>
        <w:rPr>
          <w:rFonts w:ascii="Arial" w:hAnsi="Arial" w:cs="Arial"/>
        </w:rPr>
      </w:pPr>
      <w:r>
        <w:rPr>
          <w:rFonts w:ascii="Arial" w:hAnsi="Arial" w:cs="Arial"/>
        </w:rPr>
        <w:lastRenderedPageBreak/>
        <w:t>ACC-1297-UER-04-065. London Traffic Statistics Number 1.</w:t>
      </w:r>
    </w:p>
    <w:p w14:paraId="26BE99F2" w14:textId="3F009268" w:rsidR="00571C81" w:rsidRDefault="00571C81" w:rsidP="00DD4BC3">
      <w:pPr>
        <w:spacing w:after="0" w:line="240" w:lineRule="auto"/>
        <w:rPr>
          <w:rFonts w:ascii="Arial" w:hAnsi="Arial" w:cs="Arial"/>
        </w:rPr>
      </w:pPr>
      <w:r>
        <w:rPr>
          <w:rFonts w:ascii="Arial" w:hAnsi="Arial" w:cs="Arial"/>
        </w:rPr>
        <w:t>LMA-927 to 959 series. London County Council Minutes of Meetings 1907-1921.</w:t>
      </w:r>
    </w:p>
    <w:p w14:paraId="4D9DAE1B" w14:textId="2693F2B0" w:rsidR="00CA3172" w:rsidRDefault="009A7B8C" w:rsidP="00CA3172">
      <w:pPr>
        <w:shd w:val="clear" w:color="auto" w:fill="FFFFFF"/>
        <w:spacing w:before="240" w:after="0" w:line="240" w:lineRule="auto"/>
        <w:outlineLvl w:val="0"/>
        <w:rPr>
          <w:rFonts w:ascii="Arial" w:eastAsia="Times New Roman" w:hAnsi="Arial" w:cs="Arial"/>
          <w:color w:val="000000"/>
          <w:kern w:val="36"/>
          <w:lang w:eastAsia="en-GB"/>
        </w:rPr>
      </w:pPr>
      <w:r w:rsidRPr="009A7B8C">
        <w:rPr>
          <w:rFonts w:ascii="Arial" w:eastAsia="Times New Roman" w:hAnsi="Arial" w:cs="Arial"/>
          <w:color w:val="000000"/>
          <w:kern w:val="36"/>
          <w:lang w:eastAsia="en-GB"/>
        </w:rPr>
        <w:t>London Passenger Transport Act 1933</w:t>
      </w:r>
      <w:r>
        <w:rPr>
          <w:rFonts w:ascii="Arial" w:eastAsia="Times New Roman" w:hAnsi="Arial" w:cs="Arial"/>
          <w:color w:val="000000"/>
          <w:kern w:val="36"/>
          <w:lang w:eastAsia="en-GB"/>
        </w:rPr>
        <w:t xml:space="preserve"> </w:t>
      </w:r>
      <w:r w:rsidRPr="009A7B8C">
        <w:rPr>
          <w:rFonts w:ascii="Arial" w:eastAsia="Times New Roman" w:hAnsi="Arial" w:cs="Arial"/>
          <w:color w:val="000000"/>
          <w:kern w:val="36"/>
          <w:lang w:eastAsia="en-GB"/>
        </w:rPr>
        <w:t>C</w:t>
      </w:r>
      <w:r>
        <w:rPr>
          <w:rFonts w:ascii="Arial" w:eastAsia="Times New Roman" w:hAnsi="Arial" w:cs="Arial"/>
          <w:color w:val="000000"/>
          <w:kern w:val="36"/>
          <w:lang w:eastAsia="en-GB"/>
        </w:rPr>
        <w:t>hapter</w:t>
      </w:r>
      <w:r w:rsidRPr="009A7B8C">
        <w:rPr>
          <w:rFonts w:ascii="Arial" w:eastAsia="Times New Roman" w:hAnsi="Arial" w:cs="Arial"/>
          <w:color w:val="000000"/>
          <w:kern w:val="36"/>
          <w:lang w:eastAsia="en-GB"/>
        </w:rPr>
        <w:t xml:space="preserve"> 14</w:t>
      </w:r>
      <w:r>
        <w:rPr>
          <w:rFonts w:ascii="Arial" w:eastAsia="Times New Roman" w:hAnsi="Arial" w:cs="Arial"/>
          <w:color w:val="000000"/>
          <w:kern w:val="36"/>
          <w:lang w:eastAsia="en-GB"/>
        </w:rPr>
        <w:t>,</w:t>
      </w:r>
      <w:r w:rsidRPr="009A7B8C">
        <w:rPr>
          <w:rFonts w:ascii="Arial" w:eastAsia="Times New Roman" w:hAnsi="Arial" w:cs="Arial"/>
          <w:color w:val="000000"/>
          <w:kern w:val="36"/>
          <w:lang w:eastAsia="en-GB"/>
        </w:rPr>
        <w:t xml:space="preserve"> 23 and 24 Geo 5</w:t>
      </w:r>
      <w:r w:rsidR="004C1FFD">
        <w:rPr>
          <w:rFonts w:ascii="Arial" w:eastAsia="Times New Roman" w:hAnsi="Arial" w:cs="Arial"/>
          <w:color w:val="000000"/>
          <w:kern w:val="36"/>
          <w:lang w:eastAsia="en-GB"/>
        </w:rPr>
        <w:t>.</w:t>
      </w:r>
    </w:p>
    <w:p w14:paraId="3226E673" w14:textId="77777777" w:rsidR="007A0C76" w:rsidRDefault="007A0C76" w:rsidP="007A0C76">
      <w:pPr>
        <w:spacing w:after="0" w:line="240" w:lineRule="auto"/>
        <w:rPr>
          <w:rFonts w:ascii="Arial" w:hAnsi="Arial" w:cs="Arial"/>
        </w:rPr>
      </w:pPr>
    </w:p>
    <w:p w14:paraId="14D217F1" w14:textId="1963A8DD" w:rsidR="007A0C76" w:rsidRPr="007A0C76" w:rsidRDefault="007A0C76" w:rsidP="007A0C76">
      <w:pPr>
        <w:spacing w:after="0" w:line="240" w:lineRule="auto"/>
        <w:rPr>
          <w:rFonts w:ascii="Arial" w:hAnsi="Arial" w:cs="Arial"/>
        </w:rPr>
      </w:pPr>
      <w:r>
        <w:rPr>
          <w:rFonts w:ascii="Arial" w:hAnsi="Arial" w:cs="Arial"/>
        </w:rPr>
        <w:t>The Transport for London Corporate Archive</w:t>
      </w:r>
    </w:p>
    <w:p w14:paraId="178471AC" w14:textId="77777777" w:rsidR="008C2C00" w:rsidRDefault="008C2C00" w:rsidP="008C2C00">
      <w:pPr>
        <w:shd w:val="clear" w:color="auto" w:fill="FFFFFF"/>
        <w:spacing w:after="0" w:line="240" w:lineRule="auto"/>
        <w:outlineLvl w:val="0"/>
        <w:rPr>
          <w:rFonts w:ascii="Arial" w:eastAsia="Times New Roman" w:hAnsi="Arial" w:cs="Arial"/>
          <w:color w:val="000000"/>
          <w:kern w:val="36"/>
          <w:lang w:eastAsia="en-GB"/>
        </w:rPr>
      </w:pPr>
    </w:p>
    <w:p w14:paraId="32DEEBD2" w14:textId="0FBF3483" w:rsidR="00242173" w:rsidRPr="00242173" w:rsidRDefault="00242173" w:rsidP="008C2C00">
      <w:pPr>
        <w:shd w:val="clear" w:color="auto" w:fill="FFFFFF"/>
        <w:spacing w:after="0" w:line="240" w:lineRule="auto"/>
        <w:outlineLvl w:val="0"/>
        <w:rPr>
          <w:rFonts w:ascii="Arial" w:eastAsia="Times New Roman" w:hAnsi="Arial" w:cs="Arial"/>
          <w:color w:val="2F5496" w:themeColor="accent1" w:themeShade="BF"/>
          <w:kern w:val="36"/>
          <w:lang w:eastAsia="en-GB"/>
        </w:rPr>
      </w:pPr>
      <w:r w:rsidRPr="00242173">
        <w:rPr>
          <w:rFonts w:ascii="Arial" w:eastAsia="Times New Roman" w:hAnsi="Arial" w:cs="Arial"/>
          <w:color w:val="2F5496" w:themeColor="accent1" w:themeShade="BF"/>
          <w:kern w:val="36"/>
          <w:lang w:eastAsia="en-GB"/>
        </w:rPr>
        <w:t>LT42-023. Lord Ashfield Biographical notes. Press release, ‘</w:t>
      </w:r>
      <w:r>
        <w:rPr>
          <w:rFonts w:ascii="Arial" w:eastAsia="Times New Roman" w:hAnsi="Arial" w:cs="Arial"/>
          <w:color w:val="2F5496" w:themeColor="accent1" w:themeShade="BF"/>
          <w:kern w:val="36"/>
          <w:lang w:eastAsia="en-GB"/>
        </w:rPr>
        <w:t xml:space="preserve">Lord Ashfield of Southwell: </w:t>
      </w:r>
      <w:r w:rsidRPr="00242173">
        <w:rPr>
          <w:rFonts w:ascii="Arial" w:eastAsia="Times New Roman" w:hAnsi="Arial" w:cs="Arial"/>
          <w:color w:val="2F5496" w:themeColor="accent1" w:themeShade="BF"/>
          <w:kern w:val="36"/>
          <w:lang w:eastAsia="en-GB"/>
        </w:rPr>
        <w:t>Personality and Staff Relations’, 1945.</w:t>
      </w:r>
    </w:p>
    <w:p w14:paraId="33CEA838" w14:textId="6EEDC657" w:rsidR="008C2C00" w:rsidRDefault="008C2C00" w:rsidP="008C2C00">
      <w:pPr>
        <w:shd w:val="clear" w:color="auto" w:fill="FFFFFF"/>
        <w:spacing w:after="0" w:line="240" w:lineRule="auto"/>
        <w:outlineLvl w:val="0"/>
        <w:rPr>
          <w:rFonts w:ascii="Arial" w:eastAsia="Times New Roman" w:hAnsi="Arial" w:cs="Arial"/>
          <w:color w:val="000000"/>
          <w:kern w:val="36"/>
          <w:lang w:eastAsia="en-GB"/>
        </w:rPr>
      </w:pPr>
      <w:r>
        <w:rPr>
          <w:rFonts w:ascii="Arial" w:eastAsia="Times New Roman" w:hAnsi="Arial" w:cs="Arial"/>
          <w:color w:val="000000"/>
          <w:kern w:val="36"/>
          <w:lang w:eastAsia="en-GB"/>
        </w:rPr>
        <w:t xml:space="preserve">LT103 series. </w:t>
      </w:r>
      <w:r>
        <w:rPr>
          <w:rFonts w:ascii="Arial" w:hAnsi="Arial" w:cs="Arial"/>
        </w:rPr>
        <w:t xml:space="preserve">Metropolitan Railway </w:t>
      </w:r>
      <w:r>
        <w:rPr>
          <w:rFonts w:ascii="Arial" w:eastAsia="Times New Roman" w:hAnsi="Arial" w:cs="Arial"/>
          <w:color w:val="000000"/>
          <w:kern w:val="36"/>
          <w:lang w:eastAsia="en-GB"/>
        </w:rPr>
        <w:t>Annual Reports.</w:t>
      </w:r>
    </w:p>
    <w:p w14:paraId="0E077F32" w14:textId="245D8BF3" w:rsidR="001F3046" w:rsidRPr="009A7B8C" w:rsidRDefault="001F3046" w:rsidP="008C2C00">
      <w:pPr>
        <w:shd w:val="clear" w:color="auto" w:fill="FFFFFF"/>
        <w:spacing w:after="0" w:line="240" w:lineRule="auto"/>
        <w:outlineLvl w:val="0"/>
        <w:rPr>
          <w:rFonts w:ascii="Arial" w:eastAsia="Times New Roman" w:hAnsi="Arial" w:cs="Arial"/>
          <w:color w:val="000000"/>
          <w:kern w:val="36"/>
          <w:lang w:eastAsia="en-GB"/>
        </w:rPr>
      </w:pPr>
      <w:r>
        <w:rPr>
          <w:rFonts w:ascii="Arial" w:eastAsia="Times New Roman" w:hAnsi="Arial" w:cs="Arial"/>
          <w:color w:val="000000"/>
          <w:kern w:val="36"/>
          <w:lang w:eastAsia="en-GB"/>
        </w:rPr>
        <w:t>LT346-01. Assorted newspaper cuttings concerning ‘Pirate’ Buses.</w:t>
      </w:r>
    </w:p>
    <w:p w14:paraId="16AC505E" w14:textId="1F6C3D54" w:rsidR="00A118AB" w:rsidRDefault="004C1FFD" w:rsidP="008C2C00">
      <w:pPr>
        <w:spacing w:after="0" w:line="240" w:lineRule="auto"/>
        <w:rPr>
          <w:rFonts w:ascii="Arial" w:hAnsi="Arial" w:cs="Arial"/>
        </w:rPr>
      </w:pPr>
      <w:r>
        <w:rPr>
          <w:rFonts w:ascii="Arial" w:hAnsi="Arial" w:cs="Arial"/>
        </w:rPr>
        <w:t>LT346-101</w:t>
      </w:r>
      <w:r w:rsidR="00A205BA">
        <w:rPr>
          <w:rFonts w:ascii="Arial" w:hAnsi="Arial" w:cs="Arial"/>
        </w:rPr>
        <w:t>.</w:t>
      </w:r>
      <w:r>
        <w:rPr>
          <w:rFonts w:ascii="Arial" w:hAnsi="Arial" w:cs="Arial"/>
        </w:rPr>
        <w:t xml:space="preserve"> </w:t>
      </w:r>
      <w:r w:rsidRPr="004C1FFD">
        <w:rPr>
          <w:rFonts w:ascii="Arial" w:hAnsi="Arial" w:cs="Arial"/>
        </w:rPr>
        <w:t>Minutes of the Meeting of the LCC, 21</w:t>
      </w:r>
      <w:r w:rsidRPr="004C1FFD">
        <w:rPr>
          <w:rFonts w:ascii="Arial" w:hAnsi="Arial" w:cs="Arial"/>
          <w:vertAlign w:val="superscript"/>
        </w:rPr>
        <w:t>st</w:t>
      </w:r>
      <w:r w:rsidRPr="004C1FFD">
        <w:rPr>
          <w:rFonts w:ascii="Arial" w:hAnsi="Arial" w:cs="Arial"/>
        </w:rPr>
        <w:t xml:space="preserve"> November 1921</w:t>
      </w:r>
      <w:r>
        <w:rPr>
          <w:rFonts w:ascii="Arial" w:hAnsi="Arial" w:cs="Arial"/>
        </w:rPr>
        <w:t>.</w:t>
      </w:r>
    </w:p>
    <w:p w14:paraId="50F71583" w14:textId="48048C4E" w:rsidR="009D185F" w:rsidRDefault="009D185F" w:rsidP="008C2C00">
      <w:pPr>
        <w:spacing w:after="0" w:line="240" w:lineRule="auto"/>
        <w:rPr>
          <w:rFonts w:ascii="Arial" w:hAnsi="Arial" w:cs="Arial"/>
        </w:rPr>
      </w:pPr>
      <w:r>
        <w:rPr>
          <w:rFonts w:ascii="Arial" w:hAnsi="Arial" w:cs="Arial"/>
        </w:rPr>
        <w:t>LT493-051-002. Letters from the public during the 1937 bus strike.</w:t>
      </w:r>
    </w:p>
    <w:p w14:paraId="71876EDD" w14:textId="7C5F529C" w:rsidR="00965CA8" w:rsidRDefault="00965CA8" w:rsidP="008C2C00">
      <w:pPr>
        <w:spacing w:after="0" w:line="240" w:lineRule="auto"/>
        <w:rPr>
          <w:rFonts w:ascii="Arial" w:hAnsi="Arial" w:cs="Arial"/>
        </w:rPr>
      </w:pPr>
      <w:r>
        <w:rPr>
          <w:rFonts w:ascii="Arial" w:hAnsi="Arial" w:cs="Arial"/>
        </w:rPr>
        <w:t>LT493-047. Trade Union Negotiations, Chairman’s Personal File.</w:t>
      </w:r>
    </w:p>
    <w:p w14:paraId="64370212" w14:textId="129749CE" w:rsidR="00812350" w:rsidRDefault="00812350" w:rsidP="008C2C00">
      <w:pPr>
        <w:spacing w:after="0" w:line="240" w:lineRule="auto"/>
        <w:rPr>
          <w:rFonts w:ascii="Arial" w:hAnsi="Arial" w:cs="Arial"/>
        </w:rPr>
      </w:pPr>
      <w:r>
        <w:rPr>
          <w:rFonts w:ascii="Arial" w:hAnsi="Arial" w:cs="Arial"/>
        </w:rPr>
        <w:t xml:space="preserve">LT503-049 series. Ashfield-Horne correspondence and </w:t>
      </w:r>
      <w:proofErr w:type="spellStart"/>
      <w:r>
        <w:rPr>
          <w:rFonts w:ascii="Arial" w:hAnsi="Arial" w:cs="Arial"/>
        </w:rPr>
        <w:t>Aberconway’s</w:t>
      </w:r>
      <w:proofErr w:type="spellEnd"/>
      <w:r>
        <w:rPr>
          <w:rFonts w:ascii="Arial" w:hAnsi="Arial" w:cs="Arial"/>
        </w:rPr>
        <w:t xml:space="preserve"> press statements</w:t>
      </w:r>
      <w:r w:rsidR="00875AA5">
        <w:rPr>
          <w:rFonts w:ascii="Arial" w:hAnsi="Arial" w:cs="Arial"/>
        </w:rPr>
        <w:t xml:space="preserve"> 1932</w:t>
      </w:r>
      <w:r>
        <w:rPr>
          <w:rFonts w:ascii="Arial" w:hAnsi="Arial" w:cs="Arial"/>
        </w:rPr>
        <w:t>.</w:t>
      </w:r>
    </w:p>
    <w:p w14:paraId="33697C05" w14:textId="7660B69A" w:rsidR="00261B3F" w:rsidRDefault="00261B3F" w:rsidP="008C2C00">
      <w:pPr>
        <w:spacing w:after="0" w:line="240" w:lineRule="auto"/>
        <w:rPr>
          <w:rFonts w:ascii="Arial" w:hAnsi="Arial" w:cs="Arial"/>
        </w:rPr>
      </w:pPr>
      <w:r>
        <w:rPr>
          <w:rFonts w:ascii="Arial" w:hAnsi="Arial" w:cs="Arial"/>
        </w:rPr>
        <w:t>LT503-050. Letters from Speyer Co. to Lord Ashfield, 1926.</w:t>
      </w:r>
    </w:p>
    <w:p w14:paraId="4A818620" w14:textId="01FB265D" w:rsidR="008A10E8" w:rsidRPr="004C1FFD" w:rsidRDefault="008A10E8" w:rsidP="008C2C00">
      <w:pPr>
        <w:spacing w:after="0" w:line="240" w:lineRule="auto"/>
        <w:rPr>
          <w:rFonts w:ascii="Arial" w:hAnsi="Arial" w:cs="Arial"/>
        </w:rPr>
      </w:pPr>
      <w:r>
        <w:rPr>
          <w:rFonts w:ascii="Arial" w:hAnsi="Arial" w:cs="Arial"/>
        </w:rPr>
        <w:t>LT612-002. Lord Ashfield speech to shareholders 1</w:t>
      </w:r>
      <w:r w:rsidRPr="008A10E8">
        <w:rPr>
          <w:rFonts w:ascii="Arial" w:hAnsi="Arial" w:cs="Arial"/>
          <w:vertAlign w:val="superscript"/>
        </w:rPr>
        <w:t>st</w:t>
      </w:r>
      <w:r>
        <w:rPr>
          <w:rFonts w:ascii="Arial" w:hAnsi="Arial" w:cs="Arial"/>
        </w:rPr>
        <w:t xml:space="preserve"> May 1931.</w:t>
      </w:r>
    </w:p>
    <w:p w14:paraId="168B3C2E" w14:textId="450EFA6D" w:rsidR="00043109" w:rsidRDefault="00043109" w:rsidP="008C2C00">
      <w:pPr>
        <w:spacing w:after="0" w:line="240" w:lineRule="auto"/>
        <w:rPr>
          <w:rFonts w:ascii="Arial" w:hAnsi="Arial" w:cs="Arial"/>
        </w:rPr>
      </w:pPr>
      <w:r>
        <w:rPr>
          <w:rFonts w:ascii="Arial" w:hAnsi="Arial" w:cs="Arial"/>
        </w:rPr>
        <w:t xml:space="preserve">LT857 series. Metropolitan Railway </w:t>
      </w:r>
      <w:r w:rsidR="008C2C00">
        <w:rPr>
          <w:rFonts w:ascii="Arial" w:hAnsi="Arial" w:cs="Arial"/>
        </w:rPr>
        <w:t xml:space="preserve">and Underground Electric Railway Company of London </w:t>
      </w:r>
      <w:r>
        <w:rPr>
          <w:rFonts w:ascii="Arial" w:hAnsi="Arial" w:cs="Arial"/>
        </w:rPr>
        <w:t>Annual Reports.</w:t>
      </w:r>
    </w:p>
    <w:p w14:paraId="47738E5C" w14:textId="0924DDFC" w:rsidR="00043109" w:rsidRDefault="00043109" w:rsidP="008C2C00">
      <w:pPr>
        <w:spacing w:after="0" w:line="240" w:lineRule="auto"/>
        <w:rPr>
          <w:rFonts w:ascii="Arial" w:hAnsi="Arial" w:cs="Arial"/>
        </w:rPr>
      </w:pPr>
      <w:r>
        <w:rPr>
          <w:rFonts w:ascii="Arial" w:hAnsi="Arial" w:cs="Arial"/>
        </w:rPr>
        <w:t>LT1011 series. London Passenger Transport Board Annual Reports.</w:t>
      </w:r>
    </w:p>
    <w:p w14:paraId="6664B12F" w14:textId="6FF12879" w:rsidR="00BE3F61" w:rsidRDefault="00BE3F61" w:rsidP="008C2C00">
      <w:pPr>
        <w:spacing w:after="0" w:line="240" w:lineRule="auto"/>
        <w:rPr>
          <w:rFonts w:ascii="Arial" w:hAnsi="Arial" w:cs="Arial"/>
        </w:rPr>
      </w:pPr>
      <w:r>
        <w:rPr>
          <w:rFonts w:ascii="Arial" w:hAnsi="Arial" w:cs="Arial"/>
        </w:rPr>
        <w:t>LT1172-13. Lord Ashfield and the Public Corporation. Memorial lecture on Lord Ashfield as the Chairman of London Transport, 1951.</w:t>
      </w:r>
    </w:p>
    <w:p w14:paraId="7ADEEABD" w14:textId="32D3A66B" w:rsidR="00812350" w:rsidRDefault="00812350" w:rsidP="008C2C00">
      <w:pPr>
        <w:spacing w:after="0" w:line="240" w:lineRule="auto"/>
        <w:rPr>
          <w:rFonts w:ascii="Arial" w:hAnsi="Arial" w:cs="Arial"/>
        </w:rPr>
      </w:pPr>
      <w:r>
        <w:rPr>
          <w:rFonts w:ascii="Arial" w:hAnsi="Arial" w:cs="Arial"/>
        </w:rPr>
        <w:t>LT1492-070 series. Confidential objections to the 1927 co-ordination Bill and Morrison-</w:t>
      </w:r>
      <w:proofErr w:type="spellStart"/>
      <w:r>
        <w:rPr>
          <w:rFonts w:ascii="Arial" w:hAnsi="Arial" w:cs="Arial"/>
        </w:rPr>
        <w:t>Aberconway</w:t>
      </w:r>
      <w:proofErr w:type="spellEnd"/>
      <w:r>
        <w:rPr>
          <w:rFonts w:ascii="Arial" w:hAnsi="Arial" w:cs="Arial"/>
        </w:rPr>
        <w:t xml:space="preserve"> correspondence</w:t>
      </w:r>
      <w:r w:rsidR="00875AA5">
        <w:rPr>
          <w:rFonts w:ascii="Arial" w:hAnsi="Arial" w:cs="Arial"/>
        </w:rPr>
        <w:t xml:space="preserve"> 1930.</w:t>
      </w:r>
      <w:r>
        <w:rPr>
          <w:rFonts w:ascii="Arial" w:hAnsi="Arial" w:cs="Arial"/>
        </w:rPr>
        <w:t xml:space="preserve">  </w:t>
      </w:r>
    </w:p>
    <w:p w14:paraId="204D7368" w14:textId="56510DDC" w:rsidR="0055342F" w:rsidRDefault="0055342F" w:rsidP="00DD4BC3">
      <w:pPr>
        <w:spacing w:after="0" w:line="240" w:lineRule="auto"/>
        <w:rPr>
          <w:rFonts w:ascii="Arial" w:hAnsi="Arial" w:cs="Arial"/>
        </w:rPr>
      </w:pPr>
    </w:p>
    <w:p w14:paraId="7E8D89C9" w14:textId="0FA96B0F" w:rsidR="0055342F" w:rsidRDefault="0055342F" w:rsidP="00DD4BC3">
      <w:pPr>
        <w:spacing w:after="0" w:line="240" w:lineRule="auto"/>
        <w:rPr>
          <w:rFonts w:ascii="Arial" w:hAnsi="Arial" w:cs="Arial"/>
        </w:rPr>
      </w:pPr>
      <w:r>
        <w:rPr>
          <w:rFonts w:ascii="Arial" w:hAnsi="Arial" w:cs="Arial"/>
        </w:rPr>
        <w:t>The London Transport Museum Library</w:t>
      </w:r>
    </w:p>
    <w:p w14:paraId="717CE09C" w14:textId="5EC1A96C" w:rsidR="0055342F" w:rsidRDefault="0055342F" w:rsidP="00DD4BC3">
      <w:pPr>
        <w:spacing w:after="0" w:line="240" w:lineRule="auto"/>
        <w:rPr>
          <w:rFonts w:ascii="Arial" w:hAnsi="Arial" w:cs="Arial"/>
        </w:rPr>
      </w:pPr>
    </w:p>
    <w:p w14:paraId="468D6BAD" w14:textId="67C8C8BB" w:rsidR="0055342F" w:rsidRDefault="0055342F" w:rsidP="00DD4BC3">
      <w:pPr>
        <w:spacing w:after="0" w:line="240" w:lineRule="auto"/>
        <w:rPr>
          <w:rFonts w:ascii="Arial" w:hAnsi="Arial" w:cs="Arial"/>
        </w:rPr>
      </w:pPr>
      <w:r>
        <w:rPr>
          <w:rFonts w:ascii="Arial" w:hAnsi="Arial" w:cs="Arial"/>
        </w:rPr>
        <w:t xml:space="preserve">LTM B6 ASH </w:t>
      </w:r>
      <w:r w:rsidR="00DF27F9">
        <w:rPr>
          <w:rFonts w:ascii="Arial" w:hAnsi="Arial" w:cs="Arial"/>
        </w:rPr>
        <w:t xml:space="preserve">London Passenger Transport, 1923 and </w:t>
      </w:r>
      <w:r>
        <w:rPr>
          <w:rFonts w:ascii="Arial" w:hAnsi="Arial" w:cs="Arial"/>
        </w:rPr>
        <w:t>London’s Traffic Problem Reconsidered, 1924.</w:t>
      </w:r>
    </w:p>
    <w:p w14:paraId="1D9C88E3" w14:textId="577BC514" w:rsidR="00043109" w:rsidRDefault="0055342F" w:rsidP="00DD4BC3">
      <w:pPr>
        <w:spacing w:after="0" w:line="240" w:lineRule="auto"/>
        <w:rPr>
          <w:rFonts w:ascii="Arial" w:hAnsi="Arial" w:cs="Arial"/>
        </w:rPr>
      </w:pPr>
      <w:r>
        <w:rPr>
          <w:rFonts w:ascii="Arial" w:hAnsi="Arial" w:cs="Arial"/>
        </w:rPr>
        <w:t xml:space="preserve">LTM </w:t>
      </w:r>
      <w:r w:rsidR="009441DC">
        <w:rPr>
          <w:rFonts w:ascii="Arial" w:hAnsi="Arial" w:cs="Arial"/>
        </w:rPr>
        <w:t xml:space="preserve">B6 </w:t>
      </w:r>
      <w:r>
        <w:rPr>
          <w:rFonts w:ascii="Arial" w:hAnsi="Arial" w:cs="Arial"/>
        </w:rPr>
        <w:t>Box 4 Speech by Frank Pick at Oxford, 1936.</w:t>
      </w:r>
    </w:p>
    <w:p w14:paraId="42447292" w14:textId="0797E753" w:rsidR="00AD2EDD" w:rsidRDefault="00AD2EDD" w:rsidP="00DD4BC3">
      <w:pPr>
        <w:spacing w:after="0" w:line="240" w:lineRule="auto"/>
      </w:pPr>
      <w:r>
        <w:rPr>
          <w:rFonts w:ascii="Arial" w:hAnsi="Arial" w:cs="Arial"/>
        </w:rPr>
        <w:t>LTM B6 Box 4 Speech by Frank Pick to the LSE 1935</w:t>
      </w:r>
      <w:r>
        <w:t>.</w:t>
      </w:r>
    </w:p>
    <w:p w14:paraId="69920B67" w14:textId="22CC6DB9" w:rsidR="00805F8B" w:rsidRDefault="00805F8B" w:rsidP="00DD4BC3">
      <w:pPr>
        <w:spacing w:after="0" w:line="240" w:lineRule="auto"/>
      </w:pPr>
    </w:p>
    <w:p w14:paraId="179A1CFD" w14:textId="6C09FB61" w:rsidR="00805F8B" w:rsidRPr="00805F8B" w:rsidRDefault="00805F8B" w:rsidP="00DD4BC3">
      <w:pPr>
        <w:spacing w:after="0" w:line="240" w:lineRule="auto"/>
        <w:rPr>
          <w:rFonts w:ascii="Arial" w:hAnsi="Arial" w:cs="Arial"/>
        </w:rPr>
      </w:pPr>
      <w:r>
        <w:rPr>
          <w:rFonts w:ascii="Arial" w:hAnsi="Arial" w:cs="Arial"/>
        </w:rPr>
        <w:t>The National Archive</w:t>
      </w:r>
    </w:p>
    <w:p w14:paraId="55FE5170" w14:textId="18871ED1" w:rsidR="00805F8B" w:rsidRDefault="00805F8B" w:rsidP="00DD4BC3">
      <w:pPr>
        <w:spacing w:after="0" w:line="240" w:lineRule="auto"/>
      </w:pPr>
    </w:p>
    <w:p w14:paraId="12B5E556" w14:textId="640A8B39" w:rsidR="00805F8B" w:rsidRDefault="00805F8B" w:rsidP="00DD4BC3">
      <w:pPr>
        <w:spacing w:after="0" w:line="240" w:lineRule="auto"/>
        <w:rPr>
          <w:rFonts w:ascii="Arial" w:hAnsi="Arial" w:cs="Arial"/>
        </w:rPr>
      </w:pPr>
      <w:r>
        <w:rPr>
          <w:rFonts w:ascii="Arial" w:hAnsi="Arial" w:cs="Arial"/>
        </w:rPr>
        <w:t>MT33/200. Advisory Committee on London Traffic Minutes 1919-1920.</w:t>
      </w:r>
    </w:p>
    <w:p w14:paraId="038BF828" w14:textId="03A95CDF" w:rsidR="00805F8B" w:rsidRDefault="00805F8B" w:rsidP="00DD4BC3">
      <w:pPr>
        <w:spacing w:after="0" w:line="240" w:lineRule="auto"/>
        <w:rPr>
          <w:rFonts w:ascii="Arial" w:hAnsi="Arial" w:cs="Arial"/>
        </w:rPr>
      </w:pPr>
      <w:r>
        <w:rPr>
          <w:rFonts w:ascii="Arial" w:hAnsi="Arial" w:cs="Arial"/>
        </w:rPr>
        <w:t>MT33/246. Conference of Representatives of the UERL and the LCC on the Governance of London Traffic, 21</w:t>
      </w:r>
      <w:r w:rsidRPr="00805F8B">
        <w:rPr>
          <w:rFonts w:ascii="Arial" w:hAnsi="Arial" w:cs="Arial"/>
          <w:vertAlign w:val="superscript"/>
        </w:rPr>
        <w:t>st</w:t>
      </w:r>
      <w:r>
        <w:rPr>
          <w:rFonts w:ascii="Arial" w:hAnsi="Arial" w:cs="Arial"/>
        </w:rPr>
        <w:t xml:space="preserve"> July 1920.</w:t>
      </w:r>
    </w:p>
    <w:p w14:paraId="43D89661" w14:textId="77777777" w:rsidR="00CA3172" w:rsidRDefault="00CA3172" w:rsidP="00DD4BC3">
      <w:pPr>
        <w:spacing w:after="0" w:line="240" w:lineRule="auto"/>
        <w:rPr>
          <w:rFonts w:ascii="Arial" w:hAnsi="Arial" w:cs="Arial"/>
        </w:rPr>
      </w:pPr>
    </w:p>
    <w:p w14:paraId="48C612B0" w14:textId="77777777" w:rsidR="007A579C" w:rsidRDefault="00A118AB" w:rsidP="007A579C">
      <w:pPr>
        <w:spacing w:after="0" w:line="240" w:lineRule="auto"/>
        <w:rPr>
          <w:rFonts w:ascii="Arial" w:hAnsi="Arial" w:cs="Arial"/>
          <w:b/>
          <w:bCs/>
        </w:rPr>
      </w:pPr>
      <w:r>
        <w:rPr>
          <w:rFonts w:ascii="Arial" w:hAnsi="Arial" w:cs="Arial"/>
          <w:b/>
          <w:bCs/>
        </w:rPr>
        <w:t>Secondary Sources</w:t>
      </w:r>
    </w:p>
    <w:p w14:paraId="16F3A360" w14:textId="77777777" w:rsidR="007A579C" w:rsidRDefault="007A579C" w:rsidP="007A579C">
      <w:pPr>
        <w:spacing w:after="0" w:line="240" w:lineRule="auto"/>
        <w:rPr>
          <w:rFonts w:ascii="Arial" w:hAnsi="Arial" w:cs="Arial"/>
          <w:b/>
          <w:bCs/>
        </w:rPr>
      </w:pPr>
    </w:p>
    <w:p w14:paraId="6C967DD7" w14:textId="017E7D83" w:rsidR="007064E9" w:rsidRPr="007A579C" w:rsidRDefault="007064E9" w:rsidP="00CA3172">
      <w:pPr>
        <w:spacing w:after="0" w:line="240" w:lineRule="auto"/>
        <w:rPr>
          <w:rFonts w:ascii="Arial" w:hAnsi="Arial" w:cs="Arial"/>
          <w:b/>
          <w:bCs/>
          <w:color w:val="000000" w:themeColor="text1"/>
        </w:rPr>
      </w:pPr>
      <w:proofErr w:type="spellStart"/>
      <w:r w:rsidRPr="007A579C">
        <w:rPr>
          <w:rFonts w:ascii="Arial" w:hAnsi="Arial" w:cs="Arial"/>
          <w:color w:val="000000" w:themeColor="text1"/>
        </w:rPr>
        <w:t>Alcock</w:t>
      </w:r>
      <w:proofErr w:type="spellEnd"/>
      <w:r w:rsidRPr="007A579C">
        <w:rPr>
          <w:rFonts w:ascii="Arial" w:hAnsi="Arial" w:cs="Arial"/>
          <w:color w:val="000000" w:themeColor="text1"/>
        </w:rPr>
        <w:t xml:space="preserve">, P. (2016) The History of Third Sector Delivery in the UK. In </w:t>
      </w:r>
      <w:r w:rsidR="007A579C" w:rsidRPr="007A579C">
        <w:rPr>
          <w:rFonts w:ascii="Arial" w:hAnsi="Arial" w:cs="Arial"/>
          <w:color w:val="000000" w:themeColor="text1"/>
        </w:rPr>
        <w:t xml:space="preserve">J Rees and D Mullins (Eds.), </w:t>
      </w:r>
      <w:r w:rsidR="007A579C" w:rsidRPr="007A579C">
        <w:rPr>
          <w:rFonts w:ascii="Arial" w:hAnsi="Arial" w:cs="Arial"/>
          <w:i/>
          <w:iCs/>
          <w:color w:val="000000" w:themeColor="text1"/>
        </w:rPr>
        <w:t>The Third Sector Delivering Public Services, Developments, Innovations and Challenges</w:t>
      </w:r>
      <w:r w:rsidR="007A579C">
        <w:rPr>
          <w:rFonts w:ascii="Arial" w:hAnsi="Arial" w:cs="Arial"/>
          <w:color w:val="000000" w:themeColor="text1"/>
        </w:rPr>
        <w:t xml:space="preserve"> pp21-39. Bristol: Policy Press.</w:t>
      </w:r>
    </w:p>
    <w:p w14:paraId="09AD6DFE" w14:textId="5935151A" w:rsidR="008A10E8" w:rsidRPr="008A10E8" w:rsidRDefault="008A10E8" w:rsidP="00CA3172">
      <w:pPr>
        <w:autoSpaceDE w:val="0"/>
        <w:autoSpaceDN w:val="0"/>
        <w:adjustRightInd w:val="0"/>
        <w:spacing w:after="0" w:line="240" w:lineRule="auto"/>
        <w:rPr>
          <w:rFonts w:ascii="Arial" w:eastAsia="AdvTimes" w:hAnsi="Arial" w:cs="Arial"/>
        </w:rPr>
      </w:pPr>
      <w:r w:rsidRPr="008A10E8">
        <w:rPr>
          <w:rFonts w:ascii="Arial" w:eastAsia="AdvTimes" w:hAnsi="Arial" w:cs="Arial"/>
        </w:rPr>
        <w:t>Altman, E.</w:t>
      </w:r>
      <w:r>
        <w:rPr>
          <w:rFonts w:ascii="Arial" w:eastAsia="AdvTimes" w:hAnsi="Arial" w:cs="Arial"/>
        </w:rPr>
        <w:t xml:space="preserve"> (1968) </w:t>
      </w:r>
      <w:r w:rsidRPr="008A10E8">
        <w:rPr>
          <w:rFonts w:ascii="Arial" w:eastAsia="AdvTimes" w:hAnsi="Arial" w:cs="Arial"/>
        </w:rPr>
        <w:t>Financial Ratios, Discriminant Analysis and the Prediction of Corporate</w:t>
      </w:r>
    </w:p>
    <w:p w14:paraId="2BD4B1B9" w14:textId="71D7975E" w:rsidR="008A10E8" w:rsidRPr="008A10E8" w:rsidRDefault="008A10E8" w:rsidP="00CA3172">
      <w:pPr>
        <w:spacing w:after="0" w:line="240" w:lineRule="auto"/>
        <w:rPr>
          <w:rFonts w:ascii="Arial" w:hAnsi="Arial" w:cs="Arial"/>
        </w:rPr>
      </w:pPr>
      <w:r w:rsidRPr="008A10E8">
        <w:rPr>
          <w:rFonts w:ascii="Arial" w:eastAsia="AdvTimes" w:hAnsi="Arial" w:cs="Arial"/>
        </w:rPr>
        <w:t xml:space="preserve">Bankruptcy, </w:t>
      </w:r>
      <w:r w:rsidRPr="008A10E8">
        <w:rPr>
          <w:rFonts w:ascii="Arial" w:eastAsia="AdvTimes" w:hAnsi="Arial" w:cs="Arial"/>
          <w:i/>
          <w:iCs/>
        </w:rPr>
        <w:t>Journal of Finance</w:t>
      </w:r>
      <w:r>
        <w:rPr>
          <w:rFonts w:ascii="Arial" w:eastAsia="AdvTimes" w:hAnsi="Arial" w:cs="Arial"/>
        </w:rPr>
        <w:t xml:space="preserve">, </w:t>
      </w:r>
      <w:r w:rsidRPr="008A10E8">
        <w:rPr>
          <w:rFonts w:ascii="Arial" w:eastAsia="AdvTimes" w:hAnsi="Arial" w:cs="Arial"/>
        </w:rPr>
        <w:t>23 pp. 589–609.</w:t>
      </w:r>
    </w:p>
    <w:p w14:paraId="5FA1367D" w14:textId="3E339A59" w:rsidR="00F04E66" w:rsidRPr="00F04E66" w:rsidRDefault="00F04E66" w:rsidP="00CA3172">
      <w:pPr>
        <w:autoSpaceDE w:val="0"/>
        <w:autoSpaceDN w:val="0"/>
        <w:adjustRightInd w:val="0"/>
        <w:spacing w:after="0" w:line="240" w:lineRule="auto"/>
        <w:rPr>
          <w:rFonts w:ascii="Arial" w:hAnsi="Arial" w:cs="Arial"/>
        </w:rPr>
      </w:pPr>
      <w:r>
        <w:rPr>
          <w:rFonts w:ascii="Arial" w:hAnsi="Arial" w:cs="Arial"/>
        </w:rPr>
        <w:t>Altman, E</w:t>
      </w:r>
      <w:r w:rsidRPr="00F04E66">
        <w:rPr>
          <w:rFonts w:ascii="Arial" w:hAnsi="Arial" w:cs="Arial"/>
        </w:rPr>
        <w:t xml:space="preserve">., </w:t>
      </w:r>
      <w:proofErr w:type="spellStart"/>
      <w:r w:rsidRPr="00F04E66">
        <w:rPr>
          <w:rFonts w:ascii="Arial" w:hAnsi="Arial" w:cs="Arial"/>
        </w:rPr>
        <w:t>Iwanicz-Drozdowska</w:t>
      </w:r>
      <w:proofErr w:type="spellEnd"/>
      <w:r w:rsidRPr="00F04E66">
        <w:rPr>
          <w:rFonts w:ascii="Arial" w:hAnsi="Arial" w:cs="Arial"/>
        </w:rPr>
        <w:t xml:space="preserve">, M., </w:t>
      </w:r>
      <w:proofErr w:type="spellStart"/>
      <w:r w:rsidRPr="00F04E66">
        <w:rPr>
          <w:rFonts w:ascii="Arial" w:hAnsi="Arial" w:cs="Arial"/>
        </w:rPr>
        <w:t>Laitinen</w:t>
      </w:r>
      <w:proofErr w:type="spellEnd"/>
      <w:r w:rsidRPr="00F04E66">
        <w:rPr>
          <w:rFonts w:ascii="Arial" w:hAnsi="Arial" w:cs="Arial"/>
        </w:rPr>
        <w:t xml:space="preserve">, E and </w:t>
      </w:r>
      <w:proofErr w:type="spellStart"/>
      <w:r w:rsidRPr="00F04E66">
        <w:rPr>
          <w:rFonts w:ascii="Arial" w:hAnsi="Arial" w:cs="Arial"/>
        </w:rPr>
        <w:t>Suvas</w:t>
      </w:r>
      <w:proofErr w:type="spellEnd"/>
      <w:r w:rsidRPr="00F04E66">
        <w:rPr>
          <w:rFonts w:ascii="Arial" w:hAnsi="Arial" w:cs="Arial"/>
        </w:rPr>
        <w:t>, A. (2017)</w:t>
      </w:r>
      <w:r>
        <w:rPr>
          <w:rFonts w:ascii="Arial" w:hAnsi="Arial" w:cs="Arial"/>
        </w:rPr>
        <w:t xml:space="preserve"> </w:t>
      </w:r>
      <w:r w:rsidRPr="00F04E66">
        <w:rPr>
          <w:rFonts w:ascii="Arial" w:hAnsi="Arial" w:cs="Arial"/>
        </w:rPr>
        <w:t>Financial Distress Prediction in an International</w:t>
      </w:r>
      <w:r>
        <w:rPr>
          <w:rFonts w:ascii="Arial" w:hAnsi="Arial" w:cs="Arial"/>
        </w:rPr>
        <w:t xml:space="preserve"> </w:t>
      </w:r>
      <w:r w:rsidRPr="00F04E66">
        <w:rPr>
          <w:rFonts w:ascii="Arial" w:hAnsi="Arial" w:cs="Arial"/>
        </w:rPr>
        <w:t>Context: A Review and Empirical</w:t>
      </w:r>
      <w:r>
        <w:rPr>
          <w:rFonts w:ascii="Arial" w:hAnsi="Arial" w:cs="Arial"/>
        </w:rPr>
        <w:t xml:space="preserve"> </w:t>
      </w:r>
      <w:r w:rsidRPr="00F04E66">
        <w:rPr>
          <w:rFonts w:ascii="Arial" w:hAnsi="Arial" w:cs="Arial"/>
        </w:rPr>
        <w:t>Analysis of Altman’s Z-Score Model</w:t>
      </w:r>
      <w:r>
        <w:rPr>
          <w:rFonts w:ascii="Arial" w:hAnsi="Arial" w:cs="Arial"/>
        </w:rPr>
        <w:t xml:space="preserve">, </w:t>
      </w:r>
      <w:r w:rsidRPr="00F04E66">
        <w:rPr>
          <w:rFonts w:ascii="Arial" w:hAnsi="Arial" w:cs="Arial"/>
          <w:i/>
          <w:iCs/>
        </w:rPr>
        <w:t>Journal of International Financial Management &amp; Accounting</w:t>
      </w:r>
      <w:r>
        <w:rPr>
          <w:rFonts w:ascii="Arial" w:hAnsi="Arial" w:cs="Arial"/>
        </w:rPr>
        <w:t>,</w:t>
      </w:r>
      <w:r w:rsidRPr="00F04E66">
        <w:rPr>
          <w:rFonts w:ascii="Arial" w:hAnsi="Arial" w:cs="Arial"/>
        </w:rPr>
        <w:t xml:space="preserve"> </w:t>
      </w:r>
      <w:r w:rsidRPr="00F04E66">
        <w:rPr>
          <w:rFonts w:ascii="Arial" w:eastAsia="AdvTimes" w:hAnsi="Arial" w:cs="Arial"/>
        </w:rPr>
        <w:t>28</w:t>
      </w:r>
      <w:r>
        <w:rPr>
          <w:rFonts w:ascii="Arial" w:eastAsia="AdvTimes" w:hAnsi="Arial" w:cs="Arial"/>
        </w:rPr>
        <w:t>(</w:t>
      </w:r>
      <w:r w:rsidRPr="00F04E66">
        <w:rPr>
          <w:rFonts w:ascii="Arial" w:eastAsia="AdvTimes" w:hAnsi="Arial" w:cs="Arial"/>
        </w:rPr>
        <w:t>2</w:t>
      </w:r>
      <w:r>
        <w:rPr>
          <w:rFonts w:ascii="Arial" w:eastAsia="AdvTimes" w:hAnsi="Arial" w:cs="Arial"/>
        </w:rPr>
        <w:t>)</w:t>
      </w:r>
      <w:r w:rsidRPr="00F04E66">
        <w:rPr>
          <w:rFonts w:ascii="Arial" w:eastAsia="AdvTimes" w:hAnsi="Arial" w:cs="Arial"/>
        </w:rPr>
        <w:t xml:space="preserve"> </w:t>
      </w:r>
      <w:r>
        <w:rPr>
          <w:rFonts w:ascii="Arial" w:eastAsia="AdvTimes" w:hAnsi="Arial" w:cs="Arial"/>
        </w:rPr>
        <w:t>pp138-162.</w:t>
      </w:r>
    </w:p>
    <w:p w14:paraId="5CAB1861" w14:textId="13B6E319" w:rsidR="00631981" w:rsidRDefault="00631981" w:rsidP="00CA3172">
      <w:pPr>
        <w:spacing w:after="0" w:line="240" w:lineRule="auto"/>
        <w:rPr>
          <w:rFonts w:ascii="Arial" w:hAnsi="Arial" w:cs="Arial"/>
        </w:rPr>
      </w:pPr>
      <w:r>
        <w:rPr>
          <w:rFonts w:ascii="Arial" w:hAnsi="Arial" w:cs="Arial"/>
        </w:rPr>
        <w:t>Barker, T &amp; Robbins, M. (197</w:t>
      </w:r>
      <w:r w:rsidR="00141113">
        <w:rPr>
          <w:rFonts w:ascii="Arial" w:hAnsi="Arial" w:cs="Arial"/>
        </w:rPr>
        <w:t>6</w:t>
      </w:r>
      <w:r>
        <w:rPr>
          <w:rFonts w:ascii="Arial" w:hAnsi="Arial" w:cs="Arial"/>
        </w:rPr>
        <w:t xml:space="preserve">) </w:t>
      </w:r>
      <w:r>
        <w:rPr>
          <w:rFonts w:ascii="Arial" w:hAnsi="Arial" w:cs="Arial"/>
          <w:i/>
          <w:iCs/>
        </w:rPr>
        <w:t xml:space="preserve">A History of London Transport, </w:t>
      </w:r>
      <w:r>
        <w:rPr>
          <w:rFonts w:ascii="Arial" w:hAnsi="Arial" w:cs="Arial"/>
        </w:rPr>
        <w:t>London: Allen and Unwin.</w:t>
      </w:r>
    </w:p>
    <w:p w14:paraId="6A32F120" w14:textId="3A3FB877" w:rsidR="00B3523F" w:rsidRDefault="00B3523F" w:rsidP="00CA3172">
      <w:pPr>
        <w:spacing w:after="0" w:line="240" w:lineRule="auto"/>
        <w:rPr>
          <w:rFonts w:ascii="Arial" w:hAnsi="Arial" w:cs="Arial"/>
        </w:rPr>
      </w:pPr>
      <w:r>
        <w:rPr>
          <w:rFonts w:ascii="Arial" w:hAnsi="Arial" w:cs="Arial"/>
        </w:rPr>
        <w:t xml:space="preserve">Barman, C. (1979) </w:t>
      </w:r>
      <w:r w:rsidRPr="00B3523F">
        <w:rPr>
          <w:rFonts w:ascii="Arial" w:hAnsi="Arial" w:cs="Arial"/>
          <w:i/>
          <w:iCs/>
        </w:rPr>
        <w:t>The Man Who Built London Transport</w:t>
      </w:r>
      <w:r>
        <w:rPr>
          <w:rFonts w:ascii="Arial" w:hAnsi="Arial" w:cs="Arial"/>
        </w:rPr>
        <w:t>, London: David &amp; Charles.</w:t>
      </w:r>
    </w:p>
    <w:p w14:paraId="76096157" w14:textId="3BFC181C" w:rsidR="00631C18" w:rsidRPr="0016710D" w:rsidRDefault="00631C18" w:rsidP="0016710D">
      <w:pPr>
        <w:pStyle w:val="NormalWeb"/>
        <w:spacing w:before="0" w:beforeAutospacing="0" w:after="0" w:afterAutospacing="0"/>
        <w:rPr>
          <w:rFonts w:ascii="Arial" w:hAnsi="Arial" w:cs="Arial"/>
          <w:sz w:val="22"/>
          <w:szCs w:val="22"/>
        </w:rPr>
      </w:pPr>
      <w:r w:rsidRPr="0016710D">
        <w:rPr>
          <w:rFonts w:ascii="Arial" w:hAnsi="Arial" w:cs="Arial"/>
          <w:sz w:val="22"/>
          <w:szCs w:val="22"/>
        </w:rPr>
        <w:t xml:space="preserve">Battilana, J., and S. Dorado. </w:t>
      </w:r>
      <w:r w:rsidR="0016710D">
        <w:rPr>
          <w:rFonts w:ascii="Arial" w:hAnsi="Arial" w:cs="Arial"/>
          <w:sz w:val="22"/>
          <w:szCs w:val="22"/>
        </w:rPr>
        <w:t>(</w:t>
      </w:r>
      <w:r w:rsidRPr="0016710D">
        <w:rPr>
          <w:rFonts w:ascii="Arial" w:hAnsi="Arial" w:cs="Arial"/>
          <w:sz w:val="22"/>
          <w:szCs w:val="22"/>
        </w:rPr>
        <w:t>2010</w:t>
      </w:r>
      <w:r w:rsidR="0016710D">
        <w:rPr>
          <w:rFonts w:ascii="Arial" w:hAnsi="Arial" w:cs="Arial"/>
          <w:sz w:val="22"/>
          <w:szCs w:val="22"/>
        </w:rPr>
        <w:t xml:space="preserve">) </w:t>
      </w:r>
      <w:r w:rsidRPr="0016710D">
        <w:rPr>
          <w:rFonts w:ascii="Arial" w:hAnsi="Arial" w:cs="Arial"/>
          <w:sz w:val="22"/>
          <w:szCs w:val="22"/>
        </w:rPr>
        <w:t xml:space="preserve">Building Sustainable Hybrid Organizations: The Case of Commercial Microfinance Organizations. </w:t>
      </w:r>
      <w:r w:rsidRPr="0016710D">
        <w:rPr>
          <w:rFonts w:ascii="Arial" w:hAnsi="Arial" w:cs="Arial"/>
          <w:i/>
          <w:iCs/>
          <w:sz w:val="22"/>
          <w:szCs w:val="22"/>
        </w:rPr>
        <w:t xml:space="preserve">Academy of Management Journal </w:t>
      </w:r>
      <w:r w:rsidRPr="0016710D">
        <w:rPr>
          <w:rFonts w:ascii="Arial" w:hAnsi="Arial" w:cs="Arial"/>
          <w:sz w:val="22"/>
          <w:szCs w:val="22"/>
        </w:rPr>
        <w:t xml:space="preserve">53 (6): 1419–1440. doi:10.5465/AMJ.2010.57318391. </w:t>
      </w:r>
    </w:p>
    <w:p w14:paraId="45EA3CF1" w14:textId="6778D6DE" w:rsidR="005B2746" w:rsidRPr="005B2746" w:rsidRDefault="00066108" w:rsidP="005B2746">
      <w:pPr>
        <w:autoSpaceDE w:val="0"/>
        <w:autoSpaceDN w:val="0"/>
        <w:adjustRightInd w:val="0"/>
        <w:spacing w:after="0" w:line="240" w:lineRule="auto"/>
        <w:rPr>
          <w:rFonts w:ascii="Arial" w:hAnsi="Arial" w:cs="Arial"/>
          <w:color w:val="000000" w:themeColor="text1"/>
        </w:rPr>
      </w:pPr>
      <w:r w:rsidRPr="005B2746">
        <w:rPr>
          <w:rFonts w:ascii="Arial" w:hAnsi="Arial" w:cs="Arial"/>
          <w:color w:val="000000" w:themeColor="text1"/>
        </w:rPr>
        <w:t>Battilana</w:t>
      </w:r>
      <w:r w:rsidR="005B2746" w:rsidRPr="005B2746">
        <w:rPr>
          <w:rFonts w:ascii="Arial" w:hAnsi="Arial" w:cs="Arial"/>
          <w:color w:val="000000" w:themeColor="text1"/>
        </w:rPr>
        <w:t>, J. &amp; Lee, M. (2014) Advancing Research on Hybrid Organizing –</w:t>
      </w:r>
    </w:p>
    <w:p w14:paraId="557DFF83" w14:textId="731245BA" w:rsidR="005B2746" w:rsidRPr="005B2746" w:rsidRDefault="005B2746" w:rsidP="005B2746">
      <w:pPr>
        <w:autoSpaceDE w:val="0"/>
        <w:autoSpaceDN w:val="0"/>
        <w:adjustRightInd w:val="0"/>
        <w:spacing w:after="0" w:line="240" w:lineRule="auto"/>
        <w:rPr>
          <w:rFonts w:ascii="Arial" w:hAnsi="Arial" w:cs="Arial"/>
          <w:color w:val="000000" w:themeColor="text1"/>
        </w:rPr>
      </w:pPr>
      <w:r w:rsidRPr="005B2746">
        <w:rPr>
          <w:rFonts w:ascii="Arial" w:hAnsi="Arial" w:cs="Arial"/>
          <w:color w:val="000000" w:themeColor="text1"/>
        </w:rPr>
        <w:lastRenderedPageBreak/>
        <w:t xml:space="preserve">Insights from the Study of Social Enterprises, </w:t>
      </w:r>
      <w:r w:rsidRPr="005B2746">
        <w:rPr>
          <w:rFonts w:ascii="Arial" w:hAnsi="Arial" w:cs="Arial"/>
          <w:i/>
          <w:iCs/>
          <w:color w:val="000000" w:themeColor="text1"/>
        </w:rPr>
        <w:t>The Academy of Management Annals</w:t>
      </w:r>
      <w:r w:rsidRPr="005B2746">
        <w:rPr>
          <w:rFonts w:ascii="Arial" w:hAnsi="Arial" w:cs="Arial"/>
          <w:color w:val="000000" w:themeColor="text1"/>
        </w:rPr>
        <w:t>,</w:t>
      </w:r>
    </w:p>
    <w:p w14:paraId="39948AE4" w14:textId="796190BF" w:rsidR="00066108" w:rsidRPr="005B2746" w:rsidRDefault="005B2746" w:rsidP="005B2746">
      <w:pPr>
        <w:spacing w:after="0" w:line="240" w:lineRule="auto"/>
        <w:rPr>
          <w:rFonts w:ascii="Arial" w:hAnsi="Arial" w:cs="Arial"/>
          <w:color w:val="000000" w:themeColor="text1"/>
        </w:rPr>
      </w:pPr>
      <w:r w:rsidRPr="005B2746">
        <w:rPr>
          <w:rFonts w:ascii="Arial" w:hAnsi="Arial" w:cs="Arial"/>
          <w:color w:val="000000" w:themeColor="text1"/>
        </w:rPr>
        <w:t>8(1), pp397–441,</w:t>
      </w:r>
    </w:p>
    <w:p w14:paraId="69976C15" w14:textId="246020C5" w:rsidR="00F971C1" w:rsidRDefault="00F971C1" w:rsidP="00F971C1">
      <w:pPr>
        <w:autoSpaceDE w:val="0"/>
        <w:autoSpaceDN w:val="0"/>
        <w:adjustRightInd w:val="0"/>
        <w:spacing w:after="0" w:line="240" w:lineRule="auto"/>
        <w:rPr>
          <w:rFonts w:ascii="Arial" w:hAnsi="Arial" w:cs="Arial"/>
        </w:rPr>
      </w:pPr>
      <w:proofErr w:type="spellStart"/>
      <w:r w:rsidRPr="00F971C1">
        <w:rPr>
          <w:rFonts w:ascii="Arial" w:hAnsi="Arial" w:cs="Arial"/>
        </w:rPr>
        <w:t>Berghoff</w:t>
      </w:r>
      <w:proofErr w:type="spellEnd"/>
      <w:r w:rsidRPr="00F971C1">
        <w:rPr>
          <w:rFonts w:ascii="Arial" w:hAnsi="Arial" w:cs="Arial"/>
        </w:rPr>
        <w:t xml:space="preserve">, H. (2013) Blending personal and managerial capitalism: Bertelsmann's rise from medium-sized publisher to global media corporation and service provider, 1950–2010, </w:t>
      </w:r>
      <w:r w:rsidRPr="00F971C1">
        <w:rPr>
          <w:rFonts w:ascii="Arial" w:hAnsi="Arial" w:cs="Arial"/>
          <w:i/>
          <w:iCs/>
        </w:rPr>
        <w:t>Business History,</w:t>
      </w:r>
      <w:r w:rsidRPr="00F971C1">
        <w:rPr>
          <w:rFonts w:ascii="Arial" w:hAnsi="Arial" w:cs="Arial"/>
        </w:rPr>
        <w:t xml:space="preserve"> 55(6), pp855-874.</w:t>
      </w:r>
    </w:p>
    <w:p w14:paraId="16D5D9CB" w14:textId="744BE88E" w:rsidR="00F322F3" w:rsidRDefault="00F322F3" w:rsidP="00F971C1">
      <w:pPr>
        <w:autoSpaceDE w:val="0"/>
        <w:autoSpaceDN w:val="0"/>
        <w:adjustRightInd w:val="0"/>
        <w:spacing w:after="0" w:line="240" w:lineRule="auto"/>
        <w:rPr>
          <w:rFonts w:ascii="Arial" w:hAnsi="Arial" w:cs="Arial"/>
        </w:rPr>
      </w:pPr>
      <w:proofErr w:type="spellStart"/>
      <w:r>
        <w:rPr>
          <w:rFonts w:ascii="Arial" w:hAnsi="Arial" w:cs="Arial"/>
        </w:rPr>
        <w:t>Bevir</w:t>
      </w:r>
      <w:proofErr w:type="spellEnd"/>
      <w:r>
        <w:rPr>
          <w:rFonts w:ascii="Arial" w:hAnsi="Arial" w:cs="Arial"/>
        </w:rPr>
        <w:t xml:space="preserve">, M. &amp; Rhodes, W. (2003) </w:t>
      </w:r>
      <w:r w:rsidRPr="00F322F3">
        <w:rPr>
          <w:rFonts w:ascii="Arial" w:hAnsi="Arial" w:cs="Arial"/>
          <w:i/>
          <w:iCs/>
        </w:rPr>
        <w:t>Interpreting British Governance</w:t>
      </w:r>
      <w:r>
        <w:rPr>
          <w:rFonts w:ascii="Arial" w:hAnsi="Arial" w:cs="Arial"/>
        </w:rPr>
        <w:t xml:space="preserve">, London: Routledge. </w:t>
      </w:r>
    </w:p>
    <w:p w14:paraId="18733DC1" w14:textId="63EDD9B1" w:rsidR="00B34D2D" w:rsidRDefault="00B34D2D" w:rsidP="00B34D2D">
      <w:pPr>
        <w:spacing w:after="0" w:line="240" w:lineRule="auto"/>
        <w:rPr>
          <w:rFonts w:ascii="Arial" w:hAnsi="Arial" w:cs="Arial"/>
        </w:rPr>
      </w:pPr>
      <w:proofErr w:type="spellStart"/>
      <w:r w:rsidRPr="00B34D2D">
        <w:rPr>
          <w:rFonts w:ascii="Arial" w:hAnsi="Arial" w:cs="Arial"/>
          <w:lang w:val="en-US"/>
        </w:rPr>
        <w:t>Billis</w:t>
      </w:r>
      <w:proofErr w:type="spellEnd"/>
      <w:r w:rsidRPr="00B34D2D">
        <w:rPr>
          <w:rFonts w:ascii="Arial" w:hAnsi="Arial" w:cs="Arial"/>
          <w:lang w:val="en-US"/>
        </w:rPr>
        <w:t xml:space="preserve">, D. 2010, “Towards a Theory of Hybrid Organizations” in </w:t>
      </w:r>
      <w:proofErr w:type="spellStart"/>
      <w:r w:rsidRPr="00B34D2D">
        <w:rPr>
          <w:rFonts w:ascii="Arial" w:hAnsi="Arial" w:cs="Arial"/>
          <w:lang w:val="en-US"/>
        </w:rPr>
        <w:t>Billis</w:t>
      </w:r>
      <w:proofErr w:type="spellEnd"/>
      <w:r w:rsidRPr="00B34D2D">
        <w:rPr>
          <w:rFonts w:ascii="Arial" w:hAnsi="Arial" w:cs="Arial"/>
          <w:lang w:val="en-US"/>
        </w:rPr>
        <w:t>, D. (Ed.),</w:t>
      </w:r>
      <w:r w:rsidRPr="00B34D2D">
        <w:rPr>
          <w:rFonts w:ascii="Arial" w:hAnsi="Arial" w:cs="Arial"/>
          <w:i/>
          <w:lang w:val="en-US"/>
        </w:rPr>
        <w:t xml:space="preserve"> </w:t>
      </w:r>
      <w:r w:rsidRPr="00B34D2D">
        <w:rPr>
          <w:rFonts w:ascii="Arial" w:hAnsi="Arial" w:cs="Arial"/>
          <w:i/>
          <w:iCs/>
          <w:lang w:val="en-US"/>
        </w:rPr>
        <w:t>Hybrid Organizations and the Third Sector</w:t>
      </w:r>
      <w:r w:rsidRPr="00B34D2D">
        <w:rPr>
          <w:rFonts w:ascii="Arial" w:hAnsi="Arial" w:cs="Arial"/>
          <w:i/>
        </w:rPr>
        <w:t>: challenges for practice, theory and policy</w:t>
      </w:r>
      <w:r w:rsidRPr="00B34D2D">
        <w:rPr>
          <w:rFonts w:ascii="Arial" w:hAnsi="Arial" w:cs="Arial"/>
        </w:rPr>
        <w:t>, Basingstoke, UK: Palgrave Macmillan.</w:t>
      </w:r>
    </w:p>
    <w:p w14:paraId="4CB6433F" w14:textId="3448B253" w:rsidR="00141113" w:rsidRPr="00141113" w:rsidRDefault="00141113" w:rsidP="00141113">
      <w:pPr>
        <w:autoSpaceDE w:val="0"/>
        <w:autoSpaceDN w:val="0"/>
        <w:adjustRightInd w:val="0"/>
        <w:spacing w:after="0" w:line="240" w:lineRule="auto"/>
        <w:rPr>
          <w:rFonts w:ascii="Arial" w:hAnsi="Arial" w:cs="Arial"/>
        </w:rPr>
      </w:pPr>
      <w:proofErr w:type="spellStart"/>
      <w:r w:rsidRPr="00141113">
        <w:rPr>
          <w:rFonts w:ascii="Arial" w:hAnsi="Arial" w:cs="Arial"/>
        </w:rPr>
        <w:t>Bocarejo</w:t>
      </w:r>
      <w:proofErr w:type="spellEnd"/>
      <w:r w:rsidRPr="00141113">
        <w:rPr>
          <w:rFonts w:ascii="Arial" w:hAnsi="Arial" w:cs="Arial"/>
        </w:rPr>
        <w:t xml:space="preserve">, J., </w:t>
      </w:r>
      <w:proofErr w:type="spellStart"/>
      <w:r w:rsidRPr="00141113">
        <w:rPr>
          <w:rFonts w:ascii="Arial" w:hAnsi="Arial" w:cs="Arial"/>
        </w:rPr>
        <w:t>Portilla</w:t>
      </w:r>
      <w:proofErr w:type="spellEnd"/>
      <w:r w:rsidRPr="00141113">
        <w:rPr>
          <w:rFonts w:ascii="Arial" w:hAnsi="Arial" w:cs="Arial"/>
        </w:rPr>
        <w:t xml:space="preserve">, I., &amp; Perez, M. (2013) Impact of </w:t>
      </w:r>
      <w:proofErr w:type="spellStart"/>
      <w:r w:rsidRPr="00141113">
        <w:rPr>
          <w:rFonts w:ascii="Arial" w:hAnsi="Arial" w:cs="Arial"/>
        </w:rPr>
        <w:t>Transmilenio</w:t>
      </w:r>
      <w:proofErr w:type="spellEnd"/>
      <w:r w:rsidRPr="00141113">
        <w:rPr>
          <w:rFonts w:ascii="Arial" w:hAnsi="Arial" w:cs="Arial"/>
        </w:rPr>
        <w:t xml:space="preserve"> on density, land use, and land value in Bogotá, </w:t>
      </w:r>
      <w:r w:rsidRPr="00141113">
        <w:rPr>
          <w:rFonts w:ascii="Arial" w:hAnsi="Arial" w:cs="Arial"/>
          <w:i/>
          <w:iCs/>
        </w:rPr>
        <w:t>Research in Transportation Economics</w:t>
      </w:r>
      <w:r w:rsidRPr="00141113">
        <w:rPr>
          <w:rFonts w:ascii="Arial" w:hAnsi="Arial" w:cs="Arial"/>
        </w:rPr>
        <w:t xml:space="preserve"> 40</w:t>
      </w:r>
      <w:r>
        <w:rPr>
          <w:rFonts w:ascii="Arial" w:hAnsi="Arial" w:cs="Arial"/>
        </w:rPr>
        <w:t>(1)</w:t>
      </w:r>
      <w:r w:rsidRPr="00141113">
        <w:rPr>
          <w:rFonts w:ascii="Arial" w:hAnsi="Arial" w:cs="Arial"/>
        </w:rPr>
        <w:t xml:space="preserve"> </w:t>
      </w:r>
      <w:r>
        <w:rPr>
          <w:rFonts w:ascii="Arial" w:hAnsi="Arial" w:cs="Arial"/>
        </w:rPr>
        <w:t>pp</w:t>
      </w:r>
      <w:r w:rsidRPr="00141113">
        <w:rPr>
          <w:rFonts w:ascii="Arial" w:hAnsi="Arial" w:cs="Arial"/>
        </w:rPr>
        <w:t>78</w:t>
      </w:r>
      <w:r>
        <w:rPr>
          <w:rFonts w:ascii="Arial" w:hAnsi="Arial" w:cs="Arial"/>
        </w:rPr>
        <w:t>-</w:t>
      </w:r>
      <w:r w:rsidRPr="00141113">
        <w:rPr>
          <w:rFonts w:ascii="Arial" w:hAnsi="Arial" w:cs="Arial"/>
        </w:rPr>
        <w:t>86</w:t>
      </w:r>
      <w:r>
        <w:rPr>
          <w:rFonts w:ascii="Arial" w:hAnsi="Arial" w:cs="Arial"/>
        </w:rPr>
        <w:t>.</w:t>
      </w:r>
    </w:p>
    <w:p w14:paraId="4C24A3E9" w14:textId="527E0633" w:rsidR="00921640" w:rsidRDefault="00921640" w:rsidP="00CA3172">
      <w:pPr>
        <w:autoSpaceDE w:val="0"/>
        <w:autoSpaceDN w:val="0"/>
        <w:adjustRightInd w:val="0"/>
        <w:spacing w:after="0" w:line="240" w:lineRule="auto"/>
        <w:rPr>
          <w:rFonts w:ascii="Arial" w:hAnsi="Arial" w:cs="Arial"/>
        </w:rPr>
      </w:pPr>
      <w:r>
        <w:rPr>
          <w:rFonts w:ascii="Arial" w:hAnsi="Arial" w:cs="Arial"/>
        </w:rPr>
        <w:t xml:space="preserve">Bogart, D. (2010) </w:t>
      </w:r>
      <w:r w:rsidRPr="00921640">
        <w:rPr>
          <w:rFonts w:ascii="Arial" w:hAnsi="Arial" w:cs="Arial"/>
        </w:rPr>
        <w:t>A global perspective on railway inefficiency and the rise of state ownership</w:t>
      </w:r>
      <w:r>
        <w:rPr>
          <w:rFonts w:ascii="Arial" w:hAnsi="Arial" w:cs="Arial"/>
        </w:rPr>
        <w:t xml:space="preserve"> </w:t>
      </w:r>
      <w:r w:rsidRPr="00921640">
        <w:rPr>
          <w:rFonts w:ascii="Arial" w:hAnsi="Arial" w:cs="Arial"/>
        </w:rPr>
        <w:t>1880–1912</w:t>
      </w:r>
      <w:r>
        <w:rPr>
          <w:rFonts w:ascii="Arial" w:hAnsi="Arial" w:cs="Arial"/>
        </w:rPr>
        <w:t xml:space="preserve">, </w:t>
      </w:r>
      <w:r w:rsidRPr="00921640">
        <w:rPr>
          <w:rFonts w:ascii="Arial" w:hAnsi="Arial" w:cs="Arial"/>
          <w:i/>
          <w:iCs/>
        </w:rPr>
        <w:t>Explorations in Economic History,</w:t>
      </w:r>
      <w:r w:rsidRPr="00921640">
        <w:rPr>
          <w:rFonts w:ascii="Arial" w:hAnsi="Arial" w:cs="Arial"/>
        </w:rPr>
        <w:t xml:space="preserve"> 47</w:t>
      </w:r>
      <w:r>
        <w:rPr>
          <w:rFonts w:ascii="Arial" w:hAnsi="Arial" w:cs="Arial"/>
        </w:rPr>
        <w:t>,</w:t>
      </w:r>
      <w:r w:rsidRPr="00921640">
        <w:rPr>
          <w:rFonts w:ascii="Arial" w:hAnsi="Arial" w:cs="Arial"/>
        </w:rPr>
        <w:t xml:space="preserve"> </w:t>
      </w:r>
      <w:r>
        <w:rPr>
          <w:rFonts w:ascii="Arial" w:hAnsi="Arial" w:cs="Arial"/>
        </w:rPr>
        <w:t>pp</w:t>
      </w:r>
      <w:r w:rsidRPr="00921640">
        <w:rPr>
          <w:rFonts w:ascii="Arial" w:hAnsi="Arial" w:cs="Arial"/>
        </w:rPr>
        <w:t>158–178</w:t>
      </w:r>
      <w:r>
        <w:rPr>
          <w:rFonts w:ascii="Arial" w:hAnsi="Arial" w:cs="Arial"/>
        </w:rPr>
        <w:t>.</w:t>
      </w:r>
    </w:p>
    <w:p w14:paraId="47C0AB78" w14:textId="2BF487A8" w:rsidR="00844472" w:rsidRPr="00844472" w:rsidRDefault="00844472" w:rsidP="00CA3172">
      <w:pPr>
        <w:autoSpaceDE w:val="0"/>
        <w:autoSpaceDN w:val="0"/>
        <w:adjustRightInd w:val="0"/>
        <w:spacing w:after="0" w:line="240" w:lineRule="auto"/>
        <w:rPr>
          <w:rFonts w:ascii="Arial" w:hAnsi="Arial" w:cs="Arial"/>
        </w:rPr>
      </w:pPr>
      <w:proofErr w:type="spellStart"/>
      <w:r>
        <w:rPr>
          <w:rFonts w:ascii="Arial" w:hAnsi="Arial" w:cs="Arial"/>
        </w:rPr>
        <w:t>Bonavia</w:t>
      </w:r>
      <w:proofErr w:type="spellEnd"/>
      <w:r>
        <w:rPr>
          <w:rFonts w:ascii="Arial" w:hAnsi="Arial" w:cs="Arial"/>
        </w:rPr>
        <w:t xml:space="preserve">, M. (1981) </w:t>
      </w:r>
      <w:r>
        <w:rPr>
          <w:rFonts w:ascii="Arial" w:hAnsi="Arial" w:cs="Arial"/>
          <w:i/>
          <w:iCs/>
        </w:rPr>
        <w:t xml:space="preserve">Railway policy between the wars, </w:t>
      </w:r>
      <w:r>
        <w:rPr>
          <w:rFonts w:ascii="Arial" w:hAnsi="Arial" w:cs="Arial"/>
        </w:rPr>
        <w:t>Manchester: Manchester University Press.</w:t>
      </w:r>
    </w:p>
    <w:p w14:paraId="60FE0720" w14:textId="7B097EA4" w:rsidR="008A5499" w:rsidRPr="008A5499" w:rsidRDefault="008A5499" w:rsidP="00DC547F">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Brandsen</w:t>
      </w:r>
      <w:proofErr w:type="spellEnd"/>
      <w:r>
        <w:rPr>
          <w:rFonts w:ascii="Arial" w:hAnsi="Arial" w:cs="Arial"/>
          <w:color w:val="000000"/>
        </w:rPr>
        <w:t>, T.</w:t>
      </w:r>
      <w:r w:rsidR="00DC547F">
        <w:rPr>
          <w:rFonts w:ascii="Arial" w:hAnsi="Arial" w:cs="Arial"/>
          <w:color w:val="000000"/>
        </w:rPr>
        <w:t xml:space="preserve">, Van de </w:t>
      </w:r>
      <w:proofErr w:type="spellStart"/>
      <w:r w:rsidR="00DC547F">
        <w:rPr>
          <w:rFonts w:ascii="Arial" w:hAnsi="Arial" w:cs="Arial"/>
          <w:color w:val="000000"/>
        </w:rPr>
        <w:t>Donk</w:t>
      </w:r>
      <w:proofErr w:type="spellEnd"/>
      <w:r w:rsidR="00DC547F">
        <w:rPr>
          <w:rFonts w:ascii="Arial" w:hAnsi="Arial" w:cs="Arial"/>
          <w:color w:val="000000"/>
        </w:rPr>
        <w:t xml:space="preserve">, W., &amp; Putters, K. (2005) </w:t>
      </w:r>
      <w:r w:rsidR="00DC547F" w:rsidRPr="008A5499">
        <w:rPr>
          <w:rFonts w:ascii="Arial" w:hAnsi="Arial" w:cs="Arial"/>
          <w:color w:val="000000"/>
        </w:rPr>
        <w:t>Griffins or Chameleons? Hybridity as a Permanent</w:t>
      </w:r>
      <w:r w:rsidR="00DC547F">
        <w:rPr>
          <w:rFonts w:ascii="Arial" w:hAnsi="Arial" w:cs="Arial"/>
          <w:color w:val="000000"/>
        </w:rPr>
        <w:t xml:space="preserve"> </w:t>
      </w:r>
      <w:r w:rsidR="00DC547F" w:rsidRPr="008A5499">
        <w:rPr>
          <w:rFonts w:ascii="Arial" w:hAnsi="Arial" w:cs="Arial"/>
          <w:color w:val="000000"/>
        </w:rPr>
        <w:t>and Inevitable Characteristic of the Third Sector</w:t>
      </w:r>
      <w:r w:rsidR="00DC547F">
        <w:rPr>
          <w:rFonts w:ascii="Arial" w:hAnsi="Arial" w:cs="Arial"/>
          <w:color w:val="000000"/>
        </w:rPr>
        <w:t xml:space="preserve"> </w:t>
      </w:r>
      <w:r w:rsidRPr="008A5499">
        <w:rPr>
          <w:rFonts w:ascii="Arial" w:hAnsi="Arial" w:cs="Arial"/>
          <w:i/>
          <w:iCs/>
          <w:color w:val="000000"/>
        </w:rPr>
        <w:t>Intl Journal of Public Administration</w:t>
      </w:r>
      <w:r w:rsidRPr="008A5499">
        <w:rPr>
          <w:rFonts w:ascii="Arial" w:hAnsi="Arial" w:cs="Arial"/>
          <w:color w:val="000000"/>
        </w:rPr>
        <w:t>, 28</w:t>
      </w:r>
      <w:r w:rsidR="00DC547F">
        <w:rPr>
          <w:rFonts w:ascii="Arial" w:hAnsi="Arial" w:cs="Arial"/>
          <w:color w:val="000000"/>
        </w:rPr>
        <w:t>,</w:t>
      </w:r>
      <w:r w:rsidRPr="008A5499">
        <w:rPr>
          <w:rFonts w:ascii="Arial" w:hAnsi="Arial" w:cs="Arial"/>
          <w:color w:val="000000"/>
        </w:rPr>
        <w:t xml:space="preserve"> </w:t>
      </w:r>
      <w:r w:rsidR="00DC547F">
        <w:rPr>
          <w:rFonts w:ascii="Arial" w:hAnsi="Arial" w:cs="Arial"/>
          <w:color w:val="000000"/>
        </w:rPr>
        <w:t>pp</w:t>
      </w:r>
      <w:r w:rsidRPr="008A5499">
        <w:rPr>
          <w:rFonts w:ascii="Arial" w:hAnsi="Arial" w:cs="Arial"/>
          <w:color w:val="000000"/>
        </w:rPr>
        <w:t>749–765</w:t>
      </w:r>
      <w:r w:rsidR="00DC547F">
        <w:rPr>
          <w:rFonts w:ascii="Arial" w:hAnsi="Arial" w:cs="Arial"/>
          <w:color w:val="000000"/>
        </w:rPr>
        <w:t>.</w:t>
      </w:r>
    </w:p>
    <w:p w14:paraId="24D46DF3" w14:textId="7177A9DA" w:rsidR="00570BCD" w:rsidRPr="00570BCD" w:rsidRDefault="00570BCD" w:rsidP="00CA3172">
      <w:pPr>
        <w:autoSpaceDE w:val="0"/>
        <w:autoSpaceDN w:val="0"/>
        <w:adjustRightInd w:val="0"/>
        <w:spacing w:after="0" w:line="240" w:lineRule="auto"/>
        <w:rPr>
          <w:rFonts w:ascii="Arial" w:hAnsi="Arial" w:cs="Arial"/>
        </w:rPr>
      </w:pPr>
      <w:proofErr w:type="spellStart"/>
      <w:r w:rsidRPr="00570BCD">
        <w:rPr>
          <w:rFonts w:ascii="Arial" w:hAnsi="Arial" w:cs="Arial"/>
        </w:rPr>
        <w:t>Brandsen</w:t>
      </w:r>
      <w:proofErr w:type="spellEnd"/>
      <w:r>
        <w:rPr>
          <w:rFonts w:ascii="Arial" w:hAnsi="Arial" w:cs="Arial"/>
        </w:rPr>
        <w:t>, T</w:t>
      </w:r>
      <w:r w:rsidRPr="00570BCD">
        <w:rPr>
          <w:rFonts w:ascii="Arial" w:hAnsi="Arial" w:cs="Arial"/>
        </w:rPr>
        <w:t xml:space="preserve"> &amp; </w:t>
      </w:r>
      <w:proofErr w:type="spellStart"/>
      <w:r w:rsidRPr="00570BCD">
        <w:rPr>
          <w:rFonts w:ascii="Arial" w:hAnsi="Arial" w:cs="Arial"/>
        </w:rPr>
        <w:t>Karré</w:t>
      </w:r>
      <w:proofErr w:type="spellEnd"/>
      <w:r>
        <w:rPr>
          <w:rFonts w:ascii="Arial" w:hAnsi="Arial" w:cs="Arial"/>
        </w:rPr>
        <w:t>, P.</w:t>
      </w:r>
      <w:r w:rsidRPr="00570BCD">
        <w:rPr>
          <w:rFonts w:ascii="Arial" w:hAnsi="Arial" w:cs="Arial"/>
        </w:rPr>
        <w:t xml:space="preserve"> (2011) Hybrid Organizations: No</w:t>
      </w:r>
      <w:r>
        <w:rPr>
          <w:rFonts w:ascii="Arial" w:hAnsi="Arial" w:cs="Arial"/>
        </w:rPr>
        <w:t xml:space="preserve"> </w:t>
      </w:r>
      <w:r w:rsidRPr="00570BCD">
        <w:rPr>
          <w:rFonts w:ascii="Arial" w:hAnsi="Arial" w:cs="Arial"/>
        </w:rPr>
        <w:t xml:space="preserve">Cause for </w:t>
      </w:r>
      <w:proofErr w:type="gramStart"/>
      <w:r w:rsidRPr="00570BCD">
        <w:rPr>
          <w:rFonts w:ascii="Arial" w:hAnsi="Arial" w:cs="Arial"/>
        </w:rPr>
        <w:t>Concern?,</w:t>
      </w:r>
      <w:proofErr w:type="gramEnd"/>
      <w:r w:rsidRPr="00570BCD">
        <w:rPr>
          <w:rFonts w:ascii="Arial" w:hAnsi="Arial" w:cs="Arial"/>
        </w:rPr>
        <w:t xml:space="preserve"> </w:t>
      </w:r>
      <w:r w:rsidRPr="00570BCD">
        <w:rPr>
          <w:rFonts w:ascii="Arial" w:hAnsi="Arial" w:cs="Arial"/>
          <w:i/>
          <w:iCs/>
        </w:rPr>
        <w:t>International Journal of Public Administration</w:t>
      </w:r>
      <w:r w:rsidRPr="00570BCD">
        <w:rPr>
          <w:rFonts w:ascii="Arial" w:hAnsi="Arial" w:cs="Arial"/>
        </w:rPr>
        <w:t>, 34</w:t>
      </w:r>
      <w:r>
        <w:rPr>
          <w:rFonts w:ascii="Arial" w:hAnsi="Arial" w:cs="Arial"/>
        </w:rPr>
        <w:t>(</w:t>
      </w:r>
      <w:r w:rsidRPr="00570BCD">
        <w:rPr>
          <w:rFonts w:ascii="Arial" w:hAnsi="Arial" w:cs="Arial"/>
        </w:rPr>
        <w:t>13</w:t>
      </w:r>
      <w:r>
        <w:rPr>
          <w:rFonts w:ascii="Arial" w:hAnsi="Arial" w:cs="Arial"/>
        </w:rPr>
        <w:t>) pp</w:t>
      </w:r>
      <w:r w:rsidRPr="00570BCD">
        <w:rPr>
          <w:rFonts w:ascii="Arial" w:hAnsi="Arial" w:cs="Arial"/>
        </w:rPr>
        <w:t>827-836</w:t>
      </w:r>
    </w:p>
    <w:p w14:paraId="190694CC" w14:textId="6994B48D" w:rsidR="006D2F32" w:rsidRDefault="006D2F32" w:rsidP="00CA3172">
      <w:pPr>
        <w:autoSpaceDE w:val="0"/>
        <w:autoSpaceDN w:val="0"/>
        <w:adjustRightInd w:val="0"/>
        <w:spacing w:after="0" w:line="240" w:lineRule="auto"/>
        <w:rPr>
          <w:rFonts w:ascii="Arial" w:hAnsi="Arial" w:cs="Arial"/>
        </w:rPr>
      </w:pPr>
      <w:proofErr w:type="spellStart"/>
      <w:r>
        <w:rPr>
          <w:rFonts w:ascii="Arial" w:hAnsi="Arial" w:cs="Arial"/>
        </w:rPr>
        <w:t>Bratzel</w:t>
      </w:r>
      <w:proofErr w:type="spellEnd"/>
      <w:r>
        <w:rPr>
          <w:rFonts w:ascii="Arial" w:hAnsi="Arial" w:cs="Arial"/>
        </w:rPr>
        <w:t xml:space="preserve">, S. (1999) Conditions of Success in Sustainable Urban Transport Policy – Policy Change in Relatively Successful European Cities, </w:t>
      </w:r>
      <w:r w:rsidRPr="006D2F32">
        <w:rPr>
          <w:rFonts w:ascii="Arial" w:hAnsi="Arial" w:cs="Arial"/>
          <w:i/>
          <w:iCs/>
        </w:rPr>
        <w:t>Transport Reviews</w:t>
      </w:r>
      <w:r>
        <w:rPr>
          <w:rFonts w:ascii="Arial" w:hAnsi="Arial" w:cs="Arial"/>
        </w:rPr>
        <w:t>, 12(2), pp177-190.</w:t>
      </w:r>
    </w:p>
    <w:p w14:paraId="7FA8EE19" w14:textId="4959E72D" w:rsidR="000E053E" w:rsidRPr="000E053E" w:rsidRDefault="000E053E" w:rsidP="00CA3172">
      <w:pPr>
        <w:autoSpaceDE w:val="0"/>
        <w:autoSpaceDN w:val="0"/>
        <w:adjustRightInd w:val="0"/>
        <w:spacing w:after="0" w:line="240" w:lineRule="auto"/>
        <w:rPr>
          <w:rFonts w:ascii="Arial" w:hAnsi="Arial" w:cs="Arial"/>
        </w:rPr>
      </w:pPr>
      <w:proofErr w:type="spellStart"/>
      <w:r>
        <w:rPr>
          <w:rFonts w:ascii="Arial" w:hAnsi="Arial" w:cs="Arial"/>
        </w:rPr>
        <w:t>Busco</w:t>
      </w:r>
      <w:proofErr w:type="spellEnd"/>
      <w:r>
        <w:rPr>
          <w:rFonts w:ascii="Arial" w:hAnsi="Arial" w:cs="Arial"/>
        </w:rPr>
        <w:t xml:space="preserve">, C., </w:t>
      </w:r>
      <w:proofErr w:type="spellStart"/>
      <w:r>
        <w:rPr>
          <w:rFonts w:ascii="Arial" w:hAnsi="Arial" w:cs="Arial"/>
        </w:rPr>
        <w:t>Giovannoni</w:t>
      </w:r>
      <w:proofErr w:type="spellEnd"/>
      <w:r>
        <w:rPr>
          <w:rFonts w:ascii="Arial" w:hAnsi="Arial" w:cs="Arial"/>
        </w:rPr>
        <w:t xml:space="preserve">, E &amp; </w:t>
      </w:r>
      <w:proofErr w:type="spellStart"/>
      <w:r>
        <w:rPr>
          <w:rFonts w:ascii="Arial" w:hAnsi="Arial" w:cs="Arial"/>
        </w:rPr>
        <w:t>Riccaboni</w:t>
      </w:r>
      <w:proofErr w:type="spellEnd"/>
      <w:r>
        <w:rPr>
          <w:rFonts w:ascii="Arial" w:hAnsi="Arial" w:cs="Arial"/>
        </w:rPr>
        <w:t>, A</w:t>
      </w:r>
      <w:r w:rsidRPr="000E053E">
        <w:rPr>
          <w:rFonts w:ascii="Arial" w:hAnsi="Arial" w:cs="Arial"/>
          <w:i/>
          <w:iCs/>
        </w:rPr>
        <w:t>.</w:t>
      </w:r>
      <w:r>
        <w:rPr>
          <w:rFonts w:ascii="Arial" w:hAnsi="Arial" w:cs="Arial"/>
        </w:rPr>
        <w:t xml:space="preserve"> (2017)</w:t>
      </w:r>
      <w:r w:rsidRPr="000E053E">
        <w:rPr>
          <w:rFonts w:ascii="Arial" w:hAnsi="Arial" w:cs="Arial"/>
          <w:i/>
          <w:iCs/>
        </w:rPr>
        <w:t xml:space="preserve"> </w:t>
      </w:r>
      <w:r w:rsidRPr="000E053E">
        <w:rPr>
          <w:rFonts w:ascii="Arial" w:hAnsi="Arial" w:cs="Arial"/>
        </w:rPr>
        <w:t>Sustaining multiple logics within</w:t>
      </w:r>
      <w:r w:rsidR="00233520">
        <w:rPr>
          <w:rFonts w:ascii="Arial" w:hAnsi="Arial" w:cs="Arial"/>
        </w:rPr>
        <w:t xml:space="preserve"> </w:t>
      </w:r>
      <w:r w:rsidRPr="000E053E">
        <w:rPr>
          <w:rFonts w:ascii="Arial" w:hAnsi="Arial" w:cs="Arial"/>
        </w:rPr>
        <w:t xml:space="preserve">hybrid organisations, </w:t>
      </w:r>
      <w:r w:rsidRPr="000E053E">
        <w:rPr>
          <w:rFonts w:ascii="Arial" w:hAnsi="Arial" w:cs="Arial"/>
          <w:i/>
          <w:iCs/>
        </w:rPr>
        <w:t>Accounting, Auditing &amp;</w:t>
      </w:r>
      <w:r>
        <w:rPr>
          <w:rFonts w:ascii="Arial" w:hAnsi="Arial" w:cs="Arial"/>
          <w:i/>
          <w:iCs/>
        </w:rPr>
        <w:t xml:space="preserve"> </w:t>
      </w:r>
      <w:r w:rsidRPr="000E053E">
        <w:rPr>
          <w:rFonts w:ascii="Arial" w:hAnsi="Arial" w:cs="Arial"/>
          <w:i/>
          <w:iCs/>
        </w:rPr>
        <w:t>Accountability Journal</w:t>
      </w:r>
      <w:r>
        <w:rPr>
          <w:rFonts w:ascii="Arial" w:hAnsi="Arial" w:cs="Arial"/>
          <w:i/>
          <w:iCs/>
        </w:rPr>
        <w:t xml:space="preserve"> </w:t>
      </w:r>
      <w:r w:rsidRPr="000E053E">
        <w:rPr>
          <w:rFonts w:ascii="Arial" w:hAnsi="Arial" w:cs="Arial"/>
        </w:rPr>
        <w:t>30(1)</w:t>
      </w:r>
    </w:p>
    <w:p w14:paraId="35D5BB1C" w14:textId="3520F05F" w:rsidR="000E053E" w:rsidRDefault="000E053E" w:rsidP="00CA3172">
      <w:pPr>
        <w:spacing w:after="0" w:line="240" w:lineRule="auto"/>
        <w:rPr>
          <w:rFonts w:ascii="Arial" w:hAnsi="Arial" w:cs="Arial"/>
        </w:rPr>
      </w:pPr>
      <w:r w:rsidRPr="000E053E">
        <w:rPr>
          <w:rFonts w:ascii="Arial" w:hAnsi="Arial" w:cs="Arial"/>
        </w:rPr>
        <w:t>pp191-216</w:t>
      </w:r>
      <w:r>
        <w:rPr>
          <w:rFonts w:ascii="Arial" w:hAnsi="Arial" w:cs="Arial"/>
        </w:rPr>
        <w:t>.</w:t>
      </w:r>
    </w:p>
    <w:p w14:paraId="4BB23F4F" w14:textId="7AF79E77" w:rsidR="00F60FCD" w:rsidRPr="00F60FCD" w:rsidRDefault="00F60FCD" w:rsidP="00CA3172">
      <w:pPr>
        <w:spacing w:after="0" w:line="240" w:lineRule="auto"/>
        <w:rPr>
          <w:rFonts w:ascii="Arial" w:hAnsi="Arial" w:cs="Arial"/>
        </w:rPr>
      </w:pPr>
      <w:proofErr w:type="spellStart"/>
      <w:r>
        <w:rPr>
          <w:rFonts w:ascii="Arial" w:hAnsi="Arial" w:cs="Arial"/>
        </w:rPr>
        <w:t>Bucheli</w:t>
      </w:r>
      <w:proofErr w:type="spellEnd"/>
      <w:r>
        <w:rPr>
          <w:rFonts w:ascii="Arial" w:hAnsi="Arial" w:cs="Arial"/>
        </w:rPr>
        <w:t xml:space="preserve">, M. &amp; Wadhwani, D. (2015) </w:t>
      </w:r>
      <w:r>
        <w:rPr>
          <w:rFonts w:ascii="Arial" w:hAnsi="Arial" w:cs="Arial"/>
          <w:i/>
          <w:iCs/>
        </w:rPr>
        <w:t xml:space="preserve">Organisations in Time, </w:t>
      </w:r>
      <w:r>
        <w:rPr>
          <w:rFonts w:ascii="Arial" w:hAnsi="Arial" w:cs="Arial"/>
        </w:rPr>
        <w:t>Oxford: Oxford University Press.</w:t>
      </w:r>
    </w:p>
    <w:p w14:paraId="1FFD33E5" w14:textId="72351A3B" w:rsidR="00F04E66" w:rsidRDefault="00F04E66" w:rsidP="00CA3172">
      <w:pPr>
        <w:autoSpaceDE w:val="0"/>
        <w:autoSpaceDN w:val="0"/>
        <w:adjustRightInd w:val="0"/>
        <w:spacing w:after="0" w:line="240" w:lineRule="auto"/>
        <w:rPr>
          <w:rFonts w:ascii="Arial" w:hAnsi="Arial" w:cs="Arial"/>
        </w:rPr>
      </w:pPr>
      <w:proofErr w:type="spellStart"/>
      <w:r>
        <w:rPr>
          <w:rFonts w:ascii="Arial" w:hAnsi="Arial" w:cs="Arial"/>
        </w:rPr>
        <w:t>Calandro</w:t>
      </w:r>
      <w:proofErr w:type="spellEnd"/>
      <w:r>
        <w:rPr>
          <w:rFonts w:ascii="Arial" w:hAnsi="Arial" w:cs="Arial"/>
        </w:rPr>
        <w:t xml:space="preserve">, J. (2007) </w:t>
      </w:r>
      <w:r w:rsidRPr="00F04E66">
        <w:rPr>
          <w:rFonts w:ascii="Arial" w:hAnsi="Arial" w:cs="Arial"/>
        </w:rPr>
        <w:t>Considering the utility of Altman’s Z-score</w:t>
      </w:r>
      <w:r>
        <w:rPr>
          <w:rFonts w:ascii="Arial" w:hAnsi="Arial" w:cs="Arial"/>
        </w:rPr>
        <w:t xml:space="preserve"> </w:t>
      </w:r>
      <w:r w:rsidRPr="00F04E66">
        <w:rPr>
          <w:rFonts w:ascii="Arial" w:hAnsi="Arial" w:cs="Arial"/>
        </w:rPr>
        <w:t>as a strategic assessment and</w:t>
      </w:r>
      <w:r>
        <w:rPr>
          <w:rFonts w:ascii="Arial" w:hAnsi="Arial" w:cs="Arial"/>
        </w:rPr>
        <w:t xml:space="preserve"> </w:t>
      </w:r>
      <w:r w:rsidRPr="00F04E66">
        <w:rPr>
          <w:rFonts w:ascii="Arial" w:hAnsi="Arial" w:cs="Arial"/>
        </w:rPr>
        <w:t>performance management tool</w:t>
      </w:r>
      <w:r>
        <w:rPr>
          <w:rFonts w:ascii="Arial" w:hAnsi="Arial" w:cs="Arial"/>
        </w:rPr>
        <w:t xml:space="preserve">, </w:t>
      </w:r>
      <w:r>
        <w:rPr>
          <w:rFonts w:ascii="Arial" w:hAnsi="Arial" w:cs="Arial"/>
          <w:i/>
          <w:iCs/>
        </w:rPr>
        <w:t xml:space="preserve">Strategy and Leadership, </w:t>
      </w:r>
      <w:r w:rsidR="00691902" w:rsidRPr="00691902">
        <w:rPr>
          <w:rFonts w:ascii="Arial" w:hAnsi="Arial" w:cs="Arial"/>
        </w:rPr>
        <w:t>35</w:t>
      </w:r>
      <w:r w:rsidR="00691902">
        <w:rPr>
          <w:rFonts w:ascii="Arial" w:hAnsi="Arial" w:cs="Arial"/>
        </w:rPr>
        <w:t>(</w:t>
      </w:r>
      <w:r w:rsidR="00691902" w:rsidRPr="00691902">
        <w:rPr>
          <w:rFonts w:ascii="Arial" w:hAnsi="Arial" w:cs="Arial"/>
        </w:rPr>
        <w:t>5</w:t>
      </w:r>
      <w:r w:rsidR="00691902">
        <w:rPr>
          <w:rFonts w:ascii="Arial" w:hAnsi="Arial" w:cs="Arial"/>
        </w:rPr>
        <w:t>),</w:t>
      </w:r>
      <w:r w:rsidR="00691902" w:rsidRPr="00691902">
        <w:rPr>
          <w:rFonts w:ascii="Arial" w:hAnsi="Arial" w:cs="Arial"/>
        </w:rPr>
        <w:t xml:space="preserve"> pp. 37-43.</w:t>
      </w:r>
    </w:p>
    <w:p w14:paraId="11C12CBF" w14:textId="7E1C3979" w:rsidR="00D86816" w:rsidRDefault="00D86816" w:rsidP="00DD4BC3">
      <w:pPr>
        <w:spacing w:after="0" w:line="240" w:lineRule="auto"/>
        <w:rPr>
          <w:rFonts w:ascii="Arial" w:hAnsi="Arial" w:cs="Arial"/>
        </w:rPr>
      </w:pPr>
      <w:r>
        <w:rPr>
          <w:rFonts w:ascii="Arial" w:hAnsi="Arial" w:cs="Arial"/>
        </w:rPr>
        <w:t xml:space="preserve">Chandler, J. (2007) </w:t>
      </w:r>
      <w:r>
        <w:rPr>
          <w:rFonts w:ascii="Arial" w:hAnsi="Arial" w:cs="Arial"/>
          <w:i/>
        </w:rPr>
        <w:t xml:space="preserve">Explaining Local Government, </w:t>
      </w:r>
      <w:r>
        <w:rPr>
          <w:rFonts w:ascii="Arial" w:hAnsi="Arial" w:cs="Arial"/>
        </w:rPr>
        <w:t>Manchester University Press.</w:t>
      </w:r>
    </w:p>
    <w:p w14:paraId="0051BB64" w14:textId="70053F44" w:rsidR="00F322F3" w:rsidRDefault="00534041" w:rsidP="00534041">
      <w:pPr>
        <w:spacing w:after="0" w:line="240" w:lineRule="auto"/>
        <w:rPr>
          <w:rFonts w:ascii="Arial" w:hAnsi="Arial" w:cs="Arial"/>
        </w:rPr>
      </w:pPr>
      <w:r>
        <w:rPr>
          <w:rFonts w:ascii="Arial" w:hAnsi="Arial" w:cs="Arial"/>
        </w:rPr>
        <w:t xml:space="preserve">Clegg, H. (1950) </w:t>
      </w:r>
      <w:r>
        <w:rPr>
          <w:rFonts w:ascii="Arial" w:hAnsi="Arial" w:cs="Arial"/>
          <w:i/>
        </w:rPr>
        <w:t xml:space="preserve">Labour Relations in London Transport, </w:t>
      </w:r>
      <w:r>
        <w:rPr>
          <w:rFonts w:ascii="Arial" w:hAnsi="Arial" w:cs="Arial"/>
        </w:rPr>
        <w:t>Oxford: Blackwell.</w:t>
      </w:r>
    </w:p>
    <w:p w14:paraId="5673F713" w14:textId="77777777" w:rsidR="00CA3172" w:rsidRDefault="0003689B" w:rsidP="00CA3172">
      <w:pPr>
        <w:spacing w:after="0" w:line="240" w:lineRule="auto"/>
        <w:rPr>
          <w:rFonts w:ascii="Arial" w:hAnsi="Arial" w:cs="Arial"/>
          <w:i/>
        </w:rPr>
      </w:pPr>
      <w:r w:rsidRPr="0003689B">
        <w:rPr>
          <w:rFonts w:ascii="Arial" w:hAnsi="Arial" w:cs="Arial"/>
        </w:rPr>
        <w:t xml:space="preserve">Cornforth, C. (2005) </w:t>
      </w:r>
      <w:r w:rsidRPr="0003689B">
        <w:rPr>
          <w:rFonts w:ascii="Arial" w:hAnsi="Arial" w:cs="Arial"/>
          <w:i/>
        </w:rPr>
        <w:t>The Governance of Public and Non-Profit Organisations,</w:t>
      </w:r>
    </w:p>
    <w:p w14:paraId="0BD64204" w14:textId="77777777" w:rsidR="00CA3172" w:rsidRDefault="0003689B" w:rsidP="00CA3172">
      <w:pPr>
        <w:spacing w:after="0" w:line="240" w:lineRule="auto"/>
        <w:rPr>
          <w:rFonts w:ascii="Arial" w:hAnsi="Arial" w:cs="Arial"/>
        </w:rPr>
      </w:pPr>
      <w:r w:rsidRPr="0003689B">
        <w:rPr>
          <w:rFonts w:ascii="Arial" w:hAnsi="Arial" w:cs="Arial"/>
        </w:rPr>
        <w:t>Routledge.</w:t>
      </w:r>
    </w:p>
    <w:p w14:paraId="204552DE" w14:textId="4F48B656" w:rsidR="00AC3E8B" w:rsidRDefault="00AC3E8B" w:rsidP="00CA3172">
      <w:pPr>
        <w:spacing w:after="0" w:line="240" w:lineRule="auto"/>
        <w:rPr>
          <w:rFonts w:ascii="Arial" w:hAnsi="Arial" w:cs="Arial"/>
        </w:rPr>
      </w:pPr>
      <w:r w:rsidRPr="00AC3E8B">
        <w:rPr>
          <w:rFonts w:ascii="Arial" w:hAnsi="Arial" w:cs="Arial"/>
        </w:rPr>
        <w:t>Crafts</w:t>
      </w:r>
      <w:r>
        <w:rPr>
          <w:rFonts w:ascii="Arial" w:hAnsi="Arial" w:cs="Arial"/>
        </w:rPr>
        <w:t>,</w:t>
      </w:r>
      <w:r w:rsidRPr="00AC3E8B">
        <w:rPr>
          <w:rFonts w:ascii="Arial" w:hAnsi="Arial" w:cs="Arial"/>
        </w:rPr>
        <w:t xml:space="preserve"> </w:t>
      </w:r>
      <w:r>
        <w:rPr>
          <w:rFonts w:ascii="Arial" w:hAnsi="Arial" w:cs="Arial"/>
        </w:rPr>
        <w:t>N.,</w:t>
      </w:r>
      <w:r w:rsidRPr="00AC3E8B">
        <w:rPr>
          <w:rFonts w:ascii="Arial" w:hAnsi="Arial" w:cs="Arial"/>
        </w:rPr>
        <w:t xml:space="preserve"> Mills,</w:t>
      </w:r>
      <w:r>
        <w:rPr>
          <w:rFonts w:ascii="Arial" w:hAnsi="Arial" w:cs="Arial"/>
        </w:rPr>
        <w:t xml:space="preserve"> T &amp;</w:t>
      </w:r>
      <w:r w:rsidRPr="00AC3E8B">
        <w:rPr>
          <w:rFonts w:ascii="Arial" w:hAnsi="Arial" w:cs="Arial"/>
        </w:rPr>
        <w:t xml:space="preserve"> </w:t>
      </w:r>
      <w:proofErr w:type="spellStart"/>
      <w:r w:rsidRPr="00AC3E8B">
        <w:rPr>
          <w:rFonts w:ascii="Arial" w:hAnsi="Arial" w:cs="Arial"/>
        </w:rPr>
        <w:t>Mulatu</w:t>
      </w:r>
      <w:proofErr w:type="spellEnd"/>
      <w:r>
        <w:rPr>
          <w:rFonts w:ascii="Arial" w:hAnsi="Arial" w:cs="Arial"/>
        </w:rPr>
        <w:t>,</w:t>
      </w:r>
      <w:r w:rsidRPr="00AC3E8B">
        <w:rPr>
          <w:rFonts w:ascii="Arial" w:hAnsi="Arial" w:cs="Arial"/>
        </w:rPr>
        <w:t xml:space="preserve"> </w:t>
      </w:r>
      <w:r>
        <w:rPr>
          <w:rFonts w:ascii="Arial" w:hAnsi="Arial" w:cs="Arial"/>
        </w:rPr>
        <w:t>A.</w:t>
      </w:r>
      <w:r w:rsidRPr="00AC3E8B">
        <w:rPr>
          <w:rFonts w:ascii="Arial" w:hAnsi="Arial" w:cs="Arial"/>
        </w:rPr>
        <w:t xml:space="preserve"> </w:t>
      </w:r>
      <w:r>
        <w:rPr>
          <w:rFonts w:ascii="Arial" w:hAnsi="Arial" w:cs="Arial"/>
        </w:rPr>
        <w:t xml:space="preserve">(2007) </w:t>
      </w:r>
      <w:r w:rsidRPr="00AC3E8B">
        <w:rPr>
          <w:rFonts w:ascii="Arial" w:hAnsi="Arial" w:cs="Arial"/>
        </w:rPr>
        <w:t>Total factor productivity growth</w:t>
      </w:r>
      <w:r>
        <w:rPr>
          <w:rFonts w:ascii="Arial" w:hAnsi="Arial" w:cs="Arial"/>
        </w:rPr>
        <w:t xml:space="preserve"> </w:t>
      </w:r>
      <w:r w:rsidRPr="00AC3E8B">
        <w:rPr>
          <w:rFonts w:ascii="Arial" w:hAnsi="Arial" w:cs="Arial"/>
        </w:rPr>
        <w:t>on Britain’s railways,</w:t>
      </w:r>
      <w:r w:rsidR="00CA3172">
        <w:rPr>
          <w:rFonts w:ascii="Arial" w:hAnsi="Arial" w:cs="Arial"/>
        </w:rPr>
        <w:t xml:space="preserve"> </w:t>
      </w:r>
      <w:r w:rsidRPr="00AC3E8B">
        <w:rPr>
          <w:rFonts w:ascii="Arial" w:hAnsi="Arial" w:cs="Arial"/>
        </w:rPr>
        <w:t>1852–1912: A reappraisal</w:t>
      </w:r>
      <w:r>
        <w:rPr>
          <w:rFonts w:ascii="Arial" w:hAnsi="Arial" w:cs="Arial"/>
        </w:rPr>
        <w:t xml:space="preserve"> </w:t>
      </w:r>
      <w:r w:rsidRPr="00AC3E8B">
        <w:rPr>
          <w:rFonts w:ascii="Arial" w:hAnsi="Arial" w:cs="Arial"/>
        </w:rPr>
        <w:t>of the evidence</w:t>
      </w:r>
      <w:r>
        <w:rPr>
          <w:rFonts w:ascii="Arial" w:hAnsi="Arial" w:cs="Arial"/>
        </w:rPr>
        <w:t>,</w:t>
      </w:r>
      <w:r w:rsidRPr="00AC3E8B">
        <w:rPr>
          <w:rFonts w:ascii="Arial" w:hAnsi="Arial" w:cs="Arial"/>
        </w:rPr>
        <w:t xml:space="preserve"> </w:t>
      </w:r>
      <w:r w:rsidRPr="00AC3E8B">
        <w:rPr>
          <w:rFonts w:ascii="Arial" w:hAnsi="Arial" w:cs="Arial"/>
          <w:i/>
          <w:iCs/>
        </w:rPr>
        <w:t>Explorations in Economic History</w:t>
      </w:r>
      <w:r w:rsidRPr="00AC3E8B">
        <w:rPr>
          <w:rFonts w:ascii="Arial" w:hAnsi="Arial" w:cs="Arial"/>
        </w:rPr>
        <w:t xml:space="preserve"> 44 </w:t>
      </w:r>
      <w:r>
        <w:rPr>
          <w:rFonts w:ascii="Arial" w:hAnsi="Arial" w:cs="Arial"/>
        </w:rPr>
        <w:t>pp</w:t>
      </w:r>
      <w:r w:rsidRPr="00AC3E8B">
        <w:rPr>
          <w:rFonts w:ascii="Arial" w:hAnsi="Arial" w:cs="Arial"/>
        </w:rPr>
        <w:t>608–634</w:t>
      </w:r>
      <w:r>
        <w:rPr>
          <w:rFonts w:ascii="Arial" w:hAnsi="Arial" w:cs="Arial"/>
        </w:rPr>
        <w:t>.</w:t>
      </w:r>
    </w:p>
    <w:p w14:paraId="14FED285" w14:textId="2C2274A2" w:rsidR="00CF320E" w:rsidRDefault="00CF320E" w:rsidP="00DD4BC3">
      <w:pPr>
        <w:spacing w:after="0" w:line="240" w:lineRule="auto"/>
        <w:rPr>
          <w:rFonts w:ascii="Arial" w:hAnsi="Arial" w:cs="Arial"/>
        </w:rPr>
      </w:pPr>
      <w:r>
        <w:rPr>
          <w:rFonts w:ascii="Arial" w:hAnsi="Arial" w:cs="Arial"/>
        </w:rPr>
        <w:t xml:space="preserve">Crompton, G. (1985) ‘Efficient and Economical Working’? The Performance of the Railway Companies 1923-33, </w:t>
      </w:r>
      <w:r w:rsidRPr="000F1ECE">
        <w:rPr>
          <w:rFonts w:ascii="Arial" w:hAnsi="Arial" w:cs="Arial"/>
          <w:i/>
          <w:iCs/>
        </w:rPr>
        <w:t>Business History,</w:t>
      </w:r>
      <w:r>
        <w:rPr>
          <w:rFonts w:ascii="Arial" w:hAnsi="Arial" w:cs="Arial"/>
        </w:rPr>
        <w:t xml:space="preserve"> 27(2) pp222-237.</w:t>
      </w:r>
    </w:p>
    <w:p w14:paraId="79BB800B" w14:textId="68426979" w:rsidR="00B415F8" w:rsidRDefault="00B415F8" w:rsidP="00DD4BC3">
      <w:pPr>
        <w:spacing w:after="0" w:line="240" w:lineRule="auto"/>
        <w:rPr>
          <w:rFonts w:ascii="Arial" w:hAnsi="Arial" w:cs="Arial"/>
        </w:rPr>
      </w:pPr>
      <w:r>
        <w:rPr>
          <w:rFonts w:ascii="Arial" w:hAnsi="Arial" w:cs="Arial"/>
        </w:rPr>
        <w:t xml:space="preserve">Crompton, G. (1989) Squeezing the </w:t>
      </w:r>
      <w:proofErr w:type="spellStart"/>
      <w:r>
        <w:rPr>
          <w:rFonts w:ascii="Arial" w:hAnsi="Arial" w:cs="Arial"/>
        </w:rPr>
        <w:t>Pulpless</w:t>
      </w:r>
      <w:proofErr w:type="spellEnd"/>
      <w:r>
        <w:rPr>
          <w:rFonts w:ascii="Arial" w:hAnsi="Arial" w:cs="Arial"/>
        </w:rPr>
        <w:t xml:space="preserve"> Orange, Labour and Capital on the Railways in the Inter-War Years, </w:t>
      </w:r>
      <w:r w:rsidRPr="00B415F8">
        <w:rPr>
          <w:rFonts w:ascii="Arial" w:hAnsi="Arial" w:cs="Arial"/>
          <w:i/>
          <w:iCs/>
        </w:rPr>
        <w:t>Business History</w:t>
      </w:r>
      <w:r>
        <w:rPr>
          <w:rFonts w:ascii="Arial" w:hAnsi="Arial" w:cs="Arial"/>
        </w:rPr>
        <w:t xml:space="preserve"> 31(2) pp66-83.</w:t>
      </w:r>
    </w:p>
    <w:p w14:paraId="56D52298" w14:textId="1FD02CFC" w:rsidR="00A06697" w:rsidRPr="009E3BF2" w:rsidRDefault="00A06697" w:rsidP="00DD4BC3">
      <w:pPr>
        <w:spacing w:after="0" w:line="240" w:lineRule="auto"/>
        <w:rPr>
          <w:rFonts w:ascii="Arial" w:hAnsi="Arial" w:cs="Arial"/>
          <w:color w:val="2F5496" w:themeColor="accent1" w:themeShade="BF"/>
        </w:rPr>
      </w:pPr>
      <w:r w:rsidRPr="009E3BF2">
        <w:rPr>
          <w:rFonts w:ascii="Arial" w:hAnsi="Arial" w:cs="Arial"/>
          <w:color w:val="2F5496" w:themeColor="accent1" w:themeShade="BF"/>
        </w:rPr>
        <w:t xml:space="preserve">Croome, D &amp; Jackson, A. (1993) </w:t>
      </w:r>
      <w:r w:rsidRPr="009E3BF2">
        <w:rPr>
          <w:rFonts w:ascii="Arial" w:hAnsi="Arial" w:cs="Arial"/>
          <w:i/>
          <w:color w:val="2F5496" w:themeColor="accent1" w:themeShade="BF"/>
        </w:rPr>
        <w:t xml:space="preserve">Rails through the Clay, </w:t>
      </w:r>
      <w:r w:rsidRPr="009E3BF2">
        <w:rPr>
          <w:rFonts w:ascii="Arial" w:hAnsi="Arial" w:cs="Arial"/>
          <w:iCs/>
          <w:color w:val="2F5496" w:themeColor="accent1" w:themeShade="BF"/>
        </w:rPr>
        <w:t xml:space="preserve">London: </w:t>
      </w:r>
      <w:r w:rsidRPr="009E3BF2">
        <w:rPr>
          <w:rFonts w:ascii="Arial" w:hAnsi="Arial" w:cs="Arial"/>
          <w:color w:val="2F5496" w:themeColor="accent1" w:themeShade="BF"/>
        </w:rPr>
        <w:t xml:space="preserve">Capital Transport. </w:t>
      </w:r>
    </w:p>
    <w:p w14:paraId="7E715CD9" w14:textId="74F3ECFA" w:rsidR="00ED44AD" w:rsidRDefault="00ED44AD" w:rsidP="000F1ECE">
      <w:pPr>
        <w:autoSpaceDE w:val="0"/>
        <w:autoSpaceDN w:val="0"/>
        <w:adjustRightInd w:val="0"/>
        <w:spacing w:after="0" w:line="240" w:lineRule="auto"/>
        <w:rPr>
          <w:rFonts w:ascii="Arial" w:hAnsi="Arial" w:cs="Arial"/>
        </w:rPr>
      </w:pPr>
      <w:r>
        <w:rPr>
          <w:rFonts w:ascii="Arial" w:hAnsi="Arial" w:cs="Arial"/>
        </w:rPr>
        <w:t xml:space="preserve">Cudahy, B. (1995) </w:t>
      </w:r>
      <w:r>
        <w:rPr>
          <w:rFonts w:ascii="Arial" w:hAnsi="Arial" w:cs="Arial"/>
          <w:i/>
          <w:iCs/>
        </w:rPr>
        <w:t xml:space="preserve">Under the Sidewalks of New York, </w:t>
      </w:r>
      <w:r>
        <w:rPr>
          <w:rFonts w:ascii="Arial" w:hAnsi="Arial" w:cs="Arial"/>
        </w:rPr>
        <w:t>New York: Fordham.</w:t>
      </w:r>
    </w:p>
    <w:p w14:paraId="4CD73B0A" w14:textId="6904F054" w:rsidR="00A06697" w:rsidRPr="009E3BF2" w:rsidRDefault="009144D0" w:rsidP="000F1ECE">
      <w:pPr>
        <w:autoSpaceDE w:val="0"/>
        <w:autoSpaceDN w:val="0"/>
        <w:adjustRightInd w:val="0"/>
        <w:spacing w:after="0" w:line="240" w:lineRule="auto"/>
        <w:rPr>
          <w:rFonts w:ascii="Arial" w:hAnsi="Arial" w:cs="Arial"/>
          <w:color w:val="2F5496" w:themeColor="accent1" w:themeShade="BF"/>
        </w:rPr>
      </w:pPr>
      <w:r w:rsidRPr="009E3BF2">
        <w:rPr>
          <w:rFonts w:ascii="Arial" w:hAnsi="Arial" w:cs="Arial"/>
          <w:color w:val="2F5496" w:themeColor="accent1" w:themeShade="BF"/>
        </w:rPr>
        <w:t>Davies</w:t>
      </w:r>
      <w:r w:rsidR="00A06697" w:rsidRPr="009E3BF2">
        <w:rPr>
          <w:rFonts w:ascii="Arial" w:hAnsi="Arial" w:cs="Arial"/>
          <w:color w:val="2F5496" w:themeColor="accent1" w:themeShade="BF"/>
        </w:rPr>
        <w:t xml:space="preserve">, </w:t>
      </w:r>
      <w:r w:rsidRPr="009E3BF2">
        <w:rPr>
          <w:rFonts w:ascii="Arial" w:hAnsi="Arial" w:cs="Arial"/>
          <w:color w:val="2F5496" w:themeColor="accent1" w:themeShade="BF"/>
        </w:rPr>
        <w:t>E</w:t>
      </w:r>
      <w:r w:rsidR="00A06697" w:rsidRPr="009E3BF2">
        <w:rPr>
          <w:rFonts w:ascii="Arial" w:hAnsi="Arial" w:cs="Arial"/>
          <w:color w:val="2F5496" w:themeColor="accent1" w:themeShade="BF"/>
        </w:rPr>
        <w:t xml:space="preserve">. (1937) ‘The </w:t>
      </w:r>
      <w:r w:rsidRPr="009E3BF2">
        <w:rPr>
          <w:rFonts w:ascii="Arial" w:hAnsi="Arial" w:cs="Arial"/>
          <w:color w:val="2F5496" w:themeColor="accent1" w:themeShade="BF"/>
        </w:rPr>
        <w:t>London Passenger Transport Board</w:t>
      </w:r>
      <w:r w:rsidR="00A06697" w:rsidRPr="009E3BF2">
        <w:rPr>
          <w:rFonts w:ascii="Arial" w:hAnsi="Arial" w:cs="Arial"/>
          <w:color w:val="2F5496" w:themeColor="accent1" w:themeShade="BF"/>
        </w:rPr>
        <w:t xml:space="preserve">’ in Robson, W. (ed.) in </w:t>
      </w:r>
      <w:r w:rsidR="00A06697" w:rsidRPr="009E3BF2">
        <w:rPr>
          <w:rFonts w:ascii="Arial" w:hAnsi="Arial" w:cs="Arial"/>
          <w:i/>
          <w:iCs/>
          <w:color w:val="2F5496" w:themeColor="accent1" w:themeShade="BF"/>
        </w:rPr>
        <w:t>Public Enterprise</w:t>
      </w:r>
      <w:r w:rsidR="00A06697" w:rsidRPr="009E3BF2">
        <w:rPr>
          <w:rFonts w:ascii="Arial" w:hAnsi="Arial" w:cs="Arial"/>
          <w:color w:val="2F5496" w:themeColor="accent1" w:themeShade="BF"/>
        </w:rPr>
        <w:t xml:space="preserve">, London: Allen and Unwin, pp. </w:t>
      </w:r>
      <w:r w:rsidRPr="009E3BF2">
        <w:rPr>
          <w:rFonts w:ascii="Arial" w:hAnsi="Arial" w:cs="Arial"/>
          <w:color w:val="2F5496" w:themeColor="accent1" w:themeShade="BF"/>
        </w:rPr>
        <w:t>155</w:t>
      </w:r>
      <w:r w:rsidR="00A06697" w:rsidRPr="009E3BF2">
        <w:rPr>
          <w:rFonts w:ascii="Arial" w:hAnsi="Arial" w:cs="Arial"/>
          <w:color w:val="2F5496" w:themeColor="accent1" w:themeShade="BF"/>
        </w:rPr>
        <w:t>-</w:t>
      </w:r>
      <w:r w:rsidRPr="009E3BF2">
        <w:rPr>
          <w:rFonts w:ascii="Arial" w:hAnsi="Arial" w:cs="Arial"/>
          <w:color w:val="2F5496" w:themeColor="accent1" w:themeShade="BF"/>
        </w:rPr>
        <w:t>2</w:t>
      </w:r>
      <w:r w:rsidR="00A06697" w:rsidRPr="009E3BF2">
        <w:rPr>
          <w:rFonts w:ascii="Arial" w:hAnsi="Arial" w:cs="Arial"/>
          <w:color w:val="2F5496" w:themeColor="accent1" w:themeShade="BF"/>
        </w:rPr>
        <w:t>0</w:t>
      </w:r>
      <w:r w:rsidRPr="009E3BF2">
        <w:rPr>
          <w:rFonts w:ascii="Arial" w:hAnsi="Arial" w:cs="Arial"/>
          <w:color w:val="2F5496" w:themeColor="accent1" w:themeShade="BF"/>
        </w:rPr>
        <w:t>8</w:t>
      </w:r>
      <w:r w:rsidR="00A06697" w:rsidRPr="009E3BF2">
        <w:rPr>
          <w:rFonts w:ascii="Arial" w:hAnsi="Arial" w:cs="Arial"/>
          <w:color w:val="2F5496" w:themeColor="accent1" w:themeShade="BF"/>
        </w:rPr>
        <w:t xml:space="preserve">. </w:t>
      </w:r>
    </w:p>
    <w:p w14:paraId="3FFEA9BC" w14:textId="6547616C" w:rsidR="000F1ECE" w:rsidRPr="000F1ECE" w:rsidRDefault="000F1ECE" w:rsidP="000F1ECE">
      <w:pPr>
        <w:autoSpaceDE w:val="0"/>
        <w:autoSpaceDN w:val="0"/>
        <w:adjustRightInd w:val="0"/>
        <w:spacing w:after="0" w:line="240" w:lineRule="auto"/>
        <w:rPr>
          <w:rFonts w:ascii="Arial" w:hAnsi="Arial" w:cs="Arial"/>
          <w:i/>
          <w:iCs/>
        </w:rPr>
      </w:pPr>
      <w:r>
        <w:rPr>
          <w:rFonts w:ascii="Arial" w:hAnsi="Arial" w:cs="Arial"/>
        </w:rPr>
        <w:t xml:space="preserve">Davies, R. </w:t>
      </w:r>
      <w:r w:rsidRPr="000F1ECE">
        <w:rPr>
          <w:rFonts w:ascii="Arial" w:hAnsi="Arial" w:cs="Arial"/>
          <w:i/>
          <w:iCs/>
        </w:rPr>
        <w:t>Public passenger transport in inter-war Britain: The Southern Railway’s</w:t>
      </w:r>
    </w:p>
    <w:p w14:paraId="11A7B310" w14:textId="00EDB422" w:rsidR="000F1ECE" w:rsidRDefault="000F1ECE" w:rsidP="000F1ECE">
      <w:pPr>
        <w:autoSpaceDE w:val="0"/>
        <w:autoSpaceDN w:val="0"/>
        <w:adjustRightInd w:val="0"/>
        <w:spacing w:after="0" w:line="240" w:lineRule="auto"/>
        <w:rPr>
          <w:rFonts w:ascii="Arial" w:hAnsi="Arial" w:cs="Arial"/>
        </w:rPr>
      </w:pPr>
      <w:r w:rsidRPr="000F1ECE">
        <w:rPr>
          <w:rFonts w:ascii="Arial" w:hAnsi="Arial" w:cs="Arial"/>
          <w:i/>
          <w:iCs/>
        </w:rPr>
        <w:t>response to bus competition, 1923-39.</w:t>
      </w:r>
      <w:r>
        <w:rPr>
          <w:rFonts w:ascii="Arial" w:hAnsi="Arial" w:cs="Arial"/>
        </w:rPr>
        <w:t xml:space="preserve"> Unpublished PhD thesis, The University of York 2014.</w:t>
      </w:r>
    </w:p>
    <w:p w14:paraId="3A241B86" w14:textId="46D2682D" w:rsidR="00EA31E0" w:rsidRPr="00EA31E0" w:rsidRDefault="00EA31E0" w:rsidP="00EA31E0">
      <w:pPr>
        <w:autoSpaceDE w:val="0"/>
        <w:autoSpaceDN w:val="0"/>
        <w:adjustRightInd w:val="0"/>
        <w:spacing w:after="0" w:line="240" w:lineRule="auto"/>
        <w:rPr>
          <w:rFonts w:ascii="Arial" w:hAnsi="Arial" w:cs="Arial"/>
        </w:rPr>
      </w:pPr>
      <w:r w:rsidRPr="00EA31E0">
        <w:rPr>
          <w:rFonts w:ascii="Arial" w:hAnsi="Arial" w:cs="Arial"/>
        </w:rPr>
        <w:t xml:space="preserve">Decker, S., Kipping, M &amp; Wadhwani, D. (2015) New business histories! Plurality in business history research methods, </w:t>
      </w:r>
      <w:r w:rsidRPr="00EA31E0">
        <w:rPr>
          <w:rFonts w:ascii="Arial" w:hAnsi="Arial" w:cs="Arial"/>
          <w:i/>
          <w:iCs/>
        </w:rPr>
        <w:t>Business History</w:t>
      </w:r>
      <w:r w:rsidRPr="00EA31E0">
        <w:rPr>
          <w:rFonts w:ascii="Arial" w:hAnsi="Arial" w:cs="Arial"/>
        </w:rPr>
        <w:t>, 57(1), pp30-40.</w:t>
      </w:r>
    </w:p>
    <w:p w14:paraId="3048B01F" w14:textId="703A2B9F" w:rsidR="00FD1F57" w:rsidRDefault="00FD1F57" w:rsidP="000F1ECE">
      <w:pPr>
        <w:autoSpaceDE w:val="0"/>
        <w:autoSpaceDN w:val="0"/>
        <w:adjustRightInd w:val="0"/>
        <w:spacing w:after="0" w:line="240" w:lineRule="auto"/>
        <w:rPr>
          <w:rFonts w:ascii="Arial" w:hAnsi="Arial" w:cs="Arial"/>
        </w:rPr>
      </w:pPr>
      <w:r w:rsidRPr="00FD1F57">
        <w:rPr>
          <w:rFonts w:ascii="Arial" w:hAnsi="Arial" w:cs="Arial"/>
        </w:rPr>
        <w:t xml:space="preserve">Decker, S., </w:t>
      </w:r>
      <w:proofErr w:type="spellStart"/>
      <w:r w:rsidRPr="00FD1F57">
        <w:rPr>
          <w:rFonts w:ascii="Arial" w:hAnsi="Arial" w:cs="Arial"/>
        </w:rPr>
        <w:t>Üsdiken</w:t>
      </w:r>
      <w:proofErr w:type="spellEnd"/>
      <w:r w:rsidRPr="00FD1F57">
        <w:rPr>
          <w:rFonts w:ascii="Arial" w:hAnsi="Arial" w:cs="Arial"/>
        </w:rPr>
        <w:t xml:space="preserve">, B., </w:t>
      </w:r>
      <w:proofErr w:type="spellStart"/>
      <w:r w:rsidRPr="00FD1F57">
        <w:rPr>
          <w:rFonts w:ascii="Arial" w:hAnsi="Arial" w:cs="Arial"/>
        </w:rPr>
        <w:t>Engwall</w:t>
      </w:r>
      <w:proofErr w:type="spellEnd"/>
      <w:r w:rsidRPr="00FD1F57">
        <w:rPr>
          <w:rFonts w:ascii="Arial" w:hAnsi="Arial" w:cs="Arial"/>
        </w:rPr>
        <w:t xml:space="preserve">, L. &amp; </w:t>
      </w:r>
      <w:proofErr w:type="spellStart"/>
      <w:r w:rsidRPr="00FD1F57">
        <w:rPr>
          <w:rFonts w:ascii="Arial" w:hAnsi="Arial" w:cs="Arial"/>
        </w:rPr>
        <w:t>Rowlinson</w:t>
      </w:r>
      <w:proofErr w:type="spellEnd"/>
      <w:r w:rsidRPr="00FD1F57">
        <w:rPr>
          <w:rFonts w:ascii="Arial" w:hAnsi="Arial" w:cs="Arial"/>
        </w:rPr>
        <w:t xml:space="preserve">, M. (2018) Special issue introduction: Historical research on institutional change, </w:t>
      </w:r>
      <w:r w:rsidRPr="00FD1F57">
        <w:rPr>
          <w:rFonts w:ascii="Arial" w:hAnsi="Arial" w:cs="Arial"/>
          <w:i/>
          <w:iCs/>
        </w:rPr>
        <w:t>Business History,</w:t>
      </w:r>
      <w:r w:rsidRPr="00FD1F57">
        <w:rPr>
          <w:rFonts w:ascii="Arial" w:hAnsi="Arial" w:cs="Arial"/>
        </w:rPr>
        <w:t xml:space="preserve"> 60(5), pp613-627.</w:t>
      </w:r>
    </w:p>
    <w:p w14:paraId="02A875AA" w14:textId="47659FBE" w:rsidR="00F067B0" w:rsidRPr="00F067B0" w:rsidRDefault="00F067B0" w:rsidP="000F1ECE">
      <w:pPr>
        <w:autoSpaceDE w:val="0"/>
        <w:autoSpaceDN w:val="0"/>
        <w:adjustRightInd w:val="0"/>
        <w:spacing w:after="0" w:line="240" w:lineRule="auto"/>
        <w:rPr>
          <w:rFonts w:ascii="Arial" w:hAnsi="Arial" w:cs="Arial"/>
        </w:rPr>
      </w:pPr>
      <w:r w:rsidRPr="00F067B0">
        <w:rPr>
          <w:rFonts w:ascii="Arial" w:hAnsi="Arial" w:cs="Arial"/>
        </w:rPr>
        <w:t>DiMaggio, P.</w:t>
      </w:r>
      <w:r>
        <w:rPr>
          <w:rFonts w:ascii="Arial" w:hAnsi="Arial" w:cs="Arial"/>
        </w:rPr>
        <w:t>,</w:t>
      </w:r>
      <w:r w:rsidRPr="00F067B0">
        <w:rPr>
          <w:rFonts w:ascii="Arial" w:hAnsi="Arial" w:cs="Arial"/>
        </w:rPr>
        <w:t xml:space="preserve"> &amp; Powell, W. (1983) The Iron Cage Revisited: Institutional Isomorphism and Collective Rationality in Organizational Fields, </w:t>
      </w:r>
      <w:r w:rsidRPr="00BB36AC">
        <w:rPr>
          <w:rFonts w:ascii="Arial" w:hAnsi="Arial" w:cs="Arial"/>
          <w:i/>
          <w:iCs/>
        </w:rPr>
        <w:t>American Sociological Review</w:t>
      </w:r>
      <w:r w:rsidRPr="00F067B0">
        <w:rPr>
          <w:rFonts w:ascii="Arial" w:hAnsi="Arial" w:cs="Arial"/>
        </w:rPr>
        <w:t>, 48(2), pp. 147-160.</w:t>
      </w:r>
    </w:p>
    <w:p w14:paraId="6AE0FD06" w14:textId="52B6E827" w:rsidR="00BD0AD8" w:rsidRPr="00BD0AD8" w:rsidRDefault="00BD0AD8" w:rsidP="00BD0AD8">
      <w:pPr>
        <w:autoSpaceDE w:val="0"/>
        <w:autoSpaceDN w:val="0"/>
        <w:adjustRightInd w:val="0"/>
        <w:spacing w:after="0" w:line="240" w:lineRule="auto"/>
        <w:rPr>
          <w:rFonts w:ascii="Arial" w:hAnsi="Arial" w:cs="Arial"/>
        </w:rPr>
      </w:pPr>
      <w:r>
        <w:rPr>
          <w:rFonts w:ascii="Arial" w:hAnsi="Arial" w:cs="Arial"/>
        </w:rPr>
        <w:t xml:space="preserve">Docherty, B., Haugh, H &amp; Lyon, F. (2014) </w:t>
      </w:r>
      <w:r w:rsidRPr="00BD0AD8">
        <w:rPr>
          <w:rFonts w:ascii="Arial" w:hAnsi="Arial" w:cs="Arial"/>
        </w:rPr>
        <w:t>Social Enterprises as Hybrid</w:t>
      </w:r>
      <w:r>
        <w:rPr>
          <w:rFonts w:ascii="Arial" w:hAnsi="Arial" w:cs="Arial"/>
        </w:rPr>
        <w:t xml:space="preserve"> </w:t>
      </w:r>
      <w:r w:rsidRPr="00BD0AD8">
        <w:rPr>
          <w:rFonts w:ascii="Arial" w:hAnsi="Arial" w:cs="Arial"/>
        </w:rPr>
        <w:t>Organizations: A Review and</w:t>
      </w:r>
      <w:r>
        <w:rPr>
          <w:rFonts w:ascii="Arial" w:hAnsi="Arial" w:cs="Arial"/>
        </w:rPr>
        <w:t xml:space="preserve"> </w:t>
      </w:r>
      <w:r w:rsidRPr="00BD0AD8">
        <w:rPr>
          <w:rFonts w:ascii="Arial" w:hAnsi="Arial" w:cs="Arial"/>
        </w:rPr>
        <w:t>Research Agenda</w:t>
      </w:r>
      <w:r>
        <w:rPr>
          <w:rFonts w:ascii="Arial" w:hAnsi="Arial" w:cs="Arial"/>
        </w:rPr>
        <w:t xml:space="preserve">, </w:t>
      </w:r>
      <w:r w:rsidRPr="00BD0AD8">
        <w:rPr>
          <w:rFonts w:ascii="Arial" w:hAnsi="Arial" w:cs="Arial"/>
          <w:i/>
          <w:iCs/>
        </w:rPr>
        <w:t xml:space="preserve">International Journal of Management Reviews, </w:t>
      </w:r>
      <w:r>
        <w:rPr>
          <w:rFonts w:ascii="Arial" w:hAnsi="Arial" w:cs="Arial"/>
        </w:rPr>
        <w:t>1</w:t>
      </w:r>
      <w:r w:rsidRPr="00BD0AD8">
        <w:rPr>
          <w:rFonts w:ascii="Arial" w:hAnsi="Arial" w:cs="Arial"/>
        </w:rPr>
        <w:t xml:space="preserve">6 </w:t>
      </w:r>
      <w:r>
        <w:rPr>
          <w:rFonts w:ascii="Arial" w:hAnsi="Arial" w:cs="Arial"/>
        </w:rPr>
        <w:t>pp</w:t>
      </w:r>
      <w:r w:rsidRPr="00BD0AD8">
        <w:rPr>
          <w:rFonts w:ascii="Arial" w:hAnsi="Arial" w:cs="Arial"/>
        </w:rPr>
        <w:t>417</w:t>
      </w:r>
      <w:r>
        <w:rPr>
          <w:rFonts w:ascii="Arial" w:hAnsi="Arial" w:cs="Arial"/>
        </w:rPr>
        <w:t>-</w:t>
      </w:r>
      <w:r w:rsidRPr="00BD0AD8">
        <w:rPr>
          <w:rFonts w:ascii="Arial" w:hAnsi="Arial" w:cs="Arial"/>
        </w:rPr>
        <w:t>436</w:t>
      </w:r>
      <w:r>
        <w:rPr>
          <w:rFonts w:ascii="Arial" w:hAnsi="Arial" w:cs="Arial"/>
        </w:rPr>
        <w:t>.</w:t>
      </w:r>
    </w:p>
    <w:p w14:paraId="16D0D46D" w14:textId="041FE2A2" w:rsidR="00921640" w:rsidRDefault="00921640" w:rsidP="00DD4BC3">
      <w:pPr>
        <w:spacing w:after="0" w:line="240" w:lineRule="auto"/>
        <w:rPr>
          <w:rFonts w:ascii="Arial" w:hAnsi="Arial" w:cs="Arial"/>
        </w:rPr>
      </w:pPr>
      <w:r>
        <w:rPr>
          <w:rFonts w:ascii="Arial" w:hAnsi="Arial" w:cs="Arial"/>
        </w:rPr>
        <w:lastRenderedPageBreak/>
        <w:t xml:space="preserve">Dodgson, J. (1993) British Railway Cost Functions and Productivity Growth 1900-12, </w:t>
      </w:r>
      <w:r w:rsidR="00A62179" w:rsidRPr="00A62179">
        <w:rPr>
          <w:rFonts w:ascii="Arial" w:hAnsi="Arial" w:cs="Arial"/>
          <w:i/>
          <w:iCs/>
        </w:rPr>
        <w:t>Explorations in Economic History,</w:t>
      </w:r>
      <w:r w:rsidR="00A62179">
        <w:rPr>
          <w:rFonts w:ascii="Arial" w:hAnsi="Arial" w:cs="Arial"/>
        </w:rPr>
        <w:t xml:space="preserve"> 30 pp158-181.</w:t>
      </w:r>
    </w:p>
    <w:p w14:paraId="3C2CCBCA" w14:textId="13E9BF0D" w:rsidR="000A72F8" w:rsidRDefault="000A72F8" w:rsidP="00DD4BC3">
      <w:pPr>
        <w:spacing w:after="0" w:line="240" w:lineRule="auto"/>
        <w:rPr>
          <w:rFonts w:ascii="Arial" w:hAnsi="Arial" w:cs="Arial"/>
        </w:rPr>
      </w:pPr>
      <w:r>
        <w:rPr>
          <w:rFonts w:ascii="Arial" w:hAnsi="Arial" w:cs="Arial"/>
        </w:rPr>
        <w:t xml:space="preserve">Donoghue, B. &amp; Jones, G. (1973) </w:t>
      </w:r>
      <w:r>
        <w:rPr>
          <w:rFonts w:ascii="Arial" w:hAnsi="Arial" w:cs="Arial"/>
          <w:i/>
          <w:iCs/>
        </w:rPr>
        <w:t xml:space="preserve">Herbert Morrison, Portrait of a Politician, </w:t>
      </w:r>
      <w:r>
        <w:rPr>
          <w:rFonts w:ascii="Arial" w:hAnsi="Arial" w:cs="Arial"/>
        </w:rPr>
        <w:t>London: Phoenix.</w:t>
      </w:r>
    </w:p>
    <w:p w14:paraId="09532274" w14:textId="0CE48312" w:rsidR="00B16C3F" w:rsidRPr="00B16C3F" w:rsidRDefault="00B16C3F" w:rsidP="00DD4BC3">
      <w:pPr>
        <w:spacing w:after="0" w:line="240" w:lineRule="auto"/>
        <w:rPr>
          <w:rFonts w:ascii="Arial" w:hAnsi="Arial" w:cs="Arial"/>
        </w:rPr>
      </w:pPr>
      <w:proofErr w:type="spellStart"/>
      <w:r>
        <w:rPr>
          <w:rFonts w:ascii="Arial" w:hAnsi="Arial" w:cs="Arial"/>
        </w:rPr>
        <w:t>Eady</w:t>
      </w:r>
      <w:proofErr w:type="spellEnd"/>
      <w:r>
        <w:rPr>
          <w:rFonts w:ascii="Arial" w:hAnsi="Arial" w:cs="Arial"/>
        </w:rPr>
        <w:t xml:space="preserve">, M. (2016) </w:t>
      </w:r>
      <w:r>
        <w:rPr>
          <w:rFonts w:ascii="Arial" w:hAnsi="Arial" w:cs="Arial"/>
          <w:i/>
          <w:iCs/>
        </w:rPr>
        <w:t xml:space="preserve">Hold on Tight, London Transport and the Trade Unions, </w:t>
      </w:r>
      <w:r>
        <w:rPr>
          <w:rFonts w:ascii="Arial" w:hAnsi="Arial" w:cs="Arial"/>
        </w:rPr>
        <w:t>Ishi Publishing.</w:t>
      </w:r>
    </w:p>
    <w:p w14:paraId="18F3B8CA" w14:textId="06CBB951" w:rsidR="00B10C63" w:rsidRDefault="00B10C63" w:rsidP="00DD4BC3">
      <w:pPr>
        <w:spacing w:after="0" w:line="240" w:lineRule="auto"/>
        <w:rPr>
          <w:rFonts w:ascii="Arial" w:hAnsi="Arial" w:cs="Arial"/>
        </w:rPr>
      </w:pPr>
      <w:r>
        <w:rPr>
          <w:rFonts w:ascii="Arial" w:hAnsi="Arial" w:cs="Arial"/>
        </w:rPr>
        <w:t xml:space="preserve">Egerton, D. (2018) </w:t>
      </w:r>
      <w:r>
        <w:rPr>
          <w:rFonts w:ascii="Arial" w:hAnsi="Arial" w:cs="Arial"/>
          <w:i/>
          <w:iCs/>
        </w:rPr>
        <w:t xml:space="preserve">The Rise and Fall of the British Nation, </w:t>
      </w:r>
      <w:r w:rsidR="0089355D">
        <w:rPr>
          <w:rFonts w:ascii="Arial" w:hAnsi="Arial" w:cs="Arial"/>
        </w:rPr>
        <w:t>London: Penguin.</w:t>
      </w:r>
    </w:p>
    <w:p w14:paraId="6A9B769C" w14:textId="3497C33B" w:rsidR="00631C18" w:rsidRPr="00E920CC" w:rsidRDefault="00631C18" w:rsidP="0016710D">
      <w:pPr>
        <w:pStyle w:val="NormalWeb"/>
        <w:spacing w:before="0" w:beforeAutospacing="0" w:after="0" w:afterAutospacing="0"/>
        <w:rPr>
          <w:rFonts w:ascii="Arial" w:hAnsi="Arial" w:cs="Arial"/>
          <w:sz w:val="22"/>
          <w:szCs w:val="22"/>
        </w:rPr>
      </w:pPr>
      <w:r w:rsidRPr="0016710D">
        <w:rPr>
          <w:rFonts w:ascii="Arial" w:hAnsi="Arial" w:cs="Arial"/>
          <w:sz w:val="22"/>
          <w:szCs w:val="22"/>
        </w:rPr>
        <w:t>Eisenhardt, K</w:t>
      </w:r>
      <w:r w:rsidR="0016710D">
        <w:rPr>
          <w:rFonts w:ascii="Arial" w:hAnsi="Arial" w:cs="Arial"/>
          <w:sz w:val="22"/>
          <w:szCs w:val="22"/>
        </w:rPr>
        <w:t>.</w:t>
      </w:r>
      <w:r w:rsidRPr="0016710D">
        <w:rPr>
          <w:rFonts w:ascii="Arial" w:hAnsi="Arial" w:cs="Arial"/>
          <w:sz w:val="22"/>
          <w:szCs w:val="22"/>
        </w:rPr>
        <w:t xml:space="preserve"> </w:t>
      </w:r>
      <w:r w:rsidR="0016710D">
        <w:rPr>
          <w:rFonts w:ascii="Arial" w:hAnsi="Arial" w:cs="Arial"/>
          <w:sz w:val="22"/>
          <w:szCs w:val="22"/>
        </w:rPr>
        <w:t>(</w:t>
      </w:r>
      <w:r w:rsidRPr="0016710D">
        <w:rPr>
          <w:rFonts w:ascii="Arial" w:hAnsi="Arial" w:cs="Arial"/>
          <w:sz w:val="22"/>
          <w:szCs w:val="22"/>
        </w:rPr>
        <w:t>1989</w:t>
      </w:r>
      <w:r w:rsidR="0016710D">
        <w:rPr>
          <w:rFonts w:ascii="Arial" w:hAnsi="Arial" w:cs="Arial"/>
          <w:sz w:val="22"/>
          <w:szCs w:val="22"/>
        </w:rPr>
        <w:t>)</w:t>
      </w:r>
      <w:r w:rsidRPr="0016710D">
        <w:rPr>
          <w:rFonts w:ascii="Arial" w:hAnsi="Arial" w:cs="Arial"/>
          <w:sz w:val="22"/>
          <w:szCs w:val="22"/>
        </w:rPr>
        <w:t>. Building Theories from Case Study Research</w:t>
      </w:r>
      <w:r w:rsidR="0016710D">
        <w:rPr>
          <w:rFonts w:ascii="Arial" w:hAnsi="Arial" w:cs="Arial"/>
          <w:sz w:val="22"/>
          <w:szCs w:val="22"/>
        </w:rPr>
        <w:t>,</w:t>
      </w:r>
      <w:r w:rsidRPr="0016710D">
        <w:rPr>
          <w:rFonts w:ascii="Arial" w:hAnsi="Arial" w:cs="Arial"/>
          <w:sz w:val="22"/>
          <w:szCs w:val="22"/>
        </w:rPr>
        <w:t xml:space="preserve"> </w:t>
      </w:r>
      <w:r w:rsidRPr="0016710D">
        <w:rPr>
          <w:rFonts w:ascii="Arial" w:hAnsi="Arial" w:cs="Arial"/>
          <w:i/>
          <w:iCs/>
          <w:sz w:val="22"/>
          <w:szCs w:val="22"/>
        </w:rPr>
        <w:t xml:space="preserve">Academy of Management Review </w:t>
      </w:r>
      <w:r w:rsidRPr="0016710D">
        <w:rPr>
          <w:rFonts w:ascii="Arial" w:hAnsi="Arial" w:cs="Arial"/>
          <w:sz w:val="22"/>
          <w:szCs w:val="22"/>
        </w:rPr>
        <w:t xml:space="preserve">14 (4): </w:t>
      </w:r>
      <w:r w:rsidR="0016710D">
        <w:rPr>
          <w:rFonts w:ascii="Arial" w:hAnsi="Arial" w:cs="Arial"/>
          <w:sz w:val="22"/>
          <w:szCs w:val="22"/>
        </w:rPr>
        <w:t>pp</w:t>
      </w:r>
      <w:r w:rsidRPr="0016710D">
        <w:rPr>
          <w:rFonts w:ascii="Arial" w:hAnsi="Arial" w:cs="Arial"/>
          <w:sz w:val="22"/>
          <w:szCs w:val="22"/>
        </w:rPr>
        <w:t>532–550. doi:10.5465/amr.1989.4308385.</w:t>
      </w:r>
    </w:p>
    <w:p w14:paraId="7AD4B341" w14:textId="7D84BEFF" w:rsidR="00141113" w:rsidRDefault="00141113" w:rsidP="00141113">
      <w:pPr>
        <w:autoSpaceDE w:val="0"/>
        <w:autoSpaceDN w:val="0"/>
        <w:adjustRightInd w:val="0"/>
        <w:spacing w:after="0" w:line="240" w:lineRule="auto"/>
        <w:rPr>
          <w:rFonts w:ascii="Arial" w:hAnsi="Arial" w:cs="Arial"/>
        </w:rPr>
      </w:pPr>
      <w:r w:rsidRPr="00141113">
        <w:rPr>
          <w:rFonts w:ascii="Arial" w:hAnsi="Arial" w:cs="Arial"/>
        </w:rPr>
        <w:t xml:space="preserve">Figueroa, O. (2013) Four decades of changing transport policy in Santiago Chile, </w:t>
      </w:r>
      <w:r w:rsidRPr="00141113">
        <w:rPr>
          <w:rFonts w:ascii="Arial" w:hAnsi="Arial" w:cs="Arial"/>
          <w:i/>
          <w:iCs/>
        </w:rPr>
        <w:t>Research in Transportation Economics</w:t>
      </w:r>
      <w:r>
        <w:rPr>
          <w:rFonts w:ascii="Arial" w:hAnsi="Arial" w:cs="Arial"/>
        </w:rPr>
        <w:t>,</w:t>
      </w:r>
      <w:r w:rsidRPr="00141113">
        <w:rPr>
          <w:rFonts w:ascii="Arial" w:hAnsi="Arial" w:cs="Arial"/>
        </w:rPr>
        <w:t xml:space="preserve"> 40</w:t>
      </w:r>
      <w:r>
        <w:rPr>
          <w:rFonts w:ascii="Arial" w:hAnsi="Arial" w:cs="Arial"/>
        </w:rPr>
        <w:t>(1), pp</w:t>
      </w:r>
      <w:r w:rsidRPr="00141113">
        <w:rPr>
          <w:rFonts w:ascii="Arial" w:hAnsi="Arial" w:cs="Arial"/>
        </w:rPr>
        <w:t>87</w:t>
      </w:r>
      <w:r>
        <w:rPr>
          <w:rFonts w:ascii="Arial" w:hAnsi="Arial" w:cs="Arial"/>
        </w:rPr>
        <w:t>-</w:t>
      </w:r>
      <w:r w:rsidRPr="00141113">
        <w:rPr>
          <w:rFonts w:ascii="Arial" w:hAnsi="Arial" w:cs="Arial"/>
        </w:rPr>
        <w:t>95</w:t>
      </w:r>
      <w:r>
        <w:rPr>
          <w:rFonts w:ascii="Arial" w:hAnsi="Arial" w:cs="Arial"/>
        </w:rPr>
        <w:t>.</w:t>
      </w:r>
    </w:p>
    <w:p w14:paraId="68A03FD6" w14:textId="100ECA1B" w:rsidR="009144D0" w:rsidRPr="009E3BF2" w:rsidRDefault="009144D0" w:rsidP="00141113">
      <w:pPr>
        <w:autoSpaceDE w:val="0"/>
        <w:autoSpaceDN w:val="0"/>
        <w:adjustRightInd w:val="0"/>
        <w:spacing w:after="0" w:line="240" w:lineRule="auto"/>
        <w:rPr>
          <w:rFonts w:ascii="Arial" w:hAnsi="Arial" w:cs="Arial"/>
          <w:color w:val="2F5496" w:themeColor="accent1" w:themeShade="BF"/>
        </w:rPr>
      </w:pPr>
      <w:r w:rsidRPr="009E3BF2">
        <w:rPr>
          <w:rFonts w:ascii="Arial" w:hAnsi="Arial" w:cs="Arial"/>
          <w:color w:val="2F5496" w:themeColor="accent1" w:themeShade="BF"/>
        </w:rPr>
        <w:t xml:space="preserve">Finer, H. (1941) </w:t>
      </w:r>
      <w:r w:rsidRPr="009E3BF2">
        <w:rPr>
          <w:rFonts w:ascii="Arial" w:hAnsi="Arial" w:cs="Arial"/>
          <w:i/>
          <w:iCs/>
          <w:color w:val="2F5496" w:themeColor="accent1" w:themeShade="BF"/>
        </w:rPr>
        <w:t>Municipal Trading</w:t>
      </w:r>
      <w:r w:rsidRPr="009E3BF2">
        <w:rPr>
          <w:rFonts w:ascii="Arial" w:hAnsi="Arial" w:cs="Arial"/>
          <w:color w:val="2F5496" w:themeColor="accent1" w:themeShade="BF"/>
        </w:rPr>
        <w:t>, London: Allen and Unwin.</w:t>
      </w:r>
    </w:p>
    <w:p w14:paraId="1B55EB62" w14:textId="6DF239C6" w:rsidR="008D3418" w:rsidRDefault="008D3418" w:rsidP="00DD4BC3">
      <w:pPr>
        <w:spacing w:after="0" w:line="240" w:lineRule="auto"/>
        <w:rPr>
          <w:rFonts w:ascii="Arial" w:hAnsi="Arial" w:cs="Arial"/>
        </w:rPr>
      </w:pPr>
      <w:r>
        <w:rPr>
          <w:rFonts w:ascii="Arial" w:hAnsi="Arial" w:cs="Arial"/>
        </w:rPr>
        <w:t xml:space="preserve">Fowler, J. (2019) </w:t>
      </w:r>
      <w:r w:rsidRPr="008D3418">
        <w:rPr>
          <w:rFonts w:ascii="Arial" w:hAnsi="Arial" w:cs="Arial"/>
          <w:i/>
          <w:iCs/>
        </w:rPr>
        <w:t>London Transport: A Hybrid in History 1905-48,</w:t>
      </w:r>
      <w:r>
        <w:rPr>
          <w:rFonts w:ascii="Arial" w:hAnsi="Arial" w:cs="Arial"/>
        </w:rPr>
        <w:t xml:space="preserve"> Bingley: Emerald.</w:t>
      </w:r>
    </w:p>
    <w:p w14:paraId="4F4077EA" w14:textId="52BE4E7B" w:rsidR="00E522C2" w:rsidRDefault="00E522C2" w:rsidP="00DD4BC3">
      <w:pPr>
        <w:spacing w:after="0" w:line="240" w:lineRule="auto"/>
        <w:rPr>
          <w:rFonts w:ascii="Arial" w:hAnsi="Arial" w:cs="Arial"/>
        </w:rPr>
      </w:pPr>
      <w:r>
        <w:rPr>
          <w:rFonts w:ascii="Arial" w:hAnsi="Arial" w:cs="Arial"/>
        </w:rPr>
        <w:t xml:space="preserve">Fowler, J. (2019) </w:t>
      </w:r>
      <w:r w:rsidR="00B71459">
        <w:rPr>
          <w:rFonts w:ascii="Arial" w:hAnsi="Arial" w:cs="Arial"/>
        </w:rPr>
        <w:t xml:space="preserve">Statistics: Spur </w:t>
      </w:r>
      <w:r w:rsidR="006C3456">
        <w:rPr>
          <w:rFonts w:ascii="Arial" w:hAnsi="Arial" w:cs="Arial"/>
        </w:rPr>
        <w:t xml:space="preserve">to </w:t>
      </w:r>
      <w:r w:rsidR="00B71459">
        <w:rPr>
          <w:rFonts w:ascii="Arial" w:hAnsi="Arial" w:cs="Arial"/>
        </w:rPr>
        <w:t xml:space="preserve">Productivity or Publicity Stunt? </w:t>
      </w:r>
      <w:r w:rsidR="00B71459">
        <w:rPr>
          <w:rFonts w:ascii="Arial" w:hAnsi="Arial" w:cs="Arial"/>
          <w:i/>
          <w:iCs/>
        </w:rPr>
        <w:t xml:space="preserve">Essays in Business and Economic History, </w:t>
      </w:r>
      <w:r w:rsidR="00B71459">
        <w:rPr>
          <w:rFonts w:ascii="Arial" w:hAnsi="Arial" w:cs="Arial"/>
        </w:rPr>
        <w:t>37(1) pp146-179.</w:t>
      </w:r>
    </w:p>
    <w:p w14:paraId="69D5AFD4" w14:textId="5F9DDFD5" w:rsidR="00FD45DF" w:rsidRPr="00FD45DF" w:rsidRDefault="00FD45DF" w:rsidP="00DD4BC3">
      <w:pPr>
        <w:spacing w:after="0" w:line="240" w:lineRule="auto"/>
        <w:rPr>
          <w:rFonts w:ascii="Arial" w:hAnsi="Arial" w:cs="Arial"/>
        </w:rPr>
      </w:pPr>
      <w:r>
        <w:rPr>
          <w:rFonts w:ascii="Arial" w:hAnsi="Arial" w:cs="Arial"/>
        </w:rPr>
        <w:t>Friedland, R., &amp; Alford, R. (1991</w:t>
      </w:r>
      <w:r w:rsidRPr="00FD45DF">
        <w:rPr>
          <w:rFonts w:ascii="Arial" w:hAnsi="Arial" w:cs="Arial"/>
        </w:rPr>
        <w:t xml:space="preserve">) ‘Bringing society back in: Symbols, practices, and institutional contradictions’ </w:t>
      </w:r>
      <w:r>
        <w:rPr>
          <w:rFonts w:ascii="Arial" w:hAnsi="Arial" w:cs="Arial"/>
        </w:rPr>
        <w:t>I</w:t>
      </w:r>
      <w:r w:rsidRPr="00FD45DF">
        <w:rPr>
          <w:rFonts w:ascii="Arial" w:hAnsi="Arial" w:cs="Arial"/>
        </w:rPr>
        <w:t xml:space="preserve">n </w:t>
      </w:r>
      <w:proofErr w:type="gramStart"/>
      <w:r w:rsidRPr="00FD45DF">
        <w:rPr>
          <w:rFonts w:ascii="Arial" w:hAnsi="Arial" w:cs="Arial"/>
          <w:i/>
          <w:iCs/>
        </w:rPr>
        <w:t>The</w:t>
      </w:r>
      <w:proofErr w:type="gramEnd"/>
      <w:r w:rsidRPr="00FD45DF">
        <w:rPr>
          <w:rFonts w:ascii="Arial" w:hAnsi="Arial" w:cs="Arial"/>
          <w:i/>
          <w:iCs/>
        </w:rPr>
        <w:t xml:space="preserve"> New Institutionalism in Organizational Analysis</w:t>
      </w:r>
      <w:r w:rsidRPr="00FD45DF">
        <w:rPr>
          <w:rFonts w:ascii="Arial" w:hAnsi="Arial" w:cs="Arial"/>
        </w:rPr>
        <w:t xml:space="preserve">, </w:t>
      </w:r>
      <w:r>
        <w:rPr>
          <w:rFonts w:ascii="Arial" w:hAnsi="Arial" w:cs="Arial"/>
        </w:rPr>
        <w:t>(E</w:t>
      </w:r>
      <w:r w:rsidRPr="00FD45DF">
        <w:rPr>
          <w:rFonts w:ascii="Arial" w:hAnsi="Arial" w:cs="Arial"/>
        </w:rPr>
        <w:t>d</w:t>
      </w:r>
      <w:r>
        <w:rPr>
          <w:rFonts w:ascii="Arial" w:hAnsi="Arial" w:cs="Arial"/>
        </w:rPr>
        <w:t>s</w:t>
      </w:r>
      <w:r w:rsidRPr="00FD45DF">
        <w:rPr>
          <w:rFonts w:ascii="Arial" w:hAnsi="Arial" w:cs="Arial"/>
        </w:rPr>
        <w:t>.</w:t>
      </w:r>
      <w:r>
        <w:rPr>
          <w:rFonts w:ascii="Arial" w:hAnsi="Arial" w:cs="Arial"/>
        </w:rPr>
        <w:t>)</w:t>
      </w:r>
      <w:r w:rsidRPr="00FD45DF">
        <w:rPr>
          <w:rFonts w:ascii="Arial" w:hAnsi="Arial" w:cs="Arial"/>
        </w:rPr>
        <w:t xml:space="preserve"> W</w:t>
      </w:r>
      <w:r>
        <w:rPr>
          <w:rFonts w:ascii="Arial" w:hAnsi="Arial" w:cs="Arial"/>
        </w:rPr>
        <w:t>.</w:t>
      </w:r>
      <w:r w:rsidRPr="00FD45DF">
        <w:rPr>
          <w:rFonts w:ascii="Arial" w:hAnsi="Arial" w:cs="Arial"/>
        </w:rPr>
        <w:t xml:space="preserve"> Powell </w:t>
      </w:r>
      <w:r>
        <w:rPr>
          <w:rFonts w:ascii="Arial" w:hAnsi="Arial" w:cs="Arial"/>
        </w:rPr>
        <w:t>&amp;</w:t>
      </w:r>
      <w:r w:rsidRPr="00FD45DF">
        <w:rPr>
          <w:rFonts w:ascii="Arial" w:hAnsi="Arial" w:cs="Arial"/>
        </w:rPr>
        <w:t xml:space="preserve"> P. DiMaggio, pp. 232–263. Chicago: University of Chicago Press</w:t>
      </w:r>
      <w:r>
        <w:rPr>
          <w:rFonts w:ascii="Arial" w:hAnsi="Arial" w:cs="Arial"/>
        </w:rPr>
        <w:t>.</w:t>
      </w:r>
    </w:p>
    <w:p w14:paraId="79DBE032" w14:textId="7044F86E" w:rsidR="00E51583" w:rsidRPr="00E51583" w:rsidRDefault="00E51583" w:rsidP="00DD4BC3">
      <w:pPr>
        <w:spacing w:after="0" w:line="240" w:lineRule="auto"/>
        <w:rPr>
          <w:rFonts w:ascii="Arial" w:hAnsi="Arial" w:cs="Arial"/>
        </w:rPr>
      </w:pPr>
      <w:r>
        <w:rPr>
          <w:rFonts w:ascii="Arial" w:hAnsi="Arial" w:cs="Arial"/>
        </w:rPr>
        <w:t xml:space="preserve">Garbutt, P. (1997) </w:t>
      </w:r>
      <w:r>
        <w:rPr>
          <w:rFonts w:ascii="Arial" w:hAnsi="Arial" w:cs="Arial"/>
          <w:i/>
          <w:iCs/>
        </w:rPr>
        <w:t xml:space="preserve">World Metro Systems, </w:t>
      </w:r>
      <w:r>
        <w:rPr>
          <w:rFonts w:ascii="Arial" w:hAnsi="Arial" w:cs="Arial"/>
        </w:rPr>
        <w:t>London: Capital.</w:t>
      </w:r>
    </w:p>
    <w:p w14:paraId="4E0D9BF4" w14:textId="749BFF43" w:rsidR="00E21791" w:rsidRDefault="00E21791" w:rsidP="00DD4BC3">
      <w:pPr>
        <w:spacing w:after="0" w:line="240" w:lineRule="auto"/>
        <w:rPr>
          <w:rFonts w:ascii="Arial" w:hAnsi="Arial" w:cs="Arial"/>
        </w:rPr>
      </w:pPr>
      <w:r>
        <w:rPr>
          <w:rFonts w:ascii="Arial" w:hAnsi="Arial" w:cs="Arial"/>
        </w:rPr>
        <w:t xml:space="preserve">Gordon, L. (1938) </w:t>
      </w:r>
      <w:r>
        <w:rPr>
          <w:rFonts w:ascii="Arial" w:hAnsi="Arial" w:cs="Arial"/>
          <w:i/>
          <w:iCs/>
        </w:rPr>
        <w:t xml:space="preserve">The Public Corporation in Great Britain, </w:t>
      </w:r>
      <w:r>
        <w:rPr>
          <w:rFonts w:ascii="Arial" w:hAnsi="Arial" w:cs="Arial"/>
        </w:rPr>
        <w:t>Oxford: Oxford University Press.</w:t>
      </w:r>
    </w:p>
    <w:p w14:paraId="4EA1FF30" w14:textId="60DB5051" w:rsidR="00D5351F" w:rsidRDefault="00D5351F" w:rsidP="00DD4BC3">
      <w:pPr>
        <w:spacing w:after="0" w:line="240" w:lineRule="auto"/>
        <w:rPr>
          <w:rFonts w:ascii="Arial" w:hAnsi="Arial" w:cs="Arial"/>
        </w:rPr>
      </w:pPr>
      <w:proofErr w:type="spellStart"/>
      <w:r w:rsidRPr="00D5351F">
        <w:rPr>
          <w:rFonts w:ascii="Arial" w:hAnsi="Arial" w:cs="Arial"/>
        </w:rPr>
        <w:t>Gourvish</w:t>
      </w:r>
      <w:proofErr w:type="spellEnd"/>
      <w:r w:rsidRPr="00D5351F">
        <w:rPr>
          <w:rFonts w:ascii="Arial" w:hAnsi="Arial" w:cs="Arial"/>
        </w:rPr>
        <w:t xml:space="preserve">, T. </w:t>
      </w:r>
      <w:r>
        <w:rPr>
          <w:rFonts w:ascii="Arial" w:hAnsi="Arial" w:cs="Arial"/>
        </w:rPr>
        <w:t>(</w:t>
      </w:r>
      <w:r w:rsidRPr="00D5351F">
        <w:rPr>
          <w:rFonts w:ascii="Arial" w:hAnsi="Arial" w:cs="Arial"/>
        </w:rPr>
        <w:t>1980</w:t>
      </w:r>
      <w:r>
        <w:rPr>
          <w:rFonts w:ascii="Arial" w:hAnsi="Arial" w:cs="Arial"/>
        </w:rPr>
        <w:t>)</w:t>
      </w:r>
      <w:r w:rsidRPr="00D5351F">
        <w:rPr>
          <w:rFonts w:ascii="Arial" w:hAnsi="Arial" w:cs="Arial"/>
        </w:rPr>
        <w:t xml:space="preserve"> </w:t>
      </w:r>
      <w:r w:rsidRPr="00D5351F">
        <w:rPr>
          <w:rFonts w:ascii="Arial" w:hAnsi="Arial" w:cs="Arial"/>
          <w:i/>
        </w:rPr>
        <w:t>Railways and the British Economy 1830–1914, Economic History Society Studies in Economic and Social History</w:t>
      </w:r>
      <w:r w:rsidRPr="00D5351F">
        <w:rPr>
          <w:rFonts w:ascii="Arial" w:hAnsi="Arial" w:cs="Arial"/>
        </w:rPr>
        <w:t>, London: Macmillan.</w:t>
      </w:r>
    </w:p>
    <w:p w14:paraId="58A52A90" w14:textId="3AF9DBCD" w:rsidR="004C2439" w:rsidRPr="004C2439" w:rsidRDefault="004C2439" w:rsidP="004C2439">
      <w:pPr>
        <w:autoSpaceDE w:val="0"/>
        <w:autoSpaceDN w:val="0"/>
        <w:adjustRightInd w:val="0"/>
        <w:spacing w:after="0" w:line="240" w:lineRule="auto"/>
        <w:rPr>
          <w:rFonts w:ascii="Arial" w:hAnsi="Arial" w:cs="Arial"/>
        </w:rPr>
      </w:pPr>
      <w:r w:rsidRPr="004C2439">
        <w:rPr>
          <w:rFonts w:ascii="Arial" w:hAnsi="Arial" w:cs="Arial"/>
        </w:rPr>
        <w:t>Gillett, A</w:t>
      </w:r>
      <w:r w:rsidR="00DE2F47">
        <w:rPr>
          <w:rFonts w:ascii="Arial" w:hAnsi="Arial" w:cs="Arial"/>
        </w:rPr>
        <w:t>.</w:t>
      </w:r>
      <w:r w:rsidRPr="004C2439">
        <w:rPr>
          <w:rFonts w:ascii="Arial" w:hAnsi="Arial" w:cs="Arial"/>
        </w:rPr>
        <w:t xml:space="preserve"> &amp; Tennent, </w:t>
      </w:r>
      <w:r w:rsidR="00DE2F47">
        <w:rPr>
          <w:rFonts w:ascii="Arial" w:hAnsi="Arial" w:cs="Arial"/>
        </w:rPr>
        <w:t>K.</w:t>
      </w:r>
      <w:r w:rsidRPr="004C2439">
        <w:rPr>
          <w:rFonts w:ascii="Arial" w:hAnsi="Arial" w:cs="Arial"/>
        </w:rPr>
        <w:t xml:space="preserve"> (2020): Hybrid goals: institutional complexity and ‘legacy’ in a global sporting mega-event, Public Management Review, DOI:10.1080/14719037.2020.1833609.</w:t>
      </w:r>
    </w:p>
    <w:p w14:paraId="1E7A27F8" w14:textId="1BDF26F4" w:rsidR="00883938" w:rsidRPr="00883938" w:rsidRDefault="00883938" w:rsidP="00883938">
      <w:pPr>
        <w:autoSpaceDE w:val="0"/>
        <w:autoSpaceDN w:val="0"/>
        <w:adjustRightInd w:val="0"/>
        <w:spacing w:after="0" w:line="240" w:lineRule="auto"/>
        <w:rPr>
          <w:rFonts w:ascii="Arial" w:hAnsi="Arial" w:cs="Arial"/>
        </w:rPr>
      </w:pPr>
      <w:r w:rsidRPr="00883938">
        <w:rPr>
          <w:rFonts w:ascii="Arial" w:hAnsi="Arial" w:cs="Arial"/>
        </w:rPr>
        <w:t>Gillett, A., &amp; Tennent, K. (2018) Shadow hybridity and the</w:t>
      </w:r>
      <w:r>
        <w:rPr>
          <w:rFonts w:ascii="Arial" w:hAnsi="Arial" w:cs="Arial"/>
        </w:rPr>
        <w:t xml:space="preserve"> </w:t>
      </w:r>
      <w:r w:rsidRPr="00883938">
        <w:rPr>
          <w:rFonts w:ascii="Arial" w:hAnsi="Arial" w:cs="Arial"/>
        </w:rPr>
        <w:t>institutional logic of</w:t>
      </w:r>
      <w:r>
        <w:rPr>
          <w:rFonts w:ascii="Arial" w:hAnsi="Arial" w:cs="Arial"/>
        </w:rPr>
        <w:t xml:space="preserve"> </w:t>
      </w:r>
      <w:r w:rsidRPr="00883938">
        <w:rPr>
          <w:rFonts w:ascii="Arial" w:hAnsi="Arial" w:cs="Arial"/>
        </w:rPr>
        <w:t xml:space="preserve">professional sport, </w:t>
      </w:r>
      <w:r w:rsidRPr="00883938">
        <w:rPr>
          <w:rFonts w:ascii="Arial" w:hAnsi="Arial" w:cs="Arial"/>
          <w:i/>
          <w:iCs/>
        </w:rPr>
        <w:t>Journal of Management History</w:t>
      </w:r>
      <w:r>
        <w:rPr>
          <w:rFonts w:ascii="Arial" w:hAnsi="Arial" w:cs="Arial"/>
        </w:rPr>
        <w:t xml:space="preserve">, </w:t>
      </w:r>
      <w:r w:rsidRPr="00883938">
        <w:rPr>
          <w:rFonts w:ascii="Arial" w:hAnsi="Arial" w:cs="Arial"/>
        </w:rPr>
        <w:t>24</w:t>
      </w:r>
      <w:r>
        <w:rPr>
          <w:rFonts w:ascii="Arial" w:hAnsi="Arial" w:cs="Arial"/>
        </w:rPr>
        <w:t>(</w:t>
      </w:r>
      <w:r w:rsidRPr="00883938">
        <w:rPr>
          <w:rFonts w:ascii="Arial" w:hAnsi="Arial" w:cs="Arial"/>
        </w:rPr>
        <w:t>2</w:t>
      </w:r>
      <w:r>
        <w:rPr>
          <w:rFonts w:ascii="Arial" w:hAnsi="Arial" w:cs="Arial"/>
        </w:rPr>
        <w:t>)</w:t>
      </w:r>
      <w:r w:rsidRPr="00883938">
        <w:rPr>
          <w:rFonts w:ascii="Arial" w:hAnsi="Arial" w:cs="Arial"/>
        </w:rPr>
        <w:t>,</w:t>
      </w:r>
      <w:r>
        <w:rPr>
          <w:rFonts w:ascii="Arial" w:hAnsi="Arial" w:cs="Arial"/>
        </w:rPr>
        <w:t xml:space="preserve"> </w:t>
      </w:r>
      <w:r w:rsidRPr="00883938">
        <w:rPr>
          <w:rFonts w:ascii="Arial" w:hAnsi="Arial" w:cs="Arial"/>
        </w:rPr>
        <w:t>pp. 228-259</w:t>
      </w:r>
    </w:p>
    <w:p w14:paraId="73A438F7" w14:textId="70F7B31B" w:rsidR="00A31343" w:rsidRDefault="00A31343" w:rsidP="00DD4BC3">
      <w:pPr>
        <w:spacing w:after="0" w:line="240" w:lineRule="auto"/>
        <w:rPr>
          <w:rFonts w:ascii="Arial" w:hAnsi="Arial" w:cs="Arial"/>
        </w:rPr>
      </w:pPr>
      <w:r>
        <w:rPr>
          <w:rFonts w:ascii="Arial" w:hAnsi="Arial" w:cs="Arial"/>
        </w:rPr>
        <w:t xml:space="preserve">Greaves, J. (2005) </w:t>
      </w:r>
      <w:r>
        <w:rPr>
          <w:rFonts w:ascii="Arial" w:hAnsi="Arial" w:cs="Arial"/>
          <w:i/>
        </w:rPr>
        <w:t xml:space="preserve">Industrial Reorganisation and Government Policy in Interwar Britain, </w:t>
      </w:r>
      <w:r>
        <w:rPr>
          <w:rFonts w:ascii="Arial" w:hAnsi="Arial" w:cs="Arial"/>
          <w:iCs/>
        </w:rPr>
        <w:t xml:space="preserve">Aldershot: </w:t>
      </w:r>
      <w:r>
        <w:rPr>
          <w:rFonts w:ascii="Arial" w:hAnsi="Arial" w:cs="Arial"/>
        </w:rPr>
        <w:t>Ashgate Publishing Ltd.</w:t>
      </w:r>
    </w:p>
    <w:p w14:paraId="196121EF" w14:textId="64363B76" w:rsidR="00FB464A" w:rsidRDefault="002D63DC" w:rsidP="00FB464A">
      <w:pPr>
        <w:spacing w:after="0" w:line="240" w:lineRule="auto"/>
        <w:rPr>
          <w:rFonts w:ascii="Arial" w:hAnsi="Arial" w:cs="Arial"/>
        </w:rPr>
      </w:pPr>
      <w:r>
        <w:rPr>
          <w:rFonts w:ascii="Arial" w:hAnsi="Arial" w:cs="Arial"/>
        </w:rPr>
        <w:t xml:space="preserve">Haigh, N., Walker, J., </w:t>
      </w:r>
      <w:proofErr w:type="spellStart"/>
      <w:r>
        <w:rPr>
          <w:rFonts w:ascii="Arial" w:hAnsi="Arial" w:cs="Arial"/>
        </w:rPr>
        <w:t>Bacq</w:t>
      </w:r>
      <w:proofErr w:type="spellEnd"/>
      <w:r>
        <w:rPr>
          <w:rFonts w:ascii="Arial" w:hAnsi="Arial" w:cs="Arial"/>
        </w:rPr>
        <w:t xml:space="preserve">, S &amp; </w:t>
      </w:r>
      <w:proofErr w:type="spellStart"/>
      <w:r>
        <w:rPr>
          <w:rFonts w:ascii="Arial" w:hAnsi="Arial" w:cs="Arial"/>
        </w:rPr>
        <w:t>Kickul</w:t>
      </w:r>
      <w:proofErr w:type="spellEnd"/>
      <w:r>
        <w:rPr>
          <w:rFonts w:ascii="Arial" w:hAnsi="Arial" w:cs="Arial"/>
        </w:rPr>
        <w:t xml:space="preserve">, J. (2015) Hybrid Organisations: Origins, Strategies, Impacts and Implications, </w:t>
      </w:r>
      <w:r>
        <w:rPr>
          <w:rFonts w:ascii="Arial" w:hAnsi="Arial" w:cs="Arial"/>
          <w:i/>
          <w:iCs/>
        </w:rPr>
        <w:t xml:space="preserve">California Management Review, </w:t>
      </w:r>
      <w:r>
        <w:rPr>
          <w:rFonts w:ascii="Arial" w:hAnsi="Arial" w:cs="Arial"/>
        </w:rPr>
        <w:t>57(3) pp5-12.</w:t>
      </w:r>
    </w:p>
    <w:p w14:paraId="4AA62890" w14:textId="2AD5E48F" w:rsidR="00970842" w:rsidRPr="00970842" w:rsidRDefault="00970842" w:rsidP="00970842">
      <w:pPr>
        <w:autoSpaceDE w:val="0"/>
        <w:autoSpaceDN w:val="0"/>
        <w:adjustRightInd w:val="0"/>
        <w:spacing w:after="0" w:line="240" w:lineRule="auto"/>
        <w:rPr>
          <w:rFonts w:ascii="Arial" w:hAnsi="Arial" w:cs="Arial"/>
        </w:rPr>
      </w:pPr>
      <w:r>
        <w:rPr>
          <w:rFonts w:ascii="Arial" w:hAnsi="Arial" w:cs="Arial"/>
        </w:rPr>
        <w:t xml:space="preserve">Hannah, L. (1974) </w:t>
      </w:r>
      <w:r w:rsidRPr="00970842">
        <w:rPr>
          <w:rFonts w:ascii="Arial" w:hAnsi="Arial" w:cs="Arial"/>
        </w:rPr>
        <w:t>Takeover Bids in Britain Before 1950: An Exercise in</w:t>
      </w:r>
      <w:r>
        <w:rPr>
          <w:rFonts w:ascii="Arial" w:hAnsi="Arial" w:cs="Arial"/>
        </w:rPr>
        <w:t xml:space="preserve"> </w:t>
      </w:r>
      <w:r w:rsidRPr="00970842">
        <w:rPr>
          <w:rFonts w:ascii="Arial" w:hAnsi="Arial" w:cs="Arial"/>
        </w:rPr>
        <w:t xml:space="preserve">Business ‘Pre-History’, </w:t>
      </w:r>
      <w:r w:rsidRPr="00970842">
        <w:rPr>
          <w:rFonts w:ascii="Arial" w:hAnsi="Arial" w:cs="Arial"/>
          <w:i/>
          <w:iCs/>
        </w:rPr>
        <w:t>Business History,</w:t>
      </w:r>
      <w:r w:rsidRPr="00970842">
        <w:rPr>
          <w:rFonts w:ascii="Arial" w:hAnsi="Arial" w:cs="Arial"/>
        </w:rPr>
        <w:t xml:space="preserve"> 16</w:t>
      </w:r>
      <w:r>
        <w:rPr>
          <w:rFonts w:ascii="Arial" w:hAnsi="Arial" w:cs="Arial"/>
        </w:rPr>
        <w:t>(</w:t>
      </w:r>
      <w:r w:rsidRPr="00970842">
        <w:rPr>
          <w:rFonts w:ascii="Arial" w:hAnsi="Arial" w:cs="Arial"/>
        </w:rPr>
        <w:t>1</w:t>
      </w:r>
      <w:r>
        <w:rPr>
          <w:rFonts w:ascii="Arial" w:hAnsi="Arial" w:cs="Arial"/>
        </w:rPr>
        <w:t>)</w:t>
      </w:r>
      <w:r w:rsidRPr="00970842">
        <w:rPr>
          <w:rFonts w:ascii="Arial" w:hAnsi="Arial" w:cs="Arial"/>
        </w:rPr>
        <w:t xml:space="preserve">, </w:t>
      </w:r>
      <w:r>
        <w:rPr>
          <w:rFonts w:ascii="Arial" w:hAnsi="Arial" w:cs="Arial"/>
        </w:rPr>
        <w:t>pp</w:t>
      </w:r>
      <w:r w:rsidRPr="00970842">
        <w:rPr>
          <w:rFonts w:ascii="Arial" w:hAnsi="Arial" w:cs="Arial"/>
        </w:rPr>
        <w:t>65-77</w:t>
      </w:r>
      <w:r>
        <w:rPr>
          <w:rFonts w:ascii="Arial" w:hAnsi="Arial" w:cs="Arial"/>
        </w:rPr>
        <w:t>.</w:t>
      </w:r>
    </w:p>
    <w:p w14:paraId="38B679C5" w14:textId="5D6356B7" w:rsidR="00FB464A" w:rsidRDefault="00FB464A" w:rsidP="00FB464A">
      <w:pPr>
        <w:pStyle w:val="Default"/>
        <w:rPr>
          <w:rFonts w:ascii="Arial" w:hAnsi="Arial" w:cs="Arial"/>
          <w:sz w:val="22"/>
          <w:szCs w:val="22"/>
        </w:rPr>
      </w:pPr>
      <w:r>
        <w:rPr>
          <w:rFonts w:ascii="Arial" w:hAnsi="Arial" w:cs="Arial"/>
          <w:sz w:val="22"/>
          <w:szCs w:val="22"/>
        </w:rPr>
        <w:t xml:space="preserve">Hannah, L. (1974) </w:t>
      </w:r>
      <w:r w:rsidRPr="00FB464A">
        <w:rPr>
          <w:rFonts w:ascii="Arial" w:hAnsi="Arial" w:cs="Arial"/>
          <w:sz w:val="22"/>
          <w:szCs w:val="22"/>
        </w:rPr>
        <w:t>Managerial Innovation and the Rise of the Large-Scale Company in Interwar Britain</w:t>
      </w:r>
      <w:r>
        <w:rPr>
          <w:rFonts w:ascii="Arial" w:hAnsi="Arial" w:cs="Arial"/>
          <w:sz w:val="22"/>
          <w:szCs w:val="22"/>
        </w:rPr>
        <w:t xml:space="preserve">, </w:t>
      </w:r>
      <w:r w:rsidRPr="00FB464A">
        <w:rPr>
          <w:rFonts w:ascii="Arial" w:hAnsi="Arial" w:cs="Arial"/>
          <w:i/>
          <w:iCs/>
          <w:sz w:val="22"/>
          <w:szCs w:val="22"/>
        </w:rPr>
        <w:t>The Economic History Review</w:t>
      </w:r>
      <w:r w:rsidRPr="00FB464A">
        <w:rPr>
          <w:rFonts w:ascii="Arial" w:hAnsi="Arial" w:cs="Arial"/>
          <w:sz w:val="22"/>
          <w:szCs w:val="22"/>
        </w:rPr>
        <w:t>, 27</w:t>
      </w:r>
      <w:r>
        <w:rPr>
          <w:rFonts w:ascii="Arial" w:hAnsi="Arial" w:cs="Arial"/>
          <w:sz w:val="22"/>
          <w:szCs w:val="22"/>
        </w:rPr>
        <w:t>(</w:t>
      </w:r>
      <w:r w:rsidRPr="00FB464A">
        <w:rPr>
          <w:rFonts w:ascii="Arial" w:hAnsi="Arial" w:cs="Arial"/>
          <w:sz w:val="22"/>
          <w:szCs w:val="22"/>
        </w:rPr>
        <w:t>2</w:t>
      </w:r>
      <w:r>
        <w:rPr>
          <w:rFonts w:ascii="Arial" w:hAnsi="Arial" w:cs="Arial"/>
          <w:sz w:val="22"/>
          <w:szCs w:val="22"/>
        </w:rPr>
        <w:t>)</w:t>
      </w:r>
      <w:r w:rsidRPr="00FB464A">
        <w:rPr>
          <w:rFonts w:ascii="Arial" w:hAnsi="Arial" w:cs="Arial"/>
          <w:sz w:val="22"/>
          <w:szCs w:val="22"/>
        </w:rPr>
        <w:t xml:space="preserve"> pp. 252-270</w:t>
      </w:r>
      <w:r>
        <w:rPr>
          <w:rFonts w:ascii="Arial" w:hAnsi="Arial" w:cs="Arial"/>
          <w:sz w:val="22"/>
          <w:szCs w:val="22"/>
        </w:rPr>
        <w:t>.</w:t>
      </w:r>
    </w:p>
    <w:p w14:paraId="4702A271" w14:textId="28F4FF13" w:rsidR="00812858" w:rsidRPr="00812858" w:rsidRDefault="00812858" w:rsidP="00FB464A">
      <w:pPr>
        <w:pStyle w:val="Default"/>
        <w:rPr>
          <w:rFonts w:ascii="Arial" w:hAnsi="Arial" w:cs="Arial"/>
          <w:sz w:val="22"/>
          <w:szCs w:val="22"/>
        </w:rPr>
      </w:pPr>
      <w:proofErr w:type="spellStart"/>
      <w:r w:rsidRPr="00812858">
        <w:rPr>
          <w:rFonts w:ascii="Arial" w:hAnsi="Arial" w:cs="Arial"/>
          <w:sz w:val="22"/>
          <w:szCs w:val="22"/>
        </w:rPr>
        <w:t>Haveman</w:t>
      </w:r>
      <w:proofErr w:type="spellEnd"/>
      <w:r w:rsidRPr="00812858">
        <w:rPr>
          <w:rFonts w:ascii="Arial" w:hAnsi="Arial" w:cs="Arial"/>
          <w:sz w:val="22"/>
          <w:szCs w:val="22"/>
        </w:rPr>
        <w:t xml:space="preserve">, H. &amp; </w:t>
      </w:r>
      <w:proofErr w:type="spellStart"/>
      <w:r w:rsidRPr="00812858">
        <w:rPr>
          <w:rFonts w:ascii="Arial" w:hAnsi="Arial" w:cs="Arial"/>
          <w:sz w:val="22"/>
          <w:szCs w:val="22"/>
        </w:rPr>
        <w:t>Hayagreeva</w:t>
      </w:r>
      <w:proofErr w:type="spellEnd"/>
      <w:r w:rsidRPr="00812858">
        <w:rPr>
          <w:rFonts w:ascii="Arial" w:hAnsi="Arial" w:cs="Arial"/>
          <w:sz w:val="22"/>
          <w:szCs w:val="22"/>
        </w:rPr>
        <w:t xml:space="preserve">, R. (1997) Structuring a Theory of Moral Sentiments: Institutional and Organizational Coevolution in the Early Thrift Industry, </w:t>
      </w:r>
      <w:r w:rsidRPr="00812858">
        <w:rPr>
          <w:rFonts w:ascii="Arial" w:hAnsi="Arial" w:cs="Arial"/>
          <w:i/>
          <w:iCs/>
          <w:sz w:val="22"/>
          <w:szCs w:val="22"/>
        </w:rPr>
        <w:t>American Journal of Sociology</w:t>
      </w:r>
      <w:r w:rsidRPr="00812858">
        <w:rPr>
          <w:rFonts w:ascii="Arial" w:hAnsi="Arial" w:cs="Arial"/>
          <w:sz w:val="22"/>
          <w:szCs w:val="22"/>
        </w:rPr>
        <w:t>, 102(6) pp. 1606-1651</w:t>
      </w:r>
      <w:r>
        <w:rPr>
          <w:rFonts w:ascii="Arial" w:hAnsi="Arial" w:cs="Arial"/>
          <w:sz w:val="22"/>
          <w:szCs w:val="22"/>
        </w:rPr>
        <w:t>.</w:t>
      </w:r>
    </w:p>
    <w:p w14:paraId="6C115C37" w14:textId="2C3B3639" w:rsidR="00E51583" w:rsidRPr="00E51583" w:rsidRDefault="00E51583" w:rsidP="00E51583">
      <w:pPr>
        <w:pStyle w:val="Default"/>
      </w:pPr>
      <w:r>
        <w:rPr>
          <w:rFonts w:ascii="Arial" w:hAnsi="Arial" w:cs="Arial"/>
          <w:sz w:val="22"/>
          <w:szCs w:val="22"/>
        </w:rPr>
        <w:t>He</w:t>
      </w:r>
      <w:r w:rsidR="00141113">
        <w:rPr>
          <w:rFonts w:ascii="Arial" w:hAnsi="Arial" w:cs="Arial"/>
          <w:sz w:val="22"/>
          <w:szCs w:val="22"/>
        </w:rPr>
        <w:t>r</w:t>
      </w:r>
      <w:r>
        <w:rPr>
          <w:rFonts w:ascii="Arial" w:hAnsi="Arial" w:cs="Arial"/>
          <w:sz w:val="22"/>
          <w:szCs w:val="22"/>
        </w:rPr>
        <w:t xml:space="preserve">as, R. (1994) </w:t>
      </w:r>
      <w:r w:rsidRPr="00E51583">
        <w:rPr>
          <w:rFonts w:ascii="Arial" w:hAnsi="Arial" w:cs="Arial"/>
          <w:sz w:val="22"/>
          <w:szCs w:val="22"/>
        </w:rPr>
        <w:t>State Intervention in Urban Passenger Transportation: The Transport Corporation of</w:t>
      </w:r>
      <w:r>
        <w:rPr>
          <w:rFonts w:ascii="Arial" w:hAnsi="Arial" w:cs="Arial"/>
          <w:sz w:val="22"/>
          <w:szCs w:val="22"/>
        </w:rPr>
        <w:t xml:space="preserve"> </w:t>
      </w:r>
      <w:r w:rsidRPr="00E51583">
        <w:rPr>
          <w:rFonts w:ascii="Arial" w:hAnsi="Arial" w:cs="Arial"/>
          <w:sz w:val="22"/>
          <w:szCs w:val="22"/>
        </w:rPr>
        <w:t>Buenos Aires, 1939-1962</w:t>
      </w:r>
      <w:r>
        <w:rPr>
          <w:rFonts w:ascii="Arial" w:hAnsi="Arial" w:cs="Arial"/>
          <w:sz w:val="22"/>
          <w:szCs w:val="22"/>
        </w:rPr>
        <w:t xml:space="preserve">, </w:t>
      </w:r>
      <w:r w:rsidRPr="00E51583">
        <w:rPr>
          <w:rFonts w:ascii="Arial" w:hAnsi="Arial" w:cs="Arial"/>
          <w:i/>
          <w:iCs/>
          <w:sz w:val="22"/>
          <w:szCs w:val="22"/>
        </w:rPr>
        <w:t>The Hispanic American Historical Review,</w:t>
      </w:r>
      <w:r w:rsidRPr="00E51583">
        <w:rPr>
          <w:rFonts w:ascii="Arial" w:hAnsi="Arial" w:cs="Arial"/>
          <w:sz w:val="22"/>
          <w:szCs w:val="22"/>
        </w:rPr>
        <w:t xml:space="preserve"> 74</w:t>
      </w:r>
      <w:r>
        <w:rPr>
          <w:rFonts w:ascii="Arial" w:hAnsi="Arial" w:cs="Arial"/>
          <w:sz w:val="22"/>
          <w:szCs w:val="22"/>
        </w:rPr>
        <w:t>(</w:t>
      </w:r>
      <w:r w:rsidRPr="00E51583">
        <w:rPr>
          <w:rFonts w:ascii="Arial" w:hAnsi="Arial" w:cs="Arial"/>
          <w:sz w:val="22"/>
          <w:szCs w:val="22"/>
        </w:rPr>
        <w:t>1</w:t>
      </w:r>
      <w:r>
        <w:rPr>
          <w:rFonts w:ascii="Arial" w:hAnsi="Arial" w:cs="Arial"/>
          <w:sz w:val="22"/>
          <w:szCs w:val="22"/>
        </w:rPr>
        <w:t>)</w:t>
      </w:r>
      <w:r w:rsidRPr="00E51583">
        <w:rPr>
          <w:rFonts w:ascii="Arial" w:hAnsi="Arial" w:cs="Arial"/>
          <w:sz w:val="22"/>
          <w:szCs w:val="22"/>
        </w:rPr>
        <w:t xml:space="preserve"> pp. 83-110</w:t>
      </w:r>
      <w:r>
        <w:rPr>
          <w:rFonts w:ascii="Arial" w:hAnsi="Arial" w:cs="Arial"/>
          <w:sz w:val="22"/>
          <w:szCs w:val="22"/>
        </w:rPr>
        <w:t>.</w:t>
      </w:r>
    </w:p>
    <w:p w14:paraId="3BF2B45C" w14:textId="0064DBB8" w:rsidR="00400EB2" w:rsidRDefault="00400EB2" w:rsidP="00DD4BC3">
      <w:pPr>
        <w:spacing w:after="0" w:line="240" w:lineRule="auto"/>
        <w:rPr>
          <w:rFonts w:ascii="Arial" w:hAnsi="Arial" w:cs="Arial"/>
        </w:rPr>
      </w:pPr>
      <w:r>
        <w:rPr>
          <w:rFonts w:ascii="Arial" w:hAnsi="Arial" w:cs="Arial"/>
        </w:rPr>
        <w:t xml:space="preserve">Hey, K. (2010) </w:t>
      </w:r>
      <w:r w:rsidRPr="00364FA6">
        <w:rPr>
          <w:rFonts w:ascii="Arial" w:eastAsia="Times New Roman" w:hAnsi="Arial" w:cs="Arial"/>
          <w:bCs/>
          <w:kern w:val="36"/>
          <w:lang w:eastAsia="en-GB"/>
        </w:rPr>
        <w:t>Transport Co-Ordination and Professionalism in Britain Forging a new Orthodoxy in the Early Inter-War Years</w:t>
      </w:r>
      <w:r>
        <w:rPr>
          <w:rFonts w:ascii="Arial" w:eastAsia="Times New Roman" w:hAnsi="Arial" w:cs="Arial"/>
          <w:bCs/>
          <w:kern w:val="36"/>
          <w:lang w:eastAsia="en-GB"/>
        </w:rPr>
        <w:t xml:space="preserve">, </w:t>
      </w:r>
      <w:r>
        <w:rPr>
          <w:rFonts w:ascii="Arial" w:eastAsia="Times New Roman" w:hAnsi="Arial" w:cs="Arial"/>
          <w:bCs/>
          <w:i/>
          <w:kern w:val="36"/>
          <w:lang w:eastAsia="en-GB"/>
        </w:rPr>
        <w:t>The Journal of Transport History,</w:t>
      </w:r>
      <w:r w:rsidRPr="00364FA6">
        <w:rPr>
          <w:rFonts w:ascii="Arial" w:eastAsia="Times New Roman" w:hAnsi="Arial" w:cs="Arial"/>
          <w:bCs/>
          <w:i/>
          <w:kern w:val="36"/>
          <w:lang w:eastAsia="en-GB"/>
        </w:rPr>
        <w:t xml:space="preserve"> </w:t>
      </w:r>
      <w:r>
        <w:rPr>
          <w:rFonts w:ascii="Arial" w:hAnsi="Arial" w:cs="Arial"/>
        </w:rPr>
        <w:t>31(1),</w:t>
      </w:r>
      <w:r w:rsidRPr="00364FA6">
        <w:rPr>
          <w:rFonts w:ascii="Arial" w:hAnsi="Arial" w:cs="Arial"/>
        </w:rPr>
        <w:t xml:space="preserve"> </w:t>
      </w:r>
      <w:r>
        <w:rPr>
          <w:rFonts w:ascii="Arial" w:hAnsi="Arial" w:cs="Arial"/>
        </w:rPr>
        <w:t>pp</w:t>
      </w:r>
      <w:r w:rsidRPr="00364FA6">
        <w:rPr>
          <w:rFonts w:ascii="Arial" w:hAnsi="Arial" w:cs="Arial"/>
        </w:rPr>
        <w:t>25-41</w:t>
      </w:r>
      <w:r>
        <w:rPr>
          <w:rFonts w:ascii="Arial" w:hAnsi="Arial" w:cs="Arial"/>
        </w:rPr>
        <w:t>.</w:t>
      </w:r>
    </w:p>
    <w:p w14:paraId="18CC5757" w14:textId="78A423E0" w:rsidR="00120CC0" w:rsidRDefault="00120CC0" w:rsidP="00DD4BC3">
      <w:pPr>
        <w:spacing w:after="0" w:line="240" w:lineRule="auto"/>
        <w:rPr>
          <w:rFonts w:ascii="Arial" w:hAnsi="Arial" w:cs="Arial"/>
        </w:rPr>
      </w:pPr>
      <w:r>
        <w:rPr>
          <w:rFonts w:ascii="Arial" w:hAnsi="Arial" w:cs="Arial"/>
        </w:rPr>
        <w:t xml:space="preserve">Holmes, G., Sugden, A &amp; Gee, P. (2005) </w:t>
      </w:r>
      <w:r w:rsidRPr="00120CC0">
        <w:rPr>
          <w:rFonts w:ascii="Arial" w:hAnsi="Arial" w:cs="Arial"/>
          <w:i/>
          <w:iCs/>
        </w:rPr>
        <w:t>Interpreting Company Reports and Accounts,</w:t>
      </w:r>
      <w:r>
        <w:rPr>
          <w:rFonts w:ascii="Arial" w:hAnsi="Arial" w:cs="Arial"/>
        </w:rPr>
        <w:t xml:space="preserve"> London: Pearson.</w:t>
      </w:r>
    </w:p>
    <w:p w14:paraId="4C014DD2" w14:textId="18EAF3F5" w:rsidR="004A2DAB" w:rsidRDefault="004A2DAB" w:rsidP="00DD4BC3">
      <w:pPr>
        <w:spacing w:after="0" w:line="240" w:lineRule="auto"/>
        <w:rPr>
          <w:rFonts w:ascii="Arial" w:hAnsi="Arial" w:cs="Arial"/>
        </w:rPr>
      </w:pPr>
      <w:r>
        <w:rPr>
          <w:rFonts w:ascii="Arial" w:hAnsi="Arial" w:cs="Arial"/>
        </w:rPr>
        <w:t xml:space="preserve">Hood, C. (1991) A Public Management for all the Seasons, </w:t>
      </w:r>
      <w:r w:rsidRPr="00E520C1">
        <w:rPr>
          <w:rFonts w:ascii="Arial" w:hAnsi="Arial" w:cs="Arial"/>
          <w:i/>
          <w:iCs/>
        </w:rPr>
        <w:t>Public Administration</w:t>
      </w:r>
      <w:r>
        <w:rPr>
          <w:rFonts w:ascii="Arial" w:hAnsi="Arial" w:cs="Arial"/>
        </w:rPr>
        <w:t>, 69, pp3-19.</w:t>
      </w:r>
    </w:p>
    <w:p w14:paraId="23BFA62C" w14:textId="376AE191" w:rsidR="004B7024" w:rsidRDefault="004B7024" w:rsidP="00DD4BC3">
      <w:pPr>
        <w:spacing w:after="0" w:line="240" w:lineRule="auto"/>
        <w:rPr>
          <w:rFonts w:ascii="Arial" w:hAnsi="Arial" w:cs="Arial"/>
        </w:rPr>
      </w:pPr>
      <w:r>
        <w:rPr>
          <w:rFonts w:ascii="Arial" w:hAnsi="Arial" w:cs="Arial"/>
        </w:rPr>
        <w:t xml:space="preserve">Hibbs, J. (2005) </w:t>
      </w:r>
      <w:r w:rsidRPr="004B7024">
        <w:rPr>
          <w:rFonts w:ascii="Arial" w:hAnsi="Arial" w:cs="Arial"/>
          <w:i/>
          <w:iCs/>
        </w:rPr>
        <w:t>The Dangers of Bus Re-</w:t>
      </w:r>
      <w:r>
        <w:rPr>
          <w:rFonts w:ascii="Arial" w:hAnsi="Arial" w:cs="Arial"/>
          <w:i/>
          <w:iCs/>
        </w:rPr>
        <w:t>R</w:t>
      </w:r>
      <w:r w:rsidRPr="004B7024">
        <w:rPr>
          <w:rFonts w:ascii="Arial" w:hAnsi="Arial" w:cs="Arial"/>
          <w:i/>
          <w:iCs/>
        </w:rPr>
        <w:t>egulation,</w:t>
      </w:r>
      <w:r>
        <w:rPr>
          <w:rFonts w:ascii="Arial" w:hAnsi="Arial" w:cs="Arial"/>
        </w:rPr>
        <w:t xml:space="preserve"> London: Profile Books.</w:t>
      </w:r>
    </w:p>
    <w:p w14:paraId="7AAA51FB" w14:textId="3F051B32" w:rsidR="00570BCD" w:rsidRDefault="00570BCD" w:rsidP="00570BCD">
      <w:pPr>
        <w:autoSpaceDE w:val="0"/>
        <w:autoSpaceDN w:val="0"/>
        <w:adjustRightInd w:val="0"/>
        <w:spacing w:after="0" w:line="240" w:lineRule="auto"/>
        <w:rPr>
          <w:rFonts w:ascii="Arial" w:hAnsi="Arial" w:cs="Arial"/>
        </w:rPr>
      </w:pPr>
      <w:r>
        <w:rPr>
          <w:rFonts w:ascii="Arial" w:hAnsi="Arial" w:cs="Arial"/>
        </w:rPr>
        <w:t xml:space="preserve">Jay, J. (2013) </w:t>
      </w:r>
      <w:r w:rsidRPr="00570BCD">
        <w:rPr>
          <w:rFonts w:ascii="Arial" w:hAnsi="Arial" w:cs="Arial"/>
        </w:rPr>
        <w:t>N</w:t>
      </w:r>
      <w:r>
        <w:rPr>
          <w:rFonts w:ascii="Arial" w:hAnsi="Arial" w:cs="Arial"/>
        </w:rPr>
        <w:t>avigating</w:t>
      </w:r>
      <w:r w:rsidRPr="00570BCD">
        <w:rPr>
          <w:rFonts w:ascii="Arial" w:hAnsi="Arial" w:cs="Arial"/>
        </w:rPr>
        <w:t xml:space="preserve"> P</w:t>
      </w:r>
      <w:r>
        <w:rPr>
          <w:rFonts w:ascii="Arial" w:hAnsi="Arial" w:cs="Arial"/>
        </w:rPr>
        <w:t>aradox</w:t>
      </w:r>
      <w:r w:rsidRPr="00570BCD">
        <w:rPr>
          <w:rFonts w:ascii="Arial" w:hAnsi="Arial" w:cs="Arial"/>
        </w:rPr>
        <w:t xml:space="preserve"> </w:t>
      </w:r>
      <w:r>
        <w:rPr>
          <w:rFonts w:ascii="Arial" w:hAnsi="Arial" w:cs="Arial"/>
        </w:rPr>
        <w:t>as</w:t>
      </w:r>
      <w:r w:rsidRPr="00570BCD">
        <w:rPr>
          <w:rFonts w:ascii="Arial" w:hAnsi="Arial" w:cs="Arial"/>
        </w:rPr>
        <w:t xml:space="preserve"> </w:t>
      </w:r>
      <w:r>
        <w:rPr>
          <w:rFonts w:ascii="Arial" w:hAnsi="Arial" w:cs="Arial"/>
        </w:rPr>
        <w:t>a</w:t>
      </w:r>
      <w:r w:rsidRPr="00570BCD">
        <w:rPr>
          <w:rFonts w:ascii="Arial" w:hAnsi="Arial" w:cs="Arial"/>
        </w:rPr>
        <w:t xml:space="preserve"> M</w:t>
      </w:r>
      <w:r>
        <w:rPr>
          <w:rFonts w:ascii="Arial" w:hAnsi="Arial" w:cs="Arial"/>
        </w:rPr>
        <w:t>echanism</w:t>
      </w:r>
      <w:r w:rsidRPr="00570BCD">
        <w:rPr>
          <w:rFonts w:ascii="Arial" w:hAnsi="Arial" w:cs="Arial"/>
        </w:rPr>
        <w:t xml:space="preserve"> </w:t>
      </w:r>
      <w:r>
        <w:rPr>
          <w:rFonts w:ascii="Arial" w:hAnsi="Arial" w:cs="Arial"/>
        </w:rPr>
        <w:t>of</w:t>
      </w:r>
      <w:r w:rsidRPr="00570BCD">
        <w:rPr>
          <w:rFonts w:ascii="Arial" w:hAnsi="Arial" w:cs="Arial"/>
        </w:rPr>
        <w:t xml:space="preserve"> C</w:t>
      </w:r>
      <w:r>
        <w:rPr>
          <w:rFonts w:ascii="Arial" w:hAnsi="Arial" w:cs="Arial"/>
        </w:rPr>
        <w:t>hange and</w:t>
      </w:r>
      <w:r w:rsidRPr="00570BCD">
        <w:rPr>
          <w:rFonts w:ascii="Arial" w:hAnsi="Arial" w:cs="Arial"/>
        </w:rPr>
        <w:t xml:space="preserve"> I</w:t>
      </w:r>
      <w:r>
        <w:rPr>
          <w:rFonts w:ascii="Arial" w:hAnsi="Arial" w:cs="Arial"/>
        </w:rPr>
        <w:t>nnovation</w:t>
      </w:r>
      <w:r w:rsidRPr="00570BCD">
        <w:rPr>
          <w:rFonts w:ascii="Arial" w:hAnsi="Arial" w:cs="Arial"/>
        </w:rPr>
        <w:t xml:space="preserve"> </w:t>
      </w:r>
      <w:r>
        <w:rPr>
          <w:rFonts w:ascii="Arial" w:hAnsi="Arial" w:cs="Arial"/>
        </w:rPr>
        <w:t>in</w:t>
      </w:r>
      <w:r w:rsidRPr="00570BCD">
        <w:rPr>
          <w:rFonts w:ascii="Arial" w:hAnsi="Arial" w:cs="Arial"/>
        </w:rPr>
        <w:t xml:space="preserve"> H</w:t>
      </w:r>
      <w:r>
        <w:rPr>
          <w:rFonts w:ascii="Arial" w:hAnsi="Arial" w:cs="Arial"/>
        </w:rPr>
        <w:t>ybrid</w:t>
      </w:r>
      <w:r w:rsidRPr="00570BCD">
        <w:rPr>
          <w:rFonts w:ascii="Arial" w:hAnsi="Arial" w:cs="Arial"/>
        </w:rPr>
        <w:t xml:space="preserve"> O</w:t>
      </w:r>
      <w:r>
        <w:rPr>
          <w:rFonts w:ascii="Arial" w:hAnsi="Arial" w:cs="Arial"/>
        </w:rPr>
        <w:t>rganisations,</w:t>
      </w:r>
      <w:r w:rsidRPr="00570BCD">
        <w:rPr>
          <w:rFonts w:ascii="Arial" w:hAnsi="Arial" w:cs="Arial"/>
        </w:rPr>
        <w:t xml:space="preserve"> </w:t>
      </w:r>
      <w:r w:rsidRPr="00570BCD">
        <w:rPr>
          <w:rFonts w:ascii="Arial" w:hAnsi="Arial" w:cs="Arial"/>
          <w:i/>
          <w:iCs/>
        </w:rPr>
        <w:t>Academy of Management Journal</w:t>
      </w:r>
      <w:r>
        <w:rPr>
          <w:rFonts w:ascii="Arial" w:hAnsi="Arial" w:cs="Arial"/>
        </w:rPr>
        <w:t xml:space="preserve"> </w:t>
      </w:r>
      <w:r w:rsidRPr="00570BCD">
        <w:rPr>
          <w:rFonts w:ascii="Arial" w:hAnsi="Arial" w:cs="Arial"/>
        </w:rPr>
        <w:t>56</w:t>
      </w:r>
      <w:r>
        <w:rPr>
          <w:rFonts w:ascii="Arial" w:hAnsi="Arial" w:cs="Arial"/>
        </w:rPr>
        <w:t>(</w:t>
      </w:r>
      <w:r w:rsidRPr="00570BCD">
        <w:rPr>
          <w:rFonts w:ascii="Arial" w:hAnsi="Arial" w:cs="Arial"/>
        </w:rPr>
        <w:t>1</w:t>
      </w:r>
      <w:r>
        <w:rPr>
          <w:rFonts w:ascii="Arial" w:hAnsi="Arial" w:cs="Arial"/>
        </w:rPr>
        <w:t>)</w:t>
      </w:r>
      <w:r w:rsidRPr="00570BCD">
        <w:rPr>
          <w:rFonts w:ascii="Arial" w:hAnsi="Arial" w:cs="Arial"/>
        </w:rPr>
        <w:t xml:space="preserve"> </w:t>
      </w:r>
      <w:r>
        <w:rPr>
          <w:rFonts w:ascii="Arial" w:hAnsi="Arial" w:cs="Arial"/>
        </w:rPr>
        <w:t>pp</w:t>
      </w:r>
      <w:r w:rsidRPr="00570BCD">
        <w:rPr>
          <w:rFonts w:ascii="Arial" w:hAnsi="Arial" w:cs="Arial"/>
        </w:rPr>
        <w:t>137-159.</w:t>
      </w:r>
    </w:p>
    <w:p w14:paraId="41F12594" w14:textId="3863F604" w:rsidR="005C6926" w:rsidRPr="00E02109" w:rsidRDefault="005C6926" w:rsidP="00E02109">
      <w:pPr>
        <w:autoSpaceDE w:val="0"/>
        <w:autoSpaceDN w:val="0"/>
        <w:adjustRightInd w:val="0"/>
        <w:spacing w:after="0" w:line="240" w:lineRule="auto"/>
        <w:rPr>
          <w:rFonts w:ascii="Arial" w:hAnsi="Arial" w:cs="Arial"/>
        </w:rPr>
      </w:pPr>
      <w:proofErr w:type="spellStart"/>
      <w:r>
        <w:rPr>
          <w:rFonts w:ascii="Arial" w:hAnsi="Arial" w:cs="Arial"/>
        </w:rPr>
        <w:t>Jilke</w:t>
      </w:r>
      <w:proofErr w:type="spellEnd"/>
      <w:r>
        <w:rPr>
          <w:rFonts w:ascii="Arial" w:hAnsi="Arial" w:cs="Arial"/>
        </w:rPr>
        <w:t>, S</w:t>
      </w:r>
      <w:r w:rsidR="00E02109">
        <w:rPr>
          <w:rFonts w:ascii="Arial" w:hAnsi="Arial" w:cs="Arial"/>
        </w:rPr>
        <w:t xml:space="preserve">., Van </w:t>
      </w:r>
      <w:proofErr w:type="spellStart"/>
      <w:r w:rsidR="00E02109">
        <w:rPr>
          <w:rFonts w:ascii="Arial" w:hAnsi="Arial" w:cs="Arial"/>
        </w:rPr>
        <w:t>Reyzin</w:t>
      </w:r>
      <w:proofErr w:type="spellEnd"/>
      <w:r w:rsidR="00E02109">
        <w:rPr>
          <w:rFonts w:ascii="Arial" w:hAnsi="Arial" w:cs="Arial"/>
        </w:rPr>
        <w:t xml:space="preserve">, G and Van der </w:t>
      </w:r>
      <w:proofErr w:type="spellStart"/>
      <w:r w:rsidR="00E02109">
        <w:rPr>
          <w:rFonts w:ascii="Arial" w:hAnsi="Arial" w:cs="Arial"/>
        </w:rPr>
        <w:t>Walle</w:t>
      </w:r>
      <w:proofErr w:type="spellEnd"/>
      <w:r w:rsidR="00E02109">
        <w:rPr>
          <w:rFonts w:ascii="Arial" w:hAnsi="Arial" w:cs="Arial"/>
        </w:rPr>
        <w:t xml:space="preserve">, S. (2016) </w:t>
      </w:r>
      <w:r w:rsidR="00E02109" w:rsidRPr="00E02109">
        <w:rPr>
          <w:rFonts w:ascii="Arial" w:hAnsi="Arial" w:cs="Arial"/>
        </w:rPr>
        <w:t>Responses to Decline in Marketized Public</w:t>
      </w:r>
      <w:r w:rsidR="00E02109">
        <w:rPr>
          <w:rFonts w:ascii="Arial" w:hAnsi="Arial" w:cs="Arial"/>
        </w:rPr>
        <w:t xml:space="preserve"> </w:t>
      </w:r>
      <w:r w:rsidR="00E02109" w:rsidRPr="00E02109">
        <w:rPr>
          <w:rFonts w:ascii="Arial" w:hAnsi="Arial" w:cs="Arial"/>
        </w:rPr>
        <w:t>Services: An Experimental Evaluation of Choice</w:t>
      </w:r>
      <w:r w:rsidR="00E02109">
        <w:rPr>
          <w:rFonts w:ascii="Arial" w:hAnsi="Arial" w:cs="Arial"/>
        </w:rPr>
        <w:t xml:space="preserve"> </w:t>
      </w:r>
      <w:r w:rsidR="00E02109" w:rsidRPr="00E02109">
        <w:rPr>
          <w:rFonts w:ascii="Arial" w:hAnsi="Arial" w:cs="Arial"/>
        </w:rPr>
        <w:t xml:space="preserve">Overload </w:t>
      </w:r>
      <w:r w:rsidR="00E02109" w:rsidRPr="00E02109">
        <w:rPr>
          <w:rFonts w:ascii="Arial" w:hAnsi="Arial" w:cs="Arial"/>
          <w:i/>
          <w:iCs/>
        </w:rPr>
        <w:t xml:space="preserve">Journal of Public Administration Research </w:t>
      </w:r>
      <w:r w:rsidR="00E02109">
        <w:rPr>
          <w:rFonts w:ascii="Arial" w:hAnsi="Arial" w:cs="Arial"/>
          <w:i/>
          <w:iCs/>
        </w:rPr>
        <w:t>a</w:t>
      </w:r>
      <w:r w:rsidR="00E02109" w:rsidRPr="00E02109">
        <w:rPr>
          <w:rFonts w:ascii="Arial" w:hAnsi="Arial" w:cs="Arial"/>
          <w:i/>
          <w:iCs/>
        </w:rPr>
        <w:t>nd Theory</w:t>
      </w:r>
      <w:r w:rsidR="00E02109" w:rsidRPr="00E02109">
        <w:rPr>
          <w:rFonts w:ascii="Arial" w:hAnsi="Arial" w:cs="Arial"/>
        </w:rPr>
        <w:t xml:space="preserve">, </w:t>
      </w:r>
      <w:r w:rsidR="00E02109">
        <w:rPr>
          <w:rFonts w:ascii="Arial" w:hAnsi="Arial" w:cs="Arial"/>
        </w:rPr>
        <w:t>26(3), pp</w:t>
      </w:r>
      <w:r w:rsidR="00E02109" w:rsidRPr="00E02109">
        <w:rPr>
          <w:rFonts w:ascii="Arial" w:hAnsi="Arial" w:cs="Arial"/>
        </w:rPr>
        <w:t>421–432</w:t>
      </w:r>
    </w:p>
    <w:p w14:paraId="13E89423" w14:textId="602B58BC" w:rsidR="00806DAE" w:rsidRPr="00806DAE" w:rsidRDefault="00806DAE" w:rsidP="00806DAE">
      <w:pPr>
        <w:autoSpaceDE w:val="0"/>
        <w:autoSpaceDN w:val="0"/>
        <w:adjustRightInd w:val="0"/>
        <w:spacing w:after="0" w:line="240" w:lineRule="auto"/>
        <w:rPr>
          <w:rFonts w:ascii="Arial" w:hAnsi="Arial" w:cs="Arial"/>
        </w:rPr>
      </w:pPr>
      <w:proofErr w:type="spellStart"/>
      <w:r>
        <w:rPr>
          <w:rFonts w:ascii="Arial" w:hAnsi="Arial" w:cs="Arial"/>
        </w:rPr>
        <w:t>Joldersma</w:t>
      </w:r>
      <w:proofErr w:type="spellEnd"/>
      <w:r>
        <w:rPr>
          <w:rFonts w:ascii="Arial" w:hAnsi="Arial" w:cs="Arial"/>
        </w:rPr>
        <w:t xml:space="preserve">, C. &amp; Winter, V. (2002) Strategic Management in Hybrid Organisations, </w:t>
      </w:r>
      <w:r w:rsidRPr="00806DAE">
        <w:rPr>
          <w:rFonts w:ascii="Arial" w:hAnsi="Arial" w:cs="Arial"/>
          <w:i/>
          <w:iCs/>
        </w:rPr>
        <w:t>Public Management Review,</w:t>
      </w:r>
      <w:r>
        <w:rPr>
          <w:rFonts w:ascii="Arial" w:hAnsi="Arial" w:cs="Arial"/>
        </w:rPr>
        <w:t xml:space="preserve"> </w:t>
      </w:r>
      <w:r w:rsidRPr="00806DAE">
        <w:rPr>
          <w:rFonts w:ascii="Arial" w:hAnsi="Arial" w:cs="Arial"/>
        </w:rPr>
        <w:t>4</w:t>
      </w:r>
      <w:r>
        <w:rPr>
          <w:rFonts w:ascii="Arial" w:hAnsi="Arial" w:cs="Arial"/>
        </w:rPr>
        <w:t>(</w:t>
      </w:r>
      <w:r w:rsidRPr="00806DAE">
        <w:rPr>
          <w:rFonts w:ascii="Arial" w:hAnsi="Arial" w:cs="Arial"/>
        </w:rPr>
        <w:t>1</w:t>
      </w:r>
      <w:r>
        <w:rPr>
          <w:rFonts w:ascii="Arial" w:hAnsi="Arial" w:cs="Arial"/>
        </w:rPr>
        <w:t>)</w:t>
      </w:r>
      <w:r w:rsidRPr="00806DAE">
        <w:rPr>
          <w:rFonts w:ascii="Arial" w:hAnsi="Arial" w:cs="Arial"/>
        </w:rPr>
        <w:t xml:space="preserve"> </w:t>
      </w:r>
      <w:r>
        <w:rPr>
          <w:rFonts w:ascii="Arial" w:hAnsi="Arial" w:cs="Arial"/>
        </w:rPr>
        <w:t>pp</w:t>
      </w:r>
      <w:r w:rsidRPr="00806DAE">
        <w:rPr>
          <w:rFonts w:ascii="Arial" w:hAnsi="Arial" w:cs="Arial"/>
        </w:rPr>
        <w:t>83–99</w:t>
      </w:r>
      <w:r w:rsidR="00A02D5F">
        <w:rPr>
          <w:rFonts w:ascii="Arial" w:hAnsi="Arial" w:cs="Arial"/>
        </w:rPr>
        <w:t>.</w:t>
      </w:r>
    </w:p>
    <w:p w14:paraId="778B9743" w14:textId="6D79E25C" w:rsidR="00B415F8" w:rsidRDefault="009649F5" w:rsidP="00DD4BC3">
      <w:pPr>
        <w:spacing w:after="0" w:line="240" w:lineRule="auto"/>
        <w:rPr>
          <w:rFonts w:ascii="Arial" w:hAnsi="Arial" w:cs="Arial"/>
        </w:rPr>
      </w:pPr>
      <w:r>
        <w:rPr>
          <w:rFonts w:ascii="Arial" w:hAnsi="Arial" w:cs="Arial"/>
        </w:rPr>
        <w:t xml:space="preserve">Jones, G &amp; Zeitlin, J. (2007) </w:t>
      </w:r>
      <w:r w:rsidR="00E475F9" w:rsidRPr="00E475F9">
        <w:rPr>
          <w:rFonts w:ascii="Arial" w:hAnsi="Arial" w:cs="Arial"/>
          <w:i/>
          <w:iCs/>
        </w:rPr>
        <w:t>The Oxford Book of Business History,</w:t>
      </w:r>
      <w:r w:rsidR="00E475F9">
        <w:rPr>
          <w:rFonts w:ascii="Arial" w:hAnsi="Arial" w:cs="Arial"/>
        </w:rPr>
        <w:t xml:space="preserve"> Oxford: Oxford University Press.</w:t>
      </w:r>
      <w:r>
        <w:rPr>
          <w:rFonts w:ascii="Arial" w:hAnsi="Arial" w:cs="Arial"/>
        </w:rPr>
        <w:t xml:space="preserve"> </w:t>
      </w:r>
    </w:p>
    <w:p w14:paraId="0F04A76D" w14:textId="74F9A60A" w:rsidR="00A109DD" w:rsidRDefault="00A109DD" w:rsidP="00DD4BC3">
      <w:pPr>
        <w:spacing w:after="0" w:line="240" w:lineRule="auto"/>
        <w:rPr>
          <w:rFonts w:ascii="Arial" w:hAnsi="Arial" w:cs="Arial"/>
        </w:rPr>
      </w:pPr>
      <w:r>
        <w:rPr>
          <w:rFonts w:ascii="Arial" w:hAnsi="Arial" w:cs="Arial"/>
        </w:rPr>
        <w:lastRenderedPageBreak/>
        <w:t xml:space="preserve">Lloyd-Wilson, G. (1939) </w:t>
      </w:r>
      <w:r w:rsidRPr="00A109DD">
        <w:rPr>
          <w:rFonts w:ascii="Arial" w:hAnsi="Arial" w:cs="Arial"/>
        </w:rPr>
        <w:t>The London Passenger Transport Board-A Public Transportation</w:t>
      </w:r>
      <w:r>
        <w:rPr>
          <w:rFonts w:ascii="Arial" w:hAnsi="Arial" w:cs="Arial"/>
        </w:rPr>
        <w:t xml:space="preserve">, </w:t>
      </w:r>
      <w:r w:rsidRPr="00A109DD">
        <w:rPr>
          <w:rFonts w:ascii="Arial" w:hAnsi="Arial" w:cs="Arial"/>
          <w:i/>
          <w:iCs/>
        </w:rPr>
        <w:t>The Annals of the American Academy of Political and Social Science</w:t>
      </w:r>
      <w:r w:rsidRPr="00A109DD">
        <w:rPr>
          <w:rFonts w:ascii="Arial" w:hAnsi="Arial" w:cs="Arial"/>
        </w:rPr>
        <w:t>, 201</w:t>
      </w:r>
      <w:r>
        <w:rPr>
          <w:rFonts w:ascii="Arial" w:hAnsi="Arial" w:cs="Arial"/>
        </w:rPr>
        <w:t xml:space="preserve">, </w:t>
      </w:r>
      <w:r w:rsidRPr="00A109DD">
        <w:rPr>
          <w:rFonts w:ascii="Arial" w:hAnsi="Arial" w:cs="Arial"/>
        </w:rPr>
        <w:t>pp118-123</w:t>
      </w:r>
    </w:p>
    <w:p w14:paraId="2863CF69" w14:textId="3AC22928" w:rsidR="00EC60F5" w:rsidRPr="00EC60F5" w:rsidRDefault="00EC60F5" w:rsidP="00DD4BC3">
      <w:pPr>
        <w:spacing w:after="0" w:line="240" w:lineRule="auto"/>
        <w:rPr>
          <w:rFonts w:ascii="Arial" w:hAnsi="Arial" w:cs="Arial"/>
        </w:rPr>
      </w:pPr>
      <w:r w:rsidRPr="00EC60F5">
        <w:rPr>
          <w:rFonts w:ascii="Arial" w:hAnsi="Arial" w:cs="Arial"/>
        </w:rPr>
        <w:t xml:space="preserve">Lowes-Dickinson, A. 1924 Publicity in Industrial Accounts, with a Comparison of English and American Methods, </w:t>
      </w:r>
      <w:r w:rsidRPr="00EC60F5">
        <w:rPr>
          <w:rFonts w:ascii="Arial" w:hAnsi="Arial" w:cs="Arial"/>
          <w:i/>
        </w:rPr>
        <w:t>The Journal of the Royal Statistical Society</w:t>
      </w:r>
      <w:r w:rsidRPr="00EC60F5">
        <w:rPr>
          <w:rFonts w:ascii="Arial" w:hAnsi="Arial" w:cs="Arial"/>
        </w:rPr>
        <w:t>, 87(3</w:t>
      </w:r>
      <w:proofErr w:type="gramStart"/>
      <w:r w:rsidRPr="00EC60F5">
        <w:rPr>
          <w:rFonts w:ascii="Arial" w:hAnsi="Arial" w:cs="Arial"/>
        </w:rPr>
        <w:t>)  pp.</w:t>
      </w:r>
      <w:proofErr w:type="gramEnd"/>
      <w:r w:rsidRPr="00EC60F5">
        <w:rPr>
          <w:rFonts w:ascii="Arial" w:hAnsi="Arial" w:cs="Arial"/>
        </w:rPr>
        <w:t xml:space="preserve"> 391-432.</w:t>
      </w:r>
    </w:p>
    <w:p w14:paraId="677F837C" w14:textId="53AB83C9" w:rsidR="00DC0077" w:rsidRPr="00DC0077" w:rsidRDefault="00DC0077" w:rsidP="00DD4BC3">
      <w:pPr>
        <w:spacing w:after="0" w:line="240" w:lineRule="auto"/>
        <w:rPr>
          <w:rFonts w:ascii="Arial" w:hAnsi="Arial" w:cs="Arial"/>
        </w:rPr>
      </w:pPr>
      <w:r w:rsidRPr="00DC0077">
        <w:rPr>
          <w:rFonts w:ascii="Arial" w:hAnsi="Arial" w:cs="Arial"/>
        </w:rPr>
        <w:t xml:space="preserve">Maclean, M Harvey, C &amp; Clegg, S. (2016) Conceptualising Historical Organisation Studies, The </w:t>
      </w:r>
      <w:r w:rsidRPr="00DC0077">
        <w:rPr>
          <w:rFonts w:ascii="Arial" w:hAnsi="Arial" w:cs="Arial"/>
          <w:i/>
          <w:iCs/>
        </w:rPr>
        <w:t>Academy of Management Review</w:t>
      </w:r>
      <w:r w:rsidRPr="00DC0077">
        <w:rPr>
          <w:rFonts w:ascii="Arial" w:hAnsi="Arial" w:cs="Arial"/>
        </w:rPr>
        <w:t xml:space="preserve">, </w:t>
      </w:r>
      <w:proofErr w:type="gramStart"/>
      <w:r w:rsidRPr="00DC0077">
        <w:rPr>
          <w:rFonts w:ascii="Arial" w:hAnsi="Arial" w:cs="Arial"/>
        </w:rPr>
        <w:t>41( 4</w:t>
      </w:r>
      <w:proofErr w:type="gramEnd"/>
      <w:r w:rsidRPr="00DC0077">
        <w:rPr>
          <w:rFonts w:ascii="Arial" w:hAnsi="Arial" w:cs="Arial"/>
        </w:rPr>
        <w:t xml:space="preserve">) </w:t>
      </w:r>
      <w:r>
        <w:rPr>
          <w:rFonts w:ascii="Arial" w:hAnsi="Arial" w:cs="Arial"/>
        </w:rPr>
        <w:t>pp</w:t>
      </w:r>
      <w:r w:rsidRPr="00DC0077">
        <w:rPr>
          <w:rFonts w:ascii="Arial" w:hAnsi="Arial" w:cs="Arial"/>
        </w:rPr>
        <w:t>609–632.</w:t>
      </w:r>
    </w:p>
    <w:p w14:paraId="2177F299" w14:textId="5A76AB69" w:rsidR="00534041" w:rsidRDefault="00534041" w:rsidP="00534041">
      <w:pPr>
        <w:spacing w:after="0" w:line="240" w:lineRule="auto"/>
        <w:rPr>
          <w:rFonts w:ascii="Arial" w:hAnsi="Arial" w:cs="Arial"/>
        </w:rPr>
      </w:pPr>
      <w:proofErr w:type="spellStart"/>
      <w:r>
        <w:rPr>
          <w:rFonts w:ascii="Arial" w:hAnsi="Arial" w:cs="Arial"/>
        </w:rPr>
        <w:t>Masterman</w:t>
      </w:r>
      <w:proofErr w:type="spellEnd"/>
      <w:r>
        <w:rPr>
          <w:rFonts w:ascii="Arial" w:hAnsi="Arial" w:cs="Arial"/>
        </w:rPr>
        <w:t xml:space="preserve">, C. (1909) </w:t>
      </w:r>
      <w:r>
        <w:rPr>
          <w:rFonts w:ascii="Arial" w:hAnsi="Arial" w:cs="Arial"/>
          <w:i/>
        </w:rPr>
        <w:t xml:space="preserve">The Condition of England, </w:t>
      </w:r>
      <w:r>
        <w:rPr>
          <w:rFonts w:ascii="Arial" w:hAnsi="Arial" w:cs="Arial"/>
          <w:iCs/>
        </w:rPr>
        <w:t xml:space="preserve">London: </w:t>
      </w:r>
      <w:r>
        <w:rPr>
          <w:rFonts w:ascii="Arial" w:hAnsi="Arial" w:cs="Arial"/>
        </w:rPr>
        <w:t>Faber.</w:t>
      </w:r>
    </w:p>
    <w:p w14:paraId="159AC0D3" w14:textId="2F1F639E" w:rsidR="00F9368F" w:rsidRDefault="00F9368F" w:rsidP="00534041">
      <w:pPr>
        <w:spacing w:after="0" w:line="240" w:lineRule="auto"/>
        <w:rPr>
          <w:rFonts w:ascii="Arial" w:hAnsi="Arial" w:cs="Arial"/>
        </w:rPr>
      </w:pPr>
      <w:r>
        <w:rPr>
          <w:rFonts w:ascii="Arial" w:hAnsi="Arial" w:cs="Arial"/>
        </w:rPr>
        <w:t xml:space="preserve">Marquand, D. (2008) </w:t>
      </w:r>
      <w:r>
        <w:rPr>
          <w:rFonts w:ascii="Arial" w:hAnsi="Arial" w:cs="Arial"/>
          <w:i/>
          <w:iCs/>
        </w:rPr>
        <w:t xml:space="preserve">Britain since 1918, </w:t>
      </w:r>
      <w:r>
        <w:rPr>
          <w:rFonts w:ascii="Arial" w:hAnsi="Arial" w:cs="Arial"/>
        </w:rPr>
        <w:t xml:space="preserve">London: </w:t>
      </w:r>
      <w:proofErr w:type="spellStart"/>
      <w:r>
        <w:rPr>
          <w:rFonts w:ascii="Arial" w:hAnsi="Arial" w:cs="Arial"/>
        </w:rPr>
        <w:t>Weidenfield</w:t>
      </w:r>
      <w:proofErr w:type="spellEnd"/>
      <w:r>
        <w:rPr>
          <w:rFonts w:ascii="Arial" w:hAnsi="Arial" w:cs="Arial"/>
        </w:rPr>
        <w:t xml:space="preserve"> and Nicholson.</w:t>
      </w:r>
    </w:p>
    <w:p w14:paraId="623D6788" w14:textId="09C38985" w:rsidR="00B02D52" w:rsidRDefault="00B02D52" w:rsidP="00534041">
      <w:pPr>
        <w:spacing w:after="0" w:line="240" w:lineRule="auto"/>
        <w:rPr>
          <w:rFonts w:ascii="Arial" w:hAnsi="Arial" w:cs="Arial"/>
        </w:rPr>
      </w:pPr>
      <w:r>
        <w:rPr>
          <w:rFonts w:ascii="Arial" w:hAnsi="Arial" w:cs="Arial"/>
        </w:rPr>
        <w:t xml:space="preserve">Marquis, C &amp; Lounsbury, M. (2004) Academy of Management Journal, </w:t>
      </w:r>
      <w:proofErr w:type="spellStart"/>
      <w:r>
        <w:rPr>
          <w:rFonts w:ascii="Arial" w:hAnsi="Arial" w:cs="Arial"/>
        </w:rPr>
        <w:t>Vive</w:t>
      </w:r>
      <w:proofErr w:type="spellEnd"/>
      <w:r>
        <w:rPr>
          <w:rFonts w:ascii="Arial" w:hAnsi="Arial" w:cs="Arial"/>
        </w:rPr>
        <w:t xml:space="preserve"> La Resistance: Competing Logics and the Consolidation of US Community Banking, 50(4).</w:t>
      </w:r>
    </w:p>
    <w:p w14:paraId="2D7F5D5A" w14:textId="1309F02A" w:rsidR="009144D0" w:rsidRPr="009144D0" w:rsidRDefault="009144D0" w:rsidP="00534041">
      <w:pPr>
        <w:spacing w:after="0" w:line="240" w:lineRule="auto"/>
        <w:rPr>
          <w:rFonts w:ascii="Arial" w:hAnsi="Arial" w:cs="Arial"/>
          <w:color w:val="1F3864" w:themeColor="accent1" w:themeShade="80"/>
        </w:rPr>
      </w:pPr>
      <w:r w:rsidRPr="009144D0">
        <w:rPr>
          <w:rFonts w:ascii="Arial" w:hAnsi="Arial" w:cs="Arial"/>
          <w:color w:val="1F3864" w:themeColor="accent1" w:themeShade="80"/>
        </w:rPr>
        <w:t xml:space="preserve">Mees, P. (2010) </w:t>
      </w:r>
      <w:r w:rsidRPr="009144D0">
        <w:rPr>
          <w:rFonts w:ascii="Arial" w:hAnsi="Arial" w:cs="Arial"/>
          <w:i/>
          <w:iCs/>
          <w:color w:val="1F3864" w:themeColor="accent1" w:themeShade="80"/>
        </w:rPr>
        <w:t>Transport for Suburbia</w:t>
      </w:r>
      <w:r w:rsidRPr="009144D0">
        <w:rPr>
          <w:rFonts w:ascii="Arial" w:hAnsi="Arial" w:cs="Arial"/>
          <w:color w:val="1F3864" w:themeColor="accent1" w:themeShade="80"/>
        </w:rPr>
        <w:t>, Abingdon: Routledge.</w:t>
      </w:r>
    </w:p>
    <w:p w14:paraId="19024005" w14:textId="3E40E3F9" w:rsidR="00F9368F" w:rsidRDefault="00F9368F" w:rsidP="00534041">
      <w:pPr>
        <w:spacing w:after="0" w:line="240" w:lineRule="auto"/>
        <w:rPr>
          <w:rFonts w:ascii="Arial" w:hAnsi="Arial" w:cs="Arial"/>
        </w:rPr>
      </w:pPr>
      <w:proofErr w:type="spellStart"/>
      <w:r>
        <w:rPr>
          <w:rFonts w:ascii="Arial" w:hAnsi="Arial" w:cs="Arial"/>
        </w:rPr>
        <w:t>Middlemas</w:t>
      </w:r>
      <w:proofErr w:type="spellEnd"/>
      <w:r>
        <w:rPr>
          <w:rFonts w:ascii="Arial" w:hAnsi="Arial" w:cs="Arial"/>
        </w:rPr>
        <w:t xml:space="preserve">, K. (1979) </w:t>
      </w:r>
      <w:r>
        <w:rPr>
          <w:rFonts w:ascii="Arial" w:hAnsi="Arial" w:cs="Arial"/>
          <w:i/>
          <w:iCs/>
        </w:rPr>
        <w:t xml:space="preserve">Politics in Industrial Society, </w:t>
      </w:r>
      <w:r>
        <w:rPr>
          <w:rFonts w:ascii="Arial" w:hAnsi="Arial" w:cs="Arial"/>
        </w:rPr>
        <w:t xml:space="preserve">London: Deutsch. </w:t>
      </w:r>
    </w:p>
    <w:p w14:paraId="146B076D" w14:textId="77777777" w:rsidR="00C04549" w:rsidRDefault="00CE1C85" w:rsidP="00534041">
      <w:pPr>
        <w:spacing w:after="0" w:line="240" w:lineRule="auto"/>
        <w:rPr>
          <w:rFonts w:ascii="Arial" w:hAnsi="Arial" w:cs="Arial"/>
        </w:rPr>
      </w:pPr>
      <w:r>
        <w:rPr>
          <w:rFonts w:ascii="Arial" w:hAnsi="Arial" w:cs="Arial"/>
        </w:rPr>
        <w:t xml:space="preserve">Millward, R. &amp; Singleton, J. (1995) </w:t>
      </w:r>
      <w:r>
        <w:rPr>
          <w:rFonts w:ascii="Arial" w:hAnsi="Arial" w:cs="Arial"/>
          <w:i/>
          <w:iCs/>
        </w:rPr>
        <w:t xml:space="preserve">The Political Economy of Nationalisation in Britain 1920-50, </w:t>
      </w:r>
      <w:r>
        <w:rPr>
          <w:rFonts w:ascii="Arial" w:hAnsi="Arial" w:cs="Arial"/>
        </w:rPr>
        <w:t>Cambridge: Cambridge University Press.</w:t>
      </w:r>
    </w:p>
    <w:p w14:paraId="2DB6EB86" w14:textId="5531FEF3" w:rsidR="00C04549" w:rsidRDefault="00C04549" w:rsidP="00C04549">
      <w:pPr>
        <w:pStyle w:val="Heading1"/>
        <w:shd w:val="clear" w:color="auto" w:fill="FFFFFF"/>
        <w:spacing w:before="0" w:beforeAutospacing="0" w:after="0" w:afterAutospacing="0"/>
        <w:rPr>
          <w:rFonts w:ascii="Arial" w:hAnsi="Arial" w:cs="Arial"/>
          <w:b w:val="0"/>
          <w:bCs w:val="0"/>
          <w:sz w:val="22"/>
          <w:szCs w:val="22"/>
        </w:rPr>
      </w:pPr>
      <w:r w:rsidRPr="00C04549">
        <w:rPr>
          <w:rFonts w:ascii="Arial" w:hAnsi="Arial" w:cs="Arial"/>
          <w:b w:val="0"/>
          <w:bCs w:val="0"/>
          <w:sz w:val="22"/>
          <w:szCs w:val="22"/>
        </w:rPr>
        <w:t>Minkoff, D. (2002) The Emergence of Hybrid Organizational Forms: Combining Identity-Based Service Provision and Political Action</w:t>
      </w:r>
      <w:r>
        <w:rPr>
          <w:rFonts w:ascii="Arial" w:hAnsi="Arial" w:cs="Arial"/>
          <w:b w:val="0"/>
          <w:bCs w:val="0"/>
          <w:sz w:val="22"/>
          <w:szCs w:val="22"/>
        </w:rPr>
        <w:t xml:space="preserve">, </w:t>
      </w:r>
      <w:r>
        <w:rPr>
          <w:rFonts w:ascii="Arial" w:hAnsi="Arial" w:cs="Arial"/>
          <w:b w:val="0"/>
          <w:bCs w:val="0"/>
          <w:i/>
          <w:iCs/>
          <w:sz w:val="22"/>
          <w:szCs w:val="22"/>
        </w:rPr>
        <w:t xml:space="preserve">Non-Profit and Voluntary Sector Quarterly, </w:t>
      </w:r>
      <w:r w:rsidRPr="00C04549">
        <w:rPr>
          <w:rFonts w:ascii="Arial" w:hAnsi="Arial" w:cs="Arial"/>
          <w:b w:val="0"/>
          <w:bCs w:val="0"/>
          <w:sz w:val="22"/>
          <w:szCs w:val="22"/>
        </w:rPr>
        <w:t>31</w:t>
      </w:r>
      <w:r>
        <w:rPr>
          <w:rFonts w:ascii="Arial" w:hAnsi="Arial" w:cs="Arial"/>
          <w:b w:val="0"/>
          <w:bCs w:val="0"/>
          <w:sz w:val="22"/>
          <w:szCs w:val="22"/>
        </w:rPr>
        <w:t>(</w:t>
      </w:r>
      <w:r w:rsidRPr="00C04549">
        <w:rPr>
          <w:rFonts w:ascii="Arial" w:hAnsi="Arial" w:cs="Arial"/>
          <w:b w:val="0"/>
          <w:bCs w:val="0"/>
          <w:sz w:val="22"/>
          <w:szCs w:val="22"/>
        </w:rPr>
        <w:t>3</w:t>
      </w:r>
      <w:r>
        <w:rPr>
          <w:rFonts w:ascii="Arial" w:hAnsi="Arial" w:cs="Arial"/>
          <w:b w:val="0"/>
          <w:bCs w:val="0"/>
          <w:sz w:val="22"/>
          <w:szCs w:val="22"/>
        </w:rPr>
        <w:t>)</w:t>
      </w:r>
      <w:r w:rsidRPr="00C04549">
        <w:rPr>
          <w:rFonts w:ascii="Arial" w:hAnsi="Arial" w:cs="Arial"/>
          <w:b w:val="0"/>
          <w:bCs w:val="0"/>
          <w:sz w:val="22"/>
          <w:szCs w:val="22"/>
        </w:rPr>
        <w:t>, p</w:t>
      </w:r>
      <w:r>
        <w:rPr>
          <w:rFonts w:ascii="Arial" w:hAnsi="Arial" w:cs="Arial"/>
          <w:b w:val="0"/>
          <w:bCs w:val="0"/>
          <w:sz w:val="22"/>
          <w:szCs w:val="22"/>
        </w:rPr>
        <w:t>p</w:t>
      </w:r>
      <w:r w:rsidRPr="00C04549">
        <w:rPr>
          <w:rFonts w:ascii="Arial" w:hAnsi="Arial" w:cs="Arial"/>
          <w:b w:val="0"/>
          <w:bCs w:val="0"/>
          <w:sz w:val="22"/>
          <w:szCs w:val="22"/>
        </w:rPr>
        <w:t>377-401</w:t>
      </w:r>
      <w:r>
        <w:rPr>
          <w:rFonts w:ascii="Arial" w:hAnsi="Arial" w:cs="Arial"/>
          <w:b w:val="0"/>
          <w:bCs w:val="0"/>
          <w:sz w:val="22"/>
          <w:szCs w:val="22"/>
        </w:rPr>
        <w:t>.</w:t>
      </w:r>
    </w:p>
    <w:p w14:paraId="7A0E90EE" w14:textId="31B8E583" w:rsidR="00EC60F5" w:rsidRPr="00EC60F5" w:rsidRDefault="00EC60F5" w:rsidP="00EC60F5">
      <w:pPr>
        <w:spacing w:after="0" w:line="240" w:lineRule="auto"/>
        <w:rPr>
          <w:rFonts w:ascii="Arial" w:hAnsi="Arial" w:cs="Arial"/>
        </w:rPr>
      </w:pPr>
      <w:proofErr w:type="spellStart"/>
      <w:r w:rsidRPr="00EC60F5">
        <w:rPr>
          <w:rFonts w:ascii="Arial" w:hAnsi="Arial" w:cs="Arial"/>
        </w:rPr>
        <w:t>Miranti</w:t>
      </w:r>
      <w:proofErr w:type="spellEnd"/>
      <w:r w:rsidRPr="00EC60F5">
        <w:rPr>
          <w:rFonts w:ascii="Arial" w:hAnsi="Arial" w:cs="Arial"/>
        </w:rPr>
        <w:t xml:space="preserve">, P. (1989) The Mind's Eye of Reform: The ICC's Bureau of Statistics and Accounts and a Vision of Regulation, 1887-1940, </w:t>
      </w:r>
      <w:r w:rsidRPr="00EC60F5">
        <w:rPr>
          <w:rFonts w:ascii="Arial" w:hAnsi="Arial" w:cs="Arial"/>
          <w:i/>
        </w:rPr>
        <w:t>The Business History Review</w:t>
      </w:r>
      <w:r w:rsidRPr="00EC60F5">
        <w:rPr>
          <w:rFonts w:ascii="Arial" w:hAnsi="Arial" w:cs="Arial"/>
        </w:rPr>
        <w:t xml:space="preserve"> 63(3), pp469-509.</w:t>
      </w:r>
    </w:p>
    <w:p w14:paraId="23E502E8" w14:textId="77777777" w:rsidR="00C04549" w:rsidRDefault="00BA7288" w:rsidP="00C04549">
      <w:pPr>
        <w:shd w:val="clear" w:color="auto" w:fill="FFFFFF"/>
        <w:spacing w:after="0" w:line="240" w:lineRule="auto"/>
        <w:rPr>
          <w:rFonts w:ascii="Arial" w:hAnsi="Arial" w:cs="Arial"/>
        </w:rPr>
      </w:pPr>
      <w:r>
        <w:rPr>
          <w:rFonts w:ascii="Arial" w:hAnsi="Arial" w:cs="Arial"/>
        </w:rPr>
        <w:t xml:space="preserve">Mom, G. (2015) Road vs. Rail in the North Atlantic World during the Interwar Co-ordination Crisis. In </w:t>
      </w:r>
      <w:proofErr w:type="spellStart"/>
      <w:r>
        <w:rPr>
          <w:rFonts w:ascii="Arial" w:hAnsi="Arial" w:cs="Arial"/>
        </w:rPr>
        <w:t>Kopper</w:t>
      </w:r>
      <w:proofErr w:type="spellEnd"/>
      <w:r>
        <w:rPr>
          <w:rFonts w:ascii="Arial" w:hAnsi="Arial" w:cs="Arial"/>
        </w:rPr>
        <w:t xml:space="preserve">, C. &amp; </w:t>
      </w:r>
      <w:proofErr w:type="spellStart"/>
      <w:r>
        <w:rPr>
          <w:rFonts w:ascii="Arial" w:hAnsi="Arial" w:cs="Arial"/>
        </w:rPr>
        <w:t>Moraglio</w:t>
      </w:r>
      <w:proofErr w:type="spellEnd"/>
      <w:r>
        <w:rPr>
          <w:rFonts w:ascii="Arial" w:hAnsi="Arial" w:cs="Arial"/>
        </w:rPr>
        <w:t xml:space="preserve">, M. (Eds.), </w:t>
      </w:r>
      <w:r>
        <w:rPr>
          <w:rFonts w:ascii="Arial" w:hAnsi="Arial" w:cs="Arial"/>
          <w:i/>
          <w:iCs/>
        </w:rPr>
        <w:t xml:space="preserve">The Organisation of Transport, A History of Users, Industry, and Public Policy, </w:t>
      </w:r>
      <w:r>
        <w:rPr>
          <w:rFonts w:ascii="Arial" w:hAnsi="Arial" w:cs="Arial"/>
        </w:rPr>
        <w:t>(pp8-25). London: Routledge.</w:t>
      </w:r>
    </w:p>
    <w:p w14:paraId="6F18E7BB" w14:textId="1CB9EDD0" w:rsidR="00FB39E5" w:rsidRDefault="00FB39E5" w:rsidP="00C04549">
      <w:pPr>
        <w:shd w:val="clear" w:color="auto" w:fill="FFFFFF"/>
        <w:spacing w:after="0" w:line="240" w:lineRule="auto"/>
        <w:rPr>
          <w:rFonts w:ascii="Arial" w:hAnsi="Arial" w:cs="Arial"/>
        </w:rPr>
      </w:pPr>
      <w:r>
        <w:rPr>
          <w:rFonts w:ascii="Arial" w:hAnsi="Arial" w:cs="Arial"/>
        </w:rPr>
        <w:t xml:space="preserve">Morrison, H. (1933) </w:t>
      </w:r>
      <w:r>
        <w:rPr>
          <w:rFonts w:ascii="Arial" w:hAnsi="Arial" w:cs="Arial"/>
          <w:i/>
          <w:iCs/>
        </w:rPr>
        <w:t xml:space="preserve">Socialisation and Transport, </w:t>
      </w:r>
      <w:r>
        <w:rPr>
          <w:rFonts w:ascii="Arial" w:hAnsi="Arial" w:cs="Arial"/>
        </w:rPr>
        <w:t>London: Constable.</w:t>
      </w:r>
    </w:p>
    <w:p w14:paraId="28E26859" w14:textId="468EAB0C" w:rsidR="000A72F8" w:rsidRPr="000A72F8" w:rsidRDefault="000A72F8" w:rsidP="00C04549">
      <w:pPr>
        <w:spacing w:after="0" w:line="240" w:lineRule="auto"/>
        <w:rPr>
          <w:rFonts w:ascii="Arial" w:hAnsi="Arial" w:cs="Arial"/>
        </w:rPr>
      </w:pPr>
      <w:r>
        <w:rPr>
          <w:rFonts w:ascii="Arial" w:hAnsi="Arial" w:cs="Arial"/>
        </w:rPr>
        <w:t xml:space="preserve">Morrison, H. (1960) </w:t>
      </w:r>
      <w:r>
        <w:rPr>
          <w:rFonts w:ascii="Arial" w:hAnsi="Arial" w:cs="Arial"/>
          <w:i/>
          <w:iCs/>
        </w:rPr>
        <w:t xml:space="preserve">An Autobiography, </w:t>
      </w:r>
      <w:r>
        <w:rPr>
          <w:rFonts w:ascii="Arial" w:hAnsi="Arial" w:cs="Arial"/>
        </w:rPr>
        <w:t xml:space="preserve">London: </w:t>
      </w:r>
      <w:proofErr w:type="spellStart"/>
      <w:r>
        <w:rPr>
          <w:rFonts w:ascii="Arial" w:hAnsi="Arial" w:cs="Arial"/>
        </w:rPr>
        <w:t>Odhams</w:t>
      </w:r>
      <w:proofErr w:type="spellEnd"/>
      <w:r>
        <w:rPr>
          <w:rFonts w:ascii="Arial" w:hAnsi="Arial" w:cs="Arial"/>
        </w:rPr>
        <w:t>.</w:t>
      </w:r>
    </w:p>
    <w:p w14:paraId="5510A170" w14:textId="29AC77E3" w:rsidR="00F067B0" w:rsidRDefault="001B4158" w:rsidP="00F067B0">
      <w:pPr>
        <w:spacing w:after="0" w:line="240" w:lineRule="auto"/>
        <w:rPr>
          <w:rFonts w:ascii="Arial" w:hAnsi="Arial" w:cs="Arial"/>
        </w:rPr>
      </w:pPr>
      <w:r>
        <w:rPr>
          <w:rFonts w:ascii="Arial" w:hAnsi="Arial" w:cs="Arial"/>
        </w:rPr>
        <w:t xml:space="preserve">Mulley, C. (2010) </w:t>
      </w:r>
      <w:r w:rsidRPr="001B4158">
        <w:rPr>
          <w:rFonts w:ascii="Arial" w:hAnsi="Arial" w:cs="Arial"/>
          <w:i/>
          <w:iCs/>
        </w:rPr>
        <w:t>Passenger transport in the UK 1920 – 1950: The drive for ‘co-ordination’ of transport modes</w:t>
      </w:r>
      <w:r>
        <w:rPr>
          <w:rFonts w:ascii="Arial" w:hAnsi="Arial" w:cs="Arial"/>
          <w:i/>
          <w:iCs/>
        </w:rPr>
        <w:t xml:space="preserve">, </w:t>
      </w:r>
      <w:r>
        <w:rPr>
          <w:rFonts w:ascii="Arial" w:hAnsi="Arial" w:cs="Arial"/>
        </w:rPr>
        <w:t>Institute of Transport and Logistic Studies, The University of Sydney. Working Paper</w:t>
      </w:r>
      <w:r w:rsidR="00F067B0">
        <w:rPr>
          <w:rFonts w:ascii="Arial" w:hAnsi="Arial" w:cs="Arial"/>
        </w:rPr>
        <w:t>.</w:t>
      </w:r>
    </w:p>
    <w:p w14:paraId="58800B84" w14:textId="66DB2547" w:rsidR="00B34041" w:rsidRPr="00796170" w:rsidRDefault="00B34041" w:rsidP="00F067B0">
      <w:pPr>
        <w:spacing w:after="0" w:line="240" w:lineRule="auto"/>
        <w:rPr>
          <w:rFonts w:ascii="Arial" w:hAnsi="Arial" w:cs="Arial"/>
        </w:rPr>
      </w:pPr>
      <w:r>
        <w:rPr>
          <w:rFonts w:ascii="Arial" w:hAnsi="Arial" w:cs="Arial"/>
        </w:rPr>
        <w:t xml:space="preserve">Murray, F. (2010) The </w:t>
      </w:r>
      <w:proofErr w:type="spellStart"/>
      <w:r>
        <w:rPr>
          <w:rFonts w:ascii="Arial" w:hAnsi="Arial" w:cs="Arial"/>
        </w:rPr>
        <w:t>Oncomouse</w:t>
      </w:r>
      <w:proofErr w:type="spellEnd"/>
      <w:r>
        <w:rPr>
          <w:rFonts w:ascii="Arial" w:hAnsi="Arial" w:cs="Arial"/>
        </w:rPr>
        <w:t xml:space="preserve"> that roared: Hybrid Exchange Strategies as a Source of Distinction at the Boundaries of Overlapping Institutions, </w:t>
      </w:r>
      <w:r>
        <w:rPr>
          <w:rFonts w:ascii="Arial" w:hAnsi="Arial" w:cs="Arial"/>
          <w:i/>
          <w:iCs/>
        </w:rPr>
        <w:t>American Journal of Sociology</w:t>
      </w:r>
      <w:r w:rsidR="00796170">
        <w:rPr>
          <w:rFonts w:ascii="Arial" w:hAnsi="Arial" w:cs="Arial"/>
          <w:i/>
          <w:iCs/>
        </w:rPr>
        <w:t xml:space="preserve">, </w:t>
      </w:r>
      <w:r w:rsidR="00796170">
        <w:rPr>
          <w:rFonts w:ascii="Arial" w:hAnsi="Arial" w:cs="Arial"/>
        </w:rPr>
        <w:t>116(2), pp341-88.</w:t>
      </w:r>
    </w:p>
    <w:p w14:paraId="505E9E68" w14:textId="2698712F" w:rsidR="00F067B0" w:rsidRDefault="00F067B0" w:rsidP="00F067B0">
      <w:pPr>
        <w:autoSpaceDE w:val="0"/>
        <w:autoSpaceDN w:val="0"/>
        <w:adjustRightInd w:val="0"/>
        <w:spacing w:after="0" w:line="240" w:lineRule="auto"/>
        <w:rPr>
          <w:rFonts w:ascii="Arial" w:hAnsi="Arial" w:cs="Arial"/>
          <w:color w:val="000000"/>
        </w:rPr>
      </w:pPr>
      <w:r w:rsidRPr="00F067B0">
        <w:rPr>
          <w:rFonts w:ascii="Arial" w:hAnsi="Arial" w:cs="Arial"/>
          <w:color w:val="000000"/>
        </w:rPr>
        <w:t>N</w:t>
      </w:r>
      <w:r>
        <w:rPr>
          <w:rFonts w:ascii="Arial" w:hAnsi="Arial" w:cs="Arial"/>
          <w:color w:val="000000"/>
        </w:rPr>
        <w:t>ee, V</w:t>
      </w:r>
      <w:r w:rsidRPr="00F067B0">
        <w:rPr>
          <w:rFonts w:ascii="Arial" w:hAnsi="Arial" w:cs="Arial"/>
          <w:color w:val="000000"/>
        </w:rPr>
        <w:t xml:space="preserve">. (1992) Organizational Dynamics of Market Transition: Hybrid Forms, Property Rights, and Mixed Economy in China, </w:t>
      </w:r>
      <w:r w:rsidRPr="00BB36AC">
        <w:rPr>
          <w:rFonts w:ascii="Arial" w:hAnsi="Arial" w:cs="Arial"/>
          <w:i/>
          <w:iCs/>
          <w:color w:val="000000"/>
        </w:rPr>
        <w:t>Administrative Science Quarterly</w:t>
      </w:r>
      <w:r w:rsidRPr="00F067B0">
        <w:rPr>
          <w:rFonts w:ascii="Arial" w:hAnsi="Arial" w:cs="Arial"/>
          <w:color w:val="000000"/>
        </w:rPr>
        <w:t>, 37(1) pp. 1-27.</w:t>
      </w:r>
    </w:p>
    <w:p w14:paraId="0A5472BB" w14:textId="28EFB12C" w:rsidR="001069DD" w:rsidRPr="001069DD" w:rsidRDefault="001069DD" w:rsidP="001069DD">
      <w:pPr>
        <w:spacing w:after="0" w:line="240" w:lineRule="auto"/>
        <w:rPr>
          <w:rFonts w:ascii="Arial" w:hAnsi="Arial" w:cs="Arial"/>
        </w:rPr>
      </w:pPr>
      <w:r w:rsidRPr="001069DD">
        <w:rPr>
          <w:rFonts w:ascii="Arial" w:hAnsi="Arial" w:cs="Arial"/>
        </w:rPr>
        <w:t xml:space="preserve">Oakes, L &amp; </w:t>
      </w:r>
      <w:proofErr w:type="spellStart"/>
      <w:r w:rsidRPr="001069DD">
        <w:rPr>
          <w:rFonts w:ascii="Arial" w:hAnsi="Arial" w:cs="Arial"/>
        </w:rPr>
        <w:t>Miranti</w:t>
      </w:r>
      <w:proofErr w:type="spellEnd"/>
      <w:r w:rsidRPr="001069DD">
        <w:rPr>
          <w:rFonts w:ascii="Arial" w:hAnsi="Arial" w:cs="Arial"/>
        </w:rPr>
        <w:t xml:space="preserve">, P. 1996 Louis D. Brandeis and Standard Cost Accounting: A Study of the Construction of Historical Agency, </w:t>
      </w:r>
      <w:r w:rsidRPr="001069DD">
        <w:rPr>
          <w:rFonts w:ascii="Arial" w:hAnsi="Arial" w:cs="Arial"/>
          <w:i/>
        </w:rPr>
        <w:t>Accounting, Organisations and Society</w:t>
      </w:r>
      <w:r w:rsidRPr="001069DD">
        <w:rPr>
          <w:rFonts w:ascii="Arial" w:hAnsi="Arial" w:cs="Arial"/>
        </w:rPr>
        <w:t xml:space="preserve"> 21(6)</w:t>
      </w:r>
      <w:r>
        <w:rPr>
          <w:rFonts w:ascii="Arial" w:hAnsi="Arial" w:cs="Arial"/>
        </w:rPr>
        <w:t>, pp569-586.</w:t>
      </w:r>
    </w:p>
    <w:p w14:paraId="49E08AAE" w14:textId="3A515119" w:rsidR="00253203" w:rsidRPr="00253203" w:rsidRDefault="00253203" w:rsidP="00F067B0">
      <w:pPr>
        <w:autoSpaceDE w:val="0"/>
        <w:autoSpaceDN w:val="0"/>
        <w:adjustRightInd w:val="0"/>
        <w:spacing w:after="0" w:line="240" w:lineRule="auto"/>
        <w:rPr>
          <w:rFonts w:ascii="Arial" w:hAnsi="Arial" w:cs="Arial"/>
          <w:color w:val="000000"/>
        </w:rPr>
      </w:pPr>
      <w:r>
        <w:rPr>
          <w:rFonts w:ascii="Arial" w:hAnsi="Arial" w:cs="Arial"/>
          <w:color w:val="000000"/>
        </w:rPr>
        <w:t xml:space="preserve">Offer, A. (2006) </w:t>
      </w:r>
      <w:r>
        <w:rPr>
          <w:rFonts w:ascii="Arial" w:hAnsi="Arial" w:cs="Arial"/>
          <w:i/>
          <w:iCs/>
          <w:color w:val="000000"/>
        </w:rPr>
        <w:t xml:space="preserve">The Challenge of Affluence, </w:t>
      </w:r>
      <w:r>
        <w:rPr>
          <w:rFonts w:ascii="Arial" w:hAnsi="Arial" w:cs="Arial"/>
          <w:color w:val="000000"/>
        </w:rPr>
        <w:t>Oxford: Oxford University Press.</w:t>
      </w:r>
    </w:p>
    <w:p w14:paraId="4DA4BB16" w14:textId="5E2F1F8E" w:rsidR="00534041" w:rsidRDefault="00534041" w:rsidP="00534041">
      <w:pPr>
        <w:spacing w:after="0" w:line="240" w:lineRule="auto"/>
        <w:rPr>
          <w:rFonts w:ascii="Arial" w:hAnsi="Arial" w:cs="Arial"/>
        </w:rPr>
      </w:pPr>
      <w:r>
        <w:rPr>
          <w:rFonts w:ascii="Arial" w:hAnsi="Arial" w:cs="Arial"/>
        </w:rPr>
        <w:t xml:space="preserve">Offer, A. (1981) </w:t>
      </w:r>
      <w:r>
        <w:rPr>
          <w:rFonts w:ascii="Arial" w:hAnsi="Arial" w:cs="Arial"/>
          <w:i/>
        </w:rPr>
        <w:t xml:space="preserve">Property and Politics 1870-1914, </w:t>
      </w:r>
      <w:r>
        <w:rPr>
          <w:rFonts w:ascii="Arial" w:hAnsi="Arial" w:cs="Arial"/>
          <w:iCs/>
        </w:rPr>
        <w:t xml:space="preserve">Cambridge: </w:t>
      </w:r>
      <w:r>
        <w:rPr>
          <w:rFonts w:ascii="Arial" w:hAnsi="Arial" w:cs="Arial"/>
        </w:rPr>
        <w:t>Cambridge University Press.</w:t>
      </w:r>
    </w:p>
    <w:p w14:paraId="3714E3F3" w14:textId="7B4C288E" w:rsidR="0003689B" w:rsidRDefault="0003689B" w:rsidP="0003689B">
      <w:pPr>
        <w:spacing w:after="0" w:line="240" w:lineRule="auto"/>
        <w:rPr>
          <w:rFonts w:ascii="Arial" w:hAnsi="Arial" w:cs="Arial"/>
        </w:rPr>
      </w:pPr>
      <w:r w:rsidRPr="0003689B">
        <w:rPr>
          <w:rFonts w:ascii="Arial" w:hAnsi="Arial" w:cs="Arial"/>
        </w:rPr>
        <w:t xml:space="preserve">Overman, S &amp; van </w:t>
      </w:r>
      <w:proofErr w:type="spellStart"/>
      <w:r w:rsidRPr="0003689B">
        <w:rPr>
          <w:rFonts w:ascii="Arial" w:hAnsi="Arial" w:cs="Arial"/>
        </w:rPr>
        <w:t>Thiel</w:t>
      </w:r>
      <w:proofErr w:type="spellEnd"/>
      <w:r w:rsidRPr="0003689B">
        <w:rPr>
          <w:rFonts w:ascii="Arial" w:hAnsi="Arial" w:cs="Arial"/>
        </w:rPr>
        <w:t xml:space="preserve">, S. (2015) </w:t>
      </w:r>
      <w:proofErr w:type="spellStart"/>
      <w:r w:rsidRPr="0003689B">
        <w:rPr>
          <w:rFonts w:ascii="Arial" w:hAnsi="Arial" w:cs="Arial"/>
        </w:rPr>
        <w:t>Agentification</w:t>
      </w:r>
      <w:proofErr w:type="spellEnd"/>
      <w:r w:rsidRPr="0003689B">
        <w:rPr>
          <w:rFonts w:ascii="Arial" w:hAnsi="Arial" w:cs="Arial"/>
        </w:rPr>
        <w:t xml:space="preserve"> and Public Sector Performance: A systematic comparison in 20 countries. </w:t>
      </w:r>
      <w:r w:rsidRPr="0003689B">
        <w:rPr>
          <w:rFonts w:ascii="Arial" w:hAnsi="Arial" w:cs="Arial"/>
          <w:i/>
        </w:rPr>
        <w:t xml:space="preserve">Public Management Review, </w:t>
      </w:r>
      <w:r w:rsidRPr="0003689B">
        <w:rPr>
          <w:rFonts w:ascii="Arial" w:hAnsi="Arial" w:cs="Arial"/>
        </w:rPr>
        <w:t xml:space="preserve">18(4), </w:t>
      </w:r>
      <w:r>
        <w:rPr>
          <w:rFonts w:ascii="Arial" w:hAnsi="Arial" w:cs="Arial"/>
        </w:rPr>
        <w:t>pp</w:t>
      </w:r>
      <w:r w:rsidRPr="0003689B">
        <w:rPr>
          <w:rFonts w:ascii="Arial" w:hAnsi="Arial" w:cs="Arial"/>
        </w:rPr>
        <w:t>611-635.</w:t>
      </w:r>
    </w:p>
    <w:p w14:paraId="406C30E4" w14:textId="68034783" w:rsidR="004C2439" w:rsidRDefault="00631C18" w:rsidP="004C2439">
      <w:pPr>
        <w:spacing w:after="0"/>
        <w:rPr>
          <w:rFonts w:ascii="Arial" w:eastAsia="Times New Roman" w:hAnsi="Arial" w:cs="Arial"/>
          <w:lang w:eastAsia="en-GB"/>
        </w:rPr>
      </w:pPr>
      <w:proofErr w:type="spellStart"/>
      <w:r w:rsidRPr="004C2439">
        <w:rPr>
          <w:rFonts w:ascii="Arial" w:eastAsia="Times New Roman" w:hAnsi="Arial" w:cs="Arial"/>
          <w:shd w:val="clear" w:color="auto" w:fill="FFFFFF"/>
          <w:lang w:eastAsia="en-GB"/>
        </w:rPr>
        <w:t>Pache</w:t>
      </w:r>
      <w:proofErr w:type="spellEnd"/>
      <w:r w:rsidRPr="004C2439">
        <w:rPr>
          <w:rFonts w:ascii="Arial" w:eastAsia="Times New Roman" w:hAnsi="Arial" w:cs="Arial"/>
          <w:shd w:val="clear" w:color="auto" w:fill="FFFFFF"/>
          <w:lang w:eastAsia="en-GB"/>
        </w:rPr>
        <w:t xml:space="preserve">, A.C. and Santos, F., </w:t>
      </w:r>
      <w:r w:rsidR="004C2439">
        <w:rPr>
          <w:rFonts w:ascii="Arial" w:eastAsia="Times New Roman" w:hAnsi="Arial" w:cs="Arial"/>
          <w:shd w:val="clear" w:color="auto" w:fill="FFFFFF"/>
          <w:lang w:eastAsia="en-GB"/>
        </w:rPr>
        <w:t>(</w:t>
      </w:r>
      <w:r w:rsidRPr="004C2439">
        <w:rPr>
          <w:rFonts w:ascii="Arial" w:eastAsia="Times New Roman" w:hAnsi="Arial" w:cs="Arial"/>
          <w:shd w:val="clear" w:color="auto" w:fill="FFFFFF"/>
          <w:lang w:eastAsia="en-GB"/>
        </w:rPr>
        <w:t>2013</w:t>
      </w:r>
      <w:r w:rsidR="004C2439">
        <w:rPr>
          <w:rFonts w:ascii="Arial" w:eastAsia="Times New Roman" w:hAnsi="Arial" w:cs="Arial"/>
          <w:shd w:val="clear" w:color="auto" w:fill="FFFFFF"/>
          <w:lang w:eastAsia="en-GB"/>
        </w:rPr>
        <w:t>)</w:t>
      </w:r>
      <w:r w:rsidRPr="004C2439">
        <w:rPr>
          <w:rFonts w:ascii="Arial" w:eastAsia="Times New Roman" w:hAnsi="Arial" w:cs="Arial"/>
          <w:shd w:val="clear" w:color="auto" w:fill="FFFFFF"/>
          <w:lang w:eastAsia="en-GB"/>
        </w:rPr>
        <w:t xml:space="preserve"> Inside the hybrid organization: Selective coupling as a response to competing institutional logics. </w:t>
      </w:r>
      <w:r w:rsidRPr="004C2439">
        <w:rPr>
          <w:rFonts w:ascii="Arial" w:eastAsia="Times New Roman" w:hAnsi="Arial" w:cs="Arial"/>
          <w:i/>
          <w:iCs/>
          <w:lang w:eastAsia="en-GB"/>
        </w:rPr>
        <w:t>Academy of management journal</w:t>
      </w:r>
      <w:r w:rsidRPr="004C2439">
        <w:rPr>
          <w:rFonts w:ascii="Arial" w:eastAsia="Times New Roman" w:hAnsi="Arial" w:cs="Arial"/>
          <w:shd w:val="clear" w:color="auto" w:fill="FFFFFF"/>
          <w:lang w:eastAsia="en-GB"/>
        </w:rPr>
        <w:t>, </w:t>
      </w:r>
      <w:r w:rsidRPr="004C2439">
        <w:rPr>
          <w:rFonts w:ascii="Arial" w:eastAsia="Times New Roman" w:hAnsi="Arial" w:cs="Arial"/>
          <w:lang w:eastAsia="en-GB"/>
        </w:rPr>
        <w:t>56</w:t>
      </w:r>
      <w:r w:rsidRPr="004C2439">
        <w:rPr>
          <w:rFonts w:ascii="Arial" w:eastAsia="Times New Roman" w:hAnsi="Arial" w:cs="Arial"/>
          <w:shd w:val="clear" w:color="auto" w:fill="FFFFFF"/>
          <w:lang w:eastAsia="en-GB"/>
        </w:rPr>
        <w:t>(4), pp.972-1001.</w:t>
      </w:r>
    </w:p>
    <w:p w14:paraId="33BCD4F6" w14:textId="10B30FA7" w:rsidR="001069DD" w:rsidRPr="004C2439" w:rsidRDefault="001069DD" w:rsidP="004C2439">
      <w:pPr>
        <w:spacing w:after="0"/>
        <w:rPr>
          <w:rFonts w:ascii="Arial" w:eastAsia="Times New Roman" w:hAnsi="Arial" w:cs="Arial"/>
          <w:lang w:eastAsia="en-GB"/>
        </w:rPr>
      </w:pPr>
      <w:proofErr w:type="spellStart"/>
      <w:r w:rsidRPr="001069DD">
        <w:rPr>
          <w:rFonts w:ascii="Arial" w:hAnsi="Arial" w:cs="Arial"/>
        </w:rPr>
        <w:t>Paish</w:t>
      </w:r>
      <w:proofErr w:type="spellEnd"/>
      <w:r w:rsidRPr="001069DD">
        <w:rPr>
          <w:rFonts w:ascii="Arial" w:hAnsi="Arial" w:cs="Arial"/>
        </w:rPr>
        <w:t xml:space="preserve">, G. 1902 </w:t>
      </w:r>
      <w:r w:rsidRPr="001069DD">
        <w:rPr>
          <w:rFonts w:ascii="Arial" w:hAnsi="Arial" w:cs="Arial"/>
          <w:i/>
        </w:rPr>
        <w:t>The British Railway Position,</w:t>
      </w:r>
      <w:r w:rsidRPr="001069DD">
        <w:rPr>
          <w:rFonts w:ascii="Arial" w:hAnsi="Arial" w:cs="Arial"/>
        </w:rPr>
        <w:t xml:space="preserve"> London: </w:t>
      </w:r>
      <w:proofErr w:type="spellStart"/>
      <w:r w:rsidRPr="001069DD">
        <w:rPr>
          <w:rFonts w:ascii="Arial" w:hAnsi="Arial" w:cs="Arial"/>
        </w:rPr>
        <w:t>Spottswood</w:t>
      </w:r>
      <w:proofErr w:type="spellEnd"/>
      <w:r w:rsidRPr="001069DD">
        <w:rPr>
          <w:rFonts w:ascii="Arial" w:hAnsi="Arial" w:cs="Arial"/>
        </w:rPr>
        <w:t xml:space="preserve"> &amp; Co.</w:t>
      </w:r>
    </w:p>
    <w:p w14:paraId="3DF71B1A" w14:textId="44A4051F" w:rsidR="001C450F" w:rsidRDefault="001C450F" w:rsidP="00DD4BC3">
      <w:pPr>
        <w:spacing w:after="0" w:line="240" w:lineRule="auto"/>
        <w:rPr>
          <w:rFonts w:ascii="Arial" w:hAnsi="Arial" w:cs="Arial"/>
        </w:rPr>
      </w:pPr>
      <w:r>
        <w:rPr>
          <w:rFonts w:ascii="Arial" w:hAnsi="Arial" w:cs="Arial"/>
        </w:rPr>
        <w:t xml:space="preserve">Parker, R. (2007) </w:t>
      </w:r>
      <w:r w:rsidRPr="001C450F">
        <w:rPr>
          <w:rFonts w:ascii="Arial" w:hAnsi="Arial" w:cs="Arial"/>
          <w:i/>
          <w:iCs/>
        </w:rPr>
        <w:t>Understanding Company Financial Statements,</w:t>
      </w:r>
      <w:r>
        <w:rPr>
          <w:rFonts w:ascii="Arial" w:hAnsi="Arial" w:cs="Arial"/>
        </w:rPr>
        <w:t xml:space="preserve"> London: Penguin.</w:t>
      </w:r>
    </w:p>
    <w:p w14:paraId="15D5AA4B" w14:textId="77777777" w:rsidR="00631C18" w:rsidRPr="004C2439" w:rsidRDefault="00631C18" w:rsidP="004C2439">
      <w:pPr>
        <w:pStyle w:val="NormalWeb"/>
        <w:spacing w:before="0" w:beforeAutospacing="0" w:after="0" w:afterAutospacing="0"/>
        <w:rPr>
          <w:rFonts w:ascii="Arial" w:hAnsi="Arial" w:cs="Arial"/>
          <w:sz w:val="22"/>
          <w:szCs w:val="22"/>
        </w:rPr>
      </w:pPr>
      <w:r w:rsidRPr="004C2439">
        <w:rPr>
          <w:rFonts w:ascii="Arial" w:hAnsi="Arial" w:cs="Arial"/>
          <w:sz w:val="22"/>
          <w:szCs w:val="22"/>
        </w:rPr>
        <w:t xml:space="preserve">Pettigrew, A. M. 1997. “What Is a Processual Analysis?” </w:t>
      </w:r>
      <w:r w:rsidRPr="004C2439">
        <w:rPr>
          <w:rFonts w:ascii="Arial" w:hAnsi="Arial" w:cs="Arial"/>
          <w:i/>
          <w:iCs/>
          <w:sz w:val="22"/>
          <w:szCs w:val="22"/>
        </w:rPr>
        <w:t xml:space="preserve">Scandinavian Journal of Management </w:t>
      </w:r>
      <w:r w:rsidRPr="004C2439">
        <w:rPr>
          <w:rFonts w:ascii="Arial" w:hAnsi="Arial" w:cs="Arial"/>
          <w:sz w:val="22"/>
          <w:szCs w:val="22"/>
        </w:rPr>
        <w:t xml:space="preserve">13 (4): 337–348. doi:10.1016/S0956-5221(97)00020-1. </w:t>
      </w:r>
    </w:p>
    <w:p w14:paraId="636551D2" w14:textId="773DD32E" w:rsidR="004B7024" w:rsidRDefault="004B7024" w:rsidP="00DD4BC3">
      <w:pPr>
        <w:spacing w:after="0" w:line="240" w:lineRule="auto"/>
        <w:rPr>
          <w:rFonts w:ascii="Arial" w:hAnsi="Arial" w:cs="Arial"/>
        </w:rPr>
      </w:pPr>
      <w:r>
        <w:rPr>
          <w:rFonts w:ascii="Arial" w:hAnsi="Arial" w:cs="Arial"/>
        </w:rPr>
        <w:t xml:space="preserve">Porter, T. (1907) </w:t>
      </w:r>
      <w:r w:rsidRPr="004B7024">
        <w:rPr>
          <w:rFonts w:ascii="Arial" w:hAnsi="Arial" w:cs="Arial"/>
          <w:i/>
          <w:iCs/>
        </w:rPr>
        <w:t>The Dangers of Municipal Trading,</w:t>
      </w:r>
      <w:r>
        <w:rPr>
          <w:rFonts w:ascii="Arial" w:hAnsi="Arial" w:cs="Arial"/>
        </w:rPr>
        <w:t xml:space="preserve"> Charleston: </w:t>
      </w:r>
      <w:proofErr w:type="spellStart"/>
      <w:r>
        <w:rPr>
          <w:rFonts w:ascii="Arial" w:hAnsi="Arial" w:cs="Arial"/>
        </w:rPr>
        <w:t>Nabu</w:t>
      </w:r>
      <w:proofErr w:type="spellEnd"/>
      <w:r>
        <w:rPr>
          <w:rFonts w:ascii="Arial" w:hAnsi="Arial" w:cs="Arial"/>
        </w:rPr>
        <w:t xml:space="preserve"> Press.</w:t>
      </w:r>
    </w:p>
    <w:p w14:paraId="13D6A772" w14:textId="056A8278" w:rsidR="003B54EE" w:rsidRDefault="003B54EE" w:rsidP="00DD4BC3">
      <w:pPr>
        <w:spacing w:after="0" w:line="240" w:lineRule="auto"/>
        <w:rPr>
          <w:rFonts w:ascii="Arial" w:hAnsi="Arial" w:cs="Arial"/>
        </w:rPr>
      </w:pPr>
      <w:r>
        <w:rPr>
          <w:rFonts w:ascii="Arial" w:hAnsi="Arial" w:cs="Arial"/>
        </w:rPr>
        <w:t xml:space="preserve">Radford, G. (2013) </w:t>
      </w:r>
      <w:r>
        <w:rPr>
          <w:rFonts w:ascii="Arial" w:hAnsi="Arial" w:cs="Arial"/>
          <w:i/>
          <w:iCs/>
        </w:rPr>
        <w:t xml:space="preserve">The Rise of Public Authority, </w:t>
      </w:r>
      <w:r>
        <w:rPr>
          <w:rFonts w:ascii="Arial" w:hAnsi="Arial" w:cs="Arial"/>
        </w:rPr>
        <w:t>Chicago: University of Chicago Press.</w:t>
      </w:r>
    </w:p>
    <w:p w14:paraId="621BDD4E" w14:textId="1458F4E3" w:rsidR="0063708A" w:rsidRDefault="0063708A" w:rsidP="0063708A">
      <w:pPr>
        <w:autoSpaceDE w:val="0"/>
        <w:autoSpaceDN w:val="0"/>
        <w:adjustRightInd w:val="0"/>
        <w:spacing w:after="0" w:line="240" w:lineRule="auto"/>
        <w:rPr>
          <w:rFonts w:ascii="Arial" w:hAnsi="Arial" w:cs="Arial"/>
        </w:rPr>
      </w:pPr>
      <w:r>
        <w:rPr>
          <w:rFonts w:ascii="Arial" w:hAnsi="Arial" w:cs="Arial"/>
        </w:rPr>
        <w:t xml:space="preserve">Reay, T. &amp; Jones, C. (2016) </w:t>
      </w:r>
      <w:r w:rsidRPr="0063708A">
        <w:rPr>
          <w:rFonts w:ascii="Arial" w:hAnsi="Arial" w:cs="Arial"/>
        </w:rPr>
        <w:t>Qualitatively capturing</w:t>
      </w:r>
      <w:r>
        <w:rPr>
          <w:rFonts w:ascii="Arial" w:hAnsi="Arial" w:cs="Arial"/>
        </w:rPr>
        <w:t xml:space="preserve"> </w:t>
      </w:r>
      <w:r w:rsidRPr="0063708A">
        <w:rPr>
          <w:rFonts w:ascii="Arial" w:hAnsi="Arial" w:cs="Arial"/>
        </w:rPr>
        <w:t xml:space="preserve">institutional logics, </w:t>
      </w:r>
      <w:r w:rsidRPr="0063708A">
        <w:rPr>
          <w:rFonts w:ascii="Arial" w:hAnsi="Arial" w:cs="Arial"/>
          <w:i/>
          <w:iCs/>
        </w:rPr>
        <w:t>Strategic Organization</w:t>
      </w:r>
      <w:r>
        <w:rPr>
          <w:rFonts w:ascii="Arial" w:hAnsi="Arial" w:cs="Arial"/>
        </w:rPr>
        <w:t>,</w:t>
      </w:r>
      <w:r w:rsidRPr="0063708A">
        <w:rPr>
          <w:rFonts w:ascii="Arial" w:hAnsi="Arial" w:cs="Arial"/>
        </w:rPr>
        <w:t xml:space="preserve"> Vol. 14(4) </w:t>
      </w:r>
      <w:r>
        <w:rPr>
          <w:rFonts w:ascii="Arial" w:hAnsi="Arial" w:cs="Arial"/>
        </w:rPr>
        <w:t>pp</w:t>
      </w:r>
      <w:r w:rsidRPr="0063708A">
        <w:rPr>
          <w:rFonts w:ascii="Arial" w:hAnsi="Arial" w:cs="Arial"/>
        </w:rPr>
        <w:t>441–454</w:t>
      </w:r>
      <w:r>
        <w:rPr>
          <w:rFonts w:ascii="Arial" w:hAnsi="Arial" w:cs="Arial"/>
        </w:rPr>
        <w:t>.</w:t>
      </w:r>
    </w:p>
    <w:p w14:paraId="33B77292" w14:textId="105A8D1A" w:rsidR="00F322F3" w:rsidRDefault="00F322F3" w:rsidP="0063708A">
      <w:pPr>
        <w:autoSpaceDE w:val="0"/>
        <w:autoSpaceDN w:val="0"/>
        <w:adjustRightInd w:val="0"/>
        <w:spacing w:after="0" w:line="240" w:lineRule="auto"/>
        <w:rPr>
          <w:rFonts w:ascii="Arial" w:hAnsi="Arial" w:cs="Arial"/>
        </w:rPr>
      </w:pPr>
      <w:r>
        <w:rPr>
          <w:rFonts w:ascii="Arial" w:hAnsi="Arial" w:cs="Arial"/>
        </w:rPr>
        <w:t xml:space="preserve">Rhodes. R. (1981) </w:t>
      </w:r>
      <w:r w:rsidRPr="00F322F3">
        <w:rPr>
          <w:rFonts w:ascii="Arial" w:hAnsi="Arial" w:cs="Arial"/>
          <w:i/>
          <w:iCs/>
        </w:rPr>
        <w:t>Control and Power in Central-Local Government Relations</w:t>
      </w:r>
      <w:r>
        <w:rPr>
          <w:rFonts w:ascii="Arial" w:hAnsi="Arial" w:cs="Arial"/>
        </w:rPr>
        <w:t>, Farnborough: Gower.</w:t>
      </w:r>
    </w:p>
    <w:p w14:paraId="7CE3D1D8" w14:textId="346C968A" w:rsidR="00A06697" w:rsidRDefault="00A06697" w:rsidP="0063708A">
      <w:pPr>
        <w:autoSpaceDE w:val="0"/>
        <w:autoSpaceDN w:val="0"/>
        <w:adjustRightInd w:val="0"/>
        <w:spacing w:after="0" w:line="240" w:lineRule="auto"/>
        <w:rPr>
          <w:rFonts w:ascii="Arial" w:hAnsi="Arial" w:cs="Arial"/>
          <w:color w:val="2F5496" w:themeColor="accent1" w:themeShade="BF"/>
        </w:rPr>
      </w:pPr>
      <w:r w:rsidRPr="00FD07D3">
        <w:rPr>
          <w:rFonts w:ascii="Arial" w:hAnsi="Arial" w:cs="Arial"/>
          <w:color w:val="2F5496" w:themeColor="accent1" w:themeShade="BF"/>
        </w:rPr>
        <w:t xml:space="preserve">Robson, W. (1937) ‘The Public Service Board: General Conclusions’ in Robson, W. (ed.) in </w:t>
      </w:r>
      <w:r w:rsidRPr="00FD07D3">
        <w:rPr>
          <w:rFonts w:ascii="Arial" w:hAnsi="Arial" w:cs="Arial"/>
          <w:i/>
          <w:iCs/>
          <w:color w:val="2F5496" w:themeColor="accent1" w:themeShade="BF"/>
        </w:rPr>
        <w:t>Public Enterprise</w:t>
      </w:r>
      <w:r w:rsidRPr="00FD07D3">
        <w:rPr>
          <w:rFonts w:ascii="Arial" w:hAnsi="Arial" w:cs="Arial"/>
          <w:color w:val="2F5496" w:themeColor="accent1" w:themeShade="BF"/>
        </w:rPr>
        <w:t xml:space="preserve">, London: Allen and Unwin, pp. 359-403. </w:t>
      </w:r>
    </w:p>
    <w:p w14:paraId="44D7F4BD" w14:textId="1A535F64" w:rsidR="00FD07D3" w:rsidRPr="00FD07D3" w:rsidRDefault="00FD07D3" w:rsidP="0063708A">
      <w:pPr>
        <w:autoSpaceDE w:val="0"/>
        <w:autoSpaceDN w:val="0"/>
        <w:adjustRightInd w:val="0"/>
        <w:spacing w:after="0" w:line="240" w:lineRule="auto"/>
        <w:rPr>
          <w:rFonts w:ascii="Arial" w:hAnsi="Arial" w:cs="Arial"/>
          <w:color w:val="2F5496" w:themeColor="accent1" w:themeShade="BF"/>
        </w:rPr>
      </w:pPr>
      <w:r>
        <w:rPr>
          <w:rFonts w:ascii="Arial" w:hAnsi="Arial" w:cs="Arial"/>
          <w:color w:val="2F5496" w:themeColor="accent1" w:themeShade="BF"/>
        </w:rPr>
        <w:lastRenderedPageBreak/>
        <w:t xml:space="preserve">Robson, W. (1939) </w:t>
      </w:r>
      <w:r w:rsidRPr="00FD07D3">
        <w:rPr>
          <w:rFonts w:ascii="Arial" w:hAnsi="Arial" w:cs="Arial"/>
          <w:i/>
          <w:iCs/>
          <w:color w:val="2F5496" w:themeColor="accent1" w:themeShade="BF"/>
        </w:rPr>
        <w:t>The Government and Misgovernment of London</w:t>
      </w:r>
      <w:r>
        <w:rPr>
          <w:rFonts w:ascii="Arial" w:hAnsi="Arial" w:cs="Arial"/>
          <w:color w:val="2F5496" w:themeColor="accent1" w:themeShade="BF"/>
        </w:rPr>
        <w:t xml:space="preserve">, </w:t>
      </w:r>
      <w:r w:rsidR="00FD58D6">
        <w:rPr>
          <w:rFonts w:ascii="Arial" w:hAnsi="Arial" w:cs="Arial"/>
          <w:color w:val="2F5496" w:themeColor="accent1" w:themeShade="BF"/>
        </w:rPr>
        <w:t>London</w:t>
      </w:r>
      <w:r>
        <w:rPr>
          <w:rFonts w:ascii="Arial" w:hAnsi="Arial" w:cs="Arial"/>
          <w:color w:val="2F5496" w:themeColor="accent1" w:themeShade="BF"/>
        </w:rPr>
        <w:t xml:space="preserve">: </w:t>
      </w:r>
      <w:r w:rsidR="00FD58D6">
        <w:rPr>
          <w:rFonts w:ascii="Arial" w:hAnsi="Arial" w:cs="Arial"/>
          <w:color w:val="2F5496" w:themeColor="accent1" w:themeShade="BF"/>
        </w:rPr>
        <w:t>Allen and Unwin</w:t>
      </w:r>
      <w:r>
        <w:rPr>
          <w:rFonts w:ascii="Arial" w:hAnsi="Arial" w:cs="Arial"/>
          <w:color w:val="2F5496" w:themeColor="accent1" w:themeShade="BF"/>
        </w:rPr>
        <w:t>.</w:t>
      </w:r>
    </w:p>
    <w:p w14:paraId="122EA952" w14:textId="3B524438" w:rsidR="00BB36AC" w:rsidRDefault="00BB36AC" w:rsidP="00DD4BC3">
      <w:pPr>
        <w:spacing w:after="0" w:line="240" w:lineRule="auto"/>
        <w:rPr>
          <w:rFonts w:ascii="Arial" w:hAnsi="Arial" w:cs="Arial"/>
        </w:rPr>
      </w:pPr>
      <w:r w:rsidRPr="00BB36AC">
        <w:rPr>
          <w:rFonts w:ascii="Arial" w:hAnsi="Arial" w:cs="Arial"/>
        </w:rPr>
        <w:t xml:space="preserve">Ruef, M. (2000) The Emergence of Organizational Forms: A Community Ecology Approach, </w:t>
      </w:r>
      <w:r w:rsidRPr="00BB36AC">
        <w:rPr>
          <w:rFonts w:ascii="Arial" w:hAnsi="Arial" w:cs="Arial"/>
          <w:i/>
          <w:iCs/>
        </w:rPr>
        <w:t>American Journal of Sociology</w:t>
      </w:r>
      <w:r w:rsidRPr="00BB36AC">
        <w:rPr>
          <w:rFonts w:ascii="Arial" w:hAnsi="Arial" w:cs="Arial"/>
        </w:rPr>
        <w:t>, 106(3), pp. 658-714</w:t>
      </w:r>
      <w:r w:rsidR="009A7502">
        <w:rPr>
          <w:rFonts w:ascii="Arial" w:hAnsi="Arial" w:cs="Arial"/>
        </w:rPr>
        <w:t>.</w:t>
      </w:r>
    </w:p>
    <w:p w14:paraId="5E0FEE49" w14:textId="226C1779" w:rsidR="009A7502" w:rsidRDefault="009A7502" w:rsidP="00DD4BC3">
      <w:pPr>
        <w:spacing w:after="0" w:line="240" w:lineRule="auto"/>
        <w:rPr>
          <w:rFonts w:ascii="Arial" w:hAnsi="Arial" w:cs="Arial"/>
        </w:rPr>
      </w:pPr>
      <w:proofErr w:type="spellStart"/>
      <w:r w:rsidRPr="009A7502">
        <w:rPr>
          <w:rFonts w:ascii="Arial" w:hAnsi="Arial" w:cs="Arial"/>
        </w:rPr>
        <w:t>Schneiberg</w:t>
      </w:r>
      <w:proofErr w:type="spellEnd"/>
      <w:r w:rsidRPr="009A7502">
        <w:rPr>
          <w:rFonts w:ascii="Arial" w:hAnsi="Arial" w:cs="Arial"/>
        </w:rPr>
        <w:t xml:space="preserve">, M., King, M., &amp; Smith, T. (2008) Social Movements and Organizational Form: Cooperative Alternatives to Corporations in the American Insurance, Dairy, and Grain Industries, </w:t>
      </w:r>
      <w:r w:rsidRPr="009A7502">
        <w:rPr>
          <w:rFonts w:ascii="Arial" w:hAnsi="Arial" w:cs="Arial"/>
          <w:i/>
          <w:iCs/>
        </w:rPr>
        <w:t>American Sociological Review</w:t>
      </w:r>
      <w:r w:rsidRPr="009A7502">
        <w:rPr>
          <w:rFonts w:ascii="Arial" w:hAnsi="Arial" w:cs="Arial"/>
        </w:rPr>
        <w:t>, 73(4) pp. 635-667</w:t>
      </w:r>
      <w:r>
        <w:rPr>
          <w:rFonts w:ascii="Arial" w:hAnsi="Arial" w:cs="Arial"/>
        </w:rPr>
        <w:t>.</w:t>
      </w:r>
    </w:p>
    <w:p w14:paraId="27CD3023" w14:textId="52C279B2" w:rsidR="009144D0" w:rsidRPr="00FD07D3" w:rsidRDefault="009144D0" w:rsidP="00DD4BC3">
      <w:pPr>
        <w:spacing w:after="0" w:line="240" w:lineRule="auto"/>
        <w:rPr>
          <w:rFonts w:ascii="Arial" w:hAnsi="Arial" w:cs="Arial"/>
          <w:color w:val="2F5496" w:themeColor="accent1" w:themeShade="BF"/>
        </w:rPr>
      </w:pPr>
      <w:r w:rsidRPr="00FD07D3">
        <w:rPr>
          <w:rFonts w:ascii="Arial" w:hAnsi="Arial" w:cs="Arial"/>
          <w:color w:val="2F5496" w:themeColor="accent1" w:themeShade="BF"/>
        </w:rPr>
        <w:t xml:space="preserve">Shaw, G. (1908) </w:t>
      </w:r>
      <w:r w:rsidRPr="00FD07D3">
        <w:rPr>
          <w:rFonts w:ascii="Arial" w:hAnsi="Arial" w:cs="Arial"/>
          <w:i/>
          <w:iCs/>
          <w:color w:val="2F5496" w:themeColor="accent1" w:themeShade="BF"/>
        </w:rPr>
        <w:t xml:space="preserve">The </w:t>
      </w:r>
      <w:proofErr w:type="spellStart"/>
      <w:r w:rsidRPr="00FD07D3">
        <w:rPr>
          <w:rFonts w:ascii="Arial" w:hAnsi="Arial" w:cs="Arial"/>
          <w:i/>
          <w:iCs/>
          <w:color w:val="2F5496" w:themeColor="accent1" w:themeShade="BF"/>
        </w:rPr>
        <w:t>Commonsense</w:t>
      </w:r>
      <w:proofErr w:type="spellEnd"/>
      <w:r w:rsidRPr="00FD07D3">
        <w:rPr>
          <w:rFonts w:ascii="Arial" w:hAnsi="Arial" w:cs="Arial"/>
          <w:i/>
          <w:iCs/>
          <w:color w:val="2F5496" w:themeColor="accent1" w:themeShade="BF"/>
        </w:rPr>
        <w:t xml:space="preserve"> of Municipal Trading</w:t>
      </w:r>
      <w:r w:rsidRPr="00FD07D3">
        <w:rPr>
          <w:rFonts w:ascii="Arial" w:hAnsi="Arial" w:cs="Arial"/>
          <w:color w:val="2F5496" w:themeColor="accent1" w:themeShade="BF"/>
        </w:rPr>
        <w:t xml:space="preserve">, London: AC </w:t>
      </w:r>
      <w:proofErr w:type="spellStart"/>
      <w:r w:rsidRPr="00FD07D3">
        <w:rPr>
          <w:rFonts w:ascii="Arial" w:hAnsi="Arial" w:cs="Arial"/>
          <w:color w:val="2F5496" w:themeColor="accent1" w:themeShade="BF"/>
        </w:rPr>
        <w:t>Fitfield</w:t>
      </w:r>
      <w:proofErr w:type="spellEnd"/>
      <w:r w:rsidRPr="00FD07D3">
        <w:rPr>
          <w:rFonts w:ascii="Arial" w:hAnsi="Arial" w:cs="Arial"/>
          <w:color w:val="2F5496" w:themeColor="accent1" w:themeShade="BF"/>
        </w:rPr>
        <w:t>.</w:t>
      </w:r>
    </w:p>
    <w:p w14:paraId="09A48C1D" w14:textId="74DF5A68" w:rsidR="00631C18" w:rsidRPr="00E920CC" w:rsidRDefault="00631C18" w:rsidP="004C2439">
      <w:pPr>
        <w:pStyle w:val="NormalWeb"/>
        <w:spacing w:before="0" w:beforeAutospacing="0" w:after="0" w:afterAutospacing="0"/>
        <w:rPr>
          <w:rFonts w:ascii="Arial" w:hAnsi="Arial" w:cs="Arial"/>
          <w:sz w:val="22"/>
          <w:szCs w:val="22"/>
        </w:rPr>
      </w:pPr>
      <w:proofErr w:type="spellStart"/>
      <w:r w:rsidRPr="004C2439">
        <w:rPr>
          <w:rFonts w:ascii="Arial" w:hAnsi="Arial" w:cs="Arial"/>
          <w:sz w:val="22"/>
          <w:szCs w:val="22"/>
        </w:rPr>
        <w:t>Skelcher</w:t>
      </w:r>
      <w:proofErr w:type="spellEnd"/>
      <w:r w:rsidRPr="004C2439">
        <w:rPr>
          <w:rFonts w:ascii="Arial" w:hAnsi="Arial" w:cs="Arial"/>
          <w:sz w:val="22"/>
          <w:szCs w:val="22"/>
        </w:rPr>
        <w:t xml:space="preserve">, C. </w:t>
      </w:r>
      <w:r w:rsidR="004C2439">
        <w:rPr>
          <w:rFonts w:ascii="Arial" w:hAnsi="Arial" w:cs="Arial"/>
          <w:sz w:val="22"/>
          <w:szCs w:val="22"/>
        </w:rPr>
        <w:t>(</w:t>
      </w:r>
      <w:r w:rsidRPr="004C2439">
        <w:rPr>
          <w:rFonts w:ascii="Arial" w:hAnsi="Arial" w:cs="Arial"/>
          <w:sz w:val="22"/>
          <w:szCs w:val="22"/>
        </w:rPr>
        <w:t>2005</w:t>
      </w:r>
      <w:r w:rsidR="004C2439">
        <w:rPr>
          <w:rFonts w:ascii="Arial" w:hAnsi="Arial" w:cs="Arial"/>
          <w:sz w:val="22"/>
          <w:szCs w:val="22"/>
        </w:rPr>
        <w:t>)</w:t>
      </w:r>
      <w:r w:rsidRPr="004C2439">
        <w:rPr>
          <w:rFonts w:ascii="Arial" w:hAnsi="Arial" w:cs="Arial"/>
          <w:sz w:val="22"/>
          <w:szCs w:val="22"/>
        </w:rPr>
        <w:t xml:space="preserve"> Public-Private Partnerships and Hybridity. In </w:t>
      </w:r>
      <w:proofErr w:type="gramStart"/>
      <w:r w:rsidRPr="004C2439">
        <w:rPr>
          <w:rFonts w:ascii="Arial" w:hAnsi="Arial" w:cs="Arial"/>
          <w:i/>
          <w:iCs/>
          <w:sz w:val="22"/>
          <w:szCs w:val="22"/>
        </w:rPr>
        <w:t>The</w:t>
      </w:r>
      <w:proofErr w:type="gramEnd"/>
      <w:r w:rsidRPr="004C2439">
        <w:rPr>
          <w:rFonts w:ascii="Arial" w:hAnsi="Arial" w:cs="Arial"/>
          <w:i/>
          <w:iCs/>
          <w:sz w:val="22"/>
          <w:szCs w:val="22"/>
        </w:rPr>
        <w:t xml:space="preserve"> Oxford Handbook of Public Management</w:t>
      </w:r>
      <w:r w:rsidRPr="004C2439">
        <w:rPr>
          <w:rFonts w:ascii="Arial" w:hAnsi="Arial" w:cs="Arial"/>
          <w:sz w:val="22"/>
          <w:szCs w:val="22"/>
        </w:rPr>
        <w:t>, edited by E. Ferlie, L. E. Lynn, and C. Pollitt, 347–370. New York, NY: Oxford University Press.</w:t>
      </w:r>
      <w:r w:rsidRPr="00E920CC">
        <w:rPr>
          <w:rFonts w:ascii="Arial" w:hAnsi="Arial" w:cs="Arial"/>
          <w:sz w:val="22"/>
          <w:szCs w:val="22"/>
        </w:rPr>
        <w:t xml:space="preserve"> </w:t>
      </w:r>
    </w:p>
    <w:p w14:paraId="6968FBF2" w14:textId="0FA4C45C" w:rsidR="00191902" w:rsidRPr="00191902" w:rsidRDefault="00191902" w:rsidP="00191902">
      <w:pPr>
        <w:autoSpaceDE w:val="0"/>
        <w:autoSpaceDN w:val="0"/>
        <w:adjustRightInd w:val="0"/>
        <w:spacing w:after="0" w:line="240" w:lineRule="auto"/>
        <w:rPr>
          <w:rFonts w:ascii="Arial" w:hAnsi="Arial" w:cs="Arial"/>
        </w:rPr>
      </w:pPr>
      <w:proofErr w:type="spellStart"/>
      <w:r w:rsidRPr="00191902">
        <w:rPr>
          <w:rFonts w:ascii="Arial" w:hAnsi="Arial" w:cs="Arial"/>
        </w:rPr>
        <w:t>Skelcher</w:t>
      </w:r>
      <w:proofErr w:type="spellEnd"/>
      <w:r w:rsidRPr="00191902">
        <w:rPr>
          <w:rFonts w:ascii="Arial" w:hAnsi="Arial" w:cs="Arial"/>
        </w:rPr>
        <w:t>, C. and Smith, S.R. (2015), “Theorizing hybridity: institutional logics, complex</w:t>
      </w:r>
    </w:p>
    <w:p w14:paraId="7B96627B" w14:textId="77777777" w:rsidR="00191902" w:rsidRPr="00191902" w:rsidRDefault="00191902" w:rsidP="00191902">
      <w:pPr>
        <w:autoSpaceDE w:val="0"/>
        <w:autoSpaceDN w:val="0"/>
        <w:adjustRightInd w:val="0"/>
        <w:spacing w:after="0" w:line="240" w:lineRule="auto"/>
        <w:rPr>
          <w:rFonts w:ascii="Arial" w:hAnsi="Arial" w:cs="Arial"/>
        </w:rPr>
      </w:pPr>
      <w:r w:rsidRPr="00191902">
        <w:rPr>
          <w:rFonts w:ascii="Arial" w:hAnsi="Arial" w:cs="Arial"/>
        </w:rPr>
        <w:t xml:space="preserve">organizations, and actor identities: the case of </w:t>
      </w:r>
      <w:proofErr w:type="spellStart"/>
      <w:r w:rsidRPr="00191902">
        <w:rPr>
          <w:rFonts w:ascii="Arial" w:hAnsi="Arial" w:cs="Arial"/>
        </w:rPr>
        <w:t>nonprofits</w:t>
      </w:r>
      <w:proofErr w:type="spellEnd"/>
      <w:r w:rsidRPr="00191902">
        <w:rPr>
          <w:rFonts w:ascii="Arial" w:hAnsi="Arial" w:cs="Arial"/>
        </w:rPr>
        <w:t xml:space="preserve">”, </w:t>
      </w:r>
      <w:r w:rsidRPr="00191902">
        <w:rPr>
          <w:rFonts w:ascii="Arial" w:hAnsi="Arial" w:cs="Arial"/>
          <w:i/>
          <w:iCs/>
        </w:rPr>
        <w:t>Public Administration</w:t>
      </w:r>
      <w:r w:rsidRPr="00191902">
        <w:rPr>
          <w:rFonts w:ascii="Arial" w:hAnsi="Arial" w:cs="Arial"/>
        </w:rPr>
        <w:t>, Vol. 93</w:t>
      </w:r>
    </w:p>
    <w:p w14:paraId="3F15CD33" w14:textId="534CF448" w:rsidR="00191902" w:rsidRPr="00191902" w:rsidRDefault="00191902" w:rsidP="00191902">
      <w:pPr>
        <w:spacing w:after="0" w:line="240" w:lineRule="auto"/>
        <w:rPr>
          <w:rFonts w:ascii="Arial" w:hAnsi="Arial" w:cs="Arial"/>
        </w:rPr>
      </w:pPr>
      <w:r w:rsidRPr="00191902">
        <w:rPr>
          <w:rFonts w:ascii="Arial" w:hAnsi="Arial" w:cs="Arial"/>
        </w:rPr>
        <w:t>No 2, pp. 433-448.</w:t>
      </w:r>
    </w:p>
    <w:p w14:paraId="262EB02C" w14:textId="67998079" w:rsidR="004D428F" w:rsidRDefault="004D428F" w:rsidP="004D428F">
      <w:pPr>
        <w:autoSpaceDE w:val="0"/>
        <w:autoSpaceDN w:val="0"/>
        <w:adjustRightInd w:val="0"/>
        <w:spacing w:after="0" w:line="240" w:lineRule="auto"/>
        <w:rPr>
          <w:rFonts w:ascii="Arial" w:hAnsi="Arial" w:cs="Arial"/>
        </w:rPr>
      </w:pPr>
      <w:r>
        <w:rPr>
          <w:rFonts w:ascii="Arial" w:hAnsi="Arial" w:cs="Arial"/>
        </w:rPr>
        <w:t xml:space="preserve">Smith, S. </w:t>
      </w:r>
      <w:r w:rsidRPr="004D428F">
        <w:rPr>
          <w:rFonts w:ascii="Arial" w:hAnsi="Arial" w:cs="Arial"/>
        </w:rPr>
        <w:t xml:space="preserve">(2010) Hybridization and </w:t>
      </w:r>
      <w:r w:rsidR="00E179AE">
        <w:rPr>
          <w:rFonts w:ascii="Arial" w:hAnsi="Arial" w:cs="Arial"/>
        </w:rPr>
        <w:t>N</w:t>
      </w:r>
      <w:r w:rsidRPr="004D428F">
        <w:rPr>
          <w:rFonts w:ascii="Arial" w:hAnsi="Arial" w:cs="Arial"/>
        </w:rPr>
        <w:t>on</w:t>
      </w:r>
      <w:r w:rsidR="00E179AE">
        <w:rPr>
          <w:rFonts w:ascii="Arial" w:hAnsi="Arial" w:cs="Arial"/>
        </w:rPr>
        <w:t>-</w:t>
      </w:r>
      <w:r w:rsidRPr="004D428F">
        <w:rPr>
          <w:rFonts w:ascii="Arial" w:hAnsi="Arial" w:cs="Arial"/>
        </w:rPr>
        <w:t xml:space="preserve">profit </w:t>
      </w:r>
      <w:r w:rsidR="00E179AE">
        <w:rPr>
          <w:rFonts w:ascii="Arial" w:hAnsi="Arial" w:cs="Arial"/>
        </w:rPr>
        <w:t>O</w:t>
      </w:r>
      <w:r w:rsidRPr="004D428F">
        <w:rPr>
          <w:rFonts w:ascii="Arial" w:hAnsi="Arial" w:cs="Arial"/>
        </w:rPr>
        <w:t xml:space="preserve">rganizations: The </w:t>
      </w:r>
      <w:r w:rsidR="00E179AE">
        <w:rPr>
          <w:rFonts w:ascii="Arial" w:hAnsi="Arial" w:cs="Arial"/>
        </w:rPr>
        <w:t>G</w:t>
      </w:r>
      <w:r w:rsidRPr="004D428F">
        <w:rPr>
          <w:rFonts w:ascii="Arial" w:hAnsi="Arial" w:cs="Arial"/>
        </w:rPr>
        <w:t xml:space="preserve">overnance </w:t>
      </w:r>
      <w:r w:rsidR="00E179AE">
        <w:rPr>
          <w:rFonts w:ascii="Arial" w:hAnsi="Arial" w:cs="Arial"/>
        </w:rPr>
        <w:t>C</w:t>
      </w:r>
      <w:r w:rsidRPr="004D428F">
        <w:rPr>
          <w:rFonts w:ascii="Arial" w:hAnsi="Arial" w:cs="Arial"/>
        </w:rPr>
        <w:t xml:space="preserve">hallenge, </w:t>
      </w:r>
      <w:r w:rsidRPr="00570BCD">
        <w:rPr>
          <w:rFonts w:ascii="Arial" w:hAnsi="Arial" w:cs="Arial"/>
          <w:i/>
          <w:iCs/>
        </w:rPr>
        <w:t>Policy and Society</w:t>
      </w:r>
      <w:r w:rsidRPr="004D428F">
        <w:rPr>
          <w:rFonts w:ascii="Arial" w:hAnsi="Arial" w:cs="Arial"/>
        </w:rPr>
        <w:t>, 29</w:t>
      </w:r>
      <w:r>
        <w:rPr>
          <w:rFonts w:ascii="Arial" w:hAnsi="Arial" w:cs="Arial"/>
        </w:rPr>
        <w:t>(</w:t>
      </w:r>
      <w:r w:rsidRPr="004D428F">
        <w:rPr>
          <w:rFonts w:ascii="Arial" w:hAnsi="Arial" w:cs="Arial"/>
        </w:rPr>
        <w:t>3</w:t>
      </w:r>
      <w:r>
        <w:rPr>
          <w:rFonts w:ascii="Arial" w:hAnsi="Arial" w:cs="Arial"/>
        </w:rPr>
        <w:t>)</w:t>
      </w:r>
      <w:r w:rsidR="00570BCD">
        <w:rPr>
          <w:rFonts w:ascii="Arial" w:hAnsi="Arial" w:cs="Arial"/>
        </w:rPr>
        <w:t xml:space="preserve"> pp</w:t>
      </w:r>
      <w:r w:rsidRPr="004D428F">
        <w:rPr>
          <w:rFonts w:ascii="Arial" w:hAnsi="Arial" w:cs="Arial"/>
        </w:rPr>
        <w:t>219-229</w:t>
      </w:r>
      <w:r w:rsidR="00570BCD">
        <w:rPr>
          <w:rFonts w:ascii="Arial" w:hAnsi="Arial" w:cs="Arial"/>
        </w:rPr>
        <w:t>.</w:t>
      </w:r>
    </w:p>
    <w:p w14:paraId="590F2F38" w14:textId="37EB6D26" w:rsidR="00AC3E8B" w:rsidRDefault="00AC3E8B" w:rsidP="004D428F">
      <w:pPr>
        <w:autoSpaceDE w:val="0"/>
        <w:autoSpaceDN w:val="0"/>
        <w:adjustRightInd w:val="0"/>
        <w:spacing w:after="0" w:line="240" w:lineRule="auto"/>
        <w:rPr>
          <w:rFonts w:ascii="Arial" w:hAnsi="Arial" w:cs="Arial"/>
        </w:rPr>
      </w:pPr>
      <w:r>
        <w:rPr>
          <w:rFonts w:ascii="Arial" w:hAnsi="Arial" w:cs="Arial"/>
        </w:rPr>
        <w:t xml:space="preserve">Stanley, A. (1933) London Passenger Transport, </w:t>
      </w:r>
      <w:r>
        <w:rPr>
          <w:rFonts w:ascii="Arial" w:hAnsi="Arial" w:cs="Arial"/>
          <w:i/>
          <w:iCs/>
        </w:rPr>
        <w:t xml:space="preserve">Royal Institution of Great Britain, </w:t>
      </w:r>
      <w:r>
        <w:rPr>
          <w:rFonts w:ascii="Arial" w:hAnsi="Arial" w:cs="Arial"/>
        </w:rPr>
        <w:t>27(5) pp1-43.</w:t>
      </w:r>
    </w:p>
    <w:p w14:paraId="5DC72DEF" w14:textId="48CC8C80" w:rsidR="00C93A4E" w:rsidRDefault="00C93A4E" w:rsidP="00C93A4E">
      <w:pPr>
        <w:autoSpaceDE w:val="0"/>
        <w:autoSpaceDN w:val="0"/>
        <w:adjustRightInd w:val="0"/>
        <w:spacing w:after="0" w:line="240" w:lineRule="auto"/>
        <w:rPr>
          <w:rFonts w:ascii="Arial" w:hAnsi="Arial" w:cs="Arial"/>
        </w:rPr>
      </w:pPr>
      <w:r>
        <w:rPr>
          <w:rFonts w:ascii="Arial" w:hAnsi="Arial" w:cs="Arial"/>
        </w:rPr>
        <w:t>Stinchcombe, A. (1965)</w:t>
      </w:r>
      <w:r>
        <w:rPr>
          <w:rFonts w:ascii="Palatino-Roman" w:hAnsi="Palatino-Roman" w:cs="Palatino-Roman"/>
          <w:sz w:val="16"/>
          <w:szCs w:val="16"/>
        </w:rPr>
        <w:t xml:space="preserve"> </w:t>
      </w:r>
      <w:r w:rsidRPr="00C93A4E">
        <w:rPr>
          <w:rFonts w:ascii="Arial" w:hAnsi="Arial" w:cs="Arial"/>
        </w:rPr>
        <w:t xml:space="preserve">Social structure and organizations. In J. March (Ed.), </w:t>
      </w:r>
      <w:r w:rsidRPr="00C93A4E">
        <w:rPr>
          <w:rFonts w:ascii="Arial" w:hAnsi="Arial" w:cs="Arial"/>
          <w:i/>
          <w:iCs/>
        </w:rPr>
        <w:t>Handbook of organizations</w:t>
      </w:r>
      <w:r>
        <w:rPr>
          <w:rFonts w:ascii="Arial" w:hAnsi="Arial" w:cs="Arial"/>
          <w:i/>
          <w:iCs/>
        </w:rPr>
        <w:t xml:space="preserve"> </w:t>
      </w:r>
      <w:r w:rsidRPr="00C93A4E">
        <w:rPr>
          <w:rFonts w:ascii="Arial" w:hAnsi="Arial" w:cs="Arial"/>
        </w:rPr>
        <w:t>(pp. 142-193). New York: Rand McNally.</w:t>
      </w:r>
    </w:p>
    <w:p w14:paraId="6A36F8DE" w14:textId="11F5EDCE" w:rsidR="00F332F9" w:rsidRDefault="00F332F9" w:rsidP="00F332F9">
      <w:pPr>
        <w:autoSpaceDE w:val="0"/>
        <w:autoSpaceDN w:val="0"/>
        <w:adjustRightInd w:val="0"/>
        <w:spacing w:after="0" w:line="240" w:lineRule="auto"/>
        <w:rPr>
          <w:rFonts w:ascii="Arial" w:hAnsi="Arial" w:cs="Arial"/>
          <w:color w:val="000000"/>
        </w:rPr>
      </w:pPr>
      <w:r>
        <w:rPr>
          <w:rFonts w:ascii="Arial" w:hAnsi="Arial" w:cs="Arial"/>
          <w:color w:val="000000"/>
        </w:rPr>
        <w:t xml:space="preserve">Stigler, G. (1971) </w:t>
      </w:r>
      <w:r w:rsidRPr="00F332F9">
        <w:rPr>
          <w:rFonts w:ascii="Arial" w:hAnsi="Arial" w:cs="Arial"/>
          <w:color w:val="000000"/>
        </w:rPr>
        <w:t>The Theory of Economic Regulation</w:t>
      </w:r>
      <w:r>
        <w:rPr>
          <w:rFonts w:ascii="Arial" w:hAnsi="Arial" w:cs="Arial"/>
          <w:color w:val="000000"/>
        </w:rPr>
        <w:t xml:space="preserve">, </w:t>
      </w:r>
      <w:r w:rsidRPr="00F332F9">
        <w:rPr>
          <w:rFonts w:ascii="Arial" w:hAnsi="Arial" w:cs="Arial"/>
          <w:i/>
          <w:iCs/>
          <w:color w:val="000000"/>
        </w:rPr>
        <w:t>The Bell Journal of Economics and Management Science,</w:t>
      </w:r>
      <w:r w:rsidRPr="00F332F9">
        <w:rPr>
          <w:rFonts w:ascii="Arial" w:hAnsi="Arial" w:cs="Arial"/>
          <w:color w:val="000000"/>
        </w:rPr>
        <w:t xml:space="preserve"> 2</w:t>
      </w:r>
      <w:r>
        <w:rPr>
          <w:rFonts w:ascii="Arial" w:hAnsi="Arial" w:cs="Arial"/>
          <w:color w:val="000000"/>
        </w:rPr>
        <w:t>(</w:t>
      </w:r>
      <w:r w:rsidRPr="00F332F9">
        <w:rPr>
          <w:rFonts w:ascii="Arial" w:hAnsi="Arial" w:cs="Arial"/>
          <w:color w:val="000000"/>
        </w:rPr>
        <w:t>1</w:t>
      </w:r>
      <w:r>
        <w:rPr>
          <w:rFonts w:ascii="Arial" w:hAnsi="Arial" w:cs="Arial"/>
          <w:color w:val="000000"/>
        </w:rPr>
        <w:t>)</w:t>
      </w:r>
      <w:r w:rsidRPr="00F332F9">
        <w:rPr>
          <w:rFonts w:ascii="Arial" w:hAnsi="Arial" w:cs="Arial"/>
          <w:color w:val="000000"/>
        </w:rPr>
        <w:t>, pp. 3-21</w:t>
      </w:r>
      <w:r>
        <w:rPr>
          <w:rFonts w:ascii="Arial" w:hAnsi="Arial" w:cs="Arial"/>
          <w:color w:val="000000"/>
        </w:rPr>
        <w:t>.</w:t>
      </w:r>
    </w:p>
    <w:p w14:paraId="6E9A52C1" w14:textId="16785C47" w:rsidR="00A53FFA" w:rsidRPr="00A53FFA" w:rsidRDefault="00A53FFA" w:rsidP="00A53FFA">
      <w:pPr>
        <w:autoSpaceDE w:val="0"/>
        <w:autoSpaceDN w:val="0"/>
        <w:adjustRightInd w:val="0"/>
        <w:spacing w:after="0" w:line="240" w:lineRule="auto"/>
        <w:rPr>
          <w:rFonts w:ascii="Arial" w:hAnsi="Arial" w:cs="Arial"/>
        </w:rPr>
      </w:pPr>
      <w:r>
        <w:rPr>
          <w:rFonts w:ascii="Arial" w:hAnsi="Arial" w:cs="Arial"/>
          <w:color w:val="000000"/>
        </w:rPr>
        <w:t xml:space="preserve">Tennent, K. (2020) </w:t>
      </w:r>
      <w:r w:rsidRPr="00A53FFA">
        <w:rPr>
          <w:rFonts w:ascii="Arial" w:hAnsi="Arial" w:cs="Arial"/>
        </w:rPr>
        <w:t>Management and business history –</w:t>
      </w:r>
      <w:r>
        <w:rPr>
          <w:rFonts w:ascii="Arial" w:hAnsi="Arial" w:cs="Arial"/>
        </w:rPr>
        <w:t xml:space="preserve"> </w:t>
      </w:r>
      <w:r w:rsidRPr="00A53FFA">
        <w:rPr>
          <w:rFonts w:ascii="Arial" w:hAnsi="Arial" w:cs="Arial"/>
        </w:rPr>
        <w:t>a reflexive research agenda for</w:t>
      </w:r>
    </w:p>
    <w:p w14:paraId="52157CBE" w14:textId="50A97B7B" w:rsidR="00A53FFA" w:rsidRPr="00A53FFA" w:rsidRDefault="00A53FFA" w:rsidP="00A53FFA">
      <w:pPr>
        <w:autoSpaceDE w:val="0"/>
        <w:autoSpaceDN w:val="0"/>
        <w:adjustRightInd w:val="0"/>
        <w:spacing w:after="0" w:line="240" w:lineRule="auto"/>
        <w:rPr>
          <w:rFonts w:ascii="Arial" w:hAnsi="Arial" w:cs="Arial"/>
          <w:color w:val="000000"/>
        </w:rPr>
      </w:pPr>
      <w:r w:rsidRPr="00A53FFA">
        <w:rPr>
          <w:rFonts w:ascii="Arial" w:hAnsi="Arial" w:cs="Arial"/>
        </w:rPr>
        <w:t>the 2020s</w:t>
      </w:r>
      <w:r>
        <w:rPr>
          <w:rFonts w:ascii="Arial" w:hAnsi="Arial" w:cs="Arial"/>
        </w:rPr>
        <w:t xml:space="preserve">, </w:t>
      </w:r>
      <w:r w:rsidRPr="00A53FFA">
        <w:rPr>
          <w:rFonts w:ascii="Arial" w:hAnsi="Arial" w:cs="Arial"/>
          <w:i/>
          <w:iCs/>
        </w:rPr>
        <w:t>Management and Business History</w:t>
      </w:r>
      <w:r>
        <w:rPr>
          <w:rFonts w:ascii="Arial" w:hAnsi="Arial" w:cs="Arial"/>
        </w:rPr>
        <w:t>, Cited ahead of publication, pp</w:t>
      </w:r>
      <w:r w:rsidRPr="00A53FFA">
        <w:rPr>
          <w:rFonts w:ascii="Arial" w:hAnsi="Arial" w:cs="Arial"/>
          <w:color w:val="000000"/>
        </w:rPr>
        <w:t>1751-1348</w:t>
      </w:r>
    </w:p>
    <w:p w14:paraId="22B0BC3F" w14:textId="1D5F611D" w:rsidR="00A53FFA" w:rsidRPr="00A53FFA" w:rsidRDefault="00A53FFA" w:rsidP="00A53FFA">
      <w:pPr>
        <w:autoSpaceDE w:val="0"/>
        <w:autoSpaceDN w:val="0"/>
        <w:adjustRightInd w:val="0"/>
        <w:spacing w:after="0" w:line="240" w:lineRule="auto"/>
        <w:rPr>
          <w:rFonts w:ascii="Arial" w:hAnsi="Arial" w:cs="Arial"/>
          <w:color w:val="000000"/>
        </w:rPr>
      </w:pPr>
      <w:r w:rsidRPr="00A53FFA">
        <w:rPr>
          <w:rFonts w:ascii="Arial" w:hAnsi="Arial" w:cs="Arial"/>
          <w:color w:val="000000"/>
        </w:rPr>
        <w:t xml:space="preserve">DOI </w:t>
      </w:r>
      <w:r w:rsidRPr="00A53FFA">
        <w:rPr>
          <w:rFonts w:ascii="Arial" w:hAnsi="Arial" w:cs="Arial"/>
          <w:color w:val="0000FF"/>
        </w:rPr>
        <w:t>10.1108/JMH-09-2020-006</w:t>
      </w:r>
    </w:p>
    <w:p w14:paraId="5E92E6B5" w14:textId="01AB8875" w:rsidR="006A1506" w:rsidRPr="006A1506" w:rsidRDefault="006A1506" w:rsidP="006A1506">
      <w:pPr>
        <w:spacing w:after="0"/>
        <w:rPr>
          <w:rFonts w:ascii="Arial" w:hAnsi="Arial" w:cs="Arial"/>
          <w:bCs/>
        </w:rPr>
      </w:pPr>
      <w:r>
        <w:rPr>
          <w:rFonts w:ascii="Arial" w:hAnsi="Arial" w:cs="Arial"/>
          <w:color w:val="000000"/>
        </w:rPr>
        <w:t xml:space="preserve">Tennent, K., Turner, D., Fowler., J. &amp; Gillett, A. (2020) </w:t>
      </w:r>
      <w:r w:rsidRPr="006A1506">
        <w:rPr>
          <w:rFonts w:ascii="Arial" w:hAnsi="Arial" w:cs="Arial"/>
          <w:bCs/>
        </w:rPr>
        <w:t>Blending public and private: British Municipal Trading c. 1889-1975</w:t>
      </w:r>
      <w:r>
        <w:rPr>
          <w:rFonts w:ascii="Arial" w:hAnsi="Arial" w:cs="Arial"/>
          <w:bCs/>
        </w:rPr>
        <w:t>. Working Paper presented to the Academy of Management Conference, 2020.</w:t>
      </w:r>
    </w:p>
    <w:p w14:paraId="124BF899" w14:textId="57CD5885" w:rsidR="00A576CD" w:rsidRDefault="00E522C2" w:rsidP="00CA3172">
      <w:pPr>
        <w:spacing w:after="0" w:line="240" w:lineRule="auto"/>
        <w:rPr>
          <w:rFonts w:ascii="Arial" w:hAnsi="Arial" w:cs="Arial"/>
        </w:rPr>
      </w:pPr>
      <w:r>
        <w:rPr>
          <w:rFonts w:ascii="Arial" w:hAnsi="Arial" w:cs="Arial"/>
        </w:rPr>
        <w:t xml:space="preserve">Tennent, K. (2017) </w:t>
      </w:r>
      <w:r w:rsidRPr="00FA6F4E">
        <w:rPr>
          <w:rFonts w:ascii="Arial" w:hAnsi="Arial" w:cs="Arial"/>
        </w:rPr>
        <w:t>Proﬁt</w:t>
      </w:r>
      <w:r>
        <w:rPr>
          <w:rFonts w:ascii="Arial" w:hAnsi="Arial" w:cs="Arial"/>
        </w:rPr>
        <w:t xml:space="preserve"> </w:t>
      </w:r>
      <w:r w:rsidRPr="00FA6F4E">
        <w:rPr>
          <w:rFonts w:ascii="Arial" w:hAnsi="Arial" w:cs="Arial"/>
        </w:rPr>
        <w:t>or</w:t>
      </w:r>
      <w:r>
        <w:rPr>
          <w:rFonts w:ascii="Arial" w:hAnsi="Arial" w:cs="Arial"/>
        </w:rPr>
        <w:t xml:space="preserve"> U</w:t>
      </w:r>
      <w:r w:rsidRPr="00FA6F4E">
        <w:rPr>
          <w:rFonts w:ascii="Arial" w:hAnsi="Arial" w:cs="Arial"/>
        </w:rPr>
        <w:t>tility</w:t>
      </w:r>
      <w:r>
        <w:rPr>
          <w:rFonts w:ascii="Arial" w:hAnsi="Arial" w:cs="Arial"/>
        </w:rPr>
        <w:t xml:space="preserve"> M</w:t>
      </w:r>
      <w:r w:rsidRPr="00FA6F4E">
        <w:rPr>
          <w:rFonts w:ascii="Arial" w:hAnsi="Arial" w:cs="Arial"/>
        </w:rPr>
        <w:t>aximizing? Strategy,</w:t>
      </w:r>
      <w:r>
        <w:rPr>
          <w:rFonts w:ascii="Arial" w:hAnsi="Arial" w:cs="Arial"/>
        </w:rPr>
        <w:t xml:space="preserve"> </w:t>
      </w:r>
      <w:r w:rsidRPr="00FA6F4E">
        <w:rPr>
          <w:rFonts w:ascii="Arial" w:hAnsi="Arial" w:cs="Arial"/>
        </w:rPr>
        <w:t>tactics</w:t>
      </w:r>
      <w:r>
        <w:rPr>
          <w:rFonts w:ascii="Arial" w:hAnsi="Arial" w:cs="Arial"/>
        </w:rPr>
        <w:t xml:space="preserve"> </w:t>
      </w:r>
      <w:r w:rsidRPr="00FA6F4E">
        <w:rPr>
          <w:rFonts w:ascii="Arial" w:hAnsi="Arial" w:cs="Arial"/>
        </w:rPr>
        <w:t>and</w:t>
      </w:r>
      <w:r>
        <w:rPr>
          <w:rFonts w:ascii="Arial" w:hAnsi="Arial" w:cs="Arial"/>
        </w:rPr>
        <w:t xml:space="preserve"> </w:t>
      </w:r>
      <w:r w:rsidRPr="00FA6F4E">
        <w:rPr>
          <w:rFonts w:ascii="Arial" w:hAnsi="Arial" w:cs="Arial"/>
        </w:rPr>
        <w:t>the Municipal</w:t>
      </w:r>
      <w:r>
        <w:rPr>
          <w:rFonts w:ascii="Arial" w:hAnsi="Arial" w:cs="Arial"/>
        </w:rPr>
        <w:t xml:space="preserve"> </w:t>
      </w:r>
      <w:r w:rsidRPr="00FA6F4E">
        <w:rPr>
          <w:rFonts w:ascii="Arial" w:hAnsi="Arial" w:cs="Arial"/>
        </w:rPr>
        <w:t>Tramways</w:t>
      </w:r>
      <w:r>
        <w:rPr>
          <w:rFonts w:ascii="Arial" w:hAnsi="Arial" w:cs="Arial"/>
        </w:rPr>
        <w:t xml:space="preserve"> </w:t>
      </w:r>
      <w:r w:rsidRPr="00FA6F4E">
        <w:rPr>
          <w:rFonts w:ascii="Arial" w:hAnsi="Arial" w:cs="Arial"/>
        </w:rPr>
        <w:t>of</w:t>
      </w:r>
      <w:r>
        <w:rPr>
          <w:rFonts w:ascii="Arial" w:hAnsi="Arial" w:cs="Arial"/>
        </w:rPr>
        <w:t xml:space="preserve"> </w:t>
      </w:r>
      <w:r w:rsidRPr="00FA6F4E">
        <w:rPr>
          <w:rFonts w:ascii="Arial" w:hAnsi="Arial" w:cs="Arial"/>
        </w:rPr>
        <w:t>York, c.1918-1935</w:t>
      </w:r>
      <w:r>
        <w:rPr>
          <w:rFonts w:ascii="Arial" w:hAnsi="Arial" w:cs="Arial"/>
        </w:rPr>
        <w:t xml:space="preserve">, </w:t>
      </w:r>
      <w:r w:rsidRPr="00FA6F4E">
        <w:rPr>
          <w:rFonts w:ascii="Arial" w:hAnsi="Arial" w:cs="Arial"/>
          <w:i/>
        </w:rPr>
        <w:t>Journal of Management History</w:t>
      </w:r>
      <w:r w:rsidR="00021226">
        <w:rPr>
          <w:rFonts w:ascii="Arial" w:hAnsi="Arial" w:cs="Arial"/>
          <w:i/>
        </w:rPr>
        <w:t>,</w:t>
      </w:r>
      <w:r>
        <w:rPr>
          <w:rFonts w:ascii="Arial" w:hAnsi="Arial" w:cs="Arial"/>
        </w:rPr>
        <w:t xml:space="preserve"> 23(4)</w:t>
      </w:r>
      <w:r w:rsidR="00021226">
        <w:rPr>
          <w:rFonts w:ascii="Arial" w:hAnsi="Arial" w:cs="Arial"/>
        </w:rPr>
        <w:t xml:space="preserve"> pp401-422</w:t>
      </w:r>
      <w:r>
        <w:rPr>
          <w:rFonts w:ascii="Arial" w:hAnsi="Arial" w:cs="Arial"/>
        </w:rPr>
        <w:t>.</w:t>
      </w:r>
    </w:p>
    <w:p w14:paraId="7BC9D20F" w14:textId="10521644" w:rsidR="00F74A57" w:rsidRDefault="00F74A57" w:rsidP="00CA3172">
      <w:pPr>
        <w:spacing w:after="0" w:line="240" w:lineRule="auto"/>
        <w:rPr>
          <w:rFonts w:ascii="Arial" w:hAnsi="Arial" w:cs="Arial"/>
        </w:rPr>
      </w:pPr>
      <w:r>
        <w:rPr>
          <w:rFonts w:ascii="Arial" w:hAnsi="Arial" w:cs="Arial"/>
        </w:rPr>
        <w:t>Thornton, P. (2004</w:t>
      </w:r>
      <w:r w:rsidRPr="00F74A57">
        <w:rPr>
          <w:rFonts w:ascii="Arial" w:hAnsi="Arial" w:cs="Arial"/>
          <w:i/>
          <w:iCs/>
        </w:rPr>
        <w:t xml:space="preserve">) Markets </w:t>
      </w:r>
      <w:proofErr w:type="gramStart"/>
      <w:r w:rsidRPr="00F74A57">
        <w:rPr>
          <w:rFonts w:ascii="Arial" w:hAnsi="Arial" w:cs="Arial"/>
          <w:i/>
          <w:iCs/>
        </w:rPr>
        <w:t>From</w:t>
      </w:r>
      <w:proofErr w:type="gramEnd"/>
      <w:r w:rsidRPr="00F74A57">
        <w:rPr>
          <w:rFonts w:ascii="Arial" w:hAnsi="Arial" w:cs="Arial"/>
          <w:i/>
          <w:iCs/>
        </w:rPr>
        <w:t xml:space="preserve"> Culture: Institutional Logics and Organisational Decisions in Higher Education Publishing</w:t>
      </w:r>
      <w:r>
        <w:rPr>
          <w:rFonts w:ascii="Arial" w:hAnsi="Arial" w:cs="Arial"/>
        </w:rPr>
        <w:t>, Stanford: Stanford University Press.</w:t>
      </w:r>
    </w:p>
    <w:p w14:paraId="6D7F47FE" w14:textId="2A0B5FCE" w:rsidR="00DD1962" w:rsidRPr="00DD1962" w:rsidRDefault="00DD1962" w:rsidP="00DD1962">
      <w:pPr>
        <w:autoSpaceDE w:val="0"/>
        <w:autoSpaceDN w:val="0"/>
        <w:adjustRightInd w:val="0"/>
        <w:spacing w:after="0" w:line="240" w:lineRule="auto"/>
        <w:rPr>
          <w:rFonts w:ascii="Arial" w:hAnsi="Arial" w:cs="Arial"/>
          <w:i/>
          <w:iCs/>
          <w:color w:val="000000" w:themeColor="text1"/>
        </w:rPr>
      </w:pPr>
      <w:r w:rsidRPr="00DD1962">
        <w:rPr>
          <w:rFonts w:ascii="Arial" w:hAnsi="Arial" w:cs="Arial"/>
          <w:color w:val="000000" w:themeColor="text1"/>
        </w:rPr>
        <w:t xml:space="preserve">Thornton, P., Ocasio, W., &amp; Lounsbury, M. (2012). </w:t>
      </w:r>
      <w:r w:rsidRPr="00DD1962">
        <w:rPr>
          <w:rFonts w:ascii="Arial" w:hAnsi="Arial" w:cs="Arial"/>
          <w:i/>
          <w:iCs/>
          <w:color w:val="000000" w:themeColor="text1"/>
        </w:rPr>
        <w:t>The institutional logics perspective:</w:t>
      </w:r>
    </w:p>
    <w:p w14:paraId="7296125C" w14:textId="6876D1D7" w:rsidR="00DD1962" w:rsidRPr="00DD1962" w:rsidRDefault="00DD1962" w:rsidP="00DD1962">
      <w:pPr>
        <w:autoSpaceDE w:val="0"/>
        <w:autoSpaceDN w:val="0"/>
        <w:adjustRightInd w:val="0"/>
        <w:spacing w:after="0" w:line="240" w:lineRule="auto"/>
        <w:rPr>
          <w:rFonts w:ascii="Arial" w:hAnsi="Arial" w:cs="Arial"/>
          <w:color w:val="000000" w:themeColor="text1"/>
        </w:rPr>
      </w:pPr>
      <w:r w:rsidRPr="00DD1962">
        <w:rPr>
          <w:rFonts w:ascii="Arial" w:hAnsi="Arial" w:cs="Arial"/>
          <w:i/>
          <w:iCs/>
          <w:color w:val="000000" w:themeColor="text1"/>
        </w:rPr>
        <w:t>Foundations, research, and theoretical elaboration</w:t>
      </w:r>
      <w:r w:rsidRPr="00DD1962">
        <w:rPr>
          <w:rFonts w:ascii="Arial" w:hAnsi="Arial" w:cs="Arial"/>
          <w:color w:val="000000" w:themeColor="text1"/>
        </w:rPr>
        <w:t>. Oxford: Oxford</w:t>
      </w:r>
      <w:r>
        <w:rPr>
          <w:rFonts w:ascii="Arial" w:hAnsi="Arial" w:cs="Arial"/>
          <w:color w:val="000000" w:themeColor="text1"/>
        </w:rPr>
        <w:t xml:space="preserve"> </w:t>
      </w:r>
      <w:r w:rsidRPr="00DD1962">
        <w:rPr>
          <w:rFonts w:ascii="Arial" w:hAnsi="Arial" w:cs="Arial"/>
          <w:color w:val="000000" w:themeColor="text1"/>
        </w:rPr>
        <w:t>University Press.</w:t>
      </w:r>
    </w:p>
    <w:p w14:paraId="445D52C4" w14:textId="2AD310CD" w:rsidR="00631C18" w:rsidRPr="00E920CC" w:rsidRDefault="00631C18" w:rsidP="004C2439">
      <w:pPr>
        <w:pStyle w:val="NormalWeb"/>
        <w:spacing w:before="0" w:beforeAutospacing="0" w:after="0" w:afterAutospacing="0"/>
        <w:rPr>
          <w:rFonts w:ascii="Arial" w:hAnsi="Arial" w:cs="Arial"/>
          <w:sz w:val="22"/>
          <w:szCs w:val="22"/>
        </w:rPr>
      </w:pPr>
      <w:r w:rsidRPr="004C2439">
        <w:rPr>
          <w:rFonts w:ascii="Arial" w:hAnsi="Arial" w:cs="Arial"/>
          <w:sz w:val="22"/>
          <w:szCs w:val="22"/>
        </w:rPr>
        <w:t xml:space="preserve">Thornton, P. H., and W. Ocasio. </w:t>
      </w:r>
      <w:r w:rsidR="004C2439">
        <w:rPr>
          <w:rFonts w:ascii="Arial" w:hAnsi="Arial" w:cs="Arial"/>
          <w:sz w:val="22"/>
          <w:szCs w:val="22"/>
        </w:rPr>
        <w:t>(</w:t>
      </w:r>
      <w:r w:rsidRPr="004C2439">
        <w:rPr>
          <w:rFonts w:ascii="Arial" w:hAnsi="Arial" w:cs="Arial"/>
          <w:sz w:val="22"/>
          <w:szCs w:val="22"/>
        </w:rPr>
        <w:t>1999</w:t>
      </w:r>
      <w:r w:rsidR="004C2439">
        <w:rPr>
          <w:rFonts w:ascii="Arial" w:hAnsi="Arial" w:cs="Arial"/>
          <w:sz w:val="22"/>
          <w:szCs w:val="22"/>
        </w:rPr>
        <w:t>)</w:t>
      </w:r>
      <w:r w:rsidRPr="004C2439">
        <w:rPr>
          <w:rFonts w:ascii="Arial" w:hAnsi="Arial" w:cs="Arial"/>
          <w:sz w:val="22"/>
          <w:szCs w:val="22"/>
        </w:rPr>
        <w:t xml:space="preserve"> Institutional Logics and the Historical Contingency of Power in Organizations: Executive Succession in the Higher Education Publishing Industry, 1958–1990. </w:t>
      </w:r>
      <w:r w:rsidRPr="004C2439">
        <w:rPr>
          <w:rFonts w:ascii="Arial" w:hAnsi="Arial" w:cs="Arial"/>
          <w:i/>
          <w:iCs/>
          <w:sz w:val="22"/>
          <w:szCs w:val="22"/>
        </w:rPr>
        <w:t xml:space="preserve">American Journal of Sociology </w:t>
      </w:r>
      <w:r w:rsidRPr="004C2439">
        <w:rPr>
          <w:rFonts w:ascii="Arial" w:hAnsi="Arial" w:cs="Arial"/>
          <w:sz w:val="22"/>
          <w:szCs w:val="22"/>
        </w:rPr>
        <w:t xml:space="preserve">105 (3): 801–843. doi:10.1086/210361. </w:t>
      </w:r>
    </w:p>
    <w:p w14:paraId="4184F1D3" w14:textId="40CBF856" w:rsidR="001C49FD" w:rsidRDefault="00A576CD" w:rsidP="00CA3172">
      <w:pPr>
        <w:autoSpaceDE w:val="0"/>
        <w:autoSpaceDN w:val="0"/>
        <w:adjustRightInd w:val="0"/>
        <w:spacing w:after="0" w:line="240" w:lineRule="auto"/>
        <w:rPr>
          <w:rFonts w:ascii="Arial" w:hAnsi="Arial" w:cs="Arial"/>
        </w:rPr>
      </w:pPr>
      <w:r>
        <w:rPr>
          <w:rFonts w:ascii="Arial" w:hAnsi="Arial" w:cs="Arial"/>
        </w:rPr>
        <w:t xml:space="preserve">Thomasson, A. (2009) Exploring the Ambiguity of Hybrid Organisations: A Stakeholder Approach, </w:t>
      </w:r>
      <w:r w:rsidRPr="00A576CD">
        <w:rPr>
          <w:rFonts w:ascii="Arial" w:hAnsi="Arial" w:cs="Arial"/>
          <w:i/>
          <w:iCs/>
        </w:rPr>
        <w:t>Financial Accountability &amp; Management</w:t>
      </w:r>
      <w:r w:rsidRPr="00A576CD">
        <w:rPr>
          <w:rFonts w:ascii="Arial" w:hAnsi="Arial" w:cs="Arial"/>
        </w:rPr>
        <w:t>, 25(3),</w:t>
      </w:r>
      <w:r>
        <w:rPr>
          <w:rFonts w:ascii="Arial" w:hAnsi="Arial" w:cs="Arial"/>
        </w:rPr>
        <w:t xml:space="preserve"> pp353-365.</w:t>
      </w:r>
    </w:p>
    <w:p w14:paraId="14B7C30E" w14:textId="1A476F49" w:rsidR="004D428F" w:rsidRPr="00CA3172" w:rsidRDefault="00021226" w:rsidP="00CA3172">
      <w:pPr>
        <w:autoSpaceDE w:val="0"/>
        <w:autoSpaceDN w:val="0"/>
        <w:adjustRightInd w:val="0"/>
        <w:spacing w:after="0" w:line="240" w:lineRule="auto"/>
        <w:rPr>
          <w:rFonts w:ascii="Arial" w:hAnsi="Arial" w:cs="Arial"/>
        </w:rPr>
      </w:pPr>
      <w:r w:rsidRPr="00A576CD">
        <w:rPr>
          <w:rFonts w:ascii="Arial" w:hAnsi="Arial" w:cs="Arial"/>
        </w:rPr>
        <w:t>Turner, D &amp; Tennent, K. (2019) Progressive</w:t>
      </w:r>
      <w:r w:rsidRPr="00021226">
        <w:rPr>
          <w:rFonts w:ascii="Arial" w:hAnsi="Arial" w:cs="Arial"/>
        </w:rPr>
        <w:t xml:space="preserve"> strategies of municipal trading: The policies of the London County Council Tramways c. 1891–1914</w:t>
      </w:r>
      <w:r w:rsidRPr="00021226">
        <w:rPr>
          <w:rFonts w:ascii="Arial" w:hAnsi="Arial" w:cs="Arial"/>
          <w:i/>
          <w:iCs/>
        </w:rPr>
        <w:t xml:space="preserve">, Business History, </w:t>
      </w:r>
      <w:r w:rsidRPr="00021226">
        <w:rPr>
          <w:rFonts w:ascii="Arial" w:hAnsi="Arial" w:cs="Arial"/>
        </w:rPr>
        <w:t xml:space="preserve">published online </w:t>
      </w:r>
      <w:hyperlink r:id="rId8" w:history="1">
        <w:r w:rsidRPr="00021226">
          <w:rPr>
            <w:rStyle w:val="Hyperlink"/>
            <w:rFonts w:ascii="Arial" w:hAnsi="Arial" w:cs="Arial"/>
            <w:color w:val="006DB4"/>
          </w:rPr>
          <w:t>https://doi.org/10.1080/00076791.2019.1577823</w:t>
        </w:r>
      </w:hyperlink>
    </w:p>
    <w:p w14:paraId="595BEC98" w14:textId="63655823" w:rsidR="00631981" w:rsidRDefault="00631981" w:rsidP="00631981">
      <w:pPr>
        <w:spacing w:after="0" w:line="240" w:lineRule="auto"/>
        <w:rPr>
          <w:rFonts w:ascii="Arial" w:hAnsi="Arial" w:cs="Arial"/>
        </w:rPr>
      </w:pPr>
      <w:r>
        <w:rPr>
          <w:rFonts w:ascii="Arial" w:hAnsi="Arial" w:cs="Arial"/>
        </w:rPr>
        <w:t xml:space="preserve">Van </w:t>
      </w:r>
      <w:proofErr w:type="spellStart"/>
      <w:r>
        <w:rPr>
          <w:rFonts w:ascii="Arial" w:hAnsi="Arial" w:cs="Arial"/>
        </w:rPr>
        <w:t>Thiel</w:t>
      </w:r>
      <w:proofErr w:type="spellEnd"/>
      <w:r>
        <w:rPr>
          <w:rFonts w:ascii="Arial" w:hAnsi="Arial" w:cs="Arial"/>
        </w:rPr>
        <w:t xml:space="preserve">, S. (2004) Why Politicians Prefer Quasi Autonomous Organisations, </w:t>
      </w:r>
      <w:r>
        <w:rPr>
          <w:rFonts w:ascii="Arial" w:hAnsi="Arial" w:cs="Arial"/>
          <w:i/>
        </w:rPr>
        <w:t xml:space="preserve">Journal of Theoretical Politics </w:t>
      </w:r>
      <w:r>
        <w:rPr>
          <w:rFonts w:ascii="Arial" w:hAnsi="Arial" w:cs="Arial"/>
        </w:rPr>
        <w:t>16(2)</w:t>
      </w:r>
      <w:r w:rsidR="00570BCD">
        <w:rPr>
          <w:rFonts w:ascii="Arial" w:hAnsi="Arial" w:cs="Arial"/>
        </w:rPr>
        <w:t xml:space="preserve"> pp</w:t>
      </w:r>
      <w:r>
        <w:rPr>
          <w:rFonts w:ascii="Arial" w:hAnsi="Arial" w:cs="Arial"/>
        </w:rPr>
        <w:t>175-201.</w:t>
      </w:r>
    </w:p>
    <w:p w14:paraId="76A1EFD8" w14:textId="47FB0D1C" w:rsidR="000874B8" w:rsidRDefault="000874B8" w:rsidP="000874B8">
      <w:pPr>
        <w:spacing w:after="0" w:line="240" w:lineRule="auto"/>
        <w:rPr>
          <w:rFonts w:ascii="Arial" w:hAnsi="Arial" w:cs="Arial"/>
        </w:rPr>
      </w:pPr>
      <w:r w:rsidRPr="000874B8">
        <w:rPr>
          <w:rFonts w:ascii="Arial" w:hAnsi="Arial" w:cs="Arial"/>
        </w:rPr>
        <w:t xml:space="preserve">Van der </w:t>
      </w:r>
      <w:proofErr w:type="spellStart"/>
      <w:r w:rsidRPr="000874B8">
        <w:rPr>
          <w:rFonts w:ascii="Arial" w:hAnsi="Arial" w:cs="Arial"/>
        </w:rPr>
        <w:t>Walle</w:t>
      </w:r>
      <w:proofErr w:type="spellEnd"/>
      <w:r w:rsidRPr="000874B8">
        <w:rPr>
          <w:rFonts w:ascii="Arial" w:hAnsi="Arial" w:cs="Arial"/>
        </w:rPr>
        <w:t xml:space="preserve">, S. (2008) Comparing the Performance of National Public Sectors: Conceptual Problems, </w:t>
      </w:r>
      <w:r w:rsidRPr="000874B8">
        <w:rPr>
          <w:rFonts w:ascii="Arial" w:hAnsi="Arial" w:cs="Arial"/>
          <w:i/>
        </w:rPr>
        <w:t>International Journal of Productivity and Performance Management,</w:t>
      </w:r>
      <w:r>
        <w:rPr>
          <w:rFonts w:ascii="Arial" w:hAnsi="Arial" w:cs="Arial"/>
          <w:i/>
        </w:rPr>
        <w:t xml:space="preserve"> </w:t>
      </w:r>
      <w:r w:rsidRPr="000874B8">
        <w:rPr>
          <w:rFonts w:ascii="Arial" w:hAnsi="Arial" w:cs="Arial"/>
        </w:rPr>
        <w:t xml:space="preserve">57(4), </w:t>
      </w:r>
      <w:r>
        <w:rPr>
          <w:rFonts w:ascii="Arial" w:hAnsi="Arial" w:cs="Arial"/>
        </w:rPr>
        <w:t>pp</w:t>
      </w:r>
      <w:r w:rsidRPr="000874B8">
        <w:rPr>
          <w:rFonts w:ascii="Arial" w:hAnsi="Arial" w:cs="Arial"/>
        </w:rPr>
        <w:t>329-338.</w:t>
      </w:r>
    </w:p>
    <w:p w14:paraId="0532CC82" w14:textId="792EACD6" w:rsidR="00A24447" w:rsidRPr="00A24447" w:rsidRDefault="00A24447" w:rsidP="00A24447">
      <w:pPr>
        <w:autoSpaceDE w:val="0"/>
        <w:autoSpaceDN w:val="0"/>
        <w:adjustRightInd w:val="0"/>
        <w:spacing w:after="0" w:line="240" w:lineRule="auto"/>
        <w:rPr>
          <w:rFonts w:ascii="Arial" w:hAnsi="Arial" w:cs="Arial"/>
        </w:rPr>
      </w:pPr>
      <w:r w:rsidRPr="00A24447">
        <w:rPr>
          <w:rFonts w:ascii="Arial" w:hAnsi="Arial" w:cs="Arial"/>
        </w:rPr>
        <w:t xml:space="preserve">Verma, S. &amp; </w:t>
      </w:r>
      <w:proofErr w:type="spellStart"/>
      <w:r w:rsidRPr="00A24447">
        <w:rPr>
          <w:rFonts w:ascii="Arial" w:hAnsi="Arial" w:cs="Arial"/>
        </w:rPr>
        <w:t>Abdelrehim</w:t>
      </w:r>
      <w:proofErr w:type="spellEnd"/>
      <w:r w:rsidRPr="00A24447">
        <w:rPr>
          <w:rFonts w:ascii="Arial" w:hAnsi="Arial" w:cs="Arial"/>
        </w:rPr>
        <w:t xml:space="preserve">, N. (2017) Oil multinationals and governments in post-colonial transitions: </w:t>
      </w:r>
      <w:proofErr w:type="spellStart"/>
      <w:r w:rsidRPr="00A24447">
        <w:rPr>
          <w:rFonts w:ascii="Arial" w:hAnsi="Arial" w:cs="Arial"/>
        </w:rPr>
        <w:t>Burmah</w:t>
      </w:r>
      <w:proofErr w:type="spellEnd"/>
      <w:r w:rsidRPr="00A24447">
        <w:rPr>
          <w:rFonts w:ascii="Arial" w:hAnsi="Arial" w:cs="Arial"/>
        </w:rPr>
        <w:t xml:space="preserve"> Shell, the </w:t>
      </w:r>
      <w:proofErr w:type="spellStart"/>
      <w:r w:rsidRPr="00A24447">
        <w:rPr>
          <w:rFonts w:ascii="Arial" w:hAnsi="Arial" w:cs="Arial"/>
        </w:rPr>
        <w:t>Burmah</w:t>
      </w:r>
      <w:proofErr w:type="spellEnd"/>
      <w:r w:rsidRPr="00A24447">
        <w:rPr>
          <w:rFonts w:ascii="Arial" w:hAnsi="Arial" w:cs="Arial"/>
        </w:rPr>
        <w:t xml:space="preserve"> Oil Company and the Indian state 1947–70</w:t>
      </w:r>
      <w:r w:rsidRPr="00A24447">
        <w:rPr>
          <w:rFonts w:ascii="Arial" w:hAnsi="Arial" w:cs="Arial"/>
          <w:i/>
          <w:iCs/>
        </w:rPr>
        <w:t>, Business History,</w:t>
      </w:r>
      <w:r w:rsidRPr="00A24447">
        <w:rPr>
          <w:rFonts w:ascii="Arial" w:hAnsi="Arial" w:cs="Arial"/>
        </w:rPr>
        <w:t xml:space="preserve"> 59(3), pp342-361</w:t>
      </w:r>
      <w:r>
        <w:rPr>
          <w:rFonts w:ascii="Arial" w:hAnsi="Arial" w:cs="Arial"/>
        </w:rPr>
        <w:t>.</w:t>
      </w:r>
    </w:p>
    <w:p w14:paraId="0ABD4044" w14:textId="52AB3BA1" w:rsidR="001C49FD" w:rsidRDefault="001C49FD" w:rsidP="000874B8">
      <w:pPr>
        <w:spacing w:after="0" w:line="240" w:lineRule="auto"/>
        <w:rPr>
          <w:rFonts w:ascii="Arial" w:hAnsi="Arial" w:cs="Arial"/>
        </w:rPr>
      </w:pPr>
      <w:r w:rsidRPr="001C49FD">
        <w:rPr>
          <w:rFonts w:ascii="Arial" w:hAnsi="Arial" w:cs="Arial"/>
        </w:rPr>
        <w:t xml:space="preserve">Wadhwani, R. (2011) Organisational form and industry emergence: </w:t>
      </w:r>
      <w:proofErr w:type="spellStart"/>
      <w:r w:rsidRPr="001C49FD">
        <w:rPr>
          <w:rFonts w:ascii="Arial" w:hAnsi="Arial" w:cs="Arial"/>
        </w:rPr>
        <w:t>Nonprofit</w:t>
      </w:r>
      <w:proofErr w:type="spellEnd"/>
      <w:r w:rsidRPr="001C49FD">
        <w:rPr>
          <w:rFonts w:ascii="Arial" w:hAnsi="Arial" w:cs="Arial"/>
        </w:rPr>
        <w:t xml:space="preserve"> and mutual firms in the development of the US personal finance industry, </w:t>
      </w:r>
      <w:r w:rsidRPr="001C49FD">
        <w:rPr>
          <w:rFonts w:ascii="Arial" w:hAnsi="Arial" w:cs="Arial"/>
          <w:i/>
          <w:iCs/>
        </w:rPr>
        <w:t>Business History,</w:t>
      </w:r>
      <w:r w:rsidRPr="001C49FD">
        <w:rPr>
          <w:rFonts w:ascii="Arial" w:hAnsi="Arial" w:cs="Arial"/>
        </w:rPr>
        <w:t xml:space="preserve"> 53(7) pp1152-1177</w:t>
      </w:r>
    </w:p>
    <w:p w14:paraId="7737FF5E" w14:textId="5B8736C7" w:rsidR="00A70D88" w:rsidRPr="00A70D88" w:rsidRDefault="00A70D88" w:rsidP="00631981">
      <w:pPr>
        <w:spacing w:after="0" w:line="240" w:lineRule="auto"/>
        <w:rPr>
          <w:rFonts w:ascii="Arial" w:hAnsi="Arial" w:cs="Arial"/>
        </w:rPr>
      </w:pPr>
      <w:r>
        <w:rPr>
          <w:rFonts w:ascii="Arial" w:hAnsi="Arial" w:cs="Arial"/>
        </w:rPr>
        <w:t xml:space="preserve">Walsh, C &amp; Warner, S. (2015) </w:t>
      </w:r>
      <w:r>
        <w:rPr>
          <w:rFonts w:ascii="Arial" w:hAnsi="Arial" w:cs="Arial"/>
          <w:i/>
          <w:iCs/>
        </w:rPr>
        <w:t xml:space="preserve">25 Need to Know Management Ratios, </w:t>
      </w:r>
      <w:r>
        <w:rPr>
          <w:rFonts w:ascii="Arial" w:hAnsi="Arial" w:cs="Arial"/>
        </w:rPr>
        <w:t>London: Pearson.</w:t>
      </w:r>
    </w:p>
    <w:p w14:paraId="4615F321" w14:textId="588007FC" w:rsidR="00B415F8" w:rsidRDefault="00B415F8" w:rsidP="00DD4BC3">
      <w:pPr>
        <w:spacing w:after="0" w:line="240" w:lineRule="auto"/>
        <w:rPr>
          <w:rFonts w:ascii="Arial" w:hAnsi="Arial" w:cs="Arial"/>
        </w:rPr>
      </w:pPr>
      <w:r>
        <w:rPr>
          <w:rFonts w:ascii="Arial" w:hAnsi="Arial" w:cs="Arial"/>
        </w:rPr>
        <w:lastRenderedPageBreak/>
        <w:t xml:space="preserve">Weston, C. (1908) Action Necessary to Assure a Reasonable Return on Investment, </w:t>
      </w:r>
      <w:r w:rsidRPr="00B415F8">
        <w:rPr>
          <w:rFonts w:ascii="Arial" w:hAnsi="Arial" w:cs="Arial"/>
          <w:i/>
          <w:iCs/>
        </w:rPr>
        <w:t>Electric Railway Journal,</w:t>
      </w:r>
      <w:r>
        <w:rPr>
          <w:rFonts w:ascii="Arial" w:hAnsi="Arial" w:cs="Arial"/>
        </w:rPr>
        <w:t xml:space="preserve"> 32(30) pp1645-1648.</w:t>
      </w:r>
    </w:p>
    <w:p w14:paraId="42BF3499" w14:textId="37B11D42" w:rsidR="006F314E" w:rsidRPr="006F314E" w:rsidRDefault="006F314E" w:rsidP="00DD4BC3">
      <w:pPr>
        <w:spacing w:after="0" w:line="240" w:lineRule="auto"/>
        <w:rPr>
          <w:rFonts w:ascii="Arial" w:hAnsi="Arial" w:cs="Arial"/>
        </w:rPr>
      </w:pPr>
      <w:proofErr w:type="spellStart"/>
      <w:r>
        <w:rPr>
          <w:rFonts w:ascii="Arial" w:hAnsi="Arial" w:cs="Arial"/>
        </w:rPr>
        <w:t>Wolmar</w:t>
      </w:r>
      <w:proofErr w:type="spellEnd"/>
      <w:r>
        <w:rPr>
          <w:rFonts w:ascii="Arial" w:hAnsi="Arial" w:cs="Arial"/>
        </w:rPr>
        <w:t xml:space="preserve">, C. (2004) </w:t>
      </w:r>
      <w:r>
        <w:rPr>
          <w:rFonts w:ascii="Arial" w:hAnsi="Arial" w:cs="Arial"/>
          <w:i/>
          <w:iCs/>
        </w:rPr>
        <w:t xml:space="preserve">The Subterranean Railway, </w:t>
      </w:r>
      <w:r>
        <w:rPr>
          <w:rFonts w:ascii="Arial" w:hAnsi="Arial" w:cs="Arial"/>
        </w:rPr>
        <w:t>London: Atlantic Books.</w:t>
      </w:r>
    </w:p>
    <w:p w14:paraId="742E462F" w14:textId="77777777" w:rsidR="00CE1B74" w:rsidRDefault="00631C18" w:rsidP="00CE1B74">
      <w:pPr>
        <w:pStyle w:val="NormalWeb"/>
        <w:spacing w:before="0" w:beforeAutospacing="0" w:after="0" w:afterAutospacing="0"/>
        <w:rPr>
          <w:rFonts w:ascii="Arial" w:hAnsi="Arial" w:cs="Arial"/>
          <w:sz w:val="22"/>
          <w:szCs w:val="22"/>
        </w:rPr>
      </w:pPr>
      <w:r w:rsidRPr="004C2439">
        <w:rPr>
          <w:rFonts w:ascii="Arial" w:hAnsi="Arial" w:cs="Arial"/>
          <w:sz w:val="22"/>
          <w:szCs w:val="22"/>
        </w:rPr>
        <w:t xml:space="preserve">Yin, R. K. </w:t>
      </w:r>
      <w:r w:rsidR="004C2439">
        <w:rPr>
          <w:rFonts w:ascii="Arial" w:hAnsi="Arial" w:cs="Arial"/>
          <w:sz w:val="22"/>
          <w:szCs w:val="22"/>
        </w:rPr>
        <w:t>(</w:t>
      </w:r>
      <w:r w:rsidRPr="004C2439">
        <w:rPr>
          <w:rFonts w:ascii="Arial" w:hAnsi="Arial" w:cs="Arial"/>
          <w:sz w:val="22"/>
          <w:szCs w:val="22"/>
        </w:rPr>
        <w:t>2003</w:t>
      </w:r>
      <w:r w:rsidR="004C2439">
        <w:rPr>
          <w:rFonts w:ascii="Arial" w:hAnsi="Arial" w:cs="Arial"/>
          <w:sz w:val="22"/>
          <w:szCs w:val="22"/>
        </w:rPr>
        <w:t>)</w:t>
      </w:r>
      <w:r w:rsidRPr="004C2439">
        <w:rPr>
          <w:rFonts w:ascii="Arial" w:hAnsi="Arial" w:cs="Arial"/>
          <w:sz w:val="22"/>
          <w:szCs w:val="22"/>
        </w:rPr>
        <w:t xml:space="preserve">. </w:t>
      </w:r>
      <w:r w:rsidRPr="004C2439">
        <w:rPr>
          <w:rFonts w:ascii="Arial" w:hAnsi="Arial" w:cs="Arial"/>
          <w:i/>
          <w:iCs/>
          <w:sz w:val="22"/>
          <w:szCs w:val="22"/>
        </w:rPr>
        <w:t>Case Study Research: Design and Methods</w:t>
      </w:r>
      <w:r w:rsidRPr="004C2439">
        <w:rPr>
          <w:rFonts w:ascii="Arial" w:hAnsi="Arial" w:cs="Arial"/>
          <w:sz w:val="22"/>
          <w:szCs w:val="22"/>
        </w:rPr>
        <w:t>. Thousand Oaks, CA: Sage Publications.</w:t>
      </w:r>
      <w:r w:rsidRPr="00E920CC">
        <w:rPr>
          <w:rFonts w:ascii="Arial" w:hAnsi="Arial" w:cs="Arial"/>
          <w:sz w:val="22"/>
          <w:szCs w:val="22"/>
        </w:rPr>
        <w:t xml:space="preserve"> </w:t>
      </w:r>
    </w:p>
    <w:p w14:paraId="731A15E5" w14:textId="6397ABBC" w:rsidR="007D6261" w:rsidRDefault="007D6261" w:rsidP="00CE1B74">
      <w:pPr>
        <w:pStyle w:val="NormalWeb"/>
        <w:spacing w:before="0" w:beforeAutospacing="0" w:after="0" w:afterAutospacing="0"/>
        <w:rPr>
          <w:rFonts w:ascii="Arial" w:hAnsi="Arial" w:cs="Arial"/>
          <w:sz w:val="22"/>
          <w:szCs w:val="22"/>
        </w:rPr>
      </w:pPr>
      <w:r w:rsidRPr="00CE1B74">
        <w:rPr>
          <w:rFonts w:ascii="Arial" w:hAnsi="Arial" w:cs="Arial"/>
          <w:sz w:val="22"/>
          <w:szCs w:val="22"/>
        </w:rPr>
        <w:t xml:space="preserve">Yuzawa, T. (2015) Urbanisation and Transport Re-Structuring before World War Two. A Comparison of London and Osaka. In </w:t>
      </w:r>
      <w:proofErr w:type="spellStart"/>
      <w:r w:rsidRPr="00CE1B74">
        <w:rPr>
          <w:rFonts w:ascii="Arial" w:hAnsi="Arial" w:cs="Arial"/>
          <w:sz w:val="22"/>
          <w:szCs w:val="22"/>
        </w:rPr>
        <w:t>Kopper</w:t>
      </w:r>
      <w:proofErr w:type="spellEnd"/>
      <w:r w:rsidRPr="00CE1B74">
        <w:rPr>
          <w:rFonts w:ascii="Arial" w:hAnsi="Arial" w:cs="Arial"/>
          <w:sz w:val="22"/>
          <w:szCs w:val="22"/>
        </w:rPr>
        <w:t xml:space="preserve">, C. &amp; </w:t>
      </w:r>
      <w:proofErr w:type="spellStart"/>
      <w:r w:rsidRPr="00CE1B74">
        <w:rPr>
          <w:rFonts w:ascii="Arial" w:hAnsi="Arial" w:cs="Arial"/>
          <w:sz w:val="22"/>
          <w:szCs w:val="22"/>
        </w:rPr>
        <w:t>Moraglio</w:t>
      </w:r>
      <w:proofErr w:type="spellEnd"/>
      <w:r w:rsidRPr="00CE1B74">
        <w:rPr>
          <w:rFonts w:ascii="Arial" w:hAnsi="Arial" w:cs="Arial"/>
          <w:sz w:val="22"/>
          <w:szCs w:val="22"/>
        </w:rPr>
        <w:t xml:space="preserve">, M. (Eds.), </w:t>
      </w:r>
      <w:r w:rsidRPr="00CE1B74">
        <w:rPr>
          <w:rFonts w:ascii="Arial" w:hAnsi="Arial" w:cs="Arial"/>
          <w:i/>
          <w:iCs/>
          <w:sz w:val="22"/>
          <w:szCs w:val="22"/>
        </w:rPr>
        <w:t xml:space="preserve">The Organisation of Transport, A History of Users, Industry, and Public Policy, </w:t>
      </w:r>
      <w:r w:rsidRPr="00CE1B74">
        <w:rPr>
          <w:rFonts w:ascii="Arial" w:hAnsi="Arial" w:cs="Arial"/>
          <w:sz w:val="22"/>
          <w:szCs w:val="22"/>
        </w:rPr>
        <w:t>(pp86-105). London: Routledge.</w:t>
      </w:r>
    </w:p>
    <w:p w14:paraId="4CA437CB" w14:textId="77777777" w:rsidR="00CE1B74" w:rsidRPr="00CE1B74" w:rsidRDefault="00CE1B74" w:rsidP="00CE1B74">
      <w:pPr>
        <w:pStyle w:val="NormalWeb"/>
        <w:spacing w:before="0" w:beforeAutospacing="0" w:after="0" w:afterAutospacing="0"/>
        <w:rPr>
          <w:rFonts w:ascii="Arial" w:hAnsi="Arial" w:cs="Arial"/>
          <w:sz w:val="22"/>
          <w:szCs w:val="22"/>
        </w:rPr>
      </w:pPr>
    </w:p>
    <w:p w14:paraId="6513D63F" w14:textId="77777777" w:rsidR="00E76C71" w:rsidRDefault="004B7024" w:rsidP="00DD4BC3">
      <w:pPr>
        <w:spacing w:after="0" w:line="240" w:lineRule="auto"/>
        <w:rPr>
          <w:rFonts w:ascii="Arial" w:hAnsi="Arial" w:cs="Arial"/>
          <w:b/>
          <w:bCs/>
        </w:rPr>
      </w:pPr>
      <w:r>
        <w:rPr>
          <w:rFonts w:ascii="Arial" w:hAnsi="Arial" w:cs="Arial"/>
          <w:b/>
          <w:bCs/>
        </w:rPr>
        <w:t>Newspapers</w:t>
      </w:r>
    </w:p>
    <w:p w14:paraId="2DBFC972" w14:textId="77777777" w:rsidR="0055044B" w:rsidRDefault="0055044B" w:rsidP="00DD4BC3">
      <w:pPr>
        <w:spacing w:after="0" w:line="240" w:lineRule="auto"/>
        <w:rPr>
          <w:rFonts w:ascii="Arial" w:hAnsi="Arial" w:cs="Arial"/>
        </w:rPr>
      </w:pPr>
    </w:p>
    <w:p w14:paraId="72129798" w14:textId="40295AAD" w:rsidR="00E72F62" w:rsidRDefault="00E72F62" w:rsidP="00DD4BC3">
      <w:pPr>
        <w:spacing w:after="0" w:line="240" w:lineRule="auto"/>
        <w:rPr>
          <w:rFonts w:ascii="Arial" w:hAnsi="Arial" w:cs="Arial"/>
        </w:rPr>
      </w:pPr>
      <w:r>
        <w:rPr>
          <w:rFonts w:ascii="Arial" w:hAnsi="Arial" w:cs="Arial"/>
        </w:rPr>
        <w:t xml:space="preserve">Absolute Chaos. (1923, July 4). </w:t>
      </w:r>
      <w:r w:rsidRPr="00E72F62">
        <w:rPr>
          <w:rFonts w:ascii="Arial" w:hAnsi="Arial" w:cs="Arial"/>
          <w:i/>
          <w:iCs/>
        </w:rPr>
        <w:t>The Daily Telegraph</w:t>
      </w:r>
      <w:r>
        <w:rPr>
          <w:rFonts w:ascii="Arial" w:hAnsi="Arial" w:cs="Arial"/>
        </w:rPr>
        <w:t>, p10.</w:t>
      </w:r>
    </w:p>
    <w:p w14:paraId="0D88747E" w14:textId="430832B8" w:rsidR="00E72F62" w:rsidRDefault="00E72F62" w:rsidP="00DD4BC3">
      <w:pPr>
        <w:spacing w:after="0" w:line="240" w:lineRule="auto"/>
        <w:rPr>
          <w:rFonts w:ascii="Arial" w:hAnsi="Arial" w:cs="Arial"/>
        </w:rPr>
      </w:pPr>
      <w:r>
        <w:rPr>
          <w:rFonts w:ascii="Arial" w:hAnsi="Arial" w:cs="Arial"/>
        </w:rPr>
        <w:t xml:space="preserve">Complete Stoppage of Trams and Buses. (1924, March 24). </w:t>
      </w:r>
      <w:r w:rsidRPr="00E72F62">
        <w:rPr>
          <w:rFonts w:ascii="Arial" w:hAnsi="Arial" w:cs="Arial"/>
          <w:i/>
          <w:iCs/>
        </w:rPr>
        <w:t>The Daily Telegraph</w:t>
      </w:r>
      <w:r>
        <w:rPr>
          <w:rFonts w:ascii="Arial" w:hAnsi="Arial" w:cs="Arial"/>
        </w:rPr>
        <w:t>, p11.</w:t>
      </w:r>
    </w:p>
    <w:p w14:paraId="60CBEEE3" w14:textId="3A0A575C" w:rsidR="0055044B" w:rsidRDefault="0055044B" w:rsidP="00DD4BC3">
      <w:pPr>
        <w:spacing w:after="0" w:line="240" w:lineRule="auto"/>
        <w:rPr>
          <w:rFonts w:ascii="Arial" w:hAnsi="Arial" w:cs="Arial"/>
        </w:rPr>
      </w:pPr>
      <w:r>
        <w:rPr>
          <w:rFonts w:ascii="Arial" w:hAnsi="Arial" w:cs="Arial"/>
        </w:rPr>
        <w:t xml:space="preserve">London Closing Prices. (From 1913-1947, first week of January). </w:t>
      </w:r>
      <w:r w:rsidRPr="0055044B">
        <w:rPr>
          <w:rFonts w:ascii="Arial" w:hAnsi="Arial" w:cs="Arial"/>
          <w:i/>
          <w:iCs/>
        </w:rPr>
        <w:t>The Financial Times</w:t>
      </w:r>
      <w:r>
        <w:rPr>
          <w:rFonts w:ascii="Arial" w:hAnsi="Arial" w:cs="Arial"/>
        </w:rPr>
        <w:t>, pp1-6.</w:t>
      </w:r>
    </w:p>
    <w:p w14:paraId="6A4FA4D1" w14:textId="319FF6CD" w:rsidR="007A0C76" w:rsidRPr="00E76C71" w:rsidRDefault="007A0C76" w:rsidP="00DD4BC3">
      <w:pPr>
        <w:spacing w:after="0" w:line="240" w:lineRule="auto"/>
        <w:rPr>
          <w:rFonts w:ascii="Arial" w:hAnsi="Arial" w:cs="Arial"/>
          <w:b/>
          <w:bCs/>
        </w:rPr>
      </w:pPr>
      <w:r>
        <w:rPr>
          <w:rFonts w:ascii="Arial" w:hAnsi="Arial" w:cs="Arial"/>
        </w:rPr>
        <w:t xml:space="preserve">Lord Ashfield Cross Examined. (1924, March 24). </w:t>
      </w:r>
      <w:r>
        <w:rPr>
          <w:rFonts w:ascii="Arial" w:hAnsi="Arial" w:cs="Arial"/>
          <w:i/>
          <w:iCs/>
        </w:rPr>
        <w:t xml:space="preserve">The Daily Mail, </w:t>
      </w:r>
      <w:r>
        <w:rPr>
          <w:rFonts w:ascii="Arial" w:hAnsi="Arial" w:cs="Arial"/>
        </w:rPr>
        <w:t>p4.</w:t>
      </w:r>
    </w:p>
    <w:p w14:paraId="2C8CBACB" w14:textId="10AA97F1" w:rsidR="007A0C76" w:rsidRDefault="007A0C76" w:rsidP="00DD4BC3">
      <w:pPr>
        <w:spacing w:after="0" w:line="240" w:lineRule="auto"/>
        <w:rPr>
          <w:rFonts w:ascii="Arial" w:hAnsi="Arial" w:cs="Arial"/>
        </w:rPr>
      </w:pPr>
      <w:r>
        <w:rPr>
          <w:rFonts w:ascii="Arial" w:hAnsi="Arial" w:cs="Arial"/>
        </w:rPr>
        <w:t xml:space="preserve">Pirates and Common Sense. (1923, April 22). </w:t>
      </w:r>
      <w:r>
        <w:rPr>
          <w:rFonts w:ascii="Arial" w:hAnsi="Arial" w:cs="Arial"/>
          <w:i/>
          <w:iCs/>
        </w:rPr>
        <w:t xml:space="preserve">The Sunday Times, </w:t>
      </w:r>
      <w:r>
        <w:rPr>
          <w:rFonts w:ascii="Arial" w:hAnsi="Arial" w:cs="Arial"/>
        </w:rPr>
        <w:t>p12.</w:t>
      </w:r>
    </w:p>
    <w:p w14:paraId="09AEF8C6" w14:textId="6D8C3BD7" w:rsidR="007A0C76" w:rsidRDefault="007A0C76" w:rsidP="00DD4BC3">
      <w:pPr>
        <w:spacing w:after="0" w:line="240" w:lineRule="auto"/>
        <w:rPr>
          <w:rFonts w:ascii="Arial" w:hAnsi="Arial" w:cs="Arial"/>
        </w:rPr>
      </w:pPr>
      <w:r>
        <w:rPr>
          <w:rFonts w:ascii="Arial" w:hAnsi="Arial" w:cs="Arial"/>
        </w:rPr>
        <w:t xml:space="preserve">Strike Prevention. (1924, March 30). </w:t>
      </w:r>
      <w:r>
        <w:rPr>
          <w:rFonts w:ascii="Arial" w:hAnsi="Arial" w:cs="Arial"/>
          <w:i/>
          <w:iCs/>
        </w:rPr>
        <w:t xml:space="preserve">The Sunday Times, </w:t>
      </w:r>
      <w:r>
        <w:rPr>
          <w:rFonts w:ascii="Arial" w:hAnsi="Arial" w:cs="Arial"/>
        </w:rPr>
        <w:t>p12.</w:t>
      </w:r>
    </w:p>
    <w:p w14:paraId="1E957F94" w14:textId="70204A64" w:rsidR="004B7024" w:rsidRDefault="006D79AF" w:rsidP="00DD4BC3">
      <w:pPr>
        <w:spacing w:after="0" w:line="240" w:lineRule="auto"/>
        <w:rPr>
          <w:rFonts w:ascii="Arial" w:hAnsi="Arial" w:cs="Arial"/>
        </w:rPr>
      </w:pPr>
      <w:r>
        <w:rPr>
          <w:rFonts w:ascii="Arial" w:hAnsi="Arial" w:cs="Arial"/>
        </w:rPr>
        <w:t xml:space="preserve">The Pirate Bus. (1923, February 8). </w:t>
      </w:r>
      <w:r>
        <w:rPr>
          <w:rFonts w:ascii="Arial" w:hAnsi="Arial" w:cs="Arial"/>
          <w:i/>
          <w:iCs/>
        </w:rPr>
        <w:t xml:space="preserve">The Telegraph, </w:t>
      </w:r>
      <w:r w:rsidRPr="006D79AF">
        <w:rPr>
          <w:rFonts w:ascii="Arial" w:hAnsi="Arial" w:cs="Arial"/>
        </w:rPr>
        <w:t>p10.</w:t>
      </w:r>
    </w:p>
    <w:p w14:paraId="21D2C2A9" w14:textId="2D828944" w:rsidR="00D67C45" w:rsidRDefault="00D67C45" w:rsidP="00DD4BC3">
      <w:pPr>
        <w:spacing w:after="0" w:line="240" w:lineRule="auto"/>
        <w:rPr>
          <w:rFonts w:ascii="Arial" w:hAnsi="Arial" w:cs="Arial"/>
        </w:rPr>
      </w:pPr>
    </w:p>
    <w:p w14:paraId="03D8AE34" w14:textId="3F5E8A2A" w:rsidR="00D67C45" w:rsidRPr="00D67C45" w:rsidRDefault="00D67C45" w:rsidP="00DD4BC3">
      <w:pPr>
        <w:spacing w:after="0" w:line="240" w:lineRule="auto"/>
        <w:rPr>
          <w:rFonts w:ascii="Arial" w:hAnsi="Arial" w:cs="Arial"/>
          <w:b/>
          <w:bCs/>
        </w:rPr>
      </w:pPr>
      <w:r>
        <w:rPr>
          <w:rFonts w:ascii="Arial" w:hAnsi="Arial" w:cs="Arial"/>
          <w:b/>
          <w:bCs/>
        </w:rPr>
        <w:t>Parliamentary Debates</w:t>
      </w:r>
      <w:r w:rsidR="00A117CC">
        <w:rPr>
          <w:rFonts w:ascii="Arial" w:hAnsi="Arial" w:cs="Arial"/>
          <w:b/>
          <w:bCs/>
        </w:rPr>
        <w:t xml:space="preserve"> (Hansard)</w:t>
      </w:r>
    </w:p>
    <w:p w14:paraId="73B6EDFD" w14:textId="17A8D7F5" w:rsidR="00CA3172" w:rsidRDefault="00CA3172" w:rsidP="00DD4BC3">
      <w:pPr>
        <w:spacing w:after="0" w:line="240" w:lineRule="auto"/>
        <w:rPr>
          <w:rFonts w:ascii="Arial" w:hAnsi="Arial" w:cs="Arial"/>
        </w:rPr>
      </w:pPr>
    </w:p>
    <w:p w14:paraId="43718734" w14:textId="05DF78E4" w:rsidR="00A117CC" w:rsidRDefault="00A117CC" w:rsidP="00DD4BC3">
      <w:pPr>
        <w:spacing w:after="0" w:line="240" w:lineRule="auto"/>
        <w:rPr>
          <w:rFonts w:ascii="Arial" w:hAnsi="Arial" w:cs="Arial"/>
        </w:rPr>
      </w:pPr>
      <w:r>
        <w:rPr>
          <w:rFonts w:ascii="Arial" w:hAnsi="Arial" w:cs="Arial"/>
        </w:rPr>
        <w:t>London County Council (Co-ordination of Passenger Traffic) Bill, Columns 1033 and 1623-1679, Vols. 225 and 227, February 19</w:t>
      </w:r>
      <w:r w:rsidRPr="00A117CC">
        <w:rPr>
          <w:rFonts w:ascii="Arial" w:hAnsi="Arial" w:cs="Arial"/>
          <w:vertAlign w:val="superscript"/>
        </w:rPr>
        <w:t>th</w:t>
      </w:r>
      <w:r>
        <w:rPr>
          <w:rFonts w:ascii="Arial" w:hAnsi="Arial" w:cs="Arial"/>
        </w:rPr>
        <w:t xml:space="preserve"> and 1</w:t>
      </w:r>
      <w:r w:rsidRPr="00A117CC">
        <w:rPr>
          <w:rFonts w:ascii="Arial" w:hAnsi="Arial" w:cs="Arial"/>
          <w:vertAlign w:val="superscript"/>
        </w:rPr>
        <w:t>st</w:t>
      </w:r>
      <w:r>
        <w:rPr>
          <w:rFonts w:ascii="Arial" w:hAnsi="Arial" w:cs="Arial"/>
        </w:rPr>
        <w:t xml:space="preserve"> May 1929.</w:t>
      </w:r>
    </w:p>
    <w:p w14:paraId="692D7840" w14:textId="28A31212" w:rsidR="00F32E96" w:rsidRDefault="00F32E96" w:rsidP="00DD4BC3">
      <w:pPr>
        <w:spacing w:after="0" w:line="240" w:lineRule="auto"/>
        <w:rPr>
          <w:rFonts w:ascii="Arial" w:hAnsi="Arial" w:cs="Arial"/>
        </w:rPr>
      </w:pPr>
      <w:r>
        <w:rPr>
          <w:rFonts w:ascii="Arial" w:hAnsi="Arial" w:cs="Arial"/>
        </w:rPr>
        <w:t>London Passenger Transport Bill, Columns 1050-1056, Vol. 257, 6</w:t>
      </w:r>
      <w:r w:rsidRPr="00F32E96">
        <w:rPr>
          <w:rFonts w:ascii="Arial" w:hAnsi="Arial" w:cs="Arial"/>
          <w:vertAlign w:val="superscript"/>
        </w:rPr>
        <w:t>th</w:t>
      </w:r>
      <w:r>
        <w:rPr>
          <w:rFonts w:ascii="Arial" w:hAnsi="Arial" w:cs="Arial"/>
        </w:rPr>
        <w:t xml:space="preserve"> October 1931.</w:t>
      </w:r>
    </w:p>
    <w:p w14:paraId="0814B371" w14:textId="33BC0845" w:rsidR="00851A72" w:rsidRDefault="00D67C45" w:rsidP="00DD4BC3">
      <w:pPr>
        <w:spacing w:after="0" w:line="240" w:lineRule="auto"/>
        <w:rPr>
          <w:rFonts w:ascii="Arial" w:hAnsi="Arial" w:cs="Arial"/>
        </w:rPr>
      </w:pPr>
      <w:r>
        <w:rPr>
          <w:rFonts w:ascii="Arial" w:hAnsi="Arial" w:cs="Arial"/>
        </w:rPr>
        <w:t>London Traffic, Column</w:t>
      </w:r>
      <w:r w:rsidR="00B4478A">
        <w:rPr>
          <w:rFonts w:ascii="Arial" w:hAnsi="Arial" w:cs="Arial"/>
        </w:rPr>
        <w:t>s 38, 74 and</w:t>
      </w:r>
      <w:r>
        <w:rPr>
          <w:rFonts w:ascii="Arial" w:hAnsi="Arial" w:cs="Arial"/>
        </w:rPr>
        <w:t xml:space="preserve"> 212</w:t>
      </w:r>
      <w:r w:rsidR="00B4478A">
        <w:rPr>
          <w:rFonts w:ascii="Arial" w:hAnsi="Arial" w:cs="Arial"/>
        </w:rPr>
        <w:t>,</w:t>
      </w:r>
      <w:r>
        <w:rPr>
          <w:rFonts w:ascii="Arial" w:hAnsi="Arial" w:cs="Arial"/>
        </w:rPr>
        <w:t xml:space="preserve"> Vol. 170, February 25</w:t>
      </w:r>
      <w:r w:rsidRPr="00D67C45">
        <w:rPr>
          <w:rFonts w:ascii="Arial" w:hAnsi="Arial" w:cs="Arial"/>
          <w:vertAlign w:val="superscript"/>
        </w:rPr>
        <w:t>th</w:t>
      </w:r>
      <w:proofErr w:type="gramStart"/>
      <w:r>
        <w:rPr>
          <w:rFonts w:ascii="Arial" w:hAnsi="Arial" w:cs="Arial"/>
        </w:rPr>
        <w:t xml:space="preserve"> 1924</w:t>
      </w:r>
      <w:proofErr w:type="gramEnd"/>
      <w:r>
        <w:rPr>
          <w:rFonts w:ascii="Arial" w:hAnsi="Arial" w:cs="Arial"/>
        </w:rPr>
        <w:t>.</w:t>
      </w:r>
    </w:p>
    <w:p w14:paraId="4F960BB8" w14:textId="4BC675FA" w:rsidR="00A117CC" w:rsidRDefault="00A117CC" w:rsidP="00DD4BC3">
      <w:pPr>
        <w:spacing w:after="0" w:line="240" w:lineRule="auto"/>
        <w:rPr>
          <w:rFonts w:ascii="Arial" w:hAnsi="Arial" w:cs="Arial"/>
        </w:rPr>
      </w:pPr>
      <w:r>
        <w:rPr>
          <w:rFonts w:ascii="Arial" w:hAnsi="Arial" w:cs="Arial"/>
        </w:rPr>
        <w:t>London Traffic, Column 636, Vol. 216, April 23</w:t>
      </w:r>
      <w:r w:rsidRPr="00A117CC">
        <w:rPr>
          <w:rFonts w:ascii="Arial" w:hAnsi="Arial" w:cs="Arial"/>
          <w:vertAlign w:val="superscript"/>
        </w:rPr>
        <w:t>rd</w:t>
      </w:r>
      <w:proofErr w:type="gramStart"/>
      <w:r>
        <w:rPr>
          <w:rFonts w:ascii="Arial" w:hAnsi="Arial" w:cs="Arial"/>
          <w:vertAlign w:val="superscript"/>
        </w:rPr>
        <w:t xml:space="preserve"> </w:t>
      </w:r>
      <w:r>
        <w:rPr>
          <w:rFonts w:ascii="Arial" w:hAnsi="Arial" w:cs="Arial"/>
        </w:rPr>
        <w:t>1928</w:t>
      </w:r>
      <w:proofErr w:type="gramEnd"/>
      <w:r>
        <w:rPr>
          <w:rFonts w:ascii="Arial" w:hAnsi="Arial" w:cs="Arial"/>
        </w:rPr>
        <w:t>.</w:t>
      </w:r>
    </w:p>
    <w:p w14:paraId="67DEB192" w14:textId="65E94746" w:rsidR="005351A3" w:rsidRDefault="005351A3" w:rsidP="00DD4BC3">
      <w:pPr>
        <w:spacing w:after="0" w:line="240" w:lineRule="auto"/>
        <w:rPr>
          <w:rFonts w:ascii="Arial" w:hAnsi="Arial" w:cs="Arial"/>
        </w:rPr>
      </w:pPr>
      <w:r>
        <w:rPr>
          <w:rFonts w:ascii="Arial" w:hAnsi="Arial" w:cs="Arial"/>
        </w:rPr>
        <w:t>London Traffic Bill, Column 1816, Vol. 174 and Column 280, Vol. 175, 16</w:t>
      </w:r>
      <w:r w:rsidRPr="005351A3">
        <w:rPr>
          <w:rFonts w:ascii="Arial" w:hAnsi="Arial" w:cs="Arial"/>
          <w:vertAlign w:val="superscript"/>
        </w:rPr>
        <w:t>th</w:t>
      </w:r>
      <w:r>
        <w:rPr>
          <w:rFonts w:ascii="Arial" w:hAnsi="Arial" w:cs="Arial"/>
        </w:rPr>
        <w:t xml:space="preserve"> June 1924.</w:t>
      </w:r>
    </w:p>
    <w:p w14:paraId="109D930F" w14:textId="669B89A7" w:rsidR="00B4478A" w:rsidRDefault="00B4478A" w:rsidP="00DD4BC3">
      <w:pPr>
        <w:spacing w:after="0" w:line="240" w:lineRule="auto"/>
        <w:rPr>
          <w:rFonts w:ascii="Arial" w:hAnsi="Arial" w:cs="Arial"/>
        </w:rPr>
      </w:pPr>
      <w:r>
        <w:rPr>
          <w:rFonts w:ascii="Arial" w:hAnsi="Arial" w:cs="Arial"/>
        </w:rPr>
        <w:t>London Road Traffic, Column 1499, Vol. 134, November 15</w:t>
      </w:r>
      <w:r w:rsidRPr="00B4478A">
        <w:rPr>
          <w:rFonts w:ascii="Arial" w:hAnsi="Arial" w:cs="Arial"/>
          <w:vertAlign w:val="superscript"/>
        </w:rPr>
        <w:t>th</w:t>
      </w:r>
      <w:proofErr w:type="gramStart"/>
      <w:r>
        <w:rPr>
          <w:rFonts w:ascii="Arial" w:hAnsi="Arial" w:cs="Arial"/>
        </w:rPr>
        <w:t xml:space="preserve"> 1920</w:t>
      </w:r>
      <w:proofErr w:type="gramEnd"/>
      <w:r>
        <w:rPr>
          <w:rFonts w:ascii="Arial" w:hAnsi="Arial" w:cs="Arial"/>
        </w:rPr>
        <w:t>.</w:t>
      </w:r>
    </w:p>
    <w:p w14:paraId="678A2323" w14:textId="16CA1C21" w:rsidR="00D67C45" w:rsidRDefault="00851A72" w:rsidP="00DD4BC3">
      <w:pPr>
        <w:spacing w:after="0" w:line="240" w:lineRule="auto"/>
        <w:rPr>
          <w:rFonts w:ascii="Arial" w:hAnsi="Arial" w:cs="Arial"/>
        </w:rPr>
      </w:pPr>
      <w:r>
        <w:rPr>
          <w:rFonts w:ascii="Arial" w:hAnsi="Arial" w:cs="Arial"/>
        </w:rPr>
        <w:t>Power to Attach Conditions to Grant of Omnibus Licenses Plying in the City of London, Column 344</w:t>
      </w:r>
      <w:r w:rsidR="00B4478A">
        <w:rPr>
          <w:rFonts w:ascii="Arial" w:hAnsi="Arial" w:cs="Arial"/>
        </w:rPr>
        <w:t>,</w:t>
      </w:r>
      <w:r>
        <w:rPr>
          <w:rFonts w:ascii="Arial" w:hAnsi="Arial" w:cs="Arial"/>
        </w:rPr>
        <w:t xml:space="preserve"> Vol</w:t>
      </w:r>
      <w:r w:rsidR="00B4478A">
        <w:rPr>
          <w:rFonts w:ascii="Arial" w:hAnsi="Arial" w:cs="Arial"/>
        </w:rPr>
        <w:t>.</w:t>
      </w:r>
      <w:r>
        <w:rPr>
          <w:rFonts w:ascii="Arial" w:hAnsi="Arial" w:cs="Arial"/>
        </w:rPr>
        <w:t xml:space="preserve"> 175, June 24</w:t>
      </w:r>
      <w:r w:rsidRPr="00851A72">
        <w:rPr>
          <w:rFonts w:ascii="Arial" w:hAnsi="Arial" w:cs="Arial"/>
          <w:vertAlign w:val="superscript"/>
        </w:rPr>
        <w:t>th</w:t>
      </w:r>
      <w:proofErr w:type="gramStart"/>
      <w:r>
        <w:rPr>
          <w:rFonts w:ascii="Arial" w:hAnsi="Arial" w:cs="Arial"/>
        </w:rPr>
        <w:t xml:space="preserve"> 1924</w:t>
      </w:r>
      <w:proofErr w:type="gramEnd"/>
      <w:r>
        <w:rPr>
          <w:rFonts w:ascii="Arial" w:hAnsi="Arial" w:cs="Arial"/>
        </w:rPr>
        <w:t>.</w:t>
      </w:r>
      <w:r w:rsidR="00D67C45">
        <w:rPr>
          <w:rFonts w:ascii="Arial" w:hAnsi="Arial" w:cs="Arial"/>
        </w:rPr>
        <w:t xml:space="preserve"> </w:t>
      </w:r>
    </w:p>
    <w:p w14:paraId="0A178CA2" w14:textId="62A5DA61" w:rsidR="00D67C45" w:rsidRDefault="00B4478A" w:rsidP="00DD4BC3">
      <w:pPr>
        <w:spacing w:after="0" w:line="240" w:lineRule="auto"/>
        <w:rPr>
          <w:rFonts w:ascii="Arial" w:hAnsi="Arial" w:cs="Arial"/>
        </w:rPr>
      </w:pPr>
      <w:r>
        <w:rPr>
          <w:rFonts w:ascii="Arial" w:hAnsi="Arial" w:cs="Arial"/>
        </w:rPr>
        <w:t xml:space="preserve">Unified Transportation Control, Column </w:t>
      </w:r>
      <w:proofErr w:type="gramStart"/>
      <w:r>
        <w:rPr>
          <w:rFonts w:ascii="Arial" w:hAnsi="Arial" w:cs="Arial"/>
        </w:rPr>
        <w:t>1762 ,</w:t>
      </w:r>
      <w:proofErr w:type="gramEnd"/>
      <w:r>
        <w:rPr>
          <w:rFonts w:ascii="Arial" w:hAnsi="Arial" w:cs="Arial"/>
        </w:rPr>
        <w:t>Vol. 113, March 17</w:t>
      </w:r>
      <w:r w:rsidRPr="00B4478A">
        <w:rPr>
          <w:rFonts w:ascii="Arial" w:hAnsi="Arial" w:cs="Arial"/>
          <w:vertAlign w:val="superscript"/>
        </w:rPr>
        <w:t>th</w:t>
      </w:r>
      <w:r>
        <w:rPr>
          <w:rFonts w:ascii="Arial" w:hAnsi="Arial" w:cs="Arial"/>
        </w:rPr>
        <w:t xml:space="preserve"> 1919.</w:t>
      </w:r>
    </w:p>
    <w:p w14:paraId="38465D23" w14:textId="7F4F4403" w:rsidR="00D67C45" w:rsidRDefault="00D67C45" w:rsidP="00DD4BC3">
      <w:pPr>
        <w:spacing w:after="0" w:line="240" w:lineRule="auto"/>
        <w:rPr>
          <w:rFonts w:ascii="Arial" w:hAnsi="Arial" w:cs="Arial"/>
        </w:rPr>
      </w:pPr>
    </w:p>
    <w:p w14:paraId="1EF11ABE" w14:textId="229BBF9F" w:rsidR="009144D0" w:rsidRDefault="009144D0" w:rsidP="00DD4BC3">
      <w:pPr>
        <w:spacing w:after="0" w:line="240" w:lineRule="auto"/>
        <w:rPr>
          <w:rFonts w:ascii="Arial" w:hAnsi="Arial" w:cs="Arial"/>
        </w:rPr>
      </w:pPr>
    </w:p>
    <w:p w14:paraId="4C12ED02" w14:textId="0D1B530D" w:rsidR="009144D0" w:rsidRDefault="009144D0" w:rsidP="00DD4BC3">
      <w:pPr>
        <w:spacing w:after="0" w:line="240" w:lineRule="auto"/>
        <w:rPr>
          <w:rFonts w:ascii="Arial" w:hAnsi="Arial" w:cs="Arial"/>
        </w:rPr>
      </w:pPr>
    </w:p>
    <w:p w14:paraId="6C4DCDB8" w14:textId="7FDA0E4A" w:rsidR="009144D0" w:rsidRDefault="009144D0" w:rsidP="00DD4BC3">
      <w:pPr>
        <w:spacing w:after="0" w:line="240" w:lineRule="auto"/>
        <w:rPr>
          <w:rFonts w:ascii="Arial" w:hAnsi="Arial" w:cs="Arial"/>
        </w:rPr>
      </w:pPr>
    </w:p>
    <w:p w14:paraId="6B633639" w14:textId="582426F6" w:rsidR="009144D0" w:rsidRDefault="009144D0" w:rsidP="00DD4BC3">
      <w:pPr>
        <w:spacing w:after="0" w:line="240" w:lineRule="auto"/>
        <w:rPr>
          <w:rFonts w:ascii="Arial" w:hAnsi="Arial" w:cs="Arial"/>
        </w:rPr>
      </w:pPr>
    </w:p>
    <w:p w14:paraId="7DF787C0" w14:textId="1C1FCF88" w:rsidR="009144D0" w:rsidRDefault="009144D0" w:rsidP="00DD4BC3">
      <w:pPr>
        <w:spacing w:after="0" w:line="240" w:lineRule="auto"/>
        <w:rPr>
          <w:rFonts w:ascii="Arial" w:hAnsi="Arial" w:cs="Arial"/>
        </w:rPr>
      </w:pPr>
    </w:p>
    <w:p w14:paraId="0B6954C6" w14:textId="62E5E487" w:rsidR="009144D0" w:rsidRDefault="009144D0" w:rsidP="00DD4BC3">
      <w:pPr>
        <w:spacing w:after="0" w:line="240" w:lineRule="auto"/>
        <w:rPr>
          <w:rFonts w:ascii="Arial" w:hAnsi="Arial" w:cs="Arial"/>
        </w:rPr>
      </w:pPr>
    </w:p>
    <w:p w14:paraId="287CFC84" w14:textId="77777777" w:rsidR="009144D0" w:rsidRDefault="009144D0" w:rsidP="00DD4BC3">
      <w:pPr>
        <w:spacing w:after="0" w:line="240" w:lineRule="auto"/>
        <w:rPr>
          <w:rFonts w:ascii="Arial" w:hAnsi="Arial" w:cs="Arial"/>
        </w:rPr>
      </w:pPr>
    </w:p>
    <w:p w14:paraId="20EE6D24" w14:textId="77777777" w:rsidR="009144D0" w:rsidRDefault="009144D0" w:rsidP="00DD4BC3">
      <w:pPr>
        <w:spacing w:after="0" w:line="240" w:lineRule="auto"/>
        <w:rPr>
          <w:rFonts w:ascii="Arial" w:hAnsi="Arial" w:cs="Arial"/>
          <w:b/>
          <w:bCs/>
        </w:rPr>
        <w:sectPr w:rsidR="009144D0">
          <w:footerReference w:type="default" r:id="rId9"/>
          <w:pgSz w:w="11906" w:h="16838"/>
          <w:pgMar w:top="1440" w:right="1440" w:bottom="1440" w:left="1440" w:header="708" w:footer="708" w:gutter="0"/>
          <w:cols w:space="708"/>
          <w:docGrid w:linePitch="360"/>
        </w:sectPr>
      </w:pPr>
    </w:p>
    <w:p w14:paraId="4949CAE6" w14:textId="5E849FAC" w:rsidR="005A7CE1" w:rsidRDefault="0041066A" w:rsidP="00DD4BC3">
      <w:pPr>
        <w:spacing w:after="0" w:line="240" w:lineRule="auto"/>
        <w:rPr>
          <w:rFonts w:ascii="Arial" w:hAnsi="Arial" w:cs="Arial"/>
          <w:b/>
          <w:bCs/>
        </w:rPr>
      </w:pPr>
      <w:r>
        <w:rPr>
          <w:rFonts w:ascii="Arial" w:hAnsi="Arial" w:cs="Arial"/>
          <w:b/>
          <w:bCs/>
        </w:rPr>
        <w:lastRenderedPageBreak/>
        <w:t>Appendix One</w:t>
      </w:r>
    </w:p>
    <w:p w14:paraId="3F1D4191" w14:textId="60691C75" w:rsidR="00DB2433" w:rsidRDefault="00DB2433" w:rsidP="00DD4BC3">
      <w:pPr>
        <w:spacing w:after="0" w:line="240" w:lineRule="auto"/>
        <w:rPr>
          <w:rFonts w:ascii="Arial" w:hAnsi="Arial" w:cs="Arial"/>
          <w:b/>
          <w:bCs/>
        </w:rPr>
      </w:pPr>
    </w:p>
    <w:p w14:paraId="3B75AAF7" w14:textId="68FC08A5" w:rsidR="00DB2433" w:rsidRPr="00DB2433" w:rsidRDefault="00DB2433" w:rsidP="00DD4BC3">
      <w:pPr>
        <w:spacing w:after="0" w:line="240" w:lineRule="auto"/>
        <w:rPr>
          <w:rFonts w:ascii="Arial" w:hAnsi="Arial" w:cs="Arial"/>
        </w:rPr>
      </w:pPr>
      <w:r w:rsidRPr="00DB2433">
        <w:rPr>
          <w:rFonts w:ascii="Arial" w:hAnsi="Arial" w:cs="Arial"/>
        </w:rPr>
        <w:t>Contingent Historical Events 1913-34</w:t>
      </w:r>
      <w:r>
        <w:rPr>
          <w:rFonts w:ascii="Arial" w:hAnsi="Arial" w:cs="Arial"/>
        </w:rPr>
        <w:t>.</w:t>
      </w:r>
    </w:p>
    <w:p w14:paraId="789E45BA" w14:textId="6AE5EFCC" w:rsidR="0041066A" w:rsidRDefault="0041066A" w:rsidP="00DD4BC3">
      <w:pPr>
        <w:spacing w:after="0" w:line="240" w:lineRule="auto"/>
        <w:rPr>
          <w:rFonts w:ascii="Arial" w:hAnsi="Arial" w:cs="Arial"/>
          <w:b/>
          <w:bCs/>
        </w:rPr>
      </w:pPr>
    </w:p>
    <w:p w14:paraId="122D4F70" w14:textId="7D825C4B" w:rsidR="0041066A" w:rsidRPr="0081272D" w:rsidRDefault="00105FC9" w:rsidP="00DD4BC3">
      <w:pPr>
        <w:spacing w:after="0" w:line="240" w:lineRule="auto"/>
        <w:rPr>
          <w:rFonts w:ascii="Arial" w:hAnsi="Arial" w:cs="Arial"/>
        </w:rPr>
      </w:pPr>
      <w:r>
        <w:rPr>
          <w:rFonts w:ascii="Arial" w:hAnsi="Arial" w:cs="Arial"/>
          <w:noProof/>
          <w:sz w:val="20"/>
          <w:szCs w:val="20"/>
        </w:rPr>
        <w:pict w14:anchorId="1E430212">
          <v:rect id="_x0000_i1026" alt="" style="width:451.3pt;height:.05pt;mso-width-percent:0;mso-height-percent:0;mso-width-percent:0;mso-height-percent:0" o:hralign="center" o:hrstd="t" o:hr="t" fillcolor="#a0a0a0" stroked="f"/>
        </w:pict>
      </w:r>
    </w:p>
    <w:p w14:paraId="439AA475" w14:textId="1EA3FDFE" w:rsidR="0081272D" w:rsidRPr="0081272D" w:rsidRDefault="0081272D" w:rsidP="00DD4BC3">
      <w:pPr>
        <w:spacing w:after="0" w:line="240" w:lineRule="auto"/>
        <w:rPr>
          <w:rFonts w:ascii="Arial" w:hAnsi="Arial" w:cs="Arial"/>
        </w:rPr>
      </w:pPr>
    </w:p>
    <w:p w14:paraId="1453A975" w14:textId="7815D138" w:rsidR="0081272D" w:rsidRDefault="0081272D" w:rsidP="00DD4BC3">
      <w:pPr>
        <w:spacing w:after="0" w:line="240" w:lineRule="auto"/>
        <w:rPr>
          <w:rFonts w:ascii="Arial" w:hAnsi="Arial" w:cs="Arial"/>
        </w:rPr>
      </w:pPr>
      <w:r>
        <w:rPr>
          <w:rFonts w:ascii="Arial" w:hAnsi="Arial" w:cs="Arial"/>
        </w:rPr>
        <w:t>Dat</w:t>
      </w:r>
      <w:r w:rsidR="003851B6">
        <w:rPr>
          <w:rFonts w:ascii="Arial" w:hAnsi="Arial" w:cs="Arial"/>
        </w:rPr>
        <w:t>e</w:t>
      </w:r>
      <w:r w:rsidR="003851B6">
        <w:rPr>
          <w:rFonts w:ascii="Arial" w:hAnsi="Arial" w:cs="Arial"/>
        </w:rPr>
        <w:tab/>
      </w:r>
      <w:r w:rsidR="00093B9A">
        <w:rPr>
          <w:rFonts w:ascii="Arial" w:hAnsi="Arial" w:cs="Arial"/>
        </w:rPr>
        <w:t xml:space="preserve"> </w:t>
      </w:r>
      <w:r w:rsidR="009144D0">
        <w:rPr>
          <w:rFonts w:ascii="Arial" w:hAnsi="Arial" w:cs="Arial"/>
        </w:rPr>
        <w:tab/>
      </w:r>
      <w:r>
        <w:rPr>
          <w:rFonts w:ascii="Arial" w:hAnsi="Arial" w:cs="Arial"/>
        </w:rPr>
        <w:t>London Transport’s</w:t>
      </w:r>
      <w:r>
        <w:rPr>
          <w:rFonts w:ascii="Arial" w:hAnsi="Arial" w:cs="Arial"/>
        </w:rPr>
        <w:tab/>
        <w:t xml:space="preserve"> </w:t>
      </w:r>
      <w:r w:rsidR="00093B9A">
        <w:rPr>
          <w:rFonts w:ascii="Arial" w:hAnsi="Arial" w:cs="Arial"/>
        </w:rPr>
        <w:t xml:space="preserve">  </w:t>
      </w:r>
      <w:r w:rsidR="009144D0">
        <w:rPr>
          <w:rFonts w:ascii="Arial" w:hAnsi="Arial" w:cs="Arial"/>
        </w:rPr>
        <w:tab/>
      </w:r>
      <w:r w:rsidR="00093B9A">
        <w:rPr>
          <w:rFonts w:ascii="Arial" w:hAnsi="Arial" w:cs="Arial"/>
        </w:rPr>
        <w:t>Governments</w:t>
      </w:r>
      <w:r w:rsidR="00794640">
        <w:rPr>
          <w:rFonts w:ascii="Arial" w:hAnsi="Arial" w:cs="Arial"/>
        </w:rPr>
        <w:t xml:space="preserve">       </w:t>
      </w:r>
      <w:r w:rsidR="009144D0">
        <w:rPr>
          <w:rFonts w:ascii="Arial" w:hAnsi="Arial" w:cs="Arial"/>
        </w:rPr>
        <w:tab/>
      </w:r>
      <w:r w:rsidR="00093B9A">
        <w:rPr>
          <w:rFonts w:ascii="Arial" w:hAnsi="Arial" w:cs="Arial"/>
        </w:rPr>
        <w:t>Industrial</w:t>
      </w:r>
      <w:r w:rsidR="009144D0">
        <w:rPr>
          <w:rFonts w:ascii="Arial" w:hAnsi="Arial" w:cs="Arial"/>
        </w:rPr>
        <w:t xml:space="preserve"> Relations</w:t>
      </w:r>
      <w:r>
        <w:rPr>
          <w:rFonts w:ascii="Arial" w:hAnsi="Arial" w:cs="Arial"/>
        </w:rPr>
        <w:t xml:space="preserve"> </w:t>
      </w:r>
      <w:r w:rsidR="00093B9A">
        <w:rPr>
          <w:rFonts w:ascii="Arial" w:hAnsi="Arial" w:cs="Arial"/>
        </w:rPr>
        <w:tab/>
      </w:r>
      <w:r w:rsidR="009144D0">
        <w:rPr>
          <w:rFonts w:ascii="Arial" w:hAnsi="Arial" w:cs="Arial"/>
        </w:rPr>
        <w:tab/>
      </w:r>
      <w:r w:rsidR="00093B9A">
        <w:rPr>
          <w:rFonts w:ascii="Arial" w:hAnsi="Arial" w:cs="Arial"/>
        </w:rPr>
        <w:t>London Transport</w:t>
      </w:r>
      <w:r w:rsidR="00CB5648">
        <w:rPr>
          <w:rFonts w:ascii="Arial" w:hAnsi="Arial" w:cs="Arial"/>
        </w:rPr>
        <w:t xml:space="preserve"> Acts,</w:t>
      </w:r>
    </w:p>
    <w:p w14:paraId="4136BC6F" w14:textId="4300E454" w:rsidR="0081272D" w:rsidRDefault="0081272D" w:rsidP="009144D0">
      <w:pPr>
        <w:spacing w:after="0" w:line="240" w:lineRule="auto"/>
        <w:ind w:left="720" w:firstLine="720"/>
        <w:rPr>
          <w:rFonts w:ascii="Arial" w:hAnsi="Arial" w:cs="Arial"/>
        </w:rPr>
      </w:pPr>
      <w:r>
        <w:rPr>
          <w:rFonts w:ascii="Arial" w:hAnsi="Arial" w:cs="Arial"/>
        </w:rPr>
        <w:t>Organisational For</w:t>
      </w:r>
      <w:r w:rsidR="00093B9A">
        <w:rPr>
          <w:rFonts w:ascii="Arial" w:hAnsi="Arial" w:cs="Arial"/>
        </w:rPr>
        <w:t xml:space="preserve">m           </w:t>
      </w:r>
      <w:r w:rsidR="00093B9A">
        <w:rPr>
          <w:rFonts w:ascii="Arial" w:hAnsi="Arial" w:cs="Arial"/>
        </w:rPr>
        <w:tab/>
      </w:r>
      <w:r w:rsidR="00093B9A">
        <w:rPr>
          <w:rFonts w:ascii="Arial" w:hAnsi="Arial" w:cs="Arial"/>
        </w:rPr>
        <w:tab/>
      </w:r>
      <w:r w:rsidR="00794640">
        <w:rPr>
          <w:rFonts w:ascii="Arial" w:hAnsi="Arial" w:cs="Arial"/>
        </w:rPr>
        <w:t xml:space="preserve">        </w:t>
      </w:r>
      <w:r w:rsidR="009144D0">
        <w:rPr>
          <w:rFonts w:ascii="Arial" w:hAnsi="Arial" w:cs="Arial"/>
        </w:rPr>
        <w:tab/>
      </w:r>
      <w:r w:rsidR="009144D0">
        <w:rPr>
          <w:rFonts w:ascii="Arial" w:hAnsi="Arial" w:cs="Arial"/>
        </w:rPr>
        <w:tab/>
        <w:t>in Transport</w:t>
      </w:r>
      <w:r w:rsidR="009144D0">
        <w:rPr>
          <w:rFonts w:ascii="Arial" w:hAnsi="Arial" w:cs="Arial"/>
        </w:rPr>
        <w:tab/>
      </w:r>
      <w:r w:rsidR="00093B9A">
        <w:rPr>
          <w:rFonts w:ascii="Arial" w:hAnsi="Arial" w:cs="Arial"/>
        </w:rPr>
        <w:tab/>
      </w:r>
      <w:r w:rsidR="00794640">
        <w:rPr>
          <w:rFonts w:ascii="Arial" w:hAnsi="Arial" w:cs="Arial"/>
        </w:rPr>
        <w:tab/>
      </w:r>
      <w:r w:rsidR="00093B9A">
        <w:rPr>
          <w:rFonts w:ascii="Arial" w:hAnsi="Arial" w:cs="Arial"/>
        </w:rPr>
        <w:t>Reports and Bill</w:t>
      </w:r>
      <w:r w:rsidR="00CB5648">
        <w:rPr>
          <w:rFonts w:ascii="Arial" w:hAnsi="Arial" w:cs="Arial"/>
        </w:rPr>
        <w:t>s</w:t>
      </w:r>
    </w:p>
    <w:p w14:paraId="1CBD5F6A" w14:textId="3E227E95" w:rsidR="00093B9A" w:rsidRPr="0081272D" w:rsidRDefault="00105FC9" w:rsidP="00DD4BC3">
      <w:pPr>
        <w:spacing w:after="0" w:line="240" w:lineRule="auto"/>
        <w:rPr>
          <w:rFonts w:ascii="Arial" w:hAnsi="Arial" w:cs="Arial"/>
        </w:rPr>
      </w:pPr>
      <w:r>
        <w:rPr>
          <w:rFonts w:ascii="Arial" w:hAnsi="Arial" w:cs="Arial"/>
          <w:noProof/>
          <w:sz w:val="20"/>
          <w:szCs w:val="20"/>
        </w:rPr>
        <w:pict w14:anchorId="5A2BE945">
          <v:rect id="_x0000_i1027" alt="" style="width:451.3pt;height:.05pt;mso-width-percent:0;mso-height-percent:0;mso-width-percent:0;mso-height-percent:0" o:hralign="center" o:hrstd="t" o:hr="t" fillcolor="#a0a0a0" stroked="f"/>
        </w:pict>
      </w:r>
    </w:p>
    <w:p w14:paraId="37809336" w14:textId="0BF209DB"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1913</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t xml:space="preserve">      </w:t>
      </w:r>
      <w:r w:rsidR="009144D0">
        <w:rPr>
          <w:rFonts w:ascii="Arial" w:hAnsi="Arial" w:cs="Arial"/>
          <w:sz w:val="20"/>
          <w:szCs w:val="20"/>
        </w:rPr>
        <w:tab/>
      </w:r>
      <w:r w:rsidR="009144D0">
        <w:rPr>
          <w:rFonts w:ascii="Arial" w:hAnsi="Arial" w:cs="Arial"/>
          <w:sz w:val="20"/>
          <w:szCs w:val="20"/>
        </w:rPr>
        <w:tab/>
      </w:r>
      <w:r w:rsidRPr="00794640">
        <w:rPr>
          <w:rFonts w:ascii="Arial" w:hAnsi="Arial" w:cs="Arial"/>
          <w:sz w:val="20"/>
          <w:szCs w:val="20"/>
        </w:rPr>
        <w:t xml:space="preserve"> Liberal </w:t>
      </w:r>
    </w:p>
    <w:p w14:paraId="02287CE6" w14:textId="5CB522A6"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1914</w:t>
      </w:r>
    </w:p>
    <w:p w14:paraId="2BFF1EEF" w14:textId="3683BD84"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1915</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Pr="00794640">
        <w:rPr>
          <w:rFonts w:ascii="Arial" w:hAnsi="Arial" w:cs="Arial"/>
          <w:sz w:val="20"/>
          <w:szCs w:val="20"/>
        </w:rPr>
        <w:t>Lib/Con Coalition</w:t>
      </w:r>
    </w:p>
    <w:p w14:paraId="5891E031" w14:textId="6659AAD2"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1916</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p>
    <w:p w14:paraId="78BB4631" w14:textId="762FF255"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1917</w:t>
      </w:r>
    </w:p>
    <w:p w14:paraId="28708E35" w14:textId="5EEFF5EB"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1918</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00093B9A"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Pr="00794640">
        <w:rPr>
          <w:rFonts w:ascii="Arial" w:hAnsi="Arial" w:cs="Arial"/>
          <w:sz w:val="20"/>
          <w:szCs w:val="20"/>
        </w:rPr>
        <w:t>Con/Lib Coalition</w:t>
      </w:r>
    </w:p>
    <w:p w14:paraId="4212A211" w14:textId="1FF5AB32"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1919</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Strike</w:t>
      </w:r>
      <w:r w:rsidR="003851B6" w:rsidRPr="00794640">
        <w:rPr>
          <w:rFonts w:ascii="Arial" w:hAnsi="Arial" w:cs="Arial"/>
          <w:sz w:val="20"/>
          <w:szCs w:val="20"/>
        </w:rPr>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Kennedy-Jones</w:t>
      </w:r>
      <w:r w:rsidR="003851B6" w:rsidRPr="00794640">
        <w:rPr>
          <w:rFonts w:ascii="Arial" w:hAnsi="Arial" w:cs="Arial"/>
          <w:sz w:val="20"/>
          <w:szCs w:val="20"/>
        </w:rPr>
        <w:t xml:space="preserve"> Report Rejected</w:t>
      </w:r>
    </w:p>
    <w:p w14:paraId="742F4C0C" w14:textId="5128A3AC"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1920</w:t>
      </w:r>
    </w:p>
    <w:p w14:paraId="1F1BDF45" w14:textId="0E00F8B9"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1921</w:t>
      </w:r>
      <w:r w:rsidRPr="00794640">
        <w:rPr>
          <w:rFonts w:ascii="Arial" w:hAnsi="Arial" w:cs="Arial"/>
          <w:sz w:val="20"/>
          <w:szCs w:val="20"/>
        </w:rPr>
        <w:tab/>
      </w:r>
      <w:r w:rsidR="009144D0">
        <w:rPr>
          <w:rFonts w:ascii="Arial" w:hAnsi="Arial" w:cs="Arial"/>
          <w:sz w:val="20"/>
          <w:szCs w:val="20"/>
        </w:rPr>
        <w:tab/>
      </w:r>
      <w:r w:rsidR="00794640">
        <w:rPr>
          <w:rFonts w:ascii="Arial" w:hAnsi="Arial" w:cs="Arial"/>
          <w:sz w:val="20"/>
          <w:szCs w:val="20"/>
        </w:rPr>
        <w:t xml:space="preserve"> </w:t>
      </w:r>
      <w:r w:rsidRPr="00794640">
        <w:rPr>
          <w:rFonts w:ascii="Arial" w:hAnsi="Arial" w:cs="Arial"/>
          <w:sz w:val="20"/>
          <w:szCs w:val="20"/>
        </w:rPr>
        <w:t>Multiple Private</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3851B6" w:rsidRPr="00794640">
        <w:rPr>
          <w:rFonts w:ascii="Arial" w:hAnsi="Arial" w:cs="Arial"/>
          <w:sz w:val="20"/>
          <w:szCs w:val="20"/>
        </w:rPr>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794640">
        <w:rPr>
          <w:rFonts w:ascii="Arial" w:hAnsi="Arial" w:cs="Arial"/>
          <w:sz w:val="20"/>
          <w:szCs w:val="20"/>
        </w:rPr>
        <w:t xml:space="preserve">   </w:t>
      </w:r>
      <w:r w:rsidR="009144D0">
        <w:rPr>
          <w:rFonts w:ascii="Arial" w:hAnsi="Arial" w:cs="Arial"/>
          <w:sz w:val="20"/>
          <w:szCs w:val="20"/>
        </w:rPr>
        <w:tab/>
      </w:r>
      <w:r w:rsidR="00093B9A" w:rsidRPr="00794640">
        <w:rPr>
          <w:rFonts w:ascii="Arial" w:hAnsi="Arial" w:cs="Arial"/>
          <w:sz w:val="20"/>
          <w:szCs w:val="20"/>
        </w:rPr>
        <w:t>Ullswater</w:t>
      </w:r>
      <w:r w:rsidR="003851B6" w:rsidRPr="00794640">
        <w:rPr>
          <w:rFonts w:ascii="Arial" w:hAnsi="Arial" w:cs="Arial"/>
          <w:sz w:val="20"/>
          <w:szCs w:val="20"/>
        </w:rPr>
        <w:t xml:space="preserve"> Report Rejected</w:t>
      </w:r>
    </w:p>
    <w:p w14:paraId="4D37EF98" w14:textId="7617959C"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1922</w:t>
      </w:r>
      <w:r w:rsidR="003851B6" w:rsidRPr="00794640">
        <w:rPr>
          <w:rFonts w:ascii="Arial" w:hAnsi="Arial" w:cs="Arial"/>
          <w:sz w:val="20"/>
          <w:szCs w:val="20"/>
        </w:rPr>
        <w:t xml:space="preserve">    </w:t>
      </w:r>
      <w:r w:rsidR="00794640">
        <w:rPr>
          <w:rFonts w:ascii="Arial" w:hAnsi="Arial" w:cs="Arial"/>
          <w:sz w:val="20"/>
          <w:szCs w:val="20"/>
        </w:rPr>
        <w:t xml:space="preserve">  </w:t>
      </w:r>
      <w:r w:rsidR="009144D0">
        <w:rPr>
          <w:rFonts w:ascii="Arial" w:hAnsi="Arial" w:cs="Arial"/>
          <w:sz w:val="20"/>
          <w:szCs w:val="20"/>
        </w:rPr>
        <w:t xml:space="preserve">      </w:t>
      </w:r>
      <w:r w:rsidRPr="00794640">
        <w:rPr>
          <w:rFonts w:ascii="Arial" w:hAnsi="Arial" w:cs="Arial"/>
          <w:sz w:val="20"/>
          <w:szCs w:val="20"/>
        </w:rPr>
        <w:t>and Municipal</w:t>
      </w:r>
      <w:r w:rsidR="009144D0">
        <w:rPr>
          <w:rFonts w:ascii="Arial" w:hAnsi="Arial" w:cs="Arial"/>
          <w:sz w:val="20"/>
          <w:szCs w:val="20"/>
        </w:rPr>
        <w:t xml:space="preserve"> Providers</w:t>
      </w:r>
      <w:r w:rsidRPr="00794640">
        <w:rPr>
          <w:rFonts w:ascii="Arial" w:hAnsi="Arial" w:cs="Arial"/>
          <w:sz w:val="20"/>
          <w:szCs w:val="20"/>
        </w:rPr>
        <w:tab/>
        <w:t xml:space="preserve">     </w:t>
      </w:r>
      <w:r w:rsidR="00093B9A" w:rsidRPr="00794640">
        <w:rPr>
          <w:rFonts w:ascii="Arial" w:hAnsi="Arial" w:cs="Arial"/>
          <w:sz w:val="20"/>
          <w:szCs w:val="20"/>
        </w:rPr>
        <w:t xml:space="preserve">     </w:t>
      </w:r>
      <w:r w:rsidR="003851B6" w:rsidRPr="00794640">
        <w:rPr>
          <w:rFonts w:ascii="Arial" w:hAnsi="Arial" w:cs="Arial"/>
          <w:sz w:val="20"/>
          <w:szCs w:val="20"/>
        </w:rPr>
        <w:t xml:space="preserve">  </w:t>
      </w:r>
      <w:r w:rsidR="00093B9A" w:rsidRPr="00794640">
        <w:rPr>
          <w:rFonts w:ascii="Arial" w:hAnsi="Arial" w:cs="Arial"/>
          <w:sz w:val="20"/>
          <w:szCs w:val="20"/>
        </w:rPr>
        <w:t xml:space="preserve"> </w:t>
      </w:r>
      <w:r w:rsidRPr="00794640">
        <w:rPr>
          <w:rFonts w:ascii="Arial" w:hAnsi="Arial" w:cs="Arial"/>
          <w:sz w:val="20"/>
          <w:szCs w:val="20"/>
        </w:rPr>
        <w:t>Conservative</w:t>
      </w:r>
    </w:p>
    <w:p w14:paraId="401C1A2F" w14:textId="060B2AFF"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1923</w:t>
      </w:r>
      <w:r w:rsidR="003851B6" w:rsidRPr="00794640">
        <w:rPr>
          <w:rFonts w:ascii="Arial" w:hAnsi="Arial" w:cs="Arial"/>
          <w:sz w:val="20"/>
          <w:szCs w:val="20"/>
        </w:rPr>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Pr="00794640">
        <w:rPr>
          <w:rFonts w:ascii="Arial" w:hAnsi="Arial" w:cs="Arial"/>
          <w:sz w:val="20"/>
          <w:szCs w:val="20"/>
        </w:rPr>
        <w:tab/>
        <w:t xml:space="preserve">         </w:t>
      </w:r>
      <w:r w:rsidR="00093B9A" w:rsidRPr="00794640">
        <w:rPr>
          <w:rFonts w:ascii="Arial" w:hAnsi="Arial" w:cs="Arial"/>
          <w:sz w:val="20"/>
          <w:szCs w:val="20"/>
        </w:rPr>
        <w:t xml:space="preserve">      </w:t>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Pr="00794640">
        <w:rPr>
          <w:rFonts w:ascii="Arial" w:hAnsi="Arial" w:cs="Arial"/>
          <w:sz w:val="20"/>
          <w:szCs w:val="20"/>
        </w:rPr>
        <w:t xml:space="preserve">Labour </w:t>
      </w:r>
      <w:r w:rsidR="00093B9A" w:rsidRPr="00794640">
        <w:rPr>
          <w:rFonts w:ascii="Arial" w:hAnsi="Arial" w:cs="Arial"/>
          <w:sz w:val="20"/>
          <w:szCs w:val="20"/>
        </w:rPr>
        <w:tab/>
      </w:r>
      <w:r w:rsidR="00093B9A" w:rsidRPr="0079464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Strike</w:t>
      </w:r>
      <w:r w:rsidR="00093B9A" w:rsidRPr="00794640">
        <w:rPr>
          <w:rFonts w:ascii="Arial" w:hAnsi="Arial" w:cs="Arial"/>
          <w:sz w:val="20"/>
          <w:szCs w:val="20"/>
        </w:rPr>
        <w:tab/>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p>
    <w:p w14:paraId="03E27E5E" w14:textId="1D211C43"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1924</w:t>
      </w:r>
      <w:r w:rsidRPr="00794640">
        <w:rPr>
          <w:rFonts w:ascii="Arial" w:hAnsi="Arial" w:cs="Arial"/>
          <w:sz w:val="20"/>
          <w:szCs w:val="20"/>
        </w:rPr>
        <w:tab/>
      </w:r>
      <w:r w:rsidR="009144D0">
        <w:rPr>
          <w:rFonts w:ascii="Arial" w:hAnsi="Arial" w:cs="Arial"/>
          <w:sz w:val="20"/>
          <w:szCs w:val="20"/>
        </w:rPr>
        <w:tab/>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Pr="00794640">
        <w:rPr>
          <w:rFonts w:ascii="Arial" w:hAnsi="Arial" w:cs="Arial"/>
          <w:sz w:val="20"/>
          <w:szCs w:val="20"/>
        </w:rPr>
        <w:t>Conservative</w:t>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9144D0" w:rsidRPr="00794640">
        <w:rPr>
          <w:rFonts w:ascii="Arial" w:hAnsi="Arial" w:cs="Arial"/>
          <w:sz w:val="20"/>
          <w:szCs w:val="20"/>
        </w:rPr>
        <w:t>London Traffic Act Passed</w:t>
      </w:r>
    </w:p>
    <w:p w14:paraId="0AFB48CA" w14:textId="6F1E189E"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1925</w:t>
      </w:r>
    </w:p>
    <w:p w14:paraId="70A34D3F" w14:textId="5395A7AE"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1926</w:t>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Strike</w:t>
      </w:r>
    </w:p>
    <w:p w14:paraId="456C7F45" w14:textId="044B2EC9"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1927</w:t>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794640">
        <w:rPr>
          <w:rFonts w:ascii="Arial" w:hAnsi="Arial" w:cs="Arial"/>
          <w:sz w:val="20"/>
          <w:szCs w:val="20"/>
        </w:rPr>
        <w:t xml:space="preserve">    </w:t>
      </w:r>
      <w:r w:rsidR="003851B6" w:rsidRPr="00794640">
        <w:rPr>
          <w:rFonts w:ascii="Arial" w:hAnsi="Arial" w:cs="Arial"/>
          <w:sz w:val="20"/>
          <w:szCs w:val="20"/>
        </w:rPr>
        <w:t xml:space="preserve"> </w:t>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9144D0">
        <w:rPr>
          <w:rFonts w:ascii="Arial" w:hAnsi="Arial" w:cs="Arial"/>
          <w:sz w:val="20"/>
          <w:szCs w:val="20"/>
        </w:rPr>
        <w:tab/>
      </w:r>
      <w:r w:rsidR="00093B9A" w:rsidRPr="00794640">
        <w:rPr>
          <w:rFonts w:ascii="Arial" w:hAnsi="Arial" w:cs="Arial"/>
          <w:sz w:val="20"/>
          <w:szCs w:val="20"/>
        </w:rPr>
        <w:t>London</w:t>
      </w:r>
      <w:r w:rsidR="003851B6" w:rsidRPr="00794640">
        <w:rPr>
          <w:rFonts w:ascii="Arial" w:hAnsi="Arial" w:cs="Arial"/>
          <w:sz w:val="20"/>
          <w:szCs w:val="20"/>
        </w:rPr>
        <w:t xml:space="preserve"> Passenger Bill Proposed</w:t>
      </w:r>
      <w:r w:rsidR="00093B9A" w:rsidRPr="00794640">
        <w:rPr>
          <w:rFonts w:ascii="Arial" w:hAnsi="Arial" w:cs="Arial"/>
          <w:sz w:val="20"/>
          <w:szCs w:val="20"/>
        </w:rPr>
        <w:t xml:space="preserve"> </w:t>
      </w:r>
    </w:p>
    <w:p w14:paraId="3CBF0665" w14:textId="4F8B65A2"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1928</w:t>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093B9A"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p>
    <w:p w14:paraId="35CA8CC3" w14:textId="5E31FB05"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1929</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t xml:space="preserve">         </w:t>
      </w:r>
      <w:r w:rsidR="00CB5648">
        <w:rPr>
          <w:rFonts w:ascii="Arial" w:hAnsi="Arial" w:cs="Arial"/>
          <w:sz w:val="20"/>
          <w:szCs w:val="20"/>
        </w:rPr>
        <w:tab/>
      </w:r>
      <w:r w:rsidR="00CB5648">
        <w:rPr>
          <w:rFonts w:ascii="Arial" w:hAnsi="Arial" w:cs="Arial"/>
          <w:sz w:val="20"/>
          <w:szCs w:val="20"/>
        </w:rPr>
        <w:tab/>
      </w:r>
      <w:r w:rsidRPr="00794640">
        <w:rPr>
          <w:rFonts w:ascii="Arial" w:hAnsi="Arial" w:cs="Arial"/>
          <w:sz w:val="20"/>
          <w:szCs w:val="20"/>
        </w:rPr>
        <w:t>Labour</w:t>
      </w:r>
      <w:r w:rsidR="003851B6" w:rsidRPr="00794640">
        <w:rPr>
          <w:rFonts w:ascii="Arial" w:hAnsi="Arial" w:cs="Arial"/>
          <w:sz w:val="20"/>
          <w:szCs w:val="20"/>
        </w:rPr>
        <w:tab/>
      </w:r>
      <w:r w:rsidR="003851B6" w:rsidRPr="00794640">
        <w:rPr>
          <w:rFonts w:ascii="Arial" w:hAnsi="Arial" w:cs="Arial"/>
          <w:sz w:val="20"/>
          <w:szCs w:val="20"/>
        </w:rPr>
        <w:tab/>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3851B6" w:rsidRPr="00794640">
        <w:rPr>
          <w:rFonts w:ascii="Arial" w:hAnsi="Arial" w:cs="Arial"/>
          <w:sz w:val="20"/>
          <w:szCs w:val="20"/>
        </w:rPr>
        <w:t>London Passenger Bill Rejected</w:t>
      </w:r>
    </w:p>
    <w:p w14:paraId="45C1C351" w14:textId="2FE172CF"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1930</w:t>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794640">
        <w:rPr>
          <w:rFonts w:ascii="Arial" w:hAnsi="Arial" w:cs="Arial"/>
          <w:sz w:val="20"/>
          <w:szCs w:val="20"/>
        </w:rPr>
        <w:t xml:space="preserve">   </w:t>
      </w:r>
      <w:r w:rsidR="003851B6" w:rsidRPr="00794640">
        <w:rPr>
          <w:rFonts w:ascii="Arial" w:hAnsi="Arial" w:cs="Arial"/>
          <w:sz w:val="20"/>
          <w:szCs w:val="20"/>
        </w:rPr>
        <w:t xml:space="preserve">   </w:t>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3851B6" w:rsidRPr="00794640">
        <w:rPr>
          <w:rFonts w:ascii="Arial" w:hAnsi="Arial" w:cs="Arial"/>
          <w:sz w:val="20"/>
          <w:szCs w:val="20"/>
        </w:rPr>
        <w:t>London Passenger Bill Revised</w:t>
      </w:r>
    </w:p>
    <w:p w14:paraId="0809CA22" w14:textId="5ACF2F57"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1931</w:t>
      </w:r>
      <w:r w:rsidRPr="00794640">
        <w:rPr>
          <w:rFonts w:ascii="Arial" w:hAnsi="Arial" w:cs="Arial"/>
          <w:sz w:val="20"/>
          <w:szCs w:val="20"/>
        </w:rPr>
        <w:tab/>
      </w:r>
      <w:r w:rsidRPr="00794640">
        <w:rPr>
          <w:rFonts w:ascii="Arial" w:hAnsi="Arial" w:cs="Arial"/>
          <w:sz w:val="20"/>
          <w:szCs w:val="20"/>
        </w:rPr>
        <w:tab/>
      </w:r>
      <w:r w:rsidRPr="00794640">
        <w:rPr>
          <w:rFonts w:ascii="Arial" w:hAnsi="Arial" w:cs="Arial"/>
          <w:sz w:val="20"/>
          <w:szCs w:val="20"/>
        </w:rPr>
        <w:tab/>
      </w:r>
      <w:r w:rsidR="003851B6" w:rsidRPr="00794640">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Pr="00794640">
        <w:rPr>
          <w:rFonts w:ascii="Arial" w:hAnsi="Arial" w:cs="Arial"/>
          <w:sz w:val="20"/>
          <w:szCs w:val="20"/>
        </w:rPr>
        <w:t>Conservative Coalition</w:t>
      </w:r>
      <w:r w:rsidR="003851B6" w:rsidRPr="00794640">
        <w:rPr>
          <w:rFonts w:ascii="Arial" w:hAnsi="Arial" w:cs="Arial"/>
          <w:sz w:val="20"/>
          <w:szCs w:val="20"/>
        </w:rPr>
        <w:tab/>
      </w:r>
    </w:p>
    <w:p w14:paraId="222EF7F7" w14:textId="7550661D"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1932</w:t>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r>
      <w:r w:rsidR="003851B6" w:rsidRPr="00794640">
        <w:rPr>
          <w:rFonts w:ascii="Arial" w:hAnsi="Arial" w:cs="Arial"/>
          <w:sz w:val="20"/>
          <w:szCs w:val="20"/>
        </w:rPr>
        <w:tab/>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3851B6" w:rsidRPr="00794640">
        <w:rPr>
          <w:rFonts w:ascii="Arial" w:hAnsi="Arial" w:cs="Arial"/>
          <w:sz w:val="20"/>
          <w:szCs w:val="20"/>
        </w:rPr>
        <w:t>London Passenger Bill</w:t>
      </w:r>
      <w:r w:rsidR="00CB5648">
        <w:rPr>
          <w:rFonts w:ascii="Arial" w:hAnsi="Arial" w:cs="Arial"/>
          <w:sz w:val="20"/>
          <w:szCs w:val="20"/>
        </w:rPr>
        <w:t xml:space="preserve"> - Minor Revisions</w:t>
      </w:r>
    </w:p>
    <w:p w14:paraId="3D68AFE0" w14:textId="1D14D375" w:rsidR="0081272D" w:rsidRPr="00794640" w:rsidRDefault="0081272D" w:rsidP="009D0C4C">
      <w:pPr>
        <w:pBdr>
          <w:top w:val="single" w:sz="4" w:space="1" w:color="auto"/>
          <w:bottom w:val="single" w:sz="4" w:space="1" w:color="auto"/>
        </w:pBdr>
        <w:spacing w:after="0" w:line="240" w:lineRule="auto"/>
        <w:rPr>
          <w:rFonts w:ascii="Arial" w:hAnsi="Arial" w:cs="Arial"/>
          <w:sz w:val="20"/>
          <w:szCs w:val="20"/>
        </w:rPr>
      </w:pPr>
      <w:r w:rsidRPr="00794640">
        <w:rPr>
          <w:rFonts w:ascii="Arial" w:hAnsi="Arial" w:cs="Arial"/>
          <w:sz w:val="20"/>
          <w:szCs w:val="20"/>
        </w:rPr>
        <w:t>1933</w:t>
      </w:r>
      <w:r w:rsidR="003851B6" w:rsidRPr="00794640">
        <w:rPr>
          <w:rFonts w:ascii="Arial" w:hAnsi="Arial" w:cs="Arial"/>
          <w:sz w:val="20"/>
          <w:szCs w:val="20"/>
        </w:rPr>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CB5648">
        <w:rPr>
          <w:rFonts w:ascii="Arial" w:hAnsi="Arial" w:cs="Arial"/>
          <w:sz w:val="20"/>
          <w:szCs w:val="20"/>
        </w:rPr>
        <w:tab/>
      </w:r>
      <w:r w:rsidRPr="00794640">
        <w:rPr>
          <w:rFonts w:ascii="Arial" w:hAnsi="Arial" w:cs="Arial"/>
          <w:sz w:val="20"/>
          <w:szCs w:val="20"/>
        </w:rPr>
        <w:t>Transition</w:t>
      </w:r>
      <w:r w:rsidR="00CB5648">
        <w:rPr>
          <w:rFonts w:ascii="Arial" w:hAnsi="Arial" w:cs="Arial"/>
          <w:sz w:val="20"/>
          <w:szCs w:val="20"/>
        </w:rPr>
        <w:t xml:space="preserve"> Year</w:t>
      </w:r>
      <w:r w:rsidR="003851B6" w:rsidRPr="00794640">
        <w:rPr>
          <w:rFonts w:ascii="Arial" w:hAnsi="Arial" w:cs="Arial"/>
          <w:sz w:val="20"/>
          <w:szCs w:val="20"/>
        </w:rPr>
        <w:tab/>
      </w:r>
      <w:r w:rsidR="003851B6" w:rsidRPr="00794640">
        <w:rPr>
          <w:rFonts w:ascii="Arial" w:hAnsi="Arial" w:cs="Arial"/>
          <w:sz w:val="20"/>
          <w:szCs w:val="20"/>
        </w:rPr>
        <w:tab/>
        <w:t xml:space="preserve">                  </w:t>
      </w:r>
      <w:r w:rsidR="00794640">
        <w:rPr>
          <w:rFonts w:ascii="Arial" w:hAnsi="Arial" w:cs="Arial"/>
          <w:sz w:val="20"/>
          <w:szCs w:val="20"/>
        </w:rPr>
        <w:t xml:space="preserve">       </w:t>
      </w:r>
      <w:r w:rsidR="003851B6" w:rsidRPr="00794640">
        <w:rPr>
          <w:rFonts w:ascii="Arial" w:hAnsi="Arial" w:cs="Arial"/>
          <w:sz w:val="20"/>
          <w:szCs w:val="20"/>
        </w:rPr>
        <w:t xml:space="preserve"> </w:t>
      </w:r>
      <w:r w:rsidR="00794640">
        <w:rPr>
          <w:rFonts w:ascii="Arial" w:hAnsi="Arial" w:cs="Arial"/>
          <w:sz w:val="20"/>
          <w:szCs w:val="20"/>
        </w:rPr>
        <w:t xml:space="preserve">  </w:t>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CB5648">
        <w:rPr>
          <w:rFonts w:ascii="Arial" w:hAnsi="Arial" w:cs="Arial"/>
          <w:sz w:val="20"/>
          <w:szCs w:val="20"/>
        </w:rPr>
        <w:tab/>
      </w:r>
      <w:r w:rsidR="003851B6" w:rsidRPr="00794640">
        <w:rPr>
          <w:rFonts w:ascii="Arial" w:hAnsi="Arial" w:cs="Arial"/>
          <w:sz w:val="20"/>
          <w:szCs w:val="20"/>
        </w:rPr>
        <w:t>London Passenger Transport Act Passed</w:t>
      </w:r>
    </w:p>
    <w:p w14:paraId="1DAAA050" w14:textId="0F895EBE" w:rsidR="0081272D" w:rsidRPr="00794640" w:rsidRDefault="0081272D" w:rsidP="00DD4BC3">
      <w:pPr>
        <w:spacing w:after="0" w:line="240" w:lineRule="auto"/>
        <w:rPr>
          <w:rFonts w:ascii="Arial" w:hAnsi="Arial" w:cs="Arial"/>
          <w:sz w:val="20"/>
          <w:szCs w:val="20"/>
        </w:rPr>
      </w:pPr>
      <w:r w:rsidRPr="00794640">
        <w:rPr>
          <w:rFonts w:ascii="Arial" w:hAnsi="Arial" w:cs="Arial"/>
          <w:sz w:val="20"/>
          <w:szCs w:val="20"/>
        </w:rPr>
        <w:t>1934</w:t>
      </w:r>
      <w:r w:rsidR="00CB5648">
        <w:rPr>
          <w:rFonts w:ascii="Arial" w:hAnsi="Arial" w:cs="Arial"/>
          <w:sz w:val="20"/>
          <w:szCs w:val="20"/>
        </w:rPr>
        <w:tab/>
      </w:r>
      <w:r w:rsidR="00CB5648">
        <w:rPr>
          <w:rFonts w:ascii="Arial" w:hAnsi="Arial" w:cs="Arial"/>
          <w:sz w:val="20"/>
          <w:szCs w:val="20"/>
        </w:rPr>
        <w:tab/>
      </w:r>
      <w:r w:rsidRPr="00794640">
        <w:rPr>
          <w:rFonts w:ascii="Arial" w:hAnsi="Arial" w:cs="Arial"/>
          <w:sz w:val="20"/>
          <w:szCs w:val="20"/>
        </w:rPr>
        <w:t>Single Hybrid</w:t>
      </w:r>
      <w:r w:rsidR="003851B6" w:rsidRPr="00794640">
        <w:rPr>
          <w:rFonts w:ascii="Arial" w:hAnsi="Arial" w:cs="Arial"/>
          <w:sz w:val="20"/>
          <w:szCs w:val="20"/>
        </w:rPr>
        <w:t xml:space="preserve"> Provider</w:t>
      </w:r>
    </w:p>
    <w:p w14:paraId="4F1634F2" w14:textId="303F1011" w:rsidR="0081272D" w:rsidRPr="0081272D" w:rsidRDefault="0081272D" w:rsidP="00DD4BC3">
      <w:pPr>
        <w:spacing w:after="0" w:line="240" w:lineRule="auto"/>
        <w:rPr>
          <w:rFonts w:ascii="Arial" w:hAnsi="Arial" w:cs="Arial"/>
        </w:rPr>
      </w:pPr>
      <w:r>
        <w:rPr>
          <w:rFonts w:ascii="Arial" w:hAnsi="Arial" w:cs="Arial"/>
        </w:rPr>
        <w:tab/>
      </w:r>
      <w:r w:rsidR="003851B6">
        <w:rPr>
          <w:rFonts w:ascii="Arial" w:hAnsi="Arial" w:cs="Arial"/>
        </w:rPr>
        <w:t xml:space="preserve">    </w:t>
      </w:r>
    </w:p>
    <w:p w14:paraId="3C8CC012" w14:textId="375573FC" w:rsidR="0081272D" w:rsidRPr="0081272D" w:rsidRDefault="00105FC9" w:rsidP="00DD4BC3">
      <w:pPr>
        <w:spacing w:after="0" w:line="240" w:lineRule="auto"/>
        <w:rPr>
          <w:rFonts w:ascii="Arial" w:hAnsi="Arial" w:cs="Arial"/>
        </w:rPr>
      </w:pPr>
      <w:r>
        <w:rPr>
          <w:rFonts w:ascii="Arial" w:hAnsi="Arial" w:cs="Arial"/>
          <w:noProof/>
          <w:sz w:val="20"/>
          <w:szCs w:val="20"/>
        </w:rPr>
        <w:pict w14:anchorId="09829A64">
          <v:rect id="_x0000_i1028" alt="" style="width:451.3pt;height:.05pt;mso-width-percent:0;mso-height-percent:0;mso-width-percent:0;mso-height-percent:0" o:hralign="center" o:hrstd="t" o:hr="t" fillcolor="#a0a0a0" stroked="f"/>
        </w:pict>
      </w:r>
    </w:p>
    <w:p w14:paraId="7DA7407B" w14:textId="69F97AA6" w:rsidR="0041066A" w:rsidRDefault="003851B6" w:rsidP="00DD4BC3">
      <w:pPr>
        <w:spacing w:after="0" w:line="240" w:lineRule="auto"/>
        <w:rPr>
          <w:rFonts w:ascii="Arial" w:hAnsi="Arial" w:cs="Arial"/>
          <w:b/>
          <w:bCs/>
        </w:rPr>
      </w:pPr>
      <w:r>
        <w:rPr>
          <w:rFonts w:ascii="Arial" w:hAnsi="Arial" w:cs="Arial"/>
          <w:b/>
          <w:bCs/>
        </w:rPr>
        <w:t xml:space="preserve"> </w:t>
      </w:r>
    </w:p>
    <w:p w14:paraId="01039D49" w14:textId="75DDC7E1" w:rsidR="0041066A" w:rsidRDefault="0041066A" w:rsidP="00DD4BC3">
      <w:pPr>
        <w:spacing w:after="0" w:line="240" w:lineRule="auto"/>
        <w:rPr>
          <w:rFonts w:ascii="Arial" w:hAnsi="Arial" w:cs="Arial"/>
          <w:b/>
          <w:bCs/>
        </w:rPr>
      </w:pPr>
    </w:p>
    <w:p w14:paraId="5849FFB8" w14:textId="77777777" w:rsidR="009144D0" w:rsidRPr="0041066A" w:rsidRDefault="009144D0" w:rsidP="00DD4BC3">
      <w:pPr>
        <w:spacing w:after="0" w:line="240" w:lineRule="auto"/>
        <w:rPr>
          <w:rFonts w:ascii="Arial" w:hAnsi="Arial" w:cs="Arial"/>
          <w:b/>
          <w:bCs/>
        </w:rPr>
      </w:pPr>
    </w:p>
    <w:p w14:paraId="2D17FFCD" w14:textId="77777777" w:rsidR="009144D0" w:rsidRDefault="009144D0" w:rsidP="00DD4BC3">
      <w:pPr>
        <w:spacing w:after="0" w:line="240" w:lineRule="auto"/>
        <w:rPr>
          <w:rFonts w:ascii="Arial" w:hAnsi="Arial" w:cs="Arial"/>
          <w:b/>
          <w:bCs/>
        </w:rPr>
        <w:sectPr w:rsidR="009144D0" w:rsidSect="009144D0">
          <w:pgSz w:w="16838" w:h="11906" w:orient="landscape"/>
          <w:pgMar w:top="1440" w:right="1440" w:bottom="1440" w:left="1440" w:header="708" w:footer="708" w:gutter="0"/>
          <w:cols w:space="708"/>
          <w:docGrid w:linePitch="360"/>
        </w:sectPr>
      </w:pPr>
    </w:p>
    <w:p w14:paraId="28B6350C" w14:textId="711DE5B2" w:rsidR="002D7D93" w:rsidRDefault="002D7D93" w:rsidP="00DD4BC3">
      <w:pPr>
        <w:spacing w:after="0" w:line="240" w:lineRule="auto"/>
        <w:rPr>
          <w:rFonts w:ascii="Arial" w:hAnsi="Arial" w:cs="Arial"/>
        </w:rPr>
      </w:pPr>
    </w:p>
    <w:p w14:paraId="2301E3CA" w14:textId="1A8C7542" w:rsidR="002D7D93" w:rsidRDefault="002D7D93" w:rsidP="00DD4BC3">
      <w:pPr>
        <w:spacing w:after="0" w:line="240" w:lineRule="auto"/>
        <w:rPr>
          <w:rFonts w:ascii="Arial" w:hAnsi="Arial" w:cs="Arial"/>
        </w:rPr>
      </w:pPr>
    </w:p>
    <w:p w14:paraId="197B1349" w14:textId="219F94BD" w:rsidR="002D7D93" w:rsidRDefault="002D7D93" w:rsidP="00DD4BC3">
      <w:pPr>
        <w:spacing w:after="0" w:line="240" w:lineRule="auto"/>
        <w:rPr>
          <w:rFonts w:ascii="Arial" w:hAnsi="Arial" w:cs="Arial"/>
        </w:rPr>
      </w:pPr>
    </w:p>
    <w:p w14:paraId="0219D980" w14:textId="34B9B7E0" w:rsidR="002D7D93" w:rsidRDefault="002D7D93" w:rsidP="00DD4BC3">
      <w:pPr>
        <w:spacing w:after="0" w:line="240" w:lineRule="auto"/>
        <w:rPr>
          <w:rFonts w:ascii="Arial" w:hAnsi="Arial" w:cs="Arial"/>
        </w:rPr>
      </w:pPr>
    </w:p>
    <w:p w14:paraId="53CFE4F1" w14:textId="698ED6DA" w:rsidR="002D7D93" w:rsidRDefault="002D7D93" w:rsidP="00DD4BC3">
      <w:pPr>
        <w:spacing w:after="0" w:line="240" w:lineRule="auto"/>
        <w:rPr>
          <w:rFonts w:ascii="Arial" w:hAnsi="Arial" w:cs="Arial"/>
        </w:rPr>
      </w:pPr>
    </w:p>
    <w:p w14:paraId="27D55937" w14:textId="3ECC5BA9" w:rsidR="002D7D93" w:rsidRDefault="002D7D93" w:rsidP="00DD4BC3">
      <w:pPr>
        <w:spacing w:after="0" w:line="240" w:lineRule="auto"/>
        <w:rPr>
          <w:rFonts w:ascii="Arial" w:hAnsi="Arial" w:cs="Arial"/>
        </w:rPr>
      </w:pPr>
    </w:p>
    <w:p w14:paraId="40E54394" w14:textId="365E4ECC" w:rsidR="002D7D93" w:rsidRDefault="002D7D93" w:rsidP="00DD4BC3">
      <w:pPr>
        <w:spacing w:after="0" w:line="240" w:lineRule="auto"/>
        <w:rPr>
          <w:rFonts w:ascii="Arial" w:hAnsi="Arial" w:cs="Arial"/>
        </w:rPr>
      </w:pPr>
    </w:p>
    <w:p w14:paraId="5B01AD44" w14:textId="77777777" w:rsidR="002D7D93" w:rsidRPr="00DD4BC3" w:rsidRDefault="002D7D93" w:rsidP="00DD4BC3">
      <w:pPr>
        <w:spacing w:after="0" w:line="240" w:lineRule="auto"/>
        <w:rPr>
          <w:rFonts w:ascii="Arial" w:hAnsi="Arial" w:cs="Arial"/>
        </w:rPr>
      </w:pPr>
    </w:p>
    <w:p w14:paraId="23BDAE38" w14:textId="3ED163A0" w:rsidR="00DD4BC3" w:rsidRPr="00DD4BC3" w:rsidRDefault="00DD4BC3" w:rsidP="00DD4BC3">
      <w:pPr>
        <w:spacing w:after="0" w:line="240" w:lineRule="auto"/>
        <w:rPr>
          <w:rFonts w:ascii="Arial" w:hAnsi="Arial" w:cs="Arial"/>
        </w:rPr>
      </w:pPr>
    </w:p>
    <w:p w14:paraId="01E7BD55" w14:textId="2E399606" w:rsidR="00DD4BC3" w:rsidRPr="00DD4BC3" w:rsidRDefault="00DD4BC3">
      <w:pPr>
        <w:rPr>
          <w:rFonts w:ascii="Arial" w:hAnsi="Arial" w:cs="Arial"/>
        </w:rPr>
      </w:pPr>
    </w:p>
    <w:sectPr w:rsidR="00DD4BC3" w:rsidRPr="00DD4BC3" w:rsidSect="009144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A4CB" w14:textId="77777777" w:rsidR="00105FC9" w:rsidRDefault="00105FC9" w:rsidP="00070B63">
      <w:pPr>
        <w:spacing w:after="0" w:line="240" w:lineRule="auto"/>
      </w:pPr>
      <w:r>
        <w:separator/>
      </w:r>
    </w:p>
  </w:endnote>
  <w:endnote w:type="continuationSeparator" w:id="0">
    <w:p w14:paraId="26C3921C" w14:textId="77777777" w:rsidR="00105FC9" w:rsidRDefault="00105FC9" w:rsidP="0007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
    <w:altName w:val="Cambria"/>
    <w:panose1 w:val="00000000000000000000"/>
    <w:charset w:val="00"/>
    <w:family w:val="roman"/>
    <w:notTrueType/>
    <w:pitch w:val="default"/>
  </w:font>
  <w:font w:name="AdvTimes">
    <w:altName w:val="Yu Gothic"/>
    <w:panose1 w:val="00000000000000000000"/>
    <w:charset w:val="80"/>
    <w:family w:val="auto"/>
    <w:notTrueType/>
    <w:pitch w:val="default"/>
    <w:sig w:usb0="00000001" w:usb1="08070000" w:usb2="00000010" w:usb3="00000000" w:csb0="00020000" w:csb1="00000000"/>
  </w:font>
  <w:font w:name="Palatino-Roman">
    <w:altName w:val="Palatino 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524583"/>
      <w:docPartObj>
        <w:docPartGallery w:val="Page Numbers (Bottom of Page)"/>
        <w:docPartUnique/>
      </w:docPartObj>
    </w:sdtPr>
    <w:sdtEndPr>
      <w:rPr>
        <w:noProof/>
      </w:rPr>
    </w:sdtEndPr>
    <w:sdtContent>
      <w:p w14:paraId="200BB8CE" w14:textId="0ECBB561" w:rsidR="00682589" w:rsidRDefault="00682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43CF7" w14:textId="77777777" w:rsidR="00682589" w:rsidRDefault="0068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6C28" w14:textId="77777777" w:rsidR="00105FC9" w:rsidRDefault="00105FC9" w:rsidP="00070B63">
      <w:pPr>
        <w:spacing w:after="0" w:line="240" w:lineRule="auto"/>
      </w:pPr>
      <w:r>
        <w:separator/>
      </w:r>
    </w:p>
  </w:footnote>
  <w:footnote w:type="continuationSeparator" w:id="0">
    <w:p w14:paraId="2E453529" w14:textId="77777777" w:rsidR="00105FC9" w:rsidRDefault="00105FC9" w:rsidP="00070B63">
      <w:pPr>
        <w:spacing w:after="0" w:line="240" w:lineRule="auto"/>
      </w:pPr>
      <w:r>
        <w:continuationSeparator/>
      </w:r>
    </w:p>
  </w:footnote>
  <w:footnote w:id="1">
    <w:p w14:paraId="546439E3" w14:textId="6DCDA649" w:rsidR="00682589" w:rsidRPr="00DC7371" w:rsidRDefault="00682589">
      <w:pPr>
        <w:pStyle w:val="FootnoteText"/>
        <w:rPr>
          <w:rFonts w:ascii="Arial" w:hAnsi="Arial" w:cs="Arial"/>
        </w:rPr>
      </w:pPr>
      <w:r w:rsidRPr="00DC7371">
        <w:rPr>
          <w:rStyle w:val="FootnoteReference"/>
          <w:rFonts w:ascii="Arial" w:hAnsi="Arial" w:cs="Arial"/>
        </w:rPr>
        <w:footnoteRef/>
      </w:r>
      <w:r w:rsidRPr="00DC7371">
        <w:rPr>
          <w:rFonts w:ascii="Arial" w:hAnsi="Arial" w:cs="Arial"/>
        </w:rPr>
        <w:t xml:space="preserve"> The UERL was a private company that had gradually acquired control of the majority of mass transit provision in London from 1907 onwards. Despite the title ‘Underground Electric Railway Company’ the UERL operated trams and buses as well as underground electric trains.</w:t>
      </w:r>
    </w:p>
  </w:footnote>
  <w:footnote w:id="2">
    <w:p w14:paraId="754E74C1" w14:textId="5F20DBAE" w:rsidR="00682589" w:rsidRPr="00DC7371" w:rsidRDefault="00682589">
      <w:pPr>
        <w:pStyle w:val="FootnoteText"/>
        <w:rPr>
          <w:rFonts w:ascii="Arial" w:hAnsi="Arial" w:cs="Arial"/>
        </w:rPr>
      </w:pPr>
      <w:r w:rsidRPr="00DC7371">
        <w:rPr>
          <w:rStyle w:val="FootnoteReference"/>
          <w:rFonts w:ascii="Arial" w:hAnsi="Arial" w:cs="Arial"/>
        </w:rPr>
        <w:footnoteRef/>
      </w:r>
      <w:r w:rsidRPr="00DC7371">
        <w:rPr>
          <w:rFonts w:ascii="Arial" w:hAnsi="Arial" w:cs="Arial"/>
        </w:rPr>
        <w:t xml:space="preserve"> The Metropolitan Railway was in most respects a normal railway company except that roughly a quarter of its network mileage ran underground through central London. It connected the prosperous north-western suburbs to financial centre of the City of London.</w:t>
      </w:r>
    </w:p>
  </w:footnote>
  <w:footnote w:id="3">
    <w:p w14:paraId="11480FF6" w14:textId="28CA760C" w:rsidR="00682589" w:rsidRDefault="00682589">
      <w:pPr>
        <w:pStyle w:val="FootnoteText"/>
      </w:pPr>
      <w:r w:rsidRPr="00DC7371">
        <w:rPr>
          <w:rStyle w:val="FootnoteReference"/>
          <w:rFonts w:ascii="Arial" w:hAnsi="Arial" w:cs="Arial"/>
        </w:rPr>
        <w:footnoteRef/>
      </w:r>
      <w:r w:rsidRPr="00DC7371">
        <w:rPr>
          <w:rFonts w:ascii="Arial" w:hAnsi="Arial" w:cs="Arial"/>
        </w:rPr>
        <w:t xml:space="preserve"> The London County Council ran the most extensive and widely used tram network in the </w:t>
      </w:r>
      <w:proofErr w:type="gramStart"/>
      <w:r w:rsidRPr="00DC7371">
        <w:rPr>
          <w:rFonts w:ascii="Arial" w:hAnsi="Arial" w:cs="Arial"/>
        </w:rPr>
        <w:t>city</w:t>
      </w:r>
      <w:r>
        <w:rPr>
          <w:rFonts w:ascii="Arial" w:hAnsi="Arial" w:cs="Arial"/>
        </w:rPr>
        <w:t>,</w:t>
      </w:r>
      <w:r w:rsidRPr="00DC7371">
        <w:rPr>
          <w:rFonts w:ascii="Arial" w:hAnsi="Arial" w:cs="Arial"/>
        </w:rPr>
        <w:t xml:space="preserve"> but</w:t>
      </w:r>
      <w:proofErr w:type="gramEnd"/>
      <w:r>
        <w:rPr>
          <w:rFonts w:ascii="Arial" w:hAnsi="Arial" w:cs="Arial"/>
        </w:rPr>
        <w:t xml:space="preserve"> operated</w:t>
      </w:r>
      <w:r w:rsidRPr="00DC7371">
        <w:rPr>
          <w:rFonts w:ascii="Arial" w:hAnsi="Arial" w:cs="Arial"/>
        </w:rPr>
        <w:t xml:space="preserve"> no other modes of transport.</w:t>
      </w:r>
      <w:r>
        <w:t xml:space="preserve"> </w:t>
      </w:r>
    </w:p>
  </w:footnote>
  <w:footnote w:id="4">
    <w:p w14:paraId="2CDF7ADA" w14:textId="13BDA7E2" w:rsidR="00682589" w:rsidRPr="00AA33E3" w:rsidRDefault="00682589">
      <w:pPr>
        <w:pStyle w:val="FootnoteText"/>
        <w:rPr>
          <w:rFonts w:ascii="Arial" w:hAnsi="Arial" w:cs="Arial"/>
        </w:rPr>
      </w:pPr>
      <w:r w:rsidRPr="00AA33E3">
        <w:rPr>
          <w:rStyle w:val="FootnoteReference"/>
          <w:rFonts w:ascii="Arial" w:hAnsi="Arial" w:cs="Arial"/>
        </w:rPr>
        <w:footnoteRef/>
      </w:r>
      <w:r w:rsidRPr="00AA33E3">
        <w:rPr>
          <w:rFonts w:ascii="Arial" w:hAnsi="Arial" w:cs="Arial"/>
        </w:rPr>
        <w:t xml:space="preserve"> A region that stretched for roughly 30 miles in all directions from central London.</w:t>
      </w:r>
    </w:p>
  </w:footnote>
  <w:footnote w:id="5">
    <w:p w14:paraId="362B2E1E" w14:textId="726493DE" w:rsidR="00682589" w:rsidRPr="00003589" w:rsidRDefault="00682589" w:rsidP="003314E2">
      <w:pPr>
        <w:pStyle w:val="FootnoteText"/>
        <w:rPr>
          <w:rFonts w:ascii="Arial" w:hAnsi="Arial" w:cs="Arial"/>
        </w:rPr>
      </w:pPr>
      <w:r w:rsidRPr="00003589">
        <w:rPr>
          <w:rStyle w:val="FootnoteReference"/>
          <w:rFonts w:ascii="Arial" w:hAnsi="Arial" w:cs="Arial"/>
        </w:rPr>
        <w:footnoteRef/>
      </w:r>
      <w:r w:rsidRPr="00003589">
        <w:rPr>
          <w:rFonts w:ascii="Arial" w:hAnsi="Arial" w:cs="Arial"/>
        </w:rPr>
        <w:t xml:space="preserve"> Albert Stanley (Lord Ashfield from 1920) grew up in America and became the assistant general manager of the public service corporation of New Jersey before he </w:t>
      </w:r>
      <w:proofErr w:type="gramStart"/>
      <w:r w:rsidRPr="00003589">
        <w:rPr>
          <w:rFonts w:ascii="Arial" w:hAnsi="Arial" w:cs="Arial"/>
        </w:rPr>
        <w:t>was recruited</w:t>
      </w:r>
      <w:proofErr w:type="gramEnd"/>
      <w:r w:rsidRPr="00003589">
        <w:rPr>
          <w:rFonts w:ascii="Arial" w:hAnsi="Arial" w:cs="Arial"/>
        </w:rPr>
        <w:t xml:space="preserve"> to the UERL as general manager in 1907. He became director of the UERL in 1910 and then chairman of the LPTB in 1933 until his death in 1948.</w:t>
      </w:r>
    </w:p>
  </w:footnote>
  <w:footnote w:id="6">
    <w:p w14:paraId="3195188E" w14:textId="2429E89E" w:rsidR="00682589" w:rsidRPr="00003589" w:rsidRDefault="00682589" w:rsidP="003314E2">
      <w:pPr>
        <w:pStyle w:val="FootnoteText"/>
        <w:rPr>
          <w:rFonts w:ascii="Arial" w:hAnsi="Arial" w:cs="Arial"/>
        </w:rPr>
      </w:pPr>
      <w:r w:rsidRPr="00003589">
        <w:rPr>
          <w:rStyle w:val="FootnoteReference"/>
          <w:rFonts w:ascii="Arial" w:hAnsi="Arial" w:cs="Arial"/>
        </w:rPr>
        <w:footnoteRef/>
      </w:r>
      <w:r w:rsidRPr="00003589">
        <w:rPr>
          <w:rFonts w:ascii="Arial" w:hAnsi="Arial" w:cs="Arial"/>
        </w:rPr>
        <w:t xml:space="preserve"> Frank Pick worked for the North Eastern Railway before moving to the UERL as an assistant to the managing director in 1906. He became commercial manager of the UERL in 1912, and vice chairman of the LPTB in 1933 until his resignation in 1940.</w:t>
      </w:r>
    </w:p>
  </w:footnote>
  <w:footnote w:id="7">
    <w:p w14:paraId="186874EA" w14:textId="04636E48" w:rsidR="00682589" w:rsidRPr="00984DE1" w:rsidRDefault="00682589">
      <w:pPr>
        <w:pStyle w:val="FootnoteText"/>
        <w:rPr>
          <w:rFonts w:ascii="Arial" w:hAnsi="Arial" w:cs="Arial"/>
        </w:rPr>
      </w:pPr>
      <w:r w:rsidRPr="00984DE1">
        <w:rPr>
          <w:rStyle w:val="FootnoteReference"/>
          <w:rFonts w:ascii="Arial" w:hAnsi="Arial" w:cs="Arial"/>
        </w:rPr>
        <w:footnoteRef/>
      </w:r>
      <w:r w:rsidRPr="00984DE1">
        <w:rPr>
          <w:rFonts w:ascii="Arial" w:hAnsi="Arial" w:cs="Arial"/>
        </w:rPr>
        <w:t xml:space="preserve"> We acknowledge that there is some complexity here in making direct comparisons. For example, the Metropolitan line had a small freight and property revenue stream which the UERL did not, although the UERL did make money from advertising. However, all these revenue streams were minute in comparison to both compan</w:t>
      </w:r>
      <w:r>
        <w:rPr>
          <w:rFonts w:ascii="Arial" w:hAnsi="Arial" w:cs="Arial"/>
        </w:rPr>
        <w:t>y’s</w:t>
      </w:r>
      <w:r w:rsidRPr="00984DE1">
        <w:rPr>
          <w:rFonts w:ascii="Arial" w:hAnsi="Arial" w:cs="Arial"/>
        </w:rPr>
        <w:t xml:space="preserve"> main revenue from passengers. </w:t>
      </w:r>
    </w:p>
  </w:footnote>
  <w:footnote w:id="8">
    <w:p w14:paraId="1E88E09A" w14:textId="14AC6511" w:rsidR="00682589" w:rsidRPr="003F43FF" w:rsidRDefault="00682589">
      <w:pPr>
        <w:pStyle w:val="FootnoteText"/>
        <w:rPr>
          <w:rFonts w:ascii="Arial" w:hAnsi="Arial" w:cs="Arial"/>
        </w:rPr>
      </w:pPr>
      <w:r w:rsidRPr="003F43FF">
        <w:rPr>
          <w:rStyle w:val="FootnoteReference"/>
          <w:rFonts w:ascii="Arial" w:hAnsi="Arial" w:cs="Arial"/>
          <w:color w:val="2F5496" w:themeColor="accent1" w:themeShade="BF"/>
        </w:rPr>
        <w:footnoteRef/>
      </w:r>
      <w:r w:rsidRPr="003F43FF">
        <w:rPr>
          <w:rFonts w:ascii="Arial" w:hAnsi="Arial" w:cs="Arial"/>
          <w:color w:val="2F5496" w:themeColor="accent1" w:themeShade="BF"/>
        </w:rPr>
        <w:t xml:space="preserve"> The holding company through which </w:t>
      </w:r>
      <w:proofErr w:type="gramStart"/>
      <w:r w:rsidRPr="003F43FF">
        <w:rPr>
          <w:rFonts w:ascii="Arial" w:hAnsi="Arial" w:cs="Arial"/>
          <w:color w:val="2F5496" w:themeColor="accent1" w:themeShade="BF"/>
        </w:rPr>
        <w:t>all of</w:t>
      </w:r>
      <w:proofErr w:type="gramEnd"/>
      <w:r w:rsidRPr="003F43FF">
        <w:rPr>
          <w:rFonts w:ascii="Arial" w:hAnsi="Arial" w:cs="Arial"/>
          <w:color w:val="2F5496" w:themeColor="accent1" w:themeShade="BF"/>
        </w:rPr>
        <w:t xml:space="preserve"> the UERL’s trams were operated.</w:t>
      </w:r>
    </w:p>
  </w:footnote>
  <w:footnote w:id="9">
    <w:p w14:paraId="19C199EB" w14:textId="7E665B99" w:rsidR="00682589" w:rsidRPr="00C520F9" w:rsidRDefault="00682589" w:rsidP="004A49CC">
      <w:pPr>
        <w:pStyle w:val="FootnoteText"/>
        <w:rPr>
          <w:rFonts w:ascii="Arial" w:hAnsi="Arial" w:cs="Arial"/>
        </w:rPr>
      </w:pPr>
      <w:r>
        <w:rPr>
          <w:rStyle w:val="FootnoteReference"/>
        </w:rPr>
        <w:footnoteRef/>
      </w:r>
      <w:r>
        <w:t xml:space="preserve"> </w:t>
      </w:r>
      <w:r>
        <w:rPr>
          <w:rFonts w:ascii="Arial" w:hAnsi="Arial" w:cs="Arial"/>
        </w:rPr>
        <w:t>Since 1907 the LCC had been controlled by the Municipal Reform Party. T</w:t>
      </w:r>
      <w:r w:rsidRPr="00C520F9">
        <w:rPr>
          <w:rFonts w:ascii="Arial" w:hAnsi="Arial" w:cs="Arial"/>
        </w:rPr>
        <w:t>he Party was a Conservative affiliated Party whose natural constituency was ratepayers and small businesses. It opposed the use of property rates to fund the provision of public services</w:t>
      </w:r>
      <w:r>
        <w:rPr>
          <w:rFonts w:ascii="Arial" w:hAnsi="Arial" w:cs="Arial"/>
        </w:rPr>
        <w:t xml:space="preserve"> such as tramways</w:t>
      </w:r>
      <w:r w:rsidRPr="00C520F9">
        <w:rPr>
          <w:rFonts w:ascii="Arial" w:hAnsi="Arial" w:cs="Arial"/>
        </w:rPr>
        <w:t xml:space="preserve">. For more detail see Offer, A (1981) </w:t>
      </w:r>
      <w:r w:rsidRPr="00C520F9">
        <w:rPr>
          <w:rFonts w:ascii="Arial" w:hAnsi="Arial" w:cs="Arial"/>
          <w:i/>
          <w:iCs/>
        </w:rPr>
        <w:t>Property and Politics</w:t>
      </w:r>
      <w:r>
        <w:rPr>
          <w:rFonts w:ascii="Arial" w:hAnsi="Arial" w:cs="Arial"/>
          <w:i/>
          <w:iCs/>
        </w:rPr>
        <w:t>,</w:t>
      </w:r>
      <w:r w:rsidRPr="00C520F9">
        <w:rPr>
          <w:rFonts w:ascii="Arial" w:hAnsi="Arial" w:cs="Arial"/>
        </w:rPr>
        <w:t xml:space="preserve"> </w:t>
      </w:r>
      <w:proofErr w:type="spellStart"/>
      <w:r w:rsidRPr="00C520F9">
        <w:rPr>
          <w:rFonts w:ascii="Arial" w:hAnsi="Arial" w:cs="Arial"/>
        </w:rPr>
        <w:t>Masterman</w:t>
      </w:r>
      <w:proofErr w:type="spellEnd"/>
      <w:r w:rsidRPr="00C520F9">
        <w:rPr>
          <w:rFonts w:ascii="Arial" w:hAnsi="Arial" w:cs="Arial"/>
        </w:rPr>
        <w:t xml:space="preserve">, C. (1909) </w:t>
      </w:r>
      <w:r w:rsidRPr="00C520F9">
        <w:rPr>
          <w:rFonts w:ascii="Arial" w:hAnsi="Arial" w:cs="Arial"/>
          <w:i/>
          <w:iCs/>
        </w:rPr>
        <w:t>The Condition of England</w:t>
      </w:r>
      <w:r>
        <w:rPr>
          <w:rFonts w:ascii="Arial" w:hAnsi="Arial" w:cs="Arial"/>
        </w:rPr>
        <w:t xml:space="preserve"> and Turner &amp; Tennent, (2019) ‘</w:t>
      </w:r>
      <w:r w:rsidRPr="00A576CD">
        <w:rPr>
          <w:rFonts w:ascii="Arial" w:hAnsi="Arial" w:cs="Arial"/>
        </w:rPr>
        <w:t>Progressive</w:t>
      </w:r>
      <w:r w:rsidRPr="00021226">
        <w:rPr>
          <w:rFonts w:ascii="Arial" w:hAnsi="Arial" w:cs="Arial"/>
        </w:rPr>
        <w:t xml:space="preserve"> strategies of municipal trading: The policies of the London County Council Tramways c. 1891–1914</w:t>
      </w:r>
      <w:r>
        <w:rPr>
          <w:rFonts w:ascii="Arial" w:hAnsi="Arial" w:cs="Arial"/>
        </w:rPr>
        <w:t>.’</w:t>
      </w:r>
    </w:p>
    <w:p w14:paraId="11D3DC7B" w14:textId="333A8C10" w:rsidR="00682589" w:rsidRDefault="0068258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9" style="width:0;height:1.5pt" o:hralign="center" o:bullet="t" o:hrstd="t" o:hr="t" fillcolor="#a0a0a0" stroked="f"/>
    </w:pict>
  </w:numPicBullet>
  <w:abstractNum w:abstractNumId="0" w15:restartNumberingAfterBreak="0">
    <w:nsid w:val="444129D9"/>
    <w:multiLevelType w:val="hybridMultilevel"/>
    <w:tmpl w:val="332EE67A"/>
    <w:lvl w:ilvl="0" w:tplc="97CE691A">
      <w:start w:val="1"/>
      <w:numFmt w:val="bullet"/>
      <w:lvlText w:val=""/>
      <w:lvlPicBulletId w:val="0"/>
      <w:lvlJc w:val="left"/>
      <w:pPr>
        <w:tabs>
          <w:tab w:val="num" w:pos="720"/>
        </w:tabs>
        <w:ind w:left="720" w:hanging="360"/>
      </w:pPr>
      <w:rPr>
        <w:rFonts w:ascii="Symbol" w:hAnsi="Symbol" w:hint="default"/>
      </w:rPr>
    </w:lvl>
    <w:lvl w:ilvl="1" w:tplc="AC54A6BC" w:tentative="1">
      <w:start w:val="1"/>
      <w:numFmt w:val="bullet"/>
      <w:lvlText w:val=""/>
      <w:lvlJc w:val="left"/>
      <w:pPr>
        <w:tabs>
          <w:tab w:val="num" w:pos="1440"/>
        </w:tabs>
        <w:ind w:left="1440" w:hanging="360"/>
      </w:pPr>
      <w:rPr>
        <w:rFonts w:ascii="Symbol" w:hAnsi="Symbol" w:hint="default"/>
      </w:rPr>
    </w:lvl>
    <w:lvl w:ilvl="2" w:tplc="ECF05766" w:tentative="1">
      <w:start w:val="1"/>
      <w:numFmt w:val="bullet"/>
      <w:lvlText w:val=""/>
      <w:lvlJc w:val="left"/>
      <w:pPr>
        <w:tabs>
          <w:tab w:val="num" w:pos="2160"/>
        </w:tabs>
        <w:ind w:left="2160" w:hanging="360"/>
      </w:pPr>
      <w:rPr>
        <w:rFonts w:ascii="Symbol" w:hAnsi="Symbol" w:hint="default"/>
      </w:rPr>
    </w:lvl>
    <w:lvl w:ilvl="3" w:tplc="7BD2BC5E" w:tentative="1">
      <w:start w:val="1"/>
      <w:numFmt w:val="bullet"/>
      <w:lvlText w:val=""/>
      <w:lvlJc w:val="left"/>
      <w:pPr>
        <w:tabs>
          <w:tab w:val="num" w:pos="2880"/>
        </w:tabs>
        <w:ind w:left="2880" w:hanging="360"/>
      </w:pPr>
      <w:rPr>
        <w:rFonts w:ascii="Symbol" w:hAnsi="Symbol" w:hint="default"/>
      </w:rPr>
    </w:lvl>
    <w:lvl w:ilvl="4" w:tplc="FCA619A4" w:tentative="1">
      <w:start w:val="1"/>
      <w:numFmt w:val="bullet"/>
      <w:lvlText w:val=""/>
      <w:lvlJc w:val="left"/>
      <w:pPr>
        <w:tabs>
          <w:tab w:val="num" w:pos="3600"/>
        </w:tabs>
        <w:ind w:left="3600" w:hanging="360"/>
      </w:pPr>
      <w:rPr>
        <w:rFonts w:ascii="Symbol" w:hAnsi="Symbol" w:hint="default"/>
      </w:rPr>
    </w:lvl>
    <w:lvl w:ilvl="5" w:tplc="FE7EDB0A" w:tentative="1">
      <w:start w:val="1"/>
      <w:numFmt w:val="bullet"/>
      <w:lvlText w:val=""/>
      <w:lvlJc w:val="left"/>
      <w:pPr>
        <w:tabs>
          <w:tab w:val="num" w:pos="4320"/>
        </w:tabs>
        <w:ind w:left="4320" w:hanging="360"/>
      </w:pPr>
      <w:rPr>
        <w:rFonts w:ascii="Symbol" w:hAnsi="Symbol" w:hint="default"/>
      </w:rPr>
    </w:lvl>
    <w:lvl w:ilvl="6" w:tplc="BB320EDE" w:tentative="1">
      <w:start w:val="1"/>
      <w:numFmt w:val="bullet"/>
      <w:lvlText w:val=""/>
      <w:lvlJc w:val="left"/>
      <w:pPr>
        <w:tabs>
          <w:tab w:val="num" w:pos="5040"/>
        </w:tabs>
        <w:ind w:left="5040" w:hanging="360"/>
      </w:pPr>
      <w:rPr>
        <w:rFonts w:ascii="Symbol" w:hAnsi="Symbol" w:hint="default"/>
      </w:rPr>
    </w:lvl>
    <w:lvl w:ilvl="7" w:tplc="B166054C" w:tentative="1">
      <w:start w:val="1"/>
      <w:numFmt w:val="bullet"/>
      <w:lvlText w:val=""/>
      <w:lvlJc w:val="left"/>
      <w:pPr>
        <w:tabs>
          <w:tab w:val="num" w:pos="5760"/>
        </w:tabs>
        <w:ind w:left="5760" w:hanging="360"/>
      </w:pPr>
      <w:rPr>
        <w:rFonts w:ascii="Symbol" w:hAnsi="Symbol" w:hint="default"/>
      </w:rPr>
    </w:lvl>
    <w:lvl w:ilvl="8" w:tplc="B8CC20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02E1F5A"/>
    <w:multiLevelType w:val="multilevel"/>
    <w:tmpl w:val="EFBA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06451"/>
    <w:multiLevelType w:val="multilevel"/>
    <w:tmpl w:val="8000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7C"/>
    <w:rsid w:val="0000000D"/>
    <w:rsid w:val="00003589"/>
    <w:rsid w:val="00003A5E"/>
    <w:rsid w:val="0001376E"/>
    <w:rsid w:val="0001521B"/>
    <w:rsid w:val="00016893"/>
    <w:rsid w:val="00021226"/>
    <w:rsid w:val="00021C1F"/>
    <w:rsid w:val="00024DA7"/>
    <w:rsid w:val="00025E5E"/>
    <w:rsid w:val="0002614C"/>
    <w:rsid w:val="00026750"/>
    <w:rsid w:val="000310B1"/>
    <w:rsid w:val="00032C47"/>
    <w:rsid w:val="0003689B"/>
    <w:rsid w:val="00036E7D"/>
    <w:rsid w:val="00037445"/>
    <w:rsid w:val="000419B9"/>
    <w:rsid w:val="00041AA1"/>
    <w:rsid w:val="00043109"/>
    <w:rsid w:val="00046BF6"/>
    <w:rsid w:val="000478E9"/>
    <w:rsid w:val="00051182"/>
    <w:rsid w:val="00051CCF"/>
    <w:rsid w:val="00055FF9"/>
    <w:rsid w:val="0005640E"/>
    <w:rsid w:val="000614A9"/>
    <w:rsid w:val="00066108"/>
    <w:rsid w:val="00070B63"/>
    <w:rsid w:val="00072743"/>
    <w:rsid w:val="00077D86"/>
    <w:rsid w:val="000874B8"/>
    <w:rsid w:val="0009301E"/>
    <w:rsid w:val="00093B9A"/>
    <w:rsid w:val="00097B70"/>
    <w:rsid w:val="000A72F8"/>
    <w:rsid w:val="000A79F9"/>
    <w:rsid w:val="000B39BC"/>
    <w:rsid w:val="000B6A79"/>
    <w:rsid w:val="000B6AAA"/>
    <w:rsid w:val="000B6B02"/>
    <w:rsid w:val="000C18DC"/>
    <w:rsid w:val="000C1FD4"/>
    <w:rsid w:val="000C5D25"/>
    <w:rsid w:val="000C708F"/>
    <w:rsid w:val="000E0269"/>
    <w:rsid w:val="000E053E"/>
    <w:rsid w:val="000F14D3"/>
    <w:rsid w:val="000F1DCC"/>
    <w:rsid w:val="000F1ECE"/>
    <w:rsid w:val="000F46C4"/>
    <w:rsid w:val="00102A56"/>
    <w:rsid w:val="00102CBF"/>
    <w:rsid w:val="001053A5"/>
    <w:rsid w:val="00105894"/>
    <w:rsid w:val="00105FC9"/>
    <w:rsid w:val="001069DD"/>
    <w:rsid w:val="00106AC9"/>
    <w:rsid w:val="00114090"/>
    <w:rsid w:val="00114A65"/>
    <w:rsid w:val="001164B7"/>
    <w:rsid w:val="0011695D"/>
    <w:rsid w:val="00120CC0"/>
    <w:rsid w:val="0012255C"/>
    <w:rsid w:val="0012687B"/>
    <w:rsid w:val="001304D3"/>
    <w:rsid w:val="00140682"/>
    <w:rsid w:val="00141113"/>
    <w:rsid w:val="00141D85"/>
    <w:rsid w:val="00150B3A"/>
    <w:rsid w:val="00150EC0"/>
    <w:rsid w:val="00151605"/>
    <w:rsid w:val="00157FDB"/>
    <w:rsid w:val="00160E86"/>
    <w:rsid w:val="001621F1"/>
    <w:rsid w:val="0016710D"/>
    <w:rsid w:val="00167C1A"/>
    <w:rsid w:val="0017419E"/>
    <w:rsid w:val="00181B45"/>
    <w:rsid w:val="00183003"/>
    <w:rsid w:val="001845AB"/>
    <w:rsid w:val="001868CD"/>
    <w:rsid w:val="00191902"/>
    <w:rsid w:val="001971C1"/>
    <w:rsid w:val="001A3A7E"/>
    <w:rsid w:val="001B18B5"/>
    <w:rsid w:val="001B3446"/>
    <w:rsid w:val="001B4158"/>
    <w:rsid w:val="001B6F52"/>
    <w:rsid w:val="001B7E66"/>
    <w:rsid w:val="001C33B6"/>
    <w:rsid w:val="001C450F"/>
    <w:rsid w:val="001C49FD"/>
    <w:rsid w:val="001C4EB9"/>
    <w:rsid w:val="001C57BD"/>
    <w:rsid w:val="001D0451"/>
    <w:rsid w:val="001D0542"/>
    <w:rsid w:val="001D3860"/>
    <w:rsid w:val="001D3C06"/>
    <w:rsid w:val="001D51D5"/>
    <w:rsid w:val="001E4494"/>
    <w:rsid w:val="001E5A87"/>
    <w:rsid w:val="001F062A"/>
    <w:rsid w:val="001F0950"/>
    <w:rsid w:val="001F16F1"/>
    <w:rsid w:val="001F3046"/>
    <w:rsid w:val="001F45B0"/>
    <w:rsid w:val="001F466F"/>
    <w:rsid w:val="001F54DC"/>
    <w:rsid w:val="001F5A50"/>
    <w:rsid w:val="001F71C3"/>
    <w:rsid w:val="001F7B20"/>
    <w:rsid w:val="00200DB4"/>
    <w:rsid w:val="00207B4F"/>
    <w:rsid w:val="00215AFF"/>
    <w:rsid w:val="00226F2A"/>
    <w:rsid w:val="00233520"/>
    <w:rsid w:val="00233E7B"/>
    <w:rsid w:val="00236261"/>
    <w:rsid w:val="002374DB"/>
    <w:rsid w:val="00241F7B"/>
    <w:rsid w:val="00242173"/>
    <w:rsid w:val="00244CEB"/>
    <w:rsid w:val="002451A8"/>
    <w:rsid w:val="002522DD"/>
    <w:rsid w:val="00253203"/>
    <w:rsid w:val="002540B1"/>
    <w:rsid w:val="00260EE5"/>
    <w:rsid w:val="002611E5"/>
    <w:rsid w:val="00261B3F"/>
    <w:rsid w:val="00262E66"/>
    <w:rsid w:val="00266E54"/>
    <w:rsid w:val="002676BA"/>
    <w:rsid w:val="00275CC8"/>
    <w:rsid w:val="00284072"/>
    <w:rsid w:val="00295E07"/>
    <w:rsid w:val="002A0050"/>
    <w:rsid w:val="002A09A7"/>
    <w:rsid w:val="002A38D4"/>
    <w:rsid w:val="002A5BC3"/>
    <w:rsid w:val="002B05BB"/>
    <w:rsid w:val="002B1CB7"/>
    <w:rsid w:val="002B2B61"/>
    <w:rsid w:val="002B5F01"/>
    <w:rsid w:val="002B71B4"/>
    <w:rsid w:val="002C217C"/>
    <w:rsid w:val="002C273F"/>
    <w:rsid w:val="002C2B96"/>
    <w:rsid w:val="002C3FC4"/>
    <w:rsid w:val="002C7275"/>
    <w:rsid w:val="002D2D6F"/>
    <w:rsid w:val="002D4FA5"/>
    <w:rsid w:val="002D63DC"/>
    <w:rsid w:val="002D684E"/>
    <w:rsid w:val="002D7D93"/>
    <w:rsid w:val="002E488D"/>
    <w:rsid w:val="002E5857"/>
    <w:rsid w:val="002F110B"/>
    <w:rsid w:val="002F15E6"/>
    <w:rsid w:val="002F15FE"/>
    <w:rsid w:val="002F27BE"/>
    <w:rsid w:val="002F49C9"/>
    <w:rsid w:val="002F6E35"/>
    <w:rsid w:val="002F7916"/>
    <w:rsid w:val="00301FD1"/>
    <w:rsid w:val="00310CA7"/>
    <w:rsid w:val="00315272"/>
    <w:rsid w:val="0031535D"/>
    <w:rsid w:val="00316664"/>
    <w:rsid w:val="00316F81"/>
    <w:rsid w:val="003242B1"/>
    <w:rsid w:val="003314E2"/>
    <w:rsid w:val="00342512"/>
    <w:rsid w:val="0034675B"/>
    <w:rsid w:val="00350C0D"/>
    <w:rsid w:val="00353661"/>
    <w:rsid w:val="00353B27"/>
    <w:rsid w:val="00366114"/>
    <w:rsid w:val="0036670E"/>
    <w:rsid w:val="003677B5"/>
    <w:rsid w:val="00371CFD"/>
    <w:rsid w:val="00380A07"/>
    <w:rsid w:val="003810E1"/>
    <w:rsid w:val="003851B6"/>
    <w:rsid w:val="00386DD6"/>
    <w:rsid w:val="00391790"/>
    <w:rsid w:val="00395A0D"/>
    <w:rsid w:val="00395E65"/>
    <w:rsid w:val="00397F83"/>
    <w:rsid w:val="003A12D6"/>
    <w:rsid w:val="003A1F92"/>
    <w:rsid w:val="003A4489"/>
    <w:rsid w:val="003B153A"/>
    <w:rsid w:val="003B1B8B"/>
    <w:rsid w:val="003B21A9"/>
    <w:rsid w:val="003B54EE"/>
    <w:rsid w:val="003B61D0"/>
    <w:rsid w:val="003B768A"/>
    <w:rsid w:val="003B7A35"/>
    <w:rsid w:val="003B7E68"/>
    <w:rsid w:val="003C26AA"/>
    <w:rsid w:val="003C41E0"/>
    <w:rsid w:val="003C4B19"/>
    <w:rsid w:val="003C4EF3"/>
    <w:rsid w:val="003C6DE2"/>
    <w:rsid w:val="003C7138"/>
    <w:rsid w:val="003C77C5"/>
    <w:rsid w:val="003D0F08"/>
    <w:rsid w:val="003D5BB5"/>
    <w:rsid w:val="003D5CE6"/>
    <w:rsid w:val="003E49C6"/>
    <w:rsid w:val="003F1606"/>
    <w:rsid w:val="003F2873"/>
    <w:rsid w:val="003F43FF"/>
    <w:rsid w:val="003F62EA"/>
    <w:rsid w:val="00400EB2"/>
    <w:rsid w:val="0041066A"/>
    <w:rsid w:val="00410FCD"/>
    <w:rsid w:val="00412765"/>
    <w:rsid w:val="00414B9B"/>
    <w:rsid w:val="00417F73"/>
    <w:rsid w:val="00423C74"/>
    <w:rsid w:val="004254DA"/>
    <w:rsid w:val="00426412"/>
    <w:rsid w:val="00427A54"/>
    <w:rsid w:val="00430348"/>
    <w:rsid w:val="0043062F"/>
    <w:rsid w:val="004336FC"/>
    <w:rsid w:val="00437EF4"/>
    <w:rsid w:val="00446308"/>
    <w:rsid w:val="0044684A"/>
    <w:rsid w:val="004510C7"/>
    <w:rsid w:val="0045396E"/>
    <w:rsid w:val="00456336"/>
    <w:rsid w:val="00456D89"/>
    <w:rsid w:val="004570A5"/>
    <w:rsid w:val="004574F8"/>
    <w:rsid w:val="004605DC"/>
    <w:rsid w:val="00460624"/>
    <w:rsid w:val="00461B03"/>
    <w:rsid w:val="00465606"/>
    <w:rsid w:val="00470964"/>
    <w:rsid w:val="004726B6"/>
    <w:rsid w:val="00472FF6"/>
    <w:rsid w:val="0047627B"/>
    <w:rsid w:val="00476871"/>
    <w:rsid w:val="004965A1"/>
    <w:rsid w:val="004965D1"/>
    <w:rsid w:val="004A0604"/>
    <w:rsid w:val="004A0E56"/>
    <w:rsid w:val="004A2DAB"/>
    <w:rsid w:val="004A3A59"/>
    <w:rsid w:val="004A49CC"/>
    <w:rsid w:val="004A6849"/>
    <w:rsid w:val="004A75DB"/>
    <w:rsid w:val="004B032E"/>
    <w:rsid w:val="004B3469"/>
    <w:rsid w:val="004B4D82"/>
    <w:rsid w:val="004B5A8D"/>
    <w:rsid w:val="004B7024"/>
    <w:rsid w:val="004B7763"/>
    <w:rsid w:val="004C137D"/>
    <w:rsid w:val="004C1FFD"/>
    <w:rsid w:val="004C2439"/>
    <w:rsid w:val="004D3C1A"/>
    <w:rsid w:val="004D428F"/>
    <w:rsid w:val="004D50EF"/>
    <w:rsid w:val="004D6F60"/>
    <w:rsid w:val="004D77F8"/>
    <w:rsid w:val="004D7A5A"/>
    <w:rsid w:val="004D7C76"/>
    <w:rsid w:val="004E3788"/>
    <w:rsid w:val="004E3F8B"/>
    <w:rsid w:val="004E7389"/>
    <w:rsid w:val="004F1347"/>
    <w:rsid w:val="0051507B"/>
    <w:rsid w:val="0052041F"/>
    <w:rsid w:val="00520F45"/>
    <w:rsid w:val="005300DC"/>
    <w:rsid w:val="00534041"/>
    <w:rsid w:val="005351A3"/>
    <w:rsid w:val="00542BEE"/>
    <w:rsid w:val="0055044B"/>
    <w:rsid w:val="0055268E"/>
    <w:rsid w:val="0055342F"/>
    <w:rsid w:val="00553F74"/>
    <w:rsid w:val="00555AD3"/>
    <w:rsid w:val="0056129D"/>
    <w:rsid w:val="00562C26"/>
    <w:rsid w:val="00564881"/>
    <w:rsid w:val="00564A1C"/>
    <w:rsid w:val="0056743D"/>
    <w:rsid w:val="00567817"/>
    <w:rsid w:val="00570BCD"/>
    <w:rsid w:val="00571C81"/>
    <w:rsid w:val="005723F2"/>
    <w:rsid w:val="00577EF5"/>
    <w:rsid w:val="0058149C"/>
    <w:rsid w:val="005819E9"/>
    <w:rsid w:val="00585663"/>
    <w:rsid w:val="005922F3"/>
    <w:rsid w:val="005930DC"/>
    <w:rsid w:val="00595AA4"/>
    <w:rsid w:val="00596B3F"/>
    <w:rsid w:val="005A3C74"/>
    <w:rsid w:val="005A425F"/>
    <w:rsid w:val="005A63E3"/>
    <w:rsid w:val="005A7CE1"/>
    <w:rsid w:val="005B2746"/>
    <w:rsid w:val="005B4C39"/>
    <w:rsid w:val="005C1675"/>
    <w:rsid w:val="005C4477"/>
    <w:rsid w:val="005C4918"/>
    <w:rsid w:val="005C6926"/>
    <w:rsid w:val="005D5841"/>
    <w:rsid w:val="005E0624"/>
    <w:rsid w:val="005E2B07"/>
    <w:rsid w:val="005E38C1"/>
    <w:rsid w:val="005F1BC9"/>
    <w:rsid w:val="005F2AA2"/>
    <w:rsid w:val="005F565A"/>
    <w:rsid w:val="005F6433"/>
    <w:rsid w:val="005F670A"/>
    <w:rsid w:val="005F7C16"/>
    <w:rsid w:val="00602E51"/>
    <w:rsid w:val="006036FE"/>
    <w:rsid w:val="006043F2"/>
    <w:rsid w:val="006045D3"/>
    <w:rsid w:val="00605C2E"/>
    <w:rsid w:val="00606344"/>
    <w:rsid w:val="00606911"/>
    <w:rsid w:val="006119D3"/>
    <w:rsid w:val="00613EF0"/>
    <w:rsid w:val="006159C9"/>
    <w:rsid w:val="0061747D"/>
    <w:rsid w:val="00631981"/>
    <w:rsid w:val="00631C18"/>
    <w:rsid w:val="00631F1F"/>
    <w:rsid w:val="00632280"/>
    <w:rsid w:val="006328AB"/>
    <w:rsid w:val="00634D4B"/>
    <w:rsid w:val="00635CCE"/>
    <w:rsid w:val="0063708A"/>
    <w:rsid w:val="00637F8E"/>
    <w:rsid w:val="00643ADA"/>
    <w:rsid w:val="00645D86"/>
    <w:rsid w:val="00650624"/>
    <w:rsid w:val="00652113"/>
    <w:rsid w:val="006533F8"/>
    <w:rsid w:val="00654F51"/>
    <w:rsid w:val="00664320"/>
    <w:rsid w:val="006704AB"/>
    <w:rsid w:val="00670BE9"/>
    <w:rsid w:val="00671CE2"/>
    <w:rsid w:val="00672AB7"/>
    <w:rsid w:val="0067681A"/>
    <w:rsid w:val="00682589"/>
    <w:rsid w:val="0068340C"/>
    <w:rsid w:val="006906A3"/>
    <w:rsid w:val="00691902"/>
    <w:rsid w:val="00695C9B"/>
    <w:rsid w:val="006973E5"/>
    <w:rsid w:val="006A07EB"/>
    <w:rsid w:val="006A1190"/>
    <w:rsid w:val="006A1506"/>
    <w:rsid w:val="006A47B6"/>
    <w:rsid w:val="006B2199"/>
    <w:rsid w:val="006B2AEE"/>
    <w:rsid w:val="006B2F4C"/>
    <w:rsid w:val="006B425E"/>
    <w:rsid w:val="006C16B5"/>
    <w:rsid w:val="006C3456"/>
    <w:rsid w:val="006D2F32"/>
    <w:rsid w:val="006D6021"/>
    <w:rsid w:val="006D65EF"/>
    <w:rsid w:val="006D79AF"/>
    <w:rsid w:val="006E10FC"/>
    <w:rsid w:val="006E5F8B"/>
    <w:rsid w:val="006F1FD2"/>
    <w:rsid w:val="006F314E"/>
    <w:rsid w:val="0070078B"/>
    <w:rsid w:val="00705D8E"/>
    <w:rsid w:val="007064E9"/>
    <w:rsid w:val="007076B0"/>
    <w:rsid w:val="0071279F"/>
    <w:rsid w:val="007162C1"/>
    <w:rsid w:val="00717A71"/>
    <w:rsid w:val="00717C43"/>
    <w:rsid w:val="007229E5"/>
    <w:rsid w:val="00731689"/>
    <w:rsid w:val="00733A41"/>
    <w:rsid w:val="00734089"/>
    <w:rsid w:val="00741757"/>
    <w:rsid w:val="0074243E"/>
    <w:rsid w:val="00744692"/>
    <w:rsid w:val="00745FE5"/>
    <w:rsid w:val="0075140A"/>
    <w:rsid w:val="0075477F"/>
    <w:rsid w:val="00756772"/>
    <w:rsid w:val="0076716D"/>
    <w:rsid w:val="00772CFE"/>
    <w:rsid w:val="00777257"/>
    <w:rsid w:val="0077775B"/>
    <w:rsid w:val="00780B18"/>
    <w:rsid w:val="00783697"/>
    <w:rsid w:val="007927EF"/>
    <w:rsid w:val="00792C2A"/>
    <w:rsid w:val="00792C43"/>
    <w:rsid w:val="00793DA3"/>
    <w:rsid w:val="00794640"/>
    <w:rsid w:val="007949E7"/>
    <w:rsid w:val="00796170"/>
    <w:rsid w:val="007969E3"/>
    <w:rsid w:val="00797236"/>
    <w:rsid w:val="00797F33"/>
    <w:rsid w:val="00797F7D"/>
    <w:rsid w:val="007A0C76"/>
    <w:rsid w:val="007A12C9"/>
    <w:rsid w:val="007A42CC"/>
    <w:rsid w:val="007A579C"/>
    <w:rsid w:val="007B18B4"/>
    <w:rsid w:val="007B2AAB"/>
    <w:rsid w:val="007B76C3"/>
    <w:rsid w:val="007D041B"/>
    <w:rsid w:val="007D2F09"/>
    <w:rsid w:val="007D5217"/>
    <w:rsid w:val="007D6261"/>
    <w:rsid w:val="007E0BE4"/>
    <w:rsid w:val="007E2B74"/>
    <w:rsid w:val="007E3902"/>
    <w:rsid w:val="007E651F"/>
    <w:rsid w:val="007F4C3B"/>
    <w:rsid w:val="00802565"/>
    <w:rsid w:val="00805C21"/>
    <w:rsid w:val="00805F8B"/>
    <w:rsid w:val="0080662C"/>
    <w:rsid w:val="00806DAE"/>
    <w:rsid w:val="00810B0D"/>
    <w:rsid w:val="0081138C"/>
    <w:rsid w:val="00812350"/>
    <w:rsid w:val="0081272D"/>
    <w:rsid w:val="00812858"/>
    <w:rsid w:val="008154E4"/>
    <w:rsid w:val="00815C92"/>
    <w:rsid w:val="00831CF0"/>
    <w:rsid w:val="008326DD"/>
    <w:rsid w:val="008347D7"/>
    <w:rsid w:val="00834C84"/>
    <w:rsid w:val="0084047D"/>
    <w:rsid w:val="00844472"/>
    <w:rsid w:val="00850431"/>
    <w:rsid w:val="00851A72"/>
    <w:rsid w:val="00852273"/>
    <w:rsid w:val="0085761C"/>
    <w:rsid w:val="00860A8B"/>
    <w:rsid w:val="0086764D"/>
    <w:rsid w:val="00870534"/>
    <w:rsid w:val="0087213B"/>
    <w:rsid w:val="008725D8"/>
    <w:rsid w:val="00872D9D"/>
    <w:rsid w:val="0087338A"/>
    <w:rsid w:val="00873602"/>
    <w:rsid w:val="00875017"/>
    <w:rsid w:val="00875AA5"/>
    <w:rsid w:val="0087763B"/>
    <w:rsid w:val="00880CD4"/>
    <w:rsid w:val="00880DFA"/>
    <w:rsid w:val="00883938"/>
    <w:rsid w:val="00883BD9"/>
    <w:rsid w:val="00884D49"/>
    <w:rsid w:val="00885DB0"/>
    <w:rsid w:val="008877DF"/>
    <w:rsid w:val="00893260"/>
    <w:rsid w:val="0089355D"/>
    <w:rsid w:val="008A0A47"/>
    <w:rsid w:val="008A10E8"/>
    <w:rsid w:val="008A3B35"/>
    <w:rsid w:val="008A417F"/>
    <w:rsid w:val="008A5499"/>
    <w:rsid w:val="008A59E7"/>
    <w:rsid w:val="008A6D71"/>
    <w:rsid w:val="008A7DA7"/>
    <w:rsid w:val="008B37D2"/>
    <w:rsid w:val="008B563F"/>
    <w:rsid w:val="008B581E"/>
    <w:rsid w:val="008C277D"/>
    <w:rsid w:val="008C2C00"/>
    <w:rsid w:val="008C45BB"/>
    <w:rsid w:val="008C69F9"/>
    <w:rsid w:val="008D3418"/>
    <w:rsid w:val="008D598D"/>
    <w:rsid w:val="008D6278"/>
    <w:rsid w:val="008D6B2D"/>
    <w:rsid w:val="008D7793"/>
    <w:rsid w:val="008E1D16"/>
    <w:rsid w:val="008E6E11"/>
    <w:rsid w:val="008E7956"/>
    <w:rsid w:val="008F07A5"/>
    <w:rsid w:val="008F78BF"/>
    <w:rsid w:val="00901CBA"/>
    <w:rsid w:val="00907E18"/>
    <w:rsid w:val="00912D82"/>
    <w:rsid w:val="009144D0"/>
    <w:rsid w:val="00921640"/>
    <w:rsid w:val="009228B0"/>
    <w:rsid w:val="00924877"/>
    <w:rsid w:val="00926CCC"/>
    <w:rsid w:val="009276B0"/>
    <w:rsid w:val="00927988"/>
    <w:rsid w:val="009325F4"/>
    <w:rsid w:val="00936462"/>
    <w:rsid w:val="00943C86"/>
    <w:rsid w:val="009441DC"/>
    <w:rsid w:val="00945EF0"/>
    <w:rsid w:val="00951700"/>
    <w:rsid w:val="00951D53"/>
    <w:rsid w:val="009521D0"/>
    <w:rsid w:val="009544BE"/>
    <w:rsid w:val="00954B39"/>
    <w:rsid w:val="0095593D"/>
    <w:rsid w:val="00956563"/>
    <w:rsid w:val="00962BED"/>
    <w:rsid w:val="00964441"/>
    <w:rsid w:val="009649F5"/>
    <w:rsid w:val="00965CA8"/>
    <w:rsid w:val="009676C6"/>
    <w:rsid w:val="00967702"/>
    <w:rsid w:val="009705A3"/>
    <w:rsid w:val="00970842"/>
    <w:rsid w:val="00975155"/>
    <w:rsid w:val="009752CA"/>
    <w:rsid w:val="00976FDD"/>
    <w:rsid w:val="00977626"/>
    <w:rsid w:val="00977792"/>
    <w:rsid w:val="00984091"/>
    <w:rsid w:val="00984A4B"/>
    <w:rsid w:val="00984DE1"/>
    <w:rsid w:val="009876BD"/>
    <w:rsid w:val="009901C8"/>
    <w:rsid w:val="00992771"/>
    <w:rsid w:val="00995DCB"/>
    <w:rsid w:val="009A4029"/>
    <w:rsid w:val="009A6E8A"/>
    <w:rsid w:val="009A7502"/>
    <w:rsid w:val="009A7B8C"/>
    <w:rsid w:val="009B32AC"/>
    <w:rsid w:val="009C2CA6"/>
    <w:rsid w:val="009C3583"/>
    <w:rsid w:val="009C6CD1"/>
    <w:rsid w:val="009D0C4C"/>
    <w:rsid w:val="009D0C4D"/>
    <w:rsid w:val="009D185F"/>
    <w:rsid w:val="009D2036"/>
    <w:rsid w:val="009D26E4"/>
    <w:rsid w:val="009D3234"/>
    <w:rsid w:val="009D5211"/>
    <w:rsid w:val="009D6C1A"/>
    <w:rsid w:val="009E2378"/>
    <w:rsid w:val="009E3BF2"/>
    <w:rsid w:val="009F0039"/>
    <w:rsid w:val="009F24F1"/>
    <w:rsid w:val="009F2EC5"/>
    <w:rsid w:val="009F2F62"/>
    <w:rsid w:val="009F3F94"/>
    <w:rsid w:val="009F5251"/>
    <w:rsid w:val="00A00B90"/>
    <w:rsid w:val="00A02D5F"/>
    <w:rsid w:val="00A05F54"/>
    <w:rsid w:val="00A06697"/>
    <w:rsid w:val="00A072AF"/>
    <w:rsid w:val="00A07593"/>
    <w:rsid w:val="00A07B46"/>
    <w:rsid w:val="00A109DD"/>
    <w:rsid w:val="00A117CC"/>
    <w:rsid w:val="00A118AB"/>
    <w:rsid w:val="00A12479"/>
    <w:rsid w:val="00A128C0"/>
    <w:rsid w:val="00A128DB"/>
    <w:rsid w:val="00A145E7"/>
    <w:rsid w:val="00A15B7E"/>
    <w:rsid w:val="00A205BA"/>
    <w:rsid w:val="00A234BC"/>
    <w:rsid w:val="00A24447"/>
    <w:rsid w:val="00A25237"/>
    <w:rsid w:val="00A258C5"/>
    <w:rsid w:val="00A25D55"/>
    <w:rsid w:val="00A265AE"/>
    <w:rsid w:val="00A2717D"/>
    <w:rsid w:val="00A27503"/>
    <w:rsid w:val="00A31343"/>
    <w:rsid w:val="00A31C3F"/>
    <w:rsid w:val="00A33978"/>
    <w:rsid w:val="00A35348"/>
    <w:rsid w:val="00A35440"/>
    <w:rsid w:val="00A41D56"/>
    <w:rsid w:val="00A41E5A"/>
    <w:rsid w:val="00A42605"/>
    <w:rsid w:val="00A4297E"/>
    <w:rsid w:val="00A47626"/>
    <w:rsid w:val="00A52C0D"/>
    <w:rsid w:val="00A53FFA"/>
    <w:rsid w:val="00A55839"/>
    <w:rsid w:val="00A576CD"/>
    <w:rsid w:val="00A61E8C"/>
    <w:rsid w:val="00A62179"/>
    <w:rsid w:val="00A637BA"/>
    <w:rsid w:val="00A6396F"/>
    <w:rsid w:val="00A640B3"/>
    <w:rsid w:val="00A708B7"/>
    <w:rsid w:val="00A70D88"/>
    <w:rsid w:val="00A743C8"/>
    <w:rsid w:val="00A81FF7"/>
    <w:rsid w:val="00A861D4"/>
    <w:rsid w:val="00AA33E3"/>
    <w:rsid w:val="00AB0C33"/>
    <w:rsid w:val="00AB5454"/>
    <w:rsid w:val="00AC1F9B"/>
    <w:rsid w:val="00AC3E8B"/>
    <w:rsid w:val="00AC4CD6"/>
    <w:rsid w:val="00AC5C46"/>
    <w:rsid w:val="00AD03B5"/>
    <w:rsid w:val="00AD2353"/>
    <w:rsid w:val="00AD2EDD"/>
    <w:rsid w:val="00AD5604"/>
    <w:rsid w:val="00AE30D7"/>
    <w:rsid w:val="00AF2C9D"/>
    <w:rsid w:val="00AF4DAD"/>
    <w:rsid w:val="00AF65A4"/>
    <w:rsid w:val="00B00636"/>
    <w:rsid w:val="00B02D52"/>
    <w:rsid w:val="00B06775"/>
    <w:rsid w:val="00B079E8"/>
    <w:rsid w:val="00B07F27"/>
    <w:rsid w:val="00B10C63"/>
    <w:rsid w:val="00B11B95"/>
    <w:rsid w:val="00B124E8"/>
    <w:rsid w:val="00B13A80"/>
    <w:rsid w:val="00B16C3F"/>
    <w:rsid w:val="00B16F43"/>
    <w:rsid w:val="00B25A83"/>
    <w:rsid w:val="00B271AE"/>
    <w:rsid w:val="00B34041"/>
    <w:rsid w:val="00B34D2D"/>
    <w:rsid w:val="00B3523F"/>
    <w:rsid w:val="00B36770"/>
    <w:rsid w:val="00B40DB9"/>
    <w:rsid w:val="00B40ED2"/>
    <w:rsid w:val="00B415F8"/>
    <w:rsid w:val="00B4353D"/>
    <w:rsid w:val="00B4478A"/>
    <w:rsid w:val="00B45598"/>
    <w:rsid w:val="00B47906"/>
    <w:rsid w:val="00B47D17"/>
    <w:rsid w:val="00B528EB"/>
    <w:rsid w:val="00B55947"/>
    <w:rsid w:val="00B6536A"/>
    <w:rsid w:val="00B66F0B"/>
    <w:rsid w:val="00B71459"/>
    <w:rsid w:val="00B71722"/>
    <w:rsid w:val="00B72A33"/>
    <w:rsid w:val="00B7775D"/>
    <w:rsid w:val="00B80CBC"/>
    <w:rsid w:val="00B80F47"/>
    <w:rsid w:val="00B812CB"/>
    <w:rsid w:val="00B81C26"/>
    <w:rsid w:val="00B8441F"/>
    <w:rsid w:val="00B90F31"/>
    <w:rsid w:val="00B93E53"/>
    <w:rsid w:val="00B9782E"/>
    <w:rsid w:val="00B97C06"/>
    <w:rsid w:val="00BA2802"/>
    <w:rsid w:val="00BA37A9"/>
    <w:rsid w:val="00BA7288"/>
    <w:rsid w:val="00BB1108"/>
    <w:rsid w:val="00BB1489"/>
    <w:rsid w:val="00BB2914"/>
    <w:rsid w:val="00BB36AC"/>
    <w:rsid w:val="00BB73CF"/>
    <w:rsid w:val="00BC3266"/>
    <w:rsid w:val="00BD0AD8"/>
    <w:rsid w:val="00BD40A2"/>
    <w:rsid w:val="00BD5735"/>
    <w:rsid w:val="00BE2DB6"/>
    <w:rsid w:val="00BE3F61"/>
    <w:rsid w:val="00BE6744"/>
    <w:rsid w:val="00BF038D"/>
    <w:rsid w:val="00BF461A"/>
    <w:rsid w:val="00BF4B14"/>
    <w:rsid w:val="00BF5242"/>
    <w:rsid w:val="00C04549"/>
    <w:rsid w:val="00C06782"/>
    <w:rsid w:val="00C100EB"/>
    <w:rsid w:val="00C14F26"/>
    <w:rsid w:val="00C17ECB"/>
    <w:rsid w:val="00C21304"/>
    <w:rsid w:val="00C259DE"/>
    <w:rsid w:val="00C25DB1"/>
    <w:rsid w:val="00C265EA"/>
    <w:rsid w:val="00C30419"/>
    <w:rsid w:val="00C30D10"/>
    <w:rsid w:val="00C3196B"/>
    <w:rsid w:val="00C3450B"/>
    <w:rsid w:val="00C35876"/>
    <w:rsid w:val="00C36B85"/>
    <w:rsid w:val="00C37571"/>
    <w:rsid w:val="00C40476"/>
    <w:rsid w:val="00C40B57"/>
    <w:rsid w:val="00C43119"/>
    <w:rsid w:val="00C477C9"/>
    <w:rsid w:val="00C50B4D"/>
    <w:rsid w:val="00C5185B"/>
    <w:rsid w:val="00C520F9"/>
    <w:rsid w:val="00C57C52"/>
    <w:rsid w:val="00C62AAE"/>
    <w:rsid w:val="00C645C4"/>
    <w:rsid w:val="00C665D9"/>
    <w:rsid w:val="00C673E1"/>
    <w:rsid w:val="00C7038E"/>
    <w:rsid w:val="00C73520"/>
    <w:rsid w:val="00C73A62"/>
    <w:rsid w:val="00C749F5"/>
    <w:rsid w:val="00C77A2C"/>
    <w:rsid w:val="00C80FC5"/>
    <w:rsid w:val="00C81B90"/>
    <w:rsid w:val="00C8419F"/>
    <w:rsid w:val="00C84988"/>
    <w:rsid w:val="00C872B0"/>
    <w:rsid w:val="00C9075D"/>
    <w:rsid w:val="00C91C4A"/>
    <w:rsid w:val="00C93835"/>
    <w:rsid w:val="00C93A4E"/>
    <w:rsid w:val="00CA1F30"/>
    <w:rsid w:val="00CA3172"/>
    <w:rsid w:val="00CA76E9"/>
    <w:rsid w:val="00CB04CB"/>
    <w:rsid w:val="00CB0538"/>
    <w:rsid w:val="00CB5648"/>
    <w:rsid w:val="00CB764A"/>
    <w:rsid w:val="00CC5CFA"/>
    <w:rsid w:val="00CC73BD"/>
    <w:rsid w:val="00CC7579"/>
    <w:rsid w:val="00CD084B"/>
    <w:rsid w:val="00CD0C29"/>
    <w:rsid w:val="00CD3A27"/>
    <w:rsid w:val="00CD3DDC"/>
    <w:rsid w:val="00CD725C"/>
    <w:rsid w:val="00CE1B74"/>
    <w:rsid w:val="00CE1C85"/>
    <w:rsid w:val="00CE2CC5"/>
    <w:rsid w:val="00CE33E4"/>
    <w:rsid w:val="00CE403D"/>
    <w:rsid w:val="00CE594B"/>
    <w:rsid w:val="00CF0BF1"/>
    <w:rsid w:val="00CF0E75"/>
    <w:rsid w:val="00CF320E"/>
    <w:rsid w:val="00CF47A6"/>
    <w:rsid w:val="00CF789E"/>
    <w:rsid w:val="00D006F9"/>
    <w:rsid w:val="00D01157"/>
    <w:rsid w:val="00D0335C"/>
    <w:rsid w:val="00D049FA"/>
    <w:rsid w:val="00D04C74"/>
    <w:rsid w:val="00D05CA8"/>
    <w:rsid w:val="00D079A5"/>
    <w:rsid w:val="00D07B12"/>
    <w:rsid w:val="00D14982"/>
    <w:rsid w:val="00D15348"/>
    <w:rsid w:val="00D1599E"/>
    <w:rsid w:val="00D17721"/>
    <w:rsid w:val="00D217E5"/>
    <w:rsid w:val="00D23E9C"/>
    <w:rsid w:val="00D25512"/>
    <w:rsid w:val="00D2560C"/>
    <w:rsid w:val="00D25A86"/>
    <w:rsid w:val="00D41286"/>
    <w:rsid w:val="00D43FE6"/>
    <w:rsid w:val="00D45936"/>
    <w:rsid w:val="00D5351F"/>
    <w:rsid w:val="00D55980"/>
    <w:rsid w:val="00D5703C"/>
    <w:rsid w:val="00D626E5"/>
    <w:rsid w:val="00D653E6"/>
    <w:rsid w:val="00D65491"/>
    <w:rsid w:val="00D67C45"/>
    <w:rsid w:val="00D70C34"/>
    <w:rsid w:val="00D746FE"/>
    <w:rsid w:val="00D7532B"/>
    <w:rsid w:val="00D77487"/>
    <w:rsid w:val="00D832F3"/>
    <w:rsid w:val="00D863BD"/>
    <w:rsid w:val="00D86816"/>
    <w:rsid w:val="00D918CF"/>
    <w:rsid w:val="00D92EF0"/>
    <w:rsid w:val="00D93802"/>
    <w:rsid w:val="00D9693B"/>
    <w:rsid w:val="00DA26AE"/>
    <w:rsid w:val="00DA2978"/>
    <w:rsid w:val="00DA437B"/>
    <w:rsid w:val="00DB0850"/>
    <w:rsid w:val="00DB2433"/>
    <w:rsid w:val="00DB25A6"/>
    <w:rsid w:val="00DB34BB"/>
    <w:rsid w:val="00DB3540"/>
    <w:rsid w:val="00DC0077"/>
    <w:rsid w:val="00DC547F"/>
    <w:rsid w:val="00DC6DC6"/>
    <w:rsid w:val="00DC6F68"/>
    <w:rsid w:val="00DC7371"/>
    <w:rsid w:val="00DC750A"/>
    <w:rsid w:val="00DD1962"/>
    <w:rsid w:val="00DD1B53"/>
    <w:rsid w:val="00DD3A3A"/>
    <w:rsid w:val="00DD4BC3"/>
    <w:rsid w:val="00DD7BFE"/>
    <w:rsid w:val="00DE1975"/>
    <w:rsid w:val="00DE2F47"/>
    <w:rsid w:val="00DE55F2"/>
    <w:rsid w:val="00DF12CB"/>
    <w:rsid w:val="00DF27F9"/>
    <w:rsid w:val="00DF4903"/>
    <w:rsid w:val="00DF6C4A"/>
    <w:rsid w:val="00E00F54"/>
    <w:rsid w:val="00E02109"/>
    <w:rsid w:val="00E079DD"/>
    <w:rsid w:val="00E179AE"/>
    <w:rsid w:val="00E21791"/>
    <w:rsid w:val="00E22238"/>
    <w:rsid w:val="00E22CFD"/>
    <w:rsid w:val="00E230CE"/>
    <w:rsid w:val="00E259FC"/>
    <w:rsid w:val="00E26737"/>
    <w:rsid w:val="00E27E34"/>
    <w:rsid w:val="00E334DD"/>
    <w:rsid w:val="00E42D0C"/>
    <w:rsid w:val="00E431EB"/>
    <w:rsid w:val="00E44589"/>
    <w:rsid w:val="00E475F9"/>
    <w:rsid w:val="00E5076A"/>
    <w:rsid w:val="00E51583"/>
    <w:rsid w:val="00E51C8C"/>
    <w:rsid w:val="00E520C1"/>
    <w:rsid w:val="00E522C2"/>
    <w:rsid w:val="00E55C75"/>
    <w:rsid w:val="00E56836"/>
    <w:rsid w:val="00E612FD"/>
    <w:rsid w:val="00E6253B"/>
    <w:rsid w:val="00E6398A"/>
    <w:rsid w:val="00E64280"/>
    <w:rsid w:val="00E65CE4"/>
    <w:rsid w:val="00E678F5"/>
    <w:rsid w:val="00E67EC0"/>
    <w:rsid w:val="00E70943"/>
    <w:rsid w:val="00E7122A"/>
    <w:rsid w:val="00E72F62"/>
    <w:rsid w:val="00E73AA1"/>
    <w:rsid w:val="00E747C8"/>
    <w:rsid w:val="00E74F56"/>
    <w:rsid w:val="00E75BE7"/>
    <w:rsid w:val="00E76C71"/>
    <w:rsid w:val="00E81DA2"/>
    <w:rsid w:val="00E833CC"/>
    <w:rsid w:val="00E86C90"/>
    <w:rsid w:val="00E92D80"/>
    <w:rsid w:val="00E93D47"/>
    <w:rsid w:val="00E96264"/>
    <w:rsid w:val="00E962F7"/>
    <w:rsid w:val="00E96E22"/>
    <w:rsid w:val="00EA2390"/>
    <w:rsid w:val="00EA31E0"/>
    <w:rsid w:val="00EA3501"/>
    <w:rsid w:val="00EB0A16"/>
    <w:rsid w:val="00EB207D"/>
    <w:rsid w:val="00EB2935"/>
    <w:rsid w:val="00EB29E9"/>
    <w:rsid w:val="00EB3247"/>
    <w:rsid w:val="00EC60F5"/>
    <w:rsid w:val="00EC689B"/>
    <w:rsid w:val="00ED1739"/>
    <w:rsid w:val="00ED210C"/>
    <w:rsid w:val="00ED44AD"/>
    <w:rsid w:val="00ED4D1F"/>
    <w:rsid w:val="00ED4D85"/>
    <w:rsid w:val="00ED6EB1"/>
    <w:rsid w:val="00EE1B30"/>
    <w:rsid w:val="00EE2EA3"/>
    <w:rsid w:val="00EE4500"/>
    <w:rsid w:val="00EF306C"/>
    <w:rsid w:val="00EF42CB"/>
    <w:rsid w:val="00EF4C89"/>
    <w:rsid w:val="00F04E66"/>
    <w:rsid w:val="00F05249"/>
    <w:rsid w:val="00F067B0"/>
    <w:rsid w:val="00F14234"/>
    <w:rsid w:val="00F143A7"/>
    <w:rsid w:val="00F15AC9"/>
    <w:rsid w:val="00F17BD8"/>
    <w:rsid w:val="00F21255"/>
    <w:rsid w:val="00F21FF1"/>
    <w:rsid w:val="00F244E7"/>
    <w:rsid w:val="00F322F3"/>
    <w:rsid w:val="00F32E96"/>
    <w:rsid w:val="00F332F9"/>
    <w:rsid w:val="00F348EF"/>
    <w:rsid w:val="00F36F64"/>
    <w:rsid w:val="00F421E1"/>
    <w:rsid w:val="00F44900"/>
    <w:rsid w:val="00F5229A"/>
    <w:rsid w:val="00F55573"/>
    <w:rsid w:val="00F5564A"/>
    <w:rsid w:val="00F60FCD"/>
    <w:rsid w:val="00F61EFF"/>
    <w:rsid w:val="00F657C0"/>
    <w:rsid w:val="00F73125"/>
    <w:rsid w:val="00F738B7"/>
    <w:rsid w:val="00F74A57"/>
    <w:rsid w:val="00F87157"/>
    <w:rsid w:val="00F90650"/>
    <w:rsid w:val="00F91861"/>
    <w:rsid w:val="00F9368F"/>
    <w:rsid w:val="00F971C1"/>
    <w:rsid w:val="00FA4DEE"/>
    <w:rsid w:val="00FA4E47"/>
    <w:rsid w:val="00FA542F"/>
    <w:rsid w:val="00FA618F"/>
    <w:rsid w:val="00FB39E5"/>
    <w:rsid w:val="00FB464A"/>
    <w:rsid w:val="00FB650D"/>
    <w:rsid w:val="00FB7D55"/>
    <w:rsid w:val="00FC5586"/>
    <w:rsid w:val="00FC5675"/>
    <w:rsid w:val="00FC5A06"/>
    <w:rsid w:val="00FC713C"/>
    <w:rsid w:val="00FD07D3"/>
    <w:rsid w:val="00FD1F57"/>
    <w:rsid w:val="00FD3055"/>
    <w:rsid w:val="00FD45DF"/>
    <w:rsid w:val="00FD52A4"/>
    <w:rsid w:val="00FD58D6"/>
    <w:rsid w:val="00FE1117"/>
    <w:rsid w:val="00FE70E4"/>
    <w:rsid w:val="00FF0BCE"/>
    <w:rsid w:val="00FF234F"/>
    <w:rsid w:val="00FF3B38"/>
    <w:rsid w:val="00FF642A"/>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02EA2"/>
  <w15:chartTrackingRefBased/>
  <w15:docId w15:val="{A65E128E-624D-4106-941B-A7AEC15C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97"/>
  </w:style>
  <w:style w:type="paragraph" w:styleId="Heading1">
    <w:name w:val="heading 1"/>
    <w:basedOn w:val="Normal"/>
    <w:link w:val="Heading1Char"/>
    <w:uiPriority w:val="9"/>
    <w:qFormat/>
    <w:rsid w:val="009A7B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A5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A5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63"/>
  </w:style>
  <w:style w:type="paragraph" w:styleId="Footer">
    <w:name w:val="footer"/>
    <w:basedOn w:val="Normal"/>
    <w:link w:val="FooterChar"/>
    <w:uiPriority w:val="99"/>
    <w:unhideWhenUsed/>
    <w:rsid w:val="00070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63"/>
  </w:style>
  <w:style w:type="paragraph" w:styleId="FootnoteText">
    <w:name w:val="footnote text"/>
    <w:basedOn w:val="Normal"/>
    <w:link w:val="FootnoteTextChar"/>
    <w:uiPriority w:val="99"/>
    <w:unhideWhenUsed/>
    <w:rsid w:val="0089355D"/>
    <w:pPr>
      <w:spacing w:after="0" w:line="240" w:lineRule="auto"/>
    </w:pPr>
    <w:rPr>
      <w:sz w:val="20"/>
      <w:szCs w:val="20"/>
    </w:rPr>
  </w:style>
  <w:style w:type="character" w:customStyle="1" w:styleId="FootnoteTextChar">
    <w:name w:val="Footnote Text Char"/>
    <w:basedOn w:val="DefaultParagraphFont"/>
    <w:link w:val="FootnoteText"/>
    <w:uiPriority w:val="99"/>
    <w:rsid w:val="0089355D"/>
    <w:rPr>
      <w:sz w:val="20"/>
      <w:szCs w:val="20"/>
    </w:rPr>
  </w:style>
  <w:style w:type="character" w:styleId="FootnoteReference">
    <w:name w:val="footnote reference"/>
    <w:basedOn w:val="DefaultParagraphFont"/>
    <w:uiPriority w:val="99"/>
    <w:semiHidden/>
    <w:unhideWhenUsed/>
    <w:rsid w:val="0089355D"/>
    <w:rPr>
      <w:vertAlign w:val="superscript"/>
    </w:rPr>
  </w:style>
  <w:style w:type="character" w:customStyle="1" w:styleId="Heading1Char">
    <w:name w:val="Heading 1 Char"/>
    <w:basedOn w:val="DefaultParagraphFont"/>
    <w:link w:val="Heading1"/>
    <w:uiPriority w:val="9"/>
    <w:rsid w:val="009A7B8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7A579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A579C"/>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26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1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1FD2"/>
    <w:rPr>
      <w:b/>
      <w:bCs/>
    </w:rPr>
  </w:style>
  <w:style w:type="paragraph" w:customStyle="1" w:styleId="dx-doi">
    <w:name w:val="dx-doi"/>
    <w:basedOn w:val="Normal"/>
    <w:rsid w:val="000212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21226"/>
    <w:rPr>
      <w:color w:val="0000FF"/>
      <w:u w:val="single"/>
    </w:rPr>
  </w:style>
  <w:style w:type="paragraph" w:customStyle="1" w:styleId="Default">
    <w:name w:val="Default"/>
    <w:rsid w:val="00FB464A"/>
    <w:pPr>
      <w:autoSpaceDE w:val="0"/>
      <w:autoSpaceDN w:val="0"/>
      <w:adjustRightInd w:val="0"/>
      <w:spacing w:after="0" w:line="240" w:lineRule="auto"/>
    </w:pPr>
    <w:rPr>
      <w:rFonts w:ascii="Code" w:hAnsi="Code" w:cs="Code"/>
      <w:color w:val="000000"/>
      <w:sz w:val="24"/>
      <w:szCs w:val="24"/>
    </w:rPr>
  </w:style>
  <w:style w:type="character" w:customStyle="1" w:styleId="contribdegrees">
    <w:name w:val="contribdegrees"/>
    <w:basedOn w:val="DefaultParagraphFont"/>
    <w:rsid w:val="00C04549"/>
  </w:style>
  <w:style w:type="character" w:customStyle="1" w:styleId="publicationcontentepubdate">
    <w:name w:val="publicationcontentepubdate"/>
    <w:basedOn w:val="DefaultParagraphFont"/>
    <w:rsid w:val="00C04549"/>
  </w:style>
  <w:style w:type="character" w:customStyle="1" w:styleId="articletype">
    <w:name w:val="articletype"/>
    <w:basedOn w:val="DefaultParagraphFont"/>
    <w:rsid w:val="00C04549"/>
  </w:style>
  <w:style w:type="character" w:customStyle="1" w:styleId="section">
    <w:name w:val="section"/>
    <w:basedOn w:val="DefaultParagraphFont"/>
    <w:rsid w:val="00C04549"/>
  </w:style>
  <w:style w:type="paragraph" w:styleId="BalloonText">
    <w:name w:val="Balloon Text"/>
    <w:basedOn w:val="Normal"/>
    <w:link w:val="BalloonTextChar"/>
    <w:uiPriority w:val="99"/>
    <w:semiHidden/>
    <w:unhideWhenUsed/>
    <w:rsid w:val="000F1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DCC"/>
    <w:rPr>
      <w:rFonts w:ascii="Segoe UI" w:hAnsi="Segoe UI" w:cs="Segoe UI"/>
      <w:sz w:val="18"/>
      <w:szCs w:val="18"/>
    </w:rPr>
  </w:style>
  <w:style w:type="character" w:styleId="CommentReference">
    <w:name w:val="annotation reference"/>
    <w:basedOn w:val="DefaultParagraphFont"/>
    <w:uiPriority w:val="99"/>
    <w:semiHidden/>
    <w:unhideWhenUsed/>
    <w:rsid w:val="00A52C0D"/>
    <w:rPr>
      <w:sz w:val="16"/>
      <w:szCs w:val="16"/>
    </w:rPr>
  </w:style>
  <w:style w:type="paragraph" w:styleId="CommentText">
    <w:name w:val="annotation text"/>
    <w:basedOn w:val="Normal"/>
    <w:link w:val="CommentTextChar"/>
    <w:uiPriority w:val="99"/>
    <w:semiHidden/>
    <w:unhideWhenUsed/>
    <w:rsid w:val="00A52C0D"/>
    <w:pPr>
      <w:spacing w:line="240" w:lineRule="auto"/>
    </w:pPr>
    <w:rPr>
      <w:sz w:val="20"/>
      <w:szCs w:val="20"/>
    </w:rPr>
  </w:style>
  <w:style w:type="character" w:customStyle="1" w:styleId="CommentTextChar">
    <w:name w:val="Comment Text Char"/>
    <w:basedOn w:val="DefaultParagraphFont"/>
    <w:link w:val="CommentText"/>
    <w:uiPriority w:val="99"/>
    <w:semiHidden/>
    <w:rsid w:val="00A52C0D"/>
    <w:rPr>
      <w:sz w:val="20"/>
      <w:szCs w:val="20"/>
    </w:rPr>
  </w:style>
  <w:style w:type="paragraph" w:styleId="CommentSubject">
    <w:name w:val="annotation subject"/>
    <w:basedOn w:val="CommentText"/>
    <w:next w:val="CommentText"/>
    <w:link w:val="CommentSubjectChar"/>
    <w:uiPriority w:val="99"/>
    <w:semiHidden/>
    <w:unhideWhenUsed/>
    <w:rsid w:val="00A52C0D"/>
    <w:rPr>
      <w:b/>
      <w:bCs/>
    </w:rPr>
  </w:style>
  <w:style w:type="character" w:customStyle="1" w:styleId="CommentSubjectChar">
    <w:name w:val="Comment Subject Char"/>
    <w:basedOn w:val="CommentTextChar"/>
    <w:link w:val="CommentSubject"/>
    <w:uiPriority w:val="99"/>
    <w:semiHidden/>
    <w:rsid w:val="00A52C0D"/>
    <w:rPr>
      <w:b/>
      <w:bCs/>
      <w:sz w:val="20"/>
      <w:szCs w:val="20"/>
    </w:rPr>
  </w:style>
  <w:style w:type="paragraph" w:styleId="ListParagraph">
    <w:name w:val="List Paragraph"/>
    <w:basedOn w:val="Normal"/>
    <w:uiPriority w:val="34"/>
    <w:qFormat/>
    <w:rsid w:val="00472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122">
      <w:bodyDiv w:val="1"/>
      <w:marLeft w:val="0"/>
      <w:marRight w:val="0"/>
      <w:marTop w:val="0"/>
      <w:marBottom w:val="0"/>
      <w:divBdr>
        <w:top w:val="none" w:sz="0" w:space="0" w:color="auto"/>
        <w:left w:val="none" w:sz="0" w:space="0" w:color="auto"/>
        <w:bottom w:val="none" w:sz="0" w:space="0" w:color="auto"/>
        <w:right w:val="none" w:sz="0" w:space="0" w:color="auto"/>
      </w:divBdr>
    </w:div>
    <w:div w:id="214466472">
      <w:bodyDiv w:val="1"/>
      <w:marLeft w:val="0"/>
      <w:marRight w:val="0"/>
      <w:marTop w:val="0"/>
      <w:marBottom w:val="0"/>
      <w:divBdr>
        <w:top w:val="none" w:sz="0" w:space="0" w:color="auto"/>
        <w:left w:val="none" w:sz="0" w:space="0" w:color="auto"/>
        <w:bottom w:val="none" w:sz="0" w:space="0" w:color="auto"/>
        <w:right w:val="none" w:sz="0" w:space="0" w:color="auto"/>
      </w:divBdr>
    </w:div>
    <w:div w:id="385833625">
      <w:bodyDiv w:val="1"/>
      <w:marLeft w:val="0"/>
      <w:marRight w:val="0"/>
      <w:marTop w:val="0"/>
      <w:marBottom w:val="0"/>
      <w:divBdr>
        <w:top w:val="none" w:sz="0" w:space="0" w:color="auto"/>
        <w:left w:val="none" w:sz="0" w:space="0" w:color="auto"/>
        <w:bottom w:val="none" w:sz="0" w:space="0" w:color="auto"/>
        <w:right w:val="none" w:sz="0" w:space="0" w:color="auto"/>
      </w:divBdr>
    </w:div>
    <w:div w:id="843743103">
      <w:bodyDiv w:val="1"/>
      <w:marLeft w:val="0"/>
      <w:marRight w:val="0"/>
      <w:marTop w:val="0"/>
      <w:marBottom w:val="0"/>
      <w:divBdr>
        <w:top w:val="none" w:sz="0" w:space="0" w:color="auto"/>
        <w:left w:val="none" w:sz="0" w:space="0" w:color="auto"/>
        <w:bottom w:val="none" w:sz="0" w:space="0" w:color="auto"/>
        <w:right w:val="none" w:sz="0" w:space="0" w:color="auto"/>
      </w:divBdr>
      <w:divsChild>
        <w:div w:id="1495222400">
          <w:marLeft w:val="0"/>
          <w:marRight w:val="0"/>
          <w:marTop w:val="0"/>
          <w:marBottom w:val="0"/>
          <w:divBdr>
            <w:top w:val="none" w:sz="0" w:space="0" w:color="auto"/>
            <w:left w:val="none" w:sz="0" w:space="0" w:color="auto"/>
            <w:bottom w:val="none" w:sz="0" w:space="0" w:color="auto"/>
            <w:right w:val="none" w:sz="0" w:space="0" w:color="auto"/>
          </w:divBdr>
          <w:divsChild>
            <w:div w:id="1219124656">
              <w:marLeft w:val="0"/>
              <w:marRight w:val="0"/>
              <w:marTop w:val="0"/>
              <w:marBottom w:val="0"/>
              <w:divBdr>
                <w:top w:val="none" w:sz="0" w:space="0" w:color="auto"/>
                <w:left w:val="none" w:sz="0" w:space="0" w:color="auto"/>
                <w:bottom w:val="none" w:sz="0" w:space="0" w:color="auto"/>
                <w:right w:val="none" w:sz="0" w:space="0" w:color="auto"/>
              </w:divBdr>
            </w:div>
          </w:divsChild>
        </w:div>
        <w:div w:id="41830456">
          <w:marLeft w:val="0"/>
          <w:marRight w:val="0"/>
          <w:marTop w:val="0"/>
          <w:marBottom w:val="150"/>
          <w:divBdr>
            <w:top w:val="none" w:sz="0" w:space="0" w:color="auto"/>
            <w:left w:val="none" w:sz="0" w:space="0" w:color="auto"/>
            <w:bottom w:val="none" w:sz="0" w:space="0" w:color="auto"/>
            <w:right w:val="none" w:sz="0" w:space="0" w:color="auto"/>
          </w:divBdr>
          <w:divsChild>
            <w:div w:id="47843502">
              <w:marLeft w:val="0"/>
              <w:marRight w:val="0"/>
              <w:marTop w:val="0"/>
              <w:marBottom w:val="0"/>
              <w:divBdr>
                <w:top w:val="none" w:sz="0" w:space="0" w:color="auto"/>
                <w:left w:val="none" w:sz="0" w:space="0" w:color="auto"/>
                <w:bottom w:val="none" w:sz="0" w:space="0" w:color="auto"/>
                <w:right w:val="none" w:sz="0" w:space="0" w:color="auto"/>
              </w:divBdr>
              <w:divsChild>
                <w:div w:id="1723287190">
                  <w:marLeft w:val="0"/>
                  <w:marRight w:val="0"/>
                  <w:marTop w:val="0"/>
                  <w:marBottom w:val="0"/>
                  <w:divBdr>
                    <w:top w:val="none" w:sz="0" w:space="0" w:color="auto"/>
                    <w:left w:val="none" w:sz="0" w:space="0" w:color="auto"/>
                    <w:bottom w:val="none" w:sz="0" w:space="0" w:color="auto"/>
                    <w:right w:val="none" w:sz="0" w:space="0" w:color="auto"/>
                  </w:divBdr>
                  <w:divsChild>
                    <w:div w:id="20178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236">
          <w:marLeft w:val="0"/>
          <w:marRight w:val="0"/>
          <w:marTop w:val="30"/>
          <w:marBottom w:val="105"/>
          <w:divBdr>
            <w:top w:val="none" w:sz="0" w:space="0" w:color="auto"/>
            <w:left w:val="none" w:sz="0" w:space="0" w:color="auto"/>
            <w:bottom w:val="none" w:sz="0" w:space="0" w:color="auto"/>
            <w:right w:val="none" w:sz="0" w:space="0" w:color="auto"/>
          </w:divBdr>
          <w:divsChild>
            <w:div w:id="1046680794">
              <w:marLeft w:val="0"/>
              <w:marRight w:val="0"/>
              <w:marTop w:val="0"/>
              <w:marBottom w:val="0"/>
              <w:divBdr>
                <w:top w:val="none" w:sz="0" w:space="0" w:color="auto"/>
                <w:left w:val="none" w:sz="0" w:space="0" w:color="auto"/>
                <w:bottom w:val="none" w:sz="0" w:space="0" w:color="auto"/>
                <w:right w:val="none" w:sz="0" w:space="0" w:color="auto"/>
              </w:divBdr>
              <w:divsChild>
                <w:div w:id="74864514">
                  <w:marLeft w:val="0"/>
                  <w:marRight w:val="0"/>
                  <w:marTop w:val="0"/>
                  <w:marBottom w:val="0"/>
                  <w:divBdr>
                    <w:top w:val="none" w:sz="0" w:space="0" w:color="auto"/>
                    <w:left w:val="none" w:sz="0" w:space="0" w:color="auto"/>
                    <w:bottom w:val="none" w:sz="0" w:space="0" w:color="auto"/>
                    <w:right w:val="none" w:sz="0" w:space="0" w:color="auto"/>
                  </w:divBdr>
                  <w:divsChild>
                    <w:div w:id="394013686">
                      <w:marLeft w:val="0"/>
                      <w:marRight w:val="0"/>
                      <w:marTop w:val="0"/>
                      <w:marBottom w:val="0"/>
                      <w:divBdr>
                        <w:top w:val="none" w:sz="0" w:space="0" w:color="auto"/>
                        <w:left w:val="none" w:sz="0" w:space="0" w:color="auto"/>
                        <w:bottom w:val="none" w:sz="0" w:space="0" w:color="auto"/>
                        <w:right w:val="none" w:sz="0" w:space="0" w:color="auto"/>
                      </w:divBdr>
                      <w:divsChild>
                        <w:div w:id="4565310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028608192">
              <w:marLeft w:val="0"/>
              <w:marRight w:val="0"/>
              <w:marTop w:val="0"/>
              <w:marBottom w:val="0"/>
              <w:divBdr>
                <w:top w:val="none" w:sz="0" w:space="0" w:color="auto"/>
                <w:left w:val="none" w:sz="0" w:space="0" w:color="auto"/>
                <w:bottom w:val="none" w:sz="0" w:space="0" w:color="auto"/>
                <w:right w:val="none" w:sz="0" w:space="0" w:color="auto"/>
              </w:divBdr>
              <w:divsChild>
                <w:div w:id="65811298">
                  <w:marLeft w:val="0"/>
                  <w:marRight w:val="0"/>
                  <w:marTop w:val="0"/>
                  <w:marBottom w:val="0"/>
                  <w:divBdr>
                    <w:top w:val="none" w:sz="0" w:space="0" w:color="auto"/>
                    <w:left w:val="none" w:sz="0" w:space="0" w:color="auto"/>
                    <w:bottom w:val="none" w:sz="0" w:space="0" w:color="auto"/>
                    <w:right w:val="none" w:sz="0" w:space="0" w:color="auto"/>
                  </w:divBdr>
                  <w:divsChild>
                    <w:div w:id="1124273069">
                      <w:marLeft w:val="0"/>
                      <w:marRight w:val="0"/>
                      <w:marTop w:val="0"/>
                      <w:marBottom w:val="0"/>
                      <w:divBdr>
                        <w:top w:val="none" w:sz="0" w:space="0" w:color="auto"/>
                        <w:left w:val="none" w:sz="0" w:space="0" w:color="auto"/>
                        <w:bottom w:val="none" w:sz="0" w:space="0" w:color="auto"/>
                        <w:right w:val="none" w:sz="0" w:space="0" w:color="auto"/>
                      </w:divBdr>
                      <w:divsChild>
                        <w:div w:id="1380397942">
                          <w:marLeft w:val="0"/>
                          <w:marRight w:val="0"/>
                          <w:marTop w:val="0"/>
                          <w:marBottom w:val="0"/>
                          <w:divBdr>
                            <w:top w:val="none" w:sz="0" w:space="0" w:color="auto"/>
                            <w:left w:val="none" w:sz="0" w:space="0" w:color="auto"/>
                            <w:bottom w:val="none" w:sz="0" w:space="0" w:color="auto"/>
                            <w:right w:val="none" w:sz="0" w:space="0" w:color="auto"/>
                          </w:divBdr>
                          <w:divsChild>
                            <w:div w:id="1991977312">
                              <w:marLeft w:val="0"/>
                              <w:marRight w:val="0"/>
                              <w:marTop w:val="0"/>
                              <w:marBottom w:val="0"/>
                              <w:divBdr>
                                <w:top w:val="none" w:sz="0" w:space="0" w:color="auto"/>
                                <w:left w:val="none" w:sz="0" w:space="0" w:color="auto"/>
                                <w:bottom w:val="none" w:sz="0" w:space="0" w:color="auto"/>
                                <w:right w:val="none" w:sz="0" w:space="0" w:color="auto"/>
                              </w:divBdr>
                              <w:divsChild>
                                <w:div w:id="952058330">
                                  <w:marLeft w:val="0"/>
                                  <w:marRight w:val="0"/>
                                  <w:marTop w:val="0"/>
                                  <w:marBottom w:val="0"/>
                                  <w:divBdr>
                                    <w:top w:val="none" w:sz="0" w:space="0" w:color="auto"/>
                                    <w:left w:val="none" w:sz="0" w:space="0" w:color="auto"/>
                                    <w:bottom w:val="none" w:sz="0" w:space="0" w:color="auto"/>
                                    <w:right w:val="none" w:sz="0" w:space="0" w:color="auto"/>
                                  </w:divBdr>
                                  <w:divsChild>
                                    <w:div w:id="1143815528">
                                      <w:marLeft w:val="0"/>
                                      <w:marRight w:val="0"/>
                                      <w:marTop w:val="0"/>
                                      <w:marBottom w:val="0"/>
                                      <w:divBdr>
                                        <w:top w:val="none" w:sz="0" w:space="0" w:color="auto"/>
                                        <w:left w:val="none" w:sz="0" w:space="0" w:color="auto"/>
                                        <w:bottom w:val="none" w:sz="0" w:space="0" w:color="auto"/>
                                        <w:right w:val="none" w:sz="0" w:space="0" w:color="auto"/>
                                      </w:divBdr>
                                      <w:divsChild>
                                        <w:div w:id="1048915526">
                                          <w:marLeft w:val="0"/>
                                          <w:marRight w:val="0"/>
                                          <w:marTop w:val="0"/>
                                          <w:marBottom w:val="0"/>
                                          <w:divBdr>
                                            <w:top w:val="none" w:sz="0" w:space="0" w:color="auto"/>
                                            <w:left w:val="none" w:sz="0" w:space="0" w:color="auto"/>
                                            <w:bottom w:val="none" w:sz="0" w:space="0" w:color="auto"/>
                                            <w:right w:val="none" w:sz="0" w:space="0" w:color="auto"/>
                                          </w:divBdr>
                                          <w:divsChild>
                                            <w:div w:id="644702767">
                                              <w:marLeft w:val="0"/>
                                              <w:marRight w:val="0"/>
                                              <w:marTop w:val="0"/>
                                              <w:marBottom w:val="0"/>
                                              <w:divBdr>
                                                <w:top w:val="none" w:sz="0" w:space="0" w:color="auto"/>
                                                <w:left w:val="none" w:sz="0" w:space="0" w:color="auto"/>
                                                <w:bottom w:val="none" w:sz="0" w:space="0" w:color="auto"/>
                                                <w:right w:val="none" w:sz="0" w:space="0" w:color="auto"/>
                                              </w:divBdr>
                                              <w:divsChild>
                                                <w:div w:id="78140543">
                                                  <w:marLeft w:val="0"/>
                                                  <w:marRight w:val="0"/>
                                                  <w:marTop w:val="0"/>
                                                  <w:marBottom w:val="0"/>
                                                  <w:divBdr>
                                                    <w:top w:val="none" w:sz="0" w:space="0" w:color="auto"/>
                                                    <w:left w:val="none" w:sz="0" w:space="0" w:color="auto"/>
                                                    <w:bottom w:val="none" w:sz="0" w:space="0" w:color="auto"/>
                                                    <w:right w:val="none" w:sz="0" w:space="0" w:color="auto"/>
                                                  </w:divBdr>
                                                  <w:divsChild>
                                                    <w:div w:id="2054966192">
                                                      <w:marLeft w:val="0"/>
                                                      <w:marRight w:val="0"/>
                                                      <w:marTop w:val="0"/>
                                                      <w:marBottom w:val="0"/>
                                                      <w:divBdr>
                                                        <w:top w:val="none" w:sz="0" w:space="0" w:color="auto"/>
                                                        <w:left w:val="none" w:sz="0" w:space="0" w:color="auto"/>
                                                        <w:bottom w:val="none" w:sz="0" w:space="0" w:color="auto"/>
                                                        <w:right w:val="none" w:sz="0" w:space="0" w:color="auto"/>
                                                      </w:divBdr>
                                                      <w:divsChild>
                                                        <w:div w:id="744960390">
                                                          <w:marLeft w:val="0"/>
                                                          <w:marRight w:val="0"/>
                                                          <w:marTop w:val="0"/>
                                                          <w:marBottom w:val="0"/>
                                                          <w:divBdr>
                                                            <w:top w:val="none" w:sz="0" w:space="0" w:color="auto"/>
                                                            <w:left w:val="none" w:sz="0" w:space="0" w:color="auto"/>
                                                            <w:bottom w:val="none" w:sz="0" w:space="0" w:color="auto"/>
                                                            <w:right w:val="none" w:sz="0" w:space="0" w:color="auto"/>
                                                          </w:divBdr>
                                                          <w:divsChild>
                                                            <w:div w:id="1047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635">
                                                      <w:marLeft w:val="0"/>
                                                      <w:marRight w:val="0"/>
                                                      <w:marTop w:val="75"/>
                                                      <w:marBottom w:val="75"/>
                                                      <w:divBdr>
                                                        <w:top w:val="none" w:sz="0" w:space="0" w:color="auto"/>
                                                        <w:left w:val="none" w:sz="0" w:space="0" w:color="auto"/>
                                                        <w:bottom w:val="none" w:sz="0" w:space="0" w:color="auto"/>
                                                        <w:right w:val="none" w:sz="0" w:space="0" w:color="auto"/>
                                                      </w:divBdr>
                                                      <w:divsChild>
                                                        <w:div w:id="1913542086">
                                                          <w:marLeft w:val="0"/>
                                                          <w:marRight w:val="0"/>
                                                          <w:marTop w:val="0"/>
                                                          <w:marBottom w:val="0"/>
                                                          <w:divBdr>
                                                            <w:top w:val="none" w:sz="0" w:space="0" w:color="auto"/>
                                                            <w:left w:val="none" w:sz="0" w:space="0" w:color="auto"/>
                                                            <w:bottom w:val="none" w:sz="0" w:space="0" w:color="auto"/>
                                                            <w:right w:val="none" w:sz="0" w:space="0" w:color="auto"/>
                                                          </w:divBdr>
                                                          <w:divsChild>
                                                            <w:div w:id="1372879053">
                                                              <w:marLeft w:val="0"/>
                                                              <w:marRight w:val="0"/>
                                                              <w:marTop w:val="0"/>
                                                              <w:marBottom w:val="0"/>
                                                              <w:divBdr>
                                                                <w:top w:val="none" w:sz="0" w:space="0" w:color="auto"/>
                                                                <w:left w:val="none" w:sz="0" w:space="0" w:color="auto"/>
                                                                <w:bottom w:val="none" w:sz="0" w:space="0" w:color="auto"/>
                                                                <w:right w:val="none" w:sz="0" w:space="0" w:color="auto"/>
                                                              </w:divBdr>
                                                              <w:divsChild>
                                                                <w:div w:id="9724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878418">
                                      <w:marLeft w:val="0"/>
                                      <w:marRight w:val="0"/>
                                      <w:marTop w:val="0"/>
                                      <w:marBottom w:val="0"/>
                                      <w:divBdr>
                                        <w:top w:val="none" w:sz="0" w:space="0" w:color="auto"/>
                                        <w:left w:val="none" w:sz="0" w:space="0" w:color="auto"/>
                                        <w:bottom w:val="none" w:sz="0" w:space="0" w:color="auto"/>
                                        <w:right w:val="none" w:sz="0" w:space="0" w:color="auto"/>
                                      </w:divBdr>
                                      <w:divsChild>
                                        <w:div w:id="565647845">
                                          <w:marLeft w:val="0"/>
                                          <w:marRight w:val="0"/>
                                          <w:marTop w:val="0"/>
                                          <w:marBottom w:val="0"/>
                                          <w:divBdr>
                                            <w:top w:val="none" w:sz="0" w:space="0" w:color="auto"/>
                                            <w:left w:val="none" w:sz="0" w:space="0" w:color="auto"/>
                                            <w:bottom w:val="none" w:sz="0" w:space="0" w:color="auto"/>
                                            <w:right w:val="none" w:sz="0" w:space="0" w:color="auto"/>
                                          </w:divBdr>
                                          <w:divsChild>
                                            <w:div w:id="515995477">
                                              <w:marLeft w:val="0"/>
                                              <w:marRight w:val="0"/>
                                              <w:marTop w:val="0"/>
                                              <w:marBottom w:val="0"/>
                                              <w:divBdr>
                                                <w:top w:val="none" w:sz="0" w:space="0" w:color="auto"/>
                                                <w:left w:val="none" w:sz="0" w:space="0" w:color="auto"/>
                                                <w:bottom w:val="none" w:sz="0" w:space="0" w:color="auto"/>
                                                <w:right w:val="none" w:sz="0" w:space="0" w:color="auto"/>
                                              </w:divBdr>
                                              <w:divsChild>
                                                <w:div w:id="1876967189">
                                                  <w:marLeft w:val="0"/>
                                                  <w:marRight w:val="0"/>
                                                  <w:marTop w:val="150"/>
                                                  <w:marBottom w:val="0"/>
                                                  <w:divBdr>
                                                    <w:top w:val="none" w:sz="0" w:space="0" w:color="auto"/>
                                                    <w:left w:val="none" w:sz="0" w:space="0" w:color="auto"/>
                                                    <w:bottom w:val="none" w:sz="0" w:space="0" w:color="auto"/>
                                                    <w:right w:val="none" w:sz="0" w:space="0" w:color="auto"/>
                                                  </w:divBdr>
                                                  <w:divsChild>
                                                    <w:div w:id="1187673164">
                                                      <w:marLeft w:val="0"/>
                                                      <w:marRight w:val="0"/>
                                                      <w:marTop w:val="0"/>
                                                      <w:marBottom w:val="0"/>
                                                      <w:divBdr>
                                                        <w:top w:val="none" w:sz="0" w:space="0" w:color="auto"/>
                                                        <w:left w:val="none" w:sz="0" w:space="0" w:color="auto"/>
                                                        <w:bottom w:val="none" w:sz="0" w:space="0" w:color="auto"/>
                                                        <w:right w:val="none" w:sz="0" w:space="0" w:color="auto"/>
                                                      </w:divBdr>
                                                    </w:div>
                                                    <w:div w:id="10715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610786">
      <w:bodyDiv w:val="1"/>
      <w:marLeft w:val="0"/>
      <w:marRight w:val="0"/>
      <w:marTop w:val="0"/>
      <w:marBottom w:val="0"/>
      <w:divBdr>
        <w:top w:val="none" w:sz="0" w:space="0" w:color="auto"/>
        <w:left w:val="none" w:sz="0" w:space="0" w:color="auto"/>
        <w:bottom w:val="none" w:sz="0" w:space="0" w:color="auto"/>
        <w:right w:val="none" w:sz="0" w:space="0" w:color="auto"/>
      </w:divBdr>
    </w:div>
    <w:div w:id="866871441">
      <w:bodyDiv w:val="1"/>
      <w:marLeft w:val="0"/>
      <w:marRight w:val="0"/>
      <w:marTop w:val="0"/>
      <w:marBottom w:val="0"/>
      <w:divBdr>
        <w:top w:val="none" w:sz="0" w:space="0" w:color="auto"/>
        <w:left w:val="none" w:sz="0" w:space="0" w:color="auto"/>
        <w:bottom w:val="none" w:sz="0" w:space="0" w:color="auto"/>
        <w:right w:val="none" w:sz="0" w:space="0" w:color="auto"/>
      </w:divBdr>
    </w:div>
    <w:div w:id="2054619501">
      <w:bodyDiv w:val="1"/>
      <w:marLeft w:val="0"/>
      <w:marRight w:val="0"/>
      <w:marTop w:val="0"/>
      <w:marBottom w:val="0"/>
      <w:divBdr>
        <w:top w:val="none" w:sz="0" w:space="0" w:color="auto"/>
        <w:left w:val="none" w:sz="0" w:space="0" w:color="auto"/>
        <w:bottom w:val="none" w:sz="0" w:space="0" w:color="auto"/>
        <w:right w:val="none" w:sz="0" w:space="0" w:color="auto"/>
      </w:divBdr>
      <w:divsChild>
        <w:div w:id="1471749244">
          <w:marLeft w:val="0"/>
          <w:marRight w:val="0"/>
          <w:marTop w:val="0"/>
          <w:marBottom w:val="0"/>
          <w:divBdr>
            <w:top w:val="none" w:sz="0" w:space="0" w:color="auto"/>
            <w:left w:val="none" w:sz="0" w:space="0" w:color="auto"/>
            <w:bottom w:val="none" w:sz="0" w:space="0" w:color="auto"/>
            <w:right w:val="none" w:sz="0" w:space="0" w:color="auto"/>
          </w:divBdr>
        </w:div>
        <w:div w:id="1191839419">
          <w:marLeft w:val="0"/>
          <w:marRight w:val="0"/>
          <w:marTop w:val="0"/>
          <w:marBottom w:val="0"/>
          <w:divBdr>
            <w:top w:val="none" w:sz="0" w:space="0" w:color="auto"/>
            <w:left w:val="none" w:sz="0" w:space="0" w:color="auto"/>
            <w:bottom w:val="none" w:sz="0" w:space="0" w:color="auto"/>
            <w:right w:val="none" w:sz="0" w:space="0" w:color="auto"/>
          </w:divBdr>
        </w:div>
        <w:div w:id="1303734411">
          <w:marLeft w:val="0"/>
          <w:marRight w:val="0"/>
          <w:marTop w:val="0"/>
          <w:marBottom w:val="0"/>
          <w:divBdr>
            <w:top w:val="none" w:sz="0" w:space="0" w:color="auto"/>
            <w:left w:val="none" w:sz="0" w:space="0" w:color="auto"/>
            <w:bottom w:val="none" w:sz="0" w:space="0" w:color="auto"/>
            <w:right w:val="none" w:sz="0" w:space="0" w:color="auto"/>
          </w:divBdr>
        </w:div>
        <w:div w:id="1183276306">
          <w:marLeft w:val="0"/>
          <w:marRight w:val="0"/>
          <w:marTop w:val="0"/>
          <w:marBottom w:val="0"/>
          <w:divBdr>
            <w:top w:val="none" w:sz="0" w:space="0" w:color="auto"/>
            <w:left w:val="none" w:sz="0" w:space="0" w:color="auto"/>
            <w:bottom w:val="none" w:sz="0" w:space="0" w:color="auto"/>
            <w:right w:val="none" w:sz="0" w:space="0" w:color="auto"/>
          </w:divBdr>
        </w:div>
        <w:div w:id="248396054">
          <w:marLeft w:val="0"/>
          <w:marRight w:val="0"/>
          <w:marTop w:val="0"/>
          <w:marBottom w:val="0"/>
          <w:divBdr>
            <w:top w:val="none" w:sz="0" w:space="0" w:color="auto"/>
            <w:left w:val="none" w:sz="0" w:space="0" w:color="auto"/>
            <w:bottom w:val="none" w:sz="0" w:space="0" w:color="auto"/>
            <w:right w:val="none" w:sz="0" w:space="0" w:color="auto"/>
          </w:divBdr>
        </w:div>
        <w:div w:id="417675675">
          <w:marLeft w:val="0"/>
          <w:marRight w:val="0"/>
          <w:marTop w:val="0"/>
          <w:marBottom w:val="0"/>
          <w:divBdr>
            <w:top w:val="none" w:sz="0" w:space="0" w:color="auto"/>
            <w:left w:val="none" w:sz="0" w:space="0" w:color="auto"/>
            <w:bottom w:val="none" w:sz="0" w:space="0" w:color="auto"/>
            <w:right w:val="none" w:sz="0" w:space="0" w:color="auto"/>
          </w:divBdr>
        </w:div>
        <w:div w:id="47649099">
          <w:marLeft w:val="0"/>
          <w:marRight w:val="0"/>
          <w:marTop w:val="0"/>
          <w:marBottom w:val="0"/>
          <w:divBdr>
            <w:top w:val="none" w:sz="0" w:space="0" w:color="auto"/>
            <w:left w:val="none" w:sz="0" w:space="0" w:color="auto"/>
            <w:bottom w:val="none" w:sz="0" w:space="0" w:color="auto"/>
            <w:right w:val="none" w:sz="0" w:space="0" w:color="auto"/>
          </w:divBdr>
        </w:div>
      </w:divsChild>
    </w:div>
    <w:div w:id="21349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076791.2019.15778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A9E6-CC02-4BF9-964D-6BB0CAB6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10965</Words>
  <Characters>62502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Fowler</dc:creator>
  <cp:keywords/>
  <dc:description/>
  <cp:lastModifiedBy>James Fowler</cp:lastModifiedBy>
  <cp:revision>12</cp:revision>
  <dcterms:created xsi:type="dcterms:W3CDTF">2021-04-11T10:51:00Z</dcterms:created>
  <dcterms:modified xsi:type="dcterms:W3CDTF">2021-04-19T16:11:00Z</dcterms:modified>
</cp:coreProperties>
</file>