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F5ED" w14:textId="5AD84D4B" w:rsidR="00107C47" w:rsidRPr="00E96FA8" w:rsidRDefault="008F6CFC" w:rsidP="00E96FA8">
      <w:pPr>
        <w:pStyle w:val="Titre1"/>
        <w:jc w:val="center"/>
        <w:rPr>
          <w:lang w:val="en-US"/>
        </w:rPr>
      </w:pPr>
      <w:r w:rsidRPr="00E96FA8">
        <w:rPr>
          <w:lang w:val="en-US"/>
        </w:rPr>
        <w:t xml:space="preserve">Cost-effectiveness of </w:t>
      </w:r>
      <w:r w:rsidR="00C24E7B" w:rsidRPr="00E96FA8">
        <w:rPr>
          <w:lang w:val="en-US"/>
        </w:rPr>
        <w:t xml:space="preserve">spinal muscular atrophy </w:t>
      </w:r>
      <w:r w:rsidRPr="00E96FA8">
        <w:rPr>
          <w:lang w:val="en-US"/>
        </w:rPr>
        <w:t>newborn screening</w:t>
      </w:r>
      <w:r w:rsidR="001D4C1E">
        <w:rPr>
          <w:lang w:val="en-US"/>
        </w:rPr>
        <w:t xml:space="preserve"> </w:t>
      </w:r>
      <w:r w:rsidR="00C24E7B">
        <w:rPr>
          <w:lang w:val="en-US"/>
        </w:rPr>
        <w:t xml:space="preserve">based on </w:t>
      </w:r>
      <w:r w:rsidR="0071779D">
        <w:rPr>
          <w:lang w:val="en-US"/>
        </w:rPr>
        <w:t>real-</w:t>
      </w:r>
      <w:r w:rsidR="00C24E7B">
        <w:rPr>
          <w:lang w:val="en-US"/>
        </w:rPr>
        <w:t>world</w:t>
      </w:r>
      <w:r w:rsidR="0071779D" w:rsidRPr="00E96FA8">
        <w:rPr>
          <w:lang w:val="en-US"/>
        </w:rPr>
        <w:t xml:space="preserve"> </w:t>
      </w:r>
      <w:r w:rsidR="000C48B8">
        <w:rPr>
          <w:lang w:val="en-US"/>
        </w:rPr>
        <w:t>data</w:t>
      </w:r>
      <w:r w:rsidR="009B0AF4">
        <w:rPr>
          <w:lang w:val="en-US"/>
        </w:rPr>
        <w:t xml:space="preserve"> in </w:t>
      </w:r>
      <w:proofErr w:type="gramStart"/>
      <w:r w:rsidR="009B0AF4">
        <w:rPr>
          <w:lang w:val="en-US"/>
        </w:rPr>
        <w:t>Belgium</w:t>
      </w:r>
      <w:proofErr w:type="gramEnd"/>
    </w:p>
    <w:p w14:paraId="4B69E665" w14:textId="77777777" w:rsidR="0012792D" w:rsidRDefault="0012792D" w:rsidP="00E30FA8">
      <w:pPr>
        <w:jc w:val="both"/>
        <w:rPr>
          <w:lang w:val="en-US"/>
        </w:rPr>
      </w:pPr>
    </w:p>
    <w:p w14:paraId="4DF4EA04" w14:textId="5005DD23" w:rsidR="00E30FA8" w:rsidRPr="00A831D5" w:rsidRDefault="00E30FA8" w:rsidP="00E30FA8">
      <w:pPr>
        <w:jc w:val="both"/>
        <w:rPr>
          <w:lang w:val="en-US"/>
        </w:rPr>
      </w:pPr>
      <w:r w:rsidRPr="00A831D5">
        <w:rPr>
          <w:lang w:val="en-US"/>
        </w:rPr>
        <w:t>Tamara Dangouloff</w:t>
      </w:r>
      <w:r w:rsidRPr="00A831D5">
        <w:rPr>
          <w:vertAlign w:val="superscript"/>
          <w:lang w:val="en-US"/>
        </w:rPr>
        <w:t>1</w:t>
      </w:r>
      <w:r w:rsidRPr="00A831D5">
        <w:rPr>
          <w:lang w:val="en-US"/>
        </w:rPr>
        <w:t xml:space="preserve">, Praveen </w:t>
      </w:r>
      <w:r w:rsidRPr="00A831D5">
        <w:rPr>
          <w:color w:val="000000"/>
          <w:lang w:val="en-US"/>
        </w:rPr>
        <w:t>Thokala</w:t>
      </w:r>
      <w:r w:rsidRPr="00A831D5">
        <w:rPr>
          <w:color w:val="000000"/>
          <w:vertAlign w:val="superscript"/>
          <w:lang w:val="en-US"/>
        </w:rPr>
        <w:t>2</w:t>
      </w:r>
      <w:r w:rsidRPr="00A831D5">
        <w:rPr>
          <w:color w:val="000000"/>
          <w:lang w:val="en-US"/>
        </w:rPr>
        <w:t>, Matthew D Stevenson</w:t>
      </w:r>
      <w:r w:rsidRPr="00A831D5">
        <w:rPr>
          <w:color w:val="000000"/>
          <w:vertAlign w:val="superscript"/>
          <w:lang w:val="en-US"/>
        </w:rPr>
        <w:t>2</w:t>
      </w:r>
      <w:r w:rsidRPr="00A831D5">
        <w:rPr>
          <w:color w:val="000000"/>
          <w:lang w:val="en-US"/>
        </w:rPr>
        <w:t>,</w:t>
      </w:r>
      <w:r w:rsidRPr="00A831D5">
        <w:rPr>
          <w:lang w:val="en-GB"/>
        </w:rPr>
        <w:t xml:space="preserve"> Nicolas Deconinck</w:t>
      </w:r>
      <w:r w:rsidRPr="00A831D5">
        <w:rPr>
          <w:vertAlign w:val="superscript"/>
          <w:lang w:val="en-GB"/>
        </w:rPr>
        <w:t>3</w:t>
      </w:r>
      <w:r w:rsidRPr="00A831D5">
        <w:rPr>
          <w:lang w:val="en-GB"/>
        </w:rPr>
        <w:t>, Adèle D’Amico</w:t>
      </w:r>
      <w:r w:rsidRPr="00A831D5">
        <w:rPr>
          <w:vertAlign w:val="superscript"/>
          <w:lang w:val="en-GB"/>
        </w:rPr>
        <w:t>4</w:t>
      </w:r>
      <w:r w:rsidRPr="006D3858">
        <w:rPr>
          <w:lang w:val="en-GB"/>
        </w:rPr>
        <w:t xml:space="preserve">, </w:t>
      </w:r>
      <w:r w:rsidRPr="00A831D5">
        <w:rPr>
          <w:lang w:val="en-GB"/>
        </w:rPr>
        <w:t>Aurore Daron</w:t>
      </w:r>
      <w:r w:rsidRPr="00A831D5">
        <w:rPr>
          <w:vertAlign w:val="superscript"/>
          <w:lang w:val="en-GB"/>
        </w:rPr>
        <w:t>1</w:t>
      </w:r>
      <w:r w:rsidRPr="00A831D5">
        <w:rPr>
          <w:lang w:val="en-GB"/>
        </w:rPr>
        <w:t>,</w:t>
      </w:r>
      <w:r>
        <w:rPr>
          <w:lang w:val="en-GB"/>
        </w:rPr>
        <w:t xml:space="preserve"> Stephanie Delstanche</w:t>
      </w:r>
      <w:r>
        <w:rPr>
          <w:vertAlign w:val="superscript"/>
          <w:lang w:val="en-GB"/>
        </w:rPr>
        <w:t>1</w:t>
      </w:r>
      <w:r>
        <w:rPr>
          <w:lang w:val="en-GB"/>
        </w:rPr>
        <w:t>,</w:t>
      </w:r>
      <w:r w:rsidRPr="00A831D5">
        <w:rPr>
          <w:lang w:val="en-GB"/>
        </w:rPr>
        <w:t xml:space="preserve"> </w:t>
      </w:r>
      <w:r w:rsidRPr="00A831D5">
        <w:rPr>
          <w:lang w:val="en-US"/>
        </w:rPr>
        <w:t>Laurent Servais</w:t>
      </w:r>
      <w:r w:rsidRPr="00A831D5">
        <w:rPr>
          <w:vertAlign w:val="superscript"/>
          <w:lang w:val="en-US"/>
        </w:rPr>
        <w:t xml:space="preserve"> 1-5</w:t>
      </w:r>
      <w:r w:rsidRPr="00A831D5">
        <w:rPr>
          <w:lang w:val="en-US"/>
        </w:rPr>
        <w:t>,</w:t>
      </w:r>
      <w:r w:rsidRPr="00A831D5">
        <w:rPr>
          <w:vertAlign w:val="superscript"/>
          <w:lang w:val="en-US"/>
        </w:rPr>
        <w:t xml:space="preserve"> </w:t>
      </w:r>
      <w:r w:rsidR="0063739D">
        <w:rPr>
          <w:lang w:val="en-US"/>
        </w:rPr>
        <w:t xml:space="preserve">and </w:t>
      </w:r>
      <w:r w:rsidRPr="00A831D5">
        <w:rPr>
          <w:lang w:val="en-US"/>
        </w:rPr>
        <w:t>Mickael Hiligsmann</w:t>
      </w:r>
      <w:r w:rsidRPr="00A831D5">
        <w:rPr>
          <w:vertAlign w:val="superscript"/>
          <w:lang w:val="en-US"/>
        </w:rPr>
        <w:t>6</w:t>
      </w:r>
    </w:p>
    <w:p w14:paraId="47C2827B" w14:textId="77777777" w:rsidR="00E30FA8" w:rsidRPr="00A831D5" w:rsidRDefault="00E30FA8" w:rsidP="00E30FA8">
      <w:pPr>
        <w:jc w:val="both"/>
        <w:rPr>
          <w:lang w:val="en-US"/>
        </w:rPr>
      </w:pPr>
    </w:p>
    <w:p w14:paraId="0C14902A" w14:textId="63DF1268" w:rsidR="00E30FA8" w:rsidRPr="000C48B8" w:rsidRDefault="00E30FA8" w:rsidP="00D13669">
      <w:pPr>
        <w:pStyle w:val="Listepuces"/>
        <w:spacing w:after="0" w:line="240" w:lineRule="auto"/>
        <w:ind w:left="568" w:hanging="284"/>
        <w:rPr>
          <w:sz w:val="21"/>
          <w:szCs w:val="21"/>
          <w:shd w:val="clear" w:color="auto" w:fill="FFFFFF"/>
        </w:rPr>
      </w:pPr>
      <w:r w:rsidRPr="000C48B8">
        <w:rPr>
          <w:sz w:val="21"/>
          <w:szCs w:val="21"/>
          <w:shd w:val="clear" w:color="auto" w:fill="FFFFFF"/>
        </w:rPr>
        <w:t>Neuromuscular Reference Center, Department of Paediatrics, University Hospital Liège &amp; University of Liège, Belgium</w:t>
      </w:r>
    </w:p>
    <w:p w14:paraId="0BEB48D1" w14:textId="77777777" w:rsidR="00E30FA8" w:rsidRPr="000C48B8" w:rsidRDefault="00E30FA8" w:rsidP="00D13669">
      <w:pPr>
        <w:pStyle w:val="Paragraphedeliste"/>
        <w:numPr>
          <w:ilvl w:val="0"/>
          <w:numId w:val="1"/>
        </w:numPr>
        <w:ind w:left="568" w:hanging="284"/>
        <w:rPr>
          <w:sz w:val="21"/>
          <w:szCs w:val="21"/>
          <w:lang w:val="en-US"/>
        </w:rPr>
      </w:pPr>
      <w:r w:rsidRPr="000C48B8">
        <w:rPr>
          <w:sz w:val="21"/>
          <w:szCs w:val="21"/>
          <w:lang w:val="en-US"/>
        </w:rPr>
        <w:t>Health Economics and Decision Science, School of Health and Related Research, University of Sheffield, Sheffield, UK</w:t>
      </w:r>
    </w:p>
    <w:p w14:paraId="5C553E2F" w14:textId="77777777" w:rsidR="00E30FA8" w:rsidRPr="000C48B8" w:rsidRDefault="00E30FA8" w:rsidP="00E30FA8">
      <w:pPr>
        <w:pStyle w:val="Listepuces"/>
        <w:spacing w:after="0" w:line="240" w:lineRule="auto"/>
        <w:rPr>
          <w:rFonts w:cs="Arial"/>
          <w:sz w:val="21"/>
          <w:szCs w:val="21"/>
          <w:shd w:val="clear" w:color="auto" w:fill="FFFFFF"/>
          <w:lang w:val="fr-BE"/>
        </w:rPr>
      </w:pPr>
      <w:proofErr w:type="spellStart"/>
      <w:r w:rsidRPr="000C48B8">
        <w:rPr>
          <w:rFonts w:cs="Arial"/>
          <w:sz w:val="21"/>
          <w:szCs w:val="21"/>
          <w:shd w:val="clear" w:color="auto" w:fill="FFFFFF"/>
          <w:lang w:val="fr-BE"/>
        </w:rPr>
        <w:t>Neuromuscular</w:t>
      </w:r>
      <w:proofErr w:type="spellEnd"/>
      <w:r w:rsidRPr="000C48B8">
        <w:rPr>
          <w:rFonts w:cs="Arial"/>
          <w:sz w:val="21"/>
          <w:szCs w:val="21"/>
          <w:shd w:val="clear" w:color="auto" w:fill="FFFFFF"/>
          <w:lang w:val="fr-BE"/>
        </w:rPr>
        <w:t xml:space="preserve"> Reference Center and Paediatric </w:t>
      </w:r>
      <w:proofErr w:type="spellStart"/>
      <w:r w:rsidRPr="000C48B8">
        <w:rPr>
          <w:rFonts w:cs="Arial"/>
          <w:sz w:val="21"/>
          <w:szCs w:val="21"/>
          <w:shd w:val="clear" w:color="auto" w:fill="FFFFFF"/>
          <w:lang w:val="fr-BE"/>
        </w:rPr>
        <w:t>Neurology</w:t>
      </w:r>
      <w:proofErr w:type="spellEnd"/>
      <w:r w:rsidRPr="000C48B8">
        <w:rPr>
          <w:rFonts w:cs="Arial"/>
          <w:sz w:val="21"/>
          <w:szCs w:val="21"/>
          <w:shd w:val="clear" w:color="auto" w:fill="FFFFFF"/>
          <w:lang w:val="fr-BE"/>
        </w:rPr>
        <w:t xml:space="preserve"> </w:t>
      </w:r>
      <w:proofErr w:type="spellStart"/>
      <w:r w:rsidRPr="000C48B8">
        <w:rPr>
          <w:rFonts w:cs="Arial"/>
          <w:sz w:val="21"/>
          <w:szCs w:val="21"/>
          <w:shd w:val="clear" w:color="auto" w:fill="FFFFFF"/>
          <w:lang w:val="fr-BE"/>
        </w:rPr>
        <w:t>Department</w:t>
      </w:r>
      <w:proofErr w:type="spellEnd"/>
      <w:r w:rsidRPr="000C48B8">
        <w:rPr>
          <w:rFonts w:cs="Arial"/>
          <w:sz w:val="21"/>
          <w:szCs w:val="21"/>
          <w:shd w:val="clear" w:color="auto" w:fill="FFFFFF"/>
          <w:lang w:val="fr-BE"/>
        </w:rPr>
        <w:t xml:space="preserve">, Hôpital des Enfants Reine Fabiola (HUDERF), Université Libre de Bruxelles, Brussels, </w:t>
      </w:r>
      <w:proofErr w:type="spellStart"/>
      <w:r w:rsidRPr="000C48B8">
        <w:rPr>
          <w:rFonts w:cs="Arial"/>
          <w:sz w:val="21"/>
          <w:szCs w:val="21"/>
          <w:shd w:val="clear" w:color="auto" w:fill="FFFFFF"/>
          <w:lang w:val="fr-BE"/>
        </w:rPr>
        <w:t>Belgium</w:t>
      </w:r>
      <w:proofErr w:type="spellEnd"/>
    </w:p>
    <w:p w14:paraId="4D3F7D1F" w14:textId="12185C31" w:rsidR="00E30FA8" w:rsidRPr="000C48B8" w:rsidRDefault="00E30FA8" w:rsidP="00E30FA8">
      <w:pPr>
        <w:pStyle w:val="Listepuces"/>
        <w:spacing w:after="0" w:line="240" w:lineRule="auto"/>
        <w:rPr>
          <w:rFonts w:cs="Arial"/>
          <w:sz w:val="21"/>
          <w:szCs w:val="21"/>
          <w:shd w:val="clear" w:color="auto" w:fill="FFFFFF"/>
        </w:rPr>
      </w:pPr>
      <w:r w:rsidRPr="000C48B8">
        <w:rPr>
          <w:rFonts w:cs="Arial"/>
          <w:sz w:val="21"/>
          <w:szCs w:val="21"/>
          <w:shd w:val="clear" w:color="auto" w:fill="FFFFFF"/>
        </w:rPr>
        <w:t xml:space="preserve">Unit of Neuromuscular and Neurodegenerative Disorders, </w:t>
      </w:r>
      <w:r w:rsidR="00A00CBC">
        <w:rPr>
          <w:rFonts w:cs="Arial"/>
          <w:sz w:val="21"/>
          <w:szCs w:val="21"/>
          <w:shd w:val="clear" w:color="auto" w:fill="FFFFFF"/>
        </w:rPr>
        <w:t>I</w:t>
      </w:r>
      <w:r w:rsidRPr="000C48B8">
        <w:rPr>
          <w:rFonts w:cs="Arial"/>
          <w:sz w:val="21"/>
          <w:szCs w:val="21"/>
          <w:shd w:val="clear" w:color="auto" w:fill="FFFFFF"/>
        </w:rPr>
        <w:t xml:space="preserve">RCCS Bambino </w:t>
      </w:r>
      <w:proofErr w:type="spellStart"/>
      <w:r w:rsidRPr="000C48B8">
        <w:rPr>
          <w:rFonts w:cs="Arial"/>
          <w:sz w:val="21"/>
          <w:szCs w:val="21"/>
          <w:shd w:val="clear" w:color="auto" w:fill="FFFFFF"/>
        </w:rPr>
        <w:t>Gesù</w:t>
      </w:r>
      <w:proofErr w:type="spellEnd"/>
      <w:r w:rsidRPr="000C48B8">
        <w:rPr>
          <w:rFonts w:cs="Arial"/>
          <w:sz w:val="21"/>
          <w:szCs w:val="21"/>
          <w:shd w:val="clear" w:color="auto" w:fill="FFFFFF"/>
        </w:rPr>
        <w:t xml:space="preserve"> Children's Hospital, Rome, Italy</w:t>
      </w:r>
    </w:p>
    <w:p w14:paraId="17AFE542" w14:textId="78CD99F6" w:rsidR="00E30FA8" w:rsidRPr="000C48B8" w:rsidRDefault="00E30FA8" w:rsidP="00E30FA8">
      <w:pPr>
        <w:pStyle w:val="Paragraphedeliste"/>
        <w:numPr>
          <w:ilvl w:val="0"/>
          <w:numId w:val="1"/>
        </w:numPr>
        <w:rPr>
          <w:sz w:val="21"/>
          <w:szCs w:val="21"/>
          <w:lang w:val="en-US"/>
        </w:rPr>
      </w:pPr>
      <w:r w:rsidRPr="000C48B8">
        <w:rPr>
          <w:sz w:val="21"/>
          <w:szCs w:val="21"/>
          <w:lang w:val="en-US"/>
        </w:rPr>
        <w:t>MDUK Neuromuscular Centre, Department of Paediatrics</w:t>
      </w:r>
      <w:r w:rsidR="00C24E7B" w:rsidRPr="000C48B8">
        <w:rPr>
          <w:sz w:val="21"/>
          <w:szCs w:val="21"/>
          <w:lang w:val="en-US"/>
        </w:rPr>
        <w:t xml:space="preserve"> &amp; NIHR Oxford Biomedical Research Centre</w:t>
      </w:r>
      <w:r w:rsidRPr="000C48B8">
        <w:rPr>
          <w:sz w:val="21"/>
          <w:szCs w:val="21"/>
          <w:lang w:val="en-US"/>
        </w:rPr>
        <w:t>, University of Oxford, UK</w:t>
      </w:r>
    </w:p>
    <w:p w14:paraId="51FAC408" w14:textId="77777777" w:rsidR="00E30FA8" w:rsidRPr="000C48B8" w:rsidRDefault="00E30FA8" w:rsidP="00E30FA8">
      <w:pPr>
        <w:pStyle w:val="Paragraphedeliste"/>
        <w:numPr>
          <w:ilvl w:val="0"/>
          <w:numId w:val="1"/>
        </w:numPr>
        <w:rPr>
          <w:sz w:val="21"/>
          <w:szCs w:val="21"/>
          <w:lang w:val="en-US"/>
        </w:rPr>
      </w:pPr>
      <w:r w:rsidRPr="000C48B8">
        <w:rPr>
          <w:color w:val="000000" w:themeColor="text1"/>
          <w:sz w:val="21"/>
          <w:szCs w:val="21"/>
          <w:shd w:val="clear" w:color="auto" w:fill="FFFFFF"/>
          <w:lang w:val="en-GB"/>
        </w:rPr>
        <w:t>Department of Health Services Research, CAPHRI Care and Public Health Research Institute, Maastricht University, Maastricht, The Netherlands</w:t>
      </w:r>
    </w:p>
    <w:p w14:paraId="5FCD598C" w14:textId="77777777" w:rsidR="00407721" w:rsidRPr="008D3C41" w:rsidRDefault="00407721" w:rsidP="00407721">
      <w:pPr>
        <w:pStyle w:val="Titre1"/>
      </w:pPr>
      <w:proofErr w:type="spellStart"/>
      <w:r w:rsidRPr="008D3C41">
        <w:t>Corresponding</w:t>
      </w:r>
      <w:proofErr w:type="spellEnd"/>
      <w:r w:rsidRPr="008D3C41">
        <w:t xml:space="preserve"> </w:t>
      </w:r>
      <w:proofErr w:type="spellStart"/>
      <w:r w:rsidRPr="008D3C41">
        <w:t>Author</w:t>
      </w:r>
      <w:proofErr w:type="spellEnd"/>
    </w:p>
    <w:p w14:paraId="63F14C2A" w14:textId="77777777" w:rsidR="00407721" w:rsidRPr="00F004EE" w:rsidRDefault="00407721" w:rsidP="00407721">
      <w:r w:rsidRPr="00F004EE">
        <w:t xml:space="preserve">CRMN Liège, CHR de la Citadelle, Boulevard du 12ème de Ligne, 4000 Liège, </w:t>
      </w:r>
      <w:proofErr w:type="spellStart"/>
      <w:r w:rsidRPr="00F004EE">
        <w:t>Belgium</w:t>
      </w:r>
      <w:proofErr w:type="spellEnd"/>
      <w:r w:rsidRPr="00F004EE">
        <w:t>.</w:t>
      </w:r>
    </w:p>
    <w:p w14:paraId="3B03CE36" w14:textId="337590CF" w:rsidR="00407721" w:rsidRPr="00CC7D4F" w:rsidRDefault="00407721" w:rsidP="00407721">
      <w:proofErr w:type="gramStart"/>
      <w:r w:rsidRPr="00F004EE">
        <w:t>E-mail:</w:t>
      </w:r>
      <w:proofErr w:type="gramEnd"/>
      <w:r w:rsidRPr="00F004EE">
        <w:t xml:space="preserve"> </w:t>
      </w:r>
      <w:hyperlink r:id="rId8" w:history="1">
        <w:r w:rsidRPr="004E607E">
          <w:rPr>
            <w:rStyle w:val="Lienhypertexte"/>
          </w:rPr>
          <w:t>tamara.dangouloff@uliege.be</w:t>
        </w:r>
      </w:hyperlink>
      <w:r>
        <w:t xml:space="preserve"> (Tamara Dangouloff)</w:t>
      </w:r>
      <w:r w:rsidRPr="00982CE1">
        <w:t>.</w:t>
      </w:r>
    </w:p>
    <w:p w14:paraId="094F1707" w14:textId="083A84D7" w:rsidR="00407721" w:rsidRDefault="00407721">
      <w:pPr>
        <w:rPr>
          <w:lang w:val="en-US"/>
        </w:rPr>
      </w:pPr>
      <w:r>
        <w:rPr>
          <w:lang w:val="en-US"/>
        </w:rPr>
        <w:br w:type="page"/>
      </w:r>
    </w:p>
    <w:p w14:paraId="1090F7C6" w14:textId="1E178EC4" w:rsidR="00407721" w:rsidRPr="00290648" w:rsidRDefault="00407721" w:rsidP="00407721">
      <w:pPr>
        <w:pStyle w:val="Titre1"/>
        <w:rPr>
          <w:lang w:val="en-US"/>
        </w:rPr>
      </w:pPr>
      <w:r>
        <w:rPr>
          <w:lang w:val="en-US"/>
        </w:rPr>
        <w:lastRenderedPageBreak/>
        <w:t>Abstract</w:t>
      </w:r>
      <w:r>
        <w:rPr>
          <w:lang w:val="en-US"/>
        </w:rPr>
        <w:t xml:space="preserve"> (200 mots)</w:t>
      </w:r>
    </w:p>
    <w:p w14:paraId="247E323C" w14:textId="24B33CF2" w:rsidR="00407721" w:rsidRPr="005C082B" w:rsidRDefault="00407721" w:rsidP="00407721">
      <w:pPr>
        <w:pStyle w:val="NormalWeb"/>
        <w:jc w:val="both"/>
        <w:rPr>
          <w:rFonts w:ascii="Arial" w:hAnsi="Arial" w:cs="Arial"/>
          <w:lang w:val="en-US"/>
        </w:rPr>
      </w:pPr>
      <w:r w:rsidRPr="005C082B">
        <w:rPr>
          <w:rFonts w:ascii="Arial" w:hAnsi="Arial" w:cs="Arial"/>
          <w:lang w:val="en-US"/>
        </w:rPr>
        <w:t>Objective: To assess the cost-effectiveness of spinal muscular atrophy (SMA)</w:t>
      </w:r>
      <w:r>
        <w:rPr>
          <w:rFonts w:ascii="Arial" w:hAnsi="Arial" w:cs="Arial"/>
          <w:lang w:val="en-US"/>
        </w:rPr>
        <w:t xml:space="preserve"> </w:t>
      </w:r>
      <w:r w:rsidRPr="005C082B">
        <w:rPr>
          <w:rFonts w:ascii="Arial" w:hAnsi="Arial" w:cs="Arial"/>
          <w:lang w:val="en-US"/>
        </w:rPr>
        <w:t xml:space="preserve">newborn screening (NBS) </w:t>
      </w:r>
      <w:r>
        <w:rPr>
          <w:rFonts w:ascii="Arial" w:hAnsi="Arial" w:cs="Arial"/>
          <w:lang w:val="en-US"/>
        </w:rPr>
        <w:t xml:space="preserve">followed by </w:t>
      </w:r>
      <w:r w:rsidRPr="005C082B">
        <w:rPr>
          <w:rFonts w:ascii="Arial" w:hAnsi="Arial" w:cs="Arial"/>
          <w:lang w:val="en-US"/>
        </w:rPr>
        <w:t>disease-modifying treatment with</w:t>
      </w:r>
      <w:r>
        <w:rPr>
          <w:rFonts w:ascii="Arial" w:hAnsi="Arial" w:cs="Arial"/>
          <w:lang w:val="en-US"/>
        </w:rPr>
        <w:t xml:space="preserve"> no SMA NBS and delayed </w:t>
      </w:r>
      <w:r w:rsidRPr="005C082B">
        <w:rPr>
          <w:rFonts w:ascii="Arial" w:hAnsi="Arial" w:cs="Arial"/>
          <w:lang w:val="en-US"/>
        </w:rPr>
        <w:t>disease-modifying treatment.</w:t>
      </w:r>
    </w:p>
    <w:p w14:paraId="1859F055" w14:textId="0B35E38A" w:rsidR="00407721" w:rsidRPr="005C082B" w:rsidRDefault="00407721" w:rsidP="00407721">
      <w:pPr>
        <w:pStyle w:val="NormalWeb"/>
        <w:jc w:val="both"/>
        <w:rPr>
          <w:rFonts w:ascii="Arial" w:hAnsi="Arial" w:cs="Arial"/>
          <w:lang w:val="en-US"/>
        </w:rPr>
      </w:pPr>
      <w:r w:rsidRPr="005C082B">
        <w:rPr>
          <w:rFonts w:ascii="Arial" w:hAnsi="Arial" w:cs="Arial"/>
          <w:lang w:val="en-US"/>
        </w:rPr>
        <w:t xml:space="preserve">Method: A previously </w:t>
      </w:r>
      <w:r>
        <w:rPr>
          <w:rFonts w:ascii="Arial" w:hAnsi="Arial" w:cs="Arial"/>
          <w:lang w:val="en-US"/>
        </w:rPr>
        <w:t xml:space="preserve">SMA treatment </w:t>
      </w:r>
      <w:r w:rsidRPr="005C082B">
        <w:rPr>
          <w:rFonts w:ascii="Arial" w:hAnsi="Arial" w:cs="Arial"/>
          <w:lang w:val="en-US"/>
        </w:rPr>
        <w:t>model was adapted to estimate the</w:t>
      </w:r>
      <w:r>
        <w:rPr>
          <w:rFonts w:ascii="Arial" w:hAnsi="Arial" w:cs="Arial"/>
          <w:lang w:val="en-US"/>
        </w:rPr>
        <w:t xml:space="preserve"> lifetime</w:t>
      </w:r>
      <w:r w:rsidRPr="005C082B">
        <w:rPr>
          <w:rFonts w:ascii="Arial" w:hAnsi="Arial" w:cs="Arial"/>
          <w:lang w:val="en-US"/>
        </w:rPr>
        <w:t xml:space="preserve"> cost-effectiveness of </w:t>
      </w:r>
      <w:r>
        <w:rPr>
          <w:rFonts w:ascii="Arial" w:hAnsi="Arial" w:cs="Arial"/>
          <w:lang w:val="en-US"/>
        </w:rPr>
        <w:t xml:space="preserve">the </w:t>
      </w:r>
      <w:r w:rsidRPr="005C082B">
        <w:rPr>
          <w:rFonts w:ascii="Arial" w:hAnsi="Arial" w:cs="Arial"/>
          <w:lang w:val="en-US"/>
        </w:rPr>
        <w:t>SMA NBS</w:t>
      </w:r>
      <w:r>
        <w:rPr>
          <w:rFonts w:ascii="Arial" w:hAnsi="Arial" w:cs="Arial"/>
          <w:lang w:val="en-US"/>
        </w:rPr>
        <w:t xml:space="preserve"> followed by treatment</w:t>
      </w:r>
      <w:r w:rsidRPr="005C082B">
        <w:rPr>
          <w:rFonts w:ascii="Arial" w:hAnsi="Arial" w:cs="Arial"/>
          <w:lang w:val="en-US"/>
        </w:rPr>
        <w:t xml:space="preserve"> compared to treatment without NBS from the </w:t>
      </w:r>
      <w:r>
        <w:rPr>
          <w:rFonts w:ascii="Arial" w:hAnsi="Arial" w:cs="Arial"/>
          <w:lang w:val="en-US"/>
        </w:rPr>
        <w:t>Belgian healthcare</w:t>
      </w:r>
      <w:r w:rsidRPr="005C082B">
        <w:rPr>
          <w:rFonts w:ascii="Arial" w:hAnsi="Arial" w:cs="Arial"/>
          <w:lang w:val="en-US"/>
        </w:rPr>
        <w:t xml:space="preserve"> perspective. </w:t>
      </w:r>
      <w:r>
        <w:rPr>
          <w:rFonts w:ascii="Arial" w:hAnsi="Arial" w:cs="Arial"/>
          <w:lang w:val="en-US"/>
        </w:rPr>
        <w:t>Real-world</w:t>
      </w:r>
      <w:r w:rsidRPr="005C082B">
        <w:rPr>
          <w:rFonts w:ascii="Arial" w:hAnsi="Arial" w:cs="Arial"/>
          <w:lang w:val="en-US"/>
        </w:rPr>
        <w:t xml:space="preserve"> data</w:t>
      </w:r>
      <w:r>
        <w:rPr>
          <w:rFonts w:ascii="Arial" w:hAnsi="Arial" w:cs="Arial"/>
          <w:lang w:val="en-US"/>
        </w:rPr>
        <w:t>,</w:t>
      </w:r>
      <w:r w:rsidRPr="005C082B">
        <w:rPr>
          <w:rFonts w:ascii="Arial" w:hAnsi="Arial" w:cs="Arial"/>
          <w:lang w:val="en-US"/>
        </w:rPr>
        <w:t xml:space="preserve"> </w:t>
      </w:r>
      <w:r>
        <w:rPr>
          <w:rFonts w:ascii="Arial" w:hAnsi="Arial" w:cs="Arial"/>
          <w:lang w:val="en-US"/>
        </w:rPr>
        <w:t>including</w:t>
      </w:r>
      <w:r w:rsidRPr="005C082B">
        <w:rPr>
          <w:rFonts w:ascii="Arial" w:hAnsi="Arial" w:cs="Arial"/>
          <w:lang w:val="en-US"/>
        </w:rPr>
        <w:t xml:space="preserve"> quality of life, cost</w:t>
      </w:r>
      <w:r>
        <w:rPr>
          <w:rFonts w:ascii="Arial" w:hAnsi="Arial" w:cs="Arial"/>
          <w:lang w:val="en-US"/>
        </w:rPr>
        <w:t>s</w:t>
      </w:r>
      <w:r w:rsidRPr="005C082B">
        <w:rPr>
          <w:rFonts w:ascii="Arial" w:hAnsi="Arial" w:cs="Arial"/>
          <w:lang w:val="en-US"/>
        </w:rPr>
        <w:t>, and motor development data</w:t>
      </w:r>
      <w:r>
        <w:rPr>
          <w:rFonts w:ascii="Arial" w:hAnsi="Arial" w:cs="Arial"/>
          <w:lang w:val="en-US"/>
        </w:rPr>
        <w:t xml:space="preserve">, were collected on </w:t>
      </w:r>
      <w:r w:rsidRPr="005C082B">
        <w:rPr>
          <w:rFonts w:ascii="Arial" w:hAnsi="Arial" w:cs="Arial"/>
          <w:lang w:val="en-US"/>
        </w:rPr>
        <w:t>12 SMA patients identified by NBS</w:t>
      </w:r>
      <w:r>
        <w:rPr>
          <w:rFonts w:ascii="Arial" w:hAnsi="Arial" w:cs="Arial"/>
          <w:lang w:val="en-US"/>
        </w:rPr>
        <w:t xml:space="preserve">, and </w:t>
      </w:r>
      <w:r w:rsidRPr="005C082B">
        <w:rPr>
          <w:rFonts w:ascii="Arial" w:hAnsi="Arial" w:cs="Arial"/>
          <w:lang w:val="en-US"/>
        </w:rPr>
        <w:t>43 patients identified by their symptoms.</w:t>
      </w:r>
      <w:r>
        <w:rPr>
          <w:rFonts w:ascii="Arial" w:hAnsi="Arial" w:cs="Arial"/>
          <w:lang w:val="en-US"/>
        </w:rPr>
        <w:t xml:space="preserve"> Deterministic and probabilistic s</w:t>
      </w:r>
      <w:r w:rsidRPr="005C082B">
        <w:rPr>
          <w:rFonts w:ascii="Arial" w:hAnsi="Arial" w:cs="Arial"/>
          <w:lang w:val="en-US"/>
        </w:rPr>
        <w:t xml:space="preserve">ensitivity analyses were </w:t>
      </w:r>
      <w:r>
        <w:rPr>
          <w:rFonts w:ascii="Arial" w:hAnsi="Arial" w:cs="Arial"/>
          <w:lang w:val="en-US"/>
        </w:rPr>
        <w:t>conducted to test the robustness of the analysis.</w:t>
      </w:r>
    </w:p>
    <w:p w14:paraId="4D6599C3" w14:textId="77777777" w:rsidR="00407721" w:rsidRPr="0014357D" w:rsidRDefault="00407721" w:rsidP="00407721">
      <w:pPr>
        <w:pStyle w:val="NormalWeb"/>
        <w:jc w:val="both"/>
        <w:rPr>
          <w:rFonts w:ascii="Arial" w:hAnsi="Arial" w:cs="Arial"/>
          <w:lang w:val="en-US"/>
        </w:rPr>
      </w:pPr>
      <w:r w:rsidRPr="00E30FA8">
        <w:rPr>
          <w:rFonts w:ascii="Arial" w:hAnsi="Arial" w:cs="Arial"/>
          <w:lang w:val="en-US"/>
        </w:rPr>
        <w:t xml:space="preserve">Results: </w:t>
      </w:r>
      <w:r w:rsidRPr="00E23DA5">
        <w:rPr>
          <w:rFonts w:ascii="Arial" w:hAnsi="Arial" w:cs="Arial"/>
          <w:lang w:val="en-US"/>
        </w:rPr>
        <w:t xml:space="preserve">SMA NBS was associated with </w:t>
      </w:r>
      <w:r>
        <w:rPr>
          <w:rFonts w:ascii="Arial" w:hAnsi="Arial" w:cs="Arial"/>
          <w:lang w:val="en-US"/>
        </w:rPr>
        <w:t>slightly higher</w:t>
      </w:r>
      <w:r w:rsidRPr="00E23DA5">
        <w:rPr>
          <w:rFonts w:ascii="Arial" w:hAnsi="Arial" w:cs="Arial"/>
          <w:lang w:val="en-US"/>
        </w:rPr>
        <w:t xml:space="preserve"> healthcare costs (</w:t>
      </w:r>
      <w:r>
        <w:rPr>
          <w:rFonts w:ascii="Arial" w:hAnsi="Arial" w:cs="Arial"/>
          <w:lang w:val="en-US"/>
        </w:rPr>
        <w:t xml:space="preserve">€ 6,858,061 </w:t>
      </w:r>
      <w:r w:rsidRPr="009F0E53">
        <w:rPr>
          <w:rFonts w:ascii="Arial" w:hAnsi="Arial" w:cs="Arial"/>
          <w:lang w:val="en-US"/>
        </w:rPr>
        <w:t>vs</w:t>
      </w:r>
      <w:r>
        <w:rPr>
          <w:rFonts w:ascii="Arial" w:hAnsi="Arial" w:cs="Arial"/>
          <w:lang w:val="en-US"/>
        </w:rPr>
        <w:t>.</w:t>
      </w:r>
      <w:r w:rsidRPr="009F0E53">
        <w:rPr>
          <w:rFonts w:ascii="Arial" w:hAnsi="Arial" w:cs="Arial"/>
          <w:lang w:val="en-US"/>
        </w:rPr>
        <w:t xml:space="preserve"> </w:t>
      </w:r>
      <w:r>
        <w:rPr>
          <w:rFonts w:ascii="Arial" w:hAnsi="Arial" w:cs="Arial"/>
          <w:lang w:val="en-US"/>
        </w:rPr>
        <w:t>€ 6,738,120</w:t>
      </w:r>
      <w:r w:rsidRPr="00E23DA5">
        <w:rPr>
          <w:rFonts w:ascii="Arial" w:hAnsi="Arial" w:cs="Arial"/>
          <w:lang w:val="en-US"/>
        </w:rPr>
        <w:t xml:space="preserve">) </w:t>
      </w:r>
      <w:r>
        <w:rPr>
          <w:rFonts w:ascii="Arial" w:hAnsi="Arial" w:cs="Arial"/>
          <w:lang w:val="en-US"/>
        </w:rPr>
        <w:t>but</w:t>
      </w:r>
      <w:r w:rsidRPr="00E23DA5">
        <w:rPr>
          <w:rFonts w:ascii="Arial" w:hAnsi="Arial" w:cs="Arial"/>
          <w:lang w:val="en-US"/>
        </w:rPr>
        <w:t xml:space="preserve"> more quality-adjusted life years (QALY) </w:t>
      </w:r>
      <w:r>
        <w:rPr>
          <w:rFonts w:ascii="Arial" w:hAnsi="Arial" w:cs="Arial"/>
          <w:lang w:val="en-US"/>
        </w:rPr>
        <w:t>(</w:t>
      </w:r>
      <w:r w:rsidRPr="009F0E53">
        <w:rPr>
          <w:rFonts w:ascii="Arial" w:hAnsi="Arial" w:cs="Arial"/>
          <w:lang w:val="en-US"/>
        </w:rPr>
        <w:t>40</w:t>
      </w:r>
      <w:r>
        <w:rPr>
          <w:rFonts w:ascii="Arial" w:hAnsi="Arial" w:cs="Arial"/>
          <w:lang w:val="en-US"/>
        </w:rPr>
        <w:t>.</w:t>
      </w:r>
      <w:r w:rsidRPr="009F0E53">
        <w:rPr>
          <w:rFonts w:ascii="Arial" w:hAnsi="Arial" w:cs="Arial"/>
          <w:lang w:val="en-US"/>
        </w:rPr>
        <w:t>95 vs</w:t>
      </w:r>
      <w:r>
        <w:rPr>
          <w:rFonts w:ascii="Arial" w:hAnsi="Arial" w:cs="Arial"/>
          <w:lang w:val="en-US"/>
        </w:rPr>
        <w:t>.</w:t>
      </w:r>
      <w:r w:rsidRPr="009F0E53">
        <w:rPr>
          <w:rFonts w:ascii="Arial" w:hAnsi="Arial" w:cs="Arial"/>
          <w:lang w:val="en-US"/>
        </w:rPr>
        <w:t xml:space="preserve"> </w:t>
      </w:r>
      <w:r>
        <w:rPr>
          <w:rFonts w:ascii="Arial" w:hAnsi="Arial" w:cs="Arial"/>
          <w:lang w:val="en-US"/>
        </w:rPr>
        <w:t xml:space="preserve">20.34) </w:t>
      </w:r>
      <w:r w:rsidRPr="00E23DA5">
        <w:rPr>
          <w:rFonts w:ascii="Arial" w:hAnsi="Arial" w:cs="Arial"/>
          <w:lang w:val="en-US"/>
        </w:rPr>
        <w:t xml:space="preserve">compared to treated SMA without NBS, leading to </w:t>
      </w:r>
      <w:r>
        <w:rPr>
          <w:rFonts w:ascii="Arial" w:hAnsi="Arial" w:cs="Arial"/>
          <w:lang w:val="en-US"/>
        </w:rPr>
        <w:t>an incremental cost-effectiveness ratio of € 5,820 per QALY gained</w:t>
      </w:r>
      <w:r w:rsidRPr="00E23DA5">
        <w:rPr>
          <w:rFonts w:ascii="Arial" w:hAnsi="Arial" w:cs="Arial"/>
          <w:lang w:val="en-US"/>
        </w:rPr>
        <w:t xml:space="preserve">. </w:t>
      </w:r>
      <w:r>
        <w:rPr>
          <w:rFonts w:ascii="Arial" w:hAnsi="Arial" w:cs="Arial"/>
          <w:lang w:val="en-US"/>
        </w:rPr>
        <w:t>SMA NBS was dominant from</w:t>
      </w:r>
      <w:r w:rsidRPr="00E23DA5">
        <w:rPr>
          <w:rFonts w:ascii="Arial" w:hAnsi="Arial" w:cs="Arial"/>
          <w:lang w:val="en-US"/>
        </w:rPr>
        <w:t xml:space="preserve"> a societal perspective</w:t>
      </w:r>
      <w:r>
        <w:rPr>
          <w:rFonts w:ascii="Arial" w:hAnsi="Arial" w:cs="Arial"/>
          <w:lang w:val="en-US"/>
        </w:rPr>
        <w:t xml:space="preserve"> (incremental costs € - 14,457; incremental QALY = </w:t>
      </w:r>
      <w:bookmarkStart w:id="0" w:name="OLE_LINK1"/>
      <w:r>
        <w:rPr>
          <w:rFonts w:ascii="Arial" w:hAnsi="Arial" w:cs="Arial"/>
          <w:lang w:val="en-US"/>
        </w:rPr>
        <w:t>20.61),</w:t>
      </w:r>
      <w:r w:rsidRPr="00E23DA5">
        <w:rPr>
          <w:rFonts w:ascii="Arial" w:hAnsi="Arial" w:cs="Arial"/>
          <w:lang w:val="en-US"/>
        </w:rPr>
        <w:t xml:space="preserve"> </w:t>
      </w:r>
      <w:bookmarkEnd w:id="0"/>
      <w:r w:rsidRPr="00E23DA5">
        <w:rPr>
          <w:rFonts w:ascii="Arial" w:hAnsi="Arial" w:cs="Arial"/>
          <w:lang w:val="en-US"/>
        </w:rPr>
        <w:t>when incorporating</w:t>
      </w:r>
      <w:r>
        <w:rPr>
          <w:rFonts w:ascii="Arial" w:hAnsi="Arial" w:cs="Arial"/>
          <w:lang w:val="en-US"/>
        </w:rPr>
        <w:t xml:space="preserve"> the burden on</w:t>
      </w:r>
      <w:r w:rsidRPr="00E23DA5">
        <w:rPr>
          <w:rFonts w:ascii="Arial" w:hAnsi="Arial" w:cs="Arial"/>
          <w:lang w:val="en-US"/>
        </w:rPr>
        <w:t xml:space="preserve"> caregivers</w:t>
      </w:r>
      <w:r>
        <w:rPr>
          <w:rFonts w:ascii="Arial" w:hAnsi="Arial" w:cs="Arial"/>
          <w:lang w:val="en-US"/>
        </w:rPr>
        <w:t xml:space="preserve"> (incremental costs = € - 74,353; incremental QALY = 27.51), and when the treatment was chosen by the parents (incremental costs = € - 2,596,748; incremental QALY = 20.61).</w:t>
      </w:r>
    </w:p>
    <w:p w14:paraId="4DC8A01C" w14:textId="77777777" w:rsidR="00407721" w:rsidRPr="00051DFD" w:rsidRDefault="00407721" w:rsidP="00407721">
      <w:pPr>
        <w:pStyle w:val="NormalWeb"/>
        <w:jc w:val="both"/>
        <w:rPr>
          <w:rFonts w:ascii="Arial" w:hAnsi="Arial" w:cs="Arial"/>
          <w:lang w:val="en-US"/>
        </w:rPr>
      </w:pPr>
      <w:r w:rsidRPr="00D13669">
        <w:rPr>
          <w:rFonts w:ascii="Arial" w:hAnsi="Arial" w:cs="Arial"/>
          <w:lang w:val="en-US"/>
        </w:rPr>
        <w:t>C</w:t>
      </w:r>
      <w:r>
        <w:rPr>
          <w:rFonts w:ascii="Arial" w:hAnsi="Arial" w:cs="Arial"/>
          <w:lang w:val="en-US"/>
        </w:rPr>
        <w:t>onclusion: T</w:t>
      </w:r>
      <w:r w:rsidRPr="00E30FA8">
        <w:rPr>
          <w:rFonts w:ascii="Arial" w:hAnsi="Arial" w:cs="Arial"/>
          <w:lang w:val="en-US"/>
        </w:rPr>
        <w:t xml:space="preserve">his study reveals that SMA NBS coupled with </w:t>
      </w:r>
      <w:r>
        <w:rPr>
          <w:rFonts w:ascii="Arial" w:hAnsi="Arial" w:cs="Arial"/>
          <w:lang w:val="en-US"/>
        </w:rPr>
        <w:t>early</w:t>
      </w:r>
      <w:r w:rsidRPr="00E30FA8">
        <w:rPr>
          <w:rFonts w:ascii="Arial" w:hAnsi="Arial" w:cs="Arial"/>
          <w:lang w:val="en-US"/>
        </w:rPr>
        <w:t xml:space="preserve"> treatment</w:t>
      </w:r>
      <w:r>
        <w:rPr>
          <w:rFonts w:ascii="Arial" w:hAnsi="Arial" w:cs="Arial"/>
          <w:lang w:val="en-US"/>
        </w:rPr>
        <w:t xml:space="preserve"> is cost-effective compared with delayed treatment and was dominant (i.e., lower costs, more QALY) when societal perspective, caregiver burden, and treatment based on parental preference were considered.</w:t>
      </w:r>
    </w:p>
    <w:p w14:paraId="4806E5CD" w14:textId="77777777" w:rsidR="008F6CFC" w:rsidRDefault="008F6CFC" w:rsidP="00E96FA8">
      <w:pPr>
        <w:jc w:val="both"/>
        <w:rPr>
          <w:lang w:val="en-US"/>
        </w:rPr>
      </w:pPr>
    </w:p>
    <w:p w14:paraId="562114FD" w14:textId="77777777" w:rsidR="00407721" w:rsidRDefault="00407721" w:rsidP="00407721">
      <w:pPr>
        <w:pStyle w:val="Titre1"/>
        <w:rPr>
          <w:lang w:val="en-GB"/>
        </w:rPr>
      </w:pPr>
      <w:r w:rsidRPr="002543D7">
        <w:rPr>
          <w:lang w:val="en-GB"/>
        </w:rPr>
        <w:t>Short Title:</w:t>
      </w:r>
    </w:p>
    <w:p w14:paraId="4E2F0C65" w14:textId="2E9C1C06" w:rsidR="00407721" w:rsidRPr="00BC5473" w:rsidRDefault="00407721" w:rsidP="00407721">
      <w:pPr>
        <w:rPr>
          <w:lang w:val="en-GB"/>
        </w:rPr>
      </w:pPr>
      <w:r>
        <w:rPr>
          <w:lang w:val="en-GB"/>
        </w:rPr>
        <w:t>C</w:t>
      </w:r>
      <w:r w:rsidRPr="00407721">
        <w:rPr>
          <w:lang w:val="en-GB"/>
        </w:rPr>
        <w:t>ost effectiveness of real-world SMA NBS</w:t>
      </w:r>
    </w:p>
    <w:p w14:paraId="2EC807D9" w14:textId="77777777" w:rsidR="00407721" w:rsidRPr="002543D7" w:rsidRDefault="00407721" w:rsidP="00407721">
      <w:pPr>
        <w:rPr>
          <w:rFonts w:eastAsiaTheme="majorEastAsia"/>
          <w:color w:val="2F5496" w:themeColor="accent1" w:themeShade="BF"/>
          <w:sz w:val="28"/>
          <w:szCs w:val="28"/>
          <w:lang w:val="en-GB"/>
        </w:rPr>
      </w:pPr>
    </w:p>
    <w:p w14:paraId="4AE1CEFF" w14:textId="77777777" w:rsidR="00407721" w:rsidRDefault="00407721" w:rsidP="00407721">
      <w:pPr>
        <w:pStyle w:val="Titre1"/>
        <w:rPr>
          <w:lang w:val="en-GB"/>
        </w:rPr>
      </w:pPr>
      <w:r w:rsidRPr="002543D7">
        <w:rPr>
          <w:lang w:val="en-GB"/>
        </w:rPr>
        <w:t>What this paper adds</w:t>
      </w:r>
    </w:p>
    <w:p w14:paraId="4BA64FF2" w14:textId="77777777" w:rsidR="00407721" w:rsidRPr="00407721" w:rsidRDefault="00407721" w:rsidP="00407721">
      <w:pPr>
        <w:jc w:val="both"/>
        <w:rPr>
          <w:lang w:val="en-US"/>
        </w:rPr>
      </w:pPr>
      <w:r w:rsidRPr="00407721">
        <w:rPr>
          <w:lang w:val="en-US"/>
        </w:rPr>
        <w:t>-</w:t>
      </w:r>
      <w:r w:rsidRPr="00407721">
        <w:rPr>
          <w:lang w:val="en-US"/>
        </w:rPr>
        <w:tab/>
        <w:t>We need to assess the cost-effectiveness of SMA NBS to implement it more broadly.</w:t>
      </w:r>
    </w:p>
    <w:p w14:paraId="4655DBB1" w14:textId="77777777" w:rsidR="00407721" w:rsidRPr="00407721" w:rsidRDefault="00407721" w:rsidP="00407721">
      <w:pPr>
        <w:jc w:val="both"/>
        <w:rPr>
          <w:lang w:val="en-US"/>
        </w:rPr>
      </w:pPr>
      <w:r w:rsidRPr="00407721">
        <w:rPr>
          <w:lang w:val="en-US"/>
        </w:rPr>
        <w:t>-</w:t>
      </w:r>
      <w:r w:rsidRPr="00407721">
        <w:rPr>
          <w:lang w:val="en-US"/>
        </w:rPr>
        <w:tab/>
        <w:t>We used real-life data to evaluate the costs and utility of late-treated SMA patients and those treated after NBS.</w:t>
      </w:r>
    </w:p>
    <w:p w14:paraId="4CD658FF" w14:textId="66D9FAE7" w:rsidR="00407721" w:rsidRPr="00E96FA8" w:rsidRDefault="00407721" w:rsidP="00407721">
      <w:pPr>
        <w:jc w:val="both"/>
        <w:rPr>
          <w:lang w:val="en-US"/>
        </w:rPr>
      </w:pPr>
      <w:r w:rsidRPr="00407721">
        <w:rPr>
          <w:lang w:val="en-US"/>
        </w:rPr>
        <w:t>-</w:t>
      </w:r>
      <w:r w:rsidRPr="00407721">
        <w:rPr>
          <w:lang w:val="en-US"/>
        </w:rPr>
        <w:tab/>
        <w:t>SMA NBS coupled with early treatment is cost-effective compared with delayed treatment and was dominant when societal perspective, caregiver burden, and treatment based on parental preference were considered.</w:t>
      </w:r>
    </w:p>
    <w:p w14:paraId="096DB1B1" w14:textId="29F90E97" w:rsidR="00E67DA5" w:rsidRPr="000F4E85" w:rsidRDefault="00E96FA8" w:rsidP="00E96FA8">
      <w:pPr>
        <w:pStyle w:val="Titre1"/>
        <w:rPr>
          <w:lang w:val="en-US"/>
        </w:rPr>
      </w:pPr>
      <w:r w:rsidRPr="000F4E85">
        <w:rPr>
          <w:lang w:val="en-US"/>
        </w:rPr>
        <w:t>Abbreviation</w:t>
      </w:r>
    </w:p>
    <w:p w14:paraId="7E6ED091" w14:textId="0A22C5AB" w:rsidR="00072466" w:rsidRPr="004205D6" w:rsidRDefault="00072466" w:rsidP="00C7288C">
      <w:pPr>
        <w:pStyle w:val="NormalWeb"/>
        <w:spacing w:before="0" w:beforeAutospacing="0" w:after="0" w:afterAutospacing="0"/>
        <w:jc w:val="both"/>
        <w:rPr>
          <w:rFonts w:ascii="Arial" w:hAnsi="Arial" w:cs="Arial"/>
          <w:lang w:val="en-US"/>
        </w:rPr>
      </w:pPr>
      <w:r>
        <w:rPr>
          <w:rFonts w:ascii="Arial" w:hAnsi="Arial" w:cs="Arial"/>
          <w:lang w:val="en-US"/>
        </w:rPr>
        <w:t>ICER: I</w:t>
      </w:r>
      <w:r w:rsidRPr="00072466">
        <w:rPr>
          <w:rFonts w:ascii="Arial" w:hAnsi="Arial" w:cs="Arial"/>
          <w:lang w:val="en-US"/>
        </w:rPr>
        <w:t>ncremental cost-effectiveness ratio</w:t>
      </w:r>
    </w:p>
    <w:p w14:paraId="2042EC60" w14:textId="69C3F11F" w:rsidR="00290648" w:rsidRDefault="00290648" w:rsidP="00C7288C">
      <w:pPr>
        <w:pStyle w:val="NormalWeb"/>
        <w:spacing w:before="0" w:beforeAutospacing="0" w:after="0" w:afterAutospacing="0"/>
        <w:jc w:val="both"/>
        <w:rPr>
          <w:rFonts w:ascii="Arial" w:hAnsi="Arial" w:cs="Arial"/>
          <w:lang w:val="en-US"/>
        </w:rPr>
      </w:pPr>
      <w:r w:rsidRPr="004205D6">
        <w:rPr>
          <w:rFonts w:ascii="Arial" w:hAnsi="Arial" w:cs="Arial"/>
          <w:lang w:val="en-US"/>
        </w:rPr>
        <w:t>NBS: Newborn screening</w:t>
      </w:r>
    </w:p>
    <w:p w14:paraId="54A56E12" w14:textId="29092EC8" w:rsidR="00072466" w:rsidRDefault="00072466" w:rsidP="00C7288C">
      <w:pPr>
        <w:pStyle w:val="NormalWeb"/>
        <w:spacing w:before="0" w:beforeAutospacing="0" w:after="0" w:afterAutospacing="0"/>
        <w:jc w:val="both"/>
        <w:rPr>
          <w:rFonts w:ascii="Arial" w:hAnsi="Arial" w:cs="Arial"/>
          <w:lang w:val="en-US"/>
        </w:rPr>
      </w:pPr>
      <w:r>
        <w:rPr>
          <w:rFonts w:ascii="Arial" w:hAnsi="Arial" w:cs="Arial"/>
          <w:lang w:val="en-US"/>
        </w:rPr>
        <w:t xml:space="preserve">PSA: </w:t>
      </w:r>
      <w:r w:rsidRPr="00072466">
        <w:rPr>
          <w:rFonts w:ascii="Arial" w:hAnsi="Arial" w:cs="Arial"/>
          <w:lang w:val="en-US"/>
        </w:rPr>
        <w:t>probabilistic sensitivity analysis</w:t>
      </w:r>
    </w:p>
    <w:p w14:paraId="07A5549C" w14:textId="1219F958" w:rsidR="00AF20FB" w:rsidRPr="004205D6" w:rsidRDefault="00AF20FB" w:rsidP="00C7288C">
      <w:pPr>
        <w:pStyle w:val="NormalWeb"/>
        <w:spacing w:before="0" w:beforeAutospacing="0" w:after="0" w:afterAutospacing="0"/>
        <w:jc w:val="both"/>
        <w:rPr>
          <w:rFonts w:ascii="Arial" w:hAnsi="Arial" w:cs="Arial"/>
          <w:lang w:val="en-US"/>
        </w:rPr>
      </w:pPr>
      <w:r>
        <w:rPr>
          <w:rFonts w:ascii="Arial" w:hAnsi="Arial" w:cs="Arial"/>
          <w:lang w:val="en-US"/>
        </w:rPr>
        <w:t>QALY: Q</w:t>
      </w:r>
      <w:r w:rsidRPr="00AF20FB">
        <w:rPr>
          <w:rFonts w:ascii="Arial" w:hAnsi="Arial" w:cs="Arial"/>
          <w:lang w:val="en-US"/>
        </w:rPr>
        <w:t>uality-adjusted life years</w:t>
      </w:r>
    </w:p>
    <w:p w14:paraId="52B17B0A" w14:textId="5F3D73E0" w:rsidR="00E96FA8" w:rsidRPr="004205D6" w:rsidRDefault="00290648" w:rsidP="00C7288C">
      <w:pPr>
        <w:pStyle w:val="NormalWeb"/>
        <w:spacing w:before="0" w:beforeAutospacing="0" w:after="0" w:afterAutospacing="0"/>
        <w:jc w:val="both"/>
        <w:rPr>
          <w:rFonts w:ascii="Arial" w:hAnsi="Arial" w:cs="Arial"/>
          <w:lang w:val="en-US"/>
        </w:rPr>
      </w:pPr>
      <w:r w:rsidRPr="004205D6">
        <w:rPr>
          <w:rFonts w:ascii="Arial" w:hAnsi="Arial" w:cs="Arial"/>
          <w:lang w:val="en-US"/>
        </w:rPr>
        <w:t>SMA: Spinal Muscular Atrophy</w:t>
      </w:r>
    </w:p>
    <w:p w14:paraId="0DED117A" w14:textId="459022E3" w:rsidR="00696CDF" w:rsidRPr="0063739D" w:rsidRDefault="00696CDF" w:rsidP="00D97BFE">
      <w:pPr>
        <w:pStyle w:val="NormalWeb"/>
        <w:spacing w:before="0" w:beforeAutospacing="0" w:after="0" w:afterAutospacing="0"/>
        <w:ind w:left="1060"/>
        <w:jc w:val="both"/>
        <w:rPr>
          <w:rFonts w:asciiTheme="majorHAnsi" w:eastAsiaTheme="majorEastAsia" w:hAnsiTheme="majorHAnsi" w:cstheme="majorBidi"/>
          <w:color w:val="2F5496" w:themeColor="accent1" w:themeShade="BF"/>
          <w:sz w:val="32"/>
          <w:szCs w:val="32"/>
          <w:lang w:val="en-US"/>
        </w:rPr>
      </w:pPr>
      <w:r w:rsidRPr="0063739D">
        <w:rPr>
          <w:lang w:val="en-US"/>
        </w:rPr>
        <w:br w:type="page"/>
      </w:r>
    </w:p>
    <w:p w14:paraId="6868E707" w14:textId="05F29477" w:rsidR="004E7280" w:rsidRPr="00E96FA8" w:rsidRDefault="004E7280" w:rsidP="00E96FA8">
      <w:pPr>
        <w:pStyle w:val="Titre1"/>
        <w:rPr>
          <w:lang w:val="en-US"/>
        </w:rPr>
      </w:pPr>
      <w:r w:rsidRPr="00290648">
        <w:rPr>
          <w:lang w:val="en-US"/>
        </w:rPr>
        <w:t>Introduction</w:t>
      </w:r>
    </w:p>
    <w:p w14:paraId="36DB0F55" w14:textId="05297812" w:rsidR="00E30FA8" w:rsidRPr="00E30FA8" w:rsidRDefault="00087641" w:rsidP="00E30FA8">
      <w:pPr>
        <w:pStyle w:val="NormalWeb"/>
        <w:jc w:val="both"/>
        <w:rPr>
          <w:rFonts w:ascii="Arial" w:hAnsi="Arial" w:cs="Arial"/>
          <w:lang w:val="en-US"/>
        </w:rPr>
      </w:pPr>
      <w:r w:rsidRPr="006E3D4C">
        <w:rPr>
          <w:rFonts w:ascii="Arial" w:hAnsi="Arial" w:cs="Arial"/>
          <w:lang w:val="en-US"/>
        </w:rPr>
        <w:t>S</w:t>
      </w:r>
      <w:r>
        <w:rPr>
          <w:rFonts w:ascii="Arial" w:hAnsi="Arial" w:cs="Arial"/>
          <w:lang w:val="en-US"/>
        </w:rPr>
        <w:t xml:space="preserve">pinal muscular </w:t>
      </w:r>
      <w:r w:rsidR="00E30FA8">
        <w:rPr>
          <w:rFonts w:ascii="Arial" w:hAnsi="Arial" w:cs="Arial"/>
          <w:lang w:val="en-US"/>
        </w:rPr>
        <w:t>atrophy (SMA)</w:t>
      </w:r>
      <w:r w:rsidRPr="006E3D4C">
        <w:rPr>
          <w:rFonts w:ascii="Arial" w:hAnsi="Arial" w:cs="Arial"/>
          <w:lang w:val="en-US"/>
        </w:rPr>
        <w:t xml:space="preserve"> is </w:t>
      </w:r>
      <w:r w:rsidR="00826283">
        <w:rPr>
          <w:rFonts w:ascii="Arial" w:hAnsi="Arial" w:cs="Arial"/>
          <w:lang w:val="en-US"/>
        </w:rPr>
        <w:t>an</w:t>
      </w:r>
      <w:r w:rsidRPr="006E3D4C">
        <w:rPr>
          <w:rFonts w:ascii="Arial" w:hAnsi="Arial" w:cs="Arial"/>
          <w:lang w:val="en-US"/>
        </w:rPr>
        <w:t xml:space="preserve"> autosomal recessive disorder </w:t>
      </w:r>
      <w:r w:rsidR="00C24E7B">
        <w:rPr>
          <w:rFonts w:ascii="Arial" w:hAnsi="Arial" w:cs="Arial"/>
          <w:lang w:val="en-US"/>
        </w:rPr>
        <w:t xml:space="preserve">that affects </w:t>
      </w:r>
      <w:r w:rsidRPr="006E3D4C">
        <w:rPr>
          <w:rFonts w:ascii="Arial" w:hAnsi="Arial" w:cs="Arial"/>
          <w:lang w:val="en-US"/>
        </w:rPr>
        <w:t xml:space="preserve">1 in 10,000 </w:t>
      </w:r>
      <w:r w:rsidR="00C24E7B">
        <w:rPr>
          <w:rFonts w:ascii="Arial" w:hAnsi="Arial" w:cs="Arial"/>
          <w:lang w:val="en-US"/>
        </w:rPr>
        <w:t>newborns</w:t>
      </w:r>
      <w:r w:rsidRPr="006E3D4C">
        <w:rPr>
          <w:rFonts w:ascii="Arial" w:hAnsi="Arial" w:cs="Arial"/>
          <w:lang w:val="en-US"/>
        </w:rPr>
        <w:t xml:space="preserve"> </w:t>
      </w:r>
      <w:r w:rsidRPr="006E3D4C">
        <w:rPr>
          <w:rFonts w:ascii="Arial" w:hAnsi="Arial" w:cs="Arial"/>
        </w:rPr>
        <w:fldChar w:fldCharType="begin" w:fldLock="1"/>
      </w:r>
      <w:r w:rsidR="00540EAA">
        <w:rPr>
          <w:rFonts w:ascii="Arial" w:hAnsi="Arial" w:cs="Arial"/>
          <w:lang w:val="en-US"/>
        </w:rPr>
        <w:instrText>ADDIN CSL_CITATION {"citationItems":[{"id":"ITEM-1","itemData":{"DOI":"10.1186/s13023-017-0671-8","ISBN":"1750-1172","PMID":"28676062","abstract":"Spinal muscular atrophy linked to chromosome 5q (SMA) is a recessive, progressive, neuromuscular disorder caused by bi-allelic mutations in the SMN1 gene, resulting in motor neuron degeneration and variable presentation in relation to onset and severity. A prevalence of approximately 1-2 per 100,000 persons and incidence around 1 in 10,000 live births have been estimated with SMA type I accounting for around 60% of all cases. Since SMA is a relatively rare condition, studies of its prevalence and incidence are challenging. Most published studies are outdated and therefore rely on clinical rather than genetic diagnosis. Furthermore they are performed in small cohorts in small geographical regions and only study European populations. In addition, the heterogeneity of the condition can lead to delays and difficulties in diagnosing the condition, especially outside of specialist clinics, and contributes to the challenges in understanding the epidemiology of the disease. The frequency of unaffected, heterozygous carriers of the SMN1 mutations appears to be higher among Caucasian and Asian populations compared to the Black (Sub-Saharan African ancestry) population. However, carrier frequencies cannot directly be translated into incidence and prevalence, as very severe (death in utero) and very mild (symptom free in adults) phenotypes carrying bi-allelic SMN1 mutations exist, and their frequency is unknown. More robust epidemiological data on SMA covering larger populations based on accurate genetic diagnosis or newborn screening would be helpful to support planning of clinical studies, provision of care and therapies and evaluation of outcomes.","author":[{"dropping-particle":"","family":"Verhaart","given":"I E C","non-dropping-particle":"","parse-names":false,"suffix":""},{"dropping-particle":"","family":"Robertson","given":"A","non-dropping-particle":"","parse-names":false,"suffix":""},{"dropping-particle":"","family":"Wilson","given":"I J","non-dropping-particle":"","parse-names":false,"suffix":""},{"dropping-particle":"","family":"Aartsma-Rus","given":"A","non-dropping-particle":"","parse-names":false,"suffix":""},{"dropping-particle":"","family":"Cameron","given":"S","non-dropping-particle":"","parse-names":false,"suffix":""},{"dropping-particle":"","family":"Jones","given":"C C","non-dropping-particle":"","parse-names":false,"suffix":""},{"dropping-particle":"","family":"Cook","given":"S F","non-dropping-particle":"","parse-names":false,"suffix":""},{"dropping-particle":"","family":"Lochmuller","given":"H","non-dropping-particle":"","parse-names":false,"suffix":""}],"container-title":"Orphanet J Rare Dis","edition":"2017/07/06","id":"ITEM-1","issue":"1","issued":{"date-parts":[["2017"]]},"language":"eng","note":"1750-1172\nVerhaart, Ingrid E C\nRobertson, Agata\nWilson, Ian J\nAartsma-Rus, Annemieke\nCameron, Shona\nJones, Cynthia C\nCook, Suzanne F\nLochmuller, Hanns\nOrcid: 0000-0003-2324-8001\nP01 HD032652/HD/NICHD NIH HHS/United States\nU54 NS065768/NS/NINDS NIH HHS/United States\nJournal Article\nReview\nResearch Support, N.I.H., Extramural\nEngland\nOrphanet J Rare Dis. 2017 Jul 4;12(1):124. doi: 10.1186/s13023-017-0671-8.","page":"124","title":"Prevalence, incidence and carrier frequency of 5q-linked spinal muscular atrophy - a literature review","type":"article-journal","volume":"12"},"uris":["http://www.mendeley.com/documents/?uuid=fabfd15e-f8ed-4bbd-9871-ffec71dbedc3"]},{"id":"ITEM-2","itemData":{"DOI":"10.1186/1750-1172-6-71","ISSN":"1750-1172","abstract":"Spinal muscular atrophy (SMA) is an autosomal recessive neuromuscular disease characterized by degeneration of alpha motor neurons in the spinal cord, resulting in progressive proximal muscle weakness and paralysis. Estimated incidence is 1 in 6,000 to 1 in 10,000 live births and carrier frequency of 1/40-1/60. This disease is characterized by generalized muscle weakness and atrophy predominating in proximal limb muscles, and phenotype is classified into four grades of severity (SMA I, SMAII, SMAIII, SMA IV) based on age of onset and motor function achieved. This disease is caused by homozygous mutations of the survival motor neuron 1 (SMN1) gene, and the diagnostic test demonstrates in most patients the homozygous deletion of the SMN1 gene, generally showing the absence of SMN1 exon 7. The test achieves up to 95% sensitivity and nearly 100% specificity. Differential diagnosis should be considered with other neuromuscular disorders which are not associated with increased CK manifesting as infantile hypotonia or as limb girdle weakness starting later in life.","author":[{"dropping-particle":"","family":"D'Amico","given":"Adele","non-dropping-particle":"","parse-names":false,"suffix":""},{"dropping-particle":"","family":"Mercuri","given":"Eugenio","non-dropping-particle":"","parse-names":false,"suffix":""},{"dropping-particle":"","family":"Tiziano","given":"Francesco D","non-dropping-particle":"","parse-names":false,"suffix":""},{"dropping-particle":"","family":"Bertini","given":"Enrico","non-dropping-particle":"","parse-names":false,"suffix":""}],"container-title":"Orphanet Journal of Rare Diseases","id":"ITEM-2","issue":"1","issued":{"date-parts":[["2011"]]},"page":"71","title":"Spinal muscular atrophy","type":"article-journal","volume":"6"},"uris":["http://www.mendeley.com/documents/?uuid=c66db5e4-cce2-4652-8b2b-d02cd3fe3c02"]}],"mendeley":{"formattedCitation":"&lt;sup&gt;1&lt;/sup&gt;,&lt;sup&gt;2&lt;/sup&gt;","plainTextFormattedCitation":"1,2","previouslyFormattedCitation":"&lt;sup&gt;1&lt;/sup&gt;,&lt;sup&gt;2&lt;/sup&gt;"},"properties":{"noteIndex":0},"schema":"https://github.com/citation-style-language/schema/raw/master/csl-citation.json"}</w:instrText>
      </w:r>
      <w:r w:rsidRPr="006E3D4C">
        <w:rPr>
          <w:rFonts w:ascii="Arial" w:hAnsi="Arial" w:cs="Arial"/>
        </w:rPr>
        <w:fldChar w:fldCharType="separate"/>
      </w:r>
      <w:r w:rsidR="001E65AA" w:rsidRPr="001E65AA">
        <w:rPr>
          <w:rFonts w:ascii="Arial" w:hAnsi="Arial" w:cs="Arial"/>
          <w:noProof/>
          <w:vertAlign w:val="superscript"/>
          <w:lang w:val="en-US"/>
        </w:rPr>
        <w:t>1</w:t>
      </w:r>
      <w:r w:rsidR="001E65AA" w:rsidRPr="001E65AA">
        <w:rPr>
          <w:rFonts w:ascii="Arial" w:hAnsi="Arial" w:cs="Arial"/>
          <w:noProof/>
          <w:lang w:val="en-US"/>
        </w:rPr>
        <w:t>,</w:t>
      </w:r>
      <w:r w:rsidR="001E65AA" w:rsidRPr="001E65AA">
        <w:rPr>
          <w:rFonts w:ascii="Arial" w:hAnsi="Arial" w:cs="Arial"/>
          <w:noProof/>
          <w:vertAlign w:val="superscript"/>
          <w:lang w:val="en-US"/>
        </w:rPr>
        <w:t>2</w:t>
      </w:r>
      <w:r w:rsidRPr="006E3D4C">
        <w:rPr>
          <w:rFonts w:ascii="Arial" w:hAnsi="Arial" w:cs="Arial"/>
        </w:rPr>
        <w:fldChar w:fldCharType="end"/>
      </w:r>
      <w:r w:rsidRPr="00E30FA8">
        <w:rPr>
          <w:rFonts w:ascii="Arial" w:hAnsi="Arial" w:cs="Arial"/>
          <w:lang w:val="en-US"/>
        </w:rPr>
        <w:t xml:space="preserve">. </w:t>
      </w:r>
      <w:r w:rsidR="00E30FA8" w:rsidRPr="00E30FA8">
        <w:rPr>
          <w:rFonts w:ascii="Arial" w:hAnsi="Arial" w:cs="Arial"/>
          <w:lang w:val="en-US"/>
        </w:rPr>
        <w:t xml:space="preserve">In its most common </w:t>
      </w:r>
      <w:r w:rsidR="00E30FA8">
        <w:rPr>
          <w:rFonts w:ascii="Arial" w:hAnsi="Arial" w:cs="Arial"/>
          <w:lang w:val="en-US"/>
        </w:rPr>
        <w:t xml:space="preserve">and severe </w:t>
      </w:r>
      <w:r w:rsidR="00E30FA8" w:rsidRPr="00E30FA8">
        <w:rPr>
          <w:rFonts w:ascii="Arial" w:hAnsi="Arial" w:cs="Arial"/>
          <w:lang w:val="en-US"/>
        </w:rPr>
        <w:t>form</w:t>
      </w:r>
      <w:r w:rsidR="00E30FA8">
        <w:rPr>
          <w:rFonts w:ascii="Arial" w:hAnsi="Arial" w:cs="Arial"/>
          <w:lang w:val="en-US"/>
        </w:rPr>
        <w:t>, SMA1,</w:t>
      </w:r>
      <w:r w:rsidR="00E30FA8" w:rsidRPr="00E30FA8">
        <w:rPr>
          <w:rFonts w:ascii="Arial" w:hAnsi="Arial" w:cs="Arial"/>
          <w:lang w:val="en-US"/>
        </w:rPr>
        <w:t xml:space="preserve"> </w:t>
      </w:r>
      <w:r w:rsidR="00826283">
        <w:rPr>
          <w:rFonts w:ascii="Arial" w:hAnsi="Arial" w:cs="Arial"/>
          <w:lang w:val="en-US"/>
        </w:rPr>
        <w:t xml:space="preserve">which accounts </w:t>
      </w:r>
      <w:r w:rsidR="0066558D">
        <w:rPr>
          <w:rFonts w:ascii="Arial" w:hAnsi="Arial" w:cs="Arial"/>
          <w:lang w:val="en-US"/>
        </w:rPr>
        <w:t>for</w:t>
      </w:r>
      <w:r w:rsidR="00E30FA8">
        <w:rPr>
          <w:rFonts w:ascii="Arial" w:hAnsi="Arial" w:cs="Arial"/>
          <w:lang w:val="en-US"/>
        </w:rPr>
        <w:t xml:space="preserve"> </w:t>
      </w:r>
      <w:r w:rsidR="0066558D">
        <w:rPr>
          <w:rFonts w:ascii="Arial" w:hAnsi="Arial" w:cs="Arial"/>
          <w:lang w:val="en-US"/>
        </w:rPr>
        <w:t>about</w:t>
      </w:r>
      <w:r w:rsidR="00E30FA8">
        <w:rPr>
          <w:rFonts w:ascii="Arial" w:hAnsi="Arial" w:cs="Arial"/>
          <w:lang w:val="en-US"/>
        </w:rPr>
        <w:t xml:space="preserve"> </w:t>
      </w:r>
      <w:r w:rsidR="00E30FA8" w:rsidRPr="00E30FA8">
        <w:rPr>
          <w:rFonts w:ascii="Arial" w:hAnsi="Arial" w:cs="Arial"/>
          <w:lang w:val="en-US"/>
        </w:rPr>
        <w:t>60%</w:t>
      </w:r>
      <w:r w:rsidR="00E30FA8">
        <w:rPr>
          <w:rFonts w:ascii="Arial" w:hAnsi="Arial" w:cs="Arial"/>
          <w:lang w:val="en-US"/>
        </w:rPr>
        <w:t xml:space="preserve"> of cases</w:t>
      </w:r>
      <w:r w:rsidR="00E30FA8" w:rsidRPr="00E30FA8">
        <w:rPr>
          <w:rFonts w:ascii="Arial" w:hAnsi="Arial" w:cs="Arial"/>
          <w:lang w:val="en-US"/>
        </w:rPr>
        <w:t>, 9</w:t>
      </w:r>
      <w:r w:rsidR="00E74AF1">
        <w:rPr>
          <w:rFonts w:ascii="Arial" w:hAnsi="Arial" w:cs="Arial"/>
          <w:lang w:val="en-US"/>
        </w:rPr>
        <w:t>3</w:t>
      </w:r>
      <w:r w:rsidR="00E30FA8" w:rsidRPr="00E30FA8">
        <w:rPr>
          <w:rFonts w:ascii="Arial" w:hAnsi="Arial" w:cs="Arial"/>
          <w:lang w:val="en-US"/>
        </w:rPr>
        <w:t xml:space="preserve">% of children die before the age of </w:t>
      </w:r>
      <w:r w:rsidR="00E30FA8">
        <w:rPr>
          <w:rFonts w:ascii="Arial" w:hAnsi="Arial" w:cs="Arial"/>
          <w:lang w:val="en-US"/>
        </w:rPr>
        <w:t>two</w:t>
      </w:r>
      <w:r w:rsidR="00E30FA8" w:rsidRPr="00E30FA8">
        <w:rPr>
          <w:rFonts w:ascii="Arial" w:hAnsi="Arial" w:cs="Arial"/>
          <w:lang w:val="en-US"/>
        </w:rPr>
        <w:t xml:space="preserve"> years in the absence of </w:t>
      </w:r>
      <w:r w:rsidR="00E74AF1">
        <w:rPr>
          <w:rFonts w:ascii="Arial" w:hAnsi="Arial" w:cs="Arial"/>
          <w:lang w:val="en-US"/>
        </w:rPr>
        <w:t xml:space="preserve">supportive </w:t>
      </w:r>
      <w:r w:rsidR="00E30FA8" w:rsidRPr="00E30FA8">
        <w:rPr>
          <w:rFonts w:ascii="Arial" w:hAnsi="Arial" w:cs="Arial"/>
          <w:lang w:val="en-US"/>
        </w:rPr>
        <w:t>treatment</w:t>
      </w:r>
      <w:r w:rsidR="00E30FA8">
        <w:rPr>
          <w:rFonts w:ascii="Arial" w:hAnsi="Arial" w:cs="Arial"/>
          <w:lang w:val="en-US"/>
        </w:rPr>
        <w:t xml:space="preserve"> </w:t>
      </w:r>
      <w:r w:rsidR="00E30FA8">
        <w:rPr>
          <w:rFonts w:ascii="Arial" w:hAnsi="Arial" w:cs="Arial"/>
          <w:lang w:val="en-US"/>
        </w:rPr>
        <w:fldChar w:fldCharType="begin" w:fldLock="1"/>
      </w:r>
      <w:r w:rsidR="00540EAA">
        <w:rPr>
          <w:rFonts w:ascii="Arial" w:hAnsi="Arial" w:cs="Arial"/>
          <w:lang w:val="en-US"/>
        </w:rPr>
        <w:instrText>ADDIN CSL_CITATION {"citationItems":[{"id":"ITEM-1","itemData":{"DOI":"10.1212/wnl.0000000000009248","abstract":"Objective To investigate probabilities of survival and its surrogate, that is, mechanical ventilation, in patients with spinal muscular atrophy (SMA).Methods We studied survival in a population-based cohort on clinical prevalence of genetically confirmed, treatment-naive patients with SMA, stratified for best acquired motor milestone (i.e., none: type 1a/b; head control in supine position or rolling: type 1c; sitting independently: type 2a; standing: type 2b; walking: type 3a/b; adult onset: type 4). We also assessed the need for mechanical ventilation as a surrogate endpoint for survival.Results We included 307 patients with a total follow-up of 7,141 person-years. Median survival was 9 days in SMA type 1a, 7.7 months in type 1b, and 17.0 years in type 1c. Patients with type 2a had endpoint-free survival probabilities of 74.2% and 61.5% at ages 40 and 60 years, respectively. Endpoint-free survival of SMA types 2b, 3, and 4 was relatively normal, at least within the first 60 years of life. Patients with SMA types 1c and 2a required mechanical ventilation more frequently and from younger ages compared to patients with milder SMA types. In our cohort, patients ventilated up to 12 h/d progressed not gradually, but abruptly, to ≥16 h/d.Conclusions Shortened endpoint-free survival is an important characteristic of SMA types 1 and 2a, but not types 2b, 3, and 4. For SMA types 1c and 2a, the age at which initiation of mechanical ventilation is necessary may be a more suitable endpoint than the arbitrarily set 16 h/d.CI=confidence interval; KM=Kaplan-Meier; MLPA=multiplex ligation-dependent probe amplification; SMA=spinal muscular atrophy","author":[{"dropping-particle":"","family":"Wijngaarde","given":"Camiel A","non-dropping-particle":"","parse-names":false,"suffix":""},{"dropping-particle":"","family":"Stam","given":"Marloes","non-dropping-particle":"","parse-names":false,"suffix":""},{"dropping-particle":"","family":"Otto","given":"Louise A M","non-dropping-particle":"","parse-names":false,"suffix":""},{"dropping-particle":"","family":"Eijk","given":"Ruben P A","non-dropping-particle":"van","parse-names":false,"suffix":""},{"dropping-particle":"","family":"Cuppen","given":"Inge","non-dropping-particle":"","parse-names":false,"suffix":""},{"dropping-particle":"","family":"Veldhoen","given":"Esther S","non-dropping-particle":"","parse-names":false,"suffix":""},{"dropping-particle":"","family":"Berg","given":"Leonard H","non-dropping-particle":"van den","parse-names":false,"suffix":""},{"dropping-particle":"","family":"Wadman","given":"Renske I","non-dropping-particle":"","parse-names":false,"suffix":""},{"dropping-particle":"","family":"Pol","given":"W Ludo","non-dropping-particle":"van der","parse-names":false,"suffix":""}],"container-title":"Neurology","id":"ITEM-1","issue":"15","issued":{"date-parts":[["2020"]]},"page":"e1634-e1644","title":"Population-based analysis of survival in spinal muscular atrophy","type":"article-journal","volume":"94"},"uris":["http://www.mendeley.com/documents/?uuid=b2608503-f58a-424e-969b-de9af93bc3c0"]}],"mendeley":{"formattedCitation":"&lt;sup&gt;3&lt;/sup&gt;","plainTextFormattedCitation":"3","previouslyFormattedCitation":"&lt;sup&gt;3&lt;/sup&gt;"},"properties":{"noteIndex":0},"schema":"https://github.com/citation-style-language/schema/raw/master/csl-citation.json"}</w:instrText>
      </w:r>
      <w:r w:rsidR="00E30FA8">
        <w:rPr>
          <w:rFonts w:ascii="Arial" w:hAnsi="Arial" w:cs="Arial"/>
          <w:lang w:val="en-US"/>
        </w:rPr>
        <w:fldChar w:fldCharType="separate"/>
      </w:r>
      <w:r w:rsidR="001E65AA" w:rsidRPr="001E65AA">
        <w:rPr>
          <w:rFonts w:ascii="Arial" w:hAnsi="Arial" w:cs="Arial"/>
          <w:noProof/>
          <w:vertAlign w:val="superscript"/>
          <w:lang w:val="en-US"/>
        </w:rPr>
        <w:t>3</w:t>
      </w:r>
      <w:r w:rsidR="00E30FA8">
        <w:rPr>
          <w:rFonts w:ascii="Arial" w:hAnsi="Arial" w:cs="Arial"/>
          <w:lang w:val="en-US"/>
        </w:rPr>
        <w:fldChar w:fldCharType="end"/>
      </w:r>
      <w:r w:rsidR="00E30FA8" w:rsidRPr="00E30FA8">
        <w:rPr>
          <w:rFonts w:ascii="Arial" w:hAnsi="Arial" w:cs="Arial"/>
          <w:lang w:val="en-US"/>
        </w:rPr>
        <w:t xml:space="preserve">. Those who survive </w:t>
      </w:r>
      <w:r w:rsidR="00C24E7B">
        <w:rPr>
          <w:rFonts w:ascii="Arial" w:hAnsi="Arial" w:cs="Arial"/>
          <w:lang w:val="en-US"/>
        </w:rPr>
        <w:t>present with</w:t>
      </w:r>
      <w:r w:rsidR="00E30FA8" w:rsidRPr="00E30FA8">
        <w:rPr>
          <w:rFonts w:ascii="Arial" w:hAnsi="Arial" w:cs="Arial"/>
          <w:lang w:val="en-US"/>
        </w:rPr>
        <w:t xml:space="preserve"> severe motor impairment, </w:t>
      </w:r>
      <w:r w:rsidR="00C24E7B">
        <w:rPr>
          <w:rFonts w:ascii="Arial" w:hAnsi="Arial" w:cs="Arial"/>
          <w:lang w:val="en-US"/>
        </w:rPr>
        <w:t>as they are unable</w:t>
      </w:r>
      <w:r w:rsidR="00E30FA8" w:rsidRPr="00E30FA8">
        <w:rPr>
          <w:rFonts w:ascii="Arial" w:hAnsi="Arial" w:cs="Arial"/>
          <w:lang w:val="en-US"/>
        </w:rPr>
        <w:t xml:space="preserve"> to hold a sitting position. In the intermediate form of the disease</w:t>
      </w:r>
      <w:r w:rsidR="00826283">
        <w:rPr>
          <w:rFonts w:ascii="Arial" w:hAnsi="Arial" w:cs="Arial"/>
          <w:lang w:val="en-US"/>
        </w:rPr>
        <w:t>,</w:t>
      </w:r>
      <w:r w:rsidR="00EC35F3">
        <w:rPr>
          <w:rFonts w:ascii="Arial" w:hAnsi="Arial" w:cs="Arial"/>
          <w:lang w:val="en-US"/>
        </w:rPr>
        <w:t xml:space="preserve"> </w:t>
      </w:r>
      <w:r w:rsidR="00C24E7B">
        <w:rPr>
          <w:rFonts w:ascii="Arial" w:hAnsi="Arial" w:cs="Arial"/>
          <w:lang w:val="en-US"/>
        </w:rPr>
        <w:t>SMA2</w:t>
      </w:r>
      <w:r w:rsidR="00826283">
        <w:rPr>
          <w:rFonts w:ascii="Arial" w:hAnsi="Arial" w:cs="Arial"/>
          <w:lang w:val="en-US"/>
        </w:rPr>
        <w:t>,</w:t>
      </w:r>
      <w:r w:rsidR="00E30FA8" w:rsidRPr="00E30FA8">
        <w:rPr>
          <w:rFonts w:ascii="Arial" w:hAnsi="Arial" w:cs="Arial"/>
          <w:lang w:val="en-US"/>
        </w:rPr>
        <w:t xml:space="preserve"> children can sit but </w:t>
      </w:r>
      <w:r w:rsidR="00826283">
        <w:rPr>
          <w:rFonts w:ascii="Arial" w:hAnsi="Arial" w:cs="Arial"/>
          <w:lang w:val="en-US"/>
        </w:rPr>
        <w:t>cannot stand or walk. In</w:t>
      </w:r>
      <w:r w:rsidR="00E30FA8" w:rsidRPr="00E30FA8">
        <w:rPr>
          <w:rFonts w:ascii="Arial" w:hAnsi="Arial" w:cs="Arial"/>
          <w:lang w:val="en-US"/>
        </w:rPr>
        <w:t xml:space="preserve"> the </w:t>
      </w:r>
      <w:r w:rsidR="003D3EC3">
        <w:rPr>
          <w:rFonts w:ascii="Arial" w:hAnsi="Arial" w:cs="Arial"/>
          <w:lang w:val="en-US"/>
        </w:rPr>
        <w:t>“</w:t>
      </w:r>
      <w:r w:rsidR="00E30FA8" w:rsidRPr="00E30FA8">
        <w:rPr>
          <w:rFonts w:ascii="Arial" w:hAnsi="Arial" w:cs="Arial"/>
          <w:lang w:val="en-US"/>
        </w:rPr>
        <w:t>milder</w:t>
      </w:r>
      <w:r w:rsidR="003D3EC3">
        <w:rPr>
          <w:rFonts w:ascii="Arial" w:hAnsi="Arial" w:cs="Arial"/>
          <w:lang w:val="en-US"/>
        </w:rPr>
        <w:t>”</w:t>
      </w:r>
      <w:r w:rsidR="00E30FA8" w:rsidRPr="00E30FA8">
        <w:rPr>
          <w:rFonts w:ascii="Arial" w:hAnsi="Arial" w:cs="Arial"/>
          <w:lang w:val="en-US"/>
        </w:rPr>
        <w:t xml:space="preserve"> form</w:t>
      </w:r>
      <w:r w:rsidR="00826283">
        <w:rPr>
          <w:rFonts w:ascii="Arial" w:hAnsi="Arial" w:cs="Arial"/>
          <w:lang w:val="en-US"/>
        </w:rPr>
        <w:t>,</w:t>
      </w:r>
      <w:r w:rsidR="009B0AF4">
        <w:rPr>
          <w:rFonts w:ascii="Arial" w:hAnsi="Arial" w:cs="Arial"/>
          <w:lang w:val="en-US"/>
        </w:rPr>
        <w:t xml:space="preserve"> SMA3</w:t>
      </w:r>
      <w:r w:rsidR="00826283">
        <w:rPr>
          <w:rFonts w:ascii="Arial" w:hAnsi="Arial" w:cs="Arial"/>
          <w:lang w:val="en-US"/>
        </w:rPr>
        <w:t>,</w:t>
      </w:r>
      <w:r w:rsidR="009B0AF4">
        <w:rPr>
          <w:rFonts w:ascii="Arial" w:hAnsi="Arial" w:cs="Arial"/>
          <w:lang w:val="en-US"/>
        </w:rPr>
        <w:t xml:space="preserve"> </w:t>
      </w:r>
      <w:r w:rsidR="00E30FA8" w:rsidRPr="00E30FA8">
        <w:rPr>
          <w:rFonts w:ascii="Arial" w:hAnsi="Arial" w:cs="Arial"/>
          <w:lang w:val="en-US"/>
        </w:rPr>
        <w:t xml:space="preserve">patients </w:t>
      </w:r>
      <w:r w:rsidR="00C24E7B">
        <w:rPr>
          <w:rFonts w:ascii="Arial" w:hAnsi="Arial" w:cs="Arial"/>
          <w:lang w:val="en-US"/>
        </w:rPr>
        <w:t xml:space="preserve">may </w:t>
      </w:r>
      <w:r w:rsidR="00E30FA8" w:rsidRPr="00E30FA8">
        <w:rPr>
          <w:rFonts w:ascii="Arial" w:hAnsi="Arial" w:cs="Arial"/>
          <w:lang w:val="en-US"/>
        </w:rPr>
        <w:t xml:space="preserve">lose their ability to walk in adolescence or adulthood or have their walking range restricted. </w:t>
      </w:r>
      <w:r w:rsidR="0066558D">
        <w:rPr>
          <w:rFonts w:ascii="Arial" w:hAnsi="Arial" w:cs="Arial"/>
          <w:lang w:val="en-US"/>
        </w:rPr>
        <w:t>SMA</w:t>
      </w:r>
      <w:r w:rsidR="0066558D" w:rsidRPr="00E30FA8">
        <w:rPr>
          <w:rFonts w:ascii="Arial" w:hAnsi="Arial" w:cs="Arial"/>
          <w:lang w:val="en-US"/>
        </w:rPr>
        <w:t xml:space="preserve"> </w:t>
      </w:r>
      <w:r w:rsidR="0066558D">
        <w:rPr>
          <w:rFonts w:ascii="Arial" w:hAnsi="Arial" w:cs="Arial"/>
          <w:lang w:val="en-US"/>
        </w:rPr>
        <w:t xml:space="preserve">is associated with substantial healthcare and societal costs and </w:t>
      </w:r>
      <w:r w:rsidR="00E30FA8" w:rsidRPr="00E30FA8">
        <w:rPr>
          <w:rFonts w:ascii="Arial" w:hAnsi="Arial" w:cs="Arial"/>
          <w:lang w:val="en-US"/>
        </w:rPr>
        <w:t>has a major impact on the quality of life of patients</w:t>
      </w:r>
      <w:r w:rsidR="0066558D">
        <w:rPr>
          <w:rFonts w:ascii="Arial" w:hAnsi="Arial" w:cs="Arial"/>
          <w:lang w:val="en-US"/>
        </w:rPr>
        <w:t xml:space="preserve"> </w:t>
      </w:r>
      <w:r w:rsidR="00D13669">
        <w:rPr>
          <w:rFonts w:ascii="Arial" w:hAnsi="Arial" w:cs="Arial"/>
          <w:lang w:val="en-US"/>
        </w:rPr>
        <w:t xml:space="preserve">and </w:t>
      </w:r>
      <w:r w:rsidR="004E30B9">
        <w:rPr>
          <w:rFonts w:ascii="Arial" w:hAnsi="Arial" w:cs="Arial"/>
          <w:lang w:val="en-US"/>
        </w:rPr>
        <w:t xml:space="preserve">their </w:t>
      </w:r>
      <w:r w:rsidR="0066558D">
        <w:rPr>
          <w:rFonts w:ascii="Arial" w:hAnsi="Arial" w:cs="Arial"/>
          <w:lang w:val="en-US"/>
        </w:rPr>
        <w:t>caregiver</w:t>
      </w:r>
      <w:r w:rsidR="004E30B9">
        <w:rPr>
          <w:rFonts w:ascii="Arial" w:hAnsi="Arial" w:cs="Arial"/>
          <w:lang w:val="en-US"/>
        </w:rPr>
        <w:t>s</w:t>
      </w:r>
      <w:r w:rsidR="00E30FA8" w:rsidRPr="00E30FA8">
        <w:rPr>
          <w:rFonts w:ascii="Arial" w:hAnsi="Arial" w:cs="Arial"/>
          <w:lang w:val="en-US"/>
        </w:rPr>
        <w:t xml:space="preserve"> </w:t>
      </w:r>
      <w:r w:rsidR="00E30FA8">
        <w:rPr>
          <w:rFonts w:ascii="Arial" w:hAnsi="Arial" w:cs="Arial"/>
          <w:lang w:val="en-US"/>
        </w:rPr>
        <w:fldChar w:fldCharType="begin" w:fldLock="1"/>
      </w:r>
      <w:r w:rsidR="00540EAA">
        <w:rPr>
          <w:rFonts w:ascii="Arial" w:hAnsi="Arial" w:cs="Arial"/>
          <w:lang w:val="en-US"/>
        </w:rPr>
        <w:instrText>ADDIN CSL_CITATION {"citationItems":[{"id":"ITEM-1","itemData":{"DOI":"10.1016/j.ejpn.2019.03.004","ISBN":"1090-3798","PMID":"30962132","abstract":"OBJECTIVES: To systematically review the literature of quality of life (QoL) of patients with spinal muscular atrophy (SMA), a rare, autosomal-recessive neuromuscular disease associated with extensive morbidity and elevated mortality. METHODS: We searched Embase, Web of Science, and PubMed for full-text, English-language articles (published between January 1, 2000 and July 31, 2018) reporting results from studies of QoL of patients with SMA. We excluded review and editorial articles, studies reporting results for samples comprising &lt;5 patients (to allow for meaningful inference), and case reports/qualitative assessments. RESULTS: Of 824 identified articles, 15 met study criteria. Included publications contained data derived from samples from a total of 11 countries and three continents (Europe, North America, and South America). Estimates of the latent trait, primarily derived using the Pediatric Quality of Life Inventory (PedsQL) 4.0 Generic Core Scales and the PedsQL 3.0 Neuromuscular Module, indicated impairment in patient QoL, in particular physical functioning. However, both patient self- and caregiver proxy-assessments varied markedly across studies and subgroups. Among adult individuals, the mean self-assessed EuroQol-5D-3L utility has been estimated at 0.16 for a pooled sample of patients with SMA type I, II, and III, and -0.01 for SMA type II. Little is known of the impact of available treatments, including nusinersen, on patient QoL. CONCLUSIONS: Our review show that QoL is impaired in SMA, mainly due to compromised physical health, but also reveal that little is known of the impact of the disease across different phenotypes and clinical interventions.","author":[{"dropping-particle":"","family":"Landfeldt","given":"E","non-dropping-particle":"","parse-names":false,"suffix":""},{"dropping-particle":"","family":"Edstrom","given":"J","non-dropping-particle":"","parse-names":false,"suffix":""},{"dropping-particle":"","family":"Sejersen","given":"T","non-dropping-particle":"","parse-names":false,"suffix":""},{"dropping-particle":"","family":"Tulinius","given":"M","non-dropping-particle":"","parse-names":false,"suffix":""},{"dropping-particle":"","family":"Lochmuller","given":"H","non-dropping-particle":"","parse-names":false,"suffix":""},{"dropping-particle":"","family":"Kirschner","given":"J","non-dropping-particle":"","parse-names":false,"suffix":""}],"container-title":"Eur J Paediatr Neurol","edition":"2019/04/10","id":"ITEM-1","issue":"3","issued":{"date-parts":[["2019"]]},"language":"eng","note":"1532-2130\nLandfeldt, Erik\nEdstrom, Josefin\nSejersen, Thomas\nTulinius, Mar\nLochmuller, Hanns\nKirschner, Janbernd\nJournal Article\nSystematic Review\nEngland\nEur J Paediatr Neurol. 2019 May;23(3):347-356. doi: 10.1016/j.ejpn.2019.03.004. Epub 2019 Mar 21.","page":"347-356","title":"Quality of life of patients with spinal muscular atrophy: A systematic review","type":"article-journal","volume":"23"},"uris":["http://www.mendeley.com/documents/?uuid=aa27ec0f-d089-4f8e-a4b4-48ab2ce06042"]}],"mendeley":{"formattedCitation":"&lt;sup&gt;4&lt;/sup&gt;","plainTextFormattedCitation":"4","previouslyFormattedCitation":"&lt;sup&gt;4&lt;/sup&gt;"},"properties":{"noteIndex":0},"schema":"https://github.com/citation-style-language/schema/raw/master/csl-citation.json"}</w:instrText>
      </w:r>
      <w:r w:rsidR="00E30FA8">
        <w:rPr>
          <w:rFonts w:ascii="Arial" w:hAnsi="Arial" w:cs="Arial"/>
          <w:lang w:val="en-US"/>
        </w:rPr>
        <w:fldChar w:fldCharType="separate"/>
      </w:r>
      <w:r w:rsidR="001E65AA" w:rsidRPr="001E65AA">
        <w:rPr>
          <w:rFonts w:ascii="Arial" w:hAnsi="Arial" w:cs="Arial"/>
          <w:noProof/>
          <w:vertAlign w:val="superscript"/>
          <w:lang w:val="en-US"/>
        </w:rPr>
        <w:t>4</w:t>
      </w:r>
      <w:r w:rsidR="00E30FA8">
        <w:rPr>
          <w:rFonts w:ascii="Arial" w:hAnsi="Arial" w:cs="Arial"/>
          <w:lang w:val="en-US"/>
        </w:rPr>
        <w:fldChar w:fldCharType="end"/>
      </w:r>
      <w:r w:rsidR="00E30FA8" w:rsidRPr="00E30FA8">
        <w:rPr>
          <w:rFonts w:ascii="Arial" w:hAnsi="Arial" w:cs="Arial"/>
          <w:lang w:val="en-US"/>
        </w:rPr>
        <w:t xml:space="preserve">. </w:t>
      </w:r>
      <w:r w:rsidR="0066558D">
        <w:rPr>
          <w:rFonts w:ascii="Arial" w:hAnsi="Arial" w:cs="Arial"/>
          <w:lang w:val="en-US"/>
        </w:rPr>
        <w:t>A recent systematic review revealed that t</w:t>
      </w:r>
      <w:r w:rsidR="0066558D" w:rsidRPr="00E30FA8">
        <w:rPr>
          <w:rFonts w:ascii="Arial" w:hAnsi="Arial" w:cs="Arial"/>
          <w:lang w:val="en-US"/>
        </w:rPr>
        <w:t xml:space="preserve">he </w:t>
      </w:r>
      <w:r w:rsidR="00E30FA8" w:rsidRPr="00E30FA8">
        <w:rPr>
          <w:rFonts w:ascii="Arial" w:hAnsi="Arial" w:cs="Arial"/>
          <w:lang w:val="en-US"/>
        </w:rPr>
        <w:t xml:space="preserve">average annual cost of </w:t>
      </w:r>
      <w:r w:rsidR="00826283">
        <w:rPr>
          <w:rFonts w:ascii="Arial" w:hAnsi="Arial" w:cs="Arial"/>
          <w:lang w:val="en-US"/>
        </w:rPr>
        <w:t>SMA1,</w:t>
      </w:r>
      <w:r w:rsidR="00E30FA8" w:rsidRPr="00E30FA8">
        <w:rPr>
          <w:rFonts w:ascii="Arial" w:hAnsi="Arial" w:cs="Arial"/>
          <w:lang w:val="en-US"/>
        </w:rPr>
        <w:t xml:space="preserve"> in which symptoms appear before the age of 6 months, range</w:t>
      </w:r>
      <w:r w:rsidR="0066558D">
        <w:rPr>
          <w:rFonts w:ascii="Arial" w:hAnsi="Arial" w:cs="Arial"/>
          <w:lang w:val="en-US"/>
        </w:rPr>
        <w:t>d</w:t>
      </w:r>
      <w:r w:rsidR="00E30FA8" w:rsidRPr="00E30FA8">
        <w:rPr>
          <w:rFonts w:ascii="Arial" w:hAnsi="Arial" w:cs="Arial"/>
          <w:lang w:val="en-US"/>
        </w:rPr>
        <w:t xml:space="preserve"> from </w:t>
      </w:r>
      <w:r w:rsidR="00826283">
        <w:rPr>
          <w:rFonts w:ascii="Arial" w:hAnsi="Arial" w:cs="Arial"/>
          <w:lang w:val="en-US"/>
        </w:rPr>
        <w:t>US</w:t>
      </w:r>
      <w:r w:rsidR="00E30FA8" w:rsidRPr="00E30FA8">
        <w:rPr>
          <w:rFonts w:ascii="Arial" w:hAnsi="Arial" w:cs="Arial"/>
          <w:lang w:val="en-US"/>
        </w:rPr>
        <w:t>$75,047 to $196,429 per year. The annual costs of the later-onset forms</w:t>
      </w:r>
      <w:r w:rsidR="00826283">
        <w:rPr>
          <w:rFonts w:ascii="Arial" w:hAnsi="Arial" w:cs="Arial"/>
          <w:lang w:val="en-US"/>
        </w:rPr>
        <w:t xml:space="preserve"> range</w:t>
      </w:r>
      <w:r w:rsidR="00E30FA8" w:rsidRPr="00E30FA8">
        <w:rPr>
          <w:rFonts w:ascii="Arial" w:hAnsi="Arial" w:cs="Arial"/>
          <w:lang w:val="en-US"/>
        </w:rPr>
        <w:t xml:space="preserve"> from </w:t>
      </w:r>
      <w:r w:rsidR="00826283">
        <w:rPr>
          <w:rFonts w:ascii="Arial" w:hAnsi="Arial" w:cs="Arial"/>
          <w:lang w:val="en-US"/>
        </w:rPr>
        <w:t>US</w:t>
      </w:r>
      <w:r w:rsidR="00E30FA8" w:rsidRPr="00E30FA8">
        <w:rPr>
          <w:rFonts w:ascii="Arial" w:hAnsi="Arial" w:cs="Arial"/>
          <w:lang w:val="en-US"/>
        </w:rPr>
        <w:t xml:space="preserve">$27,157 to </w:t>
      </w:r>
      <w:r w:rsidR="00826283">
        <w:rPr>
          <w:rFonts w:ascii="Arial" w:hAnsi="Arial" w:cs="Arial"/>
          <w:lang w:val="en-US"/>
        </w:rPr>
        <w:t>US</w:t>
      </w:r>
      <w:r w:rsidR="00E30FA8" w:rsidRPr="00E30FA8">
        <w:rPr>
          <w:rFonts w:ascii="Arial" w:hAnsi="Arial" w:cs="Arial"/>
          <w:lang w:val="en-US"/>
        </w:rPr>
        <w:t>$82,474</w:t>
      </w:r>
      <w:r w:rsidR="0071779D">
        <w:rPr>
          <w:rFonts w:ascii="Arial" w:hAnsi="Arial" w:cs="Arial"/>
          <w:lang w:val="en-US"/>
        </w:rPr>
        <w:t xml:space="preserve"> per year</w:t>
      </w:r>
      <w:r w:rsidR="00E30FA8">
        <w:rPr>
          <w:rFonts w:ascii="Arial" w:hAnsi="Arial" w:cs="Arial"/>
          <w:lang w:val="en-US"/>
        </w:rPr>
        <w:t xml:space="preserve"> </w:t>
      </w:r>
      <w:r w:rsidR="00E30FA8">
        <w:rPr>
          <w:rFonts w:ascii="Arial" w:hAnsi="Arial" w:cs="Arial"/>
          <w:lang w:val="en-US"/>
        </w:rPr>
        <w:fldChar w:fldCharType="begin" w:fldLock="1"/>
      </w:r>
      <w:r w:rsidR="00540EAA">
        <w:rPr>
          <w:rFonts w:ascii="Arial" w:hAnsi="Arial" w:cs="Arial"/>
          <w:lang w:val="en-US"/>
        </w:rPr>
        <w:instrText>ADDIN CSL_CITATION {"citationItems":[{"id":"ITEM-1","itemData":{"DOI":"10.1186/s13023-021-01695-7","ISSN":"1750-1172","PMID":"33485382","abstract":"Spinal muscular atrophy (SMA) is a rare and devastating condition for which new disease-modifying treatments have recently been approved. Given the increasing importance of economic considerations in healthcare decision-making, this review summarizes the studies assessing the cost of SMA and economic evaluations of treatments. A systematic review of the literature in PubMed and Scopus up to 15 September 2020 was conducted according to PRISMA guidelines.","author":[{"dropping-particle":"","family":"Dangouloff","given":"Tamara","non-dropping-particle":"","parse-names":false,"suffix":""},{"dropping-particle":"","family":"Botty","given":"Camille","non-dropping-particle":"","parse-names":false,"suffix":""},{"dropping-particle":"","family":"Beaudart","given":"Charlotte","non-dropping-particle":"","parse-names":false,"suffix":""},{"dropping-particle":"","family":"Servais","given":"Laurent","non-dropping-particle":"","parse-names":false,"suffix":""},{"dropping-particle":"","family":"Hiligsmann","given":"Mickaël","non-dropping-particle":"","parse-names":false,"suffix":""}],"container-title":"Orphanet Journal of Rare Diseases","id":"ITEM-1","issue":"1","issued":{"date-parts":[["2021"]]},"page":"47","title":"Systematic literature review of the economic burden of spinal muscular atrophy and economic evaluations of treatments","type":"article-journal","volume":"16"},"uris":["http://www.mendeley.com/documents/?uuid=0389618b-faeb-46ae-8aee-586426a81016"]}],"mendeley":{"formattedCitation":"&lt;sup&gt;5&lt;/sup&gt;","plainTextFormattedCitation":"5","previouslyFormattedCitation":"&lt;sup&gt;5&lt;/sup&gt;"},"properties":{"noteIndex":0},"schema":"https://github.com/citation-style-language/schema/raw/master/csl-citation.json"}</w:instrText>
      </w:r>
      <w:r w:rsidR="00E30FA8">
        <w:rPr>
          <w:rFonts w:ascii="Arial" w:hAnsi="Arial" w:cs="Arial"/>
          <w:lang w:val="en-US"/>
        </w:rPr>
        <w:fldChar w:fldCharType="separate"/>
      </w:r>
      <w:r w:rsidR="001E65AA" w:rsidRPr="001E65AA">
        <w:rPr>
          <w:rFonts w:ascii="Arial" w:hAnsi="Arial" w:cs="Arial"/>
          <w:noProof/>
          <w:vertAlign w:val="superscript"/>
          <w:lang w:val="en-US"/>
        </w:rPr>
        <w:t>5</w:t>
      </w:r>
      <w:r w:rsidR="00E30FA8">
        <w:rPr>
          <w:rFonts w:ascii="Arial" w:hAnsi="Arial" w:cs="Arial"/>
          <w:lang w:val="en-US"/>
        </w:rPr>
        <w:fldChar w:fldCharType="end"/>
      </w:r>
      <w:r w:rsidR="00E30FA8" w:rsidRPr="00E30FA8">
        <w:rPr>
          <w:rFonts w:ascii="Arial" w:hAnsi="Arial" w:cs="Arial"/>
          <w:lang w:val="en-US"/>
        </w:rPr>
        <w:t>.</w:t>
      </w:r>
    </w:p>
    <w:p w14:paraId="1CD0A458" w14:textId="3AFF5B18" w:rsidR="00E30FA8" w:rsidRPr="00CE080A" w:rsidRDefault="00C24E7B" w:rsidP="00055DF4">
      <w:pPr>
        <w:pStyle w:val="NormalWeb"/>
        <w:jc w:val="both"/>
        <w:rPr>
          <w:rFonts w:ascii="Arial" w:hAnsi="Arial" w:cs="Arial"/>
          <w:lang w:val="en-US"/>
        </w:rPr>
      </w:pPr>
      <w:r>
        <w:rPr>
          <w:rFonts w:ascii="Arial" w:hAnsi="Arial" w:cs="Arial"/>
          <w:lang w:val="en-US"/>
        </w:rPr>
        <w:t xml:space="preserve">Since 2016, three </w:t>
      </w:r>
      <w:r w:rsidR="00E74AF1">
        <w:rPr>
          <w:rFonts w:ascii="Arial" w:hAnsi="Arial" w:cs="Arial"/>
          <w:lang w:val="en-US"/>
        </w:rPr>
        <w:t xml:space="preserve">disease-modifying treatments </w:t>
      </w:r>
      <w:r>
        <w:rPr>
          <w:rFonts w:ascii="Arial" w:hAnsi="Arial" w:cs="Arial"/>
          <w:lang w:val="en-US"/>
        </w:rPr>
        <w:t xml:space="preserve">have been approved. They all </w:t>
      </w:r>
      <w:r w:rsidR="00E96FA8" w:rsidRPr="004205D6">
        <w:rPr>
          <w:rFonts w:ascii="Arial" w:hAnsi="Arial" w:cs="Arial"/>
          <w:lang w:val="en-US"/>
        </w:rPr>
        <w:t>reduc</w:t>
      </w:r>
      <w:r>
        <w:rPr>
          <w:rFonts w:ascii="Arial" w:hAnsi="Arial" w:cs="Arial"/>
          <w:lang w:val="en-US"/>
        </w:rPr>
        <w:t>e</w:t>
      </w:r>
      <w:r w:rsidR="00E96FA8" w:rsidRPr="004205D6">
        <w:rPr>
          <w:rFonts w:ascii="Arial" w:hAnsi="Arial" w:cs="Arial"/>
          <w:lang w:val="en-US"/>
        </w:rPr>
        <w:t xml:space="preserve"> infant mortality</w:t>
      </w:r>
      <w:r>
        <w:rPr>
          <w:rFonts w:ascii="Arial" w:hAnsi="Arial" w:cs="Arial"/>
          <w:lang w:val="en-US"/>
        </w:rPr>
        <w:t xml:space="preserve"> in SMA1 </w:t>
      </w:r>
      <w:r w:rsidR="00826283">
        <w:rPr>
          <w:rFonts w:ascii="Arial" w:hAnsi="Arial" w:cs="Arial"/>
          <w:lang w:val="en-US"/>
        </w:rPr>
        <w:t>and</w:t>
      </w:r>
      <w:r w:rsidR="00E96FA8" w:rsidRPr="004205D6">
        <w:rPr>
          <w:rFonts w:ascii="Arial" w:hAnsi="Arial" w:cs="Arial"/>
          <w:lang w:val="en-US"/>
        </w:rPr>
        <w:t xml:space="preserve"> improv</w:t>
      </w:r>
      <w:r>
        <w:rPr>
          <w:rFonts w:ascii="Arial" w:hAnsi="Arial" w:cs="Arial"/>
          <w:lang w:val="en-US"/>
        </w:rPr>
        <w:t>e</w:t>
      </w:r>
      <w:r w:rsidR="00E96FA8" w:rsidRPr="004205D6">
        <w:rPr>
          <w:rFonts w:ascii="Arial" w:hAnsi="Arial" w:cs="Arial"/>
          <w:lang w:val="en-US"/>
        </w:rPr>
        <w:t xml:space="preserve"> motor </w:t>
      </w:r>
      <w:r>
        <w:rPr>
          <w:rFonts w:ascii="Arial" w:hAnsi="Arial" w:cs="Arial"/>
          <w:lang w:val="en-US"/>
        </w:rPr>
        <w:t>functions in</w:t>
      </w:r>
      <w:r w:rsidR="00826283">
        <w:rPr>
          <w:rFonts w:ascii="Arial" w:hAnsi="Arial" w:cs="Arial"/>
          <w:lang w:val="en-US"/>
        </w:rPr>
        <w:t xml:space="preserve"> patients with</w:t>
      </w:r>
      <w:r>
        <w:rPr>
          <w:rFonts w:ascii="Arial" w:hAnsi="Arial" w:cs="Arial"/>
          <w:lang w:val="en-US"/>
        </w:rPr>
        <w:t xml:space="preserve"> all types of SMA </w:t>
      </w:r>
      <w:r w:rsidR="00E30FA8" w:rsidRPr="00CE080A">
        <w:rPr>
          <w:rFonts w:ascii="Arial" w:hAnsi="Arial" w:cs="Arial"/>
        </w:rPr>
        <w:fldChar w:fldCharType="begin" w:fldLock="1"/>
      </w:r>
      <w:r w:rsidR="00540EAA">
        <w:rPr>
          <w:rFonts w:ascii="Arial" w:hAnsi="Arial" w:cs="Arial"/>
          <w:lang w:val="en-US"/>
        </w:rPr>
        <w:instrText>ADDIN CSL_CITATION {"citationItems":[{"id":"ITEM-1","itemData":{"DOI":"10.1080/14656566.2019.1704732","ISBN":"1465-6566","PMID":"31973611","abstract":"Introduction: Spinal muscular atrophy (SMA) is one of the most common inherited neuromuscular disorders. It causes progressive muscle weakness and results in significant disability. Until recently, there were no drugs available for the treatment of SMA. Several phase 1-3 studies, including three double-blind randomized placebo-controlled studies have demonstrated the efficacy of disease-modifying approaches including gene replacement therapy, antisense oligonucleotides, and splicing modifiers.Areas covered: This article covers the publically available data on therapeutic strategies that address the underlying cause of SMA and clinical data available on approved treatments and drugs in the pipeline.Expert opinion: The newer therapeutic options in SMA have a good safety profile and deliver a therapeutic benefit in most patients. It is essential that the recommended standards of care are delivered along with the drugs for the best outcomes. No biomarkers to distinguish responders from non-responders are available; it is important that biomarkers be identified. Early treatment is essential for the maximum efficacy of the newly available treatments.","author":[{"dropping-particle":"","family":"Ramdas","given":"S","non-dropping-particle":"","parse-names":false,"suffix":""},{"dropping-particle":"","family":"Servais","given":"L","non-dropping-particle":"","parse-names":false,"suffix":""}],"container-title":"Expert Opin Pharmacother","edition":"2020/01/25","id":"ITEM-1","issue":"3","issued":{"date-parts":[["2020"]]},"language":"eng","note":"1744-7666\nRamdas, Sithara\nServais, Laurent\nJournal Article\nReview\nEngland\nExpert Opin Pharmacother. 2020 Feb;21(3):307-315. doi: 10.1080/14656566.2019.1704732.","page":"307-315","title":"New treatments in spinal muscular atrophy: an overview of currently available data","type":"article-journal","volume":"21"},"uris":["http://www.mendeley.com/documents/?uuid=4dd92e31-30cc-435d-86b1-64162adbc5b5"]}],"mendeley":{"formattedCitation":"&lt;sup&gt;6&lt;/sup&gt;","plainTextFormattedCitation":"6","previouslyFormattedCitation":"&lt;sup&gt;6&lt;/sup&gt;"},"properties":{"noteIndex":0},"schema":"https://github.com/citation-style-language/schema/raw/master/csl-citation.json"}</w:instrText>
      </w:r>
      <w:r w:rsidR="00E30FA8" w:rsidRPr="00CE080A">
        <w:rPr>
          <w:rFonts w:ascii="Arial" w:hAnsi="Arial" w:cs="Arial"/>
        </w:rPr>
        <w:fldChar w:fldCharType="separate"/>
      </w:r>
      <w:r w:rsidR="001E65AA" w:rsidRPr="001E65AA">
        <w:rPr>
          <w:rFonts w:ascii="Arial" w:hAnsi="Arial" w:cs="Arial"/>
          <w:noProof/>
          <w:vertAlign w:val="superscript"/>
          <w:lang w:val="en-US"/>
        </w:rPr>
        <w:t>6</w:t>
      </w:r>
      <w:r w:rsidR="00E30FA8" w:rsidRPr="00CE080A">
        <w:rPr>
          <w:rFonts w:ascii="Arial" w:hAnsi="Arial" w:cs="Arial"/>
        </w:rPr>
        <w:fldChar w:fldCharType="end"/>
      </w:r>
      <w:r w:rsidR="00E30FA8" w:rsidRPr="00CE080A">
        <w:rPr>
          <w:rFonts w:ascii="Arial" w:hAnsi="Arial" w:cs="Arial"/>
          <w:lang w:val="en-US"/>
        </w:rPr>
        <w:t>.</w:t>
      </w:r>
      <w:r w:rsidR="00E30FA8">
        <w:rPr>
          <w:rFonts w:ascii="Arial" w:hAnsi="Arial" w:cs="Arial"/>
          <w:lang w:val="en-US"/>
        </w:rPr>
        <w:t xml:space="preserve"> </w:t>
      </w:r>
      <w:r w:rsidR="003F4ACB">
        <w:rPr>
          <w:rFonts w:ascii="Arial" w:hAnsi="Arial" w:cs="Arial"/>
          <w:lang w:val="en-US"/>
        </w:rPr>
        <w:t>Th</w:t>
      </w:r>
      <w:r w:rsidR="00E96FA8" w:rsidRPr="004205D6">
        <w:rPr>
          <w:rFonts w:ascii="Arial" w:hAnsi="Arial" w:cs="Arial"/>
          <w:lang w:val="en-US"/>
        </w:rPr>
        <w:t xml:space="preserve">e benefits in terms of motor improvements </w:t>
      </w:r>
      <w:r w:rsidR="00696CDF">
        <w:rPr>
          <w:rFonts w:ascii="Arial" w:hAnsi="Arial" w:cs="Arial"/>
          <w:lang w:val="en-US"/>
        </w:rPr>
        <w:t>are</w:t>
      </w:r>
      <w:r w:rsidR="00BA2BB8">
        <w:rPr>
          <w:rFonts w:ascii="Arial" w:hAnsi="Arial" w:cs="Arial"/>
          <w:lang w:val="en-US"/>
        </w:rPr>
        <w:t xml:space="preserve"> </w:t>
      </w:r>
      <w:r w:rsidR="00E96FA8" w:rsidRPr="004205D6">
        <w:rPr>
          <w:rFonts w:ascii="Arial" w:hAnsi="Arial" w:cs="Arial"/>
          <w:lang w:val="en-US"/>
        </w:rPr>
        <w:t>strongly linked to the time of treatment</w:t>
      </w:r>
      <w:r w:rsidR="004E30B9">
        <w:rPr>
          <w:rFonts w:ascii="Arial" w:hAnsi="Arial" w:cs="Arial"/>
          <w:lang w:val="en-US"/>
        </w:rPr>
        <w:t xml:space="preserve"> initiation</w:t>
      </w:r>
      <w:r w:rsidR="00696CDF">
        <w:rPr>
          <w:rFonts w:ascii="Arial" w:hAnsi="Arial" w:cs="Arial"/>
          <w:lang w:val="en-US"/>
        </w:rPr>
        <w:t xml:space="preserve">, with </w:t>
      </w:r>
      <w:r w:rsidR="00E74AF1">
        <w:rPr>
          <w:rFonts w:ascii="Arial" w:hAnsi="Arial" w:cs="Arial"/>
          <w:lang w:val="en-US"/>
        </w:rPr>
        <w:t>maximal</w:t>
      </w:r>
      <w:r w:rsidR="00696CDF">
        <w:rPr>
          <w:rFonts w:ascii="Arial" w:hAnsi="Arial" w:cs="Arial"/>
          <w:lang w:val="en-US"/>
        </w:rPr>
        <w:t xml:space="preserve"> benefits associated with treatment</w:t>
      </w:r>
      <w:r w:rsidR="00826283">
        <w:rPr>
          <w:rFonts w:ascii="Arial" w:hAnsi="Arial" w:cs="Arial"/>
          <w:lang w:val="en-US"/>
        </w:rPr>
        <w:t xml:space="preserve"> prior to onset of symptoms</w:t>
      </w:r>
      <w:r w:rsidR="006E3D4C">
        <w:rPr>
          <w:rFonts w:ascii="Arial" w:hAnsi="Arial" w:cs="Arial"/>
          <w:lang w:val="en-US"/>
        </w:rPr>
        <w:t xml:space="preserve"> </w:t>
      </w:r>
      <w:r w:rsidR="006E3D4C">
        <w:rPr>
          <w:rFonts w:ascii="Arial" w:hAnsi="Arial" w:cs="Arial"/>
          <w:lang w:val="en-US"/>
        </w:rPr>
        <w:fldChar w:fldCharType="begin" w:fldLock="1"/>
      </w:r>
      <w:r w:rsidR="00540EAA">
        <w:rPr>
          <w:rFonts w:ascii="Arial" w:hAnsi="Arial" w:cs="Arial"/>
          <w:lang w:val="en-US"/>
        </w:rPr>
        <w:instrText>ADDIN CSL_CITATION {"citationItems":[{"id":"ITEM-1","itemData":{"DOI":"10.2147/tcrm.S172291","ISBN":"1176-6336 (Print) 1176-6336","ISSN":"1178203X","PMID":"31632042","abstract":"Recent advances in the treatment of spinal muscular atrophy (SMA) have dramatically altered prognosis. Rather than a rapidly lethal disease, SMA type 1, the most severe form with the earliest onset of SMA, has become a disease in which long-term event-free survival with the acquisition of important motor milestones is likely. Prognosis for patients with SMA type 2 has shifted from slow and progressive deterioration to long-term stability. Nevertheless, there is a large heterogeneity in terms of clinical response to currently available treatments, ranging from absence of response to impressive improvement. The only factor identified that is predictive of treatment success is the age of the patient at the initiation of treatment, which is closely related to disease duration. The aim of this paper is to review available evidence that support early intervention using currently available treatment approaches.","author":[{"dropping-particle":"","family":"Dangouloff","given":"Tamara","non-dropping-particle":"","parse-names":false,"suffix":""},{"dropping-particle":"","family":"Servais","given":"Laurent","non-dropping-particle":"","parse-names":false,"suffix":""}],"container-title":"Therapeutics and Clinical Risk Management","edition":"2019/10/22","id":"ITEM-1","issued":{"date-parts":[["2019","10"]]},"language":"eng","note":"From Duplicate 1 (Clinical Evidence Supporting Early Treatment Of Patients With Spinal Muscular Atrophy: Current Perspectives - Dangouloff, T; Servais, L)\n\nDangouloff, Tamara\nServais, Laurent\nJournal Article\nNew Zealand\nTher Clin Risk Manag. 2019 Oct 2;15:1153-1161. doi: 10.2147/TCRM.S172291. eCollection 2019.","page":"1153-1161","publisher":"Informa UK Limited","title":"Clinical Evidence Supporting Early Treatment Of Patients With Spinal Muscular Atrophy: Current Perspectives","type":"article-journal","volume":"15"},"uris":["http://www.mendeley.com/documents/?uuid=b387ba13-abeb-4641-baf8-bfc4a7c57e3a"]}],"mendeley":{"formattedCitation":"&lt;sup&gt;7&lt;/sup&gt;","plainTextFormattedCitation":"7","previouslyFormattedCitation":"&lt;sup&gt;7&lt;/sup&gt;"},"properties":{"noteIndex":0},"schema":"https://github.com/citation-style-language/schema/raw/master/csl-citation.json"}</w:instrText>
      </w:r>
      <w:r w:rsidR="006E3D4C">
        <w:rPr>
          <w:rFonts w:ascii="Arial" w:hAnsi="Arial" w:cs="Arial"/>
          <w:lang w:val="en-US"/>
        </w:rPr>
        <w:fldChar w:fldCharType="separate"/>
      </w:r>
      <w:r w:rsidR="001E65AA" w:rsidRPr="001E65AA">
        <w:rPr>
          <w:rFonts w:ascii="Arial" w:hAnsi="Arial" w:cs="Arial"/>
          <w:noProof/>
          <w:vertAlign w:val="superscript"/>
          <w:lang w:val="en-US"/>
        </w:rPr>
        <w:t>7</w:t>
      </w:r>
      <w:r w:rsidR="006E3D4C">
        <w:rPr>
          <w:rFonts w:ascii="Arial" w:hAnsi="Arial" w:cs="Arial"/>
          <w:lang w:val="en-US"/>
        </w:rPr>
        <w:fldChar w:fldCharType="end"/>
      </w:r>
      <w:r w:rsidR="00E96FA8" w:rsidRPr="004205D6">
        <w:rPr>
          <w:rFonts w:ascii="Arial" w:hAnsi="Arial" w:cs="Arial"/>
          <w:lang w:val="en-US"/>
        </w:rPr>
        <w:t xml:space="preserve">. To be able to treat as early as possible </w:t>
      </w:r>
      <w:r w:rsidR="00696CDF">
        <w:rPr>
          <w:rFonts w:ascii="Arial" w:hAnsi="Arial" w:cs="Arial"/>
          <w:lang w:val="en-US"/>
        </w:rPr>
        <w:t>and therefore maximize treatment eff</w:t>
      </w:r>
      <w:r w:rsidR="00826283">
        <w:rPr>
          <w:rFonts w:ascii="Arial" w:hAnsi="Arial" w:cs="Arial"/>
          <w:lang w:val="en-US"/>
        </w:rPr>
        <w:t>icacy</w:t>
      </w:r>
      <w:r w:rsidR="00696CDF">
        <w:rPr>
          <w:rFonts w:ascii="Arial" w:hAnsi="Arial" w:cs="Arial"/>
          <w:lang w:val="en-US"/>
        </w:rPr>
        <w:t>,</w:t>
      </w:r>
      <w:r w:rsidR="00E96FA8" w:rsidRPr="004205D6">
        <w:rPr>
          <w:rFonts w:ascii="Arial" w:hAnsi="Arial" w:cs="Arial"/>
          <w:lang w:val="en-US"/>
        </w:rPr>
        <w:t xml:space="preserve"> newborn screening </w:t>
      </w:r>
      <w:r w:rsidR="00290648" w:rsidRPr="004205D6">
        <w:rPr>
          <w:rFonts w:ascii="Arial" w:hAnsi="Arial" w:cs="Arial"/>
          <w:lang w:val="en-US"/>
        </w:rPr>
        <w:t xml:space="preserve">(NBS) </w:t>
      </w:r>
      <w:r w:rsidR="00E96FA8" w:rsidRPr="004205D6">
        <w:rPr>
          <w:rFonts w:ascii="Arial" w:hAnsi="Arial" w:cs="Arial"/>
          <w:lang w:val="en-US"/>
        </w:rPr>
        <w:t xml:space="preserve">programs have </w:t>
      </w:r>
      <w:r w:rsidR="00696CDF">
        <w:rPr>
          <w:rFonts w:ascii="Arial" w:hAnsi="Arial" w:cs="Arial"/>
          <w:lang w:val="en-US"/>
        </w:rPr>
        <w:t xml:space="preserve">recently </w:t>
      </w:r>
      <w:r w:rsidR="00E96FA8" w:rsidRPr="004205D6">
        <w:rPr>
          <w:rFonts w:ascii="Arial" w:hAnsi="Arial" w:cs="Arial"/>
          <w:lang w:val="en-US"/>
        </w:rPr>
        <w:t xml:space="preserve">been </w:t>
      </w:r>
      <w:r w:rsidR="00826283">
        <w:rPr>
          <w:rFonts w:ascii="Arial" w:hAnsi="Arial" w:cs="Arial"/>
          <w:lang w:val="en-US"/>
        </w:rPr>
        <w:t>initiated</w:t>
      </w:r>
      <w:r w:rsidR="00696CDF">
        <w:rPr>
          <w:rFonts w:ascii="Arial" w:hAnsi="Arial" w:cs="Arial"/>
          <w:lang w:val="en-US"/>
        </w:rPr>
        <w:t xml:space="preserve"> in several countries </w:t>
      </w:r>
      <w:r w:rsidR="006E3D4C" w:rsidRPr="00BC1802">
        <w:rPr>
          <w:rFonts w:ascii="Arial" w:hAnsi="Arial" w:cs="Arial"/>
          <w:vertAlign w:val="superscript"/>
          <w:lang w:val="en-US"/>
        </w:rPr>
        <w:fldChar w:fldCharType="begin" w:fldLock="1"/>
      </w:r>
      <w:r w:rsidR="00540EAA">
        <w:rPr>
          <w:rFonts w:ascii="Arial" w:hAnsi="Arial" w:cs="Arial"/>
          <w:vertAlign w:val="superscript"/>
          <w:lang w:val="en-US"/>
        </w:rPr>
        <w:instrText>ADDIN CSL_CITATION {"citationItems":[{"id":"ITEM-1","itemData":{"DOI":"10.1016/j.nmd.2019.11.002","ISBN":"0960-8966","ISSN":"18732364","PMID":"31882184","abstract":"Efficacy of new treatments in SMA is better in pre than in post-symptomatic patients?NBS is complementary of carriers screening, with different false negatives?Pilot projects of SMA NBS have started or are planned to start in several countries?Questions remain on SMN2 quantification and management of patients with 4 copies?We propose a strategy to launch an evidence-based approach for these patients","author":[{"dropping-particle":"","family":"Dangouloff","given":"Tamara","non-dropping-particle":"","parse-names":false,"suffix":""},{"dropping-particle":"","family":"Burghes","given":"Arthur","non-dropping-particle":"","parse-names":false,"suffix":""},{"dropping-particle":"","family":"Tizzano","given":"Eduardo F.","non-dropping-particle":"","parse-names":false,"suffix":""},{"dropping-particle":"","family":"Servais","given":"Laurent","non-dropping-particle":"","parse-names":false,"suffix":""}],"container-title":"Neuromuscul Disord","edition":"2019/12/29","id":"ITEM-1","issue":"1","issued":{"date-parts":[["2020","1","1"]]},"language":"eng","note":"From Duplicate 1 (244th ENMC International Workshop: Newborn screening in Spinal Muscular Atrophy May 10-12, 2019, Hoofdorp, The Netherlands - Dangouloff, Tamara; Burghes, Arthur; Tizzano, Eduardo F; Servais, Laurent)\n\n1873-2364\nDangouloff, Tamara\nBurghes, Arthur\nTizzano, Eduardo F\nServais, Laurent\nNBS SMA Study Group\nJournal Article\nResearch Support, Non-U.S. Gov't\nEngland\nNeuromuscul Disord. 2020 Jan;30(1):93-103. doi: 10.1016/j.nmd.2019.11.002. Epub 2019 Nov 9.","page":"93-103","publisher":"Elsevier","title":"244th ENMC International Workshop: Newborn screening in Spinal Muscular Atrophy May 10-12, 2019, Hoofdorp, The Netherlands","type":"article-journal","volume":"30"},"uris":["http://www.mendeley.com/documents/?uuid=22113e28-cd3a-45cb-9157-c3a8345d23ea"]},{"id":"ITEM-2","itemData":{"DOI":"10.1016/j.nmd.2021.03.007","ISSN":"18732364","abstract":"Spinal muscular atrophy (SMA) is a rare and devastating disease. New disease-modifying treatments have recently been approved and early treatment has been related to a better outcome. In this context, several newborn screening (NBS) programs have been implemented. The aim of the study was to obtain a global overview on the current situation and perspectives on SMA NBS. We conducted a survey and contacted experts from 152 countries, from which we gathered 87 responses. We identified 9 SMA NBS programs that have so far detected 288 newborns with SMA out of 3,674,277 newborns screened. Funding, screening methods, organisation, and consent process were variable between SMA NBS programs. Many respondents pointed the lack of cost/benefit data as a major obstacle to SMA NBS implementation. In the next four years, our data suggest a 24% coverage of newborns from countries where a disease-modifying drug is available and 8,5% coverage in countries with no diseases-modifying drugs. The annual proportion of newborns to be screened in the coming years is expected to increase steadily. The experts expressed a strong need for the implementation of SMA NBS as means to improve care for patients with SMA.","author":[{"dropping-particle":"","family":"Dangouloff","given":"Tamara","non-dropping-particle":"","parse-names":false,"suffix":""},{"dropping-particle":"","family":"Vrščaj","given":"Eva","non-dropping-particle":"","parse-names":false,"suffix":""},{"dropping-particle":"","family":"Servais","given":"Laurent","non-dropping-particle":"","parse-names":false,"suffix":""},{"dropping-particle":"","family":"Osredkar","given":"Damjan","non-dropping-particle":"","parse-names":false,"suffix":""}],"container-title":"Neuromuscular Disorders","id":"ITEM-2","issue":"6","issued":{"date-parts":[["2021","6"]]},"page":"574-582","title":"Newborn screening programs for spinal muscular atrophy worldwide: Where we stand and where to go","type":"article-journal","volume":"31"},"uris":["http://www.mendeley.com/documents/?uuid=da32a830-7e19-4868-b060-b2e8bc059822"]}],"mendeley":{"formattedCitation":"&lt;sup&gt;8&lt;/sup&gt;,&lt;sup&gt;9&lt;/sup&gt;","plainTextFormattedCitation":"8,9","previouslyFormattedCitation":"&lt;sup&gt;8&lt;/sup&gt;,&lt;sup&gt;9&lt;/sup&gt;"},"properties":{"noteIndex":0},"schema":"https://github.com/citation-style-language/schema/raw/master/csl-citation.json"}</w:instrText>
      </w:r>
      <w:r w:rsidR="006E3D4C" w:rsidRPr="00BC1802">
        <w:rPr>
          <w:rFonts w:ascii="Arial" w:hAnsi="Arial" w:cs="Arial"/>
          <w:vertAlign w:val="superscript"/>
          <w:lang w:val="en-US"/>
        </w:rPr>
        <w:fldChar w:fldCharType="separate"/>
      </w:r>
      <w:r w:rsidR="001E65AA" w:rsidRPr="00BC1802">
        <w:rPr>
          <w:rFonts w:ascii="Arial" w:hAnsi="Arial" w:cs="Arial"/>
          <w:noProof/>
          <w:vertAlign w:val="superscript"/>
          <w:lang w:val="en-US"/>
        </w:rPr>
        <w:t>8,9</w:t>
      </w:r>
      <w:r w:rsidR="006E3D4C" w:rsidRPr="00BC1802">
        <w:rPr>
          <w:rFonts w:ascii="Arial" w:hAnsi="Arial" w:cs="Arial"/>
          <w:vertAlign w:val="superscript"/>
          <w:lang w:val="en-US"/>
        </w:rPr>
        <w:fldChar w:fldCharType="end"/>
      </w:r>
      <w:r w:rsidR="00BC1802">
        <w:rPr>
          <w:rFonts w:ascii="Arial" w:hAnsi="Arial" w:cs="Arial"/>
          <w:lang w:val="en-US"/>
        </w:rPr>
        <w:t>.</w:t>
      </w:r>
      <w:r w:rsidR="00E96FA8" w:rsidRPr="004205D6">
        <w:rPr>
          <w:rFonts w:ascii="Arial" w:hAnsi="Arial" w:cs="Arial"/>
          <w:lang w:val="en-US"/>
        </w:rPr>
        <w:t xml:space="preserve"> </w:t>
      </w:r>
      <w:r w:rsidR="00485936">
        <w:rPr>
          <w:rFonts w:ascii="Arial" w:hAnsi="Arial" w:cs="Arial"/>
          <w:lang w:val="en-US"/>
        </w:rPr>
        <w:t xml:space="preserve">In Belgium, the NBS program was </w:t>
      </w:r>
      <w:r w:rsidR="00826283">
        <w:rPr>
          <w:rFonts w:ascii="Arial" w:hAnsi="Arial" w:cs="Arial"/>
          <w:lang w:val="en-US"/>
        </w:rPr>
        <w:t>begun</w:t>
      </w:r>
      <w:r w:rsidR="00485936">
        <w:rPr>
          <w:rFonts w:ascii="Arial" w:hAnsi="Arial" w:cs="Arial"/>
          <w:lang w:val="en-US"/>
        </w:rPr>
        <w:t xml:space="preserve"> in</w:t>
      </w:r>
      <w:r w:rsidR="00E30FA8">
        <w:rPr>
          <w:rFonts w:ascii="Arial" w:hAnsi="Arial" w:cs="Arial"/>
          <w:lang w:val="en-US"/>
        </w:rPr>
        <w:t xml:space="preserve"> </w:t>
      </w:r>
      <w:r w:rsidR="00E30FA8" w:rsidRPr="00CE080A">
        <w:rPr>
          <w:rFonts w:ascii="Arial" w:hAnsi="Arial" w:cs="Arial"/>
          <w:lang w:val="en-US"/>
        </w:rPr>
        <w:t xml:space="preserve">March 2018 and </w:t>
      </w:r>
      <w:r w:rsidR="00E30FA8">
        <w:rPr>
          <w:rFonts w:ascii="Arial" w:hAnsi="Arial" w:cs="Arial"/>
          <w:lang w:val="en-US"/>
        </w:rPr>
        <w:t>t</w:t>
      </w:r>
      <w:r w:rsidR="00E30FA8" w:rsidRPr="00CE080A">
        <w:rPr>
          <w:rFonts w:ascii="Arial" w:hAnsi="Arial" w:cs="Arial"/>
          <w:lang w:val="en-US"/>
        </w:rPr>
        <w:t>o date</w:t>
      </w:r>
      <w:r w:rsidR="00696CDF">
        <w:rPr>
          <w:rFonts w:ascii="Arial" w:hAnsi="Arial" w:cs="Arial"/>
          <w:lang w:val="en-US"/>
        </w:rPr>
        <w:t xml:space="preserve"> (</w:t>
      </w:r>
      <w:r w:rsidR="000C343D">
        <w:rPr>
          <w:rFonts w:ascii="Arial" w:hAnsi="Arial" w:cs="Arial"/>
          <w:lang w:val="en-US"/>
        </w:rPr>
        <w:t>March</w:t>
      </w:r>
      <w:r w:rsidR="00696CDF">
        <w:rPr>
          <w:rFonts w:ascii="Arial" w:hAnsi="Arial" w:cs="Arial"/>
          <w:lang w:val="en-US"/>
        </w:rPr>
        <w:t xml:space="preserve"> 202</w:t>
      </w:r>
      <w:r w:rsidR="000C343D">
        <w:rPr>
          <w:rFonts w:ascii="Arial" w:hAnsi="Arial" w:cs="Arial"/>
          <w:lang w:val="en-US"/>
        </w:rPr>
        <w:t>3</w:t>
      </w:r>
      <w:r w:rsidR="00696CDF">
        <w:rPr>
          <w:rFonts w:ascii="Arial" w:hAnsi="Arial" w:cs="Arial"/>
          <w:lang w:val="en-US"/>
        </w:rPr>
        <w:t>)</w:t>
      </w:r>
      <w:r w:rsidR="00E30FA8" w:rsidRPr="00CE080A">
        <w:rPr>
          <w:rFonts w:ascii="Arial" w:hAnsi="Arial" w:cs="Arial"/>
          <w:lang w:val="en-US"/>
        </w:rPr>
        <w:t xml:space="preserve">, more than </w:t>
      </w:r>
      <w:r w:rsidR="00D13669">
        <w:rPr>
          <w:rFonts w:ascii="Arial" w:hAnsi="Arial" w:cs="Arial"/>
          <w:lang w:val="en-US"/>
        </w:rPr>
        <w:t>2</w:t>
      </w:r>
      <w:r w:rsidR="000C343D">
        <w:rPr>
          <w:rFonts w:ascii="Arial" w:hAnsi="Arial" w:cs="Arial"/>
          <w:lang w:val="en-US"/>
        </w:rPr>
        <w:t>5</w:t>
      </w:r>
      <w:r w:rsidR="00E30FA8" w:rsidRPr="00CE080A">
        <w:rPr>
          <w:rFonts w:ascii="Arial" w:hAnsi="Arial" w:cs="Arial"/>
          <w:lang w:val="en-US"/>
        </w:rPr>
        <w:t>0,000 newborns have been screened, and 1</w:t>
      </w:r>
      <w:r w:rsidR="000C343D">
        <w:rPr>
          <w:rFonts w:ascii="Arial" w:hAnsi="Arial" w:cs="Arial"/>
          <w:lang w:val="en-US"/>
        </w:rPr>
        <w:t>9</w:t>
      </w:r>
      <w:r w:rsidR="00E30FA8" w:rsidRPr="00CE080A">
        <w:rPr>
          <w:rFonts w:ascii="Arial" w:hAnsi="Arial" w:cs="Arial"/>
          <w:lang w:val="en-US"/>
        </w:rPr>
        <w:t xml:space="preserve"> </w:t>
      </w:r>
      <w:r w:rsidR="00696CDF">
        <w:rPr>
          <w:rFonts w:ascii="Arial" w:hAnsi="Arial" w:cs="Arial"/>
          <w:lang w:val="en-US"/>
        </w:rPr>
        <w:t>were</w:t>
      </w:r>
      <w:r w:rsidR="00E30FA8" w:rsidRPr="00CE080A">
        <w:rPr>
          <w:rFonts w:ascii="Arial" w:hAnsi="Arial" w:cs="Arial"/>
          <w:lang w:val="en-US"/>
        </w:rPr>
        <w:t xml:space="preserve"> identified</w:t>
      </w:r>
      <w:r w:rsidR="00E30FA8">
        <w:rPr>
          <w:rFonts w:ascii="Arial" w:hAnsi="Arial" w:cs="Arial"/>
          <w:lang w:val="en-US"/>
        </w:rPr>
        <w:t xml:space="preserve"> and </w:t>
      </w:r>
      <w:r w:rsidR="00E30FA8" w:rsidRPr="00CE080A">
        <w:rPr>
          <w:rFonts w:ascii="Arial" w:hAnsi="Arial" w:cs="Arial"/>
          <w:lang w:val="en-US"/>
        </w:rPr>
        <w:t>treated rapidly</w:t>
      </w:r>
      <w:r w:rsidR="00E30FA8">
        <w:rPr>
          <w:rFonts w:ascii="Arial" w:hAnsi="Arial" w:cs="Arial"/>
          <w:lang w:val="en-US"/>
        </w:rPr>
        <w:t xml:space="preserve"> </w:t>
      </w:r>
      <w:r w:rsidR="00E30FA8">
        <w:rPr>
          <w:rFonts w:ascii="Arial" w:hAnsi="Arial" w:cs="Arial"/>
          <w:lang w:val="en-US"/>
        </w:rPr>
        <w:fldChar w:fldCharType="begin" w:fldLock="1"/>
      </w:r>
      <w:r w:rsidR="00540EAA">
        <w:rPr>
          <w:rFonts w:ascii="Arial" w:hAnsi="Arial" w:cs="Arial"/>
          <w:lang w:val="en-US"/>
        </w:rPr>
        <w:instrText>ADDIN CSL_CITATION {"citationItems":[{"id":"ITEM-1","itemData":{"DOI":"10.1016/j.nmd.2019.02.003","ISSN":"18732364","PMID":"31030938","abstract":"Approval was recently granted for a new treatment for spinal muscular atrophy (SMA). Given that the treatment is effective when administered early and the societal burden of SMA-related disability, the implementation of a newborn screening program is warranted. We describe the stepwise process that led us to launch a newborn screening program for SMA in Southern Belgium. Different political, ethical, and clinical partners were informed about this project and were involved in its governance, as were genetic and screening labs. We developed and validated a newborn screening method to specifically recognize homozygous deletions of exon 7 in the SMN1 gene. Subsequently, a 3-year pilot study has been recently initiated in one Belgian neonatal screening laboratory to cover 17.000 neonates per year. Coverage extension to all of Southern Belgium to screen 55.000 babies each year is underway.","author":[{"dropping-particle":"","family":"Boemer","given":"François","non-dropping-particle":"","parse-names":false,"suffix":""},{"dropping-particle":"","family":"Caberg","given":"Jean Hubert","non-dropping-particle":"","parse-names":false,"suffix":""},{"dropping-particle":"","family":"Dideberg","given":"Vinciane","non-dropping-particle":"","parse-names":false,"suffix":""},{"dropping-particle":"","family":"Dardenne","given":"Domien","non-dropping-particle":"","parse-names":false,"suffix":""},{"dropping-particle":"","family":"Bours","given":"Vincent","non-dropping-particle":"","parse-names":false,"suffix":""},{"dropping-particle":"","family":"Hiligsmann","given":"Mickaël","non-dropping-particle":"","parse-names":false,"suffix":""},{"dropping-particle":"","family":"Dangouloff","given":"Tamara","non-dropping-particle":"","parse-names":false,"suffix":""},{"dropping-particle":"","family":"Servais","given":"Laurent","non-dropping-particle":"","parse-names":false,"suffix":""}],"container-title":"Neuromuscular Disorders","id":"ITEM-1","issue":"5","issued":{"date-parts":[["2019"]]},"page":"343-349","title":"Newborn screening for SMA in Southern Belgium","type":"article-journal","volume":"29"},"uris":["http://www.mendeley.com/documents/?uuid=61440a74-9f01-31ce-8bb0-8ff912efeddc"]},{"id":"ITEM-2","itemData":{"DOI":"10.1038/s41598-021-99496-2","ISSN":"2045-2322","abstract":"Three new therapies for spinal muscular atrophy (SMA) have been approved by the United States Food and Drug Administration and the European Medicines Agency since 2016. Although these new therapies improve the quality of life of patients who are symptomatic at first treatment, administration before the onset of symptoms is significantly more effective. As a consequence, newborn screening programs have been initiated in several countries. In 2018, we launched a 3-year pilot program to screen newborns for SMA in the Belgian region of Liège. This program was rapidly expanding to all of Southern Belgium, a region of approximately 55,000 births annually. During the pilot program, 136,339 neonates were tested for deletion of exon 7 of SMN1, the most common cause of SMA. Nine SMA cases with homozygous deletion were identified through this screen. Another patient was identified after presenting with symptoms and was shown to be heterozygous for the SMN1 exon 7 deletion and a point mutation on the opposite allele. These ten patients were treated. The pilot program has now successfully transitioned into the official neonatal screening program in Southern Belgium. The lessons learned during implementation of this pilot program are reported.","author":[{"dropping-particle":"","family":"Boemer","given":"François","non-dropping-particle":"","parse-names":false,"suffix":""},{"dropping-particle":"","family":"Caberg","given":"Jean-Hubert","non-dropping-particle":"","parse-names":false,"suffix":""},{"dropping-particle":"","family":"Beckers","given":"Pablo","non-dropping-particle":"","parse-names":false,"suffix":""},{"dropping-particle":"","family":"Dideberg","given":"Vinciane","non-dropping-particle":"","parse-names":false,"suffix":""},{"dropping-particle":"","family":"Fiore","given":"Samantha","non-dropping-particle":"di","parse-names":false,"suffix":""},{"dropping-particle":"","family":"Bours","given":"Vincent","non-dropping-particle":"","parse-names":false,"suffix":""},{"dropping-particle":"","family":"Marie","given":"Sandrine","non-dropping-particle":"","parse-names":false,"suffix":""},{"dropping-particle":"","family":"Dewulf","given":"Joseph","non-dropping-particle":"","parse-names":false,"suffix":""},{"dropping-particle":"","family":"Marcelis","given":"Lionel","non-dropping-particle":"","parse-names":false,"suffix":""},{"dropping-particle":"","family":"Deconinck","given":"Nicolas","non-dropping-particle":"","parse-names":false,"suffix":""},{"dropping-particle":"","family":"Daron","given":"Aurore","non-dropping-particle":"","parse-names":false,"suffix":""},{"dropping-particle":"","family":"Blasco-Perez","given":"Laura","non-dropping-particle":"","parse-names":false,"suffix":""},{"dropping-particle":"","family":"Tizzano","given":"Eduardo","non-dropping-particle":"","parse-names":false,"suffix":""},{"dropping-particle":"","family":"Hiligsmann","given":"Mickaël","non-dropping-particle":"","parse-names":false,"suffix":""},{"dropping-particle":"","family":"Lombet","given":"Jacques","non-dropping-particle":"","parse-names":false,"suffix":""},{"dropping-particle":"","family":"Pereira","given":"Tatiana","non-dropping-particle":"","parse-names":false,"suffix":""},{"dropping-particle":"","family":"Lopez-Granados","given":"Lucia","non-dropping-particle":"","parse-names":false,"suffix":""},{"dropping-particle":"","family":"Shalchian-Tehran","given":"Sarvnaz","non-dropping-particle":"","parse-names":false,"suffix":""},{"dropping-particle":"","family":"Assche","given":"Véronique","non-dropping-particle":"van","parse-names":false,"suffix":""},{"dropping-particle":"","family":"Willems","given":"Arabelle","non-dropping-particle":"","parse-names":false,"suffix":""},{"dropping-particle":"","family":"Huybrechts","given":"Sofie","non-dropping-particle":"","parse-names":false,"suffix":""},{"dropping-particle":"","family":"Mast","given":"Bénédicte","non-dropping-particle":"","parse-names":false,"suffix":""},{"dropping-particle":"","family":"Olden","given":"Rudolf","non-dropping-particle":"van","parse-names":false,"suffix":""},{"dropping-particle":"","family":"Dangouloff","given":"Tamara","non-dropping-particle":"","parse-names":false,"suffix":""},{"dropping-particle":"","family":"Servais","given":"Laurent","non-dropping-particle":"","parse-names":false,"suffix":""}],"container-title":"Scientific Reports","id":"ITEM-2","issue":"1","issued":{"date-parts":[["2021"]]},"page":"19922","title":"Three years pilot of spinal muscular atrophy newborn screening turned into official program in Southern Belgium","type":"article-journal","volume":"11"},"uris":["http://www.mendeley.com/documents/?uuid=9c85f936-1f41-48ce-8feb-c10c8d849fa4"]}],"mendeley":{"formattedCitation":"&lt;sup&gt;10&lt;/sup&gt;,&lt;sup&gt;11&lt;/sup&gt;","plainTextFormattedCitation":"10,11","previouslyFormattedCitation":"&lt;sup&gt;10&lt;/sup&gt;,&lt;sup&gt;11&lt;/sup&gt;"},"properties":{"noteIndex":0},"schema":"https://github.com/citation-style-language/schema/raw/master/csl-citation.json"}</w:instrText>
      </w:r>
      <w:r w:rsidR="00E30FA8">
        <w:rPr>
          <w:rFonts w:ascii="Arial" w:hAnsi="Arial" w:cs="Arial"/>
          <w:lang w:val="en-US"/>
        </w:rPr>
        <w:fldChar w:fldCharType="separate"/>
      </w:r>
      <w:r w:rsidR="001E65AA" w:rsidRPr="001E65AA">
        <w:rPr>
          <w:rFonts w:ascii="Arial" w:hAnsi="Arial" w:cs="Arial"/>
          <w:noProof/>
          <w:vertAlign w:val="superscript"/>
          <w:lang w:val="en-US"/>
        </w:rPr>
        <w:t>10</w:t>
      </w:r>
      <w:r w:rsidR="001E65AA" w:rsidRPr="001E65AA">
        <w:rPr>
          <w:rFonts w:ascii="Arial" w:hAnsi="Arial" w:cs="Arial"/>
          <w:noProof/>
          <w:lang w:val="en-US"/>
        </w:rPr>
        <w:t>,</w:t>
      </w:r>
      <w:r w:rsidR="001E65AA" w:rsidRPr="001E65AA">
        <w:rPr>
          <w:rFonts w:ascii="Arial" w:hAnsi="Arial" w:cs="Arial"/>
          <w:noProof/>
          <w:vertAlign w:val="superscript"/>
          <w:lang w:val="en-US"/>
        </w:rPr>
        <w:t>11</w:t>
      </w:r>
      <w:r w:rsidR="00E30FA8">
        <w:rPr>
          <w:rFonts w:ascii="Arial" w:hAnsi="Arial" w:cs="Arial"/>
          <w:lang w:val="en-US"/>
        </w:rPr>
        <w:fldChar w:fldCharType="end"/>
      </w:r>
      <w:r w:rsidR="00E30FA8" w:rsidRPr="00CE080A">
        <w:rPr>
          <w:rFonts w:ascii="Arial" w:hAnsi="Arial" w:cs="Arial"/>
          <w:lang w:val="en-US"/>
        </w:rPr>
        <w:t>.</w:t>
      </w:r>
    </w:p>
    <w:p w14:paraId="5997FB5F" w14:textId="06C8C3D5" w:rsidR="00F15E68" w:rsidRPr="004205D6" w:rsidRDefault="00C25734" w:rsidP="00E96FA8">
      <w:pPr>
        <w:pStyle w:val="NormalWeb"/>
        <w:jc w:val="both"/>
        <w:rPr>
          <w:rFonts w:ascii="Arial" w:hAnsi="Arial" w:cs="Arial"/>
          <w:lang w:val="en-US"/>
        </w:rPr>
      </w:pPr>
      <w:r>
        <w:rPr>
          <w:rFonts w:ascii="Arial" w:hAnsi="Arial" w:cs="Arial"/>
          <w:lang w:val="en-US"/>
        </w:rPr>
        <w:t>T</w:t>
      </w:r>
      <w:r w:rsidR="00E96FA8" w:rsidRPr="004205D6">
        <w:rPr>
          <w:rFonts w:ascii="Arial" w:hAnsi="Arial" w:cs="Arial"/>
          <w:lang w:val="en-US"/>
        </w:rPr>
        <w:t xml:space="preserve">he implementation of </w:t>
      </w:r>
      <w:r w:rsidR="00FB3DBC">
        <w:rPr>
          <w:rFonts w:ascii="Arial" w:hAnsi="Arial" w:cs="Arial"/>
          <w:lang w:val="en-US"/>
        </w:rPr>
        <w:t>an NBS</w:t>
      </w:r>
      <w:r w:rsidR="00E96FA8" w:rsidRPr="004205D6">
        <w:rPr>
          <w:rFonts w:ascii="Arial" w:hAnsi="Arial" w:cs="Arial"/>
          <w:lang w:val="en-US"/>
        </w:rPr>
        <w:t xml:space="preserve"> program </w:t>
      </w:r>
      <w:r w:rsidR="002A3337">
        <w:rPr>
          <w:rFonts w:ascii="Arial" w:hAnsi="Arial" w:cs="Arial"/>
          <w:lang w:val="en-US"/>
        </w:rPr>
        <w:t xml:space="preserve">comes with </w:t>
      </w:r>
      <w:r w:rsidR="00E96FA8" w:rsidRPr="004205D6">
        <w:rPr>
          <w:rFonts w:ascii="Arial" w:hAnsi="Arial" w:cs="Arial"/>
          <w:lang w:val="en-US"/>
        </w:rPr>
        <w:t xml:space="preserve">costs that are added to the already </w:t>
      </w:r>
      <w:r w:rsidR="002A3337">
        <w:rPr>
          <w:rFonts w:ascii="Arial" w:hAnsi="Arial" w:cs="Arial"/>
          <w:lang w:val="en-US"/>
        </w:rPr>
        <w:t>significant</w:t>
      </w:r>
      <w:r w:rsidR="002A3337" w:rsidRPr="004205D6">
        <w:rPr>
          <w:rFonts w:ascii="Arial" w:hAnsi="Arial" w:cs="Arial"/>
          <w:lang w:val="en-US"/>
        </w:rPr>
        <w:t xml:space="preserve"> </w:t>
      </w:r>
      <w:r w:rsidR="00E96FA8" w:rsidRPr="004205D6">
        <w:rPr>
          <w:rFonts w:ascii="Arial" w:hAnsi="Arial" w:cs="Arial"/>
          <w:lang w:val="en-US"/>
        </w:rPr>
        <w:t>cost of treatment. It</w:t>
      </w:r>
      <w:r w:rsidR="00696CDF">
        <w:rPr>
          <w:rFonts w:ascii="Arial" w:hAnsi="Arial" w:cs="Arial"/>
          <w:lang w:val="en-US"/>
        </w:rPr>
        <w:t xml:space="preserve"> is</w:t>
      </w:r>
      <w:r w:rsidR="00E96FA8" w:rsidRPr="004205D6">
        <w:rPr>
          <w:rFonts w:ascii="Arial" w:hAnsi="Arial" w:cs="Arial"/>
          <w:lang w:val="en-US"/>
        </w:rPr>
        <w:t xml:space="preserve"> therefore </w:t>
      </w:r>
      <w:r w:rsidR="00485936">
        <w:rPr>
          <w:rFonts w:ascii="Arial" w:hAnsi="Arial" w:cs="Arial"/>
          <w:lang w:val="en-US"/>
        </w:rPr>
        <w:t>important</w:t>
      </w:r>
      <w:r w:rsidR="00485936" w:rsidRPr="004205D6">
        <w:rPr>
          <w:rFonts w:ascii="Arial" w:hAnsi="Arial" w:cs="Arial"/>
          <w:lang w:val="en-US"/>
        </w:rPr>
        <w:t xml:space="preserve"> </w:t>
      </w:r>
      <w:r w:rsidR="00E96FA8" w:rsidRPr="004205D6">
        <w:rPr>
          <w:rFonts w:ascii="Arial" w:hAnsi="Arial" w:cs="Arial"/>
          <w:lang w:val="en-US"/>
        </w:rPr>
        <w:t>to carry out a</w:t>
      </w:r>
      <w:r w:rsidR="00485936">
        <w:rPr>
          <w:rFonts w:ascii="Arial" w:hAnsi="Arial" w:cs="Arial"/>
          <w:lang w:val="en-US"/>
        </w:rPr>
        <w:t>n economic evaluation</w:t>
      </w:r>
      <w:r w:rsidR="00BA2BB8">
        <w:rPr>
          <w:rFonts w:ascii="Arial" w:hAnsi="Arial" w:cs="Arial"/>
          <w:lang w:val="en-US"/>
        </w:rPr>
        <w:t xml:space="preserve"> </w:t>
      </w:r>
      <w:r w:rsidR="00E96FA8" w:rsidRPr="004205D6">
        <w:rPr>
          <w:rFonts w:ascii="Arial" w:hAnsi="Arial" w:cs="Arial"/>
          <w:lang w:val="en-US"/>
        </w:rPr>
        <w:t xml:space="preserve">to </w:t>
      </w:r>
      <w:r w:rsidR="0071779D">
        <w:rPr>
          <w:rFonts w:ascii="Arial" w:hAnsi="Arial" w:cs="Arial"/>
          <w:lang w:val="en-US"/>
        </w:rPr>
        <w:t>assess</w:t>
      </w:r>
      <w:r w:rsidR="0071779D" w:rsidRPr="004205D6">
        <w:rPr>
          <w:rFonts w:ascii="Arial" w:hAnsi="Arial" w:cs="Arial"/>
          <w:lang w:val="en-US"/>
        </w:rPr>
        <w:t xml:space="preserve"> </w:t>
      </w:r>
      <w:r w:rsidR="00BA2BB8">
        <w:rPr>
          <w:rFonts w:ascii="Arial" w:hAnsi="Arial" w:cs="Arial"/>
          <w:lang w:val="en-US"/>
        </w:rPr>
        <w:t xml:space="preserve">the cost-effectiveness of </w:t>
      </w:r>
      <w:r w:rsidR="00BA2BB8" w:rsidRPr="004205D6">
        <w:rPr>
          <w:rFonts w:ascii="Arial" w:hAnsi="Arial" w:cs="Arial"/>
          <w:lang w:val="en-US"/>
        </w:rPr>
        <w:t>NBS for SMA</w:t>
      </w:r>
      <w:r w:rsidR="00E96FA8" w:rsidRPr="004205D6">
        <w:rPr>
          <w:rFonts w:ascii="Arial" w:hAnsi="Arial" w:cs="Arial"/>
          <w:lang w:val="en-US"/>
        </w:rPr>
        <w:t xml:space="preserve">. </w:t>
      </w:r>
      <w:r w:rsidR="00485936">
        <w:rPr>
          <w:rFonts w:ascii="Arial" w:hAnsi="Arial" w:cs="Arial"/>
          <w:lang w:val="en-US"/>
        </w:rPr>
        <w:t xml:space="preserve">Economic evaluations are increasingly used by decision makers to efficiently optimize scarce healthcare resources. </w:t>
      </w:r>
      <w:r w:rsidR="00BA2BB8">
        <w:rPr>
          <w:rFonts w:ascii="Arial" w:hAnsi="Arial" w:cs="Arial"/>
          <w:lang w:val="en-US"/>
        </w:rPr>
        <w:t xml:space="preserve">Some </w:t>
      </w:r>
      <w:r w:rsidR="00485936">
        <w:rPr>
          <w:rFonts w:ascii="Arial" w:hAnsi="Arial" w:cs="Arial"/>
          <w:lang w:val="en-US"/>
        </w:rPr>
        <w:t xml:space="preserve">cost-effectiveness </w:t>
      </w:r>
      <w:r w:rsidR="00BA2BB8">
        <w:rPr>
          <w:rFonts w:ascii="Arial" w:hAnsi="Arial" w:cs="Arial"/>
          <w:lang w:val="en-US"/>
        </w:rPr>
        <w:t xml:space="preserve">analyses </w:t>
      </w:r>
      <w:r w:rsidR="00485936">
        <w:rPr>
          <w:rFonts w:ascii="Arial" w:hAnsi="Arial" w:cs="Arial"/>
          <w:lang w:val="en-US"/>
        </w:rPr>
        <w:t>of NBS SMA have been conducted</w:t>
      </w:r>
      <w:r w:rsidR="00E30FA8">
        <w:rPr>
          <w:rFonts w:ascii="Arial" w:hAnsi="Arial" w:cs="Arial"/>
          <w:lang w:val="en-US"/>
        </w:rPr>
        <w:t xml:space="preserve"> </w:t>
      </w:r>
      <w:r w:rsidR="00E30FA8">
        <w:rPr>
          <w:rFonts w:ascii="Arial" w:hAnsi="Arial" w:cs="Arial"/>
          <w:lang w:val="en-US"/>
        </w:rPr>
        <w:fldChar w:fldCharType="begin" w:fldLock="1"/>
      </w:r>
      <w:r w:rsidR="00540EAA">
        <w:rPr>
          <w:rFonts w:ascii="Arial" w:hAnsi="Arial" w:cs="Arial"/>
          <w:lang w:val="en-US"/>
        </w:rPr>
        <w:instrText>ADDIN CSL_CITATION {"citationItems":[{"id":"ITEM-1","itemData":{"DOI":"10.1136/jnnp-2021-326344","ISSN":"1468-330X (Electronic)","PMID":"34321343","abstract":"OBJECTIVE: To assess cost-effectiveness of newborn screening (NBS) for spinal muscular atrophy (SMA) and early treatment with nusinersen or onasemnogene abeparvovec (gene therapy), compared with nusinersen without SMA screening. METHODS: Informed by an Australian state-wide SMA NBS programme, a decision analytical model nested with Markov models was constructed to evaluate costs and quality-adjusted life-years (QALYs) from a societal perspective with sensitivity analyses. RESULTS: By treating one presymptomatic SMA infant with nusinersen or gene therapy, an additional 9.93 QALYs were gained over 60 years compared with late treatment in clinically diagnosed SMA. The societal cost was $9.8 million for early nusinersen treatment, $4.4 million for early gene therapy and $4.8 million for late nusinersen treatment. Compared with late nusinersen treatment, early gene therapy would be dominant, gaining 9.93 QALYs while saving $360 000; whereas early nusinersen treatment would result in a discounted incremental cost-effectiveness ratio (ICER) of $507 000/QALY.At a population level, compared with no screening and late treatment with nusinersen, NBS and early gene therapy resulted in 0.00085 QALY gained over 60 years and saving $24 per infant screened (85 QALYs gained and $2.4 million saving per 100 000 infants screened). More than three quarters of simulated ICERs by probability sensitivity analyses showed NBS and gene therapy would be dominant or less than $50 000/QALY, compared with no screening and late nusinersen treatment. CONCLUSION: NBS coupled with gene therapy improves the quality and length of life for infants with SMA and would be considered value-for-money from an Australian clinical and policy context.","author":[{"dropping-particle":"","family":"Shih","given":"Sophy Tf","non-dropping-particle":"","parse-names":false,"suffix":""},{"dropping-particle":"","family":"Farrar","given":"Michelle Anne","non-dropping-particle":"","parse-names":false,"suffix":""},{"dropping-particle":"","family":"Wiley","given":"Veronica","non-dropping-particle":"","parse-names":false,"suffix":""},{"dropping-particle":"","family":"Chambers","given":"Georgina","non-dropping-particle":"","parse-names":false,"suffix":""}],"container-title":"Journal of neurology, neurosurgery, and psychiatry","id":"ITEM-1","issue":"12","issued":{"date-parts":[["2021","7"]]},"language":"eng","page":"1296-1304","publisher-place":"England","title":"Newborn screening for spinal muscular atrophy with disease-modifying therapies: a cost-effectiveness analysis.","type":"article-journal","volume":"92"},"uris":["http://www.mendeley.com/documents/?uuid=1ef4fa86-a047-4738-900e-8652da442fec"]},{"id":"ITEM-2","itemData":{"DOI":"10.1016/j.jval.2020.04.010","ISSN":"1098-3015","author":[{"dropping-particle":"","family":"Chen","given":"H F","non-dropping-particle":"","parse-names":false,"suffix":""},{"dropping-particle":"","family":"Hutton","given":"D W","non-dropping-particle":"","parse-names":false,"suffix":""},{"dropping-particle":"","family":"Lavieri","given":"M S","non-dropping-particle":"","parse-names":false,"suffix":""},{"dropping-particle":"","family":"Prosser","given":"L A","non-dropping-particle":"","parse-names":false,"suffix":""}],"container-title":"Value in Health","id":"ITEM-2","issued":{"date-parts":[["2020","5","1"]]},"note":"doi: 10.1016/j.jval.2020.04.010","page":"S2","publisher":"Elsevier","title":"Cost-effectiveness analysis of newborn screening and treatment for spinal muscular atrophy","type":"article-journal","volume":"23"},"uris":["http://www.mendeley.com/documents/?uuid=12b5f6aa-7f93-4c83-931e-53d80a9f6335"]},{"id":"ITEM-3","itemData":{"DOI":"10.1016/j.jval.2020.04.805","ISSN":"1098-3015","author":[{"dropping-particle":"","family":"Arjunji","given":"R","non-dropping-particle":"","parse-names":false,"suffix":""},{"dropping-particle":"","family":"Zhou","given":"J","non-dropping-particle":"","parse-names":false,"suffix":""},{"dropping-particle":"","family":"Patel","given":"A","non-dropping-particle":"","parse-names":false,"suffix":""},{"dropping-particle":"","family":"Edwards","given":"M L","non-dropping-particle":"","parse-names":false,"suffix":""},{"dropping-particle":"","family":"Harvey","given":"M","non-dropping-particle":"","parse-names":false,"suffix":""},{"dropping-particle":"","family":"Soverino","given":"M","non-dropping-particle":"","parse-names":false,"suffix":""},{"dropping-particle":"","family":"Dabbous","given":"O","non-dropping-particle":"","parse-names":false,"suffix":""}],"container-title":"Value in Health","id":"ITEM-3","issued":{"date-parts":[["2020","5","1"]]},"note":"doi: 10.1016/j.jval.2020.04.805","page":"S238","publisher":"Elsevier","title":"Cost-effectiveness analysis of newborn screening for spinal muscular atrophy (SMA) in the United States","type":"article-journal","volume":"23"},"uris":["http://www.mendeley.com/documents/?uuid=79b9e9d4-70b6-43c2-af9e-bfea1c1c2ec2"]},{"id":"ITEM-4","itemData":{"DOI":"10.1016/j.jval.2022.06.010","ISSN":"1524-4733 (Electronic)","PMID":"35963838","abstract":"OBJECTIVES: Spinal muscular atrophy (SMA) is a rare genetic disorder that causes  progressive muscle weakness and paralysis. In its most common and severe form, the majority of untreated infants die before 2 years of age. Early detection and treatment, ideally before symptom onset, maximize survival and achievement of age-appropriate motor milestones, with potentially substantial impact on health-related quality of life. Therefore, SMA is an ideal candidate for inclusion in newborn screening (NBS) programs. We evaluated the cost-effectiveness of including SMA in the NBS program in The Netherlands. METHODS: We developed a cost-utility model to estimate lifetime health effects and costs of NBS for SMA and subsequent treatment versus a treatment pathway without NBS (ie, diagnosis and treatment after presentation with overt symptoms). Model inputs were based on literature, local data, and expert opinion. Sensitivity and scenario analyses were conducted to assess model robustness and validity of results. RESULTS: After detection of SMA by NBS in 17 patients, the number of quality-adjusted life-years gained per annual birth cohort was estimated at 320 with NBS followed by treatment compared with treatment after clinical SMA diagnosis. Total healthcare costs, including screening, diagnostics, treatment, and other healthcare resource use, were estimated to be €12 014 949 lower for patients identified by NBS. CONCLUSIONS: NBS for early identification and treatment of SMA versus later symptomatic treatment after clinical diagnosis improves health outcomes and is less costly and, therefore, is a cost-effective use of resources. Results were robust in sensitivity and scenario analyses.","author":[{"dropping-particle":"","family":"Velikanova","given":"Rimma","non-dropping-particle":"","parse-names":false,"suffix":""},{"dropping-particle":"","family":"Schans","given":"Simon","non-dropping-particle":"van der","parse-names":false,"suffix":""},{"dropping-particle":"","family":"Bischof","given":"Matthias","non-dropping-particle":"","parse-names":false,"suffix":""},{"dropping-particle":"","family":"Olden","given":"Rudolf Walther","non-dropping-particle":"van","parse-names":false,"suffix":""},{"dropping-particle":"","family":"Postma","given":"Maarten","non-dropping-particle":"","parse-names":false,"suffix":""},{"dropping-particle":"","family":"Boersma","given":"Cornelis","non-dropping-particle":"","parse-names":false,"suffix":""}],"container-title":"Value in health : the journal of the International Society for Pharmacoeconomics  and Outcomes Research","id":"ITEM-4","issue":"10","issued":{"date-parts":[["2022","10"]]},"language":"eng","page":"1696-1704","publisher-place":"United States","title":"Cost-Effectiveness of Newborn Screening for Spinal Muscular Atrophy in The  Netherlands.","type":"article-journal","volume":"25"},"uris":["http://www.mendeley.com/documents/?uuid=41b77a16-fa73-462a-b940-0abdc0fe6feb"]},{"id":"ITEM-5","itemData":{"DOI":"10.1101/2023.02.09.23285715","abstract":"&amp;lt;h4&amp;gt;ABSTRACT&amp;lt;/h4&amp;gt; &amp;lt;h4&amp;gt;Purpose&amp;lt;/h4&amp;gt; We sought to evaluate the cost effectiveness of newborn screening (NBS) versus no NBS for 5q spinal muscular atrophy (SMA) in England and Wales. &amp;lt;h4&amp;gt;Methods&amp;lt;/h4&amp;gt; A cost-utility analysis using a combination of decision tree and Markov model structures was developed to estimate the lifetime health effects and costs of NBS for SMA, compared with no NBS, from the perspective of the National Health Service (NHS) in England and Wales. A decision tree was designed to capture NBS outcomes, and Markov modelling was used to project long-term health outcomes and costs for each patient group following diagnosis. Model inputs were based on existing literature, local data, and expert opinion. Sensitivity and scenario analyses were conducted to assess the robustness of the model and the validity of the results. &amp;lt;h4&amp;gt;Results&amp;lt;/h4&amp;gt; The introduction of NBS for SMA in England and Wales is estimated to identify approximately 56 (96% of cases) infants with SMA per year. Base-case results indicate that NBS is dominant (less costly and more effective) than a scenario without NBS, with a yearly cohort of newborns accruing incremental savings of £62,191,531 and an estimated gain in quality-adjusted life-years of 529 years over their lifetime. Deterministic and probabilistic sensitivity analyses demonstrated the robustness of the base-case results. &amp;lt;h4&amp;gt;Conclusions&amp;lt;/h4&amp;gt; NBS improves health outcomes for patients with SMA and is less costly compared with no screening; therefore, it is a cost-effective use of resources from the perspective of the NHS in England and Wales.","author":[{"dropping-particle":"","family":"Weidlich","given":"Diana","non-dropping-particle":"","parse-names":false,"suffix":""},{"dropping-particle":"","family":"Servais","given":"Laurent","non-dropping-particle":"","parse-names":false,"suffix":""},{"dropping-particle":"","family":"Kausar","given":"Imran","non-dropping-particle":"","parse-names":false,"suffix":""},{"dropping-particle":"","family":"Howells","given":"Ruth","non-dropping-particle":"","parse-names":false,"suffix":""},{"dropping-particle":"","family":"Bischof","given":"Matthias","non-dropping-particle":"","parse-names":false,"suffix":""}],"id":"ITEM-5","issued":{"date-parts":[["2023"]]},"publisher":"medRxiv","title":"Cost Effectiveness of Newborn Screening for Spinal Muscular Atrophy in England and Wales","type":"article"},"uris":["http://www.mendeley.com/documents/?uuid=3531d94d-3546-4d3f-a17a-d8d4fffd9c1c"]}],"mendeley":{"formattedCitation":"&lt;sup&gt;12&lt;/sup&gt;–&lt;sup&gt;16&lt;/sup&gt;","plainTextFormattedCitation":"12–16","previouslyFormattedCitation":"&lt;sup&gt;12&lt;/sup&gt;–&lt;sup&gt;16&lt;/sup&gt;"},"properties":{"noteIndex":0},"schema":"https://github.com/citation-style-language/schema/raw/master/csl-citation.json"}</w:instrText>
      </w:r>
      <w:r w:rsidR="00E30FA8">
        <w:rPr>
          <w:rFonts w:ascii="Arial" w:hAnsi="Arial" w:cs="Arial"/>
          <w:lang w:val="en-US"/>
        </w:rPr>
        <w:fldChar w:fldCharType="separate"/>
      </w:r>
      <w:r w:rsidR="001E65AA" w:rsidRPr="001E65AA">
        <w:rPr>
          <w:rFonts w:ascii="Arial" w:hAnsi="Arial" w:cs="Arial"/>
          <w:noProof/>
          <w:vertAlign w:val="superscript"/>
          <w:lang w:val="en-US"/>
        </w:rPr>
        <w:t>12</w:t>
      </w:r>
      <w:r w:rsidR="001E65AA" w:rsidRPr="00A54E6D">
        <w:rPr>
          <w:rFonts w:ascii="Arial" w:hAnsi="Arial" w:cs="Arial"/>
          <w:noProof/>
          <w:vertAlign w:val="superscript"/>
          <w:lang w:val="en-US"/>
        </w:rPr>
        <w:t>–</w:t>
      </w:r>
      <w:r w:rsidR="001E65AA" w:rsidRPr="001E65AA">
        <w:rPr>
          <w:rFonts w:ascii="Arial" w:hAnsi="Arial" w:cs="Arial"/>
          <w:noProof/>
          <w:vertAlign w:val="superscript"/>
          <w:lang w:val="en-US"/>
        </w:rPr>
        <w:t>16</w:t>
      </w:r>
      <w:r w:rsidR="00E30FA8">
        <w:rPr>
          <w:rFonts w:ascii="Arial" w:hAnsi="Arial" w:cs="Arial"/>
          <w:lang w:val="en-US"/>
        </w:rPr>
        <w:fldChar w:fldCharType="end"/>
      </w:r>
      <w:r w:rsidR="00485936">
        <w:rPr>
          <w:rFonts w:ascii="Arial" w:hAnsi="Arial" w:cs="Arial"/>
          <w:lang w:val="en-US"/>
        </w:rPr>
        <w:t xml:space="preserve">, </w:t>
      </w:r>
      <w:r w:rsidR="00FB3DBC">
        <w:rPr>
          <w:rFonts w:ascii="Arial" w:hAnsi="Arial" w:cs="Arial"/>
          <w:lang w:val="en-US"/>
        </w:rPr>
        <w:t xml:space="preserve">and these </w:t>
      </w:r>
      <w:r w:rsidR="00485936">
        <w:rPr>
          <w:rFonts w:ascii="Arial" w:hAnsi="Arial" w:cs="Arial"/>
          <w:lang w:val="en-US"/>
        </w:rPr>
        <w:t xml:space="preserve">suggest that </w:t>
      </w:r>
      <w:r w:rsidR="00E30FA8">
        <w:rPr>
          <w:rFonts w:ascii="Arial" w:hAnsi="Arial" w:cs="Arial"/>
          <w:lang w:val="en-US"/>
        </w:rPr>
        <w:t xml:space="preserve">NBS </w:t>
      </w:r>
      <w:r w:rsidR="0071779D">
        <w:rPr>
          <w:rFonts w:ascii="Arial" w:hAnsi="Arial" w:cs="Arial"/>
          <w:lang w:val="en-US"/>
        </w:rPr>
        <w:t>is a</w:t>
      </w:r>
      <w:r w:rsidR="00696CDF">
        <w:rPr>
          <w:rFonts w:ascii="Arial" w:hAnsi="Arial" w:cs="Arial"/>
          <w:lang w:val="en-US"/>
        </w:rPr>
        <w:t xml:space="preserve"> highly</w:t>
      </w:r>
      <w:r w:rsidR="00E30FA8" w:rsidRPr="00E30FA8">
        <w:rPr>
          <w:rFonts w:ascii="Arial" w:hAnsi="Arial" w:cs="Arial"/>
          <w:lang w:val="en-US"/>
        </w:rPr>
        <w:t xml:space="preserve"> cost-effective</w:t>
      </w:r>
      <w:r w:rsidR="0071779D">
        <w:rPr>
          <w:rFonts w:ascii="Arial" w:hAnsi="Arial" w:cs="Arial"/>
          <w:lang w:val="en-US"/>
        </w:rPr>
        <w:t xml:space="preserve"> intervention</w:t>
      </w:r>
      <w:r w:rsidR="00485936">
        <w:rPr>
          <w:rFonts w:ascii="Arial" w:hAnsi="Arial" w:cs="Arial"/>
          <w:lang w:val="en-US"/>
        </w:rPr>
        <w:t xml:space="preserve">. </w:t>
      </w:r>
      <w:r w:rsidR="0071779D">
        <w:rPr>
          <w:rFonts w:ascii="Arial" w:hAnsi="Arial" w:cs="Arial"/>
          <w:lang w:val="en-US"/>
        </w:rPr>
        <w:t xml:space="preserve">Existing </w:t>
      </w:r>
      <w:r w:rsidR="00485936">
        <w:rPr>
          <w:rFonts w:ascii="Arial" w:hAnsi="Arial" w:cs="Arial"/>
          <w:lang w:val="en-US"/>
        </w:rPr>
        <w:t>studies were</w:t>
      </w:r>
      <w:r>
        <w:rPr>
          <w:rFonts w:ascii="Arial" w:hAnsi="Arial" w:cs="Arial"/>
          <w:lang w:val="en-US"/>
        </w:rPr>
        <w:t xml:space="preserve"> </w:t>
      </w:r>
      <w:r w:rsidR="00485936">
        <w:rPr>
          <w:rFonts w:ascii="Arial" w:hAnsi="Arial" w:cs="Arial"/>
          <w:lang w:val="en-US"/>
        </w:rPr>
        <w:t>based on simulation models</w:t>
      </w:r>
      <w:r w:rsidR="004E30B9">
        <w:rPr>
          <w:rFonts w:ascii="Arial" w:hAnsi="Arial" w:cs="Arial"/>
          <w:lang w:val="en-US"/>
        </w:rPr>
        <w:t xml:space="preserve"> </w:t>
      </w:r>
      <w:r w:rsidR="00FB3DBC">
        <w:rPr>
          <w:rFonts w:ascii="Arial" w:hAnsi="Arial" w:cs="Arial"/>
          <w:lang w:val="en-US"/>
        </w:rPr>
        <w:t xml:space="preserve">that </w:t>
      </w:r>
      <w:r w:rsidR="004E30B9">
        <w:rPr>
          <w:rFonts w:ascii="Arial" w:hAnsi="Arial" w:cs="Arial"/>
          <w:lang w:val="en-US"/>
        </w:rPr>
        <w:t>us</w:t>
      </w:r>
      <w:r w:rsidR="00FB3DBC">
        <w:rPr>
          <w:rFonts w:ascii="Arial" w:hAnsi="Arial" w:cs="Arial"/>
          <w:lang w:val="en-US"/>
        </w:rPr>
        <w:t>ed</w:t>
      </w:r>
      <w:r w:rsidR="004E30B9">
        <w:rPr>
          <w:rFonts w:ascii="Arial" w:hAnsi="Arial" w:cs="Arial"/>
          <w:lang w:val="en-US"/>
        </w:rPr>
        <w:t xml:space="preserve"> efficacy data from </w:t>
      </w:r>
      <w:r w:rsidR="00BA2BB8">
        <w:rPr>
          <w:rFonts w:ascii="Arial" w:hAnsi="Arial" w:cs="Arial"/>
          <w:lang w:val="en-US"/>
        </w:rPr>
        <w:t xml:space="preserve">clinical </w:t>
      </w:r>
      <w:r w:rsidR="004E30B9">
        <w:rPr>
          <w:rFonts w:ascii="Arial" w:hAnsi="Arial" w:cs="Arial"/>
          <w:lang w:val="en-US"/>
        </w:rPr>
        <w:t>trials</w:t>
      </w:r>
      <w:r w:rsidR="00FB3DBC">
        <w:rPr>
          <w:rFonts w:ascii="Arial" w:hAnsi="Arial" w:cs="Arial"/>
          <w:lang w:val="en-US"/>
        </w:rPr>
        <w:t xml:space="preserve"> rather than</w:t>
      </w:r>
      <w:r w:rsidR="00485936">
        <w:rPr>
          <w:rFonts w:ascii="Arial" w:hAnsi="Arial" w:cs="Arial"/>
          <w:lang w:val="en-US"/>
        </w:rPr>
        <w:t xml:space="preserve"> real-life NBS SMA data. </w:t>
      </w:r>
      <w:r w:rsidR="002A3337">
        <w:rPr>
          <w:rFonts w:ascii="Arial" w:hAnsi="Arial" w:cs="Arial"/>
          <w:lang w:val="en-US"/>
        </w:rPr>
        <w:t xml:space="preserve">This may </w:t>
      </w:r>
      <w:r w:rsidR="00FB3DBC">
        <w:rPr>
          <w:rFonts w:ascii="Arial" w:hAnsi="Arial" w:cs="Arial"/>
          <w:lang w:val="en-US"/>
        </w:rPr>
        <w:t xml:space="preserve">result in </w:t>
      </w:r>
      <w:r w:rsidR="002A3337">
        <w:rPr>
          <w:rFonts w:ascii="Arial" w:hAnsi="Arial" w:cs="Arial"/>
          <w:lang w:val="en-US"/>
        </w:rPr>
        <w:t xml:space="preserve">a significant bias, as patients in </w:t>
      </w:r>
      <w:r w:rsidR="00FB3DBC">
        <w:rPr>
          <w:rFonts w:ascii="Arial" w:hAnsi="Arial" w:cs="Arial"/>
          <w:lang w:val="en-US"/>
        </w:rPr>
        <w:t xml:space="preserve">clinical </w:t>
      </w:r>
      <w:r w:rsidR="002A3337">
        <w:rPr>
          <w:rFonts w:ascii="Arial" w:hAnsi="Arial" w:cs="Arial"/>
          <w:lang w:val="en-US"/>
        </w:rPr>
        <w:t xml:space="preserve">studies are selected according to strict inclusion and exclusion criteria. </w:t>
      </w:r>
      <w:r w:rsidR="00FB3DBC">
        <w:rPr>
          <w:rFonts w:ascii="Arial" w:hAnsi="Arial" w:cs="Arial"/>
          <w:lang w:val="en-US"/>
        </w:rPr>
        <w:t>The</w:t>
      </w:r>
      <w:r w:rsidR="002A3337">
        <w:rPr>
          <w:rFonts w:ascii="Arial" w:hAnsi="Arial" w:cs="Arial"/>
          <w:lang w:val="en-US"/>
        </w:rPr>
        <w:t xml:space="preserve"> early initiation of</w:t>
      </w:r>
      <w:r w:rsidR="00485936">
        <w:rPr>
          <w:rFonts w:ascii="Arial" w:hAnsi="Arial" w:cs="Arial"/>
          <w:lang w:val="en-US"/>
        </w:rPr>
        <w:t xml:space="preserve"> the </w:t>
      </w:r>
      <w:r w:rsidR="00F63C9A">
        <w:rPr>
          <w:rFonts w:ascii="Arial" w:hAnsi="Arial" w:cs="Arial"/>
          <w:lang w:val="en-US"/>
        </w:rPr>
        <w:t xml:space="preserve">ongoing </w:t>
      </w:r>
      <w:r w:rsidR="00485936">
        <w:rPr>
          <w:rFonts w:ascii="Arial" w:hAnsi="Arial" w:cs="Arial"/>
          <w:lang w:val="en-US"/>
        </w:rPr>
        <w:t xml:space="preserve">Belgian </w:t>
      </w:r>
      <w:r w:rsidR="00FB3DBC">
        <w:rPr>
          <w:rFonts w:ascii="Arial" w:hAnsi="Arial" w:cs="Arial"/>
          <w:lang w:val="en-US"/>
        </w:rPr>
        <w:t xml:space="preserve">SMA </w:t>
      </w:r>
      <w:r w:rsidR="00485936">
        <w:rPr>
          <w:rFonts w:ascii="Arial" w:hAnsi="Arial" w:cs="Arial"/>
          <w:lang w:val="en-US"/>
        </w:rPr>
        <w:t xml:space="preserve">NBS </w:t>
      </w:r>
      <w:r w:rsidR="00FB3DBC">
        <w:rPr>
          <w:rFonts w:ascii="Arial" w:hAnsi="Arial" w:cs="Arial"/>
          <w:lang w:val="en-US"/>
        </w:rPr>
        <w:t xml:space="preserve">program has allowed us </w:t>
      </w:r>
      <w:r w:rsidR="00485936">
        <w:rPr>
          <w:rFonts w:ascii="Arial" w:hAnsi="Arial" w:cs="Arial"/>
          <w:lang w:val="en-US"/>
        </w:rPr>
        <w:t xml:space="preserve">to </w:t>
      </w:r>
      <w:r w:rsidR="00485936" w:rsidRPr="005C082B">
        <w:rPr>
          <w:rFonts w:ascii="Arial" w:hAnsi="Arial" w:cs="Arial"/>
          <w:lang w:val="en-US"/>
        </w:rPr>
        <w:t>a</w:t>
      </w:r>
      <w:r w:rsidR="00485936">
        <w:rPr>
          <w:rFonts w:ascii="Arial" w:hAnsi="Arial" w:cs="Arial"/>
          <w:lang w:val="en-US"/>
        </w:rPr>
        <w:t xml:space="preserve">ssess the cost-effectiveness of </w:t>
      </w:r>
      <w:r w:rsidR="00FB3DBC">
        <w:rPr>
          <w:rFonts w:ascii="Arial" w:hAnsi="Arial" w:cs="Arial"/>
          <w:lang w:val="en-US"/>
        </w:rPr>
        <w:t xml:space="preserve">SMA </w:t>
      </w:r>
      <w:r w:rsidR="00485936">
        <w:rPr>
          <w:rFonts w:ascii="Arial" w:hAnsi="Arial" w:cs="Arial"/>
          <w:lang w:val="en-US"/>
        </w:rPr>
        <w:t xml:space="preserve">NBS </w:t>
      </w:r>
      <w:r w:rsidR="00F63C9A">
        <w:rPr>
          <w:rFonts w:ascii="Arial" w:hAnsi="Arial" w:cs="Arial"/>
          <w:lang w:val="en-US"/>
        </w:rPr>
        <w:t>followed by a</w:t>
      </w:r>
      <w:r w:rsidR="00F63C9A" w:rsidRPr="005C082B">
        <w:rPr>
          <w:rFonts w:ascii="Arial" w:hAnsi="Arial" w:cs="Arial"/>
          <w:lang w:val="en-US"/>
        </w:rPr>
        <w:t xml:space="preserve"> </w:t>
      </w:r>
      <w:r w:rsidR="00485936" w:rsidRPr="005C082B">
        <w:rPr>
          <w:rFonts w:ascii="Arial" w:hAnsi="Arial" w:cs="Arial"/>
          <w:lang w:val="en-US"/>
        </w:rPr>
        <w:t>disease-modifying treatment (nusinersen, onasemnogene abeparvovec</w:t>
      </w:r>
      <w:r w:rsidR="00FB3DBC">
        <w:rPr>
          <w:rFonts w:ascii="Arial" w:hAnsi="Arial" w:cs="Arial"/>
          <w:lang w:val="en-US"/>
        </w:rPr>
        <w:t>,</w:t>
      </w:r>
      <w:r w:rsidR="00485936" w:rsidRPr="005C082B">
        <w:rPr>
          <w:rFonts w:ascii="Arial" w:hAnsi="Arial" w:cs="Arial"/>
          <w:lang w:val="en-US"/>
        </w:rPr>
        <w:t xml:space="preserve"> or risdiplam) compared with </w:t>
      </w:r>
      <w:r w:rsidR="003F4ACB">
        <w:rPr>
          <w:rFonts w:ascii="Arial" w:hAnsi="Arial" w:cs="Arial"/>
          <w:lang w:val="en-US"/>
        </w:rPr>
        <w:t xml:space="preserve">no SMA NBS and delayed </w:t>
      </w:r>
      <w:r w:rsidR="00485936" w:rsidRPr="005C082B">
        <w:rPr>
          <w:rFonts w:ascii="Arial" w:hAnsi="Arial" w:cs="Arial"/>
          <w:lang w:val="en-US"/>
        </w:rPr>
        <w:t>disease-modifying</w:t>
      </w:r>
      <w:r w:rsidR="00FB3DBC">
        <w:rPr>
          <w:rFonts w:ascii="Arial" w:hAnsi="Arial" w:cs="Arial"/>
          <w:lang w:val="en-US"/>
        </w:rPr>
        <w:t xml:space="preserve"> treatment</w:t>
      </w:r>
      <w:r w:rsidR="0071779D">
        <w:rPr>
          <w:rFonts w:ascii="Arial" w:hAnsi="Arial" w:cs="Arial"/>
          <w:lang w:val="en-US"/>
        </w:rPr>
        <w:t>.</w:t>
      </w:r>
    </w:p>
    <w:p w14:paraId="5E579064" w14:textId="233B382C" w:rsidR="00480C40" w:rsidRPr="00007424" w:rsidRDefault="007903B6" w:rsidP="00007424">
      <w:pPr>
        <w:pStyle w:val="Titre1"/>
        <w:rPr>
          <w:lang w:val="en-US"/>
        </w:rPr>
      </w:pPr>
      <w:r>
        <w:rPr>
          <w:lang w:val="en-US"/>
        </w:rPr>
        <w:t>Methods</w:t>
      </w:r>
    </w:p>
    <w:p w14:paraId="5CBFD940" w14:textId="77777777" w:rsidR="00FC228A" w:rsidRPr="00912D86" w:rsidRDefault="00FC228A" w:rsidP="00FC228A">
      <w:pPr>
        <w:pStyle w:val="Titre2"/>
        <w:rPr>
          <w:lang w:val="en-US"/>
        </w:rPr>
      </w:pPr>
      <w:r w:rsidRPr="00C7437E">
        <w:rPr>
          <w:lang w:val="en-US"/>
        </w:rPr>
        <w:t>Model structure</w:t>
      </w:r>
    </w:p>
    <w:p w14:paraId="0E29C666" w14:textId="3C74D47F" w:rsidR="00F63C9A" w:rsidRDefault="007903B6" w:rsidP="00F63C9A">
      <w:pPr>
        <w:jc w:val="both"/>
        <w:rPr>
          <w:lang w:val="en-US"/>
        </w:rPr>
      </w:pPr>
      <w:r>
        <w:rPr>
          <w:lang w:val="en-US"/>
        </w:rPr>
        <w:t>An economic</w:t>
      </w:r>
      <w:r w:rsidRPr="007903B6">
        <w:rPr>
          <w:lang w:val="en-US"/>
        </w:rPr>
        <w:t xml:space="preserve"> model</w:t>
      </w:r>
      <w:r>
        <w:rPr>
          <w:lang w:val="en-US"/>
        </w:rPr>
        <w:t xml:space="preserve"> was used to compare </w:t>
      </w:r>
      <w:r w:rsidR="00AB3415">
        <w:rPr>
          <w:lang w:val="en-US"/>
        </w:rPr>
        <w:t>the costs and outcome</w:t>
      </w:r>
      <w:r w:rsidR="003E1D07">
        <w:rPr>
          <w:lang w:val="en-US"/>
        </w:rPr>
        <w:t>s,</w:t>
      </w:r>
      <w:r w:rsidR="00AB3415">
        <w:rPr>
          <w:lang w:val="en-US"/>
        </w:rPr>
        <w:t xml:space="preserve"> expressed in quality-adjusted life years (QALYs)</w:t>
      </w:r>
      <w:r w:rsidR="003E1D07">
        <w:rPr>
          <w:lang w:val="en-US"/>
        </w:rPr>
        <w:t>,</w:t>
      </w:r>
      <w:r w:rsidR="00F63C9A">
        <w:rPr>
          <w:lang w:val="en-US"/>
        </w:rPr>
        <w:t xml:space="preserve"> </w:t>
      </w:r>
      <w:r w:rsidR="003E1D07">
        <w:rPr>
          <w:lang w:val="en-US"/>
        </w:rPr>
        <w:t>for two groups of SMA patients</w:t>
      </w:r>
      <w:r>
        <w:rPr>
          <w:lang w:val="en-US"/>
        </w:rPr>
        <w:t xml:space="preserve">: </w:t>
      </w:r>
      <w:r w:rsidR="003E1D07">
        <w:rPr>
          <w:lang w:val="en-US"/>
        </w:rPr>
        <w:t xml:space="preserve">those </w:t>
      </w:r>
      <w:r>
        <w:rPr>
          <w:lang w:val="en-US"/>
        </w:rPr>
        <w:t>identified by sy</w:t>
      </w:r>
      <w:r w:rsidR="00E30FA8">
        <w:rPr>
          <w:lang w:val="en-US"/>
        </w:rPr>
        <w:t>m</w:t>
      </w:r>
      <w:r>
        <w:rPr>
          <w:lang w:val="en-US"/>
        </w:rPr>
        <w:t xml:space="preserve">ptoms and </w:t>
      </w:r>
      <w:r w:rsidR="003E1D07">
        <w:rPr>
          <w:lang w:val="en-US"/>
        </w:rPr>
        <w:t xml:space="preserve">those </w:t>
      </w:r>
      <w:r>
        <w:rPr>
          <w:lang w:val="en-US"/>
        </w:rPr>
        <w:t xml:space="preserve">identified by NBS. </w:t>
      </w:r>
      <w:r w:rsidR="003E1D07">
        <w:rPr>
          <w:lang w:val="en-US"/>
        </w:rPr>
        <w:t>R</w:t>
      </w:r>
      <w:r w:rsidR="00E30FA8">
        <w:rPr>
          <w:lang w:val="en-US"/>
        </w:rPr>
        <w:t>eal</w:t>
      </w:r>
      <w:r>
        <w:rPr>
          <w:lang w:val="en-US"/>
        </w:rPr>
        <w:t>-life data from observational studies in Li</w:t>
      </w:r>
      <w:r w:rsidR="00E30FA8">
        <w:rPr>
          <w:lang w:val="en-US"/>
        </w:rPr>
        <w:t>e</w:t>
      </w:r>
      <w:r>
        <w:rPr>
          <w:lang w:val="en-US"/>
        </w:rPr>
        <w:t xml:space="preserve">ge (Belgium) were collected </w:t>
      </w:r>
      <w:r w:rsidR="00E30FA8">
        <w:rPr>
          <w:lang w:val="en-US"/>
        </w:rPr>
        <w:t xml:space="preserve">between 2018 and 2022 </w:t>
      </w:r>
      <w:r>
        <w:rPr>
          <w:lang w:val="en-US"/>
        </w:rPr>
        <w:t>for</w:t>
      </w:r>
      <w:r w:rsidR="003E1D07">
        <w:rPr>
          <w:lang w:val="en-US"/>
        </w:rPr>
        <w:t xml:space="preserve"> patients in these groups. The first group included</w:t>
      </w:r>
      <w:r>
        <w:rPr>
          <w:lang w:val="en-US"/>
        </w:rPr>
        <w:t xml:space="preserve"> 43 </w:t>
      </w:r>
      <w:r w:rsidR="00E30FA8">
        <w:rPr>
          <w:lang w:val="en-US"/>
        </w:rPr>
        <w:t xml:space="preserve">SMA </w:t>
      </w:r>
      <w:r>
        <w:rPr>
          <w:lang w:val="en-US"/>
        </w:rPr>
        <w:t>patients</w:t>
      </w:r>
      <w:r w:rsidR="00E30FA8">
        <w:rPr>
          <w:lang w:val="en-US"/>
        </w:rPr>
        <w:t xml:space="preserve"> </w:t>
      </w:r>
      <w:r w:rsidR="00E30FA8" w:rsidRPr="000F4E85">
        <w:rPr>
          <w:lang w:val="en-US"/>
        </w:rPr>
        <w:t>treated with a disease-modifying drug after clinical diagnosis with symptom onset</w:t>
      </w:r>
      <w:r w:rsidR="00E30FA8">
        <w:rPr>
          <w:lang w:val="en-US"/>
        </w:rPr>
        <w:t xml:space="preserve"> </w:t>
      </w:r>
      <w:r w:rsidR="003E1D07">
        <w:rPr>
          <w:lang w:val="en-US"/>
        </w:rPr>
        <w:t xml:space="preserve">(referred to as </w:t>
      </w:r>
      <w:r w:rsidR="00FC228A">
        <w:rPr>
          <w:lang w:val="en-US"/>
        </w:rPr>
        <w:t xml:space="preserve">the </w:t>
      </w:r>
      <w:r w:rsidR="00E30FA8">
        <w:rPr>
          <w:lang w:val="en-US"/>
        </w:rPr>
        <w:t>symptomatic</w:t>
      </w:r>
      <w:r w:rsidR="009E6A7E">
        <w:rPr>
          <w:lang w:val="en-US"/>
        </w:rPr>
        <w:t>-</w:t>
      </w:r>
      <w:r w:rsidR="00E30FA8">
        <w:rPr>
          <w:lang w:val="en-US"/>
        </w:rPr>
        <w:t>treated</w:t>
      </w:r>
      <w:r w:rsidR="009E6A7E">
        <w:rPr>
          <w:lang w:val="en-US"/>
        </w:rPr>
        <w:t xml:space="preserve"> group</w:t>
      </w:r>
      <w:r w:rsidR="00E30FA8">
        <w:rPr>
          <w:lang w:val="en-US"/>
        </w:rPr>
        <w:t>)</w:t>
      </w:r>
      <w:r w:rsidR="003E1D07">
        <w:rPr>
          <w:lang w:val="en-US"/>
        </w:rPr>
        <w:t>. These subjects</w:t>
      </w:r>
      <w:r w:rsidR="00E30FA8" w:rsidRPr="000F4E85">
        <w:rPr>
          <w:lang w:val="en-US"/>
        </w:rPr>
        <w:t xml:space="preserve"> </w:t>
      </w:r>
      <w:r w:rsidR="003E1D07">
        <w:rPr>
          <w:lang w:val="en-US"/>
        </w:rPr>
        <w:t>were</w:t>
      </w:r>
      <w:r w:rsidR="003E1D07" w:rsidRPr="000F4E85">
        <w:rPr>
          <w:lang w:val="en-US"/>
        </w:rPr>
        <w:t xml:space="preserve"> treated </w:t>
      </w:r>
      <w:r w:rsidR="003E1D07">
        <w:rPr>
          <w:lang w:val="en-US"/>
        </w:rPr>
        <w:t xml:space="preserve">beginning </w:t>
      </w:r>
      <w:r w:rsidR="003E1D07" w:rsidRPr="005C082B">
        <w:rPr>
          <w:lang w:val="en-US"/>
        </w:rPr>
        <w:t>at 2.5 months</w:t>
      </w:r>
      <w:r w:rsidR="003E1D07">
        <w:rPr>
          <w:lang w:val="en-US"/>
        </w:rPr>
        <w:t xml:space="preserve"> of life or later. The second group of</w:t>
      </w:r>
      <w:r>
        <w:rPr>
          <w:lang w:val="en-US"/>
        </w:rPr>
        <w:t xml:space="preserve"> 12 patients</w:t>
      </w:r>
      <w:r w:rsidR="00E30FA8">
        <w:rPr>
          <w:lang w:val="en-US"/>
        </w:rPr>
        <w:t xml:space="preserve"> </w:t>
      </w:r>
      <w:r w:rsidR="003E1D07">
        <w:rPr>
          <w:lang w:val="en-US"/>
        </w:rPr>
        <w:t xml:space="preserve">were </w:t>
      </w:r>
      <w:r w:rsidR="00E30FA8">
        <w:rPr>
          <w:lang w:val="en-US"/>
        </w:rPr>
        <w:t>not identified by symptoms</w:t>
      </w:r>
      <w:r w:rsidR="003E1D07">
        <w:rPr>
          <w:lang w:val="en-US"/>
        </w:rPr>
        <w:t xml:space="preserve"> (NIS</w:t>
      </w:r>
      <w:r w:rsidR="009E6A7E">
        <w:rPr>
          <w:lang w:val="en-US"/>
        </w:rPr>
        <w:t xml:space="preserve"> group</w:t>
      </w:r>
      <w:r w:rsidR="00E30FA8">
        <w:rPr>
          <w:lang w:val="en-US"/>
        </w:rPr>
        <w:t>)</w:t>
      </w:r>
      <w:r w:rsidR="003E1D07">
        <w:rPr>
          <w:lang w:val="en-US"/>
        </w:rPr>
        <w:t xml:space="preserve">. These subjects were identified through the NBS program and treatment began </w:t>
      </w:r>
      <w:r w:rsidR="00E304DD">
        <w:rPr>
          <w:lang w:val="en-US"/>
        </w:rPr>
        <w:t>before 55 days</w:t>
      </w:r>
      <w:r w:rsidR="00E30FA8" w:rsidRPr="000F4E85">
        <w:rPr>
          <w:lang w:val="en-US"/>
        </w:rPr>
        <w:t>.</w:t>
      </w:r>
      <w:r w:rsidR="00E30FA8" w:rsidRPr="00E30FA8">
        <w:rPr>
          <w:lang w:val="en-US"/>
        </w:rPr>
        <w:t xml:space="preserve"> </w:t>
      </w:r>
    </w:p>
    <w:p w14:paraId="64B834BA" w14:textId="66C31703" w:rsidR="00E30FA8" w:rsidRDefault="00480C40" w:rsidP="00E304DD">
      <w:pPr>
        <w:pStyle w:val="NormalWeb"/>
        <w:jc w:val="both"/>
        <w:rPr>
          <w:rFonts w:ascii="Arial" w:hAnsi="Arial" w:cs="Arial"/>
          <w:lang w:val="en-US"/>
        </w:rPr>
      </w:pPr>
      <w:r w:rsidRPr="000F4E85">
        <w:rPr>
          <w:rFonts w:ascii="Arial" w:hAnsi="Arial" w:cs="Arial"/>
          <w:lang w:val="en-US"/>
        </w:rPr>
        <w:t>A previously validated model</w:t>
      </w:r>
      <w:r w:rsidR="00007424" w:rsidRPr="000F4E85">
        <w:rPr>
          <w:rFonts w:ascii="Arial" w:hAnsi="Arial" w:cs="Arial"/>
          <w:lang w:val="en-US"/>
        </w:rPr>
        <w:t xml:space="preserve"> </w:t>
      </w:r>
      <w:r w:rsidR="007903B6">
        <w:rPr>
          <w:rFonts w:ascii="Arial" w:hAnsi="Arial" w:cs="Arial"/>
          <w:lang w:val="en-US"/>
        </w:rPr>
        <w:t>used by the</w:t>
      </w:r>
      <w:r w:rsidRPr="000F4E85">
        <w:rPr>
          <w:rFonts w:ascii="Arial" w:hAnsi="Arial" w:cs="Arial"/>
          <w:lang w:val="en-US"/>
        </w:rPr>
        <w:t xml:space="preserve"> Institute for Clinical and Economic Review to analyze </w:t>
      </w:r>
      <w:r w:rsidR="007903B6">
        <w:rPr>
          <w:rFonts w:ascii="Arial" w:hAnsi="Arial" w:cs="Arial"/>
          <w:lang w:val="en-US"/>
        </w:rPr>
        <w:t>the cost-effectiveness</w:t>
      </w:r>
      <w:r w:rsidRPr="000F4E85">
        <w:rPr>
          <w:rFonts w:ascii="Arial" w:hAnsi="Arial" w:cs="Arial"/>
          <w:lang w:val="en-US"/>
        </w:rPr>
        <w:t xml:space="preserve"> of </w:t>
      </w:r>
      <w:r w:rsidR="00FC228A" w:rsidRPr="005C082B">
        <w:rPr>
          <w:rFonts w:ascii="Arial" w:hAnsi="Arial" w:cs="Arial"/>
          <w:lang w:val="en-US"/>
        </w:rPr>
        <w:t>nusinersen</w:t>
      </w:r>
      <w:r w:rsidR="00FC228A">
        <w:rPr>
          <w:rFonts w:ascii="Arial" w:hAnsi="Arial" w:cs="Arial"/>
          <w:lang w:val="en-US"/>
        </w:rPr>
        <w:t xml:space="preserve"> and</w:t>
      </w:r>
      <w:r w:rsidR="00FC228A" w:rsidRPr="005C082B">
        <w:rPr>
          <w:rFonts w:ascii="Arial" w:hAnsi="Arial" w:cs="Arial"/>
          <w:lang w:val="en-US"/>
        </w:rPr>
        <w:t xml:space="preserve"> onasemnogene abeparvovec</w:t>
      </w:r>
      <w:r w:rsidR="00FC228A" w:rsidDel="00FC228A">
        <w:rPr>
          <w:rFonts w:ascii="Arial" w:hAnsi="Arial" w:cs="Arial"/>
          <w:lang w:val="en-US"/>
        </w:rPr>
        <w:t xml:space="preserve"> </w:t>
      </w:r>
      <w:r w:rsidRPr="000F4E85">
        <w:rPr>
          <w:rFonts w:ascii="Arial" w:hAnsi="Arial" w:cs="Arial"/>
          <w:lang w:val="en-US"/>
        </w:rPr>
        <w:t>for</w:t>
      </w:r>
      <w:r w:rsidR="0039004A">
        <w:rPr>
          <w:rFonts w:ascii="Arial" w:hAnsi="Arial" w:cs="Arial"/>
          <w:lang w:val="en-US"/>
        </w:rPr>
        <w:t xml:space="preserve"> treatment of</w:t>
      </w:r>
      <w:r w:rsidRPr="000F4E85">
        <w:rPr>
          <w:rFonts w:ascii="Arial" w:hAnsi="Arial" w:cs="Arial"/>
          <w:lang w:val="en-US"/>
        </w:rPr>
        <w:t xml:space="preserve"> SMA</w:t>
      </w:r>
      <w:r w:rsidR="007903B6">
        <w:rPr>
          <w:rFonts w:ascii="Arial" w:hAnsi="Arial" w:cs="Arial"/>
          <w:lang w:val="en-US"/>
        </w:rPr>
        <w:t xml:space="preserve"> in the US</w:t>
      </w:r>
      <w:r w:rsidR="00007424" w:rsidRPr="000F4E85">
        <w:rPr>
          <w:lang w:val="en-US"/>
        </w:rPr>
        <w:fldChar w:fldCharType="begin" w:fldLock="1"/>
      </w:r>
      <w:r w:rsidR="00540EAA">
        <w:rPr>
          <w:rFonts w:ascii="Arial" w:hAnsi="Arial" w:cs="Arial"/>
          <w:lang w:val="en-US"/>
        </w:rPr>
        <w:instrText>ADDIN CSL_CITATION {"citationItems":[{"id":"ITEM-1","itemData":{"URL":"https://icer-review.org/wp-content/uploads/2018/07/ICER_SMA_Final_Evidence_Report_052419.pdf","author":[{"dropping-particle":"","family":"ICER","given":"","non-dropping-particle":"","parse-names":false,"suffix":""}],"id":"ITEM-1","issue":"09/09/2020","issued":{"date-parts":[["2019"]]},"publisher":"Institute for Clinical and Economic Review","title":"Spinraza® and Zolgensma® for Spinal Muscular Atrophy: Effectiveness and Value","type":"webpage"},"uris":["http://www.mendeley.com/documents/?uuid=534a1e4e-9ea0-4a2b-bd82-5f33f9287131"]},{"id":"ITEM-2","itemData":{"DOI":"10.1186/s12962-020-00234-8","ISSN":"1478-7547 (Print)","PMID":"33041673","abstract":"BACKGROUND: Patients with infantile-onset spinal muscular atrophy (SMA), a rare, genetic neuromuscular disease, do not achieve key motor function milestones (e.g., sitting) and have short life expectancy in the absence of treatment. Nusinersen is a disease-modifying therapy for patients with SMA. OBJECTIVE: The aim of this study was to estimate the cost-effectiveness of nusinersen compared to best supportive care (BSC) in patients diagnosed with infantile-onset SMA in the US. METHODS: A de novo economic model was developed with the following health states: \"permanent ventilation\", \"not sitting\", \"sitting\", \"walking\", and \"death\". Short-term data were sourced from the pivotal clinical trials and studies of nusinersen (ENDEAR and SHINE). Motor function milestones achieved at the end of follow-up in the clinical trials were assumed to be sustained until death. Mortality risks were based on survival modelling of relevant published Kaplan-Meier data. Costs, life years (LYs), and quality-adjusted life years (QALYs) were discounted at 3% per annum, and the analyses were performed from a US health care sector perspective. Scenario analyses and sensitivity analyses were conducted to assess the robustness of the results to key parameters. RESULTS: In our base-case analysis, nusinersen treatment achieves greater QALYs and more LYs (3.24 and 7.64, respectively) compared with BSC (0.46 QALYs and 2.40 LYs, respectively), resulting in an incremental cost per QALY gained of approximately $1,112,000 and an incremental cost per LY gained of $590,000 for nusinersen compared to BSC. The incremental cost effectiveness ratios did not fall below $990,000 per QALY gained in scenario and sensitivity analyses. Results were most sensitive to the length of survival, background health care costs, and utility in the \"not sitting\" and \"sitting\" health states. CONCLUSIONS: The estimated incremental cost-effectiveness of nusinersen from a US health care sector perspective exceeded traditional cost-effectiveness thresholds. Cost-effectiveness was dependent on assumptions made regarding survival, costs, utilities, and whether the motor function milestones were sustained over lifetime. Given the relatively short-term effectiveness data available for the treatment, a registry to collect long-term data of infantile-onset SMA patients is recommended.","author":[{"dropping-particle":"","family":"Thokala","given":"Praveen","non-dropping-particle":"","parse-names":false,"suffix":""},{"dropping-particle":"","family":"Stevenson","given":"Matt","non-dropping-particle":"","parse-names":false,"suffix":""},{"dropping-particle":"","family":"Kumar","given":"Varun M","non-dropping-particle":"","parse-names":false,"suffix":""},{"dropping-particle":"","family":"Ren","given":"Shijie","non-dropping-particle":"","parse-names":false,"suffix":""},{"dropping-particle":"","family":"Ellis","given":"Alexandra G","non-dropping-particle":"","parse-names":false,"suffix":""},{"dropping-particle":"","family":"Chapman","given":"Richard H","non-dropping-particle":"","parse-names":false,"suffix":""}],"container-title":"Cost effectiveness and resource allocation : C/E","id":"ITEM-2","issued":{"date-parts":[["2020"]]},"language":"eng","page":"41","title":"Cost effectiveness of nusinersen for patients with infantile-onset spinal muscular atrophy in US.","type":"article-journal","volume":"18"},"uris":["http://www.mendeley.com/documents/?uuid=e9aa3eff-39ea-4f34-b89b-199e1626f0c7"]}],"mendeley":{"formattedCitation":"&lt;sup&gt;17&lt;/sup&gt;,&lt;sup&gt;18&lt;/sup&gt;","plainTextFormattedCitation":"17,18","previouslyFormattedCitation":"&lt;sup&gt;17&lt;/sup&gt;,&lt;sup&gt;18&lt;/sup&gt;"},"properties":{"noteIndex":0},"schema":"https://github.com/citation-style-language/schema/raw/master/csl-citation.json"}</w:instrText>
      </w:r>
      <w:r w:rsidR="00007424" w:rsidRPr="000F4E85">
        <w:rPr>
          <w:lang w:val="en-US"/>
        </w:rPr>
        <w:fldChar w:fldCharType="separate"/>
      </w:r>
      <w:r w:rsidR="001E65AA" w:rsidRPr="001E65AA">
        <w:rPr>
          <w:rFonts w:ascii="Arial" w:hAnsi="Arial" w:cs="Arial"/>
          <w:noProof/>
          <w:vertAlign w:val="superscript"/>
          <w:lang w:val="en-US"/>
        </w:rPr>
        <w:t>17</w:t>
      </w:r>
      <w:r w:rsidR="001E65AA" w:rsidRPr="00E304DD">
        <w:rPr>
          <w:noProof/>
          <w:vertAlign w:val="superscript"/>
          <w:lang w:val="en-US"/>
        </w:rPr>
        <w:t>,</w:t>
      </w:r>
      <w:r w:rsidR="001E65AA" w:rsidRPr="001E65AA">
        <w:rPr>
          <w:rFonts w:ascii="Arial" w:hAnsi="Arial" w:cs="Arial"/>
          <w:noProof/>
          <w:vertAlign w:val="superscript"/>
          <w:lang w:val="en-US"/>
        </w:rPr>
        <w:t>18</w:t>
      </w:r>
      <w:r w:rsidR="00007424" w:rsidRPr="000F4E85">
        <w:rPr>
          <w:lang w:val="en-US"/>
        </w:rPr>
        <w:fldChar w:fldCharType="end"/>
      </w:r>
      <w:r w:rsidRPr="000F4E85">
        <w:rPr>
          <w:rFonts w:ascii="Arial" w:hAnsi="Arial" w:cs="Arial"/>
          <w:lang w:val="en-US"/>
        </w:rPr>
        <w:t xml:space="preserve"> w</w:t>
      </w:r>
      <w:r w:rsidR="00007424" w:rsidRPr="000F4E85">
        <w:rPr>
          <w:rFonts w:ascii="Arial" w:hAnsi="Arial" w:cs="Arial"/>
          <w:lang w:val="en-US"/>
        </w:rPr>
        <w:t xml:space="preserve">as adapted to estimate the cost-effectiveness of </w:t>
      </w:r>
      <w:r w:rsidR="0039004A">
        <w:rPr>
          <w:rFonts w:ascii="Arial" w:hAnsi="Arial" w:cs="Arial"/>
          <w:lang w:val="en-US"/>
        </w:rPr>
        <w:t>NBS</w:t>
      </w:r>
      <w:r w:rsidR="00007424" w:rsidRPr="000F4E85">
        <w:rPr>
          <w:rFonts w:ascii="Arial" w:hAnsi="Arial" w:cs="Arial"/>
          <w:lang w:val="en-US"/>
        </w:rPr>
        <w:t>.</w:t>
      </w:r>
      <w:r w:rsidR="007903B6">
        <w:rPr>
          <w:rFonts w:ascii="Arial" w:hAnsi="Arial" w:cs="Arial"/>
          <w:lang w:val="en-US"/>
        </w:rPr>
        <w:t xml:space="preserve"> </w:t>
      </w:r>
      <w:r w:rsidR="007903B6" w:rsidRPr="000F4E85">
        <w:rPr>
          <w:rFonts w:ascii="Arial" w:hAnsi="Arial" w:cs="Arial"/>
          <w:lang w:val="en-US"/>
        </w:rPr>
        <w:t xml:space="preserve">The model was </w:t>
      </w:r>
      <w:r w:rsidR="005E2C47">
        <w:rPr>
          <w:rFonts w:ascii="Arial" w:hAnsi="Arial" w:cs="Arial"/>
          <w:lang w:val="en-US"/>
        </w:rPr>
        <w:t>developed</w:t>
      </w:r>
      <w:r w:rsidR="007903B6" w:rsidRPr="000F4E85">
        <w:rPr>
          <w:rFonts w:ascii="Arial" w:hAnsi="Arial" w:cs="Arial"/>
          <w:lang w:val="en-US"/>
        </w:rPr>
        <w:t xml:space="preserve"> using Microsoft ® Office Excel 2022. </w:t>
      </w:r>
      <w:r w:rsidR="00E30FA8" w:rsidRPr="00E304DD">
        <w:rPr>
          <w:rFonts w:ascii="Arial" w:hAnsi="Arial" w:cs="Arial"/>
          <w:lang w:val="en-US"/>
        </w:rPr>
        <w:t>The model</w:t>
      </w:r>
      <w:r w:rsidR="00AB3415" w:rsidRPr="00E304DD">
        <w:rPr>
          <w:rFonts w:ascii="Arial" w:hAnsi="Arial" w:cs="Arial"/>
          <w:lang w:val="en-US"/>
        </w:rPr>
        <w:t xml:space="preserve"> us</w:t>
      </w:r>
      <w:r w:rsidR="00E74AF1" w:rsidRPr="00E304DD">
        <w:rPr>
          <w:rFonts w:ascii="Arial" w:hAnsi="Arial" w:cs="Arial"/>
          <w:lang w:val="en-US"/>
        </w:rPr>
        <w:t>ed</w:t>
      </w:r>
      <w:r w:rsidR="00AB3415" w:rsidRPr="00E304DD">
        <w:rPr>
          <w:rFonts w:ascii="Arial" w:hAnsi="Arial" w:cs="Arial"/>
          <w:lang w:val="en-US"/>
        </w:rPr>
        <w:t xml:space="preserve"> mo</w:t>
      </w:r>
      <w:r w:rsidR="00D13669" w:rsidRPr="00E304DD">
        <w:rPr>
          <w:rFonts w:ascii="Arial" w:hAnsi="Arial" w:cs="Arial"/>
          <w:lang w:val="en-US"/>
        </w:rPr>
        <w:t>n</w:t>
      </w:r>
      <w:r w:rsidR="00AB3415" w:rsidRPr="00E304DD">
        <w:rPr>
          <w:rFonts w:ascii="Arial" w:hAnsi="Arial" w:cs="Arial"/>
          <w:lang w:val="en-US"/>
        </w:rPr>
        <w:t>thly cycle</w:t>
      </w:r>
      <w:r w:rsidR="00E74AF1" w:rsidRPr="00E304DD">
        <w:rPr>
          <w:rFonts w:ascii="Arial" w:hAnsi="Arial" w:cs="Arial"/>
          <w:lang w:val="en-US"/>
        </w:rPr>
        <w:t>s</w:t>
      </w:r>
      <w:r w:rsidR="00E30FA8" w:rsidRPr="00E304DD">
        <w:rPr>
          <w:rFonts w:ascii="Arial" w:hAnsi="Arial" w:cs="Arial"/>
          <w:lang w:val="en-US"/>
        </w:rPr>
        <w:t xml:space="preserve"> </w:t>
      </w:r>
      <w:r w:rsidR="0071779D" w:rsidRPr="00E304DD">
        <w:rPr>
          <w:rFonts w:ascii="Arial" w:hAnsi="Arial" w:cs="Arial"/>
          <w:lang w:val="en-US"/>
        </w:rPr>
        <w:t>and included five</w:t>
      </w:r>
      <w:r w:rsidR="00D13669" w:rsidRPr="00E304DD">
        <w:rPr>
          <w:rFonts w:ascii="Arial" w:hAnsi="Arial" w:cs="Arial"/>
          <w:lang w:val="en-US"/>
        </w:rPr>
        <w:t xml:space="preserve"> different</w:t>
      </w:r>
      <w:r w:rsidR="0071779D" w:rsidRPr="00E304DD">
        <w:rPr>
          <w:rFonts w:ascii="Arial" w:hAnsi="Arial" w:cs="Arial"/>
          <w:lang w:val="en-US"/>
        </w:rPr>
        <w:t xml:space="preserve"> </w:t>
      </w:r>
      <w:r w:rsidR="00D13669" w:rsidRPr="00E304DD">
        <w:rPr>
          <w:rFonts w:ascii="Arial" w:hAnsi="Arial" w:cs="Arial"/>
          <w:lang w:val="en-US"/>
        </w:rPr>
        <w:t xml:space="preserve">health </w:t>
      </w:r>
      <w:r w:rsidR="0071779D" w:rsidRPr="00E304DD">
        <w:rPr>
          <w:rFonts w:ascii="Arial" w:hAnsi="Arial" w:cs="Arial"/>
          <w:lang w:val="en-US"/>
        </w:rPr>
        <w:t>states:</w:t>
      </w:r>
      <w:r w:rsidR="00524894" w:rsidRPr="00E304DD">
        <w:rPr>
          <w:rFonts w:ascii="Arial" w:hAnsi="Arial" w:cs="Arial"/>
          <w:lang w:val="en-US"/>
        </w:rPr>
        <w:t xml:space="preserve"> </w:t>
      </w:r>
      <w:r w:rsidR="00D13669" w:rsidRPr="00E304DD">
        <w:rPr>
          <w:rFonts w:ascii="Arial" w:hAnsi="Arial" w:cs="Arial"/>
          <w:lang w:val="en-US"/>
        </w:rPr>
        <w:t>permanent ventilation, not-sitting, sitting,</w:t>
      </w:r>
      <w:r w:rsidR="00964343" w:rsidRPr="00E304DD">
        <w:rPr>
          <w:rFonts w:ascii="Arial" w:hAnsi="Arial" w:cs="Arial"/>
          <w:lang w:val="en-US"/>
        </w:rPr>
        <w:t xml:space="preserve"> walking</w:t>
      </w:r>
      <w:r w:rsidR="0039004A">
        <w:rPr>
          <w:rFonts w:ascii="Arial" w:hAnsi="Arial" w:cs="Arial"/>
          <w:lang w:val="en-US"/>
        </w:rPr>
        <w:t>,</w:t>
      </w:r>
      <w:r w:rsidR="00D13669" w:rsidRPr="00E304DD">
        <w:rPr>
          <w:rFonts w:ascii="Arial" w:hAnsi="Arial" w:cs="Arial"/>
          <w:lang w:val="en-US"/>
        </w:rPr>
        <w:t xml:space="preserve"> and death. </w:t>
      </w:r>
      <w:r w:rsidR="00E30FA8" w:rsidRPr="00E304DD">
        <w:rPr>
          <w:rFonts w:ascii="Arial" w:hAnsi="Arial" w:cs="Arial"/>
          <w:lang w:val="en-US"/>
        </w:rPr>
        <w:t>The model consisted of two parts</w:t>
      </w:r>
      <w:r w:rsidR="005A6036" w:rsidRPr="00E304DD">
        <w:rPr>
          <w:rFonts w:ascii="Arial" w:hAnsi="Arial" w:cs="Arial"/>
          <w:lang w:val="en-US"/>
        </w:rPr>
        <w:t>:</w:t>
      </w:r>
      <w:r w:rsidR="00AB3415" w:rsidRPr="00E304DD">
        <w:rPr>
          <w:rFonts w:ascii="Arial" w:hAnsi="Arial" w:cs="Arial"/>
          <w:lang w:val="en-US"/>
        </w:rPr>
        <w:t xml:space="preserve"> (1) </w:t>
      </w:r>
      <w:r w:rsidR="00BE591D" w:rsidRPr="00E304DD">
        <w:rPr>
          <w:rFonts w:ascii="Arial" w:hAnsi="Arial" w:cs="Arial"/>
          <w:lang w:val="en-US"/>
        </w:rPr>
        <w:t xml:space="preserve">a </w:t>
      </w:r>
      <w:r w:rsidR="00E30FA8" w:rsidRPr="00E304DD">
        <w:rPr>
          <w:rFonts w:ascii="Arial" w:hAnsi="Arial" w:cs="Arial"/>
          <w:lang w:val="en-US"/>
        </w:rPr>
        <w:t xml:space="preserve">short-term model </w:t>
      </w:r>
      <w:r w:rsidR="00C1095E" w:rsidRPr="00E304DD">
        <w:rPr>
          <w:rFonts w:ascii="Arial" w:hAnsi="Arial" w:cs="Arial"/>
          <w:lang w:val="en-US"/>
        </w:rPr>
        <w:t xml:space="preserve">(30 months) </w:t>
      </w:r>
      <w:r w:rsidR="00E30FA8" w:rsidRPr="00E304DD">
        <w:rPr>
          <w:rFonts w:ascii="Arial" w:hAnsi="Arial" w:cs="Arial"/>
          <w:lang w:val="en-US"/>
        </w:rPr>
        <w:t>using the actual data from the study in Liege</w:t>
      </w:r>
      <w:r w:rsidR="00BE591D" w:rsidRPr="00E304DD">
        <w:rPr>
          <w:rFonts w:ascii="Arial" w:hAnsi="Arial" w:cs="Arial"/>
          <w:lang w:val="en-US"/>
        </w:rPr>
        <w:t xml:space="preserve"> where </w:t>
      </w:r>
      <w:r w:rsidR="00055DF4" w:rsidRPr="00E304DD">
        <w:rPr>
          <w:rFonts w:ascii="Arial" w:hAnsi="Arial" w:cs="Arial"/>
          <w:lang w:val="en-US"/>
        </w:rPr>
        <w:t>p</w:t>
      </w:r>
      <w:r w:rsidR="00E30FA8" w:rsidRPr="00E304DD">
        <w:rPr>
          <w:rFonts w:ascii="Arial" w:hAnsi="Arial" w:cs="Arial"/>
          <w:lang w:val="en-US"/>
        </w:rPr>
        <w:t xml:space="preserve">atients all started </w:t>
      </w:r>
      <w:r w:rsidR="007C309C" w:rsidRPr="00E304DD">
        <w:rPr>
          <w:rFonts w:ascii="Arial" w:hAnsi="Arial" w:cs="Arial"/>
          <w:lang w:val="en-US"/>
        </w:rPr>
        <w:t xml:space="preserve">in </w:t>
      </w:r>
      <w:r w:rsidR="00E30FA8" w:rsidRPr="00E304DD">
        <w:rPr>
          <w:rFonts w:ascii="Arial" w:hAnsi="Arial" w:cs="Arial"/>
          <w:lang w:val="en-US"/>
        </w:rPr>
        <w:t xml:space="preserve">the non-sitter </w:t>
      </w:r>
      <w:r w:rsidR="006E2CC4" w:rsidRPr="00E304DD">
        <w:rPr>
          <w:rFonts w:ascii="Arial" w:hAnsi="Arial" w:cs="Arial"/>
          <w:lang w:val="en-US"/>
        </w:rPr>
        <w:t>state</w:t>
      </w:r>
      <w:r w:rsidR="00E30FA8" w:rsidRPr="00E304DD">
        <w:rPr>
          <w:rFonts w:ascii="Arial" w:hAnsi="Arial" w:cs="Arial"/>
          <w:lang w:val="en-US"/>
        </w:rPr>
        <w:t xml:space="preserve"> and the age of acquisition of sitting or standing was reported for each patient </w:t>
      </w:r>
      <w:r w:rsidR="0014357D" w:rsidRPr="00E304DD">
        <w:rPr>
          <w:rFonts w:ascii="Arial" w:hAnsi="Arial" w:cs="Arial"/>
          <w:lang w:val="en-US"/>
        </w:rPr>
        <w:t>individually</w:t>
      </w:r>
      <w:r w:rsidR="0039004A">
        <w:rPr>
          <w:rFonts w:ascii="Arial" w:hAnsi="Arial" w:cs="Arial"/>
          <w:lang w:val="en-US"/>
        </w:rPr>
        <w:t>, and</w:t>
      </w:r>
      <w:r w:rsidR="0014357D" w:rsidRPr="00E304DD">
        <w:rPr>
          <w:rFonts w:ascii="Arial" w:hAnsi="Arial" w:cs="Arial"/>
          <w:lang w:val="en-US"/>
        </w:rPr>
        <w:t xml:space="preserve"> (</w:t>
      </w:r>
      <w:r w:rsidR="00AB3415" w:rsidRPr="00E304DD">
        <w:rPr>
          <w:rFonts w:ascii="Arial" w:hAnsi="Arial" w:cs="Arial"/>
          <w:lang w:val="en-US"/>
        </w:rPr>
        <w:t xml:space="preserve">2) </w:t>
      </w:r>
      <w:r w:rsidR="0039004A">
        <w:rPr>
          <w:rFonts w:ascii="Arial" w:hAnsi="Arial" w:cs="Arial"/>
          <w:lang w:val="en-US"/>
        </w:rPr>
        <w:t>a</w:t>
      </w:r>
      <w:r w:rsidR="00BE591D" w:rsidRPr="00E304DD">
        <w:rPr>
          <w:rFonts w:ascii="Arial" w:hAnsi="Arial" w:cs="Arial"/>
          <w:lang w:val="en-US"/>
        </w:rPr>
        <w:t xml:space="preserve"> lifetime</w:t>
      </w:r>
      <w:r w:rsidR="00E30FA8" w:rsidRPr="00E304DD">
        <w:rPr>
          <w:rFonts w:ascii="Arial" w:hAnsi="Arial" w:cs="Arial"/>
          <w:lang w:val="en-US"/>
        </w:rPr>
        <w:t xml:space="preserve"> extrapolation model.</w:t>
      </w:r>
      <w:r w:rsidR="00BA2BB8" w:rsidRPr="00E304DD">
        <w:rPr>
          <w:rFonts w:ascii="Arial" w:hAnsi="Arial" w:cs="Arial"/>
          <w:lang w:val="en-US"/>
        </w:rPr>
        <w:t xml:space="preserve"> The motor function milestones achieved at the end of the short-term model were assumed to be maintained until death, thus, NIS patients </w:t>
      </w:r>
      <w:r w:rsidR="0039004A">
        <w:rPr>
          <w:rFonts w:ascii="Arial" w:hAnsi="Arial" w:cs="Arial"/>
          <w:lang w:val="en-US"/>
        </w:rPr>
        <w:t xml:space="preserve">who were </w:t>
      </w:r>
      <w:r w:rsidR="00BA2BB8" w:rsidRPr="00E304DD">
        <w:rPr>
          <w:rFonts w:ascii="Arial" w:hAnsi="Arial" w:cs="Arial"/>
          <w:lang w:val="en-US"/>
        </w:rPr>
        <w:t>walking at 30 months</w:t>
      </w:r>
      <w:r w:rsidR="0039004A">
        <w:rPr>
          <w:rFonts w:ascii="Arial" w:hAnsi="Arial" w:cs="Arial"/>
          <w:lang w:val="en-US"/>
        </w:rPr>
        <w:t xml:space="preserve"> of age were</w:t>
      </w:r>
      <w:r w:rsidR="00BA2BB8" w:rsidRPr="00E304DD">
        <w:rPr>
          <w:rFonts w:ascii="Arial" w:hAnsi="Arial" w:cs="Arial"/>
          <w:lang w:val="en-US"/>
        </w:rPr>
        <w:t xml:space="preserve"> expected to maintain</w:t>
      </w:r>
      <w:r w:rsidR="0039004A">
        <w:rPr>
          <w:rFonts w:ascii="Arial" w:hAnsi="Arial" w:cs="Arial"/>
          <w:lang w:val="en-US"/>
        </w:rPr>
        <w:t xml:space="preserve"> the ability to</w:t>
      </w:r>
      <w:r w:rsidR="00BA2BB8" w:rsidRPr="00E304DD">
        <w:rPr>
          <w:rFonts w:ascii="Arial" w:hAnsi="Arial" w:cs="Arial"/>
          <w:lang w:val="en-US"/>
        </w:rPr>
        <w:t xml:space="preserve"> walk.</w:t>
      </w:r>
      <w:r w:rsidR="00E30FA8" w:rsidRPr="00E304DD">
        <w:rPr>
          <w:rFonts w:ascii="Arial" w:hAnsi="Arial" w:cs="Arial"/>
          <w:lang w:val="en-US"/>
        </w:rPr>
        <w:t xml:space="preserve"> The long-term model involved extrapolation of motor milestones</w:t>
      </w:r>
      <w:r w:rsidR="009B0AF4" w:rsidRPr="00E304DD">
        <w:rPr>
          <w:rFonts w:ascii="Arial" w:hAnsi="Arial" w:cs="Arial"/>
          <w:lang w:val="en-US"/>
        </w:rPr>
        <w:t xml:space="preserve"> (estimated be the same that at the end of the short-term model)</w:t>
      </w:r>
      <w:r w:rsidR="00E30FA8" w:rsidRPr="00E304DD">
        <w:rPr>
          <w:rFonts w:ascii="Arial" w:hAnsi="Arial" w:cs="Arial"/>
          <w:lang w:val="en-US"/>
        </w:rPr>
        <w:t>, permanent ventilation, and mortality. The long-term mortality risk associated with each health state was modeled by fitting survival curves to data estimated by a disease specialist for each health state.</w:t>
      </w:r>
      <w:r w:rsidR="00D13669" w:rsidRPr="00E304DD">
        <w:rPr>
          <w:rFonts w:ascii="Arial" w:hAnsi="Arial" w:cs="Arial"/>
          <w:lang w:val="en-US"/>
        </w:rPr>
        <w:t xml:space="preserve"> </w:t>
      </w:r>
      <w:r w:rsidR="009B0AF4" w:rsidRPr="00E304DD">
        <w:rPr>
          <w:rFonts w:ascii="Arial" w:hAnsi="Arial" w:cs="Arial"/>
          <w:lang w:val="en-US"/>
        </w:rPr>
        <w:t xml:space="preserve">Based on expert opinion and literature </w:t>
      </w:r>
      <w:r w:rsidR="009B0AF4" w:rsidRPr="00E304DD">
        <w:rPr>
          <w:rFonts w:ascii="Arial" w:hAnsi="Arial" w:cs="Arial"/>
          <w:lang w:val="en-US"/>
        </w:rPr>
        <w:fldChar w:fldCharType="begin" w:fldLock="1"/>
      </w:r>
      <w:r w:rsidR="001336C2" w:rsidRPr="00E304DD">
        <w:rPr>
          <w:rFonts w:ascii="Arial" w:hAnsi="Arial" w:cs="Arial"/>
          <w:lang w:val="en-US"/>
        </w:rPr>
        <w:instrText>ADDIN CSL_CITATION {"citationItems":[{"id":"ITEM-1","itemData":{"DOI":"10.1186/s13023-020-01367-y","ISSN":"1750-1172 (Electronic)","PMID":"32276635","abstract":"BACKGROUND: Respiratory muscle weakness is an important feature of spinal  muscular atrophy (SMA). Progressive lung function decline is the most important cause of mortality and morbidity in patients. The natural history of lung function in SMA has, however, not been studied in much detail. RESULTS: We analysed 2098 measurements of lung function from 170 treatment-naïve patients with SMA types 1c-4, aged 4-74 years. All patients are participating in an ongoing population-based prevalence cohort study. We measured Forced Expiratory Volume in 1 s (FEV(1)), Forced Vital Capacity (FVC), and Vital Capacity (VC). Longitudinal patterns of lung function were analysed using linear mixed-effects and non-linear models. Additionally, we also assessed postural effects on results of FEV(1) and FVC tests. In early-onset SMA types (1c-3a), we observed a progressive decline of lung function at younger ages with relative stabilisation during adulthood. Estimated baseline values were significantly lower in more severely affected patients: %FEV(1) ranged from 42% in SMA type 1c to 100% in type 3b, %FVC 50 to 109%, and %VC 44 to 96%. Average annual decline rates also differed significantly between SMA types, ranging from - 0.1% to - 1.4% for FEV(1), - 0.2% to - 1.4% for FVC, and + 0.2% to - 1.7% for VC. In contrast to SMA types 1c-3a, we found normal values for all outcomes in later-onset SMA types 3b and 4 throughout life, although with some exceptions and based on limited available data. Finally, we found no important differences in FVC or FEV(1) values measured in either sitting or supine position. CONCLUSIONS: Our data illustrate the longitudinal course of lung function in patients with SMA, which is characterised by a progressive decline in childhood and stabilisation in early adulthood. The data do not support an additional benefit of measuring FEV(1) or FVC in both sitting and supine position. These data may serve as a reference to assess longer-term outcomes in clinical trials.","author":[{"dropping-particle":"","family":"Wijngaarde","given":"Camiel A","non-dropping-particle":"","parse-names":false,"suffix":""},{"dropping-particle":"","family":"Veldhoen","given":"Esther S","non-dropping-particle":"","parse-names":false,"suffix":""},{"dropping-particle":"","family":"Eijk","given":"Ruben P A","non-dropping-particle":"van","parse-names":false,"suffix":""},{"dropping-particle":"","family":"Stam","given":"Marloes","non-dropping-particle":"","parse-names":false,"suffix":""},{"dropping-particle":"","family":"Otto","given":"Louise A M","non-dropping-particle":"","parse-names":false,"suffix":""},{"dropping-particle":"","family":"Asselman","given":"Fay-Lynn","non-dropping-particle":"","parse-names":false,"suffix":""},{"dropping-particle":"","family":"Wösten-van Asperen","given":"Roelie M","non-dropping-particle":"","parse-names":false,"suffix":""},{"dropping-particle":"","family":"Hulzebos","given":"Erik H J","non-dropping-particle":"","parse-names":false,"suffix":""},{"dropping-particle":"","family":"Verweij-van den Oudenrijn","given":"Laura P","non-dropping-particle":"","parse-names":false,"suffix":""},{"dropping-particle":"","family":"Bartels","given":"Bart","non-dropping-particle":"","parse-names":false,"suffix":""},{"dropping-particle":"","family":"Cuppen","given":"Inge","non-dropping-particle":"","parse-names":false,"suffix":""},{"dropping-particle":"","family":"Wadman","given":"Renske I","non-dropping-particle":"","parse-names":false,"suffix":""},{"dropping-particle":"","family":"Berg","given":"Leonard H","non-dropping-particle":"van den","parse-names":false,"suffix":""},{"dropping-particle":"","family":"Ent","given":"Cornelis K","non-dropping-particle":"van der","parse-names":false,"suffix":""},{"dropping-particle":"","family":"Pol","given":"W Ludo","non-dropping-particle":"van der","parse-names":false,"suffix":""}],"container-title":"Orphanet journal of rare diseases","id":"ITEM-1","issue":"1","issued":{"date-parts":[["2020","4"]]},"language":"eng","page":"88","publisher-place":"England","title":"Natural history of lung function in spinal muscular atrophy.","type":"article-journal","volume":"15"},"uris":["http://www.mendeley.com/documents/?uuid=3a8be3b9-fc61-4c53-b0c2-10a1331206ea"]}],"mendeley":{"formattedCitation":"&lt;sup&gt;19&lt;/sup&gt;","plainTextFormattedCitation":"19","previouslyFormattedCitation":"&lt;sup&gt;19&lt;/sup&gt;"},"properties":{"noteIndex":0},"schema":"https://github.com/citation-style-language/schema/raw/master/csl-citation.json"}</w:instrText>
      </w:r>
      <w:r w:rsidR="009B0AF4" w:rsidRPr="00E304DD">
        <w:rPr>
          <w:rFonts w:ascii="Arial" w:hAnsi="Arial" w:cs="Arial"/>
          <w:lang w:val="en-US"/>
        </w:rPr>
        <w:fldChar w:fldCharType="separate"/>
      </w:r>
      <w:r w:rsidR="009B0AF4" w:rsidRPr="00E304DD">
        <w:rPr>
          <w:rFonts w:ascii="Arial" w:hAnsi="Arial" w:cs="Arial"/>
          <w:noProof/>
          <w:vertAlign w:val="superscript"/>
          <w:lang w:val="en-US"/>
        </w:rPr>
        <w:t>19</w:t>
      </w:r>
      <w:r w:rsidR="009B0AF4" w:rsidRPr="00E304DD">
        <w:rPr>
          <w:rFonts w:ascii="Arial" w:hAnsi="Arial" w:cs="Arial"/>
          <w:lang w:val="en-US"/>
        </w:rPr>
        <w:fldChar w:fldCharType="end"/>
      </w:r>
      <w:r w:rsidR="009B0AF4" w:rsidRPr="00E304DD">
        <w:rPr>
          <w:rFonts w:ascii="Arial" w:hAnsi="Arial" w:cs="Arial"/>
          <w:lang w:val="en-US"/>
        </w:rPr>
        <w:t xml:space="preserve">, mortality for walkers and sitters was assumed to be the same as for the general population </w:t>
      </w:r>
      <w:r w:rsidR="009B0AF4" w:rsidRPr="00E304DD">
        <w:rPr>
          <w:rFonts w:ascii="Arial" w:hAnsi="Arial" w:cs="Arial"/>
          <w:lang w:val="en-US"/>
        </w:rPr>
        <w:fldChar w:fldCharType="begin" w:fldLock="1"/>
      </w:r>
      <w:r w:rsidR="001336C2" w:rsidRPr="00E304DD">
        <w:rPr>
          <w:rFonts w:ascii="Arial" w:hAnsi="Arial" w:cs="Arial"/>
          <w:lang w:val="en-US"/>
        </w:rPr>
        <w:instrText>ADDIN CSL_CITATION {"citationItems":[{"id":"ITEM-1","itemData":{"URL":"https://statbel.fgov.be/fr/themes/population/mortalite-et-esperance-de-vie/tables-de-mortalite-et-esperance-de-vie#figures","accessed":{"date-parts":[["2022","3","24"]]},"author":[{"dropping-particle":"","family":"StatBel","given":"","non-dropping-particle":"","parse-names":false,"suffix":""}],"container-title":"Service Public Fédéral Belge","id":"ITEM-1","issued":{"date-parts":[["2021"]]},"title":"Tables de mortalité et espérance de vie","type":"webpage"},"uris":["http://www.mendeley.com/documents/?uuid=ec60c2fc-da43-4879-85fa-fe11e6a06d70"]}],"mendeley":{"formattedCitation":"&lt;sup&gt;20&lt;/sup&gt;","plainTextFormattedCitation":"20","previouslyFormattedCitation":"&lt;sup&gt;20&lt;/sup&gt;"},"properties":{"noteIndex":0},"schema":"https://github.com/citation-style-language/schema/raw/master/csl-citation.json"}</w:instrText>
      </w:r>
      <w:r w:rsidR="009B0AF4" w:rsidRPr="00E304DD">
        <w:rPr>
          <w:rFonts w:ascii="Arial" w:hAnsi="Arial" w:cs="Arial"/>
          <w:lang w:val="en-US"/>
        </w:rPr>
        <w:fldChar w:fldCharType="separate"/>
      </w:r>
      <w:r w:rsidR="009B0AF4" w:rsidRPr="00E304DD">
        <w:rPr>
          <w:rFonts w:ascii="Arial" w:hAnsi="Arial" w:cs="Arial"/>
          <w:noProof/>
          <w:vertAlign w:val="superscript"/>
          <w:lang w:val="en-US"/>
        </w:rPr>
        <w:t>20</w:t>
      </w:r>
      <w:r w:rsidR="009B0AF4" w:rsidRPr="00E304DD">
        <w:rPr>
          <w:rFonts w:ascii="Arial" w:hAnsi="Arial" w:cs="Arial"/>
          <w:lang w:val="en-US"/>
        </w:rPr>
        <w:fldChar w:fldCharType="end"/>
      </w:r>
      <w:r w:rsidR="009B0AF4" w:rsidRPr="00E304DD">
        <w:rPr>
          <w:rFonts w:ascii="Arial" w:hAnsi="Arial" w:cs="Arial"/>
          <w:lang w:val="en-US"/>
        </w:rPr>
        <w:t xml:space="preserve"> (81 years), wh</w:t>
      </w:r>
      <w:r w:rsidR="0039004A">
        <w:rPr>
          <w:rFonts w:ascii="Arial" w:hAnsi="Arial" w:cs="Arial"/>
          <w:lang w:val="en-US"/>
        </w:rPr>
        <w:t xml:space="preserve">ereas the </w:t>
      </w:r>
      <w:r w:rsidR="009B0AF4" w:rsidRPr="00E304DD">
        <w:rPr>
          <w:rFonts w:ascii="Arial" w:hAnsi="Arial" w:cs="Arial"/>
          <w:lang w:val="en-US"/>
        </w:rPr>
        <w:t>mean life expectancy</w:t>
      </w:r>
      <w:r w:rsidR="0039004A">
        <w:rPr>
          <w:rFonts w:ascii="Arial" w:hAnsi="Arial" w:cs="Arial"/>
          <w:lang w:val="en-US"/>
        </w:rPr>
        <w:t xml:space="preserve"> </w:t>
      </w:r>
      <w:r w:rsidR="0039004A" w:rsidRPr="005B7DCC">
        <w:rPr>
          <w:rFonts w:ascii="Arial" w:hAnsi="Arial" w:cs="Arial"/>
          <w:lang w:val="en-US"/>
        </w:rPr>
        <w:t>for non-sitters</w:t>
      </w:r>
      <w:r w:rsidR="009B0AF4" w:rsidRPr="00E304DD">
        <w:rPr>
          <w:rFonts w:ascii="Arial" w:hAnsi="Arial" w:cs="Arial"/>
          <w:lang w:val="en-US"/>
        </w:rPr>
        <w:t xml:space="preserve"> was set at 20 years and </w:t>
      </w:r>
      <w:r w:rsidR="0039004A">
        <w:rPr>
          <w:rFonts w:ascii="Arial" w:hAnsi="Arial" w:cs="Arial"/>
          <w:lang w:val="en-US"/>
        </w:rPr>
        <w:t xml:space="preserve">that </w:t>
      </w:r>
      <w:r w:rsidR="009B0AF4" w:rsidRPr="00E304DD">
        <w:rPr>
          <w:rFonts w:ascii="Arial" w:hAnsi="Arial" w:cs="Arial"/>
          <w:lang w:val="en-US"/>
        </w:rPr>
        <w:t>for patient</w:t>
      </w:r>
      <w:r w:rsidR="0039004A">
        <w:rPr>
          <w:rFonts w:ascii="Arial" w:hAnsi="Arial" w:cs="Arial"/>
          <w:lang w:val="en-US"/>
        </w:rPr>
        <w:t>s</w:t>
      </w:r>
      <w:r w:rsidR="009B0AF4" w:rsidRPr="00E304DD">
        <w:rPr>
          <w:rFonts w:ascii="Arial" w:hAnsi="Arial" w:cs="Arial"/>
          <w:lang w:val="en-US"/>
        </w:rPr>
        <w:t xml:space="preserve"> with ventilation</w:t>
      </w:r>
      <w:r w:rsidR="0039004A">
        <w:rPr>
          <w:rFonts w:ascii="Arial" w:hAnsi="Arial" w:cs="Arial"/>
          <w:lang w:val="en-US"/>
        </w:rPr>
        <w:t xml:space="preserve"> was set at</w:t>
      </w:r>
      <w:r w:rsidR="009B0AF4" w:rsidRPr="00E304DD">
        <w:rPr>
          <w:rFonts w:ascii="Arial" w:hAnsi="Arial" w:cs="Arial"/>
          <w:lang w:val="en-US"/>
        </w:rPr>
        <w:t xml:space="preserve"> 5 years. </w:t>
      </w:r>
      <w:r w:rsidR="00231B23" w:rsidRPr="00E304DD">
        <w:rPr>
          <w:rFonts w:ascii="Arial" w:hAnsi="Arial" w:cs="Arial"/>
          <w:lang w:val="en-US"/>
        </w:rPr>
        <w:t>Figure 1</w:t>
      </w:r>
      <w:r w:rsidR="0015641D">
        <w:rPr>
          <w:rFonts w:ascii="Arial" w:hAnsi="Arial" w:cs="Arial"/>
          <w:lang w:val="en-US"/>
        </w:rPr>
        <w:t>A</w:t>
      </w:r>
      <w:r w:rsidR="00231B23" w:rsidRPr="00E304DD">
        <w:rPr>
          <w:rFonts w:ascii="Arial" w:hAnsi="Arial" w:cs="Arial"/>
          <w:lang w:val="en-US"/>
        </w:rPr>
        <w:t xml:space="preserve"> </w:t>
      </w:r>
      <w:r w:rsidR="0015641D">
        <w:rPr>
          <w:rFonts w:ascii="Arial" w:hAnsi="Arial" w:cs="Arial"/>
          <w:lang w:val="en-US"/>
        </w:rPr>
        <w:t>illustrates</w:t>
      </w:r>
      <w:r w:rsidR="0015641D" w:rsidRPr="004A3C4E">
        <w:rPr>
          <w:rFonts w:ascii="Arial" w:hAnsi="Arial" w:cs="Arial"/>
          <w:lang w:val="en-US"/>
        </w:rPr>
        <w:t xml:space="preserve"> </w:t>
      </w:r>
      <w:r w:rsidR="00C36ABB" w:rsidRPr="004A3C4E">
        <w:rPr>
          <w:rFonts w:ascii="Arial" w:hAnsi="Arial" w:cs="Arial"/>
          <w:lang w:val="en-US"/>
        </w:rPr>
        <w:t>the model.</w:t>
      </w:r>
    </w:p>
    <w:p w14:paraId="7301C516" w14:textId="1CDF6BBE" w:rsidR="00C452AF" w:rsidRPr="003A4731" w:rsidRDefault="003A4731" w:rsidP="00E304DD">
      <w:pPr>
        <w:pStyle w:val="NormalWeb"/>
        <w:jc w:val="both"/>
        <w:rPr>
          <w:rFonts w:ascii="Arial" w:hAnsi="Arial" w:cs="Arial"/>
          <w:i/>
          <w:iCs/>
          <w:lang w:val="en-US"/>
        </w:rPr>
      </w:pPr>
      <w:r w:rsidRPr="003A4731">
        <w:rPr>
          <w:rFonts w:ascii="Arial" w:hAnsi="Arial" w:cs="Arial"/>
          <w:i/>
          <w:iCs/>
          <w:lang w:val="en-US"/>
        </w:rPr>
        <w:t>Figure 1</w:t>
      </w:r>
    </w:p>
    <w:p w14:paraId="39251A57" w14:textId="41BE6320" w:rsidR="009B0AF4" w:rsidRDefault="005E2C47" w:rsidP="00D13669">
      <w:pPr>
        <w:jc w:val="both"/>
        <w:rPr>
          <w:lang w:val="en-US"/>
        </w:rPr>
      </w:pPr>
      <w:r>
        <w:rPr>
          <w:lang w:val="en-US"/>
        </w:rPr>
        <w:t>In line with the Belgian guideline</w:t>
      </w:r>
      <w:r w:rsidR="0039004A">
        <w:rPr>
          <w:lang w:val="en-US"/>
        </w:rPr>
        <w:t>s</w:t>
      </w:r>
      <w:r>
        <w:rPr>
          <w:lang w:val="en-US"/>
        </w:rPr>
        <w:t xml:space="preserve"> for economic evaluation,</w:t>
      </w:r>
      <w:r w:rsidR="0039004A">
        <w:rPr>
          <w:lang w:val="en-US"/>
        </w:rPr>
        <w:t xml:space="preserve"> a</w:t>
      </w:r>
      <w:r>
        <w:rPr>
          <w:lang w:val="en-US"/>
        </w:rPr>
        <w:t xml:space="preserve"> d</w:t>
      </w:r>
      <w:r w:rsidRPr="000F4E85">
        <w:rPr>
          <w:lang w:val="en-US"/>
        </w:rPr>
        <w:t xml:space="preserve">iscount rate of 3% for costs and 1.5% for utility values </w:t>
      </w:r>
      <w:r>
        <w:rPr>
          <w:lang w:val="en-US"/>
        </w:rPr>
        <w:t>were used</w:t>
      </w:r>
      <w:r w:rsidRPr="000F4E85">
        <w:rPr>
          <w:lang w:val="en-US"/>
        </w:rPr>
        <w:t xml:space="preserve"> </w:t>
      </w:r>
      <w:r w:rsidRPr="000F4E85">
        <w:fldChar w:fldCharType="begin" w:fldLock="1"/>
      </w:r>
      <w:r w:rsidRPr="005E2C47">
        <w:rPr>
          <w:lang w:val="en-US"/>
        </w:rPr>
        <w:instrText>ADDIN CSL_CITATION {"citationItems":[{"id":"ITEM-1","itemData":{"author":[{"dropping-particle":"","family":"Cleemput","given":"Irina","non-dropping-particle":"","parse-names":false,"suffix":""},{"dropping-particle":"","family":"Neyt","given":"Mattias","non-dropping-particle":"","parse-names":false,"suffix":""},{"dropping-particle":"","family":"Sande","given":"Stefaan","non-dropping-particle":"Van De","parse-names":false,"suffix":""},{"dropping-particle":"","family":"Thiry","given":"Nancy","non-dropping-particle":"","parse-names":false,"suffix":""}],"container-title":"KCE Reports","id":"ITEM-1","issued":{"date-parts":[["2012"]]},"title":"Belgian guidelines for economic evaluations and budget impact analyses: second edition","type":"report","volume":"183B"},"uris":["http://www.mendeley.com/documents/?uuid=940af237-d5de-4279-a0c2-5a6eded4b97a"]}],"mendeley":{"formattedCitation":"&lt;sup&gt;20&lt;/sup&gt;","plainTextFormattedCitation":"20","previouslyFormattedCitation":"&lt;sup&gt;20&lt;/sup&gt;"},"properties":{"noteIndex":0},"schema":"https://github.com/citation-style-language/schema/raw/master/csl-citation.json"}</w:instrText>
      </w:r>
      <w:r w:rsidRPr="000F4E85">
        <w:fldChar w:fldCharType="separate"/>
      </w:r>
      <w:r w:rsidRPr="001E65AA">
        <w:rPr>
          <w:noProof/>
          <w:vertAlign w:val="superscript"/>
          <w:lang w:val="en-US"/>
        </w:rPr>
        <w:t>20</w:t>
      </w:r>
      <w:r w:rsidRPr="000F4E85">
        <w:fldChar w:fldCharType="end"/>
      </w:r>
      <w:r w:rsidRPr="000F4E85">
        <w:rPr>
          <w:lang w:val="en-US"/>
        </w:rPr>
        <w:t>.</w:t>
      </w:r>
      <w:r w:rsidR="00715CE8">
        <w:rPr>
          <w:lang w:val="en-US"/>
        </w:rPr>
        <w:t xml:space="preserve"> </w:t>
      </w:r>
      <w:r w:rsidR="00715CE8" w:rsidRPr="009B0AF4">
        <w:rPr>
          <w:lang w:val="en-US"/>
        </w:rPr>
        <w:t>There is no threshold for cost-effectiveness in Belgium</w:t>
      </w:r>
      <w:r w:rsidR="00715CE8">
        <w:rPr>
          <w:lang w:val="en-US"/>
        </w:rPr>
        <w:t xml:space="preserve"> </w:t>
      </w:r>
      <w:r w:rsidR="00715CE8">
        <w:rPr>
          <w:lang w:val="en-US"/>
        </w:rPr>
        <w:fldChar w:fldCharType="begin" w:fldLock="1"/>
      </w:r>
      <w:r w:rsidR="00715CE8">
        <w:rPr>
          <w:lang w:val="en-US"/>
        </w:rPr>
        <w:instrText>ADDIN CSL_CITATION {"citationItems":[{"id":"ITEM-1","itemData":{"abstract":"KCE reports 100 C","author":[{"dropping-particle":"","family":"Cleemput","given":"Irina","non-dropping-particle":"","parse-names":false,"suffix":""},{"dropping-particle":"","family":"Neyt","given":"Mattias","non-dropping-particle":"","parse-names":false,"suffix":""},{"dropping-particle":"","family":"Thiry","given":"Nancy","non-dropping-particle":"","parse-names":false,"suffix":""},{"dropping-particle":"","family":"Laet","given":"Chris","non-dropping-particle":"De","parse-names":false,"suffix":""},{"dropping-particle":"","family":"Leys","given":"Mark","non-dropping-particle":"","parse-names":false,"suffix":""}],"id":"ITEM-1","issued":{"date-parts":[["2008"]]},"number-of-pages":"86","title":"Threshold values for cost-effectiveness in health care","type":"report"},"uris":["http://www.mendeley.com/documents/?uuid=eed1e9fd-b911-4fbf-bc9a-e213f5587a2e"]}],"mendeley":{"formattedCitation":"&lt;sup&gt;28&lt;/sup&gt;","plainTextFormattedCitation":"28","previouslyFormattedCitation":"&lt;sup&gt;28&lt;/sup&gt;"},"properties":{"noteIndex":0},"schema":"https://github.com/citation-style-language/schema/raw/master/csl-citation.json"}</w:instrText>
      </w:r>
      <w:r w:rsidR="00715CE8">
        <w:rPr>
          <w:lang w:val="en-US"/>
        </w:rPr>
        <w:fldChar w:fldCharType="separate"/>
      </w:r>
      <w:r w:rsidR="00715CE8" w:rsidRPr="009B0AF4">
        <w:rPr>
          <w:noProof/>
          <w:vertAlign w:val="superscript"/>
          <w:lang w:val="en-US"/>
        </w:rPr>
        <w:t>28</w:t>
      </w:r>
      <w:r w:rsidR="00715CE8">
        <w:rPr>
          <w:lang w:val="en-US"/>
        </w:rPr>
        <w:fldChar w:fldCharType="end"/>
      </w:r>
      <w:r w:rsidR="00715CE8">
        <w:rPr>
          <w:lang w:val="en-US"/>
        </w:rPr>
        <w:t xml:space="preserve">. </w:t>
      </w:r>
      <w:r w:rsidR="00715CE8" w:rsidRPr="009B0AF4">
        <w:rPr>
          <w:lang w:val="en-US"/>
        </w:rPr>
        <w:t>In Europe, only the UK (€24,000-36,000</w:t>
      </w:r>
      <w:r w:rsidR="00715CE8">
        <w:rPr>
          <w:lang w:val="en-US"/>
        </w:rPr>
        <w:t>),</w:t>
      </w:r>
      <w:r w:rsidR="00715CE8" w:rsidRPr="009B0AF4">
        <w:rPr>
          <w:lang w:val="en-US"/>
        </w:rPr>
        <w:t xml:space="preserve"> Poland (3 times per capita GD</w:t>
      </w:r>
      <w:r w:rsidR="00715CE8">
        <w:rPr>
          <w:lang w:val="en-US"/>
        </w:rPr>
        <w:t>P</w:t>
      </w:r>
      <w:r w:rsidR="0039004A">
        <w:rPr>
          <w:lang w:val="en-US"/>
        </w:rPr>
        <w:t>,</w:t>
      </w:r>
      <w:r w:rsidR="00715CE8" w:rsidRPr="009B0AF4">
        <w:rPr>
          <w:lang w:val="en-US"/>
        </w:rPr>
        <w:t xml:space="preserve"> about €40,000)</w:t>
      </w:r>
      <w:r w:rsidR="00C9780B">
        <w:rPr>
          <w:lang w:val="en-US"/>
        </w:rPr>
        <w:t>,</w:t>
      </w:r>
      <w:r w:rsidR="003431ED">
        <w:rPr>
          <w:lang w:val="en-US"/>
        </w:rPr>
        <w:t xml:space="preserve"> Netherlands (€ 20,000 – 80,000)</w:t>
      </w:r>
      <w:r w:rsidR="0039004A">
        <w:rPr>
          <w:lang w:val="en-US"/>
        </w:rPr>
        <w:t>,</w:t>
      </w:r>
      <w:r w:rsidR="00715CE8" w:rsidRPr="009B0AF4">
        <w:rPr>
          <w:lang w:val="en-US"/>
        </w:rPr>
        <w:t xml:space="preserve"> and Slovakia (24-35 average salaries, i.e.</w:t>
      </w:r>
      <w:r w:rsidR="00715CE8">
        <w:rPr>
          <w:lang w:val="en-US"/>
        </w:rPr>
        <w:t>,</w:t>
      </w:r>
      <w:r w:rsidR="00715CE8" w:rsidRPr="009B0AF4">
        <w:rPr>
          <w:lang w:val="en-US"/>
        </w:rPr>
        <w:t xml:space="preserve"> €18,000-27,000) have explicit thresholds. Several other countries have an implicit threshold, which is usually between two- and three-times GDP per capita (Hungary).</w:t>
      </w:r>
    </w:p>
    <w:p w14:paraId="59081000" w14:textId="77777777" w:rsidR="009B0AF4" w:rsidRDefault="009B0AF4" w:rsidP="005E2C47">
      <w:pPr>
        <w:jc w:val="both"/>
        <w:rPr>
          <w:lang w:val="en-US"/>
        </w:rPr>
      </w:pPr>
    </w:p>
    <w:p w14:paraId="15FDC60A" w14:textId="71333748" w:rsidR="00F80178" w:rsidRPr="002131DA" w:rsidRDefault="00107C47" w:rsidP="00E304DD">
      <w:pPr>
        <w:pStyle w:val="Titre2"/>
        <w:rPr>
          <w:lang w:val="en-US"/>
        </w:rPr>
      </w:pPr>
      <w:r>
        <w:rPr>
          <w:lang w:val="en-US"/>
        </w:rPr>
        <w:t>Model inputs</w:t>
      </w:r>
    </w:p>
    <w:p w14:paraId="401CFC73" w14:textId="42C95C7A" w:rsidR="00107C47" w:rsidRDefault="00107C47" w:rsidP="00D13669">
      <w:pPr>
        <w:pStyle w:val="Titre4"/>
        <w:rPr>
          <w:lang w:val="en-US"/>
        </w:rPr>
      </w:pPr>
      <w:r>
        <w:rPr>
          <w:lang w:val="en-US"/>
        </w:rPr>
        <w:t xml:space="preserve">Patient </w:t>
      </w:r>
      <w:r w:rsidR="0039004A">
        <w:rPr>
          <w:lang w:val="en-US"/>
        </w:rPr>
        <w:t>characteristics</w:t>
      </w:r>
    </w:p>
    <w:p w14:paraId="5B7AC2B7" w14:textId="3F599FA6" w:rsidR="00105B23" w:rsidRDefault="00F80178" w:rsidP="00A60E0C">
      <w:pPr>
        <w:pStyle w:val="NormalWeb"/>
        <w:spacing w:before="0" w:beforeAutospacing="0" w:after="0" w:afterAutospacing="0"/>
        <w:jc w:val="both"/>
        <w:rPr>
          <w:rFonts w:ascii="Arial" w:hAnsi="Arial" w:cs="Arial"/>
          <w:lang w:val="en-US"/>
        </w:rPr>
      </w:pPr>
      <w:r w:rsidRPr="000F4E85">
        <w:rPr>
          <w:rFonts w:ascii="Arial" w:hAnsi="Arial" w:cs="Arial"/>
          <w:lang w:val="en-US"/>
        </w:rPr>
        <w:t>Data on motor function milestones, permanent ventilation</w:t>
      </w:r>
      <w:r w:rsidR="0039004A">
        <w:rPr>
          <w:rFonts w:ascii="Arial" w:hAnsi="Arial" w:cs="Arial"/>
          <w:lang w:val="en-US"/>
        </w:rPr>
        <w:t>,</w:t>
      </w:r>
      <w:r w:rsidRPr="000F4E85">
        <w:rPr>
          <w:rFonts w:ascii="Arial" w:hAnsi="Arial" w:cs="Arial"/>
          <w:lang w:val="en-US"/>
        </w:rPr>
        <w:t xml:space="preserve"> and mortality at different time points were extracted from </w:t>
      </w:r>
      <w:r w:rsidR="00AB3415">
        <w:rPr>
          <w:rFonts w:ascii="Arial" w:hAnsi="Arial" w:cs="Arial"/>
          <w:lang w:val="en-US"/>
        </w:rPr>
        <w:t xml:space="preserve">the </w:t>
      </w:r>
      <w:r w:rsidR="00107C47">
        <w:rPr>
          <w:rFonts w:ascii="Arial" w:hAnsi="Arial" w:cs="Arial"/>
          <w:lang w:val="en-US"/>
        </w:rPr>
        <w:t>observation</w:t>
      </w:r>
      <w:r w:rsidR="00AB3415">
        <w:rPr>
          <w:rFonts w:ascii="Arial" w:hAnsi="Arial" w:cs="Arial"/>
          <w:lang w:val="en-US"/>
        </w:rPr>
        <w:t>al</w:t>
      </w:r>
      <w:r w:rsidR="00107C47">
        <w:rPr>
          <w:rFonts w:ascii="Arial" w:hAnsi="Arial" w:cs="Arial"/>
          <w:lang w:val="en-US"/>
        </w:rPr>
        <w:t xml:space="preserve"> stud</w:t>
      </w:r>
      <w:r w:rsidR="00AB3415">
        <w:rPr>
          <w:rFonts w:ascii="Arial" w:hAnsi="Arial" w:cs="Arial"/>
          <w:lang w:val="en-US"/>
        </w:rPr>
        <w:t>ies</w:t>
      </w:r>
      <w:r w:rsidRPr="000F4E85">
        <w:rPr>
          <w:rFonts w:ascii="Arial" w:hAnsi="Arial" w:cs="Arial"/>
          <w:lang w:val="en-US"/>
        </w:rPr>
        <w:t xml:space="preserve"> </w:t>
      </w:r>
      <w:r w:rsidR="0039004A">
        <w:rPr>
          <w:rFonts w:ascii="Arial" w:hAnsi="Arial" w:cs="Arial"/>
          <w:lang w:val="en-US"/>
        </w:rPr>
        <w:t xml:space="preserve">performed </w:t>
      </w:r>
      <w:r w:rsidRPr="000F4E85">
        <w:rPr>
          <w:rFonts w:ascii="Arial" w:hAnsi="Arial" w:cs="Arial"/>
          <w:lang w:val="en-US"/>
        </w:rPr>
        <w:t xml:space="preserve">in Liege. </w:t>
      </w:r>
      <w:r w:rsidR="00D13669" w:rsidRPr="000F4E85">
        <w:rPr>
          <w:rFonts w:ascii="Arial" w:hAnsi="Arial" w:cs="Arial"/>
          <w:lang w:val="en-US"/>
        </w:rPr>
        <w:t xml:space="preserve">There </w:t>
      </w:r>
      <w:r w:rsidR="0039004A">
        <w:rPr>
          <w:rFonts w:ascii="Arial" w:hAnsi="Arial" w:cs="Arial"/>
          <w:lang w:val="en-US"/>
        </w:rPr>
        <w:t>were two</w:t>
      </w:r>
      <w:r w:rsidR="00D13669" w:rsidRPr="000F4E85">
        <w:rPr>
          <w:rFonts w:ascii="Arial" w:hAnsi="Arial" w:cs="Arial"/>
          <w:lang w:val="en-US"/>
        </w:rPr>
        <w:t xml:space="preserve"> distinct population</w:t>
      </w:r>
      <w:r w:rsidR="0039004A">
        <w:rPr>
          <w:rFonts w:ascii="Arial" w:hAnsi="Arial" w:cs="Arial"/>
          <w:lang w:val="en-US"/>
        </w:rPr>
        <w:t>s</w:t>
      </w:r>
      <w:r w:rsidR="00D13669" w:rsidRPr="000F4E85">
        <w:rPr>
          <w:rFonts w:ascii="Arial" w:hAnsi="Arial" w:cs="Arial"/>
          <w:lang w:val="en-US"/>
        </w:rPr>
        <w:t xml:space="preserve">: </w:t>
      </w:r>
      <w:r w:rsidR="00D13669">
        <w:rPr>
          <w:rFonts w:ascii="Arial" w:hAnsi="Arial" w:cs="Arial"/>
          <w:lang w:val="en-US"/>
        </w:rPr>
        <w:t>(</w:t>
      </w:r>
      <w:r w:rsidR="00D13669" w:rsidRPr="000F4E85">
        <w:rPr>
          <w:rFonts w:ascii="Arial" w:hAnsi="Arial" w:cs="Arial"/>
          <w:lang w:val="en-US"/>
        </w:rPr>
        <w:t>1)</w:t>
      </w:r>
      <w:r w:rsidR="0039004A" w:rsidRPr="000F4E85">
        <w:rPr>
          <w:rFonts w:ascii="Arial" w:hAnsi="Arial" w:cs="Arial"/>
          <w:lang w:val="en-US"/>
        </w:rPr>
        <w:t xml:space="preserve"> </w:t>
      </w:r>
      <w:r w:rsidR="0039004A">
        <w:rPr>
          <w:rFonts w:ascii="Arial" w:hAnsi="Arial" w:cs="Arial"/>
          <w:lang w:val="en-US"/>
        </w:rPr>
        <w:t xml:space="preserve">the </w:t>
      </w:r>
      <w:r w:rsidR="0039004A" w:rsidRPr="000F4E85">
        <w:rPr>
          <w:rFonts w:ascii="Arial" w:hAnsi="Arial" w:cs="Arial"/>
          <w:lang w:val="en-US"/>
        </w:rPr>
        <w:t>symptomatic</w:t>
      </w:r>
      <w:r w:rsidR="009E6A7E">
        <w:rPr>
          <w:rFonts w:ascii="Arial" w:hAnsi="Arial" w:cs="Arial"/>
          <w:lang w:val="en-US"/>
        </w:rPr>
        <w:t>-</w:t>
      </w:r>
      <w:r w:rsidR="0039004A" w:rsidRPr="000F4E85">
        <w:rPr>
          <w:rFonts w:ascii="Arial" w:hAnsi="Arial" w:cs="Arial"/>
          <w:lang w:val="en-US"/>
        </w:rPr>
        <w:t>treated</w:t>
      </w:r>
      <w:r w:rsidR="0039004A">
        <w:rPr>
          <w:rFonts w:ascii="Arial" w:hAnsi="Arial" w:cs="Arial"/>
          <w:lang w:val="en-US"/>
        </w:rPr>
        <w:t xml:space="preserve"> group of</w:t>
      </w:r>
      <w:r w:rsidR="0039004A" w:rsidRPr="000F4E85">
        <w:rPr>
          <w:rFonts w:ascii="Arial" w:hAnsi="Arial" w:cs="Arial"/>
          <w:lang w:val="en-US"/>
        </w:rPr>
        <w:t xml:space="preserve"> </w:t>
      </w:r>
      <w:r w:rsidR="00D13669" w:rsidRPr="000F4E85">
        <w:rPr>
          <w:rFonts w:ascii="Arial" w:hAnsi="Arial" w:cs="Arial"/>
          <w:lang w:val="en-US"/>
        </w:rPr>
        <w:t>SMA patients identified by their symptoms</w:t>
      </w:r>
      <w:r w:rsidR="0039004A">
        <w:rPr>
          <w:rFonts w:ascii="Arial" w:hAnsi="Arial" w:cs="Arial"/>
          <w:lang w:val="en-US"/>
        </w:rPr>
        <w:t xml:space="preserve"> who began to be treated</w:t>
      </w:r>
      <w:r w:rsidR="00D13669" w:rsidRPr="000F4E85">
        <w:rPr>
          <w:rFonts w:ascii="Arial" w:hAnsi="Arial" w:cs="Arial"/>
          <w:lang w:val="en-US"/>
        </w:rPr>
        <w:t xml:space="preserve"> after 2.5 months </w:t>
      </w:r>
      <w:r w:rsidR="0039004A">
        <w:rPr>
          <w:rFonts w:ascii="Arial" w:hAnsi="Arial" w:cs="Arial"/>
          <w:lang w:val="en-US"/>
        </w:rPr>
        <w:t>(</w:t>
      </w:r>
      <w:r w:rsidR="00D13669" w:rsidRPr="000F4E85">
        <w:rPr>
          <w:rFonts w:ascii="Arial" w:hAnsi="Arial" w:cs="Arial"/>
          <w:lang w:val="en-US"/>
        </w:rPr>
        <w:t>n=43)</w:t>
      </w:r>
      <w:r w:rsidR="0039004A">
        <w:rPr>
          <w:rFonts w:ascii="Arial" w:hAnsi="Arial" w:cs="Arial"/>
          <w:lang w:val="en-US"/>
        </w:rPr>
        <w:t xml:space="preserve"> and</w:t>
      </w:r>
      <w:r w:rsidR="00D13669">
        <w:rPr>
          <w:rFonts w:ascii="Arial" w:hAnsi="Arial" w:cs="Arial"/>
          <w:lang w:val="en-US"/>
        </w:rPr>
        <w:t xml:space="preserve"> (</w:t>
      </w:r>
      <w:r w:rsidR="00D13669" w:rsidRPr="000F4E85">
        <w:rPr>
          <w:rFonts w:ascii="Arial" w:hAnsi="Arial" w:cs="Arial"/>
          <w:lang w:val="en-US"/>
        </w:rPr>
        <w:t xml:space="preserve">2) </w:t>
      </w:r>
      <w:r w:rsidR="00A60E0C">
        <w:rPr>
          <w:rFonts w:ascii="Arial" w:hAnsi="Arial" w:cs="Arial"/>
          <w:lang w:val="en-US"/>
        </w:rPr>
        <w:t xml:space="preserve">the </w:t>
      </w:r>
      <w:r w:rsidR="0039004A">
        <w:rPr>
          <w:rFonts w:ascii="Arial" w:hAnsi="Arial" w:cs="Arial"/>
          <w:lang w:val="en-US"/>
        </w:rPr>
        <w:t>NIS</w:t>
      </w:r>
      <w:r w:rsidR="00A60E0C">
        <w:rPr>
          <w:rFonts w:ascii="Arial" w:hAnsi="Arial" w:cs="Arial"/>
          <w:lang w:val="en-US"/>
        </w:rPr>
        <w:t xml:space="preserve"> group of </w:t>
      </w:r>
      <w:r w:rsidR="00D13669" w:rsidRPr="000F4E85">
        <w:rPr>
          <w:rFonts w:ascii="Arial" w:hAnsi="Arial" w:cs="Arial"/>
          <w:lang w:val="en-US"/>
        </w:rPr>
        <w:t>SMA patients identified by NBS</w:t>
      </w:r>
      <w:r w:rsidR="00A60E0C">
        <w:rPr>
          <w:rFonts w:ascii="Arial" w:hAnsi="Arial" w:cs="Arial"/>
          <w:lang w:val="en-US"/>
        </w:rPr>
        <w:t xml:space="preserve"> who were</w:t>
      </w:r>
      <w:r w:rsidR="00D13669" w:rsidRPr="000F4E85">
        <w:rPr>
          <w:rFonts w:ascii="Arial" w:hAnsi="Arial" w:cs="Arial"/>
          <w:lang w:val="en-US"/>
        </w:rPr>
        <w:t xml:space="preserve"> treated </w:t>
      </w:r>
      <w:r w:rsidR="00A60E0C">
        <w:rPr>
          <w:rFonts w:ascii="Arial" w:hAnsi="Arial" w:cs="Arial"/>
          <w:lang w:val="en-US"/>
        </w:rPr>
        <w:t xml:space="preserve">before the age of </w:t>
      </w:r>
      <w:r w:rsidR="00E304DD">
        <w:rPr>
          <w:rFonts w:ascii="Arial" w:hAnsi="Arial" w:cs="Arial"/>
          <w:lang w:val="en-US"/>
        </w:rPr>
        <w:t>2</w:t>
      </w:r>
      <w:r w:rsidR="00A60E0C">
        <w:rPr>
          <w:rFonts w:ascii="Arial" w:hAnsi="Arial" w:cs="Arial"/>
          <w:lang w:val="en-US"/>
        </w:rPr>
        <w:t xml:space="preserve"> months </w:t>
      </w:r>
      <w:r w:rsidR="00D13669" w:rsidRPr="000F4E85">
        <w:rPr>
          <w:rFonts w:ascii="Arial" w:hAnsi="Arial" w:cs="Arial"/>
          <w:lang w:val="en-US"/>
        </w:rPr>
        <w:t>(n=12)</w:t>
      </w:r>
      <w:r w:rsidR="002A3337">
        <w:rPr>
          <w:rFonts w:ascii="Arial" w:hAnsi="Arial" w:cs="Arial"/>
          <w:lang w:val="en-US"/>
        </w:rPr>
        <w:t>.</w:t>
      </w:r>
      <w:r w:rsidR="00D13669" w:rsidRPr="000F4E85">
        <w:rPr>
          <w:rFonts w:ascii="Arial" w:hAnsi="Arial" w:cs="Arial"/>
          <w:lang w:val="en-US"/>
        </w:rPr>
        <w:t xml:space="preserve"> </w:t>
      </w:r>
      <w:r w:rsidR="002A3337">
        <w:rPr>
          <w:rFonts w:ascii="Arial" w:hAnsi="Arial" w:cs="Arial"/>
          <w:lang w:val="en-US"/>
        </w:rPr>
        <w:t xml:space="preserve">Only </w:t>
      </w:r>
      <w:r w:rsidR="00D13669" w:rsidRPr="000F4E85">
        <w:rPr>
          <w:rFonts w:ascii="Arial" w:hAnsi="Arial" w:cs="Arial"/>
          <w:lang w:val="en-US"/>
        </w:rPr>
        <w:t>patients</w:t>
      </w:r>
      <w:r w:rsidR="002A3337">
        <w:rPr>
          <w:rFonts w:ascii="Arial" w:hAnsi="Arial" w:cs="Arial"/>
          <w:lang w:val="en-US"/>
        </w:rPr>
        <w:t xml:space="preserve"> aged more than</w:t>
      </w:r>
      <w:r w:rsidR="00D13669" w:rsidRPr="000F4E85">
        <w:rPr>
          <w:rFonts w:ascii="Arial" w:hAnsi="Arial" w:cs="Arial"/>
          <w:lang w:val="en-US"/>
        </w:rPr>
        <w:t xml:space="preserve"> 18 months</w:t>
      </w:r>
      <w:r w:rsidR="002A3337">
        <w:rPr>
          <w:rFonts w:ascii="Arial" w:hAnsi="Arial" w:cs="Arial"/>
          <w:lang w:val="en-US"/>
        </w:rPr>
        <w:t xml:space="preserve"> were included</w:t>
      </w:r>
      <w:r w:rsidR="00D13669" w:rsidRPr="000F4E85">
        <w:rPr>
          <w:rFonts w:ascii="Arial" w:hAnsi="Arial" w:cs="Arial"/>
          <w:lang w:val="en-US"/>
        </w:rPr>
        <w:t xml:space="preserve"> in order to </w:t>
      </w:r>
      <w:r w:rsidR="002A3337">
        <w:rPr>
          <w:rFonts w:ascii="Arial" w:hAnsi="Arial" w:cs="Arial"/>
          <w:lang w:val="en-US"/>
        </w:rPr>
        <w:t>have a sufficient understanding o</w:t>
      </w:r>
      <w:r w:rsidR="00A60E0C">
        <w:rPr>
          <w:rFonts w:ascii="Arial" w:hAnsi="Arial" w:cs="Arial"/>
          <w:lang w:val="en-US"/>
        </w:rPr>
        <w:t>f</w:t>
      </w:r>
      <w:r w:rsidR="002A3337">
        <w:rPr>
          <w:rFonts w:ascii="Arial" w:hAnsi="Arial" w:cs="Arial"/>
          <w:lang w:val="en-US"/>
        </w:rPr>
        <w:t xml:space="preserve"> </w:t>
      </w:r>
      <w:r w:rsidR="00D13669" w:rsidRPr="000F4E85">
        <w:rPr>
          <w:rFonts w:ascii="Arial" w:hAnsi="Arial" w:cs="Arial"/>
          <w:lang w:val="en-US"/>
        </w:rPr>
        <w:t xml:space="preserve">maximum motor level </w:t>
      </w:r>
      <w:r w:rsidR="002A3337">
        <w:rPr>
          <w:rFonts w:ascii="Arial" w:hAnsi="Arial" w:cs="Arial"/>
          <w:lang w:val="en-US"/>
        </w:rPr>
        <w:t>acquired</w:t>
      </w:r>
      <w:r w:rsidR="00D13669" w:rsidRPr="000F4E85">
        <w:rPr>
          <w:rFonts w:ascii="Arial" w:hAnsi="Arial" w:cs="Arial"/>
          <w:lang w:val="en-US"/>
        </w:rPr>
        <w:t>.</w:t>
      </w:r>
      <w:r w:rsidR="00D13669">
        <w:rPr>
          <w:rFonts w:ascii="Arial" w:hAnsi="Arial" w:cs="Arial"/>
          <w:lang w:val="en-US"/>
        </w:rPr>
        <w:t xml:space="preserve"> </w:t>
      </w:r>
      <w:r w:rsidR="00E30FA8" w:rsidRPr="00D13669">
        <w:rPr>
          <w:rFonts w:ascii="Arial" w:hAnsi="Arial" w:cs="Arial"/>
          <w:lang w:val="en-US"/>
        </w:rPr>
        <w:t>None of the patients were on permanent ventilation.</w:t>
      </w:r>
      <w:r w:rsidR="00A60E0C">
        <w:rPr>
          <w:rFonts w:ascii="Arial" w:hAnsi="Arial" w:cs="Arial"/>
          <w:lang w:val="en-US"/>
        </w:rPr>
        <w:t xml:space="preserve"> Individual p</w:t>
      </w:r>
      <w:r w:rsidR="00AB3415">
        <w:rPr>
          <w:rFonts w:ascii="Arial" w:hAnsi="Arial" w:cs="Arial"/>
          <w:lang w:val="en-US"/>
        </w:rPr>
        <w:t xml:space="preserve">atient </w:t>
      </w:r>
      <w:r w:rsidR="00A60E0C">
        <w:rPr>
          <w:rFonts w:ascii="Arial" w:hAnsi="Arial" w:cs="Arial"/>
          <w:lang w:val="en-US"/>
        </w:rPr>
        <w:t>characteristics are given</w:t>
      </w:r>
      <w:r w:rsidR="00AB3415">
        <w:rPr>
          <w:rFonts w:ascii="Arial" w:hAnsi="Arial" w:cs="Arial"/>
          <w:lang w:val="en-US"/>
        </w:rPr>
        <w:t xml:space="preserve"> in </w:t>
      </w:r>
      <w:r w:rsidR="00722CD9">
        <w:rPr>
          <w:rFonts w:ascii="Arial" w:hAnsi="Arial" w:cs="Arial"/>
          <w:lang w:val="en-US"/>
        </w:rPr>
        <w:t>supplementary file</w:t>
      </w:r>
      <w:r w:rsidR="008809F8">
        <w:rPr>
          <w:rFonts w:ascii="Arial" w:hAnsi="Arial" w:cs="Arial"/>
          <w:lang w:val="en-US"/>
        </w:rPr>
        <w:t xml:space="preserve"> </w:t>
      </w:r>
      <w:r w:rsidR="00AB3415">
        <w:rPr>
          <w:rFonts w:ascii="Arial" w:hAnsi="Arial" w:cs="Arial"/>
          <w:lang w:val="en-US"/>
        </w:rPr>
        <w:t>1.</w:t>
      </w:r>
    </w:p>
    <w:p w14:paraId="56FFCEA5" w14:textId="77777777" w:rsidR="00A60E0C" w:rsidRDefault="00A60E0C" w:rsidP="00E304DD">
      <w:pPr>
        <w:pStyle w:val="NormalWeb"/>
        <w:spacing w:before="0" w:beforeAutospacing="0" w:after="0" w:afterAutospacing="0"/>
        <w:jc w:val="both"/>
        <w:rPr>
          <w:rFonts w:ascii="Arial" w:hAnsi="Arial" w:cs="Arial"/>
          <w:lang w:val="en-US"/>
        </w:rPr>
      </w:pPr>
    </w:p>
    <w:p w14:paraId="4F2DC6F3" w14:textId="4A02CF28" w:rsidR="00C36ABB" w:rsidRPr="00E33E91" w:rsidRDefault="00E33E91" w:rsidP="00E33E91">
      <w:pPr>
        <w:pStyle w:val="Titre4"/>
        <w:rPr>
          <w:lang w:val="en-US"/>
        </w:rPr>
      </w:pPr>
      <w:r>
        <w:rPr>
          <w:lang w:val="en-US"/>
        </w:rPr>
        <w:t>Data collection</w:t>
      </w:r>
    </w:p>
    <w:p w14:paraId="04EAEF84" w14:textId="5CBCE693" w:rsidR="0067226B" w:rsidRPr="003627F8" w:rsidRDefault="00E33E91" w:rsidP="003627F8">
      <w:pPr>
        <w:pStyle w:val="NormalWeb"/>
        <w:spacing w:before="40" w:beforeAutospacing="0" w:after="0" w:afterAutospacing="0"/>
        <w:jc w:val="both"/>
        <w:rPr>
          <w:rFonts w:ascii="Arial" w:hAnsi="Arial" w:cs="Arial"/>
          <w:lang w:val="en-US"/>
        </w:rPr>
      </w:pPr>
      <w:r w:rsidRPr="00E33E91">
        <w:rPr>
          <w:rFonts w:ascii="Arial" w:hAnsi="Arial" w:cs="Arial"/>
          <w:lang w:val="en-US"/>
        </w:rPr>
        <w:t>Patients or their caregivers completed a questionnaire that included sociodemographic (age, occupation) and medical questions (motor assessment</w:t>
      </w:r>
      <w:r w:rsidR="002311E0">
        <w:rPr>
          <w:rFonts w:ascii="Arial" w:hAnsi="Arial" w:cs="Arial"/>
          <w:lang w:val="en-US"/>
        </w:rPr>
        <w:t>,</w:t>
      </w:r>
      <w:r w:rsidRPr="00E33E91">
        <w:rPr>
          <w:rFonts w:ascii="Arial" w:hAnsi="Arial" w:cs="Arial"/>
          <w:lang w:val="en-US"/>
        </w:rPr>
        <w:t xml:space="preserve"> age at symptom onset, diagnosis, and treatment initiation</w:t>
      </w:r>
      <w:r w:rsidR="002311E0">
        <w:rPr>
          <w:rFonts w:ascii="Arial" w:hAnsi="Arial" w:cs="Arial"/>
          <w:lang w:val="en-US"/>
        </w:rPr>
        <w:t xml:space="preserve"> and type</w:t>
      </w:r>
      <w:r w:rsidRPr="00E33E91">
        <w:rPr>
          <w:rFonts w:ascii="Arial" w:hAnsi="Arial" w:cs="Arial"/>
          <w:lang w:val="en-US"/>
        </w:rPr>
        <w:t>).</w:t>
      </w:r>
      <w:r w:rsidR="002311E0">
        <w:rPr>
          <w:rFonts w:ascii="Arial" w:hAnsi="Arial" w:cs="Arial"/>
          <w:lang w:val="en-US"/>
        </w:rPr>
        <w:t xml:space="preserve"> </w:t>
      </w:r>
      <w:r w:rsidRPr="00E33E91">
        <w:rPr>
          <w:rFonts w:ascii="Arial" w:hAnsi="Arial" w:cs="Arial"/>
          <w:lang w:val="en-US"/>
        </w:rPr>
        <w:t>Financial costs were collected from responses to a cost questionnaire containing questions about direct medical and non-medical costs and indirect costs over the past year.</w:t>
      </w:r>
    </w:p>
    <w:p w14:paraId="1B66EF3B" w14:textId="5C8C5A2A" w:rsidR="00C36ABB" w:rsidRPr="00105B23" w:rsidRDefault="00C36ABB" w:rsidP="00E30FA8">
      <w:pPr>
        <w:rPr>
          <w:i/>
          <w:iCs/>
          <w:lang w:val="en-US"/>
        </w:rPr>
      </w:pPr>
    </w:p>
    <w:p w14:paraId="1DAD5396" w14:textId="1B40BC1F" w:rsidR="00912D86" w:rsidRDefault="00A60E0C" w:rsidP="00912D86">
      <w:pPr>
        <w:pStyle w:val="Titre3"/>
        <w:rPr>
          <w:lang w:val="en-US"/>
        </w:rPr>
      </w:pPr>
      <w:r>
        <w:rPr>
          <w:lang w:val="en-US"/>
        </w:rPr>
        <w:t xml:space="preserve">Utility </w:t>
      </w:r>
      <w:r w:rsidR="00912D86">
        <w:rPr>
          <w:lang w:val="en-US"/>
        </w:rPr>
        <w:t>values</w:t>
      </w:r>
      <w:r w:rsidR="00C81833">
        <w:rPr>
          <w:lang w:val="en-US"/>
        </w:rPr>
        <w:t xml:space="preserve"> and cost</w:t>
      </w:r>
      <w:r w:rsidR="009B0AF4">
        <w:rPr>
          <w:lang w:val="en-US"/>
        </w:rPr>
        <w:t xml:space="preserve"> data</w:t>
      </w:r>
    </w:p>
    <w:p w14:paraId="63BE2DF8" w14:textId="68CFEEC6" w:rsidR="00343900" w:rsidRPr="004C69FC" w:rsidRDefault="00107C47" w:rsidP="00E304DD">
      <w:pPr>
        <w:spacing w:before="40"/>
        <w:jc w:val="both"/>
        <w:rPr>
          <w:lang w:val="en-US"/>
        </w:rPr>
      </w:pPr>
      <w:r>
        <w:rPr>
          <w:lang w:val="en-US"/>
        </w:rPr>
        <w:t xml:space="preserve">Utilities were derived from </w:t>
      </w:r>
      <w:r w:rsidR="00E30FA8" w:rsidRPr="00E30FA8">
        <w:rPr>
          <w:lang w:val="en-US"/>
        </w:rPr>
        <w:t xml:space="preserve">Health Utilities Index </w:t>
      </w:r>
      <w:r w:rsidR="00E30FA8">
        <w:rPr>
          <w:lang w:val="en-US"/>
        </w:rPr>
        <w:t>2</w:t>
      </w:r>
      <w:r>
        <w:rPr>
          <w:lang w:val="en-US"/>
        </w:rPr>
        <w:t xml:space="preserve">. </w:t>
      </w:r>
      <w:r w:rsidR="008271B4" w:rsidRPr="008271B4">
        <w:rPr>
          <w:lang w:val="en-US"/>
        </w:rPr>
        <w:t xml:space="preserve">Utility decreases with age, and this </w:t>
      </w:r>
      <w:r w:rsidR="00A60E0C">
        <w:rPr>
          <w:lang w:val="en-US"/>
        </w:rPr>
        <w:t>was</w:t>
      </w:r>
      <w:r w:rsidR="008271B4" w:rsidRPr="008271B4">
        <w:rPr>
          <w:lang w:val="en-US"/>
        </w:rPr>
        <w:t xml:space="preserve"> </w:t>
      </w:r>
      <w:proofErr w:type="gramStart"/>
      <w:r w:rsidR="008271B4" w:rsidRPr="008271B4">
        <w:rPr>
          <w:lang w:val="en-US"/>
        </w:rPr>
        <w:t>taken into account</w:t>
      </w:r>
      <w:proofErr w:type="gramEnd"/>
      <w:r w:rsidR="008271B4" w:rsidRPr="008271B4">
        <w:rPr>
          <w:lang w:val="en-US"/>
        </w:rPr>
        <w:t xml:space="preserve">. </w:t>
      </w:r>
      <w:r>
        <w:rPr>
          <w:lang w:val="en-US"/>
        </w:rPr>
        <w:t>Utilit</w:t>
      </w:r>
      <w:r w:rsidR="00A60E0C">
        <w:rPr>
          <w:lang w:val="en-US"/>
        </w:rPr>
        <w:t>y</w:t>
      </w:r>
      <w:r>
        <w:rPr>
          <w:lang w:val="en-US"/>
        </w:rPr>
        <w:t xml:space="preserve"> values were</w:t>
      </w:r>
      <w:r w:rsidR="00913F66">
        <w:rPr>
          <w:lang w:val="en-US"/>
        </w:rPr>
        <w:t xml:space="preserve"> </w:t>
      </w:r>
      <w:r w:rsidR="009B0AF4">
        <w:rPr>
          <w:lang w:val="en-US"/>
        </w:rPr>
        <w:t xml:space="preserve">estimated </w:t>
      </w:r>
      <w:r w:rsidR="00913F66">
        <w:rPr>
          <w:lang w:val="en-US"/>
        </w:rPr>
        <w:t>at</w:t>
      </w:r>
      <w:r>
        <w:rPr>
          <w:lang w:val="en-US"/>
        </w:rPr>
        <w:t xml:space="preserve"> </w:t>
      </w:r>
      <w:r w:rsidR="00E30FA8">
        <w:rPr>
          <w:lang w:val="en-US"/>
        </w:rPr>
        <w:t>0.32</w:t>
      </w:r>
      <w:r>
        <w:rPr>
          <w:lang w:val="en-US"/>
        </w:rPr>
        <w:t xml:space="preserve">, </w:t>
      </w:r>
      <w:r w:rsidR="00E30FA8">
        <w:rPr>
          <w:lang w:val="en-US"/>
        </w:rPr>
        <w:t>0.51</w:t>
      </w:r>
      <w:r w:rsidR="00A60E0C">
        <w:rPr>
          <w:lang w:val="en-US"/>
        </w:rPr>
        <w:t>,</w:t>
      </w:r>
      <w:r>
        <w:rPr>
          <w:lang w:val="en-US"/>
        </w:rPr>
        <w:t xml:space="preserve"> and </w:t>
      </w:r>
      <w:r w:rsidR="00E30FA8">
        <w:rPr>
          <w:lang w:val="en-US"/>
        </w:rPr>
        <w:t>0.78</w:t>
      </w:r>
      <w:r>
        <w:rPr>
          <w:lang w:val="en-US"/>
        </w:rPr>
        <w:t xml:space="preserve"> for</w:t>
      </w:r>
      <w:r w:rsidR="00A60E0C" w:rsidRPr="00A60E0C">
        <w:rPr>
          <w:lang w:val="en-US"/>
        </w:rPr>
        <w:t xml:space="preserve"> </w:t>
      </w:r>
      <w:r w:rsidR="00A60E0C" w:rsidRPr="000F4E85">
        <w:rPr>
          <w:lang w:val="en-US"/>
        </w:rPr>
        <w:t>symptomatic</w:t>
      </w:r>
      <w:r w:rsidR="009E6A7E">
        <w:rPr>
          <w:lang w:val="en-US"/>
        </w:rPr>
        <w:t>-</w:t>
      </w:r>
      <w:r w:rsidR="00A60E0C" w:rsidRPr="000F4E85">
        <w:rPr>
          <w:lang w:val="en-US"/>
        </w:rPr>
        <w:t>treated</w:t>
      </w:r>
      <w:r>
        <w:rPr>
          <w:lang w:val="en-US"/>
        </w:rPr>
        <w:t xml:space="preserve"> </w:t>
      </w:r>
      <w:r w:rsidR="00A60E0C">
        <w:rPr>
          <w:lang w:val="en-US"/>
        </w:rPr>
        <w:t>non-sitters, sitters, and walkers, respectively</w:t>
      </w:r>
      <w:r w:rsidR="00E30FA8">
        <w:rPr>
          <w:lang w:val="en-US"/>
        </w:rPr>
        <w:t xml:space="preserve">; and </w:t>
      </w:r>
      <w:r w:rsidR="00A60E0C">
        <w:rPr>
          <w:lang w:val="en-US"/>
        </w:rPr>
        <w:t xml:space="preserve">the utility value for NIS patients was </w:t>
      </w:r>
      <w:r w:rsidR="0086548B">
        <w:rPr>
          <w:lang w:val="en-US"/>
        </w:rPr>
        <w:t>0.96</w:t>
      </w:r>
      <w:r w:rsidR="0001465E">
        <w:rPr>
          <w:lang w:val="en-US"/>
        </w:rPr>
        <w:t xml:space="preserve"> </w:t>
      </w:r>
      <w:r w:rsidR="0001465E">
        <w:rPr>
          <w:lang w:val="en-US"/>
        </w:rPr>
        <w:fldChar w:fldCharType="begin" w:fldLock="1"/>
      </w:r>
      <w:r w:rsidR="001336C2">
        <w:rPr>
          <w:lang w:val="en-US"/>
        </w:rPr>
        <w:instrText>ADDIN CSL_CITATION {"citationItems":[{"id":"ITEM-1","itemData":{"DOI":"10.1111/dmcn.15286","ISSN":"1469-8749 (Electronic)","PMID":"35673937","abstract":"AIM: To compare the societal financial costs and quality of life (QoL) of  untreated patients with spinal muscular atrophy (SMA) and treated patients identified because they presented symptoms or were identified by early testing (sibling or newborn screening). METHOD: Data from two different sources were used: data collected prospectively in untreated patients from 2016 to 2018 and data collected during a prospective follow-up study from 2018 to 2021. Patients or their caregiver completed a questionnaire that included questions on direct medical and non-medical costs, indirect non-medical costs, and health-related QoL. RESULTS: Data (median; range) were available for 149 patients (93 untreated - 10 years; 2 years-59 years), 42 patients (6 years 3 months; 9 months-58 years) treated after presenting with symptoms, and 14 patients (1 year 7 months; 5 months-2 years) treated after early diagnosis. Total costs were lower in untreated patients due to the high cost of drugs used in treated patients. Costs were lower for treated patients who were identified by early testing than for treated patients identified because they presented with symptoms. In all groups, patients with two SMN2 copies had higher costs than those with more copies. INTERPRETATION: Early patient identification and treatment offer the opportunity to reduce the total societal costs of SMA where treatments are available for presymptomatic and postsymptomatic patients. WHAT THIS PAPER ADDS: Untreated patients with spinal muscular atrophy had lower total financial costs than treated patients. Total financial costs were lower for treated patients identified by early screening than for treated patients identified after symptom onset. Direct financial costs excluding treatment were much lower in treated patients identified by early screening. Hospitalization costs were much lower in patients identified by early screening.","author":[{"dropping-particle":"","family":"Dangouloff","given":"Tamara","non-dropping-particle":"","parse-names":false,"suffix":""},{"dropping-particle":"","family":"Hiligsmann","given":"Mickael","non-dropping-particle":"","parse-names":false,"suffix":""},{"dropping-particle":"","family":"Deconinck","given":"Nicolas","non-dropping-particle":"","parse-names":false,"suffix":""},{"dropping-particle":"","family":"D'Amico","given":"Adèle","non-dropping-particle":"","parse-names":false,"suffix":""},{"dropping-particle":"","family":"Seferian","given":"Andreea M","non-dropping-particle":"","parse-names":false,"suffix":""},{"dropping-particle":"","family":"Boemer","given":"François","non-dropping-particle":"","parse-names":false,"suffix":""},{"dropping-particle":"","family":"Servais","given":"Laurent","non-dropping-particle":"","parse-names":false,"suffix":""}],"container-title":"Developmental medicine and child neurology","id":"ITEM-1","issue":"1","issued":{"date-parts":[["2023","1"]]},"language":"eng","page":"67-77","publisher-place":"England","title":"Financial cost and quality of life of patients with spinal muscular atrophy  identified by symptoms or newborn screening.","type":"article-journal","volume":"65"},"uris":["http://www.mendeley.com/documents/?uuid=e0e87adc-2418-40ce-abd8-c166501c5fed"]}],"mendeley":{"formattedCitation":"&lt;sup&gt;24&lt;/sup&gt;","plainTextFormattedCitation":"24","previouslyFormattedCitation":"&lt;sup&gt;24&lt;/sup&gt;"},"properties":{"noteIndex":0},"schema":"https://github.com/citation-style-language/schema/raw/master/csl-citation.json"}</w:instrText>
      </w:r>
      <w:r w:rsidR="0001465E">
        <w:rPr>
          <w:lang w:val="en-US"/>
        </w:rPr>
        <w:fldChar w:fldCharType="separate"/>
      </w:r>
      <w:r w:rsidR="009B0AF4" w:rsidRPr="009B0AF4">
        <w:rPr>
          <w:noProof/>
          <w:vertAlign w:val="superscript"/>
          <w:lang w:val="en-US"/>
        </w:rPr>
        <w:t>24</w:t>
      </w:r>
      <w:r w:rsidR="0001465E">
        <w:rPr>
          <w:lang w:val="en-US"/>
        </w:rPr>
        <w:fldChar w:fldCharType="end"/>
      </w:r>
      <w:r w:rsidR="00D13669">
        <w:rPr>
          <w:lang w:val="en-US"/>
        </w:rPr>
        <w:t>.</w:t>
      </w:r>
      <w:r w:rsidR="005E2C47">
        <w:rPr>
          <w:lang w:val="en-US"/>
        </w:rPr>
        <w:t xml:space="preserve"> </w:t>
      </w:r>
      <w:r w:rsidR="00A60E0C">
        <w:rPr>
          <w:lang w:val="en-US"/>
        </w:rPr>
        <w:t>C</w:t>
      </w:r>
      <w:r w:rsidR="005E2C47" w:rsidRPr="005E2C47">
        <w:rPr>
          <w:lang w:val="en-US"/>
        </w:rPr>
        <w:t>ost</w:t>
      </w:r>
      <w:r w:rsidR="005E2C47">
        <w:rPr>
          <w:lang w:val="en-US"/>
        </w:rPr>
        <w:t>s</w:t>
      </w:r>
      <w:r w:rsidR="005E2C47" w:rsidRPr="005E2C47">
        <w:rPr>
          <w:lang w:val="en-US"/>
        </w:rPr>
        <w:t xml:space="preserve"> and utility</w:t>
      </w:r>
      <w:r w:rsidR="00A60E0C">
        <w:rPr>
          <w:lang w:val="en-US"/>
        </w:rPr>
        <w:t xml:space="preserve"> values</w:t>
      </w:r>
      <w:r w:rsidR="005E2C47" w:rsidRPr="005E2C47">
        <w:rPr>
          <w:lang w:val="en-US"/>
        </w:rPr>
        <w:t xml:space="preserve"> of NIS patients and </w:t>
      </w:r>
      <w:r w:rsidR="00A60E0C" w:rsidRPr="000F4E85">
        <w:rPr>
          <w:lang w:val="en-US"/>
        </w:rPr>
        <w:t>symptomatic</w:t>
      </w:r>
      <w:r w:rsidR="009E6A7E">
        <w:rPr>
          <w:lang w:val="en-US"/>
        </w:rPr>
        <w:t>-</w:t>
      </w:r>
      <w:r w:rsidR="00A60E0C" w:rsidRPr="000F4E85">
        <w:rPr>
          <w:lang w:val="en-US"/>
        </w:rPr>
        <w:t>treated</w:t>
      </w:r>
      <w:r w:rsidR="00A60E0C">
        <w:rPr>
          <w:lang w:val="en-US"/>
        </w:rPr>
        <w:t xml:space="preserve"> </w:t>
      </w:r>
      <w:r w:rsidR="005E2C47" w:rsidRPr="005E2C47">
        <w:rPr>
          <w:lang w:val="en-US"/>
        </w:rPr>
        <w:t>walkers</w:t>
      </w:r>
      <w:r w:rsidR="00A60E0C">
        <w:rPr>
          <w:lang w:val="en-US"/>
        </w:rPr>
        <w:t xml:space="preserve"> differed</w:t>
      </w:r>
      <w:r w:rsidR="005E2C47" w:rsidRPr="005E2C47">
        <w:rPr>
          <w:lang w:val="en-US"/>
        </w:rPr>
        <w:t xml:space="preserve">, as the latter have reduced </w:t>
      </w:r>
      <w:r w:rsidR="00A60E0C">
        <w:rPr>
          <w:lang w:val="en-US"/>
        </w:rPr>
        <w:t>wal</w:t>
      </w:r>
      <w:r w:rsidR="00FD3048">
        <w:rPr>
          <w:lang w:val="en-US"/>
        </w:rPr>
        <w:t>k</w:t>
      </w:r>
      <w:r w:rsidR="00A60E0C">
        <w:rPr>
          <w:lang w:val="en-US"/>
        </w:rPr>
        <w:t xml:space="preserve">ing </w:t>
      </w:r>
      <w:r w:rsidR="005E2C47" w:rsidRPr="005E2C47">
        <w:rPr>
          <w:lang w:val="en-US"/>
        </w:rPr>
        <w:t xml:space="preserve">perimeter </w:t>
      </w:r>
      <w:r w:rsidR="005E2C47">
        <w:rPr>
          <w:lang w:val="en-US"/>
        </w:rPr>
        <w:t xml:space="preserve">and </w:t>
      </w:r>
      <w:r w:rsidR="005E2C47" w:rsidRPr="005E2C47">
        <w:rPr>
          <w:lang w:val="en-US"/>
        </w:rPr>
        <w:t xml:space="preserve">difficulty in climbing stairs. </w:t>
      </w:r>
      <w:r w:rsidR="00A60E0C">
        <w:rPr>
          <w:lang w:val="en-US"/>
        </w:rPr>
        <w:t>Difficulties walking</w:t>
      </w:r>
      <w:r w:rsidR="005E2C47" w:rsidRPr="005E2C47">
        <w:rPr>
          <w:lang w:val="en-US"/>
        </w:rPr>
        <w:t xml:space="preserve"> </w:t>
      </w:r>
      <w:r w:rsidR="00A60E0C" w:rsidRPr="005E2C47">
        <w:rPr>
          <w:lang w:val="en-US"/>
        </w:rPr>
        <w:t>ha</w:t>
      </w:r>
      <w:r w:rsidR="00A60E0C">
        <w:rPr>
          <w:lang w:val="en-US"/>
        </w:rPr>
        <w:t>ve</w:t>
      </w:r>
      <w:r w:rsidR="00A60E0C" w:rsidRPr="005E2C47">
        <w:rPr>
          <w:lang w:val="en-US"/>
        </w:rPr>
        <w:t xml:space="preserve"> </w:t>
      </w:r>
      <w:r w:rsidR="005E2C47" w:rsidRPr="005E2C47">
        <w:rPr>
          <w:lang w:val="en-US"/>
        </w:rPr>
        <w:t xml:space="preserve">a strong impact on </w:t>
      </w:r>
      <w:r w:rsidR="005E2C47">
        <w:rPr>
          <w:lang w:val="en-US"/>
        </w:rPr>
        <w:t>utilit</w:t>
      </w:r>
      <w:r w:rsidR="00A60E0C">
        <w:rPr>
          <w:lang w:val="en-US"/>
        </w:rPr>
        <w:t>y values</w:t>
      </w:r>
      <w:r w:rsidR="005E2C47">
        <w:rPr>
          <w:lang w:val="en-US"/>
        </w:rPr>
        <w:t xml:space="preserve"> and costs partly due to additional</w:t>
      </w:r>
      <w:r w:rsidR="005E2C47" w:rsidRPr="005E2C47">
        <w:rPr>
          <w:lang w:val="en-US"/>
        </w:rPr>
        <w:t xml:space="preserve"> </w:t>
      </w:r>
      <w:r w:rsidR="00A60E0C">
        <w:rPr>
          <w:lang w:val="en-US"/>
        </w:rPr>
        <w:t>needs</w:t>
      </w:r>
      <w:r w:rsidR="005E2C47" w:rsidRPr="005E2C47">
        <w:rPr>
          <w:lang w:val="en-US"/>
        </w:rPr>
        <w:t xml:space="preserve"> (</w:t>
      </w:r>
      <w:r w:rsidR="00A60E0C">
        <w:rPr>
          <w:lang w:val="en-US"/>
        </w:rPr>
        <w:t>such as</w:t>
      </w:r>
      <w:r w:rsidR="005E2C47" w:rsidRPr="005E2C47">
        <w:rPr>
          <w:lang w:val="en-US"/>
        </w:rPr>
        <w:t xml:space="preserve"> physiotherapy). </w:t>
      </w:r>
      <w:r w:rsidR="005E2C47" w:rsidRPr="009B0AF4">
        <w:rPr>
          <w:lang w:val="en-US"/>
        </w:rPr>
        <w:t>We estimated from real world studies</w:t>
      </w:r>
      <w:r w:rsidR="005E2C47" w:rsidRPr="009B0AF4">
        <w:rPr>
          <w:lang w:val="en-US"/>
        </w:rPr>
        <w:fldChar w:fldCharType="begin" w:fldLock="1"/>
      </w:r>
      <w:r w:rsidR="005E2C47">
        <w:rPr>
          <w:lang w:val="en-US"/>
        </w:rPr>
        <w:instrText>ADDIN CSL_CITATION {"citationItems":[{"id":"ITEM-1","itemData":{"DOI":"10.1212/WNL.0000000000200986","ISSN":"1526-632X (Electronic)","PMID":"35835557","abstract":"BACKGROUND AND OBJECTIVES: Spinal muscular atrophy (SMA) was added to the  Recommended Uniform Screening Panel (RUSP) in July 2018, largely on the basis of the availability and efficacy of newly-approved disease modifying therapies. New York State (NYS) started universal newborn screening for SMA in October 2018. The authors report the findings from the first 3 years of screening. METHODS: Statewide neonatal screening was conducted using DNA extracted from dried blood spots using a real-time quantitative polymerase chain reaction (qPCR) assay. Retrospective follow-up data were collected from 9 referral centers across the state on 34 infants. RESULTS: In the first three years since statewide implementation, nearly 650,000 infants have been screened for SMA. 34 babies screened positive and were referred to a neuromuscular specialty care center. The incidence remains lower than previously predicted. The majority (94%), including all infants with 2-3 copies of SMN2, have received treatment. Among treated infants, the overwhelming majority (97%; 29/30) have received gene replacement. All infants in this cohort with 3 copies of SMN2 are clinically asymptomatic post-treatment based on early clinical follow-up data. Infants with 2 copies of SMN2 are more variable in their outcomes. Electrodiagnostic outcomes data from a subgroup of patients (n=11) for whom pre- and post-treatment data demonstrated either improvement or no change in CMAP amplitude at last clinical follow-up compared to pre-treatment baseline. Most infants were treated before 6 weeks of age (median = 34.5 DOL; range 11-180). Delays and barriers to treatment identified by treating clinicians followed two broad themes: medical and non-medical. Medical delays most commonly reported were presence of AAV9 antibodies and elevated troponin I levels. Non-medical barriers included delays in obtaining insurance as well as insurance policies regarding specific treatment modalities. DISCUSSION: The findings from the NYS cohort of newborn screen-identified infants are consistent with other reports of improved outcomes from early diagnosis and treatment. Additional biomarkers of motor neuron health including electromyography can potentially be helpful in detecting pre-clinical decline.","author":[{"dropping-particle":"","family":"Lee","given":"Bo Hoon","non-dropping-particle":"","parse-names":false,"suffix":""},{"dropping-particle":"","family":"Deng","given":"Stella","non-dropping-particle":"","parse-names":false,"suffix":""},{"dropping-particle":"","family":"Chiriboga","given":"Claudia A","non-dropping-particle":"","parse-names":false,"suffix":""},{"dropping-particle":"","family":"Kay","given":"Denise M","non-dropping-particle":"","parse-names":false,"suffix":""},{"dropping-particle":"","family":"Irumudomon","given":"Obehioya","non-dropping-particle":"","parse-names":false,"suffix":""},{"dropping-particle":"","family":"Laureta","given":"Emma","non-dropping-particle":"","parse-names":false,"suffix":""},{"dropping-particle":"","family":"Delfiner","given":"Leslie","non-dropping-particle":"","parse-names":false,"suffix":""},{"dropping-particle":"","family":"Treidler","given":"Simona O","non-dropping-particle":"","parse-names":false,"suffix":""},{"dropping-particle":"","family":"Anziska","given":"Yaacov","non-dropping-particle":"","parse-names":false,"suffix":""},{"dropping-particle":"","family":"Sakonju","given":"Ai","non-dropping-particle":"","parse-names":false,"suffix":""},{"dropping-particle":"","family":"Kois","given":"Chelsea","non-dropping-particle":"","parse-names":false,"suffix":""},{"dropping-particle":"","family":"Farooq","given":"Osman","non-dropping-particle":"","parse-names":false,"suffix":""},{"dropping-particle":"","family":"Engelstad","given":"Kristin","non-dropping-particle":"","parse-names":false,"suffix":""},{"dropping-particle":"","family":"Laurenzano","given":"Alexandra","non-dropping-particle":"","parse-names":false,"suffix":""},{"dropping-particle":"","family":"Hogan","given":"Katherine","non-dropping-particle":"","parse-names":false,"suffix":""},{"dropping-particle":"","family":"Caggana","given":"Michele","non-dropping-particle":"","parse-names":false,"suffix":""},{"dropping-particle":"","family":"Saavedra-Matiz","given":"Carlos A","non-dropping-particle":"","parse-names":false,"suffix":""},{"dropping-particle":"","family":"Stevens","given":"Colleen F","non-dropping-particle":"","parse-names":false,"suffix":""},{"dropping-particle":"","family":"Ciafaloni","given":"Emma","non-dropping-particle":"","parse-names":false,"suffix":""}],"container-title":"Neurology","id":"ITEM-1","issue":"14","issued":{"date-parts":[["2022","7"]]},"language":"eng","page":"e1527-37","publisher-place":"United States","title":"Newborn Screening for Spinal Muscular Atrophy in New York State: Clinical  Outcomes From the First 3 Years.","type":"article-journal","volume":"99"},"uris":["http://www.mendeley.com/documents/?uuid=b8cf61fd-4010-40a2-868a-559b8c60c4ad"]},{"id":"ITEM-2","itemData":{"DOI":"https://dx.doi.org/10.1186/s13023-021-01783-8","abstract":"BACKGROUND: Spinal muscular atrophy (SMA) is the most common neurodegenerative disease in childhood. Since motor neuron injury is usually not reversible, early diagnosis and treatment are essential to prevent major disability. Our objective was to assess the impact of genetic newborn screening for SMA on outcome., METHODS: We provided clinical data from 43 SMA patients, identified via polymerase chain reaction of the SMN1 gene from dried blood spots between January 2018 and January 2020 in Germany. Follow-up included neurophysiological examinations and standardized physiotherapeutic testing., RESULTS: Detection of SMA with newborn screening was consistent with known incidence in Germany. Birth prevalence was 1:6910; 39.5% had 2 SMN2 copies, 23% had 3 SMN2 copies, 32.5% had 4 copies, and 4.5% had 5 copies of the SMN2 gene. Treatment with SMA-specific medication could be started at the age of 14-39 days in 21 patients. Pre-symptomatically treated patients remained throughout asymptomatic within the observation period. 47% of patients with 2 SMN2 copies showed early, presumably intrauterine onset of disease. These patients reached motor milestones with delay; none of them developed respiratory symptoms. Untreated children with 2 SMN2 copies died. Untreated children with 3 SMN2 copies developed proximal weakness in their first year. In patients with &gt;= 4 SMN2 copies, a follow-up strategy of \"watchful waiting\" was applied despite the fact that one of them was treated from the age of 6 months. Two infant siblings with 4 SMN2 copies were identified with a missed diagnosis of SMA type 3., CONCLUSION: Identification of newborns with infantile SMA and prompt SMA-specific treatment substantially improves neurodevelopmental outcome, and we recommend implementation in the public newborn screening in countries where therapy is available. Electrophysiology is a relevant parameter to support the urgency of therapy. There has to be a short time interval between a positive screening result and referral to a therapy-ready specialized treatment center.","author":[{"dropping-particle":"","family":"Vill","given":"Katharina","non-dropping-particle":"","parse-names":false,"suffix":""},{"dropping-particle":"","family":"Schwartz","given":"Oliver","non-dropping-particle":"","parse-names":false,"suffix":""},{"dropping-particle":"","family":"Blaschek","given":"Astrid","non-dropping-particle":"","parse-names":false,"suffix":""},{"dropping-particle":"","family":"Glaser","given":"Dieter","non-dropping-particle":"","parse-names":false,"suffix":""},{"dropping-particle":"","family":"Nennstiel","given":"Uta","non-dropping-particle":"","parse-names":false,"suffix":""},{"dropping-particle":"","family":"Wirth","given":"Brunhilde","non-dropping-particle":"","parse-names":false,"suffix":""},{"dropping-particle":"","family":"Burggraf","given":"Siegfried","non-dropping-particle":"","parse-names":false,"suffix":""},{"dropping-particle":"","family":"Roschinger","given":"Wulf","non-dropping-particle":"","parse-names":false,"suffix":""},{"dropping-particle":"","family":"Becker","given":"Marc","non-dropping-particle":"","parse-names":false,"suffix":""},{"dropping-particle":"","family":"Czibere","given":"Ludwig","non-dropping-particle":"","parse-names":false,"suffix":""},{"dropping-particle":"","family":"Durner","given":"Jurgen","non-dropping-particle":"","parse-names":false,"suffix":""},{"dropping-particle":"","family":"Eggermann","given":"Katja","non-dropping-particle":"","parse-names":false,"suffix":""},{"dropping-particle":"","family":"Olgemoller","given":"Bernhard","non-dropping-particle":"","parse-names":false,"suffix":""},{"dropping-particle":"","family":"Harms","given":"Erik","non-dropping-particle":"","parse-names":false,"suffix":""},{"dropping-particle":"","family":"Schara","given":"Ulrike","non-dropping-particle":"","parse-names":false,"suffix":""},{"dropping-particle":"","family":"Kolbel","given":"Heike","non-dropping-particle":"","parse-names":false,"suffix":""},{"dropping-particle":"","family":"Muller-Felber","given":"Wolfgang","non-dropping-particle":"","parse-names":false,"suffix":""}],"container-title":"Orphanet journal of rare diseases","id":"ITEM-2","issue":"153","issued":{"date-parts":[["2021"]]},"page":"153","publisher-place":"England","title":"Newborn screening for spinal muscular atrophy in Germany: clinical results after 2 years.","type":"article-journal","volume":"16(1)"},"uris":["http://www.mendeley.com/documents/?uuid=edf2c98f-ae94-4894-ac79-23a04e30a305"]}],"mendeley":{"formattedCitation":"&lt;sup&gt;22&lt;/sup&gt;,&lt;sup&gt;23&lt;/sup&gt;","plainTextFormattedCitation":"22,23","previouslyFormattedCitation":"&lt;sup&gt;22&lt;/sup&gt;,&lt;sup&gt;23&lt;/sup&gt;"},"properties":{"noteIndex":0},"schema":"https://github.com/citation-style-language/schema/raw/master/csl-citation.json"}</w:instrText>
      </w:r>
      <w:r w:rsidR="005E2C47" w:rsidRPr="009B0AF4">
        <w:rPr>
          <w:lang w:val="en-US"/>
        </w:rPr>
        <w:fldChar w:fldCharType="separate"/>
      </w:r>
      <w:r w:rsidR="005E2C47" w:rsidRPr="009B0AF4">
        <w:rPr>
          <w:noProof/>
          <w:vertAlign w:val="superscript"/>
          <w:lang w:val="en-US"/>
        </w:rPr>
        <w:t>22</w:t>
      </w:r>
      <w:r w:rsidR="005E2C47" w:rsidRPr="00FD3048">
        <w:rPr>
          <w:noProof/>
          <w:vertAlign w:val="superscript"/>
          <w:lang w:val="en-US"/>
        </w:rPr>
        <w:t>,</w:t>
      </w:r>
      <w:r w:rsidR="005E2C47" w:rsidRPr="009B0AF4">
        <w:rPr>
          <w:noProof/>
          <w:vertAlign w:val="superscript"/>
          <w:lang w:val="en-US"/>
        </w:rPr>
        <w:t>23</w:t>
      </w:r>
      <w:r w:rsidR="005E2C47" w:rsidRPr="009B0AF4">
        <w:rPr>
          <w:lang w:val="en-US"/>
        </w:rPr>
        <w:fldChar w:fldCharType="end"/>
      </w:r>
      <w:r w:rsidR="005E2C47" w:rsidRPr="009B0AF4">
        <w:rPr>
          <w:lang w:val="en-US"/>
        </w:rPr>
        <w:t xml:space="preserve"> that about 40% of patients with </w:t>
      </w:r>
      <w:r w:rsidR="00A60E0C">
        <w:rPr>
          <w:lang w:val="en-US"/>
        </w:rPr>
        <w:t>two</w:t>
      </w:r>
      <w:r w:rsidR="005E2C47" w:rsidRPr="009B0AF4">
        <w:rPr>
          <w:lang w:val="en-US"/>
        </w:rPr>
        <w:t xml:space="preserve"> copies of </w:t>
      </w:r>
      <w:r w:rsidR="005E2C47" w:rsidRPr="00FD3048">
        <w:rPr>
          <w:i/>
          <w:iCs/>
          <w:lang w:val="en-US"/>
        </w:rPr>
        <w:t>SMN2</w:t>
      </w:r>
      <w:r w:rsidR="005E2C47" w:rsidRPr="009B0AF4">
        <w:rPr>
          <w:lang w:val="en-US"/>
        </w:rPr>
        <w:t xml:space="preserve"> </w:t>
      </w:r>
      <w:r w:rsidR="00A60E0C">
        <w:rPr>
          <w:lang w:val="en-US"/>
        </w:rPr>
        <w:t>who were</w:t>
      </w:r>
      <w:r w:rsidR="00A60E0C" w:rsidRPr="009B0AF4">
        <w:rPr>
          <w:lang w:val="en-US"/>
        </w:rPr>
        <w:t xml:space="preserve"> </w:t>
      </w:r>
      <w:r w:rsidR="005E2C47" w:rsidRPr="009B0AF4">
        <w:rPr>
          <w:lang w:val="en-US"/>
        </w:rPr>
        <w:t xml:space="preserve">treated early would </w:t>
      </w:r>
      <w:r w:rsidR="00A60E0C">
        <w:rPr>
          <w:lang w:val="en-US"/>
        </w:rPr>
        <w:t>have</w:t>
      </w:r>
      <w:r w:rsidR="00A60E0C" w:rsidRPr="009B0AF4">
        <w:rPr>
          <w:lang w:val="en-US"/>
        </w:rPr>
        <w:t xml:space="preserve"> </w:t>
      </w:r>
      <w:r w:rsidR="005E2C47" w:rsidRPr="009B0AF4">
        <w:rPr>
          <w:lang w:val="en-US"/>
        </w:rPr>
        <w:t>utilit</w:t>
      </w:r>
      <w:r w:rsidR="00A60E0C">
        <w:rPr>
          <w:lang w:val="en-US"/>
        </w:rPr>
        <w:t>y</w:t>
      </w:r>
      <w:r w:rsidR="005E2C47" w:rsidRPr="009B0AF4">
        <w:rPr>
          <w:lang w:val="en-US"/>
        </w:rPr>
        <w:t xml:space="preserve"> values and costs comparable to SMA3 patients. This represents 20% of NIS patient</w:t>
      </w:r>
      <w:r w:rsidR="00A60E0C">
        <w:rPr>
          <w:lang w:val="en-US"/>
        </w:rPr>
        <w:t>s in the cohort</w:t>
      </w:r>
      <w:r w:rsidR="005E2C47" w:rsidRPr="009B0AF4">
        <w:rPr>
          <w:lang w:val="en-US"/>
        </w:rPr>
        <w:t xml:space="preserve">. In terms of cost and utility, we therefore </w:t>
      </w:r>
      <w:r w:rsidR="00A60E0C">
        <w:rPr>
          <w:lang w:val="en-US"/>
        </w:rPr>
        <w:t>assumed</w:t>
      </w:r>
      <w:r w:rsidR="00A60E0C" w:rsidRPr="009B0AF4">
        <w:rPr>
          <w:lang w:val="en-US"/>
        </w:rPr>
        <w:t xml:space="preserve"> </w:t>
      </w:r>
      <w:r w:rsidR="005E2C47" w:rsidRPr="009B0AF4">
        <w:rPr>
          <w:lang w:val="en-US"/>
        </w:rPr>
        <w:t xml:space="preserve">that 20% of NIS patients </w:t>
      </w:r>
      <w:r w:rsidR="00A60E0C">
        <w:rPr>
          <w:lang w:val="en-US"/>
        </w:rPr>
        <w:t>would have outcomes equivalent to</w:t>
      </w:r>
      <w:r w:rsidR="005E2C47" w:rsidRPr="009B0AF4">
        <w:rPr>
          <w:lang w:val="en-US"/>
        </w:rPr>
        <w:t xml:space="preserve"> </w:t>
      </w:r>
      <w:r w:rsidR="009E6A7E" w:rsidRPr="000F4E85">
        <w:rPr>
          <w:lang w:val="en-US"/>
        </w:rPr>
        <w:t>symptomatic</w:t>
      </w:r>
      <w:r w:rsidR="009E6A7E">
        <w:rPr>
          <w:lang w:val="en-US"/>
        </w:rPr>
        <w:t>-</w:t>
      </w:r>
      <w:r w:rsidR="009E6A7E" w:rsidRPr="000F4E85">
        <w:rPr>
          <w:lang w:val="en-US"/>
        </w:rPr>
        <w:t>treated</w:t>
      </w:r>
      <w:r w:rsidR="009E6A7E">
        <w:rPr>
          <w:lang w:val="en-US"/>
        </w:rPr>
        <w:t xml:space="preserve"> </w:t>
      </w:r>
      <w:r w:rsidR="005E2C47" w:rsidRPr="009B0AF4">
        <w:rPr>
          <w:lang w:val="en-US"/>
        </w:rPr>
        <w:t>walkers.</w:t>
      </w:r>
    </w:p>
    <w:p w14:paraId="77362C1C" w14:textId="54D88D7B" w:rsidR="00CC20BA" w:rsidRPr="00CC20BA" w:rsidRDefault="00E30FA8" w:rsidP="00CC20BA">
      <w:pPr>
        <w:pStyle w:val="NormalWeb"/>
        <w:jc w:val="both"/>
        <w:rPr>
          <w:rFonts w:ascii="Arial" w:hAnsi="Arial" w:cs="Arial"/>
          <w:lang w:val="en-US"/>
        </w:rPr>
      </w:pPr>
      <w:r w:rsidRPr="00E30FA8">
        <w:rPr>
          <w:rFonts w:ascii="Arial" w:hAnsi="Arial" w:cs="Arial"/>
          <w:lang w:val="en-US"/>
        </w:rPr>
        <w:t xml:space="preserve">In </w:t>
      </w:r>
      <w:r w:rsidR="00913F66">
        <w:rPr>
          <w:rFonts w:ascii="Arial" w:hAnsi="Arial" w:cs="Arial"/>
          <w:lang w:val="en-US"/>
        </w:rPr>
        <w:t>the base</w:t>
      </w:r>
      <w:r w:rsidR="000D6A79">
        <w:rPr>
          <w:rFonts w:ascii="Arial" w:hAnsi="Arial" w:cs="Arial"/>
          <w:lang w:val="en-US"/>
        </w:rPr>
        <w:t>-</w:t>
      </w:r>
      <w:r w:rsidR="00913F66">
        <w:rPr>
          <w:rFonts w:ascii="Arial" w:hAnsi="Arial" w:cs="Arial"/>
          <w:lang w:val="en-US"/>
        </w:rPr>
        <w:t>case analysis</w:t>
      </w:r>
      <w:r w:rsidRPr="00E30FA8">
        <w:rPr>
          <w:rFonts w:ascii="Arial" w:hAnsi="Arial" w:cs="Arial"/>
          <w:lang w:val="en-US"/>
        </w:rPr>
        <w:t xml:space="preserve">, the </w:t>
      </w:r>
      <w:r w:rsidR="000D6A79">
        <w:rPr>
          <w:rFonts w:ascii="Arial" w:hAnsi="Arial" w:cs="Arial"/>
          <w:lang w:val="en-US"/>
        </w:rPr>
        <w:t>costs were based on</w:t>
      </w:r>
      <w:r w:rsidR="00913F66">
        <w:rPr>
          <w:rFonts w:ascii="Arial" w:hAnsi="Arial" w:cs="Arial"/>
          <w:lang w:val="en-US"/>
        </w:rPr>
        <w:t xml:space="preserve"> the Belgia</w:t>
      </w:r>
      <w:r w:rsidR="0056696B">
        <w:rPr>
          <w:rFonts w:ascii="Arial" w:hAnsi="Arial" w:cs="Arial"/>
          <w:lang w:val="en-US"/>
        </w:rPr>
        <w:t xml:space="preserve">n </w:t>
      </w:r>
      <w:r w:rsidR="00913F66">
        <w:rPr>
          <w:rFonts w:ascii="Arial" w:hAnsi="Arial" w:cs="Arial"/>
          <w:lang w:val="en-US"/>
        </w:rPr>
        <w:t>guideline</w:t>
      </w:r>
      <w:r w:rsidR="0015641D">
        <w:rPr>
          <w:rFonts w:ascii="Arial" w:hAnsi="Arial" w:cs="Arial"/>
          <w:lang w:val="en-US"/>
        </w:rPr>
        <w:t>s</w:t>
      </w:r>
      <w:r w:rsidR="00913F66">
        <w:rPr>
          <w:rFonts w:ascii="Arial" w:hAnsi="Arial" w:cs="Arial"/>
          <w:lang w:val="en-US"/>
        </w:rPr>
        <w:t xml:space="preserve"> for economic evaluation and include</w:t>
      </w:r>
      <w:r w:rsidR="00D31262">
        <w:rPr>
          <w:rFonts w:ascii="Arial" w:hAnsi="Arial" w:cs="Arial"/>
          <w:lang w:val="en-US"/>
        </w:rPr>
        <w:t>d</w:t>
      </w:r>
      <w:r>
        <w:rPr>
          <w:rFonts w:ascii="Arial" w:hAnsi="Arial" w:cs="Arial"/>
          <w:lang w:val="en-US"/>
        </w:rPr>
        <w:t xml:space="preserve"> </w:t>
      </w:r>
      <w:r w:rsidRPr="00E30FA8">
        <w:rPr>
          <w:rFonts w:ascii="Arial" w:hAnsi="Arial" w:cs="Arial"/>
          <w:lang w:val="en-US"/>
        </w:rPr>
        <w:t>hospitalization, consultation, treatment</w:t>
      </w:r>
      <w:r w:rsidR="005A6036">
        <w:rPr>
          <w:rFonts w:ascii="Arial" w:hAnsi="Arial" w:cs="Arial"/>
          <w:lang w:val="en-US"/>
        </w:rPr>
        <w:t>,</w:t>
      </w:r>
      <w:r w:rsidRPr="00E30FA8">
        <w:rPr>
          <w:rFonts w:ascii="Arial" w:hAnsi="Arial" w:cs="Arial"/>
          <w:lang w:val="en-US"/>
        </w:rPr>
        <w:t xml:space="preserve"> </w:t>
      </w:r>
      <w:r w:rsidR="005A6036">
        <w:rPr>
          <w:rFonts w:ascii="Arial" w:hAnsi="Arial" w:cs="Arial"/>
          <w:lang w:val="en-US"/>
        </w:rPr>
        <w:t xml:space="preserve">treatment </w:t>
      </w:r>
      <w:r>
        <w:rPr>
          <w:rFonts w:ascii="Arial" w:hAnsi="Arial" w:cs="Arial"/>
          <w:lang w:val="en-US"/>
        </w:rPr>
        <w:t>administration</w:t>
      </w:r>
      <w:r w:rsidR="005A6036">
        <w:rPr>
          <w:rFonts w:ascii="Arial" w:hAnsi="Arial" w:cs="Arial"/>
          <w:lang w:val="en-US"/>
        </w:rPr>
        <w:t xml:space="preserve"> </w:t>
      </w:r>
      <w:r w:rsidRPr="00E30FA8">
        <w:rPr>
          <w:rFonts w:ascii="Arial" w:hAnsi="Arial" w:cs="Arial"/>
          <w:lang w:val="en-US"/>
        </w:rPr>
        <w:t>costs</w:t>
      </w:r>
      <w:r>
        <w:rPr>
          <w:rFonts w:ascii="Arial" w:hAnsi="Arial" w:cs="Arial"/>
          <w:lang w:val="en-US"/>
        </w:rPr>
        <w:t xml:space="preserve">, </w:t>
      </w:r>
      <w:r w:rsidR="005A6036">
        <w:rPr>
          <w:rFonts w:ascii="Arial" w:hAnsi="Arial" w:cs="Arial"/>
          <w:lang w:val="en-US"/>
        </w:rPr>
        <w:t>and</w:t>
      </w:r>
      <w:r>
        <w:rPr>
          <w:rFonts w:ascii="Arial" w:hAnsi="Arial" w:cs="Arial"/>
          <w:lang w:val="en-US"/>
        </w:rPr>
        <w:t xml:space="preserve"> NBS cost</w:t>
      </w:r>
      <w:r w:rsidR="005A6036">
        <w:rPr>
          <w:rFonts w:ascii="Arial" w:hAnsi="Arial" w:cs="Arial"/>
          <w:lang w:val="en-US"/>
        </w:rPr>
        <w:t>s</w:t>
      </w:r>
      <w:r w:rsidRPr="00E30FA8">
        <w:rPr>
          <w:rFonts w:ascii="Arial" w:hAnsi="Arial" w:cs="Arial"/>
          <w:lang w:val="en-US"/>
        </w:rPr>
        <w:t xml:space="preserve">. </w:t>
      </w:r>
      <w:r w:rsidR="00DC0A2E">
        <w:rPr>
          <w:rFonts w:ascii="Arial" w:hAnsi="Arial" w:cs="Arial"/>
          <w:lang w:val="en-US"/>
        </w:rPr>
        <w:t>Healthcare costs were derived from various sources</w:t>
      </w:r>
      <w:r w:rsidR="0015641D">
        <w:rPr>
          <w:rFonts w:ascii="Arial" w:hAnsi="Arial" w:cs="Arial"/>
          <w:lang w:val="en-US"/>
        </w:rPr>
        <w:t xml:space="preserve"> including</w:t>
      </w:r>
      <w:r w:rsidR="000177D2">
        <w:rPr>
          <w:rFonts w:ascii="Arial" w:hAnsi="Arial" w:cs="Arial"/>
          <w:lang w:val="en-US"/>
        </w:rPr>
        <w:t xml:space="preserve"> patients and caregivers, </w:t>
      </w:r>
      <w:r w:rsidR="006C2A11" w:rsidRPr="006C2A11">
        <w:rPr>
          <w:rFonts w:ascii="Arial" w:hAnsi="Arial" w:cs="Arial"/>
          <w:lang w:val="en-US"/>
        </w:rPr>
        <w:t>financial department</w:t>
      </w:r>
      <w:r w:rsidR="0015641D">
        <w:rPr>
          <w:rFonts w:ascii="Arial" w:hAnsi="Arial" w:cs="Arial"/>
          <w:lang w:val="en-US"/>
        </w:rPr>
        <w:t>s of the hospital</w:t>
      </w:r>
      <w:r w:rsidR="006C2A11">
        <w:rPr>
          <w:rFonts w:ascii="Arial" w:hAnsi="Arial" w:cs="Arial"/>
          <w:lang w:val="en-US"/>
        </w:rPr>
        <w:t xml:space="preserve">, </w:t>
      </w:r>
      <w:r w:rsidR="0015641D">
        <w:rPr>
          <w:rFonts w:ascii="Arial" w:hAnsi="Arial" w:cs="Arial"/>
          <w:lang w:val="en-US"/>
        </w:rPr>
        <w:t xml:space="preserve">and </w:t>
      </w:r>
      <w:r w:rsidR="006C2A11" w:rsidRPr="006C2A11">
        <w:rPr>
          <w:rFonts w:ascii="Arial" w:hAnsi="Arial" w:cs="Arial"/>
          <w:lang w:val="en-US"/>
        </w:rPr>
        <w:t xml:space="preserve">the </w:t>
      </w:r>
      <w:proofErr w:type="spellStart"/>
      <w:r w:rsidR="006C2A11" w:rsidRPr="006C2A11">
        <w:rPr>
          <w:rFonts w:ascii="Arial" w:hAnsi="Arial" w:cs="Arial"/>
          <w:lang w:val="en-US"/>
        </w:rPr>
        <w:t>Institut</w:t>
      </w:r>
      <w:proofErr w:type="spellEnd"/>
      <w:r w:rsidR="006C2A11" w:rsidRPr="006C2A11">
        <w:rPr>
          <w:rFonts w:ascii="Arial" w:hAnsi="Arial" w:cs="Arial"/>
          <w:lang w:val="en-US"/>
        </w:rPr>
        <w:t xml:space="preserve"> National </w:t>
      </w:r>
      <w:proofErr w:type="spellStart"/>
      <w:r w:rsidR="006C2A11" w:rsidRPr="006C2A11">
        <w:rPr>
          <w:rFonts w:ascii="Arial" w:hAnsi="Arial" w:cs="Arial"/>
          <w:lang w:val="en-US"/>
        </w:rPr>
        <w:t>d'Assurance</w:t>
      </w:r>
      <w:proofErr w:type="spellEnd"/>
      <w:r w:rsidR="006C2A11" w:rsidRPr="006C2A11">
        <w:rPr>
          <w:rFonts w:ascii="Arial" w:hAnsi="Arial" w:cs="Arial"/>
          <w:lang w:val="en-US"/>
        </w:rPr>
        <w:t xml:space="preserve"> </w:t>
      </w:r>
      <w:proofErr w:type="spellStart"/>
      <w:r w:rsidR="006C2A11" w:rsidRPr="006C2A11">
        <w:rPr>
          <w:rFonts w:ascii="Arial" w:hAnsi="Arial" w:cs="Arial"/>
          <w:lang w:val="en-US"/>
        </w:rPr>
        <w:t>Maladie-Invalidité</w:t>
      </w:r>
      <w:proofErr w:type="spellEnd"/>
      <w:r w:rsidR="006C2A11" w:rsidRPr="006C2A11">
        <w:rPr>
          <w:rFonts w:ascii="Arial" w:hAnsi="Arial" w:cs="Arial"/>
          <w:lang w:val="en-US"/>
        </w:rPr>
        <w:t xml:space="preserve"> (the Belgian social security organization that pays for these services</w:t>
      </w:r>
      <w:r w:rsidR="0015641D">
        <w:rPr>
          <w:rFonts w:ascii="Arial" w:hAnsi="Arial" w:cs="Arial"/>
          <w:lang w:val="en-US"/>
        </w:rPr>
        <w:t xml:space="preserve">) </w:t>
      </w:r>
      <w:r w:rsidR="00C1359D">
        <w:rPr>
          <w:rFonts w:ascii="Arial" w:hAnsi="Arial" w:cs="Arial"/>
          <w:lang w:val="en-US"/>
        </w:rPr>
        <w:fldChar w:fldCharType="begin" w:fldLock="1"/>
      </w:r>
      <w:r w:rsidR="001336C2">
        <w:rPr>
          <w:rFonts w:ascii="Arial" w:hAnsi="Arial" w:cs="Arial"/>
          <w:lang w:val="en-US"/>
        </w:rPr>
        <w:instrText>ADDIN CSL_CITATION {"citationItems":[{"id":"ITEM-1","itemData":{"URL":"https://www.riziv.fgov.be/fr/themes/cout-remboursement/par-mutualite/prestations-individuelles/prix/Pages/default.aspx","accessed":{"date-parts":[["2023","3","31"]]},"author":[{"dropping-particle":"","family":"INAMI","given":"","non-dropping-particle":"","parse-names":false,"suffix":""}],"container-title":"30/03/2023","id":"ITEM-1","issued":{"date-parts":[["2023"]]},"title":"Honoraires, prix et remboursements","type":"webpage"},"uris":["http://www.mendeley.com/documents/?uuid=112d00e4-0665-49ce-9ae3-ccecf1562cb4"]}],"mendeley":{"formattedCitation":"&lt;sup&gt;25&lt;/sup&gt;","plainTextFormattedCitation":"25","previouslyFormattedCitation":"&lt;sup&gt;25&lt;/sup&gt;"},"properties":{"noteIndex":0},"schema":"https://github.com/citation-style-language/schema/raw/master/csl-citation.json"}</w:instrText>
      </w:r>
      <w:r w:rsidR="00C1359D">
        <w:rPr>
          <w:rFonts w:ascii="Arial" w:hAnsi="Arial" w:cs="Arial"/>
          <w:lang w:val="en-US"/>
        </w:rPr>
        <w:fldChar w:fldCharType="separate"/>
      </w:r>
      <w:r w:rsidR="009B0AF4" w:rsidRPr="009B0AF4">
        <w:rPr>
          <w:rFonts w:ascii="Arial" w:hAnsi="Arial" w:cs="Arial"/>
          <w:noProof/>
          <w:vertAlign w:val="superscript"/>
          <w:lang w:val="en-US"/>
        </w:rPr>
        <w:t>25</w:t>
      </w:r>
      <w:r w:rsidR="00C1359D">
        <w:rPr>
          <w:rFonts w:ascii="Arial" w:hAnsi="Arial" w:cs="Arial"/>
          <w:lang w:val="en-US"/>
        </w:rPr>
        <w:fldChar w:fldCharType="end"/>
      </w:r>
      <w:r w:rsidR="00C1359D">
        <w:rPr>
          <w:rFonts w:ascii="Arial" w:hAnsi="Arial" w:cs="Arial"/>
          <w:lang w:val="en-US"/>
        </w:rPr>
        <w:t xml:space="preserve">. </w:t>
      </w:r>
      <w:r w:rsidR="00DA61A5" w:rsidRPr="00DA61A5">
        <w:rPr>
          <w:rFonts w:ascii="Arial" w:hAnsi="Arial" w:cs="Arial"/>
          <w:lang w:val="en-US"/>
        </w:rPr>
        <w:t xml:space="preserve">We first measured the needs in terms of </w:t>
      </w:r>
      <w:r w:rsidR="00AD1940">
        <w:rPr>
          <w:rFonts w:ascii="Arial" w:hAnsi="Arial" w:cs="Arial"/>
          <w:lang w:val="en-US"/>
        </w:rPr>
        <w:t xml:space="preserve">specialized </w:t>
      </w:r>
      <w:r w:rsidR="00DA61A5" w:rsidRPr="00DA61A5">
        <w:rPr>
          <w:rFonts w:ascii="Arial" w:hAnsi="Arial" w:cs="Arial"/>
          <w:lang w:val="en-US"/>
        </w:rPr>
        <w:t>consultations (doctors, physiotherapists) and specific equipment (ventilat</w:t>
      </w:r>
      <w:r w:rsidR="0015641D">
        <w:rPr>
          <w:rFonts w:ascii="Arial" w:hAnsi="Arial" w:cs="Arial"/>
          <w:lang w:val="en-US"/>
        </w:rPr>
        <w:t>ors</w:t>
      </w:r>
      <w:r w:rsidR="00DA61A5" w:rsidRPr="00DA61A5">
        <w:rPr>
          <w:rFonts w:ascii="Arial" w:hAnsi="Arial" w:cs="Arial"/>
          <w:lang w:val="en-US"/>
        </w:rPr>
        <w:t xml:space="preserve">) using questionnaires and </w:t>
      </w:r>
      <w:r w:rsidR="0015641D">
        <w:rPr>
          <w:rFonts w:ascii="Arial" w:hAnsi="Arial" w:cs="Arial"/>
          <w:lang w:val="en-US"/>
        </w:rPr>
        <w:t xml:space="preserve">analyses of </w:t>
      </w:r>
      <w:r w:rsidR="00DA61A5" w:rsidRPr="00DA61A5">
        <w:rPr>
          <w:rFonts w:ascii="Arial" w:hAnsi="Arial" w:cs="Arial"/>
          <w:lang w:val="en-US"/>
        </w:rPr>
        <w:t xml:space="preserve">patients' medical </w:t>
      </w:r>
      <w:r w:rsidR="00DA61A5">
        <w:rPr>
          <w:rFonts w:ascii="Arial" w:hAnsi="Arial" w:cs="Arial"/>
          <w:lang w:val="en-US"/>
        </w:rPr>
        <w:t>files</w:t>
      </w:r>
      <w:r w:rsidR="00DA61A5" w:rsidRPr="00DA61A5">
        <w:rPr>
          <w:rFonts w:ascii="Arial" w:hAnsi="Arial" w:cs="Arial"/>
          <w:lang w:val="en-US"/>
        </w:rPr>
        <w:t>. Then, we evaluated the costs using the Belgian social security costs as well as the costs provided by the hospital</w:t>
      </w:r>
      <w:r w:rsidR="00DA61A5">
        <w:rPr>
          <w:rFonts w:ascii="Arial" w:hAnsi="Arial" w:cs="Arial"/>
          <w:lang w:val="en-US"/>
        </w:rPr>
        <w:t>,</w:t>
      </w:r>
      <w:r w:rsidR="00DA61A5" w:rsidRPr="00DA61A5">
        <w:rPr>
          <w:rFonts w:ascii="Arial" w:hAnsi="Arial" w:cs="Arial"/>
          <w:lang w:val="en-US"/>
        </w:rPr>
        <w:t xml:space="preserve"> </w:t>
      </w:r>
      <w:r w:rsidR="0015641D">
        <w:rPr>
          <w:rFonts w:ascii="Arial" w:hAnsi="Arial" w:cs="Arial"/>
          <w:lang w:val="en-US"/>
        </w:rPr>
        <w:t>enabling us to calculate costs for each</w:t>
      </w:r>
      <w:r w:rsidR="00DA61A5" w:rsidRPr="00DA61A5">
        <w:rPr>
          <w:rFonts w:ascii="Arial" w:hAnsi="Arial" w:cs="Arial"/>
          <w:lang w:val="en-US"/>
        </w:rPr>
        <w:t xml:space="preserve"> individual patient</w:t>
      </w:r>
      <w:r w:rsidR="00415EC4">
        <w:rPr>
          <w:rFonts w:ascii="Arial" w:hAnsi="Arial" w:cs="Arial"/>
          <w:lang w:val="en-US"/>
        </w:rPr>
        <w:t>.</w:t>
      </w:r>
    </w:p>
    <w:p w14:paraId="2388C8A8" w14:textId="30CF466A" w:rsidR="00A245A0" w:rsidRPr="005E2C47" w:rsidRDefault="00A245A0" w:rsidP="006731C6">
      <w:pPr>
        <w:jc w:val="both"/>
        <w:rPr>
          <w:lang w:val="en-US"/>
        </w:rPr>
      </w:pPr>
      <w:r w:rsidRPr="000F4E85">
        <w:rPr>
          <w:lang w:val="en-US"/>
        </w:rPr>
        <w:t xml:space="preserve">The costs of </w:t>
      </w:r>
      <w:r w:rsidR="00953BE6">
        <w:rPr>
          <w:lang w:val="en-US"/>
        </w:rPr>
        <w:t>treatment by disease-modifying therapies</w:t>
      </w:r>
      <w:r w:rsidRPr="000F4E85">
        <w:rPr>
          <w:lang w:val="en-US"/>
        </w:rPr>
        <w:t xml:space="preserve"> include</w:t>
      </w:r>
      <w:r w:rsidR="00B20027">
        <w:rPr>
          <w:lang w:val="en-US"/>
        </w:rPr>
        <w:t>d</w:t>
      </w:r>
      <w:r w:rsidRPr="000F4E85">
        <w:rPr>
          <w:lang w:val="en-US"/>
        </w:rPr>
        <w:t xml:space="preserve"> the official cost of the treatment itself, the cost of hospitalization for treatment administration</w:t>
      </w:r>
      <w:r w:rsidR="00AD1940">
        <w:rPr>
          <w:lang w:val="en-US"/>
        </w:rPr>
        <w:t xml:space="preserve"> if applicable</w:t>
      </w:r>
      <w:r w:rsidRPr="000F4E85">
        <w:rPr>
          <w:lang w:val="en-US"/>
        </w:rPr>
        <w:t>, and the medical consultation directly related to treatment delivery</w:t>
      </w:r>
      <w:r w:rsidR="005670A4">
        <w:rPr>
          <w:lang w:val="en-US"/>
        </w:rPr>
        <w:t xml:space="preserve"> (Table 1)</w:t>
      </w:r>
      <w:r w:rsidRPr="000F4E85">
        <w:rPr>
          <w:lang w:val="en-US"/>
        </w:rPr>
        <w:t>.</w:t>
      </w:r>
      <w:r w:rsidR="00D13669" w:rsidRPr="00D13669">
        <w:rPr>
          <w:lang w:val="en-US"/>
        </w:rPr>
        <w:t xml:space="preserve"> </w:t>
      </w:r>
      <w:r w:rsidR="005E2C47" w:rsidRPr="005E2C47">
        <w:rPr>
          <w:lang w:val="en-US"/>
        </w:rPr>
        <w:t xml:space="preserve">The cost of the treatment is </w:t>
      </w:r>
      <w:r w:rsidR="0015641D">
        <w:rPr>
          <w:lang w:val="en-US"/>
        </w:rPr>
        <w:t>that</w:t>
      </w:r>
      <w:r w:rsidR="005E2C47" w:rsidRPr="005E2C47">
        <w:rPr>
          <w:lang w:val="en-US"/>
        </w:rPr>
        <w:t xml:space="preserve"> provided by the Belgian social security. </w:t>
      </w:r>
      <w:r w:rsidR="00D13669" w:rsidRPr="000F4E85">
        <w:rPr>
          <w:lang w:val="en-US"/>
        </w:rPr>
        <w:t xml:space="preserve">In </w:t>
      </w:r>
      <w:r w:rsidR="00D13669">
        <w:rPr>
          <w:lang w:val="en-US"/>
        </w:rPr>
        <w:t xml:space="preserve">our </w:t>
      </w:r>
      <w:r w:rsidR="00D13669" w:rsidRPr="000F4E85">
        <w:rPr>
          <w:lang w:val="en-US"/>
        </w:rPr>
        <w:t>population</w:t>
      </w:r>
      <w:r w:rsidR="00D13669">
        <w:rPr>
          <w:lang w:val="en-US"/>
        </w:rPr>
        <w:t xml:space="preserve">, </w:t>
      </w:r>
      <w:r w:rsidR="00D13669" w:rsidRPr="000F4E85">
        <w:rPr>
          <w:lang w:val="en-US"/>
        </w:rPr>
        <w:t xml:space="preserve">patients used one of </w:t>
      </w:r>
      <w:r w:rsidR="0015641D">
        <w:rPr>
          <w:lang w:val="en-US"/>
        </w:rPr>
        <w:t>three</w:t>
      </w:r>
      <w:r w:rsidR="00D13669" w:rsidRPr="000F4E85">
        <w:rPr>
          <w:lang w:val="en-US"/>
        </w:rPr>
        <w:t xml:space="preserve"> available </w:t>
      </w:r>
      <w:r w:rsidR="00D13669" w:rsidRPr="00DA61A5">
        <w:rPr>
          <w:lang w:val="en-US"/>
        </w:rPr>
        <w:t>treatments</w:t>
      </w:r>
      <w:r w:rsidR="00D13669" w:rsidRPr="000F4E85">
        <w:rPr>
          <w:lang w:val="en-US"/>
        </w:rPr>
        <w:t xml:space="preserve">: </w:t>
      </w:r>
      <w:r w:rsidR="00D13669">
        <w:rPr>
          <w:lang w:val="en-US"/>
        </w:rPr>
        <w:t>n</w:t>
      </w:r>
      <w:r w:rsidR="00D13669" w:rsidRPr="000F4E85">
        <w:rPr>
          <w:lang w:val="en-US"/>
        </w:rPr>
        <w:t xml:space="preserve">usinersen, onasemnogene abeparvovec, or </w:t>
      </w:r>
      <w:r w:rsidR="00D13669">
        <w:rPr>
          <w:lang w:val="en-US"/>
        </w:rPr>
        <w:t>r</w:t>
      </w:r>
      <w:r w:rsidR="00D13669" w:rsidRPr="000F4E85">
        <w:rPr>
          <w:lang w:val="en-US"/>
        </w:rPr>
        <w:t>isdiplam</w:t>
      </w:r>
      <w:r w:rsidR="000C343D">
        <w:rPr>
          <w:lang w:val="en-US"/>
        </w:rPr>
        <w:t xml:space="preserve"> (</w:t>
      </w:r>
      <w:r w:rsidR="0015641D">
        <w:rPr>
          <w:lang w:val="en-US"/>
        </w:rPr>
        <w:t>F</w:t>
      </w:r>
      <w:r w:rsidR="000C343D">
        <w:rPr>
          <w:lang w:val="en-US"/>
        </w:rPr>
        <w:t xml:space="preserve">igure </w:t>
      </w:r>
      <w:r w:rsidR="00C1359D">
        <w:rPr>
          <w:lang w:val="en-US"/>
        </w:rPr>
        <w:t>1B</w:t>
      </w:r>
      <w:r w:rsidR="000C343D">
        <w:rPr>
          <w:lang w:val="en-US"/>
        </w:rPr>
        <w:t>)</w:t>
      </w:r>
      <w:r w:rsidR="00D13669" w:rsidRPr="000F4E85">
        <w:rPr>
          <w:lang w:val="en-US"/>
        </w:rPr>
        <w:t xml:space="preserve">. We took the percentage of patients treated in each category by each treatment and multiplied it by the cost of the respective treatment. The proportion of use of each treatment was not identical between populations. For example, </w:t>
      </w:r>
      <w:r w:rsidR="00E33E91">
        <w:rPr>
          <w:lang w:val="en-US"/>
        </w:rPr>
        <w:t>NIS</w:t>
      </w:r>
      <w:r w:rsidR="00D13669" w:rsidRPr="000F4E85">
        <w:rPr>
          <w:lang w:val="en-US"/>
        </w:rPr>
        <w:t xml:space="preserve"> patients, </w:t>
      </w:r>
      <w:r w:rsidR="002311E0">
        <w:rPr>
          <w:lang w:val="en-US"/>
        </w:rPr>
        <w:t>who were</w:t>
      </w:r>
      <w:r w:rsidR="002311E0" w:rsidRPr="000F4E85">
        <w:rPr>
          <w:lang w:val="en-US"/>
        </w:rPr>
        <w:t xml:space="preserve"> </w:t>
      </w:r>
      <w:r w:rsidR="00D13669" w:rsidRPr="000F4E85">
        <w:rPr>
          <w:lang w:val="en-US"/>
        </w:rPr>
        <w:t>younger</w:t>
      </w:r>
      <w:r w:rsidR="002311E0">
        <w:rPr>
          <w:lang w:val="en-US"/>
        </w:rPr>
        <w:t xml:space="preserve"> than symptomatic-treated patients</w:t>
      </w:r>
      <w:r w:rsidR="00D13669" w:rsidRPr="000F4E85">
        <w:rPr>
          <w:lang w:val="en-US"/>
        </w:rPr>
        <w:t xml:space="preserve">, </w:t>
      </w:r>
      <w:r w:rsidR="002311E0">
        <w:rPr>
          <w:lang w:val="en-US"/>
        </w:rPr>
        <w:t>were more likely</w:t>
      </w:r>
      <w:r w:rsidR="00D13669" w:rsidRPr="000F4E85">
        <w:rPr>
          <w:lang w:val="en-US"/>
        </w:rPr>
        <w:t xml:space="preserve"> to </w:t>
      </w:r>
      <w:r w:rsidR="002311E0">
        <w:rPr>
          <w:lang w:val="en-US"/>
        </w:rPr>
        <w:t>have been treated with</w:t>
      </w:r>
      <w:r w:rsidR="00D13669" w:rsidRPr="000F4E85">
        <w:rPr>
          <w:lang w:val="en-US"/>
        </w:rPr>
        <w:t xml:space="preserve"> onasemnogene abeparvovec, which has a marketing authorization </w:t>
      </w:r>
      <w:r w:rsidR="002311E0">
        <w:rPr>
          <w:lang w:val="en-US"/>
        </w:rPr>
        <w:t>based</w:t>
      </w:r>
      <w:r w:rsidR="002311E0" w:rsidRPr="000F4E85">
        <w:rPr>
          <w:lang w:val="en-US"/>
        </w:rPr>
        <w:t xml:space="preserve"> </w:t>
      </w:r>
      <w:r w:rsidR="00D13669" w:rsidRPr="000F4E85">
        <w:rPr>
          <w:lang w:val="en-US"/>
        </w:rPr>
        <w:t xml:space="preserve">on patient weight. </w:t>
      </w:r>
      <w:r w:rsidR="002311E0">
        <w:rPr>
          <w:lang w:val="en-US"/>
        </w:rPr>
        <w:t>T</w:t>
      </w:r>
      <w:r w:rsidR="00D13669" w:rsidRPr="000F4E85">
        <w:rPr>
          <w:lang w:val="en-US"/>
        </w:rPr>
        <w:t xml:space="preserve">he frequency of administration is different for each treatment. In addition, </w:t>
      </w:r>
      <w:r w:rsidR="002311E0">
        <w:rPr>
          <w:lang w:val="en-US"/>
        </w:rPr>
        <w:t>five</w:t>
      </w:r>
      <w:r w:rsidR="00D13669" w:rsidRPr="000F4E85">
        <w:rPr>
          <w:lang w:val="en-US"/>
        </w:rPr>
        <w:t xml:space="preserve"> patients had their treatment as part of a clinical trial or </w:t>
      </w:r>
      <w:r w:rsidR="002311E0">
        <w:rPr>
          <w:lang w:val="en-US"/>
        </w:rPr>
        <w:t>treatment was funded through a</w:t>
      </w:r>
      <w:r w:rsidR="00D13669" w:rsidRPr="000F4E85">
        <w:rPr>
          <w:lang w:val="en-US"/>
        </w:rPr>
        <w:t xml:space="preserve"> compassionate use</w:t>
      </w:r>
      <w:r w:rsidR="002311E0">
        <w:rPr>
          <w:lang w:val="en-US"/>
        </w:rPr>
        <w:t xml:space="preserve"> policy</w:t>
      </w:r>
      <w:r w:rsidR="00D13669" w:rsidRPr="000F4E85">
        <w:rPr>
          <w:lang w:val="en-US"/>
        </w:rPr>
        <w:t xml:space="preserve"> and therefore received the treatment </w:t>
      </w:r>
      <w:r w:rsidR="002311E0">
        <w:rPr>
          <w:lang w:val="en-US"/>
        </w:rPr>
        <w:t>at no cost</w:t>
      </w:r>
      <w:r w:rsidR="00D13669" w:rsidRPr="000F4E85">
        <w:rPr>
          <w:lang w:val="en-US"/>
        </w:rPr>
        <w:t xml:space="preserve">. However, we </w:t>
      </w:r>
      <w:r w:rsidR="00E60A34">
        <w:rPr>
          <w:lang w:val="en-US"/>
        </w:rPr>
        <w:t>included</w:t>
      </w:r>
      <w:r w:rsidR="00D13669" w:rsidRPr="000F4E85">
        <w:rPr>
          <w:lang w:val="en-US"/>
        </w:rPr>
        <w:t xml:space="preserve"> the </w:t>
      </w:r>
      <w:r w:rsidR="002311E0">
        <w:rPr>
          <w:lang w:val="en-US"/>
        </w:rPr>
        <w:t>costs</w:t>
      </w:r>
      <w:r w:rsidR="002311E0" w:rsidRPr="000F4E85">
        <w:rPr>
          <w:lang w:val="en-US"/>
        </w:rPr>
        <w:t xml:space="preserve"> </w:t>
      </w:r>
      <w:r w:rsidR="00D13669" w:rsidRPr="000F4E85">
        <w:rPr>
          <w:lang w:val="en-US"/>
        </w:rPr>
        <w:t xml:space="preserve">of the treatments as if they </w:t>
      </w:r>
      <w:r w:rsidR="002311E0">
        <w:rPr>
          <w:lang w:val="en-US"/>
        </w:rPr>
        <w:t>had been</w:t>
      </w:r>
      <w:r w:rsidR="002311E0" w:rsidRPr="000F4E85">
        <w:rPr>
          <w:lang w:val="en-US"/>
        </w:rPr>
        <w:t xml:space="preserve"> </w:t>
      </w:r>
      <w:r w:rsidR="00D13669" w:rsidRPr="000F4E85">
        <w:rPr>
          <w:lang w:val="en-US"/>
        </w:rPr>
        <w:t xml:space="preserve">paid. </w:t>
      </w:r>
      <w:r w:rsidR="002311E0">
        <w:rPr>
          <w:lang w:val="en-US"/>
        </w:rPr>
        <w:t>In</w:t>
      </w:r>
      <w:r w:rsidR="00AD1940">
        <w:rPr>
          <w:lang w:val="en-US"/>
        </w:rPr>
        <w:t xml:space="preserve"> 2018, only nusinersen </w:t>
      </w:r>
      <w:r w:rsidR="002311E0">
        <w:rPr>
          <w:lang w:val="en-US"/>
        </w:rPr>
        <w:t xml:space="preserve">had been </w:t>
      </w:r>
      <w:r w:rsidR="00AD1940">
        <w:rPr>
          <w:lang w:val="en-US"/>
        </w:rPr>
        <w:t>approved</w:t>
      </w:r>
      <w:r w:rsidR="002311E0">
        <w:rPr>
          <w:lang w:val="en-US"/>
        </w:rPr>
        <w:t xml:space="preserve"> for use</w:t>
      </w:r>
      <w:r w:rsidR="00AD1940">
        <w:rPr>
          <w:lang w:val="en-US"/>
        </w:rPr>
        <w:t xml:space="preserve"> in Belgium. </w:t>
      </w:r>
      <w:r w:rsidR="006C2A11" w:rsidRPr="006C2A11">
        <w:rPr>
          <w:lang w:val="en-US"/>
        </w:rPr>
        <w:t xml:space="preserve">Onasemnogene </w:t>
      </w:r>
      <w:r w:rsidR="002311E0">
        <w:rPr>
          <w:lang w:val="en-US"/>
        </w:rPr>
        <w:t>a</w:t>
      </w:r>
      <w:r w:rsidR="006C2A11" w:rsidRPr="006C2A11">
        <w:rPr>
          <w:lang w:val="en-US"/>
        </w:rPr>
        <w:t>beparvovec</w:t>
      </w:r>
      <w:r w:rsidR="00AD1940">
        <w:rPr>
          <w:lang w:val="en-US"/>
        </w:rPr>
        <w:t xml:space="preserve"> </w:t>
      </w:r>
      <w:r w:rsidR="007C309C">
        <w:rPr>
          <w:lang w:val="en-US"/>
        </w:rPr>
        <w:t xml:space="preserve">has been </w:t>
      </w:r>
      <w:r w:rsidR="00AD1940">
        <w:rPr>
          <w:lang w:val="en-US"/>
        </w:rPr>
        <w:t xml:space="preserve">reimbursed since </w:t>
      </w:r>
      <w:r w:rsidR="002311E0">
        <w:rPr>
          <w:lang w:val="en-US"/>
        </w:rPr>
        <w:t>1</w:t>
      </w:r>
      <w:r w:rsidR="007C309C">
        <w:rPr>
          <w:lang w:val="en-US"/>
        </w:rPr>
        <w:t xml:space="preserve"> </w:t>
      </w:r>
      <w:r w:rsidR="006C2A11">
        <w:rPr>
          <w:lang w:val="en-US"/>
        </w:rPr>
        <w:t xml:space="preserve">December 2021 </w:t>
      </w:r>
      <w:r w:rsidR="00AD1940">
        <w:rPr>
          <w:lang w:val="en-US"/>
        </w:rPr>
        <w:t xml:space="preserve">and is available for non-symptomatic patients if they have </w:t>
      </w:r>
      <w:r w:rsidR="002311E0">
        <w:rPr>
          <w:lang w:val="en-US"/>
        </w:rPr>
        <w:t>two or three</w:t>
      </w:r>
      <w:r w:rsidR="00AD1940">
        <w:rPr>
          <w:lang w:val="en-US"/>
        </w:rPr>
        <w:t xml:space="preserve"> copies of </w:t>
      </w:r>
      <w:r w:rsidR="00AD1940" w:rsidRPr="00BC1802">
        <w:rPr>
          <w:i/>
          <w:iCs/>
          <w:lang w:val="en-US"/>
        </w:rPr>
        <w:t>SMN2</w:t>
      </w:r>
      <w:r w:rsidR="00AD1940">
        <w:rPr>
          <w:lang w:val="en-US"/>
        </w:rPr>
        <w:t>. Since then</w:t>
      </w:r>
      <w:r w:rsidR="00BC1802">
        <w:rPr>
          <w:lang w:val="en-US"/>
        </w:rPr>
        <w:t>,</w:t>
      </w:r>
      <w:r w:rsidR="00AD1940">
        <w:rPr>
          <w:lang w:val="en-US"/>
        </w:rPr>
        <w:t xml:space="preserve"> </w:t>
      </w:r>
      <w:r w:rsidR="006C2A11">
        <w:rPr>
          <w:lang w:val="en-US"/>
        </w:rPr>
        <w:t>five</w:t>
      </w:r>
      <w:r w:rsidR="00AD1940">
        <w:rPr>
          <w:lang w:val="en-US"/>
        </w:rPr>
        <w:t xml:space="preserve"> patients with </w:t>
      </w:r>
      <w:r w:rsidR="002311E0">
        <w:rPr>
          <w:lang w:val="en-US"/>
        </w:rPr>
        <w:t>two or three</w:t>
      </w:r>
      <w:r w:rsidR="00AD1940">
        <w:rPr>
          <w:lang w:val="en-US"/>
        </w:rPr>
        <w:t xml:space="preserve"> copies of </w:t>
      </w:r>
      <w:r w:rsidR="00AD1940" w:rsidRPr="006C2A11">
        <w:rPr>
          <w:i/>
          <w:iCs/>
          <w:lang w:val="en-US"/>
        </w:rPr>
        <w:t>SMN2</w:t>
      </w:r>
      <w:r w:rsidR="00AD1940">
        <w:rPr>
          <w:lang w:val="en-US"/>
        </w:rPr>
        <w:t xml:space="preserve"> were identified </w:t>
      </w:r>
      <w:r w:rsidR="002311E0">
        <w:rPr>
          <w:lang w:val="en-US"/>
        </w:rPr>
        <w:t xml:space="preserve">through NBS, </w:t>
      </w:r>
      <w:r w:rsidR="00AD1940">
        <w:rPr>
          <w:lang w:val="en-US"/>
        </w:rPr>
        <w:t xml:space="preserve">and </w:t>
      </w:r>
      <w:r w:rsidR="006C2A11">
        <w:rPr>
          <w:lang w:val="en-US"/>
        </w:rPr>
        <w:t>all</w:t>
      </w:r>
      <w:r w:rsidR="00AD1940">
        <w:rPr>
          <w:lang w:val="en-US"/>
        </w:rPr>
        <w:t xml:space="preserve"> were given </w:t>
      </w:r>
      <w:r w:rsidR="002311E0">
        <w:rPr>
          <w:lang w:val="en-US"/>
        </w:rPr>
        <w:t>o</w:t>
      </w:r>
      <w:r w:rsidR="002311E0" w:rsidRPr="006C2A11">
        <w:rPr>
          <w:lang w:val="en-US"/>
        </w:rPr>
        <w:t xml:space="preserve">nasemnogene </w:t>
      </w:r>
      <w:r w:rsidR="002311E0">
        <w:rPr>
          <w:lang w:val="en-US"/>
        </w:rPr>
        <w:t>a</w:t>
      </w:r>
      <w:r w:rsidR="002311E0" w:rsidRPr="006C2A11">
        <w:rPr>
          <w:lang w:val="en-US"/>
        </w:rPr>
        <w:t>beparvovec</w:t>
      </w:r>
      <w:r w:rsidR="006C2A11">
        <w:rPr>
          <w:lang w:val="en-US"/>
        </w:rPr>
        <w:t>.</w:t>
      </w:r>
      <w:r w:rsidR="00AD1940">
        <w:rPr>
          <w:lang w:val="en-US"/>
        </w:rPr>
        <w:t xml:space="preserve"> </w:t>
      </w:r>
    </w:p>
    <w:p w14:paraId="51393587" w14:textId="68AF4290" w:rsidR="00540EAA" w:rsidRDefault="004F31E5" w:rsidP="002131DA">
      <w:pPr>
        <w:pStyle w:val="NormalWeb"/>
        <w:jc w:val="both"/>
        <w:rPr>
          <w:rFonts w:ascii="Arial" w:hAnsi="Arial" w:cs="Arial"/>
          <w:lang w:val="en-US"/>
        </w:rPr>
      </w:pPr>
      <w:r w:rsidRPr="000F4E85">
        <w:rPr>
          <w:rFonts w:ascii="Arial" w:hAnsi="Arial" w:cs="Arial"/>
          <w:lang w:val="en-US"/>
        </w:rPr>
        <w:t xml:space="preserve">The Office of Birth and Childhood (Office de la Naissance et de </w:t>
      </w:r>
      <w:proofErr w:type="spellStart"/>
      <w:r w:rsidRPr="000F4E85">
        <w:rPr>
          <w:rFonts w:ascii="Arial" w:hAnsi="Arial" w:cs="Arial"/>
          <w:lang w:val="en-US"/>
        </w:rPr>
        <w:t>l’enfance</w:t>
      </w:r>
      <w:proofErr w:type="spellEnd"/>
      <w:r w:rsidRPr="000F4E85">
        <w:rPr>
          <w:rFonts w:ascii="Arial" w:hAnsi="Arial" w:cs="Arial"/>
          <w:lang w:val="en-US"/>
        </w:rPr>
        <w:t xml:space="preserve"> </w:t>
      </w:r>
      <w:r w:rsidR="003D3EC3">
        <w:rPr>
          <w:rFonts w:ascii="Arial" w:hAnsi="Arial" w:cs="Arial"/>
          <w:lang w:val="en-US"/>
        </w:rPr>
        <w:t>–</w:t>
      </w:r>
      <w:r w:rsidRPr="000F4E85">
        <w:rPr>
          <w:rFonts w:ascii="Arial" w:hAnsi="Arial" w:cs="Arial"/>
          <w:lang w:val="en-US"/>
        </w:rPr>
        <w:t xml:space="preserve"> ONE) incurs </w:t>
      </w:r>
      <w:r w:rsidR="002311E0">
        <w:rPr>
          <w:rFonts w:ascii="Arial" w:hAnsi="Arial" w:cs="Arial"/>
          <w:lang w:val="en-US"/>
        </w:rPr>
        <w:t>the</w:t>
      </w:r>
      <w:r w:rsidRPr="000F4E85">
        <w:rPr>
          <w:rFonts w:ascii="Arial" w:hAnsi="Arial" w:cs="Arial"/>
          <w:lang w:val="en-US"/>
        </w:rPr>
        <w:t xml:space="preserve"> cost</w:t>
      </w:r>
      <w:r w:rsidR="002311E0">
        <w:rPr>
          <w:rFonts w:ascii="Arial" w:hAnsi="Arial" w:cs="Arial"/>
          <w:lang w:val="en-US"/>
        </w:rPr>
        <w:t>s</w:t>
      </w:r>
      <w:r w:rsidRPr="000F4E85">
        <w:rPr>
          <w:rFonts w:ascii="Arial" w:hAnsi="Arial" w:cs="Arial"/>
          <w:lang w:val="en-US"/>
        </w:rPr>
        <w:t xml:space="preserve"> related to the implementation and </w:t>
      </w:r>
      <w:r w:rsidR="002311E0">
        <w:rPr>
          <w:rFonts w:ascii="Arial" w:hAnsi="Arial" w:cs="Arial"/>
          <w:lang w:val="en-US"/>
        </w:rPr>
        <w:t>operation</w:t>
      </w:r>
      <w:r w:rsidR="002311E0" w:rsidRPr="000F4E85">
        <w:rPr>
          <w:rFonts w:ascii="Arial" w:hAnsi="Arial" w:cs="Arial"/>
          <w:lang w:val="en-US"/>
        </w:rPr>
        <w:t xml:space="preserve"> </w:t>
      </w:r>
      <w:r w:rsidRPr="000F4E85">
        <w:rPr>
          <w:rFonts w:ascii="Arial" w:hAnsi="Arial" w:cs="Arial"/>
          <w:lang w:val="en-US"/>
        </w:rPr>
        <w:t xml:space="preserve">of </w:t>
      </w:r>
      <w:r w:rsidRPr="00E30FA8">
        <w:rPr>
          <w:rFonts w:ascii="Arial" w:hAnsi="Arial" w:cs="Arial"/>
          <w:lang w:val="en-US"/>
        </w:rPr>
        <w:t>NBS</w:t>
      </w:r>
      <w:r w:rsidR="009B0AF4">
        <w:rPr>
          <w:rFonts w:ascii="Arial" w:hAnsi="Arial" w:cs="Arial"/>
          <w:lang w:val="en-US"/>
        </w:rPr>
        <w:t>.</w:t>
      </w:r>
      <w:r w:rsidRPr="000F4E85">
        <w:rPr>
          <w:rFonts w:ascii="Arial" w:hAnsi="Arial" w:cs="Arial"/>
          <w:lang w:val="en-US"/>
        </w:rPr>
        <w:t xml:space="preserve"> In order to </w:t>
      </w:r>
      <w:r w:rsidR="003D638A">
        <w:rPr>
          <w:rFonts w:ascii="Arial" w:hAnsi="Arial" w:cs="Arial"/>
          <w:lang w:val="en-US"/>
        </w:rPr>
        <w:t>estimate the</w:t>
      </w:r>
      <w:r w:rsidRPr="000F4E85">
        <w:rPr>
          <w:rFonts w:ascii="Arial" w:hAnsi="Arial" w:cs="Arial"/>
          <w:lang w:val="en-US"/>
        </w:rPr>
        <w:t xml:space="preserve"> cost per </w:t>
      </w:r>
      <w:r w:rsidR="003D638A">
        <w:rPr>
          <w:rFonts w:ascii="Arial" w:hAnsi="Arial" w:cs="Arial"/>
          <w:lang w:val="en-US"/>
        </w:rPr>
        <w:t>identified</w:t>
      </w:r>
      <w:r w:rsidRPr="000F4E85">
        <w:rPr>
          <w:rFonts w:ascii="Arial" w:hAnsi="Arial" w:cs="Arial"/>
          <w:lang w:val="en-US"/>
        </w:rPr>
        <w:t xml:space="preserve"> patient, we divide</w:t>
      </w:r>
      <w:r w:rsidR="008971B9">
        <w:rPr>
          <w:rFonts w:ascii="Arial" w:hAnsi="Arial" w:cs="Arial"/>
          <w:lang w:val="en-US"/>
        </w:rPr>
        <w:t>d</w:t>
      </w:r>
      <w:r w:rsidRPr="000F4E85">
        <w:rPr>
          <w:rFonts w:ascii="Arial" w:hAnsi="Arial" w:cs="Arial"/>
          <w:lang w:val="en-US"/>
        </w:rPr>
        <w:t xml:space="preserve"> the number of children screened by the number of children identified to </w:t>
      </w:r>
      <w:r w:rsidR="002311E0">
        <w:rPr>
          <w:rFonts w:ascii="Arial" w:hAnsi="Arial" w:cs="Arial"/>
          <w:lang w:val="en-US"/>
        </w:rPr>
        <w:t>calculate</w:t>
      </w:r>
      <w:r w:rsidRPr="000F4E85">
        <w:rPr>
          <w:rFonts w:ascii="Arial" w:hAnsi="Arial" w:cs="Arial"/>
          <w:lang w:val="en-US"/>
        </w:rPr>
        <w:t xml:space="preserve"> how many children must be screened to identify one</w:t>
      </w:r>
      <w:r w:rsidR="00E74AF1">
        <w:rPr>
          <w:rFonts w:ascii="Arial" w:hAnsi="Arial" w:cs="Arial"/>
          <w:lang w:val="en-US"/>
        </w:rPr>
        <w:t xml:space="preserve"> patient with SMA</w:t>
      </w:r>
      <w:r w:rsidR="009B0AF4">
        <w:rPr>
          <w:rFonts w:ascii="Arial" w:hAnsi="Arial" w:cs="Arial"/>
          <w:lang w:val="en-US"/>
        </w:rPr>
        <w:t>.</w:t>
      </w:r>
      <w:r w:rsidR="001D7158">
        <w:rPr>
          <w:rFonts w:ascii="Arial" w:hAnsi="Arial" w:cs="Arial"/>
          <w:lang w:val="en-US"/>
        </w:rPr>
        <w:t xml:space="preserve"> </w:t>
      </w:r>
      <w:r w:rsidRPr="000F4E85">
        <w:rPr>
          <w:rFonts w:ascii="Arial" w:hAnsi="Arial" w:cs="Arial"/>
          <w:lang w:val="en-US"/>
        </w:rPr>
        <w:t xml:space="preserve">Since the cost of the test is </w:t>
      </w:r>
      <w:r w:rsidR="003D3EC3">
        <w:rPr>
          <w:rFonts w:ascii="Arial" w:hAnsi="Arial" w:cs="Arial"/>
          <w:lang w:val="en-US"/>
        </w:rPr>
        <w:t>€</w:t>
      </w:r>
      <w:r w:rsidRPr="000F4E85">
        <w:rPr>
          <w:rFonts w:ascii="Arial" w:hAnsi="Arial" w:cs="Arial"/>
          <w:lang w:val="en-US"/>
        </w:rPr>
        <w:t xml:space="preserve">5 per child screened, this represents a cost of </w:t>
      </w:r>
      <w:r w:rsidR="001D7158">
        <w:rPr>
          <w:rFonts w:ascii="Arial" w:hAnsi="Arial" w:cs="Arial"/>
          <w:lang w:val="en-US"/>
        </w:rPr>
        <w:t>€</w:t>
      </w:r>
      <w:r w:rsidRPr="000F4E85">
        <w:rPr>
          <w:rFonts w:ascii="Arial" w:hAnsi="Arial" w:cs="Arial"/>
          <w:lang w:val="en-US"/>
        </w:rPr>
        <w:t>6</w:t>
      </w:r>
      <w:r w:rsidR="003D3EC3">
        <w:rPr>
          <w:rFonts w:ascii="Arial" w:hAnsi="Arial" w:cs="Arial"/>
          <w:lang w:val="en-US"/>
        </w:rPr>
        <w:t>6</w:t>
      </w:r>
      <w:r w:rsidRPr="000F4E85">
        <w:rPr>
          <w:rFonts w:ascii="Arial" w:hAnsi="Arial" w:cs="Arial"/>
          <w:lang w:val="en-US"/>
        </w:rPr>
        <w:t>,</w:t>
      </w:r>
      <w:r w:rsidR="003D3EC3">
        <w:rPr>
          <w:rFonts w:ascii="Arial" w:hAnsi="Arial" w:cs="Arial"/>
          <w:lang w:val="en-US"/>
        </w:rPr>
        <w:t>66</w:t>
      </w:r>
      <w:r w:rsidRPr="000F4E85">
        <w:rPr>
          <w:rFonts w:ascii="Arial" w:hAnsi="Arial" w:cs="Arial"/>
          <w:lang w:val="en-US"/>
        </w:rPr>
        <w:t xml:space="preserve">7 </w:t>
      </w:r>
      <w:r w:rsidR="002311E0">
        <w:rPr>
          <w:rFonts w:ascii="Arial" w:hAnsi="Arial" w:cs="Arial"/>
          <w:lang w:val="en-US"/>
        </w:rPr>
        <w:t>for identification of</w:t>
      </w:r>
      <w:r w:rsidRPr="000F4E85">
        <w:rPr>
          <w:rFonts w:ascii="Arial" w:hAnsi="Arial" w:cs="Arial"/>
          <w:lang w:val="en-US"/>
        </w:rPr>
        <w:t xml:space="preserve"> one child.</w:t>
      </w:r>
    </w:p>
    <w:p w14:paraId="06943D6C" w14:textId="44BE20E6" w:rsidR="005D6A44" w:rsidRDefault="005D6A44" w:rsidP="002131DA">
      <w:pPr>
        <w:pStyle w:val="NormalWeb"/>
        <w:jc w:val="both"/>
        <w:rPr>
          <w:rFonts w:ascii="Arial" w:hAnsi="Arial" w:cs="Arial"/>
          <w:lang w:val="en-US"/>
        </w:rPr>
      </w:pPr>
      <w:r w:rsidRPr="00DE7E02">
        <w:rPr>
          <w:rFonts w:ascii="Arial" w:hAnsi="Arial" w:cs="Arial"/>
          <w:lang w:val="en-US"/>
        </w:rPr>
        <w:t xml:space="preserve">Table </w:t>
      </w:r>
      <w:r w:rsidR="007C309C">
        <w:rPr>
          <w:rFonts w:ascii="Arial" w:hAnsi="Arial" w:cs="Arial"/>
          <w:lang w:val="en-US"/>
        </w:rPr>
        <w:t>1</w:t>
      </w:r>
      <w:r w:rsidRPr="00DE7E02">
        <w:rPr>
          <w:rFonts w:ascii="Arial" w:hAnsi="Arial" w:cs="Arial"/>
          <w:lang w:val="en-US"/>
        </w:rPr>
        <w:t xml:space="preserve"> presents the total costs and </w:t>
      </w:r>
      <w:r>
        <w:rPr>
          <w:rFonts w:ascii="Arial" w:hAnsi="Arial" w:cs="Arial"/>
          <w:lang w:val="en-US"/>
        </w:rPr>
        <w:t>utility</w:t>
      </w:r>
      <w:r w:rsidR="002311E0">
        <w:rPr>
          <w:rFonts w:ascii="Arial" w:hAnsi="Arial" w:cs="Arial"/>
          <w:lang w:val="en-US"/>
        </w:rPr>
        <w:t xml:space="preserve"> values</w:t>
      </w:r>
      <w:r w:rsidRPr="00DE7E02">
        <w:rPr>
          <w:rFonts w:ascii="Arial" w:hAnsi="Arial" w:cs="Arial"/>
          <w:lang w:val="en-US"/>
        </w:rPr>
        <w:t xml:space="preserve"> for patient</w:t>
      </w:r>
      <w:r w:rsidR="005670A4">
        <w:rPr>
          <w:rFonts w:ascii="Arial" w:hAnsi="Arial" w:cs="Arial"/>
          <w:lang w:val="en-US"/>
        </w:rPr>
        <w:t>s</w:t>
      </w:r>
      <w:r w:rsidRPr="00DE7E02">
        <w:rPr>
          <w:rFonts w:ascii="Arial" w:hAnsi="Arial" w:cs="Arial"/>
          <w:lang w:val="en-US"/>
        </w:rPr>
        <w:t xml:space="preserve"> with SMA</w:t>
      </w:r>
      <w:r w:rsidR="005670A4">
        <w:rPr>
          <w:rFonts w:ascii="Arial" w:hAnsi="Arial" w:cs="Arial"/>
          <w:lang w:val="en-US"/>
        </w:rPr>
        <w:t xml:space="preserve"> in the NIS group</w:t>
      </w:r>
      <w:r w:rsidR="004E0993">
        <w:rPr>
          <w:rFonts w:ascii="Arial" w:hAnsi="Arial" w:cs="Arial"/>
          <w:lang w:val="en-US"/>
        </w:rPr>
        <w:t xml:space="preserve"> </w:t>
      </w:r>
      <w:r w:rsidR="005670A4">
        <w:rPr>
          <w:rFonts w:ascii="Arial" w:hAnsi="Arial" w:cs="Arial"/>
          <w:lang w:val="en-US"/>
        </w:rPr>
        <w:t>and for patients in the symptomatic-treated group based on motor milestone reached</w:t>
      </w:r>
      <w:r w:rsidRPr="00DE7E02">
        <w:rPr>
          <w:rFonts w:ascii="Arial" w:hAnsi="Arial" w:cs="Arial"/>
          <w:lang w:val="en-US"/>
        </w:rPr>
        <w:t xml:space="preserve">. </w:t>
      </w:r>
    </w:p>
    <w:p w14:paraId="41189920" w14:textId="2455F26C" w:rsidR="008F6C08" w:rsidRPr="003A4731" w:rsidRDefault="00C452AF" w:rsidP="002131DA">
      <w:pPr>
        <w:pStyle w:val="NormalWeb"/>
        <w:jc w:val="both"/>
        <w:rPr>
          <w:rFonts w:ascii="Arial" w:hAnsi="Arial" w:cs="Arial"/>
          <w:i/>
          <w:iCs/>
          <w:lang w:val="en-US"/>
        </w:rPr>
      </w:pPr>
      <w:r w:rsidRPr="003A4731">
        <w:rPr>
          <w:rFonts w:ascii="Arial" w:hAnsi="Arial" w:cs="Arial"/>
          <w:i/>
          <w:iCs/>
          <w:lang w:val="en-US"/>
        </w:rPr>
        <w:t>Table 1</w:t>
      </w:r>
    </w:p>
    <w:p w14:paraId="01C0CDF7" w14:textId="2635657A" w:rsidR="00A54482" w:rsidRDefault="001D7158" w:rsidP="00A54482">
      <w:pPr>
        <w:pStyle w:val="Titre2"/>
        <w:rPr>
          <w:lang w:val="en-US"/>
        </w:rPr>
      </w:pPr>
      <w:r>
        <w:rPr>
          <w:lang w:val="en-US"/>
        </w:rPr>
        <w:t>Results and sensitivity analyses</w:t>
      </w:r>
    </w:p>
    <w:p w14:paraId="3DC109E5" w14:textId="7DA01C0D" w:rsidR="005A2FAD" w:rsidRPr="00BE6694" w:rsidRDefault="00A54482" w:rsidP="00BE6694">
      <w:pPr>
        <w:jc w:val="both"/>
        <w:rPr>
          <w:lang w:val="en-US"/>
        </w:rPr>
      </w:pPr>
      <w:r w:rsidRPr="000F4E85">
        <w:rPr>
          <w:lang w:val="en-US"/>
        </w:rPr>
        <w:t xml:space="preserve">Incremental costs and QALYs were </w:t>
      </w:r>
      <w:r w:rsidR="00E60A34">
        <w:rPr>
          <w:lang w:val="en-US"/>
        </w:rPr>
        <w:t>used</w:t>
      </w:r>
      <w:r w:rsidR="00E60A34" w:rsidRPr="000F4E85">
        <w:rPr>
          <w:lang w:val="en-US"/>
        </w:rPr>
        <w:t xml:space="preserve"> </w:t>
      </w:r>
      <w:r w:rsidRPr="000F4E85">
        <w:rPr>
          <w:lang w:val="en-US"/>
        </w:rPr>
        <w:t xml:space="preserve">to calculate </w:t>
      </w:r>
      <w:r w:rsidR="001D7158">
        <w:rPr>
          <w:lang w:val="en-US"/>
        </w:rPr>
        <w:t xml:space="preserve">the </w:t>
      </w:r>
      <w:r w:rsidR="00E30FA8">
        <w:rPr>
          <w:lang w:val="en-US"/>
        </w:rPr>
        <w:t>i</w:t>
      </w:r>
      <w:r w:rsidRPr="000F4E85">
        <w:rPr>
          <w:lang w:val="en-US"/>
        </w:rPr>
        <w:t>ncremental cost-effectiveness ratios (ICERs)</w:t>
      </w:r>
      <w:r w:rsidR="001D7158">
        <w:rPr>
          <w:lang w:val="en-US"/>
        </w:rPr>
        <w:t xml:space="preserve"> of</w:t>
      </w:r>
      <w:r w:rsidR="00E30FA8">
        <w:rPr>
          <w:lang w:val="en-US"/>
        </w:rPr>
        <w:t xml:space="preserve"> symptomatic</w:t>
      </w:r>
      <w:r w:rsidR="009E6A7E">
        <w:rPr>
          <w:lang w:val="en-US"/>
        </w:rPr>
        <w:t>-</w:t>
      </w:r>
      <w:r w:rsidR="00E30FA8">
        <w:rPr>
          <w:lang w:val="en-US"/>
        </w:rPr>
        <w:t xml:space="preserve">treated </w:t>
      </w:r>
      <w:r w:rsidR="005D6A44">
        <w:rPr>
          <w:lang w:val="en-US"/>
        </w:rPr>
        <w:t>v</w:t>
      </w:r>
      <w:r w:rsidR="00AB646C">
        <w:rPr>
          <w:lang w:val="en-US"/>
        </w:rPr>
        <w:t>ersus</w:t>
      </w:r>
      <w:r w:rsidR="00E30FA8">
        <w:rPr>
          <w:lang w:val="en-US"/>
        </w:rPr>
        <w:t xml:space="preserve"> </w:t>
      </w:r>
      <w:r w:rsidR="005D6A44">
        <w:rPr>
          <w:lang w:val="en-US"/>
        </w:rPr>
        <w:t xml:space="preserve">NIS </w:t>
      </w:r>
      <w:r w:rsidR="00E30FA8">
        <w:rPr>
          <w:lang w:val="en-US"/>
        </w:rPr>
        <w:t>patients.</w:t>
      </w:r>
      <w:r w:rsidR="00D31262">
        <w:rPr>
          <w:lang w:val="en-US"/>
        </w:rPr>
        <w:t xml:space="preserve"> </w:t>
      </w:r>
      <w:r w:rsidR="001D7158" w:rsidRPr="001D7158">
        <w:rPr>
          <w:lang w:val="en-US"/>
        </w:rPr>
        <w:t>To assess</w:t>
      </w:r>
      <w:r w:rsidR="001D7158">
        <w:rPr>
          <w:lang w:val="en-US"/>
        </w:rPr>
        <w:t xml:space="preserve"> the robustness of </w:t>
      </w:r>
      <w:r w:rsidR="007C309C">
        <w:rPr>
          <w:lang w:val="en-US"/>
        </w:rPr>
        <w:t xml:space="preserve">the </w:t>
      </w:r>
      <w:r w:rsidR="001D7158">
        <w:rPr>
          <w:lang w:val="en-US"/>
        </w:rPr>
        <w:t>analysis</w:t>
      </w:r>
      <w:r w:rsidR="001D7158" w:rsidRPr="001D7158">
        <w:rPr>
          <w:lang w:val="en-US"/>
        </w:rPr>
        <w:t xml:space="preserve">, </w:t>
      </w:r>
      <w:r w:rsidR="001D7158">
        <w:rPr>
          <w:lang w:val="en-US"/>
        </w:rPr>
        <w:t xml:space="preserve">various </w:t>
      </w:r>
      <w:r w:rsidR="00B20027">
        <w:rPr>
          <w:lang w:val="en-US"/>
        </w:rPr>
        <w:t xml:space="preserve">scenarios </w:t>
      </w:r>
      <w:r w:rsidR="001D7158">
        <w:rPr>
          <w:lang w:val="en-US"/>
        </w:rPr>
        <w:t xml:space="preserve">and </w:t>
      </w:r>
      <w:r w:rsidR="00E30FA8">
        <w:rPr>
          <w:lang w:val="en-US"/>
        </w:rPr>
        <w:t>probabilistic sensitivity analyses</w:t>
      </w:r>
      <w:r w:rsidR="001D7158" w:rsidRPr="001D7158">
        <w:rPr>
          <w:lang w:val="en-US"/>
        </w:rPr>
        <w:t xml:space="preserve"> were completed.</w:t>
      </w:r>
      <w:r w:rsidR="00AB646C">
        <w:rPr>
          <w:lang w:val="en-US"/>
        </w:rPr>
        <w:t xml:space="preserve"> </w:t>
      </w:r>
      <w:r w:rsidR="007C309C">
        <w:rPr>
          <w:lang w:val="en-US"/>
        </w:rPr>
        <w:t xml:space="preserve">The following </w:t>
      </w:r>
      <w:r w:rsidR="005D6A44">
        <w:rPr>
          <w:lang w:val="en-US"/>
        </w:rPr>
        <w:t>scenarios</w:t>
      </w:r>
      <w:r w:rsidR="008971B9">
        <w:rPr>
          <w:lang w:val="en-US"/>
        </w:rPr>
        <w:t xml:space="preserve"> were </w:t>
      </w:r>
      <w:r w:rsidR="00AB646C">
        <w:rPr>
          <w:lang w:val="en-US"/>
        </w:rPr>
        <w:t>considered</w:t>
      </w:r>
      <w:r w:rsidR="008971B9">
        <w:rPr>
          <w:lang w:val="en-US"/>
        </w:rPr>
        <w:t xml:space="preserve">: </w:t>
      </w:r>
      <w:r w:rsidR="003610AA">
        <w:rPr>
          <w:lang w:val="en-US"/>
        </w:rPr>
        <w:t xml:space="preserve">Scenario </w:t>
      </w:r>
      <w:r w:rsidR="009263AD">
        <w:rPr>
          <w:lang w:val="en-US"/>
        </w:rPr>
        <w:t>S</w:t>
      </w:r>
      <w:r w:rsidR="00415EC4">
        <w:rPr>
          <w:lang w:val="en-US"/>
        </w:rPr>
        <w:t>1</w:t>
      </w:r>
      <w:r w:rsidR="005D6A44" w:rsidRPr="005D6A44">
        <w:rPr>
          <w:lang w:val="en-US"/>
        </w:rPr>
        <w:t xml:space="preserve"> </w:t>
      </w:r>
      <w:r w:rsidR="003610AA">
        <w:rPr>
          <w:lang w:val="en-US"/>
        </w:rPr>
        <w:t>used</w:t>
      </w:r>
      <w:r w:rsidR="000D1C71">
        <w:rPr>
          <w:lang w:val="en-US"/>
        </w:rPr>
        <w:t xml:space="preserve"> </w:t>
      </w:r>
      <w:r w:rsidR="008971B9">
        <w:rPr>
          <w:lang w:val="en-US"/>
        </w:rPr>
        <w:t xml:space="preserve">the societal perspective (including </w:t>
      </w:r>
      <w:r w:rsidR="005D6A44">
        <w:rPr>
          <w:lang w:val="en-US"/>
        </w:rPr>
        <w:t>non-medical costs</w:t>
      </w:r>
      <w:r w:rsidR="008971B9">
        <w:rPr>
          <w:lang w:val="en-US"/>
        </w:rPr>
        <w:t>)</w:t>
      </w:r>
      <w:r w:rsidR="000D1C71">
        <w:rPr>
          <w:lang w:val="en-US"/>
        </w:rPr>
        <w:t>.</w:t>
      </w:r>
      <w:r w:rsidR="008971B9">
        <w:rPr>
          <w:lang w:val="en-US"/>
        </w:rPr>
        <w:t xml:space="preserve"> </w:t>
      </w:r>
      <w:r w:rsidR="003610AA">
        <w:rPr>
          <w:lang w:val="en-US"/>
        </w:rPr>
        <w:t xml:space="preserve">Scenario </w:t>
      </w:r>
      <w:r w:rsidR="009263AD">
        <w:rPr>
          <w:lang w:val="en-US"/>
        </w:rPr>
        <w:t>S</w:t>
      </w:r>
      <w:r w:rsidR="00415EC4">
        <w:rPr>
          <w:lang w:val="en-US"/>
        </w:rPr>
        <w:t>2</w:t>
      </w:r>
      <w:r w:rsidR="003610AA">
        <w:rPr>
          <w:lang w:val="en-US"/>
        </w:rPr>
        <w:t xml:space="preserve"> </w:t>
      </w:r>
      <w:r w:rsidR="000D1C71">
        <w:rPr>
          <w:lang w:val="en-US"/>
        </w:rPr>
        <w:t xml:space="preserve">reflects </w:t>
      </w:r>
      <w:r w:rsidR="008971B9">
        <w:rPr>
          <w:lang w:val="en-US"/>
        </w:rPr>
        <w:t>caregiver burden</w:t>
      </w:r>
      <w:r w:rsidR="005D6A44">
        <w:rPr>
          <w:lang w:val="en-US"/>
        </w:rPr>
        <w:t xml:space="preserve"> (</w:t>
      </w:r>
      <w:r w:rsidR="000D1C71">
        <w:rPr>
          <w:lang w:val="en-US"/>
        </w:rPr>
        <w:t xml:space="preserve">including </w:t>
      </w:r>
      <w:r w:rsidR="005D6A44">
        <w:rPr>
          <w:lang w:val="en-US"/>
        </w:rPr>
        <w:t>healthcare cost</w:t>
      </w:r>
      <w:r w:rsidR="000D1C71">
        <w:rPr>
          <w:lang w:val="en-US"/>
        </w:rPr>
        <w:t>s,</w:t>
      </w:r>
      <w:r w:rsidR="005D6A44">
        <w:rPr>
          <w:lang w:val="en-US"/>
        </w:rPr>
        <w:t xml:space="preserve"> non-medical costs</w:t>
      </w:r>
      <w:r w:rsidR="000D1C71">
        <w:rPr>
          <w:lang w:val="en-US"/>
        </w:rPr>
        <w:t>,</w:t>
      </w:r>
      <w:r w:rsidR="005D6A44">
        <w:rPr>
          <w:lang w:val="en-US"/>
        </w:rPr>
        <w:t xml:space="preserve"> parents’ loss of productivity</w:t>
      </w:r>
      <w:r w:rsidR="000D1C71">
        <w:rPr>
          <w:lang w:val="en-US"/>
        </w:rPr>
        <w:t>, and</w:t>
      </w:r>
      <w:r w:rsidR="00463AD2" w:rsidRPr="00463AD2">
        <w:rPr>
          <w:lang w:val="en-US"/>
        </w:rPr>
        <w:t xml:space="preserve"> </w:t>
      </w:r>
      <w:r w:rsidR="00463AD2" w:rsidRPr="00E30FA8">
        <w:rPr>
          <w:lang w:val="en-US"/>
        </w:rPr>
        <w:t xml:space="preserve">impact on the quality of life of the </w:t>
      </w:r>
      <w:r w:rsidR="000D1C71">
        <w:rPr>
          <w:lang w:val="en-US"/>
        </w:rPr>
        <w:t>caregiver</w:t>
      </w:r>
      <w:r w:rsidR="005D6A44">
        <w:rPr>
          <w:lang w:val="en-US"/>
        </w:rPr>
        <w:t>)</w:t>
      </w:r>
      <w:r w:rsidR="000D1C71">
        <w:rPr>
          <w:lang w:val="en-US"/>
        </w:rPr>
        <w:t>.</w:t>
      </w:r>
      <w:r w:rsidR="0001465E" w:rsidRPr="005D6A44">
        <w:rPr>
          <w:lang w:val="en-US"/>
        </w:rPr>
        <w:t xml:space="preserve"> </w:t>
      </w:r>
      <w:r w:rsidR="003610AA">
        <w:rPr>
          <w:lang w:val="en-US"/>
        </w:rPr>
        <w:t xml:space="preserve">For scenario </w:t>
      </w:r>
      <w:r w:rsidR="0001465E">
        <w:rPr>
          <w:lang w:val="en-US"/>
        </w:rPr>
        <w:t>S3</w:t>
      </w:r>
      <w:r w:rsidR="000D1C71">
        <w:rPr>
          <w:lang w:val="en-US"/>
        </w:rPr>
        <w:t xml:space="preserve">, </w:t>
      </w:r>
      <w:r w:rsidR="000D6A79">
        <w:rPr>
          <w:lang w:val="en-US"/>
        </w:rPr>
        <w:t>treatments were distributed based on the percentages of patients in our cohort treated with each approved drug</w:t>
      </w:r>
      <w:r w:rsidR="0001465E" w:rsidRPr="005D6A44">
        <w:rPr>
          <w:lang w:val="en-US"/>
        </w:rPr>
        <w:t xml:space="preserve">. It should be noted that this exercise </w:t>
      </w:r>
      <w:r w:rsidR="000D1C71">
        <w:rPr>
          <w:lang w:val="en-US"/>
        </w:rPr>
        <w:t xml:space="preserve">does </w:t>
      </w:r>
      <w:r w:rsidR="0001465E" w:rsidRPr="005D6A44">
        <w:rPr>
          <w:lang w:val="en-US"/>
        </w:rPr>
        <w:t xml:space="preserve">not reflect reality as the accessibility of the treatment is </w:t>
      </w:r>
      <w:r w:rsidR="000D1C71">
        <w:rPr>
          <w:lang w:val="en-US"/>
        </w:rPr>
        <w:t>influenced</w:t>
      </w:r>
      <w:r w:rsidR="000D1C71" w:rsidRPr="005D6A44">
        <w:rPr>
          <w:lang w:val="en-US"/>
        </w:rPr>
        <w:t xml:space="preserve"> </w:t>
      </w:r>
      <w:r w:rsidR="0001465E" w:rsidRPr="005D6A44">
        <w:rPr>
          <w:lang w:val="en-US"/>
        </w:rPr>
        <w:t xml:space="preserve">by marketing authorizations (e.g., </w:t>
      </w:r>
      <w:r w:rsidR="000D1C71">
        <w:rPr>
          <w:lang w:val="en-US"/>
        </w:rPr>
        <w:t>o</w:t>
      </w:r>
      <w:r w:rsidR="0001465E" w:rsidRPr="005D6A44">
        <w:rPr>
          <w:lang w:val="en-US"/>
        </w:rPr>
        <w:t xml:space="preserve">nasemnogene </w:t>
      </w:r>
      <w:r w:rsidR="000D1C71">
        <w:rPr>
          <w:lang w:val="en-US"/>
        </w:rPr>
        <w:t>a</w:t>
      </w:r>
      <w:r w:rsidR="0001465E" w:rsidRPr="005D6A44">
        <w:rPr>
          <w:lang w:val="en-US"/>
        </w:rPr>
        <w:t>beparvovec</w:t>
      </w:r>
      <w:r w:rsidR="000D1C71">
        <w:rPr>
          <w:lang w:val="en-US"/>
        </w:rPr>
        <w:t xml:space="preserve"> is</w:t>
      </w:r>
      <w:r w:rsidR="0001465E" w:rsidRPr="005D6A44">
        <w:rPr>
          <w:lang w:val="en-US"/>
        </w:rPr>
        <w:t xml:space="preserve"> limited to patients with </w:t>
      </w:r>
      <w:r w:rsidR="000D1C71">
        <w:rPr>
          <w:lang w:val="en-US"/>
        </w:rPr>
        <w:t>two or three</w:t>
      </w:r>
      <w:r w:rsidR="0001465E" w:rsidRPr="005D6A44">
        <w:rPr>
          <w:lang w:val="en-US"/>
        </w:rPr>
        <w:t xml:space="preserve"> copies</w:t>
      </w:r>
      <w:r w:rsidR="000D1C71">
        <w:rPr>
          <w:lang w:val="en-US"/>
        </w:rPr>
        <w:t xml:space="preserve"> of </w:t>
      </w:r>
      <w:r w:rsidR="000D1C71" w:rsidRPr="001C73F6">
        <w:rPr>
          <w:i/>
          <w:iCs/>
          <w:lang w:val="en-US"/>
        </w:rPr>
        <w:t>SMN2</w:t>
      </w:r>
      <w:r w:rsidR="0001465E" w:rsidRPr="005D6A44">
        <w:rPr>
          <w:lang w:val="en-US"/>
        </w:rPr>
        <w:t xml:space="preserve"> </w:t>
      </w:r>
      <w:r w:rsidR="000D1C71">
        <w:rPr>
          <w:lang w:val="en-US"/>
        </w:rPr>
        <w:t xml:space="preserve">who weigh </w:t>
      </w:r>
      <w:r w:rsidR="0001465E" w:rsidRPr="005D6A44">
        <w:rPr>
          <w:lang w:val="en-US"/>
        </w:rPr>
        <w:t>under 12</w:t>
      </w:r>
      <w:r w:rsidR="0001465E">
        <w:rPr>
          <w:lang w:val="en-US"/>
        </w:rPr>
        <w:t xml:space="preserve"> </w:t>
      </w:r>
      <w:r w:rsidR="0001465E" w:rsidRPr="005D6A44">
        <w:rPr>
          <w:lang w:val="en-US"/>
        </w:rPr>
        <w:t xml:space="preserve">kg </w:t>
      </w:r>
      <w:r w:rsidR="000D1C71">
        <w:rPr>
          <w:lang w:val="en-US"/>
        </w:rPr>
        <w:t>and r</w:t>
      </w:r>
      <w:r w:rsidR="0001465E" w:rsidRPr="005D6A44">
        <w:rPr>
          <w:lang w:val="en-US"/>
        </w:rPr>
        <w:t>isdiplam</w:t>
      </w:r>
      <w:r w:rsidR="000D1C71">
        <w:rPr>
          <w:lang w:val="en-US"/>
        </w:rPr>
        <w:t xml:space="preserve"> can only be used to treated patients who are older than</w:t>
      </w:r>
      <w:r w:rsidR="0001465E" w:rsidRPr="005D6A44">
        <w:rPr>
          <w:lang w:val="en-US"/>
        </w:rPr>
        <w:t xml:space="preserve"> 2 months).</w:t>
      </w:r>
      <w:r w:rsidR="0001465E">
        <w:rPr>
          <w:lang w:val="en-US"/>
        </w:rPr>
        <w:t xml:space="preserve"> </w:t>
      </w:r>
      <w:r w:rsidR="003610AA">
        <w:rPr>
          <w:lang w:val="en-US"/>
        </w:rPr>
        <w:t xml:space="preserve">Scenario </w:t>
      </w:r>
      <w:r w:rsidR="009263AD">
        <w:rPr>
          <w:lang w:val="en-US"/>
        </w:rPr>
        <w:t>S</w:t>
      </w:r>
      <w:r w:rsidR="0001465E">
        <w:rPr>
          <w:lang w:val="en-US"/>
        </w:rPr>
        <w:t>4</w:t>
      </w:r>
      <w:r w:rsidR="000D1C71">
        <w:rPr>
          <w:lang w:val="en-US"/>
        </w:rPr>
        <w:t xml:space="preserve"> considered the</w:t>
      </w:r>
      <w:r w:rsidR="00B20027">
        <w:rPr>
          <w:lang w:val="en-US"/>
        </w:rPr>
        <w:t xml:space="preserve"> preferences</w:t>
      </w:r>
      <w:r w:rsidR="000D1C71">
        <w:rPr>
          <w:lang w:val="en-US"/>
        </w:rPr>
        <w:t xml:space="preserve"> of parents</w:t>
      </w:r>
      <w:r w:rsidR="005D6A44" w:rsidRPr="005B4EE9">
        <w:rPr>
          <w:lang w:val="en-US"/>
        </w:rPr>
        <w:t xml:space="preserve"> for the treatment of NIS children</w:t>
      </w:r>
      <w:r w:rsidR="00B20027">
        <w:rPr>
          <w:lang w:val="en-US"/>
        </w:rPr>
        <w:t xml:space="preserve"> b</w:t>
      </w:r>
      <w:r w:rsidR="005D6A44" w:rsidRPr="005B4EE9">
        <w:rPr>
          <w:lang w:val="en-US"/>
        </w:rPr>
        <w:t>ased on the recent work of Deng et al</w:t>
      </w:r>
      <w:r w:rsidR="003610AA">
        <w:rPr>
          <w:lang w:val="en-US"/>
        </w:rPr>
        <w:t>.</w:t>
      </w:r>
      <w:r w:rsidR="005D6A44">
        <w:rPr>
          <w:lang w:val="en-US"/>
        </w:rPr>
        <w:t xml:space="preserve"> </w:t>
      </w:r>
      <w:r w:rsidR="005D6A44">
        <w:rPr>
          <w:lang w:val="en-US"/>
        </w:rPr>
        <w:fldChar w:fldCharType="begin" w:fldLock="1"/>
      </w:r>
      <w:r w:rsidR="001336C2">
        <w:rPr>
          <w:lang w:val="en-US"/>
        </w:rPr>
        <w:instrText>ADDIN CSL_CITATION {"citationItems":[{"id":"ITEM-1","itemData":{"DOI":"10.1177/08830738211040292","ISSN":"1708-8283 (Electronic)","PMID":"34753336","abstract":"OBJECTIVE: To identify factors parents considered in treatment decision making for children diagnosed with spinal muscular atrophy on newborn screening. METHODS: Participants were recruited through the University of Rochester or through flyers and Cure SMA social media outreach and asked to complete a telephone or online survey. Data were analyzed through mixed methods using descriptive statistics and theme identification in narrative responses. RESULTS: Eighteen parents with children diagnosed with spinal muscular atrophy on newborn screening participated. Thirteen of 18 chose onasemnogene abeparvovec, 2 of 18 chose risdiplam, 1 of 18 chose nusinersen, and 2 of 18 did not receive treatment. The most commonly reported factors impacting treatment choice included treatment frequency and administration method. Seventeen (94.4%) parents felt that inclusion of spinal muscular atrophy on newborn screening was positive because it could allow for better outcomes with earlier treatment. CONCLUSION: Treatment frequency and administration method were the most important factors for parents in determining spinal muscular atrophy treatment. Parents felt positively about newborn screening due to opportunity for earlier treatment.","author":[{"dropping-particle":"","family":"Deng","given":"Stella","non-dropping-particle":"","parse-names":false,"suffix":""},{"dropping-particle":"","family":"Lee","given":"Bo Hoon","non-dropping-particle":"","parse-names":false,"suffix":""},{"dropping-particle":"","family":"Ciafaloni","given":"Emma","non-dropping-particle":"","parse-names":false,"suffix":""}],"container-title":"Journal of child neurology","id":"ITEM-1","issue":"1","issued":{"date-parts":[["2022","1"]]},"language":"eng","page":"43-49","publisher-place":"United States","title":"Parent Perceptions in Choosing Treatment for Infants With Spinal Muscular Atrophy Diagnosed Through Newborn Screening.","type":"article-journal","volume":"37"},"uris":["http://www.mendeley.com/documents/?uuid=bbf343dd-e6d3-45ad-834a-228408151bab"]}],"mendeley":{"formattedCitation":"&lt;sup&gt;26&lt;/sup&gt;","plainTextFormattedCitation":"26","previouslyFormattedCitation":"&lt;sup&gt;26&lt;/sup&gt;"},"properties":{"noteIndex":0},"schema":"https://github.com/citation-style-language/schema/raw/master/csl-citation.json"}</w:instrText>
      </w:r>
      <w:r w:rsidR="005D6A44">
        <w:rPr>
          <w:lang w:val="en-US"/>
        </w:rPr>
        <w:fldChar w:fldCharType="separate"/>
      </w:r>
      <w:r w:rsidR="009B0AF4" w:rsidRPr="009B0AF4">
        <w:rPr>
          <w:noProof/>
          <w:vertAlign w:val="superscript"/>
          <w:lang w:val="en-US"/>
        </w:rPr>
        <w:t>26</w:t>
      </w:r>
      <w:r w:rsidR="005D6A44">
        <w:rPr>
          <w:lang w:val="en-US"/>
        </w:rPr>
        <w:fldChar w:fldCharType="end"/>
      </w:r>
      <w:r w:rsidR="00B20027">
        <w:rPr>
          <w:lang w:val="en-US"/>
        </w:rPr>
        <w:t>. This study</w:t>
      </w:r>
      <w:r w:rsidR="005D6A44" w:rsidRPr="005B4EE9">
        <w:rPr>
          <w:lang w:val="en-US"/>
        </w:rPr>
        <w:t xml:space="preserve"> </w:t>
      </w:r>
      <w:r w:rsidR="003610AA">
        <w:rPr>
          <w:lang w:val="en-US"/>
        </w:rPr>
        <w:t>reported</w:t>
      </w:r>
      <w:r w:rsidR="003610AA" w:rsidRPr="005B4EE9">
        <w:rPr>
          <w:lang w:val="en-US"/>
        </w:rPr>
        <w:t xml:space="preserve"> </w:t>
      </w:r>
      <w:r w:rsidR="005D6A44" w:rsidRPr="005B4EE9">
        <w:rPr>
          <w:lang w:val="en-US"/>
        </w:rPr>
        <w:t xml:space="preserve">the </w:t>
      </w:r>
      <w:r w:rsidR="003610AA">
        <w:rPr>
          <w:lang w:val="en-US"/>
        </w:rPr>
        <w:t>choices</w:t>
      </w:r>
      <w:r w:rsidR="003610AA" w:rsidRPr="005B4EE9">
        <w:rPr>
          <w:lang w:val="en-US"/>
        </w:rPr>
        <w:t xml:space="preserve"> </w:t>
      </w:r>
      <w:r w:rsidR="005D6A44" w:rsidRPr="005B4EE9">
        <w:rPr>
          <w:lang w:val="en-US"/>
        </w:rPr>
        <w:t xml:space="preserve">of 18 </w:t>
      </w:r>
      <w:r w:rsidR="003610AA">
        <w:rPr>
          <w:lang w:val="en-US"/>
        </w:rPr>
        <w:t xml:space="preserve">sets of </w:t>
      </w:r>
      <w:r w:rsidR="005D6A44" w:rsidRPr="005B4EE9">
        <w:rPr>
          <w:lang w:val="en-US"/>
        </w:rPr>
        <w:t>parents whose child had been diagnosed with SMA following NBS</w:t>
      </w:r>
      <w:r w:rsidR="003610AA">
        <w:rPr>
          <w:lang w:val="en-US"/>
        </w:rPr>
        <w:t>. Of these 18 children,</w:t>
      </w:r>
      <w:r w:rsidR="00B20027">
        <w:rPr>
          <w:lang w:val="en-US"/>
        </w:rPr>
        <w:t xml:space="preserve"> </w:t>
      </w:r>
      <w:r w:rsidR="000C343D">
        <w:rPr>
          <w:lang w:val="en-US"/>
        </w:rPr>
        <w:t>t</w:t>
      </w:r>
      <w:r w:rsidR="005D6A44" w:rsidRPr="005B4EE9">
        <w:rPr>
          <w:lang w:val="en-US"/>
        </w:rPr>
        <w:t xml:space="preserve">hirteen </w:t>
      </w:r>
      <w:r w:rsidR="00B20027">
        <w:rPr>
          <w:lang w:val="en-US"/>
        </w:rPr>
        <w:t>(</w:t>
      </w:r>
      <w:r w:rsidR="0001465E">
        <w:rPr>
          <w:lang w:val="en-US"/>
        </w:rPr>
        <w:t>72</w:t>
      </w:r>
      <w:r w:rsidR="00B20027">
        <w:rPr>
          <w:lang w:val="en-US"/>
        </w:rPr>
        <w:t>%)</w:t>
      </w:r>
      <w:r w:rsidR="005D6A44" w:rsidRPr="005B4EE9">
        <w:rPr>
          <w:lang w:val="en-US"/>
        </w:rPr>
        <w:t xml:space="preserve"> </w:t>
      </w:r>
      <w:r w:rsidR="003610AA">
        <w:rPr>
          <w:lang w:val="en-US"/>
        </w:rPr>
        <w:t>were given</w:t>
      </w:r>
      <w:r w:rsidR="003610AA" w:rsidRPr="005B4EE9">
        <w:rPr>
          <w:lang w:val="en-US"/>
        </w:rPr>
        <w:t xml:space="preserve"> </w:t>
      </w:r>
      <w:r w:rsidR="003610AA">
        <w:rPr>
          <w:lang w:val="en-US"/>
        </w:rPr>
        <w:t>o</w:t>
      </w:r>
      <w:r w:rsidR="005D6A44" w:rsidRPr="005B4EE9">
        <w:rPr>
          <w:lang w:val="en-US"/>
        </w:rPr>
        <w:t xml:space="preserve">nasemnogene </w:t>
      </w:r>
      <w:r w:rsidR="003610AA">
        <w:rPr>
          <w:lang w:val="en-US"/>
        </w:rPr>
        <w:t>a</w:t>
      </w:r>
      <w:r w:rsidR="005D6A44" w:rsidRPr="005B4EE9">
        <w:rPr>
          <w:lang w:val="en-US"/>
        </w:rPr>
        <w:t>beparvovec,</w:t>
      </w:r>
      <w:r w:rsidR="005D6A44">
        <w:rPr>
          <w:lang w:val="en-US"/>
        </w:rPr>
        <w:t xml:space="preserve"> </w:t>
      </w:r>
      <w:r w:rsidR="003610AA">
        <w:rPr>
          <w:lang w:val="en-US"/>
        </w:rPr>
        <w:t>two</w:t>
      </w:r>
      <w:r w:rsidR="005D6A44" w:rsidRPr="005B4EE9">
        <w:rPr>
          <w:lang w:val="en-US"/>
        </w:rPr>
        <w:t xml:space="preserve"> </w:t>
      </w:r>
      <w:r w:rsidR="00B20027">
        <w:rPr>
          <w:lang w:val="en-US"/>
        </w:rPr>
        <w:t>(</w:t>
      </w:r>
      <w:r w:rsidR="0001465E">
        <w:rPr>
          <w:lang w:val="en-US"/>
        </w:rPr>
        <w:t>11</w:t>
      </w:r>
      <w:r w:rsidR="00B20027">
        <w:rPr>
          <w:lang w:val="en-US"/>
        </w:rPr>
        <w:t>%)</w:t>
      </w:r>
      <w:r w:rsidR="003610AA">
        <w:rPr>
          <w:lang w:val="en-US"/>
        </w:rPr>
        <w:t xml:space="preserve"> r</w:t>
      </w:r>
      <w:r w:rsidR="005D6A44" w:rsidRPr="005B4EE9">
        <w:rPr>
          <w:lang w:val="en-US"/>
        </w:rPr>
        <w:t xml:space="preserve">isdiplam, </w:t>
      </w:r>
      <w:r w:rsidR="003610AA">
        <w:rPr>
          <w:lang w:val="en-US"/>
        </w:rPr>
        <w:t>one</w:t>
      </w:r>
      <w:r w:rsidR="005D6A44" w:rsidRPr="005B4EE9">
        <w:rPr>
          <w:lang w:val="en-US"/>
        </w:rPr>
        <w:t xml:space="preserve"> </w:t>
      </w:r>
      <w:r w:rsidR="003610AA">
        <w:rPr>
          <w:lang w:val="en-US"/>
        </w:rPr>
        <w:t>n</w:t>
      </w:r>
      <w:r w:rsidR="005D6A44">
        <w:rPr>
          <w:lang w:val="en-US"/>
        </w:rPr>
        <w:t>usinersen</w:t>
      </w:r>
      <w:r w:rsidR="0001465E">
        <w:rPr>
          <w:lang w:val="en-US"/>
        </w:rPr>
        <w:t xml:space="preserve"> (5%)</w:t>
      </w:r>
      <w:r w:rsidR="005D6A44" w:rsidRPr="005B4EE9">
        <w:rPr>
          <w:lang w:val="en-US"/>
        </w:rPr>
        <w:t xml:space="preserve">, and </w:t>
      </w:r>
      <w:r w:rsidR="003610AA">
        <w:rPr>
          <w:lang w:val="en-US"/>
        </w:rPr>
        <w:t>two</w:t>
      </w:r>
      <w:r w:rsidR="005D6A44" w:rsidRPr="005B4EE9">
        <w:rPr>
          <w:lang w:val="en-US"/>
        </w:rPr>
        <w:t xml:space="preserve"> </w:t>
      </w:r>
      <w:r w:rsidR="003610AA">
        <w:rPr>
          <w:lang w:val="en-US"/>
        </w:rPr>
        <w:t xml:space="preserve">(11%) </w:t>
      </w:r>
      <w:r w:rsidR="005D6A44" w:rsidRPr="005B4EE9">
        <w:rPr>
          <w:lang w:val="en-US"/>
        </w:rPr>
        <w:t>did not receive any treatment</w:t>
      </w:r>
      <w:r w:rsidR="0001465E">
        <w:rPr>
          <w:lang w:val="en-US"/>
        </w:rPr>
        <w:t xml:space="preserve"> </w:t>
      </w:r>
      <w:r w:rsidR="009B0AF4">
        <w:rPr>
          <w:lang w:val="en-US"/>
        </w:rPr>
        <w:t>by choice of the parents</w:t>
      </w:r>
      <w:r w:rsidR="005D6A44" w:rsidRPr="005B4EE9">
        <w:rPr>
          <w:lang w:val="en-US"/>
        </w:rPr>
        <w:t xml:space="preserve">. </w:t>
      </w:r>
      <w:r w:rsidR="003610AA">
        <w:rPr>
          <w:lang w:val="en-US"/>
        </w:rPr>
        <w:t>In</w:t>
      </w:r>
      <w:r w:rsidR="005D6A44" w:rsidRPr="005B4EE9">
        <w:rPr>
          <w:lang w:val="en-US"/>
        </w:rPr>
        <w:t xml:space="preserve"> Belgium</w:t>
      </w:r>
      <w:r w:rsidR="003610AA">
        <w:rPr>
          <w:lang w:val="en-US"/>
        </w:rPr>
        <w:t>,</w:t>
      </w:r>
      <w:r w:rsidR="005D6A44" w:rsidRPr="005B4EE9">
        <w:rPr>
          <w:lang w:val="en-US"/>
        </w:rPr>
        <w:t xml:space="preserve"> all patients would be treated, even if they had </w:t>
      </w:r>
      <w:r w:rsidR="003610AA">
        <w:rPr>
          <w:lang w:val="en-US"/>
        </w:rPr>
        <w:t>four</w:t>
      </w:r>
      <w:r w:rsidR="005D6A44" w:rsidRPr="005B4EE9">
        <w:rPr>
          <w:lang w:val="en-US"/>
        </w:rPr>
        <w:t xml:space="preserve"> copies of </w:t>
      </w:r>
      <w:r w:rsidR="005D6A44" w:rsidRPr="006331D6">
        <w:rPr>
          <w:i/>
          <w:iCs/>
          <w:lang w:val="en-US"/>
        </w:rPr>
        <w:t>SMN2</w:t>
      </w:r>
      <w:r w:rsidR="005D6A44" w:rsidRPr="005B4EE9">
        <w:rPr>
          <w:lang w:val="en-US"/>
        </w:rPr>
        <w:t xml:space="preserve">. We therefore allocated </w:t>
      </w:r>
      <w:r w:rsidR="003610AA">
        <w:rPr>
          <w:lang w:val="en-US"/>
        </w:rPr>
        <w:t>the percentage of untreated subjects to the r</w:t>
      </w:r>
      <w:r w:rsidR="005D6A44" w:rsidRPr="005B4EE9">
        <w:rPr>
          <w:lang w:val="en-US"/>
        </w:rPr>
        <w:t>isdiplam</w:t>
      </w:r>
      <w:r w:rsidR="00316FE4">
        <w:rPr>
          <w:lang w:val="en-US"/>
        </w:rPr>
        <w:t xml:space="preserve"> group</w:t>
      </w:r>
      <w:r w:rsidR="005D6A44" w:rsidRPr="005B4EE9">
        <w:rPr>
          <w:lang w:val="en-US"/>
        </w:rPr>
        <w:t xml:space="preserve">. </w:t>
      </w:r>
      <w:r w:rsidR="005D6A44">
        <w:rPr>
          <w:lang w:val="en-US"/>
        </w:rPr>
        <w:t xml:space="preserve">In this scenario, </w:t>
      </w:r>
      <w:r w:rsidR="003610AA">
        <w:rPr>
          <w:lang w:val="en-US"/>
        </w:rPr>
        <w:t xml:space="preserve">5.6% of </w:t>
      </w:r>
      <w:r w:rsidR="005D6A44">
        <w:rPr>
          <w:lang w:val="en-US"/>
        </w:rPr>
        <w:t xml:space="preserve">NIS patients would </w:t>
      </w:r>
      <w:r w:rsidR="003610AA">
        <w:rPr>
          <w:lang w:val="en-US"/>
        </w:rPr>
        <w:t>be treated with n</w:t>
      </w:r>
      <w:r w:rsidR="005D6A44">
        <w:rPr>
          <w:lang w:val="en-US"/>
        </w:rPr>
        <w:t xml:space="preserve">usinersen, </w:t>
      </w:r>
      <w:r w:rsidR="003610AA">
        <w:rPr>
          <w:lang w:val="en-US"/>
        </w:rPr>
        <w:t>72.2% with o</w:t>
      </w:r>
      <w:r w:rsidR="005D6A44" w:rsidRPr="005B4EE9">
        <w:rPr>
          <w:lang w:val="en-US"/>
        </w:rPr>
        <w:t xml:space="preserve">nasemnogene </w:t>
      </w:r>
      <w:r w:rsidR="003610AA">
        <w:rPr>
          <w:lang w:val="en-US"/>
        </w:rPr>
        <w:t>a</w:t>
      </w:r>
      <w:r w:rsidR="005D6A44" w:rsidRPr="005B4EE9">
        <w:rPr>
          <w:lang w:val="en-US"/>
        </w:rPr>
        <w:t>beparvovec</w:t>
      </w:r>
      <w:r w:rsidR="005D6A44">
        <w:rPr>
          <w:lang w:val="en-US"/>
        </w:rPr>
        <w:t xml:space="preserve">, and </w:t>
      </w:r>
      <w:r w:rsidR="003610AA">
        <w:rPr>
          <w:lang w:val="en-US"/>
        </w:rPr>
        <w:t>22.2% with r</w:t>
      </w:r>
      <w:r w:rsidR="005D6A44">
        <w:rPr>
          <w:lang w:val="en-US"/>
        </w:rPr>
        <w:t>isdiplam</w:t>
      </w:r>
      <w:r w:rsidR="00463AD2">
        <w:rPr>
          <w:lang w:val="en-US"/>
        </w:rPr>
        <w:t>, and t</w:t>
      </w:r>
      <w:r w:rsidR="005D6A44" w:rsidRPr="005B4EE9">
        <w:rPr>
          <w:lang w:val="en-US"/>
        </w:rPr>
        <w:t xml:space="preserve">he </w:t>
      </w:r>
      <w:r w:rsidR="003610AA">
        <w:rPr>
          <w:lang w:val="en-US"/>
        </w:rPr>
        <w:t xml:space="preserve">allotment of </w:t>
      </w:r>
      <w:r w:rsidR="00463AD2">
        <w:rPr>
          <w:lang w:val="en-US"/>
        </w:rPr>
        <w:t>symptomatic</w:t>
      </w:r>
      <w:r w:rsidR="009E6A7E">
        <w:rPr>
          <w:lang w:val="en-US"/>
        </w:rPr>
        <w:t>-</w:t>
      </w:r>
      <w:r w:rsidR="00463AD2">
        <w:rPr>
          <w:lang w:val="en-US"/>
        </w:rPr>
        <w:t xml:space="preserve">treated </w:t>
      </w:r>
      <w:r w:rsidR="005D6A44" w:rsidRPr="005B4EE9">
        <w:rPr>
          <w:lang w:val="en-US"/>
        </w:rPr>
        <w:t xml:space="preserve">patients </w:t>
      </w:r>
      <w:r w:rsidR="003610AA">
        <w:rPr>
          <w:lang w:val="en-US"/>
        </w:rPr>
        <w:t>to</w:t>
      </w:r>
      <w:r w:rsidR="005D6A44" w:rsidRPr="005B4EE9">
        <w:rPr>
          <w:lang w:val="en-US"/>
        </w:rPr>
        <w:t xml:space="preserve"> treatment</w:t>
      </w:r>
      <w:r w:rsidR="003610AA">
        <w:rPr>
          <w:lang w:val="en-US"/>
        </w:rPr>
        <w:t xml:space="preserve"> groups was the same</w:t>
      </w:r>
      <w:r w:rsidR="005D6A44" w:rsidRPr="005B4EE9">
        <w:rPr>
          <w:lang w:val="en-US"/>
        </w:rPr>
        <w:t xml:space="preserve"> as in </w:t>
      </w:r>
      <w:r w:rsidR="008809F8">
        <w:rPr>
          <w:lang w:val="en-US"/>
        </w:rPr>
        <w:t>this</w:t>
      </w:r>
      <w:r w:rsidR="008809F8" w:rsidRPr="005B4EE9">
        <w:rPr>
          <w:lang w:val="en-US"/>
        </w:rPr>
        <w:t xml:space="preserve"> </w:t>
      </w:r>
      <w:r w:rsidR="005D6A44" w:rsidRPr="005B4EE9">
        <w:rPr>
          <w:lang w:val="en-US"/>
        </w:rPr>
        <w:t>study.</w:t>
      </w:r>
      <w:r w:rsidR="005D6A44">
        <w:rPr>
          <w:lang w:val="en-US"/>
        </w:rPr>
        <w:t xml:space="preserve"> </w:t>
      </w:r>
      <w:r w:rsidR="003610AA">
        <w:rPr>
          <w:lang w:val="en-US"/>
        </w:rPr>
        <w:t xml:space="preserve">Scenario </w:t>
      </w:r>
      <w:r w:rsidR="009263AD">
        <w:rPr>
          <w:lang w:val="en-US"/>
        </w:rPr>
        <w:t>S5</w:t>
      </w:r>
      <w:r w:rsidR="003610AA">
        <w:rPr>
          <w:lang w:val="en-US"/>
        </w:rPr>
        <w:t xml:space="preserve"> </w:t>
      </w:r>
      <w:r w:rsidR="009263AD">
        <w:rPr>
          <w:lang w:val="en-US"/>
        </w:rPr>
        <w:t>us</w:t>
      </w:r>
      <w:r w:rsidR="003610AA">
        <w:rPr>
          <w:lang w:val="en-US"/>
        </w:rPr>
        <w:t>ed</w:t>
      </w:r>
      <w:r w:rsidR="005D6A44" w:rsidRPr="00EF3403">
        <w:rPr>
          <w:lang w:val="en-US"/>
        </w:rPr>
        <w:t xml:space="preserve"> a 10-year time horizon </w:t>
      </w:r>
      <w:r w:rsidR="005D6A44">
        <w:rPr>
          <w:lang w:val="en-US"/>
        </w:rPr>
        <w:t xml:space="preserve">for </w:t>
      </w:r>
      <w:r w:rsidR="003610AA">
        <w:rPr>
          <w:lang w:val="en-US"/>
        </w:rPr>
        <w:t>(A) h</w:t>
      </w:r>
      <w:r w:rsidR="005D6A44">
        <w:rPr>
          <w:lang w:val="en-US"/>
        </w:rPr>
        <w:t xml:space="preserve">ealthcare perspective, </w:t>
      </w:r>
      <w:r w:rsidR="003610AA">
        <w:rPr>
          <w:lang w:val="en-US"/>
        </w:rPr>
        <w:t>(B)</w:t>
      </w:r>
      <w:r w:rsidR="005D6A44">
        <w:rPr>
          <w:lang w:val="en-US"/>
        </w:rPr>
        <w:t xml:space="preserve"> societal perspective, </w:t>
      </w:r>
      <w:r w:rsidR="003610AA">
        <w:rPr>
          <w:lang w:val="en-US"/>
        </w:rPr>
        <w:t>and (C) s</w:t>
      </w:r>
      <w:r w:rsidR="005D6A44">
        <w:rPr>
          <w:lang w:val="en-US"/>
        </w:rPr>
        <w:t xml:space="preserve">ocietal perspective </w:t>
      </w:r>
      <w:r w:rsidR="003610AA">
        <w:rPr>
          <w:lang w:val="en-US"/>
        </w:rPr>
        <w:t>plus</w:t>
      </w:r>
      <w:r w:rsidR="005D6A44">
        <w:rPr>
          <w:lang w:val="en-US"/>
        </w:rPr>
        <w:t xml:space="preserve"> caregiver burden. </w:t>
      </w:r>
      <w:r w:rsidR="003610AA">
        <w:rPr>
          <w:lang w:val="en-US"/>
        </w:rPr>
        <w:t xml:space="preserve">Scenario </w:t>
      </w:r>
      <w:r w:rsidR="009263AD">
        <w:rPr>
          <w:lang w:val="en-US"/>
        </w:rPr>
        <w:t>S6</w:t>
      </w:r>
      <w:r w:rsidR="003610AA">
        <w:rPr>
          <w:lang w:val="en-US"/>
        </w:rPr>
        <w:t xml:space="preserve"> </w:t>
      </w:r>
      <w:r w:rsidR="005D6A44">
        <w:rPr>
          <w:lang w:val="en-US"/>
        </w:rPr>
        <w:t>us</w:t>
      </w:r>
      <w:r w:rsidR="003610AA">
        <w:rPr>
          <w:lang w:val="en-US"/>
        </w:rPr>
        <w:t>ed</w:t>
      </w:r>
      <w:r w:rsidR="005D6A44">
        <w:rPr>
          <w:lang w:val="en-US"/>
        </w:rPr>
        <w:t xml:space="preserve"> </w:t>
      </w:r>
      <w:r w:rsidR="005D6A44" w:rsidRPr="00EF3403">
        <w:rPr>
          <w:lang w:val="en-US"/>
        </w:rPr>
        <w:t xml:space="preserve">a </w:t>
      </w:r>
      <w:r w:rsidR="009263AD">
        <w:rPr>
          <w:lang w:val="en-US"/>
        </w:rPr>
        <w:t>3% discount rate for both costs and QALYs</w:t>
      </w:r>
      <w:r w:rsidR="003610AA">
        <w:rPr>
          <w:lang w:val="en-US"/>
        </w:rPr>
        <w:t>.</w:t>
      </w:r>
      <w:r w:rsidR="005D6A44" w:rsidRPr="005D6A44">
        <w:rPr>
          <w:lang w:val="en-US"/>
        </w:rPr>
        <w:t xml:space="preserve"> </w:t>
      </w:r>
      <w:r w:rsidR="003610AA">
        <w:rPr>
          <w:lang w:val="en-US"/>
        </w:rPr>
        <w:t>F</w:t>
      </w:r>
      <w:r w:rsidR="00231B23">
        <w:rPr>
          <w:lang w:val="en-US"/>
        </w:rPr>
        <w:t xml:space="preserve">inally, </w:t>
      </w:r>
      <w:r w:rsidR="002B0DCF">
        <w:rPr>
          <w:lang w:val="en-US"/>
        </w:rPr>
        <w:t xml:space="preserve">scenario </w:t>
      </w:r>
      <w:r w:rsidR="0001465E">
        <w:rPr>
          <w:lang w:val="en-US"/>
        </w:rPr>
        <w:t xml:space="preserve">S7 </w:t>
      </w:r>
      <w:r w:rsidR="00E60A34">
        <w:rPr>
          <w:lang w:val="en-US"/>
        </w:rPr>
        <w:t>us</w:t>
      </w:r>
      <w:r w:rsidR="003610AA">
        <w:rPr>
          <w:lang w:val="en-US"/>
        </w:rPr>
        <w:t>ed</w:t>
      </w:r>
      <w:r w:rsidR="00E60A34">
        <w:rPr>
          <w:lang w:val="en-US"/>
        </w:rPr>
        <w:t xml:space="preserve"> </w:t>
      </w:r>
      <w:r w:rsidR="005D6A44" w:rsidRPr="00EF3403">
        <w:rPr>
          <w:lang w:val="en-US"/>
        </w:rPr>
        <w:t xml:space="preserve">alternative survival </w:t>
      </w:r>
      <w:r w:rsidR="00AE1B0B" w:rsidRPr="00EF3403">
        <w:rPr>
          <w:lang w:val="en-US"/>
        </w:rPr>
        <w:t>estimates</w:t>
      </w:r>
      <w:r w:rsidR="005D6A44">
        <w:rPr>
          <w:lang w:val="en-US"/>
        </w:rPr>
        <w:t xml:space="preserve"> for </w:t>
      </w:r>
      <w:r w:rsidR="003610AA">
        <w:rPr>
          <w:lang w:val="en-US"/>
        </w:rPr>
        <w:t xml:space="preserve">the </w:t>
      </w:r>
      <w:r w:rsidR="005D6A44">
        <w:rPr>
          <w:lang w:val="en-US"/>
        </w:rPr>
        <w:t xml:space="preserve">healthcare perspective with a survival for non-sitter </w:t>
      </w:r>
      <w:r w:rsidR="005A6039">
        <w:rPr>
          <w:lang w:val="en-US"/>
        </w:rPr>
        <w:t xml:space="preserve">of (A) </w:t>
      </w:r>
      <w:r w:rsidR="005D6A44">
        <w:rPr>
          <w:lang w:val="en-US"/>
        </w:rPr>
        <w:t>30 years</w:t>
      </w:r>
      <w:r w:rsidR="005A6039">
        <w:rPr>
          <w:lang w:val="en-US"/>
        </w:rPr>
        <w:t xml:space="preserve"> or (</w:t>
      </w:r>
      <w:r w:rsidR="005D6A44">
        <w:rPr>
          <w:lang w:val="en-US"/>
        </w:rPr>
        <w:t>B</w:t>
      </w:r>
      <w:r w:rsidR="005A6039">
        <w:rPr>
          <w:lang w:val="en-US"/>
        </w:rPr>
        <w:t>)</w:t>
      </w:r>
      <w:r w:rsidR="005D6A44">
        <w:rPr>
          <w:lang w:val="en-US"/>
        </w:rPr>
        <w:t xml:space="preserve"> 40 years</w:t>
      </w:r>
      <w:r w:rsidR="00231B23">
        <w:rPr>
          <w:lang w:val="en-US"/>
        </w:rPr>
        <w:t>.</w:t>
      </w:r>
      <w:r w:rsidR="005A6039">
        <w:rPr>
          <w:lang w:val="en-US"/>
        </w:rPr>
        <w:t xml:space="preserve"> </w:t>
      </w:r>
      <w:r w:rsidR="001E15B7" w:rsidRPr="001E15B7">
        <w:rPr>
          <w:lang w:val="en-US"/>
        </w:rPr>
        <w:t>A probabilistic sensitivity analysis (PSA) was performed by varying all model parameters using 1</w:t>
      </w:r>
      <w:r w:rsidR="001E15B7">
        <w:rPr>
          <w:lang w:val="en-US"/>
        </w:rPr>
        <w:t>,</w:t>
      </w:r>
      <w:r w:rsidR="001E15B7" w:rsidRPr="001E15B7">
        <w:rPr>
          <w:lang w:val="en-US"/>
        </w:rPr>
        <w:t>000 simulation runs. Due to</w:t>
      </w:r>
      <w:r w:rsidR="005A6039">
        <w:rPr>
          <w:lang w:val="en-US"/>
        </w:rPr>
        <w:t xml:space="preserve"> the</w:t>
      </w:r>
      <w:r w:rsidR="001E15B7" w:rsidRPr="001E15B7">
        <w:rPr>
          <w:lang w:val="en-US"/>
        </w:rPr>
        <w:t xml:space="preserve"> </w:t>
      </w:r>
      <w:r w:rsidR="00316FE4">
        <w:rPr>
          <w:lang w:val="en-US"/>
        </w:rPr>
        <w:t>limited amount of</w:t>
      </w:r>
      <w:r w:rsidR="001E15B7" w:rsidRPr="001E15B7">
        <w:rPr>
          <w:lang w:val="en-US"/>
        </w:rPr>
        <w:t xml:space="preserve"> data, a mean value of ±</w:t>
      </w:r>
      <w:r w:rsidR="001E15B7">
        <w:rPr>
          <w:lang w:val="en-US"/>
        </w:rPr>
        <w:t> </w:t>
      </w:r>
      <w:r w:rsidR="001E15B7" w:rsidRPr="001E15B7">
        <w:rPr>
          <w:lang w:val="en-US"/>
        </w:rPr>
        <w:t xml:space="preserve">20% was used in the PSA for the distribution of costs and </w:t>
      </w:r>
      <w:r w:rsidR="001E15B7">
        <w:rPr>
          <w:lang w:val="en-US"/>
        </w:rPr>
        <w:t>utilit</w:t>
      </w:r>
      <w:r w:rsidR="005A6039">
        <w:rPr>
          <w:lang w:val="en-US"/>
        </w:rPr>
        <w:t>y values</w:t>
      </w:r>
      <w:r w:rsidR="001E15B7" w:rsidRPr="001E15B7">
        <w:rPr>
          <w:lang w:val="en-US"/>
        </w:rPr>
        <w:t xml:space="preserve">. </w:t>
      </w:r>
      <w:r w:rsidR="009263AD">
        <w:rPr>
          <w:lang w:val="en-US"/>
        </w:rPr>
        <w:t xml:space="preserve">Results of the PSA </w:t>
      </w:r>
      <w:r w:rsidR="005A6039">
        <w:rPr>
          <w:lang w:val="en-US"/>
        </w:rPr>
        <w:t>were evaluated</w:t>
      </w:r>
      <w:r w:rsidR="009263AD">
        <w:rPr>
          <w:lang w:val="en-US"/>
        </w:rPr>
        <w:t xml:space="preserve"> in the</w:t>
      </w:r>
      <w:r w:rsidR="00E60A34">
        <w:rPr>
          <w:lang w:val="en-US"/>
        </w:rPr>
        <w:t xml:space="preserve"> cost-effectiveness plane and in the</w:t>
      </w:r>
      <w:r w:rsidR="009263AD">
        <w:rPr>
          <w:lang w:val="en-US"/>
        </w:rPr>
        <w:t xml:space="preserve"> form of a cost-effectiveness acceptability curve, </w:t>
      </w:r>
      <w:r w:rsidR="005A6039">
        <w:rPr>
          <w:lang w:val="en-US"/>
        </w:rPr>
        <w:t xml:space="preserve">which demonstrated </w:t>
      </w:r>
      <w:r w:rsidR="009263AD">
        <w:rPr>
          <w:lang w:val="en-US"/>
        </w:rPr>
        <w:t xml:space="preserve">the probability that </w:t>
      </w:r>
      <w:r w:rsidR="005A6039">
        <w:rPr>
          <w:lang w:val="en-US"/>
        </w:rPr>
        <w:t xml:space="preserve">SMA </w:t>
      </w:r>
      <w:r w:rsidR="009263AD">
        <w:rPr>
          <w:lang w:val="en-US"/>
        </w:rPr>
        <w:t xml:space="preserve">NBS is cost-effective </w:t>
      </w:r>
      <w:r w:rsidR="005A6039">
        <w:rPr>
          <w:lang w:val="en-US"/>
        </w:rPr>
        <w:t>based on</w:t>
      </w:r>
      <w:r w:rsidR="009263AD">
        <w:rPr>
          <w:lang w:val="en-US"/>
        </w:rPr>
        <w:t xml:space="preserve"> decision-makers willingness to pay per QALY gained.</w:t>
      </w:r>
    </w:p>
    <w:p w14:paraId="15A6C83E" w14:textId="7C088DE4" w:rsidR="00411F3B" w:rsidRDefault="000C5CF5" w:rsidP="000C5CF5">
      <w:pPr>
        <w:pStyle w:val="Titre1"/>
        <w:rPr>
          <w:lang w:val="en-US"/>
        </w:rPr>
      </w:pPr>
      <w:r>
        <w:rPr>
          <w:lang w:val="en-US"/>
        </w:rPr>
        <w:t>Results</w:t>
      </w:r>
    </w:p>
    <w:p w14:paraId="564C0956" w14:textId="15B24A15" w:rsidR="00A12A98" w:rsidRDefault="00AD0F55" w:rsidP="007D71FA">
      <w:pPr>
        <w:pStyle w:val="NormalWeb"/>
        <w:spacing w:before="40" w:beforeAutospacing="0"/>
        <w:jc w:val="both"/>
        <w:rPr>
          <w:rFonts w:ascii="Arial" w:hAnsi="Arial" w:cs="Arial"/>
          <w:lang w:val="en-US"/>
        </w:rPr>
      </w:pPr>
      <w:r>
        <w:rPr>
          <w:rFonts w:ascii="Arial" w:hAnsi="Arial" w:cs="Arial"/>
          <w:lang w:val="en-US"/>
        </w:rPr>
        <w:t xml:space="preserve">From </w:t>
      </w:r>
      <w:r w:rsidR="009263AD">
        <w:rPr>
          <w:rFonts w:ascii="Arial" w:hAnsi="Arial" w:cs="Arial"/>
          <w:lang w:val="en-US"/>
        </w:rPr>
        <w:t xml:space="preserve">the healthcare perspective, </w:t>
      </w:r>
      <w:r w:rsidR="005D6A44">
        <w:rPr>
          <w:rFonts w:ascii="Arial" w:hAnsi="Arial" w:cs="Arial"/>
          <w:lang w:val="en-US"/>
        </w:rPr>
        <w:t xml:space="preserve">NIS patients cost about </w:t>
      </w:r>
      <w:r w:rsidR="00DE7E02" w:rsidRPr="00D46595">
        <w:rPr>
          <w:rFonts w:ascii="Arial" w:hAnsi="Arial" w:cs="Arial"/>
          <w:lang w:val="en-US"/>
        </w:rPr>
        <w:t>€</w:t>
      </w:r>
      <w:r w:rsidR="00D46595" w:rsidRPr="00D46595">
        <w:rPr>
          <w:rFonts w:ascii="Arial" w:hAnsi="Arial" w:cs="Arial"/>
          <w:lang w:val="en-US"/>
        </w:rPr>
        <w:t>120,000</w:t>
      </w:r>
      <w:r w:rsidR="005D6A44">
        <w:rPr>
          <w:rFonts w:ascii="Arial" w:hAnsi="Arial" w:cs="Arial"/>
          <w:lang w:val="en-US"/>
        </w:rPr>
        <w:t xml:space="preserve"> more than </w:t>
      </w:r>
      <w:r>
        <w:rPr>
          <w:rFonts w:ascii="Arial" w:hAnsi="Arial" w:cs="Arial"/>
          <w:lang w:val="en-US"/>
        </w:rPr>
        <w:t xml:space="preserve">symptomatic-treated </w:t>
      </w:r>
      <w:r w:rsidR="005D6A44">
        <w:rPr>
          <w:rFonts w:ascii="Arial" w:hAnsi="Arial" w:cs="Arial"/>
          <w:lang w:val="en-US"/>
        </w:rPr>
        <w:t>patients</w:t>
      </w:r>
      <w:r>
        <w:rPr>
          <w:rFonts w:ascii="Arial" w:hAnsi="Arial" w:cs="Arial"/>
          <w:lang w:val="en-US"/>
        </w:rPr>
        <w:t>. Those patients identified and treated early had</w:t>
      </w:r>
      <w:r w:rsidR="005D6A44">
        <w:rPr>
          <w:rFonts w:ascii="Arial" w:hAnsi="Arial" w:cs="Arial"/>
          <w:lang w:val="en-US"/>
        </w:rPr>
        <w:t xml:space="preserve"> </w:t>
      </w:r>
      <w:r w:rsidR="00D46595" w:rsidRPr="00D46595">
        <w:rPr>
          <w:rFonts w:ascii="Arial" w:hAnsi="Arial" w:cs="Arial"/>
          <w:lang w:val="en-US"/>
        </w:rPr>
        <w:t>20</w:t>
      </w:r>
      <w:r w:rsidR="00E60A34">
        <w:rPr>
          <w:rFonts w:ascii="Arial" w:hAnsi="Arial" w:cs="Arial"/>
          <w:lang w:val="en-US"/>
        </w:rPr>
        <w:t>.</w:t>
      </w:r>
      <w:r w:rsidR="00D46595" w:rsidRPr="00D46595">
        <w:rPr>
          <w:rFonts w:ascii="Arial" w:hAnsi="Arial" w:cs="Arial"/>
          <w:lang w:val="en-US"/>
        </w:rPr>
        <w:t>61</w:t>
      </w:r>
      <w:r w:rsidR="006E6602" w:rsidRPr="00D46595">
        <w:rPr>
          <w:rFonts w:ascii="Arial" w:hAnsi="Arial" w:cs="Arial"/>
          <w:lang w:val="en-US"/>
        </w:rPr>
        <w:t xml:space="preserve"> additional QALYs over a lifetime</w:t>
      </w:r>
      <w:r w:rsidR="00251FA1">
        <w:rPr>
          <w:rFonts w:ascii="Arial" w:hAnsi="Arial" w:cs="Arial"/>
          <w:lang w:val="en-US"/>
        </w:rPr>
        <w:t>, resulting in a cost per QALY</w:t>
      </w:r>
      <w:r w:rsidR="00D46595" w:rsidRPr="00D46595">
        <w:rPr>
          <w:rFonts w:ascii="Arial" w:hAnsi="Arial" w:cs="Arial"/>
          <w:lang w:val="en-US"/>
        </w:rPr>
        <w:t xml:space="preserve"> gained </w:t>
      </w:r>
      <w:r w:rsidR="00251FA1">
        <w:rPr>
          <w:rFonts w:ascii="Arial" w:hAnsi="Arial" w:cs="Arial"/>
          <w:lang w:val="en-US"/>
        </w:rPr>
        <w:t>of</w:t>
      </w:r>
      <w:r w:rsidR="00D46595" w:rsidRPr="00D46595">
        <w:rPr>
          <w:rFonts w:ascii="Arial" w:hAnsi="Arial" w:cs="Arial"/>
          <w:lang w:val="en-US"/>
        </w:rPr>
        <w:t xml:space="preserve"> €5,820</w:t>
      </w:r>
      <w:r w:rsidR="007C309C">
        <w:rPr>
          <w:rFonts w:ascii="Arial" w:hAnsi="Arial" w:cs="Arial"/>
          <w:lang w:val="en-US"/>
        </w:rPr>
        <w:t xml:space="preserve"> (</w:t>
      </w:r>
      <w:r>
        <w:rPr>
          <w:rFonts w:ascii="Arial" w:hAnsi="Arial" w:cs="Arial"/>
          <w:lang w:val="en-US"/>
        </w:rPr>
        <w:t>T</w:t>
      </w:r>
      <w:r w:rsidR="007C309C">
        <w:rPr>
          <w:rFonts w:ascii="Arial" w:hAnsi="Arial" w:cs="Arial"/>
          <w:lang w:val="en-US"/>
        </w:rPr>
        <w:t>able 2)</w:t>
      </w:r>
      <w:r w:rsidR="00395B41" w:rsidRPr="00D46595">
        <w:rPr>
          <w:rFonts w:ascii="Arial" w:hAnsi="Arial" w:cs="Arial"/>
          <w:lang w:val="en-US"/>
        </w:rPr>
        <w:t>.</w:t>
      </w:r>
    </w:p>
    <w:p w14:paraId="2B503958" w14:textId="3F7092CB" w:rsidR="00C452AF" w:rsidRPr="003A4731" w:rsidRDefault="00C452AF" w:rsidP="007D71FA">
      <w:pPr>
        <w:pStyle w:val="NormalWeb"/>
        <w:spacing w:before="40" w:beforeAutospacing="0"/>
        <w:jc w:val="both"/>
        <w:rPr>
          <w:rFonts w:ascii="Arial" w:hAnsi="Arial" w:cs="Arial"/>
          <w:i/>
          <w:iCs/>
          <w:lang w:val="en-US"/>
        </w:rPr>
      </w:pPr>
      <w:r w:rsidRPr="003A4731">
        <w:rPr>
          <w:rFonts w:ascii="Arial" w:hAnsi="Arial" w:cs="Arial"/>
          <w:i/>
          <w:iCs/>
          <w:lang w:val="en-US"/>
        </w:rPr>
        <w:t>Table 2</w:t>
      </w:r>
    </w:p>
    <w:p w14:paraId="354FD089" w14:textId="17E255CB" w:rsidR="00C1359D" w:rsidRDefault="00251FA1" w:rsidP="000D446F">
      <w:pPr>
        <w:jc w:val="both"/>
        <w:rPr>
          <w:lang w:val="en-US"/>
        </w:rPr>
      </w:pPr>
      <w:r>
        <w:rPr>
          <w:lang w:val="en-US"/>
        </w:rPr>
        <w:t xml:space="preserve">The results of the sensitivity analyses are presented in </w:t>
      </w:r>
      <w:r w:rsidR="00AD0F55">
        <w:rPr>
          <w:lang w:val="en-US"/>
        </w:rPr>
        <w:t>T</w:t>
      </w:r>
      <w:r>
        <w:rPr>
          <w:lang w:val="en-US"/>
        </w:rPr>
        <w:t>able 2</w:t>
      </w:r>
      <w:r w:rsidR="00055DF4">
        <w:rPr>
          <w:lang w:val="en-US"/>
        </w:rPr>
        <w:t xml:space="preserve">. </w:t>
      </w:r>
      <w:r w:rsidR="009263AD">
        <w:rPr>
          <w:lang w:val="en-US"/>
        </w:rPr>
        <w:t xml:space="preserve">In several scenarios, NBS </w:t>
      </w:r>
      <w:r w:rsidR="00AD0F55">
        <w:rPr>
          <w:lang w:val="en-US"/>
        </w:rPr>
        <w:t xml:space="preserve">for </w:t>
      </w:r>
      <w:r w:rsidR="009263AD">
        <w:rPr>
          <w:lang w:val="en-US"/>
        </w:rPr>
        <w:t xml:space="preserve">SMA </w:t>
      </w:r>
      <w:r w:rsidR="00AD0F55">
        <w:rPr>
          <w:lang w:val="en-US"/>
        </w:rPr>
        <w:t xml:space="preserve">resulted in </w:t>
      </w:r>
      <w:r w:rsidR="009263AD">
        <w:rPr>
          <w:lang w:val="en-US"/>
        </w:rPr>
        <w:t xml:space="preserve">lower costs </w:t>
      </w:r>
      <w:r w:rsidR="00AD0F55">
        <w:rPr>
          <w:lang w:val="en-US"/>
        </w:rPr>
        <w:t>per</w:t>
      </w:r>
      <w:r w:rsidR="009263AD">
        <w:rPr>
          <w:lang w:val="en-US"/>
        </w:rPr>
        <w:t xml:space="preserve"> QALYs</w:t>
      </w:r>
      <w:r w:rsidR="00AD0F55">
        <w:rPr>
          <w:lang w:val="en-US"/>
        </w:rPr>
        <w:t xml:space="preserve">. The scenarios where SMA NBS was cost-effective included those </w:t>
      </w:r>
      <w:r w:rsidR="009263AD">
        <w:rPr>
          <w:lang w:val="en-US"/>
        </w:rPr>
        <w:t>w</w:t>
      </w:r>
      <w:r w:rsidR="00605321" w:rsidRPr="005C082B">
        <w:rPr>
          <w:lang w:val="en-US"/>
        </w:rPr>
        <w:t xml:space="preserve">hen </w:t>
      </w:r>
      <w:r w:rsidR="00AD0F55">
        <w:rPr>
          <w:lang w:val="en-US"/>
        </w:rPr>
        <w:t>the</w:t>
      </w:r>
      <w:r w:rsidR="007C309C">
        <w:rPr>
          <w:lang w:val="en-US"/>
        </w:rPr>
        <w:t xml:space="preserve"> </w:t>
      </w:r>
      <w:r w:rsidR="00605321" w:rsidRPr="005C082B">
        <w:rPr>
          <w:lang w:val="en-US"/>
        </w:rPr>
        <w:t xml:space="preserve">societal perspective </w:t>
      </w:r>
      <w:r w:rsidR="00AD0F55">
        <w:rPr>
          <w:lang w:val="en-US"/>
        </w:rPr>
        <w:t>wa</w:t>
      </w:r>
      <w:r w:rsidR="00AD0F55" w:rsidRPr="005C082B">
        <w:rPr>
          <w:lang w:val="en-US"/>
        </w:rPr>
        <w:t xml:space="preserve">s </w:t>
      </w:r>
      <w:r w:rsidR="00605321" w:rsidRPr="005C082B">
        <w:rPr>
          <w:lang w:val="en-US"/>
        </w:rPr>
        <w:t>included</w:t>
      </w:r>
      <w:r w:rsidR="00AD0F55">
        <w:rPr>
          <w:lang w:val="en-US"/>
        </w:rPr>
        <w:t xml:space="preserve"> (S1)</w:t>
      </w:r>
      <w:r w:rsidR="00605321" w:rsidRPr="005C082B">
        <w:rPr>
          <w:lang w:val="en-US"/>
        </w:rPr>
        <w:t xml:space="preserve">, </w:t>
      </w:r>
      <w:r w:rsidR="00AD0F55">
        <w:rPr>
          <w:lang w:val="en-US"/>
        </w:rPr>
        <w:t xml:space="preserve">when </w:t>
      </w:r>
      <w:r w:rsidR="009263AD">
        <w:rPr>
          <w:lang w:val="en-US"/>
        </w:rPr>
        <w:t xml:space="preserve">caregiver burden </w:t>
      </w:r>
      <w:r w:rsidR="00AD0F55">
        <w:rPr>
          <w:lang w:val="en-US"/>
        </w:rPr>
        <w:t>wa</w:t>
      </w:r>
      <w:r w:rsidR="009263AD">
        <w:rPr>
          <w:lang w:val="en-US"/>
        </w:rPr>
        <w:t>s included</w:t>
      </w:r>
      <w:r w:rsidR="00AD0F55">
        <w:rPr>
          <w:lang w:val="en-US"/>
        </w:rPr>
        <w:t xml:space="preserve"> (S2)</w:t>
      </w:r>
      <w:r w:rsidR="009263AD">
        <w:rPr>
          <w:lang w:val="en-US"/>
        </w:rPr>
        <w:t xml:space="preserve">, </w:t>
      </w:r>
      <w:r w:rsidR="000D6A79">
        <w:rPr>
          <w:lang w:val="en-US"/>
        </w:rPr>
        <w:t>when</w:t>
      </w:r>
      <w:r w:rsidR="001E15B7">
        <w:rPr>
          <w:lang w:val="en-US"/>
        </w:rPr>
        <w:t xml:space="preserve"> treatment </w:t>
      </w:r>
      <w:r w:rsidR="000D6A79">
        <w:rPr>
          <w:lang w:val="en-US"/>
        </w:rPr>
        <w:t>was selected by parents (S4)</w:t>
      </w:r>
      <w:r w:rsidR="001E15B7">
        <w:rPr>
          <w:lang w:val="en-US"/>
        </w:rPr>
        <w:t xml:space="preserve">, </w:t>
      </w:r>
      <w:r w:rsidR="004B14DB">
        <w:rPr>
          <w:lang w:val="en-US"/>
        </w:rPr>
        <w:t xml:space="preserve">and </w:t>
      </w:r>
      <w:r w:rsidR="000D6A79">
        <w:rPr>
          <w:lang w:val="en-US"/>
        </w:rPr>
        <w:t>when alternative</w:t>
      </w:r>
      <w:r w:rsidR="004B14DB">
        <w:rPr>
          <w:lang w:val="en-US"/>
        </w:rPr>
        <w:t xml:space="preserve"> survival</w:t>
      </w:r>
      <w:r w:rsidR="000D6A79">
        <w:rPr>
          <w:lang w:val="en-US"/>
        </w:rPr>
        <w:t xml:space="preserve"> estimates were employed (S7)</w:t>
      </w:r>
      <w:r w:rsidR="009263AD">
        <w:rPr>
          <w:lang w:val="en-US"/>
        </w:rPr>
        <w:t>. In all deterministic sensitivity analyses, the ICER was below €60,000 per QAL</w:t>
      </w:r>
      <w:r w:rsidR="002B0DCF">
        <w:rPr>
          <w:lang w:val="en-US"/>
        </w:rPr>
        <w:t>Y</w:t>
      </w:r>
      <w:r w:rsidR="009263AD">
        <w:rPr>
          <w:lang w:val="en-US"/>
        </w:rPr>
        <w:t xml:space="preserve"> gained</w:t>
      </w:r>
      <w:r w:rsidR="000D6A79">
        <w:rPr>
          <w:lang w:val="en-US"/>
        </w:rPr>
        <w:t>,</w:t>
      </w:r>
      <w:r w:rsidR="009263AD">
        <w:rPr>
          <w:lang w:val="en-US"/>
        </w:rPr>
        <w:t xml:space="preserve"> and</w:t>
      </w:r>
      <w:r w:rsidR="000D6A79">
        <w:rPr>
          <w:lang w:val="en-US"/>
        </w:rPr>
        <w:t>, therefore, NBS</w:t>
      </w:r>
      <w:r w:rsidR="009263AD">
        <w:rPr>
          <w:lang w:val="en-US"/>
        </w:rPr>
        <w:t xml:space="preserve"> could be considered as cost-effective. The cost-effectiveness was especially sensitive to </w:t>
      </w:r>
      <w:r w:rsidR="004B14DB">
        <w:rPr>
          <w:lang w:val="en-US"/>
        </w:rPr>
        <w:t>the societal perspective</w:t>
      </w:r>
      <w:r w:rsidR="009263AD">
        <w:rPr>
          <w:lang w:val="en-US"/>
        </w:rPr>
        <w:t xml:space="preserve"> and</w:t>
      </w:r>
      <w:r w:rsidR="004B14DB">
        <w:rPr>
          <w:lang w:val="en-US"/>
        </w:rPr>
        <w:t xml:space="preserve"> the choice of the treatment.</w:t>
      </w:r>
      <w:r w:rsidR="005867A1" w:rsidRPr="005867A1">
        <w:rPr>
          <w:lang w:val="en-US"/>
        </w:rPr>
        <w:t xml:space="preserve"> </w:t>
      </w:r>
      <w:r w:rsidR="005867A1" w:rsidRPr="00CA04BD">
        <w:rPr>
          <w:lang w:val="en-US"/>
        </w:rPr>
        <w:t xml:space="preserve">The PSA </w:t>
      </w:r>
      <w:r w:rsidR="005867A1">
        <w:rPr>
          <w:lang w:val="en-US"/>
        </w:rPr>
        <w:t xml:space="preserve">are illustrated in Figure 2 and </w:t>
      </w:r>
      <w:r w:rsidR="00522703">
        <w:rPr>
          <w:lang w:val="en-US"/>
        </w:rPr>
        <w:t xml:space="preserve">Figure </w:t>
      </w:r>
      <w:r w:rsidR="005867A1">
        <w:rPr>
          <w:lang w:val="en-US"/>
        </w:rPr>
        <w:t>3. This analysis suggested</w:t>
      </w:r>
      <w:r w:rsidR="005867A1" w:rsidRPr="00CA04BD">
        <w:rPr>
          <w:lang w:val="en-US"/>
        </w:rPr>
        <w:t xml:space="preserve"> that</w:t>
      </w:r>
      <w:r w:rsidR="005867A1">
        <w:rPr>
          <w:lang w:val="en-US"/>
        </w:rPr>
        <w:t xml:space="preserve"> </w:t>
      </w:r>
      <w:r w:rsidR="005867A1" w:rsidRPr="00CA04BD">
        <w:rPr>
          <w:lang w:val="en-US"/>
        </w:rPr>
        <w:t>NBS has a 100% probability of being cost-</w:t>
      </w:r>
      <w:r w:rsidR="005867A1">
        <w:rPr>
          <w:lang w:val="en-US"/>
        </w:rPr>
        <w:t>effective from a threshold of €20,000 per QALY gained</w:t>
      </w:r>
      <w:r w:rsidR="005867A1" w:rsidRPr="00CA04BD">
        <w:rPr>
          <w:lang w:val="en-US"/>
        </w:rPr>
        <w:t>.</w:t>
      </w:r>
    </w:p>
    <w:p w14:paraId="6E763BC5" w14:textId="77777777" w:rsidR="00C452AF" w:rsidRDefault="00C452AF" w:rsidP="000D446F">
      <w:pPr>
        <w:jc w:val="both"/>
        <w:rPr>
          <w:lang w:val="en-US"/>
        </w:rPr>
      </w:pPr>
    </w:p>
    <w:p w14:paraId="502A34DD" w14:textId="68D74AAD" w:rsidR="003A4731" w:rsidRPr="003A4731" w:rsidRDefault="003A4731" w:rsidP="000D446F">
      <w:pPr>
        <w:jc w:val="both"/>
        <w:rPr>
          <w:i/>
          <w:iCs/>
          <w:lang w:val="en-US"/>
        </w:rPr>
      </w:pPr>
      <w:r w:rsidRPr="003A4731">
        <w:rPr>
          <w:i/>
          <w:iCs/>
          <w:lang w:val="en-US"/>
        </w:rPr>
        <w:t>Figure 2</w:t>
      </w:r>
    </w:p>
    <w:p w14:paraId="3673C9C2" w14:textId="41152468" w:rsidR="003A4731" w:rsidRPr="003A4731" w:rsidRDefault="003A4731" w:rsidP="000D446F">
      <w:pPr>
        <w:jc w:val="both"/>
        <w:rPr>
          <w:i/>
          <w:iCs/>
          <w:lang w:val="en-US"/>
        </w:rPr>
      </w:pPr>
      <w:r w:rsidRPr="003A4731">
        <w:rPr>
          <w:i/>
          <w:iCs/>
          <w:lang w:val="en-US"/>
        </w:rPr>
        <w:t>Figure 3</w:t>
      </w:r>
    </w:p>
    <w:p w14:paraId="2DEBD409" w14:textId="5BF085F4" w:rsidR="006807CC" w:rsidRDefault="006807CC" w:rsidP="006807CC">
      <w:pPr>
        <w:pStyle w:val="Titre1"/>
        <w:rPr>
          <w:lang w:val="en-US"/>
        </w:rPr>
      </w:pPr>
      <w:r w:rsidRPr="009D1213">
        <w:rPr>
          <w:lang w:val="en-US"/>
        </w:rPr>
        <w:t>Discussion</w:t>
      </w:r>
    </w:p>
    <w:p w14:paraId="29006E44" w14:textId="77777777" w:rsidR="004B14DB" w:rsidRPr="004B14DB" w:rsidRDefault="004B14DB" w:rsidP="004B14DB">
      <w:pPr>
        <w:rPr>
          <w:lang w:val="en-US"/>
        </w:rPr>
      </w:pPr>
    </w:p>
    <w:p w14:paraId="7956BEAB" w14:textId="6636FBDE" w:rsidR="00B471B8" w:rsidRDefault="009B74E0" w:rsidP="001E44EA">
      <w:pPr>
        <w:jc w:val="both"/>
        <w:rPr>
          <w:lang w:val="en-US"/>
        </w:rPr>
      </w:pPr>
      <w:r>
        <w:rPr>
          <w:lang w:val="en-US"/>
        </w:rPr>
        <w:t>We performed a</w:t>
      </w:r>
      <w:r w:rsidR="001E44EA" w:rsidRPr="001E44EA">
        <w:rPr>
          <w:lang w:val="en-US"/>
        </w:rPr>
        <w:t xml:space="preserve"> cost-effectiveness analysis </w:t>
      </w:r>
      <w:r w:rsidR="006F0A12">
        <w:rPr>
          <w:lang w:val="en-US"/>
        </w:rPr>
        <w:t xml:space="preserve">of NBS for SMA using real-life data </w:t>
      </w:r>
      <w:r w:rsidR="00316FE4">
        <w:rPr>
          <w:lang w:val="en-US"/>
        </w:rPr>
        <w:t xml:space="preserve">from </w:t>
      </w:r>
      <w:r w:rsidR="006F0A12">
        <w:rPr>
          <w:lang w:val="en-US"/>
        </w:rPr>
        <w:t>Belgium</w:t>
      </w:r>
      <w:r w:rsidR="009B0AF4">
        <w:rPr>
          <w:lang w:val="en-US"/>
        </w:rPr>
        <w:t xml:space="preserve"> </w:t>
      </w:r>
      <w:r>
        <w:rPr>
          <w:lang w:val="en-US"/>
        </w:rPr>
        <w:t xml:space="preserve">obtained on subjects identified by NBS or by symptoms who were treated and follow for </w:t>
      </w:r>
      <w:r w:rsidR="009B0AF4">
        <w:rPr>
          <w:lang w:val="en-US"/>
        </w:rPr>
        <w:t>up</w:t>
      </w:r>
      <w:r>
        <w:rPr>
          <w:lang w:val="en-US"/>
        </w:rPr>
        <w:t xml:space="preserve"> to</w:t>
      </w:r>
      <w:r w:rsidR="009B0AF4">
        <w:rPr>
          <w:lang w:val="en-US"/>
        </w:rPr>
        <w:t xml:space="preserve"> 30 months</w:t>
      </w:r>
      <w:r w:rsidR="001E44EA" w:rsidRPr="001E44EA">
        <w:rPr>
          <w:lang w:val="en-US"/>
        </w:rPr>
        <w:t>.</w:t>
      </w:r>
      <w:r w:rsidR="006F0A12">
        <w:rPr>
          <w:lang w:val="en-US"/>
        </w:rPr>
        <w:t xml:space="preserve"> Our analysis </w:t>
      </w:r>
      <w:r w:rsidR="009263AD">
        <w:rPr>
          <w:lang w:val="en-US"/>
        </w:rPr>
        <w:t xml:space="preserve">revealed </w:t>
      </w:r>
      <w:r w:rsidR="006F0A12">
        <w:rPr>
          <w:lang w:val="en-US"/>
        </w:rPr>
        <w:t>that SMA</w:t>
      </w:r>
      <w:r w:rsidR="00316FE4">
        <w:rPr>
          <w:lang w:val="en-US"/>
        </w:rPr>
        <w:t xml:space="preserve"> NBS</w:t>
      </w:r>
      <w:r w:rsidR="006F0A12">
        <w:rPr>
          <w:lang w:val="en-US"/>
        </w:rPr>
        <w:t xml:space="preserve"> </w:t>
      </w:r>
      <w:r w:rsidR="004B14DB" w:rsidRPr="004B14DB">
        <w:rPr>
          <w:lang w:val="en-US"/>
        </w:rPr>
        <w:t xml:space="preserve">had </w:t>
      </w:r>
      <w:r w:rsidR="00316FE4">
        <w:rPr>
          <w:lang w:val="en-US"/>
        </w:rPr>
        <w:t xml:space="preserve">nearly </w:t>
      </w:r>
      <w:r w:rsidR="004B14DB" w:rsidRPr="004B14DB">
        <w:rPr>
          <w:lang w:val="en-US"/>
        </w:rPr>
        <w:t>similar</w:t>
      </w:r>
      <w:r w:rsidR="004B14DB">
        <w:rPr>
          <w:lang w:val="en-US"/>
        </w:rPr>
        <w:t xml:space="preserve"> </w:t>
      </w:r>
      <w:r w:rsidR="006F0A12">
        <w:rPr>
          <w:lang w:val="en-US"/>
        </w:rPr>
        <w:t>hea</w:t>
      </w:r>
      <w:r w:rsidR="005D6A44">
        <w:rPr>
          <w:lang w:val="en-US"/>
        </w:rPr>
        <w:t>l</w:t>
      </w:r>
      <w:r w:rsidR="006F0A12">
        <w:rPr>
          <w:lang w:val="en-US"/>
        </w:rPr>
        <w:t>thcare costs</w:t>
      </w:r>
      <w:r w:rsidR="00FC0871">
        <w:rPr>
          <w:lang w:val="en-US"/>
        </w:rPr>
        <w:t xml:space="preserve"> to symptomatic treatment</w:t>
      </w:r>
      <w:r w:rsidR="006F0A12">
        <w:rPr>
          <w:lang w:val="en-US"/>
        </w:rPr>
        <w:t xml:space="preserve"> </w:t>
      </w:r>
      <w:r w:rsidR="00AE1B0B">
        <w:rPr>
          <w:lang w:val="en-US"/>
        </w:rPr>
        <w:t xml:space="preserve">with </w:t>
      </w:r>
      <w:r w:rsidR="0010180D">
        <w:rPr>
          <w:lang w:val="en-US"/>
        </w:rPr>
        <w:t xml:space="preserve">a large </w:t>
      </w:r>
      <w:r w:rsidR="00AE1B0B">
        <w:rPr>
          <w:lang w:val="en-US"/>
        </w:rPr>
        <w:t xml:space="preserve">gain </w:t>
      </w:r>
      <w:r w:rsidR="00FC0871">
        <w:rPr>
          <w:lang w:val="en-US"/>
        </w:rPr>
        <w:t>in</w:t>
      </w:r>
      <w:r w:rsidR="006F0A12">
        <w:rPr>
          <w:lang w:val="en-US"/>
        </w:rPr>
        <w:t xml:space="preserve"> QALY. NBS SMA is </w:t>
      </w:r>
      <w:r w:rsidR="00D31262">
        <w:rPr>
          <w:lang w:val="en-US"/>
        </w:rPr>
        <w:t xml:space="preserve">therefore </w:t>
      </w:r>
      <w:r w:rsidR="006F0A12">
        <w:rPr>
          <w:lang w:val="en-US"/>
        </w:rPr>
        <w:t xml:space="preserve">cost-effective compared to </w:t>
      </w:r>
      <w:r w:rsidR="00AE1B0B">
        <w:rPr>
          <w:lang w:val="en-US"/>
        </w:rPr>
        <w:t>treat SMA without NBS</w:t>
      </w:r>
      <w:r w:rsidR="006F0A12">
        <w:rPr>
          <w:lang w:val="en-US"/>
        </w:rPr>
        <w:t>, with</w:t>
      </w:r>
      <w:r w:rsidR="00EA7659">
        <w:rPr>
          <w:lang w:val="en-US"/>
        </w:rPr>
        <w:t xml:space="preserve"> </w:t>
      </w:r>
      <w:r w:rsidR="0010180D">
        <w:rPr>
          <w:lang w:val="en-US"/>
        </w:rPr>
        <w:t>a</w:t>
      </w:r>
      <w:r w:rsidR="006F0A12">
        <w:rPr>
          <w:lang w:val="en-US"/>
        </w:rPr>
        <w:t xml:space="preserve"> cost per QALY gained of </w:t>
      </w:r>
      <w:r w:rsidR="00FC0871">
        <w:rPr>
          <w:lang w:val="en-US"/>
        </w:rPr>
        <w:t>€</w:t>
      </w:r>
      <w:r w:rsidR="00B261FA">
        <w:rPr>
          <w:lang w:val="en-US"/>
        </w:rPr>
        <w:t>5,820.</w:t>
      </w:r>
      <w:r w:rsidR="006F0A12">
        <w:rPr>
          <w:lang w:val="en-US"/>
        </w:rPr>
        <w:t xml:space="preserve"> This result is in line with other studies that reported </w:t>
      </w:r>
      <w:r w:rsidR="00E74AF1">
        <w:rPr>
          <w:lang w:val="en-US"/>
        </w:rPr>
        <w:t xml:space="preserve">the </w:t>
      </w:r>
      <w:r w:rsidR="006F0A12">
        <w:rPr>
          <w:lang w:val="en-US"/>
        </w:rPr>
        <w:t>cost-effective</w:t>
      </w:r>
      <w:r w:rsidR="00E74AF1">
        <w:rPr>
          <w:lang w:val="en-US"/>
        </w:rPr>
        <w:t>ness</w:t>
      </w:r>
      <w:r w:rsidR="006F0A12">
        <w:rPr>
          <w:lang w:val="en-US"/>
        </w:rPr>
        <w:t>, and even dominance</w:t>
      </w:r>
      <w:r w:rsidR="00FC0871">
        <w:rPr>
          <w:lang w:val="en-US"/>
        </w:rPr>
        <w:t>,</w:t>
      </w:r>
      <w:r w:rsidR="006F0A12">
        <w:rPr>
          <w:lang w:val="en-US"/>
        </w:rPr>
        <w:t xml:space="preserve"> of NBS SMA compared to no screening. </w:t>
      </w:r>
      <w:r w:rsidR="00AC4966">
        <w:rPr>
          <w:lang w:val="en-US"/>
        </w:rPr>
        <w:t>Indeed in</w:t>
      </w:r>
      <w:r w:rsidR="006F0A12">
        <w:rPr>
          <w:lang w:val="en-US"/>
        </w:rPr>
        <w:t xml:space="preserve"> Australia</w:t>
      </w:r>
      <w:r w:rsidR="00D126A1">
        <w:rPr>
          <w:lang w:val="en-US"/>
        </w:rPr>
        <w:fldChar w:fldCharType="begin" w:fldLock="1"/>
      </w:r>
      <w:r w:rsidR="00540EAA">
        <w:rPr>
          <w:lang w:val="en-US"/>
        </w:rPr>
        <w:instrText>ADDIN CSL_CITATION {"citationItems":[{"id":"ITEM-1","itemData":{"DOI":"10.1136/jnnp-2021-326344","ISSN":"1468-330X (Electronic)","PMID":"34321343","abstract":"OBJECTIVE: To assess cost-effectiveness of newborn screening (NBS) for spinal muscular atrophy (SMA) and early treatment with nusinersen or onasemnogene abeparvovec (gene therapy), compared with nusinersen without SMA screening. METHODS: Informed by an Australian state-wide SMA NBS programme, a decision analytical model nested with Markov models was constructed to evaluate costs and quality-adjusted life-years (QALYs) from a societal perspective with sensitivity analyses. RESULTS: By treating one presymptomatic SMA infant with nusinersen or gene therapy, an additional 9.93 QALYs were gained over 60 years compared with late treatment in clinically diagnosed SMA. The societal cost was $9.8 million for early nusinersen treatment, $4.4 million for early gene therapy and $4.8 million for late nusinersen treatment. Compared with late nusinersen treatment, early gene therapy would be dominant, gaining 9.93 QALYs while saving $360 000; whereas early nusinersen treatment would result in a discounted incremental cost-effectiveness ratio (ICER) of $507 000/QALY.At a population level, compared with no screening and late treatment with nusinersen, NBS and early gene therapy resulted in 0.00085 QALY gained over 60 years and saving $24 per infant screened (85 QALYs gained and $2.4 million saving per 100 000 infants screened). More than three quarters of simulated ICERs by probability sensitivity analyses showed NBS and gene therapy would be dominant or less than $50 000/QALY, compared with no screening and late nusinersen treatment. CONCLUSION: NBS coupled with gene therapy improves the quality and length of life for infants with SMA and would be considered value-for-money from an Australian clinical and policy context.","author":[{"dropping-particle":"","family":"Shih","given":"Sophy Tf","non-dropping-particle":"","parse-names":false,"suffix":""},{"dropping-particle":"","family":"Farrar","given":"Michelle Anne","non-dropping-particle":"","parse-names":false,"suffix":""},{"dropping-particle":"","family":"Wiley","given":"Veronica","non-dropping-particle":"","parse-names":false,"suffix":""},{"dropping-particle":"","family":"Chambers","given":"Georgina","non-dropping-particle":"","parse-names":false,"suffix":""}],"container-title":"Journal of neurology, neurosurgery, and psychiatry","id":"ITEM-1","issue":"12","issued":{"date-parts":[["2021","7"]]},"language":"eng","page":"1296-1304","publisher-place":"England","title":"Newborn screening for spinal muscular atrophy with disease-modifying therapies: a cost-effectiveness analysis.","type":"article-journal","volume":"92"},"uris":["http://www.mendeley.com/documents/?uuid=1ef4fa86-a047-4738-900e-8652da442fec"]}],"mendeley":{"formattedCitation":"&lt;sup&gt;12&lt;/sup&gt;","plainTextFormattedCitation":"12","previouslyFormattedCitation":"&lt;sup&gt;12&lt;/sup&gt;"},"properties":{"noteIndex":0},"schema":"https://github.com/citation-style-language/schema/raw/master/csl-citation.json"}</w:instrText>
      </w:r>
      <w:r w:rsidR="00D126A1">
        <w:rPr>
          <w:lang w:val="en-US"/>
        </w:rPr>
        <w:fldChar w:fldCharType="separate"/>
      </w:r>
      <w:r w:rsidR="001E65AA" w:rsidRPr="001E65AA">
        <w:rPr>
          <w:noProof/>
          <w:vertAlign w:val="superscript"/>
          <w:lang w:val="en-US"/>
        </w:rPr>
        <w:t>12</w:t>
      </w:r>
      <w:r w:rsidR="00D126A1">
        <w:rPr>
          <w:lang w:val="en-US"/>
        </w:rPr>
        <w:fldChar w:fldCharType="end"/>
      </w:r>
      <w:r w:rsidR="00D126A1">
        <w:rPr>
          <w:lang w:val="en-US"/>
        </w:rPr>
        <w:t xml:space="preserve">, in </w:t>
      </w:r>
      <w:r w:rsidR="006F0A12">
        <w:rPr>
          <w:lang w:val="en-US"/>
        </w:rPr>
        <w:t>the Netherlands</w:t>
      </w:r>
      <w:r w:rsidR="00D126A1">
        <w:rPr>
          <w:lang w:val="en-US"/>
        </w:rPr>
        <w:fldChar w:fldCharType="begin" w:fldLock="1"/>
      </w:r>
      <w:r w:rsidR="00540EAA">
        <w:rPr>
          <w:lang w:val="en-US"/>
        </w:rPr>
        <w:instrText>ADDIN CSL_CITATION {"citationItems":[{"id":"ITEM-1","itemData":{"DOI":"10.1016/j.jval.2022.06.010","ISSN":"1524-4733 (Electronic)","PMID":"35963838","abstract":"OBJECTIVES: Spinal muscular atrophy (SMA) is a rare genetic disorder that causes  progressive muscle weakness and paralysis. In its most common and severe form, the majority of untreated infants die before 2 years of age. Early detection and treatment, ideally before symptom onset, maximize survival and achievement of age-appropriate motor milestones, with potentially substantial impact on health-related quality of life. Therefore, SMA is an ideal candidate for inclusion in newborn screening (NBS) programs. We evaluated the cost-effectiveness of including SMA in the NBS program in The Netherlands. METHODS: We developed a cost-utility model to estimate lifetime health effects and costs of NBS for SMA and subsequent treatment versus a treatment pathway without NBS (ie, diagnosis and treatment after presentation with overt symptoms). Model inputs were based on literature, local data, and expert opinion. Sensitivity and scenario analyses were conducted to assess model robustness and validity of results. RESULTS: After detection of SMA by NBS in 17 patients, the number of quality-adjusted life-years gained per annual birth cohort was estimated at 320 with NBS followed by treatment compared with treatment after clinical SMA diagnosis. Total healthcare costs, including screening, diagnostics, treatment, and other healthcare resource use, were estimated to be €12 014 949 lower for patients identified by NBS. CONCLUSIONS: NBS for early identification and treatment of SMA versus later symptomatic treatment after clinical diagnosis improves health outcomes and is less costly and, therefore, is a cost-effective use of resources. Results were robust in sensitivity and scenario analyses.","author":[{"dropping-particle":"","family":"Velikanova","given":"Rimma","non-dropping-particle":"","parse-names":false,"suffix":""},{"dropping-particle":"","family":"Schans","given":"Simon","non-dropping-particle":"van der","parse-names":false,"suffix":""},{"dropping-particle":"","family":"Bischof","given":"Matthias","non-dropping-particle":"","parse-names":false,"suffix":""},{"dropping-particle":"","family":"Olden","given":"Rudolf Walther","non-dropping-particle":"van","parse-names":false,"suffix":""},{"dropping-particle":"","family":"Postma","given":"Maarten","non-dropping-particle":"","parse-names":false,"suffix":""},{"dropping-particle":"","family":"Boersma","given":"Cornelis","non-dropping-particle":"","parse-names":false,"suffix":""}],"container-title":"Value in health : the journal of the International Society for Pharmacoeconomics  and Outcomes Research","id":"ITEM-1","issue":"10","issued":{"date-parts":[["2022","10"]]},"language":"eng","page":"1696-1704","publisher-place":"United States","title":"Cost-Effectiveness of Newborn Screening for Spinal Muscular Atrophy in The  Netherlands.","type":"article-journal","volume":"25"},"uris":["http://www.mendeley.com/documents/?uuid=41b77a16-fa73-462a-b940-0abdc0fe6feb"]}],"mendeley":{"formattedCitation":"&lt;sup&gt;15&lt;/sup&gt;","plainTextFormattedCitation":"15","previouslyFormattedCitation":"&lt;sup&gt;15&lt;/sup&gt;"},"properties":{"noteIndex":0},"schema":"https://github.com/citation-style-language/schema/raw/master/csl-citation.json"}</w:instrText>
      </w:r>
      <w:r w:rsidR="00D126A1">
        <w:rPr>
          <w:lang w:val="en-US"/>
        </w:rPr>
        <w:fldChar w:fldCharType="separate"/>
      </w:r>
      <w:r w:rsidR="001E65AA" w:rsidRPr="001E65AA">
        <w:rPr>
          <w:noProof/>
          <w:vertAlign w:val="superscript"/>
          <w:lang w:val="en-US"/>
        </w:rPr>
        <w:t>15</w:t>
      </w:r>
      <w:r w:rsidR="00D126A1">
        <w:rPr>
          <w:lang w:val="en-US"/>
        </w:rPr>
        <w:fldChar w:fldCharType="end"/>
      </w:r>
      <w:r w:rsidR="006F0A12">
        <w:rPr>
          <w:lang w:val="en-US"/>
        </w:rPr>
        <w:t xml:space="preserve">, </w:t>
      </w:r>
      <w:r w:rsidR="00FC0871">
        <w:rPr>
          <w:lang w:val="en-US"/>
        </w:rPr>
        <w:t>and</w:t>
      </w:r>
      <w:r w:rsidR="00D126A1">
        <w:rPr>
          <w:lang w:val="en-US"/>
        </w:rPr>
        <w:t xml:space="preserve"> in </w:t>
      </w:r>
      <w:r w:rsidR="00FC0871">
        <w:rPr>
          <w:lang w:val="en-US"/>
        </w:rPr>
        <w:t xml:space="preserve">the </w:t>
      </w:r>
      <w:r w:rsidR="00D126A1">
        <w:rPr>
          <w:lang w:val="en-US"/>
        </w:rPr>
        <w:t>UK</w:t>
      </w:r>
      <w:r w:rsidR="00D126A1">
        <w:rPr>
          <w:lang w:val="en-US"/>
        </w:rPr>
        <w:fldChar w:fldCharType="begin" w:fldLock="1"/>
      </w:r>
      <w:r w:rsidR="00540EAA">
        <w:rPr>
          <w:lang w:val="en-US"/>
        </w:rPr>
        <w:instrText>ADDIN CSL_CITATION {"citationItems":[{"id":"ITEM-1","itemData":{"DOI":"10.1101/2023.02.09.23285715","abstract":"&amp;lt;h4&amp;gt;ABSTRACT&amp;lt;/h4&amp;gt; &amp;lt;h4&amp;gt;Purpose&amp;lt;/h4&amp;gt; We sought to evaluate the cost effectiveness of newborn screening (NBS) versus no NBS for 5q spinal muscular atrophy (SMA) in England and Wales. &amp;lt;h4&amp;gt;Methods&amp;lt;/h4&amp;gt; A cost-utility analysis using a combination of decision tree and Markov model structures was developed to estimate the lifetime health effects and costs of NBS for SMA, compared with no NBS, from the perspective of the National Health Service (NHS) in England and Wales. A decision tree was designed to capture NBS outcomes, and Markov modelling was used to project long-term health outcomes and costs for each patient group following diagnosis. Model inputs were based on existing literature, local data, and expert opinion. Sensitivity and scenario analyses were conducted to assess the robustness of the model and the validity of the results. &amp;lt;h4&amp;gt;Results&amp;lt;/h4&amp;gt; The introduction of NBS for SMA in England and Wales is estimated to identify approximately 56 (96% of cases) infants with SMA per year. Base-case results indicate that NBS is dominant (less costly and more effective) than a scenario without NBS, with a yearly cohort of newborns accruing incremental savings of £62,191,531 and an estimated gain in quality-adjusted life-years of 529 years over their lifetime. Deterministic and probabilistic sensitivity analyses demonstrated the robustness of the base-case results. &amp;lt;h4&amp;gt;Conclusions&amp;lt;/h4&amp;gt; NBS improves health outcomes for patients with SMA and is less costly compared with no screening; therefore, it is a cost-effective use of resources from the perspective of the NHS in England and Wales.","author":[{"dropping-particle":"","family":"Weidlich","given":"Diana","non-dropping-particle":"","parse-names":false,"suffix":""},{"dropping-particle":"","family":"Servais","given":"Laurent","non-dropping-particle":"","parse-names":false,"suffix":""},{"dropping-particle":"","family":"Kausar","given":"Imran","non-dropping-particle":"","parse-names":false,"suffix":""},{"dropping-particle":"","family":"Howells","given":"Ruth","non-dropping-particle":"","parse-names":false,"suffix":""},{"dropping-particle":"","family":"Bischof","given":"Matthias","non-dropping-particle":"","parse-names":false,"suffix":""}],"id":"ITEM-1","issued":{"date-parts":[["2023"]]},"publisher":"medRxiv","title":"Cost Effectiveness of Newborn Screening for Spinal Muscular Atrophy in England and Wales","type":"article"},"uris":["http://www.mendeley.com/documents/?uuid=3531d94d-3546-4d3f-a17a-d8d4fffd9c1c"]}],"mendeley":{"formattedCitation":"&lt;sup&gt;16&lt;/sup&gt;","plainTextFormattedCitation":"16","previouslyFormattedCitation":"&lt;sup&gt;16&lt;/sup&gt;"},"properties":{"noteIndex":0},"schema":"https://github.com/citation-style-language/schema/raw/master/csl-citation.json"}</w:instrText>
      </w:r>
      <w:r w:rsidR="00D126A1">
        <w:rPr>
          <w:lang w:val="en-US"/>
        </w:rPr>
        <w:fldChar w:fldCharType="separate"/>
      </w:r>
      <w:r w:rsidR="001E65AA" w:rsidRPr="001E65AA">
        <w:rPr>
          <w:noProof/>
          <w:vertAlign w:val="superscript"/>
          <w:lang w:val="en-US"/>
        </w:rPr>
        <w:t>16</w:t>
      </w:r>
      <w:r w:rsidR="00D126A1">
        <w:rPr>
          <w:lang w:val="en-US"/>
        </w:rPr>
        <w:fldChar w:fldCharType="end"/>
      </w:r>
      <w:r w:rsidR="00D126A1">
        <w:rPr>
          <w:lang w:val="en-US"/>
        </w:rPr>
        <w:t xml:space="preserve">, </w:t>
      </w:r>
      <w:r w:rsidR="006F0A12">
        <w:rPr>
          <w:lang w:val="en-US"/>
        </w:rPr>
        <w:t xml:space="preserve">SMA </w:t>
      </w:r>
      <w:r w:rsidR="00FC0871">
        <w:rPr>
          <w:lang w:val="en-US"/>
        </w:rPr>
        <w:t xml:space="preserve">NBS </w:t>
      </w:r>
      <w:r w:rsidR="006F0A12">
        <w:rPr>
          <w:lang w:val="en-US"/>
        </w:rPr>
        <w:t>was associated with lower total healthcare costs than no screening. These studies</w:t>
      </w:r>
      <w:r w:rsidR="00FC0871">
        <w:rPr>
          <w:lang w:val="en-US"/>
        </w:rPr>
        <w:t>,</w:t>
      </w:r>
      <w:r w:rsidR="006F0A12">
        <w:rPr>
          <w:lang w:val="en-US"/>
        </w:rPr>
        <w:t xml:space="preserve"> </w:t>
      </w:r>
      <w:r w:rsidR="00D31262">
        <w:rPr>
          <w:lang w:val="en-US"/>
        </w:rPr>
        <w:t>however</w:t>
      </w:r>
      <w:r w:rsidR="00FC0871">
        <w:rPr>
          <w:lang w:val="en-US"/>
        </w:rPr>
        <w:t>,</w:t>
      </w:r>
      <w:r w:rsidR="00D31262">
        <w:rPr>
          <w:lang w:val="en-US"/>
        </w:rPr>
        <w:t xml:space="preserve"> </w:t>
      </w:r>
      <w:r w:rsidR="00FC0871">
        <w:rPr>
          <w:lang w:val="en-US"/>
        </w:rPr>
        <w:t>were not</w:t>
      </w:r>
      <w:r w:rsidR="006F0A12" w:rsidRPr="00050831">
        <w:rPr>
          <w:lang w:val="en-US"/>
        </w:rPr>
        <w:t xml:space="preserve"> </w:t>
      </w:r>
      <w:r w:rsidR="006F0A12">
        <w:rPr>
          <w:lang w:val="en-US"/>
        </w:rPr>
        <w:t xml:space="preserve">based </w:t>
      </w:r>
      <w:r w:rsidR="006F0A12" w:rsidRPr="00050831">
        <w:rPr>
          <w:lang w:val="en-US"/>
        </w:rPr>
        <w:t xml:space="preserve">on real life </w:t>
      </w:r>
      <w:r w:rsidR="006731C6" w:rsidRPr="00050831">
        <w:rPr>
          <w:lang w:val="en-US"/>
        </w:rPr>
        <w:t>data</w:t>
      </w:r>
      <w:r w:rsidR="006731C6">
        <w:rPr>
          <w:lang w:val="en-US"/>
        </w:rPr>
        <w:t xml:space="preserve"> but</w:t>
      </w:r>
      <w:r w:rsidR="006F0A12">
        <w:rPr>
          <w:lang w:val="en-US"/>
        </w:rPr>
        <w:t xml:space="preserve"> rather</w:t>
      </w:r>
      <w:r w:rsidR="00B261FA">
        <w:rPr>
          <w:lang w:val="en-US"/>
        </w:rPr>
        <w:t xml:space="preserve"> on </w:t>
      </w:r>
      <w:r w:rsidR="00FC0871">
        <w:rPr>
          <w:lang w:val="en-US"/>
        </w:rPr>
        <w:t xml:space="preserve">data from clinical </w:t>
      </w:r>
      <w:r w:rsidR="00B261FA">
        <w:rPr>
          <w:lang w:val="en-US"/>
        </w:rPr>
        <w:t>tria</w:t>
      </w:r>
      <w:r w:rsidR="001D0714">
        <w:rPr>
          <w:lang w:val="en-US"/>
        </w:rPr>
        <w:t>l</w:t>
      </w:r>
      <w:r w:rsidR="00FC0871">
        <w:rPr>
          <w:lang w:val="en-US"/>
        </w:rPr>
        <w:t>s</w:t>
      </w:r>
      <w:r w:rsidR="00B261FA">
        <w:rPr>
          <w:lang w:val="en-US"/>
        </w:rPr>
        <w:t xml:space="preserve"> and </w:t>
      </w:r>
      <w:r w:rsidR="00FC0871">
        <w:rPr>
          <w:lang w:val="en-US"/>
        </w:rPr>
        <w:t>did not include motor function data or information on preferences of parents for type of treatment</w:t>
      </w:r>
      <w:r w:rsidR="00B261FA">
        <w:rPr>
          <w:lang w:val="en-US"/>
        </w:rPr>
        <w:t>.</w:t>
      </w:r>
      <w:r w:rsidR="00E16F8A">
        <w:rPr>
          <w:lang w:val="en-US"/>
        </w:rPr>
        <w:t xml:space="preserve"> </w:t>
      </w:r>
      <w:r w:rsidR="00C1359D">
        <w:rPr>
          <w:lang w:val="en-US"/>
        </w:rPr>
        <w:t>Except in the UK</w:t>
      </w:r>
      <w:r w:rsidR="00FC0871">
        <w:rPr>
          <w:lang w:val="en-US"/>
        </w:rPr>
        <w:t>,</w:t>
      </w:r>
      <w:r w:rsidR="00C1359D">
        <w:rPr>
          <w:lang w:val="en-US"/>
        </w:rPr>
        <w:t xml:space="preserve"> </w:t>
      </w:r>
      <w:r w:rsidR="00E16F8A" w:rsidRPr="00E16F8A">
        <w:rPr>
          <w:lang w:val="en-US"/>
        </w:rPr>
        <w:t xml:space="preserve">NIS patients </w:t>
      </w:r>
      <w:r w:rsidR="00FC0871">
        <w:rPr>
          <w:lang w:val="en-US"/>
        </w:rPr>
        <w:t>included were</w:t>
      </w:r>
      <w:r w:rsidR="00E16F8A" w:rsidRPr="00E16F8A">
        <w:rPr>
          <w:lang w:val="en-US"/>
        </w:rPr>
        <w:t xml:space="preserve"> strictly non-symptomatic at the start of treatment, which is not always the case in real life.</w:t>
      </w:r>
      <w:r w:rsidR="00D31262">
        <w:rPr>
          <w:lang w:val="en-US"/>
        </w:rPr>
        <w:t xml:space="preserve"> </w:t>
      </w:r>
      <w:r w:rsidR="00CE0A49">
        <w:rPr>
          <w:lang w:val="en-US"/>
        </w:rPr>
        <w:t xml:space="preserve">To our knowledge, this study is </w:t>
      </w:r>
      <w:r w:rsidR="00B766FA">
        <w:rPr>
          <w:lang w:val="en-US"/>
        </w:rPr>
        <w:t xml:space="preserve">therefore </w:t>
      </w:r>
      <w:r w:rsidR="00CE0A49">
        <w:rPr>
          <w:lang w:val="en-US"/>
        </w:rPr>
        <w:t xml:space="preserve">the first to </w:t>
      </w:r>
      <w:r w:rsidR="006F0A12" w:rsidRPr="00B261FA">
        <w:rPr>
          <w:lang w:val="en-US"/>
        </w:rPr>
        <w:t>include real-life data</w:t>
      </w:r>
      <w:r w:rsidR="00FC0871">
        <w:rPr>
          <w:lang w:val="en-US"/>
        </w:rPr>
        <w:t>. Our study is based on data</w:t>
      </w:r>
      <w:r w:rsidR="00CE0A49">
        <w:rPr>
          <w:lang w:val="en-US"/>
        </w:rPr>
        <w:t xml:space="preserve"> collected</w:t>
      </w:r>
      <w:r w:rsidR="00B766FA">
        <w:rPr>
          <w:lang w:val="en-US"/>
        </w:rPr>
        <w:t xml:space="preserve"> </w:t>
      </w:r>
      <w:r w:rsidR="00094D34">
        <w:rPr>
          <w:lang w:val="en-US"/>
        </w:rPr>
        <w:t xml:space="preserve">in </w:t>
      </w:r>
      <w:r w:rsidR="00B766FA">
        <w:rPr>
          <w:lang w:val="en-US"/>
        </w:rPr>
        <w:t>Belgi</w:t>
      </w:r>
      <w:r w:rsidR="00FC0871">
        <w:rPr>
          <w:lang w:val="en-US"/>
        </w:rPr>
        <w:t>um</w:t>
      </w:r>
      <w:r w:rsidR="00B766FA">
        <w:rPr>
          <w:lang w:val="en-US"/>
        </w:rPr>
        <w:t>, one of</w:t>
      </w:r>
      <w:r w:rsidR="00FC0871">
        <w:rPr>
          <w:lang w:val="en-US"/>
        </w:rPr>
        <w:t xml:space="preserve"> countries to</w:t>
      </w:r>
      <w:r w:rsidR="00B766FA">
        <w:rPr>
          <w:lang w:val="en-US"/>
        </w:rPr>
        <w:t xml:space="preserve"> launch</w:t>
      </w:r>
      <w:r w:rsidR="00FC0871">
        <w:rPr>
          <w:lang w:val="en-US"/>
        </w:rPr>
        <w:t xml:space="preserve"> an SMA NBS program,</w:t>
      </w:r>
      <w:r w:rsidR="00B766FA">
        <w:rPr>
          <w:lang w:val="en-US"/>
        </w:rPr>
        <w:t xml:space="preserve"> </w:t>
      </w:r>
      <w:r w:rsidR="00FC0871">
        <w:rPr>
          <w:lang w:val="en-US"/>
        </w:rPr>
        <w:t xml:space="preserve">beginning </w:t>
      </w:r>
      <w:r w:rsidR="00B766FA">
        <w:rPr>
          <w:lang w:val="en-US"/>
        </w:rPr>
        <w:t xml:space="preserve">in </w:t>
      </w:r>
      <w:r w:rsidR="00CE0A49">
        <w:rPr>
          <w:lang w:val="en-US"/>
        </w:rPr>
        <w:t>2018.</w:t>
      </w:r>
    </w:p>
    <w:p w14:paraId="23AE7B1A" w14:textId="77777777" w:rsidR="00D31262" w:rsidRDefault="00D31262" w:rsidP="001E44EA">
      <w:pPr>
        <w:jc w:val="both"/>
        <w:rPr>
          <w:lang w:val="en-US"/>
        </w:rPr>
      </w:pPr>
    </w:p>
    <w:p w14:paraId="44652594" w14:textId="10387C56" w:rsidR="004B14DB" w:rsidRDefault="00CE0A49" w:rsidP="001E44EA">
      <w:pPr>
        <w:jc w:val="both"/>
        <w:rPr>
          <w:lang w:val="en-US"/>
        </w:rPr>
      </w:pPr>
      <w:r>
        <w:rPr>
          <w:lang w:val="en-US"/>
        </w:rPr>
        <w:t>D</w:t>
      </w:r>
      <w:r w:rsidR="006F0A12" w:rsidRPr="00B261FA">
        <w:rPr>
          <w:lang w:val="en-US"/>
        </w:rPr>
        <w:t xml:space="preserve">eterministic </w:t>
      </w:r>
      <w:r w:rsidR="00B766FA">
        <w:rPr>
          <w:lang w:val="en-US"/>
        </w:rPr>
        <w:t xml:space="preserve">sensitivity </w:t>
      </w:r>
      <w:r w:rsidR="006F0A12" w:rsidRPr="00B261FA">
        <w:rPr>
          <w:lang w:val="en-US"/>
        </w:rPr>
        <w:t>analys</w:t>
      </w:r>
      <w:r>
        <w:rPr>
          <w:lang w:val="en-US"/>
        </w:rPr>
        <w:t>e</w:t>
      </w:r>
      <w:r w:rsidR="006F0A12" w:rsidRPr="00B261FA">
        <w:rPr>
          <w:lang w:val="en-US"/>
        </w:rPr>
        <w:t>s</w:t>
      </w:r>
      <w:r>
        <w:rPr>
          <w:lang w:val="en-US"/>
        </w:rPr>
        <w:t xml:space="preserve"> </w:t>
      </w:r>
      <w:r w:rsidR="0010180D">
        <w:rPr>
          <w:lang w:val="en-US"/>
        </w:rPr>
        <w:t>indicate</w:t>
      </w:r>
      <w:r w:rsidR="00B766FA">
        <w:rPr>
          <w:lang w:val="en-US"/>
        </w:rPr>
        <w:t>d</w:t>
      </w:r>
      <w:r w:rsidR="0010180D">
        <w:rPr>
          <w:lang w:val="en-US"/>
        </w:rPr>
        <w:t xml:space="preserve"> </w:t>
      </w:r>
      <w:r>
        <w:rPr>
          <w:lang w:val="en-US"/>
        </w:rPr>
        <w:t xml:space="preserve">that NBS </w:t>
      </w:r>
      <w:r w:rsidR="00FC0871">
        <w:rPr>
          <w:lang w:val="en-US"/>
        </w:rPr>
        <w:t xml:space="preserve">was cost-effective in all scenarios and was </w:t>
      </w:r>
      <w:r>
        <w:rPr>
          <w:lang w:val="en-US"/>
        </w:rPr>
        <w:t>dominant in several</w:t>
      </w:r>
      <w:r w:rsidR="00A722A4">
        <w:rPr>
          <w:lang w:val="en-US"/>
        </w:rPr>
        <w:t>: (1</w:t>
      </w:r>
      <w:r w:rsidR="00D13F1B">
        <w:rPr>
          <w:lang w:val="en-US"/>
        </w:rPr>
        <w:t>)</w:t>
      </w:r>
      <w:r w:rsidR="00A722A4">
        <w:rPr>
          <w:lang w:val="en-US"/>
        </w:rPr>
        <w:t xml:space="preserve"> </w:t>
      </w:r>
      <w:r>
        <w:rPr>
          <w:lang w:val="en-US"/>
        </w:rPr>
        <w:t>when</w:t>
      </w:r>
      <w:r w:rsidR="006F0A12" w:rsidRPr="00B261FA">
        <w:rPr>
          <w:lang w:val="en-US"/>
        </w:rPr>
        <w:t xml:space="preserve"> treatment</w:t>
      </w:r>
      <w:r w:rsidR="00FC0871">
        <w:rPr>
          <w:lang w:val="en-US"/>
        </w:rPr>
        <w:t xml:space="preserve"> was</w:t>
      </w:r>
      <w:r w:rsidR="006F0A12" w:rsidRPr="00B261FA">
        <w:rPr>
          <w:lang w:val="en-US"/>
        </w:rPr>
        <w:t xml:space="preserve"> based on </w:t>
      </w:r>
      <w:r w:rsidR="001E65AA">
        <w:rPr>
          <w:lang w:val="en-US"/>
        </w:rPr>
        <w:t xml:space="preserve">parents’ </w:t>
      </w:r>
      <w:r w:rsidR="006F0A12" w:rsidRPr="00B261FA">
        <w:rPr>
          <w:lang w:val="en-US"/>
        </w:rPr>
        <w:t>preferences</w:t>
      </w:r>
      <w:r w:rsidR="00FC0871">
        <w:rPr>
          <w:lang w:val="en-US"/>
        </w:rPr>
        <w:t>,</w:t>
      </w:r>
      <w:r w:rsidR="00D13F1B">
        <w:rPr>
          <w:lang w:val="en-US"/>
        </w:rPr>
        <w:t xml:space="preserve"> </w:t>
      </w:r>
      <w:r w:rsidR="00A722A4">
        <w:rPr>
          <w:lang w:val="en-US"/>
        </w:rPr>
        <w:t xml:space="preserve">(2) when </w:t>
      </w:r>
      <w:r w:rsidR="006F0A12" w:rsidRPr="00111066">
        <w:rPr>
          <w:lang w:val="en-US"/>
        </w:rPr>
        <w:t>a societal perspective</w:t>
      </w:r>
      <w:r w:rsidR="00FC0871">
        <w:rPr>
          <w:lang w:val="en-US"/>
        </w:rPr>
        <w:t xml:space="preserve"> was considered,</w:t>
      </w:r>
      <w:r w:rsidR="006F0A12" w:rsidRPr="00111066">
        <w:rPr>
          <w:lang w:val="en-US"/>
        </w:rPr>
        <w:t xml:space="preserve"> </w:t>
      </w:r>
      <w:r w:rsidR="00A722A4">
        <w:rPr>
          <w:lang w:val="en-US"/>
        </w:rPr>
        <w:t>and (3</w:t>
      </w:r>
      <w:r w:rsidR="00D13F1B">
        <w:rPr>
          <w:lang w:val="en-US"/>
        </w:rPr>
        <w:t>)</w:t>
      </w:r>
      <w:r w:rsidR="00A722A4">
        <w:rPr>
          <w:lang w:val="en-US"/>
        </w:rPr>
        <w:t xml:space="preserve"> when</w:t>
      </w:r>
      <w:r w:rsidR="006F0A12">
        <w:rPr>
          <w:lang w:val="en-US"/>
        </w:rPr>
        <w:t xml:space="preserve"> caregiver burden </w:t>
      </w:r>
      <w:r w:rsidR="00FC0871">
        <w:rPr>
          <w:lang w:val="en-US"/>
        </w:rPr>
        <w:t xml:space="preserve">was </w:t>
      </w:r>
      <w:r w:rsidR="00A722A4">
        <w:rPr>
          <w:lang w:val="en-US"/>
        </w:rPr>
        <w:t>incorporated</w:t>
      </w:r>
      <w:r w:rsidR="00A7781A" w:rsidRPr="00A7781A">
        <w:rPr>
          <w:lang w:val="en-US"/>
        </w:rPr>
        <w:t xml:space="preserve">. </w:t>
      </w:r>
      <w:r w:rsidR="00A722A4">
        <w:rPr>
          <w:lang w:val="en-US"/>
        </w:rPr>
        <w:t xml:space="preserve">Although societal perspective and caregiver burden are not </w:t>
      </w:r>
      <w:r w:rsidR="00FC0871">
        <w:rPr>
          <w:lang w:val="en-US"/>
        </w:rPr>
        <w:t>part of</w:t>
      </w:r>
      <w:r w:rsidR="00A722A4">
        <w:rPr>
          <w:lang w:val="en-US"/>
        </w:rPr>
        <w:t xml:space="preserve"> the Belgian guideline</w:t>
      </w:r>
      <w:r w:rsidR="00FC0871">
        <w:rPr>
          <w:lang w:val="en-US"/>
        </w:rPr>
        <w:t>s</w:t>
      </w:r>
      <w:r w:rsidR="00B766FA">
        <w:rPr>
          <w:lang w:val="en-US"/>
        </w:rPr>
        <w:t xml:space="preserve"> for economic evaluation</w:t>
      </w:r>
      <w:r w:rsidR="00A722A4">
        <w:rPr>
          <w:lang w:val="en-US"/>
        </w:rPr>
        <w:t xml:space="preserve">, many other countries </w:t>
      </w:r>
      <w:r w:rsidR="00FC0871">
        <w:rPr>
          <w:lang w:val="en-US"/>
        </w:rPr>
        <w:t>do take</w:t>
      </w:r>
      <w:r w:rsidR="00A722A4">
        <w:rPr>
          <w:lang w:val="en-US"/>
        </w:rPr>
        <w:t xml:space="preserve"> these</w:t>
      </w:r>
      <w:r w:rsidR="00E74AF1">
        <w:rPr>
          <w:lang w:val="en-US"/>
        </w:rPr>
        <w:t xml:space="preserve"> aspects</w:t>
      </w:r>
      <w:r w:rsidR="00A722A4">
        <w:rPr>
          <w:lang w:val="en-US"/>
        </w:rPr>
        <w:t xml:space="preserve"> into</w:t>
      </w:r>
      <w:r w:rsidR="00B766FA">
        <w:rPr>
          <w:lang w:val="en-US"/>
        </w:rPr>
        <w:t xml:space="preserve"> consideration.</w:t>
      </w:r>
    </w:p>
    <w:p w14:paraId="6A4BEEBD" w14:textId="77777777" w:rsidR="00050831" w:rsidRPr="00050831" w:rsidRDefault="00050831" w:rsidP="00397139">
      <w:pPr>
        <w:jc w:val="both"/>
        <w:rPr>
          <w:lang w:val="en-US"/>
        </w:rPr>
      </w:pPr>
    </w:p>
    <w:p w14:paraId="3961C15D" w14:textId="1864BB59" w:rsidR="00D53058" w:rsidRDefault="00B766FA" w:rsidP="00397139">
      <w:pPr>
        <w:jc w:val="both"/>
        <w:rPr>
          <w:rFonts w:ascii="ArialMT" w:eastAsia="Times New Roman" w:hAnsi="ArialMT" w:cs="Times New Roman"/>
          <w:lang w:val="en-US" w:eastAsia="fr-FR"/>
        </w:rPr>
      </w:pPr>
      <w:r>
        <w:rPr>
          <w:rFonts w:ascii="ArialMT" w:eastAsia="Times New Roman" w:hAnsi="ArialMT" w:cs="Times New Roman"/>
          <w:lang w:val="en-US" w:eastAsia="fr-FR"/>
        </w:rPr>
        <w:t>Although cost-effectiveness analyses are mandatory for drug reimbursement decisions, they are</w:t>
      </w:r>
      <w:r w:rsidR="007B1BFD" w:rsidRPr="007B1BFD">
        <w:rPr>
          <w:rFonts w:ascii="ArialMT" w:eastAsia="Times New Roman" w:hAnsi="ArialMT" w:cs="Times New Roman"/>
          <w:lang w:val="en-US" w:eastAsia="fr-FR"/>
        </w:rPr>
        <w:t xml:space="preserve"> not yet required by the health authorities </w:t>
      </w:r>
      <w:r>
        <w:rPr>
          <w:rFonts w:ascii="ArialMT" w:eastAsia="Times New Roman" w:hAnsi="ArialMT" w:cs="Times New Roman"/>
          <w:lang w:val="en-US" w:eastAsia="fr-FR"/>
        </w:rPr>
        <w:t xml:space="preserve">for public health program </w:t>
      </w:r>
      <w:r w:rsidR="007B1BFD" w:rsidRPr="007B1BFD">
        <w:rPr>
          <w:rFonts w:ascii="ArialMT" w:eastAsia="Times New Roman" w:hAnsi="ArialMT" w:cs="Times New Roman"/>
          <w:lang w:val="en-US" w:eastAsia="fr-FR"/>
        </w:rPr>
        <w:t xml:space="preserve">even if the concept of cost is part of the initial criteria </w:t>
      </w:r>
      <w:r w:rsidR="00FC0871">
        <w:rPr>
          <w:rFonts w:ascii="ArialMT" w:eastAsia="Times New Roman" w:hAnsi="ArialMT" w:cs="Times New Roman"/>
          <w:lang w:val="en-US" w:eastAsia="fr-FR"/>
        </w:rPr>
        <w:t>for implementation of</w:t>
      </w:r>
      <w:r w:rsidR="007B1BFD" w:rsidRPr="007B1BFD">
        <w:rPr>
          <w:rFonts w:ascii="ArialMT" w:eastAsia="Times New Roman" w:hAnsi="ArialMT" w:cs="Times New Roman"/>
          <w:lang w:val="en-US" w:eastAsia="fr-FR"/>
        </w:rPr>
        <w:t xml:space="preserve"> NBS</w:t>
      </w:r>
      <w:r w:rsidR="00CE303B">
        <w:rPr>
          <w:rFonts w:ascii="ArialMT" w:eastAsia="Times New Roman" w:hAnsi="ArialMT" w:cs="Times New Roman"/>
          <w:lang w:val="en-US" w:eastAsia="fr-FR"/>
        </w:rPr>
        <w:fldChar w:fldCharType="begin" w:fldLock="1"/>
      </w:r>
      <w:r w:rsidR="001336C2">
        <w:rPr>
          <w:rFonts w:ascii="ArialMT" w:eastAsia="Times New Roman" w:hAnsi="ArialMT" w:cs="Times New Roman"/>
          <w:lang w:val="en-US" w:eastAsia="fr-FR"/>
        </w:rPr>
        <w:instrText>ADDIN CSL_CITATION {"citationItems":[{"id":"ITEM-1","itemData":{"ISSN":"2409-515X (Electronic)","PMID":"33808002","abstract":"Neonatal screening (NBS) was initiated in Europe during the 1960s with the screening for phenylketonuria. The panel of screened disorders (\"conditions\") then gradually expanded, with a boost in the late 1990s with the introduction of tandem mass spectrometry (MS/MS), making it possible to screen for 40-50 conditions using a single blood spot. The most recent additions to screening programmes (screening for cystic fibrosis, severe combined immunodeficiency and spinal muscular atrophy) were assisted by or realised through the introduction of molecular technologies. For this survey, we collected data from 51 European countries. We report the developments between 2010 and 2020 and highlight the achievements reached with the progress made in this period. We also identify areas where further progress can be made, mainly by exchanging knowledge and learning from experiences in neighbouring countries. Between 2010 and 2020, most NBS programmes in geographical Europe matured considerably, both in terms of methodology (modernised) and with regard to the panel of conditions screened (expanded). These developments indicate that more collaboration in Europe through European organisations is gaining momentum. We can only accomplish the timely detection of newborn infants potentially suffering from one of the many rare diseases and take appropriate action by working together.","author":[{"dropping-particle":"","family":"Loeber","given":"J Gerard","non-dropping-particle":"","parse-names":false,"suffix":""},{"dropping-particle":"","family":"Platis","given":"Dimitris","non-dropping-particle":"","parse-names":false,"suffix":""},{"dropping-particle":"","family":"Zetterstr</w:instrText>
      </w:r>
      <w:r w:rsidR="001336C2">
        <w:rPr>
          <w:rFonts w:ascii="ArialMT" w:eastAsia="Times New Roman" w:hAnsi="ArialMT" w:cs="Times New Roman" w:hint="eastAsia"/>
          <w:lang w:val="en-US" w:eastAsia="fr-FR"/>
        </w:rPr>
        <w:instrText>ö</w:instrText>
      </w:r>
      <w:r w:rsidR="001336C2">
        <w:rPr>
          <w:rFonts w:ascii="ArialMT" w:eastAsia="Times New Roman" w:hAnsi="ArialMT" w:cs="Times New Roman"/>
          <w:lang w:val="en-US" w:eastAsia="fr-FR"/>
        </w:rPr>
        <w:instrText>m","given":"Rolf H","non-dropping-particle":"","parse-names":false,"suffix":""},{"dropping-particle":"","family":"Almashanu","given":"Shlomo","non-dropping-particle":"","parse-names":false,"suffix":""},{"dropping-particle":"","family":"Boemer","given":"Fran</w:instrText>
      </w:r>
      <w:r w:rsidR="001336C2">
        <w:rPr>
          <w:rFonts w:ascii="ArialMT" w:eastAsia="Times New Roman" w:hAnsi="ArialMT" w:cs="Times New Roman" w:hint="eastAsia"/>
          <w:lang w:val="en-US" w:eastAsia="fr-FR"/>
        </w:rPr>
        <w:instrText>ç</w:instrText>
      </w:r>
      <w:r w:rsidR="001336C2">
        <w:rPr>
          <w:rFonts w:ascii="ArialMT" w:eastAsia="Times New Roman" w:hAnsi="ArialMT" w:cs="Times New Roman"/>
          <w:lang w:val="en-US" w:eastAsia="fr-FR"/>
        </w:rPr>
        <w:instrText>ois","non-dropping-particle":"","parse-names":false,"suffix":""},{"dropping-particle":"","family":"Bonham","given":"James R","non-dropping-particle":"","parse-names":false,"suffix":""},{"dropping-particle":"","family":"Borde","given":"Patricia","non-dropping-particle":"","parse-names":false,"suffix":""},{"dropping-particle":"","family":"Brincat","given":"Ian","non-dropping-particle":"","parse-names":false,"suffix":""},{"dropping-particle":"","family":"Cheillan","given":"David","non-dropping-particle":"","parse-names":false,"suffix":""},{"dropping-particle":"","family":"Dekkers","given":"Eugenie","non-dropping-particle":"","parse-names":false,"suffix":""},{"dropping-particle":"","family":"Dimitrov","given":"Dobry","non-dropping-particle":"","parse-names":false,"suffix":""},{"dropping-particle":"","family":"Fingerhut","given":"Ralph","non-dropping-particle":"","parse-names":false,"suffix":""},{"dropping-particle":"","family":"Franzson","given":"Leifur","non-dropping-particle":"","parse-names":false,"suffix":""},{"dropping-particle":"","family":"Groselj","given":"Urh","non-dropping-particle":"","parse-names":false,"suffix":""},{"dropping-particle":"","family":"Hougaard","given":"David","non-dropping-particle":"","parse-names":false,"suffix":""},{"dropping-particle":"","family":"Knapkova","given":"Maria","non-dropping-particle":"","parse-names":false,"suffix":""},{"dropping-particle":"","family":"Kocova","given":"Mirjana","non-dropping-particle":"","parse-names":false,"suffix":""},{"dropping-particle":"","family":"Kotori","given":"Vjosa","non-dropping-particle":"","parse-names":false,"suffix":""},{"dropping-particle":"","family":"Kozich","given":"Viktor","non-dropping-particle":"","parse-names":false,"suffix":""},{"dropping-particle":"","family":"Kremezna","given":"Anastasiia","non-dropping-particle":"","parse-names":false,"suffix":""},{"dropping-particle":"","family":"Kurkij</w:instrText>
      </w:r>
      <w:r w:rsidR="001336C2">
        <w:rPr>
          <w:rFonts w:ascii="ArialMT" w:eastAsia="Times New Roman" w:hAnsi="ArialMT" w:cs="Times New Roman" w:hint="eastAsia"/>
          <w:lang w:val="en-US" w:eastAsia="fr-FR"/>
        </w:rPr>
        <w:instrText>ä</w:instrText>
      </w:r>
      <w:r w:rsidR="001336C2">
        <w:rPr>
          <w:rFonts w:ascii="ArialMT" w:eastAsia="Times New Roman" w:hAnsi="ArialMT" w:cs="Times New Roman"/>
          <w:lang w:val="en-US" w:eastAsia="fr-FR"/>
        </w:rPr>
        <w:instrText>rvi","given":"Riikka","non-dropping-particle":"","parse-names":false,"suffix":""},{"dropping-particle":"","family":"Marca","given":"Giancarlo","non-dropping-particle":"La","parse-names":false,"suffix":""},{"dropping-particle":"","family":"Mikelsaar","given":"Ruth","non-dropping-particle":"","parse-names":false,"suffix":""},{"dropping-particle":"","family":"Milenkovic","given":"Tatjana","non-dropping-particle":"","parse-names":false,"suffix":""},{"dropping-particle":"","family":"Mitkin","given":"Vyacheslav","non-dropping-particle":"","parse-names":false,"suffix":""},{"dropping-particle":"","family":"Moldovanu","given":"Florentina","non-dropping-particle":"","parse-names":false,"suffix":""},{"dropping-particle":"","family":"Ceglarek","given":"Uta","non-dropping-particle":"","parse-names":false,"suffix":""},{"dropping-particle":"","family":"O'Grady","given":"Loretta","non-dropping-particle":"","parse-names":false,"suffix":""},{"dropping-particle":"","family":"Oltarzewski","given":"Mariusz","non-dropping-particle":"","parse-names":false,"suffix":""},{"dropping-particle":"","family":"Pettersen","given":"Rolf D","non-dropping-particle":"","parse-names":false,"suffix":""},{"dropping-particle":"","family":"Ramadza","given":"Danijela","non-dropping-particle":"","parse-names":false,"suffix":""},{"dropping-particle":"","family":"Salimbayeva","given":"Damilya","non-dropping-particle":"","parse-names":false,"suffix":""},{"dropping-particle":"","family":"Samardzic","given":"Mira","non-dropping-particle":"","parse-names":false,"suffix":""},{"dropping-particle":"","family":"Shamsiddinova","given":"Markhabo","non-dropping-particle":"","parse-names":false,"suffix":""},{"dropping-particle":"","family":"Songailien</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given":"Jurgita","non-dropping-particle":"","parse-names":false,"suffix":""},{"dropping-particle":"","family":"Szatmari","given":"Ildiko","non-dropping-particle":"","parse-names":false,"suffix":""},{"dropping-particle":"","family":"Tabatadze","given":"Nazi","non-dropping-particle":"","parse-names":false,"suffix":""},{"dropping-particle":"","family":"Tezel","given":"Basak","non-dropping-particle":"","parse-names":false,"suffix":""},{"dropping-particle":"","family":"Toromanovic","given":"Alma","non-dropping-particle":"","parse-names":false,"suffix":""},{"dropping-particle":"","family":"Tovmasyan","given":"Irina","non-dropping-particle":"","parse-names":false,"suffix":""},{"dropping-particle":"","family":"Usurelu","given":"Natalia","non-dropping-particle":"","parse-names":false,"suffix":""},{"dropping-particle":"","family":"Vevere","given":"Parsla","non-dropping-particle":"","parse-names":false,"suffix":""},{"dropping-particle":"","family":"Vilarinho","given":"Laura","non-dropping-particle":"","parse-names":false,"suffix":""},{"dropping-particle":"","family":"Vogazianos","given":"Marios","non-dropping-particle":"","parse-names":false,"suffix":""},{"dropping-particle":"","family":"Yahyaoui","given":"Raquel","non-dropping-particle":"","parse-names":false,"suffix":""},{"dropping-particle":"","family":"Zeyda","given":"Maximilian","non-dropping-particle":"","parse-names":false,"suffix":""},{"dropping-particle":"","family":"Schielen","given":"Peter C J I","non-dropping-particle":"","parse-names":false,"suffix":""}],"container-title":"International journal of neonatal screening","id":"ITEM-1","issue":"1","issued":{"date-parts":[["2021","3"]]},"language":"eng","title":"Neonatal Screening in Europe Revisited: An ISNS Perspective on the Current State and Developments Since 2010.","type":"article-journal","volume":"7"},"uris":["http://www.mendeley.com/documents/?uuid=271b4c2f-5b60-46ea-9c71-0588811ee8e1"]},{"id":"ITEM-2","itemData":{"URL":"https://www.has-sante.fr/upload/docs/application/pdf/2023-03/guide_methodologique_depistage_neonatal.pdf","accessed":{"date-parts":[["2023","4","3"]]},"author":[{"dropping-particle":"","family":"Haute Autorité de santé, LASSERRE Andrea, NAOUR Nadia","given":"ZAGURY Pascale","non-dropping-particle":"","parse-names":false,"suffix":""}],"container-title":"16/03/2023","id":"ITEM-2","issued":{"date-parts":[["2023"]]},"title":"Critères d</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évaluation pour l</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intégration de nouvelles maladies au programme national du dépistage à la naissance","type":"webpage"},"uris":["http://www.mendeley.com/documents/?uuid=8b04fe9c-9c89-469d-a9e1-5d7cd3d0e139"]},{"id":"ITEM-3","itemData":{"DOI":"https://doi.org/10.57598/R267BS","ISBN":"267B VO  - D/2016/10.273/42","abstract":"KCE Reports 267B (2016) Dans notre pays, les nouveau-n</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s sont soumis, quelques jours apr</w:instrText>
      </w:r>
      <w:r w:rsidR="001336C2">
        <w:rPr>
          <w:rFonts w:ascii="ArialMT" w:eastAsia="Times New Roman" w:hAnsi="ArialMT" w:cs="Times New Roman" w:hint="eastAsia"/>
          <w:lang w:val="en-US" w:eastAsia="fr-FR"/>
        </w:rPr>
        <w:instrText>è</w:instrText>
      </w:r>
      <w:r w:rsidR="001336C2">
        <w:rPr>
          <w:rFonts w:ascii="ArialMT" w:eastAsia="Times New Roman" w:hAnsi="ArialMT" w:cs="Times New Roman"/>
          <w:lang w:val="en-US" w:eastAsia="fr-FR"/>
        </w:rPr>
        <w:instrText>s la naissance, au 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pistage syst</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matique d</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une s</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rie d</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affections cong</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nitales rares. Ce sont les Communaut</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s qui 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terminent la liste de ces maladies; elle en comporte 13 en F</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ration Wallonie-Bruxelles et 11 en Communaut</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 xml:space="preserve"> flamande. Neuf affections sont communes aux deux listes.","author":[{"dropping-particle":"","family":"Chris","given":"De Laet","non-dropping-particle":"","parse-names":false,"suffix":""},{"dropping-particle":"","family":"Germaine","given":"Hanquet","non-dropping-particle":"","parse-names":false,"suffix":""},{"dropping-particle":"","family":"Erik","given":"Hendrickx","non-dropping-particle":"","parse-names":false,"suffix":""}],"container-title":"KCE Reports","id":"ITEM-3","issued":{"date-parts":[["2016"]]},"language":"Fran</w:instrText>
      </w:r>
      <w:r w:rsidR="001336C2">
        <w:rPr>
          <w:rFonts w:ascii="ArialMT" w:eastAsia="Times New Roman" w:hAnsi="ArialMT" w:cs="Times New Roman" w:hint="eastAsia"/>
          <w:lang w:val="en-US" w:eastAsia="fr-FR"/>
        </w:rPr>
        <w:instrText>ç</w:instrText>
      </w:r>
      <w:r w:rsidR="001336C2">
        <w:rPr>
          <w:rFonts w:ascii="ArialMT" w:eastAsia="Times New Roman" w:hAnsi="ArialMT" w:cs="Times New Roman"/>
          <w:lang w:val="en-US" w:eastAsia="fr-FR"/>
        </w:rPr>
        <w:instrText>ais","publisher":"Centre F</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ral d</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Expertise des Soins de Sant</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 xml:space="preserve"> (KCE)","publisher-place":"Bruxelles","title":"D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pistage n</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onatal sanguin : analyse de d</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cision multicrit</w:instrText>
      </w:r>
      <w:r w:rsidR="001336C2">
        <w:rPr>
          <w:rFonts w:ascii="ArialMT" w:eastAsia="Times New Roman" w:hAnsi="ArialMT" w:cs="Times New Roman" w:hint="eastAsia"/>
          <w:lang w:val="en-US" w:eastAsia="fr-FR"/>
        </w:rPr>
        <w:instrText>è</w:instrText>
      </w:r>
      <w:r w:rsidR="001336C2">
        <w:rPr>
          <w:rFonts w:ascii="ArialMT" w:eastAsia="Times New Roman" w:hAnsi="ArialMT" w:cs="Times New Roman"/>
          <w:lang w:val="en-US" w:eastAsia="fr-FR"/>
        </w:rPr>
        <w:instrText>re pour s</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lectionner les maladies prioritaires","type":"report"},"uris":["http://www.mendeley.com/documents/?uuid=2cc46e47-1e62-4817-bcda-7b5a28ae7e7e"]}],"mendeley":{"formattedCitation":"&lt;sup&gt;29&lt;/sup&gt;</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&lt;sup&gt;31&lt;/sup&gt;","plainTextFormattedCitation":"29</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31","previouslyFormattedCitation":"&lt;sup&gt;29&lt;/sup&gt;</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&lt;sup&gt;31&lt;/sup&gt;"},"properties":{"noteIndex":0},"schema":"https://github.com/citation-style-language/schema/raw/master/csl-citation.json"}</w:instrText>
      </w:r>
      <w:r w:rsidR="00CE303B">
        <w:rPr>
          <w:rFonts w:ascii="ArialMT" w:eastAsia="Times New Roman" w:hAnsi="ArialMT" w:cs="Times New Roman"/>
          <w:lang w:val="en-US" w:eastAsia="fr-FR"/>
        </w:rPr>
        <w:fldChar w:fldCharType="separate"/>
      </w:r>
      <w:r w:rsidR="009B0AF4" w:rsidRPr="009B0AF4">
        <w:rPr>
          <w:rFonts w:ascii="ArialMT" w:eastAsia="Times New Roman" w:hAnsi="ArialMT" w:cs="Times New Roman"/>
          <w:noProof/>
          <w:vertAlign w:val="superscript"/>
          <w:lang w:val="en-US" w:eastAsia="fr-FR"/>
        </w:rPr>
        <w:t>29</w:t>
      </w:r>
      <w:r w:rsidR="00D53058" w:rsidRPr="00094D34">
        <w:rPr>
          <w:rFonts w:ascii="ArialMT" w:eastAsia="Times New Roman" w:hAnsi="ArialMT" w:cs="Times New Roman"/>
          <w:noProof/>
          <w:vertAlign w:val="superscript"/>
          <w:lang w:val="en-US" w:eastAsia="fr-FR"/>
        </w:rPr>
        <w:t>-</w:t>
      </w:r>
      <w:r w:rsidR="009B0AF4" w:rsidRPr="009B0AF4">
        <w:rPr>
          <w:rFonts w:ascii="ArialMT" w:eastAsia="Times New Roman" w:hAnsi="ArialMT" w:cs="Times New Roman"/>
          <w:noProof/>
          <w:vertAlign w:val="superscript"/>
          <w:lang w:val="en-US" w:eastAsia="fr-FR"/>
        </w:rPr>
        <w:t>31</w:t>
      </w:r>
      <w:r w:rsidR="00CE303B">
        <w:rPr>
          <w:rFonts w:ascii="ArialMT" w:eastAsia="Times New Roman" w:hAnsi="ArialMT" w:cs="Times New Roman"/>
          <w:lang w:val="en-US" w:eastAsia="fr-FR"/>
        </w:rPr>
        <w:fldChar w:fldCharType="end"/>
      </w:r>
      <w:r w:rsidR="007B1BFD" w:rsidRPr="007B1BFD">
        <w:rPr>
          <w:rFonts w:ascii="ArialMT" w:eastAsia="Times New Roman" w:hAnsi="ArialMT" w:cs="Times New Roman"/>
          <w:lang w:val="en-US" w:eastAsia="fr-FR"/>
        </w:rPr>
        <w:t>. When submitting a reimbursement to health authorities, a budget impact analysis is often included</w:t>
      </w:r>
      <w:r>
        <w:rPr>
          <w:rFonts w:ascii="ArialMT" w:eastAsia="Times New Roman" w:hAnsi="ArialMT" w:cs="Times New Roman"/>
          <w:lang w:val="en-US" w:eastAsia="fr-FR"/>
        </w:rPr>
        <w:t>, w</w:t>
      </w:r>
      <w:r w:rsidR="0010180D">
        <w:rPr>
          <w:rFonts w:ascii="ArialMT" w:eastAsia="Times New Roman" w:hAnsi="ArialMT" w:cs="Times New Roman"/>
          <w:lang w:val="en-US" w:eastAsia="fr-FR"/>
        </w:rPr>
        <w:t>hich</w:t>
      </w:r>
      <w:r w:rsidR="007B1BFD" w:rsidRPr="007B1BFD">
        <w:rPr>
          <w:rFonts w:ascii="ArialMT" w:eastAsia="Times New Roman" w:hAnsi="ArialMT" w:cs="Times New Roman"/>
          <w:lang w:val="en-US" w:eastAsia="fr-FR"/>
        </w:rPr>
        <w:t xml:space="preserve"> estimate</w:t>
      </w:r>
      <w:r w:rsidR="0010180D">
        <w:rPr>
          <w:rFonts w:ascii="ArialMT" w:eastAsia="Times New Roman" w:hAnsi="ArialMT" w:cs="Times New Roman"/>
          <w:lang w:val="en-US" w:eastAsia="fr-FR"/>
        </w:rPr>
        <w:t>s</w:t>
      </w:r>
      <w:r w:rsidR="007B1BFD" w:rsidRPr="007B1BFD">
        <w:rPr>
          <w:rFonts w:ascii="ArialMT" w:eastAsia="Times New Roman" w:hAnsi="ArialMT" w:cs="Times New Roman"/>
          <w:lang w:val="en-US" w:eastAsia="fr-FR"/>
        </w:rPr>
        <w:t xml:space="preserve"> the implications in terms of annual budget over a period of three to five years. This </w:t>
      </w:r>
      <w:r w:rsidR="00FC0871">
        <w:rPr>
          <w:rFonts w:ascii="ArialMT" w:eastAsia="Times New Roman" w:hAnsi="ArialMT" w:cs="Times New Roman"/>
          <w:lang w:val="en-US" w:eastAsia="fr-FR"/>
        </w:rPr>
        <w:t>requires</w:t>
      </w:r>
      <w:r w:rsidR="007B1BFD" w:rsidRPr="007B1BFD">
        <w:rPr>
          <w:rFonts w:ascii="ArialMT" w:eastAsia="Times New Roman" w:hAnsi="ArialMT" w:cs="Times New Roman"/>
          <w:lang w:val="en-US" w:eastAsia="fr-FR"/>
        </w:rPr>
        <w:t xml:space="preserve"> estimating the impact of the NBS, which include</w:t>
      </w:r>
      <w:r w:rsidR="00FC0871">
        <w:rPr>
          <w:rFonts w:ascii="ArialMT" w:eastAsia="Times New Roman" w:hAnsi="ArialMT" w:cs="Times New Roman"/>
          <w:lang w:val="en-US" w:eastAsia="fr-FR"/>
        </w:rPr>
        <w:t>s</w:t>
      </w:r>
      <w:r w:rsidR="007B1BFD" w:rsidRPr="007B1BFD">
        <w:rPr>
          <w:rFonts w:ascii="ArialMT" w:eastAsia="Times New Roman" w:hAnsi="ArialMT" w:cs="Times New Roman"/>
          <w:lang w:val="en-US" w:eastAsia="fr-FR"/>
        </w:rPr>
        <w:t xml:space="preserve"> the cost of screening (based on the total number of babies screened), the cost of treatment for those screened, and </w:t>
      </w:r>
      <w:r w:rsidR="00FC0871">
        <w:rPr>
          <w:rFonts w:ascii="ArialMT" w:eastAsia="Times New Roman" w:hAnsi="ArialMT" w:cs="Times New Roman"/>
          <w:lang w:val="en-US" w:eastAsia="fr-FR"/>
        </w:rPr>
        <w:t>any reduction in</w:t>
      </w:r>
      <w:r w:rsidR="007B1BFD" w:rsidRPr="007B1BFD">
        <w:rPr>
          <w:rFonts w:ascii="ArialMT" w:eastAsia="Times New Roman" w:hAnsi="ArialMT" w:cs="Times New Roman"/>
          <w:lang w:val="en-US" w:eastAsia="fr-FR"/>
        </w:rPr>
        <w:t xml:space="preserve"> costs for </w:t>
      </w:r>
      <w:r w:rsidR="00FC0871">
        <w:rPr>
          <w:rFonts w:ascii="ArialMT" w:eastAsia="Times New Roman" w:hAnsi="ArialMT" w:cs="Times New Roman"/>
          <w:lang w:val="en-US" w:eastAsia="fr-FR"/>
        </w:rPr>
        <w:t>due to pre-symptomatic diagnosis of disease</w:t>
      </w:r>
      <w:r w:rsidR="007B1BFD" w:rsidRPr="007B1BFD">
        <w:rPr>
          <w:rFonts w:ascii="ArialMT" w:eastAsia="Times New Roman" w:hAnsi="ArialMT" w:cs="Times New Roman"/>
          <w:lang w:val="en-US" w:eastAsia="fr-FR"/>
        </w:rPr>
        <w:t xml:space="preserve">. The cost of case finding, including diagnosis and treatment of diagnosed patients, must be economically balanced against the possible expenditure for medical care as a whole. </w:t>
      </w:r>
    </w:p>
    <w:p w14:paraId="53F8AF47" w14:textId="77777777" w:rsidR="00E74AF1" w:rsidRDefault="00E74AF1" w:rsidP="00397139">
      <w:pPr>
        <w:jc w:val="both"/>
        <w:rPr>
          <w:rFonts w:ascii="ArialMT" w:eastAsia="Times New Roman" w:hAnsi="ArialMT" w:cs="Times New Roman"/>
          <w:lang w:val="en-US" w:eastAsia="fr-FR"/>
        </w:rPr>
      </w:pPr>
    </w:p>
    <w:p w14:paraId="394EF007" w14:textId="53C836D0" w:rsidR="00397139" w:rsidRDefault="0081302C" w:rsidP="006731C6">
      <w:pPr>
        <w:jc w:val="both"/>
        <w:rPr>
          <w:rFonts w:ascii="ArialMT" w:eastAsia="Times New Roman" w:hAnsi="ArialMT" w:cs="Times New Roman"/>
          <w:lang w:val="en-US" w:eastAsia="fr-FR"/>
        </w:rPr>
      </w:pPr>
      <w:r>
        <w:rPr>
          <w:rFonts w:ascii="ArialMT" w:eastAsia="Times New Roman" w:hAnsi="ArialMT" w:cs="Times New Roman"/>
          <w:lang w:val="en-US" w:eastAsia="fr-FR"/>
        </w:rPr>
        <w:t>The</w:t>
      </w:r>
      <w:r w:rsidR="00E74AF1">
        <w:rPr>
          <w:rFonts w:ascii="ArialMT" w:eastAsia="Times New Roman" w:hAnsi="ArialMT" w:cs="Times New Roman"/>
          <w:lang w:val="en-US" w:eastAsia="fr-FR"/>
        </w:rPr>
        <w:t xml:space="preserve"> </w:t>
      </w:r>
      <w:r w:rsidR="00D53058" w:rsidRPr="009B0AF4">
        <w:rPr>
          <w:rFonts w:ascii="ArialMT" w:eastAsia="Times New Roman" w:hAnsi="ArialMT" w:cs="Times New Roman"/>
          <w:lang w:val="en-US" w:eastAsia="fr-FR"/>
        </w:rPr>
        <w:t>cost</w:t>
      </w:r>
      <w:r w:rsidR="00FC0871">
        <w:rPr>
          <w:rFonts w:ascii="ArialMT" w:eastAsia="Times New Roman" w:hAnsi="ArialMT" w:cs="Times New Roman"/>
          <w:lang w:val="en-US" w:eastAsia="fr-FR"/>
        </w:rPr>
        <w:t>-</w:t>
      </w:r>
      <w:r w:rsidR="00D53058" w:rsidRPr="009B0AF4">
        <w:rPr>
          <w:rFonts w:ascii="ArialMT" w:eastAsia="Times New Roman" w:hAnsi="ArialMT" w:cs="Times New Roman"/>
          <w:lang w:val="en-US" w:eastAsia="fr-FR"/>
        </w:rPr>
        <w:t>effective</w:t>
      </w:r>
      <w:r w:rsidR="00E74AF1">
        <w:rPr>
          <w:rFonts w:ascii="ArialMT" w:eastAsia="Times New Roman" w:hAnsi="ArialMT" w:cs="Times New Roman"/>
          <w:lang w:val="en-US" w:eastAsia="fr-FR"/>
        </w:rPr>
        <w:t>ness of NBS has been confirmed</w:t>
      </w:r>
      <w:r>
        <w:rPr>
          <w:rFonts w:ascii="ArialMT" w:eastAsia="Times New Roman" w:hAnsi="ArialMT" w:cs="Times New Roman"/>
          <w:lang w:val="en-US" w:eastAsia="fr-FR"/>
        </w:rPr>
        <w:t xml:space="preserve"> for various diseases</w:t>
      </w:r>
      <w:r w:rsidR="00E74AF1">
        <w:rPr>
          <w:rFonts w:ascii="ArialMT" w:eastAsia="Times New Roman" w:hAnsi="ArialMT" w:cs="Times New Roman"/>
          <w:lang w:val="en-US" w:eastAsia="fr-FR"/>
        </w:rPr>
        <w:t>. For instance, th</w:t>
      </w:r>
      <w:r w:rsidR="007B1BFD" w:rsidRPr="007B1BFD">
        <w:rPr>
          <w:rFonts w:ascii="ArialMT" w:eastAsia="Times New Roman" w:hAnsi="ArialMT" w:cs="Times New Roman"/>
          <w:lang w:val="en-US" w:eastAsia="fr-FR"/>
        </w:rPr>
        <w:t xml:space="preserve">e cost-effectiveness of </w:t>
      </w:r>
      <w:r>
        <w:rPr>
          <w:rFonts w:ascii="ArialMT" w:eastAsia="Times New Roman" w:hAnsi="ArialMT" w:cs="Times New Roman"/>
          <w:lang w:val="en-US" w:eastAsia="fr-FR"/>
        </w:rPr>
        <w:t>an</w:t>
      </w:r>
      <w:r w:rsidRPr="007B1BFD">
        <w:rPr>
          <w:rFonts w:ascii="ArialMT" w:eastAsia="Times New Roman" w:hAnsi="ArialMT" w:cs="Times New Roman"/>
          <w:lang w:val="en-US" w:eastAsia="fr-FR"/>
        </w:rPr>
        <w:t xml:space="preserve"> </w:t>
      </w:r>
      <w:r w:rsidR="007B1BFD" w:rsidRPr="007B1BFD">
        <w:rPr>
          <w:rFonts w:ascii="ArialMT" w:eastAsia="Times New Roman" w:hAnsi="ArialMT" w:cs="Times New Roman"/>
          <w:lang w:val="en-US" w:eastAsia="fr-FR"/>
        </w:rPr>
        <w:t xml:space="preserve">expanded </w:t>
      </w:r>
      <w:r w:rsidR="009B0AF4">
        <w:rPr>
          <w:rFonts w:ascii="ArialMT" w:eastAsia="Times New Roman" w:hAnsi="ArialMT" w:cs="Times New Roman"/>
          <w:lang w:val="en-US" w:eastAsia="fr-FR"/>
        </w:rPr>
        <w:t xml:space="preserve">NBS </w:t>
      </w:r>
      <w:r w:rsidR="007B1BFD" w:rsidRPr="007B1BFD">
        <w:rPr>
          <w:rFonts w:ascii="ArialMT" w:eastAsia="Times New Roman" w:hAnsi="ArialMT" w:cs="Times New Roman"/>
          <w:lang w:val="en-US" w:eastAsia="fr-FR"/>
        </w:rPr>
        <w:t>program compared to the previous standard screening (27 diseases versus 7 previously)</w:t>
      </w:r>
      <w:r w:rsidR="00E74AF1">
        <w:rPr>
          <w:rFonts w:ascii="ArialMT" w:eastAsia="Times New Roman" w:hAnsi="ArialMT" w:cs="Times New Roman"/>
          <w:lang w:val="en-US" w:eastAsia="fr-FR"/>
        </w:rPr>
        <w:t xml:space="preserve"> was established</w:t>
      </w:r>
      <w:r w:rsidRPr="0081302C">
        <w:rPr>
          <w:rFonts w:ascii="ArialMT" w:eastAsia="Times New Roman" w:hAnsi="ArialMT" w:cs="Times New Roman"/>
          <w:lang w:val="en-US" w:eastAsia="fr-FR"/>
        </w:rPr>
        <w:t xml:space="preserve"> </w:t>
      </w:r>
      <w:r w:rsidRPr="007B1BFD">
        <w:rPr>
          <w:rFonts w:ascii="ArialMT" w:eastAsia="Times New Roman" w:hAnsi="ArialMT" w:cs="Times New Roman"/>
          <w:lang w:val="en-US" w:eastAsia="fr-FR"/>
        </w:rPr>
        <w:t>in Texas</w:t>
      </w:r>
      <w:r>
        <w:rPr>
          <w:rFonts w:ascii="ArialMT" w:eastAsia="Times New Roman" w:hAnsi="ArialMT" w:cs="Times New Roman"/>
          <w:lang w:val="en-US" w:eastAsia="fr-FR"/>
        </w:rPr>
        <w:t xml:space="preserve"> in an analysis conducted on hypothetical cohorts in 2007</w:t>
      </w:r>
      <w:r>
        <w:rPr>
          <w:rFonts w:ascii="ArialMT" w:eastAsia="Times New Roman" w:hAnsi="ArialMT" w:cs="Times New Roman"/>
          <w:lang w:val="en-US" w:eastAsia="fr-FR"/>
        </w:rPr>
        <w:fldChar w:fldCharType="begin" w:fldLock="1"/>
      </w:r>
      <w:r>
        <w:rPr>
          <w:rFonts w:ascii="ArialMT" w:eastAsia="Times New Roman" w:hAnsi="ArialMT" w:cs="Times New Roman"/>
          <w:lang w:val="en-US" w:eastAsia="fr-FR"/>
        </w:rPr>
        <w:instrText>ADDIN CSL_CITATION {"citationItems":[{"id":"ITEM-1","itemData":{"DOI":"10.1016/j.jval.2012.02.007","ISSN":"1524-4733 (Electronic)","PMID":"22867769","abstract":"OBJECTIVE: Texas House Bill 790 resulted in the expansion of the newborn screening panel from 7 disorders to 27 disorders. Implementation of this change began in 2007. The objective of this study was to estimate the incremental cost-effectiveness of the expanded newborn screening program compared with the previous standard screening in Texas. METHODS: A Markov model (for a hypothetical cohort of Texas births in 2007) was constructed to compare lifetime costs and quality-adjusted life-years (QALYs) between the expanded newborn screening and preexpansion newborn screening. Estimates of costs, probabilities of sequelae, and utilities for disorder categories were obtained from a combination of Texas statistics, the literature, and expert opinion. A baseline discount rate of 3% was used for both costs and QALYs, with a range of 0% to 5%. Analyses were conducted from a payer's perspective, and so only direct medical cost estimates were included. RESULTS: The lifetime incremental cost-effectiveness ratio for expanded versus preexpansion screening was about $11,560 per QALY. The results remained robust to both deterministic and probabilistic sensitivity analyses. CONCLUSIONS: Expanded newborn screening does result in additional expenses to the payer, but it also improves patient outcomes by preventing avoidable morbidity and mortality. The screened population benefits from greater QALYs as compared with the unscreened population. Overall, expanded newborn screening in Texas was estimated to be a cost-effective option as compared with unexpanded newborn screening.","author":[{"dropping-particle":"","family":"Tiwana","given":"Simrandeep K","non-dropping-particle":"","parse-names":false,"suffix":""},{"dropping-particle":"","family":"Rascati","given":"Karen L","non-dropping-particle":"","parse-names":false,"suffix":""},{"dropping-particle":"","family":"Park","given":"Haesuk","non-dropping-particle":"","parse-names":false,"suffix":""}],"container-title":"Value in health: the journal of the International Society for Pharmacoeconomics and Outcomes Research","id":"ITEM-1","issue":"5","issued":{"date-parts":[["2012"]]},"language":"eng","page":"613-621","publisher-place":"United States","title":"Cost-effectiveness of expanded newborn screening in Texas.","type":"article-journal","volume":"15"},"uris":["http://www.mendeley.com/documents/?uuid=d869a753-3b04-42be-8da7-55cf785f307c"]}],"mendeley":{"formattedCitation":"&lt;sup&gt;32&lt;/sup&gt;","plainTextFormattedCitation":"32","previouslyFormattedCitation":"&lt;sup&gt;32&lt;/sup&gt;"},"properties":{"noteIndex":0},"schema":"https://github.com/citation-style-language/schema/raw/master/csl-citation.json"}</w:instrText>
      </w:r>
      <w:r>
        <w:rPr>
          <w:rFonts w:ascii="ArialMT" w:eastAsia="Times New Roman" w:hAnsi="ArialMT" w:cs="Times New Roman"/>
          <w:lang w:val="en-US" w:eastAsia="fr-FR"/>
        </w:rPr>
        <w:fldChar w:fldCharType="separate"/>
      </w:r>
      <w:r w:rsidRPr="009B0AF4">
        <w:rPr>
          <w:rFonts w:ascii="ArialMT" w:eastAsia="Times New Roman" w:hAnsi="ArialMT" w:cs="Times New Roman"/>
          <w:noProof/>
          <w:vertAlign w:val="superscript"/>
          <w:lang w:val="en-US" w:eastAsia="fr-FR"/>
        </w:rPr>
        <w:t>32</w:t>
      </w:r>
      <w:r>
        <w:rPr>
          <w:rFonts w:ascii="ArialMT" w:eastAsia="Times New Roman" w:hAnsi="ArialMT" w:cs="Times New Roman"/>
          <w:lang w:val="en-US" w:eastAsia="fr-FR"/>
        </w:rPr>
        <w:fldChar w:fldCharType="end"/>
      </w:r>
      <w:r w:rsidR="007B1BFD" w:rsidRPr="007B1BFD">
        <w:rPr>
          <w:rFonts w:ascii="ArialMT" w:eastAsia="Times New Roman" w:hAnsi="ArialMT" w:cs="Times New Roman"/>
          <w:lang w:val="en-US" w:eastAsia="fr-FR"/>
        </w:rPr>
        <w:t xml:space="preserve">. </w:t>
      </w:r>
      <w:r>
        <w:rPr>
          <w:rFonts w:ascii="ArialMT" w:eastAsia="Times New Roman" w:hAnsi="ArialMT" w:cs="Times New Roman"/>
          <w:lang w:val="en-US" w:eastAsia="fr-FR"/>
        </w:rPr>
        <w:t xml:space="preserve">Results of the study indicated </w:t>
      </w:r>
      <w:r w:rsidR="007B1BFD" w:rsidRPr="007B1BFD">
        <w:rPr>
          <w:rFonts w:ascii="ArialMT" w:eastAsia="Times New Roman" w:hAnsi="ArialMT" w:cs="Times New Roman"/>
          <w:lang w:val="en-US" w:eastAsia="fr-FR"/>
        </w:rPr>
        <w:t xml:space="preserve">that patient outcomes were improved by preventing morbidity and mortality </w:t>
      </w:r>
      <w:r>
        <w:rPr>
          <w:rFonts w:ascii="ArialMT" w:eastAsia="Times New Roman" w:hAnsi="ArialMT" w:cs="Times New Roman"/>
          <w:lang w:val="en-US" w:eastAsia="fr-FR"/>
        </w:rPr>
        <w:t xml:space="preserve">of treatable disease </w:t>
      </w:r>
      <w:r w:rsidR="007B1BFD" w:rsidRPr="007B1BFD">
        <w:rPr>
          <w:rFonts w:ascii="ArialMT" w:eastAsia="Times New Roman" w:hAnsi="ArialMT" w:cs="Times New Roman"/>
          <w:lang w:val="en-US" w:eastAsia="fr-FR"/>
        </w:rPr>
        <w:t xml:space="preserve">and found that the population tested had more QALYs than the </w:t>
      </w:r>
      <w:r w:rsidR="0010180D">
        <w:rPr>
          <w:rFonts w:ascii="ArialMT" w:eastAsia="Times New Roman" w:hAnsi="ArialMT" w:cs="Times New Roman"/>
          <w:lang w:val="en-US" w:eastAsia="fr-FR"/>
        </w:rPr>
        <w:t>non-tested</w:t>
      </w:r>
      <w:r w:rsidR="0010180D" w:rsidRPr="007B1BFD">
        <w:rPr>
          <w:rFonts w:ascii="ArialMT" w:eastAsia="Times New Roman" w:hAnsi="ArialMT" w:cs="Times New Roman"/>
          <w:lang w:val="en-US" w:eastAsia="fr-FR"/>
        </w:rPr>
        <w:t xml:space="preserve"> </w:t>
      </w:r>
      <w:r w:rsidR="007B1BFD" w:rsidRPr="007B1BFD">
        <w:rPr>
          <w:rFonts w:ascii="ArialMT" w:eastAsia="Times New Roman" w:hAnsi="ArialMT" w:cs="Times New Roman"/>
          <w:lang w:val="en-US" w:eastAsia="fr-FR"/>
        </w:rPr>
        <w:t xml:space="preserve">population. </w:t>
      </w:r>
      <w:r>
        <w:rPr>
          <w:rFonts w:ascii="ArialMT" w:eastAsia="Times New Roman" w:hAnsi="ArialMT" w:cs="Times New Roman"/>
          <w:lang w:val="en-US" w:eastAsia="fr-FR"/>
        </w:rPr>
        <w:t>Although</w:t>
      </w:r>
      <w:r w:rsidRPr="007B1BFD">
        <w:rPr>
          <w:rFonts w:ascii="ArialMT" w:eastAsia="Times New Roman" w:hAnsi="ArialMT" w:cs="Times New Roman"/>
          <w:lang w:val="en-US" w:eastAsia="fr-FR"/>
        </w:rPr>
        <w:t xml:space="preserve"> </w:t>
      </w:r>
      <w:r w:rsidR="007B1BFD" w:rsidRPr="007B1BFD">
        <w:rPr>
          <w:rFonts w:ascii="ArialMT" w:eastAsia="Times New Roman" w:hAnsi="ArialMT" w:cs="Times New Roman"/>
          <w:lang w:val="en-US" w:eastAsia="fr-FR"/>
        </w:rPr>
        <w:t xml:space="preserve">the decision to include new diseases </w:t>
      </w:r>
      <w:r>
        <w:rPr>
          <w:rFonts w:ascii="ArialMT" w:eastAsia="Times New Roman" w:hAnsi="ArialMT" w:cs="Times New Roman"/>
          <w:lang w:val="en-US" w:eastAsia="fr-FR"/>
        </w:rPr>
        <w:t xml:space="preserve">in the NBS panel </w:t>
      </w:r>
      <w:r w:rsidR="007B1BFD" w:rsidRPr="007B1BFD">
        <w:rPr>
          <w:rFonts w:ascii="ArialMT" w:eastAsia="Times New Roman" w:hAnsi="ArialMT" w:cs="Times New Roman"/>
          <w:lang w:val="en-US" w:eastAsia="fr-FR"/>
        </w:rPr>
        <w:t xml:space="preserve">did not depend on the results of the study, </w:t>
      </w:r>
      <w:r>
        <w:rPr>
          <w:rFonts w:ascii="ArialMT" w:eastAsia="Times New Roman" w:hAnsi="ArialMT" w:cs="Times New Roman"/>
          <w:lang w:val="en-US" w:eastAsia="fr-FR"/>
        </w:rPr>
        <w:t>the study</w:t>
      </w:r>
      <w:r w:rsidRPr="007B1BFD">
        <w:rPr>
          <w:rFonts w:ascii="ArialMT" w:eastAsia="Times New Roman" w:hAnsi="ArialMT" w:cs="Times New Roman"/>
          <w:lang w:val="en-US" w:eastAsia="fr-FR"/>
        </w:rPr>
        <w:t xml:space="preserve"> </w:t>
      </w:r>
      <w:r w:rsidR="007B1BFD" w:rsidRPr="007B1BFD">
        <w:rPr>
          <w:rFonts w:ascii="ArialMT" w:eastAsia="Times New Roman" w:hAnsi="ArialMT" w:cs="Times New Roman"/>
          <w:lang w:val="en-US" w:eastAsia="fr-FR"/>
        </w:rPr>
        <w:t xml:space="preserve">supported the policy decision to expand the NBS </w:t>
      </w:r>
      <w:r>
        <w:rPr>
          <w:rFonts w:ascii="ArialMT" w:eastAsia="Times New Roman" w:hAnsi="ArialMT" w:cs="Times New Roman"/>
          <w:lang w:val="en-US" w:eastAsia="fr-FR"/>
        </w:rPr>
        <w:t>program</w:t>
      </w:r>
      <w:r w:rsidR="007B1BFD" w:rsidRPr="007B1BFD">
        <w:rPr>
          <w:rFonts w:ascii="ArialMT" w:eastAsia="Times New Roman" w:hAnsi="ArialMT" w:cs="Times New Roman"/>
          <w:lang w:val="en-US" w:eastAsia="fr-FR"/>
        </w:rPr>
        <w:t xml:space="preserve">. </w:t>
      </w:r>
      <w:r w:rsidR="007B1BFD" w:rsidRPr="007E3F19">
        <w:rPr>
          <w:rFonts w:ascii="ArialMT" w:eastAsia="Times New Roman" w:hAnsi="ArialMT" w:cs="Times New Roman"/>
          <w:lang w:val="en-US" w:eastAsia="fr-FR"/>
        </w:rPr>
        <w:t xml:space="preserve">Since 2007, the </w:t>
      </w:r>
      <w:r w:rsidR="001D0714" w:rsidRPr="00A268C8">
        <w:rPr>
          <w:rFonts w:ascii="ArialMT" w:eastAsia="Times New Roman" w:hAnsi="ArialMT" w:cs="Times New Roman"/>
          <w:lang w:val="en-US" w:eastAsia="fr-FR"/>
        </w:rPr>
        <w:t>Texas</w:t>
      </w:r>
      <w:r w:rsidR="001D0714" w:rsidRPr="001D0714">
        <w:rPr>
          <w:rFonts w:ascii="ArialMT" w:eastAsia="Times New Roman" w:hAnsi="ArialMT" w:cs="Times New Roman"/>
          <w:lang w:val="en-US" w:eastAsia="fr-FR"/>
        </w:rPr>
        <w:t xml:space="preserve"> </w:t>
      </w:r>
      <w:r>
        <w:rPr>
          <w:rFonts w:ascii="ArialMT" w:eastAsia="Times New Roman" w:hAnsi="ArialMT" w:cs="Times New Roman"/>
          <w:lang w:val="en-US" w:eastAsia="fr-FR"/>
        </w:rPr>
        <w:t>NBS program has been</w:t>
      </w:r>
      <w:r w:rsidRPr="007E3F19">
        <w:rPr>
          <w:rFonts w:ascii="ArialMT" w:eastAsia="Times New Roman" w:hAnsi="ArialMT" w:cs="Times New Roman"/>
          <w:lang w:val="en-US" w:eastAsia="fr-FR"/>
        </w:rPr>
        <w:t xml:space="preserve"> </w:t>
      </w:r>
      <w:r w:rsidR="007B1BFD" w:rsidRPr="007E3F19">
        <w:rPr>
          <w:rFonts w:ascii="ArialMT" w:eastAsia="Times New Roman" w:hAnsi="ArialMT" w:cs="Times New Roman"/>
          <w:lang w:val="en-US" w:eastAsia="fr-FR"/>
        </w:rPr>
        <w:t>expanded from</w:t>
      </w:r>
      <w:r>
        <w:rPr>
          <w:rFonts w:ascii="ArialMT" w:eastAsia="Times New Roman" w:hAnsi="ArialMT" w:cs="Times New Roman"/>
          <w:lang w:val="en-US" w:eastAsia="fr-FR"/>
        </w:rPr>
        <w:t xml:space="preserve"> testing for</w:t>
      </w:r>
      <w:r w:rsidR="007B1BFD" w:rsidRPr="007E3F19">
        <w:rPr>
          <w:rFonts w:ascii="ArialMT" w:eastAsia="Times New Roman" w:hAnsi="ArialMT" w:cs="Times New Roman"/>
          <w:lang w:val="en-US" w:eastAsia="fr-FR"/>
        </w:rPr>
        <w:t xml:space="preserve"> 27 to 57</w:t>
      </w:r>
      <w:r>
        <w:rPr>
          <w:rFonts w:ascii="ArialMT" w:eastAsia="Times New Roman" w:hAnsi="ArialMT" w:cs="Times New Roman"/>
          <w:lang w:val="en-US" w:eastAsia="fr-FR"/>
        </w:rPr>
        <w:t xml:space="preserve"> diseases</w:t>
      </w:r>
      <w:r w:rsidR="007B1BFD" w:rsidRPr="007E3F19">
        <w:rPr>
          <w:rFonts w:ascii="ArialMT" w:eastAsia="Times New Roman" w:hAnsi="ArialMT" w:cs="Times New Roman"/>
          <w:lang w:val="en-US" w:eastAsia="fr-FR"/>
        </w:rPr>
        <w:t>.</w:t>
      </w:r>
      <w:r w:rsidR="00E74AF1">
        <w:rPr>
          <w:rFonts w:ascii="ArialMT" w:eastAsia="Times New Roman" w:hAnsi="ArialMT" w:cs="Times New Roman"/>
          <w:lang w:val="en-US" w:eastAsia="fr-FR"/>
        </w:rPr>
        <w:t xml:space="preserve"> </w:t>
      </w:r>
      <w:r>
        <w:rPr>
          <w:rFonts w:ascii="ArialMT" w:eastAsia="Times New Roman" w:hAnsi="ArialMT" w:cs="Times New Roman"/>
          <w:lang w:val="en-US" w:eastAsia="fr-FR"/>
        </w:rPr>
        <w:t>NBS for s</w:t>
      </w:r>
      <w:r w:rsidR="009B0AF4" w:rsidRPr="009B0AF4">
        <w:rPr>
          <w:rFonts w:ascii="ArialMT" w:eastAsia="Times New Roman" w:hAnsi="ArialMT" w:cs="Times New Roman"/>
          <w:lang w:val="en-US" w:eastAsia="fr-FR"/>
        </w:rPr>
        <w:t xml:space="preserve">evere combined immunodeficiency </w:t>
      </w:r>
      <w:r>
        <w:rPr>
          <w:rFonts w:ascii="ArialMT" w:eastAsia="Times New Roman" w:hAnsi="ArialMT" w:cs="Times New Roman"/>
          <w:lang w:val="en-US" w:eastAsia="fr-FR"/>
        </w:rPr>
        <w:t>was demonstrated to be</w:t>
      </w:r>
      <w:r w:rsidR="009B0AF4" w:rsidRPr="009B0AF4">
        <w:rPr>
          <w:rFonts w:ascii="ArialMT" w:eastAsia="Times New Roman" w:hAnsi="ArialMT" w:cs="Times New Roman"/>
          <w:lang w:val="en-US" w:eastAsia="fr-FR"/>
        </w:rPr>
        <w:t xml:space="preserve"> cost-effectiveness in </w:t>
      </w:r>
      <w:r>
        <w:rPr>
          <w:rFonts w:ascii="ArialMT" w:eastAsia="Times New Roman" w:hAnsi="ArialMT" w:cs="Times New Roman"/>
          <w:lang w:val="en-US" w:eastAsia="fr-FR"/>
        </w:rPr>
        <w:t>studies conducted in the</w:t>
      </w:r>
      <w:r w:rsidRPr="009B0AF4">
        <w:rPr>
          <w:rFonts w:ascii="ArialMT" w:eastAsia="Times New Roman" w:hAnsi="ArialMT" w:cs="Times New Roman"/>
          <w:lang w:val="en-US" w:eastAsia="fr-FR"/>
        </w:rPr>
        <w:t xml:space="preserve"> </w:t>
      </w:r>
      <w:r w:rsidR="009B0AF4" w:rsidRPr="009B0AF4">
        <w:rPr>
          <w:rFonts w:ascii="ArialMT" w:eastAsia="Times New Roman" w:hAnsi="ArialMT" w:cs="Times New Roman"/>
          <w:lang w:val="en-US" w:eastAsia="fr-FR"/>
        </w:rPr>
        <w:t xml:space="preserve">US </w:t>
      </w:r>
      <w:r w:rsidR="009B0AF4">
        <w:rPr>
          <w:rFonts w:ascii="ArialMT" w:eastAsia="Times New Roman" w:hAnsi="ArialMT" w:cs="Times New Roman"/>
          <w:lang w:val="en-US" w:eastAsia="fr-FR"/>
        </w:rPr>
        <w:t>(</w:t>
      </w:r>
      <w:r w:rsidR="009B0AF4" w:rsidRPr="00CE303B">
        <w:rPr>
          <w:rFonts w:ascii="ArialMT" w:eastAsia="Times New Roman" w:hAnsi="ArialMT" w:cs="Times New Roman"/>
          <w:lang w:val="en-US" w:eastAsia="fr-FR"/>
        </w:rPr>
        <w:t xml:space="preserve">from $27,907 to $53,560 per QALY </w:t>
      </w:r>
      <w:r w:rsidR="009B0AF4">
        <w:rPr>
          <w:rFonts w:ascii="ArialMT" w:eastAsia="Times New Roman" w:hAnsi="ArialMT" w:cs="Times New Roman"/>
          <w:lang w:val="en-US" w:eastAsia="fr-FR"/>
        </w:rPr>
        <w:t>gained)</w:t>
      </w:r>
      <w:r>
        <w:rPr>
          <w:rFonts w:ascii="ArialMT" w:eastAsia="Times New Roman" w:hAnsi="ArialMT" w:cs="Times New Roman"/>
          <w:lang w:val="en-US" w:eastAsia="fr-FR"/>
        </w:rPr>
        <w:fldChar w:fldCharType="begin" w:fldLock="1"/>
      </w:r>
      <w:r>
        <w:rPr>
          <w:rFonts w:ascii="ArialMT" w:eastAsia="Times New Roman" w:hAnsi="ArialMT" w:cs="Times New Roman"/>
          <w:lang w:val="en-US" w:eastAsia="fr-FR"/>
        </w:rPr>
        <w:instrText>ADDIN CSL_CITATION {"citationItems":[{"id":"ITEM-1","itemData":{"DOI":"10.1016/j.ymgme.2011.07.007","ISSN":"1096-7206 (Electronic)","PMID":"21810544","abstract":"OBJECTIVE: To evaluate the cost-effectiveness of universal neonatal screening for T cell lymphocytopenia in enhancing quality of life and life expectancy for children with severe combined immunodeficiency (SCID). METHODS: Decision trees were created and analyzed to estimate the cost, life years, and quality adjusted life years (QALYs) across a population when universal screening for lack of T cells is used to detect SCID, as implemented in five states, compared to detection based on recognizing symptoms and signs of disease. Terminal values of each tree limb were derived through Markov models simulating the natural history of three cohorts: unaffected subjects; those diagnosed with SCID as neonates (early diagnosis); and those diagnosed after becoming symptomatic and arousing clinical suspicion (late diagnosis). Models considered the costs of screening and of care including hematopoietic cell transplantation for affected individuals. Key decision variables were derived from the literature and from a survey of families with children affected by SCID, which was used to describe the clinical history and healthcare utilization for affected subjects. Sensitivity analyses were conducted to explore the influence of these decision variables. RESULTS: Over a 70-year time horizon, the average cost per infant was $8.89 without screening and $14.33 with universal screening. The model predicted that universal screening in the U.S. would cost approximately $22.4 million/year with a gain of 880 life years and 802 QALYs. Sensitivity analyses showed that screening test specificity and disease incidence were critical driving forces affecting the incremental cost-effectiveness ratio (ICER). Assuming a SCID incidence of 1/75,000 births and test specificity and sensitivity each at 0.99, screening remained cost-effective up to a maximum cost of $15 per infant screened. CONCLUSION: At our current estimated screening cost of $4.22/infant, universal screening for SCID would be a cost effective means to improve quality and duration of life for children with SCID.","author":[{"dropping-particle":"","family":"Chan","given":"Kee","non-dropping-particle":"","parse-names":false,"suffix":""},{"dropping-particle":"","family":"Davis","given":"Joie","non-dropping-particle":"","parse-names":false,"suffix":""},{"dropping-particle":"","family":"Pai","given":"Sung-Yun","non-dropping-particle":"","parse-names":false,"suffix":""},{"dropping-particle":"","family":"Bonilla","given":"Francisco A","non-dropping-particle":"","parse-names":false,"suffix":""},{"dropping-particle":"","family":"Puck","given":"Jennifer M","non-dropping-particle":"","parse-names":false,"suffix":""},{"dropping-particle":"","family":"Apkon","given":"Michael","non-dropping-particle":"","parse-names":false,"suffix":""}],"container-title":"Molecular genetics and metabolism","id":"ITEM-1","issue":"3","issued":{"date-parts":[["2011","11"]]},"language":"eng","page":"383-389","title":"A Markov model to analyze cost-effectiveness of screening for severe combined immunodeficiency (SCID).","type":"article-journal","volume":"104"},"uris":["http://www.mendeley.com/documents/?uuid=3bdd612a-f05f-4cc1-86a8-1c6e31a10dfa"]}],"mendeley":{"formattedCitation":"&lt;sup&gt;33&lt;/sup&gt;","plainTextFormattedCitation":"33","previouslyFormattedCitation":"&lt;sup&gt;33&lt;/sup&gt;"},"properties":{"noteIndex":0},"schema":"https://github.com/citation-style-language/schema/raw/master/csl-citation.json"}</w:instrText>
      </w:r>
      <w:r>
        <w:rPr>
          <w:rFonts w:ascii="ArialMT" w:eastAsia="Times New Roman" w:hAnsi="ArialMT" w:cs="Times New Roman"/>
          <w:lang w:val="en-US" w:eastAsia="fr-FR"/>
        </w:rPr>
        <w:fldChar w:fldCharType="separate"/>
      </w:r>
      <w:r w:rsidRPr="009B0AF4">
        <w:rPr>
          <w:rFonts w:ascii="ArialMT" w:eastAsia="Times New Roman" w:hAnsi="ArialMT" w:cs="Times New Roman"/>
          <w:noProof/>
          <w:vertAlign w:val="superscript"/>
          <w:lang w:val="en-US" w:eastAsia="fr-FR"/>
        </w:rPr>
        <w:t>33</w:t>
      </w:r>
      <w:r>
        <w:rPr>
          <w:rFonts w:ascii="ArialMT" w:eastAsia="Times New Roman" w:hAnsi="ArialMT" w:cs="Times New Roman"/>
          <w:lang w:val="en-US" w:eastAsia="fr-FR"/>
        </w:rPr>
        <w:fldChar w:fldCharType="end"/>
      </w:r>
      <w:r w:rsidR="009B0AF4">
        <w:rPr>
          <w:rFonts w:ascii="ArialMT" w:eastAsia="Times New Roman" w:hAnsi="ArialMT" w:cs="Times New Roman"/>
          <w:lang w:val="en-US" w:eastAsia="fr-FR"/>
        </w:rPr>
        <w:t xml:space="preserve"> </w:t>
      </w:r>
      <w:r w:rsidR="009B0AF4" w:rsidRPr="009B0AF4">
        <w:rPr>
          <w:rFonts w:ascii="ArialMT" w:eastAsia="Times New Roman" w:hAnsi="ArialMT" w:cs="Times New Roman"/>
          <w:lang w:val="en-US" w:eastAsia="fr-FR"/>
        </w:rPr>
        <w:t>and in the Netherlands</w:t>
      </w:r>
      <w:r w:rsidR="009B0AF4">
        <w:rPr>
          <w:rFonts w:ascii="ArialMT" w:eastAsia="Times New Roman" w:hAnsi="ArialMT" w:cs="Times New Roman"/>
          <w:noProof/>
          <w:vertAlign w:val="superscript"/>
          <w:lang w:val="en-US" w:eastAsia="fr-FR"/>
        </w:rPr>
        <w:t xml:space="preserve"> </w:t>
      </w:r>
      <w:r w:rsidR="009B0AF4">
        <w:rPr>
          <w:rFonts w:ascii="ArialMT" w:eastAsia="Times New Roman" w:hAnsi="ArialMT" w:cs="Times New Roman"/>
          <w:lang w:val="en-US" w:eastAsia="fr-FR"/>
        </w:rPr>
        <w:t>(based o</w:t>
      </w:r>
      <w:r w:rsidR="009B0AF4" w:rsidRPr="00CE303B">
        <w:rPr>
          <w:rFonts w:ascii="ArialMT" w:eastAsia="Times New Roman" w:hAnsi="ArialMT" w:cs="Times New Roman"/>
          <w:lang w:val="en-US" w:eastAsia="fr-FR"/>
        </w:rPr>
        <w:t>n literature data</w:t>
      </w:r>
      <w:r w:rsidR="009B0AF4">
        <w:rPr>
          <w:rFonts w:ascii="ArialMT" w:eastAsia="Times New Roman" w:hAnsi="ArialMT" w:cs="Times New Roman"/>
          <w:lang w:val="en-US" w:eastAsia="fr-FR"/>
        </w:rPr>
        <w:t xml:space="preserve">, </w:t>
      </w:r>
      <w:r w:rsidR="009B0AF4" w:rsidRPr="00CE303B">
        <w:rPr>
          <w:rFonts w:ascii="ArialMT" w:eastAsia="Times New Roman" w:hAnsi="ArialMT" w:cs="Times New Roman"/>
          <w:lang w:val="en-US" w:eastAsia="fr-FR"/>
        </w:rPr>
        <w:t>€33,400 per QALY earned</w:t>
      </w:r>
      <w:r w:rsidR="009B0AF4">
        <w:rPr>
          <w:rFonts w:ascii="ArialMT" w:eastAsia="Times New Roman" w:hAnsi="ArialMT" w:cs="Times New Roman"/>
          <w:lang w:val="en-US" w:eastAsia="fr-FR"/>
        </w:rPr>
        <w:t>)</w:t>
      </w:r>
      <w:r w:rsidRPr="00CE303B">
        <w:rPr>
          <w:rFonts w:ascii="ArialMT" w:eastAsia="Times New Roman" w:hAnsi="ArialMT" w:cs="Times New Roman"/>
          <w:lang w:val="en-US" w:eastAsia="fr-FR"/>
        </w:rPr>
        <w:fldChar w:fldCharType="begin" w:fldLock="1"/>
      </w:r>
      <w:r>
        <w:rPr>
          <w:rFonts w:ascii="ArialMT" w:eastAsia="Times New Roman" w:hAnsi="ArialMT" w:cs="Times New Roman"/>
          <w:lang w:val="en-US" w:eastAsia="fr-FR"/>
        </w:rPr>
        <w:instrText xml:space="preserve">ADDIN CSL_CITATION {"citationItems":[{"id":"ITEM-1","itemData":{"DOI":"10.1007/s00431-019-03346-3","ISSN":"1432-1076 (Electronic)","PMID":"30805731","abstract":"Severe combined immunodeficiency (SCID) is a condition that often results in severe  infections and death at young age. Early detection shortly after birth, followed by treatment before infections occur, largely increases the chances of survival. As the incidence of SCID is low, assessing cost-effectiveness of adding screening for SCID to the newborn screening program is relevant for decision making. Lifetime costs and effects of newborn screening for SCID were compared to a situation without screening in the Netherlands in a decision analysis model. Model parameters were based on literature and expert opinions. Sensitivity analyses were performed. Due to earlier detection, the number of deaths due to SCID per 100,000 children was assessed to decrease from 0.57 to 0.23 and a number of 11.7 quality adjusted life-years (QALYs) gained was expected. Total yearly healthcare costs, including costs of screening, diagnostics, and treatment, were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390,800 higher in a situation with screening compared to a situation without screening, resulting in a cost-utility ratio of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33,400 per QALY gained.Conclusion: Newborn screening for SCID might be cost-effective. However, there is still a lot of uncertainty around the cost-effectiveness estimate. Pilot screening projects are warranted to obtain more accurate estimates for the European situation. What is Known: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 Severe combined immunodeficiency (SCID) is a condition that often results in severe infections and death at a young age.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 As the incidence of SCID is low, assessing cost-effectiveness of adding screening for SCID to the newborn screening program is needed. What is New: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 Newborn screening for SCID is expected to reduce mortality from 0.57 to 0.23 per 100,000 children at additional healthcare costs of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390,800. The cost-utility ratio is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33,400 per QALY gained. </w:instrText>
      </w:r>
      <w:r>
        <w:rPr>
          <w:rFonts w:ascii="ArialMT" w:eastAsia="Times New Roman" w:hAnsi="ArialMT" w:cs="Times New Roman" w:hint="eastAsia"/>
          <w:lang w:val="en-US" w:eastAsia="fr-FR"/>
        </w:rPr>
        <w:instrText>•</w:instrText>
      </w:r>
      <w:r>
        <w:rPr>
          <w:rFonts w:ascii="ArialMT" w:eastAsia="Times New Roman" w:hAnsi="ArialMT" w:cs="Times New Roman"/>
          <w:lang w:val="en-US" w:eastAsia="fr-FR"/>
        </w:rPr>
        <w:instrText xml:space="preserve"> Due to large uncertainty around cost-effectiveness estimates, pilot screening projects are warranted for Europe.","author":[{"dropping-particle":"","family":"Ploeg","given":"Catharina P B","non-dropping-particle":"Van der","parse-names":false,"suffix":""},{"dropping-particle":"","family":"Blom","given":"Maartje","non-dropping-particle":"","parse-names":false,"suffix":""},{"dropping-particle":"","family":"Bredius","given":"Robbert G M","non-dropping-particle":"","parse-names":false,"suffix":""},{"dropping-particle":"","family":"Burg","given":"Mirjam","non-dropping-particle":"van der","parse-names":false,"suffix":""},{"dropping-particle":"","family":"Schielen","given":"Peter C J I","non-dropping-particle":"","parse-names":false,"suffix":""},{"dropping-particle":"","family":"Verkerk","given":"Paul H","non-dropping-particle":"","parse-names":false,"suffix":""},{"dropping-particle":"","family":"Akker-van Marle","given":"M Elske","non-dropping-particle":"Van den","parse-names":false,"suffix":""}],"container-title":"European journal of pediatrics","id":"ITEM-1","issue":"5","issued":{"date-parts":[["2019","5"]]},"language":"eng","page":"721-729","publisher-place":"Germany","title":"Cost-effectiveness of newborn screening for severe combined immunodeficiency.","type":"article-journal","volume":"178"},"uris":["http://www.mendeley.com/documents/?uuid=55c9a3f9-3a6c-41d6-8599-cd0d676e4d4d"]}],"mendeley":{"formattedCitation":"&lt;sup&gt;34&lt;/sup&gt;","plainTextFormattedCitation":"34","previouslyFormattedCitation":"&lt;sup&gt;34&lt;/sup&gt;"},"properties":{"noteIndex":0},"schema":"https://github.com/citation-style-language/schema/raw/master/csl-citation.json"}</w:instrText>
      </w:r>
      <w:r w:rsidRPr="00CE303B">
        <w:rPr>
          <w:rFonts w:ascii="ArialMT" w:eastAsia="Times New Roman" w:hAnsi="ArialMT" w:cs="Times New Roman"/>
          <w:lang w:val="en-US" w:eastAsia="fr-FR"/>
        </w:rPr>
        <w:fldChar w:fldCharType="separate"/>
      </w:r>
      <w:r w:rsidRPr="009B0AF4">
        <w:rPr>
          <w:rFonts w:ascii="ArialMT" w:eastAsia="Times New Roman" w:hAnsi="ArialMT" w:cs="Times New Roman"/>
          <w:noProof/>
          <w:vertAlign w:val="superscript"/>
          <w:lang w:val="en-US" w:eastAsia="fr-FR"/>
        </w:rPr>
        <w:t>34</w:t>
      </w:r>
      <w:r w:rsidRPr="00CE303B">
        <w:rPr>
          <w:rFonts w:ascii="ArialMT" w:eastAsia="Times New Roman" w:hAnsi="ArialMT" w:cs="Times New Roman"/>
          <w:lang w:val="en-US" w:eastAsia="fr-FR"/>
        </w:rPr>
        <w:fldChar w:fldCharType="end"/>
      </w:r>
      <w:r w:rsidR="009B0AF4">
        <w:rPr>
          <w:rFonts w:ascii="ArialMT" w:eastAsia="Times New Roman" w:hAnsi="ArialMT" w:cs="Times New Roman"/>
          <w:lang w:val="en-US" w:eastAsia="fr-FR"/>
        </w:rPr>
        <w:t xml:space="preserve">. </w:t>
      </w:r>
      <w:r w:rsidR="007B1BFD" w:rsidRPr="00CE303B">
        <w:rPr>
          <w:rFonts w:ascii="ArialMT" w:eastAsia="Times New Roman" w:hAnsi="ArialMT" w:cs="Times New Roman"/>
          <w:lang w:val="en-US" w:eastAsia="fr-FR"/>
        </w:rPr>
        <w:t xml:space="preserve">Efficacy data </w:t>
      </w:r>
      <w:r>
        <w:rPr>
          <w:rFonts w:ascii="ArialMT" w:eastAsia="Times New Roman" w:hAnsi="ArialMT" w:cs="Times New Roman"/>
          <w:lang w:val="en-US" w:eastAsia="fr-FR"/>
        </w:rPr>
        <w:t>that show the value of early treatment of</w:t>
      </w:r>
      <w:r w:rsidRPr="00CE303B">
        <w:rPr>
          <w:rFonts w:ascii="ArialMT" w:eastAsia="Times New Roman" w:hAnsi="ArialMT" w:cs="Times New Roman"/>
          <w:lang w:val="en-US" w:eastAsia="fr-FR"/>
        </w:rPr>
        <w:t xml:space="preserve"> </w:t>
      </w:r>
      <w:r w:rsidR="007B1BFD" w:rsidRPr="00CE303B">
        <w:rPr>
          <w:rFonts w:ascii="ArialMT" w:eastAsia="Times New Roman" w:hAnsi="ArialMT" w:cs="Times New Roman"/>
          <w:lang w:val="en-US" w:eastAsia="fr-FR"/>
        </w:rPr>
        <w:t>SMA and early encouraging results in other rare diseases</w:t>
      </w:r>
      <w:r w:rsidR="001D0714" w:rsidRPr="00CE303B">
        <w:rPr>
          <w:rFonts w:ascii="ArialMT" w:eastAsia="Times New Roman" w:hAnsi="ArialMT" w:cs="Times New Roman"/>
          <w:lang w:val="en-US" w:eastAsia="fr-FR"/>
        </w:rPr>
        <w:t xml:space="preserve"> for which therapies </w:t>
      </w:r>
      <w:r>
        <w:rPr>
          <w:rFonts w:ascii="ArialMT" w:eastAsia="Times New Roman" w:hAnsi="ArialMT" w:cs="Times New Roman"/>
          <w:lang w:val="en-US" w:eastAsia="fr-FR"/>
        </w:rPr>
        <w:t>may soon be available</w:t>
      </w:r>
      <w:r w:rsidR="007B1BFD" w:rsidRPr="00CE303B">
        <w:rPr>
          <w:rFonts w:ascii="ArialMT" w:eastAsia="Times New Roman" w:hAnsi="ArialMT" w:cs="Times New Roman"/>
          <w:lang w:val="en-US" w:eastAsia="fr-FR"/>
        </w:rPr>
        <w:t xml:space="preserve"> such as </w:t>
      </w:r>
      <w:r w:rsidR="001D0714" w:rsidRPr="00CE303B">
        <w:rPr>
          <w:rFonts w:ascii="ArialMT" w:eastAsia="Times New Roman" w:hAnsi="ArialMT" w:cs="Times New Roman"/>
          <w:lang w:val="en-US" w:eastAsia="fr-FR"/>
        </w:rPr>
        <w:t xml:space="preserve">Duchenne </w:t>
      </w:r>
      <w:r>
        <w:rPr>
          <w:rFonts w:ascii="ArialMT" w:eastAsia="Times New Roman" w:hAnsi="ArialMT" w:cs="Times New Roman"/>
          <w:lang w:val="en-US" w:eastAsia="fr-FR"/>
        </w:rPr>
        <w:t>m</w:t>
      </w:r>
      <w:r w:rsidR="001D0714" w:rsidRPr="00CE303B">
        <w:rPr>
          <w:rFonts w:ascii="ArialMT" w:eastAsia="Times New Roman" w:hAnsi="ArialMT" w:cs="Times New Roman"/>
          <w:lang w:val="en-US" w:eastAsia="fr-FR"/>
        </w:rPr>
        <w:t xml:space="preserve">uscular </w:t>
      </w:r>
      <w:r>
        <w:rPr>
          <w:rFonts w:ascii="ArialMT" w:eastAsia="Times New Roman" w:hAnsi="ArialMT" w:cs="Times New Roman"/>
          <w:lang w:val="en-US" w:eastAsia="fr-FR"/>
        </w:rPr>
        <w:t>d</w:t>
      </w:r>
      <w:r w:rsidR="001D0714" w:rsidRPr="00CE303B">
        <w:rPr>
          <w:rFonts w:ascii="ArialMT" w:eastAsia="Times New Roman" w:hAnsi="ArialMT" w:cs="Times New Roman"/>
          <w:lang w:val="en-US" w:eastAsia="fr-FR"/>
        </w:rPr>
        <w:t>ystrophy</w:t>
      </w:r>
      <w:r w:rsidR="00CE303B" w:rsidRPr="00CE303B">
        <w:rPr>
          <w:rFonts w:ascii="ArialMT" w:eastAsia="Times New Roman" w:hAnsi="ArialMT" w:cs="Times New Roman"/>
          <w:lang w:val="en-US" w:eastAsia="fr-FR"/>
        </w:rPr>
        <w:fldChar w:fldCharType="begin" w:fldLock="1"/>
      </w:r>
      <w:r w:rsidR="001336C2">
        <w:rPr>
          <w:rFonts w:ascii="ArialMT" w:eastAsia="Times New Roman" w:hAnsi="ArialMT" w:cs="Times New Roman"/>
          <w:lang w:val="en-US" w:eastAsia="fr-FR"/>
        </w:rPr>
        <w:instrText>ADDIN CSL_CITATION {"citationItems":[{"id":"ITEM-1","itemData":{"DOI":"10.1016/S1474-4422(22)00125-9","ISSN":"1474-4465 (Electronic)","PMID":"35850122","abstract":"Duchenne muscular dystrophy is an X-linked disease caused by the absence of  functional dystrophin in the muscle cells. Major advances have led to the development of gene therapies, tools that induce exon skipping, and other therapeutic approaches, including treatments targeting molecular pathways downstream of the absence of functional dystrophin. However, glucocorticoids remain the only treatment unequivocally shown to slow disease progression, despite the adverse effects associated with their long-term use. Besides glucocorticoids, which are standard care, five compounds have received regulatory approval in some but not all jurisdictions, with further efficacy results being awaited. Several compounds with promising results in early-phase clinical trials have not met their efficacy endpoints in late-phase trials, but the clinical development of many other compounds is ongoing. The current landscape is complicated by the number of compounds in various stages of development, their various mechanisms of action, and their genotype-specific applicability. The difficulties of clinical development that arise from both the rarity and variability of Duchenne muscular dystrophy might be overcome in the future by use of sensitive biomarkers, natural history data, and ameliorated trial designs.","author":[{"dropping-particle":"","family":"Markati","given":"Theodora","non-dropping-particle":"","parse-names":false,"suffix":""},{"dropping-particle":"","family":"Oskoui","given":"Maryam","non-dropping-particle":"","parse-names":false,"suffix":""},{"dropping-particle":"","family":"Farrar","given":"Michelle A","non-dropping-particle":"","parse-names":false,"suffix":""},{"dropping-particle":"","family":"Duong","given":"Tina","non-dropping-particle":"","parse-names":false,"suffix":""},{"dropping-particle":"","family":"Goemans","given":"Nathalie","non-dropping-particle":"","parse-names":false,"suffix":""},{"dropping-particle":"","family":"Servais","given":"Laurent","non-dropping-particle":"","parse-names":false,"suffix":""}],"container-title":"The Lancet. Neurology","id":"ITEM-1","issue":"9","issued":{"date-parts":[["2022","9"]]},"language":"eng","page":"814-829","publisher-place":"England","title":"Emerging therapies for Duchenne muscular dystrophy.","type":"article-journal","volume":"21"},"uris":["http://www.mendeley.com/documents/?uuid=83a26d25-0c88-4b67-9685-16b63f5ad0da"]}],"mendeley":{"formattedCitation":"&lt;sup&gt;35&lt;/sup&gt;","plainTextFormattedCitation":"35","previouslyFormattedCitation":"&lt;sup&gt;35&lt;/sup&gt;"},"properties":{"noteIndex":0},"schema":"https://github.com/citation-style-language/schema/raw/master/csl-citation.json"}</w:instrText>
      </w:r>
      <w:r w:rsidR="00CE303B" w:rsidRPr="00CE303B">
        <w:rPr>
          <w:rFonts w:ascii="ArialMT" w:eastAsia="Times New Roman" w:hAnsi="ArialMT" w:cs="Times New Roman"/>
          <w:lang w:val="en-US" w:eastAsia="fr-FR"/>
        </w:rPr>
        <w:fldChar w:fldCharType="separate"/>
      </w:r>
      <w:r w:rsidR="009B0AF4" w:rsidRPr="009B0AF4">
        <w:rPr>
          <w:rFonts w:ascii="ArialMT" w:eastAsia="Times New Roman" w:hAnsi="ArialMT" w:cs="Times New Roman"/>
          <w:noProof/>
          <w:vertAlign w:val="superscript"/>
          <w:lang w:val="en-US" w:eastAsia="fr-FR"/>
        </w:rPr>
        <w:t>35</w:t>
      </w:r>
      <w:r w:rsidR="00CE303B" w:rsidRPr="00CE303B">
        <w:rPr>
          <w:rFonts w:ascii="ArialMT" w:eastAsia="Times New Roman" w:hAnsi="ArialMT" w:cs="Times New Roman"/>
          <w:lang w:val="en-US" w:eastAsia="fr-FR"/>
        </w:rPr>
        <w:fldChar w:fldCharType="end"/>
      </w:r>
      <w:r w:rsidR="001D0714" w:rsidRPr="00CE303B">
        <w:rPr>
          <w:rFonts w:ascii="ArialMT" w:eastAsia="Times New Roman" w:hAnsi="ArialMT" w:cs="Times New Roman"/>
          <w:lang w:val="en-US" w:eastAsia="fr-FR"/>
        </w:rPr>
        <w:t xml:space="preserve"> </w:t>
      </w:r>
      <w:r w:rsidR="007B1BFD" w:rsidRPr="00CE303B">
        <w:rPr>
          <w:rFonts w:ascii="ArialMT" w:eastAsia="Times New Roman" w:hAnsi="ArialMT" w:cs="Times New Roman"/>
          <w:lang w:val="en-US" w:eastAsia="fr-FR"/>
        </w:rPr>
        <w:t>Angelman’s syndrome</w:t>
      </w:r>
      <w:r w:rsidR="00CE303B" w:rsidRPr="00CE303B">
        <w:rPr>
          <w:rFonts w:ascii="ArialMT" w:eastAsia="Times New Roman" w:hAnsi="ArialMT" w:cs="Times New Roman"/>
          <w:lang w:val="en-US" w:eastAsia="fr-FR"/>
        </w:rPr>
        <w:fldChar w:fldCharType="begin" w:fldLock="1"/>
      </w:r>
      <w:r w:rsidR="001336C2">
        <w:rPr>
          <w:rFonts w:ascii="ArialMT" w:eastAsia="Times New Roman" w:hAnsi="ArialMT" w:cs="Times New Roman"/>
          <w:lang w:val="en-US" w:eastAsia="fr-FR"/>
        </w:rPr>
        <w:instrText>ADDIN CSL_CITATION {"citationItems":[{"id":"ITEM-1","itemData":{"DOI":"10.1080/13543784.2021.1939674","ISSN":"1744-7658 (Electronic)","PMID":"34112038","abstract":"Introduction: Angelman syndrome is a</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rare genetic neurodevelopmental disorder,  caused by deficiency or abnormal function of the maternal ubiquitin protein-ligase</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E3A, known as UBE3A, in the central nervous system. There is no disease-modifying</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treatment available, but the therapeutic pipeline of Angelman syndrome includes at least 15 different approaches at preclinical or clinical development. In the coming years, several clinical trials will be enrolling patients, which prompted this comprehensive review.Areas covered: We summarize and critically review the different therapeutic approaches. Some approaches attempt to restore the missing or nonfunctional UBE3A protein in the neurons via gene replacement or enzyme replacement therapies. Other therapies aim to induce expression of the normal paternal copy of the UBE3A</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gene by targeting a</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long non-coding</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RNA, the</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UBE3A-ATS,</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which interferes with its own expression. Another therapeutic category includes compounds that target molecular pathways and effector proteins known to be involved in Angelman syndrome pathophysiology.Expert opinion: We believe that by</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2022-2023, more than five disease-modifying</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treatments will be simultaneously at clinical testing. However, the are several challenges with regards to safety and efficacy, which need to be addressed. Additionally, there is still a</w:instrText>
      </w:r>
      <w:r w:rsidR="001336C2">
        <w:rPr>
          <w:rFonts w:ascii="ArialMT" w:eastAsia="Times New Roman" w:hAnsi="ArialMT" w:cs="Times New Roman" w:hint="eastAsia"/>
          <w:lang w:val="en-US" w:eastAsia="fr-FR"/>
        </w:rPr>
        <w:instrText> </w:instrText>
      </w:r>
      <w:r w:rsidR="001336C2">
        <w:rPr>
          <w:rFonts w:ascii="ArialMT" w:eastAsia="Times New Roman" w:hAnsi="ArialMT" w:cs="Times New Roman"/>
          <w:lang w:val="en-US" w:eastAsia="fr-FR"/>
        </w:rPr>
        <w:instrText>significant unmet need for clinical trial readiness.","author":[{"dropping-particle":"","family":"Markati","given":"Theodora","non-dropping-particle":"","parse-names":false,"suffix":""},{"dropping-particle":"","family":"Duis","given":"Jessica","non-dropping-particle":"","parse-names":false,"suffix":""},{"dropping-particle":"","family":"Servais","given":"Laurent","non-dropping-particle":"","parse-names":false,"suffix":""}],"container-title":"Expert opinion on investigational drugs","id":"ITEM-1","issue":"7","issued":{"date-parts":[["2021","7"]]},"language":"eng","page":"709-720","publisher-place":"England","title":"Therapies in preclinical and clinical development for Angelman syndrome.","type":"article-journal","volume":"30"},"uris":["http://www.mendeley.com/documents/?uuid=16008163-98ea-4a9e-9d2a-b548f568b44a"]}],"mendeley":{"formattedCitation":"&lt;sup&gt;36&lt;/sup&gt;","plainTextFormattedCitation":"36","previouslyFormattedCitation":"&lt;sup&gt;36&lt;/sup&gt;"},"properties":{"noteIndex":0},"schema":"https://github.com/citation-style-language/schema/raw/master/csl-citation.json"}</w:instrText>
      </w:r>
      <w:r w:rsidR="00CE303B" w:rsidRPr="00CE303B">
        <w:rPr>
          <w:rFonts w:ascii="ArialMT" w:eastAsia="Times New Roman" w:hAnsi="ArialMT" w:cs="Times New Roman"/>
          <w:lang w:val="en-US" w:eastAsia="fr-FR"/>
        </w:rPr>
        <w:fldChar w:fldCharType="separate"/>
      </w:r>
      <w:r w:rsidR="009B0AF4" w:rsidRPr="009B0AF4">
        <w:rPr>
          <w:rFonts w:ascii="ArialMT" w:eastAsia="Times New Roman" w:hAnsi="ArialMT" w:cs="Times New Roman"/>
          <w:noProof/>
          <w:vertAlign w:val="superscript"/>
          <w:lang w:val="en-US" w:eastAsia="fr-FR"/>
        </w:rPr>
        <w:t>36</w:t>
      </w:r>
      <w:r w:rsidR="00CE303B" w:rsidRPr="00CE303B">
        <w:rPr>
          <w:rFonts w:ascii="ArialMT" w:eastAsia="Times New Roman" w:hAnsi="ArialMT" w:cs="Times New Roman"/>
          <w:lang w:val="en-US" w:eastAsia="fr-FR"/>
        </w:rPr>
        <w:fldChar w:fldCharType="end"/>
      </w:r>
      <w:r w:rsidR="007B1BFD" w:rsidRPr="00CE303B">
        <w:rPr>
          <w:rFonts w:ascii="ArialMT" w:eastAsia="Times New Roman" w:hAnsi="ArialMT" w:cs="Times New Roman"/>
          <w:lang w:val="en-US" w:eastAsia="fr-FR"/>
        </w:rPr>
        <w:t xml:space="preserve"> </w:t>
      </w:r>
      <w:r w:rsidR="001D0714" w:rsidRPr="00CE303B">
        <w:rPr>
          <w:rFonts w:ascii="ArialMT" w:eastAsia="Times New Roman" w:hAnsi="ArialMT" w:cs="Times New Roman"/>
          <w:lang w:val="en-US" w:eastAsia="fr-FR"/>
        </w:rPr>
        <w:t>and other neurological conditions</w:t>
      </w:r>
      <w:r w:rsidR="00CE303B" w:rsidRPr="00CE303B">
        <w:rPr>
          <w:rFonts w:ascii="ArialMT" w:eastAsia="Times New Roman" w:hAnsi="ArialMT" w:cs="Times New Roman"/>
          <w:lang w:val="en-US" w:eastAsia="fr-FR"/>
        </w:rPr>
        <w:fldChar w:fldCharType="begin" w:fldLock="1"/>
      </w:r>
      <w:r w:rsidR="001336C2">
        <w:rPr>
          <w:rFonts w:ascii="ArialMT" w:eastAsia="Times New Roman" w:hAnsi="ArialMT" w:cs="Times New Roman"/>
          <w:lang w:val="en-US" w:eastAsia="fr-FR"/>
        </w:rPr>
        <w:instrText>ADDIN CSL_CITATION {"citationItems":[{"id":"ITEM-1","itemData":{"DOI":"10.3389/fnmol.2021.695937","ISSN":"1662-5099 (Print)","PMID":"34690692","abstract":"In recent years, gene therapy has been raising hopes toward viable treatment  strategies for rare genetic diseases for which there has been almost exclusively supportive treatment. We here review this progress at the pre-clinical and clinical trial levels as well as market approvals within diseases that specifically affect the brain and spinal cord, including degenerative, developmental, lysosomal storage, and metabolic disorders. The field reached an unprecedented milestone when Zolgensma</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 xml:space="preserve"> (onasemnogene abeparvovec) was approved by the FDA and EMA for in vivo adeno-associated virus-mediated gene replacement therapy for spinal muscular atrophy. Shortly after EMA approved Libmeldy</w:instrText>
      </w:r>
      <w:r w:rsidR="001336C2">
        <w:rPr>
          <w:rFonts w:ascii="ArialMT" w:eastAsia="Times New Roman" w:hAnsi="ArialMT" w:cs="Times New Roman" w:hint="eastAsia"/>
          <w:lang w:val="en-US" w:eastAsia="fr-FR"/>
        </w:rPr>
        <w:instrText>®</w:instrText>
      </w:r>
      <w:r w:rsidR="001336C2">
        <w:rPr>
          <w:rFonts w:ascii="ArialMT" w:eastAsia="Times New Roman" w:hAnsi="ArialMT" w:cs="Times New Roman"/>
          <w:lang w:val="en-US" w:eastAsia="fr-FR"/>
        </w:rPr>
        <w:instrText>, an ex vivo gene therapy with lentivirus vector-transduced autologous CD34-positive stem cells, for treatment of metachromatic leukodystrophy. These successes could be the first of many more new gene therapies in development that mostly target loss-of-function mutation diseases with gene replacement (e.g., Batten disease, mucopolysaccharidoses, gangliosidoses) or, less frequently, gain-of-toxic-function mutation diseases by gene therapeutic silencing of pathologic genes (e.g., amyotrophic lateral sclerosis, Huntington's disease). In addition, the use of genome editing as a gene therapy is being explored for some diseases, but this has so far only reached clinical testing in the treatment of mucopolysaccharidoses. Based on the large number of planned, ongoing, and completed clinical trials for rare genetic central nervous system diseases, it can be expected that several novel gene therapies will be approved and become available within the near future. Essential for this to happen is the in depth characterization of short- and long-term effects, safety aspects, and pharmacodynamics of the applied gene therapy platforms.","author":[{"dropping-particle":"","family":"Jensen","given":"Thomas Leth","non-dropping-particle":"","parse-names":false,"suffix":""},{"dropping-particle":"","family":"G</w:instrText>
      </w:r>
      <w:r w:rsidR="001336C2">
        <w:rPr>
          <w:rFonts w:ascii="ArialMT" w:eastAsia="Times New Roman" w:hAnsi="ArialMT" w:cs="Times New Roman" w:hint="eastAsia"/>
          <w:lang w:val="en-US" w:eastAsia="fr-FR"/>
        </w:rPr>
        <w:instrText>ø</w:instrText>
      </w:r>
      <w:r w:rsidR="001336C2">
        <w:rPr>
          <w:rFonts w:ascii="ArialMT" w:eastAsia="Times New Roman" w:hAnsi="ArialMT" w:cs="Times New Roman"/>
          <w:lang w:val="en-US" w:eastAsia="fr-FR"/>
        </w:rPr>
        <w:instrText>tzsche","given":"Casper Ren</w:instrText>
      </w:r>
      <w:r w:rsidR="001336C2">
        <w:rPr>
          <w:rFonts w:ascii="ArialMT" w:eastAsia="Times New Roman" w:hAnsi="ArialMT" w:cs="Times New Roman" w:hint="eastAsia"/>
          <w:lang w:val="en-US" w:eastAsia="fr-FR"/>
        </w:rPr>
        <w:instrText>é</w:instrText>
      </w:r>
      <w:r w:rsidR="001336C2">
        <w:rPr>
          <w:rFonts w:ascii="ArialMT" w:eastAsia="Times New Roman" w:hAnsi="ArialMT" w:cs="Times New Roman"/>
          <w:lang w:val="en-US" w:eastAsia="fr-FR"/>
        </w:rPr>
        <w:instrText>","non-dropping-particle":"","parse-names":false,"suffix":""},{"dropping-particle":"","family":"Woldbye","given":"David P D","non-dropping-particle":"","parse-names":false,"suffix":""}],"container-title":"Frontiers in molecular neuroscience","id":"ITEM-1","issued":{"date-parts":[["2021"]]},"language":"eng","page":"695937","publisher-place":"Switzerland","title":"Current and Future Prospects for Gene Therapy for Rare Genetic Diseases Affecting  the Brain and Spinal Cord.","type":"article-journal","volume":"14"},"uris":["http://www.mendeley.com/documents/?uuid=2194175c-8fe6-45c9-bc34-fa5431cc9ac0"]}],"mendeley":{"formattedCitation":"&lt;sup&gt;37&lt;/sup&gt;","plainTextFormattedCitation":"37","previouslyFormattedCitation":"&lt;sup&gt;37&lt;/sup&gt;"},"properties":{"noteIndex":0},"schema":"https://github.com/citation-style-language/schema/raw/master/csl-citation.json"}</w:instrText>
      </w:r>
      <w:r w:rsidR="00CE303B" w:rsidRPr="00CE303B">
        <w:rPr>
          <w:rFonts w:ascii="ArialMT" w:eastAsia="Times New Roman" w:hAnsi="ArialMT" w:cs="Times New Roman"/>
          <w:lang w:val="en-US" w:eastAsia="fr-FR"/>
        </w:rPr>
        <w:fldChar w:fldCharType="separate"/>
      </w:r>
      <w:r w:rsidR="009B0AF4" w:rsidRPr="009B0AF4">
        <w:rPr>
          <w:rFonts w:ascii="ArialMT" w:eastAsia="Times New Roman" w:hAnsi="ArialMT" w:cs="Times New Roman"/>
          <w:noProof/>
          <w:vertAlign w:val="superscript"/>
          <w:lang w:val="en-US" w:eastAsia="fr-FR"/>
        </w:rPr>
        <w:t>37</w:t>
      </w:r>
      <w:r w:rsidR="00CE303B" w:rsidRPr="00CE303B">
        <w:rPr>
          <w:rFonts w:ascii="ArialMT" w:eastAsia="Times New Roman" w:hAnsi="ArialMT" w:cs="Times New Roman"/>
          <w:lang w:val="en-US" w:eastAsia="fr-FR"/>
        </w:rPr>
        <w:fldChar w:fldCharType="end"/>
      </w:r>
      <w:r w:rsidR="007B1BFD" w:rsidRPr="00CE303B">
        <w:rPr>
          <w:rFonts w:ascii="ArialMT" w:eastAsia="Times New Roman" w:hAnsi="ArialMT" w:cs="Times New Roman"/>
          <w:lang w:val="en-US" w:eastAsia="fr-FR"/>
        </w:rPr>
        <w:t xml:space="preserve"> strongly suggest that </w:t>
      </w:r>
      <w:r w:rsidR="00E74AF1">
        <w:rPr>
          <w:rFonts w:ascii="ArialMT" w:eastAsia="Times New Roman" w:hAnsi="ArialMT" w:cs="Times New Roman"/>
          <w:lang w:val="en-US" w:eastAsia="fr-FR"/>
        </w:rPr>
        <w:t>NBS</w:t>
      </w:r>
      <w:r>
        <w:rPr>
          <w:rFonts w:ascii="ArialMT" w:eastAsia="Times New Roman" w:hAnsi="ArialMT" w:cs="Times New Roman"/>
          <w:lang w:val="en-US" w:eastAsia="fr-FR"/>
        </w:rPr>
        <w:t xml:space="preserve"> programs</w:t>
      </w:r>
      <w:r w:rsidR="00E74AF1">
        <w:rPr>
          <w:rFonts w:ascii="ArialMT" w:eastAsia="Times New Roman" w:hAnsi="ArialMT" w:cs="Times New Roman"/>
          <w:lang w:val="en-US" w:eastAsia="fr-FR"/>
        </w:rPr>
        <w:t xml:space="preserve"> </w:t>
      </w:r>
      <w:r>
        <w:rPr>
          <w:rFonts w:ascii="ArialMT" w:eastAsia="Times New Roman" w:hAnsi="ArialMT" w:cs="Times New Roman"/>
          <w:lang w:val="en-US" w:eastAsia="fr-FR"/>
        </w:rPr>
        <w:t>should be poised to expand in response to</w:t>
      </w:r>
      <w:r w:rsidR="00E74AF1">
        <w:rPr>
          <w:rFonts w:ascii="ArialMT" w:eastAsia="Times New Roman" w:hAnsi="ArialMT" w:cs="Times New Roman"/>
          <w:lang w:val="en-US" w:eastAsia="fr-FR"/>
        </w:rPr>
        <w:t xml:space="preserve"> therapeutic development.</w:t>
      </w:r>
    </w:p>
    <w:p w14:paraId="547FADA0" w14:textId="77777777" w:rsidR="00D53058" w:rsidRDefault="00D53058" w:rsidP="006731C6">
      <w:pPr>
        <w:jc w:val="both"/>
        <w:rPr>
          <w:rFonts w:ascii="ArialMT" w:eastAsia="Times New Roman" w:hAnsi="ArialMT" w:cs="Times New Roman"/>
          <w:lang w:val="en-US" w:eastAsia="fr-FR"/>
        </w:rPr>
      </w:pPr>
    </w:p>
    <w:p w14:paraId="5B26882C" w14:textId="72796859" w:rsidR="0038432E" w:rsidRPr="00E30FA8" w:rsidRDefault="00397139" w:rsidP="004A3C4E">
      <w:pPr>
        <w:jc w:val="both"/>
        <w:rPr>
          <w:lang w:val="en-US"/>
        </w:rPr>
      </w:pPr>
      <w:r>
        <w:rPr>
          <w:lang w:val="en-US"/>
        </w:rPr>
        <w:t>Our</w:t>
      </w:r>
      <w:r w:rsidRPr="00E00C78">
        <w:rPr>
          <w:lang w:val="en-US"/>
        </w:rPr>
        <w:t xml:space="preserve"> study</w:t>
      </w:r>
      <w:r>
        <w:rPr>
          <w:lang w:val="en-US"/>
        </w:rPr>
        <w:t xml:space="preserve"> </w:t>
      </w:r>
      <w:r w:rsidR="00FF440D">
        <w:rPr>
          <w:lang w:val="en-US"/>
        </w:rPr>
        <w:t>has</w:t>
      </w:r>
      <w:r>
        <w:rPr>
          <w:lang w:val="en-US"/>
        </w:rPr>
        <w:t xml:space="preserve"> several limitations</w:t>
      </w:r>
      <w:r w:rsidRPr="00E00C78">
        <w:rPr>
          <w:lang w:val="en-US"/>
        </w:rPr>
        <w:t xml:space="preserve">. </w:t>
      </w:r>
      <w:r>
        <w:rPr>
          <w:lang w:val="en-US"/>
        </w:rPr>
        <w:t xml:space="preserve">First the NBS for SMA </w:t>
      </w:r>
      <w:r w:rsidR="00FF440D">
        <w:rPr>
          <w:lang w:val="en-US"/>
        </w:rPr>
        <w:t xml:space="preserve">was implemented in Belgium </w:t>
      </w:r>
      <w:r>
        <w:rPr>
          <w:lang w:val="en-US"/>
        </w:rPr>
        <w:t xml:space="preserve">only five years ago, and annual birth rate in Southern Belgium is about 50,000 per year. As a consequence, </w:t>
      </w:r>
      <w:r w:rsidR="00FF440D">
        <w:rPr>
          <w:lang w:val="en-US"/>
        </w:rPr>
        <w:t xml:space="preserve">during the time frame of our study only </w:t>
      </w:r>
      <w:r>
        <w:rPr>
          <w:lang w:val="en-US"/>
        </w:rPr>
        <w:t xml:space="preserve">250,000 </w:t>
      </w:r>
      <w:r w:rsidR="00FF440D">
        <w:rPr>
          <w:lang w:val="en-US"/>
        </w:rPr>
        <w:t xml:space="preserve">subjects </w:t>
      </w:r>
      <w:r>
        <w:rPr>
          <w:lang w:val="en-US"/>
        </w:rPr>
        <w:t>were screened</w:t>
      </w:r>
      <w:r w:rsidR="00FF440D">
        <w:rPr>
          <w:lang w:val="en-US"/>
        </w:rPr>
        <w:t>, and only</w:t>
      </w:r>
      <w:r>
        <w:rPr>
          <w:lang w:val="en-US"/>
        </w:rPr>
        <w:t xml:space="preserve"> 19 </w:t>
      </w:r>
      <w:r w:rsidR="00FF440D">
        <w:rPr>
          <w:lang w:val="en-US"/>
        </w:rPr>
        <w:t>infants were diagnosed with SMA. Further,</w:t>
      </w:r>
      <w:r>
        <w:rPr>
          <w:lang w:val="en-US"/>
        </w:rPr>
        <w:t xml:space="preserve"> patients with short follow-up were not considered</w:t>
      </w:r>
      <w:r w:rsidR="00FF440D">
        <w:rPr>
          <w:lang w:val="en-US"/>
        </w:rPr>
        <w:t>. Thus</w:t>
      </w:r>
      <w:r w:rsidRPr="00540EAA">
        <w:rPr>
          <w:lang w:val="en-US"/>
        </w:rPr>
        <w:t xml:space="preserve">, </w:t>
      </w:r>
      <w:r w:rsidR="00FF440D">
        <w:rPr>
          <w:lang w:val="en-US"/>
        </w:rPr>
        <w:t xml:space="preserve">there remains </w:t>
      </w:r>
      <w:r w:rsidRPr="00540EAA">
        <w:rPr>
          <w:lang w:val="en-US"/>
        </w:rPr>
        <w:t>uncertainty about the consequences of treatment</w:t>
      </w:r>
      <w:r w:rsidR="00FF440D">
        <w:rPr>
          <w:lang w:val="en-US"/>
        </w:rPr>
        <w:t xml:space="preserve"> including</w:t>
      </w:r>
      <w:r w:rsidRPr="00540EAA">
        <w:rPr>
          <w:lang w:val="en-US"/>
        </w:rPr>
        <w:t xml:space="preserve"> the motor evolution of the patients</w:t>
      </w:r>
      <w:r w:rsidR="00FF440D">
        <w:rPr>
          <w:lang w:val="en-US"/>
        </w:rPr>
        <w:t xml:space="preserve"> and their</w:t>
      </w:r>
      <w:r w:rsidRPr="00540EAA">
        <w:rPr>
          <w:lang w:val="en-US"/>
        </w:rPr>
        <w:t xml:space="preserve"> survival. We used motor function milestones to define general health states and </w:t>
      </w:r>
      <w:r w:rsidR="00876E76">
        <w:rPr>
          <w:lang w:val="en-US"/>
        </w:rPr>
        <w:t>assumed</w:t>
      </w:r>
      <w:r w:rsidRPr="00540EAA">
        <w:rPr>
          <w:lang w:val="en-US"/>
        </w:rPr>
        <w:t xml:space="preserve"> relationships between health states and survival. </w:t>
      </w:r>
      <w:r w:rsidR="00FF440D">
        <w:rPr>
          <w:lang w:val="en-US"/>
        </w:rPr>
        <w:t>The</w:t>
      </w:r>
      <w:r w:rsidRPr="00540EAA">
        <w:rPr>
          <w:lang w:val="en-US"/>
        </w:rPr>
        <w:t xml:space="preserve"> long-term </w:t>
      </w:r>
      <w:r w:rsidR="00876E76">
        <w:rPr>
          <w:lang w:val="en-US"/>
        </w:rPr>
        <w:t xml:space="preserve">effects of </w:t>
      </w:r>
      <w:r w:rsidR="00FF440D">
        <w:rPr>
          <w:lang w:val="en-US"/>
        </w:rPr>
        <w:t xml:space="preserve">the currently used </w:t>
      </w:r>
      <w:r w:rsidR="00876E76">
        <w:rPr>
          <w:lang w:val="en-US"/>
        </w:rPr>
        <w:t>treatment</w:t>
      </w:r>
      <w:r w:rsidR="00FF440D">
        <w:rPr>
          <w:lang w:val="en-US"/>
        </w:rPr>
        <w:t>s are unknown</w:t>
      </w:r>
      <w:r w:rsidRPr="00540EAA">
        <w:rPr>
          <w:lang w:val="en-US"/>
        </w:rPr>
        <w:t xml:space="preserve">. </w:t>
      </w:r>
      <w:r w:rsidR="00FF440D">
        <w:rPr>
          <w:lang w:val="en-US"/>
        </w:rPr>
        <w:t>In</w:t>
      </w:r>
      <w:r w:rsidR="00876E76">
        <w:rPr>
          <w:lang w:val="en-US"/>
        </w:rPr>
        <w:t xml:space="preserve"> line with expert opinion, </w:t>
      </w:r>
      <w:r w:rsidRPr="00E00C78">
        <w:rPr>
          <w:lang w:val="en-US"/>
        </w:rPr>
        <w:t>the base case analyses assume</w:t>
      </w:r>
      <w:r w:rsidR="00876E76">
        <w:rPr>
          <w:lang w:val="en-US"/>
        </w:rPr>
        <w:t>d</w:t>
      </w:r>
      <w:r w:rsidRPr="00E00C78">
        <w:rPr>
          <w:lang w:val="en-US"/>
        </w:rPr>
        <w:t xml:space="preserve"> that these milestones are maintained until death. </w:t>
      </w:r>
      <w:r w:rsidR="00DE5EFE">
        <w:rPr>
          <w:lang w:val="en-US"/>
        </w:rPr>
        <w:t>Although t</w:t>
      </w:r>
      <w:r w:rsidR="0017531E" w:rsidRPr="0017531E">
        <w:rPr>
          <w:lang w:val="en-US"/>
        </w:rPr>
        <w:t xml:space="preserve">here is no </w:t>
      </w:r>
      <w:r w:rsidR="00DE5EFE">
        <w:rPr>
          <w:lang w:val="en-US"/>
        </w:rPr>
        <w:t>evidence that</w:t>
      </w:r>
      <w:r w:rsidR="0017531E" w:rsidRPr="0017531E">
        <w:rPr>
          <w:lang w:val="en-US"/>
        </w:rPr>
        <w:t xml:space="preserve"> patients </w:t>
      </w:r>
      <w:r w:rsidR="00DE5EFE">
        <w:rPr>
          <w:lang w:val="en-US"/>
        </w:rPr>
        <w:t xml:space="preserve">will </w:t>
      </w:r>
      <w:r w:rsidR="0017531E" w:rsidRPr="0017531E">
        <w:rPr>
          <w:lang w:val="en-US"/>
        </w:rPr>
        <w:t>regress following</w:t>
      </w:r>
      <w:r w:rsidR="004A3C4E">
        <w:rPr>
          <w:lang w:val="en-US"/>
        </w:rPr>
        <w:t xml:space="preserve"> disease modifying treatment</w:t>
      </w:r>
      <w:r w:rsidR="0017531E" w:rsidRPr="0017531E">
        <w:rPr>
          <w:lang w:val="en-US"/>
        </w:rPr>
        <w:t xml:space="preserve"> </w:t>
      </w:r>
      <w:r w:rsidR="009B0AF4">
        <w:rPr>
          <w:lang w:val="en-US"/>
        </w:rPr>
        <w:fldChar w:fldCharType="begin" w:fldLock="1"/>
      </w:r>
      <w:r w:rsidR="001336C2">
        <w:rPr>
          <w:lang w:val="en-US"/>
        </w:rPr>
        <w:instrText>ADDIN CSL_CITATION {"citationItems":[{"id":"ITEM-1","itemData":{"DOI":"10.1016/j.ejpn.2022.04.006","ISSN":"1532-2130 (Electronic)","PMID":"35533607","abstract":"OBJECTIVES: This systematic review aimed to assess mid- and long-term (at least  12 months) real-world study data from all types of spinal muscular atrophy (SMA) patients treated with any of the approved drugs or combination therapies. METHODS: A systematic literature search was carried out in five databases. Two authors selected the studies based on pre-defined selection criteria and independently graded the risk of bias at study level. RESULTS: Five hundred forty-six records were identified in the literature search and 22 studies (in 26 publications) were included in the analysis. Nusinersen, onasemnogene abeparvovec and combination therapies improved motor endpoints in SMA type 1 patients. SMA type 2 to type 4 patients treated with nusinersen showed stabilisation or small improvements in motor endpoints with some deterioration observed. Quality of life endpoints, such as respiratory and nutritional support were poorly reported on. Drug-related adverse events occurred rarely in all types of SMA patients with all assessed drugs. Mid- and long-term studies on risdiplam could not be identified. CONCLUSIONS: The large quantity of missing data and heterogeneity of studies hinder comparability. Although stability and further improvement on the long-term is still uncertain, the results from the included evidence, as well as from pivotal trials show a striking contrast to the natural progression of the disease.","author":[{"dropping-particle":"","family":"Erdos","given":"Judit","non-dropping-particle":"","parse-names":false,"suffix":""},{"dropping-particle":"","family":"Wild","given":"Claudia","non-dropping-particle":"","parse-names":false,"suffix":""}],"container-title":"European journal of paediatric neurology : EJPN : official journal of the  European Paediatric Neurology Society","id":"ITEM-1","issued":{"date-parts":[["2022","7"]]},"language":"eng","page":"1-10","publisher-place":"England","title":"Mid- and long-term (at least 12 months) follow-up of patients with spinal  muscular atrophy (SMA) treated with nusinersen, onasemnogene abeparvovec, risdiplam or combination therapies: A systematic review of real-world study data.","type":"article-journal","volume":"39"},"uris":["http://www.mendeley.com/documents/?uuid=bb784b4f-e765-46cc-83d2-d6cfea8583ce"]}],"mendeley":{"formattedCitation":"&lt;sup&gt;27&lt;/sup&gt;","plainTextFormattedCitation":"27","previouslyFormattedCitation":"&lt;sup&gt;27&lt;/sup&gt;"},"properties":{"noteIndex":0},"schema":"https://github.com/citation-style-language/schema/raw/master/csl-citation.json"}</w:instrText>
      </w:r>
      <w:r w:rsidR="009B0AF4">
        <w:rPr>
          <w:lang w:val="en-US"/>
        </w:rPr>
        <w:fldChar w:fldCharType="separate"/>
      </w:r>
      <w:r w:rsidR="009B0AF4" w:rsidRPr="009B0AF4">
        <w:rPr>
          <w:noProof/>
          <w:vertAlign w:val="superscript"/>
          <w:lang w:val="en-US"/>
        </w:rPr>
        <w:t>27</w:t>
      </w:r>
      <w:r w:rsidR="009B0AF4">
        <w:rPr>
          <w:lang w:val="en-US"/>
        </w:rPr>
        <w:fldChar w:fldCharType="end"/>
      </w:r>
      <w:r w:rsidR="0017531E">
        <w:rPr>
          <w:vertAlign w:val="superscript"/>
          <w:lang w:val="en-US"/>
        </w:rPr>
        <w:t>,</w:t>
      </w:r>
      <w:r w:rsidR="001336C2">
        <w:rPr>
          <w:lang w:val="en-US"/>
        </w:rPr>
        <w:fldChar w:fldCharType="begin" w:fldLock="1"/>
      </w:r>
      <w:r w:rsidR="001336C2">
        <w:rPr>
          <w:lang w:val="en-US"/>
        </w:rPr>
        <w:instrText>ADDIN CSL_CITATION {"citationItems":[{"id":"ITEM-1","itemData":{"author":[{"dropping-particle":"","family":"Aragon-Gawinska","given":"Karolina","non-dropping-particle":"","parse-names":false,"suffix":""},{"dropping-particle":"","family":"Moureaux","given":"Charlotte","non-dropping-particle":"","parse-names":false,"suffix":""},{"dropping-particle":"","family":"Dangouloff","given":"Tamara","non-dropping-particle":"","parse-names":false,"suffix":""},{"dropping-particle":"","family":"Servais","given":"Laurent","non-dropping-particle":"","parse-names":false,"suffix":""}],"container-title":"under review","id":"ITEM-1","issued":{"date-parts":[["0"]]},"title":"Spinal muscular atrophy treatment in patients identified by newborn screening – a systematic review","type":"article-journal"},"uris":["http://www.mendeley.com/documents/?uuid=9c6ed045-62c8-4dc1-ad0b-bc7925184f08"]}],"mendeley":{"formattedCitation":"&lt;sup&gt;38&lt;/sup&gt;","plainTextFormattedCitation":"38"},"properties":{"noteIndex":0},"schema":"https://github.com/citation-style-language/schema/raw/master/csl-citation.json"}</w:instrText>
      </w:r>
      <w:r w:rsidR="001336C2">
        <w:rPr>
          <w:lang w:val="en-US"/>
        </w:rPr>
        <w:fldChar w:fldCharType="separate"/>
      </w:r>
      <w:r w:rsidR="001336C2" w:rsidRPr="001336C2">
        <w:rPr>
          <w:noProof/>
          <w:vertAlign w:val="superscript"/>
          <w:lang w:val="en-US"/>
        </w:rPr>
        <w:t>38</w:t>
      </w:r>
      <w:r w:rsidR="001336C2">
        <w:rPr>
          <w:lang w:val="en-US"/>
        </w:rPr>
        <w:fldChar w:fldCharType="end"/>
      </w:r>
      <w:r w:rsidR="00DE5EFE">
        <w:rPr>
          <w:lang w:val="en-US"/>
        </w:rPr>
        <w:t>,</w:t>
      </w:r>
      <w:r w:rsidR="009B0AF4">
        <w:rPr>
          <w:lang w:val="en-US"/>
        </w:rPr>
        <w:t xml:space="preserve"> </w:t>
      </w:r>
      <w:r w:rsidR="00DE5EFE">
        <w:rPr>
          <w:lang w:val="en-US"/>
        </w:rPr>
        <w:t>g</w:t>
      </w:r>
      <w:r w:rsidRPr="00E00C78">
        <w:rPr>
          <w:lang w:val="en-US"/>
        </w:rPr>
        <w:t>iven the lack of long-term follow-up of treatment efficacy and utility data, a registry of SMA patients</w:t>
      </w:r>
      <w:r w:rsidR="00DE5EFE">
        <w:rPr>
          <w:lang w:val="en-US"/>
        </w:rPr>
        <w:t xml:space="preserve"> should be created,</w:t>
      </w:r>
      <w:r w:rsidRPr="00E00C78">
        <w:rPr>
          <w:lang w:val="en-US"/>
        </w:rPr>
        <w:t xml:space="preserve"> and </w:t>
      </w:r>
      <w:r w:rsidR="00DE5EFE">
        <w:rPr>
          <w:lang w:val="en-US"/>
        </w:rPr>
        <w:t>patients should be followed</w:t>
      </w:r>
      <w:r w:rsidR="003C3055">
        <w:rPr>
          <w:lang w:val="en-US"/>
        </w:rPr>
        <w:t xml:space="preserve"> to </w:t>
      </w:r>
      <w:r w:rsidR="00DE5EFE">
        <w:rPr>
          <w:lang w:val="en-US"/>
        </w:rPr>
        <w:t>allow</w:t>
      </w:r>
      <w:r w:rsidR="003C3055">
        <w:rPr>
          <w:lang w:val="en-US"/>
        </w:rPr>
        <w:t xml:space="preserve"> economic evaluations with additional real-life data</w:t>
      </w:r>
      <w:r w:rsidRPr="00E00C78">
        <w:rPr>
          <w:lang w:val="en-US"/>
        </w:rPr>
        <w:t>.</w:t>
      </w:r>
      <w:r w:rsidR="003C3055">
        <w:rPr>
          <w:lang w:val="en-US"/>
        </w:rPr>
        <w:t xml:space="preserve"> </w:t>
      </w:r>
      <w:r w:rsidR="00DE5EFE">
        <w:rPr>
          <w:lang w:val="en-US"/>
        </w:rPr>
        <w:t>Finally</w:t>
      </w:r>
      <w:r w:rsidRPr="007E3F19">
        <w:rPr>
          <w:lang w:val="en-US"/>
        </w:rPr>
        <w:t>, the</w:t>
      </w:r>
      <w:r>
        <w:rPr>
          <w:lang w:val="en-US"/>
        </w:rPr>
        <w:t xml:space="preserve"> cost of the diagnostic journey for patients identified by symptoms</w:t>
      </w:r>
      <w:r w:rsidR="00DE5EFE">
        <w:rPr>
          <w:lang w:val="en-US"/>
        </w:rPr>
        <w:t>,</w:t>
      </w:r>
      <w:r>
        <w:rPr>
          <w:lang w:val="en-US"/>
        </w:rPr>
        <w:t xml:space="preserve"> which includes useless </w:t>
      </w:r>
      <w:r w:rsidR="00DE5EFE">
        <w:rPr>
          <w:lang w:val="en-US"/>
        </w:rPr>
        <w:t>magnetic resonance imaging, electromyography,</w:t>
      </w:r>
      <w:r>
        <w:rPr>
          <w:lang w:val="en-US"/>
        </w:rPr>
        <w:t xml:space="preserve"> or gene testing</w:t>
      </w:r>
      <w:r w:rsidR="00DE5EFE">
        <w:rPr>
          <w:lang w:val="en-US"/>
        </w:rPr>
        <w:t>, was</w:t>
      </w:r>
      <w:r>
        <w:rPr>
          <w:lang w:val="en-US"/>
        </w:rPr>
        <w:t xml:space="preserve"> no</w:t>
      </w:r>
      <w:r w:rsidR="0010180D">
        <w:rPr>
          <w:lang w:val="en-US"/>
        </w:rPr>
        <w:t>t</w:t>
      </w:r>
      <w:r>
        <w:rPr>
          <w:lang w:val="en-US"/>
        </w:rPr>
        <w:t xml:space="preserve"> included in this study</w:t>
      </w:r>
      <w:r>
        <w:rPr>
          <w:lang w:val="en-US"/>
        </w:rPr>
        <w:fldChar w:fldCharType="begin" w:fldLock="1"/>
      </w:r>
      <w:r w:rsidR="001336C2">
        <w:rPr>
          <w:lang w:val="en-US"/>
        </w:rPr>
        <w:instrText>ADDIN CSL_CITATION {"citationItems":[{"id":"ITEM-1","itemData":{"DOI":"10.1371/journal.pone.0230677","ISSN":"1932-6203 (Electronic)","PMID":"32203538","abstract":"BACKGROUND: The advent of new therapies has increased the need to achieve early  diagnosis in Spinal Muscular Atrophy (SMA). The aim of the present study was to define the age of diagnosis in the three main types of SMA with pediatric-onset and the timing between the recognition of clinical signs and confirmed genetic diagnosis. METHODS: All patients with a confirmed diagnosis of type I, II, III SMA followed in 5 Italian centers were included in this study, assessing age at symptoms onset, presenting sign or symptom, age at diagnosis, interval between clinical onset and diagnosis and type of medical investigations conducted in order to obtain the diagnosis. RESULTS: The cohort included 480 patients, 191 affected by SMA type I, 210 by type II and 79 by type III. The mean age at diagnosis was 4.70 months (SD ±2.82) in type I, 15.6 months (SD±5.88) in type II, and 4.34 years (SD±4.01) in type III. The mean time between symptom onset and diagnosis was 1.94 months (SD±1.84) in type I, 5.28 months (SD±4.68) in type II and 16.8 months (SD±18.72) in type III. CONCLUSIONS: Our results suggest that despite improved care recommendations there is still a marked diagnostic delay, especially in type III. At the time new therapies are becoming available more attention should be devoted to reducing such delay as there is consistent evidence of the benefit of early treatment.","author":[{"dropping-particle":"","family":"Pera","given":"Maria Carmela","non-dropping-particle":"","parse-names":false,"suffix":""},{"dropping-particle":"","family":"Coratti","given":"Giorgia","non-dropping-particle":"","parse-names":false,"suffix":""},{"dropping-particle":"","family":"Berti","given":"Beatrice","non-dropping-particle":"","parse-names":false,"suffix":""},{"dropping-particle":"","family":"D'Amico","given":"Adele","non-dropping-particle":"","parse-names":false,"suffix":""},{"dropping-particle":"","family":"Sframeli","given":"Maria","non-dropping-particle":"","parse-names":false,"suffix":""},{"dropping-particle":"","family":"Albamonte","given":"Emilio","non-dropping-particle":"","parse-names":false,"suffix":""},{"dropping-particle":"","family":"Sanctis","given":"Roberto","non-dropping-particle":"de","parse-names":false,"suffix":""},{"dropping-particle":"","family":"Messina","given":"Sonia","non-dropping-particle":"","parse-names":false,"suffix":""},{"dropping-particle":"","family":"Catteruccia","given":"Michela","non-dropping-particle":"","parse-names":false,"suffix":""},{"dropping-particle":"","family":"Brigati","given":"Giorgia","non-dropping-particle":"","parse-names":false,"suffix":""},{"dropping-particle":"","family":"Antonaci","given":"Laura","non-dropping-particle":"","parse-names":false,"suffix":""},{"dropping-particle":"","family":"Lucibello","given":"Simona","non-dropping-particle":"","parse-names":false,"suffix":""},{"dropping-particle":"","family":"Bruno","given":"Claudio","non-dropping-particle":"","parse-names":false,"suffix":""},{"dropping-particle":"","family":"Sansone","given":"Valeria A","non-dropping-particle":"","parse-names":false,"suffix":""},{"dropping-particle":"","family":"Bertini","given":"Enrico","non-dropping-particle":"","parse-names":false,"suffix":""},{"dropping-particle":"","family":"Tiziano","given":"Danilo","non-dropping-particle":"","parse-names":false,"suffix":""},{"dropping-particle":"","family":"Pane","given":"Marika","non-dropping-particle":"","parse-names":false,"suffix":""},{"dropping-particle":"","family":"Mercuri","given":"Eugenio","non-dropping-particle":"","parse-names":false,"suffix":""}],"container-title":"PloS one","id":"ITEM-1","issue":"3","issued":{"date-parts":[["2020"]]},"language":"eng","page":"e0230677","title":"Diagnostic journey in Spinal Muscular Atrophy: Is it still an odyssey?","type":"article-journal","volume":"15"},"uris":["http://www.mendeley.com/documents/?uuid=434099b8-ca6c-49e3-b3a6-86bfdc16268f"]}],"mendeley":{"formattedCitation":"&lt;sup&gt;39&lt;/sup&gt;","plainTextFormattedCitation":"39","previouslyFormattedCitation":"&lt;sup&gt;38&lt;/sup&gt;"},"properties":{"noteIndex":0},"schema":"https://github.com/citation-style-language/schema/raw/master/csl-citation.json"}</w:instrText>
      </w:r>
      <w:r>
        <w:rPr>
          <w:lang w:val="en-US"/>
        </w:rPr>
        <w:fldChar w:fldCharType="separate"/>
      </w:r>
      <w:r w:rsidR="001336C2" w:rsidRPr="001336C2">
        <w:rPr>
          <w:noProof/>
          <w:vertAlign w:val="superscript"/>
          <w:lang w:val="en-US"/>
        </w:rPr>
        <w:t>39</w:t>
      </w:r>
      <w:r>
        <w:rPr>
          <w:lang w:val="en-US"/>
        </w:rPr>
        <w:fldChar w:fldCharType="end"/>
      </w:r>
      <w:r>
        <w:rPr>
          <w:lang w:val="en-US"/>
        </w:rPr>
        <w:t xml:space="preserve">. </w:t>
      </w:r>
      <w:r w:rsidR="00DE5EFE">
        <w:rPr>
          <w:lang w:val="en-US"/>
        </w:rPr>
        <w:t>Inclusion of these expenses would</w:t>
      </w:r>
      <w:r w:rsidRPr="006331D6">
        <w:rPr>
          <w:lang w:val="en-US"/>
        </w:rPr>
        <w:t xml:space="preserve"> </w:t>
      </w:r>
      <w:r>
        <w:rPr>
          <w:lang w:val="en-US"/>
        </w:rPr>
        <w:t>marginally increase</w:t>
      </w:r>
      <w:r w:rsidRPr="006331D6">
        <w:rPr>
          <w:lang w:val="en-US"/>
        </w:rPr>
        <w:t xml:space="preserve"> the </w:t>
      </w:r>
      <w:r w:rsidR="000C48B8">
        <w:rPr>
          <w:lang w:val="en-US"/>
        </w:rPr>
        <w:t>c</w:t>
      </w:r>
      <w:r w:rsidR="000C48B8" w:rsidRPr="000C48B8">
        <w:rPr>
          <w:lang w:val="en-US"/>
        </w:rPr>
        <w:t>ost-effectiveness</w:t>
      </w:r>
      <w:r w:rsidR="000C48B8">
        <w:rPr>
          <w:lang w:val="en-US"/>
        </w:rPr>
        <w:t xml:space="preserve"> </w:t>
      </w:r>
      <w:r w:rsidRPr="006331D6">
        <w:rPr>
          <w:lang w:val="en-US"/>
        </w:rPr>
        <w:t>of the NBS.</w:t>
      </w:r>
      <w:r w:rsidR="00DE5EFE">
        <w:rPr>
          <w:lang w:val="en-US"/>
        </w:rPr>
        <w:t xml:space="preserve"> </w:t>
      </w:r>
      <w:r w:rsidR="00342194">
        <w:rPr>
          <w:lang w:val="en-US"/>
        </w:rPr>
        <w:t>In conclusion</w:t>
      </w:r>
      <w:r w:rsidR="00CE0A49">
        <w:rPr>
          <w:lang w:val="en-US"/>
        </w:rPr>
        <w:t>,</w:t>
      </w:r>
      <w:r w:rsidR="00342194">
        <w:rPr>
          <w:lang w:val="en-US"/>
        </w:rPr>
        <w:t xml:space="preserve"> </w:t>
      </w:r>
      <w:r w:rsidR="0038432E" w:rsidRPr="00E30FA8">
        <w:rPr>
          <w:lang w:val="en-US"/>
        </w:rPr>
        <w:t>SMA NBS coupled with one of the three available treatments leads to substantial better health outcomes</w:t>
      </w:r>
      <w:r w:rsidR="00DE5EFE">
        <w:rPr>
          <w:lang w:val="en-US"/>
        </w:rPr>
        <w:t>, demonstrating</w:t>
      </w:r>
      <w:r w:rsidR="0038432E" w:rsidRPr="00E30FA8">
        <w:rPr>
          <w:lang w:val="en-US"/>
        </w:rPr>
        <w:t xml:space="preserve"> </w:t>
      </w:r>
      <w:r w:rsidR="00AA574E">
        <w:rPr>
          <w:lang w:val="en-US"/>
        </w:rPr>
        <w:t>the cost-eff</w:t>
      </w:r>
      <w:r w:rsidR="00CE0A49">
        <w:rPr>
          <w:lang w:val="en-US"/>
        </w:rPr>
        <w:t xml:space="preserve">ectiveness </w:t>
      </w:r>
      <w:r w:rsidR="00AA574E">
        <w:rPr>
          <w:lang w:val="en-US"/>
        </w:rPr>
        <w:t>of NBS compare</w:t>
      </w:r>
      <w:r w:rsidR="0010180D">
        <w:rPr>
          <w:lang w:val="en-US"/>
        </w:rPr>
        <w:t>d</w:t>
      </w:r>
      <w:r w:rsidR="00AA574E">
        <w:rPr>
          <w:lang w:val="en-US"/>
        </w:rPr>
        <w:t xml:space="preserve"> to</w:t>
      </w:r>
      <w:r w:rsidR="0010180D">
        <w:rPr>
          <w:lang w:val="en-US"/>
        </w:rPr>
        <w:t xml:space="preserve"> delayed</w:t>
      </w:r>
      <w:r w:rsidR="00AA574E">
        <w:rPr>
          <w:lang w:val="en-US"/>
        </w:rPr>
        <w:t xml:space="preserve"> treatment </w:t>
      </w:r>
      <w:r w:rsidR="00CE0A49">
        <w:rPr>
          <w:lang w:val="en-US"/>
        </w:rPr>
        <w:t xml:space="preserve">in real-life </w:t>
      </w:r>
      <w:r w:rsidR="00CE0A49" w:rsidRPr="000C48B8">
        <w:rPr>
          <w:lang w:val="en-US"/>
        </w:rPr>
        <w:t>settings</w:t>
      </w:r>
      <w:r w:rsidR="0038432E" w:rsidRPr="00D13F1B">
        <w:rPr>
          <w:lang w:val="en-US"/>
        </w:rPr>
        <w:t>.</w:t>
      </w:r>
    </w:p>
    <w:p w14:paraId="426B44BA" w14:textId="77777777" w:rsidR="00522703" w:rsidRDefault="00522703" w:rsidP="00E00C78">
      <w:pPr>
        <w:jc w:val="both"/>
        <w:rPr>
          <w:lang w:val="en-US"/>
        </w:rPr>
      </w:pPr>
    </w:p>
    <w:p w14:paraId="18C71B70" w14:textId="5B77BD64" w:rsidR="00522703" w:rsidRDefault="00522703" w:rsidP="00522703">
      <w:pPr>
        <w:pStyle w:val="Titre1"/>
        <w:rPr>
          <w:lang w:val="en-US"/>
        </w:rPr>
      </w:pPr>
      <w:r w:rsidRPr="00522703">
        <w:rPr>
          <w:lang w:val="en-US"/>
        </w:rPr>
        <w:t>Acknowledgements</w:t>
      </w:r>
    </w:p>
    <w:p w14:paraId="090CE8A0" w14:textId="70E85E4D" w:rsidR="00522703" w:rsidRDefault="00522703" w:rsidP="00522703">
      <w:pPr>
        <w:jc w:val="both"/>
        <w:rPr>
          <w:lang w:val="en-GB"/>
        </w:rPr>
      </w:pPr>
      <w:r w:rsidRPr="002543D7">
        <w:rPr>
          <w:lang w:val="en-GB"/>
        </w:rPr>
        <w:t>We are grateful for the support of patients and their caregivers who took the time to complete our questionnaires.</w:t>
      </w:r>
      <w:r>
        <w:rPr>
          <w:lang w:val="en-GB"/>
        </w:rPr>
        <w:t xml:space="preserve"> We thank all investigators and staff involved in this study. The authors thank Jackie Wyatt for language editing.</w:t>
      </w:r>
    </w:p>
    <w:p w14:paraId="4BAB634A" w14:textId="77777777" w:rsidR="00522703" w:rsidRDefault="00522703" w:rsidP="00522703">
      <w:pPr>
        <w:rPr>
          <w:lang w:val="en-US"/>
        </w:rPr>
      </w:pPr>
    </w:p>
    <w:p w14:paraId="371FBA15" w14:textId="77777777" w:rsidR="004C0A9D" w:rsidRDefault="004C0A9D" w:rsidP="004C0A9D">
      <w:pPr>
        <w:pStyle w:val="Titre1"/>
        <w:rPr>
          <w:lang w:val="en-GB"/>
        </w:rPr>
      </w:pPr>
      <w:r w:rsidRPr="002543D7">
        <w:rPr>
          <w:lang w:val="en-GB"/>
        </w:rPr>
        <w:t>Supporting information</w:t>
      </w:r>
    </w:p>
    <w:p w14:paraId="1085363E" w14:textId="77777777" w:rsidR="004C0A9D" w:rsidRPr="003E7B17" w:rsidRDefault="004C0A9D" w:rsidP="004C0A9D">
      <w:pPr>
        <w:pStyle w:val="NormalWeb"/>
        <w:spacing w:before="0" w:beforeAutospacing="0" w:after="0" w:afterAutospacing="0"/>
        <w:jc w:val="both"/>
        <w:rPr>
          <w:rFonts w:ascii="Arial" w:hAnsi="Arial" w:cs="Arial"/>
          <w:lang w:val="en-US"/>
        </w:rPr>
      </w:pPr>
      <w:r w:rsidRPr="003E7B17">
        <w:rPr>
          <w:rFonts w:ascii="Arial" w:hAnsi="Arial" w:cs="Arial"/>
          <w:lang w:val="en-US"/>
        </w:rPr>
        <w:t>Table 1: Costs for approved SMA treatments and utility values and costs for treatment of NIS and symptomatic-treated subjects.</w:t>
      </w:r>
    </w:p>
    <w:p w14:paraId="72CC2A79" w14:textId="77777777" w:rsidR="004C0A9D" w:rsidRPr="003E7B17" w:rsidRDefault="004C0A9D" w:rsidP="004C0A9D">
      <w:pPr>
        <w:rPr>
          <w:lang w:val="en-US"/>
        </w:rPr>
      </w:pPr>
      <w:r w:rsidRPr="003E7B17">
        <w:rPr>
          <w:lang w:val="en-US"/>
        </w:rPr>
        <w:t>Table 2: Cost-effectiveness of SMA NBS in different scenarios.</w:t>
      </w:r>
    </w:p>
    <w:p w14:paraId="56B82E11" w14:textId="2BA6F0EC" w:rsidR="004C0A9D" w:rsidRPr="003E7B17" w:rsidRDefault="004C0A9D" w:rsidP="004C0A9D">
      <w:pPr>
        <w:pStyle w:val="NormalWeb"/>
        <w:spacing w:before="0" w:beforeAutospacing="0" w:after="0" w:afterAutospacing="0"/>
        <w:jc w:val="both"/>
        <w:rPr>
          <w:rFonts w:ascii="Arial" w:hAnsi="Arial" w:cs="Arial"/>
          <w:lang w:val="en-US"/>
        </w:rPr>
      </w:pPr>
      <w:r w:rsidRPr="003E7B17">
        <w:rPr>
          <w:rFonts w:ascii="Arial" w:hAnsi="Arial" w:cs="Arial"/>
          <w:lang w:val="en-US"/>
        </w:rPr>
        <w:t>Figure 1</w:t>
      </w:r>
      <w:r w:rsidRPr="003E7B17">
        <w:rPr>
          <w:rFonts w:ascii="Arial" w:hAnsi="Arial" w:cs="Arial"/>
          <w:lang w:val="en-US"/>
        </w:rPr>
        <w:t>: A. Schematic of the model used for analysis of cost-effectiveness of SMA NBS. B. Schematic of patient treatment. No NBS: symptomatic-treated; OA: onasemnogene abeparvovec</w:t>
      </w:r>
      <w:r w:rsidRPr="003E7B17">
        <w:rPr>
          <w:rFonts w:ascii="Arial" w:hAnsi="Arial" w:cs="Arial"/>
          <w:lang w:val="en-US"/>
        </w:rPr>
        <w:t>.</w:t>
      </w:r>
    </w:p>
    <w:p w14:paraId="36056740" w14:textId="25F8EE25" w:rsidR="004C0A9D" w:rsidRPr="003E7B17" w:rsidRDefault="004C0A9D" w:rsidP="004C0A9D">
      <w:pPr>
        <w:pStyle w:val="NormalWeb"/>
        <w:spacing w:before="0" w:beforeAutospacing="0" w:after="0" w:afterAutospacing="0"/>
        <w:jc w:val="both"/>
        <w:rPr>
          <w:rFonts w:ascii="Arial" w:hAnsi="Arial" w:cs="Arial"/>
          <w:lang w:val="en-US"/>
        </w:rPr>
      </w:pPr>
      <w:r w:rsidRPr="003E7B17">
        <w:rPr>
          <w:rFonts w:ascii="Arial" w:hAnsi="Arial" w:cs="Arial"/>
          <w:lang w:val="en-US"/>
        </w:rPr>
        <w:t>Figure 2: Incremental cost-effectiveness plane.</w:t>
      </w:r>
    </w:p>
    <w:p w14:paraId="51751E4D" w14:textId="36C4E870" w:rsidR="004C0A9D" w:rsidRPr="003E7B17" w:rsidRDefault="003E7B17" w:rsidP="004C0A9D">
      <w:pPr>
        <w:pStyle w:val="NormalWeb"/>
        <w:spacing w:before="0" w:beforeAutospacing="0" w:after="0" w:afterAutospacing="0"/>
        <w:jc w:val="both"/>
        <w:rPr>
          <w:rFonts w:ascii="Arial" w:hAnsi="Arial" w:cs="Arial"/>
          <w:lang w:val="en-US"/>
        </w:rPr>
      </w:pPr>
      <w:r w:rsidRPr="003E7B17">
        <w:rPr>
          <w:rFonts w:ascii="Arial" w:hAnsi="Arial" w:cs="Arial"/>
          <w:lang w:val="en-US"/>
        </w:rPr>
        <w:t>Figure 3. Cost-effectiveness of NBS versus no NBS in base-case scenario.</w:t>
      </w:r>
    </w:p>
    <w:p w14:paraId="31481F8F" w14:textId="04BF8A3D" w:rsidR="003E7B17" w:rsidRPr="003E7B17" w:rsidRDefault="003E7B17" w:rsidP="004C0A9D">
      <w:pPr>
        <w:pStyle w:val="NormalWeb"/>
        <w:spacing w:before="0" w:beforeAutospacing="0" w:after="0" w:afterAutospacing="0"/>
        <w:jc w:val="both"/>
        <w:rPr>
          <w:rFonts w:ascii="Arial" w:hAnsi="Arial" w:cs="Arial"/>
          <w:lang w:val="en-US"/>
        </w:rPr>
      </w:pPr>
      <w:r w:rsidRPr="003E7B17">
        <w:rPr>
          <w:rFonts w:ascii="Arial" w:hAnsi="Arial" w:cs="Arial"/>
          <w:lang w:val="en-US"/>
        </w:rPr>
        <w:t>Su</w:t>
      </w:r>
      <w:r>
        <w:rPr>
          <w:rFonts w:ascii="Arial" w:hAnsi="Arial" w:cs="Arial"/>
          <w:lang w:val="en-US"/>
        </w:rPr>
        <w:t>p</w:t>
      </w:r>
      <w:r w:rsidRPr="003E7B17">
        <w:rPr>
          <w:rFonts w:ascii="Arial" w:hAnsi="Arial" w:cs="Arial"/>
          <w:lang w:val="en-US"/>
        </w:rPr>
        <w:t>plementary file 1</w:t>
      </w:r>
      <w:r w:rsidRPr="003E7B17">
        <w:rPr>
          <w:rFonts w:ascii="Arial" w:hAnsi="Arial" w:cs="Arial"/>
          <w:lang w:val="en-US"/>
        </w:rPr>
        <w:t>: Evolution of patients in short-term model</w:t>
      </w:r>
    </w:p>
    <w:p w14:paraId="5F901FC5" w14:textId="77777777" w:rsidR="004C0A9D" w:rsidRPr="00522703" w:rsidRDefault="004C0A9D" w:rsidP="00522703">
      <w:pPr>
        <w:rPr>
          <w:lang w:val="en-US"/>
        </w:rPr>
      </w:pPr>
    </w:p>
    <w:p w14:paraId="4217D2D8" w14:textId="6865ACA9" w:rsidR="005E7C4F" w:rsidRPr="000F4E85" w:rsidRDefault="005E7C4F" w:rsidP="005E7C4F">
      <w:pPr>
        <w:pStyle w:val="Titre1"/>
        <w:rPr>
          <w:sz w:val="24"/>
          <w:szCs w:val="24"/>
          <w:lang w:val="en-US"/>
        </w:rPr>
      </w:pPr>
      <w:r w:rsidRPr="000F4E85">
        <w:rPr>
          <w:lang w:val="en-US"/>
        </w:rPr>
        <w:t>References</w:t>
      </w:r>
    </w:p>
    <w:p w14:paraId="1B6F528D" w14:textId="5526C496" w:rsidR="001336C2" w:rsidRPr="00D13F1B" w:rsidRDefault="00317A09" w:rsidP="001336C2">
      <w:pPr>
        <w:widowControl w:val="0"/>
        <w:autoSpaceDE w:val="0"/>
        <w:autoSpaceDN w:val="0"/>
        <w:adjustRightInd w:val="0"/>
        <w:spacing w:before="100" w:after="100"/>
        <w:ind w:left="640" w:hanging="640"/>
        <w:rPr>
          <w:noProof/>
          <w:lang w:val="it-CH"/>
        </w:rPr>
      </w:pPr>
      <w:r w:rsidRPr="00E96FA8">
        <w:fldChar w:fldCharType="begin" w:fldLock="1"/>
      </w:r>
      <w:r w:rsidRPr="000F4E85">
        <w:rPr>
          <w:lang w:val="en-US"/>
        </w:rPr>
        <w:instrText xml:space="preserve">ADDIN Mendeley Bibliography CSL_BIBLIOGRAPHY </w:instrText>
      </w:r>
      <w:r w:rsidRPr="00E96FA8">
        <w:fldChar w:fldCharType="separate"/>
      </w:r>
      <w:r w:rsidR="001336C2" w:rsidRPr="00D13F1B">
        <w:rPr>
          <w:noProof/>
          <w:lang w:val="en-US"/>
        </w:rPr>
        <w:t xml:space="preserve">1. </w:t>
      </w:r>
      <w:r w:rsidR="001336C2" w:rsidRPr="00D13F1B">
        <w:rPr>
          <w:noProof/>
          <w:lang w:val="en-US"/>
        </w:rPr>
        <w:tab/>
        <w:t xml:space="preserve">Verhaart IEC, Robertson A, Wilson IJ, Aartsma-Rus A, Cameron S, Jones CC, et al. Prevalence, incidence and carrier frequency of 5q-linked spinal muscular atrophy - a literature review. </w:t>
      </w:r>
      <w:r w:rsidR="001336C2" w:rsidRPr="00D13F1B">
        <w:rPr>
          <w:i/>
          <w:iCs/>
          <w:noProof/>
          <w:lang w:val="it-CH"/>
        </w:rPr>
        <w:t>Orphanet J Rare Dis</w:t>
      </w:r>
      <w:r w:rsidR="001336C2" w:rsidRPr="00D13F1B">
        <w:rPr>
          <w:noProof/>
          <w:lang w:val="it-CH"/>
        </w:rPr>
        <w:t xml:space="preserve"> 2017;</w:t>
      </w:r>
      <w:r w:rsidR="001336C2" w:rsidRPr="00D13F1B">
        <w:rPr>
          <w:b/>
          <w:bCs/>
          <w:noProof/>
          <w:lang w:val="it-CH"/>
        </w:rPr>
        <w:t>12</w:t>
      </w:r>
      <w:r w:rsidR="001336C2" w:rsidRPr="00D13F1B">
        <w:rPr>
          <w:noProof/>
          <w:lang w:val="it-CH"/>
        </w:rPr>
        <w:t xml:space="preserve">(1):124. </w:t>
      </w:r>
    </w:p>
    <w:p w14:paraId="18BEA598" w14:textId="4B50972B" w:rsidR="001336C2" w:rsidRPr="00D13F1B" w:rsidRDefault="001336C2" w:rsidP="001336C2">
      <w:pPr>
        <w:widowControl w:val="0"/>
        <w:autoSpaceDE w:val="0"/>
        <w:autoSpaceDN w:val="0"/>
        <w:adjustRightInd w:val="0"/>
        <w:spacing w:before="100" w:after="100"/>
        <w:ind w:left="640" w:hanging="640"/>
        <w:rPr>
          <w:noProof/>
          <w:lang w:val="nl-NL"/>
        </w:rPr>
      </w:pPr>
      <w:r w:rsidRPr="00D13F1B">
        <w:rPr>
          <w:noProof/>
          <w:lang w:val="it-CH"/>
        </w:rPr>
        <w:t xml:space="preserve">2. </w:t>
      </w:r>
      <w:r w:rsidRPr="00D13F1B">
        <w:rPr>
          <w:noProof/>
          <w:lang w:val="it-CH"/>
        </w:rPr>
        <w:tab/>
        <w:t xml:space="preserve">D’Amico A, Mercuri E, Tiziano FD, Bertini E. Spinal muscular atrophy. </w:t>
      </w:r>
      <w:r w:rsidRPr="00D13F1B">
        <w:rPr>
          <w:i/>
          <w:iCs/>
          <w:noProof/>
          <w:lang w:val="nl-NL"/>
        </w:rPr>
        <w:t>Orphanet J Rare Dis</w:t>
      </w:r>
      <w:r w:rsidRPr="00D13F1B">
        <w:rPr>
          <w:noProof/>
          <w:lang w:val="nl-NL"/>
        </w:rPr>
        <w:t xml:space="preserve"> 2011;</w:t>
      </w:r>
      <w:r w:rsidRPr="00D13F1B">
        <w:rPr>
          <w:b/>
          <w:bCs/>
          <w:noProof/>
          <w:lang w:val="nl-NL"/>
        </w:rPr>
        <w:t>6</w:t>
      </w:r>
      <w:r w:rsidRPr="00D13F1B">
        <w:rPr>
          <w:noProof/>
          <w:lang w:val="nl-NL"/>
        </w:rPr>
        <w:t xml:space="preserve">(1):71. </w:t>
      </w:r>
    </w:p>
    <w:p w14:paraId="64E37ECD" w14:textId="2057557C"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nl-NL"/>
        </w:rPr>
        <w:t xml:space="preserve">3. </w:t>
      </w:r>
      <w:r w:rsidRPr="00D13F1B">
        <w:rPr>
          <w:noProof/>
          <w:lang w:val="nl-NL"/>
        </w:rPr>
        <w:tab/>
        <w:t xml:space="preserve">Wijngaarde CA, Stam M, Otto LAM, van Eijk RPA, Cuppen I, Veldhoen ES, et al. </w:t>
      </w:r>
      <w:r w:rsidRPr="00D13F1B">
        <w:rPr>
          <w:noProof/>
          <w:lang w:val="en-US"/>
        </w:rPr>
        <w:t xml:space="preserve">Population-based analysis of survival in spinal muscular atrophy. </w:t>
      </w:r>
      <w:r w:rsidRPr="00D13F1B">
        <w:rPr>
          <w:i/>
          <w:iCs/>
          <w:noProof/>
          <w:lang w:val="en-US"/>
        </w:rPr>
        <w:t>Neurology</w:t>
      </w:r>
      <w:r w:rsidRPr="00D13F1B">
        <w:rPr>
          <w:noProof/>
          <w:lang w:val="en-US"/>
        </w:rPr>
        <w:t xml:space="preserve"> 2020;</w:t>
      </w:r>
      <w:r w:rsidRPr="00D13F1B">
        <w:rPr>
          <w:b/>
          <w:bCs/>
          <w:noProof/>
          <w:lang w:val="en-US"/>
        </w:rPr>
        <w:t>94</w:t>
      </w:r>
      <w:r w:rsidRPr="00D13F1B">
        <w:rPr>
          <w:noProof/>
          <w:lang w:val="en-US"/>
        </w:rPr>
        <w:t>(15):e1634</w:t>
      </w:r>
      <w:r w:rsidR="00E43D37">
        <w:rPr>
          <w:noProof/>
          <w:lang w:val="en-US"/>
        </w:rPr>
        <w:t>-</w:t>
      </w:r>
      <w:r w:rsidRPr="00D13F1B">
        <w:rPr>
          <w:noProof/>
          <w:lang w:val="en-US"/>
        </w:rPr>
        <w:t xml:space="preserve">44. </w:t>
      </w:r>
    </w:p>
    <w:p w14:paraId="06845C5D" w14:textId="04DF4478"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4. </w:t>
      </w:r>
      <w:r w:rsidRPr="00D13F1B">
        <w:rPr>
          <w:noProof/>
          <w:lang w:val="en-US"/>
        </w:rPr>
        <w:tab/>
        <w:t xml:space="preserve">Landfeldt E, Edstrom J, Sejersen T, Tulinius M, Lochmuller H, Kirschner J. Quality of life of patients with spinal muscular atrophy: A systematic review. </w:t>
      </w:r>
      <w:r w:rsidRPr="00D13F1B">
        <w:rPr>
          <w:i/>
          <w:iCs/>
          <w:noProof/>
          <w:lang w:val="en-US"/>
        </w:rPr>
        <w:t>Eur J Paediatr Neurol</w:t>
      </w:r>
      <w:r w:rsidRPr="00D13F1B">
        <w:rPr>
          <w:noProof/>
          <w:lang w:val="en-US"/>
        </w:rPr>
        <w:t xml:space="preserve"> 2019;</w:t>
      </w:r>
      <w:r w:rsidRPr="00D13F1B">
        <w:rPr>
          <w:b/>
          <w:bCs/>
          <w:noProof/>
          <w:lang w:val="en-US"/>
        </w:rPr>
        <w:t>23</w:t>
      </w:r>
      <w:r w:rsidRPr="00D13F1B">
        <w:rPr>
          <w:noProof/>
          <w:lang w:val="en-US"/>
        </w:rPr>
        <w:t>(3):347</w:t>
      </w:r>
      <w:r w:rsidR="00E43D37">
        <w:rPr>
          <w:noProof/>
          <w:lang w:val="en-US"/>
        </w:rPr>
        <w:t>-</w:t>
      </w:r>
      <w:r w:rsidRPr="00D13F1B">
        <w:rPr>
          <w:noProof/>
          <w:lang w:val="en-US"/>
        </w:rPr>
        <w:t xml:space="preserve">56. </w:t>
      </w:r>
    </w:p>
    <w:p w14:paraId="1ED7FFC1" w14:textId="6608235A"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5. </w:t>
      </w:r>
      <w:r w:rsidRPr="00D13F1B">
        <w:rPr>
          <w:noProof/>
          <w:lang w:val="en-US"/>
        </w:rPr>
        <w:tab/>
        <w:t xml:space="preserve">Dangouloff T, Botty C, Beaudart C, Servais L, Hiligsmann M. Systematic literature review of the economic burden of spinal muscular atrophy and economic evaluations of treatments. </w:t>
      </w:r>
      <w:r w:rsidRPr="00D13F1B">
        <w:rPr>
          <w:i/>
          <w:iCs/>
          <w:noProof/>
          <w:lang w:val="en-US"/>
        </w:rPr>
        <w:t>Orphanet J Rare Dis</w:t>
      </w:r>
      <w:r w:rsidRPr="00D13F1B">
        <w:rPr>
          <w:noProof/>
          <w:lang w:val="en-US"/>
        </w:rPr>
        <w:t xml:space="preserve"> 2021;</w:t>
      </w:r>
      <w:r w:rsidRPr="00D13F1B">
        <w:rPr>
          <w:b/>
          <w:bCs/>
          <w:noProof/>
          <w:lang w:val="en-US"/>
        </w:rPr>
        <w:t>16</w:t>
      </w:r>
      <w:r w:rsidRPr="00D13F1B">
        <w:rPr>
          <w:noProof/>
          <w:lang w:val="en-US"/>
        </w:rPr>
        <w:t xml:space="preserve">(1):47. </w:t>
      </w:r>
    </w:p>
    <w:p w14:paraId="5F7B49C8" w14:textId="55097239"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6. </w:t>
      </w:r>
      <w:r w:rsidRPr="00D13F1B">
        <w:rPr>
          <w:noProof/>
          <w:lang w:val="en-US"/>
        </w:rPr>
        <w:tab/>
        <w:t xml:space="preserve">Ramdas S, Servais L. New treatments in spinal muscular atrophy: an overview of currently available data. </w:t>
      </w:r>
      <w:r w:rsidRPr="00D13F1B">
        <w:rPr>
          <w:i/>
          <w:iCs/>
          <w:noProof/>
          <w:lang w:val="en-US"/>
        </w:rPr>
        <w:t>Expert Opin Pharmacother</w:t>
      </w:r>
      <w:r w:rsidR="00C429CA">
        <w:rPr>
          <w:noProof/>
          <w:lang w:val="en-US"/>
        </w:rPr>
        <w:t xml:space="preserve"> </w:t>
      </w:r>
      <w:r w:rsidRPr="00D13F1B">
        <w:rPr>
          <w:noProof/>
          <w:lang w:val="en-US"/>
        </w:rPr>
        <w:t>2020;</w:t>
      </w:r>
      <w:r w:rsidRPr="00D13F1B">
        <w:rPr>
          <w:b/>
          <w:bCs/>
          <w:noProof/>
          <w:lang w:val="en-US"/>
        </w:rPr>
        <w:t>21</w:t>
      </w:r>
      <w:r w:rsidRPr="00D13F1B">
        <w:rPr>
          <w:noProof/>
          <w:lang w:val="en-US"/>
        </w:rPr>
        <w:t xml:space="preserve">(3):307–15. </w:t>
      </w:r>
    </w:p>
    <w:p w14:paraId="17CA601D" w14:textId="72420A90"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7. </w:t>
      </w:r>
      <w:r w:rsidRPr="00D13F1B">
        <w:rPr>
          <w:noProof/>
          <w:lang w:val="en-US"/>
        </w:rPr>
        <w:tab/>
        <w:t xml:space="preserve">Dangouloff T, Servais L. Clinical Evidence Supporting Early Treatment Of Patients With Spinal Muscular Atrophy: Current Perspectives. </w:t>
      </w:r>
      <w:r w:rsidRPr="00D13F1B">
        <w:rPr>
          <w:i/>
          <w:iCs/>
          <w:noProof/>
          <w:lang w:val="en-US"/>
        </w:rPr>
        <w:t>Ther Clin Risk Manag</w:t>
      </w:r>
      <w:r w:rsidR="00C429CA">
        <w:rPr>
          <w:noProof/>
          <w:lang w:val="en-US"/>
        </w:rPr>
        <w:t xml:space="preserve"> </w:t>
      </w:r>
      <w:r w:rsidRPr="00D13F1B">
        <w:rPr>
          <w:noProof/>
          <w:lang w:val="en-US"/>
        </w:rPr>
        <w:t>2019;</w:t>
      </w:r>
      <w:r w:rsidRPr="00D13F1B">
        <w:rPr>
          <w:b/>
          <w:bCs/>
          <w:noProof/>
          <w:lang w:val="en-US"/>
        </w:rPr>
        <w:t>15</w:t>
      </w:r>
      <w:r w:rsidRPr="00D13F1B">
        <w:rPr>
          <w:noProof/>
          <w:lang w:val="en-US"/>
        </w:rPr>
        <w:t xml:space="preserve">:1153–61. </w:t>
      </w:r>
    </w:p>
    <w:p w14:paraId="49D605F0" w14:textId="4A36B56F"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8. </w:t>
      </w:r>
      <w:r w:rsidRPr="00D13F1B">
        <w:rPr>
          <w:noProof/>
          <w:lang w:val="en-US"/>
        </w:rPr>
        <w:tab/>
        <w:t xml:space="preserve">Dangouloff T, Burghes A, Tizzano EF, Servais L. 244th ENMC International Workshop: Newborn screening in Spinal Muscular Atrophy May 10-12, 2019, Hoofdorp, The Netherlands. </w:t>
      </w:r>
      <w:r w:rsidRPr="00D13F1B">
        <w:rPr>
          <w:i/>
          <w:iCs/>
          <w:noProof/>
          <w:lang w:val="en-US"/>
        </w:rPr>
        <w:t>Neuromuscul Disord</w:t>
      </w:r>
      <w:r w:rsidR="00C429CA">
        <w:rPr>
          <w:noProof/>
          <w:lang w:val="en-US"/>
        </w:rPr>
        <w:t xml:space="preserve"> </w:t>
      </w:r>
      <w:r w:rsidRPr="00D13F1B">
        <w:rPr>
          <w:noProof/>
          <w:lang w:val="en-US"/>
        </w:rPr>
        <w:t>2020;</w:t>
      </w:r>
      <w:r w:rsidRPr="00D13F1B">
        <w:rPr>
          <w:b/>
          <w:bCs/>
          <w:noProof/>
          <w:lang w:val="en-US"/>
        </w:rPr>
        <w:t>30</w:t>
      </w:r>
      <w:r w:rsidRPr="00D13F1B">
        <w:rPr>
          <w:noProof/>
          <w:lang w:val="en-US"/>
        </w:rPr>
        <w:t xml:space="preserve">(1):93–103. </w:t>
      </w:r>
    </w:p>
    <w:p w14:paraId="32AE9404" w14:textId="2FDB43D5"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9. </w:t>
      </w:r>
      <w:r w:rsidRPr="00D13F1B">
        <w:rPr>
          <w:noProof/>
          <w:lang w:val="en-US"/>
        </w:rPr>
        <w:tab/>
        <w:t xml:space="preserve">Dangouloff T, Vrščaj E, Servais L, Osredkar D. Newborn screening programs for spinal muscular atrophy worldwide: Where we stand and where to go. </w:t>
      </w:r>
      <w:r w:rsidRPr="00D13F1B">
        <w:rPr>
          <w:i/>
          <w:iCs/>
          <w:noProof/>
          <w:lang w:val="en-US"/>
        </w:rPr>
        <w:t>Neuromuscul Disord</w:t>
      </w:r>
      <w:r w:rsidRPr="00D13F1B">
        <w:rPr>
          <w:noProof/>
          <w:lang w:val="en-US"/>
        </w:rPr>
        <w:t xml:space="preserve"> 2021;</w:t>
      </w:r>
      <w:r w:rsidRPr="00D13F1B">
        <w:rPr>
          <w:b/>
          <w:bCs/>
          <w:noProof/>
          <w:lang w:val="en-US"/>
        </w:rPr>
        <w:t>31</w:t>
      </w:r>
      <w:r w:rsidRPr="00D13F1B">
        <w:rPr>
          <w:noProof/>
          <w:lang w:val="en-US"/>
        </w:rPr>
        <w:t xml:space="preserve">(6):574–82. </w:t>
      </w:r>
    </w:p>
    <w:p w14:paraId="6E713065" w14:textId="09C61A6C"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10. </w:t>
      </w:r>
      <w:r w:rsidRPr="00D13F1B">
        <w:rPr>
          <w:noProof/>
          <w:lang w:val="en-US"/>
        </w:rPr>
        <w:tab/>
        <w:t xml:space="preserve">Boemer F, Caberg JH, Dideberg V, Dardenne D, Bours V, Hiligsmann M, et al. Newborn screening for SMA in Southern Belgium. </w:t>
      </w:r>
      <w:r w:rsidRPr="00D13F1B">
        <w:rPr>
          <w:i/>
          <w:iCs/>
          <w:noProof/>
          <w:lang w:val="en-US"/>
        </w:rPr>
        <w:t>Neuromuscul Disord</w:t>
      </w:r>
      <w:r w:rsidRPr="00D13F1B">
        <w:rPr>
          <w:noProof/>
          <w:lang w:val="en-US"/>
        </w:rPr>
        <w:t xml:space="preserve"> 2019;</w:t>
      </w:r>
      <w:r w:rsidRPr="00D13F1B">
        <w:rPr>
          <w:b/>
          <w:bCs/>
          <w:noProof/>
          <w:lang w:val="en-US"/>
        </w:rPr>
        <w:t>29</w:t>
      </w:r>
      <w:r w:rsidRPr="00D13F1B">
        <w:rPr>
          <w:noProof/>
          <w:lang w:val="en-US"/>
        </w:rPr>
        <w:t xml:space="preserve">(5):343–9. </w:t>
      </w:r>
    </w:p>
    <w:p w14:paraId="075A95D2" w14:textId="0FF0651F"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11. </w:t>
      </w:r>
      <w:r w:rsidRPr="00D13F1B">
        <w:rPr>
          <w:noProof/>
          <w:lang w:val="en-US"/>
        </w:rPr>
        <w:tab/>
        <w:t xml:space="preserve">Boemer F, Caberg J-H, Beckers P, Dideberg V, di Fiore S, Bours V, et al. Three years pilot of spinal muscular atrophy newborn screening turned into official program in Southern Belgium. </w:t>
      </w:r>
      <w:r w:rsidRPr="00D13F1B">
        <w:rPr>
          <w:i/>
          <w:iCs/>
          <w:noProof/>
          <w:lang w:val="en-US"/>
        </w:rPr>
        <w:t>Sci Rep</w:t>
      </w:r>
      <w:r w:rsidRPr="00D13F1B">
        <w:rPr>
          <w:noProof/>
          <w:lang w:val="en-US"/>
        </w:rPr>
        <w:t xml:space="preserve"> 2021;</w:t>
      </w:r>
      <w:r w:rsidRPr="00D13F1B">
        <w:rPr>
          <w:b/>
          <w:bCs/>
          <w:noProof/>
          <w:lang w:val="en-US"/>
        </w:rPr>
        <w:t>11</w:t>
      </w:r>
      <w:r w:rsidRPr="00D13F1B">
        <w:rPr>
          <w:noProof/>
          <w:lang w:val="en-US"/>
        </w:rPr>
        <w:t xml:space="preserve">(1):19922. </w:t>
      </w:r>
    </w:p>
    <w:p w14:paraId="393247F8" w14:textId="14641F78"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12. </w:t>
      </w:r>
      <w:r w:rsidRPr="00D13F1B">
        <w:rPr>
          <w:noProof/>
          <w:lang w:val="en-US"/>
        </w:rPr>
        <w:tab/>
        <w:t xml:space="preserve">Shih ST, Farrar MA, Wiley V, Chambers G. Newborn screening for spinal muscular atrophy with disease-modifying therapies: a cost-effectiveness analysis. </w:t>
      </w:r>
      <w:r w:rsidRPr="00D13F1B">
        <w:rPr>
          <w:i/>
          <w:iCs/>
          <w:noProof/>
          <w:lang w:val="en-US"/>
        </w:rPr>
        <w:t>J Neurol Neurosurg Psychiatry</w:t>
      </w:r>
      <w:r w:rsidRPr="00D13F1B">
        <w:rPr>
          <w:noProof/>
          <w:lang w:val="en-US"/>
        </w:rPr>
        <w:t xml:space="preserve"> 2021;</w:t>
      </w:r>
      <w:r w:rsidRPr="00D13F1B">
        <w:rPr>
          <w:b/>
          <w:bCs/>
          <w:noProof/>
          <w:lang w:val="en-US"/>
        </w:rPr>
        <w:t>92</w:t>
      </w:r>
      <w:r w:rsidRPr="00D13F1B">
        <w:rPr>
          <w:noProof/>
          <w:lang w:val="en-US"/>
        </w:rPr>
        <w:t xml:space="preserve">(12):1296–304. </w:t>
      </w:r>
    </w:p>
    <w:p w14:paraId="58FFD527" w14:textId="601803D3"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13. </w:t>
      </w:r>
      <w:r w:rsidRPr="00D13F1B">
        <w:rPr>
          <w:noProof/>
          <w:lang w:val="en-US"/>
        </w:rPr>
        <w:tab/>
        <w:t xml:space="preserve">Chen HF, Hutton DW, Lavieri MS, Prosser LA. Cost-effectiveness analysis of newborn screening and treatment for spinal muscular atrophy. </w:t>
      </w:r>
      <w:r w:rsidRPr="00D13F1B">
        <w:rPr>
          <w:i/>
          <w:iCs/>
          <w:noProof/>
          <w:lang w:val="en-US"/>
        </w:rPr>
        <w:t>Value Heal</w:t>
      </w:r>
      <w:r w:rsidRPr="00D13F1B">
        <w:rPr>
          <w:noProof/>
          <w:lang w:val="en-US"/>
        </w:rPr>
        <w:t xml:space="preserve"> 2020;</w:t>
      </w:r>
      <w:r w:rsidRPr="00D13F1B">
        <w:rPr>
          <w:b/>
          <w:bCs/>
          <w:noProof/>
          <w:lang w:val="en-US"/>
        </w:rPr>
        <w:t>23</w:t>
      </w:r>
      <w:r w:rsidRPr="00D13F1B">
        <w:rPr>
          <w:noProof/>
          <w:lang w:val="en-US"/>
        </w:rPr>
        <w:t xml:space="preserve">:S2. </w:t>
      </w:r>
    </w:p>
    <w:p w14:paraId="69A10DC3" w14:textId="1457AF90"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14. </w:t>
      </w:r>
      <w:r w:rsidRPr="00D13F1B">
        <w:rPr>
          <w:noProof/>
          <w:lang w:val="en-US"/>
        </w:rPr>
        <w:tab/>
        <w:t xml:space="preserve">Arjunji R, Zhou J, Patel A, Edwards ML, Harvey M, Soverino M, et al. Cost-effectiveness analysis of newborn screening for spinal muscular atrophy (SMA) in the United States. </w:t>
      </w:r>
      <w:r w:rsidRPr="00D13F1B">
        <w:rPr>
          <w:i/>
          <w:iCs/>
          <w:noProof/>
          <w:lang w:val="en-US"/>
        </w:rPr>
        <w:t>Value Heal</w:t>
      </w:r>
      <w:r w:rsidRPr="00D13F1B">
        <w:rPr>
          <w:noProof/>
          <w:lang w:val="en-US"/>
        </w:rPr>
        <w:t xml:space="preserve"> 2020;</w:t>
      </w:r>
      <w:r w:rsidRPr="00D13F1B">
        <w:rPr>
          <w:b/>
          <w:bCs/>
          <w:noProof/>
          <w:lang w:val="en-US"/>
        </w:rPr>
        <w:t>23</w:t>
      </w:r>
      <w:r w:rsidRPr="00D13F1B">
        <w:rPr>
          <w:noProof/>
          <w:lang w:val="en-US"/>
        </w:rPr>
        <w:t xml:space="preserve">:S238. </w:t>
      </w:r>
    </w:p>
    <w:p w14:paraId="6299CE73" w14:textId="12BB8620"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15. </w:t>
      </w:r>
      <w:r w:rsidRPr="00D13F1B">
        <w:rPr>
          <w:noProof/>
          <w:lang w:val="en-US"/>
        </w:rPr>
        <w:tab/>
        <w:t xml:space="preserve">Velikanova R, van der Schans S, Bischof M, van Olden RW, Postma M, Boersma C. Cost-Effectiveness of Newborn Screening for Spinal Muscular Atrophy in The Netherlands. </w:t>
      </w:r>
      <w:r w:rsidRPr="00D13F1B">
        <w:rPr>
          <w:i/>
          <w:iCs/>
          <w:noProof/>
          <w:lang w:val="en-US"/>
        </w:rPr>
        <w:t>Value Heal J Int Soc Pharmacoeconomics Outcomes Res</w:t>
      </w:r>
      <w:r w:rsidRPr="00D13F1B">
        <w:rPr>
          <w:noProof/>
          <w:lang w:val="en-US"/>
        </w:rPr>
        <w:t xml:space="preserve"> 2022;</w:t>
      </w:r>
      <w:r w:rsidRPr="00D13F1B">
        <w:rPr>
          <w:b/>
          <w:bCs/>
          <w:noProof/>
          <w:lang w:val="en-US"/>
        </w:rPr>
        <w:t>25</w:t>
      </w:r>
      <w:r w:rsidRPr="00D13F1B">
        <w:rPr>
          <w:noProof/>
          <w:lang w:val="en-US"/>
        </w:rPr>
        <w:t>(10):1696</w:t>
      </w:r>
      <w:r w:rsidR="00C429CA">
        <w:rPr>
          <w:noProof/>
          <w:lang w:val="en-US"/>
        </w:rPr>
        <w:t>-</w:t>
      </w:r>
      <w:r w:rsidRPr="00D13F1B">
        <w:rPr>
          <w:noProof/>
          <w:lang w:val="en-US"/>
        </w:rPr>
        <w:t xml:space="preserve">704. </w:t>
      </w:r>
    </w:p>
    <w:p w14:paraId="4191FF19" w14:textId="2D6536CC"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16. </w:t>
      </w:r>
      <w:r w:rsidRPr="00D13F1B">
        <w:rPr>
          <w:noProof/>
          <w:lang w:val="en-US"/>
        </w:rPr>
        <w:tab/>
        <w:t xml:space="preserve">Weidlich D, Servais L, Kausar I, Howells R, Bischof M. Cost Effectiveness of Newborn Screening for Spinal Muscular Atrophy in England and Wales. </w:t>
      </w:r>
      <w:r w:rsidR="00C429CA" w:rsidRPr="00C429CA">
        <w:rPr>
          <w:i/>
          <w:iCs/>
          <w:noProof/>
          <w:lang w:val="en-US"/>
        </w:rPr>
        <w:t>Neurol Ther</w:t>
      </w:r>
      <w:r w:rsidR="00C429CA" w:rsidRPr="00C429CA">
        <w:rPr>
          <w:noProof/>
          <w:lang w:val="en-US"/>
        </w:rPr>
        <w:t xml:space="preserve"> 2023; </w:t>
      </w:r>
      <w:r w:rsidR="00C429CA" w:rsidRPr="00C429CA">
        <w:rPr>
          <w:b/>
          <w:bCs/>
          <w:noProof/>
          <w:lang w:val="en-US"/>
        </w:rPr>
        <w:t>12</w:t>
      </w:r>
      <w:r w:rsidR="00C429CA" w:rsidRPr="00C429CA">
        <w:rPr>
          <w:noProof/>
          <w:lang w:val="en-US"/>
        </w:rPr>
        <w:t>(4): 1205</w:t>
      </w:r>
      <w:r w:rsidR="00C429CA">
        <w:rPr>
          <w:noProof/>
          <w:lang w:val="en-US"/>
        </w:rPr>
        <w:t>-</w:t>
      </w:r>
      <w:r w:rsidR="00C429CA" w:rsidRPr="00C429CA">
        <w:rPr>
          <w:noProof/>
          <w:lang w:val="en-US"/>
        </w:rPr>
        <w:t>1220.</w:t>
      </w:r>
    </w:p>
    <w:p w14:paraId="18F43C73" w14:textId="77777777"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17. </w:t>
      </w:r>
      <w:r w:rsidRPr="00D13F1B">
        <w:rPr>
          <w:noProof/>
          <w:lang w:val="en-US"/>
        </w:rPr>
        <w:tab/>
        <w:t xml:space="preserve">ICER. Spinraza® and Zolgensma® for Spinal Muscular Atrophy: Effectiveness and Value [Internet]. Institute for Clinical and Economic Review; 2019. </w:t>
      </w:r>
    </w:p>
    <w:p w14:paraId="6CBFBD80" w14:textId="563F4602"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18. </w:t>
      </w:r>
      <w:r w:rsidRPr="00D13F1B">
        <w:rPr>
          <w:noProof/>
          <w:lang w:val="en-US"/>
        </w:rPr>
        <w:tab/>
        <w:t xml:space="preserve">Thokala P, Stevenson M, Kumar VM, Ren S, Ellis AG, Chapman RH. Cost effectiveness of nusinersen for patients with infantile-onset spinal muscular atrophy in US. </w:t>
      </w:r>
      <w:r w:rsidRPr="00D13F1B">
        <w:rPr>
          <w:i/>
          <w:iCs/>
          <w:noProof/>
          <w:lang w:val="en-US"/>
        </w:rPr>
        <w:t>Cost Eff Resour Alloc</w:t>
      </w:r>
      <w:r w:rsidRPr="00D13F1B">
        <w:rPr>
          <w:noProof/>
          <w:lang w:val="en-US"/>
        </w:rPr>
        <w:t xml:space="preserve"> 2020;</w:t>
      </w:r>
      <w:r w:rsidRPr="00D13F1B">
        <w:rPr>
          <w:b/>
          <w:bCs/>
          <w:noProof/>
          <w:lang w:val="en-US"/>
        </w:rPr>
        <w:t>18</w:t>
      </w:r>
      <w:r w:rsidRPr="00D13F1B">
        <w:rPr>
          <w:noProof/>
          <w:lang w:val="en-US"/>
        </w:rPr>
        <w:t xml:space="preserve">:41. </w:t>
      </w:r>
    </w:p>
    <w:p w14:paraId="12D5BA69" w14:textId="546D8FD9"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19. </w:t>
      </w:r>
      <w:r w:rsidRPr="00D13F1B">
        <w:rPr>
          <w:noProof/>
          <w:lang w:val="en-US"/>
        </w:rPr>
        <w:tab/>
        <w:t xml:space="preserve">Wijngaarde CA, Veldhoen ES, van Eijk RPA, Stam M, Otto LAM, Asselman F-L, et al. Natural history of lung function in spinal muscular atrophy. </w:t>
      </w:r>
      <w:r w:rsidRPr="00D13F1B">
        <w:rPr>
          <w:i/>
          <w:iCs/>
          <w:noProof/>
          <w:lang w:val="en-US"/>
        </w:rPr>
        <w:t>Orphanet J Rare Dis</w:t>
      </w:r>
      <w:r w:rsidRPr="00D13F1B">
        <w:rPr>
          <w:noProof/>
          <w:lang w:val="en-US"/>
        </w:rPr>
        <w:t xml:space="preserve"> 2020;</w:t>
      </w:r>
      <w:r w:rsidRPr="00D13F1B">
        <w:rPr>
          <w:b/>
          <w:bCs/>
          <w:noProof/>
          <w:lang w:val="en-US"/>
        </w:rPr>
        <w:t>15</w:t>
      </w:r>
      <w:r w:rsidRPr="00D13F1B">
        <w:rPr>
          <w:noProof/>
          <w:lang w:val="en-US"/>
        </w:rPr>
        <w:t xml:space="preserve">(1):88. </w:t>
      </w:r>
    </w:p>
    <w:p w14:paraId="2C5CF8A1" w14:textId="77777777" w:rsidR="001336C2" w:rsidRPr="00D13F1B" w:rsidRDefault="001336C2" w:rsidP="001336C2">
      <w:pPr>
        <w:widowControl w:val="0"/>
        <w:autoSpaceDE w:val="0"/>
        <w:autoSpaceDN w:val="0"/>
        <w:adjustRightInd w:val="0"/>
        <w:spacing w:before="100" w:after="100"/>
        <w:ind w:left="640" w:hanging="640"/>
        <w:rPr>
          <w:noProof/>
          <w:lang w:val="en-US"/>
        </w:rPr>
      </w:pPr>
      <w:r w:rsidRPr="001336C2">
        <w:rPr>
          <w:noProof/>
        </w:rPr>
        <w:t xml:space="preserve">20. </w:t>
      </w:r>
      <w:r w:rsidRPr="001336C2">
        <w:rPr>
          <w:noProof/>
        </w:rPr>
        <w:tab/>
        <w:t xml:space="preserve">StatBel. Tables de mortalité et espérance de vie [Internet]. </w:t>
      </w:r>
      <w:r w:rsidRPr="00D13F1B">
        <w:rPr>
          <w:noProof/>
          <w:lang w:val="en-US"/>
        </w:rPr>
        <w:t xml:space="preserve">Service Public Fédéral Belge. 2021. </w:t>
      </w:r>
    </w:p>
    <w:p w14:paraId="05BB11F5" w14:textId="77777777"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21. </w:t>
      </w:r>
      <w:r w:rsidRPr="00D13F1B">
        <w:rPr>
          <w:noProof/>
          <w:lang w:val="en-US"/>
        </w:rPr>
        <w:tab/>
        <w:t xml:space="preserve">Cleemput I, Neyt M, Van De Sande S, Thiry N. Belgian guidelines for economic evaluations and budget impact analyses: second edition. Vol. 183B, KCE Reports. 2012. </w:t>
      </w:r>
    </w:p>
    <w:p w14:paraId="74AC92D5" w14:textId="0A344F80"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22. </w:t>
      </w:r>
      <w:r w:rsidRPr="00D13F1B">
        <w:rPr>
          <w:noProof/>
          <w:lang w:val="en-US"/>
        </w:rPr>
        <w:tab/>
        <w:t xml:space="preserve">Lee BH, Deng S, Chiriboga CA, Kay DM, Irumudomon O, Laureta E, et al. Newborn Screening for Spinal Muscular Atrophy in New York State: Clinical Outcomes From the First 3 Years. </w:t>
      </w:r>
      <w:r w:rsidRPr="00D13F1B">
        <w:rPr>
          <w:i/>
          <w:iCs/>
          <w:noProof/>
          <w:lang w:val="en-US"/>
        </w:rPr>
        <w:t>Neurology</w:t>
      </w:r>
      <w:r w:rsidRPr="00D13F1B">
        <w:rPr>
          <w:noProof/>
          <w:lang w:val="en-US"/>
        </w:rPr>
        <w:t xml:space="preserve"> 2022;</w:t>
      </w:r>
      <w:r w:rsidRPr="00D13F1B">
        <w:rPr>
          <w:b/>
          <w:bCs/>
          <w:noProof/>
          <w:lang w:val="en-US"/>
        </w:rPr>
        <w:t>99</w:t>
      </w:r>
      <w:r w:rsidRPr="00D13F1B">
        <w:rPr>
          <w:noProof/>
          <w:lang w:val="en-US"/>
        </w:rPr>
        <w:t xml:space="preserve">(14):e1527-37. </w:t>
      </w:r>
    </w:p>
    <w:p w14:paraId="1B89E360" w14:textId="13DAA8E9"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23. </w:t>
      </w:r>
      <w:r w:rsidRPr="00D13F1B">
        <w:rPr>
          <w:noProof/>
          <w:lang w:val="en-US"/>
        </w:rPr>
        <w:tab/>
        <w:t xml:space="preserve">Vill K, Schwartz O, Blaschek A, Glaser D, Nennstiel U, Wirth B, et al. Newborn screening for spinal muscular atrophy in Germany: clinical results after 2 years. </w:t>
      </w:r>
      <w:r w:rsidRPr="00D13F1B">
        <w:rPr>
          <w:i/>
          <w:iCs/>
          <w:noProof/>
          <w:lang w:val="en-US"/>
        </w:rPr>
        <w:t>Orphanet J Rare Dis</w:t>
      </w:r>
      <w:r w:rsidRPr="00D13F1B">
        <w:rPr>
          <w:noProof/>
          <w:lang w:val="en-US"/>
        </w:rPr>
        <w:t xml:space="preserve"> 2021;</w:t>
      </w:r>
      <w:r w:rsidRPr="00D13F1B">
        <w:rPr>
          <w:b/>
          <w:bCs/>
          <w:noProof/>
          <w:lang w:val="en-US"/>
        </w:rPr>
        <w:t>16(1)</w:t>
      </w:r>
      <w:r w:rsidRPr="00D13F1B">
        <w:rPr>
          <w:noProof/>
          <w:lang w:val="en-US"/>
        </w:rPr>
        <w:t xml:space="preserve">(153):153. </w:t>
      </w:r>
    </w:p>
    <w:p w14:paraId="13E4A63B" w14:textId="468EAA17" w:rsidR="001336C2" w:rsidRPr="001336C2" w:rsidRDefault="001336C2" w:rsidP="001336C2">
      <w:pPr>
        <w:widowControl w:val="0"/>
        <w:autoSpaceDE w:val="0"/>
        <w:autoSpaceDN w:val="0"/>
        <w:adjustRightInd w:val="0"/>
        <w:spacing w:before="100" w:after="100"/>
        <w:ind w:left="640" w:hanging="640"/>
        <w:rPr>
          <w:noProof/>
        </w:rPr>
      </w:pPr>
      <w:r w:rsidRPr="00D13F1B">
        <w:rPr>
          <w:noProof/>
          <w:lang w:val="en-US"/>
        </w:rPr>
        <w:t xml:space="preserve">24. </w:t>
      </w:r>
      <w:r w:rsidRPr="00D13F1B">
        <w:rPr>
          <w:noProof/>
          <w:lang w:val="en-US"/>
        </w:rPr>
        <w:tab/>
        <w:t xml:space="preserve">Dangouloff T, Hiligsmann M, Deconinck N, D’Amico A, Seferian AM, Boemer F, et al. Financial cost and quality of life of patients with spinal muscular atrophy identified by symptoms or newborn screening. </w:t>
      </w:r>
      <w:r w:rsidRPr="001336C2">
        <w:rPr>
          <w:i/>
          <w:iCs/>
          <w:noProof/>
        </w:rPr>
        <w:t>Dev Med Child Neurol</w:t>
      </w:r>
      <w:r w:rsidRPr="001336C2">
        <w:rPr>
          <w:noProof/>
        </w:rPr>
        <w:t xml:space="preserve"> 2023;</w:t>
      </w:r>
      <w:r w:rsidRPr="001336C2">
        <w:rPr>
          <w:b/>
          <w:bCs/>
          <w:noProof/>
        </w:rPr>
        <w:t>65</w:t>
      </w:r>
      <w:r w:rsidRPr="001336C2">
        <w:rPr>
          <w:noProof/>
        </w:rPr>
        <w:t xml:space="preserve">(1):67–77. </w:t>
      </w:r>
    </w:p>
    <w:p w14:paraId="45C9DC6E" w14:textId="77777777" w:rsidR="001336C2" w:rsidRPr="00D13F1B" w:rsidRDefault="001336C2" w:rsidP="001336C2">
      <w:pPr>
        <w:widowControl w:val="0"/>
        <w:autoSpaceDE w:val="0"/>
        <w:autoSpaceDN w:val="0"/>
        <w:adjustRightInd w:val="0"/>
        <w:spacing w:before="100" w:after="100"/>
        <w:ind w:left="640" w:hanging="640"/>
        <w:rPr>
          <w:noProof/>
          <w:lang w:val="en-US"/>
        </w:rPr>
      </w:pPr>
      <w:r w:rsidRPr="001336C2">
        <w:rPr>
          <w:noProof/>
        </w:rPr>
        <w:t xml:space="preserve">25. </w:t>
      </w:r>
      <w:r w:rsidRPr="001336C2">
        <w:rPr>
          <w:noProof/>
        </w:rPr>
        <w:tab/>
        <w:t xml:space="preserve">INAMI. Honoraires, prix et remboursements [Internet]. </w:t>
      </w:r>
      <w:r w:rsidRPr="00D13F1B">
        <w:rPr>
          <w:noProof/>
          <w:lang w:val="en-US"/>
        </w:rPr>
        <w:t xml:space="preserve">30/03/2023. 2023. </w:t>
      </w:r>
    </w:p>
    <w:p w14:paraId="6C1A4E3C" w14:textId="6A201E14"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26. </w:t>
      </w:r>
      <w:r w:rsidRPr="00D13F1B">
        <w:rPr>
          <w:noProof/>
          <w:lang w:val="en-US"/>
        </w:rPr>
        <w:tab/>
        <w:t xml:space="preserve">Deng S, Lee BH, Ciafaloni E. Parent Perceptions in Choosing Treatment for Infants With Spinal Muscular Atrophy Diagnosed Through Newborn Screening. </w:t>
      </w:r>
      <w:r w:rsidRPr="00D13F1B">
        <w:rPr>
          <w:i/>
          <w:iCs/>
          <w:noProof/>
          <w:lang w:val="en-US"/>
        </w:rPr>
        <w:t>J Child Neurol</w:t>
      </w:r>
      <w:r w:rsidRPr="00D13F1B">
        <w:rPr>
          <w:noProof/>
          <w:lang w:val="en-US"/>
        </w:rPr>
        <w:t xml:space="preserve"> 2022;</w:t>
      </w:r>
      <w:r w:rsidRPr="00D13F1B">
        <w:rPr>
          <w:b/>
          <w:bCs/>
          <w:noProof/>
          <w:lang w:val="en-US"/>
        </w:rPr>
        <w:t>37</w:t>
      </w:r>
      <w:r w:rsidRPr="00D13F1B">
        <w:rPr>
          <w:noProof/>
          <w:lang w:val="en-US"/>
        </w:rPr>
        <w:t xml:space="preserve">(1):43–9. </w:t>
      </w:r>
    </w:p>
    <w:p w14:paraId="483851AD" w14:textId="37184CF4"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27. </w:t>
      </w:r>
      <w:r w:rsidRPr="00D13F1B">
        <w:rPr>
          <w:noProof/>
          <w:lang w:val="en-US"/>
        </w:rPr>
        <w:tab/>
        <w:t xml:space="preserve">Erdos J, Wild C. Mid- and long-term (at least 12 months) follow-up of patients with spinal muscular atrophy (SMA) treated with nusinersen, onasemnogene abeparvovec, risdiplam or combination therapies: A systematic review of real-world study data. </w:t>
      </w:r>
      <w:r w:rsidRPr="00D13F1B">
        <w:rPr>
          <w:i/>
          <w:iCs/>
          <w:noProof/>
          <w:lang w:val="en-US"/>
        </w:rPr>
        <w:t xml:space="preserve">Eur J Paediatr Neurol </w:t>
      </w:r>
      <w:r w:rsidRPr="00D13F1B">
        <w:rPr>
          <w:noProof/>
          <w:lang w:val="en-US"/>
        </w:rPr>
        <w:t>2022;</w:t>
      </w:r>
      <w:r w:rsidRPr="00D13F1B">
        <w:rPr>
          <w:b/>
          <w:bCs/>
          <w:noProof/>
          <w:lang w:val="en-US"/>
        </w:rPr>
        <w:t>39</w:t>
      </w:r>
      <w:r w:rsidRPr="00D13F1B">
        <w:rPr>
          <w:noProof/>
          <w:lang w:val="en-US"/>
        </w:rPr>
        <w:t xml:space="preserve">:1–10. </w:t>
      </w:r>
    </w:p>
    <w:p w14:paraId="33A239AF" w14:textId="18668F41" w:rsidR="001336C2" w:rsidRPr="00D13F1B" w:rsidRDefault="001336C2" w:rsidP="001336C2">
      <w:pPr>
        <w:widowControl w:val="0"/>
        <w:autoSpaceDE w:val="0"/>
        <w:autoSpaceDN w:val="0"/>
        <w:adjustRightInd w:val="0"/>
        <w:spacing w:before="100" w:after="100"/>
        <w:ind w:left="640" w:hanging="640"/>
        <w:rPr>
          <w:noProof/>
          <w:lang w:val="nl-NL"/>
        </w:rPr>
      </w:pPr>
      <w:r w:rsidRPr="00D13F1B">
        <w:rPr>
          <w:noProof/>
          <w:lang w:val="en-US"/>
        </w:rPr>
        <w:t xml:space="preserve">28. </w:t>
      </w:r>
      <w:r w:rsidRPr="00D13F1B">
        <w:rPr>
          <w:noProof/>
          <w:lang w:val="en-US"/>
        </w:rPr>
        <w:tab/>
        <w:t xml:space="preserve">Cleemput I, Neyt M, Thiry N, De Laet C, Leys M. Threshold values for cost-effectiveness in health care. </w:t>
      </w:r>
      <w:r w:rsidR="00C429CA">
        <w:rPr>
          <w:noProof/>
          <w:lang w:val="en-US"/>
        </w:rPr>
        <w:t xml:space="preserve">KCE Reports </w:t>
      </w:r>
      <w:r w:rsidRPr="00D13F1B">
        <w:rPr>
          <w:noProof/>
          <w:lang w:val="nl-NL"/>
        </w:rPr>
        <w:t xml:space="preserve">2008. </w:t>
      </w:r>
    </w:p>
    <w:p w14:paraId="718BAE43" w14:textId="31926FC7" w:rsidR="001336C2" w:rsidRPr="001336C2" w:rsidRDefault="001336C2" w:rsidP="001336C2">
      <w:pPr>
        <w:widowControl w:val="0"/>
        <w:autoSpaceDE w:val="0"/>
        <w:autoSpaceDN w:val="0"/>
        <w:adjustRightInd w:val="0"/>
        <w:spacing w:before="100" w:after="100"/>
        <w:ind w:left="640" w:hanging="640"/>
        <w:rPr>
          <w:noProof/>
        </w:rPr>
      </w:pPr>
      <w:r w:rsidRPr="00D13F1B">
        <w:rPr>
          <w:noProof/>
          <w:lang w:val="nl-NL"/>
        </w:rPr>
        <w:t xml:space="preserve">29. </w:t>
      </w:r>
      <w:r w:rsidRPr="00D13F1B">
        <w:rPr>
          <w:noProof/>
          <w:lang w:val="nl-NL"/>
        </w:rPr>
        <w:tab/>
        <w:t xml:space="preserve">Loeber JG, Platis D, Zetterström RH, Almashanu S, Boemer F, Bonham JR, et al. </w:t>
      </w:r>
      <w:r w:rsidRPr="00D13F1B">
        <w:rPr>
          <w:noProof/>
          <w:lang w:val="en-US"/>
        </w:rPr>
        <w:t xml:space="preserve">Neonatal Screening in Europe Revisited: An ISNS Perspective on the Current State and Developments Since 2010. </w:t>
      </w:r>
      <w:r w:rsidRPr="001336C2">
        <w:rPr>
          <w:i/>
          <w:iCs/>
          <w:noProof/>
        </w:rPr>
        <w:t>Int J neonatal Screen</w:t>
      </w:r>
      <w:r w:rsidRPr="001336C2">
        <w:rPr>
          <w:noProof/>
        </w:rPr>
        <w:t xml:space="preserve"> 2021;</w:t>
      </w:r>
      <w:r w:rsidRPr="001336C2">
        <w:rPr>
          <w:b/>
          <w:bCs/>
          <w:noProof/>
        </w:rPr>
        <w:t>7</w:t>
      </w:r>
      <w:r w:rsidRPr="001336C2">
        <w:rPr>
          <w:noProof/>
        </w:rPr>
        <w:t xml:space="preserve">(1). </w:t>
      </w:r>
    </w:p>
    <w:p w14:paraId="16A92951" w14:textId="77777777" w:rsidR="001336C2" w:rsidRPr="001336C2" w:rsidRDefault="001336C2" w:rsidP="001336C2">
      <w:pPr>
        <w:widowControl w:val="0"/>
        <w:autoSpaceDE w:val="0"/>
        <w:autoSpaceDN w:val="0"/>
        <w:adjustRightInd w:val="0"/>
        <w:spacing w:before="100" w:after="100"/>
        <w:ind w:left="640" w:hanging="640"/>
        <w:rPr>
          <w:noProof/>
        </w:rPr>
      </w:pPr>
      <w:r w:rsidRPr="001336C2">
        <w:rPr>
          <w:noProof/>
        </w:rPr>
        <w:t xml:space="preserve">30. </w:t>
      </w:r>
      <w:r w:rsidRPr="001336C2">
        <w:rPr>
          <w:noProof/>
        </w:rPr>
        <w:tab/>
        <w:t xml:space="preserve">Haute Autorité de santé, LASSERRE Andrea, NAOUR Nadia ZP. Critères d’évaluation pour l’intégration de nouvelles maladies au programme national du dépistage à la naissance [Internet]. 16/03/2023. 2023. </w:t>
      </w:r>
    </w:p>
    <w:p w14:paraId="72A2CE55" w14:textId="77777777" w:rsidR="001336C2" w:rsidRPr="001336C2" w:rsidRDefault="001336C2" w:rsidP="001336C2">
      <w:pPr>
        <w:widowControl w:val="0"/>
        <w:autoSpaceDE w:val="0"/>
        <w:autoSpaceDN w:val="0"/>
        <w:adjustRightInd w:val="0"/>
        <w:spacing w:before="100" w:after="100"/>
        <w:ind w:left="640" w:hanging="640"/>
        <w:rPr>
          <w:noProof/>
        </w:rPr>
      </w:pPr>
      <w:r w:rsidRPr="001336C2">
        <w:rPr>
          <w:noProof/>
        </w:rPr>
        <w:t xml:space="preserve">31. </w:t>
      </w:r>
      <w:r w:rsidRPr="001336C2">
        <w:rPr>
          <w:noProof/>
        </w:rPr>
        <w:tab/>
        <w:t xml:space="preserve">Chris DL, Germaine H, Erik H. Dépistage néonatal sanguin : analyse de décision multicritère pour sélectionner les maladies prioritaires. KCE Reports. Bruxelles: Centre Fédéral d’Expertise des Soins de Santé (KCE); 2016. </w:t>
      </w:r>
    </w:p>
    <w:p w14:paraId="6AD27EC6" w14:textId="59D703DA"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32. </w:t>
      </w:r>
      <w:r w:rsidRPr="00D13F1B">
        <w:rPr>
          <w:noProof/>
          <w:lang w:val="en-US"/>
        </w:rPr>
        <w:tab/>
        <w:t xml:space="preserve">Tiwana SK, Rascati KL, Park H. Cost-effectiveness of expanded newborn screening in Texas. </w:t>
      </w:r>
      <w:r w:rsidRPr="00D13F1B">
        <w:rPr>
          <w:i/>
          <w:iCs/>
          <w:noProof/>
          <w:lang w:val="en-US"/>
        </w:rPr>
        <w:t>Value Heal J Int Soc Pharmacoeconomics Outcomes Res</w:t>
      </w:r>
      <w:r w:rsidRPr="00D13F1B">
        <w:rPr>
          <w:noProof/>
          <w:lang w:val="en-US"/>
        </w:rPr>
        <w:t xml:space="preserve"> 2012;</w:t>
      </w:r>
      <w:r w:rsidRPr="00D13F1B">
        <w:rPr>
          <w:b/>
          <w:bCs/>
          <w:noProof/>
          <w:lang w:val="en-US"/>
        </w:rPr>
        <w:t>15</w:t>
      </w:r>
      <w:r w:rsidRPr="00D13F1B">
        <w:rPr>
          <w:noProof/>
          <w:lang w:val="en-US"/>
        </w:rPr>
        <w:t xml:space="preserve">(5):613–21. </w:t>
      </w:r>
    </w:p>
    <w:p w14:paraId="2856615A" w14:textId="28BBA4E1" w:rsidR="001336C2" w:rsidRPr="00D13F1B" w:rsidRDefault="001336C2" w:rsidP="001336C2">
      <w:pPr>
        <w:widowControl w:val="0"/>
        <w:autoSpaceDE w:val="0"/>
        <w:autoSpaceDN w:val="0"/>
        <w:adjustRightInd w:val="0"/>
        <w:spacing w:before="100" w:after="100"/>
        <w:ind w:left="640" w:hanging="640"/>
        <w:rPr>
          <w:noProof/>
          <w:lang w:val="nl-NL"/>
        </w:rPr>
      </w:pPr>
      <w:r w:rsidRPr="00D13F1B">
        <w:rPr>
          <w:noProof/>
          <w:lang w:val="en-US"/>
        </w:rPr>
        <w:t xml:space="preserve">33. </w:t>
      </w:r>
      <w:r w:rsidRPr="00D13F1B">
        <w:rPr>
          <w:noProof/>
          <w:lang w:val="en-US"/>
        </w:rPr>
        <w:tab/>
        <w:t xml:space="preserve">Chan K, Davis J, Pai S-Y, Bonilla FA, Puck JM, Apkon M. A Markov model to analyze cost-effectiveness of screening for severe combined immunodeficiency (SCID). </w:t>
      </w:r>
      <w:r w:rsidRPr="00D13F1B">
        <w:rPr>
          <w:i/>
          <w:iCs/>
          <w:noProof/>
          <w:lang w:val="nl-NL"/>
        </w:rPr>
        <w:t>Mol Genet Metab</w:t>
      </w:r>
      <w:r w:rsidRPr="00D13F1B">
        <w:rPr>
          <w:noProof/>
          <w:lang w:val="nl-NL"/>
        </w:rPr>
        <w:t xml:space="preserve"> 2011;</w:t>
      </w:r>
      <w:r w:rsidRPr="00D13F1B">
        <w:rPr>
          <w:b/>
          <w:bCs/>
          <w:noProof/>
          <w:lang w:val="nl-NL"/>
        </w:rPr>
        <w:t>104</w:t>
      </w:r>
      <w:r w:rsidRPr="00D13F1B">
        <w:rPr>
          <w:noProof/>
          <w:lang w:val="nl-NL"/>
        </w:rPr>
        <w:t xml:space="preserve">(3):383–9. </w:t>
      </w:r>
    </w:p>
    <w:p w14:paraId="14E17112" w14:textId="41B107AE"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nl-NL"/>
        </w:rPr>
        <w:t xml:space="preserve">34. </w:t>
      </w:r>
      <w:r w:rsidRPr="00D13F1B">
        <w:rPr>
          <w:noProof/>
          <w:lang w:val="nl-NL"/>
        </w:rPr>
        <w:tab/>
        <w:t xml:space="preserve">Van der Ploeg CPB, Blom M, Bredius RGM, van der Burg M, Schielen PCJI, Verkerk PH, et al. </w:t>
      </w:r>
      <w:r w:rsidRPr="00D13F1B">
        <w:rPr>
          <w:noProof/>
          <w:lang w:val="en-US"/>
        </w:rPr>
        <w:t xml:space="preserve">Cost-effectiveness of newborn screening for severe combined immunodeficiency. </w:t>
      </w:r>
      <w:r w:rsidRPr="00D13F1B">
        <w:rPr>
          <w:i/>
          <w:iCs/>
          <w:noProof/>
          <w:lang w:val="en-US"/>
        </w:rPr>
        <w:t>Eur J Pediatr</w:t>
      </w:r>
      <w:r w:rsidRPr="00D13F1B">
        <w:rPr>
          <w:noProof/>
          <w:lang w:val="en-US"/>
        </w:rPr>
        <w:t xml:space="preserve"> 2019;</w:t>
      </w:r>
      <w:r w:rsidRPr="00D13F1B">
        <w:rPr>
          <w:b/>
          <w:bCs/>
          <w:noProof/>
          <w:lang w:val="en-US"/>
        </w:rPr>
        <w:t>178</w:t>
      </w:r>
      <w:r w:rsidRPr="00D13F1B">
        <w:rPr>
          <w:noProof/>
          <w:lang w:val="en-US"/>
        </w:rPr>
        <w:t xml:space="preserve">(5):721–9. </w:t>
      </w:r>
    </w:p>
    <w:p w14:paraId="27BB7BEF" w14:textId="3F80840A"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35. </w:t>
      </w:r>
      <w:r w:rsidRPr="00D13F1B">
        <w:rPr>
          <w:noProof/>
          <w:lang w:val="en-US"/>
        </w:rPr>
        <w:tab/>
        <w:t xml:space="preserve">Markati T, Oskoui M, Farrar MA, Duong T, Goemans N, Servais L. Emerging therapies for Duchenne muscular dystrophy. </w:t>
      </w:r>
      <w:r w:rsidRPr="00D13F1B">
        <w:rPr>
          <w:i/>
          <w:iCs/>
          <w:noProof/>
          <w:lang w:val="en-US"/>
        </w:rPr>
        <w:t>Lancet Neurol</w:t>
      </w:r>
      <w:r w:rsidRPr="00D13F1B">
        <w:rPr>
          <w:noProof/>
          <w:lang w:val="en-US"/>
        </w:rPr>
        <w:t xml:space="preserve"> 2022;</w:t>
      </w:r>
      <w:r w:rsidRPr="00D13F1B">
        <w:rPr>
          <w:b/>
          <w:bCs/>
          <w:noProof/>
          <w:lang w:val="en-US"/>
        </w:rPr>
        <w:t>21</w:t>
      </w:r>
      <w:r w:rsidRPr="00D13F1B">
        <w:rPr>
          <w:noProof/>
          <w:lang w:val="en-US"/>
        </w:rPr>
        <w:t xml:space="preserve">(9):814–29. </w:t>
      </w:r>
    </w:p>
    <w:p w14:paraId="5E8E42BC" w14:textId="405647B4"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36. </w:t>
      </w:r>
      <w:r w:rsidRPr="00D13F1B">
        <w:rPr>
          <w:noProof/>
          <w:lang w:val="en-US"/>
        </w:rPr>
        <w:tab/>
        <w:t xml:space="preserve">Markati T, Duis J, Servais L. Therapies in preclinical and clinical development for Angelman syndrome. </w:t>
      </w:r>
      <w:r w:rsidRPr="00D13F1B">
        <w:rPr>
          <w:i/>
          <w:iCs/>
          <w:noProof/>
          <w:lang w:val="en-US"/>
        </w:rPr>
        <w:t>Expert Opin Investig Drugs</w:t>
      </w:r>
      <w:r w:rsidRPr="00D13F1B">
        <w:rPr>
          <w:noProof/>
          <w:lang w:val="en-US"/>
        </w:rPr>
        <w:t xml:space="preserve"> 2021;</w:t>
      </w:r>
      <w:r w:rsidRPr="00D13F1B">
        <w:rPr>
          <w:b/>
          <w:bCs/>
          <w:noProof/>
          <w:lang w:val="en-US"/>
        </w:rPr>
        <w:t>30</w:t>
      </w:r>
      <w:r w:rsidRPr="00D13F1B">
        <w:rPr>
          <w:noProof/>
          <w:lang w:val="en-US"/>
        </w:rPr>
        <w:t xml:space="preserve">(7):709–20. </w:t>
      </w:r>
    </w:p>
    <w:p w14:paraId="12A30802" w14:textId="67534AC7"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37. </w:t>
      </w:r>
      <w:r w:rsidRPr="00D13F1B">
        <w:rPr>
          <w:noProof/>
          <w:lang w:val="en-US"/>
        </w:rPr>
        <w:tab/>
        <w:t xml:space="preserve">Jensen TL, Gøtzsche CR, Woldbye DPD. Current and Future Prospects for Gene Therapy for Rare Genetic Diseases Affecting the Brain and Spinal Cord. </w:t>
      </w:r>
      <w:r w:rsidRPr="00D13F1B">
        <w:rPr>
          <w:i/>
          <w:iCs/>
          <w:noProof/>
          <w:lang w:val="en-US"/>
        </w:rPr>
        <w:t>Front Mol Neurosci</w:t>
      </w:r>
      <w:r w:rsidRPr="00D13F1B">
        <w:rPr>
          <w:noProof/>
          <w:lang w:val="en-US"/>
        </w:rPr>
        <w:t>. 2021;</w:t>
      </w:r>
      <w:r w:rsidRPr="00D13F1B">
        <w:rPr>
          <w:b/>
          <w:bCs/>
          <w:noProof/>
          <w:lang w:val="en-US"/>
        </w:rPr>
        <w:t>14</w:t>
      </w:r>
      <w:r w:rsidRPr="00D13F1B">
        <w:rPr>
          <w:noProof/>
          <w:lang w:val="en-US"/>
        </w:rPr>
        <w:t xml:space="preserve">:695937. </w:t>
      </w:r>
    </w:p>
    <w:p w14:paraId="1376E2CF" w14:textId="49099696" w:rsidR="001336C2" w:rsidRPr="00D13F1B" w:rsidRDefault="001336C2" w:rsidP="001336C2">
      <w:pPr>
        <w:widowControl w:val="0"/>
        <w:autoSpaceDE w:val="0"/>
        <w:autoSpaceDN w:val="0"/>
        <w:adjustRightInd w:val="0"/>
        <w:spacing w:before="100" w:after="100"/>
        <w:ind w:left="640" w:hanging="640"/>
        <w:rPr>
          <w:noProof/>
          <w:lang w:val="en-US"/>
        </w:rPr>
      </w:pPr>
      <w:r w:rsidRPr="00D13F1B">
        <w:rPr>
          <w:noProof/>
          <w:lang w:val="en-US"/>
        </w:rPr>
        <w:t xml:space="preserve">38. </w:t>
      </w:r>
      <w:r w:rsidRPr="00D13F1B">
        <w:rPr>
          <w:noProof/>
          <w:lang w:val="en-US"/>
        </w:rPr>
        <w:tab/>
        <w:t xml:space="preserve">Aragon-Gawinska K, Moureaux C, Dangouloff T, Servais L. Spinal muscular atrophy treatment in patients identified by newborn screening – a systematic review. </w:t>
      </w:r>
      <w:r w:rsidR="0017531E">
        <w:rPr>
          <w:i/>
          <w:iCs/>
          <w:noProof/>
          <w:lang w:val="en-US"/>
        </w:rPr>
        <w:t xml:space="preserve">Genes </w:t>
      </w:r>
      <w:r w:rsidR="0017531E">
        <w:rPr>
          <w:noProof/>
          <w:lang w:val="en-US"/>
        </w:rPr>
        <w:t>2023</w:t>
      </w:r>
      <w:r w:rsidR="0017531E" w:rsidRPr="00C01113">
        <w:rPr>
          <w:noProof/>
          <w:lang w:val="en-US"/>
        </w:rPr>
        <w:t>;</w:t>
      </w:r>
      <w:r w:rsidR="0017531E" w:rsidRPr="00C01113">
        <w:rPr>
          <w:i/>
          <w:iCs/>
          <w:noProof/>
          <w:lang w:val="en-US"/>
        </w:rPr>
        <w:t xml:space="preserve"> </w:t>
      </w:r>
      <w:r w:rsidR="00E20646" w:rsidRPr="00C01113">
        <w:rPr>
          <w:b/>
          <w:bCs/>
          <w:noProof/>
          <w:lang w:val="en-US"/>
        </w:rPr>
        <w:t>14</w:t>
      </w:r>
      <w:r w:rsidR="00E20646" w:rsidRPr="00C01113">
        <w:rPr>
          <w:noProof/>
          <w:lang w:val="en-US"/>
        </w:rPr>
        <w:t>, 1377</w:t>
      </w:r>
      <w:r w:rsidRPr="00C01113">
        <w:rPr>
          <w:noProof/>
          <w:lang w:val="en-US"/>
        </w:rPr>
        <w:t>.</w:t>
      </w:r>
      <w:r w:rsidRPr="00D13F1B">
        <w:rPr>
          <w:noProof/>
          <w:lang w:val="en-US"/>
        </w:rPr>
        <w:t xml:space="preserve"> </w:t>
      </w:r>
    </w:p>
    <w:p w14:paraId="52E7EDE0" w14:textId="0FE2DC4D" w:rsidR="001336C2" w:rsidRPr="001336C2" w:rsidRDefault="001336C2" w:rsidP="001336C2">
      <w:pPr>
        <w:widowControl w:val="0"/>
        <w:autoSpaceDE w:val="0"/>
        <w:autoSpaceDN w:val="0"/>
        <w:adjustRightInd w:val="0"/>
        <w:spacing w:before="100" w:after="100"/>
        <w:ind w:left="640" w:hanging="640"/>
        <w:rPr>
          <w:noProof/>
        </w:rPr>
      </w:pPr>
      <w:r w:rsidRPr="00D13F1B">
        <w:rPr>
          <w:noProof/>
          <w:lang w:val="it-CH"/>
        </w:rPr>
        <w:t xml:space="preserve">39. </w:t>
      </w:r>
      <w:r w:rsidRPr="00D13F1B">
        <w:rPr>
          <w:noProof/>
          <w:lang w:val="it-CH"/>
        </w:rPr>
        <w:tab/>
        <w:t xml:space="preserve">Pera MC, Coratti G, Berti B, D’Amico A, Sframeli M, Albamonte E, et al. </w:t>
      </w:r>
      <w:r w:rsidRPr="00D13F1B">
        <w:rPr>
          <w:noProof/>
          <w:lang w:val="en-US"/>
        </w:rPr>
        <w:t xml:space="preserve">Diagnostic journey in Spinal Muscular Atrophy: Is it still an odyssey? </w:t>
      </w:r>
      <w:r w:rsidRPr="001336C2">
        <w:rPr>
          <w:i/>
          <w:iCs/>
          <w:noProof/>
        </w:rPr>
        <w:t>PLoS One</w:t>
      </w:r>
      <w:r w:rsidRPr="001336C2">
        <w:rPr>
          <w:noProof/>
        </w:rPr>
        <w:t xml:space="preserve"> 2020;</w:t>
      </w:r>
      <w:r w:rsidRPr="001336C2">
        <w:rPr>
          <w:b/>
          <w:bCs/>
          <w:noProof/>
        </w:rPr>
        <w:t>15</w:t>
      </w:r>
      <w:r w:rsidRPr="001336C2">
        <w:rPr>
          <w:noProof/>
        </w:rPr>
        <w:t xml:space="preserve">(3):e0230677. </w:t>
      </w:r>
    </w:p>
    <w:p w14:paraId="1DF6DEE3" w14:textId="716497EC" w:rsidR="00786AD6" w:rsidRDefault="00317A09" w:rsidP="001336C2">
      <w:pPr>
        <w:widowControl w:val="0"/>
        <w:autoSpaceDE w:val="0"/>
        <w:autoSpaceDN w:val="0"/>
        <w:adjustRightInd w:val="0"/>
        <w:spacing w:before="100" w:after="100"/>
        <w:ind w:left="640" w:hanging="640"/>
      </w:pPr>
      <w:r w:rsidRPr="00E96FA8">
        <w:fldChar w:fldCharType="end"/>
      </w:r>
    </w:p>
    <w:p w14:paraId="3B253C4F" w14:textId="77777777" w:rsidR="00786AD6" w:rsidRDefault="00786AD6">
      <w:r>
        <w:br w:type="page"/>
      </w:r>
    </w:p>
    <w:p w14:paraId="3BA2D8D1" w14:textId="77777777" w:rsidR="000D446F" w:rsidRPr="00E96FA8" w:rsidRDefault="000D446F" w:rsidP="001336C2">
      <w:pPr>
        <w:widowControl w:val="0"/>
        <w:autoSpaceDE w:val="0"/>
        <w:autoSpaceDN w:val="0"/>
        <w:adjustRightInd w:val="0"/>
        <w:spacing w:before="100" w:after="100"/>
        <w:ind w:left="640" w:hanging="640"/>
      </w:pPr>
    </w:p>
    <w:tbl>
      <w:tblPr>
        <w:tblStyle w:val="Grilledutableau"/>
        <w:tblW w:w="8217" w:type="dxa"/>
        <w:tblLook w:val="04A0" w:firstRow="1" w:lastRow="0" w:firstColumn="1" w:lastColumn="0" w:noHBand="0" w:noVBand="1"/>
      </w:tblPr>
      <w:tblGrid>
        <w:gridCol w:w="1661"/>
        <w:gridCol w:w="1584"/>
        <w:gridCol w:w="2060"/>
        <w:gridCol w:w="1636"/>
        <w:gridCol w:w="1276"/>
      </w:tblGrid>
      <w:tr w:rsidR="000D446F" w:rsidRPr="00BA2BB8" w14:paraId="7A5B1C62" w14:textId="77777777" w:rsidTr="00E77343">
        <w:tc>
          <w:tcPr>
            <w:tcW w:w="1661" w:type="dxa"/>
            <w:tcBorders>
              <w:bottom w:val="single" w:sz="4" w:space="0" w:color="auto"/>
            </w:tcBorders>
            <w:shd w:val="clear" w:color="auto" w:fill="D9D9D9" w:themeFill="background1" w:themeFillShade="D9"/>
          </w:tcPr>
          <w:p w14:paraId="22D17CF7" w14:textId="77777777" w:rsidR="000D446F" w:rsidRPr="005D6A44" w:rsidRDefault="000D446F" w:rsidP="00E77343">
            <w:pPr>
              <w:pStyle w:val="NormalWeb"/>
              <w:spacing w:before="0" w:beforeAutospacing="0" w:after="0" w:afterAutospacing="0"/>
              <w:rPr>
                <w:rFonts w:ascii="Arial" w:hAnsi="Arial" w:cs="Arial"/>
                <w:b/>
                <w:bCs/>
                <w:sz w:val="20"/>
                <w:szCs w:val="20"/>
                <w:lang w:val="en-US"/>
              </w:rPr>
            </w:pPr>
            <w:r w:rsidRPr="005D6A44">
              <w:rPr>
                <w:rFonts w:ascii="Arial" w:hAnsi="Arial" w:cs="Arial"/>
                <w:b/>
                <w:bCs/>
                <w:sz w:val="20"/>
                <w:szCs w:val="20"/>
                <w:lang w:val="en-US"/>
              </w:rPr>
              <w:t>Treatment</w:t>
            </w:r>
          </w:p>
        </w:tc>
        <w:tc>
          <w:tcPr>
            <w:tcW w:w="1584" w:type="dxa"/>
            <w:shd w:val="clear" w:color="auto" w:fill="D9D9D9" w:themeFill="background1" w:themeFillShade="D9"/>
          </w:tcPr>
          <w:p w14:paraId="59B3C2AE" w14:textId="77777777" w:rsidR="000D446F" w:rsidRPr="001C73F6" w:rsidRDefault="000D446F" w:rsidP="00E77343">
            <w:pPr>
              <w:pStyle w:val="NormalWeb"/>
              <w:spacing w:before="0" w:beforeAutospacing="0" w:after="0" w:afterAutospacing="0"/>
              <w:jc w:val="center"/>
              <w:rPr>
                <w:rFonts w:ascii="Arial" w:hAnsi="Arial" w:cs="Arial"/>
                <w:b/>
                <w:bCs/>
                <w:i/>
                <w:iCs/>
                <w:sz w:val="20"/>
                <w:szCs w:val="20"/>
                <w:lang w:val="en-US"/>
              </w:rPr>
            </w:pPr>
            <w:r w:rsidRPr="001C73F6">
              <w:rPr>
                <w:rFonts w:ascii="Arial" w:hAnsi="Arial" w:cs="Arial"/>
                <w:b/>
                <w:bCs/>
                <w:sz w:val="20"/>
                <w:szCs w:val="20"/>
                <w:lang w:val="en-US"/>
              </w:rPr>
              <w:t>Treatment cost</w:t>
            </w:r>
          </w:p>
        </w:tc>
        <w:tc>
          <w:tcPr>
            <w:tcW w:w="2060" w:type="dxa"/>
            <w:shd w:val="clear" w:color="auto" w:fill="D9D9D9" w:themeFill="background1" w:themeFillShade="D9"/>
          </w:tcPr>
          <w:p w14:paraId="60407AD4" w14:textId="77777777" w:rsidR="000D446F" w:rsidRPr="001C73F6" w:rsidRDefault="000D446F" w:rsidP="00E77343">
            <w:pPr>
              <w:pStyle w:val="NormalWeb"/>
              <w:spacing w:before="0" w:beforeAutospacing="0" w:after="0" w:afterAutospacing="0"/>
              <w:jc w:val="center"/>
              <w:rPr>
                <w:rFonts w:ascii="Arial" w:hAnsi="Arial" w:cs="Arial"/>
                <w:b/>
                <w:bCs/>
                <w:i/>
                <w:iCs/>
                <w:sz w:val="20"/>
                <w:szCs w:val="20"/>
                <w:lang w:val="en-US"/>
              </w:rPr>
            </w:pPr>
            <w:r w:rsidRPr="001C73F6">
              <w:rPr>
                <w:rFonts w:ascii="Arial" w:hAnsi="Arial" w:cs="Arial"/>
                <w:b/>
                <w:bCs/>
                <w:sz w:val="20"/>
                <w:szCs w:val="20"/>
                <w:lang w:val="en-US"/>
              </w:rPr>
              <w:t xml:space="preserve">Administration cost </w:t>
            </w:r>
            <w:r w:rsidRPr="001C73F6">
              <w:rPr>
                <w:rFonts w:ascii="Arial" w:hAnsi="Arial" w:cs="Arial"/>
                <w:b/>
                <w:bCs/>
                <w:sz w:val="20"/>
                <w:szCs w:val="20"/>
                <w:vertAlign w:val="superscript"/>
                <w:lang w:val="en-US"/>
              </w:rPr>
              <w:t>a</w:t>
            </w:r>
          </w:p>
        </w:tc>
        <w:tc>
          <w:tcPr>
            <w:tcW w:w="1636" w:type="dxa"/>
            <w:tcBorders>
              <w:top w:val="nil"/>
              <w:bottom w:val="nil"/>
              <w:right w:val="nil"/>
            </w:tcBorders>
          </w:tcPr>
          <w:p w14:paraId="24B50D41" w14:textId="77777777" w:rsidR="000D446F" w:rsidRPr="005D6A44" w:rsidRDefault="000D446F" w:rsidP="00E77343">
            <w:pPr>
              <w:pStyle w:val="NormalWeb"/>
              <w:spacing w:before="0" w:beforeAutospacing="0" w:after="0" w:afterAutospacing="0"/>
              <w:rPr>
                <w:rFonts w:ascii="Arial" w:hAnsi="Arial" w:cs="Arial"/>
                <w:sz w:val="20"/>
                <w:szCs w:val="20"/>
                <w:lang w:val="en-US"/>
              </w:rPr>
            </w:pPr>
          </w:p>
        </w:tc>
        <w:tc>
          <w:tcPr>
            <w:tcW w:w="1276" w:type="dxa"/>
            <w:tcBorders>
              <w:top w:val="nil"/>
              <w:left w:val="nil"/>
              <w:bottom w:val="nil"/>
              <w:right w:val="nil"/>
            </w:tcBorders>
          </w:tcPr>
          <w:p w14:paraId="50CA4237" w14:textId="77777777" w:rsidR="000D446F" w:rsidRPr="005D6A44" w:rsidRDefault="000D446F" w:rsidP="00E77343">
            <w:pPr>
              <w:pStyle w:val="NormalWeb"/>
              <w:spacing w:before="0" w:beforeAutospacing="0" w:after="0" w:afterAutospacing="0"/>
              <w:rPr>
                <w:rFonts w:ascii="Arial" w:hAnsi="Arial" w:cs="Arial"/>
                <w:sz w:val="20"/>
                <w:szCs w:val="20"/>
                <w:lang w:val="en-US"/>
              </w:rPr>
            </w:pPr>
          </w:p>
        </w:tc>
      </w:tr>
      <w:tr w:rsidR="000D446F" w:rsidRPr="005D6A44" w14:paraId="085B12E8" w14:textId="77777777" w:rsidTr="00E77343">
        <w:tc>
          <w:tcPr>
            <w:tcW w:w="1661" w:type="dxa"/>
            <w:shd w:val="clear" w:color="auto" w:fill="D9D9D9" w:themeFill="background1" w:themeFillShade="D9"/>
          </w:tcPr>
          <w:p w14:paraId="145CC4BB"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Nusinersen</w:t>
            </w:r>
          </w:p>
        </w:tc>
        <w:tc>
          <w:tcPr>
            <w:tcW w:w="1584" w:type="dxa"/>
          </w:tcPr>
          <w:p w14:paraId="45F3E76A"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88,300</w:t>
            </w:r>
            <w:r w:rsidRPr="005D6A44">
              <w:rPr>
                <w:rFonts w:ascii="Arial" w:hAnsi="Arial" w:cs="Arial"/>
                <w:i/>
                <w:iCs/>
                <w:sz w:val="20"/>
                <w:szCs w:val="20"/>
                <w:lang w:val="en-US"/>
              </w:rPr>
              <w:t xml:space="preserve"> per injection </w:t>
            </w:r>
            <w:r>
              <w:rPr>
                <w:rFonts w:ascii="Arial" w:hAnsi="Arial" w:cs="Arial"/>
                <w:i/>
                <w:iCs/>
                <w:sz w:val="20"/>
                <w:szCs w:val="20"/>
                <w:lang w:val="en-US"/>
              </w:rPr>
              <w:t>(</w:t>
            </w:r>
            <w:r w:rsidRPr="005D6A44">
              <w:rPr>
                <w:rFonts w:ascii="Arial" w:hAnsi="Arial" w:cs="Arial"/>
                <w:i/>
                <w:iCs/>
                <w:sz w:val="20"/>
                <w:szCs w:val="20"/>
                <w:lang w:val="en-US"/>
              </w:rPr>
              <w:t xml:space="preserve">6 </w:t>
            </w:r>
            <w:r>
              <w:rPr>
                <w:rFonts w:ascii="Arial" w:hAnsi="Arial" w:cs="Arial"/>
                <w:i/>
                <w:iCs/>
                <w:sz w:val="20"/>
                <w:szCs w:val="20"/>
                <w:lang w:val="en-US"/>
              </w:rPr>
              <w:t xml:space="preserve">in </w:t>
            </w:r>
            <w:r w:rsidRPr="005D6A44">
              <w:rPr>
                <w:rFonts w:ascii="Arial" w:hAnsi="Arial" w:cs="Arial"/>
                <w:i/>
                <w:iCs/>
                <w:sz w:val="20"/>
                <w:szCs w:val="20"/>
                <w:lang w:val="en-US"/>
              </w:rPr>
              <w:t>first year and 3</w:t>
            </w:r>
            <w:r>
              <w:rPr>
                <w:rFonts w:ascii="Arial" w:hAnsi="Arial" w:cs="Arial"/>
                <w:i/>
                <w:iCs/>
                <w:sz w:val="20"/>
                <w:szCs w:val="20"/>
                <w:lang w:val="en-US"/>
              </w:rPr>
              <w:t>/</w:t>
            </w:r>
            <w:r w:rsidRPr="005D6A44">
              <w:rPr>
                <w:rFonts w:ascii="Arial" w:hAnsi="Arial" w:cs="Arial"/>
                <w:i/>
                <w:iCs/>
                <w:sz w:val="20"/>
                <w:szCs w:val="20"/>
                <w:lang w:val="en-US"/>
              </w:rPr>
              <w:t xml:space="preserve">year </w:t>
            </w:r>
            <w:r>
              <w:rPr>
                <w:rFonts w:ascii="Arial" w:hAnsi="Arial" w:cs="Arial"/>
                <w:i/>
                <w:iCs/>
                <w:sz w:val="20"/>
                <w:szCs w:val="20"/>
                <w:lang w:val="en-US"/>
              </w:rPr>
              <w:t>there</w:t>
            </w:r>
            <w:r w:rsidRPr="005D6A44">
              <w:rPr>
                <w:rFonts w:ascii="Arial" w:hAnsi="Arial" w:cs="Arial"/>
                <w:i/>
                <w:iCs/>
                <w:sz w:val="20"/>
                <w:szCs w:val="20"/>
                <w:lang w:val="en-US"/>
              </w:rPr>
              <w:t>after)</w:t>
            </w:r>
          </w:p>
        </w:tc>
        <w:tc>
          <w:tcPr>
            <w:tcW w:w="2060" w:type="dxa"/>
          </w:tcPr>
          <w:p w14:paraId="3901B12A"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255</w:t>
            </w:r>
            <w:r w:rsidRPr="005D6A44">
              <w:rPr>
                <w:rFonts w:ascii="Arial" w:hAnsi="Arial" w:cs="Arial"/>
                <w:i/>
                <w:iCs/>
                <w:sz w:val="20"/>
                <w:szCs w:val="20"/>
                <w:lang w:val="en-US"/>
              </w:rPr>
              <w:t xml:space="preserve"> </w:t>
            </w:r>
            <w:r>
              <w:rPr>
                <w:rFonts w:ascii="Arial" w:hAnsi="Arial" w:cs="Arial"/>
                <w:i/>
                <w:iCs/>
                <w:sz w:val="20"/>
                <w:szCs w:val="20"/>
                <w:lang w:val="en-US"/>
              </w:rPr>
              <w:t>per</w:t>
            </w:r>
            <w:r w:rsidRPr="005D6A44">
              <w:rPr>
                <w:rFonts w:ascii="Arial" w:hAnsi="Arial" w:cs="Arial"/>
                <w:i/>
                <w:iCs/>
                <w:sz w:val="20"/>
                <w:szCs w:val="20"/>
                <w:lang w:val="en-US"/>
              </w:rPr>
              <w:t xml:space="preserve"> injection</w:t>
            </w:r>
          </w:p>
        </w:tc>
        <w:tc>
          <w:tcPr>
            <w:tcW w:w="1636" w:type="dxa"/>
            <w:tcBorders>
              <w:top w:val="nil"/>
              <w:bottom w:val="nil"/>
              <w:right w:val="nil"/>
            </w:tcBorders>
          </w:tcPr>
          <w:p w14:paraId="10F66211"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c>
          <w:tcPr>
            <w:tcW w:w="1276" w:type="dxa"/>
            <w:tcBorders>
              <w:top w:val="nil"/>
              <w:left w:val="nil"/>
              <w:bottom w:val="nil"/>
              <w:right w:val="nil"/>
            </w:tcBorders>
          </w:tcPr>
          <w:p w14:paraId="571CD66E"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r>
      <w:tr w:rsidR="000D446F" w:rsidRPr="005D6A44" w14:paraId="5D596548" w14:textId="77777777" w:rsidTr="00E77343">
        <w:tc>
          <w:tcPr>
            <w:tcW w:w="1661" w:type="dxa"/>
            <w:shd w:val="clear" w:color="auto" w:fill="D9D9D9" w:themeFill="background1" w:themeFillShade="D9"/>
          </w:tcPr>
          <w:p w14:paraId="28F0F2B3" w14:textId="77777777" w:rsidR="000D446F" w:rsidRPr="005D6A44" w:rsidRDefault="000D446F" w:rsidP="00E77343">
            <w:pPr>
              <w:pStyle w:val="NormalWeb"/>
              <w:spacing w:before="0" w:beforeAutospacing="0" w:after="0" w:afterAutospacing="0"/>
              <w:rPr>
                <w:rFonts w:ascii="Arial" w:hAnsi="Arial" w:cs="Arial"/>
                <w:i/>
                <w:iCs/>
                <w:sz w:val="20"/>
                <w:szCs w:val="20"/>
                <w:lang w:val="en-US"/>
              </w:rPr>
            </w:pPr>
            <w:r w:rsidRPr="005D6A44">
              <w:rPr>
                <w:rFonts w:ascii="Arial" w:hAnsi="Arial" w:cs="Arial"/>
                <w:sz w:val="20"/>
                <w:szCs w:val="20"/>
                <w:lang w:val="en-US"/>
              </w:rPr>
              <w:t>Onasemnogene abeparvovec</w:t>
            </w:r>
          </w:p>
        </w:tc>
        <w:tc>
          <w:tcPr>
            <w:tcW w:w="1584" w:type="dxa"/>
          </w:tcPr>
          <w:p w14:paraId="3E9B7B25"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1,873,000</w:t>
            </w:r>
            <w:r w:rsidRPr="005D6A44">
              <w:rPr>
                <w:rFonts w:ascii="Arial" w:hAnsi="Arial" w:cs="Arial"/>
                <w:i/>
                <w:iCs/>
                <w:sz w:val="20"/>
                <w:szCs w:val="20"/>
                <w:lang w:val="en-US"/>
              </w:rPr>
              <w:t xml:space="preserve"> (only one injection)</w:t>
            </w:r>
          </w:p>
        </w:tc>
        <w:tc>
          <w:tcPr>
            <w:tcW w:w="2060" w:type="dxa"/>
          </w:tcPr>
          <w:p w14:paraId="6DD0042B"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2,989</w:t>
            </w:r>
            <w:r w:rsidRPr="005D6A44">
              <w:rPr>
                <w:rFonts w:ascii="Arial" w:hAnsi="Arial" w:cs="Arial"/>
                <w:i/>
                <w:iCs/>
                <w:sz w:val="20"/>
                <w:szCs w:val="20"/>
                <w:lang w:val="en-US"/>
              </w:rPr>
              <w:t xml:space="preserve"> </w:t>
            </w:r>
            <w:r>
              <w:rPr>
                <w:rFonts w:ascii="Arial" w:hAnsi="Arial" w:cs="Arial"/>
                <w:i/>
                <w:iCs/>
                <w:sz w:val="20"/>
                <w:szCs w:val="20"/>
                <w:lang w:val="en-US"/>
              </w:rPr>
              <w:t>per</w:t>
            </w:r>
            <w:r w:rsidRPr="005D6A44">
              <w:rPr>
                <w:rFonts w:ascii="Arial" w:hAnsi="Arial" w:cs="Arial"/>
                <w:i/>
                <w:iCs/>
                <w:sz w:val="20"/>
                <w:szCs w:val="20"/>
                <w:lang w:val="en-US"/>
              </w:rPr>
              <w:t xml:space="preserve"> injection</w:t>
            </w:r>
          </w:p>
        </w:tc>
        <w:tc>
          <w:tcPr>
            <w:tcW w:w="1636" w:type="dxa"/>
            <w:tcBorders>
              <w:top w:val="nil"/>
              <w:bottom w:val="nil"/>
              <w:right w:val="nil"/>
            </w:tcBorders>
          </w:tcPr>
          <w:p w14:paraId="603CDBA2"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c>
          <w:tcPr>
            <w:tcW w:w="1276" w:type="dxa"/>
            <w:tcBorders>
              <w:top w:val="nil"/>
              <w:left w:val="nil"/>
              <w:bottom w:val="nil"/>
              <w:right w:val="nil"/>
            </w:tcBorders>
          </w:tcPr>
          <w:p w14:paraId="19C2B2FD"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r>
      <w:tr w:rsidR="000D446F" w:rsidRPr="005D6A44" w14:paraId="2351EE9E" w14:textId="77777777" w:rsidTr="00E77343">
        <w:tc>
          <w:tcPr>
            <w:tcW w:w="1661" w:type="dxa"/>
            <w:shd w:val="clear" w:color="auto" w:fill="D9D9D9" w:themeFill="background1" w:themeFillShade="D9"/>
          </w:tcPr>
          <w:p w14:paraId="498F5F09"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Risdiplam</w:t>
            </w:r>
          </w:p>
        </w:tc>
        <w:tc>
          <w:tcPr>
            <w:tcW w:w="1584" w:type="dxa"/>
          </w:tcPr>
          <w:p w14:paraId="1C3DBAFB"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289,000</w:t>
            </w:r>
            <w:r w:rsidRPr="005D6A44">
              <w:rPr>
                <w:rFonts w:ascii="Arial" w:hAnsi="Arial" w:cs="Arial"/>
                <w:i/>
                <w:iCs/>
                <w:sz w:val="20"/>
                <w:szCs w:val="20"/>
                <w:lang w:val="en-US"/>
              </w:rPr>
              <w:t xml:space="preserve"> (per year)</w:t>
            </w:r>
          </w:p>
        </w:tc>
        <w:tc>
          <w:tcPr>
            <w:tcW w:w="2060" w:type="dxa"/>
          </w:tcPr>
          <w:p w14:paraId="073AF971"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408</w:t>
            </w:r>
            <w:r w:rsidRPr="005D6A44">
              <w:rPr>
                <w:rFonts w:ascii="Arial" w:hAnsi="Arial" w:cs="Arial"/>
                <w:i/>
                <w:iCs/>
                <w:sz w:val="20"/>
                <w:szCs w:val="20"/>
                <w:lang w:val="en-US"/>
              </w:rPr>
              <w:t xml:space="preserve"> </w:t>
            </w:r>
            <w:r>
              <w:rPr>
                <w:rFonts w:ascii="Arial" w:hAnsi="Arial" w:cs="Arial"/>
                <w:i/>
                <w:iCs/>
                <w:sz w:val="20"/>
                <w:szCs w:val="20"/>
                <w:lang w:val="en-US"/>
              </w:rPr>
              <w:t>per</w:t>
            </w:r>
            <w:r w:rsidRPr="005D6A44">
              <w:rPr>
                <w:rFonts w:ascii="Arial" w:hAnsi="Arial" w:cs="Arial"/>
                <w:i/>
                <w:iCs/>
                <w:sz w:val="20"/>
                <w:szCs w:val="20"/>
                <w:lang w:val="en-US"/>
              </w:rPr>
              <w:t xml:space="preserve"> year</w:t>
            </w:r>
          </w:p>
        </w:tc>
        <w:tc>
          <w:tcPr>
            <w:tcW w:w="1636" w:type="dxa"/>
            <w:tcBorders>
              <w:top w:val="nil"/>
              <w:bottom w:val="nil"/>
              <w:right w:val="nil"/>
            </w:tcBorders>
          </w:tcPr>
          <w:p w14:paraId="7C8017BF"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c>
          <w:tcPr>
            <w:tcW w:w="1276" w:type="dxa"/>
            <w:tcBorders>
              <w:top w:val="nil"/>
              <w:left w:val="nil"/>
              <w:bottom w:val="nil"/>
              <w:right w:val="nil"/>
            </w:tcBorders>
          </w:tcPr>
          <w:p w14:paraId="591C0753"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r>
      <w:tr w:rsidR="000D446F" w:rsidRPr="005D6A44" w14:paraId="198DE9E1" w14:textId="77777777" w:rsidTr="00E77343">
        <w:tc>
          <w:tcPr>
            <w:tcW w:w="1661" w:type="dxa"/>
            <w:shd w:val="clear" w:color="auto" w:fill="D9D9D9" w:themeFill="background1" w:themeFillShade="D9"/>
          </w:tcPr>
          <w:p w14:paraId="193BF9B8" w14:textId="77777777" w:rsidR="000D446F" w:rsidRPr="00C36ABB" w:rsidRDefault="000D446F" w:rsidP="00E77343">
            <w:pPr>
              <w:pStyle w:val="NormalWeb"/>
              <w:spacing w:before="0" w:beforeAutospacing="0" w:after="0" w:afterAutospacing="0"/>
              <w:rPr>
                <w:rFonts w:ascii="Arial" w:hAnsi="Arial" w:cs="Arial"/>
                <w:sz w:val="20"/>
                <w:szCs w:val="20"/>
                <w:lang w:val="en-US"/>
              </w:rPr>
            </w:pPr>
            <w:r w:rsidRPr="00C36ABB">
              <w:rPr>
                <w:rFonts w:ascii="Arial" w:hAnsi="Arial" w:cs="Arial"/>
                <w:sz w:val="20"/>
                <w:szCs w:val="20"/>
                <w:lang w:val="en-US"/>
              </w:rPr>
              <w:t>NBS</w:t>
            </w:r>
          </w:p>
        </w:tc>
        <w:tc>
          <w:tcPr>
            <w:tcW w:w="1584" w:type="dxa"/>
            <w:tcBorders>
              <w:bottom w:val="single" w:sz="4" w:space="0" w:color="auto"/>
            </w:tcBorders>
          </w:tcPr>
          <w:p w14:paraId="2CE7C4E9"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5</w:t>
            </w:r>
            <w:r w:rsidRPr="005D6A44">
              <w:rPr>
                <w:rFonts w:ascii="Arial" w:hAnsi="Arial" w:cs="Arial"/>
                <w:i/>
                <w:iCs/>
                <w:sz w:val="20"/>
                <w:szCs w:val="20"/>
                <w:lang w:val="en-US"/>
              </w:rPr>
              <w:t xml:space="preserve"> </w:t>
            </w:r>
            <w:r>
              <w:rPr>
                <w:rFonts w:ascii="Arial" w:hAnsi="Arial" w:cs="Arial"/>
                <w:i/>
                <w:iCs/>
                <w:sz w:val="20"/>
                <w:szCs w:val="20"/>
                <w:lang w:val="en-US"/>
              </w:rPr>
              <w:t>per</w:t>
            </w:r>
            <w:r w:rsidRPr="005D6A44">
              <w:rPr>
                <w:rFonts w:ascii="Arial" w:hAnsi="Arial" w:cs="Arial"/>
                <w:i/>
                <w:iCs/>
                <w:sz w:val="20"/>
                <w:szCs w:val="20"/>
                <w:lang w:val="en-US"/>
              </w:rPr>
              <w:t xml:space="preserve"> child</w:t>
            </w:r>
          </w:p>
        </w:tc>
        <w:tc>
          <w:tcPr>
            <w:tcW w:w="2060" w:type="dxa"/>
            <w:tcBorders>
              <w:bottom w:val="single" w:sz="4" w:space="0" w:color="auto"/>
            </w:tcBorders>
          </w:tcPr>
          <w:p w14:paraId="5279F9E8"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66,667</w:t>
            </w:r>
            <w:r w:rsidRPr="005D6A44">
              <w:rPr>
                <w:rFonts w:ascii="Arial" w:hAnsi="Arial" w:cs="Arial"/>
                <w:i/>
                <w:iCs/>
                <w:sz w:val="20"/>
                <w:szCs w:val="20"/>
                <w:lang w:val="en-US"/>
              </w:rPr>
              <w:t xml:space="preserve"> </w:t>
            </w:r>
            <w:r>
              <w:rPr>
                <w:rFonts w:ascii="Arial" w:hAnsi="Arial" w:cs="Arial"/>
                <w:i/>
                <w:iCs/>
                <w:sz w:val="20"/>
                <w:szCs w:val="20"/>
                <w:lang w:val="en-US"/>
              </w:rPr>
              <w:t>per</w:t>
            </w:r>
            <w:r w:rsidRPr="005D6A44">
              <w:rPr>
                <w:rFonts w:ascii="Arial" w:hAnsi="Arial" w:cs="Arial"/>
                <w:i/>
                <w:iCs/>
                <w:sz w:val="20"/>
                <w:szCs w:val="20"/>
                <w:lang w:val="en-US"/>
              </w:rPr>
              <w:t xml:space="preserve"> identified 1 child</w:t>
            </w:r>
          </w:p>
        </w:tc>
        <w:tc>
          <w:tcPr>
            <w:tcW w:w="1636" w:type="dxa"/>
            <w:tcBorders>
              <w:top w:val="nil"/>
              <w:bottom w:val="single" w:sz="4" w:space="0" w:color="auto"/>
              <w:right w:val="nil"/>
            </w:tcBorders>
          </w:tcPr>
          <w:p w14:paraId="2C751C43"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c>
          <w:tcPr>
            <w:tcW w:w="1276" w:type="dxa"/>
            <w:tcBorders>
              <w:top w:val="nil"/>
              <w:left w:val="nil"/>
              <w:bottom w:val="single" w:sz="4" w:space="0" w:color="auto"/>
              <w:right w:val="nil"/>
            </w:tcBorders>
          </w:tcPr>
          <w:p w14:paraId="23CA0E28" w14:textId="77777777" w:rsidR="000D446F" w:rsidRPr="005D6A44" w:rsidRDefault="000D446F" w:rsidP="00E77343">
            <w:pPr>
              <w:pStyle w:val="NormalWeb"/>
              <w:spacing w:before="0" w:beforeAutospacing="0" w:after="0" w:afterAutospacing="0"/>
              <w:jc w:val="both"/>
              <w:rPr>
                <w:rFonts w:ascii="Arial" w:hAnsi="Arial" w:cs="Arial"/>
                <w:i/>
                <w:iCs/>
                <w:sz w:val="20"/>
                <w:szCs w:val="20"/>
                <w:lang w:val="en-US"/>
              </w:rPr>
            </w:pPr>
          </w:p>
        </w:tc>
      </w:tr>
      <w:tr w:rsidR="000D446F" w:rsidRPr="005D6A44" w14:paraId="3226C689" w14:textId="77777777" w:rsidTr="00E77343">
        <w:tc>
          <w:tcPr>
            <w:tcW w:w="1661" w:type="dxa"/>
            <w:shd w:val="clear" w:color="auto" w:fill="D9D9D9" w:themeFill="background1" w:themeFillShade="D9"/>
          </w:tcPr>
          <w:p w14:paraId="74520BF1" w14:textId="77777777" w:rsidR="000D446F" w:rsidRPr="005D6A44" w:rsidRDefault="000D446F" w:rsidP="00E77343">
            <w:pPr>
              <w:pStyle w:val="NormalWeb"/>
              <w:spacing w:before="0" w:beforeAutospacing="0" w:after="0" w:afterAutospacing="0"/>
              <w:rPr>
                <w:rFonts w:ascii="Arial" w:hAnsi="Arial" w:cs="Arial"/>
                <w:b/>
                <w:bCs/>
                <w:sz w:val="20"/>
                <w:szCs w:val="20"/>
                <w:lang w:val="en-US"/>
              </w:rPr>
            </w:pPr>
          </w:p>
        </w:tc>
        <w:tc>
          <w:tcPr>
            <w:tcW w:w="1584" w:type="dxa"/>
            <w:shd w:val="clear" w:color="auto" w:fill="D9D9D9" w:themeFill="background1" w:themeFillShade="D9"/>
          </w:tcPr>
          <w:p w14:paraId="0AA10707" w14:textId="77777777" w:rsidR="000D446F" w:rsidRPr="005D6A44" w:rsidRDefault="000D446F" w:rsidP="00E77343">
            <w:pPr>
              <w:pStyle w:val="NormalWeb"/>
              <w:spacing w:before="0" w:beforeAutospacing="0" w:after="0" w:afterAutospacing="0"/>
              <w:jc w:val="center"/>
              <w:rPr>
                <w:rFonts w:ascii="Arial" w:hAnsi="Arial" w:cs="Arial"/>
                <w:b/>
                <w:bCs/>
                <w:sz w:val="18"/>
                <w:szCs w:val="18"/>
                <w:lang w:val="en-US"/>
              </w:rPr>
            </w:pPr>
            <w:r w:rsidRPr="005D6A44">
              <w:rPr>
                <w:rFonts w:ascii="Arial" w:hAnsi="Arial" w:cs="Arial"/>
                <w:b/>
                <w:bCs/>
                <w:sz w:val="18"/>
                <w:szCs w:val="18"/>
                <w:lang w:val="en-US"/>
              </w:rPr>
              <w:t>Healthcare costs (per year)</w:t>
            </w:r>
          </w:p>
        </w:tc>
        <w:tc>
          <w:tcPr>
            <w:tcW w:w="2060" w:type="dxa"/>
            <w:shd w:val="clear" w:color="auto" w:fill="D9D9D9" w:themeFill="background1" w:themeFillShade="D9"/>
          </w:tcPr>
          <w:p w14:paraId="5E974F5D" w14:textId="77777777" w:rsidR="000D446F" w:rsidRPr="005D6A44" w:rsidRDefault="000D446F" w:rsidP="00E77343">
            <w:pPr>
              <w:pStyle w:val="NormalWeb"/>
              <w:spacing w:before="0" w:beforeAutospacing="0" w:after="0" w:afterAutospacing="0"/>
              <w:jc w:val="center"/>
              <w:rPr>
                <w:rFonts w:ascii="Arial" w:hAnsi="Arial" w:cs="Arial"/>
                <w:b/>
                <w:bCs/>
                <w:i/>
                <w:iCs/>
                <w:sz w:val="18"/>
                <w:szCs w:val="18"/>
                <w:lang w:val="en-US"/>
              </w:rPr>
            </w:pPr>
            <w:r w:rsidRPr="005D6A44">
              <w:rPr>
                <w:rFonts w:ascii="Arial" w:hAnsi="Arial" w:cs="Arial"/>
                <w:b/>
                <w:bCs/>
                <w:color w:val="000000"/>
                <w:sz w:val="18"/>
                <w:szCs w:val="18"/>
                <w:lang w:val="en-US"/>
              </w:rPr>
              <w:t>Non-medical costs (per year)</w:t>
            </w:r>
          </w:p>
        </w:tc>
        <w:tc>
          <w:tcPr>
            <w:tcW w:w="1636" w:type="dxa"/>
            <w:shd w:val="clear" w:color="auto" w:fill="D9D9D9" w:themeFill="background1" w:themeFillShade="D9"/>
          </w:tcPr>
          <w:p w14:paraId="6DCC88FC" w14:textId="77777777" w:rsidR="000D446F" w:rsidRPr="005D6A44" w:rsidRDefault="000D446F" w:rsidP="00E77343">
            <w:pPr>
              <w:pStyle w:val="NormalWeb"/>
              <w:spacing w:before="0" w:beforeAutospacing="0" w:after="0" w:afterAutospacing="0"/>
              <w:jc w:val="center"/>
              <w:rPr>
                <w:rFonts w:ascii="Arial" w:hAnsi="Arial" w:cs="Arial"/>
                <w:b/>
                <w:bCs/>
                <w:color w:val="000000"/>
                <w:sz w:val="18"/>
                <w:szCs w:val="18"/>
                <w:lang w:val="en-US"/>
              </w:rPr>
            </w:pPr>
            <w:r>
              <w:rPr>
                <w:rFonts w:ascii="Arial" w:hAnsi="Arial" w:cs="Arial"/>
                <w:b/>
                <w:bCs/>
                <w:color w:val="000000"/>
                <w:sz w:val="18"/>
                <w:szCs w:val="18"/>
                <w:lang w:val="en-US"/>
              </w:rPr>
              <w:t>Parents productivity loss</w:t>
            </w:r>
            <w:r w:rsidRPr="005D6A44">
              <w:rPr>
                <w:rFonts w:ascii="Arial" w:hAnsi="Arial" w:cs="Arial"/>
                <w:b/>
                <w:bCs/>
                <w:color w:val="000000"/>
                <w:sz w:val="18"/>
                <w:szCs w:val="18"/>
                <w:lang w:val="en-US"/>
              </w:rPr>
              <w:t xml:space="preserve"> (per year)</w:t>
            </w:r>
          </w:p>
        </w:tc>
        <w:tc>
          <w:tcPr>
            <w:tcW w:w="1276" w:type="dxa"/>
            <w:shd w:val="clear" w:color="auto" w:fill="D9D9D9" w:themeFill="background1" w:themeFillShade="D9"/>
          </w:tcPr>
          <w:p w14:paraId="5AB02275" w14:textId="77777777" w:rsidR="000D446F" w:rsidRPr="005D6A44" w:rsidRDefault="000D446F" w:rsidP="00E77343">
            <w:pPr>
              <w:pStyle w:val="NormalWeb"/>
              <w:spacing w:before="0" w:beforeAutospacing="0" w:after="0" w:afterAutospacing="0"/>
              <w:jc w:val="center"/>
              <w:rPr>
                <w:rFonts w:ascii="Arial" w:hAnsi="Arial" w:cs="Arial"/>
                <w:b/>
                <w:bCs/>
                <w:color w:val="000000"/>
                <w:sz w:val="18"/>
                <w:szCs w:val="18"/>
                <w:lang w:val="en-US"/>
              </w:rPr>
            </w:pPr>
            <w:r w:rsidRPr="005D6A44">
              <w:rPr>
                <w:rFonts w:ascii="Arial" w:hAnsi="Arial" w:cs="Arial"/>
                <w:b/>
                <w:bCs/>
                <w:color w:val="000000"/>
                <w:sz w:val="18"/>
                <w:szCs w:val="18"/>
                <w:lang w:val="en-US"/>
              </w:rPr>
              <w:t xml:space="preserve">Utility </w:t>
            </w:r>
            <w:r>
              <w:rPr>
                <w:rFonts w:ascii="Arial" w:hAnsi="Arial" w:cs="Arial"/>
                <w:b/>
                <w:bCs/>
                <w:color w:val="000000"/>
                <w:sz w:val="18"/>
                <w:szCs w:val="18"/>
                <w:lang w:val="en-US"/>
              </w:rPr>
              <w:t>cost</w:t>
            </w:r>
          </w:p>
        </w:tc>
      </w:tr>
      <w:tr w:rsidR="000D446F" w:rsidRPr="005D6A44" w14:paraId="676101D8" w14:textId="77777777" w:rsidTr="00E77343">
        <w:tc>
          <w:tcPr>
            <w:tcW w:w="1661" w:type="dxa"/>
            <w:shd w:val="clear" w:color="auto" w:fill="D9D9D9" w:themeFill="background1" w:themeFillShade="D9"/>
          </w:tcPr>
          <w:p w14:paraId="149B3C0E"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NIS –</w:t>
            </w:r>
            <w:r>
              <w:rPr>
                <w:rFonts w:ascii="Arial" w:hAnsi="Arial" w:cs="Arial"/>
                <w:sz w:val="20"/>
                <w:szCs w:val="20"/>
                <w:lang w:val="en-US"/>
              </w:rPr>
              <w:t xml:space="preserve"> not symptomatic</w:t>
            </w:r>
          </w:p>
        </w:tc>
        <w:tc>
          <w:tcPr>
            <w:tcW w:w="1584" w:type="dxa"/>
            <w:vAlign w:val="center"/>
          </w:tcPr>
          <w:p w14:paraId="225BA71A"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1,807</w:t>
            </w:r>
          </w:p>
        </w:tc>
        <w:tc>
          <w:tcPr>
            <w:tcW w:w="2060" w:type="dxa"/>
            <w:vAlign w:val="center"/>
          </w:tcPr>
          <w:p w14:paraId="312644E5"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sz w:val="20"/>
                <w:szCs w:val="20"/>
                <w:lang w:val="en-US"/>
              </w:rPr>
              <w:t>0</w:t>
            </w:r>
          </w:p>
        </w:tc>
        <w:tc>
          <w:tcPr>
            <w:tcW w:w="1636" w:type="dxa"/>
            <w:vAlign w:val="center"/>
          </w:tcPr>
          <w:p w14:paraId="242DE4BA"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1,702</w:t>
            </w:r>
          </w:p>
        </w:tc>
        <w:tc>
          <w:tcPr>
            <w:tcW w:w="1276" w:type="dxa"/>
            <w:vAlign w:val="center"/>
          </w:tcPr>
          <w:p w14:paraId="0FAC7DC1"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0.965</w:t>
            </w:r>
          </w:p>
        </w:tc>
      </w:tr>
      <w:tr w:rsidR="000D446F" w:rsidRPr="005D6A44" w14:paraId="206F0118" w14:textId="77777777" w:rsidTr="00E77343">
        <w:tc>
          <w:tcPr>
            <w:tcW w:w="1661" w:type="dxa"/>
            <w:shd w:val="clear" w:color="auto" w:fill="D9D9D9" w:themeFill="background1" w:themeFillShade="D9"/>
          </w:tcPr>
          <w:p w14:paraId="0F90A62B"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Symptomatic</w:t>
            </w:r>
            <w:r>
              <w:rPr>
                <w:rFonts w:ascii="Arial" w:hAnsi="Arial" w:cs="Arial"/>
                <w:sz w:val="20"/>
                <w:szCs w:val="20"/>
                <w:lang w:val="en-US"/>
              </w:rPr>
              <w:t>-</w:t>
            </w:r>
            <w:r w:rsidRPr="005D6A44">
              <w:rPr>
                <w:rFonts w:ascii="Arial" w:hAnsi="Arial" w:cs="Arial"/>
                <w:sz w:val="20"/>
                <w:szCs w:val="20"/>
                <w:lang w:val="en-US"/>
              </w:rPr>
              <w:t xml:space="preserve">treated – </w:t>
            </w:r>
            <w:r>
              <w:rPr>
                <w:rFonts w:ascii="Arial" w:hAnsi="Arial" w:cs="Arial"/>
                <w:sz w:val="20"/>
                <w:szCs w:val="20"/>
                <w:lang w:val="en-US"/>
              </w:rPr>
              <w:t>n</w:t>
            </w:r>
            <w:r w:rsidRPr="005D6A44">
              <w:rPr>
                <w:rFonts w:ascii="Arial" w:hAnsi="Arial" w:cs="Arial"/>
                <w:sz w:val="20"/>
                <w:szCs w:val="20"/>
                <w:lang w:val="en-US"/>
              </w:rPr>
              <w:t>on-sitter</w:t>
            </w:r>
          </w:p>
        </w:tc>
        <w:tc>
          <w:tcPr>
            <w:tcW w:w="1584" w:type="dxa"/>
            <w:vAlign w:val="center"/>
          </w:tcPr>
          <w:p w14:paraId="3B438C46"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32,153</w:t>
            </w:r>
          </w:p>
        </w:tc>
        <w:tc>
          <w:tcPr>
            <w:tcW w:w="2060" w:type="dxa"/>
            <w:vAlign w:val="center"/>
          </w:tcPr>
          <w:p w14:paraId="29692C4D"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6,385</w:t>
            </w:r>
          </w:p>
        </w:tc>
        <w:tc>
          <w:tcPr>
            <w:tcW w:w="1636" w:type="dxa"/>
            <w:vAlign w:val="center"/>
          </w:tcPr>
          <w:p w14:paraId="42D55BC4"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23,236</w:t>
            </w:r>
          </w:p>
        </w:tc>
        <w:tc>
          <w:tcPr>
            <w:tcW w:w="1276" w:type="dxa"/>
            <w:vAlign w:val="center"/>
          </w:tcPr>
          <w:p w14:paraId="0E2E4739"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0.32</w:t>
            </w:r>
          </w:p>
        </w:tc>
      </w:tr>
      <w:tr w:rsidR="000D446F" w:rsidRPr="005D6A44" w14:paraId="5ACB0D27" w14:textId="77777777" w:rsidTr="00E77343">
        <w:tc>
          <w:tcPr>
            <w:tcW w:w="1661" w:type="dxa"/>
            <w:shd w:val="clear" w:color="auto" w:fill="D9D9D9" w:themeFill="background1" w:themeFillShade="D9"/>
          </w:tcPr>
          <w:p w14:paraId="5D89AFB6"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Symptomatic</w:t>
            </w:r>
            <w:r>
              <w:rPr>
                <w:rFonts w:ascii="Arial" w:hAnsi="Arial" w:cs="Arial"/>
                <w:sz w:val="20"/>
                <w:szCs w:val="20"/>
                <w:lang w:val="en-US"/>
              </w:rPr>
              <w:t>-</w:t>
            </w:r>
            <w:r w:rsidRPr="005D6A44">
              <w:rPr>
                <w:rFonts w:ascii="Arial" w:hAnsi="Arial" w:cs="Arial"/>
                <w:sz w:val="20"/>
                <w:szCs w:val="20"/>
                <w:lang w:val="en-US"/>
              </w:rPr>
              <w:t xml:space="preserve">treated – </w:t>
            </w:r>
            <w:r>
              <w:rPr>
                <w:rFonts w:ascii="Arial" w:hAnsi="Arial" w:cs="Arial"/>
                <w:sz w:val="20"/>
                <w:szCs w:val="20"/>
                <w:lang w:val="en-US"/>
              </w:rPr>
              <w:t>s</w:t>
            </w:r>
            <w:r w:rsidRPr="005D6A44">
              <w:rPr>
                <w:rFonts w:ascii="Arial" w:hAnsi="Arial" w:cs="Arial"/>
                <w:sz w:val="20"/>
                <w:szCs w:val="20"/>
                <w:lang w:val="en-US"/>
              </w:rPr>
              <w:t xml:space="preserve">itter </w:t>
            </w:r>
          </w:p>
        </w:tc>
        <w:tc>
          <w:tcPr>
            <w:tcW w:w="1584" w:type="dxa"/>
            <w:vAlign w:val="center"/>
          </w:tcPr>
          <w:p w14:paraId="0626C997"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13,132</w:t>
            </w:r>
          </w:p>
        </w:tc>
        <w:tc>
          <w:tcPr>
            <w:tcW w:w="2060" w:type="dxa"/>
            <w:vAlign w:val="center"/>
          </w:tcPr>
          <w:p w14:paraId="19104B9F"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6,800</w:t>
            </w:r>
          </w:p>
        </w:tc>
        <w:tc>
          <w:tcPr>
            <w:tcW w:w="1636" w:type="dxa"/>
            <w:vAlign w:val="center"/>
          </w:tcPr>
          <w:p w14:paraId="2131DB38"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3,405</w:t>
            </w:r>
          </w:p>
        </w:tc>
        <w:tc>
          <w:tcPr>
            <w:tcW w:w="1276" w:type="dxa"/>
            <w:vAlign w:val="center"/>
          </w:tcPr>
          <w:p w14:paraId="10B3BFA0"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0.51</w:t>
            </w:r>
          </w:p>
        </w:tc>
      </w:tr>
      <w:tr w:rsidR="000D446F" w:rsidRPr="005D6A44" w14:paraId="416C402E" w14:textId="77777777" w:rsidTr="00E77343">
        <w:tc>
          <w:tcPr>
            <w:tcW w:w="1661" w:type="dxa"/>
            <w:shd w:val="clear" w:color="auto" w:fill="D9D9D9" w:themeFill="background1" w:themeFillShade="D9"/>
          </w:tcPr>
          <w:p w14:paraId="3AC47B91" w14:textId="77777777" w:rsidR="000D446F" w:rsidRPr="005D6A44" w:rsidRDefault="000D446F" w:rsidP="00E77343">
            <w:pPr>
              <w:pStyle w:val="NormalWeb"/>
              <w:spacing w:before="0" w:beforeAutospacing="0" w:after="0" w:afterAutospacing="0"/>
              <w:rPr>
                <w:rFonts w:ascii="Arial" w:hAnsi="Arial" w:cs="Arial"/>
                <w:sz w:val="20"/>
                <w:szCs w:val="20"/>
                <w:lang w:val="en-US"/>
              </w:rPr>
            </w:pPr>
            <w:r w:rsidRPr="005D6A44">
              <w:rPr>
                <w:rFonts w:ascii="Arial" w:hAnsi="Arial" w:cs="Arial"/>
                <w:sz w:val="20"/>
                <w:szCs w:val="20"/>
                <w:lang w:val="en-US"/>
              </w:rPr>
              <w:t>Symptomatic</w:t>
            </w:r>
            <w:r>
              <w:rPr>
                <w:rFonts w:ascii="Arial" w:hAnsi="Arial" w:cs="Arial"/>
                <w:sz w:val="20"/>
                <w:szCs w:val="20"/>
                <w:lang w:val="en-US"/>
              </w:rPr>
              <w:t>-</w:t>
            </w:r>
            <w:r w:rsidRPr="005D6A44">
              <w:rPr>
                <w:rFonts w:ascii="Arial" w:hAnsi="Arial" w:cs="Arial"/>
                <w:sz w:val="20"/>
                <w:szCs w:val="20"/>
                <w:lang w:val="en-US"/>
              </w:rPr>
              <w:t xml:space="preserve">treated – </w:t>
            </w:r>
            <w:r>
              <w:rPr>
                <w:rFonts w:ascii="Arial" w:hAnsi="Arial" w:cs="Arial"/>
                <w:sz w:val="20"/>
                <w:szCs w:val="20"/>
                <w:lang w:val="en-US"/>
              </w:rPr>
              <w:t>w</w:t>
            </w:r>
            <w:r w:rsidRPr="005D6A44">
              <w:rPr>
                <w:rFonts w:ascii="Arial" w:hAnsi="Arial" w:cs="Arial"/>
                <w:sz w:val="20"/>
                <w:szCs w:val="20"/>
                <w:lang w:val="en-US"/>
              </w:rPr>
              <w:t>alker</w:t>
            </w:r>
            <w:r>
              <w:rPr>
                <w:rFonts w:ascii="Arial" w:hAnsi="Arial" w:cs="Arial"/>
                <w:sz w:val="20"/>
                <w:szCs w:val="20"/>
                <w:lang w:val="en-US"/>
              </w:rPr>
              <w:t xml:space="preserve"> and NIS </w:t>
            </w:r>
            <w:r w:rsidRPr="005D6A44">
              <w:rPr>
                <w:rFonts w:ascii="Arial" w:hAnsi="Arial" w:cs="Arial"/>
                <w:sz w:val="20"/>
                <w:szCs w:val="20"/>
                <w:lang w:val="en-US"/>
              </w:rPr>
              <w:t>–</w:t>
            </w:r>
            <w:r>
              <w:rPr>
                <w:rFonts w:ascii="Arial" w:hAnsi="Arial" w:cs="Arial"/>
                <w:sz w:val="20"/>
                <w:szCs w:val="20"/>
                <w:lang w:val="en-US"/>
              </w:rPr>
              <w:t>symptomatic</w:t>
            </w:r>
          </w:p>
        </w:tc>
        <w:tc>
          <w:tcPr>
            <w:tcW w:w="1584" w:type="dxa"/>
            <w:vAlign w:val="center"/>
          </w:tcPr>
          <w:p w14:paraId="1EC540D2"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8,725</w:t>
            </w:r>
          </w:p>
        </w:tc>
        <w:tc>
          <w:tcPr>
            <w:tcW w:w="2060" w:type="dxa"/>
            <w:vAlign w:val="center"/>
          </w:tcPr>
          <w:p w14:paraId="10547549"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10,000</w:t>
            </w:r>
          </w:p>
        </w:tc>
        <w:tc>
          <w:tcPr>
            <w:tcW w:w="1636" w:type="dxa"/>
            <w:vAlign w:val="center"/>
          </w:tcPr>
          <w:p w14:paraId="13241F74"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2,979</w:t>
            </w:r>
          </w:p>
        </w:tc>
        <w:tc>
          <w:tcPr>
            <w:tcW w:w="1276" w:type="dxa"/>
            <w:vAlign w:val="center"/>
          </w:tcPr>
          <w:p w14:paraId="6BD765E0" w14:textId="77777777" w:rsidR="000D446F" w:rsidRPr="005D6A44" w:rsidRDefault="000D446F" w:rsidP="00E77343">
            <w:pPr>
              <w:pStyle w:val="NormalWeb"/>
              <w:spacing w:before="0" w:beforeAutospacing="0" w:after="0" w:afterAutospacing="0"/>
              <w:jc w:val="center"/>
              <w:rPr>
                <w:rFonts w:ascii="Arial" w:hAnsi="Arial" w:cs="Arial"/>
                <w:sz w:val="20"/>
                <w:szCs w:val="20"/>
                <w:lang w:val="en-US"/>
              </w:rPr>
            </w:pPr>
            <w:r w:rsidRPr="008F3FB7">
              <w:rPr>
                <w:rFonts w:ascii="Arial" w:hAnsi="Arial" w:cs="Arial"/>
                <w:sz w:val="20"/>
                <w:szCs w:val="20"/>
                <w:lang w:val="en-US"/>
              </w:rPr>
              <w:t>€</w:t>
            </w:r>
            <w:r w:rsidRPr="005D6A44">
              <w:rPr>
                <w:rFonts w:ascii="Arial" w:hAnsi="Arial" w:cs="Arial"/>
                <w:color w:val="000000"/>
                <w:sz w:val="20"/>
                <w:szCs w:val="20"/>
                <w:lang w:val="en-US"/>
              </w:rPr>
              <w:t>0.78</w:t>
            </w:r>
          </w:p>
        </w:tc>
      </w:tr>
    </w:tbl>
    <w:p w14:paraId="443759AA" w14:textId="77777777" w:rsidR="000D446F" w:rsidRPr="005A6036" w:rsidRDefault="000D446F" w:rsidP="000D446F">
      <w:pPr>
        <w:pStyle w:val="NormalWeb"/>
        <w:spacing w:before="0" w:beforeAutospacing="0" w:after="0" w:afterAutospacing="0"/>
        <w:jc w:val="both"/>
        <w:rPr>
          <w:rFonts w:ascii="Arial" w:hAnsi="Arial" w:cs="Arial"/>
          <w:i/>
          <w:iCs/>
          <w:lang w:val="en-US"/>
        </w:rPr>
      </w:pPr>
      <w:r w:rsidRPr="00E00C78">
        <w:rPr>
          <w:rFonts w:ascii="Arial" w:hAnsi="Arial" w:cs="Arial"/>
          <w:i/>
          <w:iCs/>
          <w:lang w:val="en-US"/>
        </w:rPr>
        <w:t xml:space="preserve">Table </w:t>
      </w:r>
      <w:r>
        <w:rPr>
          <w:rFonts w:ascii="Arial" w:hAnsi="Arial" w:cs="Arial"/>
          <w:i/>
          <w:iCs/>
          <w:lang w:val="en-US"/>
        </w:rPr>
        <w:t>1</w:t>
      </w:r>
      <w:r w:rsidRPr="00E00C78">
        <w:rPr>
          <w:rFonts w:ascii="Arial" w:hAnsi="Arial" w:cs="Arial"/>
          <w:i/>
          <w:iCs/>
          <w:lang w:val="en-US"/>
        </w:rPr>
        <w:t xml:space="preserve">: </w:t>
      </w:r>
      <w:r>
        <w:rPr>
          <w:rFonts w:ascii="Arial" w:hAnsi="Arial" w:cs="Arial"/>
          <w:i/>
          <w:iCs/>
          <w:lang w:val="en-US"/>
        </w:rPr>
        <w:t>Costs for approved SMA treatments and utility values and costs for treatment of NIS and symptomatic-treated subjects.</w:t>
      </w:r>
    </w:p>
    <w:p w14:paraId="1A77962B" w14:textId="77777777" w:rsidR="000D446F" w:rsidRDefault="000D446F" w:rsidP="000D446F">
      <w:pPr>
        <w:pStyle w:val="NormalWeb"/>
        <w:spacing w:before="0" w:beforeAutospacing="0" w:after="0" w:afterAutospacing="0"/>
        <w:jc w:val="both"/>
        <w:rPr>
          <w:rFonts w:ascii="Arial" w:hAnsi="Arial" w:cs="Arial"/>
          <w:sz w:val="20"/>
          <w:szCs w:val="20"/>
          <w:lang w:val="en-US"/>
        </w:rPr>
      </w:pPr>
      <w:proofErr w:type="spellStart"/>
      <w:proofErr w:type="gramStart"/>
      <w:r>
        <w:rPr>
          <w:rFonts w:ascii="Arial" w:hAnsi="Arial" w:cs="Arial"/>
          <w:sz w:val="20"/>
          <w:szCs w:val="20"/>
          <w:vertAlign w:val="superscript"/>
          <w:lang w:val="en-US"/>
        </w:rPr>
        <w:t>a</w:t>
      </w:r>
      <w:proofErr w:type="spellEnd"/>
      <w:proofErr w:type="gramEnd"/>
      <w:r>
        <w:rPr>
          <w:rFonts w:ascii="Arial" w:hAnsi="Arial" w:cs="Arial"/>
          <w:sz w:val="20"/>
          <w:szCs w:val="20"/>
          <w:vertAlign w:val="superscript"/>
          <w:lang w:val="en-US"/>
        </w:rPr>
        <w:t xml:space="preserve"> </w:t>
      </w:r>
      <w:r>
        <w:rPr>
          <w:rFonts w:ascii="Arial" w:hAnsi="Arial" w:cs="Arial"/>
          <w:sz w:val="20"/>
          <w:szCs w:val="20"/>
          <w:lang w:val="en-US"/>
        </w:rPr>
        <w:t xml:space="preserve">Administration costs include </w:t>
      </w:r>
      <w:r w:rsidRPr="005D6A44">
        <w:rPr>
          <w:rFonts w:ascii="Arial" w:hAnsi="Arial" w:cs="Arial"/>
          <w:sz w:val="20"/>
          <w:szCs w:val="20"/>
          <w:lang w:val="en-US"/>
        </w:rPr>
        <w:t>hospitalization</w:t>
      </w:r>
      <w:r>
        <w:rPr>
          <w:rFonts w:ascii="Arial" w:hAnsi="Arial" w:cs="Arial"/>
          <w:sz w:val="20"/>
          <w:szCs w:val="20"/>
          <w:lang w:val="en-US"/>
        </w:rPr>
        <w:t>,</w:t>
      </w:r>
      <w:r w:rsidRPr="005D6A44">
        <w:rPr>
          <w:rFonts w:ascii="Arial" w:hAnsi="Arial" w:cs="Arial"/>
          <w:sz w:val="20"/>
          <w:szCs w:val="20"/>
          <w:lang w:val="en-US"/>
        </w:rPr>
        <w:t xml:space="preserve"> consultation</w:t>
      </w:r>
      <w:r>
        <w:rPr>
          <w:rFonts w:ascii="Arial" w:hAnsi="Arial" w:cs="Arial"/>
          <w:sz w:val="20"/>
          <w:szCs w:val="20"/>
          <w:lang w:val="en-US"/>
        </w:rPr>
        <w:t>, and</w:t>
      </w:r>
      <w:r w:rsidRPr="005D6A44">
        <w:rPr>
          <w:rFonts w:ascii="Arial" w:hAnsi="Arial" w:cs="Arial"/>
          <w:sz w:val="20"/>
          <w:szCs w:val="20"/>
          <w:lang w:val="en-US"/>
        </w:rPr>
        <w:t xml:space="preserve"> exam</w:t>
      </w:r>
      <w:r>
        <w:rPr>
          <w:rFonts w:ascii="Arial" w:hAnsi="Arial" w:cs="Arial"/>
          <w:sz w:val="20"/>
          <w:szCs w:val="20"/>
          <w:lang w:val="en-US"/>
        </w:rPr>
        <w:t>ination costs.</w:t>
      </w:r>
    </w:p>
    <w:p w14:paraId="78C8A711" w14:textId="77777777" w:rsidR="000D446F" w:rsidRPr="00E30FA8" w:rsidRDefault="000D446F" w:rsidP="000D446F">
      <w:pPr>
        <w:pStyle w:val="NormalWeb"/>
        <w:spacing w:before="0" w:beforeAutospacing="0" w:after="0" w:afterAutospacing="0"/>
        <w:jc w:val="both"/>
        <w:rPr>
          <w:rFonts w:ascii="Arial" w:hAnsi="Arial" w:cs="Arial"/>
          <w:i/>
          <w:iCs/>
          <w:lang w:val="en-US"/>
        </w:rPr>
      </w:pPr>
    </w:p>
    <w:p w14:paraId="3CDC9625" w14:textId="26AB8AC1" w:rsidR="00523FAA" w:rsidRDefault="00523FAA" w:rsidP="001336C2">
      <w:pPr>
        <w:widowControl w:val="0"/>
        <w:autoSpaceDE w:val="0"/>
        <w:autoSpaceDN w:val="0"/>
        <w:adjustRightInd w:val="0"/>
        <w:spacing w:before="100" w:after="100"/>
        <w:ind w:left="640" w:hanging="640"/>
      </w:pPr>
    </w:p>
    <w:p w14:paraId="2771A7E0" w14:textId="77777777" w:rsidR="000D446F" w:rsidRDefault="000D446F" w:rsidP="001336C2">
      <w:pPr>
        <w:widowControl w:val="0"/>
        <w:autoSpaceDE w:val="0"/>
        <w:autoSpaceDN w:val="0"/>
        <w:adjustRightInd w:val="0"/>
        <w:spacing w:before="100" w:after="100"/>
        <w:ind w:left="640" w:hanging="640"/>
      </w:pPr>
    </w:p>
    <w:p w14:paraId="58388F34" w14:textId="77777777" w:rsidR="000D446F" w:rsidRDefault="000D446F" w:rsidP="001336C2">
      <w:pPr>
        <w:widowControl w:val="0"/>
        <w:autoSpaceDE w:val="0"/>
        <w:autoSpaceDN w:val="0"/>
        <w:adjustRightInd w:val="0"/>
        <w:spacing w:before="100" w:after="100"/>
        <w:ind w:left="640" w:hanging="640"/>
      </w:pPr>
    </w:p>
    <w:tbl>
      <w:tblPr>
        <w:tblStyle w:val="Grilledutableau"/>
        <w:tblpPr w:leftFromText="141" w:rightFromText="141" w:vertAnchor="text" w:tblpY="1"/>
        <w:tblOverlap w:val="never"/>
        <w:tblW w:w="928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768"/>
        <w:gridCol w:w="1322"/>
        <w:gridCol w:w="1329"/>
        <w:gridCol w:w="932"/>
        <w:gridCol w:w="1042"/>
        <w:gridCol w:w="1889"/>
      </w:tblGrid>
      <w:tr w:rsidR="000D446F" w:rsidRPr="00251FA1" w14:paraId="1725DE7F" w14:textId="77777777" w:rsidTr="000D446F">
        <w:tc>
          <w:tcPr>
            <w:tcW w:w="2768" w:type="dxa"/>
            <w:tcBorders>
              <w:top w:val="nil"/>
              <w:left w:val="nil"/>
              <w:bottom w:val="nil"/>
              <w:right w:val="single" w:sz="18" w:space="0" w:color="auto"/>
            </w:tcBorders>
          </w:tcPr>
          <w:p w14:paraId="560E7A2C" w14:textId="77777777" w:rsidR="000D446F" w:rsidRPr="00142B93" w:rsidRDefault="000D446F" w:rsidP="00E77343">
            <w:pPr>
              <w:rPr>
                <w:sz w:val="20"/>
                <w:szCs w:val="18"/>
                <w:lang w:val="en-US"/>
              </w:rPr>
            </w:pPr>
          </w:p>
        </w:tc>
        <w:tc>
          <w:tcPr>
            <w:tcW w:w="1322" w:type="dxa"/>
            <w:tcBorders>
              <w:top w:val="single" w:sz="18" w:space="0" w:color="auto"/>
              <w:left w:val="single" w:sz="18" w:space="0" w:color="auto"/>
              <w:bottom w:val="nil"/>
              <w:right w:val="single" w:sz="18" w:space="0" w:color="auto"/>
            </w:tcBorders>
          </w:tcPr>
          <w:p w14:paraId="0471C70D" w14:textId="77777777" w:rsidR="000D446F" w:rsidRPr="00142B93" w:rsidRDefault="000D446F" w:rsidP="00E77343">
            <w:pPr>
              <w:rPr>
                <w:sz w:val="20"/>
                <w:szCs w:val="18"/>
                <w:lang w:val="en-US"/>
              </w:rPr>
            </w:pPr>
          </w:p>
        </w:tc>
        <w:tc>
          <w:tcPr>
            <w:tcW w:w="1329" w:type="dxa"/>
            <w:vMerge w:val="restart"/>
            <w:tcBorders>
              <w:top w:val="single" w:sz="18" w:space="0" w:color="auto"/>
              <w:left w:val="single" w:sz="18" w:space="0" w:color="auto"/>
              <w:bottom w:val="single" w:sz="18" w:space="0" w:color="auto"/>
            </w:tcBorders>
            <w:vAlign w:val="center"/>
          </w:tcPr>
          <w:p w14:paraId="1BEDE1C4" w14:textId="77777777" w:rsidR="000D446F" w:rsidRPr="00094D34" w:rsidRDefault="000D446F" w:rsidP="00E77343">
            <w:pPr>
              <w:jc w:val="center"/>
              <w:rPr>
                <w:b/>
                <w:bCs/>
                <w:sz w:val="20"/>
                <w:szCs w:val="18"/>
                <w:lang w:val="en-US"/>
              </w:rPr>
            </w:pPr>
            <w:r w:rsidRPr="00094D34">
              <w:rPr>
                <w:b/>
                <w:bCs/>
                <w:sz w:val="20"/>
                <w:szCs w:val="18"/>
                <w:lang w:val="en-US"/>
              </w:rPr>
              <w:t>Total Costs</w:t>
            </w:r>
          </w:p>
        </w:tc>
        <w:tc>
          <w:tcPr>
            <w:tcW w:w="932" w:type="dxa"/>
            <w:vMerge w:val="restart"/>
            <w:tcBorders>
              <w:top w:val="single" w:sz="18" w:space="0" w:color="auto"/>
            </w:tcBorders>
          </w:tcPr>
          <w:p w14:paraId="0FFADDD8" w14:textId="77777777" w:rsidR="000D446F" w:rsidRPr="00094D34" w:rsidRDefault="000D446F" w:rsidP="00E77343">
            <w:pPr>
              <w:jc w:val="center"/>
              <w:rPr>
                <w:b/>
                <w:bCs/>
                <w:sz w:val="20"/>
                <w:szCs w:val="18"/>
                <w:lang w:val="en-US"/>
              </w:rPr>
            </w:pPr>
            <w:r w:rsidRPr="00094D34">
              <w:rPr>
                <w:b/>
                <w:bCs/>
                <w:sz w:val="20"/>
                <w:szCs w:val="18"/>
                <w:lang w:val="en-US"/>
              </w:rPr>
              <w:t>L</w:t>
            </w:r>
            <w:r>
              <w:rPr>
                <w:b/>
                <w:bCs/>
                <w:sz w:val="20"/>
                <w:szCs w:val="18"/>
                <w:lang w:val="en-US"/>
              </w:rPr>
              <w:t>ife-years gained</w:t>
            </w:r>
          </w:p>
        </w:tc>
        <w:tc>
          <w:tcPr>
            <w:tcW w:w="1042" w:type="dxa"/>
            <w:vMerge w:val="restart"/>
            <w:tcBorders>
              <w:top w:val="single" w:sz="18" w:space="0" w:color="auto"/>
              <w:bottom w:val="single" w:sz="18" w:space="0" w:color="auto"/>
            </w:tcBorders>
            <w:vAlign w:val="center"/>
          </w:tcPr>
          <w:p w14:paraId="261D5F71" w14:textId="77777777" w:rsidR="000D446F" w:rsidRPr="00094D34" w:rsidRDefault="000D446F" w:rsidP="00E77343">
            <w:pPr>
              <w:jc w:val="center"/>
              <w:rPr>
                <w:b/>
                <w:bCs/>
                <w:sz w:val="20"/>
                <w:szCs w:val="18"/>
                <w:lang w:val="en-US"/>
              </w:rPr>
            </w:pPr>
            <w:r w:rsidRPr="00094D34">
              <w:rPr>
                <w:b/>
                <w:bCs/>
                <w:sz w:val="20"/>
                <w:szCs w:val="18"/>
                <w:lang w:val="en-US"/>
              </w:rPr>
              <w:t>QALYs</w:t>
            </w:r>
            <w:r>
              <w:rPr>
                <w:b/>
                <w:bCs/>
                <w:sz w:val="20"/>
                <w:szCs w:val="18"/>
                <w:lang w:val="en-US"/>
              </w:rPr>
              <w:t xml:space="preserve"> gained</w:t>
            </w:r>
          </w:p>
        </w:tc>
        <w:tc>
          <w:tcPr>
            <w:tcW w:w="1889" w:type="dxa"/>
            <w:vMerge w:val="restart"/>
            <w:tcBorders>
              <w:top w:val="single" w:sz="18" w:space="0" w:color="auto"/>
            </w:tcBorders>
            <w:vAlign w:val="center"/>
          </w:tcPr>
          <w:p w14:paraId="4FE33FD3" w14:textId="77777777" w:rsidR="000D446F" w:rsidRPr="00094D34" w:rsidRDefault="000D446F" w:rsidP="00E77343">
            <w:pPr>
              <w:jc w:val="center"/>
              <w:rPr>
                <w:b/>
                <w:bCs/>
                <w:sz w:val="20"/>
                <w:szCs w:val="18"/>
                <w:lang w:val="en-US"/>
              </w:rPr>
            </w:pPr>
            <w:r w:rsidRPr="00094D34">
              <w:rPr>
                <w:b/>
                <w:bCs/>
                <w:sz w:val="20"/>
                <w:szCs w:val="18"/>
                <w:lang w:val="en-US"/>
              </w:rPr>
              <w:t>ICER</w:t>
            </w:r>
          </w:p>
          <w:p w14:paraId="5C147052" w14:textId="77777777" w:rsidR="000D446F" w:rsidRPr="00094D34" w:rsidRDefault="000D446F" w:rsidP="00E77343">
            <w:pPr>
              <w:jc w:val="center"/>
              <w:rPr>
                <w:b/>
                <w:bCs/>
                <w:sz w:val="20"/>
                <w:szCs w:val="18"/>
                <w:lang w:val="en-US"/>
              </w:rPr>
            </w:pPr>
            <w:r w:rsidRPr="00094D34">
              <w:rPr>
                <w:b/>
                <w:bCs/>
                <w:sz w:val="20"/>
                <w:szCs w:val="18"/>
                <w:lang w:val="en-US"/>
              </w:rPr>
              <w:t>Cost / QALY gained</w:t>
            </w:r>
          </w:p>
        </w:tc>
      </w:tr>
      <w:tr w:rsidR="000D446F" w:rsidRPr="00142B93" w14:paraId="0D067AAB" w14:textId="77777777" w:rsidTr="000D446F">
        <w:tc>
          <w:tcPr>
            <w:tcW w:w="2768" w:type="dxa"/>
            <w:tcBorders>
              <w:top w:val="nil"/>
              <w:left w:val="nil"/>
              <w:bottom w:val="single" w:sz="18" w:space="0" w:color="auto"/>
              <w:right w:val="single" w:sz="18" w:space="0" w:color="auto"/>
            </w:tcBorders>
          </w:tcPr>
          <w:p w14:paraId="22D56669" w14:textId="77777777" w:rsidR="000D446F" w:rsidRPr="00142B93" w:rsidRDefault="000D446F" w:rsidP="00E77343">
            <w:pPr>
              <w:rPr>
                <w:sz w:val="20"/>
                <w:szCs w:val="18"/>
                <w:lang w:val="en-US"/>
              </w:rPr>
            </w:pPr>
          </w:p>
        </w:tc>
        <w:tc>
          <w:tcPr>
            <w:tcW w:w="1322" w:type="dxa"/>
            <w:tcBorders>
              <w:top w:val="nil"/>
              <w:left w:val="single" w:sz="18" w:space="0" w:color="auto"/>
              <w:bottom w:val="single" w:sz="18" w:space="0" w:color="auto"/>
              <w:right w:val="single" w:sz="18" w:space="0" w:color="auto"/>
            </w:tcBorders>
          </w:tcPr>
          <w:p w14:paraId="6FC68D6D" w14:textId="77777777" w:rsidR="000D446F" w:rsidRPr="00094D34" w:rsidRDefault="000D446F" w:rsidP="00E77343">
            <w:pPr>
              <w:rPr>
                <w:b/>
                <w:bCs/>
                <w:sz w:val="20"/>
                <w:szCs w:val="18"/>
                <w:vertAlign w:val="superscript"/>
                <w:lang w:val="en-US"/>
              </w:rPr>
            </w:pPr>
            <w:proofErr w:type="spellStart"/>
            <w:r w:rsidRPr="00094D34">
              <w:rPr>
                <w:b/>
                <w:bCs/>
                <w:sz w:val="20"/>
                <w:szCs w:val="18"/>
                <w:lang w:val="en-US"/>
              </w:rPr>
              <w:t>Population</w:t>
            </w:r>
            <w:r>
              <w:rPr>
                <w:b/>
                <w:bCs/>
                <w:sz w:val="20"/>
                <w:szCs w:val="18"/>
                <w:vertAlign w:val="superscript"/>
                <w:lang w:val="en-US"/>
              </w:rPr>
              <w:t>a</w:t>
            </w:r>
            <w:proofErr w:type="spellEnd"/>
          </w:p>
        </w:tc>
        <w:tc>
          <w:tcPr>
            <w:tcW w:w="1329" w:type="dxa"/>
            <w:vMerge/>
            <w:tcBorders>
              <w:top w:val="single" w:sz="18" w:space="0" w:color="auto"/>
              <w:left w:val="single" w:sz="18" w:space="0" w:color="auto"/>
              <w:bottom w:val="single" w:sz="18" w:space="0" w:color="auto"/>
            </w:tcBorders>
            <w:vAlign w:val="center"/>
          </w:tcPr>
          <w:p w14:paraId="2F2C9326" w14:textId="77777777" w:rsidR="000D446F" w:rsidRPr="00142B93" w:rsidRDefault="000D446F" w:rsidP="00E77343">
            <w:pPr>
              <w:jc w:val="center"/>
              <w:rPr>
                <w:sz w:val="20"/>
                <w:szCs w:val="18"/>
                <w:lang w:val="en-US"/>
              </w:rPr>
            </w:pPr>
          </w:p>
        </w:tc>
        <w:tc>
          <w:tcPr>
            <w:tcW w:w="932" w:type="dxa"/>
            <w:vMerge/>
            <w:tcBorders>
              <w:bottom w:val="single" w:sz="18" w:space="0" w:color="auto"/>
            </w:tcBorders>
          </w:tcPr>
          <w:p w14:paraId="5C15D8B8" w14:textId="77777777" w:rsidR="000D446F" w:rsidRPr="00142B93" w:rsidRDefault="000D446F" w:rsidP="00E77343">
            <w:pPr>
              <w:jc w:val="center"/>
              <w:rPr>
                <w:sz w:val="20"/>
                <w:szCs w:val="18"/>
                <w:lang w:val="en-US"/>
              </w:rPr>
            </w:pPr>
          </w:p>
        </w:tc>
        <w:tc>
          <w:tcPr>
            <w:tcW w:w="1042" w:type="dxa"/>
            <w:vMerge/>
            <w:tcBorders>
              <w:top w:val="single" w:sz="18" w:space="0" w:color="auto"/>
              <w:bottom w:val="single" w:sz="18" w:space="0" w:color="auto"/>
            </w:tcBorders>
            <w:vAlign w:val="center"/>
          </w:tcPr>
          <w:p w14:paraId="4D27E25C" w14:textId="77777777" w:rsidR="000D446F" w:rsidRPr="00142B93" w:rsidRDefault="000D446F" w:rsidP="00E77343">
            <w:pPr>
              <w:jc w:val="center"/>
              <w:rPr>
                <w:sz w:val="20"/>
                <w:szCs w:val="18"/>
                <w:lang w:val="en-US"/>
              </w:rPr>
            </w:pPr>
          </w:p>
        </w:tc>
        <w:tc>
          <w:tcPr>
            <w:tcW w:w="1889" w:type="dxa"/>
            <w:vMerge/>
            <w:tcBorders>
              <w:bottom w:val="single" w:sz="18" w:space="0" w:color="auto"/>
            </w:tcBorders>
            <w:vAlign w:val="center"/>
          </w:tcPr>
          <w:p w14:paraId="0E23C342" w14:textId="77777777" w:rsidR="000D446F" w:rsidRPr="00055DF4" w:rsidRDefault="000D446F" w:rsidP="00E77343">
            <w:pPr>
              <w:jc w:val="center"/>
              <w:rPr>
                <w:sz w:val="20"/>
                <w:szCs w:val="18"/>
                <w:lang w:val="en-US"/>
              </w:rPr>
            </w:pPr>
          </w:p>
        </w:tc>
      </w:tr>
      <w:tr w:rsidR="000D446F" w:rsidRPr="00142B93" w14:paraId="7008D650" w14:textId="77777777" w:rsidTr="000D446F">
        <w:tc>
          <w:tcPr>
            <w:tcW w:w="2768" w:type="dxa"/>
            <w:vMerge w:val="restart"/>
            <w:tcBorders>
              <w:top w:val="single" w:sz="18" w:space="0" w:color="auto"/>
              <w:bottom w:val="single" w:sz="6" w:space="0" w:color="auto"/>
            </w:tcBorders>
            <w:vAlign w:val="center"/>
          </w:tcPr>
          <w:p w14:paraId="4C9CB4BB" w14:textId="77777777" w:rsidR="000D446F" w:rsidRPr="00142B93" w:rsidRDefault="000D446F" w:rsidP="00E77343">
            <w:pPr>
              <w:rPr>
                <w:sz w:val="20"/>
                <w:szCs w:val="18"/>
                <w:lang w:val="en-US"/>
              </w:rPr>
            </w:pPr>
            <w:r>
              <w:rPr>
                <w:sz w:val="20"/>
                <w:szCs w:val="18"/>
                <w:lang w:val="en-US"/>
              </w:rPr>
              <w:t>B</w:t>
            </w:r>
            <w:r>
              <w:rPr>
                <w:sz w:val="20"/>
                <w:szCs w:val="18"/>
              </w:rPr>
              <w:t>ase case</w:t>
            </w:r>
          </w:p>
        </w:tc>
        <w:tc>
          <w:tcPr>
            <w:tcW w:w="1322" w:type="dxa"/>
            <w:tcBorders>
              <w:top w:val="single" w:sz="18" w:space="0" w:color="auto"/>
              <w:bottom w:val="single" w:sz="6" w:space="0" w:color="auto"/>
              <w:right w:val="single" w:sz="18" w:space="0" w:color="auto"/>
            </w:tcBorders>
            <w:vAlign w:val="center"/>
          </w:tcPr>
          <w:p w14:paraId="32CE5622" w14:textId="77777777" w:rsidR="000D446F" w:rsidRPr="00142B93" w:rsidRDefault="000D446F" w:rsidP="00E77343">
            <w:pPr>
              <w:rPr>
                <w:sz w:val="20"/>
                <w:szCs w:val="18"/>
                <w:lang w:val="en-US"/>
              </w:rPr>
            </w:pPr>
            <w:r w:rsidRPr="00142B93">
              <w:rPr>
                <w:sz w:val="20"/>
                <w:szCs w:val="18"/>
              </w:rPr>
              <w:t>NIS</w:t>
            </w:r>
          </w:p>
        </w:tc>
        <w:tc>
          <w:tcPr>
            <w:tcW w:w="1329" w:type="dxa"/>
            <w:tcBorders>
              <w:top w:val="single" w:sz="18" w:space="0" w:color="auto"/>
              <w:left w:val="single" w:sz="18" w:space="0" w:color="auto"/>
              <w:bottom w:val="single" w:sz="6" w:space="0" w:color="auto"/>
            </w:tcBorders>
            <w:vAlign w:val="center"/>
          </w:tcPr>
          <w:p w14:paraId="30CB14EB" w14:textId="77777777" w:rsidR="000D446F" w:rsidRPr="00142B93" w:rsidRDefault="000D446F" w:rsidP="00E77343">
            <w:pPr>
              <w:jc w:val="center"/>
              <w:rPr>
                <w:sz w:val="20"/>
                <w:szCs w:val="18"/>
                <w:lang w:val="en-US"/>
              </w:rPr>
            </w:pPr>
            <w:r w:rsidRPr="000D6A79">
              <w:rPr>
                <w:sz w:val="20"/>
                <w:szCs w:val="18"/>
              </w:rPr>
              <w:t>€</w:t>
            </w:r>
            <w:r>
              <w:rPr>
                <w:sz w:val="20"/>
                <w:szCs w:val="18"/>
                <w:lang w:val="en-US"/>
              </w:rPr>
              <w:t>6,858,061</w:t>
            </w:r>
          </w:p>
        </w:tc>
        <w:tc>
          <w:tcPr>
            <w:tcW w:w="932" w:type="dxa"/>
            <w:tcBorders>
              <w:top w:val="single" w:sz="18" w:space="0" w:color="auto"/>
              <w:bottom w:val="single" w:sz="6" w:space="0" w:color="auto"/>
            </w:tcBorders>
          </w:tcPr>
          <w:p w14:paraId="79EE488B" w14:textId="77777777" w:rsidR="000D446F" w:rsidRPr="00142B93" w:rsidRDefault="000D446F" w:rsidP="00E77343">
            <w:pPr>
              <w:jc w:val="center"/>
              <w:rPr>
                <w:sz w:val="20"/>
                <w:szCs w:val="18"/>
              </w:rPr>
            </w:pPr>
            <w:r>
              <w:rPr>
                <w:sz w:val="20"/>
                <w:szCs w:val="18"/>
              </w:rPr>
              <w:t>46.80</w:t>
            </w:r>
          </w:p>
        </w:tc>
        <w:tc>
          <w:tcPr>
            <w:tcW w:w="1042" w:type="dxa"/>
            <w:tcBorders>
              <w:top w:val="single" w:sz="18" w:space="0" w:color="auto"/>
              <w:bottom w:val="single" w:sz="6" w:space="0" w:color="auto"/>
            </w:tcBorders>
            <w:vAlign w:val="center"/>
          </w:tcPr>
          <w:p w14:paraId="45620025" w14:textId="77777777" w:rsidR="000D446F" w:rsidRPr="00142B93" w:rsidRDefault="000D446F" w:rsidP="00E77343">
            <w:pPr>
              <w:jc w:val="center"/>
              <w:rPr>
                <w:sz w:val="20"/>
                <w:szCs w:val="18"/>
                <w:lang w:val="en-US"/>
              </w:rPr>
            </w:pPr>
            <w:r w:rsidRPr="00142B93">
              <w:rPr>
                <w:sz w:val="20"/>
                <w:szCs w:val="18"/>
              </w:rPr>
              <w:t>40.95</w:t>
            </w:r>
          </w:p>
        </w:tc>
        <w:tc>
          <w:tcPr>
            <w:tcW w:w="1889" w:type="dxa"/>
            <w:vMerge w:val="restart"/>
            <w:tcBorders>
              <w:top w:val="single" w:sz="18" w:space="0" w:color="auto"/>
            </w:tcBorders>
            <w:vAlign w:val="center"/>
          </w:tcPr>
          <w:p w14:paraId="5BAC6AD3" w14:textId="77777777" w:rsidR="000D446F" w:rsidRPr="004A3C4E" w:rsidRDefault="000D446F" w:rsidP="00E77343">
            <w:pPr>
              <w:jc w:val="center"/>
              <w:rPr>
                <w:sz w:val="20"/>
                <w:szCs w:val="18"/>
                <w:lang w:val="en-GB"/>
              </w:rPr>
            </w:pPr>
            <w:r w:rsidRPr="004A3C4E">
              <w:rPr>
                <w:sz w:val="20"/>
                <w:szCs w:val="18"/>
                <w:lang w:val="en-GB"/>
              </w:rPr>
              <w:t>€5,820</w:t>
            </w:r>
          </w:p>
          <w:p w14:paraId="008B0343" w14:textId="77777777" w:rsidR="000D446F" w:rsidRPr="004A3C4E" w:rsidRDefault="000D446F" w:rsidP="00E77343">
            <w:pPr>
              <w:jc w:val="center"/>
              <w:rPr>
                <w:sz w:val="20"/>
                <w:szCs w:val="18"/>
                <w:lang w:val="en-GB"/>
              </w:rPr>
            </w:pPr>
          </w:p>
        </w:tc>
      </w:tr>
      <w:tr w:rsidR="000D446F" w:rsidRPr="00142B93" w14:paraId="1093E3AF" w14:textId="77777777" w:rsidTr="000D446F">
        <w:tc>
          <w:tcPr>
            <w:tcW w:w="2768" w:type="dxa"/>
            <w:vMerge/>
            <w:tcBorders>
              <w:top w:val="single" w:sz="6" w:space="0" w:color="auto"/>
            </w:tcBorders>
            <w:vAlign w:val="center"/>
          </w:tcPr>
          <w:p w14:paraId="1E12A504"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4C514353" w14:textId="77777777" w:rsidR="000D446F" w:rsidRPr="00142B93" w:rsidRDefault="000D446F" w:rsidP="00E77343">
            <w:pPr>
              <w:rPr>
                <w:sz w:val="20"/>
                <w:szCs w:val="18"/>
                <w:lang w:val="en-US"/>
              </w:rPr>
            </w:pPr>
            <w:r w:rsidRPr="00142B93">
              <w:rPr>
                <w:sz w:val="20"/>
                <w:szCs w:val="18"/>
              </w:rPr>
              <w:t>Post</w:t>
            </w:r>
          </w:p>
        </w:tc>
        <w:tc>
          <w:tcPr>
            <w:tcW w:w="1329" w:type="dxa"/>
            <w:tcBorders>
              <w:top w:val="single" w:sz="6" w:space="0" w:color="auto"/>
              <w:left w:val="single" w:sz="18" w:space="0" w:color="auto"/>
            </w:tcBorders>
            <w:vAlign w:val="center"/>
          </w:tcPr>
          <w:p w14:paraId="64909BD2" w14:textId="77777777" w:rsidR="000D446F" w:rsidRPr="00142B93" w:rsidRDefault="000D446F" w:rsidP="00E77343">
            <w:pPr>
              <w:jc w:val="center"/>
              <w:rPr>
                <w:sz w:val="20"/>
                <w:szCs w:val="18"/>
                <w:lang w:val="en-US"/>
              </w:rPr>
            </w:pPr>
            <w:r w:rsidRPr="000D6A79">
              <w:rPr>
                <w:sz w:val="20"/>
                <w:szCs w:val="18"/>
              </w:rPr>
              <w:t>€</w:t>
            </w:r>
            <w:r>
              <w:rPr>
                <w:sz w:val="20"/>
                <w:szCs w:val="18"/>
                <w:lang w:val="en-US"/>
              </w:rPr>
              <w:t>6,738,120</w:t>
            </w:r>
          </w:p>
        </w:tc>
        <w:tc>
          <w:tcPr>
            <w:tcW w:w="932" w:type="dxa"/>
            <w:tcBorders>
              <w:top w:val="single" w:sz="6" w:space="0" w:color="auto"/>
            </w:tcBorders>
          </w:tcPr>
          <w:p w14:paraId="1AB6AADF" w14:textId="77777777" w:rsidR="000D446F" w:rsidRPr="0014357D" w:rsidRDefault="000D446F" w:rsidP="00E77343">
            <w:pPr>
              <w:jc w:val="center"/>
              <w:rPr>
                <w:sz w:val="20"/>
                <w:szCs w:val="18"/>
              </w:rPr>
            </w:pPr>
            <w:r>
              <w:rPr>
                <w:sz w:val="20"/>
                <w:szCs w:val="18"/>
              </w:rPr>
              <w:t>35.80</w:t>
            </w:r>
          </w:p>
        </w:tc>
        <w:tc>
          <w:tcPr>
            <w:tcW w:w="1042" w:type="dxa"/>
            <w:tcBorders>
              <w:top w:val="single" w:sz="6" w:space="0" w:color="auto"/>
            </w:tcBorders>
            <w:vAlign w:val="center"/>
          </w:tcPr>
          <w:p w14:paraId="6CC5EFD8" w14:textId="77777777" w:rsidR="000D446F" w:rsidRPr="00142B93" w:rsidRDefault="000D446F" w:rsidP="00E77343">
            <w:pPr>
              <w:jc w:val="center"/>
              <w:rPr>
                <w:sz w:val="20"/>
                <w:szCs w:val="18"/>
                <w:lang w:val="en-US"/>
              </w:rPr>
            </w:pPr>
            <w:r w:rsidRPr="0014357D">
              <w:rPr>
                <w:sz w:val="20"/>
                <w:szCs w:val="18"/>
              </w:rPr>
              <w:t>2</w:t>
            </w:r>
            <w:r>
              <w:rPr>
                <w:sz w:val="20"/>
                <w:szCs w:val="18"/>
              </w:rPr>
              <w:t>0</w:t>
            </w:r>
            <w:r w:rsidRPr="0014357D">
              <w:rPr>
                <w:sz w:val="20"/>
                <w:szCs w:val="18"/>
              </w:rPr>
              <w:t>.</w:t>
            </w:r>
            <w:r>
              <w:rPr>
                <w:sz w:val="20"/>
                <w:szCs w:val="18"/>
              </w:rPr>
              <w:t>34</w:t>
            </w:r>
          </w:p>
        </w:tc>
        <w:tc>
          <w:tcPr>
            <w:tcW w:w="1889" w:type="dxa"/>
            <w:vMerge/>
            <w:vAlign w:val="center"/>
          </w:tcPr>
          <w:p w14:paraId="008F3293" w14:textId="77777777" w:rsidR="000D446F" w:rsidRPr="004A3C4E" w:rsidRDefault="000D446F" w:rsidP="00E77343">
            <w:pPr>
              <w:jc w:val="center"/>
              <w:rPr>
                <w:sz w:val="20"/>
                <w:szCs w:val="18"/>
                <w:lang w:val="en-GB"/>
              </w:rPr>
            </w:pPr>
          </w:p>
        </w:tc>
      </w:tr>
      <w:tr w:rsidR="000D446F" w:rsidRPr="00142B93" w14:paraId="49E38A21" w14:textId="77777777" w:rsidTr="000D446F">
        <w:tc>
          <w:tcPr>
            <w:tcW w:w="2768" w:type="dxa"/>
            <w:vMerge w:val="restart"/>
            <w:vAlign w:val="center"/>
          </w:tcPr>
          <w:p w14:paraId="14925F7C" w14:textId="77777777" w:rsidR="000D446F" w:rsidRPr="00142B93" w:rsidRDefault="000D446F" w:rsidP="00E77343">
            <w:pPr>
              <w:rPr>
                <w:sz w:val="20"/>
                <w:szCs w:val="18"/>
                <w:lang w:val="en-US"/>
              </w:rPr>
            </w:pPr>
            <w:r>
              <w:rPr>
                <w:sz w:val="20"/>
                <w:szCs w:val="18"/>
                <w:lang w:val="en-US"/>
              </w:rPr>
              <w:t xml:space="preserve">S1: </w:t>
            </w:r>
            <w:r w:rsidRPr="00142B93">
              <w:rPr>
                <w:sz w:val="20"/>
                <w:szCs w:val="18"/>
                <w:lang w:val="en-US"/>
              </w:rPr>
              <w:t xml:space="preserve">Societal perspective </w:t>
            </w:r>
          </w:p>
        </w:tc>
        <w:tc>
          <w:tcPr>
            <w:tcW w:w="1322" w:type="dxa"/>
            <w:tcBorders>
              <w:top w:val="single" w:sz="6" w:space="0" w:color="auto"/>
              <w:bottom w:val="single" w:sz="6" w:space="0" w:color="auto"/>
              <w:right w:val="single" w:sz="18" w:space="0" w:color="auto"/>
            </w:tcBorders>
            <w:vAlign w:val="center"/>
          </w:tcPr>
          <w:p w14:paraId="4E65CBC9" w14:textId="77777777" w:rsidR="000D446F" w:rsidRPr="00142B93" w:rsidRDefault="000D446F" w:rsidP="00E77343">
            <w:pPr>
              <w:rPr>
                <w:sz w:val="20"/>
                <w:szCs w:val="18"/>
              </w:rPr>
            </w:pPr>
            <w:r w:rsidRPr="00142B93">
              <w:rPr>
                <w:sz w:val="20"/>
                <w:szCs w:val="18"/>
              </w:rPr>
              <w:t>NIS</w:t>
            </w:r>
          </w:p>
        </w:tc>
        <w:tc>
          <w:tcPr>
            <w:tcW w:w="1329" w:type="dxa"/>
            <w:tcBorders>
              <w:left w:val="single" w:sz="18" w:space="0" w:color="auto"/>
            </w:tcBorders>
            <w:vAlign w:val="center"/>
          </w:tcPr>
          <w:p w14:paraId="3247B4E6" w14:textId="77777777" w:rsidR="000D446F" w:rsidRDefault="000D446F" w:rsidP="00E77343">
            <w:pPr>
              <w:jc w:val="center"/>
              <w:rPr>
                <w:sz w:val="20"/>
                <w:szCs w:val="18"/>
              </w:rPr>
            </w:pPr>
            <w:r w:rsidRPr="000D6A79">
              <w:rPr>
                <w:sz w:val="20"/>
                <w:szCs w:val="18"/>
              </w:rPr>
              <w:t>€</w:t>
            </w:r>
            <w:r>
              <w:rPr>
                <w:sz w:val="20"/>
                <w:szCs w:val="18"/>
              </w:rPr>
              <w:t>6,905,202</w:t>
            </w:r>
          </w:p>
        </w:tc>
        <w:tc>
          <w:tcPr>
            <w:tcW w:w="932" w:type="dxa"/>
          </w:tcPr>
          <w:p w14:paraId="03F3B9AB" w14:textId="77777777" w:rsidR="000D446F" w:rsidRDefault="000D446F" w:rsidP="00E77343">
            <w:pPr>
              <w:jc w:val="center"/>
              <w:rPr>
                <w:sz w:val="20"/>
                <w:szCs w:val="18"/>
              </w:rPr>
            </w:pPr>
            <w:r>
              <w:rPr>
                <w:sz w:val="20"/>
                <w:szCs w:val="18"/>
              </w:rPr>
              <w:t>46.80</w:t>
            </w:r>
          </w:p>
        </w:tc>
        <w:tc>
          <w:tcPr>
            <w:tcW w:w="1042" w:type="dxa"/>
            <w:vAlign w:val="center"/>
          </w:tcPr>
          <w:p w14:paraId="38268DFE" w14:textId="77777777" w:rsidR="000D446F" w:rsidRPr="00142B93" w:rsidRDefault="000D446F" w:rsidP="00E77343">
            <w:pPr>
              <w:jc w:val="center"/>
              <w:rPr>
                <w:sz w:val="20"/>
                <w:szCs w:val="18"/>
              </w:rPr>
            </w:pPr>
            <w:r>
              <w:rPr>
                <w:sz w:val="20"/>
                <w:szCs w:val="18"/>
              </w:rPr>
              <w:t>40</w:t>
            </w:r>
            <w:r w:rsidRPr="00142B93">
              <w:rPr>
                <w:sz w:val="20"/>
                <w:szCs w:val="18"/>
              </w:rPr>
              <w:t>.</w:t>
            </w:r>
            <w:r>
              <w:rPr>
                <w:sz w:val="20"/>
                <w:szCs w:val="18"/>
              </w:rPr>
              <w:t>95</w:t>
            </w:r>
          </w:p>
        </w:tc>
        <w:tc>
          <w:tcPr>
            <w:tcW w:w="1889" w:type="dxa"/>
            <w:vMerge w:val="restart"/>
            <w:vAlign w:val="center"/>
          </w:tcPr>
          <w:p w14:paraId="3A221DF1" w14:textId="77777777" w:rsidR="000D446F" w:rsidRPr="00E20646" w:rsidRDefault="000D446F" w:rsidP="00E77343">
            <w:pPr>
              <w:jc w:val="center"/>
              <w:rPr>
                <w:sz w:val="20"/>
                <w:szCs w:val="18"/>
                <w:vertAlign w:val="superscript"/>
                <w:lang w:val="en-GB"/>
              </w:rPr>
            </w:pPr>
            <w:proofErr w:type="spellStart"/>
            <w:r w:rsidRPr="004A3C4E">
              <w:rPr>
                <w:sz w:val="20"/>
                <w:szCs w:val="18"/>
                <w:lang w:val="en-GB"/>
              </w:rPr>
              <w:t>Dominated</w:t>
            </w:r>
            <w:r>
              <w:rPr>
                <w:sz w:val="20"/>
                <w:szCs w:val="18"/>
                <w:vertAlign w:val="superscript"/>
                <w:lang w:val="en-GB"/>
              </w:rPr>
              <w:t>b</w:t>
            </w:r>
            <w:proofErr w:type="spellEnd"/>
          </w:p>
        </w:tc>
      </w:tr>
      <w:tr w:rsidR="000D446F" w:rsidRPr="00142B93" w14:paraId="722E619C" w14:textId="77777777" w:rsidTr="000D446F">
        <w:tc>
          <w:tcPr>
            <w:tcW w:w="2768" w:type="dxa"/>
            <w:vMerge/>
            <w:vAlign w:val="center"/>
          </w:tcPr>
          <w:p w14:paraId="3936FD30"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0D9BF52E" w14:textId="77777777" w:rsidR="000D446F" w:rsidRPr="00142B93" w:rsidRDefault="000D446F" w:rsidP="00E77343">
            <w:pPr>
              <w:rPr>
                <w:sz w:val="20"/>
                <w:szCs w:val="18"/>
              </w:rPr>
            </w:pPr>
            <w:r w:rsidRPr="00142B93">
              <w:rPr>
                <w:sz w:val="20"/>
                <w:szCs w:val="18"/>
              </w:rPr>
              <w:t>Post</w:t>
            </w:r>
          </w:p>
        </w:tc>
        <w:tc>
          <w:tcPr>
            <w:tcW w:w="1329" w:type="dxa"/>
            <w:tcBorders>
              <w:left w:val="single" w:sz="18" w:space="0" w:color="auto"/>
            </w:tcBorders>
            <w:vAlign w:val="center"/>
          </w:tcPr>
          <w:p w14:paraId="331997EA" w14:textId="77777777" w:rsidR="000D446F" w:rsidRDefault="000D446F" w:rsidP="00E77343">
            <w:pPr>
              <w:jc w:val="center"/>
              <w:rPr>
                <w:sz w:val="20"/>
                <w:szCs w:val="18"/>
              </w:rPr>
            </w:pPr>
            <w:r w:rsidRPr="000D6A79">
              <w:rPr>
                <w:sz w:val="20"/>
                <w:szCs w:val="18"/>
              </w:rPr>
              <w:t>€</w:t>
            </w:r>
            <w:r>
              <w:rPr>
                <w:sz w:val="20"/>
                <w:szCs w:val="18"/>
              </w:rPr>
              <w:t>6,919,659</w:t>
            </w:r>
          </w:p>
        </w:tc>
        <w:tc>
          <w:tcPr>
            <w:tcW w:w="932" w:type="dxa"/>
          </w:tcPr>
          <w:p w14:paraId="77E5BA4E" w14:textId="77777777" w:rsidR="000D446F" w:rsidRDefault="000D446F" w:rsidP="00E77343">
            <w:pPr>
              <w:jc w:val="center"/>
              <w:rPr>
                <w:sz w:val="20"/>
                <w:szCs w:val="18"/>
              </w:rPr>
            </w:pPr>
            <w:r>
              <w:rPr>
                <w:sz w:val="20"/>
                <w:szCs w:val="18"/>
              </w:rPr>
              <w:t>35.80</w:t>
            </w:r>
          </w:p>
        </w:tc>
        <w:tc>
          <w:tcPr>
            <w:tcW w:w="1042" w:type="dxa"/>
            <w:vAlign w:val="center"/>
          </w:tcPr>
          <w:p w14:paraId="43293B6C" w14:textId="77777777" w:rsidR="000D446F" w:rsidRPr="00142B93" w:rsidRDefault="000D446F" w:rsidP="00E77343">
            <w:pPr>
              <w:jc w:val="center"/>
              <w:rPr>
                <w:sz w:val="20"/>
                <w:szCs w:val="18"/>
              </w:rPr>
            </w:pPr>
            <w:r>
              <w:rPr>
                <w:sz w:val="20"/>
                <w:szCs w:val="18"/>
              </w:rPr>
              <w:t>20,34</w:t>
            </w:r>
          </w:p>
        </w:tc>
        <w:tc>
          <w:tcPr>
            <w:tcW w:w="1889" w:type="dxa"/>
            <w:vMerge/>
            <w:vAlign w:val="center"/>
          </w:tcPr>
          <w:p w14:paraId="1FD96618" w14:textId="77777777" w:rsidR="000D446F" w:rsidRPr="004A3C4E" w:rsidRDefault="000D446F" w:rsidP="00E77343">
            <w:pPr>
              <w:jc w:val="center"/>
              <w:rPr>
                <w:sz w:val="20"/>
                <w:szCs w:val="18"/>
                <w:lang w:val="en-GB"/>
              </w:rPr>
            </w:pPr>
          </w:p>
        </w:tc>
      </w:tr>
      <w:tr w:rsidR="000D446F" w:rsidRPr="00142B93" w14:paraId="76A9FB2B" w14:textId="77777777" w:rsidTr="000D446F">
        <w:tc>
          <w:tcPr>
            <w:tcW w:w="2768" w:type="dxa"/>
            <w:vMerge w:val="restart"/>
            <w:vAlign w:val="center"/>
          </w:tcPr>
          <w:p w14:paraId="78639508" w14:textId="77777777" w:rsidR="000D446F" w:rsidRPr="00142B93" w:rsidRDefault="000D446F" w:rsidP="00E77343">
            <w:pPr>
              <w:rPr>
                <w:sz w:val="20"/>
                <w:szCs w:val="18"/>
                <w:lang w:val="en-US"/>
              </w:rPr>
            </w:pPr>
            <w:r>
              <w:rPr>
                <w:sz w:val="20"/>
                <w:szCs w:val="18"/>
                <w:lang w:val="en-US"/>
              </w:rPr>
              <w:t xml:space="preserve">S2: </w:t>
            </w:r>
            <w:r w:rsidRPr="00142B93">
              <w:rPr>
                <w:sz w:val="20"/>
                <w:szCs w:val="18"/>
                <w:lang w:val="en-US"/>
              </w:rPr>
              <w:t xml:space="preserve">Societal perspective </w:t>
            </w:r>
            <w:r>
              <w:rPr>
                <w:sz w:val="20"/>
                <w:szCs w:val="18"/>
                <w:lang w:val="en-US"/>
              </w:rPr>
              <w:t>+</w:t>
            </w:r>
            <w:r w:rsidRPr="00142B93">
              <w:rPr>
                <w:sz w:val="20"/>
                <w:szCs w:val="18"/>
                <w:lang w:val="en-US"/>
              </w:rPr>
              <w:t xml:space="preserve"> caregiver impacts </w:t>
            </w:r>
          </w:p>
        </w:tc>
        <w:tc>
          <w:tcPr>
            <w:tcW w:w="1322" w:type="dxa"/>
            <w:tcBorders>
              <w:top w:val="single" w:sz="6" w:space="0" w:color="auto"/>
              <w:bottom w:val="single" w:sz="6" w:space="0" w:color="auto"/>
              <w:right w:val="single" w:sz="18" w:space="0" w:color="auto"/>
            </w:tcBorders>
            <w:vAlign w:val="center"/>
          </w:tcPr>
          <w:p w14:paraId="1F593B62" w14:textId="77777777" w:rsidR="000D446F" w:rsidRPr="00142B93" w:rsidRDefault="000D446F" w:rsidP="00E77343">
            <w:pPr>
              <w:rPr>
                <w:sz w:val="20"/>
                <w:szCs w:val="18"/>
                <w:lang w:val="en-US"/>
              </w:rPr>
            </w:pPr>
            <w:r w:rsidRPr="00142B93">
              <w:rPr>
                <w:sz w:val="20"/>
                <w:szCs w:val="18"/>
              </w:rPr>
              <w:t>NIS</w:t>
            </w:r>
          </w:p>
        </w:tc>
        <w:tc>
          <w:tcPr>
            <w:tcW w:w="1329" w:type="dxa"/>
            <w:tcBorders>
              <w:left w:val="single" w:sz="18" w:space="0" w:color="auto"/>
            </w:tcBorders>
            <w:vAlign w:val="center"/>
          </w:tcPr>
          <w:p w14:paraId="3D47F299" w14:textId="77777777" w:rsidR="000D446F" w:rsidRPr="00142B93" w:rsidRDefault="000D446F" w:rsidP="00E77343">
            <w:pPr>
              <w:jc w:val="center"/>
              <w:rPr>
                <w:sz w:val="20"/>
                <w:szCs w:val="18"/>
                <w:lang w:val="en-US"/>
              </w:rPr>
            </w:pPr>
            <w:r w:rsidRPr="000D6A79">
              <w:rPr>
                <w:sz w:val="20"/>
                <w:szCs w:val="18"/>
              </w:rPr>
              <w:t>€</w:t>
            </w:r>
            <w:r>
              <w:rPr>
                <w:sz w:val="20"/>
                <w:szCs w:val="18"/>
              </w:rPr>
              <w:t>6,973,382</w:t>
            </w:r>
          </w:p>
        </w:tc>
        <w:tc>
          <w:tcPr>
            <w:tcW w:w="932" w:type="dxa"/>
          </w:tcPr>
          <w:p w14:paraId="0C32A2D0" w14:textId="77777777" w:rsidR="000D446F" w:rsidRPr="00142B93" w:rsidRDefault="000D446F" w:rsidP="00E77343">
            <w:pPr>
              <w:jc w:val="center"/>
              <w:rPr>
                <w:sz w:val="20"/>
                <w:szCs w:val="18"/>
              </w:rPr>
            </w:pPr>
            <w:r>
              <w:rPr>
                <w:sz w:val="20"/>
                <w:szCs w:val="18"/>
              </w:rPr>
              <w:t>46.80</w:t>
            </w:r>
          </w:p>
        </w:tc>
        <w:tc>
          <w:tcPr>
            <w:tcW w:w="1042" w:type="dxa"/>
            <w:vAlign w:val="center"/>
          </w:tcPr>
          <w:p w14:paraId="0D9CC721" w14:textId="77777777" w:rsidR="000D446F" w:rsidRPr="00142B93" w:rsidRDefault="000D446F" w:rsidP="00E77343">
            <w:pPr>
              <w:jc w:val="center"/>
              <w:rPr>
                <w:sz w:val="20"/>
                <w:szCs w:val="18"/>
                <w:lang w:val="en-US"/>
              </w:rPr>
            </w:pPr>
            <w:r w:rsidRPr="00142B93">
              <w:rPr>
                <w:sz w:val="20"/>
                <w:szCs w:val="18"/>
              </w:rPr>
              <w:t>43.</w:t>
            </w:r>
            <w:r>
              <w:rPr>
                <w:sz w:val="20"/>
                <w:szCs w:val="18"/>
              </w:rPr>
              <w:t>07</w:t>
            </w:r>
          </w:p>
        </w:tc>
        <w:tc>
          <w:tcPr>
            <w:tcW w:w="1889" w:type="dxa"/>
            <w:vMerge w:val="restart"/>
            <w:vAlign w:val="center"/>
          </w:tcPr>
          <w:p w14:paraId="528FEDFE" w14:textId="77777777" w:rsidR="000D446F" w:rsidRPr="004A3C4E" w:rsidRDefault="000D446F" w:rsidP="00E77343">
            <w:pPr>
              <w:jc w:val="center"/>
              <w:rPr>
                <w:sz w:val="20"/>
                <w:szCs w:val="18"/>
                <w:lang w:val="en-GB"/>
              </w:rPr>
            </w:pPr>
            <w:r w:rsidRPr="004A3C4E">
              <w:rPr>
                <w:sz w:val="20"/>
                <w:szCs w:val="18"/>
                <w:lang w:val="en-GB"/>
              </w:rPr>
              <w:t>Dominated</w:t>
            </w:r>
          </w:p>
        </w:tc>
      </w:tr>
      <w:tr w:rsidR="000D446F" w:rsidRPr="00142B93" w14:paraId="327B9F4F" w14:textId="77777777" w:rsidTr="000D446F">
        <w:tc>
          <w:tcPr>
            <w:tcW w:w="2768" w:type="dxa"/>
            <w:vMerge/>
            <w:vAlign w:val="center"/>
          </w:tcPr>
          <w:p w14:paraId="72158EEA"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40188F3C" w14:textId="77777777" w:rsidR="000D446F" w:rsidRPr="00142B93" w:rsidRDefault="000D446F" w:rsidP="00E77343">
            <w:pPr>
              <w:rPr>
                <w:sz w:val="20"/>
                <w:szCs w:val="18"/>
                <w:lang w:val="en-US"/>
              </w:rPr>
            </w:pPr>
            <w:r w:rsidRPr="00142B93">
              <w:rPr>
                <w:sz w:val="20"/>
                <w:szCs w:val="18"/>
              </w:rPr>
              <w:t>Post</w:t>
            </w:r>
          </w:p>
        </w:tc>
        <w:tc>
          <w:tcPr>
            <w:tcW w:w="1329" w:type="dxa"/>
            <w:tcBorders>
              <w:left w:val="single" w:sz="18" w:space="0" w:color="auto"/>
            </w:tcBorders>
            <w:vAlign w:val="center"/>
          </w:tcPr>
          <w:p w14:paraId="093BBDC0" w14:textId="77777777" w:rsidR="000D446F" w:rsidRPr="00142B93" w:rsidRDefault="000D446F" w:rsidP="00E77343">
            <w:pPr>
              <w:jc w:val="center"/>
              <w:rPr>
                <w:sz w:val="20"/>
                <w:szCs w:val="18"/>
              </w:rPr>
            </w:pPr>
            <w:r w:rsidRPr="000D6A79">
              <w:rPr>
                <w:sz w:val="20"/>
                <w:szCs w:val="18"/>
              </w:rPr>
              <w:t>€</w:t>
            </w:r>
            <w:r>
              <w:rPr>
                <w:sz w:val="20"/>
                <w:szCs w:val="18"/>
              </w:rPr>
              <w:t>7,047,735</w:t>
            </w:r>
          </w:p>
        </w:tc>
        <w:tc>
          <w:tcPr>
            <w:tcW w:w="932" w:type="dxa"/>
          </w:tcPr>
          <w:p w14:paraId="53EB3721" w14:textId="77777777" w:rsidR="000D446F" w:rsidRPr="00142B93" w:rsidRDefault="000D446F" w:rsidP="00E77343">
            <w:pPr>
              <w:jc w:val="center"/>
              <w:rPr>
                <w:sz w:val="20"/>
                <w:szCs w:val="18"/>
              </w:rPr>
            </w:pPr>
            <w:r>
              <w:rPr>
                <w:sz w:val="20"/>
                <w:szCs w:val="18"/>
              </w:rPr>
              <w:t>35.80</w:t>
            </w:r>
          </w:p>
        </w:tc>
        <w:tc>
          <w:tcPr>
            <w:tcW w:w="1042" w:type="dxa"/>
            <w:vAlign w:val="center"/>
          </w:tcPr>
          <w:p w14:paraId="01AED8AA" w14:textId="77777777" w:rsidR="000D446F" w:rsidRPr="00142B93" w:rsidRDefault="000D446F" w:rsidP="00E77343">
            <w:pPr>
              <w:jc w:val="center"/>
              <w:rPr>
                <w:sz w:val="20"/>
                <w:szCs w:val="18"/>
              </w:rPr>
            </w:pPr>
            <w:r w:rsidRPr="00142B93">
              <w:rPr>
                <w:sz w:val="20"/>
                <w:szCs w:val="18"/>
              </w:rPr>
              <w:t>1</w:t>
            </w:r>
            <w:r>
              <w:rPr>
                <w:sz w:val="20"/>
                <w:szCs w:val="18"/>
              </w:rPr>
              <w:t>5.56</w:t>
            </w:r>
          </w:p>
        </w:tc>
        <w:tc>
          <w:tcPr>
            <w:tcW w:w="1889" w:type="dxa"/>
            <w:vMerge/>
            <w:vAlign w:val="center"/>
          </w:tcPr>
          <w:p w14:paraId="2BBAA5E9" w14:textId="77777777" w:rsidR="000D446F" w:rsidRPr="004A3C4E" w:rsidRDefault="000D446F" w:rsidP="00E77343">
            <w:pPr>
              <w:jc w:val="center"/>
              <w:rPr>
                <w:sz w:val="20"/>
                <w:szCs w:val="18"/>
                <w:lang w:val="en-GB"/>
              </w:rPr>
            </w:pPr>
          </w:p>
        </w:tc>
      </w:tr>
      <w:tr w:rsidR="000D446F" w:rsidRPr="005D6A44" w14:paraId="14DCB2A2" w14:textId="77777777" w:rsidTr="000D446F">
        <w:trPr>
          <w:trHeight w:val="339"/>
        </w:trPr>
        <w:tc>
          <w:tcPr>
            <w:tcW w:w="2768" w:type="dxa"/>
            <w:vMerge w:val="restart"/>
            <w:vAlign w:val="center"/>
          </w:tcPr>
          <w:p w14:paraId="4B9B6500" w14:textId="77777777" w:rsidR="000D446F" w:rsidRPr="00142B93" w:rsidRDefault="000D446F" w:rsidP="00E77343">
            <w:pPr>
              <w:rPr>
                <w:sz w:val="20"/>
                <w:szCs w:val="18"/>
                <w:lang w:val="en-US"/>
              </w:rPr>
            </w:pPr>
            <w:r>
              <w:rPr>
                <w:sz w:val="20"/>
                <w:szCs w:val="18"/>
                <w:lang w:val="en-US"/>
              </w:rPr>
              <w:t xml:space="preserve">S3: </w:t>
            </w:r>
            <w:r w:rsidRPr="003D3EC3">
              <w:rPr>
                <w:sz w:val="20"/>
                <w:szCs w:val="18"/>
                <w:lang w:val="en-US"/>
              </w:rPr>
              <w:t>Distribution of treatments with the same proportion in NIS and Post patients (health care perspective)</w:t>
            </w:r>
          </w:p>
        </w:tc>
        <w:tc>
          <w:tcPr>
            <w:tcW w:w="1322" w:type="dxa"/>
            <w:tcBorders>
              <w:top w:val="single" w:sz="6" w:space="0" w:color="auto"/>
              <w:bottom w:val="single" w:sz="6" w:space="0" w:color="auto"/>
              <w:right w:val="single" w:sz="18" w:space="0" w:color="auto"/>
            </w:tcBorders>
            <w:vAlign w:val="center"/>
          </w:tcPr>
          <w:p w14:paraId="237E9FE5" w14:textId="77777777" w:rsidR="000D446F" w:rsidRPr="005D6A44" w:rsidRDefault="000D446F" w:rsidP="00E77343">
            <w:pPr>
              <w:rPr>
                <w:sz w:val="20"/>
                <w:szCs w:val="18"/>
                <w:lang w:val="en-US"/>
              </w:rPr>
            </w:pPr>
            <w:r>
              <w:rPr>
                <w:sz w:val="20"/>
                <w:szCs w:val="18"/>
                <w:lang w:val="en-US"/>
              </w:rPr>
              <w:t>NIS</w:t>
            </w:r>
          </w:p>
        </w:tc>
        <w:tc>
          <w:tcPr>
            <w:tcW w:w="1329" w:type="dxa"/>
            <w:tcBorders>
              <w:left w:val="single" w:sz="18" w:space="0" w:color="auto"/>
            </w:tcBorders>
            <w:vAlign w:val="center"/>
          </w:tcPr>
          <w:p w14:paraId="4BC8E770" w14:textId="77777777" w:rsidR="000D446F" w:rsidRPr="005D6A44" w:rsidRDefault="000D446F" w:rsidP="00E77343">
            <w:pPr>
              <w:jc w:val="center"/>
              <w:rPr>
                <w:sz w:val="20"/>
                <w:szCs w:val="18"/>
                <w:lang w:val="en-US"/>
              </w:rPr>
            </w:pPr>
            <w:r w:rsidRPr="000D6A79">
              <w:rPr>
                <w:sz w:val="20"/>
                <w:szCs w:val="18"/>
              </w:rPr>
              <w:t>€</w:t>
            </w:r>
            <w:r w:rsidRPr="003D3EC3">
              <w:rPr>
                <w:sz w:val="20"/>
                <w:szCs w:val="18"/>
                <w:lang w:val="en-US"/>
              </w:rPr>
              <w:t>6,661,517</w:t>
            </w:r>
          </w:p>
        </w:tc>
        <w:tc>
          <w:tcPr>
            <w:tcW w:w="932" w:type="dxa"/>
          </w:tcPr>
          <w:p w14:paraId="756385F5" w14:textId="77777777" w:rsidR="000D446F" w:rsidRPr="00142B93" w:rsidRDefault="000D446F" w:rsidP="00E77343">
            <w:pPr>
              <w:jc w:val="center"/>
              <w:rPr>
                <w:sz w:val="20"/>
                <w:szCs w:val="18"/>
              </w:rPr>
            </w:pPr>
            <w:r>
              <w:rPr>
                <w:sz w:val="20"/>
                <w:szCs w:val="18"/>
              </w:rPr>
              <w:t>46.80</w:t>
            </w:r>
          </w:p>
        </w:tc>
        <w:tc>
          <w:tcPr>
            <w:tcW w:w="1042" w:type="dxa"/>
            <w:vAlign w:val="center"/>
          </w:tcPr>
          <w:p w14:paraId="0616F2C8" w14:textId="77777777" w:rsidR="000D446F" w:rsidRPr="005D6A44" w:rsidRDefault="000D446F" w:rsidP="00E77343">
            <w:pPr>
              <w:jc w:val="center"/>
              <w:rPr>
                <w:sz w:val="20"/>
                <w:szCs w:val="18"/>
                <w:lang w:val="en-US"/>
              </w:rPr>
            </w:pPr>
            <w:r w:rsidRPr="00142B93">
              <w:rPr>
                <w:sz w:val="20"/>
                <w:szCs w:val="18"/>
              </w:rPr>
              <w:t>40.95</w:t>
            </w:r>
          </w:p>
        </w:tc>
        <w:tc>
          <w:tcPr>
            <w:tcW w:w="1889" w:type="dxa"/>
            <w:vMerge w:val="restart"/>
            <w:vAlign w:val="center"/>
          </w:tcPr>
          <w:p w14:paraId="396C8FFD" w14:textId="77777777" w:rsidR="000D446F" w:rsidRPr="004A3C4E" w:rsidRDefault="000D446F" w:rsidP="00E77343">
            <w:pPr>
              <w:jc w:val="center"/>
              <w:rPr>
                <w:sz w:val="20"/>
                <w:szCs w:val="18"/>
                <w:lang w:val="en-GB"/>
              </w:rPr>
            </w:pPr>
            <w:r w:rsidRPr="004A3C4E">
              <w:rPr>
                <w:sz w:val="20"/>
                <w:szCs w:val="18"/>
                <w:lang w:val="en-GB"/>
              </w:rPr>
              <w:t>€57,749</w:t>
            </w:r>
          </w:p>
        </w:tc>
      </w:tr>
      <w:tr w:rsidR="000D446F" w:rsidRPr="005D6A44" w14:paraId="3953F320" w14:textId="77777777" w:rsidTr="000D446F">
        <w:tc>
          <w:tcPr>
            <w:tcW w:w="2768" w:type="dxa"/>
            <w:vMerge/>
            <w:vAlign w:val="center"/>
          </w:tcPr>
          <w:p w14:paraId="71BD9C88" w14:textId="77777777" w:rsidR="000D446F"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122B09A4" w14:textId="77777777" w:rsidR="000D446F" w:rsidRPr="005D6A44" w:rsidRDefault="000D446F" w:rsidP="00E77343">
            <w:pPr>
              <w:rPr>
                <w:sz w:val="20"/>
                <w:szCs w:val="18"/>
                <w:lang w:val="en-US"/>
              </w:rPr>
            </w:pPr>
            <w:r>
              <w:rPr>
                <w:sz w:val="20"/>
                <w:szCs w:val="18"/>
                <w:lang w:val="en-US"/>
              </w:rPr>
              <w:t>Post</w:t>
            </w:r>
          </w:p>
        </w:tc>
        <w:tc>
          <w:tcPr>
            <w:tcW w:w="1329" w:type="dxa"/>
            <w:tcBorders>
              <w:left w:val="single" w:sz="18" w:space="0" w:color="auto"/>
            </w:tcBorders>
            <w:vAlign w:val="center"/>
          </w:tcPr>
          <w:p w14:paraId="181D925A" w14:textId="77777777" w:rsidR="000D446F" w:rsidRPr="005D6A44" w:rsidRDefault="000D446F" w:rsidP="00E77343">
            <w:pPr>
              <w:jc w:val="center"/>
              <w:rPr>
                <w:sz w:val="20"/>
                <w:szCs w:val="18"/>
                <w:lang w:val="en-US"/>
              </w:rPr>
            </w:pPr>
            <w:r w:rsidRPr="000D6A79">
              <w:rPr>
                <w:sz w:val="20"/>
                <w:szCs w:val="18"/>
              </w:rPr>
              <w:t>€</w:t>
            </w:r>
            <w:r w:rsidRPr="003D3EC3">
              <w:rPr>
                <w:sz w:val="20"/>
                <w:szCs w:val="18"/>
                <w:lang w:val="en-US"/>
              </w:rPr>
              <w:t>5,316,196</w:t>
            </w:r>
          </w:p>
        </w:tc>
        <w:tc>
          <w:tcPr>
            <w:tcW w:w="932" w:type="dxa"/>
          </w:tcPr>
          <w:p w14:paraId="41843BE5" w14:textId="77777777" w:rsidR="000D446F" w:rsidRPr="0014357D" w:rsidRDefault="000D446F" w:rsidP="00E77343">
            <w:pPr>
              <w:jc w:val="center"/>
              <w:rPr>
                <w:sz w:val="20"/>
                <w:szCs w:val="18"/>
              </w:rPr>
            </w:pPr>
            <w:r>
              <w:rPr>
                <w:sz w:val="20"/>
                <w:szCs w:val="18"/>
              </w:rPr>
              <w:t>35.80</w:t>
            </w:r>
          </w:p>
        </w:tc>
        <w:tc>
          <w:tcPr>
            <w:tcW w:w="1042" w:type="dxa"/>
            <w:vAlign w:val="center"/>
          </w:tcPr>
          <w:p w14:paraId="08FA98AF" w14:textId="77777777" w:rsidR="000D446F" w:rsidRPr="005D6A44" w:rsidRDefault="000D446F" w:rsidP="00E77343">
            <w:pPr>
              <w:jc w:val="center"/>
              <w:rPr>
                <w:sz w:val="20"/>
                <w:szCs w:val="18"/>
                <w:lang w:val="en-US"/>
              </w:rPr>
            </w:pPr>
            <w:r w:rsidRPr="0014357D">
              <w:rPr>
                <w:sz w:val="20"/>
                <w:szCs w:val="18"/>
              </w:rPr>
              <w:t>2</w:t>
            </w:r>
            <w:r>
              <w:rPr>
                <w:sz w:val="20"/>
                <w:szCs w:val="18"/>
              </w:rPr>
              <w:t>0</w:t>
            </w:r>
            <w:r w:rsidRPr="0014357D">
              <w:rPr>
                <w:sz w:val="20"/>
                <w:szCs w:val="18"/>
              </w:rPr>
              <w:t>.</w:t>
            </w:r>
            <w:r>
              <w:rPr>
                <w:sz w:val="20"/>
                <w:szCs w:val="18"/>
              </w:rPr>
              <w:t>34</w:t>
            </w:r>
          </w:p>
        </w:tc>
        <w:tc>
          <w:tcPr>
            <w:tcW w:w="1889" w:type="dxa"/>
            <w:vMerge/>
            <w:vAlign w:val="center"/>
          </w:tcPr>
          <w:p w14:paraId="10C038E9" w14:textId="77777777" w:rsidR="000D446F" w:rsidRPr="004A3C4E" w:rsidRDefault="000D446F" w:rsidP="00E77343">
            <w:pPr>
              <w:jc w:val="center"/>
              <w:rPr>
                <w:sz w:val="20"/>
                <w:szCs w:val="18"/>
                <w:lang w:val="en-GB"/>
              </w:rPr>
            </w:pPr>
          </w:p>
        </w:tc>
      </w:tr>
      <w:tr w:rsidR="000D446F" w:rsidRPr="005D6A44" w14:paraId="42D3EA1A" w14:textId="77777777" w:rsidTr="000D446F">
        <w:tc>
          <w:tcPr>
            <w:tcW w:w="2768" w:type="dxa"/>
            <w:vMerge w:val="restart"/>
            <w:vAlign w:val="center"/>
          </w:tcPr>
          <w:p w14:paraId="64A2DA1B" w14:textId="77777777" w:rsidR="000D446F" w:rsidRDefault="000D446F" w:rsidP="00E77343">
            <w:pPr>
              <w:rPr>
                <w:sz w:val="20"/>
                <w:szCs w:val="18"/>
                <w:lang w:val="en-US"/>
              </w:rPr>
            </w:pPr>
            <w:r>
              <w:rPr>
                <w:sz w:val="20"/>
                <w:szCs w:val="18"/>
                <w:lang w:val="en-US"/>
              </w:rPr>
              <w:t xml:space="preserve">S4: </w:t>
            </w:r>
            <w:r w:rsidRPr="003D3EC3">
              <w:rPr>
                <w:sz w:val="20"/>
                <w:szCs w:val="18"/>
                <w:lang w:val="en-US"/>
              </w:rPr>
              <w:t>Distribution of treatments according to parental choice</w:t>
            </w:r>
          </w:p>
        </w:tc>
        <w:tc>
          <w:tcPr>
            <w:tcW w:w="1322" w:type="dxa"/>
            <w:tcBorders>
              <w:top w:val="single" w:sz="6" w:space="0" w:color="auto"/>
              <w:bottom w:val="single" w:sz="6" w:space="0" w:color="auto"/>
              <w:right w:val="single" w:sz="18" w:space="0" w:color="auto"/>
            </w:tcBorders>
            <w:vAlign w:val="center"/>
          </w:tcPr>
          <w:p w14:paraId="56962296" w14:textId="77777777" w:rsidR="000D446F" w:rsidRPr="005D6A44" w:rsidRDefault="000D446F" w:rsidP="00E77343">
            <w:pPr>
              <w:rPr>
                <w:sz w:val="20"/>
                <w:szCs w:val="18"/>
                <w:lang w:val="en-US"/>
              </w:rPr>
            </w:pPr>
            <w:r>
              <w:rPr>
                <w:sz w:val="20"/>
                <w:szCs w:val="18"/>
                <w:lang w:val="en-US"/>
              </w:rPr>
              <w:t>NIS</w:t>
            </w:r>
          </w:p>
        </w:tc>
        <w:tc>
          <w:tcPr>
            <w:tcW w:w="1329" w:type="dxa"/>
            <w:tcBorders>
              <w:left w:val="single" w:sz="18" w:space="0" w:color="auto"/>
            </w:tcBorders>
            <w:vAlign w:val="center"/>
          </w:tcPr>
          <w:p w14:paraId="58B9BA18" w14:textId="77777777" w:rsidR="000D446F" w:rsidRPr="005D6A44" w:rsidRDefault="000D446F" w:rsidP="00E77343">
            <w:pPr>
              <w:jc w:val="center"/>
              <w:rPr>
                <w:sz w:val="20"/>
                <w:szCs w:val="18"/>
                <w:lang w:val="en-US"/>
              </w:rPr>
            </w:pPr>
            <w:r w:rsidRPr="000D6A79">
              <w:rPr>
                <w:sz w:val="20"/>
                <w:szCs w:val="18"/>
              </w:rPr>
              <w:t>€</w:t>
            </w:r>
            <w:r w:rsidRPr="003D3EC3">
              <w:rPr>
                <w:sz w:val="20"/>
                <w:szCs w:val="18"/>
                <w:lang w:val="en-US"/>
              </w:rPr>
              <w:t>3,786,492</w:t>
            </w:r>
          </w:p>
        </w:tc>
        <w:tc>
          <w:tcPr>
            <w:tcW w:w="932" w:type="dxa"/>
          </w:tcPr>
          <w:p w14:paraId="6825103F" w14:textId="77777777" w:rsidR="000D446F" w:rsidRPr="00142B93" w:rsidRDefault="000D446F" w:rsidP="00E77343">
            <w:pPr>
              <w:jc w:val="center"/>
              <w:rPr>
                <w:sz w:val="20"/>
                <w:szCs w:val="18"/>
              </w:rPr>
            </w:pPr>
            <w:r>
              <w:rPr>
                <w:sz w:val="20"/>
                <w:szCs w:val="18"/>
              </w:rPr>
              <w:t>46.80</w:t>
            </w:r>
          </w:p>
        </w:tc>
        <w:tc>
          <w:tcPr>
            <w:tcW w:w="1042" w:type="dxa"/>
            <w:vAlign w:val="center"/>
          </w:tcPr>
          <w:p w14:paraId="70ED1F72" w14:textId="77777777" w:rsidR="000D446F" w:rsidRPr="005D6A44" w:rsidRDefault="000D446F" w:rsidP="00E77343">
            <w:pPr>
              <w:jc w:val="center"/>
              <w:rPr>
                <w:sz w:val="20"/>
                <w:szCs w:val="18"/>
                <w:lang w:val="en-US"/>
              </w:rPr>
            </w:pPr>
            <w:r w:rsidRPr="00142B93">
              <w:rPr>
                <w:sz w:val="20"/>
                <w:szCs w:val="18"/>
              </w:rPr>
              <w:t>40.95</w:t>
            </w:r>
          </w:p>
        </w:tc>
        <w:tc>
          <w:tcPr>
            <w:tcW w:w="1889" w:type="dxa"/>
            <w:vMerge w:val="restart"/>
            <w:vAlign w:val="center"/>
          </w:tcPr>
          <w:p w14:paraId="53DC3B18" w14:textId="77777777" w:rsidR="000D446F" w:rsidRPr="004A3C4E" w:rsidRDefault="000D446F" w:rsidP="00E77343">
            <w:pPr>
              <w:jc w:val="center"/>
              <w:rPr>
                <w:sz w:val="20"/>
                <w:szCs w:val="18"/>
                <w:lang w:val="en-GB"/>
              </w:rPr>
            </w:pPr>
            <w:r w:rsidRPr="004A3C4E">
              <w:rPr>
                <w:sz w:val="20"/>
                <w:szCs w:val="18"/>
                <w:lang w:val="en-GB"/>
              </w:rPr>
              <w:t>Dominated</w:t>
            </w:r>
          </w:p>
        </w:tc>
      </w:tr>
      <w:tr w:rsidR="000D446F" w:rsidRPr="005D6A44" w14:paraId="5A0070C6" w14:textId="77777777" w:rsidTr="000D446F">
        <w:tc>
          <w:tcPr>
            <w:tcW w:w="2768" w:type="dxa"/>
            <w:vMerge/>
            <w:vAlign w:val="center"/>
          </w:tcPr>
          <w:p w14:paraId="56C8ADE0"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6BC360AF" w14:textId="77777777" w:rsidR="000D446F" w:rsidRPr="005D6A44" w:rsidRDefault="000D446F" w:rsidP="00E77343">
            <w:pPr>
              <w:rPr>
                <w:sz w:val="20"/>
                <w:szCs w:val="18"/>
                <w:lang w:val="en-US"/>
              </w:rPr>
            </w:pPr>
            <w:r>
              <w:rPr>
                <w:sz w:val="20"/>
                <w:szCs w:val="18"/>
                <w:lang w:val="en-US"/>
              </w:rPr>
              <w:t>Post</w:t>
            </w:r>
          </w:p>
        </w:tc>
        <w:tc>
          <w:tcPr>
            <w:tcW w:w="1329" w:type="dxa"/>
            <w:tcBorders>
              <w:left w:val="single" w:sz="18" w:space="0" w:color="auto"/>
            </w:tcBorders>
            <w:vAlign w:val="center"/>
          </w:tcPr>
          <w:p w14:paraId="41611282" w14:textId="77777777" w:rsidR="000D446F" w:rsidRPr="005D6A44" w:rsidRDefault="000D446F" w:rsidP="00E77343">
            <w:pPr>
              <w:jc w:val="center"/>
              <w:rPr>
                <w:sz w:val="20"/>
                <w:szCs w:val="18"/>
                <w:lang w:val="en-US"/>
              </w:rPr>
            </w:pPr>
            <w:r w:rsidRPr="000D6A79">
              <w:rPr>
                <w:sz w:val="20"/>
                <w:szCs w:val="18"/>
              </w:rPr>
              <w:t>€</w:t>
            </w:r>
            <w:r w:rsidRPr="003D3EC3">
              <w:rPr>
                <w:sz w:val="20"/>
                <w:szCs w:val="18"/>
                <w:lang w:val="en-US"/>
              </w:rPr>
              <w:t>6,383,240</w:t>
            </w:r>
          </w:p>
        </w:tc>
        <w:tc>
          <w:tcPr>
            <w:tcW w:w="932" w:type="dxa"/>
          </w:tcPr>
          <w:p w14:paraId="440FE5A9" w14:textId="77777777" w:rsidR="000D446F" w:rsidRPr="0014357D" w:rsidRDefault="000D446F" w:rsidP="00E77343">
            <w:pPr>
              <w:jc w:val="center"/>
              <w:rPr>
                <w:sz w:val="20"/>
                <w:szCs w:val="18"/>
              </w:rPr>
            </w:pPr>
            <w:r>
              <w:rPr>
                <w:sz w:val="20"/>
                <w:szCs w:val="18"/>
              </w:rPr>
              <w:t>35.80</w:t>
            </w:r>
          </w:p>
        </w:tc>
        <w:tc>
          <w:tcPr>
            <w:tcW w:w="1042" w:type="dxa"/>
            <w:vAlign w:val="center"/>
          </w:tcPr>
          <w:p w14:paraId="30EA5578" w14:textId="77777777" w:rsidR="000D446F" w:rsidRPr="005D6A44" w:rsidRDefault="000D446F" w:rsidP="00E77343">
            <w:pPr>
              <w:jc w:val="center"/>
              <w:rPr>
                <w:sz w:val="20"/>
                <w:szCs w:val="18"/>
                <w:lang w:val="en-US"/>
              </w:rPr>
            </w:pPr>
            <w:r w:rsidRPr="0014357D">
              <w:rPr>
                <w:sz w:val="20"/>
                <w:szCs w:val="18"/>
              </w:rPr>
              <w:t>2</w:t>
            </w:r>
            <w:r>
              <w:rPr>
                <w:sz w:val="20"/>
                <w:szCs w:val="18"/>
              </w:rPr>
              <w:t>0</w:t>
            </w:r>
            <w:r w:rsidRPr="0014357D">
              <w:rPr>
                <w:sz w:val="20"/>
                <w:szCs w:val="18"/>
              </w:rPr>
              <w:t>.</w:t>
            </w:r>
            <w:r>
              <w:rPr>
                <w:sz w:val="20"/>
                <w:szCs w:val="18"/>
              </w:rPr>
              <w:t>34</w:t>
            </w:r>
          </w:p>
        </w:tc>
        <w:tc>
          <w:tcPr>
            <w:tcW w:w="1889" w:type="dxa"/>
            <w:vMerge/>
            <w:vAlign w:val="center"/>
          </w:tcPr>
          <w:p w14:paraId="28DDA49A" w14:textId="77777777" w:rsidR="000D446F" w:rsidRPr="004A3C4E" w:rsidRDefault="000D446F" w:rsidP="00E77343">
            <w:pPr>
              <w:jc w:val="center"/>
              <w:rPr>
                <w:sz w:val="20"/>
                <w:szCs w:val="18"/>
                <w:lang w:val="en-GB"/>
              </w:rPr>
            </w:pPr>
          </w:p>
        </w:tc>
      </w:tr>
      <w:tr w:rsidR="000D446F" w:rsidRPr="005D6A44" w14:paraId="6AA18459" w14:textId="77777777" w:rsidTr="000D446F">
        <w:tc>
          <w:tcPr>
            <w:tcW w:w="2768" w:type="dxa"/>
            <w:vMerge w:val="restart"/>
            <w:vAlign w:val="center"/>
          </w:tcPr>
          <w:p w14:paraId="5DF34B0C" w14:textId="77777777" w:rsidR="000D446F" w:rsidRDefault="000D446F" w:rsidP="00E77343">
            <w:pPr>
              <w:rPr>
                <w:sz w:val="20"/>
                <w:szCs w:val="18"/>
                <w:lang w:val="en-US"/>
              </w:rPr>
            </w:pPr>
            <w:r>
              <w:rPr>
                <w:sz w:val="20"/>
                <w:szCs w:val="18"/>
                <w:lang w:val="en-US"/>
              </w:rPr>
              <w:t xml:space="preserve">S5A: </w:t>
            </w:r>
            <w:r w:rsidRPr="005D6A44">
              <w:rPr>
                <w:sz w:val="20"/>
                <w:szCs w:val="18"/>
                <w:lang w:val="en-US"/>
              </w:rPr>
              <w:t>Healthcare perspective with a 10</w:t>
            </w:r>
            <w:r>
              <w:rPr>
                <w:sz w:val="20"/>
                <w:szCs w:val="18"/>
                <w:lang w:val="en-US"/>
              </w:rPr>
              <w:t>-year time horizon</w:t>
            </w:r>
          </w:p>
        </w:tc>
        <w:tc>
          <w:tcPr>
            <w:tcW w:w="1322" w:type="dxa"/>
            <w:tcBorders>
              <w:top w:val="single" w:sz="6" w:space="0" w:color="auto"/>
              <w:bottom w:val="single" w:sz="6" w:space="0" w:color="auto"/>
              <w:right w:val="single" w:sz="18" w:space="0" w:color="auto"/>
            </w:tcBorders>
            <w:vAlign w:val="center"/>
          </w:tcPr>
          <w:p w14:paraId="5992F382" w14:textId="77777777" w:rsidR="000D446F" w:rsidRPr="005D6A44" w:rsidRDefault="000D446F" w:rsidP="00E77343">
            <w:pPr>
              <w:rPr>
                <w:sz w:val="20"/>
                <w:szCs w:val="18"/>
                <w:lang w:val="en-US"/>
              </w:rPr>
            </w:pPr>
            <w:r>
              <w:rPr>
                <w:sz w:val="20"/>
                <w:szCs w:val="18"/>
                <w:lang w:val="en-US"/>
              </w:rPr>
              <w:t>NIS</w:t>
            </w:r>
          </w:p>
        </w:tc>
        <w:tc>
          <w:tcPr>
            <w:tcW w:w="1329" w:type="dxa"/>
            <w:tcBorders>
              <w:left w:val="single" w:sz="18" w:space="0" w:color="auto"/>
            </w:tcBorders>
          </w:tcPr>
          <w:p w14:paraId="7594AE7F" w14:textId="77777777" w:rsidR="000D446F" w:rsidRPr="005D6A44" w:rsidRDefault="000D446F" w:rsidP="00E77343">
            <w:pPr>
              <w:jc w:val="center"/>
              <w:rPr>
                <w:sz w:val="20"/>
                <w:szCs w:val="18"/>
                <w:lang w:val="en-US"/>
              </w:rPr>
            </w:pPr>
            <w:r w:rsidRPr="000D6A79">
              <w:rPr>
                <w:sz w:val="20"/>
                <w:szCs w:val="18"/>
              </w:rPr>
              <w:t>€</w:t>
            </w:r>
            <w:r w:rsidRPr="00397139">
              <w:rPr>
                <w:sz w:val="20"/>
                <w:szCs w:val="18"/>
                <w:lang w:val="en-US"/>
              </w:rPr>
              <w:t>2,354,936</w:t>
            </w:r>
          </w:p>
        </w:tc>
        <w:tc>
          <w:tcPr>
            <w:tcW w:w="932" w:type="dxa"/>
          </w:tcPr>
          <w:p w14:paraId="63F72A08" w14:textId="77777777" w:rsidR="000D446F" w:rsidRDefault="000D446F" w:rsidP="00E77343">
            <w:pPr>
              <w:jc w:val="center"/>
              <w:rPr>
                <w:sz w:val="20"/>
                <w:szCs w:val="18"/>
                <w:lang w:val="en-US"/>
              </w:rPr>
            </w:pPr>
            <w:r>
              <w:rPr>
                <w:sz w:val="20"/>
                <w:szCs w:val="18"/>
                <w:lang w:val="en-US"/>
              </w:rPr>
              <w:t>9.30</w:t>
            </w:r>
          </w:p>
        </w:tc>
        <w:tc>
          <w:tcPr>
            <w:tcW w:w="1042" w:type="dxa"/>
            <w:vAlign w:val="center"/>
          </w:tcPr>
          <w:p w14:paraId="1C146454" w14:textId="77777777" w:rsidR="000D446F" w:rsidRPr="005D6A44" w:rsidRDefault="000D446F" w:rsidP="00E77343">
            <w:pPr>
              <w:jc w:val="center"/>
              <w:rPr>
                <w:sz w:val="20"/>
                <w:szCs w:val="18"/>
                <w:lang w:val="en-US"/>
              </w:rPr>
            </w:pPr>
            <w:r>
              <w:rPr>
                <w:sz w:val="20"/>
                <w:szCs w:val="18"/>
                <w:lang w:val="en-US"/>
              </w:rPr>
              <w:t>8.04</w:t>
            </w:r>
          </w:p>
        </w:tc>
        <w:tc>
          <w:tcPr>
            <w:tcW w:w="1889" w:type="dxa"/>
            <w:vMerge w:val="restart"/>
            <w:vAlign w:val="center"/>
          </w:tcPr>
          <w:p w14:paraId="5559A1D0" w14:textId="77777777" w:rsidR="000D446F" w:rsidRPr="004A3C4E" w:rsidRDefault="000D446F" w:rsidP="00E77343">
            <w:pPr>
              <w:jc w:val="center"/>
              <w:rPr>
                <w:sz w:val="20"/>
                <w:szCs w:val="18"/>
                <w:lang w:val="en-GB"/>
              </w:rPr>
            </w:pPr>
            <w:r w:rsidRPr="004A3C4E">
              <w:rPr>
                <w:sz w:val="20"/>
                <w:szCs w:val="18"/>
                <w:lang w:val="en-GB"/>
              </w:rPr>
              <w:t>€10,644</w:t>
            </w:r>
          </w:p>
        </w:tc>
      </w:tr>
      <w:tr w:rsidR="000D446F" w:rsidRPr="005D6A44" w14:paraId="428538DB" w14:textId="77777777" w:rsidTr="000D446F">
        <w:tc>
          <w:tcPr>
            <w:tcW w:w="2768" w:type="dxa"/>
            <w:vMerge/>
            <w:vAlign w:val="center"/>
          </w:tcPr>
          <w:p w14:paraId="515F37BA" w14:textId="77777777" w:rsidR="000D446F"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4CE9BBE7" w14:textId="77777777" w:rsidR="000D446F" w:rsidRPr="005D6A44" w:rsidRDefault="000D446F" w:rsidP="00E77343">
            <w:pPr>
              <w:rPr>
                <w:sz w:val="20"/>
                <w:szCs w:val="18"/>
                <w:lang w:val="en-US"/>
              </w:rPr>
            </w:pPr>
            <w:r>
              <w:rPr>
                <w:sz w:val="20"/>
                <w:szCs w:val="18"/>
                <w:lang w:val="en-US"/>
              </w:rPr>
              <w:t>Post</w:t>
            </w:r>
          </w:p>
        </w:tc>
        <w:tc>
          <w:tcPr>
            <w:tcW w:w="1329" w:type="dxa"/>
            <w:tcBorders>
              <w:left w:val="single" w:sz="18" w:space="0" w:color="auto"/>
            </w:tcBorders>
          </w:tcPr>
          <w:p w14:paraId="3DDA64E2" w14:textId="77777777" w:rsidR="000D446F" w:rsidRPr="005D6A44" w:rsidRDefault="000D446F" w:rsidP="00E77343">
            <w:pPr>
              <w:jc w:val="center"/>
              <w:rPr>
                <w:sz w:val="20"/>
                <w:szCs w:val="18"/>
                <w:lang w:val="en-US"/>
              </w:rPr>
            </w:pPr>
            <w:r w:rsidRPr="000D6A79">
              <w:rPr>
                <w:sz w:val="20"/>
                <w:szCs w:val="18"/>
              </w:rPr>
              <w:t>€</w:t>
            </w:r>
            <w:r w:rsidRPr="00397139">
              <w:rPr>
                <w:sz w:val="20"/>
                <w:szCs w:val="18"/>
                <w:lang w:val="en-US"/>
              </w:rPr>
              <w:t>2,283,005</w:t>
            </w:r>
          </w:p>
        </w:tc>
        <w:tc>
          <w:tcPr>
            <w:tcW w:w="932" w:type="dxa"/>
          </w:tcPr>
          <w:p w14:paraId="7E5D1561" w14:textId="77777777" w:rsidR="000D446F" w:rsidRDefault="000D446F" w:rsidP="00E77343">
            <w:pPr>
              <w:jc w:val="center"/>
              <w:rPr>
                <w:sz w:val="20"/>
                <w:szCs w:val="18"/>
                <w:lang w:val="en-US"/>
              </w:rPr>
            </w:pPr>
            <w:r>
              <w:rPr>
                <w:sz w:val="20"/>
                <w:szCs w:val="18"/>
                <w:lang w:val="en-US"/>
              </w:rPr>
              <w:t>8.63</w:t>
            </w:r>
          </w:p>
        </w:tc>
        <w:tc>
          <w:tcPr>
            <w:tcW w:w="1042" w:type="dxa"/>
            <w:vAlign w:val="center"/>
          </w:tcPr>
          <w:p w14:paraId="540A1DED" w14:textId="77777777" w:rsidR="000D446F" w:rsidRPr="005D6A44" w:rsidRDefault="000D446F" w:rsidP="00E77343">
            <w:pPr>
              <w:jc w:val="center"/>
              <w:rPr>
                <w:sz w:val="20"/>
                <w:szCs w:val="18"/>
                <w:lang w:val="en-US"/>
              </w:rPr>
            </w:pPr>
            <w:r>
              <w:rPr>
                <w:sz w:val="20"/>
                <w:szCs w:val="18"/>
                <w:lang w:val="en-US"/>
              </w:rPr>
              <w:t>4.39</w:t>
            </w:r>
          </w:p>
        </w:tc>
        <w:tc>
          <w:tcPr>
            <w:tcW w:w="1889" w:type="dxa"/>
            <w:vMerge/>
            <w:vAlign w:val="center"/>
          </w:tcPr>
          <w:p w14:paraId="232AF852" w14:textId="77777777" w:rsidR="000D446F" w:rsidRPr="004A3C4E" w:rsidRDefault="000D446F" w:rsidP="00E77343">
            <w:pPr>
              <w:jc w:val="center"/>
              <w:rPr>
                <w:sz w:val="20"/>
                <w:szCs w:val="18"/>
                <w:lang w:val="en-GB"/>
              </w:rPr>
            </w:pPr>
          </w:p>
        </w:tc>
      </w:tr>
      <w:tr w:rsidR="000D446F" w:rsidRPr="005D6A44" w14:paraId="0910761D" w14:textId="77777777" w:rsidTr="000D446F">
        <w:tc>
          <w:tcPr>
            <w:tcW w:w="2768" w:type="dxa"/>
            <w:vMerge w:val="restart"/>
            <w:vAlign w:val="center"/>
          </w:tcPr>
          <w:p w14:paraId="0BE305F3" w14:textId="77777777" w:rsidR="000D446F" w:rsidRPr="00142B93" w:rsidRDefault="000D446F" w:rsidP="00E77343">
            <w:pPr>
              <w:rPr>
                <w:sz w:val="20"/>
                <w:szCs w:val="18"/>
                <w:lang w:val="en-US"/>
              </w:rPr>
            </w:pPr>
            <w:r>
              <w:rPr>
                <w:sz w:val="20"/>
                <w:szCs w:val="18"/>
                <w:lang w:val="en-US"/>
              </w:rPr>
              <w:t xml:space="preserve">S5B: </w:t>
            </w:r>
            <w:r w:rsidRPr="00142B93">
              <w:rPr>
                <w:sz w:val="20"/>
                <w:szCs w:val="18"/>
                <w:lang w:val="en-US"/>
              </w:rPr>
              <w:t>Societal perspective</w:t>
            </w:r>
            <w:r w:rsidRPr="005D6A44">
              <w:rPr>
                <w:sz w:val="20"/>
                <w:szCs w:val="18"/>
                <w:lang w:val="en-US"/>
              </w:rPr>
              <w:t xml:space="preserve"> with a 10</w:t>
            </w:r>
            <w:r>
              <w:rPr>
                <w:sz w:val="20"/>
                <w:szCs w:val="18"/>
                <w:lang w:val="en-US"/>
              </w:rPr>
              <w:t>-year time horizon</w:t>
            </w:r>
          </w:p>
        </w:tc>
        <w:tc>
          <w:tcPr>
            <w:tcW w:w="1322" w:type="dxa"/>
            <w:tcBorders>
              <w:top w:val="single" w:sz="6" w:space="0" w:color="auto"/>
              <w:bottom w:val="single" w:sz="6" w:space="0" w:color="auto"/>
              <w:right w:val="single" w:sz="18" w:space="0" w:color="auto"/>
            </w:tcBorders>
            <w:vAlign w:val="center"/>
          </w:tcPr>
          <w:p w14:paraId="1F67ED55" w14:textId="77777777" w:rsidR="000D446F" w:rsidRDefault="000D446F" w:rsidP="00E77343">
            <w:pPr>
              <w:rPr>
                <w:sz w:val="20"/>
                <w:szCs w:val="18"/>
                <w:lang w:val="en-US"/>
              </w:rPr>
            </w:pPr>
            <w:r w:rsidRPr="00142B93">
              <w:rPr>
                <w:sz w:val="20"/>
                <w:szCs w:val="18"/>
              </w:rPr>
              <w:t>NIS</w:t>
            </w:r>
          </w:p>
        </w:tc>
        <w:tc>
          <w:tcPr>
            <w:tcW w:w="1329" w:type="dxa"/>
            <w:tcBorders>
              <w:left w:val="single" w:sz="18" w:space="0" w:color="auto"/>
            </w:tcBorders>
            <w:vAlign w:val="center"/>
          </w:tcPr>
          <w:p w14:paraId="7108963D" w14:textId="77777777" w:rsidR="000D446F" w:rsidRPr="003D3EC3" w:rsidRDefault="000D446F" w:rsidP="00E77343">
            <w:pPr>
              <w:jc w:val="center"/>
              <w:rPr>
                <w:sz w:val="20"/>
                <w:szCs w:val="18"/>
                <w:lang w:val="en-US"/>
              </w:rPr>
            </w:pPr>
            <w:r w:rsidRPr="000D6A79">
              <w:rPr>
                <w:sz w:val="20"/>
                <w:szCs w:val="18"/>
              </w:rPr>
              <w:t>€</w:t>
            </w:r>
            <w:r>
              <w:rPr>
                <w:sz w:val="20"/>
                <w:szCs w:val="18"/>
              </w:rPr>
              <w:t>2,485,055</w:t>
            </w:r>
          </w:p>
        </w:tc>
        <w:tc>
          <w:tcPr>
            <w:tcW w:w="932" w:type="dxa"/>
          </w:tcPr>
          <w:p w14:paraId="7178A37C" w14:textId="77777777" w:rsidR="000D446F" w:rsidRDefault="000D446F" w:rsidP="00E77343">
            <w:pPr>
              <w:jc w:val="center"/>
              <w:rPr>
                <w:sz w:val="20"/>
                <w:szCs w:val="18"/>
              </w:rPr>
            </w:pPr>
            <w:r>
              <w:rPr>
                <w:sz w:val="20"/>
                <w:szCs w:val="18"/>
              </w:rPr>
              <w:t>9.30</w:t>
            </w:r>
          </w:p>
        </w:tc>
        <w:tc>
          <w:tcPr>
            <w:tcW w:w="1042" w:type="dxa"/>
            <w:vAlign w:val="center"/>
          </w:tcPr>
          <w:p w14:paraId="3C24B9AB" w14:textId="77777777" w:rsidR="000D446F" w:rsidRPr="005D6A44" w:rsidRDefault="000D446F" w:rsidP="00E77343">
            <w:pPr>
              <w:jc w:val="center"/>
              <w:rPr>
                <w:sz w:val="20"/>
                <w:szCs w:val="18"/>
                <w:lang w:val="en-US"/>
              </w:rPr>
            </w:pPr>
            <w:r>
              <w:rPr>
                <w:sz w:val="20"/>
                <w:szCs w:val="18"/>
              </w:rPr>
              <w:t>8.04</w:t>
            </w:r>
          </w:p>
        </w:tc>
        <w:tc>
          <w:tcPr>
            <w:tcW w:w="1889" w:type="dxa"/>
            <w:vMerge w:val="restart"/>
            <w:vAlign w:val="center"/>
          </w:tcPr>
          <w:p w14:paraId="67F3A511" w14:textId="77777777" w:rsidR="000D446F" w:rsidRPr="004A3C4E" w:rsidRDefault="000D446F" w:rsidP="00E77343">
            <w:pPr>
              <w:jc w:val="center"/>
              <w:rPr>
                <w:sz w:val="20"/>
                <w:szCs w:val="18"/>
                <w:lang w:val="en-GB"/>
              </w:rPr>
            </w:pPr>
            <w:r w:rsidRPr="004A3C4E">
              <w:rPr>
                <w:sz w:val="20"/>
                <w:szCs w:val="18"/>
                <w:lang w:val="en-GB"/>
              </w:rPr>
              <w:t>Dominated</w:t>
            </w:r>
          </w:p>
        </w:tc>
      </w:tr>
      <w:tr w:rsidR="000D446F" w:rsidRPr="005D6A44" w14:paraId="778ADFD2" w14:textId="77777777" w:rsidTr="000D446F">
        <w:tc>
          <w:tcPr>
            <w:tcW w:w="2768" w:type="dxa"/>
            <w:vMerge/>
            <w:vAlign w:val="center"/>
          </w:tcPr>
          <w:p w14:paraId="578FF074"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48087BA4" w14:textId="77777777" w:rsidR="000D446F" w:rsidRDefault="000D446F" w:rsidP="00E77343">
            <w:pPr>
              <w:rPr>
                <w:sz w:val="20"/>
                <w:szCs w:val="18"/>
                <w:lang w:val="en-US"/>
              </w:rPr>
            </w:pPr>
            <w:r w:rsidRPr="00142B93">
              <w:rPr>
                <w:sz w:val="20"/>
                <w:szCs w:val="18"/>
              </w:rPr>
              <w:t>Post</w:t>
            </w:r>
          </w:p>
        </w:tc>
        <w:tc>
          <w:tcPr>
            <w:tcW w:w="1329" w:type="dxa"/>
            <w:tcBorders>
              <w:left w:val="single" w:sz="18" w:space="0" w:color="auto"/>
            </w:tcBorders>
            <w:vAlign w:val="center"/>
          </w:tcPr>
          <w:p w14:paraId="087C12D4" w14:textId="77777777" w:rsidR="000D446F" w:rsidRPr="003D3EC3" w:rsidRDefault="000D446F" w:rsidP="00E77343">
            <w:pPr>
              <w:jc w:val="center"/>
              <w:rPr>
                <w:sz w:val="20"/>
                <w:szCs w:val="18"/>
                <w:lang w:val="en-US"/>
              </w:rPr>
            </w:pPr>
            <w:r w:rsidRPr="000D6A79">
              <w:rPr>
                <w:sz w:val="20"/>
                <w:szCs w:val="18"/>
              </w:rPr>
              <w:t>€</w:t>
            </w:r>
            <w:r>
              <w:rPr>
                <w:sz w:val="20"/>
                <w:szCs w:val="18"/>
              </w:rPr>
              <w:t>2,492,976</w:t>
            </w:r>
          </w:p>
        </w:tc>
        <w:tc>
          <w:tcPr>
            <w:tcW w:w="932" w:type="dxa"/>
          </w:tcPr>
          <w:p w14:paraId="1AEB1719" w14:textId="77777777" w:rsidR="000D446F" w:rsidRDefault="000D446F" w:rsidP="00E77343">
            <w:pPr>
              <w:jc w:val="center"/>
              <w:rPr>
                <w:sz w:val="20"/>
                <w:szCs w:val="18"/>
              </w:rPr>
            </w:pPr>
            <w:r>
              <w:rPr>
                <w:sz w:val="20"/>
                <w:szCs w:val="18"/>
              </w:rPr>
              <w:t>8.63</w:t>
            </w:r>
          </w:p>
        </w:tc>
        <w:tc>
          <w:tcPr>
            <w:tcW w:w="1042" w:type="dxa"/>
            <w:vAlign w:val="center"/>
          </w:tcPr>
          <w:p w14:paraId="47E1E9E1" w14:textId="77777777" w:rsidR="000D446F" w:rsidRPr="005D6A44" w:rsidRDefault="000D446F" w:rsidP="00E77343">
            <w:pPr>
              <w:jc w:val="center"/>
              <w:rPr>
                <w:sz w:val="20"/>
                <w:szCs w:val="18"/>
                <w:lang w:val="en-US"/>
              </w:rPr>
            </w:pPr>
            <w:r>
              <w:rPr>
                <w:sz w:val="20"/>
                <w:szCs w:val="18"/>
              </w:rPr>
              <w:t>4.39</w:t>
            </w:r>
          </w:p>
        </w:tc>
        <w:tc>
          <w:tcPr>
            <w:tcW w:w="1889" w:type="dxa"/>
            <w:vMerge/>
            <w:vAlign w:val="center"/>
          </w:tcPr>
          <w:p w14:paraId="40D647BC" w14:textId="77777777" w:rsidR="000D446F" w:rsidRPr="004A3C4E" w:rsidRDefault="000D446F" w:rsidP="00E77343">
            <w:pPr>
              <w:jc w:val="center"/>
              <w:rPr>
                <w:sz w:val="20"/>
                <w:szCs w:val="18"/>
                <w:lang w:val="en-GB"/>
              </w:rPr>
            </w:pPr>
          </w:p>
        </w:tc>
      </w:tr>
      <w:tr w:rsidR="000D446F" w:rsidRPr="005D6A44" w14:paraId="342A1B7B" w14:textId="77777777" w:rsidTr="000D446F">
        <w:trPr>
          <w:trHeight w:val="399"/>
        </w:trPr>
        <w:tc>
          <w:tcPr>
            <w:tcW w:w="2768" w:type="dxa"/>
            <w:vMerge w:val="restart"/>
            <w:vAlign w:val="center"/>
          </w:tcPr>
          <w:p w14:paraId="25B9640A" w14:textId="77777777" w:rsidR="000D446F" w:rsidRPr="00142B93" w:rsidRDefault="000D446F" w:rsidP="00E77343">
            <w:pPr>
              <w:rPr>
                <w:sz w:val="20"/>
                <w:szCs w:val="18"/>
                <w:lang w:val="en-US"/>
              </w:rPr>
            </w:pPr>
            <w:r>
              <w:rPr>
                <w:sz w:val="20"/>
                <w:szCs w:val="18"/>
                <w:lang w:val="en-US"/>
              </w:rPr>
              <w:t xml:space="preserve">S5C: </w:t>
            </w:r>
            <w:r w:rsidRPr="00142B93">
              <w:rPr>
                <w:sz w:val="20"/>
                <w:szCs w:val="18"/>
                <w:lang w:val="en-US"/>
              </w:rPr>
              <w:t xml:space="preserve">Societal perspective </w:t>
            </w:r>
            <w:r>
              <w:rPr>
                <w:sz w:val="20"/>
                <w:szCs w:val="18"/>
                <w:lang w:val="en-US"/>
              </w:rPr>
              <w:t>+</w:t>
            </w:r>
            <w:r w:rsidRPr="00142B93">
              <w:rPr>
                <w:sz w:val="20"/>
                <w:szCs w:val="18"/>
                <w:lang w:val="en-US"/>
              </w:rPr>
              <w:t xml:space="preserve"> caregiver impacts</w:t>
            </w:r>
            <w:r w:rsidRPr="005D6A44">
              <w:rPr>
                <w:sz w:val="20"/>
                <w:szCs w:val="18"/>
                <w:lang w:val="en-US"/>
              </w:rPr>
              <w:t xml:space="preserve"> with a 10</w:t>
            </w:r>
            <w:r>
              <w:rPr>
                <w:sz w:val="20"/>
                <w:szCs w:val="18"/>
                <w:lang w:val="en-US"/>
              </w:rPr>
              <w:t>-year time horizon</w:t>
            </w:r>
          </w:p>
        </w:tc>
        <w:tc>
          <w:tcPr>
            <w:tcW w:w="1322" w:type="dxa"/>
            <w:tcBorders>
              <w:top w:val="single" w:sz="6" w:space="0" w:color="auto"/>
              <w:bottom w:val="single" w:sz="6" w:space="0" w:color="auto"/>
              <w:right w:val="single" w:sz="18" w:space="0" w:color="auto"/>
            </w:tcBorders>
            <w:vAlign w:val="center"/>
          </w:tcPr>
          <w:p w14:paraId="543FAB13" w14:textId="77777777" w:rsidR="000D446F" w:rsidRDefault="000D446F" w:rsidP="00E77343">
            <w:pPr>
              <w:rPr>
                <w:sz w:val="20"/>
                <w:szCs w:val="18"/>
                <w:lang w:val="en-US"/>
              </w:rPr>
            </w:pPr>
            <w:r w:rsidRPr="00142B93">
              <w:rPr>
                <w:sz w:val="20"/>
                <w:szCs w:val="18"/>
              </w:rPr>
              <w:t>NIS</w:t>
            </w:r>
          </w:p>
        </w:tc>
        <w:tc>
          <w:tcPr>
            <w:tcW w:w="1329" w:type="dxa"/>
            <w:tcBorders>
              <w:left w:val="single" w:sz="18" w:space="0" w:color="auto"/>
            </w:tcBorders>
            <w:vAlign w:val="center"/>
          </w:tcPr>
          <w:p w14:paraId="2992D0C5" w14:textId="77777777" w:rsidR="000D446F" w:rsidRPr="003D3EC3" w:rsidRDefault="000D446F" w:rsidP="00E77343">
            <w:pPr>
              <w:jc w:val="center"/>
              <w:rPr>
                <w:sz w:val="20"/>
                <w:szCs w:val="18"/>
                <w:lang w:val="en-US"/>
              </w:rPr>
            </w:pPr>
            <w:r w:rsidRPr="000D6A79">
              <w:rPr>
                <w:sz w:val="20"/>
                <w:szCs w:val="18"/>
              </w:rPr>
              <w:t>€</w:t>
            </w:r>
            <w:r>
              <w:rPr>
                <w:sz w:val="20"/>
                <w:szCs w:val="18"/>
              </w:rPr>
              <w:t>2,511,543</w:t>
            </w:r>
          </w:p>
        </w:tc>
        <w:tc>
          <w:tcPr>
            <w:tcW w:w="932" w:type="dxa"/>
          </w:tcPr>
          <w:p w14:paraId="005FD961" w14:textId="77777777" w:rsidR="000D446F" w:rsidRDefault="000D446F" w:rsidP="00E77343">
            <w:pPr>
              <w:jc w:val="center"/>
              <w:rPr>
                <w:sz w:val="20"/>
                <w:szCs w:val="18"/>
              </w:rPr>
            </w:pPr>
            <w:r>
              <w:rPr>
                <w:sz w:val="20"/>
                <w:szCs w:val="18"/>
              </w:rPr>
              <w:t>9.29</w:t>
            </w:r>
          </w:p>
        </w:tc>
        <w:tc>
          <w:tcPr>
            <w:tcW w:w="1042" w:type="dxa"/>
            <w:vAlign w:val="center"/>
          </w:tcPr>
          <w:p w14:paraId="78232079" w14:textId="77777777" w:rsidR="000D446F" w:rsidRPr="005D6A44" w:rsidRDefault="000D446F" w:rsidP="00E77343">
            <w:pPr>
              <w:jc w:val="center"/>
              <w:rPr>
                <w:sz w:val="20"/>
                <w:szCs w:val="18"/>
                <w:lang w:val="en-US"/>
              </w:rPr>
            </w:pPr>
            <w:r>
              <w:rPr>
                <w:sz w:val="20"/>
                <w:szCs w:val="18"/>
              </w:rPr>
              <w:t>8.26</w:t>
            </w:r>
          </w:p>
        </w:tc>
        <w:tc>
          <w:tcPr>
            <w:tcW w:w="1889" w:type="dxa"/>
            <w:vMerge w:val="restart"/>
            <w:vAlign w:val="center"/>
          </w:tcPr>
          <w:p w14:paraId="76A1B1AC" w14:textId="77777777" w:rsidR="000D446F" w:rsidRPr="004A3C4E" w:rsidRDefault="000D446F" w:rsidP="00E77343">
            <w:pPr>
              <w:jc w:val="center"/>
              <w:rPr>
                <w:sz w:val="20"/>
                <w:szCs w:val="18"/>
                <w:lang w:val="en-GB"/>
              </w:rPr>
            </w:pPr>
            <w:r w:rsidRPr="004A3C4E">
              <w:rPr>
                <w:sz w:val="20"/>
                <w:szCs w:val="18"/>
                <w:lang w:val="en-GB"/>
              </w:rPr>
              <w:t>Dominated</w:t>
            </w:r>
          </w:p>
        </w:tc>
      </w:tr>
      <w:tr w:rsidR="000D446F" w:rsidRPr="005D6A44" w14:paraId="1EEA1B01" w14:textId="77777777" w:rsidTr="000D446F">
        <w:tc>
          <w:tcPr>
            <w:tcW w:w="2768" w:type="dxa"/>
            <w:vMerge/>
            <w:vAlign w:val="center"/>
          </w:tcPr>
          <w:p w14:paraId="4E6D0B3C" w14:textId="77777777" w:rsidR="000D446F" w:rsidRPr="00142B93"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4854D690" w14:textId="77777777" w:rsidR="000D446F" w:rsidRDefault="000D446F" w:rsidP="00E77343">
            <w:pPr>
              <w:rPr>
                <w:sz w:val="20"/>
                <w:szCs w:val="18"/>
                <w:lang w:val="en-US"/>
              </w:rPr>
            </w:pPr>
            <w:r w:rsidRPr="00142B93">
              <w:rPr>
                <w:sz w:val="20"/>
                <w:szCs w:val="18"/>
              </w:rPr>
              <w:t>Post</w:t>
            </w:r>
          </w:p>
        </w:tc>
        <w:tc>
          <w:tcPr>
            <w:tcW w:w="1329" w:type="dxa"/>
            <w:tcBorders>
              <w:left w:val="single" w:sz="18" w:space="0" w:color="auto"/>
            </w:tcBorders>
            <w:vAlign w:val="center"/>
          </w:tcPr>
          <w:p w14:paraId="79B81D03" w14:textId="77777777" w:rsidR="000D446F" w:rsidRPr="003D3EC3" w:rsidRDefault="000D446F" w:rsidP="00E77343">
            <w:pPr>
              <w:jc w:val="center"/>
              <w:rPr>
                <w:sz w:val="20"/>
                <w:szCs w:val="18"/>
                <w:lang w:val="en-US"/>
              </w:rPr>
            </w:pPr>
            <w:r w:rsidRPr="000D6A79">
              <w:rPr>
                <w:sz w:val="20"/>
                <w:szCs w:val="18"/>
              </w:rPr>
              <w:t>€</w:t>
            </w:r>
            <w:r>
              <w:rPr>
                <w:sz w:val="20"/>
                <w:szCs w:val="18"/>
              </w:rPr>
              <w:t>2,566,622</w:t>
            </w:r>
          </w:p>
        </w:tc>
        <w:tc>
          <w:tcPr>
            <w:tcW w:w="932" w:type="dxa"/>
          </w:tcPr>
          <w:p w14:paraId="273DFFF7" w14:textId="77777777" w:rsidR="000D446F" w:rsidRDefault="000D446F" w:rsidP="00E77343">
            <w:pPr>
              <w:jc w:val="center"/>
              <w:rPr>
                <w:sz w:val="20"/>
                <w:szCs w:val="18"/>
              </w:rPr>
            </w:pPr>
            <w:r>
              <w:rPr>
                <w:sz w:val="20"/>
                <w:szCs w:val="18"/>
              </w:rPr>
              <w:t>8.62</w:t>
            </w:r>
          </w:p>
        </w:tc>
        <w:tc>
          <w:tcPr>
            <w:tcW w:w="1042" w:type="dxa"/>
            <w:vAlign w:val="center"/>
          </w:tcPr>
          <w:p w14:paraId="10917496" w14:textId="77777777" w:rsidR="000D446F" w:rsidRPr="005D6A44" w:rsidRDefault="000D446F" w:rsidP="00E77343">
            <w:pPr>
              <w:jc w:val="center"/>
              <w:rPr>
                <w:sz w:val="20"/>
                <w:szCs w:val="18"/>
                <w:lang w:val="en-US"/>
              </w:rPr>
            </w:pPr>
            <w:r>
              <w:rPr>
                <w:sz w:val="20"/>
                <w:szCs w:val="18"/>
              </w:rPr>
              <w:t>3.12</w:t>
            </w:r>
          </w:p>
        </w:tc>
        <w:tc>
          <w:tcPr>
            <w:tcW w:w="1889" w:type="dxa"/>
            <w:vMerge/>
            <w:vAlign w:val="center"/>
          </w:tcPr>
          <w:p w14:paraId="37324767" w14:textId="77777777" w:rsidR="000D446F" w:rsidRPr="004A3C4E" w:rsidRDefault="000D446F" w:rsidP="00E77343">
            <w:pPr>
              <w:jc w:val="center"/>
              <w:rPr>
                <w:sz w:val="20"/>
                <w:szCs w:val="18"/>
                <w:lang w:val="en-GB"/>
              </w:rPr>
            </w:pPr>
          </w:p>
        </w:tc>
      </w:tr>
      <w:tr w:rsidR="000D446F" w:rsidRPr="005D6A44" w14:paraId="35E6FFE6" w14:textId="77777777" w:rsidTr="000D446F">
        <w:tc>
          <w:tcPr>
            <w:tcW w:w="2768" w:type="dxa"/>
            <w:vMerge w:val="restart"/>
            <w:vAlign w:val="center"/>
          </w:tcPr>
          <w:p w14:paraId="161AAE03" w14:textId="77777777" w:rsidR="000D446F" w:rsidRPr="00142B93" w:rsidRDefault="000D446F" w:rsidP="00E77343">
            <w:pPr>
              <w:rPr>
                <w:sz w:val="20"/>
                <w:szCs w:val="18"/>
                <w:lang w:val="en-US"/>
              </w:rPr>
            </w:pPr>
            <w:r>
              <w:rPr>
                <w:sz w:val="20"/>
                <w:szCs w:val="18"/>
                <w:lang w:val="en-US"/>
              </w:rPr>
              <w:t>S6: Base case with same</w:t>
            </w:r>
            <w:r w:rsidRPr="005D6A44">
              <w:rPr>
                <w:sz w:val="20"/>
                <w:szCs w:val="18"/>
                <w:lang w:val="en-US"/>
              </w:rPr>
              <w:t xml:space="preserve"> discount rate</w:t>
            </w:r>
            <w:r>
              <w:rPr>
                <w:sz w:val="20"/>
                <w:szCs w:val="18"/>
                <w:lang w:val="en-US"/>
              </w:rPr>
              <w:t xml:space="preserve"> (3%)</w:t>
            </w:r>
          </w:p>
        </w:tc>
        <w:tc>
          <w:tcPr>
            <w:tcW w:w="1322" w:type="dxa"/>
            <w:tcBorders>
              <w:top w:val="single" w:sz="6" w:space="0" w:color="auto"/>
              <w:bottom w:val="single" w:sz="6" w:space="0" w:color="auto"/>
              <w:right w:val="single" w:sz="18" w:space="0" w:color="auto"/>
            </w:tcBorders>
            <w:vAlign w:val="center"/>
          </w:tcPr>
          <w:p w14:paraId="189268DB" w14:textId="77777777" w:rsidR="000D446F" w:rsidRPr="005D6A44" w:rsidRDefault="000D446F" w:rsidP="00E77343">
            <w:pPr>
              <w:rPr>
                <w:sz w:val="20"/>
                <w:szCs w:val="18"/>
                <w:lang w:val="en-US"/>
              </w:rPr>
            </w:pPr>
            <w:r w:rsidRPr="00142B93">
              <w:rPr>
                <w:sz w:val="20"/>
                <w:szCs w:val="18"/>
              </w:rPr>
              <w:t>NIS</w:t>
            </w:r>
          </w:p>
        </w:tc>
        <w:tc>
          <w:tcPr>
            <w:tcW w:w="1329" w:type="dxa"/>
            <w:tcBorders>
              <w:left w:val="single" w:sz="18" w:space="0" w:color="auto"/>
            </w:tcBorders>
            <w:vAlign w:val="center"/>
          </w:tcPr>
          <w:p w14:paraId="43CD6323" w14:textId="77777777" w:rsidR="000D446F" w:rsidRPr="005D6A44" w:rsidRDefault="000D446F" w:rsidP="00E77343">
            <w:pPr>
              <w:jc w:val="center"/>
              <w:rPr>
                <w:sz w:val="20"/>
                <w:szCs w:val="18"/>
                <w:lang w:val="en-US"/>
              </w:rPr>
            </w:pPr>
            <w:r w:rsidRPr="000D6A79">
              <w:rPr>
                <w:sz w:val="20"/>
                <w:szCs w:val="18"/>
              </w:rPr>
              <w:t>€</w:t>
            </w:r>
            <w:r>
              <w:rPr>
                <w:sz w:val="20"/>
                <w:szCs w:val="18"/>
                <w:lang w:val="en-US"/>
              </w:rPr>
              <w:t>6,858,061</w:t>
            </w:r>
          </w:p>
        </w:tc>
        <w:tc>
          <w:tcPr>
            <w:tcW w:w="932" w:type="dxa"/>
          </w:tcPr>
          <w:p w14:paraId="39611DCA" w14:textId="77777777" w:rsidR="000D446F" w:rsidRDefault="000D446F" w:rsidP="00E77343">
            <w:pPr>
              <w:jc w:val="center"/>
              <w:rPr>
                <w:sz w:val="20"/>
                <w:szCs w:val="18"/>
              </w:rPr>
            </w:pPr>
            <w:r>
              <w:rPr>
                <w:sz w:val="20"/>
                <w:szCs w:val="18"/>
              </w:rPr>
              <w:t>30.54</w:t>
            </w:r>
          </w:p>
        </w:tc>
        <w:tc>
          <w:tcPr>
            <w:tcW w:w="1042" w:type="dxa"/>
            <w:vAlign w:val="center"/>
          </w:tcPr>
          <w:p w14:paraId="5DC0B3AF" w14:textId="77777777" w:rsidR="000D446F" w:rsidRPr="005D6A44" w:rsidRDefault="000D446F" w:rsidP="00E77343">
            <w:pPr>
              <w:jc w:val="center"/>
              <w:rPr>
                <w:sz w:val="20"/>
                <w:szCs w:val="18"/>
                <w:lang w:val="en-US"/>
              </w:rPr>
            </w:pPr>
            <w:r>
              <w:rPr>
                <w:sz w:val="20"/>
                <w:szCs w:val="18"/>
              </w:rPr>
              <w:t>26</w:t>
            </w:r>
            <w:r w:rsidRPr="00142B93">
              <w:rPr>
                <w:sz w:val="20"/>
                <w:szCs w:val="18"/>
              </w:rPr>
              <w:t>.95</w:t>
            </w:r>
          </w:p>
        </w:tc>
        <w:tc>
          <w:tcPr>
            <w:tcW w:w="1889" w:type="dxa"/>
            <w:vMerge w:val="restart"/>
            <w:vAlign w:val="center"/>
          </w:tcPr>
          <w:p w14:paraId="44BA3098" w14:textId="77777777" w:rsidR="000D446F" w:rsidRPr="004A3C4E" w:rsidRDefault="000D446F" w:rsidP="00E77343">
            <w:pPr>
              <w:jc w:val="center"/>
              <w:rPr>
                <w:sz w:val="20"/>
                <w:szCs w:val="18"/>
                <w:lang w:val="en-GB"/>
              </w:rPr>
            </w:pPr>
            <w:r w:rsidRPr="004A3C4E">
              <w:rPr>
                <w:sz w:val="20"/>
                <w:szCs w:val="18"/>
                <w:lang w:val="en-GB"/>
              </w:rPr>
              <w:t>€8,856</w:t>
            </w:r>
          </w:p>
        </w:tc>
      </w:tr>
      <w:tr w:rsidR="000D446F" w:rsidRPr="005D6A44" w14:paraId="5DA2853F" w14:textId="77777777" w:rsidTr="000D446F">
        <w:tc>
          <w:tcPr>
            <w:tcW w:w="2768" w:type="dxa"/>
            <w:vMerge/>
            <w:vAlign w:val="center"/>
          </w:tcPr>
          <w:p w14:paraId="79F3FBBC" w14:textId="77777777" w:rsidR="000D446F" w:rsidRDefault="000D446F" w:rsidP="00E77343">
            <w:pPr>
              <w:rPr>
                <w:sz w:val="20"/>
                <w:szCs w:val="18"/>
                <w:lang w:val="en-US"/>
              </w:rPr>
            </w:pPr>
          </w:p>
        </w:tc>
        <w:tc>
          <w:tcPr>
            <w:tcW w:w="1322" w:type="dxa"/>
            <w:tcBorders>
              <w:top w:val="single" w:sz="6" w:space="0" w:color="auto"/>
              <w:bottom w:val="single" w:sz="6" w:space="0" w:color="auto"/>
              <w:right w:val="single" w:sz="18" w:space="0" w:color="auto"/>
            </w:tcBorders>
            <w:vAlign w:val="center"/>
          </w:tcPr>
          <w:p w14:paraId="200D4BB1" w14:textId="77777777" w:rsidR="000D446F" w:rsidRPr="005D6A44" w:rsidRDefault="000D446F" w:rsidP="00E77343">
            <w:pPr>
              <w:rPr>
                <w:sz w:val="20"/>
                <w:szCs w:val="18"/>
                <w:lang w:val="en-US"/>
              </w:rPr>
            </w:pPr>
            <w:r w:rsidRPr="00142B93">
              <w:rPr>
                <w:sz w:val="20"/>
                <w:szCs w:val="18"/>
              </w:rPr>
              <w:t>Post</w:t>
            </w:r>
          </w:p>
        </w:tc>
        <w:tc>
          <w:tcPr>
            <w:tcW w:w="1329" w:type="dxa"/>
            <w:tcBorders>
              <w:left w:val="single" w:sz="18" w:space="0" w:color="auto"/>
            </w:tcBorders>
            <w:vAlign w:val="center"/>
          </w:tcPr>
          <w:p w14:paraId="391D8A76" w14:textId="77777777" w:rsidR="000D446F" w:rsidRPr="005D6A44" w:rsidRDefault="000D446F" w:rsidP="00E77343">
            <w:pPr>
              <w:jc w:val="center"/>
              <w:rPr>
                <w:sz w:val="20"/>
                <w:szCs w:val="18"/>
                <w:lang w:val="en-US"/>
              </w:rPr>
            </w:pPr>
            <w:r w:rsidRPr="000D6A79">
              <w:rPr>
                <w:sz w:val="20"/>
                <w:szCs w:val="18"/>
              </w:rPr>
              <w:t>€</w:t>
            </w:r>
            <w:r>
              <w:rPr>
                <w:sz w:val="20"/>
                <w:szCs w:val="18"/>
                <w:lang w:val="en-US"/>
              </w:rPr>
              <w:t>6,738,120</w:t>
            </w:r>
          </w:p>
        </w:tc>
        <w:tc>
          <w:tcPr>
            <w:tcW w:w="932" w:type="dxa"/>
          </w:tcPr>
          <w:p w14:paraId="3D559D72" w14:textId="77777777" w:rsidR="000D446F" w:rsidRDefault="000D446F" w:rsidP="00E77343">
            <w:pPr>
              <w:jc w:val="center"/>
              <w:rPr>
                <w:sz w:val="20"/>
                <w:szCs w:val="18"/>
              </w:rPr>
            </w:pPr>
            <w:r>
              <w:rPr>
                <w:sz w:val="20"/>
                <w:szCs w:val="18"/>
              </w:rPr>
              <w:t>23.95</w:t>
            </w:r>
          </w:p>
        </w:tc>
        <w:tc>
          <w:tcPr>
            <w:tcW w:w="1042" w:type="dxa"/>
            <w:vAlign w:val="center"/>
          </w:tcPr>
          <w:p w14:paraId="1885EA52" w14:textId="77777777" w:rsidR="000D446F" w:rsidRPr="005D6A44" w:rsidRDefault="000D446F" w:rsidP="00E77343">
            <w:pPr>
              <w:jc w:val="center"/>
              <w:rPr>
                <w:sz w:val="20"/>
                <w:szCs w:val="18"/>
                <w:lang w:val="en-US"/>
              </w:rPr>
            </w:pPr>
            <w:r>
              <w:rPr>
                <w:sz w:val="20"/>
                <w:szCs w:val="18"/>
              </w:rPr>
              <w:t>13</w:t>
            </w:r>
            <w:r w:rsidRPr="0014357D">
              <w:rPr>
                <w:sz w:val="20"/>
                <w:szCs w:val="18"/>
              </w:rPr>
              <w:t>.</w:t>
            </w:r>
            <w:r>
              <w:rPr>
                <w:sz w:val="20"/>
                <w:szCs w:val="18"/>
              </w:rPr>
              <w:t>41</w:t>
            </w:r>
          </w:p>
        </w:tc>
        <w:tc>
          <w:tcPr>
            <w:tcW w:w="1889" w:type="dxa"/>
            <w:vMerge/>
            <w:vAlign w:val="center"/>
          </w:tcPr>
          <w:p w14:paraId="647AFF56" w14:textId="77777777" w:rsidR="000D446F" w:rsidRPr="004A3C4E" w:rsidRDefault="000D446F" w:rsidP="00E77343">
            <w:pPr>
              <w:jc w:val="center"/>
              <w:rPr>
                <w:sz w:val="20"/>
                <w:szCs w:val="18"/>
                <w:lang w:val="en-GB"/>
              </w:rPr>
            </w:pPr>
          </w:p>
        </w:tc>
      </w:tr>
      <w:tr w:rsidR="000D446F" w:rsidRPr="005D6A44" w14:paraId="79C793FC" w14:textId="77777777" w:rsidTr="000D446F">
        <w:tc>
          <w:tcPr>
            <w:tcW w:w="2768" w:type="dxa"/>
            <w:vMerge w:val="restart"/>
            <w:vAlign w:val="center"/>
          </w:tcPr>
          <w:p w14:paraId="3EDE9728" w14:textId="77777777" w:rsidR="000D446F" w:rsidRPr="00AE1B0B" w:rsidRDefault="000D446F" w:rsidP="00E77343">
            <w:pPr>
              <w:rPr>
                <w:sz w:val="20"/>
                <w:szCs w:val="20"/>
                <w:lang w:val="en-US"/>
              </w:rPr>
            </w:pPr>
            <w:r w:rsidRPr="00AE1B0B">
              <w:rPr>
                <w:sz w:val="20"/>
                <w:szCs w:val="20"/>
                <w:lang w:val="en-US"/>
              </w:rPr>
              <w:t>S</w:t>
            </w:r>
            <w:r>
              <w:rPr>
                <w:sz w:val="20"/>
                <w:szCs w:val="20"/>
                <w:lang w:val="en-US"/>
              </w:rPr>
              <w:t>7</w:t>
            </w:r>
            <w:r w:rsidRPr="00AE1B0B">
              <w:rPr>
                <w:sz w:val="20"/>
                <w:szCs w:val="20"/>
                <w:lang w:val="en-US"/>
              </w:rPr>
              <w:t>A – alternative survival estimates (30 year)</w:t>
            </w:r>
          </w:p>
        </w:tc>
        <w:tc>
          <w:tcPr>
            <w:tcW w:w="1322" w:type="dxa"/>
            <w:tcBorders>
              <w:top w:val="single" w:sz="6" w:space="0" w:color="auto"/>
              <w:bottom w:val="single" w:sz="6" w:space="0" w:color="auto"/>
              <w:right w:val="single" w:sz="18" w:space="0" w:color="auto"/>
            </w:tcBorders>
            <w:vAlign w:val="center"/>
          </w:tcPr>
          <w:p w14:paraId="7C59A821" w14:textId="77777777" w:rsidR="000D446F" w:rsidRPr="00AE1B0B" w:rsidRDefault="000D446F" w:rsidP="00E77343">
            <w:pPr>
              <w:rPr>
                <w:sz w:val="20"/>
                <w:szCs w:val="20"/>
              </w:rPr>
            </w:pPr>
            <w:r w:rsidRPr="00AE1B0B">
              <w:rPr>
                <w:sz w:val="20"/>
                <w:szCs w:val="20"/>
              </w:rPr>
              <w:t>NIS</w:t>
            </w:r>
          </w:p>
        </w:tc>
        <w:tc>
          <w:tcPr>
            <w:tcW w:w="1329" w:type="dxa"/>
            <w:tcBorders>
              <w:left w:val="single" w:sz="18" w:space="0" w:color="auto"/>
            </w:tcBorders>
          </w:tcPr>
          <w:p w14:paraId="1693E896" w14:textId="77777777" w:rsidR="000D446F" w:rsidRPr="00AE1B0B" w:rsidRDefault="000D446F" w:rsidP="00E77343">
            <w:pPr>
              <w:jc w:val="center"/>
              <w:rPr>
                <w:sz w:val="20"/>
                <w:szCs w:val="20"/>
                <w:lang w:val="en-US"/>
              </w:rPr>
            </w:pPr>
            <w:r w:rsidRPr="00AE1B0B">
              <w:rPr>
                <w:sz w:val="20"/>
                <w:szCs w:val="20"/>
              </w:rPr>
              <w:t xml:space="preserve"> </w:t>
            </w:r>
            <w:r w:rsidRPr="000D6A79">
              <w:rPr>
                <w:sz w:val="20"/>
                <w:szCs w:val="18"/>
              </w:rPr>
              <w:t>€</w:t>
            </w:r>
            <w:r w:rsidRPr="00AE1B0B">
              <w:rPr>
                <w:sz w:val="20"/>
                <w:szCs w:val="20"/>
              </w:rPr>
              <w:t xml:space="preserve">6,858,061 </w:t>
            </w:r>
          </w:p>
        </w:tc>
        <w:tc>
          <w:tcPr>
            <w:tcW w:w="932" w:type="dxa"/>
          </w:tcPr>
          <w:p w14:paraId="434E79DD" w14:textId="77777777" w:rsidR="000D446F" w:rsidRPr="00AE1B0B" w:rsidRDefault="000D446F" w:rsidP="00E77343">
            <w:pPr>
              <w:jc w:val="center"/>
              <w:rPr>
                <w:sz w:val="20"/>
                <w:szCs w:val="20"/>
              </w:rPr>
            </w:pPr>
            <w:r>
              <w:rPr>
                <w:sz w:val="20"/>
                <w:szCs w:val="20"/>
              </w:rPr>
              <w:t>46.80</w:t>
            </w:r>
          </w:p>
        </w:tc>
        <w:tc>
          <w:tcPr>
            <w:tcW w:w="1042" w:type="dxa"/>
          </w:tcPr>
          <w:p w14:paraId="34A5F60B" w14:textId="77777777" w:rsidR="000D446F" w:rsidRPr="00AE1B0B" w:rsidRDefault="000D446F" w:rsidP="00E77343">
            <w:pPr>
              <w:jc w:val="center"/>
              <w:rPr>
                <w:sz w:val="20"/>
                <w:szCs w:val="20"/>
                <w:lang w:val="en-US"/>
              </w:rPr>
            </w:pPr>
            <w:r w:rsidRPr="00AE1B0B">
              <w:rPr>
                <w:sz w:val="20"/>
                <w:szCs w:val="20"/>
              </w:rPr>
              <w:t>40.95</w:t>
            </w:r>
          </w:p>
        </w:tc>
        <w:tc>
          <w:tcPr>
            <w:tcW w:w="1889" w:type="dxa"/>
            <w:vMerge w:val="restart"/>
            <w:vAlign w:val="center"/>
          </w:tcPr>
          <w:p w14:paraId="5DDCC6E8" w14:textId="77777777" w:rsidR="000D446F" w:rsidRPr="004A3C4E" w:rsidRDefault="000D446F" w:rsidP="00E77343">
            <w:pPr>
              <w:jc w:val="center"/>
              <w:rPr>
                <w:sz w:val="20"/>
                <w:szCs w:val="20"/>
                <w:lang w:val="en-GB"/>
              </w:rPr>
            </w:pPr>
            <w:r w:rsidRPr="004A3C4E">
              <w:rPr>
                <w:sz w:val="20"/>
                <w:szCs w:val="18"/>
                <w:lang w:val="en-GB"/>
              </w:rPr>
              <w:t>Dominated</w:t>
            </w:r>
          </w:p>
        </w:tc>
      </w:tr>
      <w:tr w:rsidR="000D446F" w:rsidRPr="005D6A44" w14:paraId="0A842406" w14:textId="77777777" w:rsidTr="000D446F">
        <w:tc>
          <w:tcPr>
            <w:tcW w:w="2768" w:type="dxa"/>
            <w:vMerge/>
            <w:vAlign w:val="center"/>
          </w:tcPr>
          <w:p w14:paraId="7885255A" w14:textId="77777777" w:rsidR="000D446F" w:rsidRPr="00AE1B0B" w:rsidRDefault="000D446F" w:rsidP="00E77343">
            <w:pPr>
              <w:rPr>
                <w:sz w:val="20"/>
                <w:szCs w:val="20"/>
                <w:lang w:val="en-US"/>
              </w:rPr>
            </w:pPr>
          </w:p>
        </w:tc>
        <w:tc>
          <w:tcPr>
            <w:tcW w:w="1322" w:type="dxa"/>
            <w:tcBorders>
              <w:top w:val="single" w:sz="6" w:space="0" w:color="auto"/>
              <w:bottom w:val="single" w:sz="6" w:space="0" w:color="auto"/>
              <w:right w:val="single" w:sz="18" w:space="0" w:color="auto"/>
            </w:tcBorders>
            <w:vAlign w:val="center"/>
          </w:tcPr>
          <w:p w14:paraId="26F6E2CF" w14:textId="77777777" w:rsidR="000D446F" w:rsidRPr="00AE1B0B" w:rsidRDefault="000D446F" w:rsidP="00E77343">
            <w:pPr>
              <w:rPr>
                <w:sz w:val="20"/>
                <w:szCs w:val="20"/>
              </w:rPr>
            </w:pPr>
            <w:r w:rsidRPr="00AE1B0B">
              <w:rPr>
                <w:sz w:val="20"/>
                <w:szCs w:val="20"/>
              </w:rPr>
              <w:t>Post</w:t>
            </w:r>
          </w:p>
        </w:tc>
        <w:tc>
          <w:tcPr>
            <w:tcW w:w="1329" w:type="dxa"/>
            <w:tcBorders>
              <w:left w:val="single" w:sz="18" w:space="0" w:color="auto"/>
            </w:tcBorders>
          </w:tcPr>
          <w:p w14:paraId="6867F571" w14:textId="77777777" w:rsidR="000D446F" w:rsidRPr="00AE1B0B" w:rsidRDefault="000D446F" w:rsidP="00E77343">
            <w:pPr>
              <w:jc w:val="center"/>
              <w:rPr>
                <w:sz w:val="20"/>
                <w:szCs w:val="20"/>
                <w:lang w:val="en-US"/>
              </w:rPr>
            </w:pPr>
            <w:r w:rsidRPr="00AE1B0B">
              <w:rPr>
                <w:sz w:val="20"/>
                <w:szCs w:val="20"/>
              </w:rPr>
              <w:t xml:space="preserve"> </w:t>
            </w:r>
            <w:r w:rsidRPr="000D6A79">
              <w:rPr>
                <w:sz w:val="20"/>
                <w:szCs w:val="18"/>
              </w:rPr>
              <w:t>€</w:t>
            </w:r>
            <w:r w:rsidRPr="00AE1B0B">
              <w:rPr>
                <w:sz w:val="20"/>
                <w:szCs w:val="20"/>
              </w:rPr>
              <w:t xml:space="preserve">6,913,453 </w:t>
            </w:r>
          </w:p>
        </w:tc>
        <w:tc>
          <w:tcPr>
            <w:tcW w:w="932" w:type="dxa"/>
          </w:tcPr>
          <w:p w14:paraId="773FCC82" w14:textId="77777777" w:rsidR="000D446F" w:rsidRPr="00AE1B0B" w:rsidRDefault="000D446F" w:rsidP="00E77343">
            <w:pPr>
              <w:jc w:val="center"/>
              <w:rPr>
                <w:sz w:val="20"/>
                <w:szCs w:val="20"/>
              </w:rPr>
            </w:pPr>
            <w:r>
              <w:rPr>
                <w:sz w:val="20"/>
                <w:szCs w:val="20"/>
              </w:rPr>
              <w:t>35.80</w:t>
            </w:r>
          </w:p>
        </w:tc>
        <w:tc>
          <w:tcPr>
            <w:tcW w:w="1042" w:type="dxa"/>
          </w:tcPr>
          <w:p w14:paraId="65959CF9" w14:textId="77777777" w:rsidR="000D446F" w:rsidRPr="00AE1B0B" w:rsidRDefault="000D446F" w:rsidP="00E77343">
            <w:pPr>
              <w:jc w:val="center"/>
              <w:rPr>
                <w:sz w:val="20"/>
                <w:szCs w:val="20"/>
                <w:lang w:val="en-US"/>
              </w:rPr>
            </w:pPr>
            <w:r w:rsidRPr="00AE1B0B">
              <w:rPr>
                <w:sz w:val="20"/>
                <w:szCs w:val="20"/>
              </w:rPr>
              <w:t>20.57</w:t>
            </w:r>
          </w:p>
        </w:tc>
        <w:tc>
          <w:tcPr>
            <w:tcW w:w="1889" w:type="dxa"/>
            <w:vMerge/>
            <w:vAlign w:val="center"/>
          </w:tcPr>
          <w:p w14:paraId="37B3DF23" w14:textId="77777777" w:rsidR="000D446F" w:rsidRPr="004A3C4E" w:rsidRDefault="000D446F" w:rsidP="00E77343">
            <w:pPr>
              <w:jc w:val="center"/>
              <w:rPr>
                <w:sz w:val="20"/>
                <w:szCs w:val="20"/>
                <w:lang w:val="en-GB"/>
              </w:rPr>
            </w:pPr>
          </w:p>
        </w:tc>
      </w:tr>
      <w:tr w:rsidR="000D446F" w:rsidRPr="005D6A44" w14:paraId="2232965E" w14:textId="77777777" w:rsidTr="000D446F">
        <w:tc>
          <w:tcPr>
            <w:tcW w:w="2768" w:type="dxa"/>
            <w:vMerge w:val="restart"/>
            <w:vAlign w:val="center"/>
          </w:tcPr>
          <w:p w14:paraId="0A66B9A6" w14:textId="77777777" w:rsidR="000D446F" w:rsidRPr="00AE1B0B" w:rsidRDefault="000D446F" w:rsidP="00E77343">
            <w:pPr>
              <w:rPr>
                <w:sz w:val="20"/>
                <w:szCs w:val="20"/>
                <w:lang w:val="en-US"/>
              </w:rPr>
            </w:pPr>
            <w:r w:rsidRPr="00AE1B0B">
              <w:rPr>
                <w:sz w:val="20"/>
                <w:szCs w:val="20"/>
                <w:lang w:val="en-US"/>
              </w:rPr>
              <w:t>S</w:t>
            </w:r>
            <w:r>
              <w:rPr>
                <w:sz w:val="20"/>
                <w:szCs w:val="20"/>
                <w:lang w:val="en-US"/>
              </w:rPr>
              <w:t>7</w:t>
            </w:r>
            <w:r w:rsidRPr="00AE1B0B">
              <w:rPr>
                <w:sz w:val="20"/>
                <w:szCs w:val="20"/>
                <w:lang w:val="en-US"/>
              </w:rPr>
              <w:t>B – alternative survival estimates (40 year)</w:t>
            </w:r>
          </w:p>
        </w:tc>
        <w:tc>
          <w:tcPr>
            <w:tcW w:w="1322" w:type="dxa"/>
            <w:tcBorders>
              <w:top w:val="single" w:sz="6" w:space="0" w:color="auto"/>
              <w:bottom w:val="single" w:sz="6" w:space="0" w:color="auto"/>
              <w:right w:val="single" w:sz="18" w:space="0" w:color="auto"/>
            </w:tcBorders>
            <w:vAlign w:val="center"/>
          </w:tcPr>
          <w:p w14:paraId="21ECC303" w14:textId="77777777" w:rsidR="000D446F" w:rsidRPr="00AE1B0B" w:rsidRDefault="000D446F" w:rsidP="00E77343">
            <w:pPr>
              <w:rPr>
                <w:sz w:val="20"/>
                <w:szCs w:val="20"/>
              </w:rPr>
            </w:pPr>
            <w:r w:rsidRPr="00AE1B0B">
              <w:rPr>
                <w:sz w:val="20"/>
                <w:szCs w:val="20"/>
              </w:rPr>
              <w:t>NIS</w:t>
            </w:r>
          </w:p>
        </w:tc>
        <w:tc>
          <w:tcPr>
            <w:tcW w:w="1329" w:type="dxa"/>
            <w:tcBorders>
              <w:left w:val="single" w:sz="18" w:space="0" w:color="auto"/>
            </w:tcBorders>
          </w:tcPr>
          <w:p w14:paraId="13021C4A" w14:textId="77777777" w:rsidR="000D446F" w:rsidRPr="00AE1B0B" w:rsidRDefault="000D446F" w:rsidP="00E77343">
            <w:pPr>
              <w:jc w:val="center"/>
              <w:rPr>
                <w:sz w:val="20"/>
                <w:szCs w:val="20"/>
              </w:rPr>
            </w:pPr>
            <w:r w:rsidRPr="000D6A79">
              <w:rPr>
                <w:sz w:val="20"/>
                <w:szCs w:val="18"/>
              </w:rPr>
              <w:t>€</w:t>
            </w:r>
            <w:r w:rsidRPr="00AE1B0B">
              <w:rPr>
                <w:sz w:val="20"/>
                <w:szCs w:val="20"/>
              </w:rPr>
              <w:t xml:space="preserve">6,858,061 </w:t>
            </w:r>
          </w:p>
        </w:tc>
        <w:tc>
          <w:tcPr>
            <w:tcW w:w="932" w:type="dxa"/>
          </w:tcPr>
          <w:p w14:paraId="53040053" w14:textId="77777777" w:rsidR="000D446F" w:rsidRPr="00AE1B0B" w:rsidRDefault="000D446F" w:rsidP="00E77343">
            <w:pPr>
              <w:jc w:val="center"/>
              <w:rPr>
                <w:sz w:val="20"/>
                <w:szCs w:val="20"/>
              </w:rPr>
            </w:pPr>
            <w:r>
              <w:rPr>
                <w:sz w:val="20"/>
                <w:szCs w:val="20"/>
              </w:rPr>
              <w:t>46.80</w:t>
            </w:r>
          </w:p>
        </w:tc>
        <w:tc>
          <w:tcPr>
            <w:tcW w:w="1042" w:type="dxa"/>
          </w:tcPr>
          <w:p w14:paraId="5B8D47E4" w14:textId="77777777" w:rsidR="000D446F" w:rsidRPr="00AE1B0B" w:rsidRDefault="000D446F" w:rsidP="00E77343">
            <w:pPr>
              <w:jc w:val="center"/>
              <w:rPr>
                <w:sz w:val="20"/>
                <w:szCs w:val="20"/>
              </w:rPr>
            </w:pPr>
            <w:r w:rsidRPr="00AE1B0B">
              <w:rPr>
                <w:sz w:val="20"/>
                <w:szCs w:val="20"/>
              </w:rPr>
              <w:t>40.95</w:t>
            </w:r>
          </w:p>
        </w:tc>
        <w:tc>
          <w:tcPr>
            <w:tcW w:w="1889" w:type="dxa"/>
            <w:vMerge w:val="restart"/>
            <w:vAlign w:val="center"/>
          </w:tcPr>
          <w:p w14:paraId="560BEA91" w14:textId="77777777" w:rsidR="000D446F" w:rsidRPr="004A3C4E" w:rsidRDefault="000D446F" w:rsidP="00E77343">
            <w:pPr>
              <w:jc w:val="center"/>
              <w:rPr>
                <w:sz w:val="20"/>
                <w:szCs w:val="20"/>
                <w:lang w:val="en-GB"/>
              </w:rPr>
            </w:pPr>
            <w:r w:rsidRPr="004A3C4E">
              <w:rPr>
                <w:sz w:val="20"/>
                <w:szCs w:val="18"/>
                <w:lang w:val="en-GB"/>
              </w:rPr>
              <w:t>Dominated</w:t>
            </w:r>
          </w:p>
        </w:tc>
      </w:tr>
      <w:tr w:rsidR="000D446F" w:rsidRPr="005D6A44" w14:paraId="1469E877" w14:textId="77777777" w:rsidTr="000D446F">
        <w:tc>
          <w:tcPr>
            <w:tcW w:w="2768" w:type="dxa"/>
            <w:vMerge/>
            <w:tcBorders>
              <w:bottom w:val="single" w:sz="18" w:space="0" w:color="auto"/>
            </w:tcBorders>
            <w:vAlign w:val="center"/>
          </w:tcPr>
          <w:p w14:paraId="09BF57E3" w14:textId="77777777" w:rsidR="000D446F" w:rsidRPr="00AE1B0B" w:rsidRDefault="000D446F" w:rsidP="00E77343">
            <w:pPr>
              <w:rPr>
                <w:sz w:val="20"/>
                <w:szCs w:val="20"/>
                <w:lang w:val="en-US"/>
              </w:rPr>
            </w:pPr>
          </w:p>
        </w:tc>
        <w:tc>
          <w:tcPr>
            <w:tcW w:w="1322" w:type="dxa"/>
            <w:tcBorders>
              <w:top w:val="single" w:sz="6" w:space="0" w:color="auto"/>
              <w:bottom w:val="single" w:sz="18" w:space="0" w:color="auto"/>
              <w:right w:val="single" w:sz="18" w:space="0" w:color="auto"/>
            </w:tcBorders>
            <w:vAlign w:val="center"/>
          </w:tcPr>
          <w:p w14:paraId="0C9B5ABD" w14:textId="77777777" w:rsidR="000D446F" w:rsidRPr="00AE1B0B" w:rsidRDefault="000D446F" w:rsidP="00E77343">
            <w:pPr>
              <w:rPr>
                <w:sz w:val="20"/>
                <w:szCs w:val="20"/>
              </w:rPr>
            </w:pPr>
            <w:r w:rsidRPr="00AE1B0B">
              <w:rPr>
                <w:sz w:val="20"/>
                <w:szCs w:val="20"/>
              </w:rPr>
              <w:t>Post</w:t>
            </w:r>
          </w:p>
        </w:tc>
        <w:tc>
          <w:tcPr>
            <w:tcW w:w="1329" w:type="dxa"/>
            <w:tcBorders>
              <w:left w:val="single" w:sz="18" w:space="0" w:color="auto"/>
              <w:bottom w:val="single" w:sz="18" w:space="0" w:color="auto"/>
            </w:tcBorders>
          </w:tcPr>
          <w:p w14:paraId="3EF4ABC6" w14:textId="77777777" w:rsidR="000D446F" w:rsidRPr="00AE1B0B" w:rsidRDefault="000D446F" w:rsidP="00E77343">
            <w:pPr>
              <w:jc w:val="center"/>
              <w:rPr>
                <w:sz w:val="20"/>
                <w:szCs w:val="20"/>
              </w:rPr>
            </w:pPr>
            <w:r w:rsidRPr="00AE1B0B">
              <w:rPr>
                <w:sz w:val="20"/>
                <w:szCs w:val="20"/>
              </w:rPr>
              <w:t xml:space="preserve"> </w:t>
            </w:r>
            <w:r w:rsidRPr="000D6A79">
              <w:rPr>
                <w:sz w:val="20"/>
                <w:szCs w:val="18"/>
              </w:rPr>
              <w:t>€</w:t>
            </w:r>
            <w:r w:rsidRPr="00AE1B0B">
              <w:rPr>
                <w:sz w:val="20"/>
                <w:szCs w:val="20"/>
              </w:rPr>
              <w:t xml:space="preserve">7,106,953 </w:t>
            </w:r>
          </w:p>
        </w:tc>
        <w:tc>
          <w:tcPr>
            <w:tcW w:w="932" w:type="dxa"/>
            <w:tcBorders>
              <w:bottom w:val="single" w:sz="18" w:space="0" w:color="auto"/>
            </w:tcBorders>
          </w:tcPr>
          <w:p w14:paraId="4B6E9DBA" w14:textId="77777777" w:rsidR="000D446F" w:rsidRPr="00AE1B0B" w:rsidRDefault="000D446F" w:rsidP="00E77343">
            <w:pPr>
              <w:jc w:val="center"/>
              <w:rPr>
                <w:sz w:val="20"/>
                <w:szCs w:val="20"/>
              </w:rPr>
            </w:pPr>
            <w:r>
              <w:rPr>
                <w:sz w:val="20"/>
                <w:szCs w:val="20"/>
              </w:rPr>
              <w:t>35.80</w:t>
            </w:r>
          </w:p>
        </w:tc>
        <w:tc>
          <w:tcPr>
            <w:tcW w:w="1042" w:type="dxa"/>
            <w:tcBorders>
              <w:bottom w:val="single" w:sz="18" w:space="0" w:color="auto"/>
            </w:tcBorders>
          </w:tcPr>
          <w:p w14:paraId="6DA5B764" w14:textId="77777777" w:rsidR="000D446F" w:rsidRPr="00AE1B0B" w:rsidRDefault="000D446F" w:rsidP="00E77343">
            <w:pPr>
              <w:jc w:val="center"/>
              <w:rPr>
                <w:sz w:val="20"/>
                <w:szCs w:val="20"/>
              </w:rPr>
            </w:pPr>
            <w:r w:rsidRPr="00AE1B0B">
              <w:rPr>
                <w:sz w:val="20"/>
                <w:szCs w:val="20"/>
              </w:rPr>
              <w:t>20.84</w:t>
            </w:r>
          </w:p>
        </w:tc>
        <w:tc>
          <w:tcPr>
            <w:tcW w:w="1889" w:type="dxa"/>
            <w:vMerge/>
            <w:tcBorders>
              <w:bottom w:val="single" w:sz="18" w:space="0" w:color="auto"/>
            </w:tcBorders>
            <w:vAlign w:val="center"/>
          </w:tcPr>
          <w:p w14:paraId="09797AD5" w14:textId="77777777" w:rsidR="000D446F" w:rsidRPr="00AE1B0B" w:rsidRDefault="000D446F" w:rsidP="00E77343">
            <w:pPr>
              <w:jc w:val="center"/>
              <w:rPr>
                <w:sz w:val="20"/>
                <w:szCs w:val="20"/>
                <w:lang w:val="en-US"/>
              </w:rPr>
            </w:pPr>
          </w:p>
        </w:tc>
      </w:tr>
    </w:tbl>
    <w:p w14:paraId="336D7E3B" w14:textId="77777777" w:rsidR="000D446F" w:rsidRDefault="000D446F" w:rsidP="000D446F">
      <w:pPr>
        <w:rPr>
          <w:lang w:val="en-US"/>
        </w:rPr>
      </w:pPr>
    </w:p>
    <w:p w14:paraId="0A906C56" w14:textId="77777777" w:rsidR="000D446F" w:rsidRDefault="000D446F" w:rsidP="000D446F">
      <w:pPr>
        <w:rPr>
          <w:i/>
          <w:iCs/>
          <w:lang w:val="en-US"/>
        </w:rPr>
      </w:pPr>
      <w:r w:rsidRPr="00BE28FF">
        <w:rPr>
          <w:i/>
          <w:iCs/>
          <w:lang w:val="en-US"/>
        </w:rPr>
        <w:t xml:space="preserve">Table </w:t>
      </w:r>
      <w:r>
        <w:rPr>
          <w:i/>
          <w:iCs/>
          <w:lang w:val="en-US"/>
        </w:rPr>
        <w:t>2</w:t>
      </w:r>
      <w:r w:rsidRPr="00BE28FF">
        <w:rPr>
          <w:i/>
          <w:iCs/>
          <w:lang w:val="en-US"/>
        </w:rPr>
        <w:t xml:space="preserve">: </w:t>
      </w:r>
      <w:r>
        <w:rPr>
          <w:i/>
          <w:iCs/>
          <w:lang w:val="en-US"/>
        </w:rPr>
        <w:t>Cost-effectiveness of SMA NBS in different scenarios.</w:t>
      </w:r>
    </w:p>
    <w:p w14:paraId="6198DCFB" w14:textId="77777777" w:rsidR="000D446F" w:rsidRDefault="000D446F" w:rsidP="000D446F">
      <w:pPr>
        <w:rPr>
          <w:i/>
          <w:iCs/>
          <w:lang w:val="en-US"/>
        </w:rPr>
      </w:pPr>
      <w:r>
        <w:rPr>
          <w:i/>
          <w:iCs/>
          <w:vertAlign w:val="superscript"/>
          <w:lang w:val="en-US"/>
        </w:rPr>
        <w:t xml:space="preserve">a </w:t>
      </w:r>
      <w:r>
        <w:rPr>
          <w:i/>
          <w:iCs/>
          <w:lang w:val="en-US"/>
        </w:rPr>
        <w:t>Post indicates subjects identified based on symptoms.</w:t>
      </w:r>
    </w:p>
    <w:p w14:paraId="40627CCC" w14:textId="77777777" w:rsidR="000D446F" w:rsidRPr="00E20646" w:rsidRDefault="000D446F" w:rsidP="000D446F">
      <w:pPr>
        <w:rPr>
          <w:i/>
          <w:iCs/>
          <w:lang w:val="en-US"/>
        </w:rPr>
      </w:pPr>
      <w:proofErr w:type="spellStart"/>
      <w:proofErr w:type="gramStart"/>
      <w:r>
        <w:rPr>
          <w:i/>
          <w:iCs/>
          <w:vertAlign w:val="superscript"/>
          <w:lang w:val="en-US"/>
        </w:rPr>
        <w:t>b</w:t>
      </w:r>
      <w:r>
        <w:rPr>
          <w:i/>
          <w:iCs/>
          <w:lang w:val="en-US"/>
        </w:rPr>
        <w:t>”Dominated</w:t>
      </w:r>
      <w:proofErr w:type="spellEnd"/>
      <w:proofErr w:type="gramEnd"/>
      <w:r>
        <w:rPr>
          <w:i/>
          <w:iCs/>
          <w:lang w:val="en-US"/>
        </w:rPr>
        <w:t xml:space="preserve">” </w:t>
      </w:r>
      <w:r w:rsidRPr="00E20646">
        <w:rPr>
          <w:i/>
          <w:iCs/>
          <w:lang w:val="en-US"/>
        </w:rPr>
        <w:t>means</w:t>
      </w:r>
      <w:r>
        <w:rPr>
          <w:i/>
          <w:iCs/>
          <w:lang w:val="en-US"/>
        </w:rPr>
        <w:t xml:space="preserve"> here</w:t>
      </w:r>
      <w:r w:rsidRPr="00E20646">
        <w:rPr>
          <w:i/>
          <w:iCs/>
          <w:lang w:val="en-US"/>
        </w:rPr>
        <w:t xml:space="preserve"> a negative cost</w:t>
      </w:r>
      <w:r>
        <w:rPr>
          <w:i/>
          <w:iCs/>
          <w:lang w:val="en-US"/>
        </w:rPr>
        <w:t xml:space="preserve"> </w:t>
      </w:r>
    </w:p>
    <w:p w14:paraId="3A93E03E" w14:textId="77777777" w:rsidR="000D446F" w:rsidRPr="00E96FA8" w:rsidRDefault="000D446F" w:rsidP="001336C2">
      <w:pPr>
        <w:widowControl w:val="0"/>
        <w:autoSpaceDE w:val="0"/>
        <w:autoSpaceDN w:val="0"/>
        <w:adjustRightInd w:val="0"/>
        <w:spacing w:before="100" w:after="100"/>
        <w:ind w:left="640" w:hanging="640"/>
      </w:pPr>
    </w:p>
    <w:sectPr w:rsidR="000D446F" w:rsidRPr="00E96FA8" w:rsidSect="00C36ABB">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BA56" w14:textId="77777777" w:rsidR="00C25522" w:rsidRDefault="00C25522" w:rsidP="003C6825">
      <w:r>
        <w:separator/>
      </w:r>
    </w:p>
  </w:endnote>
  <w:endnote w:type="continuationSeparator" w:id="0">
    <w:p w14:paraId="2A3E7ED9" w14:textId="77777777" w:rsidR="00C25522" w:rsidRDefault="00C25522" w:rsidP="003C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57697051"/>
      <w:docPartObj>
        <w:docPartGallery w:val="Page Numbers (Bottom of Page)"/>
        <w:docPartUnique/>
      </w:docPartObj>
    </w:sdtPr>
    <w:sdtContent>
      <w:p w14:paraId="1BC0E997" w14:textId="45CE61ED" w:rsidR="00F97639" w:rsidRDefault="00F97639" w:rsidP="004E607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3E3D43" w14:textId="77777777" w:rsidR="00F97639" w:rsidRDefault="00F97639" w:rsidP="00F976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89675056"/>
      <w:docPartObj>
        <w:docPartGallery w:val="Page Numbers (Bottom of Page)"/>
        <w:docPartUnique/>
      </w:docPartObj>
    </w:sdtPr>
    <w:sdtContent>
      <w:p w14:paraId="62C199B4" w14:textId="4F22F567" w:rsidR="00F97639" w:rsidRDefault="00F97639" w:rsidP="004E607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C8285E" w14:textId="77777777" w:rsidR="00F97639" w:rsidRDefault="00F97639" w:rsidP="00F9763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0D51" w14:textId="77777777" w:rsidR="00C25522" w:rsidRDefault="00C25522" w:rsidP="003C6825">
      <w:r>
        <w:separator/>
      </w:r>
    </w:p>
  </w:footnote>
  <w:footnote w:type="continuationSeparator" w:id="0">
    <w:p w14:paraId="3B43968C" w14:textId="77777777" w:rsidR="00C25522" w:rsidRDefault="00C25522" w:rsidP="003C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E26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E6A08"/>
    <w:multiLevelType w:val="hybridMultilevel"/>
    <w:tmpl w:val="1B62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87624"/>
    <w:multiLevelType w:val="hybridMultilevel"/>
    <w:tmpl w:val="A47836AA"/>
    <w:lvl w:ilvl="0" w:tplc="9E3CF10E">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008DE"/>
    <w:multiLevelType w:val="hybridMultilevel"/>
    <w:tmpl w:val="B49C4E72"/>
    <w:lvl w:ilvl="0" w:tplc="DF1497B6">
      <w:start w:val="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F3542"/>
    <w:multiLevelType w:val="hybridMultilevel"/>
    <w:tmpl w:val="B4BE7572"/>
    <w:lvl w:ilvl="0" w:tplc="A202D458">
      <w:numFmt w:val="bullet"/>
      <w:lvlText w:val="-"/>
      <w:lvlJc w:val="left"/>
      <w:pPr>
        <w:ind w:left="720" w:hanging="36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1B5A53"/>
    <w:multiLevelType w:val="hybridMultilevel"/>
    <w:tmpl w:val="7044448A"/>
    <w:lvl w:ilvl="0" w:tplc="EA16E8E0">
      <w:numFmt w:val="bullet"/>
      <w:lvlText w:val="-"/>
      <w:lvlJc w:val="left"/>
      <w:pPr>
        <w:ind w:left="1060" w:hanging="70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96C54"/>
    <w:multiLevelType w:val="hybridMultilevel"/>
    <w:tmpl w:val="F1C224CC"/>
    <w:lvl w:ilvl="0" w:tplc="04090001">
      <w:start w:val="1"/>
      <w:numFmt w:val="bullet"/>
      <w:lvlText w:val=""/>
      <w:lvlJc w:val="left"/>
      <w:pPr>
        <w:ind w:left="1060" w:hanging="70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2D4013"/>
    <w:multiLevelType w:val="hybridMultilevel"/>
    <w:tmpl w:val="89003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D01343"/>
    <w:multiLevelType w:val="hybridMultilevel"/>
    <w:tmpl w:val="44F4BF70"/>
    <w:lvl w:ilvl="0" w:tplc="EA16E8E0">
      <w:numFmt w:val="bullet"/>
      <w:lvlText w:val="-"/>
      <w:lvlJc w:val="left"/>
      <w:pPr>
        <w:ind w:left="1060" w:hanging="70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552A0D"/>
    <w:multiLevelType w:val="multilevel"/>
    <w:tmpl w:val="F968B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7D54BB"/>
    <w:multiLevelType w:val="hybridMultilevel"/>
    <w:tmpl w:val="7BF29922"/>
    <w:lvl w:ilvl="0" w:tplc="165AD0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493C63"/>
    <w:multiLevelType w:val="hybridMultilevel"/>
    <w:tmpl w:val="B0343666"/>
    <w:lvl w:ilvl="0" w:tplc="EA16E8E0">
      <w:numFmt w:val="bullet"/>
      <w:lvlText w:val="-"/>
      <w:lvlJc w:val="left"/>
      <w:pPr>
        <w:ind w:left="1060" w:hanging="70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933481"/>
    <w:multiLevelType w:val="multilevel"/>
    <w:tmpl w:val="FFA26DBE"/>
    <w:lvl w:ilvl="0">
      <w:start w:val="1"/>
      <w:numFmt w:val="decimal"/>
      <w:pStyle w:val="Listepuces"/>
      <w:lvlText w:val="%1."/>
      <w:lvlJc w:val="left"/>
      <w:pPr>
        <w:tabs>
          <w:tab w:val="num" w:pos="567"/>
        </w:tabs>
        <w:ind w:left="567" w:hanging="283"/>
      </w:pPr>
      <w:rPr>
        <w:rFonts w:ascii="Arial" w:eastAsia="Calibri" w:hAnsi="Arial" w:cs="Arial"/>
      </w:rPr>
    </w:lvl>
    <w:lvl w:ilvl="1">
      <w:start w:val="1"/>
      <w:numFmt w:val="bullet"/>
      <w:pStyle w:val="Listepuces2"/>
      <w:lvlText w:val="o"/>
      <w:lvlJc w:val="left"/>
      <w:pPr>
        <w:tabs>
          <w:tab w:val="num" w:pos="851"/>
        </w:tabs>
        <w:ind w:left="851" w:hanging="284"/>
      </w:pPr>
      <w:rPr>
        <w:rFonts w:ascii="Courier" w:hAnsi="Courier" w:hint="default"/>
      </w:rPr>
    </w:lvl>
    <w:lvl w:ilvl="2">
      <w:start w:val="1"/>
      <w:numFmt w:val="bullet"/>
      <w:pStyle w:val="Listepuces3"/>
      <w:lvlText w:val=""/>
      <w:lvlJc w:val="left"/>
      <w:pPr>
        <w:tabs>
          <w:tab w:val="num" w:pos="1134"/>
        </w:tabs>
        <w:ind w:left="1134" w:hanging="283"/>
      </w:pPr>
      <w:rPr>
        <w:rFonts w:ascii="Wingdings" w:hAnsi="Wingdings" w:hint="default"/>
      </w:rPr>
    </w:lvl>
    <w:lvl w:ilvl="3">
      <w:start w:val="1"/>
      <w:numFmt w:val="bullet"/>
      <w:pStyle w:val="Listepuces4"/>
      <w:lvlText w:val=""/>
      <w:lvlJc w:val="left"/>
      <w:pPr>
        <w:tabs>
          <w:tab w:val="num" w:pos="1418"/>
        </w:tabs>
        <w:ind w:left="1418" w:hanging="284"/>
      </w:pPr>
      <w:rPr>
        <w:rFonts w:ascii="Symbol" w:hAnsi="Symbol" w:hint="default"/>
      </w:rPr>
    </w:lvl>
    <w:lvl w:ilvl="4">
      <w:start w:val="1"/>
      <w:numFmt w:val="bullet"/>
      <w:pStyle w:val="Listepuces5"/>
      <w:lvlText w:val="o"/>
      <w:lvlJc w:val="left"/>
      <w:pPr>
        <w:tabs>
          <w:tab w:val="num" w:pos="1701"/>
        </w:tabs>
        <w:ind w:left="1701" w:hanging="283"/>
      </w:pPr>
      <w:rPr>
        <w:rFonts w:ascii="Courier" w:hAnsi="Courier"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470135"/>
    <w:multiLevelType w:val="hybridMultilevel"/>
    <w:tmpl w:val="6BC4BB9E"/>
    <w:lvl w:ilvl="0" w:tplc="F29846B2">
      <w:start w:val="3"/>
      <w:numFmt w:val="bullet"/>
      <w:lvlText w:val="-"/>
      <w:lvlJc w:val="left"/>
      <w:pPr>
        <w:ind w:left="720" w:hanging="36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115D19"/>
    <w:multiLevelType w:val="hybridMultilevel"/>
    <w:tmpl w:val="4014A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610F75"/>
    <w:multiLevelType w:val="hybridMultilevel"/>
    <w:tmpl w:val="3BB86018"/>
    <w:lvl w:ilvl="0" w:tplc="F29846B2">
      <w:start w:val="3"/>
      <w:numFmt w:val="bullet"/>
      <w:lvlText w:val="-"/>
      <w:lvlJc w:val="left"/>
      <w:pPr>
        <w:ind w:left="720" w:hanging="36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96EF8"/>
    <w:multiLevelType w:val="hybridMultilevel"/>
    <w:tmpl w:val="AF5AC64A"/>
    <w:lvl w:ilvl="0" w:tplc="63DA3AF2">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DA3270"/>
    <w:multiLevelType w:val="hybridMultilevel"/>
    <w:tmpl w:val="3D7C1200"/>
    <w:lvl w:ilvl="0" w:tplc="A202D458">
      <w:numFmt w:val="bullet"/>
      <w:lvlText w:val="-"/>
      <w:lvlJc w:val="left"/>
      <w:pPr>
        <w:ind w:left="1080" w:hanging="360"/>
      </w:pPr>
      <w:rPr>
        <w:rFonts w:ascii="TimesNewRomanPSMT" w:eastAsia="Times New Roman" w:hAnsi="TimesNewRomanPS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B3B487A"/>
    <w:multiLevelType w:val="hybridMultilevel"/>
    <w:tmpl w:val="5096F47E"/>
    <w:lvl w:ilvl="0" w:tplc="EA16E8E0">
      <w:numFmt w:val="bullet"/>
      <w:lvlText w:val="-"/>
      <w:lvlJc w:val="left"/>
      <w:pPr>
        <w:ind w:left="1420" w:hanging="700"/>
      </w:pPr>
      <w:rPr>
        <w:rFonts w:ascii="TimesNewRomanPSMT" w:eastAsia="Times New Roman" w:hAnsi="TimesNewRomanPS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1F5DEF"/>
    <w:multiLevelType w:val="hybridMultilevel"/>
    <w:tmpl w:val="EA902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7096762">
    <w:abstractNumId w:val="12"/>
  </w:num>
  <w:num w:numId="2" w16cid:durableId="2040622802">
    <w:abstractNumId w:val="10"/>
  </w:num>
  <w:num w:numId="3" w16cid:durableId="1817138430">
    <w:abstractNumId w:val="9"/>
  </w:num>
  <w:num w:numId="4" w16cid:durableId="795104629">
    <w:abstractNumId w:val="7"/>
  </w:num>
  <w:num w:numId="5" w16cid:durableId="1686403806">
    <w:abstractNumId w:val="3"/>
  </w:num>
  <w:num w:numId="6" w16cid:durableId="1903518756">
    <w:abstractNumId w:val="13"/>
  </w:num>
  <w:num w:numId="7" w16cid:durableId="1951619245">
    <w:abstractNumId w:val="4"/>
  </w:num>
  <w:num w:numId="8" w16cid:durableId="1874733222">
    <w:abstractNumId w:val="14"/>
  </w:num>
  <w:num w:numId="9" w16cid:durableId="1503618415">
    <w:abstractNumId w:val="2"/>
  </w:num>
  <w:num w:numId="10" w16cid:durableId="2023193596">
    <w:abstractNumId w:val="1"/>
  </w:num>
  <w:num w:numId="11" w16cid:durableId="1077019685">
    <w:abstractNumId w:val="16"/>
  </w:num>
  <w:num w:numId="12" w16cid:durableId="637026702">
    <w:abstractNumId w:val="0"/>
  </w:num>
  <w:num w:numId="13" w16cid:durableId="1346245483">
    <w:abstractNumId w:val="0"/>
  </w:num>
  <w:num w:numId="14" w16cid:durableId="514542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nl-NL" w:vendorID="64" w:dllVersion="6" w:nlCheck="1" w:checkStyle="0"/>
  <w:activeWritingStyle w:appName="MSWord" w:lang="fr-BE" w:vendorID="64" w:dllVersion="0" w:nlCheck="1" w:checkStyle="0"/>
  <w:activeWritingStyle w:appName="MSWord" w:lang="nl-NL" w:vendorID="64" w:dllVersion="0" w:nlCheck="1" w:checkStyle="0"/>
  <w:proofState w:spelling="clean" w:grammar="clean"/>
  <w:revisionView w:markup="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FC"/>
    <w:rsid w:val="00002A5D"/>
    <w:rsid w:val="00007424"/>
    <w:rsid w:val="00010D5D"/>
    <w:rsid w:val="00013693"/>
    <w:rsid w:val="0001465E"/>
    <w:rsid w:val="0001726C"/>
    <w:rsid w:val="000177D2"/>
    <w:rsid w:val="000303CA"/>
    <w:rsid w:val="00043EB0"/>
    <w:rsid w:val="00044173"/>
    <w:rsid w:val="00050831"/>
    <w:rsid w:val="00051A74"/>
    <w:rsid w:val="00051DFD"/>
    <w:rsid w:val="00052A5B"/>
    <w:rsid w:val="00054C53"/>
    <w:rsid w:val="00055DF4"/>
    <w:rsid w:val="00071DBC"/>
    <w:rsid w:val="00072466"/>
    <w:rsid w:val="00081072"/>
    <w:rsid w:val="0008673E"/>
    <w:rsid w:val="00087641"/>
    <w:rsid w:val="00094D34"/>
    <w:rsid w:val="000A781D"/>
    <w:rsid w:val="000C343D"/>
    <w:rsid w:val="000C4695"/>
    <w:rsid w:val="000C48B8"/>
    <w:rsid w:val="000C5CF5"/>
    <w:rsid w:val="000C6389"/>
    <w:rsid w:val="000D1C71"/>
    <w:rsid w:val="000D446F"/>
    <w:rsid w:val="000D61A7"/>
    <w:rsid w:val="000D6A79"/>
    <w:rsid w:val="000F3632"/>
    <w:rsid w:val="000F4E85"/>
    <w:rsid w:val="0010180D"/>
    <w:rsid w:val="00104444"/>
    <w:rsid w:val="00104D27"/>
    <w:rsid w:val="00105B23"/>
    <w:rsid w:val="00107C47"/>
    <w:rsid w:val="00111066"/>
    <w:rsid w:val="0011593F"/>
    <w:rsid w:val="001225BD"/>
    <w:rsid w:val="00125927"/>
    <w:rsid w:val="0012792D"/>
    <w:rsid w:val="001336C2"/>
    <w:rsid w:val="00142B93"/>
    <w:rsid w:val="0014357D"/>
    <w:rsid w:val="00145139"/>
    <w:rsid w:val="00154BDB"/>
    <w:rsid w:val="0015641D"/>
    <w:rsid w:val="00157ED8"/>
    <w:rsid w:val="0016577B"/>
    <w:rsid w:val="00172413"/>
    <w:rsid w:val="0017245F"/>
    <w:rsid w:val="0017531E"/>
    <w:rsid w:val="001878D1"/>
    <w:rsid w:val="00187DCD"/>
    <w:rsid w:val="00190FBB"/>
    <w:rsid w:val="00193056"/>
    <w:rsid w:val="00193CD8"/>
    <w:rsid w:val="00197C3C"/>
    <w:rsid w:val="001A0165"/>
    <w:rsid w:val="001A7F26"/>
    <w:rsid w:val="001B6753"/>
    <w:rsid w:val="001C4F36"/>
    <w:rsid w:val="001C73F6"/>
    <w:rsid w:val="001C79EC"/>
    <w:rsid w:val="001D00FF"/>
    <w:rsid w:val="001D065D"/>
    <w:rsid w:val="001D0714"/>
    <w:rsid w:val="001D4C1E"/>
    <w:rsid w:val="001D7158"/>
    <w:rsid w:val="001E15B7"/>
    <w:rsid w:val="001E44EA"/>
    <w:rsid w:val="001E4CCA"/>
    <w:rsid w:val="001E65AA"/>
    <w:rsid w:val="002026DD"/>
    <w:rsid w:val="00212018"/>
    <w:rsid w:val="002131DA"/>
    <w:rsid w:val="00215A94"/>
    <w:rsid w:val="00220167"/>
    <w:rsid w:val="002311E0"/>
    <w:rsid w:val="00231B23"/>
    <w:rsid w:val="002375E1"/>
    <w:rsid w:val="002515AF"/>
    <w:rsid w:val="00251FA1"/>
    <w:rsid w:val="00252023"/>
    <w:rsid w:val="002633D2"/>
    <w:rsid w:val="00265E4E"/>
    <w:rsid w:val="00271C8F"/>
    <w:rsid w:val="0027774B"/>
    <w:rsid w:val="00290648"/>
    <w:rsid w:val="002A3337"/>
    <w:rsid w:val="002A4158"/>
    <w:rsid w:val="002A689C"/>
    <w:rsid w:val="002B0DCF"/>
    <w:rsid w:val="002C0511"/>
    <w:rsid w:val="002C2CDF"/>
    <w:rsid w:val="002C33D5"/>
    <w:rsid w:val="002C459B"/>
    <w:rsid w:val="002E5A30"/>
    <w:rsid w:val="002E7795"/>
    <w:rsid w:val="002F02D3"/>
    <w:rsid w:val="002F5FE9"/>
    <w:rsid w:val="00304544"/>
    <w:rsid w:val="00304679"/>
    <w:rsid w:val="003062F6"/>
    <w:rsid w:val="00310115"/>
    <w:rsid w:val="00312C4A"/>
    <w:rsid w:val="00313110"/>
    <w:rsid w:val="00316FE4"/>
    <w:rsid w:val="00317A09"/>
    <w:rsid w:val="0032365D"/>
    <w:rsid w:val="003271F0"/>
    <w:rsid w:val="00327CF6"/>
    <w:rsid w:val="00327FDD"/>
    <w:rsid w:val="0033117A"/>
    <w:rsid w:val="00332BA6"/>
    <w:rsid w:val="00337DF1"/>
    <w:rsid w:val="00342194"/>
    <w:rsid w:val="003431ED"/>
    <w:rsid w:val="00343900"/>
    <w:rsid w:val="003455FA"/>
    <w:rsid w:val="0035176F"/>
    <w:rsid w:val="003610AA"/>
    <w:rsid w:val="003613C9"/>
    <w:rsid w:val="003627F8"/>
    <w:rsid w:val="00371DEC"/>
    <w:rsid w:val="00372435"/>
    <w:rsid w:val="0037261F"/>
    <w:rsid w:val="0038432E"/>
    <w:rsid w:val="003848DE"/>
    <w:rsid w:val="003863C3"/>
    <w:rsid w:val="0039004A"/>
    <w:rsid w:val="00395B41"/>
    <w:rsid w:val="00397139"/>
    <w:rsid w:val="003A317B"/>
    <w:rsid w:val="003A4731"/>
    <w:rsid w:val="003A796D"/>
    <w:rsid w:val="003C3055"/>
    <w:rsid w:val="003C6825"/>
    <w:rsid w:val="003D35B8"/>
    <w:rsid w:val="003D3EC3"/>
    <w:rsid w:val="003D4233"/>
    <w:rsid w:val="003D638A"/>
    <w:rsid w:val="003D7D1F"/>
    <w:rsid w:val="003E0219"/>
    <w:rsid w:val="003E1D07"/>
    <w:rsid w:val="003E3374"/>
    <w:rsid w:val="003E620C"/>
    <w:rsid w:val="003E7B17"/>
    <w:rsid w:val="003F4ACB"/>
    <w:rsid w:val="003F5C94"/>
    <w:rsid w:val="0040642E"/>
    <w:rsid w:val="00407300"/>
    <w:rsid w:val="00407721"/>
    <w:rsid w:val="00411F3B"/>
    <w:rsid w:val="00415EC4"/>
    <w:rsid w:val="004205D6"/>
    <w:rsid w:val="00430260"/>
    <w:rsid w:val="00434D97"/>
    <w:rsid w:val="0044013F"/>
    <w:rsid w:val="00461808"/>
    <w:rsid w:val="00463AD2"/>
    <w:rsid w:val="00465057"/>
    <w:rsid w:val="00480005"/>
    <w:rsid w:val="00480972"/>
    <w:rsid w:val="00480C40"/>
    <w:rsid w:val="00480D7F"/>
    <w:rsid w:val="00485936"/>
    <w:rsid w:val="004A2817"/>
    <w:rsid w:val="004A3C4E"/>
    <w:rsid w:val="004A5425"/>
    <w:rsid w:val="004A5B8C"/>
    <w:rsid w:val="004A74CC"/>
    <w:rsid w:val="004B0D6D"/>
    <w:rsid w:val="004B14DB"/>
    <w:rsid w:val="004B45F5"/>
    <w:rsid w:val="004C0A9D"/>
    <w:rsid w:val="004C1523"/>
    <w:rsid w:val="004C3C51"/>
    <w:rsid w:val="004C69FC"/>
    <w:rsid w:val="004C7B59"/>
    <w:rsid w:val="004D18B2"/>
    <w:rsid w:val="004D5A9A"/>
    <w:rsid w:val="004E0993"/>
    <w:rsid w:val="004E1540"/>
    <w:rsid w:val="004E29F6"/>
    <w:rsid w:val="004E30B9"/>
    <w:rsid w:val="004E3A1D"/>
    <w:rsid w:val="004E7280"/>
    <w:rsid w:val="004F31E5"/>
    <w:rsid w:val="00500862"/>
    <w:rsid w:val="00503B3A"/>
    <w:rsid w:val="00512E67"/>
    <w:rsid w:val="00522703"/>
    <w:rsid w:val="00523FAA"/>
    <w:rsid w:val="00524894"/>
    <w:rsid w:val="00531CD9"/>
    <w:rsid w:val="00540660"/>
    <w:rsid w:val="00540EAA"/>
    <w:rsid w:val="00544F6E"/>
    <w:rsid w:val="00555810"/>
    <w:rsid w:val="00556D44"/>
    <w:rsid w:val="0056696B"/>
    <w:rsid w:val="005670A4"/>
    <w:rsid w:val="005734BF"/>
    <w:rsid w:val="00583FC6"/>
    <w:rsid w:val="005852AC"/>
    <w:rsid w:val="005867A1"/>
    <w:rsid w:val="005877C4"/>
    <w:rsid w:val="00594890"/>
    <w:rsid w:val="005A2FAD"/>
    <w:rsid w:val="005A38C3"/>
    <w:rsid w:val="005A6036"/>
    <w:rsid w:val="005A6039"/>
    <w:rsid w:val="005A60CC"/>
    <w:rsid w:val="005A7129"/>
    <w:rsid w:val="005B352D"/>
    <w:rsid w:val="005B4EE9"/>
    <w:rsid w:val="005B6E7D"/>
    <w:rsid w:val="005C082B"/>
    <w:rsid w:val="005C6E3D"/>
    <w:rsid w:val="005D010A"/>
    <w:rsid w:val="005D30DF"/>
    <w:rsid w:val="005D6A44"/>
    <w:rsid w:val="005E2C47"/>
    <w:rsid w:val="005E7C4F"/>
    <w:rsid w:val="005F025F"/>
    <w:rsid w:val="005F6756"/>
    <w:rsid w:val="00605321"/>
    <w:rsid w:val="0060779B"/>
    <w:rsid w:val="00631205"/>
    <w:rsid w:val="00632E1D"/>
    <w:rsid w:val="006331D6"/>
    <w:rsid w:val="0063739D"/>
    <w:rsid w:val="00644206"/>
    <w:rsid w:val="00652FE1"/>
    <w:rsid w:val="006576F4"/>
    <w:rsid w:val="006650C4"/>
    <w:rsid w:val="0066558D"/>
    <w:rsid w:val="00665BAC"/>
    <w:rsid w:val="00666CFE"/>
    <w:rsid w:val="0067226B"/>
    <w:rsid w:val="006731C6"/>
    <w:rsid w:val="006807CC"/>
    <w:rsid w:val="00680CE1"/>
    <w:rsid w:val="00681FA0"/>
    <w:rsid w:val="006870DC"/>
    <w:rsid w:val="00696CDF"/>
    <w:rsid w:val="006A03CB"/>
    <w:rsid w:val="006A2DE4"/>
    <w:rsid w:val="006C053B"/>
    <w:rsid w:val="006C2A11"/>
    <w:rsid w:val="006D3858"/>
    <w:rsid w:val="006D3879"/>
    <w:rsid w:val="006D43F3"/>
    <w:rsid w:val="006E2CC4"/>
    <w:rsid w:val="006E2CC6"/>
    <w:rsid w:val="006E3375"/>
    <w:rsid w:val="006E3D4C"/>
    <w:rsid w:val="006E6602"/>
    <w:rsid w:val="006F0A12"/>
    <w:rsid w:val="006F313A"/>
    <w:rsid w:val="00700BC8"/>
    <w:rsid w:val="00701A4F"/>
    <w:rsid w:val="00703AE6"/>
    <w:rsid w:val="007127AD"/>
    <w:rsid w:val="00715385"/>
    <w:rsid w:val="00715A30"/>
    <w:rsid w:val="00715CE8"/>
    <w:rsid w:val="0071779D"/>
    <w:rsid w:val="0072266E"/>
    <w:rsid w:val="00722CD9"/>
    <w:rsid w:val="00725793"/>
    <w:rsid w:val="00725C97"/>
    <w:rsid w:val="00752700"/>
    <w:rsid w:val="00754735"/>
    <w:rsid w:val="00784B48"/>
    <w:rsid w:val="00786AD6"/>
    <w:rsid w:val="00787C2D"/>
    <w:rsid w:val="007903B6"/>
    <w:rsid w:val="00791C97"/>
    <w:rsid w:val="007940A8"/>
    <w:rsid w:val="00797A9B"/>
    <w:rsid w:val="007A1167"/>
    <w:rsid w:val="007A488D"/>
    <w:rsid w:val="007B1BFD"/>
    <w:rsid w:val="007B6877"/>
    <w:rsid w:val="007C309C"/>
    <w:rsid w:val="007C52FE"/>
    <w:rsid w:val="007C6233"/>
    <w:rsid w:val="007C62DA"/>
    <w:rsid w:val="007C6D32"/>
    <w:rsid w:val="007D4B46"/>
    <w:rsid w:val="007D52D2"/>
    <w:rsid w:val="007D71FA"/>
    <w:rsid w:val="007D7A9C"/>
    <w:rsid w:val="007E3F19"/>
    <w:rsid w:val="007E6CB1"/>
    <w:rsid w:val="0081302C"/>
    <w:rsid w:val="00823D53"/>
    <w:rsid w:val="00826283"/>
    <w:rsid w:val="008271B4"/>
    <w:rsid w:val="00833137"/>
    <w:rsid w:val="00833C67"/>
    <w:rsid w:val="0083457B"/>
    <w:rsid w:val="00834892"/>
    <w:rsid w:val="00842198"/>
    <w:rsid w:val="008552FC"/>
    <w:rsid w:val="008563E8"/>
    <w:rsid w:val="0085701B"/>
    <w:rsid w:val="008575A9"/>
    <w:rsid w:val="0086548B"/>
    <w:rsid w:val="00867ED4"/>
    <w:rsid w:val="00876E76"/>
    <w:rsid w:val="008809F8"/>
    <w:rsid w:val="00882D36"/>
    <w:rsid w:val="00886283"/>
    <w:rsid w:val="00892DD8"/>
    <w:rsid w:val="008971B9"/>
    <w:rsid w:val="008972DA"/>
    <w:rsid w:val="008A2950"/>
    <w:rsid w:val="008A5067"/>
    <w:rsid w:val="008A5DDB"/>
    <w:rsid w:val="008B1F1C"/>
    <w:rsid w:val="008C2F26"/>
    <w:rsid w:val="008D7E72"/>
    <w:rsid w:val="008E3DB3"/>
    <w:rsid w:val="008E4891"/>
    <w:rsid w:val="008F35C8"/>
    <w:rsid w:val="008F370B"/>
    <w:rsid w:val="008F3FB7"/>
    <w:rsid w:val="008F6C08"/>
    <w:rsid w:val="008F6C69"/>
    <w:rsid w:val="008F6CFC"/>
    <w:rsid w:val="008F7245"/>
    <w:rsid w:val="00902E90"/>
    <w:rsid w:val="00903388"/>
    <w:rsid w:val="009048BC"/>
    <w:rsid w:val="009061E8"/>
    <w:rsid w:val="00912D86"/>
    <w:rsid w:val="00913F66"/>
    <w:rsid w:val="009263AD"/>
    <w:rsid w:val="00927356"/>
    <w:rsid w:val="0093026E"/>
    <w:rsid w:val="00953BE6"/>
    <w:rsid w:val="009601DB"/>
    <w:rsid w:val="00964343"/>
    <w:rsid w:val="0097277D"/>
    <w:rsid w:val="00975D61"/>
    <w:rsid w:val="00987244"/>
    <w:rsid w:val="009910AF"/>
    <w:rsid w:val="009B0AF4"/>
    <w:rsid w:val="009B1261"/>
    <w:rsid w:val="009B337E"/>
    <w:rsid w:val="009B3827"/>
    <w:rsid w:val="009B60F7"/>
    <w:rsid w:val="009B66F2"/>
    <w:rsid w:val="009B74E0"/>
    <w:rsid w:val="009D1213"/>
    <w:rsid w:val="009E05C9"/>
    <w:rsid w:val="009E126B"/>
    <w:rsid w:val="009E6A7E"/>
    <w:rsid w:val="009F0E53"/>
    <w:rsid w:val="009F227B"/>
    <w:rsid w:val="00A00CBC"/>
    <w:rsid w:val="00A00DB1"/>
    <w:rsid w:val="00A051C4"/>
    <w:rsid w:val="00A12A98"/>
    <w:rsid w:val="00A13024"/>
    <w:rsid w:val="00A16CA3"/>
    <w:rsid w:val="00A20677"/>
    <w:rsid w:val="00A245A0"/>
    <w:rsid w:val="00A30EB3"/>
    <w:rsid w:val="00A33C93"/>
    <w:rsid w:val="00A42D9F"/>
    <w:rsid w:val="00A434AC"/>
    <w:rsid w:val="00A447B3"/>
    <w:rsid w:val="00A44897"/>
    <w:rsid w:val="00A46037"/>
    <w:rsid w:val="00A531D4"/>
    <w:rsid w:val="00A54482"/>
    <w:rsid w:val="00A54E6D"/>
    <w:rsid w:val="00A57229"/>
    <w:rsid w:val="00A60E0C"/>
    <w:rsid w:val="00A64015"/>
    <w:rsid w:val="00A667EF"/>
    <w:rsid w:val="00A706BE"/>
    <w:rsid w:val="00A722A4"/>
    <w:rsid w:val="00A7781A"/>
    <w:rsid w:val="00A811A9"/>
    <w:rsid w:val="00A85EC7"/>
    <w:rsid w:val="00A86D09"/>
    <w:rsid w:val="00AA3803"/>
    <w:rsid w:val="00AA574E"/>
    <w:rsid w:val="00AB32B8"/>
    <w:rsid w:val="00AB3415"/>
    <w:rsid w:val="00AB4AC7"/>
    <w:rsid w:val="00AB646C"/>
    <w:rsid w:val="00AC0E54"/>
    <w:rsid w:val="00AC0FA9"/>
    <w:rsid w:val="00AC4966"/>
    <w:rsid w:val="00AD0F55"/>
    <w:rsid w:val="00AD1940"/>
    <w:rsid w:val="00AD567D"/>
    <w:rsid w:val="00AE1B0B"/>
    <w:rsid w:val="00AF17B6"/>
    <w:rsid w:val="00AF20FB"/>
    <w:rsid w:val="00AF4A36"/>
    <w:rsid w:val="00AF5DC8"/>
    <w:rsid w:val="00B12893"/>
    <w:rsid w:val="00B20027"/>
    <w:rsid w:val="00B261FA"/>
    <w:rsid w:val="00B26B2A"/>
    <w:rsid w:val="00B3552F"/>
    <w:rsid w:val="00B43417"/>
    <w:rsid w:val="00B43C48"/>
    <w:rsid w:val="00B43C4D"/>
    <w:rsid w:val="00B441CA"/>
    <w:rsid w:val="00B471B8"/>
    <w:rsid w:val="00B51775"/>
    <w:rsid w:val="00B54DDA"/>
    <w:rsid w:val="00B628E3"/>
    <w:rsid w:val="00B70DD0"/>
    <w:rsid w:val="00B75766"/>
    <w:rsid w:val="00B766FA"/>
    <w:rsid w:val="00B80468"/>
    <w:rsid w:val="00B80820"/>
    <w:rsid w:val="00B8209F"/>
    <w:rsid w:val="00B90632"/>
    <w:rsid w:val="00BA2BB8"/>
    <w:rsid w:val="00BA33DF"/>
    <w:rsid w:val="00BA3CA1"/>
    <w:rsid w:val="00BA7D04"/>
    <w:rsid w:val="00BB4939"/>
    <w:rsid w:val="00BB5807"/>
    <w:rsid w:val="00BC1802"/>
    <w:rsid w:val="00BC24DD"/>
    <w:rsid w:val="00BC2642"/>
    <w:rsid w:val="00BC4DCD"/>
    <w:rsid w:val="00BD3806"/>
    <w:rsid w:val="00BD6CDA"/>
    <w:rsid w:val="00BE28FF"/>
    <w:rsid w:val="00BE591D"/>
    <w:rsid w:val="00BE6694"/>
    <w:rsid w:val="00BE7014"/>
    <w:rsid w:val="00BF6611"/>
    <w:rsid w:val="00C01113"/>
    <w:rsid w:val="00C03A39"/>
    <w:rsid w:val="00C1095E"/>
    <w:rsid w:val="00C11DF3"/>
    <w:rsid w:val="00C120DB"/>
    <w:rsid w:val="00C1359D"/>
    <w:rsid w:val="00C20D41"/>
    <w:rsid w:val="00C22B26"/>
    <w:rsid w:val="00C24E7B"/>
    <w:rsid w:val="00C25522"/>
    <w:rsid w:val="00C25734"/>
    <w:rsid w:val="00C27E9C"/>
    <w:rsid w:val="00C36ABB"/>
    <w:rsid w:val="00C36FCF"/>
    <w:rsid w:val="00C4051B"/>
    <w:rsid w:val="00C429CA"/>
    <w:rsid w:val="00C452AF"/>
    <w:rsid w:val="00C63EA1"/>
    <w:rsid w:val="00C673A8"/>
    <w:rsid w:val="00C706FA"/>
    <w:rsid w:val="00C7288C"/>
    <w:rsid w:val="00C72CD1"/>
    <w:rsid w:val="00C7437E"/>
    <w:rsid w:val="00C7679C"/>
    <w:rsid w:val="00C778BA"/>
    <w:rsid w:val="00C81833"/>
    <w:rsid w:val="00C823D1"/>
    <w:rsid w:val="00C83E39"/>
    <w:rsid w:val="00C87C40"/>
    <w:rsid w:val="00C9581D"/>
    <w:rsid w:val="00C9780B"/>
    <w:rsid w:val="00CA04BD"/>
    <w:rsid w:val="00CA09C7"/>
    <w:rsid w:val="00CA4873"/>
    <w:rsid w:val="00CA6F5F"/>
    <w:rsid w:val="00CA782A"/>
    <w:rsid w:val="00CB05D1"/>
    <w:rsid w:val="00CB36D3"/>
    <w:rsid w:val="00CC137E"/>
    <w:rsid w:val="00CC20BA"/>
    <w:rsid w:val="00CC4489"/>
    <w:rsid w:val="00CD1245"/>
    <w:rsid w:val="00CD1C98"/>
    <w:rsid w:val="00CE080A"/>
    <w:rsid w:val="00CE0A49"/>
    <w:rsid w:val="00CE303B"/>
    <w:rsid w:val="00CE6320"/>
    <w:rsid w:val="00D00021"/>
    <w:rsid w:val="00D02DBC"/>
    <w:rsid w:val="00D04865"/>
    <w:rsid w:val="00D07C74"/>
    <w:rsid w:val="00D126A1"/>
    <w:rsid w:val="00D1287C"/>
    <w:rsid w:val="00D13337"/>
    <w:rsid w:val="00D13669"/>
    <w:rsid w:val="00D13F1B"/>
    <w:rsid w:val="00D27D38"/>
    <w:rsid w:val="00D304C4"/>
    <w:rsid w:val="00D30F90"/>
    <w:rsid w:val="00D31262"/>
    <w:rsid w:val="00D3238B"/>
    <w:rsid w:val="00D33546"/>
    <w:rsid w:val="00D4006E"/>
    <w:rsid w:val="00D4125A"/>
    <w:rsid w:val="00D46595"/>
    <w:rsid w:val="00D53058"/>
    <w:rsid w:val="00D6052A"/>
    <w:rsid w:val="00D6088B"/>
    <w:rsid w:val="00D62834"/>
    <w:rsid w:val="00D71A81"/>
    <w:rsid w:val="00D8058F"/>
    <w:rsid w:val="00D92C3D"/>
    <w:rsid w:val="00D945CF"/>
    <w:rsid w:val="00D94624"/>
    <w:rsid w:val="00D97BFE"/>
    <w:rsid w:val="00DA61A5"/>
    <w:rsid w:val="00DC08BB"/>
    <w:rsid w:val="00DC0A2E"/>
    <w:rsid w:val="00DC3D86"/>
    <w:rsid w:val="00DD1696"/>
    <w:rsid w:val="00DE4EA2"/>
    <w:rsid w:val="00DE5EFE"/>
    <w:rsid w:val="00DE7E02"/>
    <w:rsid w:val="00DF3032"/>
    <w:rsid w:val="00DF48BC"/>
    <w:rsid w:val="00E00348"/>
    <w:rsid w:val="00E00C78"/>
    <w:rsid w:val="00E02C71"/>
    <w:rsid w:val="00E1259E"/>
    <w:rsid w:val="00E13618"/>
    <w:rsid w:val="00E16F8A"/>
    <w:rsid w:val="00E20646"/>
    <w:rsid w:val="00E24614"/>
    <w:rsid w:val="00E304DD"/>
    <w:rsid w:val="00E3076F"/>
    <w:rsid w:val="00E30FA8"/>
    <w:rsid w:val="00E31938"/>
    <w:rsid w:val="00E33796"/>
    <w:rsid w:val="00E33E91"/>
    <w:rsid w:val="00E34E41"/>
    <w:rsid w:val="00E43D37"/>
    <w:rsid w:val="00E533D4"/>
    <w:rsid w:val="00E60A34"/>
    <w:rsid w:val="00E67DA5"/>
    <w:rsid w:val="00E72474"/>
    <w:rsid w:val="00E725FD"/>
    <w:rsid w:val="00E74AF1"/>
    <w:rsid w:val="00E758CC"/>
    <w:rsid w:val="00E82354"/>
    <w:rsid w:val="00E8605A"/>
    <w:rsid w:val="00E877E8"/>
    <w:rsid w:val="00E920BC"/>
    <w:rsid w:val="00E92706"/>
    <w:rsid w:val="00E96FA8"/>
    <w:rsid w:val="00EA7659"/>
    <w:rsid w:val="00EB224E"/>
    <w:rsid w:val="00EC1506"/>
    <w:rsid w:val="00EC35F3"/>
    <w:rsid w:val="00ED4016"/>
    <w:rsid w:val="00EE3A0A"/>
    <w:rsid w:val="00EF11B1"/>
    <w:rsid w:val="00EF3403"/>
    <w:rsid w:val="00EF716E"/>
    <w:rsid w:val="00F022F3"/>
    <w:rsid w:val="00F02AFC"/>
    <w:rsid w:val="00F10231"/>
    <w:rsid w:val="00F12339"/>
    <w:rsid w:val="00F15C5D"/>
    <w:rsid w:val="00F15E68"/>
    <w:rsid w:val="00F24C7F"/>
    <w:rsid w:val="00F31DC6"/>
    <w:rsid w:val="00F402CF"/>
    <w:rsid w:val="00F460DF"/>
    <w:rsid w:val="00F53776"/>
    <w:rsid w:val="00F5740B"/>
    <w:rsid w:val="00F63C9A"/>
    <w:rsid w:val="00F656FC"/>
    <w:rsid w:val="00F65BF1"/>
    <w:rsid w:val="00F80178"/>
    <w:rsid w:val="00F90914"/>
    <w:rsid w:val="00F97639"/>
    <w:rsid w:val="00FA0E6B"/>
    <w:rsid w:val="00FA6B9D"/>
    <w:rsid w:val="00FB18F8"/>
    <w:rsid w:val="00FB3DBC"/>
    <w:rsid w:val="00FC0871"/>
    <w:rsid w:val="00FC228A"/>
    <w:rsid w:val="00FC70B6"/>
    <w:rsid w:val="00FD2094"/>
    <w:rsid w:val="00FD2D8A"/>
    <w:rsid w:val="00FD3048"/>
    <w:rsid w:val="00FE0F74"/>
    <w:rsid w:val="00FF440D"/>
    <w:rsid w:val="00FF7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F424"/>
  <w15:docId w15:val="{FFA66FE3-851B-B047-A481-4F62BC14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4E72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72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96FA8"/>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D136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8BC"/>
    <w:pPr>
      <w:ind w:left="720"/>
      <w:contextualSpacing/>
    </w:pPr>
  </w:style>
  <w:style w:type="paragraph" w:styleId="NormalWeb">
    <w:name w:val="Normal (Web)"/>
    <w:basedOn w:val="Normal"/>
    <w:uiPriority w:val="99"/>
    <w:unhideWhenUsed/>
    <w:rsid w:val="00523FAA"/>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4E728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E7280"/>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2F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96FA8"/>
    <w:rPr>
      <w:rFonts w:asciiTheme="majorHAnsi" w:eastAsiaTheme="majorEastAsia" w:hAnsiTheme="majorHAnsi" w:cstheme="majorBidi"/>
      <w:color w:val="1F3763" w:themeColor="accent1" w:themeShade="7F"/>
    </w:rPr>
  </w:style>
  <w:style w:type="paragraph" w:styleId="Listepuces2">
    <w:name w:val="List Bullet 2"/>
    <w:basedOn w:val="Normal"/>
    <w:uiPriority w:val="2"/>
    <w:rsid w:val="00F15E68"/>
    <w:pPr>
      <w:numPr>
        <w:ilvl w:val="1"/>
        <w:numId w:val="1"/>
      </w:numPr>
      <w:spacing w:after="120" w:line="276" w:lineRule="auto"/>
      <w:contextualSpacing/>
    </w:pPr>
    <w:rPr>
      <w:rFonts w:eastAsia="Calibri" w:cs="Times New Roman"/>
      <w:lang w:val="en-GB"/>
    </w:rPr>
  </w:style>
  <w:style w:type="paragraph" w:styleId="Listepuces">
    <w:name w:val="List Bullet"/>
    <w:basedOn w:val="Normal"/>
    <w:link w:val="ListepucesCar"/>
    <w:uiPriority w:val="2"/>
    <w:qFormat/>
    <w:rsid w:val="00F15E68"/>
    <w:pPr>
      <w:numPr>
        <w:numId w:val="1"/>
      </w:numPr>
      <w:spacing w:after="120" w:line="276" w:lineRule="auto"/>
      <w:contextualSpacing/>
    </w:pPr>
    <w:rPr>
      <w:rFonts w:eastAsia="Calibri" w:cs="Times New Roman"/>
      <w:lang w:val="en-GB"/>
    </w:rPr>
  </w:style>
  <w:style w:type="paragraph" w:styleId="Listepuces3">
    <w:name w:val="List Bullet 3"/>
    <w:basedOn w:val="Normal"/>
    <w:uiPriority w:val="2"/>
    <w:rsid w:val="00F15E68"/>
    <w:pPr>
      <w:numPr>
        <w:ilvl w:val="2"/>
        <w:numId w:val="1"/>
      </w:numPr>
      <w:spacing w:after="60" w:line="276" w:lineRule="auto"/>
    </w:pPr>
    <w:rPr>
      <w:rFonts w:eastAsia="Calibri" w:cs="Times New Roman"/>
      <w:lang w:val="en-GB"/>
    </w:rPr>
  </w:style>
  <w:style w:type="paragraph" w:styleId="Listepuces4">
    <w:name w:val="List Bullet 4"/>
    <w:basedOn w:val="Normal"/>
    <w:rsid w:val="00F15E68"/>
    <w:pPr>
      <w:numPr>
        <w:ilvl w:val="3"/>
        <w:numId w:val="1"/>
      </w:numPr>
      <w:spacing w:after="60" w:line="276" w:lineRule="auto"/>
    </w:pPr>
    <w:rPr>
      <w:rFonts w:eastAsia="Calibri" w:cs="Times New Roman"/>
      <w:lang w:val="en-GB"/>
    </w:rPr>
  </w:style>
  <w:style w:type="paragraph" w:styleId="Listepuces5">
    <w:name w:val="List Bullet 5"/>
    <w:basedOn w:val="Normal"/>
    <w:rsid w:val="00F15E68"/>
    <w:pPr>
      <w:numPr>
        <w:ilvl w:val="4"/>
        <w:numId w:val="1"/>
      </w:numPr>
      <w:spacing w:after="60" w:line="276" w:lineRule="auto"/>
    </w:pPr>
    <w:rPr>
      <w:rFonts w:eastAsia="Calibri" w:cs="Times New Roman"/>
      <w:lang w:val="en-GB"/>
    </w:rPr>
  </w:style>
  <w:style w:type="character" w:customStyle="1" w:styleId="ListepucesCar">
    <w:name w:val="Liste à puces Car"/>
    <w:basedOn w:val="Policepardfaut"/>
    <w:link w:val="Listepuces"/>
    <w:uiPriority w:val="2"/>
    <w:rsid w:val="00F15E68"/>
    <w:rPr>
      <w:rFonts w:eastAsia="Calibri" w:cs="Times New Roman"/>
      <w:sz w:val="22"/>
      <w:szCs w:val="22"/>
      <w:lang w:val="en-GB"/>
    </w:rPr>
  </w:style>
  <w:style w:type="character" w:styleId="Marquedecommentaire">
    <w:name w:val="annotation reference"/>
    <w:basedOn w:val="Policepardfaut"/>
    <w:uiPriority w:val="99"/>
    <w:semiHidden/>
    <w:unhideWhenUsed/>
    <w:rsid w:val="009D1213"/>
    <w:rPr>
      <w:sz w:val="16"/>
      <w:szCs w:val="16"/>
    </w:rPr>
  </w:style>
  <w:style w:type="paragraph" w:styleId="Commentaire">
    <w:name w:val="annotation text"/>
    <w:basedOn w:val="Normal"/>
    <w:link w:val="CommentaireCar"/>
    <w:uiPriority w:val="99"/>
    <w:unhideWhenUsed/>
    <w:rsid w:val="009D1213"/>
    <w:rPr>
      <w:sz w:val="20"/>
      <w:szCs w:val="20"/>
    </w:rPr>
  </w:style>
  <w:style w:type="character" w:customStyle="1" w:styleId="CommentaireCar">
    <w:name w:val="Commentaire Car"/>
    <w:basedOn w:val="Policepardfaut"/>
    <w:link w:val="Commentaire"/>
    <w:uiPriority w:val="99"/>
    <w:rsid w:val="009D1213"/>
    <w:rPr>
      <w:sz w:val="20"/>
      <w:szCs w:val="20"/>
    </w:rPr>
  </w:style>
  <w:style w:type="paragraph" w:styleId="Objetducommentaire">
    <w:name w:val="annotation subject"/>
    <w:basedOn w:val="Commentaire"/>
    <w:next w:val="Commentaire"/>
    <w:link w:val="ObjetducommentaireCar"/>
    <w:uiPriority w:val="99"/>
    <w:semiHidden/>
    <w:unhideWhenUsed/>
    <w:rsid w:val="009D1213"/>
    <w:rPr>
      <w:b/>
      <w:bCs/>
    </w:rPr>
  </w:style>
  <w:style w:type="character" w:customStyle="1" w:styleId="ObjetducommentaireCar">
    <w:name w:val="Objet du commentaire Car"/>
    <w:basedOn w:val="CommentaireCar"/>
    <w:link w:val="Objetducommentaire"/>
    <w:uiPriority w:val="99"/>
    <w:semiHidden/>
    <w:rsid w:val="009D1213"/>
    <w:rPr>
      <w:b/>
      <w:bCs/>
      <w:sz w:val="20"/>
      <w:szCs w:val="20"/>
    </w:rPr>
  </w:style>
  <w:style w:type="paragraph" w:styleId="Textedebulles">
    <w:name w:val="Balloon Text"/>
    <w:basedOn w:val="Normal"/>
    <w:link w:val="TextedebullesCar"/>
    <w:uiPriority w:val="99"/>
    <w:semiHidden/>
    <w:unhideWhenUsed/>
    <w:rsid w:val="009D12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213"/>
    <w:rPr>
      <w:rFonts w:ascii="Segoe UI" w:hAnsi="Segoe UI" w:cs="Segoe UI"/>
      <w:sz w:val="18"/>
      <w:szCs w:val="18"/>
    </w:rPr>
  </w:style>
  <w:style w:type="character" w:customStyle="1" w:styleId="AnswerCharChar">
    <w:name w:val="Answer Char Char"/>
    <w:link w:val="Answer"/>
    <w:locked/>
    <w:rsid w:val="001D7158"/>
    <w:rPr>
      <w:rFonts w:eastAsia="Calibri" w:cs="Arial"/>
      <w:sz w:val="22"/>
      <w:szCs w:val="22"/>
    </w:rPr>
  </w:style>
  <w:style w:type="paragraph" w:customStyle="1" w:styleId="Answer">
    <w:name w:val="Answer"/>
    <w:basedOn w:val="Normal"/>
    <w:link w:val="AnswerCharChar"/>
    <w:qFormat/>
    <w:rsid w:val="001D7158"/>
    <w:pPr>
      <w:spacing w:before="60" w:after="120" w:line="276" w:lineRule="auto"/>
    </w:pPr>
    <w:rPr>
      <w:rFonts w:eastAsia="Calibri"/>
    </w:rPr>
  </w:style>
  <w:style w:type="paragraph" w:styleId="Rvision">
    <w:name w:val="Revision"/>
    <w:hidden/>
    <w:uiPriority w:val="99"/>
    <w:semiHidden/>
    <w:rsid w:val="00E30FA8"/>
  </w:style>
  <w:style w:type="character" w:customStyle="1" w:styleId="Hyperlink0">
    <w:name w:val="Hyperlink.0"/>
    <w:basedOn w:val="Policepardfaut"/>
    <w:rsid w:val="00E30FA8"/>
  </w:style>
  <w:style w:type="character" w:styleId="Lienhypertexte">
    <w:name w:val="Hyperlink"/>
    <w:basedOn w:val="Policepardfaut"/>
    <w:uiPriority w:val="99"/>
    <w:unhideWhenUsed/>
    <w:rsid w:val="00F63C9A"/>
    <w:rPr>
      <w:color w:val="0563C1" w:themeColor="hyperlink"/>
      <w:u w:val="single"/>
    </w:rPr>
  </w:style>
  <w:style w:type="character" w:customStyle="1" w:styleId="Titre4Car">
    <w:name w:val="Titre 4 Car"/>
    <w:basedOn w:val="Policepardfaut"/>
    <w:link w:val="Titre4"/>
    <w:uiPriority w:val="9"/>
    <w:rsid w:val="00D13669"/>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3C6825"/>
    <w:pPr>
      <w:tabs>
        <w:tab w:val="center" w:pos="4536"/>
        <w:tab w:val="right" w:pos="9072"/>
      </w:tabs>
    </w:pPr>
  </w:style>
  <w:style w:type="character" w:customStyle="1" w:styleId="En-tteCar">
    <w:name w:val="En-tête Car"/>
    <w:basedOn w:val="Policepardfaut"/>
    <w:link w:val="En-tte"/>
    <w:uiPriority w:val="99"/>
    <w:rsid w:val="003C6825"/>
  </w:style>
  <w:style w:type="paragraph" w:styleId="Pieddepage">
    <w:name w:val="footer"/>
    <w:basedOn w:val="Normal"/>
    <w:link w:val="PieddepageCar"/>
    <w:uiPriority w:val="99"/>
    <w:unhideWhenUsed/>
    <w:rsid w:val="003C6825"/>
    <w:pPr>
      <w:tabs>
        <w:tab w:val="center" w:pos="4536"/>
        <w:tab w:val="right" w:pos="9072"/>
      </w:tabs>
    </w:pPr>
  </w:style>
  <w:style w:type="character" w:customStyle="1" w:styleId="PieddepageCar">
    <w:name w:val="Pied de page Car"/>
    <w:basedOn w:val="Policepardfaut"/>
    <w:link w:val="Pieddepage"/>
    <w:uiPriority w:val="99"/>
    <w:rsid w:val="003C6825"/>
  </w:style>
  <w:style w:type="character" w:customStyle="1" w:styleId="apple-converted-space">
    <w:name w:val="apple-converted-space"/>
    <w:basedOn w:val="Policepardfaut"/>
    <w:rsid w:val="00CC20BA"/>
  </w:style>
  <w:style w:type="character" w:customStyle="1" w:styleId="docsum-authors">
    <w:name w:val="docsum-authors"/>
    <w:basedOn w:val="Policepardfaut"/>
    <w:rsid w:val="001D0714"/>
  </w:style>
  <w:style w:type="character" w:customStyle="1" w:styleId="docsum-journal-citation">
    <w:name w:val="docsum-journal-citation"/>
    <w:basedOn w:val="Policepardfaut"/>
    <w:rsid w:val="001D0714"/>
  </w:style>
  <w:style w:type="character" w:customStyle="1" w:styleId="citation-part">
    <w:name w:val="citation-part"/>
    <w:basedOn w:val="Policepardfaut"/>
    <w:rsid w:val="001D0714"/>
  </w:style>
  <w:style w:type="character" w:customStyle="1" w:styleId="docsum-pmid">
    <w:name w:val="docsum-pmid"/>
    <w:basedOn w:val="Policepardfaut"/>
    <w:rsid w:val="001D0714"/>
  </w:style>
  <w:style w:type="character" w:customStyle="1" w:styleId="free-resources">
    <w:name w:val="free-resources"/>
    <w:basedOn w:val="Policepardfaut"/>
    <w:rsid w:val="001D0714"/>
  </w:style>
  <w:style w:type="character" w:customStyle="1" w:styleId="publication-type">
    <w:name w:val="publication-type"/>
    <w:basedOn w:val="Policepardfaut"/>
    <w:rsid w:val="001D0714"/>
  </w:style>
  <w:style w:type="character" w:styleId="Numrodepage">
    <w:name w:val="page number"/>
    <w:basedOn w:val="Policepardfaut"/>
    <w:uiPriority w:val="99"/>
    <w:semiHidden/>
    <w:unhideWhenUsed/>
    <w:rsid w:val="00F97639"/>
  </w:style>
  <w:style w:type="character" w:styleId="Mentionnonrsolue">
    <w:name w:val="Unresolved Mention"/>
    <w:basedOn w:val="Policepardfaut"/>
    <w:uiPriority w:val="99"/>
    <w:semiHidden/>
    <w:unhideWhenUsed/>
    <w:rsid w:val="00407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086">
      <w:bodyDiv w:val="1"/>
      <w:marLeft w:val="0"/>
      <w:marRight w:val="0"/>
      <w:marTop w:val="0"/>
      <w:marBottom w:val="0"/>
      <w:divBdr>
        <w:top w:val="none" w:sz="0" w:space="0" w:color="auto"/>
        <w:left w:val="none" w:sz="0" w:space="0" w:color="auto"/>
        <w:bottom w:val="none" w:sz="0" w:space="0" w:color="auto"/>
        <w:right w:val="none" w:sz="0" w:space="0" w:color="auto"/>
      </w:divBdr>
    </w:div>
    <w:div w:id="43330599">
      <w:bodyDiv w:val="1"/>
      <w:marLeft w:val="0"/>
      <w:marRight w:val="0"/>
      <w:marTop w:val="0"/>
      <w:marBottom w:val="0"/>
      <w:divBdr>
        <w:top w:val="none" w:sz="0" w:space="0" w:color="auto"/>
        <w:left w:val="none" w:sz="0" w:space="0" w:color="auto"/>
        <w:bottom w:val="none" w:sz="0" w:space="0" w:color="auto"/>
        <w:right w:val="none" w:sz="0" w:space="0" w:color="auto"/>
      </w:divBdr>
      <w:divsChild>
        <w:div w:id="1533348628">
          <w:marLeft w:val="0"/>
          <w:marRight w:val="0"/>
          <w:marTop w:val="0"/>
          <w:marBottom w:val="0"/>
          <w:divBdr>
            <w:top w:val="none" w:sz="0" w:space="0" w:color="auto"/>
            <w:left w:val="none" w:sz="0" w:space="0" w:color="auto"/>
            <w:bottom w:val="none" w:sz="0" w:space="0" w:color="auto"/>
            <w:right w:val="none" w:sz="0" w:space="0" w:color="auto"/>
          </w:divBdr>
          <w:divsChild>
            <w:div w:id="1429498086">
              <w:marLeft w:val="0"/>
              <w:marRight w:val="0"/>
              <w:marTop w:val="0"/>
              <w:marBottom w:val="0"/>
              <w:divBdr>
                <w:top w:val="none" w:sz="0" w:space="0" w:color="auto"/>
                <w:left w:val="none" w:sz="0" w:space="0" w:color="auto"/>
                <w:bottom w:val="none" w:sz="0" w:space="0" w:color="auto"/>
                <w:right w:val="none" w:sz="0" w:space="0" w:color="auto"/>
              </w:divBdr>
              <w:divsChild>
                <w:div w:id="18436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3016">
      <w:bodyDiv w:val="1"/>
      <w:marLeft w:val="0"/>
      <w:marRight w:val="0"/>
      <w:marTop w:val="0"/>
      <w:marBottom w:val="0"/>
      <w:divBdr>
        <w:top w:val="none" w:sz="0" w:space="0" w:color="auto"/>
        <w:left w:val="none" w:sz="0" w:space="0" w:color="auto"/>
        <w:bottom w:val="none" w:sz="0" w:space="0" w:color="auto"/>
        <w:right w:val="none" w:sz="0" w:space="0" w:color="auto"/>
      </w:divBdr>
      <w:divsChild>
        <w:div w:id="180364184">
          <w:marLeft w:val="0"/>
          <w:marRight w:val="0"/>
          <w:marTop w:val="0"/>
          <w:marBottom w:val="0"/>
          <w:divBdr>
            <w:top w:val="none" w:sz="0" w:space="0" w:color="auto"/>
            <w:left w:val="none" w:sz="0" w:space="0" w:color="auto"/>
            <w:bottom w:val="none" w:sz="0" w:space="0" w:color="auto"/>
            <w:right w:val="none" w:sz="0" w:space="0" w:color="auto"/>
          </w:divBdr>
          <w:divsChild>
            <w:div w:id="1146630481">
              <w:marLeft w:val="0"/>
              <w:marRight w:val="0"/>
              <w:marTop w:val="0"/>
              <w:marBottom w:val="0"/>
              <w:divBdr>
                <w:top w:val="none" w:sz="0" w:space="0" w:color="auto"/>
                <w:left w:val="none" w:sz="0" w:space="0" w:color="auto"/>
                <w:bottom w:val="none" w:sz="0" w:space="0" w:color="auto"/>
                <w:right w:val="none" w:sz="0" w:space="0" w:color="auto"/>
              </w:divBdr>
              <w:divsChild>
                <w:div w:id="792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939">
      <w:bodyDiv w:val="1"/>
      <w:marLeft w:val="0"/>
      <w:marRight w:val="0"/>
      <w:marTop w:val="0"/>
      <w:marBottom w:val="0"/>
      <w:divBdr>
        <w:top w:val="none" w:sz="0" w:space="0" w:color="auto"/>
        <w:left w:val="none" w:sz="0" w:space="0" w:color="auto"/>
        <w:bottom w:val="none" w:sz="0" w:space="0" w:color="auto"/>
        <w:right w:val="none" w:sz="0" w:space="0" w:color="auto"/>
      </w:divBdr>
      <w:divsChild>
        <w:div w:id="718895309">
          <w:marLeft w:val="0"/>
          <w:marRight w:val="0"/>
          <w:marTop w:val="0"/>
          <w:marBottom w:val="0"/>
          <w:divBdr>
            <w:top w:val="none" w:sz="0" w:space="0" w:color="auto"/>
            <w:left w:val="none" w:sz="0" w:space="0" w:color="auto"/>
            <w:bottom w:val="none" w:sz="0" w:space="0" w:color="auto"/>
            <w:right w:val="none" w:sz="0" w:space="0" w:color="auto"/>
          </w:divBdr>
          <w:divsChild>
            <w:div w:id="1844467529">
              <w:marLeft w:val="0"/>
              <w:marRight w:val="0"/>
              <w:marTop w:val="0"/>
              <w:marBottom w:val="0"/>
              <w:divBdr>
                <w:top w:val="none" w:sz="0" w:space="0" w:color="auto"/>
                <w:left w:val="none" w:sz="0" w:space="0" w:color="auto"/>
                <w:bottom w:val="none" w:sz="0" w:space="0" w:color="auto"/>
                <w:right w:val="none" w:sz="0" w:space="0" w:color="auto"/>
              </w:divBdr>
              <w:divsChild>
                <w:div w:id="7936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4233">
      <w:bodyDiv w:val="1"/>
      <w:marLeft w:val="0"/>
      <w:marRight w:val="0"/>
      <w:marTop w:val="0"/>
      <w:marBottom w:val="0"/>
      <w:divBdr>
        <w:top w:val="none" w:sz="0" w:space="0" w:color="auto"/>
        <w:left w:val="none" w:sz="0" w:space="0" w:color="auto"/>
        <w:bottom w:val="none" w:sz="0" w:space="0" w:color="auto"/>
        <w:right w:val="none" w:sz="0" w:space="0" w:color="auto"/>
      </w:divBdr>
    </w:div>
    <w:div w:id="155608929">
      <w:bodyDiv w:val="1"/>
      <w:marLeft w:val="0"/>
      <w:marRight w:val="0"/>
      <w:marTop w:val="0"/>
      <w:marBottom w:val="0"/>
      <w:divBdr>
        <w:top w:val="none" w:sz="0" w:space="0" w:color="auto"/>
        <w:left w:val="none" w:sz="0" w:space="0" w:color="auto"/>
        <w:bottom w:val="none" w:sz="0" w:space="0" w:color="auto"/>
        <w:right w:val="none" w:sz="0" w:space="0" w:color="auto"/>
      </w:divBdr>
    </w:div>
    <w:div w:id="217983169">
      <w:bodyDiv w:val="1"/>
      <w:marLeft w:val="0"/>
      <w:marRight w:val="0"/>
      <w:marTop w:val="0"/>
      <w:marBottom w:val="0"/>
      <w:divBdr>
        <w:top w:val="none" w:sz="0" w:space="0" w:color="auto"/>
        <w:left w:val="none" w:sz="0" w:space="0" w:color="auto"/>
        <w:bottom w:val="none" w:sz="0" w:space="0" w:color="auto"/>
        <w:right w:val="none" w:sz="0" w:space="0" w:color="auto"/>
      </w:divBdr>
      <w:divsChild>
        <w:div w:id="1474719285">
          <w:marLeft w:val="0"/>
          <w:marRight w:val="0"/>
          <w:marTop w:val="0"/>
          <w:marBottom w:val="0"/>
          <w:divBdr>
            <w:top w:val="none" w:sz="0" w:space="0" w:color="auto"/>
            <w:left w:val="none" w:sz="0" w:space="0" w:color="auto"/>
            <w:bottom w:val="none" w:sz="0" w:space="0" w:color="auto"/>
            <w:right w:val="none" w:sz="0" w:space="0" w:color="auto"/>
          </w:divBdr>
          <w:divsChild>
            <w:div w:id="167525212">
              <w:marLeft w:val="0"/>
              <w:marRight w:val="0"/>
              <w:marTop w:val="0"/>
              <w:marBottom w:val="0"/>
              <w:divBdr>
                <w:top w:val="none" w:sz="0" w:space="0" w:color="auto"/>
                <w:left w:val="none" w:sz="0" w:space="0" w:color="auto"/>
                <w:bottom w:val="none" w:sz="0" w:space="0" w:color="auto"/>
                <w:right w:val="none" w:sz="0" w:space="0" w:color="auto"/>
              </w:divBdr>
              <w:divsChild>
                <w:div w:id="10083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3902">
      <w:bodyDiv w:val="1"/>
      <w:marLeft w:val="0"/>
      <w:marRight w:val="0"/>
      <w:marTop w:val="0"/>
      <w:marBottom w:val="0"/>
      <w:divBdr>
        <w:top w:val="none" w:sz="0" w:space="0" w:color="auto"/>
        <w:left w:val="none" w:sz="0" w:space="0" w:color="auto"/>
        <w:bottom w:val="none" w:sz="0" w:space="0" w:color="auto"/>
        <w:right w:val="none" w:sz="0" w:space="0" w:color="auto"/>
      </w:divBdr>
      <w:divsChild>
        <w:div w:id="1189371924">
          <w:marLeft w:val="0"/>
          <w:marRight w:val="0"/>
          <w:marTop w:val="0"/>
          <w:marBottom w:val="0"/>
          <w:divBdr>
            <w:top w:val="none" w:sz="0" w:space="0" w:color="auto"/>
            <w:left w:val="none" w:sz="0" w:space="0" w:color="auto"/>
            <w:bottom w:val="none" w:sz="0" w:space="0" w:color="auto"/>
            <w:right w:val="none" w:sz="0" w:space="0" w:color="auto"/>
          </w:divBdr>
          <w:divsChild>
            <w:div w:id="551966835">
              <w:marLeft w:val="0"/>
              <w:marRight w:val="0"/>
              <w:marTop w:val="0"/>
              <w:marBottom w:val="0"/>
              <w:divBdr>
                <w:top w:val="none" w:sz="0" w:space="0" w:color="auto"/>
                <w:left w:val="none" w:sz="0" w:space="0" w:color="auto"/>
                <w:bottom w:val="none" w:sz="0" w:space="0" w:color="auto"/>
                <w:right w:val="none" w:sz="0" w:space="0" w:color="auto"/>
              </w:divBdr>
              <w:divsChild>
                <w:div w:id="1647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6742">
      <w:bodyDiv w:val="1"/>
      <w:marLeft w:val="0"/>
      <w:marRight w:val="0"/>
      <w:marTop w:val="0"/>
      <w:marBottom w:val="0"/>
      <w:divBdr>
        <w:top w:val="none" w:sz="0" w:space="0" w:color="auto"/>
        <w:left w:val="none" w:sz="0" w:space="0" w:color="auto"/>
        <w:bottom w:val="none" w:sz="0" w:space="0" w:color="auto"/>
        <w:right w:val="none" w:sz="0" w:space="0" w:color="auto"/>
      </w:divBdr>
    </w:div>
    <w:div w:id="424763265">
      <w:bodyDiv w:val="1"/>
      <w:marLeft w:val="0"/>
      <w:marRight w:val="0"/>
      <w:marTop w:val="0"/>
      <w:marBottom w:val="0"/>
      <w:divBdr>
        <w:top w:val="none" w:sz="0" w:space="0" w:color="auto"/>
        <w:left w:val="none" w:sz="0" w:space="0" w:color="auto"/>
        <w:bottom w:val="none" w:sz="0" w:space="0" w:color="auto"/>
        <w:right w:val="none" w:sz="0" w:space="0" w:color="auto"/>
      </w:divBdr>
      <w:divsChild>
        <w:div w:id="862209176">
          <w:marLeft w:val="0"/>
          <w:marRight w:val="0"/>
          <w:marTop w:val="0"/>
          <w:marBottom w:val="0"/>
          <w:divBdr>
            <w:top w:val="none" w:sz="0" w:space="0" w:color="auto"/>
            <w:left w:val="none" w:sz="0" w:space="0" w:color="auto"/>
            <w:bottom w:val="none" w:sz="0" w:space="0" w:color="auto"/>
            <w:right w:val="none" w:sz="0" w:space="0" w:color="auto"/>
          </w:divBdr>
          <w:divsChild>
            <w:div w:id="1078988442">
              <w:marLeft w:val="0"/>
              <w:marRight w:val="0"/>
              <w:marTop w:val="0"/>
              <w:marBottom w:val="0"/>
              <w:divBdr>
                <w:top w:val="none" w:sz="0" w:space="0" w:color="auto"/>
                <w:left w:val="none" w:sz="0" w:space="0" w:color="auto"/>
                <w:bottom w:val="none" w:sz="0" w:space="0" w:color="auto"/>
                <w:right w:val="none" w:sz="0" w:space="0" w:color="auto"/>
              </w:divBdr>
              <w:divsChild>
                <w:div w:id="868105695">
                  <w:marLeft w:val="0"/>
                  <w:marRight w:val="0"/>
                  <w:marTop w:val="0"/>
                  <w:marBottom w:val="0"/>
                  <w:divBdr>
                    <w:top w:val="none" w:sz="0" w:space="0" w:color="auto"/>
                    <w:left w:val="none" w:sz="0" w:space="0" w:color="auto"/>
                    <w:bottom w:val="none" w:sz="0" w:space="0" w:color="auto"/>
                    <w:right w:val="none" w:sz="0" w:space="0" w:color="auto"/>
                  </w:divBdr>
                  <w:divsChild>
                    <w:div w:id="812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7375">
      <w:bodyDiv w:val="1"/>
      <w:marLeft w:val="0"/>
      <w:marRight w:val="0"/>
      <w:marTop w:val="0"/>
      <w:marBottom w:val="0"/>
      <w:divBdr>
        <w:top w:val="none" w:sz="0" w:space="0" w:color="auto"/>
        <w:left w:val="none" w:sz="0" w:space="0" w:color="auto"/>
        <w:bottom w:val="none" w:sz="0" w:space="0" w:color="auto"/>
        <w:right w:val="none" w:sz="0" w:space="0" w:color="auto"/>
      </w:divBdr>
      <w:divsChild>
        <w:div w:id="2105033593">
          <w:marLeft w:val="0"/>
          <w:marRight w:val="0"/>
          <w:marTop w:val="0"/>
          <w:marBottom w:val="0"/>
          <w:divBdr>
            <w:top w:val="none" w:sz="0" w:space="0" w:color="auto"/>
            <w:left w:val="none" w:sz="0" w:space="0" w:color="auto"/>
            <w:bottom w:val="none" w:sz="0" w:space="0" w:color="auto"/>
            <w:right w:val="none" w:sz="0" w:space="0" w:color="auto"/>
          </w:divBdr>
          <w:divsChild>
            <w:div w:id="1473136194">
              <w:marLeft w:val="0"/>
              <w:marRight w:val="0"/>
              <w:marTop w:val="0"/>
              <w:marBottom w:val="0"/>
              <w:divBdr>
                <w:top w:val="none" w:sz="0" w:space="0" w:color="auto"/>
                <w:left w:val="none" w:sz="0" w:space="0" w:color="auto"/>
                <w:bottom w:val="none" w:sz="0" w:space="0" w:color="auto"/>
                <w:right w:val="none" w:sz="0" w:space="0" w:color="auto"/>
              </w:divBdr>
              <w:divsChild>
                <w:div w:id="10303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817">
      <w:bodyDiv w:val="1"/>
      <w:marLeft w:val="0"/>
      <w:marRight w:val="0"/>
      <w:marTop w:val="0"/>
      <w:marBottom w:val="0"/>
      <w:divBdr>
        <w:top w:val="none" w:sz="0" w:space="0" w:color="auto"/>
        <w:left w:val="none" w:sz="0" w:space="0" w:color="auto"/>
        <w:bottom w:val="none" w:sz="0" w:space="0" w:color="auto"/>
        <w:right w:val="none" w:sz="0" w:space="0" w:color="auto"/>
      </w:divBdr>
      <w:divsChild>
        <w:div w:id="549734270">
          <w:marLeft w:val="0"/>
          <w:marRight w:val="0"/>
          <w:marTop w:val="0"/>
          <w:marBottom w:val="0"/>
          <w:divBdr>
            <w:top w:val="none" w:sz="0" w:space="0" w:color="auto"/>
            <w:left w:val="none" w:sz="0" w:space="0" w:color="auto"/>
            <w:bottom w:val="none" w:sz="0" w:space="0" w:color="auto"/>
            <w:right w:val="none" w:sz="0" w:space="0" w:color="auto"/>
          </w:divBdr>
        </w:div>
        <w:div w:id="1203251326">
          <w:marLeft w:val="0"/>
          <w:marRight w:val="0"/>
          <w:marTop w:val="0"/>
          <w:marBottom w:val="0"/>
          <w:divBdr>
            <w:top w:val="none" w:sz="0" w:space="0" w:color="auto"/>
            <w:left w:val="none" w:sz="0" w:space="0" w:color="auto"/>
            <w:bottom w:val="none" w:sz="0" w:space="0" w:color="auto"/>
            <w:right w:val="none" w:sz="0" w:space="0" w:color="auto"/>
          </w:divBdr>
        </w:div>
        <w:div w:id="1218279456">
          <w:marLeft w:val="0"/>
          <w:marRight w:val="0"/>
          <w:marTop w:val="0"/>
          <w:marBottom w:val="0"/>
          <w:divBdr>
            <w:top w:val="none" w:sz="0" w:space="0" w:color="auto"/>
            <w:left w:val="none" w:sz="0" w:space="0" w:color="auto"/>
            <w:bottom w:val="none" w:sz="0" w:space="0" w:color="auto"/>
            <w:right w:val="none" w:sz="0" w:space="0" w:color="auto"/>
          </w:divBdr>
        </w:div>
        <w:div w:id="1617981967">
          <w:marLeft w:val="0"/>
          <w:marRight w:val="0"/>
          <w:marTop w:val="0"/>
          <w:marBottom w:val="0"/>
          <w:divBdr>
            <w:top w:val="none" w:sz="0" w:space="0" w:color="auto"/>
            <w:left w:val="none" w:sz="0" w:space="0" w:color="auto"/>
            <w:bottom w:val="none" w:sz="0" w:space="0" w:color="auto"/>
            <w:right w:val="none" w:sz="0" w:space="0" w:color="auto"/>
          </w:divBdr>
        </w:div>
        <w:div w:id="1953779723">
          <w:marLeft w:val="0"/>
          <w:marRight w:val="0"/>
          <w:marTop w:val="0"/>
          <w:marBottom w:val="0"/>
          <w:divBdr>
            <w:top w:val="none" w:sz="0" w:space="0" w:color="auto"/>
            <w:left w:val="none" w:sz="0" w:space="0" w:color="auto"/>
            <w:bottom w:val="none" w:sz="0" w:space="0" w:color="auto"/>
            <w:right w:val="none" w:sz="0" w:space="0" w:color="auto"/>
          </w:divBdr>
        </w:div>
      </w:divsChild>
    </w:div>
    <w:div w:id="593900495">
      <w:bodyDiv w:val="1"/>
      <w:marLeft w:val="0"/>
      <w:marRight w:val="0"/>
      <w:marTop w:val="0"/>
      <w:marBottom w:val="0"/>
      <w:divBdr>
        <w:top w:val="none" w:sz="0" w:space="0" w:color="auto"/>
        <w:left w:val="none" w:sz="0" w:space="0" w:color="auto"/>
        <w:bottom w:val="none" w:sz="0" w:space="0" w:color="auto"/>
        <w:right w:val="none" w:sz="0" w:space="0" w:color="auto"/>
      </w:divBdr>
      <w:divsChild>
        <w:div w:id="1173302086">
          <w:marLeft w:val="0"/>
          <w:marRight w:val="0"/>
          <w:marTop w:val="0"/>
          <w:marBottom w:val="0"/>
          <w:divBdr>
            <w:top w:val="none" w:sz="0" w:space="0" w:color="auto"/>
            <w:left w:val="none" w:sz="0" w:space="0" w:color="auto"/>
            <w:bottom w:val="none" w:sz="0" w:space="0" w:color="auto"/>
            <w:right w:val="none" w:sz="0" w:space="0" w:color="auto"/>
          </w:divBdr>
          <w:divsChild>
            <w:div w:id="131362655">
              <w:marLeft w:val="0"/>
              <w:marRight w:val="0"/>
              <w:marTop w:val="0"/>
              <w:marBottom w:val="0"/>
              <w:divBdr>
                <w:top w:val="none" w:sz="0" w:space="0" w:color="auto"/>
                <w:left w:val="none" w:sz="0" w:space="0" w:color="auto"/>
                <w:bottom w:val="none" w:sz="0" w:space="0" w:color="auto"/>
                <w:right w:val="none" w:sz="0" w:space="0" w:color="auto"/>
              </w:divBdr>
              <w:divsChild>
                <w:div w:id="6535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5500">
      <w:bodyDiv w:val="1"/>
      <w:marLeft w:val="0"/>
      <w:marRight w:val="0"/>
      <w:marTop w:val="0"/>
      <w:marBottom w:val="0"/>
      <w:divBdr>
        <w:top w:val="none" w:sz="0" w:space="0" w:color="auto"/>
        <w:left w:val="none" w:sz="0" w:space="0" w:color="auto"/>
        <w:bottom w:val="none" w:sz="0" w:space="0" w:color="auto"/>
        <w:right w:val="none" w:sz="0" w:space="0" w:color="auto"/>
      </w:divBdr>
      <w:divsChild>
        <w:div w:id="1273248112">
          <w:marLeft w:val="0"/>
          <w:marRight w:val="0"/>
          <w:marTop w:val="0"/>
          <w:marBottom w:val="0"/>
          <w:divBdr>
            <w:top w:val="none" w:sz="0" w:space="0" w:color="auto"/>
            <w:left w:val="none" w:sz="0" w:space="0" w:color="auto"/>
            <w:bottom w:val="none" w:sz="0" w:space="0" w:color="auto"/>
            <w:right w:val="none" w:sz="0" w:space="0" w:color="auto"/>
          </w:divBdr>
        </w:div>
      </w:divsChild>
    </w:div>
    <w:div w:id="635069297">
      <w:bodyDiv w:val="1"/>
      <w:marLeft w:val="0"/>
      <w:marRight w:val="0"/>
      <w:marTop w:val="0"/>
      <w:marBottom w:val="0"/>
      <w:divBdr>
        <w:top w:val="none" w:sz="0" w:space="0" w:color="auto"/>
        <w:left w:val="none" w:sz="0" w:space="0" w:color="auto"/>
        <w:bottom w:val="none" w:sz="0" w:space="0" w:color="auto"/>
        <w:right w:val="none" w:sz="0" w:space="0" w:color="auto"/>
      </w:divBdr>
    </w:div>
    <w:div w:id="715394261">
      <w:bodyDiv w:val="1"/>
      <w:marLeft w:val="0"/>
      <w:marRight w:val="0"/>
      <w:marTop w:val="0"/>
      <w:marBottom w:val="0"/>
      <w:divBdr>
        <w:top w:val="none" w:sz="0" w:space="0" w:color="auto"/>
        <w:left w:val="none" w:sz="0" w:space="0" w:color="auto"/>
        <w:bottom w:val="none" w:sz="0" w:space="0" w:color="auto"/>
        <w:right w:val="none" w:sz="0" w:space="0" w:color="auto"/>
      </w:divBdr>
    </w:div>
    <w:div w:id="757675829">
      <w:bodyDiv w:val="1"/>
      <w:marLeft w:val="0"/>
      <w:marRight w:val="0"/>
      <w:marTop w:val="0"/>
      <w:marBottom w:val="0"/>
      <w:divBdr>
        <w:top w:val="none" w:sz="0" w:space="0" w:color="auto"/>
        <w:left w:val="none" w:sz="0" w:space="0" w:color="auto"/>
        <w:bottom w:val="none" w:sz="0" w:space="0" w:color="auto"/>
        <w:right w:val="none" w:sz="0" w:space="0" w:color="auto"/>
      </w:divBdr>
      <w:divsChild>
        <w:div w:id="723597677">
          <w:marLeft w:val="0"/>
          <w:marRight w:val="0"/>
          <w:marTop w:val="0"/>
          <w:marBottom w:val="0"/>
          <w:divBdr>
            <w:top w:val="none" w:sz="0" w:space="0" w:color="auto"/>
            <w:left w:val="none" w:sz="0" w:space="0" w:color="auto"/>
            <w:bottom w:val="none" w:sz="0" w:space="0" w:color="auto"/>
            <w:right w:val="none" w:sz="0" w:space="0" w:color="auto"/>
          </w:divBdr>
          <w:divsChild>
            <w:div w:id="236482846">
              <w:marLeft w:val="0"/>
              <w:marRight w:val="0"/>
              <w:marTop w:val="0"/>
              <w:marBottom w:val="0"/>
              <w:divBdr>
                <w:top w:val="none" w:sz="0" w:space="0" w:color="auto"/>
                <w:left w:val="none" w:sz="0" w:space="0" w:color="auto"/>
                <w:bottom w:val="none" w:sz="0" w:space="0" w:color="auto"/>
                <w:right w:val="none" w:sz="0" w:space="0" w:color="auto"/>
              </w:divBdr>
              <w:divsChild>
                <w:div w:id="1955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4302">
      <w:bodyDiv w:val="1"/>
      <w:marLeft w:val="0"/>
      <w:marRight w:val="0"/>
      <w:marTop w:val="0"/>
      <w:marBottom w:val="0"/>
      <w:divBdr>
        <w:top w:val="none" w:sz="0" w:space="0" w:color="auto"/>
        <w:left w:val="none" w:sz="0" w:space="0" w:color="auto"/>
        <w:bottom w:val="none" w:sz="0" w:space="0" w:color="auto"/>
        <w:right w:val="none" w:sz="0" w:space="0" w:color="auto"/>
      </w:divBdr>
      <w:divsChild>
        <w:div w:id="765343015">
          <w:marLeft w:val="0"/>
          <w:marRight w:val="0"/>
          <w:marTop w:val="0"/>
          <w:marBottom w:val="0"/>
          <w:divBdr>
            <w:top w:val="none" w:sz="0" w:space="0" w:color="auto"/>
            <w:left w:val="none" w:sz="0" w:space="0" w:color="auto"/>
            <w:bottom w:val="none" w:sz="0" w:space="0" w:color="auto"/>
            <w:right w:val="none" w:sz="0" w:space="0" w:color="auto"/>
          </w:divBdr>
          <w:divsChild>
            <w:div w:id="613050970">
              <w:marLeft w:val="0"/>
              <w:marRight w:val="0"/>
              <w:marTop w:val="0"/>
              <w:marBottom w:val="0"/>
              <w:divBdr>
                <w:top w:val="none" w:sz="0" w:space="0" w:color="auto"/>
                <w:left w:val="none" w:sz="0" w:space="0" w:color="auto"/>
                <w:bottom w:val="none" w:sz="0" w:space="0" w:color="auto"/>
                <w:right w:val="none" w:sz="0" w:space="0" w:color="auto"/>
              </w:divBdr>
              <w:divsChild>
                <w:div w:id="1700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5058">
      <w:bodyDiv w:val="1"/>
      <w:marLeft w:val="0"/>
      <w:marRight w:val="0"/>
      <w:marTop w:val="0"/>
      <w:marBottom w:val="0"/>
      <w:divBdr>
        <w:top w:val="none" w:sz="0" w:space="0" w:color="auto"/>
        <w:left w:val="none" w:sz="0" w:space="0" w:color="auto"/>
        <w:bottom w:val="none" w:sz="0" w:space="0" w:color="auto"/>
        <w:right w:val="none" w:sz="0" w:space="0" w:color="auto"/>
      </w:divBdr>
      <w:divsChild>
        <w:div w:id="426730394">
          <w:marLeft w:val="0"/>
          <w:marRight w:val="0"/>
          <w:marTop w:val="0"/>
          <w:marBottom w:val="0"/>
          <w:divBdr>
            <w:top w:val="none" w:sz="0" w:space="0" w:color="auto"/>
            <w:left w:val="none" w:sz="0" w:space="0" w:color="auto"/>
            <w:bottom w:val="none" w:sz="0" w:space="0" w:color="auto"/>
            <w:right w:val="none" w:sz="0" w:space="0" w:color="auto"/>
          </w:divBdr>
          <w:divsChild>
            <w:div w:id="1244148520">
              <w:marLeft w:val="0"/>
              <w:marRight w:val="0"/>
              <w:marTop w:val="0"/>
              <w:marBottom w:val="0"/>
              <w:divBdr>
                <w:top w:val="none" w:sz="0" w:space="0" w:color="auto"/>
                <w:left w:val="none" w:sz="0" w:space="0" w:color="auto"/>
                <w:bottom w:val="none" w:sz="0" w:space="0" w:color="auto"/>
                <w:right w:val="none" w:sz="0" w:space="0" w:color="auto"/>
              </w:divBdr>
              <w:divsChild>
                <w:div w:id="643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0510">
      <w:bodyDiv w:val="1"/>
      <w:marLeft w:val="0"/>
      <w:marRight w:val="0"/>
      <w:marTop w:val="0"/>
      <w:marBottom w:val="0"/>
      <w:divBdr>
        <w:top w:val="none" w:sz="0" w:space="0" w:color="auto"/>
        <w:left w:val="none" w:sz="0" w:space="0" w:color="auto"/>
        <w:bottom w:val="none" w:sz="0" w:space="0" w:color="auto"/>
        <w:right w:val="none" w:sz="0" w:space="0" w:color="auto"/>
      </w:divBdr>
      <w:divsChild>
        <w:div w:id="1506436975">
          <w:marLeft w:val="0"/>
          <w:marRight w:val="0"/>
          <w:marTop w:val="0"/>
          <w:marBottom w:val="0"/>
          <w:divBdr>
            <w:top w:val="none" w:sz="0" w:space="0" w:color="auto"/>
            <w:left w:val="none" w:sz="0" w:space="0" w:color="auto"/>
            <w:bottom w:val="none" w:sz="0" w:space="0" w:color="auto"/>
            <w:right w:val="none" w:sz="0" w:space="0" w:color="auto"/>
          </w:divBdr>
          <w:divsChild>
            <w:div w:id="1749115169">
              <w:marLeft w:val="0"/>
              <w:marRight w:val="0"/>
              <w:marTop w:val="0"/>
              <w:marBottom w:val="0"/>
              <w:divBdr>
                <w:top w:val="none" w:sz="0" w:space="0" w:color="auto"/>
                <w:left w:val="none" w:sz="0" w:space="0" w:color="auto"/>
                <w:bottom w:val="none" w:sz="0" w:space="0" w:color="auto"/>
                <w:right w:val="none" w:sz="0" w:space="0" w:color="auto"/>
              </w:divBdr>
              <w:divsChild>
                <w:div w:id="11080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7441">
      <w:bodyDiv w:val="1"/>
      <w:marLeft w:val="0"/>
      <w:marRight w:val="0"/>
      <w:marTop w:val="0"/>
      <w:marBottom w:val="0"/>
      <w:divBdr>
        <w:top w:val="none" w:sz="0" w:space="0" w:color="auto"/>
        <w:left w:val="none" w:sz="0" w:space="0" w:color="auto"/>
        <w:bottom w:val="none" w:sz="0" w:space="0" w:color="auto"/>
        <w:right w:val="none" w:sz="0" w:space="0" w:color="auto"/>
      </w:divBdr>
      <w:divsChild>
        <w:div w:id="302781116">
          <w:marLeft w:val="0"/>
          <w:marRight w:val="0"/>
          <w:marTop w:val="0"/>
          <w:marBottom w:val="0"/>
          <w:divBdr>
            <w:top w:val="none" w:sz="0" w:space="0" w:color="auto"/>
            <w:left w:val="none" w:sz="0" w:space="0" w:color="auto"/>
            <w:bottom w:val="none" w:sz="0" w:space="0" w:color="auto"/>
            <w:right w:val="none" w:sz="0" w:space="0" w:color="auto"/>
          </w:divBdr>
          <w:divsChild>
            <w:div w:id="2035568776">
              <w:marLeft w:val="0"/>
              <w:marRight w:val="0"/>
              <w:marTop w:val="0"/>
              <w:marBottom w:val="0"/>
              <w:divBdr>
                <w:top w:val="none" w:sz="0" w:space="0" w:color="auto"/>
                <w:left w:val="none" w:sz="0" w:space="0" w:color="auto"/>
                <w:bottom w:val="none" w:sz="0" w:space="0" w:color="auto"/>
                <w:right w:val="none" w:sz="0" w:space="0" w:color="auto"/>
              </w:divBdr>
              <w:divsChild>
                <w:div w:id="329526255">
                  <w:marLeft w:val="0"/>
                  <w:marRight w:val="0"/>
                  <w:marTop w:val="0"/>
                  <w:marBottom w:val="0"/>
                  <w:divBdr>
                    <w:top w:val="none" w:sz="0" w:space="0" w:color="auto"/>
                    <w:left w:val="none" w:sz="0" w:space="0" w:color="auto"/>
                    <w:bottom w:val="none" w:sz="0" w:space="0" w:color="auto"/>
                    <w:right w:val="none" w:sz="0" w:space="0" w:color="auto"/>
                  </w:divBdr>
                  <w:divsChild>
                    <w:div w:id="9019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1247">
      <w:bodyDiv w:val="1"/>
      <w:marLeft w:val="0"/>
      <w:marRight w:val="0"/>
      <w:marTop w:val="0"/>
      <w:marBottom w:val="0"/>
      <w:divBdr>
        <w:top w:val="none" w:sz="0" w:space="0" w:color="auto"/>
        <w:left w:val="none" w:sz="0" w:space="0" w:color="auto"/>
        <w:bottom w:val="none" w:sz="0" w:space="0" w:color="auto"/>
        <w:right w:val="none" w:sz="0" w:space="0" w:color="auto"/>
      </w:divBdr>
      <w:divsChild>
        <w:div w:id="1432320100">
          <w:marLeft w:val="0"/>
          <w:marRight w:val="0"/>
          <w:marTop w:val="0"/>
          <w:marBottom w:val="0"/>
          <w:divBdr>
            <w:top w:val="none" w:sz="0" w:space="0" w:color="auto"/>
            <w:left w:val="none" w:sz="0" w:space="0" w:color="auto"/>
            <w:bottom w:val="none" w:sz="0" w:space="0" w:color="auto"/>
            <w:right w:val="none" w:sz="0" w:space="0" w:color="auto"/>
          </w:divBdr>
        </w:div>
      </w:divsChild>
    </w:div>
    <w:div w:id="897279793">
      <w:bodyDiv w:val="1"/>
      <w:marLeft w:val="0"/>
      <w:marRight w:val="0"/>
      <w:marTop w:val="0"/>
      <w:marBottom w:val="0"/>
      <w:divBdr>
        <w:top w:val="none" w:sz="0" w:space="0" w:color="auto"/>
        <w:left w:val="none" w:sz="0" w:space="0" w:color="auto"/>
        <w:bottom w:val="none" w:sz="0" w:space="0" w:color="auto"/>
        <w:right w:val="none" w:sz="0" w:space="0" w:color="auto"/>
      </w:divBdr>
    </w:div>
    <w:div w:id="904799802">
      <w:bodyDiv w:val="1"/>
      <w:marLeft w:val="0"/>
      <w:marRight w:val="0"/>
      <w:marTop w:val="0"/>
      <w:marBottom w:val="0"/>
      <w:divBdr>
        <w:top w:val="none" w:sz="0" w:space="0" w:color="auto"/>
        <w:left w:val="none" w:sz="0" w:space="0" w:color="auto"/>
        <w:bottom w:val="none" w:sz="0" w:space="0" w:color="auto"/>
        <w:right w:val="none" w:sz="0" w:space="0" w:color="auto"/>
      </w:divBdr>
    </w:div>
    <w:div w:id="909383866">
      <w:bodyDiv w:val="1"/>
      <w:marLeft w:val="0"/>
      <w:marRight w:val="0"/>
      <w:marTop w:val="0"/>
      <w:marBottom w:val="0"/>
      <w:divBdr>
        <w:top w:val="none" w:sz="0" w:space="0" w:color="auto"/>
        <w:left w:val="none" w:sz="0" w:space="0" w:color="auto"/>
        <w:bottom w:val="none" w:sz="0" w:space="0" w:color="auto"/>
        <w:right w:val="none" w:sz="0" w:space="0" w:color="auto"/>
      </w:divBdr>
    </w:div>
    <w:div w:id="942111146">
      <w:bodyDiv w:val="1"/>
      <w:marLeft w:val="0"/>
      <w:marRight w:val="0"/>
      <w:marTop w:val="0"/>
      <w:marBottom w:val="0"/>
      <w:divBdr>
        <w:top w:val="none" w:sz="0" w:space="0" w:color="auto"/>
        <w:left w:val="none" w:sz="0" w:space="0" w:color="auto"/>
        <w:bottom w:val="none" w:sz="0" w:space="0" w:color="auto"/>
        <w:right w:val="none" w:sz="0" w:space="0" w:color="auto"/>
      </w:divBdr>
      <w:divsChild>
        <w:div w:id="2040624231">
          <w:marLeft w:val="0"/>
          <w:marRight w:val="0"/>
          <w:marTop w:val="0"/>
          <w:marBottom w:val="0"/>
          <w:divBdr>
            <w:top w:val="none" w:sz="0" w:space="0" w:color="auto"/>
            <w:left w:val="none" w:sz="0" w:space="0" w:color="auto"/>
            <w:bottom w:val="none" w:sz="0" w:space="0" w:color="auto"/>
            <w:right w:val="none" w:sz="0" w:space="0" w:color="auto"/>
          </w:divBdr>
          <w:divsChild>
            <w:div w:id="1100681060">
              <w:marLeft w:val="0"/>
              <w:marRight w:val="0"/>
              <w:marTop w:val="0"/>
              <w:marBottom w:val="0"/>
              <w:divBdr>
                <w:top w:val="none" w:sz="0" w:space="0" w:color="auto"/>
                <w:left w:val="none" w:sz="0" w:space="0" w:color="auto"/>
                <w:bottom w:val="none" w:sz="0" w:space="0" w:color="auto"/>
                <w:right w:val="none" w:sz="0" w:space="0" w:color="auto"/>
              </w:divBdr>
              <w:divsChild>
                <w:div w:id="17769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114">
      <w:bodyDiv w:val="1"/>
      <w:marLeft w:val="0"/>
      <w:marRight w:val="0"/>
      <w:marTop w:val="0"/>
      <w:marBottom w:val="0"/>
      <w:divBdr>
        <w:top w:val="none" w:sz="0" w:space="0" w:color="auto"/>
        <w:left w:val="none" w:sz="0" w:space="0" w:color="auto"/>
        <w:bottom w:val="none" w:sz="0" w:space="0" w:color="auto"/>
        <w:right w:val="none" w:sz="0" w:space="0" w:color="auto"/>
      </w:divBdr>
      <w:divsChild>
        <w:div w:id="1261139200">
          <w:marLeft w:val="0"/>
          <w:marRight w:val="0"/>
          <w:marTop w:val="0"/>
          <w:marBottom w:val="0"/>
          <w:divBdr>
            <w:top w:val="none" w:sz="0" w:space="0" w:color="auto"/>
            <w:left w:val="none" w:sz="0" w:space="0" w:color="auto"/>
            <w:bottom w:val="none" w:sz="0" w:space="0" w:color="auto"/>
            <w:right w:val="none" w:sz="0" w:space="0" w:color="auto"/>
          </w:divBdr>
          <w:divsChild>
            <w:div w:id="231696620">
              <w:marLeft w:val="0"/>
              <w:marRight w:val="0"/>
              <w:marTop w:val="0"/>
              <w:marBottom w:val="0"/>
              <w:divBdr>
                <w:top w:val="none" w:sz="0" w:space="0" w:color="auto"/>
                <w:left w:val="none" w:sz="0" w:space="0" w:color="auto"/>
                <w:bottom w:val="none" w:sz="0" w:space="0" w:color="auto"/>
                <w:right w:val="none" w:sz="0" w:space="0" w:color="auto"/>
              </w:divBdr>
              <w:divsChild>
                <w:div w:id="16707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6403">
      <w:bodyDiv w:val="1"/>
      <w:marLeft w:val="0"/>
      <w:marRight w:val="0"/>
      <w:marTop w:val="0"/>
      <w:marBottom w:val="0"/>
      <w:divBdr>
        <w:top w:val="none" w:sz="0" w:space="0" w:color="auto"/>
        <w:left w:val="none" w:sz="0" w:space="0" w:color="auto"/>
        <w:bottom w:val="none" w:sz="0" w:space="0" w:color="auto"/>
        <w:right w:val="none" w:sz="0" w:space="0" w:color="auto"/>
      </w:divBdr>
      <w:divsChild>
        <w:div w:id="114376176">
          <w:marLeft w:val="0"/>
          <w:marRight w:val="0"/>
          <w:marTop w:val="0"/>
          <w:marBottom w:val="0"/>
          <w:divBdr>
            <w:top w:val="none" w:sz="0" w:space="0" w:color="auto"/>
            <w:left w:val="none" w:sz="0" w:space="0" w:color="auto"/>
            <w:bottom w:val="none" w:sz="0" w:space="0" w:color="auto"/>
            <w:right w:val="none" w:sz="0" w:space="0" w:color="auto"/>
          </w:divBdr>
          <w:divsChild>
            <w:div w:id="886794177">
              <w:marLeft w:val="0"/>
              <w:marRight w:val="0"/>
              <w:marTop w:val="0"/>
              <w:marBottom w:val="0"/>
              <w:divBdr>
                <w:top w:val="none" w:sz="0" w:space="0" w:color="auto"/>
                <w:left w:val="none" w:sz="0" w:space="0" w:color="auto"/>
                <w:bottom w:val="none" w:sz="0" w:space="0" w:color="auto"/>
                <w:right w:val="none" w:sz="0" w:space="0" w:color="auto"/>
              </w:divBdr>
              <w:divsChild>
                <w:div w:id="1760247770">
                  <w:marLeft w:val="0"/>
                  <w:marRight w:val="0"/>
                  <w:marTop w:val="0"/>
                  <w:marBottom w:val="0"/>
                  <w:divBdr>
                    <w:top w:val="none" w:sz="0" w:space="0" w:color="auto"/>
                    <w:left w:val="none" w:sz="0" w:space="0" w:color="auto"/>
                    <w:bottom w:val="none" w:sz="0" w:space="0" w:color="auto"/>
                    <w:right w:val="none" w:sz="0" w:space="0" w:color="auto"/>
                  </w:divBdr>
                  <w:divsChild>
                    <w:div w:id="1768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7600">
      <w:bodyDiv w:val="1"/>
      <w:marLeft w:val="0"/>
      <w:marRight w:val="0"/>
      <w:marTop w:val="0"/>
      <w:marBottom w:val="0"/>
      <w:divBdr>
        <w:top w:val="none" w:sz="0" w:space="0" w:color="auto"/>
        <w:left w:val="none" w:sz="0" w:space="0" w:color="auto"/>
        <w:bottom w:val="none" w:sz="0" w:space="0" w:color="auto"/>
        <w:right w:val="none" w:sz="0" w:space="0" w:color="auto"/>
      </w:divBdr>
      <w:divsChild>
        <w:div w:id="269899570">
          <w:marLeft w:val="0"/>
          <w:marRight w:val="0"/>
          <w:marTop w:val="0"/>
          <w:marBottom w:val="0"/>
          <w:divBdr>
            <w:top w:val="none" w:sz="0" w:space="0" w:color="auto"/>
            <w:left w:val="none" w:sz="0" w:space="0" w:color="auto"/>
            <w:bottom w:val="none" w:sz="0" w:space="0" w:color="auto"/>
            <w:right w:val="none" w:sz="0" w:space="0" w:color="auto"/>
          </w:divBdr>
        </w:div>
      </w:divsChild>
    </w:div>
    <w:div w:id="1100298454">
      <w:bodyDiv w:val="1"/>
      <w:marLeft w:val="0"/>
      <w:marRight w:val="0"/>
      <w:marTop w:val="0"/>
      <w:marBottom w:val="0"/>
      <w:divBdr>
        <w:top w:val="none" w:sz="0" w:space="0" w:color="auto"/>
        <w:left w:val="none" w:sz="0" w:space="0" w:color="auto"/>
        <w:bottom w:val="none" w:sz="0" w:space="0" w:color="auto"/>
        <w:right w:val="none" w:sz="0" w:space="0" w:color="auto"/>
      </w:divBdr>
      <w:divsChild>
        <w:div w:id="321471384">
          <w:marLeft w:val="0"/>
          <w:marRight w:val="0"/>
          <w:marTop w:val="0"/>
          <w:marBottom w:val="0"/>
          <w:divBdr>
            <w:top w:val="none" w:sz="0" w:space="0" w:color="auto"/>
            <w:left w:val="none" w:sz="0" w:space="0" w:color="auto"/>
            <w:bottom w:val="none" w:sz="0" w:space="0" w:color="auto"/>
            <w:right w:val="none" w:sz="0" w:space="0" w:color="auto"/>
          </w:divBdr>
          <w:divsChild>
            <w:div w:id="300962402">
              <w:marLeft w:val="0"/>
              <w:marRight w:val="0"/>
              <w:marTop w:val="0"/>
              <w:marBottom w:val="0"/>
              <w:divBdr>
                <w:top w:val="none" w:sz="0" w:space="0" w:color="auto"/>
                <w:left w:val="none" w:sz="0" w:space="0" w:color="auto"/>
                <w:bottom w:val="none" w:sz="0" w:space="0" w:color="auto"/>
                <w:right w:val="none" w:sz="0" w:space="0" w:color="auto"/>
              </w:divBdr>
              <w:divsChild>
                <w:div w:id="7934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536">
      <w:bodyDiv w:val="1"/>
      <w:marLeft w:val="0"/>
      <w:marRight w:val="0"/>
      <w:marTop w:val="0"/>
      <w:marBottom w:val="0"/>
      <w:divBdr>
        <w:top w:val="none" w:sz="0" w:space="0" w:color="auto"/>
        <w:left w:val="none" w:sz="0" w:space="0" w:color="auto"/>
        <w:bottom w:val="none" w:sz="0" w:space="0" w:color="auto"/>
        <w:right w:val="none" w:sz="0" w:space="0" w:color="auto"/>
      </w:divBdr>
      <w:divsChild>
        <w:div w:id="1851679682">
          <w:marLeft w:val="0"/>
          <w:marRight w:val="0"/>
          <w:marTop w:val="0"/>
          <w:marBottom w:val="0"/>
          <w:divBdr>
            <w:top w:val="none" w:sz="0" w:space="0" w:color="auto"/>
            <w:left w:val="none" w:sz="0" w:space="0" w:color="auto"/>
            <w:bottom w:val="none" w:sz="0" w:space="0" w:color="auto"/>
            <w:right w:val="none" w:sz="0" w:space="0" w:color="auto"/>
          </w:divBdr>
          <w:divsChild>
            <w:div w:id="1478959229">
              <w:marLeft w:val="0"/>
              <w:marRight w:val="0"/>
              <w:marTop w:val="0"/>
              <w:marBottom w:val="0"/>
              <w:divBdr>
                <w:top w:val="none" w:sz="0" w:space="0" w:color="auto"/>
                <w:left w:val="none" w:sz="0" w:space="0" w:color="auto"/>
                <w:bottom w:val="none" w:sz="0" w:space="0" w:color="auto"/>
                <w:right w:val="none" w:sz="0" w:space="0" w:color="auto"/>
              </w:divBdr>
              <w:divsChild>
                <w:div w:id="2470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6965">
      <w:bodyDiv w:val="1"/>
      <w:marLeft w:val="0"/>
      <w:marRight w:val="0"/>
      <w:marTop w:val="0"/>
      <w:marBottom w:val="0"/>
      <w:divBdr>
        <w:top w:val="none" w:sz="0" w:space="0" w:color="auto"/>
        <w:left w:val="none" w:sz="0" w:space="0" w:color="auto"/>
        <w:bottom w:val="none" w:sz="0" w:space="0" w:color="auto"/>
        <w:right w:val="none" w:sz="0" w:space="0" w:color="auto"/>
      </w:divBdr>
      <w:divsChild>
        <w:div w:id="16741169">
          <w:marLeft w:val="0"/>
          <w:marRight w:val="0"/>
          <w:marTop w:val="0"/>
          <w:marBottom w:val="0"/>
          <w:divBdr>
            <w:top w:val="none" w:sz="0" w:space="0" w:color="auto"/>
            <w:left w:val="none" w:sz="0" w:space="0" w:color="auto"/>
            <w:bottom w:val="none" w:sz="0" w:space="0" w:color="auto"/>
            <w:right w:val="none" w:sz="0" w:space="0" w:color="auto"/>
          </w:divBdr>
          <w:divsChild>
            <w:div w:id="1011103941">
              <w:marLeft w:val="0"/>
              <w:marRight w:val="0"/>
              <w:marTop w:val="0"/>
              <w:marBottom w:val="0"/>
              <w:divBdr>
                <w:top w:val="none" w:sz="0" w:space="0" w:color="auto"/>
                <w:left w:val="none" w:sz="0" w:space="0" w:color="auto"/>
                <w:bottom w:val="none" w:sz="0" w:space="0" w:color="auto"/>
                <w:right w:val="none" w:sz="0" w:space="0" w:color="auto"/>
              </w:divBdr>
              <w:divsChild>
                <w:div w:id="1842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492">
      <w:bodyDiv w:val="1"/>
      <w:marLeft w:val="0"/>
      <w:marRight w:val="0"/>
      <w:marTop w:val="0"/>
      <w:marBottom w:val="0"/>
      <w:divBdr>
        <w:top w:val="none" w:sz="0" w:space="0" w:color="auto"/>
        <w:left w:val="none" w:sz="0" w:space="0" w:color="auto"/>
        <w:bottom w:val="none" w:sz="0" w:space="0" w:color="auto"/>
        <w:right w:val="none" w:sz="0" w:space="0" w:color="auto"/>
      </w:divBdr>
    </w:div>
    <w:div w:id="1132867767">
      <w:bodyDiv w:val="1"/>
      <w:marLeft w:val="0"/>
      <w:marRight w:val="0"/>
      <w:marTop w:val="0"/>
      <w:marBottom w:val="0"/>
      <w:divBdr>
        <w:top w:val="none" w:sz="0" w:space="0" w:color="auto"/>
        <w:left w:val="none" w:sz="0" w:space="0" w:color="auto"/>
        <w:bottom w:val="none" w:sz="0" w:space="0" w:color="auto"/>
        <w:right w:val="none" w:sz="0" w:space="0" w:color="auto"/>
      </w:divBdr>
    </w:div>
    <w:div w:id="1168207191">
      <w:bodyDiv w:val="1"/>
      <w:marLeft w:val="0"/>
      <w:marRight w:val="0"/>
      <w:marTop w:val="0"/>
      <w:marBottom w:val="0"/>
      <w:divBdr>
        <w:top w:val="none" w:sz="0" w:space="0" w:color="auto"/>
        <w:left w:val="none" w:sz="0" w:space="0" w:color="auto"/>
        <w:bottom w:val="none" w:sz="0" w:space="0" w:color="auto"/>
        <w:right w:val="none" w:sz="0" w:space="0" w:color="auto"/>
      </w:divBdr>
    </w:div>
    <w:div w:id="1215241737">
      <w:bodyDiv w:val="1"/>
      <w:marLeft w:val="0"/>
      <w:marRight w:val="0"/>
      <w:marTop w:val="0"/>
      <w:marBottom w:val="0"/>
      <w:divBdr>
        <w:top w:val="none" w:sz="0" w:space="0" w:color="auto"/>
        <w:left w:val="none" w:sz="0" w:space="0" w:color="auto"/>
        <w:bottom w:val="none" w:sz="0" w:space="0" w:color="auto"/>
        <w:right w:val="none" w:sz="0" w:space="0" w:color="auto"/>
      </w:divBdr>
    </w:div>
    <w:div w:id="1246232904">
      <w:bodyDiv w:val="1"/>
      <w:marLeft w:val="0"/>
      <w:marRight w:val="0"/>
      <w:marTop w:val="0"/>
      <w:marBottom w:val="0"/>
      <w:divBdr>
        <w:top w:val="none" w:sz="0" w:space="0" w:color="auto"/>
        <w:left w:val="none" w:sz="0" w:space="0" w:color="auto"/>
        <w:bottom w:val="none" w:sz="0" w:space="0" w:color="auto"/>
        <w:right w:val="none" w:sz="0" w:space="0" w:color="auto"/>
      </w:divBdr>
    </w:div>
    <w:div w:id="1246265298">
      <w:bodyDiv w:val="1"/>
      <w:marLeft w:val="0"/>
      <w:marRight w:val="0"/>
      <w:marTop w:val="0"/>
      <w:marBottom w:val="0"/>
      <w:divBdr>
        <w:top w:val="none" w:sz="0" w:space="0" w:color="auto"/>
        <w:left w:val="none" w:sz="0" w:space="0" w:color="auto"/>
        <w:bottom w:val="none" w:sz="0" w:space="0" w:color="auto"/>
        <w:right w:val="none" w:sz="0" w:space="0" w:color="auto"/>
      </w:divBdr>
      <w:divsChild>
        <w:div w:id="1120995847">
          <w:marLeft w:val="0"/>
          <w:marRight w:val="0"/>
          <w:marTop w:val="0"/>
          <w:marBottom w:val="0"/>
          <w:divBdr>
            <w:top w:val="none" w:sz="0" w:space="0" w:color="auto"/>
            <w:left w:val="none" w:sz="0" w:space="0" w:color="auto"/>
            <w:bottom w:val="none" w:sz="0" w:space="0" w:color="auto"/>
            <w:right w:val="none" w:sz="0" w:space="0" w:color="auto"/>
          </w:divBdr>
          <w:divsChild>
            <w:div w:id="45422804">
              <w:marLeft w:val="0"/>
              <w:marRight w:val="0"/>
              <w:marTop w:val="0"/>
              <w:marBottom w:val="0"/>
              <w:divBdr>
                <w:top w:val="none" w:sz="0" w:space="0" w:color="auto"/>
                <w:left w:val="none" w:sz="0" w:space="0" w:color="auto"/>
                <w:bottom w:val="none" w:sz="0" w:space="0" w:color="auto"/>
                <w:right w:val="none" w:sz="0" w:space="0" w:color="auto"/>
              </w:divBdr>
              <w:divsChild>
                <w:div w:id="374086404">
                  <w:marLeft w:val="0"/>
                  <w:marRight w:val="0"/>
                  <w:marTop w:val="0"/>
                  <w:marBottom w:val="0"/>
                  <w:divBdr>
                    <w:top w:val="none" w:sz="0" w:space="0" w:color="auto"/>
                    <w:left w:val="none" w:sz="0" w:space="0" w:color="auto"/>
                    <w:bottom w:val="none" w:sz="0" w:space="0" w:color="auto"/>
                    <w:right w:val="none" w:sz="0" w:space="0" w:color="auto"/>
                  </w:divBdr>
                </w:div>
              </w:divsChild>
            </w:div>
            <w:div w:id="273169057">
              <w:marLeft w:val="0"/>
              <w:marRight w:val="0"/>
              <w:marTop w:val="0"/>
              <w:marBottom w:val="0"/>
              <w:divBdr>
                <w:top w:val="none" w:sz="0" w:space="0" w:color="auto"/>
                <w:left w:val="none" w:sz="0" w:space="0" w:color="auto"/>
                <w:bottom w:val="none" w:sz="0" w:space="0" w:color="auto"/>
                <w:right w:val="none" w:sz="0" w:space="0" w:color="auto"/>
              </w:divBdr>
              <w:divsChild>
                <w:div w:id="882406672">
                  <w:marLeft w:val="0"/>
                  <w:marRight w:val="0"/>
                  <w:marTop w:val="0"/>
                  <w:marBottom w:val="0"/>
                  <w:divBdr>
                    <w:top w:val="none" w:sz="0" w:space="0" w:color="auto"/>
                    <w:left w:val="none" w:sz="0" w:space="0" w:color="auto"/>
                    <w:bottom w:val="none" w:sz="0" w:space="0" w:color="auto"/>
                    <w:right w:val="none" w:sz="0" w:space="0" w:color="auto"/>
                  </w:divBdr>
                  <w:divsChild>
                    <w:div w:id="2236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3713">
      <w:bodyDiv w:val="1"/>
      <w:marLeft w:val="0"/>
      <w:marRight w:val="0"/>
      <w:marTop w:val="0"/>
      <w:marBottom w:val="0"/>
      <w:divBdr>
        <w:top w:val="none" w:sz="0" w:space="0" w:color="auto"/>
        <w:left w:val="none" w:sz="0" w:space="0" w:color="auto"/>
        <w:bottom w:val="none" w:sz="0" w:space="0" w:color="auto"/>
        <w:right w:val="none" w:sz="0" w:space="0" w:color="auto"/>
      </w:divBdr>
      <w:divsChild>
        <w:div w:id="874343367">
          <w:marLeft w:val="0"/>
          <w:marRight w:val="0"/>
          <w:marTop w:val="0"/>
          <w:marBottom w:val="0"/>
          <w:divBdr>
            <w:top w:val="none" w:sz="0" w:space="0" w:color="auto"/>
            <w:left w:val="none" w:sz="0" w:space="0" w:color="auto"/>
            <w:bottom w:val="none" w:sz="0" w:space="0" w:color="auto"/>
            <w:right w:val="none" w:sz="0" w:space="0" w:color="auto"/>
          </w:divBdr>
          <w:divsChild>
            <w:div w:id="1333407408">
              <w:marLeft w:val="0"/>
              <w:marRight w:val="0"/>
              <w:marTop w:val="0"/>
              <w:marBottom w:val="0"/>
              <w:divBdr>
                <w:top w:val="none" w:sz="0" w:space="0" w:color="auto"/>
                <w:left w:val="none" w:sz="0" w:space="0" w:color="auto"/>
                <w:bottom w:val="none" w:sz="0" w:space="0" w:color="auto"/>
                <w:right w:val="none" w:sz="0" w:space="0" w:color="auto"/>
              </w:divBdr>
              <w:divsChild>
                <w:div w:id="9810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4701">
      <w:bodyDiv w:val="1"/>
      <w:marLeft w:val="0"/>
      <w:marRight w:val="0"/>
      <w:marTop w:val="0"/>
      <w:marBottom w:val="0"/>
      <w:divBdr>
        <w:top w:val="none" w:sz="0" w:space="0" w:color="auto"/>
        <w:left w:val="none" w:sz="0" w:space="0" w:color="auto"/>
        <w:bottom w:val="none" w:sz="0" w:space="0" w:color="auto"/>
        <w:right w:val="none" w:sz="0" w:space="0" w:color="auto"/>
      </w:divBdr>
    </w:div>
    <w:div w:id="1581712484">
      <w:bodyDiv w:val="1"/>
      <w:marLeft w:val="0"/>
      <w:marRight w:val="0"/>
      <w:marTop w:val="0"/>
      <w:marBottom w:val="0"/>
      <w:divBdr>
        <w:top w:val="none" w:sz="0" w:space="0" w:color="auto"/>
        <w:left w:val="none" w:sz="0" w:space="0" w:color="auto"/>
        <w:bottom w:val="none" w:sz="0" w:space="0" w:color="auto"/>
        <w:right w:val="none" w:sz="0" w:space="0" w:color="auto"/>
      </w:divBdr>
      <w:divsChild>
        <w:div w:id="194008389">
          <w:marLeft w:val="0"/>
          <w:marRight w:val="0"/>
          <w:marTop w:val="0"/>
          <w:marBottom w:val="0"/>
          <w:divBdr>
            <w:top w:val="none" w:sz="0" w:space="0" w:color="auto"/>
            <w:left w:val="none" w:sz="0" w:space="0" w:color="auto"/>
            <w:bottom w:val="none" w:sz="0" w:space="0" w:color="auto"/>
            <w:right w:val="none" w:sz="0" w:space="0" w:color="auto"/>
          </w:divBdr>
          <w:divsChild>
            <w:div w:id="790906358">
              <w:marLeft w:val="0"/>
              <w:marRight w:val="0"/>
              <w:marTop w:val="0"/>
              <w:marBottom w:val="0"/>
              <w:divBdr>
                <w:top w:val="none" w:sz="0" w:space="0" w:color="auto"/>
                <w:left w:val="none" w:sz="0" w:space="0" w:color="auto"/>
                <w:bottom w:val="none" w:sz="0" w:space="0" w:color="auto"/>
                <w:right w:val="none" w:sz="0" w:space="0" w:color="auto"/>
              </w:divBdr>
              <w:divsChild>
                <w:div w:id="1901937520">
                  <w:marLeft w:val="0"/>
                  <w:marRight w:val="0"/>
                  <w:marTop w:val="0"/>
                  <w:marBottom w:val="0"/>
                  <w:divBdr>
                    <w:top w:val="none" w:sz="0" w:space="0" w:color="auto"/>
                    <w:left w:val="none" w:sz="0" w:space="0" w:color="auto"/>
                    <w:bottom w:val="none" w:sz="0" w:space="0" w:color="auto"/>
                    <w:right w:val="none" w:sz="0" w:space="0" w:color="auto"/>
                  </w:divBdr>
                  <w:divsChild>
                    <w:div w:id="10089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6966">
      <w:bodyDiv w:val="1"/>
      <w:marLeft w:val="0"/>
      <w:marRight w:val="0"/>
      <w:marTop w:val="0"/>
      <w:marBottom w:val="0"/>
      <w:divBdr>
        <w:top w:val="none" w:sz="0" w:space="0" w:color="auto"/>
        <w:left w:val="none" w:sz="0" w:space="0" w:color="auto"/>
        <w:bottom w:val="none" w:sz="0" w:space="0" w:color="auto"/>
        <w:right w:val="none" w:sz="0" w:space="0" w:color="auto"/>
      </w:divBdr>
      <w:divsChild>
        <w:div w:id="1564564562">
          <w:marLeft w:val="0"/>
          <w:marRight w:val="0"/>
          <w:marTop w:val="0"/>
          <w:marBottom w:val="0"/>
          <w:divBdr>
            <w:top w:val="none" w:sz="0" w:space="0" w:color="auto"/>
            <w:left w:val="none" w:sz="0" w:space="0" w:color="auto"/>
            <w:bottom w:val="none" w:sz="0" w:space="0" w:color="auto"/>
            <w:right w:val="none" w:sz="0" w:space="0" w:color="auto"/>
          </w:divBdr>
        </w:div>
      </w:divsChild>
    </w:div>
    <w:div w:id="1724059801">
      <w:bodyDiv w:val="1"/>
      <w:marLeft w:val="0"/>
      <w:marRight w:val="0"/>
      <w:marTop w:val="0"/>
      <w:marBottom w:val="0"/>
      <w:divBdr>
        <w:top w:val="none" w:sz="0" w:space="0" w:color="auto"/>
        <w:left w:val="none" w:sz="0" w:space="0" w:color="auto"/>
        <w:bottom w:val="none" w:sz="0" w:space="0" w:color="auto"/>
        <w:right w:val="none" w:sz="0" w:space="0" w:color="auto"/>
      </w:divBdr>
    </w:div>
    <w:div w:id="1744912814">
      <w:bodyDiv w:val="1"/>
      <w:marLeft w:val="0"/>
      <w:marRight w:val="0"/>
      <w:marTop w:val="0"/>
      <w:marBottom w:val="0"/>
      <w:divBdr>
        <w:top w:val="none" w:sz="0" w:space="0" w:color="auto"/>
        <w:left w:val="none" w:sz="0" w:space="0" w:color="auto"/>
        <w:bottom w:val="none" w:sz="0" w:space="0" w:color="auto"/>
        <w:right w:val="none" w:sz="0" w:space="0" w:color="auto"/>
      </w:divBdr>
      <w:divsChild>
        <w:div w:id="2127306914">
          <w:marLeft w:val="0"/>
          <w:marRight w:val="0"/>
          <w:marTop w:val="0"/>
          <w:marBottom w:val="0"/>
          <w:divBdr>
            <w:top w:val="none" w:sz="0" w:space="0" w:color="auto"/>
            <w:left w:val="none" w:sz="0" w:space="0" w:color="auto"/>
            <w:bottom w:val="none" w:sz="0" w:space="0" w:color="auto"/>
            <w:right w:val="none" w:sz="0" w:space="0" w:color="auto"/>
          </w:divBdr>
          <w:divsChild>
            <w:div w:id="1276254553">
              <w:marLeft w:val="0"/>
              <w:marRight w:val="0"/>
              <w:marTop w:val="0"/>
              <w:marBottom w:val="0"/>
              <w:divBdr>
                <w:top w:val="none" w:sz="0" w:space="0" w:color="auto"/>
                <w:left w:val="none" w:sz="0" w:space="0" w:color="auto"/>
                <w:bottom w:val="none" w:sz="0" w:space="0" w:color="auto"/>
                <w:right w:val="none" w:sz="0" w:space="0" w:color="auto"/>
              </w:divBdr>
              <w:divsChild>
                <w:div w:id="1632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4836">
      <w:bodyDiv w:val="1"/>
      <w:marLeft w:val="0"/>
      <w:marRight w:val="0"/>
      <w:marTop w:val="0"/>
      <w:marBottom w:val="0"/>
      <w:divBdr>
        <w:top w:val="none" w:sz="0" w:space="0" w:color="auto"/>
        <w:left w:val="none" w:sz="0" w:space="0" w:color="auto"/>
        <w:bottom w:val="none" w:sz="0" w:space="0" w:color="auto"/>
        <w:right w:val="none" w:sz="0" w:space="0" w:color="auto"/>
      </w:divBdr>
    </w:div>
    <w:div w:id="1768378222">
      <w:bodyDiv w:val="1"/>
      <w:marLeft w:val="0"/>
      <w:marRight w:val="0"/>
      <w:marTop w:val="0"/>
      <w:marBottom w:val="0"/>
      <w:divBdr>
        <w:top w:val="none" w:sz="0" w:space="0" w:color="auto"/>
        <w:left w:val="none" w:sz="0" w:space="0" w:color="auto"/>
        <w:bottom w:val="none" w:sz="0" w:space="0" w:color="auto"/>
        <w:right w:val="none" w:sz="0" w:space="0" w:color="auto"/>
      </w:divBdr>
      <w:divsChild>
        <w:div w:id="1516722775">
          <w:marLeft w:val="0"/>
          <w:marRight w:val="0"/>
          <w:marTop w:val="0"/>
          <w:marBottom w:val="0"/>
          <w:divBdr>
            <w:top w:val="none" w:sz="0" w:space="0" w:color="auto"/>
            <w:left w:val="none" w:sz="0" w:space="0" w:color="auto"/>
            <w:bottom w:val="none" w:sz="0" w:space="0" w:color="auto"/>
            <w:right w:val="none" w:sz="0" w:space="0" w:color="auto"/>
          </w:divBdr>
          <w:divsChild>
            <w:div w:id="556405103">
              <w:marLeft w:val="0"/>
              <w:marRight w:val="0"/>
              <w:marTop w:val="0"/>
              <w:marBottom w:val="0"/>
              <w:divBdr>
                <w:top w:val="none" w:sz="0" w:space="0" w:color="auto"/>
                <w:left w:val="none" w:sz="0" w:space="0" w:color="auto"/>
                <w:bottom w:val="none" w:sz="0" w:space="0" w:color="auto"/>
                <w:right w:val="none" w:sz="0" w:space="0" w:color="auto"/>
              </w:divBdr>
              <w:divsChild>
                <w:div w:id="11535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3736">
      <w:bodyDiv w:val="1"/>
      <w:marLeft w:val="0"/>
      <w:marRight w:val="0"/>
      <w:marTop w:val="0"/>
      <w:marBottom w:val="0"/>
      <w:divBdr>
        <w:top w:val="none" w:sz="0" w:space="0" w:color="auto"/>
        <w:left w:val="none" w:sz="0" w:space="0" w:color="auto"/>
        <w:bottom w:val="none" w:sz="0" w:space="0" w:color="auto"/>
        <w:right w:val="none" w:sz="0" w:space="0" w:color="auto"/>
      </w:divBdr>
    </w:div>
    <w:div w:id="1868367300">
      <w:bodyDiv w:val="1"/>
      <w:marLeft w:val="0"/>
      <w:marRight w:val="0"/>
      <w:marTop w:val="0"/>
      <w:marBottom w:val="0"/>
      <w:divBdr>
        <w:top w:val="none" w:sz="0" w:space="0" w:color="auto"/>
        <w:left w:val="none" w:sz="0" w:space="0" w:color="auto"/>
        <w:bottom w:val="none" w:sz="0" w:space="0" w:color="auto"/>
        <w:right w:val="none" w:sz="0" w:space="0" w:color="auto"/>
      </w:divBdr>
      <w:divsChild>
        <w:div w:id="545023890">
          <w:marLeft w:val="0"/>
          <w:marRight w:val="0"/>
          <w:marTop w:val="0"/>
          <w:marBottom w:val="0"/>
          <w:divBdr>
            <w:top w:val="none" w:sz="0" w:space="0" w:color="auto"/>
            <w:left w:val="none" w:sz="0" w:space="0" w:color="auto"/>
            <w:bottom w:val="none" w:sz="0" w:space="0" w:color="auto"/>
            <w:right w:val="none" w:sz="0" w:space="0" w:color="auto"/>
          </w:divBdr>
          <w:divsChild>
            <w:div w:id="1558904926">
              <w:marLeft w:val="0"/>
              <w:marRight w:val="0"/>
              <w:marTop w:val="0"/>
              <w:marBottom w:val="0"/>
              <w:divBdr>
                <w:top w:val="none" w:sz="0" w:space="0" w:color="auto"/>
                <w:left w:val="none" w:sz="0" w:space="0" w:color="auto"/>
                <w:bottom w:val="none" w:sz="0" w:space="0" w:color="auto"/>
                <w:right w:val="none" w:sz="0" w:space="0" w:color="auto"/>
              </w:divBdr>
              <w:divsChild>
                <w:div w:id="1004095102">
                  <w:marLeft w:val="0"/>
                  <w:marRight w:val="0"/>
                  <w:marTop w:val="0"/>
                  <w:marBottom w:val="0"/>
                  <w:divBdr>
                    <w:top w:val="none" w:sz="0" w:space="0" w:color="auto"/>
                    <w:left w:val="none" w:sz="0" w:space="0" w:color="auto"/>
                    <w:bottom w:val="none" w:sz="0" w:space="0" w:color="auto"/>
                    <w:right w:val="none" w:sz="0" w:space="0" w:color="auto"/>
                  </w:divBdr>
                  <w:divsChild>
                    <w:div w:id="5789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7206">
      <w:bodyDiv w:val="1"/>
      <w:marLeft w:val="0"/>
      <w:marRight w:val="0"/>
      <w:marTop w:val="0"/>
      <w:marBottom w:val="0"/>
      <w:divBdr>
        <w:top w:val="none" w:sz="0" w:space="0" w:color="auto"/>
        <w:left w:val="none" w:sz="0" w:space="0" w:color="auto"/>
        <w:bottom w:val="none" w:sz="0" w:space="0" w:color="auto"/>
        <w:right w:val="none" w:sz="0" w:space="0" w:color="auto"/>
      </w:divBdr>
    </w:div>
    <w:div w:id="1924803704">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sChild>
        <w:div w:id="1603998147">
          <w:marLeft w:val="0"/>
          <w:marRight w:val="0"/>
          <w:marTop w:val="0"/>
          <w:marBottom w:val="0"/>
          <w:divBdr>
            <w:top w:val="none" w:sz="0" w:space="0" w:color="auto"/>
            <w:left w:val="none" w:sz="0" w:space="0" w:color="auto"/>
            <w:bottom w:val="none" w:sz="0" w:space="0" w:color="auto"/>
            <w:right w:val="none" w:sz="0" w:space="0" w:color="auto"/>
          </w:divBdr>
          <w:divsChild>
            <w:div w:id="744764886">
              <w:marLeft w:val="0"/>
              <w:marRight w:val="165"/>
              <w:marTop w:val="150"/>
              <w:marBottom w:val="0"/>
              <w:divBdr>
                <w:top w:val="none" w:sz="0" w:space="0" w:color="auto"/>
                <w:left w:val="none" w:sz="0" w:space="0" w:color="auto"/>
                <w:bottom w:val="none" w:sz="0" w:space="0" w:color="auto"/>
                <w:right w:val="none" w:sz="0" w:space="0" w:color="auto"/>
              </w:divBdr>
              <w:divsChild>
                <w:div w:id="1452482610">
                  <w:marLeft w:val="0"/>
                  <w:marRight w:val="0"/>
                  <w:marTop w:val="0"/>
                  <w:marBottom w:val="0"/>
                  <w:divBdr>
                    <w:top w:val="none" w:sz="0" w:space="0" w:color="auto"/>
                    <w:left w:val="none" w:sz="0" w:space="0" w:color="auto"/>
                    <w:bottom w:val="none" w:sz="0" w:space="0" w:color="auto"/>
                    <w:right w:val="none" w:sz="0" w:space="0" w:color="auto"/>
                  </w:divBdr>
                  <w:divsChild>
                    <w:div w:id="1724547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7053449">
          <w:marLeft w:val="0"/>
          <w:marRight w:val="0"/>
          <w:marTop w:val="0"/>
          <w:marBottom w:val="0"/>
          <w:divBdr>
            <w:top w:val="none" w:sz="0" w:space="0" w:color="auto"/>
            <w:left w:val="none" w:sz="0" w:space="0" w:color="auto"/>
            <w:bottom w:val="none" w:sz="0" w:space="0" w:color="auto"/>
            <w:right w:val="none" w:sz="0" w:space="0" w:color="auto"/>
          </w:divBdr>
        </w:div>
      </w:divsChild>
    </w:div>
    <w:div w:id="2011325587">
      <w:bodyDiv w:val="1"/>
      <w:marLeft w:val="0"/>
      <w:marRight w:val="0"/>
      <w:marTop w:val="0"/>
      <w:marBottom w:val="0"/>
      <w:divBdr>
        <w:top w:val="none" w:sz="0" w:space="0" w:color="auto"/>
        <w:left w:val="none" w:sz="0" w:space="0" w:color="auto"/>
        <w:bottom w:val="none" w:sz="0" w:space="0" w:color="auto"/>
        <w:right w:val="none" w:sz="0" w:space="0" w:color="auto"/>
      </w:divBdr>
    </w:div>
    <w:div w:id="2030057673">
      <w:bodyDiv w:val="1"/>
      <w:marLeft w:val="0"/>
      <w:marRight w:val="0"/>
      <w:marTop w:val="0"/>
      <w:marBottom w:val="0"/>
      <w:divBdr>
        <w:top w:val="none" w:sz="0" w:space="0" w:color="auto"/>
        <w:left w:val="none" w:sz="0" w:space="0" w:color="auto"/>
        <w:bottom w:val="none" w:sz="0" w:space="0" w:color="auto"/>
        <w:right w:val="none" w:sz="0" w:space="0" w:color="auto"/>
      </w:divBdr>
    </w:div>
    <w:div w:id="2045253638">
      <w:bodyDiv w:val="1"/>
      <w:marLeft w:val="0"/>
      <w:marRight w:val="0"/>
      <w:marTop w:val="0"/>
      <w:marBottom w:val="0"/>
      <w:divBdr>
        <w:top w:val="none" w:sz="0" w:space="0" w:color="auto"/>
        <w:left w:val="none" w:sz="0" w:space="0" w:color="auto"/>
        <w:bottom w:val="none" w:sz="0" w:space="0" w:color="auto"/>
        <w:right w:val="none" w:sz="0" w:space="0" w:color="auto"/>
      </w:divBdr>
      <w:divsChild>
        <w:div w:id="6490870">
          <w:marLeft w:val="0"/>
          <w:marRight w:val="0"/>
          <w:marTop w:val="0"/>
          <w:marBottom w:val="0"/>
          <w:divBdr>
            <w:top w:val="none" w:sz="0" w:space="0" w:color="auto"/>
            <w:left w:val="none" w:sz="0" w:space="0" w:color="auto"/>
            <w:bottom w:val="none" w:sz="0" w:space="0" w:color="auto"/>
            <w:right w:val="none" w:sz="0" w:space="0" w:color="auto"/>
          </w:divBdr>
          <w:divsChild>
            <w:div w:id="743799633">
              <w:marLeft w:val="0"/>
              <w:marRight w:val="0"/>
              <w:marTop w:val="0"/>
              <w:marBottom w:val="0"/>
              <w:divBdr>
                <w:top w:val="none" w:sz="0" w:space="0" w:color="auto"/>
                <w:left w:val="none" w:sz="0" w:space="0" w:color="auto"/>
                <w:bottom w:val="none" w:sz="0" w:space="0" w:color="auto"/>
                <w:right w:val="none" w:sz="0" w:space="0" w:color="auto"/>
              </w:divBdr>
              <w:divsChild>
                <w:div w:id="321348065">
                  <w:marLeft w:val="0"/>
                  <w:marRight w:val="0"/>
                  <w:marTop w:val="0"/>
                  <w:marBottom w:val="0"/>
                  <w:divBdr>
                    <w:top w:val="none" w:sz="0" w:space="0" w:color="auto"/>
                    <w:left w:val="none" w:sz="0" w:space="0" w:color="auto"/>
                    <w:bottom w:val="none" w:sz="0" w:space="0" w:color="auto"/>
                    <w:right w:val="none" w:sz="0" w:space="0" w:color="auto"/>
                  </w:divBdr>
                  <w:divsChild>
                    <w:div w:id="44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95007">
      <w:bodyDiv w:val="1"/>
      <w:marLeft w:val="0"/>
      <w:marRight w:val="0"/>
      <w:marTop w:val="0"/>
      <w:marBottom w:val="0"/>
      <w:divBdr>
        <w:top w:val="none" w:sz="0" w:space="0" w:color="auto"/>
        <w:left w:val="none" w:sz="0" w:space="0" w:color="auto"/>
        <w:bottom w:val="none" w:sz="0" w:space="0" w:color="auto"/>
        <w:right w:val="none" w:sz="0" w:space="0" w:color="auto"/>
      </w:divBdr>
      <w:divsChild>
        <w:div w:id="2101951862">
          <w:marLeft w:val="0"/>
          <w:marRight w:val="0"/>
          <w:marTop w:val="0"/>
          <w:marBottom w:val="0"/>
          <w:divBdr>
            <w:top w:val="none" w:sz="0" w:space="0" w:color="auto"/>
            <w:left w:val="none" w:sz="0" w:space="0" w:color="auto"/>
            <w:bottom w:val="none" w:sz="0" w:space="0" w:color="auto"/>
            <w:right w:val="none" w:sz="0" w:space="0" w:color="auto"/>
          </w:divBdr>
          <w:divsChild>
            <w:div w:id="716393607">
              <w:marLeft w:val="0"/>
              <w:marRight w:val="0"/>
              <w:marTop w:val="0"/>
              <w:marBottom w:val="0"/>
              <w:divBdr>
                <w:top w:val="none" w:sz="0" w:space="0" w:color="auto"/>
                <w:left w:val="none" w:sz="0" w:space="0" w:color="auto"/>
                <w:bottom w:val="none" w:sz="0" w:space="0" w:color="auto"/>
                <w:right w:val="none" w:sz="0" w:space="0" w:color="auto"/>
              </w:divBdr>
              <w:divsChild>
                <w:div w:id="1866400205">
                  <w:marLeft w:val="0"/>
                  <w:marRight w:val="0"/>
                  <w:marTop w:val="0"/>
                  <w:marBottom w:val="0"/>
                  <w:divBdr>
                    <w:top w:val="none" w:sz="0" w:space="0" w:color="auto"/>
                    <w:left w:val="none" w:sz="0" w:space="0" w:color="auto"/>
                    <w:bottom w:val="none" w:sz="0" w:space="0" w:color="auto"/>
                    <w:right w:val="none" w:sz="0" w:space="0" w:color="auto"/>
                  </w:divBdr>
                  <w:divsChild>
                    <w:div w:id="1610817491">
                      <w:marLeft w:val="0"/>
                      <w:marRight w:val="0"/>
                      <w:marTop w:val="0"/>
                      <w:marBottom w:val="0"/>
                      <w:divBdr>
                        <w:top w:val="none" w:sz="0" w:space="0" w:color="auto"/>
                        <w:left w:val="none" w:sz="0" w:space="0" w:color="auto"/>
                        <w:bottom w:val="none" w:sz="0" w:space="0" w:color="auto"/>
                        <w:right w:val="none" w:sz="0" w:space="0" w:color="auto"/>
                      </w:divBdr>
                    </w:div>
                  </w:divsChild>
                </w:div>
                <w:div w:id="2045708174">
                  <w:marLeft w:val="0"/>
                  <w:marRight w:val="0"/>
                  <w:marTop w:val="0"/>
                  <w:marBottom w:val="0"/>
                  <w:divBdr>
                    <w:top w:val="none" w:sz="0" w:space="0" w:color="auto"/>
                    <w:left w:val="none" w:sz="0" w:space="0" w:color="auto"/>
                    <w:bottom w:val="none" w:sz="0" w:space="0" w:color="auto"/>
                    <w:right w:val="none" w:sz="0" w:space="0" w:color="auto"/>
                  </w:divBdr>
                  <w:divsChild>
                    <w:div w:id="1588877501">
                      <w:marLeft w:val="0"/>
                      <w:marRight w:val="0"/>
                      <w:marTop w:val="0"/>
                      <w:marBottom w:val="0"/>
                      <w:divBdr>
                        <w:top w:val="none" w:sz="0" w:space="0" w:color="auto"/>
                        <w:left w:val="none" w:sz="0" w:space="0" w:color="auto"/>
                        <w:bottom w:val="none" w:sz="0" w:space="0" w:color="auto"/>
                        <w:right w:val="none" w:sz="0" w:space="0" w:color="auto"/>
                      </w:divBdr>
                    </w:div>
                  </w:divsChild>
                </w:div>
                <w:div w:id="2146920828">
                  <w:marLeft w:val="0"/>
                  <w:marRight w:val="0"/>
                  <w:marTop w:val="0"/>
                  <w:marBottom w:val="0"/>
                  <w:divBdr>
                    <w:top w:val="none" w:sz="0" w:space="0" w:color="auto"/>
                    <w:left w:val="none" w:sz="0" w:space="0" w:color="auto"/>
                    <w:bottom w:val="none" w:sz="0" w:space="0" w:color="auto"/>
                    <w:right w:val="none" w:sz="0" w:space="0" w:color="auto"/>
                  </w:divBdr>
                  <w:divsChild>
                    <w:div w:id="8755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7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mara.dangouloff@ulieg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174A-536A-4CAD-90D6-7341AF4E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23363</Words>
  <Characters>128498</Characters>
  <Application>Microsoft Office Word</Application>
  <DocSecurity>0</DocSecurity>
  <Lines>1070</Lines>
  <Paragraphs>303</Paragraphs>
  <ScaleCrop>false</ScaleCrop>
  <HeadingPairs>
    <vt:vector size="6" baseType="variant">
      <vt:variant>
        <vt:lpstr>Titre</vt:lpstr>
      </vt:variant>
      <vt:variant>
        <vt:i4>1</vt:i4>
      </vt:variant>
      <vt:variant>
        <vt:lpstr>Titres</vt:lpstr>
      </vt:variant>
      <vt:variant>
        <vt:i4>14</vt:i4>
      </vt:variant>
      <vt:variant>
        <vt:lpstr>Title</vt:lpstr>
      </vt:variant>
      <vt:variant>
        <vt:i4>1</vt:i4>
      </vt:variant>
    </vt:vector>
  </HeadingPairs>
  <TitlesOfParts>
    <vt:vector size="16" baseType="lpstr">
      <vt:lpstr/>
      <vt:lpstr>Cost-effectiveness of spinal muscular atrophy newborn screening based on real-wo</vt:lpstr>
      <vt:lpstr>Corresponding Author</vt:lpstr>
      <vt:lpstr>Abstract (200 mots)</vt:lpstr>
      <vt:lpstr>Short Title:</vt:lpstr>
      <vt:lpstr>What this paper adds</vt:lpstr>
      <vt:lpstr>Abbreviation</vt:lpstr>
      <vt:lpstr>Introduction</vt:lpstr>
      <vt:lpstr>Methods</vt:lpstr>
      <vt:lpstr>    Model structure</vt:lpstr>
      <vt:lpstr>    Model inputs</vt:lpstr>
      <vt:lpstr>        Utility values and cost data</vt:lpstr>
      <vt:lpstr>    Results and sensitivity analyses</vt:lpstr>
      <vt:lpstr>Results</vt:lpstr>
      <vt:lpstr>Discussion</vt:lpstr>
      <vt:lpstr/>
    </vt:vector>
  </TitlesOfParts>
  <Company/>
  <LinksUpToDate>false</LinksUpToDate>
  <CharactersWithSpaces>151558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Dangouloff Tamara</dc:creator>
  <cp:keywords/>
  <dc:description/>
  <cp:lastModifiedBy>Dangouloff Tamara</cp:lastModifiedBy>
  <cp:revision>3</cp:revision>
  <dcterms:created xsi:type="dcterms:W3CDTF">2023-07-05T10:15:00Z</dcterms:created>
  <dcterms:modified xsi:type="dcterms:W3CDTF">2023-07-05T10:17:00Z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http://www.zotero.org/styles/genetics-in-medicine</vt:lpwstr>
  </property>
  <property fmtid="{D5CDD505-2E9C-101B-9397-08002B2CF9AE}" pid="11" name="Mendeley Recent Style Name 4_1">
    <vt:lpwstr>Genetics in Medicine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http://www.zotero.org/styles/springer-vancouver</vt:lpwstr>
  </property>
  <property fmtid="{D5CDD505-2E9C-101B-9397-08002B2CF9AE}" pid="17" name="Mendeley Recent Style Name 7_1">
    <vt:lpwstr>Springer - Vancouver</vt:lpwstr>
  </property>
  <property fmtid="{D5CDD505-2E9C-101B-9397-08002B2CF9AE}" pid="18" name="Mendeley Recent Style Id 8_1">
    <vt:lpwstr>http://www.zotero.org/styles/trends-in-biochemical-sciences</vt:lpwstr>
  </property>
  <property fmtid="{D5CDD505-2E9C-101B-9397-08002B2CF9AE}" pid="19" name="Mendeley Recent Style Name 8_1">
    <vt:lpwstr>Trends in Biochemical Sciences</vt:lpwstr>
  </property>
  <property fmtid="{D5CDD505-2E9C-101B-9397-08002B2CF9AE}" pid="20" name="Mendeley Recent Style Id 9_1">
    <vt:lpwstr>http://csl.mendeley.com/styles/554208801/vancouver-DMCN-2</vt:lpwstr>
  </property>
  <property fmtid="{D5CDD505-2E9C-101B-9397-08002B2CF9AE}" pid="21" name="Mendeley Recent Style Name 9_1">
    <vt:lpwstr>Vancouver - Tamara Dangouloff</vt:lpwstr>
  </property>
  <property fmtid="{D5CDD505-2E9C-101B-9397-08002B2CF9AE}" pid="22" name="Mendeley Document_1">
    <vt:lpwstr>True</vt:lpwstr>
  </property>
  <property fmtid="{D5CDD505-2E9C-101B-9397-08002B2CF9AE}" pid="23" name="Mendeley Unique User Id_1">
    <vt:lpwstr>0821c7df-e575-3397-be93-bf4f63956748</vt:lpwstr>
  </property>
  <property fmtid="{D5CDD505-2E9C-101B-9397-08002B2CF9AE}" pid="24" name="Mendeley Citation Style_1">
    <vt:lpwstr>http://csl.mendeley.com/styles/554208801/vancouver-DMCN-2</vt:lpwstr>
  </property>
</Properties>
</file>