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9065" w14:textId="67034AC7" w:rsidR="00456D2F" w:rsidRPr="00456D2F" w:rsidRDefault="00AA42B7" w:rsidP="00E97EEC">
      <w:pPr>
        <w:spacing w:line="360" w:lineRule="auto"/>
        <w:jc w:val="center"/>
        <w:rPr>
          <w:b/>
          <w:bCs/>
          <w:color w:val="000000" w:themeColor="text1"/>
          <w:sz w:val="48"/>
          <w:szCs w:val="48"/>
        </w:rPr>
      </w:pPr>
      <w:r w:rsidRPr="00456D2F">
        <w:rPr>
          <w:b/>
          <w:bCs/>
          <w:color w:val="000000" w:themeColor="text1"/>
          <w:sz w:val="48"/>
          <w:szCs w:val="48"/>
        </w:rPr>
        <w:t>Procedural</w:t>
      </w:r>
      <w:r w:rsidR="001F5297" w:rsidRPr="00456D2F">
        <w:rPr>
          <w:b/>
          <w:bCs/>
          <w:color w:val="000000" w:themeColor="text1"/>
          <w:sz w:val="48"/>
          <w:szCs w:val="48"/>
        </w:rPr>
        <w:t xml:space="preserve"> </w:t>
      </w:r>
      <w:r w:rsidR="009B0779" w:rsidRPr="00456D2F">
        <w:rPr>
          <w:b/>
          <w:bCs/>
          <w:color w:val="000000" w:themeColor="text1"/>
          <w:sz w:val="48"/>
          <w:szCs w:val="48"/>
        </w:rPr>
        <w:t xml:space="preserve">Legitimacy </w:t>
      </w:r>
      <w:r w:rsidR="001F5297" w:rsidRPr="00456D2F">
        <w:rPr>
          <w:b/>
          <w:bCs/>
          <w:color w:val="000000" w:themeColor="text1"/>
          <w:sz w:val="48"/>
          <w:szCs w:val="48"/>
        </w:rPr>
        <w:t xml:space="preserve">Logics </w:t>
      </w:r>
      <w:r w:rsidR="004B53AA">
        <w:rPr>
          <w:b/>
          <w:bCs/>
          <w:color w:val="000000" w:themeColor="text1"/>
          <w:sz w:val="48"/>
          <w:szCs w:val="48"/>
        </w:rPr>
        <w:t>within</w:t>
      </w:r>
      <w:r w:rsidR="004B53AA" w:rsidRPr="00456D2F">
        <w:rPr>
          <w:b/>
          <w:bCs/>
          <w:color w:val="000000" w:themeColor="text1"/>
          <w:sz w:val="48"/>
          <w:szCs w:val="48"/>
        </w:rPr>
        <w:t xml:space="preserve"> </w:t>
      </w:r>
      <w:r w:rsidR="001F5297" w:rsidRPr="00456D2F">
        <w:rPr>
          <w:b/>
          <w:bCs/>
          <w:color w:val="000000" w:themeColor="text1"/>
          <w:sz w:val="48"/>
          <w:szCs w:val="48"/>
        </w:rPr>
        <w:t>the Digital Welfare State</w:t>
      </w:r>
    </w:p>
    <w:p w14:paraId="3C9BEDAC" w14:textId="77777777" w:rsidR="00185A54" w:rsidRPr="00456D2F" w:rsidRDefault="00185A54" w:rsidP="00E97EEC">
      <w:pPr>
        <w:spacing w:line="360" w:lineRule="auto"/>
        <w:rPr>
          <w:b/>
          <w:bCs/>
          <w:color w:val="000000" w:themeColor="text1"/>
        </w:rPr>
      </w:pPr>
    </w:p>
    <w:p w14:paraId="79BBCA3C" w14:textId="79C9C49B" w:rsidR="00456D2F" w:rsidRPr="00E97EEC" w:rsidRDefault="00F47F01" w:rsidP="00E97EEC">
      <w:pPr>
        <w:spacing w:line="360" w:lineRule="auto"/>
        <w:jc w:val="center"/>
        <w:rPr>
          <w:color w:val="000000" w:themeColor="text1"/>
          <w:sz w:val="28"/>
        </w:rPr>
      </w:pPr>
      <w:r w:rsidRPr="00456D2F">
        <w:rPr>
          <w:color w:val="000000" w:themeColor="text1"/>
          <w:sz w:val="28"/>
        </w:rPr>
        <w:t>Simon Halliday</w:t>
      </w:r>
      <w:r w:rsidRPr="00456D2F">
        <w:rPr>
          <w:rStyle w:val="FootnoteReference"/>
          <w:color w:val="000000" w:themeColor="text1"/>
          <w:sz w:val="28"/>
        </w:rPr>
        <w:footnoteReference w:id="1"/>
      </w:r>
      <w:r w:rsidRPr="00456D2F">
        <w:rPr>
          <w:color w:val="000000" w:themeColor="text1"/>
          <w:sz w:val="28"/>
        </w:rPr>
        <w:t>, Jed Meers</w:t>
      </w:r>
      <w:r w:rsidRPr="00456D2F">
        <w:rPr>
          <w:rStyle w:val="FootnoteReference"/>
          <w:color w:val="000000" w:themeColor="text1"/>
          <w:sz w:val="28"/>
        </w:rPr>
        <w:footnoteReference w:id="2"/>
      </w:r>
      <w:r w:rsidRPr="00456D2F">
        <w:rPr>
          <w:color w:val="000000" w:themeColor="text1"/>
          <w:sz w:val="28"/>
        </w:rPr>
        <w:t xml:space="preserve"> &amp; </w:t>
      </w:r>
      <w:r w:rsidR="00D760B8" w:rsidRPr="00456D2F">
        <w:rPr>
          <w:color w:val="000000" w:themeColor="text1"/>
          <w:sz w:val="28"/>
        </w:rPr>
        <w:t>Joe Tomlinson</w:t>
      </w:r>
      <w:r w:rsidR="00D760B8" w:rsidRPr="00456D2F">
        <w:rPr>
          <w:rStyle w:val="FootnoteReference"/>
          <w:color w:val="000000" w:themeColor="text1"/>
          <w:sz w:val="28"/>
        </w:rPr>
        <w:footnoteReference w:id="3"/>
      </w:r>
    </w:p>
    <w:p w14:paraId="4013976E" w14:textId="77777777" w:rsidR="00185A54" w:rsidRPr="00456D2F" w:rsidRDefault="00185A54" w:rsidP="00E97EEC">
      <w:pPr>
        <w:spacing w:line="360" w:lineRule="auto"/>
        <w:rPr>
          <w:b/>
          <w:bCs/>
          <w:i/>
          <w:iCs/>
          <w:color w:val="000000" w:themeColor="text1"/>
        </w:rPr>
      </w:pPr>
    </w:p>
    <w:p w14:paraId="234D60B1" w14:textId="1269F6A6" w:rsidR="00456D2F" w:rsidRPr="00D502AA" w:rsidRDefault="006423FA" w:rsidP="002618D8">
      <w:pPr>
        <w:spacing w:line="360" w:lineRule="auto"/>
        <w:ind w:right="95"/>
        <w:jc w:val="both"/>
        <w:rPr>
          <w:i/>
          <w:iCs/>
          <w:color w:val="000000" w:themeColor="text1"/>
          <w:sz w:val="22"/>
          <w:szCs w:val="22"/>
        </w:rPr>
      </w:pPr>
      <w:r w:rsidRPr="00D502AA">
        <w:rPr>
          <w:b/>
          <w:bCs/>
          <w:color w:val="000000" w:themeColor="text1"/>
          <w:sz w:val="22"/>
          <w:szCs w:val="22"/>
        </w:rPr>
        <w:t>Abstract.</w:t>
      </w:r>
      <w:r w:rsidRPr="00D502AA">
        <w:rPr>
          <w:color w:val="000000" w:themeColor="text1"/>
          <w:sz w:val="22"/>
          <w:szCs w:val="22"/>
        </w:rPr>
        <w:t xml:space="preserve"> </w:t>
      </w:r>
      <w:r w:rsidR="001F5297" w:rsidRPr="00D502AA">
        <w:rPr>
          <w:i/>
          <w:iCs/>
          <w:color w:val="000000" w:themeColor="text1"/>
          <w:sz w:val="22"/>
          <w:szCs w:val="22"/>
        </w:rPr>
        <w:t>One of the most profound shifts seen in governments around the world in recent years is the emergence of the digital welfare state. This transformation has seen the welfare state</w:t>
      </w:r>
      <w:r w:rsidR="00B437BC" w:rsidRPr="00D502AA">
        <w:rPr>
          <w:i/>
          <w:iCs/>
          <w:color w:val="000000" w:themeColor="text1"/>
          <w:sz w:val="22"/>
          <w:szCs w:val="22"/>
        </w:rPr>
        <w:t xml:space="preserve"> </w:t>
      </w:r>
      <w:r w:rsidR="001F5297" w:rsidRPr="00D502AA">
        <w:rPr>
          <w:i/>
          <w:iCs/>
          <w:color w:val="000000" w:themeColor="text1"/>
          <w:sz w:val="22"/>
          <w:szCs w:val="22"/>
        </w:rPr>
        <w:t xml:space="preserve">increasingly dependent on digitalised, automated, and data-driven forms of public administration, which are altering the nature of welfare provision itself. This transition raises a fundamental question: what does </w:t>
      </w:r>
      <w:r w:rsidR="009B0779" w:rsidRPr="00D502AA">
        <w:rPr>
          <w:i/>
          <w:iCs/>
          <w:color w:val="000000" w:themeColor="text1"/>
          <w:sz w:val="22"/>
          <w:szCs w:val="22"/>
        </w:rPr>
        <w:t xml:space="preserve">a legitimate </w:t>
      </w:r>
      <w:r w:rsidR="001F5297" w:rsidRPr="00D502AA">
        <w:rPr>
          <w:i/>
          <w:iCs/>
          <w:color w:val="000000" w:themeColor="text1"/>
          <w:sz w:val="22"/>
          <w:szCs w:val="22"/>
        </w:rPr>
        <w:t>process look like in this new welfare state? Using new</w:t>
      </w:r>
      <w:r w:rsidR="00F41C2C" w:rsidRPr="00D502AA">
        <w:rPr>
          <w:i/>
          <w:iCs/>
          <w:color w:val="000000" w:themeColor="text1"/>
          <w:sz w:val="22"/>
          <w:szCs w:val="22"/>
        </w:rPr>
        <w:t xml:space="preserve"> qualitative</w:t>
      </w:r>
      <w:r w:rsidR="001F5297" w:rsidRPr="00D502AA">
        <w:rPr>
          <w:i/>
          <w:iCs/>
          <w:color w:val="000000" w:themeColor="text1"/>
          <w:sz w:val="22"/>
          <w:szCs w:val="22"/>
        </w:rPr>
        <w:t xml:space="preserve"> datasets, this </w:t>
      </w:r>
      <w:r w:rsidR="00B437BC" w:rsidRPr="00D502AA">
        <w:rPr>
          <w:i/>
          <w:iCs/>
          <w:color w:val="000000" w:themeColor="text1"/>
          <w:sz w:val="22"/>
          <w:szCs w:val="22"/>
        </w:rPr>
        <w:t>article</w:t>
      </w:r>
      <w:r w:rsidR="001F5297" w:rsidRPr="00D502AA">
        <w:rPr>
          <w:i/>
          <w:iCs/>
          <w:color w:val="000000" w:themeColor="text1"/>
          <w:sz w:val="22"/>
          <w:szCs w:val="22"/>
        </w:rPr>
        <w:t xml:space="preserve"> </w:t>
      </w:r>
      <w:r w:rsidR="00B437BC" w:rsidRPr="00D502AA">
        <w:rPr>
          <w:i/>
          <w:iCs/>
          <w:color w:val="000000" w:themeColor="text1"/>
          <w:sz w:val="22"/>
          <w:szCs w:val="22"/>
        </w:rPr>
        <w:t>explores</w:t>
      </w:r>
      <w:r w:rsidR="001F5297" w:rsidRPr="00D502AA">
        <w:rPr>
          <w:i/>
          <w:iCs/>
          <w:color w:val="000000" w:themeColor="text1"/>
          <w:sz w:val="22"/>
          <w:szCs w:val="22"/>
        </w:rPr>
        <w:t xml:space="preserve"> how public officials, welfare claimants, and welfare rights advisors reason about the processes of the UK’s flagship social security programme, Universal Credit</w:t>
      </w:r>
      <w:r w:rsidR="00CF7C2C" w:rsidRPr="00D502AA">
        <w:rPr>
          <w:i/>
          <w:iCs/>
          <w:color w:val="000000" w:themeColor="text1"/>
          <w:sz w:val="22"/>
          <w:szCs w:val="22"/>
        </w:rPr>
        <w:t xml:space="preserve"> (‘UC’)</w:t>
      </w:r>
      <w:r w:rsidR="00B437BC" w:rsidRPr="00D502AA">
        <w:rPr>
          <w:i/>
          <w:iCs/>
          <w:color w:val="000000" w:themeColor="text1"/>
          <w:sz w:val="22"/>
          <w:szCs w:val="22"/>
        </w:rPr>
        <w:t>—</w:t>
      </w:r>
      <w:r w:rsidR="001F5297" w:rsidRPr="00D502AA">
        <w:rPr>
          <w:i/>
          <w:iCs/>
          <w:color w:val="000000" w:themeColor="text1"/>
          <w:sz w:val="22"/>
          <w:szCs w:val="22"/>
        </w:rPr>
        <w:t xml:space="preserve">one of the most </w:t>
      </w:r>
      <w:r w:rsidR="00B437BC" w:rsidRPr="00D502AA">
        <w:rPr>
          <w:i/>
          <w:iCs/>
          <w:color w:val="000000" w:themeColor="text1"/>
          <w:sz w:val="22"/>
          <w:szCs w:val="22"/>
        </w:rPr>
        <w:t>prominent</w:t>
      </w:r>
      <w:r w:rsidR="001F5297" w:rsidRPr="00D502AA">
        <w:rPr>
          <w:i/>
          <w:iCs/>
          <w:color w:val="000000" w:themeColor="text1"/>
          <w:sz w:val="22"/>
          <w:szCs w:val="22"/>
        </w:rPr>
        <w:t xml:space="preserve"> digital welfare systems anywhere in the world. It </w:t>
      </w:r>
      <w:r w:rsidR="00082405" w:rsidRPr="00D502AA">
        <w:rPr>
          <w:i/>
          <w:iCs/>
          <w:color w:val="000000" w:themeColor="text1"/>
          <w:sz w:val="22"/>
          <w:szCs w:val="22"/>
        </w:rPr>
        <w:t>shows</w:t>
      </w:r>
      <w:r w:rsidR="001F5297" w:rsidRPr="00D502AA">
        <w:rPr>
          <w:i/>
          <w:iCs/>
          <w:color w:val="000000" w:themeColor="text1"/>
          <w:sz w:val="22"/>
          <w:szCs w:val="22"/>
        </w:rPr>
        <w:t xml:space="preserve"> that, while the new era of digital welfare is characterised by a paradigmatic, shared intention to </w:t>
      </w:r>
      <w:r w:rsidR="00CF7C2C" w:rsidRPr="00D502AA">
        <w:rPr>
          <w:i/>
          <w:iCs/>
          <w:color w:val="000000" w:themeColor="text1"/>
          <w:sz w:val="22"/>
          <w:szCs w:val="22"/>
        </w:rPr>
        <w:t xml:space="preserve">make processes </w:t>
      </w:r>
      <w:r w:rsidR="00DE61D5" w:rsidRPr="00D502AA">
        <w:rPr>
          <w:i/>
          <w:iCs/>
          <w:color w:val="000000" w:themeColor="text1"/>
          <w:sz w:val="22"/>
          <w:szCs w:val="22"/>
        </w:rPr>
        <w:t>work</w:t>
      </w:r>
      <w:r w:rsidR="00CF7C2C" w:rsidRPr="00D502AA">
        <w:rPr>
          <w:i/>
          <w:iCs/>
          <w:color w:val="000000" w:themeColor="text1"/>
          <w:sz w:val="22"/>
          <w:szCs w:val="22"/>
        </w:rPr>
        <w:t xml:space="preserve"> for claimants</w:t>
      </w:r>
      <w:r w:rsidR="001F5297" w:rsidRPr="00D502AA">
        <w:rPr>
          <w:i/>
          <w:iCs/>
          <w:color w:val="000000" w:themeColor="text1"/>
          <w:sz w:val="22"/>
          <w:szCs w:val="22"/>
        </w:rPr>
        <w:t>, the logic of what constitutes an acceptable process for claimants diverges in important ways between officials, advisors</w:t>
      </w:r>
      <w:r w:rsidR="00B555C5" w:rsidRPr="00D502AA">
        <w:rPr>
          <w:i/>
          <w:iCs/>
          <w:color w:val="000000" w:themeColor="text1"/>
          <w:sz w:val="22"/>
          <w:szCs w:val="22"/>
        </w:rPr>
        <w:t xml:space="preserve"> and claimants</w:t>
      </w:r>
      <w:r w:rsidR="001F5297" w:rsidRPr="00D502AA">
        <w:rPr>
          <w:i/>
          <w:iCs/>
          <w:color w:val="000000" w:themeColor="text1"/>
          <w:sz w:val="22"/>
          <w:szCs w:val="22"/>
        </w:rPr>
        <w:t>.</w:t>
      </w:r>
      <w:r w:rsidR="00082405" w:rsidRPr="00D502AA">
        <w:rPr>
          <w:i/>
          <w:iCs/>
          <w:color w:val="000000" w:themeColor="text1"/>
          <w:sz w:val="22"/>
          <w:szCs w:val="22"/>
        </w:rPr>
        <w:t xml:space="preserve"> We characterise these respective logics as </w:t>
      </w:r>
      <w:r w:rsidR="00CF7C2C" w:rsidRPr="00D502AA">
        <w:rPr>
          <w:i/>
          <w:iCs/>
          <w:color w:val="000000" w:themeColor="text1"/>
          <w:sz w:val="22"/>
          <w:szCs w:val="22"/>
        </w:rPr>
        <w:t>‘</w:t>
      </w:r>
      <w:r w:rsidR="00077FD7" w:rsidRPr="00D502AA">
        <w:rPr>
          <w:i/>
          <w:iCs/>
          <w:color w:val="000000" w:themeColor="text1"/>
          <w:sz w:val="22"/>
          <w:szCs w:val="22"/>
        </w:rPr>
        <w:t xml:space="preserve">UC </w:t>
      </w:r>
      <w:r w:rsidR="00082405" w:rsidRPr="00D502AA">
        <w:rPr>
          <w:i/>
          <w:iCs/>
          <w:color w:val="000000" w:themeColor="text1"/>
          <w:sz w:val="22"/>
          <w:szCs w:val="22"/>
        </w:rPr>
        <w:t xml:space="preserve">as </w:t>
      </w:r>
      <w:r w:rsidR="00767AEF" w:rsidRPr="00D502AA">
        <w:rPr>
          <w:i/>
          <w:iCs/>
          <w:color w:val="000000" w:themeColor="text1"/>
          <w:sz w:val="22"/>
          <w:szCs w:val="22"/>
        </w:rPr>
        <w:t xml:space="preserve">a </w:t>
      </w:r>
      <w:r w:rsidR="00082405" w:rsidRPr="00D502AA">
        <w:rPr>
          <w:i/>
          <w:iCs/>
          <w:color w:val="000000" w:themeColor="text1"/>
          <w:sz w:val="22"/>
          <w:szCs w:val="22"/>
        </w:rPr>
        <w:t>servic</w:t>
      </w:r>
      <w:r w:rsidR="00CF7C2C" w:rsidRPr="00D502AA">
        <w:rPr>
          <w:i/>
          <w:iCs/>
          <w:color w:val="000000" w:themeColor="text1"/>
          <w:sz w:val="22"/>
          <w:szCs w:val="22"/>
        </w:rPr>
        <w:t>e’</w:t>
      </w:r>
      <w:r w:rsidR="00082405" w:rsidRPr="00D502AA">
        <w:rPr>
          <w:i/>
          <w:iCs/>
          <w:color w:val="000000" w:themeColor="text1"/>
          <w:sz w:val="22"/>
          <w:szCs w:val="22"/>
        </w:rPr>
        <w:t xml:space="preserve">, </w:t>
      </w:r>
      <w:r w:rsidR="00CF7C2C" w:rsidRPr="00D502AA">
        <w:rPr>
          <w:i/>
          <w:iCs/>
          <w:color w:val="000000" w:themeColor="text1"/>
          <w:sz w:val="22"/>
          <w:szCs w:val="22"/>
        </w:rPr>
        <w:t>‘</w:t>
      </w:r>
      <w:r w:rsidR="00077FD7" w:rsidRPr="00D502AA">
        <w:rPr>
          <w:i/>
          <w:iCs/>
          <w:color w:val="000000" w:themeColor="text1"/>
          <w:sz w:val="22"/>
          <w:szCs w:val="22"/>
        </w:rPr>
        <w:t xml:space="preserve">UC </w:t>
      </w:r>
      <w:r w:rsidR="00911818" w:rsidRPr="00D502AA">
        <w:rPr>
          <w:i/>
          <w:iCs/>
          <w:color w:val="000000" w:themeColor="text1"/>
          <w:sz w:val="22"/>
          <w:szCs w:val="22"/>
        </w:rPr>
        <w:t xml:space="preserve">as </w:t>
      </w:r>
      <w:r w:rsidR="00767AEF" w:rsidRPr="00D502AA">
        <w:rPr>
          <w:i/>
          <w:iCs/>
          <w:color w:val="000000" w:themeColor="text1"/>
          <w:sz w:val="22"/>
          <w:szCs w:val="22"/>
        </w:rPr>
        <w:t xml:space="preserve">an </w:t>
      </w:r>
      <w:r w:rsidR="009B0779" w:rsidRPr="00D502AA">
        <w:rPr>
          <w:i/>
          <w:iCs/>
          <w:color w:val="000000" w:themeColor="text1"/>
          <w:sz w:val="22"/>
          <w:szCs w:val="22"/>
        </w:rPr>
        <w:t>entitlement</w:t>
      </w:r>
      <w:r w:rsidR="00CF7C2C" w:rsidRPr="00D502AA">
        <w:rPr>
          <w:i/>
          <w:iCs/>
          <w:color w:val="000000" w:themeColor="text1"/>
          <w:sz w:val="22"/>
          <w:szCs w:val="22"/>
        </w:rPr>
        <w:t>’</w:t>
      </w:r>
      <w:r w:rsidR="00911818" w:rsidRPr="00D502AA">
        <w:rPr>
          <w:i/>
          <w:iCs/>
          <w:color w:val="000000" w:themeColor="text1"/>
          <w:sz w:val="22"/>
          <w:szCs w:val="22"/>
        </w:rPr>
        <w:t xml:space="preserve">, and </w:t>
      </w:r>
      <w:r w:rsidR="00CF7C2C" w:rsidRPr="00D502AA">
        <w:rPr>
          <w:i/>
          <w:iCs/>
          <w:color w:val="000000" w:themeColor="text1"/>
          <w:sz w:val="22"/>
          <w:szCs w:val="22"/>
        </w:rPr>
        <w:t>‘</w:t>
      </w:r>
      <w:r w:rsidR="00077FD7" w:rsidRPr="00D502AA">
        <w:rPr>
          <w:i/>
          <w:iCs/>
          <w:color w:val="000000" w:themeColor="text1"/>
          <w:sz w:val="22"/>
          <w:szCs w:val="22"/>
        </w:rPr>
        <w:t xml:space="preserve">UC </w:t>
      </w:r>
      <w:r w:rsidR="00911818" w:rsidRPr="00D502AA">
        <w:rPr>
          <w:i/>
          <w:iCs/>
          <w:color w:val="000000" w:themeColor="text1"/>
          <w:sz w:val="22"/>
          <w:szCs w:val="22"/>
        </w:rPr>
        <w:t xml:space="preserve">as </w:t>
      </w:r>
      <w:r w:rsidR="00606443" w:rsidRPr="00D502AA">
        <w:rPr>
          <w:i/>
          <w:iCs/>
          <w:color w:val="000000" w:themeColor="text1"/>
          <w:sz w:val="22"/>
          <w:szCs w:val="22"/>
        </w:rPr>
        <w:t>a relationship</w:t>
      </w:r>
      <w:r w:rsidR="00CF7C2C" w:rsidRPr="00D502AA">
        <w:rPr>
          <w:i/>
          <w:iCs/>
          <w:color w:val="000000" w:themeColor="text1"/>
          <w:sz w:val="22"/>
          <w:szCs w:val="22"/>
        </w:rPr>
        <w:t>’</w:t>
      </w:r>
      <w:r w:rsidR="00082405" w:rsidRPr="00D502AA">
        <w:rPr>
          <w:i/>
          <w:iCs/>
          <w:color w:val="000000" w:themeColor="text1"/>
          <w:sz w:val="22"/>
          <w:szCs w:val="22"/>
        </w:rPr>
        <w:t>.</w:t>
      </w:r>
      <w:r w:rsidR="001F5297" w:rsidRPr="00D502AA">
        <w:rPr>
          <w:i/>
          <w:iCs/>
          <w:color w:val="000000" w:themeColor="text1"/>
          <w:sz w:val="22"/>
          <w:szCs w:val="22"/>
        </w:rPr>
        <w:t xml:space="preserve"> </w:t>
      </w:r>
      <w:r w:rsidR="00A63F6E" w:rsidRPr="00D502AA">
        <w:rPr>
          <w:i/>
          <w:iCs/>
          <w:color w:val="000000" w:themeColor="text1"/>
          <w:sz w:val="22"/>
          <w:szCs w:val="22"/>
        </w:rPr>
        <w:t>Our purpose is not to claim one of these logics is superior per se but that</w:t>
      </w:r>
      <w:r w:rsidR="00B437BC" w:rsidRPr="00D502AA">
        <w:rPr>
          <w:i/>
          <w:iCs/>
          <w:color w:val="000000" w:themeColor="text1"/>
          <w:sz w:val="22"/>
          <w:szCs w:val="22"/>
        </w:rPr>
        <w:t xml:space="preserve"> </w:t>
      </w:r>
      <w:r w:rsidR="00CF7C2C" w:rsidRPr="00D502AA">
        <w:rPr>
          <w:i/>
          <w:iCs/>
          <w:color w:val="000000" w:themeColor="text1"/>
          <w:sz w:val="22"/>
          <w:szCs w:val="22"/>
        </w:rPr>
        <w:t xml:space="preserve">a </w:t>
      </w:r>
      <w:r w:rsidR="001F5297" w:rsidRPr="00D502AA">
        <w:rPr>
          <w:i/>
          <w:iCs/>
          <w:color w:val="000000" w:themeColor="text1"/>
          <w:sz w:val="22"/>
          <w:szCs w:val="22"/>
        </w:rPr>
        <w:t xml:space="preserve">greater appreciation of </w:t>
      </w:r>
      <w:r w:rsidR="00CF7C2C" w:rsidRPr="00D502AA">
        <w:rPr>
          <w:i/>
          <w:iCs/>
          <w:color w:val="000000" w:themeColor="text1"/>
          <w:sz w:val="22"/>
          <w:szCs w:val="22"/>
        </w:rPr>
        <w:t>them</w:t>
      </w:r>
      <w:r w:rsidR="00B437BC" w:rsidRPr="00D502AA">
        <w:rPr>
          <w:i/>
          <w:iCs/>
          <w:color w:val="000000" w:themeColor="text1"/>
          <w:sz w:val="22"/>
          <w:szCs w:val="22"/>
        </w:rPr>
        <w:t>,</w:t>
      </w:r>
      <w:r w:rsidR="001F5297" w:rsidRPr="00D502AA">
        <w:rPr>
          <w:i/>
          <w:iCs/>
          <w:color w:val="000000" w:themeColor="text1"/>
          <w:sz w:val="22"/>
          <w:szCs w:val="22"/>
        </w:rPr>
        <w:t xml:space="preserve"> the perspectives from which they derive, and where and how they differ, can shed valuable light on</w:t>
      </w:r>
      <w:r w:rsidR="00B437BC" w:rsidRPr="00D502AA">
        <w:rPr>
          <w:i/>
          <w:iCs/>
          <w:color w:val="000000" w:themeColor="text1"/>
          <w:sz w:val="22"/>
          <w:szCs w:val="22"/>
        </w:rPr>
        <w:t xml:space="preserve"> emerging</w:t>
      </w:r>
      <w:r w:rsidR="001F5297" w:rsidRPr="00D502AA">
        <w:rPr>
          <w:i/>
          <w:iCs/>
          <w:color w:val="000000" w:themeColor="text1"/>
          <w:sz w:val="22"/>
          <w:szCs w:val="22"/>
        </w:rPr>
        <w:t xml:space="preserve"> tensions within and disagreements about the digital welfare state</w:t>
      </w:r>
      <w:r w:rsidR="00185A54" w:rsidRPr="00D502AA">
        <w:rPr>
          <w:i/>
          <w:iCs/>
          <w:color w:val="000000" w:themeColor="text1"/>
          <w:sz w:val="22"/>
          <w:szCs w:val="22"/>
        </w:rPr>
        <w:t>.</w:t>
      </w:r>
    </w:p>
    <w:p w14:paraId="0390EB71" w14:textId="77777777" w:rsidR="00966C1E" w:rsidRDefault="00966C1E">
      <w:pPr>
        <w:rPr>
          <w:rFonts w:ascii="Book Antiqua" w:hAnsi="Book Antiqua"/>
          <w:b/>
          <w:bCs/>
          <w:smallCaps/>
          <w:color w:val="000000" w:themeColor="text1"/>
          <w:sz w:val="28"/>
          <w:szCs w:val="28"/>
        </w:rPr>
        <w:sectPr w:rsidR="00966C1E" w:rsidSect="00E83F92">
          <w:footerReference w:type="even" r:id="rId8"/>
          <w:footerReference w:type="default" r:id="rId9"/>
          <w:footnotePr>
            <w:numFmt w:val="chicago"/>
            <w:numRestart w:val="eachSect"/>
          </w:footnotePr>
          <w:type w:val="continuous"/>
          <w:pgSz w:w="11906" w:h="16838"/>
          <w:pgMar w:top="1440" w:right="1440" w:bottom="1440" w:left="1440" w:header="709" w:footer="709" w:gutter="0"/>
          <w:cols w:space="708"/>
          <w:docGrid w:linePitch="360"/>
        </w:sectPr>
      </w:pPr>
    </w:p>
    <w:p w14:paraId="23554C79" w14:textId="390BAB44" w:rsidR="00F636ED" w:rsidRPr="00037206" w:rsidRDefault="00E97EEC" w:rsidP="00E97EEC">
      <w:pPr>
        <w:spacing w:line="360" w:lineRule="auto"/>
        <w:jc w:val="center"/>
        <w:rPr>
          <w:color w:val="000000" w:themeColor="text1"/>
        </w:rPr>
      </w:pPr>
      <w:r w:rsidRPr="00037206">
        <w:rPr>
          <w:b/>
          <w:bCs/>
          <w:smallCaps/>
          <w:color w:val="000000" w:themeColor="text1"/>
        </w:rPr>
        <w:lastRenderedPageBreak/>
        <w:t>I. INTRODUCTION</w:t>
      </w:r>
    </w:p>
    <w:p w14:paraId="15E38E62" w14:textId="77777777" w:rsidR="008966BE" w:rsidRPr="006A339C" w:rsidRDefault="008966BE" w:rsidP="006A339C">
      <w:pPr>
        <w:spacing w:line="360" w:lineRule="auto"/>
        <w:jc w:val="both"/>
        <w:rPr>
          <w:color w:val="000000" w:themeColor="text1"/>
          <w:sz w:val="10"/>
          <w:szCs w:val="10"/>
        </w:rPr>
      </w:pPr>
    </w:p>
    <w:p w14:paraId="3AEBF4D8" w14:textId="01AA442A" w:rsidR="001F5297" w:rsidRPr="006A339C" w:rsidRDefault="001F5297" w:rsidP="006A339C">
      <w:pPr>
        <w:spacing w:line="360" w:lineRule="auto"/>
        <w:contextualSpacing/>
        <w:jc w:val="both"/>
      </w:pPr>
      <w:r w:rsidRPr="006A339C">
        <w:t>The welfare state, which came of age in the 20th Century, is evolving. It is now increasingly dependent on digitalised and data-driven forms of public administration, which are fundamentally altering the nature of welfare provision itself.</w:t>
      </w:r>
      <w:r w:rsidRPr="006A339C">
        <w:rPr>
          <w:rStyle w:val="FootnoteReference"/>
        </w:rPr>
        <w:footnoteReference w:id="4"/>
      </w:r>
      <w:r w:rsidRPr="006A339C">
        <w:t xml:space="preserve"> The rise of this </w:t>
      </w:r>
      <w:r w:rsidR="006A339C" w:rsidRPr="006A339C">
        <w:t>‘</w:t>
      </w:r>
      <w:r w:rsidRPr="006A339C">
        <w:t>digital welfare state</w:t>
      </w:r>
      <w:r w:rsidR="006A339C" w:rsidRPr="006A339C">
        <w:t>’</w:t>
      </w:r>
      <w:r w:rsidR="00B437BC" w:rsidRPr="006A339C">
        <w:rPr>
          <w:rStyle w:val="FootnoteReference"/>
        </w:rPr>
        <w:footnoteReference w:id="5"/>
      </w:r>
      <w:r w:rsidRPr="006A339C">
        <w:t xml:space="preserve"> has led to extensive </w:t>
      </w:r>
      <w:r w:rsidR="006A339C" w:rsidRPr="006A339C">
        <w:t>critique</w:t>
      </w:r>
      <w:r w:rsidR="008B5424">
        <w:t>;</w:t>
      </w:r>
      <w:r w:rsidRPr="006A339C">
        <w:rPr>
          <w:rStyle w:val="FootnoteReference"/>
        </w:rPr>
        <w:footnoteReference w:id="6"/>
      </w:r>
      <w:r w:rsidRPr="006A339C">
        <w:t xml:space="preserve"> yet there is no serious prospect that the digital revolution will be undone.</w:t>
      </w:r>
      <w:r w:rsidRPr="006A339C">
        <w:rPr>
          <w:rStyle w:val="FootnoteReference"/>
        </w:rPr>
        <w:footnoteReference w:id="7"/>
      </w:r>
      <w:r w:rsidRPr="006A339C">
        <w:t xml:space="preserve"> The genie is firmly out of the bottle, and it is, therefore, imperative that we seek to comprehend what this change—one of the most profound shifts seen in governments around the world in recent years—represents.</w:t>
      </w:r>
    </w:p>
    <w:p w14:paraId="33287547" w14:textId="77777777" w:rsidR="001F5297" w:rsidRPr="006A339C" w:rsidRDefault="001F5297" w:rsidP="006A339C">
      <w:pPr>
        <w:spacing w:line="360" w:lineRule="auto"/>
        <w:contextualSpacing/>
        <w:jc w:val="both"/>
      </w:pPr>
    </w:p>
    <w:p w14:paraId="1536F965" w14:textId="3AD4D0B3" w:rsidR="00DB2BDD" w:rsidRDefault="001F5297" w:rsidP="006A339C">
      <w:pPr>
        <w:spacing w:line="360" w:lineRule="auto"/>
        <w:ind w:firstLine="720"/>
        <w:contextualSpacing/>
        <w:jc w:val="both"/>
      </w:pPr>
      <w:r w:rsidRPr="006A339C">
        <w:t>Universal Credit (UC), developed and administered by the Department for Work and Pensions (DWP), is the UK’s flagship welfare programme.</w:t>
      </w:r>
      <w:r w:rsidR="003132D2">
        <w:t xml:space="preserve"> Introduced as part of</w:t>
      </w:r>
      <w:r w:rsidR="007C117A">
        <w:t xml:space="preserve"> wide-ranging changes</w:t>
      </w:r>
      <w:r w:rsidR="003132D2">
        <w:t xml:space="preserve"> to</w:t>
      </w:r>
      <w:r w:rsidR="007C117A">
        <w:t xml:space="preserve"> the UK social security system in the wake of the Welfare Reform Act 2012, UC sought to replace </w:t>
      </w:r>
      <w:r w:rsidR="007C117A" w:rsidRPr="007C117A">
        <w:t>six existing means-tested benefits and tax</w:t>
      </w:r>
      <w:r w:rsidR="007C117A">
        <w:t xml:space="preserve"> credits with a single benefit, paid monthly in arrears.</w:t>
      </w:r>
      <w:bookmarkStart w:id="0" w:name="_Ref147329106"/>
      <w:r w:rsidR="007C117A">
        <w:rPr>
          <w:rStyle w:val="FootnoteReference"/>
        </w:rPr>
        <w:footnoteReference w:id="8"/>
      </w:r>
      <w:bookmarkEnd w:id="0"/>
      <w:r w:rsidR="007C117A">
        <w:t xml:space="preserve"> As UC nears completion of its roll-out, it is now by far the most commonly claimed working-age social security benefit in the UK</w:t>
      </w:r>
      <w:r w:rsidR="004E6982">
        <w:t>, with over 6 million claimants</w:t>
      </w:r>
      <w:r w:rsidR="007C117A">
        <w:t xml:space="preserve"> </w:t>
      </w:r>
      <w:r w:rsidR="00B52CDB">
        <w:t xml:space="preserve">accounting for a </w:t>
      </w:r>
      <w:r w:rsidR="004E6982">
        <w:t>total spend of over £50 billion per year.</w:t>
      </w:r>
      <w:r w:rsidR="004E6982">
        <w:rPr>
          <w:rStyle w:val="FootnoteReference"/>
        </w:rPr>
        <w:footnoteReference w:id="9"/>
      </w:r>
      <w:r w:rsidR="004E6982">
        <w:t xml:space="preserve"> </w:t>
      </w:r>
      <w:r w:rsidRPr="006A339C">
        <w:t>I</w:t>
      </w:r>
      <w:r w:rsidR="00B52CDB">
        <w:t xml:space="preserve">n </w:t>
      </w:r>
      <w:r w:rsidR="00666D24">
        <w:t>addition to its</w:t>
      </w:r>
      <w:r w:rsidR="00E33198">
        <w:t xml:space="preserve"> stated</w:t>
      </w:r>
      <w:r w:rsidR="00666D24">
        <w:t xml:space="preserve"> aims to </w:t>
      </w:r>
      <w:r w:rsidR="006C6143">
        <w:t>‘</w:t>
      </w:r>
      <w:r w:rsidR="00666D24">
        <w:t>simplify</w:t>
      </w:r>
      <w:r w:rsidR="006C6143">
        <w:t>’</w:t>
      </w:r>
      <w:r w:rsidR="00666D24">
        <w:t xml:space="preserve"> the benefits system and </w:t>
      </w:r>
      <w:r w:rsidR="006C6143">
        <w:t>‘</w:t>
      </w:r>
      <w:r w:rsidR="00666D24">
        <w:t>make work pay</w:t>
      </w:r>
      <w:r w:rsidR="006C6143">
        <w:t>’</w:t>
      </w:r>
      <w:r w:rsidR="00666D24">
        <w:t xml:space="preserve"> – ambitions which have been interrogated across the academic literature</w:t>
      </w:r>
      <w:r w:rsidR="00666D24">
        <w:rPr>
          <w:rStyle w:val="FootnoteReference"/>
        </w:rPr>
        <w:footnoteReference w:id="10"/>
      </w:r>
      <w:r w:rsidR="00666D24">
        <w:t xml:space="preserve"> – </w:t>
      </w:r>
      <w:r w:rsidR="008B5424">
        <w:t xml:space="preserve">it </w:t>
      </w:r>
      <w:r w:rsidRPr="006A339C">
        <w:t xml:space="preserve">is also one of the most </w:t>
      </w:r>
      <w:r w:rsidR="00082405" w:rsidRPr="006A339C">
        <w:t>prominent and sophisticated</w:t>
      </w:r>
      <w:r w:rsidRPr="006A339C">
        <w:t xml:space="preserve"> digital </w:t>
      </w:r>
      <w:r w:rsidRPr="006A339C">
        <w:lastRenderedPageBreak/>
        <w:t>welfare systems anywhere in the world.</w:t>
      </w:r>
      <w:r w:rsidR="006A339C" w:rsidRPr="006A339C">
        <w:t xml:space="preserve"> </w:t>
      </w:r>
      <w:r w:rsidR="00DB2BDD">
        <w:t>Although UC retains offline elements, such as a route for telephone claims for those</w:t>
      </w:r>
      <w:r w:rsidR="00A75FE0">
        <w:t xml:space="preserve"> unable to apply</w:t>
      </w:r>
      <w:r w:rsidR="00DB2BDD">
        <w:t xml:space="preserve"> online, it is principally </w:t>
      </w:r>
      <w:r w:rsidR="008B5424">
        <w:t xml:space="preserve">a </w:t>
      </w:r>
      <w:r w:rsidR="00DB2BDD">
        <w:t xml:space="preserve">digital system: </w:t>
      </w:r>
      <w:r w:rsidR="008B5424">
        <w:t xml:space="preserve">the vast majority of </w:t>
      </w:r>
      <w:r w:rsidR="00DB2BDD">
        <w:t xml:space="preserve">claimants </w:t>
      </w:r>
      <w:r w:rsidR="00A940A1">
        <w:t xml:space="preserve">make their initial </w:t>
      </w:r>
      <w:r w:rsidR="00DB2BDD">
        <w:t>claim and manage their ongoing entitlement via an online interface, available on a phone app and/or in a web browser.</w:t>
      </w:r>
      <w:r w:rsidR="00741389">
        <w:t xml:space="preserve"> These digital elements</w:t>
      </w:r>
      <w:r w:rsidR="00DB2BDD">
        <w:t xml:space="preserve"> cover initial application processes, through to </w:t>
      </w:r>
      <w:r w:rsidR="00741389">
        <w:t xml:space="preserve">a </w:t>
      </w:r>
      <w:r w:rsidR="006C6143">
        <w:t>‘</w:t>
      </w:r>
      <w:r w:rsidR="00DB2BDD">
        <w:t>UC jour</w:t>
      </w:r>
      <w:r w:rsidR="006C6143">
        <w:t>nal’</w:t>
      </w:r>
      <w:r w:rsidR="00DB2BDD">
        <w:t xml:space="preserve"> chat interface for communicating </w:t>
      </w:r>
      <w:r w:rsidR="00741389">
        <w:t xml:space="preserve">and managing an ongoing claim </w:t>
      </w:r>
      <w:r w:rsidR="00DB2BDD">
        <w:t>with the DWP, and the automatic processing of earnings and payment data.</w:t>
      </w:r>
      <w:r w:rsidR="00DB2BDD">
        <w:rPr>
          <w:rStyle w:val="FootnoteReference"/>
        </w:rPr>
        <w:footnoteReference w:id="11"/>
      </w:r>
    </w:p>
    <w:p w14:paraId="0F424FB8" w14:textId="77777777" w:rsidR="00741389" w:rsidRDefault="00741389" w:rsidP="006A339C">
      <w:pPr>
        <w:spacing w:line="360" w:lineRule="auto"/>
        <w:ind w:firstLine="720"/>
        <w:contextualSpacing/>
        <w:jc w:val="both"/>
      </w:pPr>
    </w:p>
    <w:p w14:paraId="37B5219C" w14:textId="54712A4A" w:rsidR="00B437BC" w:rsidRPr="006A339C" w:rsidRDefault="001F5297" w:rsidP="006A339C">
      <w:pPr>
        <w:spacing w:line="360" w:lineRule="auto"/>
        <w:ind w:firstLine="720"/>
        <w:contextualSpacing/>
        <w:jc w:val="both"/>
      </w:pPr>
      <w:r w:rsidRPr="006A339C">
        <w:t>In this article, we adjust the lens and examine how three groups at the centre of this system—public officials, welfare rights advisors</w:t>
      </w:r>
      <w:r w:rsidR="00B555C5" w:rsidRPr="006A339C">
        <w:t xml:space="preserve"> and welfare claimants </w:t>
      </w:r>
      <w:r w:rsidRPr="006A339C">
        <w:t>—evaluate, from their varying perspectives, the processes of the digital welfare state with which they are now engaged.</w:t>
      </w:r>
      <w:r w:rsidR="00F47F01" w:rsidRPr="006A339C">
        <w:t xml:space="preserve"> Exploring the perspectives of public officials and claimants provides an end-to-end view of both those who have designed the UC system and those that use it day-to-day. Including the perspectives of advisors is important </w:t>
      </w:r>
      <w:r w:rsidR="00F04C90" w:rsidRPr="006A339C">
        <w:t xml:space="preserve">as </w:t>
      </w:r>
      <w:r w:rsidR="00F47F01" w:rsidRPr="006A339C">
        <w:t xml:space="preserve">welfare benefits advisors have become increasingly important actors in </w:t>
      </w:r>
      <w:r w:rsidR="006A339C" w:rsidRPr="006A339C">
        <w:t>‘</w:t>
      </w:r>
      <w:r w:rsidR="00F47F01" w:rsidRPr="006A339C">
        <w:t>mediating the claims-making process</w:t>
      </w:r>
      <w:r w:rsidR="006A339C" w:rsidRPr="006A339C">
        <w:t>’</w:t>
      </w:r>
      <w:r w:rsidR="008B5424">
        <w:t>,</w:t>
      </w:r>
      <w:r w:rsidR="00F04C90" w:rsidRPr="006A339C">
        <w:t xml:space="preserve"> and</w:t>
      </w:r>
      <w:r w:rsidR="00F47F01" w:rsidRPr="006A339C">
        <w:t xml:space="preserve"> the sector plays a central role in the broader welfare eco-system.</w:t>
      </w:r>
      <w:r w:rsidR="00CD3275" w:rsidRPr="006A339C">
        <w:rPr>
          <w:rStyle w:val="FootnoteReference"/>
        </w:rPr>
        <w:footnoteReference w:id="12"/>
      </w:r>
    </w:p>
    <w:p w14:paraId="60177B66" w14:textId="77777777" w:rsidR="00B437BC" w:rsidRPr="006A339C" w:rsidRDefault="00B437BC" w:rsidP="006A339C">
      <w:pPr>
        <w:spacing w:line="360" w:lineRule="auto"/>
        <w:ind w:firstLine="720"/>
        <w:contextualSpacing/>
        <w:jc w:val="both"/>
      </w:pPr>
    </w:p>
    <w:p w14:paraId="1B618B42" w14:textId="5831C010" w:rsidR="00B437BC" w:rsidRPr="006A339C" w:rsidRDefault="00B437BC" w:rsidP="006A339C">
      <w:pPr>
        <w:spacing w:line="360" w:lineRule="auto"/>
        <w:ind w:firstLine="720"/>
        <w:contextualSpacing/>
        <w:jc w:val="both"/>
      </w:pPr>
      <w:r w:rsidRPr="006A339C">
        <w:t xml:space="preserve">Our central question is a simple one, but it is also at the heart of understanding administrative justice in the UK’s emerging digital welfare state: what </w:t>
      </w:r>
      <w:r w:rsidR="009B0779" w:rsidRPr="006A339C">
        <w:t xml:space="preserve">process </w:t>
      </w:r>
      <w:r w:rsidRPr="006A339C">
        <w:t xml:space="preserve">qualities do each of these three groups identify as important for the </w:t>
      </w:r>
      <w:r w:rsidR="009B0779" w:rsidRPr="006A339C">
        <w:t xml:space="preserve">acceptability of the digitised </w:t>
      </w:r>
      <w:r w:rsidRPr="006A339C">
        <w:t xml:space="preserve">UC </w:t>
      </w:r>
      <w:r w:rsidR="009B0779" w:rsidRPr="006A339C">
        <w:t>system</w:t>
      </w:r>
      <w:r w:rsidRPr="006A339C">
        <w:t>?</w:t>
      </w:r>
      <w:r w:rsidRPr="006A339C">
        <w:rPr>
          <w:rStyle w:val="FootnoteReference"/>
        </w:rPr>
        <w:footnoteReference w:id="13"/>
      </w:r>
      <w:r w:rsidRPr="006A339C">
        <w:t xml:space="preserve"> It is firmly established that views on what constitutes an acceptable administrative process </w:t>
      </w:r>
      <w:r w:rsidR="001A00E5" w:rsidRPr="006A339C">
        <w:t>involve</w:t>
      </w:r>
      <w:r w:rsidRPr="006A339C">
        <w:t xml:space="preserve"> a range of </w:t>
      </w:r>
      <w:r w:rsidR="00082405" w:rsidRPr="006A339C">
        <w:t>factors</w:t>
      </w:r>
      <w:r w:rsidRPr="006A339C">
        <w:t>, which can also conflict and compete with each other</w:t>
      </w:r>
      <w:r w:rsidR="00C5033E">
        <w:t>.</w:t>
      </w:r>
      <w:r w:rsidRPr="006A339C">
        <w:rPr>
          <w:rStyle w:val="FootnoteReference"/>
        </w:rPr>
        <w:footnoteReference w:id="14"/>
      </w:r>
      <w:r w:rsidRPr="006A339C">
        <w:t xml:space="preserve"> </w:t>
      </w:r>
      <w:r w:rsidR="00C5033E">
        <w:t>O</w:t>
      </w:r>
      <w:r w:rsidRPr="006A339C">
        <w:t>ur aim is to explore the various process logics that animate how these different groups assess the digital welfare state</w:t>
      </w:r>
      <w:r w:rsidR="00C5033E">
        <w:t xml:space="preserve"> and explore the ways in which they might differ from each other</w:t>
      </w:r>
      <w:r w:rsidRPr="006A339C">
        <w:t xml:space="preserve">. Our </w:t>
      </w:r>
      <w:r w:rsidRPr="006A339C">
        <w:lastRenderedPageBreak/>
        <w:t xml:space="preserve">contention is that </w:t>
      </w:r>
      <w:r w:rsidR="001A00E5" w:rsidRPr="006A339C">
        <w:t xml:space="preserve">providing an account of </w:t>
      </w:r>
      <w:r w:rsidRPr="006A339C">
        <w:t xml:space="preserve">these </w:t>
      </w:r>
      <w:r w:rsidR="00082405" w:rsidRPr="006A339C">
        <w:t>logics</w:t>
      </w:r>
      <w:r w:rsidRPr="006A339C">
        <w:t xml:space="preserve"> can illuminate important but often obscured underlying forms of reasoning, including points of tension</w:t>
      </w:r>
      <w:r w:rsidR="001A00E5" w:rsidRPr="006A339C">
        <w:t>.</w:t>
      </w:r>
    </w:p>
    <w:p w14:paraId="09927C89" w14:textId="77777777" w:rsidR="00B437BC" w:rsidRPr="006A339C" w:rsidRDefault="00B437BC" w:rsidP="006A339C">
      <w:pPr>
        <w:spacing w:line="360" w:lineRule="auto"/>
        <w:ind w:firstLine="720"/>
        <w:contextualSpacing/>
        <w:jc w:val="both"/>
      </w:pPr>
    </w:p>
    <w:p w14:paraId="5546581F" w14:textId="730BFF19" w:rsidR="009B0779" w:rsidRPr="006A339C" w:rsidRDefault="00082405" w:rsidP="006A339C">
      <w:pPr>
        <w:spacing w:line="360" w:lineRule="auto"/>
        <w:ind w:firstLine="720"/>
        <w:contextualSpacing/>
        <w:jc w:val="both"/>
      </w:pPr>
      <w:r w:rsidRPr="006A339C">
        <w:t>By examining the digital welfare state from this perspective, we</w:t>
      </w:r>
      <w:r w:rsidR="00B437BC" w:rsidRPr="006A339C">
        <w:t xml:space="preserve"> </w:t>
      </w:r>
      <w:r w:rsidRPr="006A339C">
        <w:t>observe that</w:t>
      </w:r>
      <w:r w:rsidR="00B437BC" w:rsidRPr="006A339C">
        <w:t xml:space="preserve">, while </w:t>
      </w:r>
      <w:r w:rsidR="00ED2902" w:rsidRPr="006A339C">
        <w:t xml:space="preserve">certain process qualities </w:t>
      </w:r>
      <w:r w:rsidR="00DA5B58">
        <w:t>seem to be</w:t>
      </w:r>
      <w:r w:rsidR="00DA5B58" w:rsidRPr="006A339C">
        <w:t xml:space="preserve"> </w:t>
      </w:r>
      <w:r w:rsidR="00870BDD" w:rsidRPr="006A339C">
        <w:t xml:space="preserve">regarded as </w:t>
      </w:r>
      <w:r w:rsidR="00ED2902" w:rsidRPr="006A339C">
        <w:t xml:space="preserve">important </w:t>
      </w:r>
      <w:r w:rsidR="00870BDD" w:rsidRPr="006A339C">
        <w:t>by</w:t>
      </w:r>
      <w:r w:rsidR="00ED2902" w:rsidRPr="006A339C">
        <w:t xml:space="preserve"> all three constituencies</w:t>
      </w:r>
      <w:r w:rsidR="00B437BC" w:rsidRPr="006A339C">
        <w:t xml:space="preserve">, </w:t>
      </w:r>
      <w:r w:rsidR="00ED2902" w:rsidRPr="006A339C">
        <w:t xml:space="preserve">the function such qualities fulfil may differ, being instrumental towards </w:t>
      </w:r>
      <w:r w:rsidR="00870BDD" w:rsidRPr="006A339C">
        <w:t>distinct</w:t>
      </w:r>
      <w:r w:rsidR="00ED2902" w:rsidRPr="006A339C">
        <w:t xml:space="preserve"> foundational </w:t>
      </w:r>
      <w:r w:rsidR="00B437BC" w:rsidRPr="006A339C">
        <w:t>logic</w:t>
      </w:r>
      <w:r w:rsidR="00ED2902" w:rsidRPr="006A339C">
        <w:t>s</w:t>
      </w:r>
      <w:r w:rsidR="00B437BC" w:rsidRPr="006A339C">
        <w:t xml:space="preserve">. </w:t>
      </w:r>
      <w:r w:rsidR="00DA5B58">
        <w:t>Our qualitative interview data suggest that p</w:t>
      </w:r>
      <w:r w:rsidR="009B0779" w:rsidRPr="006A339C">
        <w:t xml:space="preserve">ublic officials </w:t>
      </w:r>
      <w:r w:rsidR="00870BDD" w:rsidRPr="006A339C">
        <w:t xml:space="preserve">fundamentally </w:t>
      </w:r>
      <w:r w:rsidR="00ED2902" w:rsidRPr="006A339C">
        <w:t>view</w:t>
      </w:r>
      <w:r w:rsidR="009B0779" w:rsidRPr="006A339C">
        <w:t xml:space="preserve"> UC in terms of the provision of a personalised welfare service for </w:t>
      </w:r>
      <w:r w:rsidR="006A339C" w:rsidRPr="006A339C">
        <w:t>claimants and</w:t>
      </w:r>
      <w:r w:rsidR="00870BDD" w:rsidRPr="006A339C">
        <w:t xml:space="preserve"> assess process qualities according</w:t>
      </w:r>
      <w:r w:rsidR="00ED2902" w:rsidRPr="006A339C">
        <w:t xml:space="preserve"> to </w:t>
      </w:r>
      <w:r w:rsidR="00870BDD" w:rsidRPr="006A339C">
        <w:t xml:space="preserve">what </w:t>
      </w:r>
      <w:r w:rsidR="00DD4212" w:rsidRPr="006A339C">
        <w:t>will enhance the</w:t>
      </w:r>
      <w:r w:rsidR="00ED2902" w:rsidRPr="006A339C">
        <w:t xml:space="preserve"> usab</w:t>
      </w:r>
      <w:r w:rsidR="00DD4212" w:rsidRPr="006A339C">
        <w:t>ility, accuracy</w:t>
      </w:r>
      <w:r w:rsidR="00ED2902" w:rsidRPr="006A339C">
        <w:t xml:space="preserve"> and efficien</w:t>
      </w:r>
      <w:r w:rsidR="00DD4212" w:rsidRPr="006A339C">
        <w:t>cy of the</w:t>
      </w:r>
      <w:r w:rsidR="00ED2902" w:rsidRPr="006A339C">
        <w:t xml:space="preserve"> system</w:t>
      </w:r>
      <w:r w:rsidR="009B0779" w:rsidRPr="006A339C">
        <w:t xml:space="preserve">. </w:t>
      </w:r>
      <w:r w:rsidR="00DA5B58">
        <w:t>Interviews with</w:t>
      </w:r>
      <w:r w:rsidR="00DA5B58" w:rsidRPr="006A339C">
        <w:t xml:space="preserve"> </w:t>
      </w:r>
      <w:r w:rsidR="00ED2902" w:rsidRPr="006A339C">
        <w:t>welfare rights advisors</w:t>
      </w:r>
      <w:r w:rsidR="00DA5B58">
        <w:t xml:space="preserve"> suggest that</w:t>
      </w:r>
      <w:r w:rsidR="00ED2902" w:rsidRPr="006A339C">
        <w:t xml:space="preserve"> the</w:t>
      </w:r>
      <w:r w:rsidR="00DA5B58">
        <w:t>ir</w:t>
      </w:r>
      <w:r w:rsidR="00ED2902" w:rsidRPr="006A339C">
        <w:t xml:space="preserve"> assessment of the UC system is driven by a fundamental concern that all claimants receive the benefits to which they are legally entitled.</w:t>
      </w:r>
      <w:r w:rsidR="00870BDD" w:rsidRPr="006A339C">
        <w:t xml:space="preserve"> Process qualities thus serve a basic goal of the legality of decisions produced by the system.</w:t>
      </w:r>
      <w:r w:rsidR="00B555C5" w:rsidRPr="006A339C">
        <w:t xml:space="preserve"> </w:t>
      </w:r>
      <w:r w:rsidR="00DA5B58">
        <w:t>Our c</w:t>
      </w:r>
      <w:r w:rsidR="00B555C5" w:rsidRPr="006A339C">
        <w:t>laimant</w:t>
      </w:r>
      <w:r w:rsidR="00DA5B58">
        <w:t xml:space="preserve"> interviews suggest</w:t>
      </w:r>
      <w:r w:rsidR="00B555C5" w:rsidRPr="006A339C">
        <w:t xml:space="preserve">, however, </w:t>
      </w:r>
      <w:r w:rsidR="00DA5B58">
        <w:t xml:space="preserve">that they may </w:t>
      </w:r>
      <w:r w:rsidR="00B555C5" w:rsidRPr="006A339C">
        <w:t>frame the UC system in terms of a relationship they have with the state, prioritis</w:t>
      </w:r>
      <w:r w:rsidR="00DA5B58">
        <w:t>ing</w:t>
      </w:r>
      <w:r w:rsidR="00B555C5" w:rsidRPr="006A339C">
        <w:t xml:space="preserve"> the importance of processes that will make interactions feel respectful and dignifying.</w:t>
      </w:r>
    </w:p>
    <w:p w14:paraId="6745DB0F" w14:textId="77777777" w:rsidR="00082405" w:rsidRPr="006A339C" w:rsidRDefault="00082405" w:rsidP="006A339C">
      <w:pPr>
        <w:spacing w:line="360" w:lineRule="auto"/>
        <w:contextualSpacing/>
        <w:jc w:val="both"/>
      </w:pPr>
    </w:p>
    <w:p w14:paraId="7FA63597" w14:textId="787F0293" w:rsidR="006A339C" w:rsidRPr="006A339C" w:rsidRDefault="00D511C2" w:rsidP="006A339C">
      <w:pPr>
        <w:spacing w:line="360" w:lineRule="auto"/>
        <w:ind w:firstLine="720"/>
        <w:contextualSpacing/>
        <w:jc w:val="both"/>
      </w:pPr>
      <w:r w:rsidRPr="006A339C">
        <w:t xml:space="preserve">This article is </w:t>
      </w:r>
      <w:r w:rsidR="001A00E5" w:rsidRPr="006A339C">
        <w:t>structured into</w:t>
      </w:r>
      <w:r w:rsidRPr="006A339C">
        <w:t xml:space="preserve"> </w:t>
      </w:r>
      <w:r w:rsidR="00B555C5" w:rsidRPr="006A339C">
        <w:t xml:space="preserve">three </w:t>
      </w:r>
      <w:r w:rsidRPr="006A339C">
        <w:t xml:space="preserve">main parts. First, we introduce our dataset and the method used to collect and analyse it. Second, we analyse </w:t>
      </w:r>
      <w:r w:rsidR="00B555C5" w:rsidRPr="006A339C">
        <w:t xml:space="preserve">three sets of </w:t>
      </w:r>
      <w:r w:rsidRPr="006A339C">
        <w:t>process logic</w:t>
      </w:r>
      <w:r w:rsidR="00B555C5" w:rsidRPr="006A339C">
        <w:t>s</w:t>
      </w:r>
      <w:r w:rsidRPr="006A339C">
        <w:t xml:space="preserve"> </w:t>
      </w:r>
      <w:r w:rsidR="00B555C5" w:rsidRPr="006A339C">
        <w:t xml:space="preserve">in turn: </w:t>
      </w:r>
      <w:r w:rsidRPr="006A339C">
        <w:t>DWP officials involved in designing and developing UC</w:t>
      </w:r>
      <w:r w:rsidR="00B555C5" w:rsidRPr="006A339C">
        <w:t>, welfare benefits advisors, and UC claimants</w:t>
      </w:r>
      <w:r w:rsidRPr="006A339C">
        <w:t xml:space="preserve">. </w:t>
      </w:r>
      <w:r w:rsidR="008569CF">
        <w:t>We then consider the implications of our empirical data before concluding briefly</w:t>
      </w:r>
      <w:r w:rsidRPr="006A339C">
        <w:t>.</w:t>
      </w:r>
    </w:p>
    <w:p w14:paraId="377F0E1D" w14:textId="77777777" w:rsidR="006A339C" w:rsidRDefault="006A339C" w:rsidP="00710FB2">
      <w:pPr>
        <w:spacing w:line="276" w:lineRule="auto"/>
        <w:rPr>
          <w:rFonts w:ascii="Book Antiqua" w:hAnsi="Book Antiqua"/>
          <w:b/>
          <w:bCs/>
          <w:smallCaps/>
          <w:color w:val="000000" w:themeColor="text1"/>
          <w:sz w:val="28"/>
          <w:szCs w:val="28"/>
        </w:rPr>
      </w:pPr>
    </w:p>
    <w:p w14:paraId="660883B5" w14:textId="42B6AFB8" w:rsidR="00CF4BCB" w:rsidRPr="00037206" w:rsidRDefault="006C6143" w:rsidP="006C6143">
      <w:pPr>
        <w:spacing w:line="360" w:lineRule="auto"/>
        <w:jc w:val="center"/>
        <w:rPr>
          <w:color w:val="000000" w:themeColor="text1"/>
        </w:rPr>
      </w:pPr>
      <w:r w:rsidRPr="00037206">
        <w:rPr>
          <w:b/>
          <w:bCs/>
          <w:smallCaps/>
          <w:color w:val="000000" w:themeColor="text1"/>
        </w:rPr>
        <w:t>II. METHOD</w:t>
      </w:r>
    </w:p>
    <w:p w14:paraId="6FB1B5C1" w14:textId="77777777" w:rsidR="00CF4BCB" w:rsidRPr="006A339C" w:rsidRDefault="00CF4BCB" w:rsidP="006A339C">
      <w:pPr>
        <w:spacing w:line="360" w:lineRule="auto"/>
        <w:jc w:val="both"/>
        <w:rPr>
          <w:color w:val="000000" w:themeColor="text1"/>
          <w:sz w:val="10"/>
          <w:szCs w:val="10"/>
        </w:rPr>
      </w:pPr>
    </w:p>
    <w:p w14:paraId="23613D75" w14:textId="0B5E2F0E" w:rsidR="00CF4BCB" w:rsidRPr="006A339C" w:rsidRDefault="00CF4BCB" w:rsidP="006A339C">
      <w:pPr>
        <w:spacing w:line="360" w:lineRule="auto"/>
        <w:jc w:val="both"/>
      </w:pPr>
      <w:r w:rsidRPr="006A339C">
        <w:t>To explore the reasoning of the three groups</w:t>
      </w:r>
      <w:r w:rsidR="001A00E5" w:rsidRPr="006A339C">
        <w:t xml:space="preserve"> with which we are concerned</w:t>
      </w:r>
      <w:r w:rsidRPr="006A339C">
        <w:t xml:space="preserve">, we conducted a total of </w:t>
      </w:r>
      <w:r w:rsidR="005B272B" w:rsidRPr="006A339C">
        <w:t>fifty</w:t>
      </w:r>
      <w:r w:rsidRPr="006A339C">
        <w:t xml:space="preserve"> interviews, which </w:t>
      </w:r>
      <w:r w:rsidR="005B272B" w:rsidRPr="006A339C">
        <w:t>provide</w:t>
      </w:r>
      <w:r w:rsidR="006A339C" w:rsidRPr="006A339C">
        <w:t>d us with</w:t>
      </w:r>
      <w:r w:rsidRPr="006A339C">
        <w:t xml:space="preserve"> an extensive qualitative dataset to analyse for process logics of these groups, both explicit and implied.</w:t>
      </w:r>
      <w:r w:rsidRPr="006A339C">
        <w:rPr>
          <w:rStyle w:val="FootnoteReference"/>
        </w:rPr>
        <w:footnoteReference w:id="15"/>
      </w:r>
      <w:r w:rsidRPr="006A339C">
        <w:t xml:space="preserve"> </w:t>
      </w:r>
    </w:p>
    <w:p w14:paraId="647F7C95" w14:textId="77777777" w:rsidR="00CF4BCB" w:rsidRPr="006A339C" w:rsidRDefault="00CF4BCB" w:rsidP="006A339C">
      <w:pPr>
        <w:spacing w:line="360" w:lineRule="auto"/>
        <w:jc w:val="both"/>
      </w:pPr>
    </w:p>
    <w:p w14:paraId="09DB3A1F" w14:textId="0299AF0C" w:rsidR="00CF4BCB" w:rsidRPr="006A339C" w:rsidRDefault="00CF4BCB" w:rsidP="006A339C">
      <w:pPr>
        <w:spacing w:line="360" w:lineRule="auto"/>
        <w:ind w:firstLine="720"/>
        <w:jc w:val="both"/>
      </w:pPr>
      <w:r w:rsidRPr="006A339C">
        <w:t xml:space="preserve">First, we conducted semi-structured key informant interviews with twelve senior public officials in the period from January 2023 to April 2023. These officials occupied senior roles within the UC team at the DWP, and their roles covered a spectrum of functions, including policymaking, operations leadership, and research and analytics. Participants were recruited via internal calls for participants within the DWP, as well as </w:t>
      </w:r>
      <w:r w:rsidR="006A339C" w:rsidRPr="006A339C">
        <w:t>‘</w:t>
      </w:r>
      <w:r w:rsidRPr="006A339C">
        <w:t>snowball</w:t>
      </w:r>
      <w:r w:rsidR="006A339C" w:rsidRPr="006A339C">
        <w:t>’</w:t>
      </w:r>
      <w:r w:rsidRPr="006A339C">
        <w:t xml:space="preserve"> sampling. They were </w:t>
      </w:r>
      <w:r w:rsidRPr="006A339C">
        <w:lastRenderedPageBreak/>
        <w:t>asked to explain examples, from their own work and experience, of process features within UC that they deemed to have had positive effects on the claimant experience, and process features they viewed as creating more negative or problematic experiences for claimants.</w:t>
      </w:r>
    </w:p>
    <w:p w14:paraId="3ABFBDDA" w14:textId="77777777" w:rsidR="00CF4BCB" w:rsidRPr="006A339C" w:rsidRDefault="00CF4BCB" w:rsidP="006A339C">
      <w:pPr>
        <w:spacing w:line="360" w:lineRule="auto"/>
        <w:jc w:val="both"/>
      </w:pPr>
    </w:p>
    <w:p w14:paraId="68E318E7" w14:textId="50C80618" w:rsidR="00CF4BCB" w:rsidRPr="006A339C" w:rsidRDefault="00B555C5" w:rsidP="006A339C">
      <w:pPr>
        <w:spacing w:line="360" w:lineRule="auto"/>
        <w:ind w:firstLine="720"/>
        <w:jc w:val="both"/>
      </w:pPr>
      <w:r w:rsidRPr="006A339C">
        <w:t>Second</w:t>
      </w:r>
      <w:r w:rsidR="00CF4BCB" w:rsidRPr="006A339C">
        <w:t xml:space="preserve">, </w:t>
      </w:r>
      <w:r w:rsidR="004715E5" w:rsidRPr="006A339C">
        <w:t>during</w:t>
      </w:r>
      <w:r w:rsidR="00495908" w:rsidRPr="006A339C">
        <w:t xml:space="preserve"> March and </w:t>
      </w:r>
      <w:r w:rsidR="004715E5" w:rsidRPr="006A339C">
        <w:t>April</w:t>
      </w:r>
      <w:r w:rsidR="00495908" w:rsidRPr="006A339C">
        <w:t xml:space="preserve"> </w:t>
      </w:r>
      <w:r w:rsidRPr="006A339C">
        <w:t xml:space="preserve">2023 </w:t>
      </w:r>
      <w:r w:rsidR="00CF4BCB" w:rsidRPr="006A339C">
        <w:t xml:space="preserve">we </w:t>
      </w:r>
      <w:r w:rsidR="00450F86" w:rsidRPr="006A339C">
        <w:t xml:space="preserve">conducted semi-structured </w:t>
      </w:r>
      <w:r w:rsidR="00CF4BCB" w:rsidRPr="006A339C">
        <w:t>interview</w:t>
      </w:r>
      <w:r w:rsidR="00450F86" w:rsidRPr="006A339C">
        <w:t>s with</w:t>
      </w:r>
      <w:r w:rsidR="00CF4BCB" w:rsidRPr="006A339C">
        <w:t xml:space="preserve"> </w:t>
      </w:r>
      <w:r w:rsidR="005B272B" w:rsidRPr="006A339C">
        <w:t>nineteen</w:t>
      </w:r>
      <w:r w:rsidR="00CF4BCB" w:rsidRPr="006A339C">
        <w:t xml:space="preserve"> welfare rights advisors</w:t>
      </w:r>
      <w:r w:rsidR="001A00E5" w:rsidRPr="006A339C">
        <w:t xml:space="preserve"> who </w:t>
      </w:r>
      <w:r w:rsidR="00495908" w:rsidRPr="006A339C">
        <w:t xml:space="preserve">were experienced in </w:t>
      </w:r>
      <w:r w:rsidR="001A00E5" w:rsidRPr="006A339C">
        <w:t>assist</w:t>
      </w:r>
      <w:r w:rsidR="00495908" w:rsidRPr="006A339C">
        <w:t>ing</w:t>
      </w:r>
      <w:r w:rsidR="001A00E5" w:rsidRPr="006A339C">
        <w:t xml:space="preserve"> UC </w:t>
      </w:r>
      <w:r w:rsidR="00495908" w:rsidRPr="006A339C">
        <w:t>claimants, both in supporting initial claims</w:t>
      </w:r>
      <w:r w:rsidR="001A00E5" w:rsidRPr="006A339C">
        <w:t xml:space="preserve"> and </w:t>
      </w:r>
      <w:r w:rsidR="00495908" w:rsidRPr="006A339C">
        <w:t>resolving problems</w:t>
      </w:r>
      <w:r w:rsidR="001A00E5" w:rsidRPr="006A339C">
        <w:t xml:space="preserve"> arising out of </w:t>
      </w:r>
      <w:r w:rsidR="00495908" w:rsidRPr="006A339C">
        <w:t>broader UC</w:t>
      </w:r>
      <w:r w:rsidR="001A00E5" w:rsidRPr="006A339C">
        <w:t xml:space="preserve"> process</w:t>
      </w:r>
      <w:r w:rsidR="00495908" w:rsidRPr="006A339C">
        <w:t>es</w:t>
      </w:r>
      <w:r w:rsidR="00CF4BCB" w:rsidRPr="006A339C">
        <w:t xml:space="preserve">. </w:t>
      </w:r>
      <w:r w:rsidR="004715E5" w:rsidRPr="006A339C">
        <w:t xml:space="preserve">Invitations to participate in the project were issued through </w:t>
      </w:r>
      <w:proofErr w:type="spellStart"/>
      <w:r w:rsidR="004715E5" w:rsidRPr="006A339C">
        <w:t>RightsNet</w:t>
      </w:r>
      <w:proofErr w:type="spellEnd"/>
      <w:r w:rsidR="004715E5" w:rsidRPr="006A339C">
        <w:t>, an online forum for welfare rights advisors. There was an almost even gender split</w:t>
      </w:r>
      <w:r w:rsidR="005B272B" w:rsidRPr="006A339C">
        <w:t xml:space="preserve"> within the interview sample (ten women and</w:t>
      </w:r>
      <w:r w:rsidR="004715E5" w:rsidRPr="006A339C">
        <w:t xml:space="preserve"> </w:t>
      </w:r>
      <w:r w:rsidR="005B272B" w:rsidRPr="006A339C">
        <w:t>nine</w:t>
      </w:r>
      <w:r w:rsidR="004715E5" w:rsidRPr="006A339C">
        <w:t xml:space="preserve"> men) and interviewees were widely geographically spread throughout Great Britain.</w:t>
      </w:r>
      <w:r w:rsidR="00675072" w:rsidRPr="006A339C">
        <w:t xml:space="preserve"> Participants were offered a £30 voucher as an incentive.</w:t>
      </w:r>
      <w:r w:rsidR="004715E5" w:rsidRPr="006A339C">
        <w:t xml:space="preserve"> The length of experience in w</w:t>
      </w:r>
      <w:r w:rsidR="005B272B" w:rsidRPr="006A339C">
        <w:t>elfare advice work ranged from one</w:t>
      </w:r>
      <w:r w:rsidR="004715E5" w:rsidRPr="006A339C">
        <w:t xml:space="preserve"> to </w:t>
      </w:r>
      <w:r w:rsidR="005B272B" w:rsidRPr="006A339C">
        <w:t>twenty-eight</w:t>
      </w:r>
      <w:r w:rsidR="004715E5" w:rsidRPr="006A339C">
        <w:t xml:space="preserve"> years, with the average length of experience being </w:t>
      </w:r>
      <w:r w:rsidR="005B272B" w:rsidRPr="006A339C">
        <w:t>twelve</w:t>
      </w:r>
      <w:r w:rsidR="00450F86" w:rsidRPr="006A339C">
        <w:t xml:space="preserve"> years. The interviews explored the nature of UC problems </w:t>
      </w:r>
      <w:r w:rsidR="00783F2B" w:rsidRPr="006A339C">
        <w:t>advisors</w:t>
      </w:r>
      <w:r w:rsidR="00450F86" w:rsidRPr="006A339C">
        <w:t xml:space="preserve"> encountered in advice work, and their perceptions of UC procedural qualities that </w:t>
      </w:r>
      <w:r w:rsidR="00783F2B" w:rsidRPr="006A339C">
        <w:t>they considered</w:t>
      </w:r>
      <w:r w:rsidR="00450F86" w:rsidRPr="006A339C">
        <w:t xml:space="preserve"> important for </w:t>
      </w:r>
      <w:r w:rsidR="00783F2B" w:rsidRPr="006A339C">
        <w:t>the</w:t>
      </w:r>
      <w:r w:rsidR="00450F86" w:rsidRPr="006A339C">
        <w:t xml:space="preserve"> acceptability</w:t>
      </w:r>
      <w:r w:rsidR="00783F2B" w:rsidRPr="006A339C">
        <w:t xml:space="preserve"> of the UC system</w:t>
      </w:r>
      <w:r w:rsidR="00450F86" w:rsidRPr="006A339C">
        <w:t>.</w:t>
      </w:r>
    </w:p>
    <w:p w14:paraId="1C8C869B" w14:textId="186008D2" w:rsidR="00B555C5" w:rsidRPr="006A339C" w:rsidRDefault="00B555C5" w:rsidP="006A339C">
      <w:pPr>
        <w:spacing w:line="360" w:lineRule="auto"/>
        <w:ind w:firstLine="720"/>
        <w:jc w:val="both"/>
      </w:pPr>
    </w:p>
    <w:p w14:paraId="330BD418" w14:textId="0AFBBFAC" w:rsidR="00B555C5" w:rsidRPr="006A339C" w:rsidRDefault="00B555C5" w:rsidP="006A339C">
      <w:pPr>
        <w:spacing w:line="360" w:lineRule="auto"/>
        <w:ind w:firstLine="720"/>
        <w:jc w:val="both"/>
      </w:pPr>
      <w:r w:rsidRPr="006A339C">
        <w:t xml:space="preserve">Finally, we conducted </w:t>
      </w:r>
      <w:r w:rsidR="005B272B" w:rsidRPr="006A339C">
        <w:t>nineteen</w:t>
      </w:r>
      <w:r w:rsidRPr="006A339C">
        <w:t xml:space="preserve"> semi-structured interviews with current UC claimants.</w:t>
      </w:r>
      <w:r w:rsidR="005B272B" w:rsidRPr="006A339C">
        <w:t xml:space="preserve"> </w:t>
      </w:r>
      <w:r w:rsidR="00675072" w:rsidRPr="006A339C">
        <w:t xml:space="preserve">In order to secure as broad a range of experiences on UC as possible, we recruited the participants via public advertisements on social media, chiefly Facebook. This </w:t>
      </w:r>
      <w:r w:rsidR="00634274" w:rsidRPr="006A339C">
        <w:t>avoid</w:t>
      </w:r>
      <w:r w:rsidR="00634274">
        <w:t>ed</w:t>
      </w:r>
      <w:r w:rsidR="00634274" w:rsidRPr="006A339C">
        <w:t xml:space="preserve"> </w:t>
      </w:r>
      <w:r w:rsidR="00675072" w:rsidRPr="006A339C">
        <w:t xml:space="preserve">recruiting only participants who </w:t>
      </w:r>
      <w:r w:rsidR="00634274">
        <w:t>had</w:t>
      </w:r>
      <w:r w:rsidR="00634274" w:rsidRPr="006A339C">
        <w:t xml:space="preserve"> </w:t>
      </w:r>
      <w:r w:rsidR="00675072" w:rsidRPr="006A339C">
        <w:t xml:space="preserve">sought advice with their claim, as may </w:t>
      </w:r>
      <w:r w:rsidR="00634274">
        <w:t>have been</w:t>
      </w:r>
      <w:r w:rsidR="00634274" w:rsidRPr="006A339C">
        <w:t xml:space="preserve"> </w:t>
      </w:r>
      <w:r w:rsidR="00675072" w:rsidRPr="006A339C">
        <w:t xml:space="preserve">the case </w:t>
      </w:r>
      <w:r w:rsidR="00634274">
        <w:t>if</w:t>
      </w:r>
      <w:r w:rsidR="00634274" w:rsidRPr="006A339C">
        <w:t xml:space="preserve"> </w:t>
      </w:r>
      <w:r w:rsidR="00675072" w:rsidRPr="006A339C">
        <w:t xml:space="preserve">recruiting solely via </w:t>
      </w:r>
      <w:r w:rsidR="006A339C" w:rsidRPr="006A339C">
        <w:t>third-sector</w:t>
      </w:r>
      <w:r w:rsidR="00675072" w:rsidRPr="006A339C">
        <w:t xml:space="preserve"> organisations. Participants who expressed an interest in the study completed a screener questionnaire. Out of 308 </w:t>
      </w:r>
      <w:r w:rsidR="00634274">
        <w:t xml:space="preserve">people </w:t>
      </w:r>
      <w:r w:rsidR="006A339C" w:rsidRPr="006A339C">
        <w:t xml:space="preserve">who </w:t>
      </w:r>
      <w:r w:rsidR="00675072" w:rsidRPr="006A339C">
        <w:t>completed the screener questionnaire</w:t>
      </w:r>
      <w:r w:rsidR="005B272B" w:rsidRPr="006A339C">
        <w:t>, we invited thirty-eight</w:t>
      </w:r>
      <w:r w:rsidR="00675072" w:rsidRPr="006A339C">
        <w:t xml:space="preserve"> to interview: these participants were selected to achieve a diverse sample across their age, gender, ethnicity, and engagement with UC (in particular, whether </w:t>
      </w:r>
      <w:r w:rsidR="00634274">
        <w:t xml:space="preserve">or not </w:t>
      </w:r>
      <w:r w:rsidR="00675072" w:rsidRPr="006A339C">
        <w:t>they had</w:t>
      </w:r>
      <w:r w:rsidR="00C77C6D" w:rsidRPr="006A339C">
        <w:t xml:space="preserve"> </w:t>
      </w:r>
      <w:r w:rsidR="00675072" w:rsidRPr="006A339C">
        <w:t>received a deduction, sanction</w:t>
      </w:r>
      <w:r w:rsidR="00C77C6D" w:rsidRPr="006A339C">
        <w:t>, or</w:t>
      </w:r>
      <w:r w:rsidR="00675072" w:rsidRPr="006A339C">
        <w:t xml:space="preserve"> </w:t>
      </w:r>
      <w:r w:rsidR="00C77C6D" w:rsidRPr="006A339C">
        <w:t>third sector assistance</w:t>
      </w:r>
      <w:r w:rsidR="00675072" w:rsidRPr="006A339C">
        <w:t xml:space="preserve"> with their claim).</w:t>
      </w:r>
      <w:r w:rsidR="00C77C6D" w:rsidRPr="006A339C">
        <w:t xml:space="preserve"> </w:t>
      </w:r>
      <w:r w:rsidR="005B272B" w:rsidRPr="006A339C">
        <w:t>A total of nineteen</w:t>
      </w:r>
      <w:r w:rsidR="00FD0866" w:rsidRPr="006A339C">
        <w:t xml:space="preserve"> claimants took up the offer – </w:t>
      </w:r>
      <w:r w:rsidR="005B272B" w:rsidRPr="006A339C">
        <w:t>eleven</w:t>
      </w:r>
      <w:r w:rsidR="00FD0866" w:rsidRPr="006A339C">
        <w:t xml:space="preserve"> women and </w:t>
      </w:r>
      <w:r w:rsidR="005B272B" w:rsidRPr="006A339C">
        <w:t>eight</w:t>
      </w:r>
      <w:r w:rsidR="00FD0866" w:rsidRPr="006A339C">
        <w:t xml:space="preserve"> men – with an average </w:t>
      </w:r>
      <w:r w:rsidR="005B272B" w:rsidRPr="006A339C">
        <w:t xml:space="preserve">age </w:t>
      </w:r>
      <w:r w:rsidR="00FD0866" w:rsidRPr="006A339C">
        <w:t xml:space="preserve">of </w:t>
      </w:r>
      <w:r w:rsidR="005B272B" w:rsidRPr="006A339C">
        <w:t>thirty-nine</w:t>
      </w:r>
      <w:r w:rsidR="00FD0866" w:rsidRPr="006A339C">
        <w:t>.</w:t>
      </w:r>
      <w:r w:rsidR="00E92BCF" w:rsidRPr="006A339C">
        <w:t xml:space="preserve"> The interviews followed a similar structure to those for the advisors, exploring the claimant’s experiences of UC </w:t>
      </w:r>
      <w:r w:rsidR="00634274">
        <w:t>with</w:t>
      </w:r>
      <w:r w:rsidR="00634274" w:rsidRPr="006A339C">
        <w:t xml:space="preserve"> </w:t>
      </w:r>
      <w:r w:rsidR="00E92BCF" w:rsidRPr="006A339C">
        <w:t>open-ended questions about what procedural qualities they considered important.</w:t>
      </w:r>
    </w:p>
    <w:p w14:paraId="373F1497" w14:textId="70A9E116" w:rsidR="00B555C5" w:rsidRPr="006A339C" w:rsidRDefault="00B555C5" w:rsidP="006A339C">
      <w:pPr>
        <w:spacing w:line="360" w:lineRule="auto"/>
        <w:ind w:firstLine="720"/>
        <w:jc w:val="both"/>
      </w:pPr>
    </w:p>
    <w:p w14:paraId="0AC95C06" w14:textId="386C920A" w:rsidR="005B272B" w:rsidRDefault="00A43DEC" w:rsidP="00037206">
      <w:pPr>
        <w:spacing w:line="360" w:lineRule="auto"/>
        <w:jc w:val="both"/>
      </w:pPr>
      <w:r w:rsidRPr="006A339C">
        <w:tab/>
        <w:t xml:space="preserve">We used a combination </w:t>
      </w:r>
      <w:r w:rsidR="009930AA" w:rsidRPr="006A339C">
        <w:t>of</w:t>
      </w:r>
      <w:r w:rsidRPr="006A339C">
        <w:t xml:space="preserve"> inductive and deductive analysis. After reviewing the dataset for </w:t>
      </w:r>
      <w:r w:rsidR="009930AA" w:rsidRPr="006A339C">
        <w:t>any references to process qualities</w:t>
      </w:r>
      <w:r w:rsidRPr="006A339C">
        <w:t xml:space="preserve">, </w:t>
      </w:r>
      <w:r w:rsidR="006A339C" w:rsidRPr="006A339C">
        <w:t>we</w:t>
      </w:r>
      <w:r w:rsidRPr="006A339C">
        <w:t xml:space="preserve"> created a coding scheme </w:t>
      </w:r>
      <w:r w:rsidR="006A339C" w:rsidRPr="006A339C">
        <w:t>based</w:t>
      </w:r>
      <w:r w:rsidR="009930AA" w:rsidRPr="006A339C">
        <w:t xml:space="preserve"> on these references </w:t>
      </w:r>
      <w:r w:rsidRPr="006A339C">
        <w:t xml:space="preserve">and </w:t>
      </w:r>
      <w:r w:rsidR="009930AA" w:rsidRPr="006A339C">
        <w:t>then applied this</w:t>
      </w:r>
      <w:r w:rsidRPr="006A339C">
        <w:t xml:space="preserve"> systematically to the</w:t>
      </w:r>
      <w:r w:rsidR="009930AA" w:rsidRPr="006A339C">
        <w:t xml:space="preserve"> entire</w:t>
      </w:r>
      <w:r w:rsidRPr="006A339C">
        <w:t xml:space="preserve"> dataset. This approach revealed a significant number of process qualities that were seen as relevant.</w:t>
      </w:r>
      <w:r w:rsidR="00C53EDD" w:rsidRPr="006A339C">
        <w:t xml:space="preserve"> We set these</w:t>
      </w:r>
      <w:r w:rsidRPr="006A339C">
        <w:t xml:space="preserve"> out in full in Table </w:t>
      </w:r>
      <w:r w:rsidR="00C53EDD" w:rsidRPr="006A339C">
        <w:t xml:space="preserve">1 and </w:t>
      </w:r>
      <w:r w:rsidR="00C53EDD" w:rsidRPr="006A339C">
        <w:lastRenderedPageBreak/>
        <w:t>return to them in more detail in our analysis below.</w:t>
      </w:r>
      <w:r w:rsidR="009930AA" w:rsidRPr="006A339C">
        <w:t xml:space="preserve"> A striking feature of our analysis was that</w:t>
      </w:r>
      <w:r w:rsidR="00A166C1">
        <w:t>,</w:t>
      </w:r>
      <w:r w:rsidR="009930AA" w:rsidRPr="006A339C">
        <w:t xml:space="preserve"> </w:t>
      </w:r>
      <w:r w:rsidR="00A166C1">
        <w:t>while a broad range of qualities were identified across the three groups as a whole, with some overlap in the qualities identified by each group</w:t>
      </w:r>
      <w:r w:rsidR="006A339C" w:rsidRPr="006A339C">
        <w:t xml:space="preserve">, </w:t>
      </w:r>
      <w:r w:rsidR="009930AA" w:rsidRPr="006A339C">
        <w:t xml:space="preserve">the </w:t>
      </w:r>
      <w:r w:rsidR="006A339C" w:rsidRPr="006A339C">
        <w:t>qualities</w:t>
      </w:r>
      <w:r w:rsidR="009930AA" w:rsidRPr="006A339C">
        <w:t xml:space="preserve"> </w:t>
      </w:r>
      <w:r w:rsidR="00A166C1">
        <w:t>each group</w:t>
      </w:r>
      <w:r w:rsidR="00A166C1" w:rsidRPr="006A339C">
        <w:t xml:space="preserve"> </w:t>
      </w:r>
      <w:r w:rsidR="009930AA" w:rsidRPr="006A339C">
        <w:t xml:space="preserve">emphasised </w:t>
      </w:r>
      <w:r w:rsidR="00A166C1">
        <w:t xml:space="preserve">as being central or particularly important </w:t>
      </w:r>
      <w:r w:rsidR="009930AA" w:rsidRPr="006A339C">
        <w:t>differed. Below, we set out the dominant procedural qualities that are featured in the reasoning of each group. By doing so, we do not seek to suggest that these groups are not interested in other procedural qualities</w:t>
      </w:r>
      <w:r w:rsidR="006A339C" w:rsidRPr="006A339C">
        <w:t>,</w:t>
      </w:r>
      <w:r w:rsidR="009930AA" w:rsidRPr="006A339C">
        <w:t xml:space="preserve"> but rather that </w:t>
      </w:r>
      <w:r w:rsidR="00A166C1">
        <w:t>the</w:t>
      </w:r>
      <w:r w:rsidR="00A166C1" w:rsidRPr="006A339C">
        <w:t xml:space="preserve"> </w:t>
      </w:r>
      <w:r w:rsidR="009930AA" w:rsidRPr="006A339C">
        <w:t xml:space="preserve">qualities </w:t>
      </w:r>
      <w:r w:rsidR="006A339C" w:rsidRPr="006A339C">
        <w:t>centred</w:t>
      </w:r>
      <w:r w:rsidR="009930AA" w:rsidRPr="006A339C">
        <w:t xml:space="preserve"> in </w:t>
      </w:r>
      <w:r w:rsidR="00A166C1">
        <w:t xml:space="preserve">the three groups’ </w:t>
      </w:r>
      <w:r w:rsidR="009930AA" w:rsidRPr="006A339C">
        <w:t>reasoning about what good UC processes look like differs.</w:t>
      </w:r>
    </w:p>
    <w:p w14:paraId="4D75E138" w14:textId="77777777" w:rsidR="00037206" w:rsidRDefault="00037206" w:rsidP="00037206">
      <w:pPr>
        <w:spacing w:line="360" w:lineRule="auto"/>
        <w:jc w:val="both"/>
      </w:pPr>
    </w:p>
    <w:p w14:paraId="043C7A8C" w14:textId="7293A895" w:rsidR="006C6143" w:rsidRDefault="00037206" w:rsidP="002618D8">
      <w:pPr>
        <w:spacing w:line="360" w:lineRule="auto"/>
        <w:jc w:val="both"/>
        <w:rPr>
          <w:color w:val="000000" w:themeColor="text1"/>
        </w:rPr>
      </w:pPr>
      <w:r w:rsidRPr="00037206">
        <w:rPr>
          <w:color w:val="000000" w:themeColor="text1"/>
        </w:rPr>
        <w:t>While our study provides a detailed analysis of different perspectives on UC process logics, it is not without limitations. Although the sample size (50 participants in total) is in line with qualitative studies examining UC processes, we cannot claim generalisability across all of the three groups</w:t>
      </w:r>
      <w:r w:rsidR="00392BDE">
        <w:rPr>
          <w:color w:val="000000" w:themeColor="text1"/>
        </w:rPr>
        <w:t xml:space="preserve"> of participants</w:t>
      </w:r>
      <w:r w:rsidRPr="00037206">
        <w:rPr>
          <w:color w:val="000000" w:themeColor="text1"/>
        </w:rPr>
        <w:t>.</w:t>
      </w:r>
      <w:r w:rsidRPr="00037206">
        <w:rPr>
          <w:rStyle w:val="FootnoteReference"/>
          <w:color w:val="000000" w:themeColor="text1"/>
        </w:rPr>
        <w:footnoteReference w:id="16"/>
      </w:r>
      <w:r w:rsidRPr="00037206">
        <w:rPr>
          <w:color w:val="000000" w:themeColor="text1"/>
        </w:rPr>
        <w:t xml:space="preserve"> In particular, the recruitment of claimants through social media means the participant pool will over</w:t>
      </w:r>
      <w:r w:rsidR="00392BDE">
        <w:rPr>
          <w:color w:val="000000" w:themeColor="text1"/>
        </w:rPr>
        <w:t>-</w:t>
      </w:r>
      <w:r w:rsidRPr="00037206">
        <w:rPr>
          <w:color w:val="000000" w:themeColor="text1"/>
        </w:rPr>
        <w:t>represent those with internet access and active social media accounts, omitting certain demographics that may face a greater level of digital exclusion and</w:t>
      </w:r>
      <w:r w:rsidR="00392BDE">
        <w:rPr>
          <w:color w:val="000000" w:themeColor="text1"/>
        </w:rPr>
        <w:t>,</w:t>
      </w:r>
      <w:r w:rsidRPr="00037206">
        <w:rPr>
          <w:color w:val="000000" w:themeColor="text1"/>
        </w:rPr>
        <w:t xml:space="preserve"> therefore</w:t>
      </w:r>
      <w:r w:rsidR="00392BDE">
        <w:rPr>
          <w:color w:val="000000" w:themeColor="text1"/>
        </w:rPr>
        <w:t>,</w:t>
      </w:r>
      <w:r w:rsidRPr="00037206">
        <w:rPr>
          <w:color w:val="000000" w:themeColor="text1"/>
        </w:rPr>
        <w:t xml:space="preserve"> greater challenges with digital processes in UC. Although we have ensured as diverse a sample</w:t>
      </w:r>
      <w:r w:rsidR="00392BDE">
        <w:rPr>
          <w:color w:val="000000" w:themeColor="text1"/>
        </w:rPr>
        <w:t xml:space="preserve"> as possible</w:t>
      </w:r>
      <w:r w:rsidRPr="00037206">
        <w:rPr>
          <w:color w:val="000000" w:themeColor="text1"/>
        </w:rPr>
        <w:t xml:space="preserve"> across these groups, the findings below should be read with this limitation in mind</w:t>
      </w:r>
      <w:r>
        <w:rPr>
          <w:color w:val="000000" w:themeColor="text1"/>
        </w:rPr>
        <w:t>.</w:t>
      </w:r>
      <w:r w:rsidR="00741389">
        <w:rPr>
          <w:color w:val="000000" w:themeColor="text1"/>
        </w:rPr>
        <w:t xml:space="preserve"> We </w:t>
      </w:r>
      <w:r w:rsidR="00244CEE">
        <w:rPr>
          <w:color w:val="000000" w:themeColor="text1"/>
        </w:rPr>
        <w:t xml:space="preserve">are </w:t>
      </w:r>
      <w:r w:rsidR="00741389">
        <w:rPr>
          <w:color w:val="000000" w:themeColor="text1"/>
        </w:rPr>
        <w:t xml:space="preserve">also mindful that our study design does not provide an exhaustive range of stakeholders involved with the UC process. In particular, work coaches or other </w:t>
      </w:r>
      <w:r w:rsidR="00F03CD2">
        <w:rPr>
          <w:color w:val="000000" w:themeColor="text1"/>
        </w:rPr>
        <w:t xml:space="preserve">“frontline” </w:t>
      </w:r>
      <w:r w:rsidR="00741389">
        <w:rPr>
          <w:color w:val="000000" w:themeColor="text1"/>
        </w:rPr>
        <w:t>DWP staff may have a different perspective to the DWP civil servant</w:t>
      </w:r>
      <w:r w:rsidR="00F03CD2">
        <w:rPr>
          <w:color w:val="000000" w:themeColor="text1"/>
        </w:rPr>
        <w:t>s involved in elements of the UC system design.</w:t>
      </w:r>
    </w:p>
    <w:p w14:paraId="65FE0463" w14:textId="77777777" w:rsidR="006C6143" w:rsidRPr="00037206" w:rsidRDefault="006C6143" w:rsidP="00D846C2">
      <w:pPr>
        <w:spacing w:line="360" w:lineRule="auto"/>
        <w:ind w:firstLine="720"/>
        <w:jc w:val="both"/>
        <w:rPr>
          <w:color w:val="000000" w:themeColor="text1"/>
        </w:rPr>
      </w:pPr>
    </w:p>
    <w:tbl>
      <w:tblPr>
        <w:tblStyle w:val="GridTable7Colorful"/>
        <w:tblW w:w="0" w:type="auto"/>
        <w:tblLook w:val="04A0" w:firstRow="1" w:lastRow="0" w:firstColumn="1" w:lastColumn="0" w:noHBand="0" w:noVBand="1"/>
      </w:tblPr>
      <w:tblGrid>
        <w:gridCol w:w="2689"/>
        <w:gridCol w:w="6327"/>
      </w:tblGrid>
      <w:tr w:rsidR="00A43DEC" w14:paraId="09C603F6" w14:textId="77777777" w:rsidTr="009E671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Borders>
              <w:top w:val="single" w:sz="4" w:space="0" w:color="auto"/>
              <w:left w:val="single" w:sz="4" w:space="0" w:color="auto"/>
              <w:bottom w:val="single" w:sz="4" w:space="0" w:color="auto"/>
              <w:right w:val="single" w:sz="4" w:space="0" w:color="auto"/>
            </w:tcBorders>
          </w:tcPr>
          <w:p w14:paraId="21A5CEFD" w14:textId="7CEB1044" w:rsidR="00A43DEC" w:rsidRPr="006A339C" w:rsidRDefault="00A43DEC" w:rsidP="007A5291">
            <w:pPr>
              <w:spacing w:line="276" w:lineRule="auto"/>
              <w:jc w:val="both"/>
              <w:rPr>
                <w:i w:val="0"/>
                <w:iCs w:val="0"/>
                <w:sz w:val="20"/>
                <w:szCs w:val="20"/>
              </w:rPr>
            </w:pPr>
            <w:r w:rsidRPr="006A339C">
              <w:rPr>
                <w:i w:val="0"/>
                <w:iCs w:val="0"/>
                <w:sz w:val="20"/>
                <w:szCs w:val="20"/>
              </w:rPr>
              <w:t>PROCESS QUALITY</w:t>
            </w:r>
          </w:p>
        </w:tc>
        <w:tc>
          <w:tcPr>
            <w:tcW w:w="6327" w:type="dxa"/>
            <w:tcBorders>
              <w:top w:val="single" w:sz="4" w:space="0" w:color="auto"/>
              <w:left w:val="single" w:sz="4" w:space="0" w:color="auto"/>
              <w:bottom w:val="single" w:sz="4" w:space="0" w:color="auto"/>
              <w:right w:val="single" w:sz="4" w:space="0" w:color="auto"/>
            </w:tcBorders>
          </w:tcPr>
          <w:p w14:paraId="71028C1C" w14:textId="71AE8660" w:rsidR="00A43DEC" w:rsidRPr="006A339C" w:rsidRDefault="00A43DEC" w:rsidP="007A5291">
            <w:pPr>
              <w:spacing w:line="276" w:lineRule="auto"/>
              <w:jc w:val="both"/>
              <w:cnfStyle w:val="100000000000" w:firstRow="1" w:lastRow="0" w:firstColumn="0" w:lastColumn="0" w:oddVBand="0" w:evenVBand="0" w:oddHBand="0" w:evenHBand="0" w:firstRowFirstColumn="0" w:firstRowLastColumn="0" w:lastRowFirstColumn="0" w:lastRowLastColumn="0"/>
              <w:rPr>
                <w:sz w:val="20"/>
                <w:szCs w:val="20"/>
              </w:rPr>
            </w:pPr>
            <w:r w:rsidRPr="006A339C">
              <w:rPr>
                <w:sz w:val="20"/>
                <w:szCs w:val="20"/>
              </w:rPr>
              <w:t>DEFINITION</w:t>
            </w:r>
          </w:p>
        </w:tc>
      </w:tr>
      <w:tr w:rsidR="00A43DEC" w14:paraId="50F6F74A" w14:textId="77777777" w:rsidTr="009E6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tcBorders>
          </w:tcPr>
          <w:p w14:paraId="0C92BC87" w14:textId="3489B7AB" w:rsidR="00A43DEC" w:rsidRPr="006A339C" w:rsidRDefault="00A43DEC" w:rsidP="007A5291">
            <w:pPr>
              <w:spacing w:line="276" w:lineRule="auto"/>
              <w:jc w:val="both"/>
              <w:rPr>
                <w:b/>
                <w:bCs/>
                <w:i w:val="0"/>
                <w:iCs w:val="0"/>
              </w:rPr>
            </w:pPr>
            <w:r w:rsidRPr="006A339C">
              <w:rPr>
                <w:b/>
                <w:bCs/>
                <w:i w:val="0"/>
                <w:iCs w:val="0"/>
                <w:sz w:val="20"/>
                <w:szCs w:val="20"/>
              </w:rPr>
              <w:t>Accessibility</w:t>
            </w:r>
          </w:p>
        </w:tc>
        <w:tc>
          <w:tcPr>
            <w:tcW w:w="6327" w:type="dxa"/>
            <w:tcBorders>
              <w:top w:val="single" w:sz="4" w:space="0" w:color="auto"/>
            </w:tcBorders>
            <w:shd w:val="clear" w:color="auto" w:fill="auto"/>
          </w:tcPr>
          <w:p w14:paraId="74573772" w14:textId="18A12CED" w:rsidR="00A43DEC" w:rsidRPr="006A339C" w:rsidRDefault="009E6719" w:rsidP="007A5291">
            <w:pPr>
              <w:spacing w:line="276" w:lineRule="auto"/>
              <w:jc w:val="both"/>
              <w:cnfStyle w:val="000000100000" w:firstRow="0" w:lastRow="0" w:firstColumn="0" w:lastColumn="0" w:oddVBand="0" w:evenVBand="0" w:oddHBand="1" w:evenHBand="0" w:firstRowFirstColumn="0" w:firstRowLastColumn="0" w:lastRowFirstColumn="0" w:lastRowLastColumn="0"/>
              <w:rPr>
                <w:b/>
                <w:bCs/>
              </w:rPr>
            </w:pPr>
            <w:r w:rsidRPr="006A339C">
              <w:rPr>
                <w:sz w:val="20"/>
                <w:szCs w:val="20"/>
              </w:rPr>
              <w:t>The</w:t>
            </w:r>
            <w:r w:rsidR="00A43DEC" w:rsidRPr="006A339C">
              <w:rPr>
                <w:sz w:val="20"/>
                <w:szCs w:val="20"/>
              </w:rPr>
              <w:t xml:space="preserve"> system make</w:t>
            </w:r>
            <w:r w:rsidRPr="006A339C">
              <w:rPr>
                <w:sz w:val="20"/>
                <w:szCs w:val="20"/>
              </w:rPr>
              <w:t>s</w:t>
            </w:r>
            <w:r w:rsidR="00A43DEC" w:rsidRPr="006A339C">
              <w:rPr>
                <w:sz w:val="20"/>
                <w:szCs w:val="20"/>
              </w:rPr>
              <w:t xml:space="preserve"> it </w:t>
            </w:r>
            <w:r w:rsidRPr="006A339C">
              <w:rPr>
                <w:sz w:val="20"/>
                <w:szCs w:val="20"/>
              </w:rPr>
              <w:t>easy for</w:t>
            </w:r>
            <w:r w:rsidR="00A43DEC" w:rsidRPr="006A339C">
              <w:rPr>
                <w:sz w:val="20"/>
                <w:szCs w:val="20"/>
              </w:rPr>
              <w:t xml:space="preserve"> making or updating applicatio</w:t>
            </w:r>
            <w:r w:rsidRPr="006A339C">
              <w:rPr>
                <w:sz w:val="20"/>
                <w:szCs w:val="20"/>
              </w:rPr>
              <w:t>ns</w:t>
            </w:r>
          </w:p>
        </w:tc>
      </w:tr>
      <w:tr w:rsidR="00A43DEC" w14:paraId="1DBA840B" w14:textId="77777777" w:rsidTr="009E6719">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tcBorders>
          </w:tcPr>
          <w:p w14:paraId="2D79BADC" w14:textId="046513D6" w:rsidR="00A43DEC" w:rsidRPr="006A339C" w:rsidRDefault="00A43DEC" w:rsidP="007A5291">
            <w:pPr>
              <w:spacing w:line="276" w:lineRule="auto"/>
              <w:jc w:val="both"/>
              <w:rPr>
                <w:b/>
                <w:bCs/>
                <w:i w:val="0"/>
                <w:iCs w:val="0"/>
              </w:rPr>
            </w:pPr>
            <w:r w:rsidRPr="006A339C">
              <w:rPr>
                <w:b/>
                <w:bCs/>
                <w:i w:val="0"/>
                <w:iCs w:val="0"/>
                <w:sz w:val="20"/>
                <w:szCs w:val="20"/>
              </w:rPr>
              <w:t>Assistance</w:t>
            </w:r>
          </w:p>
        </w:tc>
        <w:tc>
          <w:tcPr>
            <w:tcW w:w="6327" w:type="dxa"/>
            <w:shd w:val="clear" w:color="auto" w:fill="auto"/>
          </w:tcPr>
          <w:p w14:paraId="32024FC2" w14:textId="53CB7A98" w:rsidR="00A43DEC" w:rsidRPr="006A339C" w:rsidRDefault="009E6719" w:rsidP="007A5291">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6A339C">
              <w:rPr>
                <w:sz w:val="20"/>
                <w:szCs w:val="20"/>
              </w:rPr>
              <w:t>O</w:t>
            </w:r>
            <w:r w:rsidR="00A43DEC" w:rsidRPr="006A339C">
              <w:rPr>
                <w:sz w:val="20"/>
                <w:szCs w:val="20"/>
              </w:rPr>
              <w:t>fficials offer help to applicants who are struggling with a claim</w:t>
            </w:r>
          </w:p>
        </w:tc>
      </w:tr>
      <w:tr w:rsidR="00A43DEC" w14:paraId="228A9661" w14:textId="77777777" w:rsidTr="009E6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tcBorders>
          </w:tcPr>
          <w:p w14:paraId="1768672D" w14:textId="69395BD9" w:rsidR="00A43DEC" w:rsidRPr="006A339C" w:rsidRDefault="00A43DEC" w:rsidP="007A5291">
            <w:pPr>
              <w:spacing w:line="276" w:lineRule="auto"/>
              <w:jc w:val="both"/>
              <w:rPr>
                <w:b/>
                <w:bCs/>
                <w:i w:val="0"/>
                <w:iCs w:val="0"/>
              </w:rPr>
            </w:pPr>
            <w:r w:rsidRPr="006A339C">
              <w:rPr>
                <w:b/>
                <w:bCs/>
                <w:i w:val="0"/>
                <w:iCs w:val="0"/>
                <w:sz w:val="20"/>
                <w:szCs w:val="20"/>
              </w:rPr>
              <w:t>Availability</w:t>
            </w:r>
          </w:p>
        </w:tc>
        <w:tc>
          <w:tcPr>
            <w:tcW w:w="6327" w:type="dxa"/>
            <w:shd w:val="clear" w:color="auto" w:fill="auto"/>
          </w:tcPr>
          <w:p w14:paraId="1B4AE046" w14:textId="68E26C68" w:rsidR="00A43DEC" w:rsidRPr="006A339C" w:rsidRDefault="009E6719" w:rsidP="007A5291">
            <w:pPr>
              <w:spacing w:line="276" w:lineRule="auto"/>
              <w:jc w:val="both"/>
              <w:cnfStyle w:val="000000100000" w:firstRow="0" w:lastRow="0" w:firstColumn="0" w:lastColumn="0" w:oddVBand="0" w:evenVBand="0" w:oddHBand="1" w:evenHBand="0" w:firstRowFirstColumn="0" w:firstRowLastColumn="0" w:lastRowFirstColumn="0" w:lastRowLastColumn="0"/>
              <w:rPr>
                <w:b/>
                <w:bCs/>
              </w:rPr>
            </w:pPr>
            <w:r w:rsidRPr="006A339C">
              <w:rPr>
                <w:sz w:val="20"/>
                <w:szCs w:val="20"/>
              </w:rPr>
              <w:t>It is easy</w:t>
            </w:r>
            <w:r w:rsidR="00A43DEC" w:rsidRPr="006A339C">
              <w:rPr>
                <w:sz w:val="20"/>
                <w:szCs w:val="20"/>
              </w:rPr>
              <w:t xml:space="preserve"> to get hold of </w:t>
            </w:r>
            <w:r w:rsidRPr="006A339C">
              <w:rPr>
                <w:sz w:val="20"/>
                <w:szCs w:val="20"/>
              </w:rPr>
              <w:t>relevant officials</w:t>
            </w:r>
          </w:p>
        </w:tc>
      </w:tr>
      <w:tr w:rsidR="00A43DEC" w14:paraId="04122EF0" w14:textId="77777777" w:rsidTr="009E6719">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tcBorders>
          </w:tcPr>
          <w:p w14:paraId="39B7BC83" w14:textId="35DE467C" w:rsidR="00A43DEC" w:rsidRPr="006A339C" w:rsidRDefault="00A43DEC" w:rsidP="007A5291">
            <w:pPr>
              <w:spacing w:line="276" w:lineRule="auto"/>
              <w:jc w:val="both"/>
              <w:rPr>
                <w:b/>
                <w:bCs/>
                <w:i w:val="0"/>
                <w:iCs w:val="0"/>
              </w:rPr>
            </w:pPr>
            <w:r w:rsidRPr="006A339C">
              <w:rPr>
                <w:b/>
                <w:bCs/>
                <w:i w:val="0"/>
                <w:iCs w:val="0"/>
                <w:sz w:val="20"/>
                <w:szCs w:val="20"/>
              </w:rPr>
              <w:t>Consistency</w:t>
            </w:r>
          </w:p>
        </w:tc>
        <w:tc>
          <w:tcPr>
            <w:tcW w:w="6327" w:type="dxa"/>
            <w:shd w:val="clear" w:color="auto" w:fill="auto"/>
          </w:tcPr>
          <w:p w14:paraId="58C7CD0C" w14:textId="1DB58595" w:rsidR="00A43DEC" w:rsidRPr="006A339C" w:rsidRDefault="009E6719" w:rsidP="007A5291">
            <w:pPr>
              <w:spacing w:line="276" w:lineRule="auto"/>
              <w:jc w:val="both"/>
              <w:cnfStyle w:val="000000000000" w:firstRow="0" w:lastRow="0" w:firstColumn="0" w:lastColumn="0" w:oddVBand="0" w:evenVBand="0" w:oddHBand="0" w:evenHBand="0" w:firstRowFirstColumn="0" w:firstRowLastColumn="0" w:lastRowFirstColumn="0" w:lastRowLastColumn="0"/>
              <w:rPr>
                <w:b/>
                <w:bCs/>
              </w:rPr>
            </w:pPr>
            <w:r w:rsidRPr="006A339C">
              <w:rPr>
                <w:sz w:val="20"/>
                <w:szCs w:val="20"/>
              </w:rPr>
              <w:t>O</w:t>
            </w:r>
            <w:r w:rsidR="00A43DEC" w:rsidRPr="006A339C">
              <w:rPr>
                <w:sz w:val="20"/>
                <w:szCs w:val="20"/>
              </w:rPr>
              <w:t>fficers or offices give consistent advice and information</w:t>
            </w:r>
          </w:p>
        </w:tc>
      </w:tr>
      <w:tr w:rsidR="00A43DEC" w14:paraId="628A7A2D" w14:textId="77777777" w:rsidTr="009E6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tcBorders>
          </w:tcPr>
          <w:p w14:paraId="489F5E0A" w14:textId="6B8F0AA0" w:rsidR="00A43DEC" w:rsidRPr="006A339C" w:rsidRDefault="00A43DEC" w:rsidP="007A5291">
            <w:pPr>
              <w:spacing w:line="276" w:lineRule="auto"/>
              <w:jc w:val="both"/>
              <w:rPr>
                <w:b/>
                <w:bCs/>
                <w:i w:val="0"/>
                <w:iCs w:val="0"/>
              </w:rPr>
            </w:pPr>
            <w:r w:rsidRPr="006A339C">
              <w:rPr>
                <w:b/>
                <w:bCs/>
                <w:i w:val="0"/>
                <w:iCs w:val="0"/>
                <w:sz w:val="20"/>
                <w:szCs w:val="20"/>
              </w:rPr>
              <w:t>Correctability</w:t>
            </w:r>
          </w:p>
        </w:tc>
        <w:tc>
          <w:tcPr>
            <w:tcW w:w="6327" w:type="dxa"/>
            <w:shd w:val="clear" w:color="auto" w:fill="auto"/>
          </w:tcPr>
          <w:p w14:paraId="24E78FF5" w14:textId="39E73773" w:rsidR="00A43DEC" w:rsidRPr="006A339C" w:rsidRDefault="009E6719" w:rsidP="007A5291">
            <w:pPr>
              <w:spacing w:line="276"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6A339C">
              <w:rPr>
                <w:sz w:val="20"/>
                <w:szCs w:val="20"/>
              </w:rPr>
              <w:t>It is easy</w:t>
            </w:r>
            <w:r w:rsidR="00A43DEC" w:rsidRPr="006A339C">
              <w:rPr>
                <w:sz w:val="20"/>
                <w:szCs w:val="20"/>
              </w:rPr>
              <w:t xml:space="preserve"> for errors to be corrected</w:t>
            </w:r>
          </w:p>
        </w:tc>
      </w:tr>
      <w:tr w:rsidR="00A43DEC" w14:paraId="1B7624AA" w14:textId="77777777" w:rsidTr="009E6719">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tcBorders>
          </w:tcPr>
          <w:p w14:paraId="757DF7D2" w14:textId="32FDD36C" w:rsidR="00A43DEC" w:rsidRPr="006A339C" w:rsidRDefault="00A43DEC" w:rsidP="007A5291">
            <w:pPr>
              <w:spacing w:line="276" w:lineRule="auto"/>
              <w:jc w:val="both"/>
              <w:rPr>
                <w:b/>
                <w:bCs/>
                <w:i w:val="0"/>
                <w:iCs w:val="0"/>
              </w:rPr>
            </w:pPr>
            <w:r w:rsidRPr="006A339C">
              <w:rPr>
                <w:b/>
                <w:bCs/>
                <w:i w:val="0"/>
                <w:iCs w:val="0"/>
                <w:sz w:val="20"/>
                <w:szCs w:val="20"/>
              </w:rPr>
              <w:t xml:space="preserve">Decision </w:t>
            </w:r>
            <w:r w:rsidR="00B535F4" w:rsidRPr="006A339C">
              <w:rPr>
                <w:b/>
                <w:bCs/>
                <w:i w:val="0"/>
                <w:iCs w:val="0"/>
                <w:sz w:val="20"/>
                <w:szCs w:val="20"/>
              </w:rPr>
              <w:t>d</w:t>
            </w:r>
            <w:r w:rsidRPr="006A339C">
              <w:rPr>
                <w:b/>
                <w:bCs/>
                <w:i w:val="0"/>
                <w:iCs w:val="0"/>
                <w:sz w:val="20"/>
                <w:szCs w:val="20"/>
              </w:rPr>
              <w:t>iscretion</w:t>
            </w:r>
          </w:p>
        </w:tc>
        <w:tc>
          <w:tcPr>
            <w:tcW w:w="6327" w:type="dxa"/>
            <w:shd w:val="clear" w:color="auto" w:fill="auto"/>
          </w:tcPr>
          <w:p w14:paraId="7C992D92" w14:textId="7FB8284B" w:rsidR="00A43DEC" w:rsidRPr="006A339C" w:rsidRDefault="009E6719" w:rsidP="007A5291">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6A339C">
              <w:rPr>
                <w:sz w:val="20"/>
                <w:szCs w:val="20"/>
              </w:rPr>
              <w:t>Rules are</w:t>
            </w:r>
            <w:r w:rsidR="00A43DEC" w:rsidRPr="006A339C">
              <w:rPr>
                <w:sz w:val="20"/>
                <w:szCs w:val="20"/>
              </w:rPr>
              <w:t xml:space="preserve"> applied flexibly to meet</w:t>
            </w:r>
            <w:r w:rsidRPr="006A339C">
              <w:rPr>
                <w:sz w:val="20"/>
                <w:szCs w:val="20"/>
              </w:rPr>
              <w:t xml:space="preserve"> the</w:t>
            </w:r>
            <w:r w:rsidR="00A43DEC" w:rsidRPr="006A339C">
              <w:rPr>
                <w:sz w:val="20"/>
                <w:szCs w:val="20"/>
              </w:rPr>
              <w:t xml:space="preserve"> circumstances of </w:t>
            </w:r>
            <w:r w:rsidRPr="006A339C">
              <w:rPr>
                <w:sz w:val="20"/>
                <w:szCs w:val="20"/>
              </w:rPr>
              <w:t xml:space="preserve">the </w:t>
            </w:r>
            <w:r w:rsidR="00A43DEC" w:rsidRPr="006A339C">
              <w:rPr>
                <w:sz w:val="20"/>
                <w:szCs w:val="20"/>
              </w:rPr>
              <w:t>claimant</w:t>
            </w:r>
          </w:p>
        </w:tc>
      </w:tr>
      <w:tr w:rsidR="00A43DEC" w14:paraId="5E82FE4E" w14:textId="77777777" w:rsidTr="009E6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tcBorders>
          </w:tcPr>
          <w:p w14:paraId="1E695385" w14:textId="0EA608BC" w:rsidR="00A43DEC" w:rsidRPr="006A339C" w:rsidRDefault="00A43DEC" w:rsidP="007A5291">
            <w:pPr>
              <w:spacing w:line="276" w:lineRule="auto"/>
              <w:jc w:val="both"/>
              <w:rPr>
                <w:b/>
                <w:bCs/>
                <w:i w:val="0"/>
                <w:iCs w:val="0"/>
              </w:rPr>
            </w:pPr>
            <w:r w:rsidRPr="006A339C">
              <w:rPr>
                <w:b/>
                <w:bCs/>
                <w:i w:val="0"/>
                <w:iCs w:val="0"/>
                <w:sz w:val="20"/>
                <w:szCs w:val="20"/>
              </w:rPr>
              <w:t>Dependability</w:t>
            </w:r>
          </w:p>
        </w:tc>
        <w:tc>
          <w:tcPr>
            <w:tcW w:w="6327" w:type="dxa"/>
            <w:shd w:val="clear" w:color="auto" w:fill="auto"/>
          </w:tcPr>
          <w:p w14:paraId="49B5CCEA" w14:textId="7F36619E" w:rsidR="00A43DEC" w:rsidRPr="006A339C" w:rsidRDefault="009E6719" w:rsidP="007A5291">
            <w:pPr>
              <w:spacing w:line="276"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6A339C">
              <w:rPr>
                <w:sz w:val="20"/>
                <w:szCs w:val="20"/>
              </w:rPr>
              <w:t>Officials</w:t>
            </w:r>
            <w:r w:rsidR="00A43DEC" w:rsidRPr="006A339C">
              <w:rPr>
                <w:sz w:val="20"/>
                <w:szCs w:val="20"/>
              </w:rPr>
              <w:t xml:space="preserve"> follow</w:t>
            </w:r>
            <w:r w:rsidRPr="006A339C">
              <w:rPr>
                <w:sz w:val="20"/>
                <w:szCs w:val="20"/>
              </w:rPr>
              <w:t xml:space="preserve"> </w:t>
            </w:r>
            <w:r w:rsidR="00A43DEC" w:rsidRPr="006A339C">
              <w:rPr>
                <w:sz w:val="20"/>
                <w:szCs w:val="20"/>
              </w:rPr>
              <w:t xml:space="preserve">through on any promises </w:t>
            </w:r>
            <w:r w:rsidRPr="006A339C">
              <w:rPr>
                <w:sz w:val="20"/>
                <w:szCs w:val="20"/>
              </w:rPr>
              <w:t>made</w:t>
            </w:r>
          </w:p>
        </w:tc>
      </w:tr>
      <w:tr w:rsidR="008F5CC6" w14:paraId="4568C54C" w14:textId="77777777" w:rsidTr="009E6719">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tcBorders>
          </w:tcPr>
          <w:p w14:paraId="736E56E6" w14:textId="5C98DB28" w:rsidR="008F5CC6" w:rsidRPr="006A339C" w:rsidRDefault="008F5CC6" w:rsidP="007A5291">
            <w:pPr>
              <w:spacing w:line="276" w:lineRule="auto"/>
              <w:jc w:val="both"/>
              <w:rPr>
                <w:b/>
                <w:bCs/>
                <w:i w:val="0"/>
                <w:iCs w:val="0"/>
                <w:sz w:val="20"/>
                <w:szCs w:val="20"/>
              </w:rPr>
            </w:pPr>
            <w:r w:rsidRPr="006A339C">
              <w:rPr>
                <w:b/>
                <w:bCs/>
                <w:i w:val="0"/>
                <w:iCs w:val="0"/>
                <w:sz w:val="20"/>
                <w:szCs w:val="20"/>
              </w:rPr>
              <w:t xml:space="preserve">Dignifying </w:t>
            </w:r>
            <w:r w:rsidR="00B535F4" w:rsidRPr="006A339C">
              <w:rPr>
                <w:b/>
                <w:bCs/>
                <w:i w:val="0"/>
                <w:iCs w:val="0"/>
                <w:sz w:val="20"/>
                <w:szCs w:val="20"/>
              </w:rPr>
              <w:t>t</w:t>
            </w:r>
            <w:r w:rsidRPr="006A339C">
              <w:rPr>
                <w:b/>
                <w:bCs/>
                <w:i w:val="0"/>
                <w:iCs w:val="0"/>
                <w:sz w:val="20"/>
                <w:szCs w:val="20"/>
              </w:rPr>
              <w:t>reatment</w:t>
            </w:r>
          </w:p>
        </w:tc>
        <w:tc>
          <w:tcPr>
            <w:tcW w:w="6327" w:type="dxa"/>
            <w:shd w:val="clear" w:color="auto" w:fill="auto"/>
          </w:tcPr>
          <w:p w14:paraId="6B08A32C" w14:textId="188E720A" w:rsidR="008F5CC6" w:rsidRPr="006A339C" w:rsidRDefault="008F5CC6" w:rsidP="007A5291">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6A339C">
              <w:rPr>
                <w:sz w:val="20"/>
                <w:szCs w:val="20"/>
              </w:rPr>
              <w:t>Interactions and processes a</w:t>
            </w:r>
            <w:r w:rsidR="00DD07B6" w:rsidRPr="006A339C">
              <w:rPr>
                <w:sz w:val="20"/>
                <w:szCs w:val="20"/>
              </w:rPr>
              <w:t>re</w:t>
            </w:r>
            <w:r w:rsidRPr="006A339C">
              <w:rPr>
                <w:sz w:val="20"/>
                <w:szCs w:val="20"/>
              </w:rPr>
              <w:t xml:space="preserve"> dignifying for claimants</w:t>
            </w:r>
          </w:p>
        </w:tc>
      </w:tr>
      <w:tr w:rsidR="00CD1AA4" w14:paraId="74973166" w14:textId="77777777" w:rsidTr="009E6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tcBorders>
          </w:tcPr>
          <w:p w14:paraId="3F7E6CC2" w14:textId="1EF6F3DD" w:rsidR="00CD1AA4" w:rsidRPr="002618D8" w:rsidRDefault="00CD1AA4" w:rsidP="007A5291">
            <w:pPr>
              <w:spacing w:line="276" w:lineRule="auto"/>
              <w:jc w:val="both"/>
              <w:rPr>
                <w:b/>
                <w:bCs/>
                <w:i w:val="0"/>
                <w:iCs w:val="0"/>
                <w:sz w:val="20"/>
                <w:szCs w:val="20"/>
              </w:rPr>
            </w:pPr>
            <w:r>
              <w:rPr>
                <w:b/>
                <w:bCs/>
                <w:i w:val="0"/>
                <w:iCs w:val="0"/>
                <w:sz w:val="20"/>
                <w:szCs w:val="20"/>
              </w:rPr>
              <w:t>Efficiency</w:t>
            </w:r>
          </w:p>
        </w:tc>
        <w:tc>
          <w:tcPr>
            <w:tcW w:w="6327" w:type="dxa"/>
            <w:shd w:val="clear" w:color="auto" w:fill="auto"/>
          </w:tcPr>
          <w:p w14:paraId="701F1C8D" w14:textId="28B249C8" w:rsidR="00CD1AA4" w:rsidRPr="006A339C" w:rsidRDefault="00CD1AA4" w:rsidP="007A5291">
            <w:pPr>
              <w:spacing w:line="276" w:lineRule="auto"/>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 system works effectively whilst minimising operational costs</w:t>
            </w:r>
          </w:p>
        </w:tc>
      </w:tr>
      <w:tr w:rsidR="00A43DEC" w14:paraId="4F1A85CD" w14:textId="77777777" w:rsidTr="009E6719">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tcBorders>
          </w:tcPr>
          <w:p w14:paraId="5F01D67F" w14:textId="360AF005" w:rsidR="00A43DEC" w:rsidRPr="006A339C" w:rsidRDefault="00A43DEC" w:rsidP="007A5291">
            <w:pPr>
              <w:spacing w:line="276" w:lineRule="auto"/>
              <w:jc w:val="both"/>
              <w:rPr>
                <w:b/>
                <w:bCs/>
                <w:i w:val="0"/>
                <w:iCs w:val="0"/>
              </w:rPr>
            </w:pPr>
            <w:r w:rsidRPr="006A339C">
              <w:rPr>
                <w:b/>
                <w:bCs/>
                <w:i w:val="0"/>
                <w:iCs w:val="0"/>
                <w:sz w:val="20"/>
                <w:szCs w:val="20"/>
              </w:rPr>
              <w:t>Empathy</w:t>
            </w:r>
          </w:p>
        </w:tc>
        <w:tc>
          <w:tcPr>
            <w:tcW w:w="6327" w:type="dxa"/>
            <w:shd w:val="clear" w:color="auto" w:fill="auto"/>
          </w:tcPr>
          <w:p w14:paraId="648EA345" w14:textId="25ADB9EC" w:rsidR="00A43DEC" w:rsidRPr="006A339C" w:rsidRDefault="009E6719" w:rsidP="007A5291">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6A339C">
              <w:rPr>
                <w:sz w:val="20"/>
                <w:szCs w:val="20"/>
              </w:rPr>
              <w:t>O</w:t>
            </w:r>
            <w:r w:rsidR="00A43DEC" w:rsidRPr="006A339C">
              <w:rPr>
                <w:sz w:val="20"/>
                <w:szCs w:val="20"/>
              </w:rPr>
              <w:t>fficials have empathy for clients</w:t>
            </w:r>
          </w:p>
        </w:tc>
      </w:tr>
      <w:tr w:rsidR="00A43DEC" w14:paraId="5C2ECE74" w14:textId="77777777" w:rsidTr="009E6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tcBorders>
          </w:tcPr>
          <w:p w14:paraId="2B078409" w14:textId="5C47044A" w:rsidR="00A43DEC" w:rsidRPr="006A339C" w:rsidRDefault="00A43DEC" w:rsidP="007A5291">
            <w:pPr>
              <w:spacing w:line="276" w:lineRule="auto"/>
              <w:jc w:val="both"/>
              <w:rPr>
                <w:b/>
                <w:bCs/>
                <w:i w:val="0"/>
                <w:iCs w:val="0"/>
              </w:rPr>
            </w:pPr>
            <w:r w:rsidRPr="006A339C">
              <w:rPr>
                <w:b/>
                <w:bCs/>
                <w:i w:val="0"/>
                <w:iCs w:val="0"/>
                <w:sz w:val="20"/>
                <w:szCs w:val="20"/>
              </w:rPr>
              <w:t>Factual accuracy</w:t>
            </w:r>
          </w:p>
        </w:tc>
        <w:tc>
          <w:tcPr>
            <w:tcW w:w="6327" w:type="dxa"/>
            <w:shd w:val="clear" w:color="auto" w:fill="auto"/>
          </w:tcPr>
          <w:p w14:paraId="5A612755" w14:textId="670CAEC0" w:rsidR="00A43DEC" w:rsidRPr="006A339C" w:rsidRDefault="009E6719" w:rsidP="007A5291">
            <w:pPr>
              <w:spacing w:line="276"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6A339C">
              <w:rPr>
                <w:sz w:val="20"/>
                <w:szCs w:val="20"/>
              </w:rPr>
              <w:t>C</w:t>
            </w:r>
            <w:r w:rsidR="00A43DEC" w:rsidRPr="006A339C">
              <w:rPr>
                <w:sz w:val="20"/>
                <w:szCs w:val="20"/>
              </w:rPr>
              <w:t xml:space="preserve">laimants’ situations </w:t>
            </w:r>
            <w:r w:rsidRPr="006A339C">
              <w:rPr>
                <w:sz w:val="20"/>
                <w:szCs w:val="20"/>
              </w:rPr>
              <w:t xml:space="preserve">are </w:t>
            </w:r>
            <w:r w:rsidR="00A43DEC" w:rsidRPr="006A339C">
              <w:rPr>
                <w:sz w:val="20"/>
                <w:szCs w:val="20"/>
              </w:rPr>
              <w:t>fully understood</w:t>
            </w:r>
          </w:p>
        </w:tc>
      </w:tr>
      <w:tr w:rsidR="00A43DEC" w14:paraId="01E0DA73" w14:textId="77777777" w:rsidTr="009E6719">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tcBorders>
          </w:tcPr>
          <w:p w14:paraId="25C406AB" w14:textId="28972B22" w:rsidR="00A43DEC" w:rsidRPr="006A339C" w:rsidRDefault="00A43DEC" w:rsidP="007A5291">
            <w:pPr>
              <w:spacing w:line="276" w:lineRule="auto"/>
              <w:jc w:val="both"/>
              <w:rPr>
                <w:b/>
                <w:bCs/>
                <w:i w:val="0"/>
                <w:iCs w:val="0"/>
              </w:rPr>
            </w:pPr>
            <w:r w:rsidRPr="006A339C">
              <w:rPr>
                <w:b/>
                <w:bCs/>
                <w:i w:val="0"/>
                <w:iCs w:val="0"/>
                <w:sz w:val="20"/>
                <w:szCs w:val="20"/>
              </w:rPr>
              <w:t xml:space="preserve">Intelligibility </w:t>
            </w:r>
          </w:p>
        </w:tc>
        <w:tc>
          <w:tcPr>
            <w:tcW w:w="6327" w:type="dxa"/>
            <w:shd w:val="clear" w:color="auto" w:fill="auto"/>
          </w:tcPr>
          <w:p w14:paraId="6C4082A5" w14:textId="1995242E" w:rsidR="00A43DEC" w:rsidRPr="006A339C" w:rsidRDefault="009E6719" w:rsidP="007A5291">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6A339C">
              <w:rPr>
                <w:sz w:val="20"/>
                <w:szCs w:val="20"/>
              </w:rPr>
              <w:t>Official</w:t>
            </w:r>
            <w:r w:rsidR="00A43DEC" w:rsidRPr="006A339C">
              <w:rPr>
                <w:sz w:val="20"/>
                <w:szCs w:val="20"/>
              </w:rPr>
              <w:t xml:space="preserve"> communications</w:t>
            </w:r>
            <w:r w:rsidRPr="006A339C">
              <w:rPr>
                <w:sz w:val="20"/>
                <w:szCs w:val="20"/>
              </w:rPr>
              <w:t xml:space="preserve"> are clear and easy to understand</w:t>
            </w:r>
          </w:p>
        </w:tc>
      </w:tr>
      <w:tr w:rsidR="00A43DEC" w14:paraId="617C7EC8" w14:textId="77777777" w:rsidTr="009E6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tcBorders>
          </w:tcPr>
          <w:p w14:paraId="298E89C7" w14:textId="7CDF60F4" w:rsidR="00A43DEC" w:rsidRPr="006A339C" w:rsidRDefault="00A43DEC" w:rsidP="007A5291">
            <w:pPr>
              <w:spacing w:line="276" w:lineRule="auto"/>
              <w:jc w:val="both"/>
              <w:rPr>
                <w:b/>
                <w:bCs/>
                <w:i w:val="0"/>
                <w:iCs w:val="0"/>
              </w:rPr>
            </w:pPr>
            <w:r w:rsidRPr="006A339C">
              <w:rPr>
                <w:b/>
                <w:bCs/>
                <w:i w:val="0"/>
                <w:iCs w:val="0"/>
                <w:sz w:val="20"/>
                <w:szCs w:val="20"/>
              </w:rPr>
              <w:lastRenderedPageBreak/>
              <w:t>Legality</w:t>
            </w:r>
          </w:p>
        </w:tc>
        <w:tc>
          <w:tcPr>
            <w:tcW w:w="6327" w:type="dxa"/>
            <w:shd w:val="clear" w:color="auto" w:fill="auto"/>
          </w:tcPr>
          <w:p w14:paraId="5C486CA3" w14:textId="7D6AE4E5" w:rsidR="00A43DEC" w:rsidRPr="006A339C" w:rsidRDefault="009E6719" w:rsidP="007A5291">
            <w:pPr>
              <w:spacing w:line="276"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6A339C">
              <w:rPr>
                <w:sz w:val="20"/>
                <w:szCs w:val="20"/>
              </w:rPr>
              <w:t>Officials</w:t>
            </w:r>
            <w:r w:rsidR="00A43DEC" w:rsidRPr="006A339C">
              <w:rPr>
                <w:sz w:val="20"/>
                <w:szCs w:val="20"/>
              </w:rPr>
              <w:t xml:space="preserve"> know their own rules and </w:t>
            </w:r>
            <w:r w:rsidRPr="006A339C">
              <w:rPr>
                <w:sz w:val="20"/>
                <w:szCs w:val="20"/>
              </w:rPr>
              <w:t xml:space="preserve">apply them competently </w:t>
            </w:r>
          </w:p>
        </w:tc>
      </w:tr>
      <w:tr w:rsidR="00A43DEC" w14:paraId="65E5FA56" w14:textId="77777777" w:rsidTr="009E6719">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tcBorders>
          </w:tcPr>
          <w:p w14:paraId="5867E6ED" w14:textId="02C8BD4E" w:rsidR="00A43DEC" w:rsidRPr="006A339C" w:rsidRDefault="00A43DEC" w:rsidP="007A5291">
            <w:pPr>
              <w:spacing w:line="276" w:lineRule="auto"/>
              <w:jc w:val="both"/>
              <w:rPr>
                <w:b/>
                <w:bCs/>
                <w:i w:val="0"/>
                <w:iCs w:val="0"/>
              </w:rPr>
            </w:pPr>
            <w:r w:rsidRPr="006A339C">
              <w:rPr>
                <w:b/>
                <w:bCs/>
                <w:i w:val="0"/>
                <w:iCs w:val="0"/>
                <w:sz w:val="20"/>
                <w:szCs w:val="20"/>
              </w:rPr>
              <w:t xml:space="preserve">Margin of </w:t>
            </w:r>
            <w:r w:rsidR="009E6719" w:rsidRPr="006A339C">
              <w:rPr>
                <w:b/>
                <w:bCs/>
                <w:i w:val="0"/>
                <w:iCs w:val="0"/>
                <w:sz w:val="20"/>
                <w:szCs w:val="20"/>
              </w:rPr>
              <w:t>e</w:t>
            </w:r>
            <w:r w:rsidRPr="006A339C">
              <w:rPr>
                <w:b/>
                <w:bCs/>
                <w:i w:val="0"/>
                <w:iCs w:val="0"/>
                <w:sz w:val="20"/>
                <w:szCs w:val="20"/>
              </w:rPr>
              <w:t>rror</w:t>
            </w:r>
          </w:p>
        </w:tc>
        <w:tc>
          <w:tcPr>
            <w:tcW w:w="6327" w:type="dxa"/>
            <w:shd w:val="clear" w:color="auto" w:fill="auto"/>
          </w:tcPr>
          <w:p w14:paraId="25130650" w14:textId="33DFA8A9" w:rsidR="00A43DEC" w:rsidRPr="006A339C" w:rsidRDefault="009E6719" w:rsidP="007A5291">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6A339C">
              <w:rPr>
                <w:sz w:val="20"/>
                <w:szCs w:val="20"/>
              </w:rPr>
              <w:t>The system is forgiving of mistakes</w:t>
            </w:r>
            <w:r w:rsidR="008F6E0F" w:rsidRPr="006A339C">
              <w:rPr>
                <w:sz w:val="20"/>
                <w:szCs w:val="20"/>
              </w:rPr>
              <w:t xml:space="preserve"> and gives the benefit of doubt</w:t>
            </w:r>
          </w:p>
        </w:tc>
      </w:tr>
      <w:tr w:rsidR="00A43DEC" w14:paraId="3A97490D" w14:textId="77777777" w:rsidTr="009E6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tcBorders>
          </w:tcPr>
          <w:p w14:paraId="14DC9F86" w14:textId="3B3C2F21" w:rsidR="00A43DEC" w:rsidRPr="006A339C" w:rsidRDefault="00A43DEC" w:rsidP="007A5291">
            <w:pPr>
              <w:spacing w:line="276" w:lineRule="auto"/>
              <w:jc w:val="both"/>
              <w:rPr>
                <w:b/>
                <w:bCs/>
                <w:i w:val="0"/>
                <w:iCs w:val="0"/>
              </w:rPr>
            </w:pPr>
            <w:r w:rsidRPr="006A339C">
              <w:rPr>
                <w:b/>
                <w:bCs/>
                <w:i w:val="0"/>
                <w:iCs w:val="0"/>
                <w:sz w:val="20"/>
                <w:szCs w:val="20"/>
              </w:rPr>
              <w:t>Neutrality</w:t>
            </w:r>
          </w:p>
        </w:tc>
        <w:tc>
          <w:tcPr>
            <w:tcW w:w="6327" w:type="dxa"/>
            <w:shd w:val="clear" w:color="auto" w:fill="auto"/>
          </w:tcPr>
          <w:p w14:paraId="6EE0A142" w14:textId="19675C20" w:rsidR="00A43DEC" w:rsidRPr="006A339C" w:rsidRDefault="009E6719" w:rsidP="007A5291">
            <w:pPr>
              <w:spacing w:line="276"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6A339C">
              <w:rPr>
                <w:sz w:val="20"/>
                <w:szCs w:val="20"/>
              </w:rPr>
              <w:t>Officials</w:t>
            </w:r>
            <w:r w:rsidR="00A43DEC" w:rsidRPr="006A339C">
              <w:rPr>
                <w:sz w:val="20"/>
                <w:szCs w:val="20"/>
              </w:rPr>
              <w:t xml:space="preserve"> </w:t>
            </w:r>
            <w:r w:rsidRPr="006A339C">
              <w:rPr>
                <w:sz w:val="20"/>
                <w:szCs w:val="20"/>
              </w:rPr>
              <w:t xml:space="preserve">and </w:t>
            </w:r>
            <w:r w:rsidR="00A43DEC" w:rsidRPr="006A339C">
              <w:rPr>
                <w:sz w:val="20"/>
                <w:szCs w:val="20"/>
              </w:rPr>
              <w:t>processes exhibit</w:t>
            </w:r>
            <w:r w:rsidRPr="006A339C">
              <w:rPr>
                <w:sz w:val="20"/>
                <w:szCs w:val="20"/>
              </w:rPr>
              <w:t xml:space="preserve"> a lack of</w:t>
            </w:r>
            <w:r w:rsidR="00A43DEC" w:rsidRPr="006A339C">
              <w:rPr>
                <w:sz w:val="20"/>
                <w:szCs w:val="20"/>
              </w:rPr>
              <w:t xml:space="preserve"> bias </w:t>
            </w:r>
            <w:r w:rsidRPr="006A339C">
              <w:rPr>
                <w:sz w:val="20"/>
                <w:szCs w:val="20"/>
              </w:rPr>
              <w:t>and</w:t>
            </w:r>
            <w:r w:rsidR="00A43DEC" w:rsidRPr="006A339C">
              <w:rPr>
                <w:sz w:val="20"/>
                <w:szCs w:val="20"/>
              </w:rPr>
              <w:t xml:space="preserve"> discrimination</w:t>
            </w:r>
          </w:p>
        </w:tc>
      </w:tr>
      <w:tr w:rsidR="00A43DEC" w14:paraId="78236415" w14:textId="77777777" w:rsidTr="009E6719">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tcBorders>
          </w:tcPr>
          <w:p w14:paraId="48419A19" w14:textId="2605154F" w:rsidR="00A43DEC" w:rsidRPr="006A339C" w:rsidRDefault="00A43DEC" w:rsidP="007A5291">
            <w:pPr>
              <w:spacing w:line="276" w:lineRule="auto"/>
              <w:jc w:val="both"/>
              <w:rPr>
                <w:b/>
                <w:bCs/>
                <w:i w:val="0"/>
                <w:iCs w:val="0"/>
              </w:rPr>
            </w:pPr>
            <w:r w:rsidRPr="006A339C">
              <w:rPr>
                <w:b/>
                <w:bCs/>
                <w:i w:val="0"/>
                <w:iCs w:val="0"/>
                <w:sz w:val="20"/>
                <w:szCs w:val="20"/>
              </w:rPr>
              <w:t>Personalisation</w:t>
            </w:r>
          </w:p>
        </w:tc>
        <w:tc>
          <w:tcPr>
            <w:tcW w:w="6327" w:type="dxa"/>
            <w:shd w:val="clear" w:color="auto" w:fill="auto"/>
          </w:tcPr>
          <w:p w14:paraId="17C192A4" w14:textId="7ABBF446" w:rsidR="00A43DEC" w:rsidRPr="006A339C" w:rsidRDefault="009E6719" w:rsidP="007A5291">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6A339C">
              <w:rPr>
                <w:sz w:val="20"/>
                <w:szCs w:val="20"/>
              </w:rPr>
              <w:t>C</w:t>
            </w:r>
            <w:r w:rsidR="00A43DEC" w:rsidRPr="006A339C">
              <w:rPr>
                <w:sz w:val="20"/>
                <w:szCs w:val="20"/>
              </w:rPr>
              <w:t xml:space="preserve">ommunications </w:t>
            </w:r>
            <w:r w:rsidRPr="006A339C">
              <w:rPr>
                <w:sz w:val="20"/>
                <w:szCs w:val="20"/>
              </w:rPr>
              <w:t>are</w:t>
            </w:r>
            <w:r w:rsidR="00A43DEC" w:rsidRPr="006A339C">
              <w:rPr>
                <w:sz w:val="20"/>
                <w:szCs w:val="20"/>
              </w:rPr>
              <w:t xml:space="preserve"> specific to </w:t>
            </w:r>
            <w:r w:rsidRPr="006A339C">
              <w:rPr>
                <w:sz w:val="20"/>
                <w:szCs w:val="20"/>
              </w:rPr>
              <w:t>claimant’s circumstances</w:t>
            </w:r>
          </w:p>
        </w:tc>
      </w:tr>
      <w:tr w:rsidR="00A43DEC" w14:paraId="0246756C" w14:textId="77777777" w:rsidTr="009E6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tcBorders>
          </w:tcPr>
          <w:p w14:paraId="02725462" w14:textId="0B96F70E" w:rsidR="00A43DEC" w:rsidRPr="006A339C" w:rsidRDefault="00A43DEC" w:rsidP="007A5291">
            <w:pPr>
              <w:spacing w:line="276" w:lineRule="auto"/>
              <w:jc w:val="both"/>
              <w:rPr>
                <w:b/>
                <w:bCs/>
                <w:i w:val="0"/>
                <w:iCs w:val="0"/>
              </w:rPr>
            </w:pPr>
            <w:r w:rsidRPr="006A339C">
              <w:rPr>
                <w:b/>
                <w:bCs/>
                <w:i w:val="0"/>
                <w:iCs w:val="0"/>
                <w:sz w:val="20"/>
                <w:szCs w:val="20"/>
              </w:rPr>
              <w:t>Respectful communication</w:t>
            </w:r>
          </w:p>
        </w:tc>
        <w:tc>
          <w:tcPr>
            <w:tcW w:w="6327" w:type="dxa"/>
            <w:shd w:val="clear" w:color="auto" w:fill="auto"/>
          </w:tcPr>
          <w:p w14:paraId="771BD850" w14:textId="54221296" w:rsidR="00A43DEC" w:rsidRPr="006A339C" w:rsidRDefault="009E6719" w:rsidP="007A5291">
            <w:pPr>
              <w:spacing w:line="276"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6A339C">
              <w:rPr>
                <w:sz w:val="20"/>
                <w:szCs w:val="20"/>
              </w:rPr>
              <w:t>C</w:t>
            </w:r>
            <w:r w:rsidR="00A43DEC" w:rsidRPr="006A339C">
              <w:rPr>
                <w:sz w:val="20"/>
                <w:szCs w:val="20"/>
              </w:rPr>
              <w:t xml:space="preserve">laimants </w:t>
            </w:r>
            <w:r w:rsidRPr="006A339C">
              <w:rPr>
                <w:sz w:val="20"/>
                <w:szCs w:val="20"/>
              </w:rPr>
              <w:t xml:space="preserve">are </w:t>
            </w:r>
            <w:r w:rsidR="00A43DEC" w:rsidRPr="006A339C">
              <w:rPr>
                <w:sz w:val="20"/>
                <w:szCs w:val="20"/>
              </w:rPr>
              <w:t>communicated with respectfully</w:t>
            </w:r>
          </w:p>
        </w:tc>
      </w:tr>
      <w:tr w:rsidR="00A43DEC" w14:paraId="1B52B03F" w14:textId="77777777" w:rsidTr="009E6719">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tcBorders>
          </w:tcPr>
          <w:p w14:paraId="48E03E37" w14:textId="6E113344" w:rsidR="00A43DEC" w:rsidRPr="006A339C" w:rsidRDefault="00A43DEC" w:rsidP="007A5291">
            <w:pPr>
              <w:spacing w:line="276" w:lineRule="auto"/>
              <w:jc w:val="both"/>
              <w:rPr>
                <w:b/>
                <w:bCs/>
                <w:i w:val="0"/>
                <w:iCs w:val="0"/>
              </w:rPr>
            </w:pPr>
            <w:r w:rsidRPr="006A339C">
              <w:rPr>
                <w:b/>
                <w:bCs/>
                <w:i w:val="0"/>
                <w:iCs w:val="0"/>
                <w:sz w:val="20"/>
                <w:szCs w:val="20"/>
              </w:rPr>
              <w:t>Responsibility-taking</w:t>
            </w:r>
          </w:p>
        </w:tc>
        <w:tc>
          <w:tcPr>
            <w:tcW w:w="6327" w:type="dxa"/>
            <w:shd w:val="clear" w:color="auto" w:fill="auto"/>
          </w:tcPr>
          <w:p w14:paraId="5DBF9F64" w14:textId="7E95E658" w:rsidR="00A43DEC" w:rsidRPr="006A339C" w:rsidRDefault="009E6719" w:rsidP="007A5291">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6A339C">
              <w:rPr>
                <w:sz w:val="20"/>
                <w:szCs w:val="20"/>
              </w:rPr>
              <w:t xml:space="preserve">The </w:t>
            </w:r>
            <w:r w:rsidR="00A43DEC" w:rsidRPr="006A339C">
              <w:rPr>
                <w:sz w:val="20"/>
                <w:szCs w:val="20"/>
              </w:rPr>
              <w:t xml:space="preserve">burden of putting </w:t>
            </w:r>
            <w:r w:rsidRPr="006A339C">
              <w:rPr>
                <w:sz w:val="20"/>
                <w:szCs w:val="20"/>
              </w:rPr>
              <w:t>official errors</w:t>
            </w:r>
            <w:r w:rsidR="00A43DEC" w:rsidRPr="006A339C">
              <w:rPr>
                <w:sz w:val="20"/>
                <w:szCs w:val="20"/>
              </w:rPr>
              <w:t xml:space="preserve"> right </w:t>
            </w:r>
            <w:r w:rsidRPr="006A339C">
              <w:rPr>
                <w:sz w:val="20"/>
                <w:szCs w:val="20"/>
              </w:rPr>
              <w:t>is taken by officials</w:t>
            </w:r>
          </w:p>
        </w:tc>
      </w:tr>
      <w:tr w:rsidR="00A43DEC" w14:paraId="7291D4FF" w14:textId="77777777" w:rsidTr="009E6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tcBorders>
          </w:tcPr>
          <w:p w14:paraId="20B54FE5" w14:textId="38BC97A9" w:rsidR="00A43DEC" w:rsidRPr="006A339C" w:rsidRDefault="00A43DEC" w:rsidP="007A5291">
            <w:pPr>
              <w:spacing w:line="276" w:lineRule="auto"/>
              <w:jc w:val="both"/>
              <w:rPr>
                <w:b/>
                <w:bCs/>
                <w:i w:val="0"/>
                <w:iCs w:val="0"/>
              </w:rPr>
            </w:pPr>
            <w:r w:rsidRPr="006A339C">
              <w:rPr>
                <w:b/>
                <w:bCs/>
                <w:i w:val="0"/>
                <w:iCs w:val="0"/>
                <w:sz w:val="20"/>
                <w:szCs w:val="20"/>
              </w:rPr>
              <w:t>Speed</w:t>
            </w:r>
          </w:p>
        </w:tc>
        <w:tc>
          <w:tcPr>
            <w:tcW w:w="6327" w:type="dxa"/>
            <w:shd w:val="clear" w:color="auto" w:fill="auto"/>
          </w:tcPr>
          <w:p w14:paraId="66C6C574" w14:textId="308051A0" w:rsidR="00A43DEC" w:rsidRPr="006A339C" w:rsidRDefault="009E6719" w:rsidP="007A5291">
            <w:pPr>
              <w:spacing w:line="276"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6A339C">
              <w:rPr>
                <w:sz w:val="20"/>
                <w:szCs w:val="20"/>
              </w:rPr>
              <w:t>Relevant actions are taken promptly</w:t>
            </w:r>
          </w:p>
        </w:tc>
      </w:tr>
      <w:tr w:rsidR="00A43DEC" w14:paraId="54835491" w14:textId="77777777" w:rsidTr="009E6719">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tcBorders>
          </w:tcPr>
          <w:p w14:paraId="12F3BA12" w14:textId="4B264330" w:rsidR="00A43DEC" w:rsidRPr="006A339C" w:rsidRDefault="00A43DEC" w:rsidP="007A5291">
            <w:pPr>
              <w:spacing w:line="276" w:lineRule="auto"/>
              <w:jc w:val="both"/>
              <w:rPr>
                <w:b/>
                <w:bCs/>
                <w:i w:val="0"/>
                <w:iCs w:val="0"/>
              </w:rPr>
            </w:pPr>
            <w:r w:rsidRPr="006A339C">
              <w:rPr>
                <w:b/>
                <w:bCs/>
                <w:i w:val="0"/>
                <w:iCs w:val="0"/>
                <w:sz w:val="20"/>
                <w:szCs w:val="20"/>
              </w:rPr>
              <w:t>Transparency</w:t>
            </w:r>
          </w:p>
        </w:tc>
        <w:tc>
          <w:tcPr>
            <w:tcW w:w="6327" w:type="dxa"/>
            <w:shd w:val="clear" w:color="auto" w:fill="auto"/>
          </w:tcPr>
          <w:p w14:paraId="2B3612FE" w14:textId="24C291F5" w:rsidR="00A43DEC" w:rsidRPr="006A339C" w:rsidRDefault="009E6719" w:rsidP="007A5291">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6A339C">
              <w:rPr>
                <w:sz w:val="20"/>
                <w:szCs w:val="20"/>
              </w:rPr>
              <w:t>It is easy</w:t>
            </w:r>
            <w:r w:rsidR="00A43DEC" w:rsidRPr="006A339C">
              <w:rPr>
                <w:sz w:val="20"/>
                <w:szCs w:val="20"/>
              </w:rPr>
              <w:t xml:space="preserve"> to find out and/or show the basis for decisions</w:t>
            </w:r>
          </w:p>
        </w:tc>
      </w:tr>
      <w:tr w:rsidR="00A43DEC" w14:paraId="5CDDB83D" w14:textId="77777777" w:rsidTr="009E6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tcBorders>
          </w:tcPr>
          <w:p w14:paraId="52DC42CD" w14:textId="664037D5" w:rsidR="00A43DEC" w:rsidRPr="006A339C" w:rsidRDefault="00A43DEC" w:rsidP="007A5291">
            <w:pPr>
              <w:spacing w:line="276" w:lineRule="auto"/>
              <w:jc w:val="both"/>
              <w:rPr>
                <w:b/>
                <w:bCs/>
                <w:i w:val="0"/>
                <w:iCs w:val="0"/>
              </w:rPr>
            </w:pPr>
            <w:r w:rsidRPr="006A339C">
              <w:rPr>
                <w:b/>
                <w:bCs/>
                <w:i w:val="0"/>
                <w:iCs w:val="0"/>
                <w:sz w:val="20"/>
                <w:szCs w:val="20"/>
              </w:rPr>
              <w:t>Trustworthiness</w:t>
            </w:r>
          </w:p>
        </w:tc>
        <w:tc>
          <w:tcPr>
            <w:tcW w:w="6327" w:type="dxa"/>
            <w:shd w:val="clear" w:color="auto" w:fill="auto"/>
          </w:tcPr>
          <w:p w14:paraId="66FB9706" w14:textId="6C90F75A" w:rsidR="00A43DEC" w:rsidRPr="006A339C" w:rsidRDefault="009E6719" w:rsidP="007A5291">
            <w:pPr>
              <w:spacing w:line="276"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6A339C">
              <w:rPr>
                <w:sz w:val="20"/>
                <w:szCs w:val="20"/>
              </w:rPr>
              <w:t>Officials act in</w:t>
            </w:r>
            <w:r w:rsidR="00A43DEC" w:rsidRPr="006A339C">
              <w:rPr>
                <w:sz w:val="20"/>
                <w:szCs w:val="20"/>
              </w:rPr>
              <w:t xml:space="preserve"> a way that exhibits trustworthiness</w:t>
            </w:r>
          </w:p>
        </w:tc>
      </w:tr>
      <w:tr w:rsidR="00A43DEC" w14:paraId="41C9680B" w14:textId="77777777" w:rsidTr="009E6719">
        <w:trPr>
          <w:trHeight w:val="108"/>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tcPr>
          <w:p w14:paraId="56ECA85D" w14:textId="2A942068" w:rsidR="00A43DEC" w:rsidRPr="006A339C" w:rsidRDefault="00A43DEC" w:rsidP="007A5291">
            <w:pPr>
              <w:spacing w:line="276" w:lineRule="auto"/>
              <w:jc w:val="both"/>
              <w:rPr>
                <w:b/>
                <w:bCs/>
                <w:i w:val="0"/>
                <w:iCs w:val="0"/>
              </w:rPr>
            </w:pPr>
            <w:r w:rsidRPr="006A339C">
              <w:rPr>
                <w:b/>
                <w:bCs/>
                <w:i w:val="0"/>
                <w:iCs w:val="0"/>
                <w:sz w:val="20"/>
                <w:szCs w:val="20"/>
              </w:rPr>
              <w:t>Voice</w:t>
            </w:r>
          </w:p>
        </w:tc>
        <w:tc>
          <w:tcPr>
            <w:tcW w:w="6327" w:type="dxa"/>
            <w:shd w:val="clear" w:color="auto" w:fill="auto"/>
          </w:tcPr>
          <w:p w14:paraId="5003EDDF" w14:textId="3955F166" w:rsidR="00A43DEC" w:rsidRPr="006A339C" w:rsidRDefault="009E6719" w:rsidP="007A5291">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6A339C">
              <w:rPr>
                <w:sz w:val="20"/>
                <w:szCs w:val="20"/>
              </w:rPr>
              <w:t>C</w:t>
            </w:r>
            <w:r w:rsidR="00A43DEC" w:rsidRPr="006A339C">
              <w:rPr>
                <w:sz w:val="20"/>
                <w:szCs w:val="20"/>
              </w:rPr>
              <w:t>laimants</w:t>
            </w:r>
            <w:r w:rsidRPr="006A339C">
              <w:rPr>
                <w:sz w:val="20"/>
                <w:szCs w:val="20"/>
              </w:rPr>
              <w:t xml:space="preserve"> can</w:t>
            </w:r>
            <w:r w:rsidR="00A43DEC" w:rsidRPr="006A339C">
              <w:rPr>
                <w:sz w:val="20"/>
                <w:szCs w:val="20"/>
              </w:rPr>
              <w:t xml:space="preserve"> express themselves </w:t>
            </w:r>
            <w:r w:rsidRPr="006A339C">
              <w:rPr>
                <w:sz w:val="20"/>
                <w:szCs w:val="20"/>
              </w:rPr>
              <w:t>and</w:t>
            </w:r>
            <w:r w:rsidR="00A43DEC" w:rsidRPr="006A339C">
              <w:rPr>
                <w:sz w:val="20"/>
                <w:szCs w:val="20"/>
              </w:rPr>
              <w:t xml:space="preserve"> feel listened to</w:t>
            </w:r>
            <w:r w:rsidRPr="006A339C">
              <w:rPr>
                <w:sz w:val="20"/>
                <w:szCs w:val="20"/>
              </w:rPr>
              <w:t>/</w:t>
            </w:r>
            <w:r w:rsidR="00A43DEC" w:rsidRPr="006A339C">
              <w:rPr>
                <w:sz w:val="20"/>
                <w:szCs w:val="20"/>
              </w:rPr>
              <w:t>understood</w:t>
            </w:r>
          </w:p>
        </w:tc>
      </w:tr>
    </w:tbl>
    <w:p w14:paraId="703BF3ED" w14:textId="77777777" w:rsidR="006C6143" w:rsidRPr="006C6143" w:rsidRDefault="006C6143" w:rsidP="007A5291">
      <w:pPr>
        <w:spacing w:line="276" w:lineRule="auto"/>
        <w:jc w:val="both"/>
        <w:rPr>
          <w:b/>
          <w:bCs/>
          <w:sz w:val="8"/>
          <w:szCs w:val="8"/>
        </w:rPr>
      </w:pPr>
    </w:p>
    <w:p w14:paraId="7ABA1FBA" w14:textId="456FE1F3" w:rsidR="00A43DEC" w:rsidRDefault="00A43DEC" w:rsidP="007A5291">
      <w:pPr>
        <w:spacing w:line="276" w:lineRule="auto"/>
        <w:jc w:val="both"/>
        <w:rPr>
          <w:sz w:val="20"/>
          <w:szCs w:val="20"/>
        </w:rPr>
      </w:pPr>
      <w:r w:rsidRPr="00037206">
        <w:rPr>
          <w:b/>
          <w:bCs/>
          <w:sz w:val="20"/>
          <w:szCs w:val="20"/>
        </w:rPr>
        <w:t xml:space="preserve">Table 1: </w:t>
      </w:r>
      <w:r w:rsidRPr="00037206">
        <w:rPr>
          <w:sz w:val="20"/>
          <w:szCs w:val="20"/>
        </w:rPr>
        <w:t>Code of procedural qualities</w:t>
      </w:r>
    </w:p>
    <w:p w14:paraId="2D9B9957" w14:textId="77777777" w:rsidR="006C6143" w:rsidRDefault="006C6143" w:rsidP="007A5291">
      <w:pPr>
        <w:spacing w:line="276" w:lineRule="auto"/>
        <w:jc w:val="both"/>
        <w:rPr>
          <w:b/>
          <w:bCs/>
          <w:sz w:val="20"/>
          <w:szCs w:val="20"/>
        </w:rPr>
      </w:pPr>
    </w:p>
    <w:p w14:paraId="02B7F465" w14:textId="77777777" w:rsidR="008569CF" w:rsidRPr="00037206" w:rsidRDefault="008569CF" w:rsidP="007A5291">
      <w:pPr>
        <w:spacing w:line="276" w:lineRule="auto"/>
        <w:jc w:val="both"/>
        <w:rPr>
          <w:b/>
          <w:bCs/>
          <w:sz w:val="20"/>
          <w:szCs w:val="20"/>
        </w:rPr>
      </w:pPr>
    </w:p>
    <w:p w14:paraId="3A75ADC5" w14:textId="380CB090" w:rsidR="00AA42B7" w:rsidRPr="00D502AA" w:rsidRDefault="006C6143" w:rsidP="00D502AA">
      <w:pPr>
        <w:spacing w:line="360" w:lineRule="auto"/>
        <w:jc w:val="center"/>
        <w:rPr>
          <w:b/>
          <w:bCs/>
          <w:smallCaps/>
          <w:color w:val="000000" w:themeColor="text1"/>
        </w:rPr>
      </w:pPr>
      <w:r w:rsidRPr="00392BDE">
        <w:rPr>
          <w:b/>
          <w:bCs/>
          <w:smallCaps/>
          <w:color w:val="000000" w:themeColor="text1"/>
        </w:rPr>
        <w:t>III. UNIVERSAL CREDIT AS A SERVICE: THE PROCESS LOGIC OF OFFICIALS</w:t>
      </w:r>
    </w:p>
    <w:p w14:paraId="4F9837BB" w14:textId="77777777" w:rsidR="00AA42B7" w:rsidRPr="00392BDE" w:rsidRDefault="00AA42B7" w:rsidP="00392BDE">
      <w:pPr>
        <w:spacing w:line="360" w:lineRule="auto"/>
        <w:jc w:val="both"/>
        <w:rPr>
          <w:color w:val="000000" w:themeColor="text1"/>
          <w:sz w:val="10"/>
          <w:szCs w:val="10"/>
        </w:rPr>
      </w:pPr>
    </w:p>
    <w:p w14:paraId="7B7A24FB" w14:textId="25B75E95" w:rsidR="00367761" w:rsidRPr="00392BDE" w:rsidRDefault="00367761" w:rsidP="00392BDE">
      <w:pPr>
        <w:spacing w:line="360" w:lineRule="auto"/>
        <w:contextualSpacing/>
        <w:jc w:val="both"/>
      </w:pPr>
      <w:r w:rsidRPr="00392BDE">
        <w:t xml:space="preserve">Thus far, understanding of the emerging digital welfare state in the UK has largely been advanced through research on understanding the views and experiences of UC claimants. The perspective of claimants is, of course, vital. However, developing a richer account of the official perspective is also essential. Without it, nuanced and often unobvious reasoning underpinning the design of processes can be missed or misunderstood. As a result, good faith critical engagement can </w:t>
      </w:r>
      <w:r w:rsidR="006D59CD" w:rsidRPr="00392BDE">
        <w:t xml:space="preserve">also </w:t>
      </w:r>
      <w:r w:rsidRPr="00392BDE">
        <w:t xml:space="preserve">miss the target, and fail to engage properly with important process questions as they exist in practice. What, then, do officials think of when </w:t>
      </w:r>
      <w:r w:rsidR="00A7141A">
        <w:t>considering</w:t>
      </w:r>
      <w:r w:rsidR="006D59CD" w:rsidRPr="00392BDE">
        <w:t xml:space="preserve"> what makes for</w:t>
      </w:r>
      <w:r w:rsidRPr="00392BDE">
        <w:t xml:space="preserve"> acceptable processes in UC?</w:t>
      </w:r>
    </w:p>
    <w:p w14:paraId="17E9B19D" w14:textId="77777777" w:rsidR="00367761" w:rsidRPr="00392BDE" w:rsidRDefault="00367761" w:rsidP="00392BDE">
      <w:pPr>
        <w:spacing w:line="360" w:lineRule="auto"/>
        <w:jc w:val="both"/>
      </w:pPr>
    </w:p>
    <w:p w14:paraId="7B4F943F" w14:textId="4D6B7C76" w:rsidR="00367761" w:rsidRPr="00392BDE" w:rsidRDefault="00367761" w:rsidP="00392BDE">
      <w:pPr>
        <w:spacing w:line="360" w:lineRule="auto"/>
        <w:jc w:val="both"/>
      </w:pPr>
      <w:r w:rsidRPr="00392BDE">
        <w:tab/>
        <w:t xml:space="preserve">At the outset, it is important to note that DWP officials </w:t>
      </w:r>
      <w:r w:rsidR="006D59CD" w:rsidRPr="00392BDE">
        <w:t xml:space="preserve">generally </w:t>
      </w:r>
      <w:r w:rsidRPr="00392BDE">
        <w:t>approach</w:t>
      </w:r>
      <w:r w:rsidR="00A7141A">
        <w:t>ed</w:t>
      </w:r>
      <w:r w:rsidRPr="00392BDE">
        <w:t xml:space="preserve"> the evaluation of UC processes through a particular frame, which is characterised by several features. Officials </w:t>
      </w:r>
      <w:r w:rsidR="00A7141A">
        <w:t>were</w:t>
      </w:r>
      <w:r w:rsidR="00A7141A" w:rsidRPr="00392BDE">
        <w:t xml:space="preserve"> </w:t>
      </w:r>
      <w:r w:rsidRPr="00392BDE">
        <w:t xml:space="preserve">expressly concerned with the </w:t>
      </w:r>
      <w:r w:rsidR="00392BDE" w:rsidRPr="00392BDE">
        <w:t>‘</w:t>
      </w:r>
      <w:r w:rsidRPr="00392BDE">
        <w:t>user experience</w:t>
      </w:r>
      <w:r w:rsidR="00392BDE" w:rsidRPr="00392BDE">
        <w:t>’</w:t>
      </w:r>
      <w:r w:rsidRPr="00392BDE">
        <w:t xml:space="preserve"> of claimants</w:t>
      </w:r>
      <w:r w:rsidR="00A7141A">
        <w:t>.</w:t>
      </w:r>
      <w:r w:rsidRPr="00392BDE">
        <w:t xml:space="preserve"> </w:t>
      </w:r>
      <w:r w:rsidR="00A7141A">
        <w:t>S</w:t>
      </w:r>
      <w:r w:rsidRPr="00392BDE">
        <w:t xml:space="preserve">ignificant efforts are made to understand how claimants think and behave and to develop processes that work well. This is not merely a presentational </w:t>
      </w:r>
      <w:r w:rsidR="008569CF" w:rsidRPr="00392BDE">
        <w:t>device;</w:t>
      </w:r>
      <w:r w:rsidRPr="00392BDE">
        <w:t xml:space="preserve"> it courses through the internal language of the Department and its work. However, officials </w:t>
      </w:r>
      <w:r w:rsidR="00A7141A">
        <w:t>were</w:t>
      </w:r>
      <w:r w:rsidR="00A7141A" w:rsidRPr="00392BDE">
        <w:t xml:space="preserve"> </w:t>
      </w:r>
      <w:r w:rsidRPr="00392BDE">
        <w:t xml:space="preserve">also naturally concerned, as managers of a public system, with the UC system as a whole and the entire cohort of welfare recipients. Thus, while process design and development work </w:t>
      </w:r>
      <w:r w:rsidR="006D59CD" w:rsidRPr="00392BDE">
        <w:t>is</w:t>
      </w:r>
      <w:r w:rsidRPr="00392BDE">
        <w:t xml:space="preserve"> undertaken within the rubric of </w:t>
      </w:r>
      <w:r w:rsidR="00392BDE" w:rsidRPr="00392BDE">
        <w:t>‘d</w:t>
      </w:r>
      <w:r w:rsidRPr="00392BDE">
        <w:t>esigning for users</w:t>
      </w:r>
      <w:r w:rsidR="00392BDE" w:rsidRPr="00392BDE">
        <w:t>’</w:t>
      </w:r>
      <w:r w:rsidRPr="00392BDE">
        <w:t xml:space="preserve">, officials </w:t>
      </w:r>
      <w:r w:rsidR="00A7141A">
        <w:t>were</w:t>
      </w:r>
      <w:r w:rsidR="00A7141A" w:rsidRPr="00392BDE">
        <w:t xml:space="preserve"> </w:t>
      </w:r>
      <w:r w:rsidRPr="00392BDE">
        <w:t xml:space="preserve">always conscious that process changes have management-side implications. Their position naturally also </w:t>
      </w:r>
      <w:r w:rsidR="00A7141A" w:rsidRPr="00392BDE">
        <w:t>involve</w:t>
      </w:r>
      <w:r w:rsidR="00A7141A">
        <w:t>d</w:t>
      </w:r>
      <w:r w:rsidR="00A7141A" w:rsidRPr="00392BDE">
        <w:t xml:space="preserve"> </w:t>
      </w:r>
      <w:r w:rsidRPr="00392BDE">
        <w:t xml:space="preserve">considering factors in the design of processes that </w:t>
      </w:r>
      <w:r w:rsidR="00A7141A">
        <w:t>would</w:t>
      </w:r>
      <w:r w:rsidR="00A7141A" w:rsidRPr="00392BDE">
        <w:t xml:space="preserve"> </w:t>
      </w:r>
      <w:r w:rsidRPr="00392BDE">
        <w:t xml:space="preserve">typically not be priorities for individual users but </w:t>
      </w:r>
      <w:r w:rsidR="00A7141A">
        <w:t>were</w:t>
      </w:r>
      <w:r w:rsidR="00A7141A" w:rsidRPr="00392BDE">
        <w:t xml:space="preserve"> </w:t>
      </w:r>
      <w:r w:rsidRPr="00392BDE">
        <w:t xml:space="preserve">nonetheless important, including to the wider public. The risk of welfare fraud is an example—some process design choices may increase </w:t>
      </w:r>
      <w:r w:rsidR="006D59CD" w:rsidRPr="00392BDE">
        <w:t xml:space="preserve">or decrease </w:t>
      </w:r>
      <w:r w:rsidRPr="00392BDE">
        <w:t xml:space="preserve">the risk of fraud, and this </w:t>
      </w:r>
      <w:r w:rsidR="00A7141A">
        <w:t>was</w:t>
      </w:r>
      <w:r w:rsidR="00A7141A" w:rsidRPr="00392BDE">
        <w:t xml:space="preserve"> </w:t>
      </w:r>
      <w:r w:rsidRPr="00392BDE">
        <w:t xml:space="preserve">a relevant consideration for officials in a way that </w:t>
      </w:r>
      <w:r w:rsidR="00A7141A">
        <w:t>was</w:t>
      </w:r>
      <w:r w:rsidR="00A7141A" w:rsidRPr="00392BDE">
        <w:t xml:space="preserve"> </w:t>
      </w:r>
      <w:r w:rsidRPr="00392BDE">
        <w:t xml:space="preserve">not for individual claimants. Perhaps the most </w:t>
      </w:r>
      <w:r w:rsidRPr="00392BDE">
        <w:lastRenderedPageBreak/>
        <w:t xml:space="preserve">striking feature of the official perspective in relation to UC, in particular, </w:t>
      </w:r>
      <w:r w:rsidR="00A7141A">
        <w:t>was</w:t>
      </w:r>
      <w:r w:rsidR="00A7141A" w:rsidRPr="00392BDE">
        <w:t xml:space="preserve"> </w:t>
      </w:r>
      <w:r w:rsidRPr="00392BDE">
        <w:t>that officials seem</w:t>
      </w:r>
      <w:r w:rsidR="00A7141A">
        <w:t>ed</w:t>
      </w:r>
      <w:r w:rsidRPr="00392BDE">
        <w:t xml:space="preserve"> to think far less about social security </w:t>
      </w:r>
      <w:r w:rsidR="00392BDE" w:rsidRPr="00392BDE">
        <w:t>‘</w:t>
      </w:r>
      <w:r w:rsidRPr="00392BDE">
        <w:t>decision-making</w:t>
      </w:r>
      <w:r w:rsidR="00392BDE" w:rsidRPr="00392BDE">
        <w:t>’</w:t>
      </w:r>
      <w:r w:rsidRPr="00392BDE">
        <w:t xml:space="preserve"> and much more about the maintenance of a constructive relationship between the DWP and the claimant.</w:t>
      </w:r>
    </w:p>
    <w:p w14:paraId="36F72847" w14:textId="77777777" w:rsidR="00367761" w:rsidRPr="00392BDE" w:rsidRDefault="00367761" w:rsidP="00392BDE">
      <w:pPr>
        <w:spacing w:line="360" w:lineRule="auto"/>
        <w:jc w:val="both"/>
      </w:pPr>
    </w:p>
    <w:p w14:paraId="6EC0619F" w14:textId="5D840622" w:rsidR="00AE3D17" w:rsidRPr="00392BDE" w:rsidRDefault="00367761" w:rsidP="00392BDE">
      <w:pPr>
        <w:spacing w:line="360" w:lineRule="auto"/>
        <w:jc w:val="both"/>
      </w:pPr>
      <w:r w:rsidRPr="00392BDE">
        <w:tab/>
      </w:r>
      <w:r w:rsidR="00FC2138" w:rsidRPr="00392BDE">
        <w:t>Six</w:t>
      </w:r>
      <w:r w:rsidR="00E30B35" w:rsidRPr="00392BDE">
        <w:t xml:space="preserve"> </w:t>
      </w:r>
      <w:r w:rsidRPr="00392BDE">
        <w:t xml:space="preserve">qualities </w:t>
      </w:r>
      <w:r w:rsidR="007C65B5">
        <w:t>were</w:t>
      </w:r>
      <w:r w:rsidR="007C65B5" w:rsidRPr="00392BDE">
        <w:t xml:space="preserve"> </w:t>
      </w:r>
      <w:r w:rsidRPr="00392BDE">
        <w:t xml:space="preserve">central </w:t>
      </w:r>
      <w:r w:rsidR="00392BDE" w:rsidRPr="00392BDE">
        <w:t xml:space="preserve">to </w:t>
      </w:r>
      <w:r w:rsidR="007C65B5">
        <w:t>our DWP participants’</w:t>
      </w:r>
      <w:r w:rsidR="007C65B5" w:rsidRPr="00392BDE">
        <w:t xml:space="preserve"> </w:t>
      </w:r>
      <w:r w:rsidRPr="00392BDE">
        <w:t xml:space="preserve">reasoning concerning what constitutes an acceptable process for claimants. Importantly, as per our observation above, officials </w:t>
      </w:r>
      <w:r w:rsidR="007C65B5">
        <w:t>saw</w:t>
      </w:r>
      <w:r w:rsidR="007C65B5" w:rsidRPr="00392BDE">
        <w:t xml:space="preserve"> </w:t>
      </w:r>
      <w:r w:rsidRPr="00392BDE">
        <w:t xml:space="preserve">these as both qualities of a UC decision-making process but also qualities of the wider service through which the DWP maintains relationships with claimants. The two </w:t>
      </w:r>
      <w:r w:rsidR="007C65B5">
        <w:t>were</w:t>
      </w:r>
      <w:r w:rsidRPr="00392BDE">
        <w:t>, in practice, difficult to distinguish, both generally and</w:t>
      </w:r>
      <w:r w:rsidR="00E30B35" w:rsidRPr="00392BDE">
        <w:t xml:space="preserve"> specifically</w:t>
      </w:r>
      <w:r w:rsidRPr="00392BDE">
        <w:t xml:space="preserve"> in terms of how they </w:t>
      </w:r>
      <w:r w:rsidR="007C65B5">
        <w:t>sought</w:t>
      </w:r>
      <w:r w:rsidR="007C65B5" w:rsidRPr="00392BDE">
        <w:t xml:space="preserve"> </w:t>
      </w:r>
      <w:r w:rsidRPr="00392BDE">
        <w:t>to legitimise welfare decision-making.</w:t>
      </w:r>
      <w:r w:rsidR="00AE3D17" w:rsidRPr="00392BDE">
        <w:t xml:space="preserve"> This marginalisation of </w:t>
      </w:r>
      <w:r w:rsidR="00392BDE" w:rsidRPr="00392BDE">
        <w:t>‘</w:t>
      </w:r>
      <w:r w:rsidR="00AE3D17" w:rsidRPr="00392BDE">
        <w:t>the decision</w:t>
      </w:r>
      <w:r w:rsidR="00392BDE" w:rsidRPr="00392BDE">
        <w:t>’</w:t>
      </w:r>
      <w:r w:rsidR="00AE3D17" w:rsidRPr="00392BDE">
        <w:t xml:space="preserve">—upon which much theory about </w:t>
      </w:r>
      <w:r w:rsidR="00392BDE" w:rsidRPr="00392BDE">
        <w:t>the legitimacy of</w:t>
      </w:r>
      <w:r w:rsidR="00AE3D17" w:rsidRPr="00392BDE">
        <w:t xml:space="preserve"> administration is built—is a key feature of the digital welfare state as a mode of public administration.</w:t>
      </w:r>
    </w:p>
    <w:p w14:paraId="10213A5A" w14:textId="77777777" w:rsidR="008F0E77" w:rsidRPr="00392BDE" w:rsidRDefault="008F0E77" w:rsidP="00392BDE">
      <w:pPr>
        <w:spacing w:line="360" w:lineRule="auto"/>
        <w:contextualSpacing/>
        <w:jc w:val="both"/>
        <w:rPr>
          <w:color w:val="000000" w:themeColor="text1"/>
        </w:rPr>
      </w:pPr>
    </w:p>
    <w:p w14:paraId="1631980E" w14:textId="0543BAFA" w:rsidR="002B1EAE" w:rsidRPr="00392BDE" w:rsidRDefault="00F62F64" w:rsidP="00392BDE">
      <w:pPr>
        <w:spacing w:line="360" w:lineRule="auto"/>
        <w:ind w:firstLine="720"/>
        <w:jc w:val="both"/>
      </w:pPr>
      <w:r w:rsidRPr="00392BDE">
        <w:rPr>
          <w:color w:val="000000" w:themeColor="text1"/>
        </w:rPr>
        <w:t>First, officials place</w:t>
      </w:r>
      <w:r w:rsidR="007C65B5">
        <w:rPr>
          <w:color w:val="000000" w:themeColor="text1"/>
        </w:rPr>
        <w:t>d</w:t>
      </w:r>
      <w:r w:rsidRPr="00392BDE">
        <w:rPr>
          <w:color w:val="000000" w:themeColor="text1"/>
        </w:rPr>
        <w:t xml:space="preserve"> </w:t>
      </w:r>
      <w:r w:rsidR="002B1EAE" w:rsidRPr="00392BDE">
        <w:rPr>
          <w:color w:val="000000" w:themeColor="text1"/>
        </w:rPr>
        <w:t>significant</w:t>
      </w:r>
      <w:r w:rsidRPr="00392BDE">
        <w:rPr>
          <w:color w:val="000000" w:themeColor="text1"/>
        </w:rPr>
        <w:t xml:space="preserve"> emphasis on </w:t>
      </w:r>
      <w:r w:rsidR="002B1EAE" w:rsidRPr="00392BDE">
        <w:rPr>
          <w:color w:val="000000" w:themeColor="text1"/>
        </w:rPr>
        <w:t>intelligibility</w:t>
      </w:r>
      <w:r w:rsidR="00AE3D17" w:rsidRPr="00392BDE">
        <w:rPr>
          <w:color w:val="000000" w:themeColor="text1"/>
        </w:rPr>
        <w:t xml:space="preserve"> (</w:t>
      </w:r>
      <w:r w:rsidR="00AE3D17" w:rsidRPr="00392BDE">
        <w:rPr>
          <w:i/>
          <w:iCs/>
          <w:color w:val="000000" w:themeColor="text1"/>
        </w:rPr>
        <w:t>i.e.</w:t>
      </w:r>
      <w:r w:rsidR="00AE3D17" w:rsidRPr="00392BDE">
        <w:rPr>
          <w:color w:val="000000" w:themeColor="text1"/>
        </w:rPr>
        <w:t xml:space="preserve"> making any communications with claimants clear and easy to understand)</w:t>
      </w:r>
      <w:r w:rsidR="002B1EAE" w:rsidRPr="00392BDE">
        <w:rPr>
          <w:color w:val="000000" w:themeColor="text1"/>
        </w:rPr>
        <w:t xml:space="preserve"> within </w:t>
      </w:r>
      <w:r w:rsidR="00C637AF" w:rsidRPr="00392BDE">
        <w:rPr>
          <w:color w:val="000000" w:themeColor="text1"/>
        </w:rPr>
        <w:t xml:space="preserve">UC </w:t>
      </w:r>
      <w:r w:rsidR="002B1EAE" w:rsidRPr="00392BDE">
        <w:rPr>
          <w:color w:val="000000" w:themeColor="text1"/>
        </w:rPr>
        <w:t>processes</w:t>
      </w:r>
      <w:r w:rsidR="00AE3D17" w:rsidRPr="00392BDE">
        <w:rPr>
          <w:color w:val="000000" w:themeColor="text1"/>
        </w:rPr>
        <w:t xml:space="preserve"> </w:t>
      </w:r>
      <w:r w:rsidR="00100FBC" w:rsidRPr="00392BDE">
        <w:rPr>
          <w:color w:val="000000" w:themeColor="text1"/>
        </w:rPr>
        <w:t xml:space="preserve">and </w:t>
      </w:r>
      <w:r w:rsidR="007C65B5">
        <w:rPr>
          <w:color w:val="000000" w:themeColor="text1"/>
        </w:rPr>
        <w:t>saw</w:t>
      </w:r>
      <w:r w:rsidR="007C65B5" w:rsidRPr="00392BDE">
        <w:rPr>
          <w:color w:val="000000" w:themeColor="text1"/>
        </w:rPr>
        <w:t xml:space="preserve"> </w:t>
      </w:r>
      <w:r w:rsidR="000C1187" w:rsidRPr="00392BDE">
        <w:rPr>
          <w:color w:val="000000" w:themeColor="text1"/>
        </w:rPr>
        <w:t xml:space="preserve">it as </w:t>
      </w:r>
      <w:r w:rsidR="00392BDE" w:rsidRPr="00392BDE">
        <w:rPr>
          <w:color w:val="000000" w:themeColor="text1"/>
        </w:rPr>
        <w:t>‘</w:t>
      </w:r>
      <w:r w:rsidR="000C1187" w:rsidRPr="00392BDE">
        <w:rPr>
          <w:color w:val="000000" w:themeColor="text1"/>
        </w:rPr>
        <w:t>essential to good design for people to understand what they’re doing</w:t>
      </w:r>
      <w:r w:rsidR="00392BDE" w:rsidRPr="00392BDE">
        <w:rPr>
          <w:color w:val="000000" w:themeColor="text1"/>
        </w:rPr>
        <w:t>’</w:t>
      </w:r>
      <w:r w:rsidR="000C1187" w:rsidRPr="00392BDE">
        <w:rPr>
          <w:color w:val="000000" w:themeColor="text1"/>
        </w:rPr>
        <w:t>.</w:t>
      </w:r>
      <w:r w:rsidR="000C1187" w:rsidRPr="00392BDE">
        <w:rPr>
          <w:rStyle w:val="FootnoteReference"/>
          <w:color w:val="000000" w:themeColor="text1"/>
        </w:rPr>
        <w:footnoteReference w:id="17"/>
      </w:r>
      <w:r w:rsidRPr="00392BDE">
        <w:rPr>
          <w:color w:val="000000" w:themeColor="text1"/>
        </w:rPr>
        <w:t xml:space="preserve"> </w:t>
      </w:r>
      <w:r w:rsidR="00AE3D17" w:rsidRPr="00392BDE">
        <w:rPr>
          <w:color w:val="000000" w:themeColor="text1"/>
        </w:rPr>
        <w:t>Official</w:t>
      </w:r>
      <w:r w:rsidR="007C65B5">
        <w:rPr>
          <w:color w:val="000000" w:themeColor="text1"/>
        </w:rPr>
        <w:t>s</w:t>
      </w:r>
      <w:r w:rsidRPr="00392BDE">
        <w:rPr>
          <w:color w:val="000000" w:themeColor="text1"/>
        </w:rPr>
        <w:t xml:space="preserve"> </w:t>
      </w:r>
      <w:r w:rsidR="007C65B5">
        <w:rPr>
          <w:color w:val="000000" w:themeColor="text1"/>
        </w:rPr>
        <w:t>spoke</w:t>
      </w:r>
      <w:r w:rsidR="007C65B5" w:rsidRPr="00392BDE">
        <w:rPr>
          <w:color w:val="000000" w:themeColor="text1"/>
        </w:rPr>
        <w:t xml:space="preserve"> </w:t>
      </w:r>
      <w:r w:rsidRPr="00392BDE">
        <w:rPr>
          <w:color w:val="000000" w:themeColor="text1"/>
        </w:rPr>
        <w:t xml:space="preserve">widely of this quality being important in both generic information (such as that in </w:t>
      </w:r>
      <w:r w:rsidR="00AE3D17" w:rsidRPr="00392BDE">
        <w:rPr>
          <w:color w:val="000000" w:themeColor="text1"/>
        </w:rPr>
        <w:t xml:space="preserve">official </w:t>
      </w:r>
      <w:r w:rsidRPr="00392BDE">
        <w:rPr>
          <w:color w:val="000000" w:themeColor="text1"/>
        </w:rPr>
        <w:t>guidance or on</w:t>
      </w:r>
      <w:r w:rsidR="00100FBC" w:rsidRPr="00392BDE">
        <w:rPr>
          <w:color w:val="000000" w:themeColor="text1"/>
        </w:rPr>
        <w:t xml:space="preserve"> online</w:t>
      </w:r>
      <w:r w:rsidRPr="00392BDE">
        <w:rPr>
          <w:color w:val="000000" w:themeColor="text1"/>
        </w:rPr>
        <w:t xml:space="preserve"> forms) and</w:t>
      </w:r>
      <w:r w:rsidR="002B1EAE" w:rsidRPr="00392BDE">
        <w:rPr>
          <w:color w:val="000000" w:themeColor="text1"/>
        </w:rPr>
        <w:t xml:space="preserve"> also</w:t>
      </w:r>
      <w:r w:rsidRPr="00392BDE">
        <w:rPr>
          <w:color w:val="000000" w:themeColor="text1"/>
        </w:rPr>
        <w:t xml:space="preserve"> personalised, direct communications</w:t>
      </w:r>
      <w:r w:rsidR="00AE3D17" w:rsidRPr="00392BDE">
        <w:rPr>
          <w:color w:val="000000" w:themeColor="text1"/>
        </w:rPr>
        <w:t xml:space="preserve"> with claimants</w:t>
      </w:r>
      <w:r w:rsidR="002B1EAE" w:rsidRPr="00392BDE">
        <w:rPr>
          <w:color w:val="000000" w:themeColor="text1"/>
        </w:rPr>
        <w:t xml:space="preserve">. As one official put it, </w:t>
      </w:r>
      <w:r w:rsidR="00392BDE" w:rsidRPr="00392BDE">
        <w:rPr>
          <w:color w:val="000000" w:themeColor="text1"/>
        </w:rPr>
        <w:t>‘</w:t>
      </w:r>
      <w:r w:rsidRPr="00392BDE">
        <w:t>our focus is always</w:t>
      </w:r>
      <w:r w:rsidR="007C65B5">
        <w:t>:</w:t>
      </w:r>
      <w:r w:rsidRPr="00392BDE">
        <w:t xml:space="preserve"> are we telling the claimants exactly what they need to do? Is it clear enough for them to understand what they need to do? And do they understand the consequences of not taking that action, where that might lead</w:t>
      </w:r>
      <w:r w:rsidR="002B1EAE" w:rsidRPr="00392BDE">
        <w:t xml:space="preserve"> t</w:t>
      </w:r>
      <w:r w:rsidRPr="00392BDE">
        <w:t>hem?</w:t>
      </w:r>
      <w:r w:rsidR="00392BDE" w:rsidRPr="00392BDE">
        <w:t>’</w:t>
      </w:r>
      <w:r w:rsidR="002B1EAE" w:rsidRPr="00392BDE">
        <w:rPr>
          <w:rStyle w:val="FootnoteReference"/>
        </w:rPr>
        <w:footnoteReference w:id="18"/>
      </w:r>
      <w:r w:rsidRPr="00392BDE">
        <w:t xml:space="preserve"> Intelligibility </w:t>
      </w:r>
      <w:r w:rsidR="002B1EAE" w:rsidRPr="00392BDE">
        <w:t>is</w:t>
      </w:r>
      <w:r w:rsidRPr="00392BDE">
        <w:t xml:space="preserve"> often see</w:t>
      </w:r>
      <w:r w:rsidR="002B1EAE" w:rsidRPr="00392BDE">
        <w:t>n</w:t>
      </w:r>
      <w:r w:rsidRPr="00392BDE">
        <w:t xml:space="preserve"> as </w:t>
      </w:r>
      <w:r w:rsidR="00E30B35" w:rsidRPr="00392BDE">
        <w:t xml:space="preserve">a </w:t>
      </w:r>
      <w:r w:rsidRPr="00392BDE">
        <w:t xml:space="preserve">process </w:t>
      </w:r>
      <w:r w:rsidR="00100FBC" w:rsidRPr="00392BDE">
        <w:t>quality that is important</w:t>
      </w:r>
      <w:r w:rsidRPr="00392BDE">
        <w:t xml:space="preserve"> in its own right, but there </w:t>
      </w:r>
      <w:r w:rsidR="007C65B5">
        <w:t>were</w:t>
      </w:r>
      <w:r w:rsidR="007C65B5" w:rsidRPr="00392BDE">
        <w:t xml:space="preserve"> </w:t>
      </w:r>
      <w:r w:rsidRPr="00392BDE">
        <w:t xml:space="preserve">also a number of practical benefits </w:t>
      </w:r>
      <w:r w:rsidR="00AE3D17" w:rsidRPr="00392BDE">
        <w:t xml:space="preserve">that </w:t>
      </w:r>
      <w:r w:rsidR="007C65B5">
        <w:t>were</w:t>
      </w:r>
      <w:r w:rsidR="007C65B5" w:rsidRPr="00392BDE">
        <w:t xml:space="preserve"> </w:t>
      </w:r>
      <w:r w:rsidR="00AE3D17" w:rsidRPr="00392BDE">
        <w:t>routinely recognised</w:t>
      </w:r>
      <w:r w:rsidRPr="00392BDE">
        <w:t xml:space="preserve">, including the reduction of </w:t>
      </w:r>
      <w:r w:rsidR="00392BDE" w:rsidRPr="00392BDE">
        <w:t>‘</w:t>
      </w:r>
      <w:r w:rsidRPr="00392BDE">
        <w:t>failure demand</w:t>
      </w:r>
      <w:r w:rsidR="00392BDE" w:rsidRPr="00392BDE">
        <w:t>’</w:t>
      </w:r>
      <w:r w:rsidR="002B1EAE" w:rsidRPr="00392BDE">
        <w:t xml:space="preserve"> placed</w:t>
      </w:r>
      <w:r w:rsidRPr="00392BDE">
        <w:t xml:space="preserve"> on the Department</w:t>
      </w:r>
      <w:r w:rsidR="00100FBC" w:rsidRPr="00392BDE">
        <w:t xml:space="preserve"> that results from confused claimants</w:t>
      </w:r>
      <w:r w:rsidR="002B1EAE" w:rsidRPr="00392BDE">
        <w:t>.</w:t>
      </w:r>
      <w:r w:rsidR="002B1EAE" w:rsidRPr="00392BDE">
        <w:rPr>
          <w:rStyle w:val="FootnoteReference"/>
        </w:rPr>
        <w:footnoteReference w:id="19"/>
      </w:r>
      <w:r w:rsidR="002B1EAE" w:rsidRPr="00392BDE">
        <w:t xml:space="preserve"> </w:t>
      </w:r>
      <w:r w:rsidRPr="00392BDE">
        <w:t xml:space="preserve">While intelligibility </w:t>
      </w:r>
      <w:r w:rsidR="007C65B5">
        <w:t>was</w:t>
      </w:r>
      <w:r w:rsidR="007C65B5" w:rsidRPr="00392BDE">
        <w:t xml:space="preserve"> </w:t>
      </w:r>
      <w:r w:rsidRPr="00392BDE">
        <w:t>central to official reasoning about fair proces</w:t>
      </w:r>
      <w:r w:rsidR="000C1187" w:rsidRPr="00392BDE">
        <w:t xml:space="preserve">s, </w:t>
      </w:r>
      <w:r w:rsidRPr="00392BDE">
        <w:t xml:space="preserve">it was clear that there </w:t>
      </w:r>
      <w:r w:rsidR="007C65B5">
        <w:t>was</w:t>
      </w:r>
      <w:r w:rsidR="007C65B5" w:rsidRPr="00392BDE">
        <w:t xml:space="preserve"> </w:t>
      </w:r>
      <w:r w:rsidR="002B1EAE" w:rsidRPr="00392BDE">
        <w:t>scope for difference</w:t>
      </w:r>
      <w:r w:rsidRPr="00392BDE">
        <w:t xml:space="preserve"> </w:t>
      </w:r>
      <w:r w:rsidR="002B1EAE" w:rsidRPr="00392BDE">
        <w:t>about</w:t>
      </w:r>
      <w:r w:rsidRPr="00392BDE">
        <w:t xml:space="preserve"> how it is best implemented in practice. Specifically, some </w:t>
      </w:r>
      <w:r w:rsidR="007C65B5">
        <w:t>saw</w:t>
      </w:r>
      <w:r w:rsidR="007C65B5" w:rsidRPr="00392BDE">
        <w:t xml:space="preserve"> </w:t>
      </w:r>
      <w:r w:rsidR="00AE3D17" w:rsidRPr="00392BDE">
        <w:t>intelligibility served by providing</w:t>
      </w:r>
      <w:r w:rsidRPr="00392BDE">
        <w:t xml:space="preserve"> claimants </w:t>
      </w:r>
      <w:r w:rsidR="00AE3D17" w:rsidRPr="00392BDE">
        <w:t xml:space="preserve">with </w:t>
      </w:r>
      <w:r w:rsidR="002B1EAE" w:rsidRPr="00392BDE">
        <w:t>detailed</w:t>
      </w:r>
      <w:r w:rsidRPr="00392BDE">
        <w:t xml:space="preserve"> information, particularly </w:t>
      </w:r>
      <w:r w:rsidR="002B1EAE" w:rsidRPr="00392BDE">
        <w:t xml:space="preserve">so that </w:t>
      </w:r>
      <w:r w:rsidR="00392BDE" w:rsidRPr="00392BDE">
        <w:t>‘</w:t>
      </w:r>
      <w:r w:rsidR="002B1EAE" w:rsidRPr="00392BDE">
        <w:t>they understand whether their legal rights are being correctly reflected</w:t>
      </w:r>
      <w:r w:rsidR="00392BDE" w:rsidRPr="00392BDE">
        <w:t>’</w:t>
      </w:r>
      <w:r w:rsidRPr="00392BDE">
        <w:t>,</w:t>
      </w:r>
      <w:r w:rsidR="002B1EAE" w:rsidRPr="00392BDE">
        <w:rPr>
          <w:rStyle w:val="FootnoteReference"/>
        </w:rPr>
        <w:footnoteReference w:id="20"/>
      </w:r>
      <w:r w:rsidRPr="00392BDE">
        <w:t xml:space="preserve"> whereas </w:t>
      </w:r>
      <w:r w:rsidR="002B1EAE" w:rsidRPr="00392BDE">
        <w:t>others</w:t>
      </w:r>
      <w:r w:rsidRPr="00392BDE">
        <w:t xml:space="preserve"> viewed claimants as being </w:t>
      </w:r>
      <w:r w:rsidRPr="00392BDE">
        <w:lastRenderedPageBreak/>
        <w:t xml:space="preserve">better served by </w:t>
      </w:r>
      <w:r w:rsidR="00100FBC" w:rsidRPr="00392BDE">
        <w:t>the use of</w:t>
      </w:r>
      <w:r w:rsidRPr="00392BDE">
        <w:t xml:space="preserve"> minimal</w:t>
      </w:r>
      <w:r w:rsidR="00100FBC" w:rsidRPr="00392BDE">
        <w:t xml:space="preserve"> text</w:t>
      </w:r>
      <w:r w:rsidRPr="00392BDE">
        <w:t xml:space="preserve"> </w:t>
      </w:r>
      <w:r w:rsidR="002B1EAE" w:rsidRPr="00392BDE">
        <w:t xml:space="preserve">and </w:t>
      </w:r>
      <w:r w:rsidR="00100FBC" w:rsidRPr="00392BDE">
        <w:t>communication</w:t>
      </w:r>
      <w:r w:rsidR="00AE3D17" w:rsidRPr="00392BDE">
        <w:t xml:space="preserve"> being conducted</w:t>
      </w:r>
      <w:r w:rsidR="00100FBC" w:rsidRPr="00392BDE">
        <w:t xml:space="preserve"> in</w:t>
      </w:r>
      <w:r w:rsidR="002B1EAE" w:rsidRPr="00392BDE">
        <w:t xml:space="preserve"> a style akin to </w:t>
      </w:r>
      <w:r w:rsidR="00392BDE" w:rsidRPr="00392BDE">
        <w:t>‘</w:t>
      </w:r>
      <w:r w:rsidRPr="00392BDE">
        <w:t>talking to</w:t>
      </w:r>
      <w:r w:rsidR="002B1EAE" w:rsidRPr="00392BDE">
        <w:t xml:space="preserve"> </w:t>
      </w:r>
      <w:r w:rsidRPr="00392BDE">
        <w:t>somebody</w:t>
      </w:r>
      <w:r w:rsidR="002B1EAE" w:rsidRPr="00392BDE">
        <w:t xml:space="preserve"> in the street</w:t>
      </w:r>
      <w:r w:rsidR="00392BDE" w:rsidRPr="00392BDE">
        <w:t>’</w:t>
      </w:r>
      <w:r w:rsidR="00100FBC" w:rsidRPr="00392BDE">
        <w:t xml:space="preserve"> to ensure the Department was not</w:t>
      </w:r>
      <w:r w:rsidR="000C1187" w:rsidRPr="00392BDE">
        <w:t xml:space="preserve"> </w:t>
      </w:r>
      <w:r w:rsidR="00392BDE" w:rsidRPr="00392BDE">
        <w:t>‘</w:t>
      </w:r>
      <w:r w:rsidR="000C1187" w:rsidRPr="00392BDE">
        <w:t>blinding people with science</w:t>
      </w:r>
      <w:r w:rsidR="00392BDE" w:rsidRPr="00392BDE">
        <w:t>’</w:t>
      </w:r>
      <w:r w:rsidR="002B1EAE" w:rsidRPr="00392BDE">
        <w:t>.</w:t>
      </w:r>
      <w:r w:rsidR="002B1EAE" w:rsidRPr="00392BDE">
        <w:rPr>
          <w:rStyle w:val="FootnoteReference"/>
        </w:rPr>
        <w:footnoteReference w:id="21"/>
      </w:r>
      <w:r w:rsidR="002B1EAE" w:rsidRPr="00392BDE">
        <w:t xml:space="preserve"> </w:t>
      </w:r>
      <w:r w:rsidR="000C1187" w:rsidRPr="00392BDE">
        <w:t xml:space="preserve">This tension was </w:t>
      </w:r>
      <w:r w:rsidR="00100FBC" w:rsidRPr="00392BDE">
        <w:t>aptly</w:t>
      </w:r>
      <w:r w:rsidR="000C1187" w:rsidRPr="00392BDE">
        <w:t xml:space="preserve"> </w:t>
      </w:r>
      <w:r w:rsidR="00100FBC" w:rsidRPr="00392BDE">
        <w:t>summarised</w:t>
      </w:r>
      <w:r w:rsidR="000C1187" w:rsidRPr="00392BDE">
        <w:t xml:space="preserve"> in the following terms by one official: </w:t>
      </w:r>
      <w:r w:rsidR="00392BDE" w:rsidRPr="00392BDE">
        <w:t>‘</w:t>
      </w:r>
      <w:r w:rsidR="000C1187" w:rsidRPr="00392BDE">
        <w:t>it’s a fine line</w:t>
      </w:r>
      <w:r w:rsidR="007C65B5">
        <w:t>,</w:t>
      </w:r>
      <w:r w:rsidR="000C1187" w:rsidRPr="00392BDE">
        <w:t xml:space="preserve"> because if you make it too simple then you miss something that’s important. If you explain it too much, it makes it complicated for people</w:t>
      </w:r>
      <w:r w:rsidR="00392BDE" w:rsidRPr="00392BDE">
        <w:t>’</w:t>
      </w:r>
      <w:r w:rsidR="000C1187" w:rsidRPr="00392BDE">
        <w:t>.</w:t>
      </w:r>
      <w:r w:rsidR="000C1187" w:rsidRPr="00392BDE">
        <w:rPr>
          <w:rStyle w:val="FootnoteReference"/>
        </w:rPr>
        <w:footnoteReference w:id="22"/>
      </w:r>
      <w:r w:rsidR="00FF6257" w:rsidRPr="00392BDE">
        <w:t xml:space="preserve"> </w:t>
      </w:r>
      <w:r w:rsidR="000C1187" w:rsidRPr="00392BDE">
        <w:t>A</w:t>
      </w:r>
      <w:r w:rsidR="00435F0D" w:rsidRPr="00392BDE">
        <w:t xml:space="preserve"> secondary </w:t>
      </w:r>
      <w:r w:rsidR="000C1187" w:rsidRPr="00392BDE">
        <w:t xml:space="preserve">dimension of this tension </w:t>
      </w:r>
      <w:r w:rsidR="007C65B5">
        <w:t>was</w:t>
      </w:r>
      <w:r w:rsidR="007C65B5" w:rsidRPr="00392BDE">
        <w:t xml:space="preserve"> </w:t>
      </w:r>
      <w:r w:rsidR="00100FBC" w:rsidRPr="00392BDE">
        <w:t>an official commitment</w:t>
      </w:r>
      <w:r w:rsidR="000C1187" w:rsidRPr="00392BDE">
        <w:t xml:space="preserve"> to legality, with many framing this trade-off in terms of what demonstrating legality—that the Department knows its own rules and is applying them competently—demands of the </w:t>
      </w:r>
      <w:r w:rsidR="00E30B35" w:rsidRPr="00392BDE">
        <w:t>substance</w:t>
      </w:r>
      <w:r w:rsidR="00100FBC" w:rsidRPr="00392BDE">
        <w:t xml:space="preserve"> and </w:t>
      </w:r>
      <w:r w:rsidR="00AE3D17" w:rsidRPr="00392BDE">
        <w:t>form</w:t>
      </w:r>
      <w:r w:rsidR="00100FBC" w:rsidRPr="00392BDE">
        <w:t xml:space="preserve"> of how </w:t>
      </w:r>
      <w:r w:rsidR="000C1187" w:rsidRPr="00392BDE">
        <w:t xml:space="preserve">information </w:t>
      </w:r>
      <w:r w:rsidR="007C65B5">
        <w:t>was</w:t>
      </w:r>
      <w:r w:rsidR="007C65B5" w:rsidRPr="00392BDE">
        <w:t xml:space="preserve"> </w:t>
      </w:r>
      <w:r w:rsidR="000C1187" w:rsidRPr="00392BDE">
        <w:t xml:space="preserve">to be communicated. </w:t>
      </w:r>
      <w:r w:rsidR="002B1EAE" w:rsidRPr="00392BDE">
        <w:rPr>
          <w:color w:val="000000" w:themeColor="text1"/>
        </w:rPr>
        <w:t xml:space="preserve">It </w:t>
      </w:r>
      <w:r w:rsidR="007C65B5">
        <w:rPr>
          <w:color w:val="000000" w:themeColor="text1"/>
        </w:rPr>
        <w:t>was</w:t>
      </w:r>
      <w:r w:rsidR="007C65B5" w:rsidRPr="00392BDE">
        <w:rPr>
          <w:color w:val="000000" w:themeColor="text1"/>
        </w:rPr>
        <w:t xml:space="preserve"> </w:t>
      </w:r>
      <w:r w:rsidR="002B1EAE" w:rsidRPr="00392BDE">
        <w:rPr>
          <w:color w:val="000000" w:themeColor="text1"/>
        </w:rPr>
        <w:t xml:space="preserve">also widely </w:t>
      </w:r>
      <w:r w:rsidR="00AE3D17" w:rsidRPr="00392BDE">
        <w:rPr>
          <w:color w:val="000000" w:themeColor="text1"/>
        </w:rPr>
        <w:t>recognised</w:t>
      </w:r>
      <w:r w:rsidR="002B1EAE" w:rsidRPr="00392BDE">
        <w:rPr>
          <w:color w:val="000000" w:themeColor="text1"/>
        </w:rPr>
        <w:t xml:space="preserve"> that, even where process choices are made to promote intelligibility, there might be an </w:t>
      </w:r>
      <w:r w:rsidR="00E30B35" w:rsidRPr="00392BDE">
        <w:rPr>
          <w:color w:val="000000" w:themeColor="text1"/>
        </w:rPr>
        <w:t>irreducible</w:t>
      </w:r>
      <w:r w:rsidR="002B1EAE" w:rsidRPr="00392BDE">
        <w:rPr>
          <w:color w:val="000000" w:themeColor="text1"/>
        </w:rPr>
        <w:t xml:space="preserve"> </w:t>
      </w:r>
      <w:r w:rsidR="00E30B35" w:rsidRPr="00392BDE">
        <w:rPr>
          <w:color w:val="000000" w:themeColor="text1"/>
        </w:rPr>
        <w:t>amount</w:t>
      </w:r>
      <w:r w:rsidR="002B1EAE" w:rsidRPr="00392BDE">
        <w:rPr>
          <w:color w:val="000000" w:themeColor="text1"/>
        </w:rPr>
        <w:t xml:space="preserve"> of complexity produced by </w:t>
      </w:r>
      <w:r w:rsidR="00E30B35" w:rsidRPr="00392BDE">
        <w:rPr>
          <w:color w:val="000000" w:themeColor="text1"/>
        </w:rPr>
        <w:t xml:space="preserve">the </w:t>
      </w:r>
      <w:r w:rsidR="002B1EAE" w:rsidRPr="00392BDE">
        <w:rPr>
          <w:color w:val="000000" w:themeColor="text1"/>
        </w:rPr>
        <w:t xml:space="preserve">underlying law and policy, which </w:t>
      </w:r>
      <w:r w:rsidR="00392BDE" w:rsidRPr="00392BDE">
        <w:rPr>
          <w:color w:val="000000" w:themeColor="text1"/>
        </w:rPr>
        <w:t>‘</w:t>
      </w:r>
      <w:r w:rsidR="002B1EAE" w:rsidRPr="00392BDE">
        <w:rPr>
          <w:color w:val="000000" w:themeColor="text1"/>
        </w:rPr>
        <w:t>itself is not straightforward</w:t>
      </w:r>
      <w:r w:rsidR="00392BDE" w:rsidRPr="00392BDE">
        <w:rPr>
          <w:color w:val="000000" w:themeColor="text1"/>
        </w:rPr>
        <w:t>’</w:t>
      </w:r>
      <w:r w:rsidR="002B1EAE" w:rsidRPr="00392BDE">
        <w:rPr>
          <w:color w:val="000000" w:themeColor="text1"/>
        </w:rPr>
        <w:t>.</w:t>
      </w:r>
      <w:r w:rsidR="002B1EAE" w:rsidRPr="00392BDE">
        <w:rPr>
          <w:rStyle w:val="FootnoteReference"/>
        </w:rPr>
        <w:footnoteReference w:id="23"/>
      </w:r>
      <w:r w:rsidR="00100FBC" w:rsidRPr="00392BDE">
        <w:rPr>
          <w:color w:val="000000" w:themeColor="text1"/>
        </w:rPr>
        <w:t xml:space="preserve"> </w:t>
      </w:r>
      <w:r w:rsidR="00100FBC" w:rsidRPr="00392BDE">
        <w:t>While</w:t>
      </w:r>
      <w:r w:rsidR="00E30B35" w:rsidRPr="00392BDE">
        <w:t xml:space="preserve"> there </w:t>
      </w:r>
      <w:r w:rsidR="007C65B5">
        <w:t>were</w:t>
      </w:r>
      <w:r w:rsidR="007C65B5" w:rsidRPr="00392BDE">
        <w:t xml:space="preserve"> </w:t>
      </w:r>
      <w:r w:rsidR="00100FBC" w:rsidRPr="00392BDE">
        <w:t xml:space="preserve">differences about how intelligibility </w:t>
      </w:r>
      <w:r w:rsidR="00E30B35" w:rsidRPr="00392BDE">
        <w:t>is best implemented</w:t>
      </w:r>
      <w:r w:rsidR="00100FBC" w:rsidRPr="00392BDE">
        <w:t xml:space="preserve">, the internal mantra </w:t>
      </w:r>
      <w:r w:rsidR="007C65B5">
        <w:t>was</w:t>
      </w:r>
      <w:r w:rsidR="007C65B5" w:rsidRPr="00392BDE">
        <w:t xml:space="preserve"> </w:t>
      </w:r>
      <w:r w:rsidR="00100FBC" w:rsidRPr="00392BDE">
        <w:t xml:space="preserve">that </w:t>
      </w:r>
      <w:r w:rsidR="00392BDE" w:rsidRPr="00392BDE">
        <w:t>‘</w:t>
      </w:r>
      <w:r w:rsidR="00100FBC" w:rsidRPr="00392BDE">
        <w:t>everything should be understandable to a nine-year-old child</w:t>
      </w:r>
      <w:r w:rsidR="00392BDE" w:rsidRPr="00392BDE">
        <w:t>’</w:t>
      </w:r>
      <w:r w:rsidR="00100FBC" w:rsidRPr="00392BDE">
        <w:t>.</w:t>
      </w:r>
      <w:r w:rsidR="00100FBC" w:rsidRPr="00392BDE">
        <w:rPr>
          <w:rStyle w:val="FootnoteReference"/>
        </w:rPr>
        <w:footnoteReference w:id="24"/>
      </w:r>
    </w:p>
    <w:p w14:paraId="0D474CC4" w14:textId="77777777" w:rsidR="00E30B35" w:rsidRPr="00392BDE" w:rsidRDefault="00E30B35" w:rsidP="00392BDE">
      <w:pPr>
        <w:spacing w:line="360" w:lineRule="auto"/>
        <w:jc w:val="both"/>
      </w:pPr>
    </w:p>
    <w:p w14:paraId="71F2C62B" w14:textId="223C26E7" w:rsidR="004C4EC4" w:rsidRPr="00392BDE" w:rsidRDefault="00E30B35" w:rsidP="00392BDE">
      <w:pPr>
        <w:spacing w:line="360" w:lineRule="auto"/>
        <w:jc w:val="both"/>
      </w:pPr>
      <w:r w:rsidRPr="00392BDE">
        <w:tab/>
        <w:t xml:space="preserve">A second process quality central to official reasoning </w:t>
      </w:r>
      <w:r w:rsidR="007C65B5">
        <w:t>was</w:t>
      </w:r>
      <w:r w:rsidR="007C65B5" w:rsidRPr="00392BDE">
        <w:t xml:space="preserve"> </w:t>
      </w:r>
      <w:r w:rsidRPr="00392BDE">
        <w:t>accessib</w:t>
      </w:r>
      <w:r w:rsidR="00FC2138" w:rsidRPr="00392BDE">
        <w:t>ility</w:t>
      </w:r>
      <w:r w:rsidRPr="00392BDE">
        <w:t xml:space="preserve">—the idea that UC processes should make it easy for claimants to make and update applications. </w:t>
      </w:r>
      <w:r w:rsidR="004C4EC4" w:rsidRPr="00392BDE">
        <w:t xml:space="preserve">This </w:t>
      </w:r>
      <w:r w:rsidR="007C65B5" w:rsidRPr="00392BDE">
        <w:t>relate</w:t>
      </w:r>
      <w:r w:rsidR="007C65B5">
        <w:t>d</w:t>
      </w:r>
      <w:r w:rsidR="007C65B5" w:rsidRPr="00392BDE">
        <w:t xml:space="preserve"> </w:t>
      </w:r>
      <w:r w:rsidR="004C4EC4" w:rsidRPr="00392BDE">
        <w:t xml:space="preserve">to initial applications but there </w:t>
      </w:r>
      <w:r w:rsidR="007C65B5">
        <w:t>was</w:t>
      </w:r>
      <w:r w:rsidR="007C65B5" w:rsidRPr="00392BDE">
        <w:t xml:space="preserve"> </w:t>
      </w:r>
      <w:r w:rsidR="004C4EC4" w:rsidRPr="00392BDE">
        <w:t xml:space="preserve">also considerable focus on processes through which claimants can update the DWP about </w:t>
      </w:r>
      <w:r w:rsidR="00FC2138" w:rsidRPr="00392BDE">
        <w:t>changing</w:t>
      </w:r>
      <w:r w:rsidR="004C4EC4" w:rsidRPr="00392BDE">
        <w:t xml:space="preserve"> circumstances relevant to their benefit entitlement</w:t>
      </w:r>
      <w:r w:rsidR="00AE3D17" w:rsidRPr="00392BDE">
        <w:t>—a key tenet of UC is that it can respond quickly to a claimant’s changing circumstances, particularly in relation to their work and income</w:t>
      </w:r>
      <w:r w:rsidR="004C4EC4" w:rsidRPr="00392BDE">
        <w:t xml:space="preserve">. Once </w:t>
      </w:r>
      <w:r w:rsidR="00FC2138" w:rsidRPr="00392BDE">
        <w:t xml:space="preserve">claimant </w:t>
      </w:r>
      <w:r w:rsidR="004C4EC4" w:rsidRPr="00392BDE">
        <w:t xml:space="preserve">information </w:t>
      </w:r>
      <w:r w:rsidR="007C65B5">
        <w:t>was</w:t>
      </w:r>
      <w:r w:rsidR="007C65B5" w:rsidRPr="00392BDE">
        <w:t xml:space="preserve"> </w:t>
      </w:r>
      <w:r w:rsidR="004C4EC4" w:rsidRPr="00392BDE">
        <w:t xml:space="preserve">within the system, emphasis </w:t>
      </w:r>
      <w:r w:rsidR="007C65B5">
        <w:t>was</w:t>
      </w:r>
      <w:r w:rsidR="007C65B5" w:rsidRPr="00392BDE">
        <w:t xml:space="preserve"> </w:t>
      </w:r>
      <w:r w:rsidR="004C4EC4" w:rsidRPr="00392BDE">
        <w:t xml:space="preserve">placed on the idea that the system does not </w:t>
      </w:r>
      <w:r w:rsidR="00392BDE" w:rsidRPr="00392BDE">
        <w:t>‘</w:t>
      </w:r>
      <w:r w:rsidR="004C4EC4" w:rsidRPr="00392BDE">
        <w:t>hide that information from them, so they can always go back and check</w:t>
      </w:r>
      <w:r w:rsidR="00392BDE" w:rsidRPr="00392BDE">
        <w:t>’</w:t>
      </w:r>
      <w:r w:rsidR="004C4EC4" w:rsidRPr="00392BDE">
        <w:t xml:space="preserve"> and that claimants are, in this sense, </w:t>
      </w:r>
      <w:r w:rsidR="00392BDE" w:rsidRPr="00392BDE">
        <w:t>‘</w:t>
      </w:r>
      <w:r w:rsidR="004C4EC4" w:rsidRPr="00392BDE">
        <w:t>responsible for their own information in Universal Credit</w:t>
      </w:r>
      <w:r w:rsidR="00392BDE" w:rsidRPr="00392BDE">
        <w:t>’</w:t>
      </w:r>
      <w:r w:rsidR="004C4EC4" w:rsidRPr="00392BDE">
        <w:t>.</w:t>
      </w:r>
      <w:r w:rsidR="004C4EC4" w:rsidRPr="00392BDE">
        <w:rPr>
          <w:rStyle w:val="FootnoteReference"/>
        </w:rPr>
        <w:footnoteReference w:id="25"/>
      </w:r>
      <w:r w:rsidR="004C4EC4" w:rsidRPr="00392BDE">
        <w:t xml:space="preserve"> This </w:t>
      </w:r>
      <w:r w:rsidR="007C65B5">
        <w:t>was</w:t>
      </w:r>
      <w:r w:rsidR="007C65B5" w:rsidRPr="00392BDE">
        <w:t xml:space="preserve"> </w:t>
      </w:r>
      <w:r w:rsidR="00AE3D17" w:rsidRPr="00392BDE">
        <w:t>often</w:t>
      </w:r>
      <w:r w:rsidR="004C4EC4" w:rsidRPr="00392BDE">
        <w:t xml:space="preserve"> seen as an attempt by the Department to be </w:t>
      </w:r>
      <w:r w:rsidR="00392BDE" w:rsidRPr="00392BDE">
        <w:t>‘</w:t>
      </w:r>
      <w:r w:rsidR="004C4EC4" w:rsidRPr="00392BDE">
        <w:t>far more transparent</w:t>
      </w:r>
      <w:r w:rsidR="00392BDE" w:rsidRPr="00392BDE">
        <w:t>’</w:t>
      </w:r>
      <w:r w:rsidR="004C4EC4" w:rsidRPr="00392BDE">
        <w:t xml:space="preserve"> and tell claimants </w:t>
      </w:r>
      <w:r w:rsidR="00392BDE" w:rsidRPr="00392BDE">
        <w:t>‘</w:t>
      </w:r>
      <w:r w:rsidR="004C4EC4" w:rsidRPr="00392BDE">
        <w:t xml:space="preserve">you are in control </w:t>
      </w:r>
      <w:r w:rsidR="004C4EC4" w:rsidRPr="00392BDE">
        <w:lastRenderedPageBreak/>
        <w:t>of your account</w:t>
      </w:r>
      <w:r w:rsidR="00392BDE" w:rsidRPr="00392BDE">
        <w:t>’</w:t>
      </w:r>
      <w:r w:rsidR="004C4EC4" w:rsidRPr="00392BDE">
        <w:t xml:space="preserve"> in a way that </w:t>
      </w:r>
      <w:r w:rsidR="00392BDE" w:rsidRPr="00392BDE">
        <w:t>‘</w:t>
      </w:r>
      <w:r w:rsidR="004C4EC4" w:rsidRPr="00392BDE">
        <w:t>has been quite revolutionary</w:t>
      </w:r>
      <w:r w:rsidR="00392BDE" w:rsidRPr="00392BDE">
        <w:t>’</w:t>
      </w:r>
      <w:r w:rsidR="004C4EC4" w:rsidRPr="00392BDE">
        <w:t>.</w:t>
      </w:r>
      <w:r w:rsidR="004C4EC4" w:rsidRPr="00392BDE">
        <w:rPr>
          <w:rStyle w:val="FootnoteReference"/>
        </w:rPr>
        <w:footnoteReference w:id="26"/>
      </w:r>
      <w:r w:rsidR="004C4EC4" w:rsidRPr="00392BDE">
        <w:t xml:space="preserve"> Great emphasis </w:t>
      </w:r>
      <w:r w:rsidR="007C65B5">
        <w:t>was</w:t>
      </w:r>
      <w:r w:rsidR="007C65B5" w:rsidRPr="00392BDE">
        <w:t xml:space="preserve"> </w:t>
      </w:r>
      <w:r w:rsidR="004C4EC4" w:rsidRPr="00392BDE">
        <w:t>placed on innovating</w:t>
      </w:r>
      <w:r w:rsidR="00AE3D17" w:rsidRPr="00392BDE">
        <w:t>, including through technological solutions,</w:t>
      </w:r>
      <w:r w:rsidR="004C4EC4" w:rsidRPr="00392BDE">
        <w:t xml:space="preserve"> so that </w:t>
      </w:r>
      <w:r w:rsidR="00392BDE" w:rsidRPr="00392BDE">
        <w:t>‘</w:t>
      </w:r>
      <w:r w:rsidR="004C4EC4" w:rsidRPr="00392BDE">
        <w:t>barriers</w:t>
      </w:r>
      <w:r w:rsidR="00392BDE" w:rsidRPr="00392BDE">
        <w:t>’</w:t>
      </w:r>
      <w:r w:rsidR="004C4EC4" w:rsidRPr="00392BDE">
        <w:t xml:space="preserve"> to provid</w:t>
      </w:r>
      <w:r w:rsidR="00FC2138" w:rsidRPr="00392BDE">
        <w:t>ing</w:t>
      </w:r>
      <w:r w:rsidR="004C4EC4" w:rsidRPr="00392BDE">
        <w:t xml:space="preserve"> and updating information are removed.</w:t>
      </w:r>
      <w:r w:rsidR="004C4EC4" w:rsidRPr="00392BDE">
        <w:rPr>
          <w:rStyle w:val="FootnoteReference"/>
        </w:rPr>
        <w:footnoteReference w:id="27"/>
      </w:r>
      <w:r w:rsidR="004C4EC4" w:rsidRPr="00392BDE">
        <w:t xml:space="preserve"> In some contexts, automation and data sharing, such as accessing</w:t>
      </w:r>
      <w:r w:rsidR="00396C63" w:rsidRPr="00392BDE">
        <w:t xml:space="preserve"> </w:t>
      </w:r>
      <w:r w:rsidR="00392BDE" w:rsidRPr="00392BDE">
        <w:t>‘</w:t>
      </w:r>
      <w:r w:rsidR="00396C63" w:rsidRPr="00392BDE">
        <w:t>real-time</w:t>
      </w:r>
      <w:r w:rsidR="00392BDE" w:rsidRPr="00392BDE">
        <w:t>’</w:t>
      </w:r>
      <w:r w:rsidR="004C4EC4" w:rsidRPr="00392BDE">
        <w:t xml:space="preserve"> tax data held by HMRC, </w:t>
      </w:r>
      <w:r w:rsidR="007C65B5">
        <w:t>were</w:t>
      </w:r>
      <w:r w:rsidR="007C65B5" w:rsidRPr="00392BDE">
        <w:t xml:space="preserve"> </w:t>
      </w:r>
      <w:r w:rsidR="00FC2138" w:rsidRPr="00392BDE">
        <w:t>seen</w:t>
      </w:r>
      <w:r w:rsidR="00AE3D17" w:rsidRPr="00392BDE">
        <w:t xml:space="preserve"> as key</w:t>
      </w:r>
      <w:r w:rsidR="00FC2138" w:rsidRPr="00392BDE">
        <w:t xml:space="preserve"> </w:t>
      </w:r>
      <w:r w:rsidR="00AE3D17" w:rsidRPr="00392BDE">
        <w:t xml:space="preserve">to </w:t>
      </w:r>
      <w:r w:rsidR="00FC2138" w:rsidRPr="00392BDE">
        <w:t>advanc</w:t>
      </w:r>
      <w:r w:rsidR="00AE3D17" w:rsidRPr="00392BDE">
        <w:t>ing</w:t>
      </w:r>
      <w:r w:rsidR="00396C63" w:rsidRPr="00392BDE">
        <w:t xml:space="preserve"> accessibility by removing entirely from the claimant the burden of updating information.</w:t>
      </w:r>
      <w:r w:rsidR="00396C63" w:rsidRPr="00392BDE">
        <w:rPr>
          <w:rStyle w:val="FootnoteReference"/>
        </w:rPr>
        <w:footnoteReference w:id="28"/>
      </w:r>
    </w:p>
    <w:p w14:paraId="2C6679D0" w14:textId="77777777" w:rsidR="00FC2138" w:rsidRPr="00392BDE" w:rsidRDefault="00FC2138" w:rsidP="00392BDE">
      <w:pPr>
        <w:spacing w:line="360" w:lineRule="auto"/>
        <w:ind w:firstLine="720"/>
        <w:jc w:val="both"/>
      </w:pPr>
    </w:p>
    <w:p w14:paraId="38B7F619" w14:textId="336DF0FC" w:rsidR="00FC2138" w:rsidRPr="00392BDE" w:rsidRDefault="00FC2138" w:rsidP="00392BDE">
      <w:pPr>
        <w:spacing w:line="360" w:lineRule="auto"/>
        <w:ind w:firstLine="720"/>
        <w:jc w:val="both"/>
      </w:pPr>
      <w:r w:rsidRPr="00392BDE">
        <w:t>Personalisation—ensuring information and communications are specific to the claimant's circumstances—</w:t>
      </w:r>
      <w:r w:rsidR="007C65B5">
        <w:t>was</w:t>
      </w:r>
      <w:r w:rsidR="007C65B5" w:rsidRPr="00392BDE">
        <w:t xml:space="preserve"> </w:t>
      </w:r>
      <w:r w:rsidRPr="00392BDE">
        <w:t xml:space="preserve">also seen as important by officials. </w:t>
      </w:r>
      <w:r w:rsidR="007C65B5">
        <w:t>F</w:t>
      </w:r>
      <w:r w:rsidR="007C65B5" w:rsidRPr="00392BDE">
        <w:t>rom this point of view</w:t>
      </w:r>
      <w:r w:rsidR="007C65B5">
        <w:t>,</w:t>
      </w:r>
      <w:r w:rsidR="007C65B5" w:rsidRPr="00392BDE">
        <w:t xml:space="preserve"> </w:t>
      </w:r>
      <w:r w:rsidR="007C65B5">
        <w:t>a</w:t>
      </w:r>
      <w:r w:rsidR="007C65B5" w:rsidRPr="00392BDE">
        <w:t xml:space="preserve"> </w:t>
      </w:r>
      <w:r w:rsidRPr="00392BDE">
        <w:t xml:space="preserve">good process </w:t>
      </w:r>
      <w:r w:rsidR="007C65B5">
        <w:t xml:space="preserve">would </w:t>
      </w:r>
      <w:r w:rsidRPr="00392BDE">
        <w:t xml:space="preserve">require officials to ask not only </w:t>
      </w:r>
      <w:r w:rsidR="00392BDE" w:rsidRPr="00392BDE">
        <w:t>‘</w:t>
      </w:r>
      <w:r w:rsidRPr="00392BDE">
        <w:t>how do we make it easy for the claimant to tell us about their situations</w:t>
      </w:r>
      <w:r w:rsidR="00D7312A">
        <w:t>?</w:t>
      </w:r>
      <w:r w:rsidR="00392BDE" w:rsidRPr="00392BDE">
        <w:t>’</w:t>
      </w:r>
      <w:r w:rsidRPr="00392BDE">
        <w:t xml:space="preserve"> but also how systems </w:t>
      </w:r>
      <w:r w:rsidR="00392BDE" w:rsidRPr="00392BDE">
        <w:t>‘</w:t>
      </w:r>
      <w:r w:rsidRPr="00392BDE">
        <w:t>make it easy on the flipside then for the agents to see that information as well and do something with it</w:t>
      </w:r>
      <w:r w:rsidR="00392BDE" w:rsidRPr="00392BDE">
        <w:t>’</w:t>
      </w:r>
      <w:r w:rsidRPr="00392BDE">
        <w:t>.</w:t>
      </w:r>
      <w:r w:rsidRPr="00392BDE">
        <w:rPr>
          <w:rStyle w:val="FootnoteReference"/>
        </w:rPr>
        <w:footnoteReference w:id="29"/>
      </w:r>
      <w:r w:rsidRPr="00392BDE">
        <w:t xml:space="preserve"> Officials widely </w:t>
      </w:r>
      <w:r w:rsidR="007C65B5">
        <w:t>saw</w:t>
      </w:r>
      <w:r w:rsidR="007C65B5" w:rsidRPr="00392BDE">
        <w:t xml:space="preserve"> </w:t>
      </w:r>
      <w:r w:rsidRPr="00392BDE">
        <w:t xml:space="preserve">this </w:t>
      </w:r>
      <w:r w:rsidR="00531590" w:rsidRPr="00392BDE">
        <w:t>as enabling the DWP to</w:t>
      </w:r>
      <w:r w:rsidRPr="00392BDE">
        <w:t xml:space="preserve"> bring a </w:t>
      </w:r>
      <w:r w:rsidR="00392BDE" w:rsidRPr="00392BDE">
        <w:t>‘</w:t>
      </w:r>
      <w:r w:rsidRPr="00392BDE">
        <w:t>personal touch</w:t>
      </w:r>
      <w:r w:rsidR="00392BDE" w:rsidRPr="00392BDE">
        <w:t>’</w:t>
      </w:r>
      <w:r w:rsidRPr="00392BDE">
        <w:t xml:space="preserve"> to interactions with </w:t>
      </w:r>
      <w:r w:rsidR="007568C9" w:rsidRPr="00392BDE">
        <w:t>benefits recipients.</w:t>
      </w:r>
      <w:r w:rsidRPr="00392BDE">
        <w:rPr>
          <w:rStyle w:val="FootnoteReference"/>
        </w:rPr>
        <w:footnoteReference w:id="30"/>
      </w:r>
      <w:r w:rsidRPr="00392BDE">
        <w:t xml:space="preserve"> </w:t>
      </w:r>
      <w:r w:rsidR="00FE5471" w:rsidRPr="00392BDE">
        <w:t xml:space="preserve">The use of asynchronous messaging </w:t>
      </w:r>
      <w:r w:rsidR="007C65B5">
        <w:t>was</w:t>
      </w:r>
      <w:r w:rsidR="007C65B5" w:rsidRPr="00392BDE">
        <w:t xml:space="preserve"> </w:t>
      </w:r>
      <w:r w:rsidR="00FE5471" w:rsidRPr="00392BDE">
        <w:t xml:space="preserve">an obvious systemic embodiment of this as it allows claimants to communicate specific details of their circumstances, including their wider life circumstances, which </w:t>
      </w:r>
      <w:r w:rsidR="007568C9" w:rsidRPr="00392BDE">
        <w:t>allows</w:t>
      </w:r>
      <w:r w:rsidR="00FE5471" w:rsidRPr="00392BDE">
        <w:t xml:space="preserve"> officials to be in a better position to be </w:t>
      </w:r>
      <w:r w:rsidR="00392BDE" w:rsidRPr="00392BDE">
        <w:t>‘</w:t>
      </w:r>
      <w:r w:rsidR="00FE5471" w:rsidRPr="00392BDE">
        <w:t>acutely aware</w:t>
      </w:r>
      <w:r w:rsidR="00392BDE" w:rsidRPr="00392BDE">
        <w:t>’</w:t>
      </w:r>
      <w:r w:rsidR="00FE5471" w:rsidRPr="00392BDE">
        <w:t xml:space="preserve"> of such context.</w:t>
      </w:r>
      <w:r w:rsidR="00FE5471" w:rsidRPr="00392BDE">
        <w:rPr>
          <w:rStyle w:val="FootnoteReference"/>
        </w:rPr>
        <w:footnoteReference w:id="31"/>
      </w:r>
      <w:r w:rsidR="00D33A3B" w:rsidRPr="00392BDE">
        <w:t xml:space="preserve"> </w:t>
      </w:r>
      <w:r w:rsidR="00531590" w:rsidRPr="00392BDE">
        <w:t xml:space="preserve">As one official put it, </w:t>
      </w:r>
      <w:r w:rsidR="007568C9" w:rsidRPr="00392BDE">
        <w:t>UC p</w:t>
      </w:r>
      <w:r w:rsidR="00D33A3B" w:rsidRPr="00392BDE">
        <w:t xml:space="preserve">rocesses are, in many respects, designed to create a sense that the </w:t>
      </w:r>
      <w:r w:rsidR="00392BDE" w:rsidRPr="00392BDE">
        <w:t>‘</w:t>
      </w:r>
      <w:r w:rsidR="00D33A3B" w:rsidRPr="00392BDE">
        <w:t>relationship c</w:t>
      </w:r>
      <w:r w:rsidR="007568C9" w:rsidRPr="00392BDE">
        <w:t>a</w:t>
      </w:r>
      <w:r w:rsidR="00D33A3B" w:rsidRPr="00392BDE">
        <w:t>rries on</w:t>
      </w:r>
      <w:r w:rsidR="00392BDE" w:rsidRPr="00392BDE">
        <w:t>’</w:t>
      </w:r>
      <w:r w:rsidR="00D33A3B" w:rsidRPr="00392BDE">
        <w:t>.</w:t>
      </w:r>
      <w:r w:rsidR="00D33A3B" w:rsidRPr="00392BDE">
        <w:rPr>
          <w:rStyle w:val="FootnoteReference"/>
        </w:rPr>
        <w:footnoteReference w:id="32"/>
      </w:r>
    </w:p>
    <w:p w14:paraId="3239F89C" w14:textId="77777777" w:rsidR="00911818" w:rsidRPr="00392BDE" w:rsidRDefault="00911818" w:rsidP="00392BDE">
      <w:pPr>
        <w:spacing w:line="360" w:lineRule="auto"/>
        <w:ind w:firstLine="720"/>
        <w:jc w:val="both"/>
      </w:pPr>
    </w:p>
    <w:p w14:paraId="4B227758" w14:textId="36FF7B2D" w:rsidR="00DB08FC" w:rsidRPr="00392BDE" w:rsidRDefault="00911818" w:rsidP="00392BDE">
      <w:pPr>
        <w:spacing w:line="360" w:lineRule="auto"/>
        <w:ind w:firstLine="720"/>
        <w:jc w:val="both"/>
      </w:pPr>
      <w:r w:rsidRPr="00392BDE">
        <w:t>Officials naturally also place</w:t>
      </w:r>
      <w:r w:rsidR="0090218B">
        <w:t>d</w:t>
      </w:r>
      <w:r w:rsidR="00531590" w:rsidRPr="00392BDE">
        <w:t xml:space="preserve"> </w:t>
      </w:r>
      <w:r w:rsidRPr="00392BDE">
        <w:t xml:space="preserve">emphasis on </w:t>
      </w:r>
      <w:r w:rsidR="00392BDE" w:rsidRPr="00392BDE">
        <w:t>factual</w:t>
      </w:r>
      <w:r w:rsidRPr="00392BDE">
        <w:t xml:space="preserve"> accuracy—ensuring claimants’ situations are fully understood, both initially and over the course of </w:t>
      </w:r>
      <w:r w:rsidR="00531590" w:rsidRPr="00392BDE">
        <w:t>their relationship with the UC service</w:t>
      </w:r>
      <w:r w:rsidRPr="00392BDE">
        <w:t xml:space="preserve">. </w:t>
      </w:r>
      <w:r w:rsidR="00D107FE" w:rsidRPr="00392BDE">
        <w:t xml:space="preserve">The need to </w:t>
      </w:r>
      <w:r w:rsidR="00392BDE" w:rsidRPr="00392BDE">
        <w:t>‘</w:t>
      </w:r>
      <w:r w:rsidR="00D107FE" w:rsidRPr="00392BDE">
        <w:t>understand people’s eligibility and entitlement</w:t>
      </w:r>
      <w:r w:rsidR="00392BDE" w:rsidRPr="00392BDE">
        <w:t>’</w:t>
      </w:r>
      <w:r w:rsidR="00D107FE" w:rsidRPr="00392BDE">
        <w:t xml:space="preserve"> </w:t>
      </w:r>
      <w:r w:rsidR="0090218B" w:rsidRPr="00392BDE">
        <w:t>remain</w:t>
      </w:r>
      <w:r w:rsidR="0090218B">
        <w:t>ed</w:t>
      </w:r>
      <w:r w:rsidR="0090218B" w:rsidRPr="00392BDE">
        <w:t xml:space="preserve"> </w:t>
      </w:r>
      <w:r w:rsidR="00D107FE" w:rsidRPr="00392BDE">
        <w:t>central to the function of UC.</w:t>
      </w:r>
      <w:r w:rsidR="00D107FE" w:rsidRPr="00392BDE">
        <w:rPr>
          <w:rStyle w:val="FootnoteReference"/>
        </w:rPr>
        <w:footnoteReference w:id="33"/>
      </w:r>
      <w:r w:rsidR="00D107FE" w:rsidRPr="00392BDE">
        <w:t xml:space="preserve"> </w:t>
      </w:r>
      <w:r w:rsidR="00531590" w:rsidRPr="00392BDE">
        <w:t>P</w:t>
      </w:r>
      <w:r w:rsidRPr="00392BDE">
        <w:t>rocess designs</w:t>
      </w:r>
      <w:r w:rsidR="00531590" w:rsidRPr="00392BDE">
        <w:t>, therefore,</w:t>
      </w:r>
      <w:r w:rsidRPr="00392BDE">
        <w:t xml:space="preserve"> </w:t>
      </w:r>
      <w:r w:rsidR="0090218B">
        <w:t>strove</w:t>
      </w:r>
      <w:r w:rsidR="0090218B" w:rsidRPr="00392BDE">
        <w:t xml:space="preserve"> </w:t>
      </w:r>
      <w:r w:rsidRPr="00392BDE">
        <w:t xml:space="preserve">to not only be intelligible </w:t>
      </w:r>
      <w:r w:rsidR="00531590" w:rsidRPr="00392BDE">
        <w:t>generally but also particularly clear in</w:t>
      </w:r>
      <w:r w:rsidRPr="00392BDE">
        <w:t xml:space="preserve"> </w:t>
      </w:r>
      <w:r w:rsidR="00531590" w:rsidRPr="00392BDE">
        <w:t xml:space="preserve">any </w:t>
      </w:r>
      <w:r w:rsidRPr="00392BDE">
        <w:t>requests</w:t>
      </w:r>
      <w:r w:rsidR="00531590" w:rsidRPr="00392BDE">
        <w:t xml:space="preserve"> to claimants</w:t>
      </w:r>
      <w:r w:rsidRPr="00392BDE">
        <w:t xml:space="preserve"> for information</w:t>
      </w:r>
      <w:r w:rsidR="00531590" w:rsidRPr="00392BDE">
        <w:t>, and to</w:t>
      </w:r>
      <w:r w:rsidRPr="00392BDE">
        <w:t xml:space="preserve">, wherever possible, </w:t>
      </w:r>
      <w:r w:rsidRPr="00392BDE">
        <w:lastRenderedPageBreak/>
        <w:t>put</w:t>
      </w:r>
      <w:r w:rsidR="00531590" w:rsidRPr="00392BDE">
        <w:t xml:space="preserve"> the</w:t>
      </w:r>
      <w:r w:rsidRPr="00392BDE">
        <w:t xml:space="preserve"> </w:t>
      </w:r>
      <w:r w:rsidR="00392BDE" w:rsidRPr="00392BDE">
        <w:t>‘</w:t>
      </w:r>
      <w:r w:rsidRPr="00392BDE">
        <w:t>hard work</w:t>
      </w:r>
      <w:r w:rsidR="00392BDE" w:rsidRPr="00392BDE">
        <w:t>’</w:t>
      </w:r>
      <w:r w:rsidRPr="00392BDE">
        <w:t xml:space="preserve"> on officials instead of </w:t>
      </w:r>
      <w:r w:rsidR="00392BDE" w:rsidRPr="00392BDE">
        <w:t>‘</w:t>
      </w:r>
      <w:r w:rsidRPr="00392BDE">
        <w:t>asking the customer to do the… thinking in order to give us the right answer</w:t>
      </w:r>
      <w:r w:rsidR="00392BDE" w:rsidRPr="00392BDE">
        <w:t>’</w:t>
      </w:r>
      <w:r w:rsidRPr="00392BDE">
        <w:t>.</w:t>
      </w:r>
      <w:r w:rsidRPr="00392BDE">
        <w:rPr>
          <w:rStyle w:val="FootnoteReference"/>
        </w:rPr>
        <w:footnoteReference w:id="34"/>
      </w:r>
      <w:r w:rsidRPr="00392BDE">
        <w:t xml:space="preserve"> It </w:t>
      </w:r>
      <w:r w:rsidR="0090218B">
        <w:t>was</w:t>
      </w:r>
      <w:r w:rsidR="0090218B" w:rsidRPr="00392BDE">
        <w:t xml:space="preserve"> </w:t>
      </w:r>
      <w:r w:rsidRPr="00392BDE">
        <w:t xml:space="preserve">broadly assumed that claimants are </w:t>
      </w:r>
      <w:r w:rsidR="00392BDE" w:rsidRPr="00392BDE">
        <w:t>‘</w:t>
      </w:r>
      <w:r w:rsidR="009B77F2" w:rsidRPr="00392BDE">
        <w:t>not going to know what they need to tell us, we have to ask them the right thing</w:t>
      </w:r>
      <w:r w:rsidR="00392BDE" w:rsidRPr="00392BDE">
        <w:t>’</w:t>
      </w:r>
      <w:r w:rsidRPr="00392BDE">
        <w:rPr>
          <w:rStyle w:val="FootnoteReference"/>
        </w:rPr>
        <w:footnoteReference w:id="35"/>
      </w:r>
      <w:r w:rsidRPr="00392BDE">
        <w:t xml:space="preserve"> and that processes need a </w:t>
      </w:r>
      <w:r w:rsidR="00392BDE" w:rsidRPr="00392BDE">
        <w:t>‘</w:t>
      </w:r>
      <w:r w:rsidR="009B77F2" w:rsidRPr="00392BDE">
        <w:t>logical flow</w:t>
      </w:r>
      <w:r w:rsidR="00392BDE" w:rsidRPr="00392BDE">
        <w:t>’</w:t>
      </w:r>
      <w:r w:rsidRPr="00392BDE">
        <w:t xml:space="preserve"> </w:t>
      </w:r>
      <w:r w:rsidR="0090218B">
        <w:t>to</w:t>
      </w:r>
      <w:r w:rsidRPr="00392BDE">
        <w:t xml:space="preserve"> help </w:t>
      </w:r>
      <w:r w:rsidR="00392BDE" w:rsidRPr="00392BDE">
        <w:t>‘</w:t>
      </w:r>
      <w:r w:rsidR="009B77F2" w:rsidRPr="00392BDE">
        <w:t>people to put the right responses in there for us</w:t>
      </w:r>
      <w:r w:rsidR="00392BDE" w:rsidRPr="00392BDE">
        <w:t>’</w:t>
      </w:r>
      <w:r w:rsidRPr="00392BDE">
        <w:t>.</w:t>
      </w:r>
      <w:r w:rsidRPr="00392BDE">
        <w:rPr>
          <w:rStyle w:val="FootnoteReference"/>
        </w:rPr>
        <w:footnoteReference w:id="36"/>
      </w:r>
      <w:r w:rsidRPr="00392BDE">
        <w:t xml:space="preserve"> Again, automation and data-sharing within government </w:t>
      </w:r>
      <w:r w:rsidR="0090218B">
        <w:t>was</w:t>
      </w:r>
      <w:r w:rsidR="0090218B" w:rsidRPr="00392BDE">
        <w:t xml:space="preserve"> </w:t>
      </w:r>
      <w:r w:rsidRPr="00392BDE">
        <w:t xml:space="preserve">widely </w:t>
      </w:r>
      <w:r w:rsidR="00531590" w:rsidRPr="00392BDE">
        <w:t>seen</w:t>
      </w:r>
      <w:r w:rsidRPr="00392BDE">
        <w:t xml:space="preserve"> as a way to </w:t>
      </w:r>
      <w:r w:rsidR="00531590" w:rsidRPr="00392BDE">
        <w:t xml:space="preserve">improve processes to deliver </w:t>
      </w:r>
      <w:r w:rsidR="00D107FE" w:rsidRPr="00392BDE">
        <w:t>factual</w:t>
      </w:r>
      <w:r w:rsidRPr="00392BDE">
        <w:t xml:space="preserve"> accuracy</w:t>
      </w:r>
      <w:r w:rsidR="00531590" w:rsidRPr="00392BDE">
        <w:t>,</w:t>
      </w:r>
      <w:r w:rsidRPr="00392BDE">
        <w:t xml:space="preserve"> while </w:t>
      </w:r>
      <w:r w:rsidR="00531590" w:rsidRPr="00392BDE">
        <w:t xml:space="preserve">also </w:t>
      </w:r>
      <w:r w:rsidRPr="00392BDE">
        <w:t xml:space="preserve">removing </w:t>
      </w:r>
      <w:r w:rsidR="00531590" w:rsidRPr="00392BDE">
        <w:t xml:space="preserve">the </w:t>
      </w:r>
      <w:r w:rsidRPr="00392BDE">
        <w:t>burden from claimants</w:t>
      </w:r>
      <w:r w:rsidR="00531590" w:rsidRPr="00392BDE">
        <w:t xml:space="preserve"> to supply information and evidence</w:t>
      </w:r>
      <w:r w:rsidR="00D107FE" w:rsidRPr="00392BDE">
        <w:t xml:space="preserve">. </w:t>
      </w:r>
      <w:r w:rsidR="00531590" w:rsidRPr="00392BDE">
        <w:t xml:space="preserve">It must also be mentioned that, from the official point of view, </w:t>
      </w:r>
      <w:r w:rsidR="00D107FE" w:rsidRPr="00392BDE">
        <w:t xml:space="preserve">processes </w:t>
      </w:r>
      <w:r w:rsidR="00531590" w:rsidRPr="00392BDE">
        <w:t>are designed</w:t>
      </w:r>
      <w:r w:rsidR="00D107FE" w:rsidRPr="00392BDE">
        <w:t xml:space="preserve"> to uncover objective factual accuracy, and this </w:t>
      </w:r>
      <w:r w:rsidR="00531590" w:rsidRPr="00392BDE">
        <w:t>commitment, therefore, extends to designing</w:t>
      </w:r>
      <w:r w:rsidR="00D107FE" w:rsidRPr="00392BDE">
        <w:t xml:space="preserve"> processes which allowed the officials to detect fraud and error</w:t>
      </w:r>
      <w:r w:rsidR="00531590" w:rsidRPr="00392BDE">
        <w:t>,</w:t>
      </w:r>
      <w:r w:rsidR="00D107FE" w:rsidRPr="00392BDE">
        <w:t xml:space="preserve"> </w:t>
      </w:r>
      <w:r w:rsidR="00392BDE" w:rsidRPr="00392BDE">
        <w:t>‘</w:t>
      </w:r>
      <w:r w:rsidR="00E30B35" w:rsidRPr="00392BDE">
        <w:t>because we’ve got to protect the public purse and make sure that people get the money that they’re genuinely entitled t</w:t>
      </w:r>
      <w:r w:rsidR="00D107FE" w:rsidRPr="00392BDE">
        <w:t>o</w:t>
      </w:r>
      <w:r w:rsidR="00392BDE" w:rsidRPr="00392BDE">
        <w:t>’</w:t>
      </w:r>
      <w:r w:rsidR="00E30B35" w:rsidRPr="00392BDE">
        <w:t>.</w:t>
      </w:r>
      <w:r w:rsidR="00D107FE" w:rsidRPr="00392BDE">
        <w:rPr>
          <w:rStyle w:val="FootnoteReference"/>
        </w:rPr>
        <w:footnoteReference w:id="37"/>
      </w:r>
    </w:p>
    <w:p w14:paraId="4D1A7C37" w14:textId="77777777" w:rsidR="00E4677C" w:rsidRPr="00392BDE" w:rsidRDefault="00E4677C" w:rsidP="00392BDE">
      <w:pPr>
        <w:spacing w:line="360" w:lineRule="auto"/>
        <w:contextualSpacing/>
        <w:jc w:val="both"/>
        <w:rPr>
          <w:color w:val="000000" w:themeColor="text1"/>
          <w:u w:val="single"/>
        </w:rPr>
      </w:pPr>
    </w:p>
    <w:p w14:paraId="34055D12" w14:textId="7EE2DC21" w:rsidR="009B1882" w:rsidRPr="00392BDE" w:rsidRDefault="00F676DD" w:rsidP="00392BDE">
      <w:pPr>
        <w:spacing w:line="360" w:lineRule="auto"/>
        <w:ind w:firstLine="720"/>
        <w:contextualSpacing/>
        <w:jc w:val="both"/>
      </w:pPr>
      <w:r w:rsidRPr="00392BDE">
        <w:rPr>
          <w:color w:val="000000" w:themeColor="text1"/>
        </w:rPr>
        <w:t>Speed—that relevant actions are taken promptly—</w:t>
      </w:r>
      <w:r w:rsidR="0090218B">
        <w:rPr>
          <w:color w:val="000000" w:themeColor="text1"/>
        </w:rPr>
        <w:t>was</w:t>
      </w:r>
      <w:r w:rsidR="0090218B" w:rsidRPr="00392BDE">
        <w:rPr>
          <w:color w:val="000000" w:themeColor="text1"/>
        </w:rPr>
        <w:t xml:space="preserve"> </w:t>
      </w:r>
      <w:r w:rsidRPr="00392BDE">
        <w:rPr>
          <w:color w:val="000000" w:themeColor="text1"/>
        </w:rPr>
        <w:t xml:space="preserve">seen as an essential process quality, because </w:t>
      </w:r>
      <w:r w:rsidR="00531590" w:rsidRPr="00392BDE">
        <w:rPr>
          <w:color w:val="000000" w:themeColor="text1"/>
        </w:rPr>
        <w:t xml:space="preserve">the </w:t>
      </w:r>
      <w:r w:rsidRPr="00392BDE">
        <w:rPr>
          <w:color w:val="000000" w:themeColor="text1"/>
        </w:rPr>
        <w:t>Department pay</w:t>
      </w:r>
      <w:r w:rsidR="00531590" w:rsidRPr="00392BDE">
        <w:rPr>
          <w:color w:val="000000" w:themeColor="text1"/>
        </w:rPr>
        <w:t>ing</w:t>
      </w:r>
      <w:r w:rsidRPr="00392BDE">
        <w:rPr>
          <w:color w:val="000000" w:themeColor="text1"/>
        </w:rPr>
        <w:t xml:space="preserve"> claimants </w:t>
      </w:r>
      <w:r w:rsidR="00392BDE" w:rsidRPr="00392BDE">
        <w:rPr>
          <w:color w:val="000000" w:themeColor="text1"/>
        </w:rPr>
        <w:t>‘</w:t>
      </w:r>
      <w:r w:rsidRPr="00392BDE">
        <w:t>on time and in full</w:t>
      </w:r>
      <w:r w:rsidR="00392BDE" w:rsidRPr="00392BDE">
        <w:t>’</w:t>
      </w:r>
      <w:r w:rsidRPr="00392BDE">
        <w:t xml:space="preserve"> </w:t>
      </w:r>
      <w:r w:rsidR="0090218B">
        <w:t>was</w:t>
      </w:r>
      <w:r w:rsidR="0090218B" w:rsidRPr="00392BDE">
        <w:t xml:space="preserve"> </w:t>
      </w:r>
      <w:r w:rsidRPr="00392BDE">
        <w:t xml:space="preserve">the </w:t>
      </w:r>
      <w:r w:rsidR="00392BDE" w:rsidRPr="00392BDE">
        <w:t>‘</w:t>
      </w:r>
      <w:r w:rsidRPr="00392BDE">
        <w:t>most vital aspect</w:t>
      </w:r>
      <w:r w:rsidR="00392BDE" w:rsidRPr="00392BDE">
        <w:t>’</w:t>
      </w:r>
      <w:r w:rsidRPr="00392BDE">
        <w:t>.</w:t>
      </w:r>
      <w:r w:rsidRPr="00392BDE">
        <w:rPr>
          <w:rStyle w:val="FootnoteReference"/>
        </w:rPr>
        <w:footnoteReference w:id="38"/>
      </w:r>
      <w:r w:rsidRPr="00392BDE">
        <w:t xml:space="preserve"> Here, once more, accessibility—and automation that can facilitate it—</w:t>
      </w:r>
      <w:r w:rsidR="0090218B">
        <w:t>could</w:t>
      </w:r>
      <w:r w:rsidR="0090218B" w:rsidRPr="00392BDE">
        <w:t xml:space="preserve"> </w:t>
      </w:r>
      <w:r w:rsidRPr="00392BDE">
        <w:t xml:space="preserve">be </w:t>
      </w:r>
      <w:r w:rsidR="00392BDE" w:rsidRPr="00392BDE">
        <w:t>‘</w:t>
      </w:r>
      <w:r w:rsidRPr="00392BDE">
        <w:t>wonderful</w:t>
      </w:r>
      <w:r w:rsidR="00392BDE" w:rsidRPr="00392BDE">
        <w:t>’</w:t>
      </w:r>
      <w:r w:rsidRPr="00392BDE">
        <w:t xml:space="preserve"> in how </w:t>
      </w:r>
      <w:r w:rsidR="00392BDE" w:rsidRPr="00392BDE">
        <w:t>‘</w:t>
      </w:r>
      <w:r w:rsidRPr="00392BDE">
        <w:t>real-time</w:t>
      </w:r>
      <w:r w:rsidR="00392BDE" w:rsidRPr="00392BDE">
        <w:t>’</w:t>
      </w:r>
      <w:r w:rsidRPr="00392BDE">
        <w:t xml:space="preserve"> information can be used to adjust </w:t>
      </w:r>
      <w:r w:rsidR="00CC487D" w:rsidRPr="00392BDE">
        <w:t>awards</w:t>
      </w:r>
      <w:r w:rsidRPr="00392BDE">
        <w:t xml:space="preserve"> in line with the rules.</w:t>
      </w:r>
      <w:r w:rsidRPr="00392BDE">
        <w:rPr>
          <w:rStyle w:val="FootnoteReference"/>
        </w:rPr>
        <w:footnoteReference w:id="39"/>
      </w:r>
      <w:r w:rsidRPr="00392BDE">
        <w:t xml:space="preserve"> Speed </w:t>
      </w:r>
      <w:r w:rsidR="0090218B">
        <w:t>was</w:t>
      </w:r>
      <w:r w:rsidR="0090218B" w:rsidRPr="00392BDE">
        <w:t xml:space="preserve"> </w:t>
      </w:r>
      <w:r w:rsidRPr="00392BDE">
        <w:t xml:space="preserve">seen not just important in relation to decisions but also </w:t>
      </w:r>
      <w:r w:rsidR="00CC487D" w:rsidRPr="00392BDE">
        <w:t>in</w:t>
      </w:r>
      <w:r w:rsidRPr="00392BDE">
        <w:t xml:space="preserve"> any processes, such as ensuring that</w:t>
      </w:r>
      <w:r w:rsidR="00CC487D" w:rsidRPr="00392BDE">
        <w:t>,</w:t>
      </w:r>
      <w:r w:rsidRPr="00392BDE">
        <w:t xml:space="preserve"> when people have questions</w:t>
      </w:r>
      <w:r w:rsidR="00CC487D" w:rsidRPr="00392BDE">
        <w:t>,</w:t>
      </w:r>
      <w:r w:rsidRPr="00392BDE">
        <w:t xml:space="preserve"> </w:t>
      </w:r>
      <w:r w:rsidR="00392BDE" w:rsidRPr="00392BDE">
        <w:t>‘</w:t>
      </w:r>
      <w:r w:rsidRPr="00392BDE">
        <w:t>they can get an answer fairly quickly</w:t>
      </w:r>
      <w:r w:rsidR="00392BDE" w:rsidRPr="00392BDE">
        <w:t>’</w:t>
      </w:r>
      <w:r w:rsidRPr="00392BDE">
        <w:rPr>
          <w:rStyle w:val="FootnoteReference"/>
        </w:rPr>
        <w:footnoteReference w:id="40"/>
      </w:r>
      <w:r w:rsidR="009B1882" w:rsidRPr="00392BDE">
        <w:t xml:space="preserve"> and that use of online channels </w:t>
      </w:r>
      <w:r w:rsidR="0090218B" w:rsidRPr="00392BDE">
        <w:t>allow</w:t>
      </w:r>
      <w:r w:rsidR="0090218B">
        <w:t>ed</w:t>
      </w:r>
      <w:r w:rsidR="0090218B" w:rsidRPr="00392BDE">
        <w:t xml:space="preserve"> </w:t>
      </w:r>
      <w:r w:rsidR="009B1882" w:rsidRPr="00392BDE">
        <w:t>for quicker interactions.</w:t>
      </w:r>
      <w:r w:rsidR="009B1882" w:rsidRPr="00392BDE">
        <w:rPr>
          <w:rStyle w:val="FootnoteReference"/>
        </w:rPr>
        <w:footnoteReference w:id="41"/>
      </w:r>
      <w:r w:rsidR="009B1882" w:rsidRPr="00392BDE">
        <w:t xml:space="preserve">  </w:t>
      </w:r>
    </w:p>
    <w:p w14:paraId="4E58F674" w14:textId="77777777" w:rsidR="009B1882" w:rsidRPr="00392BDE" w:rsidRDefault="009B1882" w:rsidP="00392BDE">
      <w:pPr>
        <w:spacing w:line="360" w:lineRule="auto"/>
        <w:ind w:firstLine="720"/>
        <w:contextualSpacing/>
        <w:jc w:val="both"/>
      </w:pPr>
    </w:p>
    <w:p w14:paraId="56632FE3" w14:textId="26588E3F" w:rsidR="00B80838" w:rsidRPr="00392BDE" w:rsidRDefault="009B1882" w:rsidP="00392BDE">
      <w:pPr>
        <w:spacing w:line="360" w:lineRule="auto"/>
        <w:ind w:firstLine="720"/>
        <w:contextualSpacing/>
        <w:jc w:val="both"/>
      </w:pPr>
      <w:r w:rsidRPr="00392BDE">
        <w:rPr>
          <w:color w:val="000000" w:themeColor="text1"/>
        </w:rPr>
        <w:t xml:space="preserve">Closely related to a number of </w:t>
      </w:r>
      <w:r w:rsidR="00531590" w:rsidRPr="00392BDE">
        <w:rPr>
          <w:color w:val="000000" w:themeColor="text1"/>
        </w:rPr>
        <w:t xml:space="preserve">the </w:t>
      </w:r>
      <w:r w:rsidRPr="00392BDE">
        <w:rPr>
          <w:color w:val="000000" w:themeColor="text1"/>
        </w:rPr>
        <w:t>process qualities discussed above, officials also emphasise</w:t>
      </w:r>
      <w:r w:rsidR="0090218B">
        <w:rPr>
          <w:color w:val="000000" w:themeColor="text1"/>
        </w:rPr>
        <w:t>d</w:t>
      </w:r>
      <w:r w:rsidRPr="00392BDE">
        <w:rPr>
          <w:color w:val="000000" w:themeColor="text1"/>
        </w:rPr>
        <w:t xml:space="preserve"> availability—that it is easy to get hold of relevant officials. The UC service allows people to </w:t>
      </w:r>
      <w:r w:rsidR="00392BDE" w:rsidRPr="00392BDE">
        <w:rPr>
          <w:color w:val="000000" w:themeColor="text1"/>
        </w:rPr>
        <w:t>‘</w:t>
      </w:r>
      <w:r w:rsidRPr="00392BDE">
        <w:t>go in 24/7</w:t>
      </w:r>
      <w:r w:rsidR="00392BDE" w:rsidRPr="00392BDE">
        <w:t>’</w:t>
      </w:r>
      <w:r w:rsidRPr="00392BDE">
        <w:t>, particularly through adding information to their journals.</w:t>
      </w:r>
      <w:r w:rsidRPr="00392BDE">
        <w:rPr>
          <w:rStyle w:val="FootnoteReference"/>
        </w:rPr>
        <w:footnoteReference w:id="42"/>
      </w:r>
      <w:r w:rsidRPr="00392BDE">
        <w:t xml:space="preserve"> This platform </w:t>
      </w:r>
      <w:r w:rsidR="00531590" w:rsidRPr="00392BDE">
        <w:lastRenderedPageBreak/>
        <w:t>-style design</w:t>
      </w:r>
      <w:r w:rsidRPr="00392BDE">
        <w:t xml:space="preserve"> </w:t>
      </w:r>
      <w:r w:rsidR="0090218B">
        <w:t>was</w:t>
      </w:r>
      <w:r w:rsidR="0090218B" w:rsidRPr="00392BDE">
        <w:t xml:space="preserve"> </w:t>
      </w:r>
      <w:r w:rsidRPr="00392BDE">
        <w:t xml:space="preserve">seen to enhance availability in a way which </w:t>
      </w:r>
      <w:r w:rsidR="0090218B">
        <w:t>was</w:t>
      </w:r>
      <w:r w:rsidR="0090218B" w:rsidRPr="00392BDE">
        <w:t xml:space="preserve"> </w:t>
      </w:r>
      <w:r w:rsidR="00392BDE" w:rsidRPr="00392BDE">
        <w:t>‘</w:t>
      </w:r>
      <w:r w:rsidRPr="00392BDE">
        <w:t>innovative</w:t>
      </w:r>
      <w:r w:rsidR="00392BDE" w:rsidRPr="00392BDE">
        <w:t>’</w:t>
      </w:r>
      <w:r w:rsidRPr="00392BDE">
        <w:rPr>
          <w:rStyle w:val="FootnoteReference"/>
        </w:rPr>
        <w:footnoteReference w:id="43"/>
      </w:r>
      <w:r w:rsidRPr="00392BDE">
        <w:t xml:space="preserve"> and </w:t>
      </w:r>
      <w:r w:rsidR="00392BDE" w:rsidRPr="00392BDE">
        <w:t>‘</w:t>
      </w:r>
      <w:r w:rsidRPr="00392BDE">
        <w:t>revolutionary</w:t>
      </w:r>
      <w:r w:rsidR="00392BDE" w:rsidRPr="00392BDE">
        <w:t>’</w:t>
      </w:r>
      <w:r w:rsidRPr="00392BDE">
        <w:t xml:space="preserve"> in social security.</w:t>
      </w:r>
      <w:r w:rsidRPr="00392BDE">
        <w:rPr>
          <w:rStyle w:val="FootnoteReference"/>
        </w:rPr>
        <w:footnoteReference w:id="44"/>
      </w:r>
      <w:r w:rsidRPr="00392BDE">
        <w:t xml:space="preserve"> As one official put it, </w:t>
      </w:r>
      <w:r w:rsidR="00392BDE" w:rsidRPr="00392BDE">
        <w:t>‘</w:t>
      </w:r>
      <w:r w:rsidRPr="00392BDE">
        <w:t>you can put a message in your journal and you’ll get an answer</w:t>
      </w:r>
      <w:r w:rsidR="00392BDE" w:rsidRPr="00392BDE">
        <w:t>’</w:t>
      </w:r>
      <w:r w:rsidR="002844EB" w:rsidRPr="00392BDE">
        <w:t xml:space="preserve">—though there </w:t>
      </w:r>
      <w:r w:rsidR="0090218B">
        <w:t>was</w:t>
      </w:r>
      <w:r w:rsidR="0090218B" w:rsidRPr="00392BDE">
        <w:t xml:space="preserve"> </w:t>
      </w:r>
      <w:r w:rsidR="002844EB" w:rsidRPr="00392BDE">
        <w:t xml:space="preserve">a need for </w:t>
      </w:r>
      <w:r w:rsidR="00392BDE" w:rsidRPr="00392BDE">
        <w:t>‘</w:t>
      </w:r>
      <w:r w:rsidR="002844EB" w:rsidRPr="00392BDE">
        <w:t>perception management</w:t>
      </w:r>
      <w:r w:rsidR="00392BDE" w:rsidRPr="00392BDE">
        <w:t>’</w:t>
      </w:r>
      <w:r w:rsidR="002844EB" w:rsidRPr="00392BDE">
        <w:t xml:space="preserve"> as it is not </w:t>
      </w:r>
      <w:r w:rsidR="00392BDE" w:rsidRPr="00392BDE">
        <w:t>‘</w:t>
      </w:r>
      <w:r w:rsidR="002844EB" w:rsidRPr="00392BDE">
        <w:t>an instant messaging service</w:t>
      </w:r>
      <w:r w:rsidR="00392BDE" w:rsidRPr="00392BDE">
        <w:t>’</w:t>
      </w:r>
      <w:r w:rsidR="002844EB" w:rsidRPr="00392BDE">
        <w:t>.</w:t>
      </w:r>
      <w:r w:rsidR="002844EB" w:rsidRPr="00392BDE">
        <w:rPr>
          <w:rStyle w:val="FootnoteReference"/>
        </w:rPr>
        <w:footnoteReference w:id="45"/>
      </w:r>
      <w:r w:rsidR="002844EB" w:rsidRPr="00392BDE">
        <w:t xml:space="preserve"> </w:t>
      </w:r>
      <w:r w:rsidRPr="00392BDE">
        <w:t>The prospect of using</w:t>
      </w:r>
      <w:r w:rsidR="00531590" w:rsidRPr="00392BDE">
        <w:t xml:space="preserve"> further</w:t>
      </w:r>
      <w:r w:rsidRPr="00392BDE">
        <w:t xml:space="preserve"> technological innovation to </w:t>
      </w:r>
      <w:r w:rsidR="00492953" w:rsidRPr="00392BDE">
        <w:t>provide</w:t>
      </w:r>
      <w:r w:rsidRPr="00392BDE">
        <w:t xml:space="preserve"> Department officials </w:t>
      </w:r>
      <w:r w:rsidR="00492953" w:rsidRPr="00392BDE">
        <w:t xml:space="preserve">with </w:t>
      </w:r>
      <w:r w:rsidR="00392BDE" w:rsidRPr="00392BDE">
        <w:t>‘</w:t>
      </w:r>
      <w:r w:rsidR="00492953" w:rsidRPr="00392BDE">
        <w:t>early warning systems</w:t>
      </w:r>
      <w:r w:rsidR="00392BDE" w:rsidRPr="00392BDE">
        <w:t>’</w:t>
      </w:r>
      <w:r w:rsidR="00492953" w:rsidRPr="00392BDE">
        <w:t xml:space="preserve"> for</w:t>
      </w:r>
      <w:r w:rsidRPr="00392BDE">
        <w:t xml:space="preserve"> vulnerability</w:t>
      </w:r>
      <w:r w:rsidR="00492953" w:rsidRPr="00392BDE">
        <w:t xml:space="preserve"> amongst claimants</w:t>
      </w:r>
      <w:r w:rsidRPr="00392BDE">
        <w:t xml:space="preserve"> was widely discussed as a means of </w:t>
      </w:r>
      <w:r w:rsidR="00492953" w:rsidRPr="00392BDE">
        <w:t>enhancing</w:t>
      </w:r>
      <w:r w:rsidRPr="00392BDE">
        <w:t xml:space="preserve"> availability further</w:t>
      </w:r>
      <w:r w:rsidR="00492953" w:rsidRPr="00392BDE">
        <w:t xml:space="preserve"> through </w:t>
      </w:r>
      <w:r w:rsidR="002844EB" w:rsidRPr="00392BDE">
        <w:t xml:space="preserve">the </w:t>
      </w:r>
      <w:r w:rsidR="00492953" w:rsidRPr="00392BDE">
        <w:t xml:space="preserve">prioritisation of </w:t>
      </w:r>
      <w:r w:rsidR="002844EB" w:rsidRPr="00392BDE">
        <w:t>resources</w:t>
      </w:r>
      <w:r w:rsidRPr="00392BDE">
        <w:t>.</w:t>
      </w:r>
      <w:r w:rsidR="00492953" w:rsidRPr="00392BDE">
        <w:rPr>
          <w:rStyle w:val="FootnoteReference"/>
        </w:rPr>
        <w:footnoteReference w:id="46"/>
      </w:r>
    </w:p>
    <w:p w14:paraId="3E63D8A0" w14:textId="77777777" w:rsidR="002844EB" w:rsidRPr="00392BDE" w:rsidRDefault="002844EB" w:rsidP="00392BDE">
      <w:pPr>
        <w:spacing w:line="360" w:lineRule="auto"/>
        <w:ind w:firstLine="720"/>
        <w:contextualSpacing/>
        <w:jc w:val="both"/>
      </w:pPr>
    </w:p>
    <w:p w14:paraId="47AD4C54" w14:textId="3554F41B" w:rsidR="002844EB" w:rsidRPr="00392BDE" w:rsidRDefault="002844EB" w:rsidP="00392BDE">
      <w:pPr>
        <w:spacing w:line="360" w:lineRule="auto"/>
        <w:ind w:firstLine="720"/>
        <w:contextualSpacing/>
        <w:jc w:val="both"/>
      </w:pPr>
      <w:r w:rsidRPr="00392BDE">
        <w:t xml:space="preserve">Overall, the prevailing reasoning about what is an acceptable UC process amongst officials can be characterised broadly as </w:t>
      </w:r>
      <w:r w:rsidR="00392BDE" w:rsidRPr="00392BDE">
        <w:t>‘</w:t>
      </w:r>
      <w:r w:rsidRPr="00392BDE">
        <w:t>welfare as service</w:t>
      </w:r>
      <w:r w:rsidR="00392BDE" w:rsidRPr="00392BDE">
        <w:t>’</w:t>
      </w:r>
      <w:r w:rsidRPr="00392BDE">
        <w:t xml:space="preserve">. This is to say that the </w:t>
      </w:r>
      <w:r w:rsidR="004D736E">
        <w:t xml:space="preserve">required </w:t>
      </w:r>
      <w:r w:rsidRPr="00392BDE">
        <w:t xml:space="preserve">relationship </w:t>
      </w:r>
      <w:r w:rsidR="004D736E">
        <w:t>to be</w:t>
      </w:r>
      <w:r w:rsidR="0090218B">
        <w:t xml:space="preserve"> </w:t>
      </w:r>
      <w:r w:rsidRPr="00392BDE">
        <w:t>maintained between a claimant and the DWP</w:t>
      </w:r>
      <w:r w:rsidR="004D736E">
        <w:t xml:space="preserve"> </w:t>
      </w:r>
      <w:r w:rsidRPr="00392BDE">
        <w:t xml:space="preserve">is </w:t>
      </w:r>
      <w:r w:rsidR="00A02C60" w:rsidRPr="00392BDE">
        <w:t>legitimised</w:t>
      </w:r>
      <w:r w:rsidRPr="00392BDE">
        <w:t xml:space="preserve"> through UC operating principally</w:t>
      </w:r>
      <w:r w:rsidR="00531590" w:rsidRPr="00392BDE">
        <w:t xml:space="preserve"> and increasingly</w:t>
      </w:r>
      <w:r w:rsidRPr="00392BDE">
        <w:t xml:space="preserve"> </w:t>
      </w:r>
      <w:r w:rsidR="0090218B" w:rsidRPr="00392BDE">
        <w:t xml:space="preserve">as a </w:t>
      </w:r>
      <w:r w:rsidRPr="00392BDE">
        <w:t>digital</w:t>
      </w:r>
      <w:r w:rsidR="00531590" w:rsidRPr="00392BDE">
        <w:t xml:space="preserve"> </w:t>
      </w:r>
      <w:r w:rsidRPr="00392BDE">
        <w:t>service that is intelligible, accessible, personalised, quick</w:t>
      </w:r>
      <w:r w:rsidR="004D736E">
        <w:t xml:space="preserve"> and</w:t>
      </w:r>
      <w:r w:rsidRPr="00392BDE">
        <w:t xml:space="preserve"> available, </w:t>
      </w:r>
      <w:r w:rsidR="00923B4E" w:rsidRPr="00392BDE">
        <w:t>enabl</w:t>
      </w:r>
      <w:r w:rsidR="0090218B">
        <w:t>ing</w:t>
      </w:r>
      <w:r w:rsidRPr="00392BDE">
        <w:t xml:space="preserve"> </w:t>
      </w:r>
      <w:r w:rsidR="00923B4E" w:rsidRPr="00392BDE">
        <w:t>all relevant factual information to be gathered</w:t>
      </w:r>
      <w:r w:rsidR="00A02C60" w:rsidRPr="00392BDE">
        <w:t xml:space="preserve"> accurately</w:t>
      </w:r>
      <w:r w:rsidRPr="00392BDE">
        <w:t>.</w:t>
      </w:r>
    </w:p>
    <w:p w14:paraId="1C10CC6D" w14:textId="77777777" w:rsidR="00180B8E" w:rsidRPr="00392BDE" w:rsidRDefault="00180B8E" w:rsidP="00392BDE">
      <w:pPr>
        <w:spacing w:line="360" w:lineRule="auto"/>
        <w:contextualSpacing/>
        <w:jc w:val="both"/>
        <w:rPr>
          <w:color w:val="000000" w:themeColor="text1"/>
          <w:u w:val="single"/>
        </w:rPr>
      </w:pPr>
    </w:p>
    <w:p w14:paraId="52BEFC1C" w14:textId="398B5AB7" w:rsidR="006D1B57" w:rsidRPr="00392BDE" w:rsidRDefault="006C6143" w:rsidP="006C6143">
      <w:pPr>
        <w:spacing w:line="360" w:lineRule="auto"/>
        <w:contextualSpacing/>
        <w:jc w:val="center"/>
        <w:rPr>
          <w:b/>
          <w:bCs/>
          <w:smallCaps/>
          <w:color w:val="000000" w:themeColor="text1"/>
        </w:rPr>
      </w:pPr>
      <w:r w:rsidRPr="00392BDE">
        <w:rPr>
          <w:b/>
          <w:bCs/>
          <w:smallCaps/>
          <w:color w:val="000000" w:themeColor="text1"/>
        </w:rPr>
        <w:t>IV. UNIVERSAL CREDIT AS AN ENTITLEMENT: THE PROCESS LOGIC OF ADVISORS</w:t>
      </w:r>
    </w:p>
    <w:p w14:paraId="6842B464" w14:textId="77777777" w:rsidR="006D1B57" w:rsidRPr="00392BDE" w:rsidRDefault="006D1B57" w:rsidP="00392BDE">
      <w:pPr>
        <w:spacing w:line="360" w:lineRule="auto"/>
        <w:contextualSpacing/>
        <w:jc w:val="both"/>
        <w:rPr>
          <w:sz w:val="10"/>
          <w:szCs w:val="10"/>
        </w:rPr>
      </w:pPr>
    </w:p>
    <w:p w14:paraId="28A51478" w14:textId="1982BD90" w:rsidR="006D1B57" w:rsidRPr="00392BDE" w:rsidRDefault="006D1B57" w:rsidP="00392BDE">
      <w:pPr>
        <w:spacing w:line="360" w:lineRule="auto"/>
        <w:contextualSpacing/>
        <w:jc w:val="both"/>
      </w:pPr>
      <w:r w:rsidRPr="00392BDE">
        <w:t xml:space="preserve">For welfare rights advisors, the most basic concern of a welfare system </w:t>
      </w:r>
      <w:r w:rsidR="007F0360">
        <w:t>was</w:t>
      </w:r>
      <w:r w:rsidR="007F0360" w:rsidRPr="00392BDE">
        <w:t xml:space="preserve"> </w:t>
      </w:r>
      <w:r w:rsidRPr="00392BDE">
        <w:t xml:space="preserve">that all claimants receive the benefits to which they are legally entitled. </w:t>
      </w:r>
      <w:r w:rsidR="00EB7D86" w:rsidRPr="00392BDE">
        <w:t>From their perspective, the</w:t>
      </w:r>
      <w:r w:rsidRPr="00392BDE">
        <w:t xml:space="preserve"> process quality of ‘legality’ –</w:t>
      </w:r>
      <w:r w:rsidR="00E67811" w:rsidRPr="00392BDE">
        <w:t xml:space="preserve"> </w:t>
      </w:r>
      <w:r w:rsidRPr="00392BDE">
        <w:t xml:space="preserve">officials knowing their own legal rules and applying them correctly – </w:t>
      </w:r>
      <w:r w:rsidR="007F0360">
        <w:t>was</w:t>
      </w:r>
      <w:r w:rsidR="007F0360" w:rsidRPr="00392BDE">
        <w:t xml:space="preserve"> </w:t>
      </w:r>
      <w:r w:rsidRPr="00392BDE">
        <w:t xml:space="preserve">fundamental to any legitimate process of welfare administration. </w:t>
      </w:r>
      <w:r w:rsidR="00EB7D86" w:rsidRPr="00392BDE">
        <w:t xml:space="preserve">Welfare benefits advisors </w:t>
      </w:r>
      <w:r w:rsidR="007F0360">
        <w:t>were</w:t>
      </w:r>
      <w:r w:rsidR="007F0360" w:rsidRPr="00392BDE">
        <w:t xml:space="preserve"> </w:t>
      </w:r>
      <w:r w:rsidR="00EB7D86" w:rsidRPr="00392BDE">
        <w:t>not blind to competing process logics and certainly appreciate</w:t>
      </w:r>
      <w:r w:rsidR="007F0360">
        <w:t>d</w:t>
      </w:r>
      <w:r w:rsidR="00EB7D86" w:rsidRPr="00392BDE">
        <w:t xml:space="preserve">, for example, the benefits of a customer-friendly and efficient service, or the risks of feelings of indignity faced by claimants in navigating a powerful state system. However, </w:t>
      </w:r>
      <w:r w:rsidR="00F62CEF" w:rsidRPr="00392BDE">
        <w:t xml:space="preserve">undoubtedly </w:t>
      </w:r>
      <w:r w:rsidR="00EB7D86" w:rsidRPr="00392BDE">
        <w:t>influenced</w:t>
      </w:r>
      <w:r w:rsidR="00F62CEF" w:rsidRPr="00392BDE">
        <w:t xml:space="preserve"> </w:t>
      </w:r>
      <w:r w:rsidR="00EB7D86" w:rsidRPr="00392BDE">
        <w:t xml:space="preserve">by the </w:t>
      </w:r>
      <w:r w:rsidR="00F62CEF" w:rsidRPr="00392BDE">
        <w:t>nature</w:t>
      </w:r>
      <w:r w:rsidR="00EB7D86" w:rsidRPr="00392BDE">
        <w:t xml:space="preserve"> of their work, they </w:t>
      </w:r>
      <w:r w:rsidR="007F0360">
        <w:t>were</w:t>
      </w:r>
      <w:r w:rsidR="007F0360" w:rsidRPr="00392BDE">
        <w:t xml:space="preserve"> </w:t>
      </w:r>
      <w:r w:rsidR="00EB7D86" w:rsidRPr="00392BDE">
        <w:t xml:space="preserve">particularly attuned to </w:t>
      </w:r>
      <w:r w:rsidR="00A51B69" w:rsidRPr="00392BDE">
        <w:t xml:space="preserve">a </w:t>
      </w:r>
      <w:r w:rsidR="00F62CEF" w:rsidRPr="00392BDE">
        <w:t>process</w:t>
      </w:r>
      <w:r w:rsidR="00A51B69" w:rsidRPr="00392BDE">
        <w:t xml:space="preserve"> logic whereby </w:t>
      </w:r>
      <w:r w:rsidR="00F62CEF" w:rsidRPr="00392BDE">
        <w:t>the UC system</w:t>
      </w:r>
      <w:r w:rsidR="00A51B69" w:rsidRPr="00392BDE">
        <w:t xml:space="preserve"> must fulfil its mandate to ensure that all claimants receive their </w:t>
      </w:r>
      <w:r w:rsidR="008D7B49" w:rsidRPr="00392BDE">
        <w:t xml:space="preserve">legal </w:t>
      </w:r>
      <w:r w:rsidR="00A51B69" w:rsidRPr="00392BDE">
        <w:t>entitlements.</w:t>
      </w:r>
      <w:r w:rsidR="00EB7D86" w:rsidRPr="00392BDE">
        <w:t xml:space="preserve"> </w:t>
      </w:r>
      <w:r w:rsidR="00402991" w:rsidRPr="00392BDE">
        <w:t xml:space="preserve">And unlike the importance of system-wide thinking for public officials, the core unit of analysis for welfare rights advisors </w:t>
      </w:r>
      <w:r w:rsidR="007F0360">
        <w:t>was</w:t>
      </w:r>
      <w:r w:rsidR="007F0360" w:rsidRPr="00392BDE">
        <w:t xml:space="preserve"> </w:t>
      </w:r>
      <w:r w:rsidR="00402991" w:rsidRPr="00392BDE">
        <w:t xml:space="preserve">the individual </w:t>
      </w:r>
      <w:r w:rsidR="001214ED" w:rsidRPr="00392BDE">
        <w:t>claimant</w:t>
      </w:r>
      <w:r w:rsidR="00402991" w:rsidRPr="00392BDE">
        <w:t>. Advisors view</w:t>
      </w:r>
      <w:r w:rsidR="007F0360">
        <w:t>ed</w:t>
      </w:r>
      <w:r w:rsidR="00402991" w:rsidRPr="00392BDE">
        <w:t xml:space="preserve"> the UC system through the </w:t>
      </w:r>
      <w:r w:rsidR="00402991" w:rsidRPr="00392BDE">
        <w:lastRenderedPageBreak/>
        <w:t>experiences of the individuals who feel it has failed them. As one interview</w:t>
      </w:r>
      <w:r w:rsidR="001214ED" w:rsidRPr="00392BDE">
        <w:t>ee</w:t>
      </w:r>
      <w:r w:rsidR="00402991" w:rsidRPr="00392BDE">
        <w:t xml:space="preserve"> noted, </w:t>
      </w:r>
      <w:r w:rsidR="00392BDE" w:rsidRPr="00392BDE">
        <w:t>‘</w:t>
      </w:r>
      <w:r w:rsidR="009218D3" w:rsidRPr="00392BDE">
        <w:t xml:space="preserve">I deal with the problems that come up. People don’t come to me </w:t>
      </w:r>
      <w:r w:rsidR="007927A6" w:rsidRPr="00392BDE">
        <w:t>…</w:t>
      </w:r>
      <w:r w:rsidR="009218D3" w:rsidRPr="00392BDE">
        <w:t xml:space="preserve"> when they get a decision they like.</w:t>
      </w:r>
      <w:r w:rsidR="00392BDE" w:rsidRPr="00392BDE">
        <w:t>’</w:t>
      </w:r>
      <w:r w:rsidR="009218D3" w:rsidRPr="00392BDE">
        <w:rPr>
          <w:rStyle w:val="FootnoteReference"/>
        </w:rPr>
        <w:footnoteReference w:id="47"/>
      </w:r>
    </w:p>
    <w:p w14:paraId="37CD080B" w14:textId="77777777" w:rsidR="008D7B49" w:rsidRPr="00392BDE" w:rsidRDefault="008D7B49" w:rsidP="00392BDE">
      <w:pPr>
        <w:spacing w:line="360" w:lineRule="auto"/>
        <w:contextualSpacing/>
        <w:jc w:val="both"/>
      </w:pPr>
    </w:p>
    <w:p w14:paraId="32BACCA4" w14:textId="7BCDABF7" w:rsidR="008D7B49" w:rsidRPr="00392BDE" w:rsidRDefault="008D7B49" w:rsidP="00392BDE">
      <w:pPr>
        <w:spacing w:line="360" w:lineRule="auto"/>
        <w:ind w:firstLine="720"/>
        <w:contextualSpacing/>
        <w:jc w:val="both"/>
      </w:pPr>
      <w:r w:rsidRPr="00392BDE">
        <w:t xml:space="preserve">Running in parallel to their focus on legality </w:t>
      </w:r>
      <w:r w:rsidR="007F0360">
        <w:t>was</w:t>
      </w:r>
      <w:r w:rsidR="007F0360" w:rsidRPr="00392BDE">
        <w:t xml:space="preserve"> </w:t>
      </w:r>
      <w:r w:rsidRPr="00392BDE">
        <w:t xml:space="preserve">a </w:t>
      </w:r>
      <w:r w:rsidR="00183172" w:rsidRPr="00392BDE">
        <w:t xml:space="preserve">further basic </w:t>
      </w:r>
      <w:r w:rsidRPr="00392BDE">
        <w:t xml:space="preserve">concern with speed as a process quality. Yet, in contrast to the function of speed within the competing process logics, whereby it may be associated with system efficiency or respectful treatment, speed </w:t>
      </w:r>
      <w:r w:rsidR="007F0360">
        <w:t>was</w:t>
      </w:r>
      <w:r w:rsidR="007F0360" w:rsidRPr="00392BDE">
        <w:t xml:space="preserve"> </w:t>
      </w:r>
      <w:r w:rsidRPr="00392BDE">
        <w:t xml:space="preserve">valued by advisors according to the aphorism that </w:t>
      </w:r>
      <w:r w:rsidR="00392BDE" w:rsidRPr="00392BDE">
        <w:t>‘</w:t>
      </w:r>
      <w:r w:rsidRPr="00392BDE">
        <w:t>justice delayed is justice denied</w:t>
      </w:r>
      <w:r w:rsidR="00392BDE" w:rsidRPr="00392BDE">
        <w:t>’</w:t>
      </w:r>
      <w:r w:rsidRPr="00392BDE">
        <w:t>.</w:t>
      </w:r>
      <w:r w:rsidR="00183172" w:rsidRPr="00392BDE">
        <w:t xml:space="preserve"> And</w:t>
      </w:r>
      <w:r w:rsidRPr="00392BDE">
        <w:t xml:space="preserve"> </w:t>
      </w:r>
      <w:r w:rsidR="00183172" w:rsidRPr="00392BDE">
        <w:t xml:space="preserve">because speed </w:t>
      </w:r>
      <w:r w:rsidR="007F0360">
        <w:t>was</w:t>
      </w:r>
      <w:r w:rsidR="007F0360" w:rsidRPr="00392BDE">
        <w:t xml:space="preserve"> </w:t>
      </w:r>
      <w:r w:rsidR="00183172" w:rsidRPr="00392BDE">
        <w:t xml:space="preserve">valued for its justice dimension, legality can never be sacrificed for the sake of speed or efficiency – they must always run in parallel. </w:t>
      </w:r>
      <w:r w:rsidRPr="00392BDE">
        <w:t xml:space="preserve">Thus, </w:t>
      </w:r>
      <w:r w:rsidR="00183172" w:rsidRPr="00392BDE">
        <w:t xml:space="preserve">from the advisors’ perspective, </w:t>
      </w:r>
      <w:r w:rsidRPr="00392BDE">
        <w:t>not only must the UC system ensure that entitled claimants receive their benefits, but it must also do so quickly. Failure in this regard is</w:t>
      </w:r>
      <w:r w:rsidR="00B86D6C" w:rsidRPr="00392BDE">
        <w:t xml:space="preserve"> itself </w:t>
      </w:r>
      <w:r w:rsidRPr="00392BDE">
        <w:t>a form of injustice</w:t>
      </w:r>
      <w:r w:rsidR="006215A5" w:rsidRPr="00392BDE">
        <w:t>: for the duration of any unnecessary</w:t>
      </w:r>
      <w:r w:rsidRPr="00392BDE">
        <w:t xml:space="preserve"> delay</w:t>
      </w:r>
      <w:r w:rsidR="006215A5" w:rsidRPr="00392BDE">
        <w:t xml:space="preserve">, the system </w:t>
      </w:r>
      <w:r w:rsidR="001214ED" w:rsidRPr="00392BDE">
        <w:t xml:space="preserve">is </w:t>
      </w:r>
      <w:r w:rsidR="006215A5" w:rsidRPr="00392BDE">
        <w:t>fail</w:t>
      </w:r>
      <w:r w:rsidR="001214ED" w:rsidRPr="00392BDE">
        <w:t>ing</w:t>
      </w:r>
      <w:r w:rsidR="006215A5" w:rsidRPr="00392BDE">
        <w:t xml:space="preserve"> to fulfil its legal mandate</w:t>
      </w:r>
      <w:r w:rsidR="00074AEC" w:rsidRPr="00392BDE">
        <w:t xml:space="preserve">: </w:t>
      </w:r>
      <w:r w:rsidR="00392BDE" w:rsidRPr="00392BDE">
        <w:t>‘</w:t>
      </w:r>
      <w:r w:rsidR="007F1812" w:rsidRPr="00392BDE">
        <w:t>Decisions have to be timely, they have to be done within a decent amount of time, and they have to be accurate. They have to be made by people who understand the law…</w:t>
      </w:r>
      <w:r w:rsidR="00392BDE" w:rsidRPr="00392BDE">
        <w:t>’</w:t>
      </w:r>
      <w:r w:rsidR="007F1812" w:rsidRPr="00392BDE">
        <w:rPr>
          <w:rStyle w:val="FootnoteReference"/>
        </w:rPr>
        <w:footnoteReference w:id="48"/>
      </w:r>
    </w:p>
    <w:p w14:paraId="557E15B6" w14:textId="77777777" w:rsidR="008D7B49" w:rsidRPr="00392BDE" w:rsidRDefault="008D7B49" w:rsidP="00392BDE">
      <w:pPr>
        <w:spacing w:line="360" w:lineRule="auto"/>
        <w:contextualSpacing/>
        <w:jc w:val="both"/>
      </w:pPr>
    </w:p>
    <w:p w14:paraId="3D459AEB" w14:textId="0ED99959" w:rsidR="006215A5" w:rsidRPr="00392BDE" w:rsidRDefault="00183172" w:rsidP="00392BDE">
      <w:pPr>
        <w:spacing w:line="360" w:lineRule="auto"/>
        <w:ind w:firstLine="720"/>
        <w:contextualSpacing/>
        <w:jc w:val="both"/>
      </w:pPr>
      <w:r w:rsidRPr="00392BDE">
        <w:t>Quite a</w:t>
      </w:r>
      <w:r w:rsidR="00F62CEF" w:rsidRPr="00392BDE">
        <w:t xml:space="preserve"> large number of </w:t>
      </w:r>
      <w:r w:rsidRPr="00392BDE">
        <w:t xml:space="preserve">additional </w:t>
      </w:r>
      <w:r w:rsidR="00F62CEF" w:rsidRPr="00392BDE">
        <w:t>process qualities emerged from our interviews with welfare rights advisors</w:t>
      </w:r>
      <w:r w:rsidRPr="00392BDE">
        <w:t>,</w:t>
      </w:r>
      <w:r w:rsidR="006215A5" w:rsidRPr="00392BDE">
        <w:t xml:space="preserve"> </w:t>
      </w:r>
      <w:r w:rsidRPr="00392BDE">
        <w:t xml:space="preserve">all serving </w:t>
      </w:r>
      <w:r w:rsidR="006215A5" w:rsidRPr="00392BDE">
        <w:t>in various ways th</w:t>
      </w:r>
      <w:r w:rsidR="00B86D6C" w:rsidRPr="00392BDE">
        <w:t>e</w:t>
      </w:r>
      <w:r w:rsidR="006215A5" w:rsidRPr="00392BDE">
        <w:t xml:space="preserve"> foundational norms of legality and speed. However, </w:t>
      </w:r>
      <w:r w:rsidR="00B86D6C" w:rsidRPr="00392BDE">
        <w:t>five values were particularly important to advisors’ accounts of procedural legitimacy. If we position ‘legality’ and ‘speed’ as foundational procedural qualities, we may think of the additional five as second and third order values: the second order values are instrumental towards the foundational values, and the third order values are instrumental towards the second order qualities.</w:t>
      </w:r>
    </w:p>
    <w:p w14:paraId="58408C37" w14:textId="77777777" w:rsidR="00B86D6C" w:rsidRPr="00392BDE" w:rsidRDefault="00B86D6C" w:rsidP="00392BDE">
      <w:pPr>
        <w:spacing w:line="360" w:lineRule="auto"/>
        <w:ind w:firstLine="720"/>
        <w:contextualSpacing/>
        <w:jc w:val="both"/>
      </w:pPr>
    </w:p>
    <w:p w14:paraId="585C2C49" w14:textId="471D593C" w:rsidR="002C02D5" w:rsidRPr="00392BDE" w:rsidRDefault="00B86D6C" w:rsidP="00392BDE">
      <w:pPr>
        <w:spacing w:line="360" w:lineRule="auto"/>
        <w:ind w:firstLine="720"/>
        <w:contextualSpacing/>
        <w:jc w:val="both"/>
      </w:pPr>
      <w:r w:rsidRPr="00392BDE">
        <w:t xml:space="preserve">The first of the second order process qualities </w:t>
      </w:r>
      <w:r w:rsidR="007F0360">
        <w:t>was</w:t>
      </w:r>
      <w:r w:rsidR="007F0360" w:rsidRPr="00392BDE">
        <w:t xml:space="preserve"> </w:t>
      </w:r>
      <w:r w:rsidRPr="00392BDE">
        <w:t>factual accuracy</w:t>
      </w:r>
      <w:r w:rsidR="007F0360">
        <w:t>: i</w:t>
      </w:r>
      <w:r w:rsidR="00864D2A" w:rsidRPr="00392BDE">
        <w:t>n order to make a legally correct decision, the system must properly understand a claimant’s circumstances.</w:t>
      </w:r>
      <w:r w:rsidR="001214ED" w:rsidRPr="00392BDE">
        <w:t xml:space="preserve"> Advisors frequently encounter</w:t>
      </w:r>
      <w:r w:rsidR="007F0360">
        <w:t>ed</w:t>
      </w:r>
      <w:r w:rsidR="001214ED" w:rsidRPr="00392BDE">
        <w:t xml:space="preserve"> claimants with </w:t>
      </w:r>
      <w:r w:rsidR="00665959" w:rsidRPr="00392BDE">
        <w:t xml:space="preserve">vulnerabilities, </w:t>
      </w:r>
      <w:r w:rsidR="001214ED" w:rsidRPr="00392BDE">
        <w:t xml:space="preserve">complex </w:t>
      </w:r>
      <w:r w:rsidR="00047711" w:rsidRPr="00392BDE">
        <w:t>circumstances,</w:t>
      </w:r>
      <w:r w:rsidR="001214ED" w:rsidRPr="00392BDE">
        <w:t xml:space="preserve"> </w:t>
      </w:r>
      <w:r w:rsidR="00665959" w:rsidRPr="00392BDE">
        <w:t xml:space="preserve">or digital literacy problems, </w:t>
      </w:r>
      <w:r w:rsidR="001214ED" w:rsidRPr="00392BDE">
        <w:t>who</w:t>
      </w:r>
      <w:r w:rsidR="00665959" w:rsidRPr="00392BDE">
        <w:t xml:space="preserve"> </w:t>
      </w:r>
      <w:r w:rsidR="007F0360">
        <w:t>felt</w:t>
      </w:r>
      <w:r w:rsidR="007F0360" w:rsidRPr="00392BDE">
        <w:t xml:space="preserve"> </w:t>
      </w:r>
      <w:r w:rsidR="001214ED" w:rsidRPr="00392BDE">
        <w:t xml:space="preserve">misunderstood by the UC system.  Consequently, they </w:t>
      </w:r>
      <w:r w:rsidR="007F0360">
        <w:t>felt</w:t>
      </w:r>
      <w:r w:rsidR="007F0360" w:rsidRPr="00392BDE">
        <w:t xml:space="preserve"> </w:t>
      </w:r>
      <w:r w:rsidR="001214ED" w:rsidRPr="00392BDE">
        <w:t xml:space="preserve">that incorrect decisions </w:t>
      </w:r>
      <w:r w:rsidR="007F0360" w:rsidRPr="00392BDE">
        <w:t>ha</w:t>
      </w:r>
      <w:r w:rsidR="007F0360">
        <w:t>d</w:t>
      </w:r>
      <w:r w:rsidR="007F0360" w:rsidRPr="00392BDE">
        <w:t xml:space="preserve"> </w:t>
      </w:r>
      <w:r w:rsidR="001214ED" w:rsidRPr="00392BDE">
        <w:t>been made</w:t>
      </w:r>
      <w:r w:rsidR="0041644E" w:rsidRPr="00392BDE">
        <w:t xml:space="preserve">: </w:t>
      </w:r>
      <w:r w:rsidR="00392BDE" w:rsidRPr="00392BDE">
        <w:t>‘</w:t>
      </w:r>
      <w:r w:rsidR="0041644E" w:rsidRPr="00392BDE">
        <w:t xml:space="preserve">we get in touch with really vulnerable people, they </w:t>
      </w:r>
      <w:r w:rsidR="0041644E" w:rsidRPr="00392BDE">
        <w:lastRenderedPageBreak/>
        <w:t xml:space="preserve">might be homeless, they might be being exploited, there’s abuse going on … those people should get the </w:t>
      </w:r>
      <w:r w:rsidR="00047711" w:rsidRPr="00392BDE">
        <w:t>face-to-face</w:t>
      </w:r>
      <w:r w:rsidR="0041644E" w:rsidRPr="00392BDE">
        <w:t xml:space="preserve"> help.</w:t>
      </w:r>
      <w:r w:rsidR="00392BDE" w:rsidRPr="00392BDE">
        <w:t>’</w:t>
      </w:r>
      <w:r w:rsidR="0041644E" w:rsidRPr="00392BDE">
        <w:rPr>
          <w:rStyle w:val="FootnoteReference"/>
        </w:rPr>
        <w:footnoteReference w:id="49"/>
      </w:r>
      <w:r w:rsidR="001214ED" w:rsidRPr="00392BDE">
        <w:t xml:space="preserve"> </w:t>
      </w:r>
    </w:p>
    <w:p w14:paraId="1FAED7A6" w14:textId="77777777" w:rsidR="002C02D5" w:rsidRPr="00392BDE" w:rsidRDefault="002C02D5" w:rsidP="00392BDE">
      <w:pPr>
        <w:spacing w:line="360" w:lineRule="auto"/>
        <w:ind w:firstLine="720"/>
        <w:contextualSpacing/>
        <w:jc w:val="both"/>
      </w:pPr>
    </w:p>
    <w:p w14:paraId="77A9F8D2" w14:textId="342DA9D4" w:rsidR="00B86D6C" w:rsidRPr="00392BDE" w:rsidRDefault="001214ED" w:rsidP="00392BDE">
      <w:pPr>
        <w:spacing w:line="360" w:lineRule="auto"/>
        <w:ind w:firstLine="720"/>
        <w:contextualSpacing/>
        <w:jc w:val="both"/>
      </w:pPr>
      <w:r w:rsidRPr="00392BDE">
        <w:t xml:space="preserve">It is for </w:t>
      </w:r>
      <w:r w:rsidR="002C02D5" w:rsidRPr="00392BDE">
        <w:t>the above</w:t>
      </w:r>
      <w:r w:rsidRPr="00392BDE">
        <w:t xml:space="preserve"> reason that </w:t>
      </w:r>
      <w:r w:rsidR="000F2B89" w:rsidRPr="00392BDE">
        <w:t xml:space="preserve">a further </w:t>
      </w:r>
      <w:r w:rsidR="00844089" w:rsidRPr="00392BDE">
        <w:t xml:space="preserve">and linked </w:t>
      </w:r>
      <w:r w:rsidR="000F2B89" w:rsidRPr="00392BDE">
        <w:t xml:space="preserve">second order quality </w:t>
      </w:r>
      <w:r w:rsidR="00AF7142">
        <w:t>was</w:t>
      </w:r>
      <w:r w:rsidR="00AF7142" w:rsidRPr="00392BDE">
        <w:t xml:space="preserve"> </w:t>
      </w:r>
      <w:r w:rsidR="000F2B89" w:rsidRPr="00392BDE">
        <w:t xml:space="preserve">stressed: that of ‘decision discretion’, whereby UC rules can be applied flexibly to meet the particular circumstances of a claimant. For advisors, the digitisation of the UC system, whilst enhancing the convenience of the claiming process for many, and whilst promising efficiency gains for the DWP, </w:t>
      </w:r>
      <w:r w:rsidR="00844089" w:rsidRPr="00392BDE">
        <w:t xml:space="preserve">nonetheless </w:t>
      </w:r>
      <w:r w:rsidR="00AF7142" w:rsidRPr="00392BDE">
        <w:t>carrie</w:t>
      </w:r>
      <w:r w:rsidR="00AF7142">
        <w:t>d</w:t>
      </w:r>
      <w:r w:rsidR="00AF7142" w:rsidRPr="00392BDE">
        <w:t xml:space="preserve"> </w:t>
      </w:r>
      <w:r w:rsidR="000F2B89" w:rsidRPr="00392BDE">
        <w:t xml:space="preserve">a risk of being insensitive to certain claimants whose circumstances </w:t>
      </w:r>
      <w:r w:rsidR="00AF7142">
        <w:t>were</w:t>
      </w:r>
      <w:r w:rsidR="00AF7142" w:rsidRPr="00392BDE">
        <w:t xml:space="preserve"> </w:t>
      </w:r>
      <w:r w:rsidR="000F2B89" w:rsidRPr="00392BDE">
        <w:t>complex or, in other ways, ill-fitting for an automated system.</w:t>
      </w:r>
      <w:r w:rsidR="00844089" w:rsidRPr="00392BDE">
        <w:t xml:space="preserve"> The fear of many advisors was that the DWP had invested expertise in the automated UC system itself, at the expense of investment in human expertise. </w:t>
      </w:r>
      <w:r w:rsidR="002D33AE" w:rsidRPr="00392BDE">
        <w:t xml:space="preserve">As one advisor put it, </w:t>
      </w:r>
      <w:r w:rsidR="00392BDE" w:rsidRPr="00392BDE">
        <w:t>‘</w:t>
      </w:r>
      <w:r w:rsidR="002D33AE" w:rsidRPr="00392BDE">
        <w:t>they need to trust their frontline staff more and see the IT as a tool rather than a dictator.</w:t>
      </w:r>
      <w:r w:rsidR="00392BDE" w:rsidRPr="00392BDE">
        <w:t>’</w:t>
      </w:r>
      <w:r w:rsidR="002D33AE" w:rsidRPr="00392BDE">
        <w:rPr>
          <w:rStyle w:val="FootnoteReference"/>
        </w:rPr>
        <w:footnoteReference w:id="50"/>
      </w:r>
      <w:r w:rsidR="002D33AE" w:rsidRPr="00392BDE">
        <w:t xml:space="preserve"> For</w:t>
      </w:r>
      <w:r w:rsidR="00844089" w:rsidRPr="00392BDE">
        <w:t xml:space="preserve"> advisors, human expertise – specifically, the capacity to apply rules flexibly in a way that would accommodate </w:t>
      </w:r>
      <w:r w:rsidR="00047711" w:rsidRPr="00392BDE">
        <w:t>individual</w:t>
      </w:r>
      <w:r w:rsidR="00844089" w:rsidRPr="00392BDE">
        <w:t xml:space="preserve"> circumstances – </w:t>
      </w:r>
      <w:r w:rsidR="00AF7142">
        <w:t>was</w:t>
      </w:r>
      <w:r w:rsidR="00AF7142" w:rsidRPr="00392BDE">
        <w:t xml:space="preserve"> </w:t>
      </w:r>
      <w:r w:rsidR="00844089" w:rsidRPr="00392BDE">
        <w:t>essential for legally correct decision-making.</w:t>
      </w:r>
      <w:r w:rsidR="00665959" w:rsidRPr="00392BDE">
        <w:t xml:space="preserve"> And given that the core unit of analysis for advisors </w:t>
      </w:r>
      <w:r w:rsidR="00AF7142">
        <w:t>was</w:t>
      </w:r>
      <w:r w:rsidR="00AF7142" w:rsidRPr="00392BDE">
        <w:t xml:space="preserve"> </w:t>
      </w:r>
      <w:r w:rsidR="00665959" w:rsidRPr="00392BDE">
        <w:t>the individual claimant, any system which cannot easily accommodate a minority of ‘complex’ claimants is a failed system</w:t>
      </w:r>
      <w:r w:rsidR="00373102" w:rsidRPr="00392BDE">
        <w:t xml:space="preserve">: </w:t>
      </w:r>
      <w:r w:rsidR="00392BDE" w:rsidRPr="00392BDE">
        <w:t>‘</w:t>
      </w:r>
      <w:r w:rsidR="00373102" w:rsidRPr="00392BDE">
        <w:t>the process in the vast majority seems to work. But then you could say 99 planes landed safely at the airport today, so we don’t have to worry about the one that didn’t</w:t>
      </w:r>
      <w:r w:rsidR="00AF7142">
        <w:t>…</w:t>
      </w:r>
      <w:r w:rsidR="00392BDE" w:rsidRPr="00392BDE">
        <w:t>’</w:t>
      </w:r>
      <w:r w:rsidR="00373102" w:rsidRPr="00392BDE">
        <w:rPr>
          <w:rStyle w:val="FootnoteReference"/>
        </w:rPr>
        <w:footnoteReference w:id="51"/>
      </w:r>
    </w:p>
    <w:p w14:paraId="280520E1" w14:textId="77777777" w:rsidR="00665959" w:rsidRPr="00392BDE" w:rsidRDefault="00665959" w:rsidP="00392BDE">
      <w:pPr>
        <w:spacing w:line="360" w:lineRule="auto"/>
        <w:ind w:firstLine="720"/>
        <w:contextualSpacing/>
        <w:jc w:val="both"/>
      </w:pPr>
    </w:p>
    <w:p w14:paraId="0DB6BEF4" w14:textId="5CC68DA1" w:rsidR="00665959" w:rsidRPr="00392BDE" w:rsidRDefault="00665959" w:rsidP="00392BDE">
      <w:pPr>
        <w:spacing w:line="360" w:lineRule="auto"/>
        <w:ind w:firstLine="720"/>
        <w:contextualSpacing/>
        <w:jc w:val="both"/>
      </w:pPr>
      <w:r w:rsidRPr="00392BDE">
        <w:t xml:space="preserve">The final second order process quality emphasised by advisors betrays their basic orientation towards the UC system: a </w:t>
      </w:r>
      <w:r w:rsidR="00183172" w:rsidRPr="00392BDE">
        <w:t>diminished level of</w:t>
      </w:r>
      <w:r w:rsidRPr="00392BDE">
        <w:t xml:space="preserve"> trust in its capacity to produce legally accurate decisions. Whereas for public officials, the legality of decisions </w:t>
      </w:r>
      <w:r w:rsidR="00AF7142">
        <w:t>was</w:t>
      </w:r>
      <w:r w:rsidR="00AF7142" w:rsidRPr="00392BDE">
        <w:t xml:space="preserve"> </w:t>
      </w:r>
      <w:r w:rsidR="002C02D5" w:rsidRPr="00392BDE">
        <w:t>designed into</w:t>
      </w:r>
      <w:r w:rsidRPr="00392BDE">
        <w:t xml:space="preserve"> the UC system </w:t>
      </w:r>
      <w:r w:rsidR="00047711" w:rsidRPr="00392BDE">
        <w:t xml:space="preserve">and </w:t>
      </w:r>
      <w:r w:rsidR="00AF7142">
        <w:t>could</w:t>
      </w:r>
      <w:r w:rsidRPr="00392BDE">
        <w:t>, broadly speaking, be presumed, advisors approach</w:t>
      </w:r>
      <w:r w:rsidR="00AF7142">
        <w:t>ed</w:t>
      </w:r>
      <w:r w:rsidRPr="00392BDE">
        <w:t xml:space="preserve"> UC decision with much greater scepticism. Consequently, they </w:t>
      </w:r>
      <w:r w:rsidR="00183172" w:rsidRPr="00392BDE">
        <w:t xml:space="preserve">also </w:t>
      </w:r>
      <w:r w:rsidRPr="00392BDE">
        <w:t xml:space="preserve">emphasised the process quality of ‘correctability’: the capacity within a system for errors to be </w:t>
      </w:r>
      <w:r w:rsidR="00D52189" w:rsidRPr="00392BDE">
        <w:t xml:space="preserve">easily </w:t>
      </w:r>
      <w:r w:rsidRPr="00392BDE">
        <w:t>amended</w:t>
      </w:r>
      <w:r w:rsidR="00074AEC" w:rsidRPr="00392BDE">
        <w:t xml:space="preserve">: </w:t>
      </w:r>
      <w:r w:rsidR="00392BDE" w:rsidRPr="00392BDE">
        <w:t>‘</w:t>
      </w:r>
      <w:r w:rsidR="00074AEC" w:rsidRPr="00392BDE">
        <w:t>It’s part of the fairness of the decision-making… the fair administration of benefits… that’s how the legislation is set up and that’s how people are allowed to get recourse to justice.</w:t>
      </w:r>
      <w:r w:rsidR="00392BDE" w:rsidRPr="00392BDE">
        <w:t>’</w:t>
      </w:r>
      <w:r w:rsidR="00074AEC" w:rsidRPr="00392BDE">
        <w:rPr>
          <w:rStyle w:val="FootnoteReference"/>
        </w:rPr>
        <w:footnoteReference w:id="52"/>
      </w:r>
      <w:r w:rsidR="00074AEC" w:rsidRPr="00392BDE">
        <w:t xml:space="preserve">  </w:t>
      </w:r>
      <w:r w:rsidR="00D52189" w:rsidRPr="00392BDE">
        <w:t>Of course, given the nature of advisors’ work, most, if not all advisors, believe</w:t>
      </w:r>
      <w:r w:rsidR="00571EBD" w:rsidRPr="00392BDE">
        <w:t>d</w:t>
      </w:r>
      <w:r w:rsidR="00D52189" w:rsidRPr="00392BDE">
        <w:t xml:space="preserve"> the current UC failed in </w:t>
      </w:r>
      <w:r w:rsidR="00D52189" w:rsidRPr="00392BDE">
        <w:lastRenderedPageBreak/>
        <w:t xml:space="preserve">this regard: the fact that their assistance and expertise was required demonstrated that some claimants found it impossible to </w:t>
      </w:r>
      <w:r w:rsidR="00571EBD" w:rsidRPr="00392BDE">
        <w:t xml:space="preserve">have </w:t>
      </w:r>
      <w:r w:rsidR="00D52189" w:rsidRPr="00392BDE">
        <w:t>errors corrected</w:t>
      </w:r>
      <w:r w:rsidR="00571EBD" w:rsidRPr="00392BDE">
        <w:t xml:space="preserve"> by their own efforts</w:t>
      </w:r>
      <w:r w:rsidR="00D52189" w:rsidRPr="00392BDE">
        <w:t>.</w:t>
      </w:r>
      <w:r w:rsidR="00047711" w:rsidRPr="00392BDE">
        <w:t xml:space="preserve"> </w:t>
      </w:r>
    </w:p>
    <w:p w14:paraId="25FFDCF4" w14:textId="77777777" w:rsidR="00D52189" w:rsidRPr="00392BDE" w:rsidRDefault="00D52189" w:rsidP="00392BDE">
      <w:pPr>
        <w:spacing w:line="360" w:lineRule="auto"/>
        <w:ind w:firstLine="720"/>
        <w:contextualSpacing/>
        <w:jc w:val="both"/>
      </w:pPr>
    </w:p>
    <w:p w14:paraId="528DA900" w14:textId="28369AE5" w:rsidR="007277D0" w:rsidRPr="00392BDE" w:rsidRDefault="00D52189" w:rsidP="00392BDE">
      <w:pPr>
        <w:spacing w:line="360" w:lineRule="auto"/>
        <w:ind w:firstLine="720"/>
        <w:contextualSpacing/>
        <w:jc w:val="both"/>
      </w:pPr>
      <w:r w:rsidRPr="00392BDE">
        <w:t>The difficulties that advisors</w:t>
      </w:r>
      <w:r w:rsidR="00571EBD" w:rsidRPr="00392BDE">
        <w:t>’</w:t>
      </w:r>
      <w:r w:rsidRPr="00392BDE">
        <w:t xml:space="preserve"> clients faced in having errors corrected point to the first third order process quality: that of intelligibility – information and communications being easy to understand. In this way, problems of intelligibility contributed to the importance of correctability as a process value. From the perspective of advisors, improvements in intelligibility would lead to more factual accuracy, which, in turn, would lead to a larger proportion of legally defensible decisions being made. Yet, </w:t>
      </w:r>
      <w:r w:rsidR="00571EBD" w:rsidRPr="00392BDE">
        <w:t xml:space="preserve">as far as advisors were concerned, </w:t>
      </w:r>
      <w:r w:rsidRPr="00392BDE">
        <w:t>the intelligibility of public information and communications with claimant</w:t>
      </w:r>
      <w:r w:rsidR="00571EBD" w:rsidRPr="00392BDE">
        <w:t>s</w:t>
      </w:r>
      <w:r w:rsidRPr="00392BDE">
        <w:t xml:space="preserve"> was a real challenge for the DWP</w:t>
      </w:r>
      <w:r w:rsidR="00571EBD" w:rsidRPr="00392BDE">
        <w:t>, particularly for vulnerable clients or for those for whom English is a second language</w:t>
      </w:r>
      <w:r w:rsidR="0071489A" w:rsidRPr="00392BDE">
        <w:t xml:space="preserve">: </w:t>
      </w:r>
      <w:r w:rsidR="00392BDE" w:rsidRPr="00392BDE">
        <w:t>‘</w:t>
      </w:r>
      <w:r w:rsidR="0071489A" w:rsidRPr="00392BDE">
        <w:t>I think the main issues that crop up are just not understanding what the questions mean, or not quite knowing… We know what it means, they don’t know what it means.</w:t>
      </w:r>
      <w:r w:rsidR="00392BDE" w:rsidRPr="00392BDE">
        <w:t>’</w:t>
      </w:r>
      <w:r w:rsidR="0071489A" w:rsidRPr="00392BDE">
        <w:rPr>
          <w:rStyle w:val="FootnoteReference"/>
        </w:rPr>
        <w:footnoteReference w:id="53"/>
      </w:r>
      <w:r w:rsidR="0071489A" w:rsidRPr="00392BDE">
        <w:t xml:space="preserve"> </w:t>
      </w:r>
      <w:r w:rsidR="00571EBD" w:rsidRPr="00392BDE">
        <w:t>Problems of intelligibility, however, were also experienced by advisors themselves. Some interviewees expressed frustration with a perceive</w:t>
      </w:r>
      <w:r w:rsidR="00047711" w:rsidRPr="00392BDE">
        <w:t>d</w:t>
      </w:r>
      <w:r w:rsidR="00571EBD" w:rsidRPr="00392BDE">
        <w:t xml:space="preserve"> lack of clarity of official communications around UC decision-making: </w:t>
      </w:r>
      <w:r w:rsidR="00392BDE" w:rsidRPr="00392BDE">
        <w:t>‘</w:t>
      </w:r>
      <w:r w:rsidR="007277D0" w:rsidRPr="00392BDE">
        <w:t>it’s just that thing of really clear bullet points: ‘this is the decision, this is why we’ve made it, these are the facts we have’. And then you’d be able to pick out where the problem was. So</w:t>
      </w:r>
      <w:r w:rsidR="00571EBD" w:rsidRPr="00392BDE">
        <w:t>,</w:t>
      </w:r>
      <w:r w:rsidR="007277D0" w:rsidRPr="00392BDE">
        <w:t xml:space="preserve"> a lot of the time you can't pick out where the problem is</w:t>
      </w:r>
      <w:r w:rsidR="00571EBD" w:rsidRPr="00392BDE">
        <w:t>.</w:t>
      </w:r>
      <w:r w:rsidR="00392BDE" w:rsidRPr="00392BDE">
        <w:t>’</w:t>
      </w:r>
      <w:r w:rsidR="00571EBD" w:rsidRPr="00392BDE">
        <w:rPr>
          <w:rStyle w:val="FootnoteReference"/>
        </w:rPr>
        <w:footnoteReference w:id="54"/>
      </w:r>
      <w:r w:rsidR="00571EBD" w:rsidRPr="00392BDE">
        <w:t xml:space="preserve"> In this way, intelligibility was important for the correctability of system errors. Advisors needed to understand communications around decisions in order to intervene effectively so that sound legal decisions could ultimately be made.</w:t>
      </w:r>
    </w:p>
    <w:p w14:paraId="6F67F859" w14:textId="77777777" w:rsidR="00571EBD" w:rsidRPr="00392BDE" w:rsidRDefault="00571EBD" w:rsidP="00392BDE">
      <w:pPr>
        <w:spacing w:line="360" w:lineRule="auto"/>
        <w:ind w:firstLine="720"/>
        <w:contextualSpacing/>
        <w:jc w:val="both"/>
      </w:pPr>
    </w:p>
    <w:p w14:paraId="267118EF" w14:textId="773EC0FA" w:rsidR="00571EBD" w:rsidRPr="00392BDE" w:rsidRDefault="00571EBD" w:rsidP="00392BDE">
      <w:pPr>
        <w:spacing w:line="360" w:lineRule="auto"/>
        <w:ind w:firstLine="720"/>
        <w:contextualSpacing/>
        <w:jc w:val="both"/>
      </w:pPr>
      <w:r w:rsidRPr="00392BDE">
        <w:t>Closely tied to the process quality of correctability is another third order value: transparency – the eas</w:t>
      </w:r>
      <w:r w:rsidR="0007203E" w:rsidRPr="00392BDE">
        <w:t>e</w:t>
      </w:r>
      <w:r w:rsidRPr="00392BDE">
        <w:t xml:space="preserve"> by which one can find out the basis for official decisions made.</w:t>
      </w:r>
      <w:r w:rsidR="0007203E" w:rsidRPr="00392BDE">
        <w:t xml:space="preserve"> As the above quotation shows, the correctability of the UC system also depends on the reasoning of decisions being evident and transparent. Advisors frequently approach</w:t>
      </w:r>
      <w:r w:rsidR="00AF7142">
        <w:t>ed</w:t>
      </w:r>
      <w:r w:rsidR="0007203E" w:rsidRPr="00392BDE">
        <w:t xml:space="preserve"> the DWP from an adversarial stance, acting as advocates for their clients.  Their job, as they </w:t>
      </w:r>
      <w:r w:rsidR="00AF7142">
        <w:t>saw</w:t>
      </w:r>
      <w:r w:rsidR="00AF7142" w:rsidRPr="00392BDE">
        <w:t xml:space="preserve"> </w:t>
      </w:r>
      <w:r w:rsidR="0007203E" w:rsidRPr="00392BDE">
        <w:t xml:space="preserve">it, </w:t>
      </w:r>
      <w:r w:rsidR="00AF7142">
        <w:t>was</w:t>
      </w:r>
      <w:r w:rsidR="00AF7142" w:rsidRPr="00392BDE">
        <w:t xml:space="preserve"> </w:t>
      </w:r>
      <w:r w:rsidR="0007203E" w:rsidRPr="00392BDE">
        <w:t xml:space="preserve">to show or persuade DWP officials that errors </w:t>
      </w:r>
      <w:r w:rsidR="00AF7142">
        <w:t>had</w:t>
      </w:r>
      <w:r w:rsidR="00AF7142" w:rsidRPr="00392BDE">
        <w:t xml:space="preserve"> </w:t>
      </w:r>
      <w:r w:rsidR="0007203E" w:rsidRPr="00392BDE">
        <w:t xml:space="preserve">been made and that entitlements </w:t>
      </w:r>
      <w:r w:rsidR="00AF7142">
        <w:t>had</w:t>
      </w:r>
      <w:r w:rsidR="00AF7142" w:rsidRPr="00392BDE">
        <w:t xml:space="preserve"> </w:t>
      </w:r>
      <w:r w:rsidR="0007203E" w:rsidRPr="00392BDE">
        <w:t xml:space="preserve">been unlawfully denied.  The transparency of decision-making </w:t>
      </w:r>
      <w:r w:rsidR="00AF7142">
        <w:t>was</w:t>
      </w:r>
      <w:r w:rsidR="00AF7142" w:rsidRPr="00392BDE">
        <w:t xml:space="preserve"> </w:t>
      </w:r>
      <w:r w:rsidR="0007203E" w:rsidRPr="00392BDE">
        <w:t xml:space="preserve">essential to this work. Yet, many felt the digitisation of the UC threatened transparency in some ways. They feared that a digital record </w:t>
      </w:r>
      <w:r w:rsidR="0007203E" w:rsidRPr="00392BDE">
        <w:lastRenderedPageBreak/>
        <w:t xml:space="preserve">of communications was vulnerable to deletion or </w:t>
      </w:r>
      <w:r w:rsidR="00D7312A" w:rsidRPr="00392BDE">
        <w:t>amendment</w:t>
      </w:r>
      <w:r w:rsidR="00D7312A">
        <w:t xml:space="preserve"> and</w:t>
      </w:r>
      <w:r w:rsidR="0007203E" w:rsidRPr="00392BDE">
        <w:t xml:space="preserve"> would advise clients to take screen shots of online correspondence in order to create a permanent record of official reasoning behind decisions.</w:t>
      </w:r>
      <w:r w:rsidR="0071489A" w:rsidRPr="00392BDE">
        <w:t xml:space="preserve"> In this way, while they recognised that online communications could be speed</w:t>
      </w:r>
      <w:r w:rsidR="00820643" w:rsidRPr="00392BDE">
        <w:t>y,</w:t>
      </w:r>
      <w:r w:rsidR="0071489A" w:rsidRPr="00392BDE">
        <w:t xml:space="preserve"> responsive and convenient for many claimants, it posed a risk for the correction of errors for other claimants.</w:t>
      </w:r>
      <w:r w:rsidR="004F51E9" w:rsidRPr="00392BDE">
        <w:t xml:space="preserve"> As one advisor put it: </w:t>
      </w:r>
      <w:r w:rsidR="00392BDE" w:rsidRPr="00392BDE">
        <w:t>‘</w:t>
      </w:r>
      <w:r w:rsidR="004F51E9" w:rsidRPr="00392BDE">
        <w:t>sometimes, if they make a decision, they will retrospectively change all the statements on the journal… they literally rewrite history. It makes it very difficult.</w:t>
      </w:r>
      <w:r w:rsidR="00392BDE" w:rsidRPr="00392BDE">
        <w:t>’</w:t>
      </w:r>
      <w:r w:rsidR="004F51E9" w:rsidRPr="00392BDE">
        <w:rPr>
          <w:rStyle w:val="FootnoteReference"/>
        </w:rPr>
        <w:footnoteReference w:id="55"/>
      </w:r>
    </w:p>
    <w:p w14:paraId="7313762A" w14:textId="77777777" w:rsidR="00605424" w:rsidRPr="00392BDE" w:rsidRDefault="00605424" w:rsidP="00392BDE">
      <w:pPr>
        <w:spacing w:line="360" w:lineRule="auto"/>
        <w:ind w:firstLine="720"/>
        <w:contextualSpacing/>
        <w:jc w:val="both"/>
      </w:pPr>
    </w:p>
    <w:p w14:paraId="2FE3CA1B" w14:textId="291706FF" w:rsidR="009930AA" w:rsidRPr="00392BDE" w:rsidRDefault="006C6143" w:rsidP="006C6143">
      <w:pPr>
        <w:spacing w:line="360" w:lineRule="auto"/>
        <w:contextualSpacing/>
        <w:jc w:val="center"/>
        <w:rPr>
          <w:b/>
          <w:bCs/>
          <w:smallCaps/>
          <w:color w:val="000000" w:themeColor="text1"/>
        </w:rPr>
      </w:pPr>
      <w:r w:rsidRPr="00392BDE">
        <w:rPr>
          <w:b/>
          <w:bCs/>
          <w:smallCaps/>
          <w:color w:val="000000" w:themeColor="text1"/>
        </w:rPr>
        <w:t>V. UNIVERSAL CREDIT AS A RELATIONSHIP: THE PROCESS LOGIC OF CLAIMANTS</w:t>
      </w:r>
    </w:p>
    <w:p w14:paraId="2CF970F6" w14:textId="1FA0CA30" w:rsidR="009930AA" w:rsidRPr="00392BDE" w:rsidRDefault="009930AA" w:rsidP="00392BDE">
      <w:pPr>
        <w:spacing w:line="360" w:lineRule="auto"/>
        <w:contextualSpacing/>
        <w:jc w:val="both"/>
        <w:rPr>
          <w:b/>
          <w:bCs/>
          <w:smallCaps/>
          <w:color w:val="000000" w:themeColor="text1"/>
          <w:sz w:val="10"/>
          <w:szCs w:val="10"/>
        </w:rPr>
      </w:pPr>
    </w:p>
    <w:p w14:paraId="6878B128" w14:textId="0C1E7F26" w:rsidR="00C77D6D" w:rsidRPr="00392BDE" w:rsidRDefault="00FB1369" w:rsidP="00392BDE">
      <w:pPr>
        <w:spacing w:line="360" w:lineRule="auto"/>
        <w:jc w:val="both"/>
      </w:pPr>
      <w:r w:rsidRPr="00392BDE">
        <w:t>In the course of making and sustaining a UC claim, claimants interac</w:t>
      </w:r>
      <w:r w:rsidR="00BD68BA" w:rsidRPr="00392BDE">
        <w:t xml:space="preserve">t with </w:t>
      </w:r>
      <w:r w:rsidR="00537A44" w:rsidRPr="00392BDE">
        <w:t>a number</w:t>
      </w:r>
      <w:r w:rsidR="00BD68BA" w:rsidRPr="00392BDE">
        <w:t xml:space="preserve"> of officials over time</w:t>
      </w:r>
      <w:r w:rsidR="001D4C87" w:rsidRPr="00392BDE">
        <w:t xml:space="preserve"> in a </w:t>
      </w:r>
      <w:r w:rsidR="00537A44" w:rsidRPr="00392BDE">
        <w:t>range</w:t>
      </w:r>
      <w:r w:rsidR="00BD68BA" w:rsidRPr="00392BDE">
        <w:t xml:space="preserve"> of </w:t>
      </w:r>
      <w:r w:rsidR="00537A44" w:rsidRPr="00392BDE">
        <w:t xml:space="preserve">different </w:t>
      </w:r>
      <w:r w:rsidR="00BD68BA" w:rsidRPr="00392BDE">
        <w:t>formats</w:t>
      </w:r>
      <w:r w:rsidR="000360B9" w:rsidRPr="00392BDE">
        <w:t>:</w:t>
      </w:r>
      <w:r w:rsidR="00C77D6D" w:rsidRPr="00392BDE">
        <w:t xml:space="preserve"> from</w:t>
      </w:r>
      <w:r w:rsidR="00BD68BA" w:rsidRPr="00392BDE">
        <w:t xml:space="preserve"> </w:t>
      </w:r>
      <w:r w:rsidR="000360B9" w:rsidRPr="00392BDE">
        <w:t>fa</w:t>
      </w:r>
      <w:r w:rsidR="001D4C87" w:rsidRPr="00392BDE">
        <w:t>ce-to-face and over t</w:t>
      </w:r>
      <w:r w:rsidR="00BD68BA" w:rsidRPr="00392BDE">
        <w:t>he telephone</w:t>
      </w:r>
      <w:r w:rsidR="001D4C87" w:rsidRPr="00392BDE">
        <w:t>,</w:t>
      </w:r>
      <w:r w:rsidR="00BD68BA" w:rsidRPr="00392BDE">
        <w:t xml:space="preserve"> to </w:t>
      </w:r>
      <w:r w:rsidR="001D4C87" w:rsidRPr="00392BDE">
        <w:t>online message boards and letters</w:t>
      </w:r>
      <w:r w:rsidRPr="00392BDE">
        <w:t>.</w:t>
      </w:r>
      <w:r w:rsidR="001D4C87" w:rsidRPr="00392BDE">
        <w:t xml:space="preserve"> </w:t>
      </w:r>
      <w:r w:rsidR="00537A44" w:rsidRPr="00392BDE">
        <w:t xml:space="preserve">This </w:t>
      </w:r>
      <w:r w:rsidR="000360B9" w:rsidRPr="00392BDE">
        <w:t xml:space="preserve">is an </w:t>
      </w:r>
      <w:r w:rsidR="00537A44" w:rsidRPr="00392BDE">
        <w:t>ongoing relationship</w:t>
      </w:r>
      <w:r w:rsidR="000360B9" w:rsidRPr="00392BDE">
        <w:t xml:space="preserve"> with a system and its staff that can stretch over many years. H</w:t>
      </w:r>
      <w:r w:rsidR="001D4C87" w:rsidRPr="00392BDE">
        <w:t xml:space="preserve">ow claimants </w:t>
      </w:r>
      <w:r w:rsidR="00101BBA">
        <w:t>were</w:t>
      </w:r>
      <w:r w:rsidR="00101BBA" w:rsidRPr="00392BDE">
        <w:t xml:space="preserve"> </w:t>
      </w:r>
      <w:r w:rsidR="00C77D6D" w:rsidRPr="00392BDE">
        <w:t>treated in these interactions and</w:t>
      </w:r>
      <w:r w:rsidR="001D4C87" w:rsidRPr="00392BDE">
        <w:t xml:space="preserve"> </w:t>
      </w:r>
      <w:r w:rsidR="00101BBA">
        <w:t>how they were</w:t>
      </w:r>
      <w:r w:rsidR="00101BBA" w:rsidRPr="00392BDE">
        <w:t xml:space="preserve"> </w:t>
      </w:r>
      <w:r w:rsidR="001D4C87" w:rsidRPr="00392BDE">
        <w:t>able to access</w:t>
      </w:r>
      <w:r w:rsidR="000360B9" w:rsidRPr="00392BDE">
        <w:t xml:space="preserve"> these</w:t>
      </w:r>
      <w:r w:rsidR="001D4C87" w:rsidRPr="00392BDE">
        <w:t xml:space="preserve"> offici</w:t>
      </w:r>
      <w:r w:rsidR="000360B9" w:rsidRPr="00392BDE">
        <w:t>als</w:t>
      </w:r>
      <w:r w:rsidR="00537A44" w:rsidRPr="00392BDE">
        <w:t xml:space="preserve"> </w:t>
      </w:r>
      <w:r w:rsidR="00101BBA">
        <w:t>was</w:t>
      </w:r>
      <w:r w:rsidR="00101BBA" w:rsidRPr="00392BDE">
        <w:t xml:space="preserve"> </w:t>
      </w:r>
      <w:r w:rsidR="00537A44" w:rsidRPr="00392BDE">
        <w:t>the focus of their process logic.</w:t>
      </w:r>
      <w:r w:rsidR="000360B9" w:rsidRPr="00392BDE">
        <w:t xml:space="preserve"> In particular,</w:t>
      </w:r>
      <w:r w:rsidR="00537A44" w:rsidRPr="00392BDE">
        <w:t xml:space="preserve"> </w:t>
      </w:r>
      <w:r w:rsidR="00392BDE" w:rsidRPr="00392BDE">
        <w:t>‘</w:t>
      </w:r>
      <w:r w:rsidR="000360B9" w:rsidRPr="00392BDE">
        <w:t>d</w:t>
      </w:r>
      <w:r w:rsidR="00F84150" w:rsidRPr="00392BDE">
        <w:t>ignifying treatment</w:t>
      </w:r>
      <w:r w:rsidR="00392BDE" w:rsidRPr="00392BDE">
        <w:t>’</w:t>
      </w:r>
      <w:r w:rsidR="00F84150" w:rsidRPr="00392BDE">
        <w:t xml:space="preserve"> </w:t>
      </w:r>
      <w:r w:rsidR="00101BBA">
        <w:t>was</w:t>
      </w:r>
      <w:r w:rsidR="00101BBA" w:rsidRPr="00392BDE">
        <w:t xml:space="preserve"> </w:t>
      </w:r>
      <w:r w:rsidR="00F84150" w:rsidRPr="00392BDE">
        <w:t xml:space="preserve">the key foundational process quality </w:t>
      </w:r>
      <w:r w:rsidR="00B72287" w:rsidRPr="00392BDE">
        <w:t>that cut-across all of these</w:t>
      </w:r>
      <w:r w:rsidR="00F84150" w:rsidRPr="00392BDE">
        <w:t xml:space="preserve"> </w:t>
      </w:r>
      <w:r w:rsidR="00C77D6D" w:rsidRPr="00392BDE">
        <w:t>involvement</w:t>
      </w:r>
      <w:r w:rsidR="00101BBA">
        <w:t>s</w:t>
      </w:r>
      <w:r w:rsidR="00F84150" w:rsidRPr="00392BDE">
        <w:t xml:space="preserve"> with officials and the UC system. This </w:t>
      </w:r>
      <w:r w:rsidR="00101BBA">
        <w:t>was</w:t>
      </w:r>
      <w:r w:rsidR="00101BBA" w:rsidRPr="00392BDE">
        <w:t xml:space="preserve"> </w:t>
      </w:r>
      <w:r w:rsidR="00F84150" w:rsidRPr="00392BDE">
        <w:t xml:space="preserve">characterized by the experience of being viewed and treated </w:t>
      </w:r>
      <w:r w:rsidR="00392BDE" w:rsidRPr="00392BDE">
        <w:t>‘</w:t>
      </w:r>
      <w:r w:rsidR="00F84150" w:rsidRPr="00392BDE">
        <w:t>like a human</w:t>
      </w:r>
      <w:r w:rsidR="00392BDE" w:rsidRPr="00392BDE">
        <w:t>’</w:t>
      </w:r>
      <w:r w:rsidR="00F84150" w:rsidRPr="00392BDE">
        <w:t>,</w:t>
      </w:r>
      <w:r w:rsidR="00F84150" w:rsidRPr="00392BDE">
        <w:rPr>
          <w:rStyle w:val="FootnoteReference"/>
        </w:rPr>
        <w:footnoteReference w:id="56"/>
      </w:r>
      <w:r w:rsidR="00F84150" w:rsidRPr="00392BDE">
        <w:t xml:space="preserve"> with unique challenges and circumstances, as opposed to </w:t>
      </w:r>
      <w:r w:rsidR="00392BDE" w:rsidRPr="00392BDE">
        <w:t>‘</w:t>
      </w:r>
      <w:r w:rsidR="00F84150" w:rsidRPr="00392BDE">
        <w:t>just a number</w:t>
      </w:r>
      <w:r w:rsidR="00392BDE" w:rsidRPr="00392BDE">
        <w:t>’</w:t>
      </w:r>
      <w:r w:rsidR="00F84150" w:rsidRPr="00392BDE">
        <w:rPr>
          <w:rStyle w:val="FootnoteReference"/>
        </w:rPr>
        <w:footnoteReference w:id="57"/>
      </w:r>
      <w:r w:rsidR="00F84150" w:rsidRPr="00392BDE">
        <w:t xml:space="preserve"> or impersonal interactions that could be likened to a </w:t>
      </w:r>
      <w:r w:rsidR="00392BDE" w:rsidRPr="00392BDE">
        <w:t>‘</w:t>
      </w:r>
      <w:r w:rsidR="00F84150" w:rsidRPr="00392BDE">
        <w:t>robot</w:t>
      </w:r>
      <w:r w:rsidR="00392BDE" w:rsidRPr="00392BDE">
        <w:t>’</w:t>
      </w:r>
      <w:r w:rsidR="00F84150" w:rsidRPr="00392BDE">
        <w:t>.</w:t>
      </w:r>
      <w:r w:rsidR="00F84150" w:rsidRPr="00392BDE">
        <w:rPr>
          <w:rStyle w:val="FootnoteReference"/>
        </w:rPr>
        <w:footnoteReference w:id="58"/>
      </w:r>
      <w:r w:rsidR="00F84150" w:rsidRPr="00392BDE">
        <w:t xml:space="preserve"> </w:t>
      </w:r>
    </w:p>
    <w:p w14:paraId="57A5141E" w14:textId="77777777" w:rsidR="00C77D6D" w:rsidRPr="00392BDE" w:rsidRDefault="00C77D6D" w:rsidP="00392BDE">
      <w:pPr>
        <w:spacing w:line="360" w:lineRule="auto"/>
        <w:jc w:val="both"/>
      </w:pPr>
    </w:p>
    <w:p w14:paraId="7DE6181E" w14:textId="09008044" w:rsidR="00F84150" w:rsidRPr="00392BDE" w:rsidRDefault="00F84150" w:rsidP="002618D8">
      <w:pPr>
        <w:spacing w:line="360" w:lineRule="auto"/>
        <w:ind w:firstLine="720"/>
        <w:jc w:val="both"/>
      </w:pPr>
      <w:r w:rsidRPr="00392BDE">
        <w:t xml:space="preserve">This </w:t>
      </w:r>
      <w:r w:rsidR="00392BDE" w:rsidRPr="00392BDE">
        <w:t>‘</w:t>
      </w:r>
      <w:r w:rsidRPr="00392BDE">
        <w:t>dignified treatment</w:t>
      </w:r>
      <w:r w:rsidR="00392BDE" w:rsidRPr="00392BDE">
        <w:t>’</w:t>
      </w:r>
      <w:r w:rsidRPr="00392BDE">
        <w:t xml:space="preserve"> </w:t>
      </w:r>
      <w:r w:rsidR="00101BBA">
        <w:t>was</w:t>
      </w:r>
      <w:r w:rsidR="00101BBA" w:rsidRPr="00392BDE">
        <w:t xml:space="preserve"> </w:t>
      </w:r>
      <w:r w:rsidRPr="00392BDE">
        <w:t xml:space="preserve">underpinned by </w:t>
      </w:r>
      <w:r w:rsidR="00C77D6D" w:rsidRPr="00392BDE">
        <w:t>three sets of other process qualities. Those that deal with interactions (</w:t>
      </w:r>
      <w:r w:rsidR="00392BDE" w:rsidRPr="00392BDE">
        <w:t>‘</w:t>
      </w:r>
      <w:r w:rsidR="00C77D6D" w:rsidRPr="00392BDE">
        <w:t>empathy</w:t>
      </w:r>
      <w:r w:rsidR="00392BDE" w:rsidRPr="00392BDE">
        <w:t>’</w:t>
      </w:r>
      <w:r w:rsidR="00C77D6D" w:rsidRPr="00392BDE">
        <w:t xml:space="preserve">, </w:t>
      </w:r>
      <w:r w:rsidR="00392BDE" w:rsidRPr="00392BDE">
        <w:t>‘</w:t>
      </w:r>
      <w:r w:rsidR="00C77D6D" w:rsidRPr="00392BDE">
        <w:t>voice</w:t>
      </w:r>
      <w:r w:rsidR="00392BDE" w:rsidRPr="00392BDE">
        <w:t>’</w:t>
      </w:r>
      <w:r w:rsidR="00C77D6D" w:rsidRPr="00392BDE">
        <w:t xml:space="preserve">, and </w:t>
      </w:r>
      <w:r w:rsidR="00392BDE" w:rsidRPr="00392BDE">
        <w:t>‘</w:t>
      </w:r>
      <w:r w:rsidR="00C77D6D" w:rsidRPr="00392BDE">
        <w:t>respectful communication</w:t>
      </w:r>
      <w:r w:rsidR="00392BDE" w:rsidRPr="00392BDE">
        <w:t>’</w:t>
      </w:r>
      <w:r w:rsidR="00C77D6D" w:rsidRPr="00392BDE">
        <w:t>), those that deal with the virtues of officials (</w:t>
      </w:r>
      <w:r w:rsidR="00392BDE" w:rsidRPr="00392BDE">
        <w:t>‘</w:t>
      </w:r>
      <w:r w:rsidR="00C77D6D" w:rsidRPr="00392BDE">
        <w:t>dependability</w:t>
      </w:r>
      <w:r w:rsidR="00392BDE" w:rsidRPr="00392BDE">
        <w:t>’</w:t>
      </w:r>
      <w:r w:rsidR="00C77D6D" w:rsidRPr="00392BDE">
        <w:t xml:space="preserve">, </w:t>
      </w:r>
      <w:r w:rsidR="00392BDE" w:rsidRPr="00392BDE">
        <w:t>‘</w:t>
      </w:r>
      <w:r w:rsidR="00C77D6D" w:rsidRPr="00392BDE">
        <w:t>consistency</w:t>
      </w:r>
      <w:r w:rsidR="00392BDE" w:rsidRPr="00392BDE">
        <w:t>’</w:t>
      </w:r>
      <w:r w:rsidR="00C77D6D" w:rsidRPr="00392BDE">
        <w:t xml:space="preserve">, and </w:t>
      </w:r>
      <w:r w:rsidR="00392BDE" w:rsidRPr="00392BDE">
        <w:t>‘</w:t>
      </w:r>
      <w:r w:rsidR="00C77D6D" w:rsidRPr="00392BDE">
        <w:t>responsibility taking</w:t>
      </w:r>
      <w:r w:rsidR="00392BDE" w:rsidRPr="00392BDE">
        <w:t>’</w:t>
      </w:r>
      <w:r w:rsidR="00C77D6D" w:rsidRPr="00392BDE">
        <w:t>) and those that deal with access to officials (</w:t>
      </w:r>
      <w:r w:rsidR="00392BDE" w:rsidRPr="00392BDE">
        <w:t>‘</w:t>
      </w:r>
      <w:r w:rsidR="00C77D6D" w:rsidRPr="00392BDE">
        <w:t>availability</w:t>
      </w:r>
      <w:r w:rsidR="00392BDE" w:rsidRPr="00392BDE">
        <w:t>’</w:t>
      </w:r>
      <w:r w:rsidR="00C77D6D" w:rsidRPr="00392BDE">
        <w:t xml:space="preserve">, </w:t>
      </w:r>
      <w:r w:rsidR="00392BDE" w:rsidRPr="00392BDE">
        <w:t>‘</w:t>
      </w:r>
      <w:r w:rsidR="00C77D6D" w:rsidRPr="00392BDE">
        <w:t>assistance</w:t>
      </w:r>
      <w:r w:rsidR="00392BDE" w:rsidRPr="00392BDE">
        <w:t>’</w:t>
      </w:r>
      <w:r w:rsidR="00C77D6D" w:rsidRPr="00392BDE">
        <w:t xml:space="preserve"> and </w:t>
      </w:r>
      <w:r w:rsidR="00392BDE" w:rsidRPr="00392BDE">
        <w:t>‘</w:t>
      </w:r>
      <w:r w:rsidR="00C77D6D" w:rsidRPr="00392BDE">
        <w:t>speed</w:t>
      </w:r>
      <w:r w:rsidR="00392BDE" w:rsidRPr="00392BDE">
        <w:t>’</w:t>
      </w:r>
      <w:r w:rsidR="00C77D6D" w:rsidRPr="00392BDE">
        <w:t>).</w:t>
      </w:r>
    </w:p>
    <w:p w14:paraId="6AC06297" w14:textId="77777777" w:rsidR="00F84150" w:rsidRPr="00392BDE" w:rsidRDefault="00F84150" w:rsidP="00392BDE">
      <w:pPr>
        <w:spacing w:line="360" w:lineRule="auto"/>
        <w:jc w:val="both"/>
      </w:pPr>
    </w:p>
    <w:p w14:paraId="06DDB033" w14:textId="4A26731B" w:rsidR="00F84150" w:rsidRPr="00392BDE" w:rsidRDefault="00F84150" w:rsidP="00392BDE">
      <w:pPr>
        <w:spacing w:line="360" w:lineRule="auto"/>
        <w:ind w:firstLine="720"/>
        <w:jc w:val="both"/>
        <w:rPr>
          <w:color w:val="000000" w:themeColor="text1"/>
        </w:rPr>
      </w:pPr>
      <w:r w:rsidRPr="00392BDE">
        <w:t xml:space="preserve">The first three deal with the tone and content of interactions with staff: </w:t>
      </w:r>
      <w:r w:rsidR="00392BDE" w:rsidRPr="00392BDE">
        <w:t>‘</w:t>
      </w:r>
      <w:r w:rsidRPr="00392BDE">
        <w:t>empathy</w:t>
      </w:r>
      <w:r w:rsidR="00392BDE" w:rsidRPr="00392BDE">
        <w:t>’</w:t>
      </w:r>
      <w:r w:rsidRPr="00392BDE">
        <w:t xml:space="preserve">, </w:t>
      </w:r>
      <w:r w:rsidR="00392BDE" w:rsidRPr="00392BDE">
        <w:t>‘</w:t>
      </w:r>
      <w:r w:rsidRPr="00392BDE">
        <w:t>voice</w:t>
      </w:r>
      <w:r w:rsidR="00392BDE" w:rsidRPr="00392BDE">
        <w:t>’</w:t>
      </w:r>
      <w:r w:rsidRPr="00392BDE">
        <w:t xml:space="preserve"> and </w:t>
      </w:r>
      <w:r w:rsidR="00392BDE" w:rsidRPr="00392BDE">
        <w:t>‘</w:t>
      </w:r>
      <w:r w:rsidRPr="00392BDE">
        <w:t>respectful communication</w:t>
      </w:r>
      <w:r w:rsidR="00392BDE" w:rsidRPr="00392BDE">
        <w:t>’</w:t>
      </w:r>
      <w:r w:rsidRPr="00392BDE">
        <w:t xml:space="preserve">. Given the difficult circumstances applicants on low incomes can face, empathy </w:t>
      </w:r>
      <w:r w:rsidR="00101BBA">
        <w:t>was</w:t>
      </w:r>
      <w:r w:rsidR="00101BBA" w:rsidRPr="00392BDE">
        <w:t xml:space="preserve"> </w:t>
      </w:r>
      <w:r w:rsidRPr="00392BDE">
        <w:t xml:space="preserve">a particularly acute process value for claimants. As articulated </w:t>
      </w:r>
      <w:r w:rsidRPr="00392BDE">
        <w:lastRenderedPageBreak/>
        <w:t xml:space="preserve">by one participant, UC staff are </w:t>
      </w:r>
      <w:r w:rsidR="00392BDE" w:rsidRPr="00392BDE">
        <w:t>‘</w:t>
      </w:r>
      <w:r w:rsidRPr="00392BDE">
        <w:t>like their crisis team</w:t>
      </w:r>
      <w:r w:rsidR="00392BDE" w:rsidRPr="00392BDE">
        <w:t>’</w:t>
      </w:r>
      <w:r w:rsidRPr="00392BDE">
        <w:t xml:space="preserve"> – they cannot turn elsewhere so they should </w:t>
      </w:r>
      <w:r w:rsidR="00392BDE" w:rsidRPr="00392BDE">
        <w:t>‘</w:t>
      </w:r>
      <w:r w:rsidRPr="00392BDE">
        <w:t>answer them with at least a bit of empathy</w:t>
      </w:r>
      <w:r w:rsidR="00392BDE" w:rsidRPr="00392BDE">
        <w:t>’</w:t>
      </w:r>
      <w:r w:rsidRPr="00392BDE">
        <w:t>.</w:t>
      </w:r>
      <w:r w:rsidRPr="00392BDE">
        <w:rPr>
          <w:rStyle w:val="FootnoteReference"/>
        </w:rPr>
        <w:footnoteReference w:id="59"/>
      </w:r>
      <w:r w:rsidRPr="00392BDE">
        <w:t xml:space="preserve"> Being treated with empathy </w:t>
      </w:r>
      <w:r w:rsidR="00101BBA">
        <w:t>was</w:t>
      </w:r>
      <w:r w:rsidR="00101BBA" w:rsidRPr="00392BDE">
        <w:t xml:space="preserve"> </w:t>
      </w:r>
      <w:r w:rsidRPr="00392BDE">
        <w:t xml:space="preserve">closely related to a feeling that they had been listened to, that they had a voice in the process. In positive interactions, staff </w:t>
      </w:r>
      <w:r w:rsidR="00392BDE" w:rsidRPr="00392BDE">
        <w:t>‘</w:t>
      </w:r>
      <w:r w:rsidRPr="00392BDE">
        <w:t>actually took the time to listen…and didn’t just want to palm my call off</w:t>
      </w:r>
      <w:r w:rsidR="00392BDE" w:rsidRPr="00392BDE">
        <w:t>’</w:t>
      </w:r>
      <w:r w:rsidRPr="00392BDE">
        <w:t>.</w:t>
      </w:r>
      <w:r w:rsidRPr="00392BDE">
        <w:rPr>
          <w:rStyle w:val="FootnoteReference"/>
        </w:rPr>
        <w:footnoteReference w:id="60"/>
      </w:r>
      <w:r w:rsidRPr="00392BDE">
        <w:t xml:space="preserve"> In negative interactions, staff adopted a dismissive tone, </w:t>
      </w:r>
      <w:r w:rsidR="00392BDE" w:rsidRPr="00392BDE">
        <w:t>‘</w:t>
      </w:r>
      <w:r w:rsidRPr="00392BDE">
        <w:t>like attitude in their voice towards you</w:t>
      </w:r>
      <w:r w:rsidR="00392BDE" w:rsidRPr="00392BDE">
        <w:t>’</w:t>
      </w:r>
      <w:r w:rsidRPr="00392BDE">
        <w:rPr>
          <w:rStyle w:val="FootnoteReference"/>
        </w:rPr>
        <w:footnoteReference w:id="61"/>
      </w:r>
      <w:r w:rsidRPr="00392BDE">
        <w:t xml:space="preserve">, and </w:t>
      </w:r>
      <w:r w:rsidRPr="00392BDE">
        <w:rPr>
          <w:color w:val="000000" w:themeColor="text1"/>
        </w:rPr>
        <w:t xml:space="preserve">tried to </w:t>
      </w:r>
      <w:r w:rsidR="00101BBA">
        <w:rPr>
          <w:color w:val="000000" w:themeColor="text1"/>
        </w:rPr>
        <w:t xml:space="preserve">get </w:t>
      </w:r>
      <w:r w:rsidRPr="00392BDE">
        <w:rPr>
          <w:color w:val="000000" w:themeColor="text1"/>
        </w:rPr>
        <w:t xml:space="preserve">claimants </w:t>
      </w:r>
      <w:r w:rsidR="00392BDE" w:rsidRPr="00392BDE">
        <w:rPr>
          <w:color w:val="000000" w:themeColor="text1"/>
        </w:rPr>
        <w:t>‘</w:t>
      </w:r>
      <w:r w:rsidRPr="00392BDE">
        <w:rPr>
          <w:color w:val="000000" w:themeColor="text1"/>
        </w:rPr>
        <w:t>off the phone as quick as possible</w:t>
      </w:r>
      <w:r w:rsidR="00392BDE" w:rsidRPr="00392BDE">
        <w:rPr>
          <w:color w:val="000000" w:themeColor="text1"/>
        </w:rPr>
        <w:t>’</w:t>
      </w:r>
      <w:r w:rsidRPr="00392BDE">
        <w:rPr>
          <w:color w:val="000000" w:themeColor="text1"/>
        </w:rPr>
        <w:t>.</w:t>
      </w:r>
      <w:r w:rsidRPr="00392BDE">
        <w:rPr>
          <w:rStyle w:val="FootnoteReference"/>
          <w:color w:val="000000" w:themeColor="text1"/>
        </w:rPr>
        <w:footnoteReference w:id="62"/>
      </w:r>
    </w:p>
    <w:p w14:paraId="34FD2A4A" w14:textId="77777777" w:rsidR="00F84150" w:rsidRPr="00392BDE" w:rsidRDefault="00F84150" w:rsidP="00392BDE">
      <w:pPr>
        <w:spacing w:line="360" w:lineRule="auto"/>
        <w:ind w:firstLine="720"/>
        <w:jc w:val="both"/>
      </w:pPr>
    </w:p>
    <w:p w14:paraId="01BD36C6" w14:textId="401A9F50" w:rsidR="00F84150" w:rsidRPr="00392BDE" w:rsidRDefault="00F84150" w:rsidP="00392BDE">
      <w:pPr>
        <w:spacing w:line="360" w:lineRule="auto"/>
        <w:ind w:firstLine="720"/>
        <w:jc w:val="both"/>
      </w:pPr>
      <w:r w:rsidRPr="00392BDE">
        <w:rPr>
          <w:color w:val="000000" w:themeColor="text1"/>
        </w:rPr>
        <w:t xml:space="preserve">Concerns about empathy and voice were particularly important in face-to-face interactions (such as with work coaches) or when seeking support over the telephone. These channels tended to </w:t>
      </w:r>
      <w:r w:rsidR="00711892" w:rsidRPr="00392BDE">
        <w:rPr>
          <w:color w:val="000000" w:themeColor="text1"/>
        </w:rPr>
        <w:t>be used at</w:t>
      </w:r>
      <w:r w:rsidRPr="00392BDE">
        <w:rPr>
          <w:color w:val="000000" w:themeColor="text1"/>
        </w:rPr>
        <w:t xml:space="preserve"> times when claimants were navigating more challenging elements of the UC process and where they had the most engagement with staff, such as disputes over their claimant commitment or seeking to appeal a decision. However, the process quality of </w:t>
      </w:r>
      <w:r w:rsidR="00392BDE" w:rsidRPr="00392BDE">
        <w:rPr>
          <w:color w:val="000000" w:themeColor="text1"/>
        </w:rPr>
        <w:t>‘</w:t>
      </w:r>
      <w:r w:rsidRPr="00392BDE">
        <w:rPr>
          <w:color w:val="000000" w:themeColor="text1"/>
        </w:rPr>
        <w:t>r</w:t>
      </w:r>
      <w:r w:rsidRPr="00392BDE">
        <w:t>espectful communication</w:t>
      </w:r>
      <w:r w:rsidR="00392BDE" w:rsidRPr="00392BDE">
        <w:t>’</w:t>
      </w:r>
      <w:r w:rsidRPr="00392BDE">
        <w:t xml:space="preserve"> was pronounced across all interactions, including the text-based UC journal. Here, the tone of communications </w:t>
      </w:r>
      <w:r w:rsidR="00101BBA">
        <w:t>was</w:t>
      </w:r>
      <w:r w:rsidR="00101BBA" w:rsidRPr="00392BDE">
        <w:t xml:space="preserve"> </w:t>
      </w:r>
      <w:r w:rsidRPr="00392BDE">
        <w:t xml:space="preserve">important. Claimants felt messages were sometimes </w:t>
      </w:r>
      <w:r w:rsidR="00392BDE" w:rsidRPr="00392BDE">
        <w:t>‘</w:t>
      </w:r>
      <w:r w:rsidRPr="00392BDE">
        <w:t>very blunt</w:t>
      </w:r>
      <w:r w:rsidR="00392BDE" w:rsidRPr="00392BDE">
        <w:t>’</w:t>
      </w:r>
      <w:r w:rsidRPr="00392BDE">
        <w:rPr>
          <w:rStyle w:val="FootnoteReference"/>
        </w:rPr>
        <w:footnoteReference w:id="63"/>
      </w:r>
      <w:r w:rsidRPr="00392BDE">
        <w:t xml:space="preserve"> or </w:t>
      </w:r>
      <w:r w:rsidR="00392BDE" w:rsidRPr="00392BDE">
        <w:t>‘</w:t>
      </w:r>
      <w:r w:rsidRPr="00392BDE">
        <w:t>unprofessional, unhelpful and almost, not rude, but borderline impolite</w:t>
      </w:r>
      <w:r w:rsidR="00392BDE" w:rsidRPr="00392BDE">
        <w:t>’</w:t>
      </w:r>
      <w:r w:rsidRPr="00392BDE">
        <w:t>.</w:t>
      </w:r>
      <w:r w:rsidRPr="00392BDE">
        <w:rPr>
          <w:rStyle w:val="FootnoteReference"/>
        </w:rPr>
        <w:footnoteReference w:id="64"/>
      </w:r>
      <w:r w:rsidRPr="00392BDE">
        <w:t xml:space="preserve"> </w:t>
      </w:r>
      <w:r w:rsidR="00711892" w:rsidRPr="00392BDE">
        <w:t xml:space="preserve">Relatively small changes in tone could improve an interaction. </w:t>
      </w:r>
      <w:r w:rsidRPr="00392BDE">
        <w:t xml:space="preserve">For instance, one participant suggested that a </w:t>
      </w:r>
      <w:r w:rsidR="00392BDE" w:rsidRPr="00392BDE">
        <w:t>‘</w:t>
      </w:r>
      <w:r w:rsidRPr="00392BDE">
        <w:t>direct</w:t>
      </w:r>
      <w:r w:rsidR="00392BDE" w:rsidRPr="00392BDE">
        <w:t>’</w:t>
      </w:r>
      <w:r w:rsidRPr="00392BDE">
        <w:t xml:space="preserve"> message they had received – characterised as </w:t>
      </w:r>
      <w:r w:rsidR="00392BDE" w:rsidRPr="00392BDE">
        <w:t>‘</w:t>
      </w:r>
      <w:r w:rsidRPr="00392BDE">
        <w:t>you’ve missed your appointment, you’re now going to probably get sanctioned</w:t>
      </w:r>
      <w:r w:rsidR="00392BDE" w:rsidRPr="00392BDE">
        <w:t>’</w:t>
      </w:r>
      <w:r w:rsidRPr="00392BDE">
        <w:t xml:space="preserve"> – could be improved by re-writing it to: </w:t>
      </w:r>
      <w:r w:rsidR="00392BDE" w:rsidRPr="00392BDE">
        <w:t>‘</w:t>
      </w:r>
      <w:r w:rsidRPr="00392BDE">
        <w:t>we understand you’ve missed your appointment. Could you please provide us with a valid reason with the next three to five days</w:t>
      </w:r>
      <w:r w:rsidR="00101BBA">
        <w:t>,</w:t>
      </w:r>
      <w:r w:rsidRPr="00392BDE">
        <w:t xml:space="preserve"> otherwise unfortunately you may get sanctioned</w:t>
      </w:r>
      <w:r w:rsidR="00392BDE" w:rsidRPr="00392BDE">
        <w:t>’</w:t>
      </w:r>
      <w:r w:rsidRPr="00392BDE">
        <w:t>.</w:t>
      </w:r>
      <w:r w:rsidRPr="00392BDE">
        <w:rPr>
          <w:rStyle w:val="FootnoteReference"/>
        </w:rPr>
        <w:footnoteReference w:id="65"/>
      </w:r>
    </w:p>
    <w:p w14:paraId="4A9579EC" w14:textId="77777777" w:rsidR="00F84150" w:rsidRPr="00392BDE" w:rsidRDefault="00F84150" w:rsidP="00392BDE">
      <w:pPr>
        <w:spacing w:line="360" w:lineRule="auto"/>
        <w:jc w:val="both"/>
      </w:pPr>
    </w:p>
    <w:p w14:paraId="52EAFDC7" w14:textId="55C7E1AD" w:rsidR="00F84150" w:rsidRPr="00392BDE" w:rsidRDefault="00F84150" w:rsidP="00392BDE">
      <w:pPr>
        <w:spacing w:line="360" w:lineRule="auto"/>
        <w:ind w:firstLine="720"/>
        <w:jc w:val="both"/>
      </w:pPr>
      <w:r w:rsidRPr="00392BDE">
        <w:t>Claimants underscored not only the importance of how staff interacted with them, but</w:t>
      </w:r>
      <w:r w:rsidR="00277655" w:rsidRPr="00392BDE">
        <w:t xml:space="preserve"> also process qualities</w:t>
      </w:r>
      <w:r w:rsidRPr="00392BDE">
        <w:t xml:space="preserve"> that characterise</w:t>
      </w:r>
      <w:r w:rsidR="00101BBA">
        <w:t>d</w:t>
      </w:r>
      <w:r w:rsidRPr="00392BDE">
        <w:t xml:space="preserve"> their behaviour </w:t>
      </w:r>
      <w:r w:rsidR="00277655" w:rsidRPr="00392BDE">
        <w:t xml:space="preserve">or </w:t>
      </w:r>
      <w:r w:rsidR="002E1318" w:rsidRPr="00392BDE">
        <w:t>virtues</w:t>
      </w:r>
      <w:r w:rsidR="00277655" w:rsidRPr="00392BDE">
        <w:t xml:space="preserve"> </w:t>
      </w:r>
      <w:r w:rsidRPr="00392BDE">
        <w:t xml:space="preserve">outside of these interactions: that they were </w:t>
      </w:r>
      <w:r w:rsidR="00392BDE" w:rsidRPr="00392BDE">
        <w:t>‘</w:t>
      </w:r>
      <w:r w:rsidRPr="00392BDE">
        <w:t>dependable</w:t>
      </w:r>
      <w:r w:rsidR="00392BDE" w:rsidRPr="00392BDE">
        <w:t>’</w:t>
      </w:r>
      <w:r w:rsidRPr="00392BDE">
        <w:t xml:space="preserve">, </w:t>
      </w:r>
      <w:r w:rsidR="00392BDE" w:rsidRPr="00392BDE">
        <w:t>‘</w:t>
      </w:r>
      <w:r w:rsidRPr="00392BDE">
        <w:t>consistent</w:t>
      </w:r>
      <w:r w:rsidR="00392BDE" w:rsidRPr="00392BDE">
        <w:t>’</w:t>
      </w:r>
      <w:r w:rsidRPr="00392BDE">
        <w:t xml:space="preserve"> and </w:t>
      </w:r>
      <w:r w:rsidR="00392BDE" w:rsidRPr="00392BDE">
        <w:t>‘</w:t>
      </w:r>
      <w:r w:rsidRPr="00392BDE">
        <w:t xml:space="preserve">took </w:t>
      </w:r>
      <w:r w:rsidR="00277655" w:rsidRPr="00392BDE">
        <w:t>responsibility</w:t>
      </w:r>
      <w:r w:rsidR="00392BDE" w:rsidRPr="00392BDE">
        <w:t>’</w:t>
      </w:r>
      <w:r w:rsidR="00277655" w:rsidRPr="00392BDE">
        <w:t>. Claimants want</w:t>
      </w:r>
      <w:r w:rsidR="00101BBA">
        <w:t>ed</w:t>
      </w:r>
      <w:r w:rsidR="00277655" w:rsidRPr="00392BDE">
        <w:t xml:space="preserve"> officials </w:t>
      </w:r>
      <w:r w:rsidR="00277655" w:rsidRPr="00392BDE">
        <w:lastRenderedPageBreak/>
        <w:t xml:space="preserve">who </w:t>
      </w:r>
      <w:r w:rsidR="00101BBA">
        <w:t xml:space="preserve">would </w:t>
      </w:r>
      <w:r w:rsidR="00277655" w:rsidRPr="00392BDE">
        <w:t>do what they said they would, give</w:t>
      </w:r>
      <w:r w:rsidRPr="00392BDE">
        <w:t xml:space="preserve"> consistent advice</w:t>
      </w:r>
      <w:r w:rsidR="00101BBA">
        <w:t>,</w:t>
      </w:r>
      <w:r w:rsidRPr="00392BDE">
        <w:t xml:space="preserve"> and s</w:t>
      </w:r>
      <w:r w:rsidR="00277655" w:rsidRPr="00392BDE">
        <w:t>houlder</w:t>
      </w:r>
      <w:r w:rsidRPr="00392BDE">
        <w:t xml:space="preserve"> the burden of putting errors right. On the process </w:t>
      </w:r>
      <w:r w:rsidR="00277655" w:rsidRPr="00392BDE">
        <w:t>quality</w:t>
      </w:r>
      <w:r w:rsidRPr="00392BDE">
        <w:t xml:space="preserve"> of </w:t>
      </w:r>
      <w:r w:rsidR="00392BDE" w:rsidRPr="00392BDE">
        <w:t>‘</w:t>
      </w:r>
      <w:r w:rsidRPr="00392BDE">
        <w:t>dependability</w:t>
      </w:r>
      <w:r w:rsidR="00392BDE" w:rsidRPr="00392BDE">
        <w:t>’</w:t>
      </w:r>
      <w:r w:rsidRPr="00392BDE">
        <w:t>, claimants lamented occasions where they</w:t>
      </w:r>
      <w:r w:rsidR="00101BBA">
        <w:t xml:space="preserve"> were</w:t>
      </w:r>
      <w:r w:rsidRPr="00392BDE">
        <w:t xml:space="preserve"> </w:t>
      </w:r>
      <w:r w:rsidR="00392BDE" w:rsidRPr="00392BDE">
        <w:t>‘</w:t>
      </w:r>
      <w:r w:rsidRPr="00392BDE">
        <w:t>told something that never happens</w:t>
      </w:r>
      <w:r w:rsidR="00392BDE" w:rsidRPr="00392BDE">
        <w:t>’</w:t>
      </w:r>
      <w:r w:rsidRPr="00392BDE">
        <w:rPr>
          <w:rStyle w:val="FootnoteReference"/>
        </w:rPr>
        <w:footnoteReference w:id="66"/>
      </w:r>
      <w:r w:rsidRPr="00392BDE">
        <w:t xml:space="preserve"> or staff did not </w:t>
      </w:r>
      <w:r w:rsidR="00392BDE" w:rsidRPr="00392BDE">
        <w:t>‘</w:t>
      </w:r>
      <w:r w:rsidRPr="00392BDE">
        <w:t>stick to [their] word</w:t>
      </w:r>
      <w:r w:rsidR="00392BDE" w:rsidRPr="00392BDE">
        <w:t>’</w:t>
      </w:r>
      <w:r w:rsidRPr="00392BDE">
        <w:t>.</w:t>
      </w:r>
      <w:r w:rsidRPr="00392BDE">
        <w:rPr>
          <w:rStyle w:val="FootnoteReference"/>
        </w:rPr>
        <w:footnoteReference w:id="67"/>
      </w:r>
      <w:r w:rsidRPr="00392BDE">
        <w:t xml:space="preserve"> Even where the tone and content of interactions were consistent with the process values of </w:t>
      </w:r>
      <w:r w:rsidR="00392BDE" w:rsidRPr="00392BDE">
        <w:t>‘</w:t>
      </w:r>
      <w:r w:rsidRPr="00392BDE">
        <w:t>empathy</w:t>
      </w:r>
      <w:r w:rsidR="00392BDE" w:rsidRPr="00392BDE">
        <w:t>’</w:t>
      </w:r>
      <w:r w:rsidRPr="00392BDE">
        <w:t xml:space="preserve">, </w:t>
      </w:r>
      <w:r w:rsidR="00392BDE" w:rsidRPr="00392BDE">
        <w:t>‘</w:t>
      </w:r>
      <w:r w:rsidRPr="00392BDE">
        <w:t>voice</w:t>
      </w:r>
      <w:r w:rsidR="00392BDE" w:rsidRPr="00392BDE">
        <w:t>’</w:t>
      </w:r>
      <w:r w:rsidRPr="00392BDE">
        <w:t xml:space="preserve">, and </w:t>
      </w:r>
      <w:r w:rsidR="00392BDE" w:rsidRPr="00392BDE">
        <w:t>‘</w:t>
      </w:r>
      <w:r w:rsidRPr="00392BDE">
        <w:t>respectful communication</w:t>
      </w:r>
      <w:r w:rsidR="00392BDE" w:rsidRPr="00392BDE">
        <w:t>’</w:t>
      </w:r>
      <w:r w:rsidRPr="00392BDE">
        <w:t xml:space="preserve">, a failure to be </w:t>
      </w:r>
      <w:r w:rsidR="00392BDE" w:rsidRPr="00392BDE">
        <w:t>‘</w:t>
      </w:r>
      <w:r w:rsidRPr="00392BDE">
        <w:t>dependable</w:t>
      </w:r>
      <w:r w:rsidR="00392BDE" w:rsidRPr="00392BDE">
        <w:t>’</w:t>
      </w:r>
      <w:r w:rsidRPr="00392BDE">
        <w:t xml:space="preserve"> detracted from feeling like they had been treated with dignity. As one participant put it, </w:t>
      </w:r>
      <w:r w:rsidR="00392BDE" w:rsidRPr="00392BDE">
        <w:t>‘</w:t>
      </w:r>
      <w:r w:rsidRPr="00392BDE">
        <w:t>what’s the point in asking if you’re just going to be disappointed all the time?</w:t>
      </w:r>
      <w:r w:rsidR="00392BDE" w:rsidRPr="00392BDE">
        <w:t>’</w:t>
      </w:r>
      <w:r w:rsidRPr="00392BDE">
        <w:rPr>
          <w:rStyle w:val="FootnoteReference"/>
        </w:rPr>
        <w:footnoteReference w:id="68"/>
      </w:r>
    </w:p>
    <w:p w14:paraId="03C218AB" w14:textId="77777777" w:rsidR="00F84150" w:rsidRPr="00392BDE" w:rsidRDefault="00F84150" w:rsidP="00392BDE">
      <w:pPr>
        <w:spacing w:line="360" w:lineRule="auto"/>
        <w:jc w:val="both"/>
      </w:pPr>
    </w:p>
    <w:p w14:paraId="1C16AFD0" w14:textId="0D7C4C8B" w:rsidR="00F84150" w:rsidRPr="00392BDE" w:rsidRDefault="00F84150" w:rsidP="00392BDE">
      <w:pPr>
        <w:spacing w:line="360" w:lineRule="auto"/>
        <w:ind w:firstLine="720"/>
        <w:jc w:val="both"/>
      </w:pPr>
      <w:r w:rsidRPr="00392BDE">
        <w:t xml:space="preserve">On the process quality of </w:t>
      </w:r>
      <w:r w:rsidR="00392BDE" w:rsidRPr="00392BDE">
        <w:t>‘</w:t>
      </w:r>
      <w:r w:rsidRPr="00392BDE">
        <w:t>consistency</w:t>
      </w:r>
      <w:r w:rsidR="00392BDE" w:rsidRPr="00392BDE">
        <w:t>’</w:t>
      </w:r>
      <w:r w:rsidRPr="00392BDE">
        <w:t>, claimants underscored the importance of consistent information and guidance from officials. This mattered when engaging with the same staff member over time (</w:t>
      </w:r>
      <w:r w:rsidR="00101BBA" w:rsidRPr="00392BDE">
        <w:t>i.e.,</w:t>
      </w:r>
      <w:r w:rsidRPr="00392BDE">
        <w:t xml:space="preserve"> that officials did not contradict themselves) and when taking advice from different staff (</w:t>
      </w:r>
      <w:r w:rsidR="00101BBA" w:rsidRPr="00392BDE">
        <w:t>i.e.,</w:t>
      </w:r>
      <w:r w:rsidRPr="00392BDE">
        <w:t xml:space="preserve"> that officials were consistent with each other). Even where claimants felt they had </w:t>
      </w:r>
      <w:r w:rsidR="00101BBA">
        <w:t xml:space="preserve">experienced </w:t>
      </w:r>
      <w:r w:rsidR="00392BDE" w:rsidRPr="00392BDE">
        <w:t>‘</w:t>
      </w:r>
      <w:r w:rsidRPr="00392BDE">
        <w:t>dignified treatment</w:t>
      </w:r>
      <w:r w:rsidR="00392BDE" w:rsidRPr="00392BDE">
        <w:t>’</w:t>
      </w:r>
      <w:r w:rsidRPr="00392BDE">
        <w:t xml:space="preserve">, this was undermined where </w:t>
      </w:r>
      <w:r w:rsidR="00277655" w:rsidRPr="00392BDE">
        <w:t xml:space="preserve">there </w:t>
      </w:r>
      <w:r w:rsidRPr="00392BDE">
        <w:t>was inconsistency</w:t>
      </w:r>
      <w:r w:rsidR="00277655" w:rsidRPr="00392BDE">
        <w:t xml:space="preserve"> between interactions</w:t>
      </w:r>
      <w:r w:rsidRPr="00392BDE">
        <w:t xml:space="preserve">. </w:t>
      </w:r>
      <w:r w:rsidR="00277655" w:rsidRPr="00392BDE">
        <w:t xml:space="preserve">This </w:t>
      </w:r>
      <w:r w:rsidR="00101BBA">
        <w:t>was</w:t>
      </w:r>
      <w:r w:rsidR="00101BBA" w:rsidRPr="00392BDE">
        <w:t xml:space="preserve"> </w:t>
      </w:r>
      <w:r w:rsidR="00277655" w:rsidRPr="00392BDE">
        <w:t xml:space="preserve">a particularly acute process quality for claimants given the consequences of bad advice. As </w:t>
      </w:r>
      <w:r w:rsidR="00101BBA">
        <w:t>one</w:t>
      </w:r>
      <w:r w:rsidR="00101BBA" w:rsidRPr="00392BDE">
        <w:t xml:space="preserve"> </w:t>
      </w:r>
      <w:r w:rsidR="00277655" w:rsidRPr="00392BDE">
        <w:t>participant noted,</w:t>
      </w:r>
      <w:r w:rsidRPr="00392BDE">
        <w:t xml:space="preserve"> one official may say </w:t>
      </w:r>
      <w:r w:rsidR="00392BDE" w:rsidRPr="00392BDE">
        <w:t>‘</w:t>
      </w:r>
      <w:r w:rsidRPr="00392BDE">
        <w:t>don’t do it like this, do it like this</w:t>
      </w:r>
      <w:r w:rsidR="00392BDE" w:rsidRPr="00392BDE">
        <w:t>’</w:t>
      </w:r>
      <w:r w:rsidRPr="00392BDE">
        <w:t xml:space="preserve">, then </w:t>
      </w:r>
      <w:r w:rsidR="00392BDE" w:rsidRPr="00392BDE">
        <w:t>‘</w:t>
      </w:r>
      <w:r w:rsidRPr="00392BDE">
        <w:t>you get sanctioned because someone else comes on and says, no, you’ve done that wrong.</w:t>
      </w:r>
      <w:r w:rsidR="00392BDE" w:rsidRPr="00392BDE">
        <w:t>’</w:t>
      </w:r>
      <w:r w:rsidRPr="00392BDE">
        <w:rPr>
          <w:rStyle w:val="FootnoteReference"/>
        </w:rPr>
        <w:footnoteReference w:id="69"/>
      </w:r>
    </w:p>
    <w:p w14:paraId="3D5DB1C8" w14:textId="77777777" w:rsidR="00F84150" w:rsidRPr="00392BDE" w:rsidRDefault="00F84150" w:rsidP="00392BDE">
      <w:pPr>
        <w:spacing w:line="360" w:lineRule="auto"/>
        <w:jc w:val="both"/>
      </w:pPr>
    </w:p>
    <w:p w14:paraId="2D6373FD" w14:textId="74912D56" w:rsidR="00F84150" w:rsidRPr="00392BDE" w:rsidRDefault="00F84150" w:rsidP="00392BDE">
      <w:pPr>
        <w:spacing w:line="360" w:lineRule="auto"/>
        <w:ind w:firstLine="720"/>
        <w:jc w:val="both"/>
      </w:pPr>
      <w:r w:rsidRPr="00392BDE">
        <w:t xml:space="preserve">This </w:t>
      </w:r>
      <w:r w:rsidR="00392BDE" w:rsidRPr="00392BDE">
        <w:t>‘</w:t>
      </w:r>
      <w:r w:rsidRPr="00392BDE">
        <w:t>consistency</w:t>
      </w:r>
      <w:r w:rsidR="00392BDE" w:rsidRPr="00392BDE">
        <w:t>’</w:t>
      </w:r>
      <w:r w:rsidRPr="00392BDE">
        <w:t xml:space="preserve"> was particularly adversely affected where claimants were </w:t>
      </w:r>
      <w:r w:rsidR="00101BBA" w:rsidRPr="00392BDE">
        <w:t xml:space="preserve">routinely </w:t>
      </w:r>
      <w:r w:rsidRPr="00392BDE">
        <w:t>moved between contacts</w:t>
      </w:r>
      <w:r w:rsidR="00277655" w:rsidRPr="00392BDE">
        <w:t>. P</w:t>
      </w:r>
      <w:r w:rsidRPr="00392BDE">
        <w:t xml:space="preserve">articipants preferred having interactions with the same member of staff over time. One claimant described this as the importance of leaving an </w:t>
      </w:r>
      <w:r w:rsidR="00392BDE" w:rsidRPr="00392BDE">
        <w:t>‘</w:t>
      </w:r>
      <w:r w:rsidRPr="00392BDE">
        <w:t>imprint</w:t>
      </w:r>
      <w:r w:rsidR="00392BDE" w:rsidRPr="00392BDE">
        <w:t>’</w:t>
      </w:r>
      <w:r w:rsidRPr="00392BDE">
        <w:t xml:space="preserve"> in the UC process – when you have one contact for months and </w:t>
      </w:r>
      <w:r w:rsidR="00392BDE" w:rsidRPr="00392BDE">
        <w:t>‘</w:t>
      </w:r>
      <w:r w:rsidRPr="00392BDE">
        <w:t>all of a sudden, you’ll have a new one who hasn’t got a clue</w:t>
      </w:r>
      <w:r w:rsidR="00392BDE" w:rsidRPr="00392BDE">
        <w:t>’</w:t>
      </w:r>
      <w:r w:rsidRPr="00392BDE">
        <w:t>, there can be inconsistency in the advice they provide.</w:t>
      </w:r>
      <w:r w:rsidR="00277655" w:rsidRPr="00392BDE">
        <w:rPr>
          <w:rStyle w:val="FootnoteReference"/>
        </w:rPr>
        <w:footnoteReference w:id="70"/>
      </w:r>
    </w:p>
    <w:p w14:paraId="2142B1AA" w14:textId="77777777" w:rsidR="00F84150" w:rsidRPr="00392BDE" w:rsidRDefault="00F84150" w:rsidP="00392BDE">
      <w:pPr>
        <w:spacing w:line="360" w:lineRule="auto"/>
        <w:jc w:val="both"/>
      </w:pPr>
    </w:p>
    <w:p w14:paraId="5B6577F1" w14:textId="0F8154CA" w:rsidR="00F84150" w:rsidRPr="00392BDE" w:rsidRDefault="00F84150" w:rsidP="00392BDE">
      <w:pPr>
        <w:spacing w:line="360" w:lineRule="auto"/>
        <w:ind w:firstLine="720"/>
        <w:jc w:val="both"/>
      </w:pPr>
      <w:r w:rsidRPr="00392BDE">
        <w:t>Finally, on</w:t>
      </w:r>
      <w:r w:rsidR="00277655" w:rsidRPr="00392BDE">
        <w:t xml:space="preserve"> the process quality of</w:t>
      </w:r>
      <w:r w:rsidRPr="00392BDE">
        <w:t xml:space="preserve"> </w:t>
      </w:r>
      <w:r w:rsidR="00392BDE" w:rsidRPr="00392BDE">
        <w:t>‘</w:t>
      </w:r>
      <w:r w:rsidRPr="00392BDE">
        <w:t>responsibility-taking</w:t>
      </w:r>
      <w:r w:rsidR="00392BDE" w:rsidRPr="00392BDE">
        <w:t>’</w:t>
      </w:r>
      <w:r w:rsidR="00277655" w:rsidRPr="00392BDE">
        <w:t>,</w:t>
      </w:r>
      <w:r w:rsidRPr="00392BDE">
        <w:t xml:space="preserve"> participants felt</w:t>
      </w:r>
      <w:r w:rsidR="00277655" w:rsidRPr="00392BDE">
        <w:t xml:space="preserve"> they had been treated poorly where</w:t>
      </w:r>
      <w:r w:rsidRPr="00392BDE">
        <w:t xml:space="preserve"> there was a double-standard: they were punished for mistakes, whereas errors made by officials in the UC system went unaddressed. As our participants put it, </w:t>
      </w:r>
      <w:r w:rsidR="00392BDE" w:rsidRPr="00392BDE">
        <w:t>‘</w:t>
      </w:r>
      <w:r w:rsidRPr="00392BDE">
        <w:t xml:space="preserve">if I </w:t>
      </w:r>
      <w:r w:rsidRPr="00392BDE">
        <w:lastRenderedPageBreak/>
        <w:t>miss an appointment or whatever, you’re quick enough to take my money off me, aren’t you?</w:t>
      </w:r>
      <w:r w:rsidR="00392BDE" w:rsidRPr="00392BDE">
        <w:t>’</w:t>
      </w:r>
      <w:r w:rsidRPr="00392BDE">
        <w:rPr>
          <w:rStyle w:val="FootnoteReference"/>
        </w:rPr>
        <w:footnoteReference w:id="71"/>
      </w:r>
      <w:r w:rsidRPr="00392BDE">
        <w:t xml:space="preserve"> Whereas, when the error </w:t>
      </w:r>
      <w:r w:rsidR="00AA095D">
        <w:t>was</w:t>
      </w:r>
      <w:r w:rsidR="00AA095D" w:rsidRPr="00392BDE">
        <w:t xml:space="preserve"> </w:t>
      </w:r>
      <w:r w:rsidRPr="00392BDE">
        <w:t xml:space="preserve">theirs, </w:t>
      </w:r>
      <w:r w:rsidR="00392BDE" w:rsidRPr="00392BDE">
        <w:t>‘</w:t>
      </w:r>
      <w:r w:rsidRPr="00392BDE">
        <w:t>they were very quiet about it.</w:t>
      </w:r>
      <w:r w:rsidR="00392BDE" w:rsidRPr="00392BDE">
        <w:t>’</w:t>
      </w:r>
      <w:r w:rsidRPr="00392BDE">
        <w:rPr>
          <w:rStyle w:val="FootnoteReference"/>
        </w:rPr>
        <w:footnoteReference w:id="72"/>
      </w:r>
      <w:r w:rsidRPr="00392BDE">
        <w:t xml:space="preserve"> Having to point out and routinely challenge errors </w:t>
      </w:r>
      <w:r w:rsidR="00AA095D">
        <w:t>was</w:t>
      </w:r>
      <w:r w:rsidR="00AA095D" w:rsidRPr="00392BDE">
        <w:t xml:space="preserve"> </w:t>
      </w:r>
      <w:r w:rsidRPr="00392BDE">
        <w:t xml:space="preserve">a significant burden in the UC process; </w:t>
      </w:r>
      <w:r w:rsidR="00392BDE" w:rsidRPr="00392BDE">
        <w:t>‘</w:t>
      </w:r>
      <w:r w:rsidRPr="00392BDE">
        <w:t>that’s time out of my day to fix your mistake</w:t>
      </w:r>
      <w:r w:rsidR="00392BDE" w:rsidRPr="00392BDE">
        <w:t>’</w:t>
      </w:r>
      <w:r w:rsidRPr="00392BDE">
        <w:t>.</w:t>
      </w:r>
      <w:r w:rsidRPr="00392BDE">
        <w:rPr>
          <w:rStyle w:val="FootnoteReference"/>
        </w:rPr>
        <w:footnoteReference w:id="73"/>
      </w:r>
    </w:p>
    <w:p w14:paraId="474A1099" w14:textId="77777777" w:rsidR="00F84150" w:rsidRPr="00392BDE" w:rsidRDefault="00F84150" w:rsidP="00392BDE">
      <w:pPr>
        <w:spacing w:line="360" w:lineRule="auto"/>
        <w:jc w:val="both"/>
      </w:pPr>
    </w:p>
    <w:p w14:paraId="5EB739E2" w14:textId="56909485" w:rsidR="00F84150" w:rsidRPr="00392BDE" w:rsidRDefault="00F84150" w:rsidP="00392BDE">
      <w:pPr>
        <w:spacing w:line="360" w:lineRule="auto"/>
        <w:ind w:firstLine="720"/>
        <w:jc w:val="both"/>
      </w:pPr>
      <w:r w:rsidRPr="00392BDE">
        <w:t xml:space="preserve">These six process qualities all focus principally on how interactions with and the qualities of officials feed into a perception of </w:t>
      </w:r>
      <w:r w:rsidR="00392BDE" w:rsidRPr="00392BDE">
        <w:t>‘</w:t>
      </w:r>
      <w:r w:rsidRPr="00392BDE">
        <w:t>dignified treatment</w:t>
      </w:r>
      <w:r w:rsidR="00392BDE" w:rsidRPr="00392BDE">
        <w:t>’</w:t>
      </w:r>
      <w:r w:rsidRPr="00392BDE">
        <w:t xml:space="preserve">. However, a further three process values </w:t>
      </w:r>
      <w:r w:rsidR="00AA095D">
        <w:t>were</w:t>
      </w:r>
      <w:r w:rsidR="00AA095D" w:rsidRPr="00392BDE">
        <w:t xml:space="preserve"> </w:t>
      </w:r>
      <w:r w:rsidRPr="00392BDE">
        <w:t xml:space="preserve">important mediators in how and in what form claimants </w:t>
      </w:r>
      <w:r w:rsidR="00AA095D">
        <w:t>could</w:t>
      </w:r>
      <w:r w:rsidR="00AA095D" w:rsidRPr="00392BDE">
        <w:t xml:space="preserve"> </w:t>
      </w:r>
      <w:r w:rsidRPr="00392BDE">
        <w:t xml:space="preserve">access staff: </w:t>
      </w:r>
      <w:r w:rsidR="00392BDE" w:rsidRPr="00392BDE">
        <w:t>‘</w:t>
      </w:r>
      <w:r w:rsidRPr="00392BDE">
        <w:t>availability</w:t>
      </w:r>
      <w:r w:rsidR="00392BDE" w:rsidRPr="00392BDE">
        <w:t>’</w:t>
      </w:r>
      <w:r w:rsidRPr="00392BDE">
        <w:t xml:space="preserve">, </w:t>
      </w:r>
      <w:r w:rsidR="00392BDE" w:rsidRPr="00392BDE">
        <w:t>‘</w:t>
      </w:r>
      <w:r w:rsidRPr="00392BDE">
        <w:t>assistance</w:t>
      </w:r>
      <w:r w:rsidR="00392BDE" w:rsidRPr="00392BDE">
        <w:t>’</w:t>
      </w:r>
      <w:r w:rsidRPr="00392BDE">
        <w:t xml:space="preserve"> and </w:t>
      </w:r>
      <w:r w:rsidR="00392BDE" w:rsidRPr="00392BDE">
        <w:t>‘</w:t>
      </w:r>
      <w:r w:rsidRPr="00392BDE">
        <w:t>speed</w:t>
      </w:r>
      <w:r w:rsidR="00392BDE" w:rsidRPr="00392BDE">
        <w:t>’</w:t>
      </w:r>
      <w:r w:rsidRPr="00392BDE">
        <w:t xml:space="preserve">. The first of these qualities, </w:t>
      </w:r>
      <w:r w:rsidR="00392BDE" w:rsidRPr="00392BDE">
        <w:t>‘</w:t>
      </w:r>
      <w:r w:rsidRPr="00392BDE">
        <w:t>availability</w:t>
      </w:r>
      <w:r w:rsidR="00392BDE" w:rsidRPr="00392BDE">
        <w:t>’</w:t>
      </w:r>
      <w:r w:rsidRPr="00392BDE">
        <w:t xml:space="preserve">, emphasises relevant officials being easy to get hold of. Claimants who had moved from the legacy benefits </w:t>
      </w:r>
      <w:r w:rsidRPr="00392BDE">
        <w:rPr>
          <w:color w:val="000000" w:themeColor="text1"/>
        </w:rPr>
        <w:t xml:space="preserve">system noted how this process quality </w:t>
      </w:r>
      <w:r w:rsidR="00AA095D" w:rsidRPr="00392BDE">
        <w:rPr>
          <w:color w:val="000000" w:themeColor="text1"/>
        </w:rPr>
        <w:t>suffer</w:t>
      </w:r>
      <w:r w:rsidR="00AA095D">
        <w:rPr>
          <w:color w:val="000000" w:themeColor="text1"/>
        </w:rPr>
        <w:t>ed</w:t>
      </w:r>
      <w:r w:rsidR="00AA095D" w:rsidRPr="00392BDE">
        <w:rPr>
          <w:color w:val="000000" w:themeColor="text1"/>
        </w:rPr>
        <w:t xml:space="preserve"> </w:t>
      </w:r>
      <w:r w:rsidRPr="00392BDE">
        <w:rPr>
          <w:color w:val="000000" w:themeColor="text1"/>
        </w:rPr>
        <w:t>under UC in comparison to the J</w:t>
      </w:r>
      <w:r w:rsidR="00AA095D">
        <w:rPr>
          <w:color w:val="000000" w:themeColor="text1"/>
        </w:rPr>
        <w:t xml:space="preserve">ob </w:t>
      </w:r>
      <w:r w:rsidRPr="00392BDE">
        <w:rPr>
          <w:color w:val="000000" w:themeColor="text1"/>
        </w:rPr>
        <w:t>S</w:t>
      </w:r>
      <w:r w:rsidR="00AA095D">
        <w:rPr>
          <w:color w:val="000000" w:themeColor="text1"/>
        </w:rPr>
        <w:t xml:space="preserve">eekers </w:t>
      </w:r>
      <w:r w:rsidRPr="00392BDE">
        <w:rPr>
          <w:color w:val="000000" w:themeColor="text1"/>
        </w:rPr>
        <w:t>A</w:t>
      </w:r>
      <w:r w:rsidR="00AA095D">
        <w:rPr>
          <w:color w:val="000000" w:themeColor="text1"/>
        </w:rPr>
        <w:t>llowance</w:t>
      </w:r>
      <w:r w:rsidRPr="00392BDE">
        <w:rPr>
          <w:color w:val="000000" w:themeColor="text1"/>
        </w:rPr>
        <w:t xml:space="preserve"> regime. It </w:t>
      </w:r>
      <w:r w:rsidR="00AA095D">
        <w:rPr>
          <w:color w:val="000000" w:themeColor="text1"/>
        </w:rPr>
        <w:t>was</w:t>
      </w:r>
      <w:r w:rsidR="00AA095D" w:rsidRPr="00392BDE">
        <w:rPr>
          <w:color w:val="000000" w:themeColor="text1"/>
        </w:rPr>
        <w:t xml:space="preserve"> </w:t>
      </w:r>
      <w:r w:rsidRPr="00392BDE">
        <w:rPr>
          <w:color w:val="000000" w:themeColor="text1"/>
        </w:rPr>
        <w:t xml:space="preserve">now more difficult to </w:t>
      </w:r>
      <w:r w:rsidR="00392BDE" w:rsidRPr="00392BDE">
        <w:rPr>
          <w:color w:val="000000" w:themeColor="text1"/>
        </w:rPr>
        <w:t>‘</w:t>
      </w:r>
      <w:r w:rsidRPr="00392BDE">
        <w:rPr>
          <w:color w:val="000000" w:themeColor="text1"/>
        </w:rPr>
        <w:t>just go into the Job Centre for whatever information</w:t>
      </w:r>
      <w:r w:rsidR="00392BDE" w:rsidRPr="00392BDE">
        <w:rPr>
          <w:color w:val="000000" w:themeColor="text1"/>
        </w:rPr>
        <w:t>’</w:t>
      </w:r>
      <w:r w:rsidRPr="00392BDE">
        <w:rPr>
          <w:color w:val="000000" w:themeColor="text1"/>
        </w:rPr>
        <w:t xml:space="preserve">; with the digital-first communication, </w:t>
      </w:r>
      <w:r w:rsidR="00392BDE" w:rsidRPr="00392BDE">
        <w:rPr>
          <w:color w:val="000000" w:themeColor="text1"/>
        </w:rPr>
        <w:t>‘</w:t>
      </w:r>
      <w:r w:rsidRPr="00392BDE">
        <w:rPr>
          <w:color w:val="000000" w:themeColor="text1"/>
        </w:rPr>
        <w:t>it just seems like they’ve put a barrier up</w:t>
      </w:r>
      <w:r w:rsidR="00392BDE" w:rsidRPr="00392BDE">
        <w:rPr>
          <w:color w:val="000000" w:themeColor="text1"/>
        </w:rPr>
        <w:t>’</w:t>
      </w:r>
      <w:r w:rsidRPr="00392BDE">
        <w:rPr>
          <w:color w:val="000000" w:themeColor="text1"/>
        </w:rPr>
        <w:t>.</w:t>
      </w:r>
      <w:r w:rsidRPr="00392BDE">
        <w:rPr>
          <w:rStyle w:val="FootnoteReference"/>
          <w:color w:val="000000" w:themeColor="text1"/>
        </w:rPr>
        <w:footnoteReference w:id="74"/>
      </w:r>
      <w:r w:rsidRPr="00392BDE">
        <w:rPr>
          <w:color w:val="000000" w:themeColor="text1"/>
        </w:rPr>
        <w:t xml:space="preserve"> Others felt the 24/7 availability of the UC journal was a positive for this process quality, especially given the difficulties of getting hold of officials on the telephone. As one participant notes, </w:t>
      </w:r>
      <w:r w:rsidR="00392BDE" w:rsidRPr="00392BDE">
        <w:rPr>
          <w:color w:val="000000" w:themeColor="text1"/>
        </w:rPr>
        <w:t>‘</w:t>
      </w:r>
      <w:r w:rsidRPr="00392BDE">
        <w:rPr>
          <w:color w:val="000000" w:themeColor="text1"/>
        </w:rPr>
        <w:t>a</w:t>
      </w:r>
      <w:r w:rsidRPr="00392BDE">
        <w:t>t least if you write in your journal, you know the next day,</w:t>
      </w:r>
      <w:r w:rsidR="00277655" w:rsidRPr="00392BDE">
        <w:t xml:space="preserve"> [at the]</w:t>
      </w:r>
      <w:r w:rsidRPr="00392BDE">
        <w:t xml:space="preserve"> latest, you’re going to get a reply and you can just speak to them</w:t>
      </w:r>
      <w:r w:rsidR="00392BDE" w:rsidRPr="00392BDE">
        <w:t>’</w:t>
      </w:r>
      <w:r w:rsidRPr="00392BDE">
        <w:t>.</w:t>
      </w:r>
      <w:r w:rsidRPr="00392BDE">
        <w:rPr>
          <w:rStyle w:val="FootnoteReference"/>
        </w:rPr>
        <w:footnoteReference w:id="75"/>
      </w:r>
    </w:p>
    <w:p w14:paraId="35CD2D74" w14:textId="77777777" w:rsidR="00F84150" w:rsidRPr="00392BDE" w:rsidRDefault="00F84150" w:rsidP="00392BDE">
      <w:pPr>
        <w:spacing w:line="360" w:lineRule="auto"/>
        <w:jc w:val="both"/>
      </w:pPr>
    </w:p>
    <w:p w14:paraId="36346B11" w14:textId="3CBA1292" w:rsidR="00F84150" w:rsidRPr="00392BDE" w:rsidRDefault="00F84150" w:rsidP="00392BDE">
      <w:pPr>
        <w:spacing w:line="360" w:lineRule="auto"/>
        <w:ind w:firstLine="720"/>
        <w:jc w:val="both"/>
      </w:pPr>
      <w:r w:rsidRPr="00392BDE">
        <w:t xml:space="preserve">The process quality of </w:t>
      </w:r>
      <w:r w:rsidR="00392BDE" w:rsidRPr="00392BDE">
        <w:t>‘</w:t>
      </w:r>
      <w:r w:rsidRPr="00392BDE">
        <w:t>assistance</w:t>
      </w:r>
      <w:r w:rsidR="00392BDE" w:rsidRPr="00392BDE">
        <w:t>’</w:t>
      </w:r>
      <w:r w:rsidRPr="00392BDE">
        <w:t xml:space="preserve"> focuses on the help that officials offer to claimants with the UC process. Less positive interactions were characterised as being passive, where the officials were seemingly simply </w:t>
      </w:r>
      <w:r w:rsidR="00392BDE" w:rsidRPr="00392BDE">
        <w:t>‘</w:t>
      </w:r>
      <w:r w:rsidRPr="00392BDE">
        <w:t>there to collect information to send over</w:t>
      </w:r>
      <w:r w:rsidR="00392BDE" w:rsidRPr="00392BDE">
        <w:t>’</w:t>
      </w:r>
      <w:r w:rsidRPr="00392BDE">
        <w:t xml:space="preserve"> to other officials.</w:t>
      </w:r>
      <w:r w:rsidRPr="00392BDE">
        <w:rPr>
          <w:rStyle w:val="FootnoteReference"/>
        </w:rPr>
        <w:footnoteReference w:id="76"/>
      </w:r>
      <w:r w:rsidRPr="00392BDE">
        <w:t xml:space="preserve"> In their interactions, claimants tended to fin</w:t>
      </w:r>
      <w:r w:rsidR="00277655" w:rsidRPr="00392BDE">
        <w:t>d staff</w:t>
      </w:r>
      <w:r w:rsidRPr="00392BDE">
        <w:t xml:space="preserve"> prioritised giving information rather than </w:t>
      </w:r>
      <w:r w:rsidR="00392BDE" w:rsidRPr="00392BDE">
        <w:t>‘</w:t>
      </w:r>
      <w:r w:rsidRPr="00392BDE">
        <w:t>explaining things, like putting stuff into context</w:t>
      </w:r>
      <w:r w:rsidR="00AA095D">
        <w:t>,</w:t>
      </w:r>
      <w:r w:rsidRPr="00392BDE">
        <w:t xml:space="preserve"> of like giving you a bit more of an overall idea of what was going on, understanding the situation</w:t>
      </w:r>
      <w:r w:rsidR="00392BDE" w:rsidRPr="00392BDE">
        <w:t>’</w:t>
      </w:r>
      <w:r w:rsidRPr="00392BDE">
        <w:t>.</w:t>
      </w:r>
      <w:r w:rsidRPr="00392BDE">
        <w:rPr>
          <w:rStyle w:val="FootnoteReference"/>
        </w:rPr>
        <w:footnoteReference w:id="77"/>
      </w:r>
    </w:p>
    <w:p w14:paraId="63D77F19" w14:textId="77777777" w:rsidR="00F84150" w:rsidRPr="00392BDE" w:rsidRDefault="00F84150" w:rsidP="00392BDE">
      <w:pPr>
        <w:spacing w:line="360" w:lineRule="auto"/>
        <w:jc w:val="both"/>
      </w:pPr>
    </w:p>
    <w:p w14:paraId="76796807" w14:textId="712EF40F" w:rsidR="00F84150" w:rsidRPr="00392BDE" w:rsidRDefault="00F84150" w:rsidP="00392BDE">
      <w:pPr>
        <w:spacing w:line="360" w:lineRule="auto"/>
        <w:ind w:firstLine="720"/>
        <w:jc w:val="both"/>
      </w:pPr>
      <w:r w:rsidRPr="00392BDE">
        <w:lastRenderedPageBreak/>
        <w:t xml:space="preserve">Lastly, the significance of </w:t>
      </w:r>
      <w:r w:rsidR="00392BDE" w:rsidRPr="00392BDE">
        <w:t>‘</w:t>
      </w:r>
      <w:r w:rsidRPr="00392BDE">
        <w:t>speed</w:t>
      </w:r>
      <w:r w:rsidR="00392BDE" w:rsidRPr="00392BDE">
        <w:t>’</w:t>
      </w:r>
      <w:r w:rsidRPr="00392BDE">
        <w:t xml:space="preserve"> in the UC process was emphasised by claimants. In contrast to the perspe</w:t>
      </w:r>
      <w:r w:rsidR="00765019" w:rsidRPr="00392BDE">
        <w:t>ctive of officials and advisors –</w:t>
      </w:r>
      <w:r w:rsidRPr="00392BDE">
        <w:t xml:space="preserve"> who consider</w:t>
      </w:r>
      <w:r w:rsidR="00AA095D">
        <w:t>ed</w:t>
      </w:r>
      <w:r w:rsidRPr="00392BDE">
        <w:t xml:space="preserve"> speed in the context of efficient administrative procedures</w:t>
      </w:r>
      <w:r w:rsidR="00765019" w:rsidRPr="00392BDE">
        <w:t xml:space="preserve"> – for</w:t>
      </w:r>
      <w:r w:rsidRPr="00392BDE">
        <w:t xml:space="preserve"> claimants, speed </w:t>
      </w:r>
      <w:r w:rsidR="00AA095D">
        <w:t>took</w:t>
      </w:r>
      <w:r w:rsidR="00AA095D" w:rsidRPr="00392BDE">
        <w:t xml:space="preserve"> </w:t>
      </w:r>
      <w:r w:rsidRPr="00392BDE">
        <w:t xml:space="preserve">on a profoundly personal dimension. Slow decision-making processes directly translated to a sense of indignity in the eyes of the claimants, signalling a lack of priority, urgency, or importance attributed to their concerns and circumstances. Claimants lamented officials taking </w:t>
      </w:r>
      <w:r w:rsidR="00392BDE" w:rsidRPr="00392BDE">
        <w:t>‘</w:t>
      </w:r>
      <w:r w:rsidRPr="00392BDE">
        <w:t>weeks to get back to you</w:t>
      </w:r>
      <w:r w:rsidR="00392BDE" w:rsidRPr="00392BDE">
        <w:t>’</w:t>
      </w:r>
      <w:r w:rsidRPr="00392BDE">
        <w:t xml:space="preserve">, when – in the meantime – a claimant has to </w:t>
      </w:r>
      <w:r w:rsidR="00392BDE" w:rsidRPr="00392BDE">
        <w:t>‘</w:t>
      </w:r>
      <w:r w:rsidRPr="00392BDE">
        <w:t>keep chasing and chasing and chasing them</w:t>
      </w:r>
      <w:r w:rsidR="00392BDE" w:rsidRPr="00392BDE">
        <w:t>’</w:t>
      </w:r>
      <w:r w:rsidRPr="00392BDE">
        <w:t>.</w:t>
      </w:r>
      <w:r w:rsidRPr="00392BDE">
        <w:rPr>
          <w:rStyle w:val="FootnoteReference"/>
        </w:rPr>
        <w:footnoteReference w:id="78"/>
      </w:r>
      <w:r w:rsidRPr="00392BDE">
        <w:t xml:space="preserve"> It </w:t>
      </w:r>
      <w:r w:rsidR="00AA095D">
        <w:t>was</w:t>
      </w:r>
      <w:r w:rsidR="00AA095D" w:rsidRPr="00392BDE">
        <w:t xml:space="preserve"> </w:t>
      </w:r>
      <w:r w:rsidRPr="00392BDE">
        <w:t xml:space="preserve">clear that the interplay of speed, availability, and assistance </w:t>
      </w:r>
      <w:r w:rsidR="00AA095D" w:rsidRPr="00392BDE">
        <w:t>create</w:t>
      </w:r>
      <w:r w:rsidR="00AA095D">
        <w:t>d</w:t>
      </w:r>
      <w:r w:rsidR="00AA095D" w:rsidRPr="00392BDE">
        <w:t xml:space="preserve"> </w:t>
      </w:r>
      <w:r w:rsidRPr="00392BDE">
        <w:t>a cumulative effect on the claimants' perception of the UC process. A slow response, paired with limited access to officials and inadequate guidance, led to feelings of undignified treatment.</w:t>
      </w:r>
    </w:p>
    <w:p w14:paraId="6311025B" w14:textId="77777777" w:rsidR="009930AA" w:rsidRDefault="009930AA" w:rsidP="00392BDE">
      <w:pPr>
        <w:spacing w:line="276" w:lineRule="auto"/>
        <w:contextualSpacing/>
        <w:rPr>
          <w:rFonts w:ascii="Book Antiqua" w:hAnsi="Book Antiqua"/>
          <w:b/>
          <w:bCs/>
          <w:smallCaps/>
          <w:color w:val="000000" w:themeColor="text1"/>
          <w:sz w:val="28"/>
          <w:szCs w:val="28"/>
        </w:rPr>
      </w:pPr>
    </w:p>
    <w:p w14:paraId="421EB95B" w14:textId="4E9F0304" w:rsidR="00D83846" w:rsidRDefault="006C6143" w:rsidP="006C6143">
      <w:pPr>
        <w:spacing w:line="276" w:lineRule="auto"/>
        <w:contextualSpacing/>
        <w:jc w:val="center"/>
        <w:rPr>
          <w:rFonts w:ascii="Book Antiqua" w:hAnsi="Book Antiqua"/>
          <w:b/>
          <w:bCs/>
          <w:smallCaps/>
          <w:color w:val="000000" w:themeColor="text1"/>
        </w:rPr>
      </w:pPr>
      <w:r w:rsidRPr="00392BDE">
        <w:rPr>
          <w:rFonts w:ascii="Book Antiqua" w:hAnsi="Book Antiqua"/>
          <w:b/>
          <w:bCs/>
          <w:smallCaps/>
          <w:color w:val="000000" w:themeColor="text1"/>
        </w:rPr>
        <w:t>VI.</w:t>
      </w:r>
      <w:r w:rsidRPr="00D83846">
        <w:rPr>
          <w:rFonts w:ascii="Book Antiqua" w:hAnsi="Book Antiqua"/>
          <w:b/>
          <w:bCs/>
          <w:smallCaps/>
          <w:color w:val="000000" w:themeColor="text1"/>
        </w:rPr>
        <w:t xml:space="preserve"> </w:t>
      </w:r>
      <w:r w:rsidR="00D83846" w:rsidRPr="00D83846">
        <w:rPr>
          <w:rFonts w:ascii="Book Antiqua" w:hAnsi="Book Antiqua"/>
          <w:b/>
          <w:bCs/>
          <w:smallCaps/>
          <w:color w:val="000000" w:themeColor="text1"/>
        </w:rPr>
        <w:t>DISCUSSION</w:t>
      </w:r>
    </w:p>
    <w:p w14:paraId="6970BC29" w14:textId="77777777" w:rsidR="00D83846" w:rsidRPr="00775348" w:rsidRDefault="00D83846" w:rsidP="006C6143">
      <w:pPr>
        <w:spacing w:line="276" w:lineRule="auto"/>
        <w:contextualSpacing/>
        <w:jc w:val="center"/>
        <w:rPr>
          <w:sz w:val="10"/>
          <w:szCs w:val="10"/>
        </w:rPr>
      </w:pPr>
    </w:p>
    <w:p w14:paraId="3AE65D48" w14:textId="61A0C71A" w:rsidR="009008F2" w:rsidRDefault="00D83846" w:rsidP="00775348">
      <w:pPr>
        <w:spacing w:line="360" w:lineRule="auto"/>
        <w:contextualSpacing/>
        <w:jc w:val="both"/>
      </w:pPr>
      <w:r>
        <w:t xml:space="preserve">What should we make of these qualitative data? </w:t>
      </w:r>
      <w:r w:rsidR="004F3C56">
        <w:t>In this section</w:t>
      </w:r>
      <w:r w:rsidR="002618D8">
        <w:t>,</w:t>
      </w:r>
      <w:r w:rsidR="004F3C56">
        <w:t xml:space="preserve"> we draw out three main </w:t>
      </w:r>
      <w:r w:rsidR="0081004E">
        <w:t>observations</w:t>
      </w:r>
      <w:r w:rsidR="004F3C56">
        <w:t>.</w:t>
      </w:r>
      <w:r w:rsidR="002618D8">
        <w:t xml:space="preserve"> </w:t>
      </w:r>
      <w:r>
        <w:t xml:space="preserve">Our first observation is that, in combination, </w:t>
      </w:r>
      <w:r w:rsidR="007D278F">
        <w:t>this</w:t>
      </w:r>
      <w:r>
        <w:t xml:space="preserve"> set of interviews </w:t>
      </w:r>
      <w:r w:rsidR="007D278F">
        <w:t>has</w:t>
      </w:r>
      <w:r>
        <w:t xml:space="preserve"> generated a list of process qualities that is more expansive than what we find in the existing administrative justice literature. </w:t>
      </w:r>
      <w:r w:rsidR="009008F2">
        <w:t>Jerry Mashaw</w:t>
      </w:r>
      <w:r w:rsidR="009008F2">
        <w:rPr>
          <w:rStyle w:val="FootnoteReference"/>
        </w:rPr>
        <w:footnoteReference w:id="79"/>
      </w:r>
      <w:r w:rsidR="009008F2">
        <w:t xml:space="preserve"> and Mike Adler</w:t>
      </w:r>
      <w:r w:rsidR="009008F2">
        <w:rPr>
          <w:rStyle w:val="FootnoteReference"/>
        </w:rPr>
        <w:footnoteReference w:id="80"/>
      </w:r>
      <w:r w:rsidR="009008F2">
        <w:t xml:space="preserve"> have </w:t>
      </w:r>
      <w:r w:rsidR="002618D8">
        <w:t xml:space="preserve">done the most within the field, we suggest, in terms of focusing on procedural qualities that speak to the legitimacy of the </w:t>
      </w:r>
      <w:r w:rsidR="00B20E87">
        <w:t xml:space="preserve">administrative </w:t>
      </w:r>
      <w:r w:rsidR="009008F2">
        <w:t>process.</w:t>
      </w:r>
    </w:p>
    <w:p w14:paraId="61407313" w14:textId="77777777" w:rsidR="009008F2" w:rsidRDefault="009008F2" w:rsidP="00D83846">
      <w:pPr>
        <w:spacing w:line="360" w:lineRule="auto"/>
        <w:contextualSpacing/>
        <w:jc w:val="both"/>
      </w:pPr>
    </w:p>
    <w:p w14:paraId="6CAEE08A" w14:textId="6F538313" w:rsidR="009B6442" w:rsidRDefault="00D83846" w:rsidP="002618D8">
      <w:pPr>
        <w:spacing w:line="360" w:lineRule="auto"/>
        <w:ind w:firstLine="720"/>
        <w:contextualSpacing/>
        <w:jc w:val="both"/>
      </w:pPr>
      <w:r>
        <w:t>The seminal work of Mashaw</w:t>
      </w:r>
      <w:r w:rsidR="0081004E">
        <w:t>,</w:t>
      </w:r>
      <w:r>
        <w:t xml:space="preserve"> </w:t>
      </w:r>
      <w:r w:rsidR="0081004E">
        <w:t xml:space="preserve">which addressed the question of how best to think </w:t>
      </w:r>
      <w:r w:rsidR="0037009B">
        <w:t>about</w:t>
      </w:r>
      <w:r w:rsidR="0081004E">
        <w:t xml:space="preserve"> “those qualities of a decision process that provide arguments for the acceptability of its decisions”,</w:t>
      </w:r>
      <w:r w:rsidR="0081004E">
        <w:rPr>
          <w:rStyle w:val="FootnoteReference"/>
        </w:rPr>
        <w:footnoteReference w:id="81"/>
      </w:r>
      <w:r w:rsidR="0081004E">
        <w:t xml:space="preserve"> </w:t>
      </w:r>
      <w:r>
        <w:t xml:space="preserve">drew attention to </w:t>
      </w:r>
      <w:r w:rsidR="007D278F">
        <w:t xml:space="preserve">a number of </w:t>
      </w:r>
      <w:r>
        <w:t>process qualities</w:t>
      </w:r>
      <w:r w:rsidR="0081004E">
        <w:t xml:space="preserve"> within his ‘models’ of administrative justice.</w:t>
      </w:r>
      <w:r w:rsidR="007D278F">
        <w:t xml:space="preserve"> </w:t>
      </w:r>
      <w:r w:rsidR="0081004E">
        <w:t>Mashaw’s</w:t>
      </w:r>
      <w:r w:rsidR="007D278F">
        <w:t xml:space="preserve"> ‘bureaucratic rationality’ model </w:t>
      </w:r>
      <w:r w:rsidR="009B6442">
        <w:t xml:space="preserve">of administrative justice </w:t>
      </w:r>
      <w:r w:rsidR="007D278F">
        <w:t>focused</w:t>
      </w:r>
      <w:r>
        <w:t xml:space="preserve"> o</w:t>
      </w:r>
      <w:r w:rsidR="007D278F">
        <w:t>n</w:t>
      </w:r>
      <w:r>
        <w:t xml:space="preserve"> </w:t>
      </w:r>
      <w:r w:rsidR="007D278F">
        <w:t>accuracy and efficiency; his ‘professional treatment’ model, in its emphasis on a therapeutic relationship, can be read as focusing on</w:t>
      </w:r>
      <w:r w:rsidR="00FA4FBD">
        <w:t xml:space="preserve"> empathy and voice; his ‘moral judgment’ model, in its emphasis on the importance of claimants being afforded full and equal opportunities to obtain their entitlements, can be read as </w:t>
      </w:r>
      <w:r w:rsidR="009B6442">
        <w:t>stressing</w:t>
      </w:r>
      <w:r w:rsidR="00FA4FBD">
        <w:t xml:space="preserve"> the importance of correctability, decision-discretion and legality.</w:t>
      </w:r>
      <w:r w:rsidR="00447BC0">
        <w:t xml:space="preserve"> Adler</w:t>
      </w:r>
      <w:r w:rsidR="0037009B">
        <w:t>, who</w:t>
      </w:r>
      <w:r w:rsidR="00447BC0">
        <w:t xml:space="preserve"> </w:t>
      </w:r>
      <w:r w:rsidR="009008F2">
        <w:t xml:space="preserve">later </w:t>
      </w:r>
      <w:r w:rsidR="00447BC0">
        <w:t>supplement</w:t>
      </w:r>
      <w:r w:rsidR="0037009B">
        <w:t>ed</w:t>
      </w:r>
      <w:r w:rsidR="00447BC0">
        <w:t xml:space="preserve"> Mashaw’s </w:t>
      </w:r>
      <w:r w:rsidR="00447BC0">
        <w:lastRenderedPageBreak/>
        <w:t>schema in light of new public management and the rise of consumerism</w:t>
      </w:r>
      <w:r w:rsidR="0037009B">
        <w:t>,</w:t>
      </w:r>
      <w:r w:rsidR="00447BC0">
        <w:t xml:space="preserve"> can be read as </w:t>
      </w:r>
      <w:r w:rsidR="009B6442">
        <w:t>pointing to</w:t>
      </w:r>
      <w:r w:rsidR="00447BC0">
        <w:t xml:space="preserve"> the significance of personalisation. </w:t>
      </w:r>
    </w:p>
    <w:p w14:paraId="3893C060" w14:textId="77777777" w:rsidR="009B6442" w:rsidRDefault="009B6442" w:rsidP="00D83846">
      <w:pPr>
        <w:spacing w:line="360" w:lineRule="auto"/>
        <w:contextualSpacing/>
        <w:jc w:val="both"/>
      </w:pPr>
    </w:p>
    <w:p w14:paraId="7346B3E0" w14:textId="3C6B8159" w:rsidR="00B36D91" w:rsidRDefault="00447BC0" w:rsidP="009008F2">
      <w:pPr>
        <w:spacing w:line="360" w:lineRule="auto"/>
        <w:ind w:firstLine="720"/>
        <w:contextualSpacing/>
        <w:jc w:val="both"/>
      </w:pPr>
      <w:r>
        <w:t xml:space="preserve">There is, </w:t>
      </w:r>
      <w:r w:rsidR="009008F2">
        <w:t>then, some overlap between the suggestions of Mashaw and Adler and the findings from our qualitative interviews. Indeed, there is a degree of</w:t>
      </w:r>
      <w:r>
        <w:t xml:space="preserve"> affinity</w:t>
      </w:r>
      <w:r w:rsidR="009008F2">
        <w:t>,</w:t>
      </w:r>
      <w:r>
        <w:t xml:space="preserve"> </w:t>
      </w:r>
      <w:r w:rsidR="009008F2">
        <w:t xml:space="preserve">we would suggest, </w:t>
      </w:r>
      <w:r>
        <w:t>between the ‘models’ of administrative justice set out by Adler and Mashaw and the procedural logics suggested by our interviews with DWP officials and welfare advisors. The image of procedural legitimacy emphasised by our welfare advisor participants is akin to Mashaw’s ‘moral judgment’ model; and the image emphasised by our DWP official participants is best regarded</w:t>
      </w:r>
      <w:r w:rsidR="009B6442">
        <w:t>, perhaps,</w:t>
      </w:r>
      <w:r>
        <w:t xml:space="preserve"> as a hybrid of Mashaw’s ‘bureaucratic rationality’ model and Adler’s ‘consumerism’ model. </w:t>
      </w:r>
    </w:p>
    <w:p w14:paraId="5E92E9A2" w14:textId="77777777" w:rsidR="00B36D91" w:rsidRDefault="00B36D91" w:rsidP="009B6442">
      <w:pPr>
        <w:spacing w:line="360" w:lineRule="auto"/>
        <w:ind w:firstLine="720"/>
        <w:contextualSpacing/>
        <w:jc w:val="both"/>
      </w:pPr>
    </w:p>
    <w:p w14:paraId="2279589A" w14:textId="6851C1E5" w:rsidR="00D83846" w:rsidRPr="00C227FD" w:rsidRDefault="00447BC0" w:rsidP="00B36D91">
      <w:pPr>
        <w:spacing w:line="360" w:lineRule="auto"/>
        <w:ind w:firstLine="720"/>
        <w:contextualSpacing/>
        <w:jc w:val="both"/>
      </w:pPr>
      <w:r>
        <w:t>But what of the image of procedural legitimacy emphasised by our claimants? It certainly shares some elements of Mashaw’s ‘professional treatment’ model</w:t>
      </w:r>
      <w:r w:rsidR="009B6442">
        <w:t xml:space="preserve">, </w:t>
      </w:r>
      <w:r>
        <w:t>given its stress on empathy and voice.</w:t>
      </w:r>
      <w:r w:rsidR="009B6442">
        <w:t xml:space="preserve"> Yet, the sense of procedural legitimacy seems broader</w:t>
      </w:r>
      <w:r w:rsidR="00943D67">
        <w:t>, and some of the process qualities identified by claimants are not yet well considered within the administrative justice literature</w:t>
      </w:r>
      <w:r w:rsidR="009B6442">
        <w:t xml:space="preserve">. Indeed, </w:t>
      </w:r>
      <w:r w:rsidR="00943D67">
        <w:t>given</w:t>
      </w:r>
      <w:r w:rsidR="009B6442">
        <w:t xml:space="preserve"> </w:t>
      </w:r>
      <w:r w:rsidR="00943D67">
        <w:t>our claimants’</w:t>
      </w:r>
      <w:r w:rsidR="009B6442">
        <w:t xml:space="preserve"> stress on dignified treatment, </w:t>
      </w:r>
      <w:r w:rsidR="00943D67">
        <w:t>the vision of procedural legitimacy</w:t>
      </w:r>
      <w:r w:rsidR="009B6442">
        <w:t xml:space="preserve"> is closer to Tyler’s model of procedural justice,</w:t>
      </w:r>
      <w:r w:rsidR="009B6442">
        <w:rPr>
          <w:rStyle w:val="FootnoteReference"/>
        </w:rPr>
        <w:footnoteReference w:id="82"/>
      </w:r>
      <w:r w:rsidR="009B6442">
        <w:t xml:space="preserve"> we suggest</w:t>
      </w:r>
      <w:r w:rsidR="0069521A">
        <w:t xml:space="preserve">, and his insights about what </w:t>
      </w:r>
      <w:r w:rsidR="00775348">
        <w:t>citizens</w:t>
      </w:r>
      <w:r w:rsidR="0069521A">
        <w:t xml:space="preserve"> care about in their interactions with police</w:t>
      </w:r>
      <w:r w:rsidR="009B6442">
        <w:t>.</w:t>
      </w:r>
      <w:r w:rsidR="007B23E9">
        <w:rPr>
          <w:rStyle w:val="FootnoteReference"/>
        </w:rPr>
        <w:footnoteReference w:id="83"/>
      </w:r>
      <w:r w:rsidR="000B6F13">
        <w:t xml:space="preserve"> The fact that UC claimants are engaged in a relationship with the DWP that extends over time points towards process qualities that relate to the quality of ongoing interactions. Process qualities that speak to relational dynamics–such as respectful communication, dependability, consistency and </w:t>
      </w:r>
      <w:r w:rsidR="000B6F13" w:rsidRPr="00C227FD">
        <w:t>responsibility-taking–have been under-examined in administrative justice scholarship. Our data suggest that we must now turn our attention to them.</w:t>
      </w:r>
    </w:p>
    <w:p w14:paraId="2164C167" w14:textId="77777777" w:rsidR="00B36D91" w:rsidRPr="00C227FD" w:rsidRDefault="00B36D91" w:rsidP="00B36D91">
      <w:pPr>
        <w:spacing w:line="360" w:lineRule="auto"/>
        <w:contextualSpacing/>
        <w:jc w:val="both"/>
      </w:pPr>
    </w:p>
    <w:p w14:paraId="650877DE" w14:textId="1BA99F2F" w:rsidR="00263165" w:rsidRPr="00C227FD" w:rsidRDefault="00263165" w:rsidP="00775348">
      <w:pPr>
        <w:spacing w:line="360" w:lineRule="auto"/>
        <w:ind w:firstLine="720"/>
        <w:contextualSpacing/>
        <w:jc w:val="both"/>
      </w:pPr>
      <w:r w:rsidRPr="00C227FD">
        <w:t>Our second observation is that</w:t>
      </w:r>
      <w:r w:rsidR="00943D67" w:rsidRPr="00C227FD">
        <w:t>,</w:t>
      </w:r>
      <w:r w:rsidRPr="00C227FD">
        <w:t xml:space="preserve"> whilst procedural qualities may form elements of more than one process logic, they may well perform quite distinct functions</w:t>
      </w:r>
      <w:r w:rsidR="00943D67" w:rsidRPr="00C227FD">
        <w:t xml:space="preserve"> within those logics</w:t>
      </w:r>
      <w:r w:rsidRPr="00C227FD">
        <w:t>. The process quality of ‘speed’ is a good example. For DWP officials</w:t>
      </w:r>
      <w:r w:rsidR="00943D67" w:rsidRPr="00C227FD">
        <w:t>,</w:t>
      </w:r>
      <w:r w:rsidRPr="00C227FD">
        <w:t xml:space="preserve"> speed was part of a concern for the efficiency of the system, whilst for claimants</w:t>
      </w:r>
      <w:r w:rsidR="002618D8" w:rsidRPr="00C227FD">
        <w:t>, it was an element of dignified treatment, whilst for advisors,</w:t>
      </w:r>
      <w:r w:rsidRPr="00C227FD">
        <w:t xml:space="preserve"> it was a corollary of justice and legality.</w:t>
      </w:r>
      <w:r w:rsidR="004548E3" w:rsidRPr="00C227FD">
        <w:t xml:space="preserve"> Likewise</w:t>
      </w:r>
      <w:r w:rsidR="001D0F25" w:rsidRPr="00C227FD">
        <w:t>,</w:t>
      </w:r>
      <w:r w:rsidR="004548E3" w:rsidRPr="00C227FD">
        <w:t xml:space="preserve"> with </w:t>
      </w:r>
      <w:r w:rsidR="00943D67" w:rsidRPr="00C227FD">
        <w:t>intelligibility</w:t>
      </w:r>
      <w:r w:rsidR="001D0F25" w:rsidRPr="00C227FD">
        <w:t>,</w:t>
      </w:r>
      <w:r w:rsidR="00943D67" w:rsidRPr="00C227FD">
        <w:t xml:space="preserve"> whilst for our DWP participants intelligibility was important for an efficient and personalised </w:t>
      </w:r>
      <w:r w:rsidR="00943D67" w:rsidRPr="00C227FD">
        <w:lastRenderedPageBreak/>
        <w:t>service, for the advisors it was instrumental towards correctability.</w:t>
      </w:r>
      <w:r w:rsidR="00775348" w:rsidRPr="00C227FD">
        <w:t xml:space="preserve"> </w:t>
      </w:r>
      <w:r w:rsidR="00943D67" w:rsidRPr="00C227FD">
        <w:t xml:space="preserve">An important consequent insight here is that, in having different functions within distinct process logics, process qualities may </w:t>
      </w:r>
      <w:r w:rsidR="001D0F25" w:rsidRPr="00C227FD">
        <w:t>be of</w:t>
      </w:r>
      <w:r w:rsidR="00943D67" w:rsidRPr="00C227FD">
        <w:t xml:space="preserve"> varying orders of importance. Thus, while speed may lie towards the core of a DWP vision of administrative justice</w:t>
      </w:r>
      <w:r w:rsidR="001D0F25" w:rsidRPr="00C227FD">
        <w:t xml:space="preserve"> (as part of their concern for an efficient and personalised service)</w:t>
      </w:r>
      <w:r w:rsidR="00943D67" w:rsidRPr="00C227FD">
        <w:t xml:space="preserve">, it may not have the </w:t>
      </w:r>
      <w:r w:rsidR="001D0F25" w:rsidRPr="00C227FD">
        <w:t xml:space="preserve">same </w:t>
      </w:r>
      <w:r w:rsidR="00943D67" w:rsidRPr="00C227FD">
        <w:t>level of importance for claimants (as part of their concern for dignified treatment).</w:t>
      </w:r>
      <w:r w:rsidR="00775348" w:rsidRPr="00C227FD">
        <w:t xml:space="preserve"> </w:t>
      </w:r>
      <w:r w:rsidR="001D0F25" w:rsidRPr="00C227FD">
        <w:t xml:space="preserve">Thus, if, in the development of administrative justice theory, we are to include empirical insights regarding different constituencies’ senses of legitimate process, not only must we expand the list of potentially relevant procedural qualities, </w:t>
      </w:r>
      <w:r w:rsidR="00775348" w:rsidRPr="00C227FD">
        <w:t xml:space="preserve">but </w:t>
      </w:r>
      <w:r w:rsidR="001D0F25" w:rsidRPr="00C227FD">
        <w:t>we must also recognise that specific qualities may have varying functions according to the procedural logic in question.</w:t>
      </w:r>
    </w:p>
    <w:p w14:paraId="30DA7651" w14:textId="77777777" w:rsidR="00263165" w:rsidRPr="00C227FD" w:rsidRDefault="00263165" w:rsidP="00B36D91">
      <w:pPr>
        <w:spacing w:line="360" w:lineRule="auto"/>
        <w:contextualSpacing/>
        <w:jc w:val="both"/>
        <w:rPr>
          <w:b/>
          <w:bCs/>
        </w:rPr>
      </w:pPr>
    </w:p>
    <w:p w14:paraId="19F1A026" w14:textId="7580689D" w:rsidR="00896A26" w:rsidRPr="00C227FD" w:rsidRDefault="001D0F25" w:rsidP="00775348">
      <w:pPr>
        <w:spacing w:line="360" w:lineRule="auto"/>
        <w:ind w:firstLine="720"/>
        <w:contextualSpacing/>
        <w:jc w:val="both"/>
      </w:pPr>
      <w:r w:rsidRPr="00C227FD">
        <w:t xml:space="preserve">Our third observation is that the </w:t>
      </w:r>
      <w:r w:rsidR="00775348" w:rsidRPr="00C227FD">
        <w:t>digitalisation</w:t>
      </w:r>
      <w:r w:rsidRPr="00C227FD">
        <w:t xml:space="preserve"> of the welfare state gives rise to particular process puzzles</w:t>
      </w:r>
      <w:r w:rsidR="00775348" w:rsidRPr="00C227FD">
        <w:t>—</w:t>
      </w:r>
      <w:r w:rsidRPr="00C227FD">
        <w:t>novel policy challenges that sit at the interface of digit</w:t>
      </w:r>
      <w:r w:rsidR="00A5432B" w:rsidRPr="00C227FD">
        <w:t>al</w:t>
      </w:r>
      <w:r w:rsidRPr="00C227FD">
        <w:t xml:space="preserve">ised public administration and administrative justice. </w:t>
      </w:r>
      <w:r w:rsidR="0019438E" w:rsidRPr="00C227FD">
        <w:t>One such example can be seen in the operationalisation of the process quality of intelligibility–the idea that official communications should be clear and easy to understand. Some actors, such as welfare advisors (but also some officers within the DWP), may view this idea as requiring full and detailed information to be given in online processes, particularly where there is a concern for legality and correctability. Yet others, including claimants themselves, may think that intelligibility is best served by keeping online information short and simple. What is the best way to resolve this tension? This can too easily be thought about simply as a question of usability or accessibility. Yet it is also a question of legitimacy.</w:t>
      </w:r>
      <w:r w:rsidR="00775348" w:rsidRPr="00C227FD">
        <w:t xml:space="preserve"> </w:t>
      </w:r>
      <w:r w:rsidR="00896A26" w:rsidRPr="00C227FD">
        <w:t>A second example concerns the process quality of a</w:t>
      </w:r>
      <w:r w:rsidR="001742C0" w:rsidRPr="00C227FD">
        <w:t>ccessibility</w:t>
      </w:r>
      <w:r w:rsidR="00896A26" w:rsidRPr="00C227FD">
        <w:t>. One of the key insights from our interviews with claimants is that, when things go wrong,</w:t>
      </w:r>
      <w:r w:rsidR="001742C0" w:rsidRPr="00C227FD">
        <w:t xml:space="preserve"> </w:t>
      </w:r>
      <w:r w:rsidR="00896A26" w:rsidRPr="00C227FD">
        <w:t>a sense of officials being accessible—so that problems can be resolved—is very important for the perception that one is being treated with dignity</w:t>
      </w:r>
      <w:r w:rsidR="001742C0" w:rsidRPr="00C227FD">
        <w:t>.</w:t>
      </w:r>
      <w:r w:rsidR="00896A26" w:rsidRPr="00C227FD">
        <w:t xml:space="preserve"> Yet, the </w:t>
      </w:r>
      <w:r w:rsidR="00775348" w:rsidRPr="00C227FD">
        <w:t>digitalisation</w:t>
      </w:r>
      <w:r w:rsidR="00896A26" w:rsidRPr="00C227FD">
        <w:t xml:space="preserve"> of </w:t>
      </w:r>
      <w:r w:rsidR="00775348" w:rsidRPr="00C227FD">
        <w:t>social security</w:t>
      </w:r>
      <w:r w:rsidR="00896A26" w:rsidRPr="00C227FD">
        <w:t xml:space="preserve"> is premised on the idea that a service can largely be delivered remotely through online interfaces.</w:t>
      </w:r>
      <w:r w:rsidR="00775348" w:rsidRPr="00C227FD">
        <w:t xml:space="preserve"> </w:t>
      </w:r>
      <w:r w:rsidR="00896A26" w:rsidRPr="00C227FD">
        <w:t xml:space="preserve">Third, and relatedly, our interviews with advisors suggest that the </w:t>
      </w:r>
      <w:r w:rsidR="00A5432B" w:rsidRPr="00C227FD">
        <w:t xml:space="preserve">digitalisation </w:t>
      </w:r>
      <w:r w:rsidR="00896A26" w:rsidRPr="00C227FD">
        <w:t>of Universal Credit, with its use of automated systems, may create problems for some clients with complex circumstances. In such situations, where personal histories or circumstances are more complex than an algorithm’s capacity, then issues of accessibility and decision discretion come to the fore.</w:t>
      </w:r>
    </w:p>
    <w:p w14:paraId="714D35E3" w14:textId="77777777" w:rsidR="0019438E" w:rsidRPr="00C227FD" w:rsidRDefault="0019438E">
      <w:pPr>
        <w:spacing w:line="360" w:lineRule="auto"/>
        <w:contextualSpacing/>
        <w:jc w:val="both"/>
      </w:pPr>
    </w:p>
    <w:p w14:paraId="5C60E348" w14:textId="0AAE00F2" w:rsidR="001D0F25" w:rsidRPr="00C227FD" w:rsidRDefault="0019438E" w:rsidP="002618D8">
      <w:pPr>
        <w:spacing w:line="360" w:lineRule="auto"/>
        <w:contextualSpacing/>
        <w:jc w:val="both"/>
      </w:pPr>
      <w:r w:rsidRPr="00C227FD">
        <w:tab/>
      </w:r>
      <w:r w:rsidR="00896A26" w:rsidRPr="00C227FD">
        <w:t>Following from the above, m</w:t>
      </w:r>
      <w:r w:rsidRPr="00C227FD">
        <w:t xml:space="preserve">ore generally, the pursuit of an efficient and personalised service for welfare clients through </w:t>
      </w:r>
      <w:r w:rsidR="00775348" w:rsidRPr="00C227FD">
        <w:t>digitalisation</w:t>
      </w:r>
      <w:r w:rsidRPr="00C227FD">
        <w:t xml:space="preserve">, whilst appreciated by many, may operate to </w:t>
      </w:r>
      <w:r w:rsidRPr="00C227FD">
        <w:lastRenderedPageBreak/>
        <w:t xml:space="preserve">make the system less accessible and more </w:t>
      </w:r>
      <w:r w:rsidR="00583756" w:rsidRPr="00C227FD">
        <w:t>complex</w:t>
      </w:r>
      <w:r w:rsidRPr="00C227FD">
        <w:t xml:space="preserve"> for a particular minority of claimants. As some of our interviews with advisors suggested, </w:t>
      </w:r>
      <w:r w:rsidR="00583756" w:rsidRPr="00C227FD">
        <w:t>certain claimants, for a variety of reasons, may find a digit</w:t>
      </w:r>
      <w:r w:rsidR="00A5432B" w:rsidRPr="00C227FD">
        <w:t>al</w:t>
      </w:r>
      <w:r w:rsidR="00583756" w:rsidRPr="00C227FD">
        <w:t xml:space="preserve">ised service especially challenging. Indeed, there is a sense in which a </w:t>
      </w:r>
      <w:r w:rsidR="00775348" w:rsidRPr="00C227FD">
        <w:t>digitalised</w:t>
      </w:r>
      <w:r w:rsidR="00583756" w:rsidRPr="00C227FD">
        <w:t xml:space="preserve"> service may render some claimants more vulnerable to administrative injustice than others. And whilst such claimants may be in a minority, this dynamic nonetheless raises the question of who </w:t>
      </w:r>
      <w:r w:rsidR="0063788B" w:rsidRPr="00C227FD">
        <w:t>sits at the heart</w:t>
      </w:r>
      <w:r w:rsidR="00583756" w:rsidRPr="00C227FD">
        <w:t xml:space="preserve"> of </w:t>
      </w:r>
      <w:r w:rsidR="009E517C" w:rsidRPr="00C227FD">
        <w:t>a</w:t>
      </w:r>
      <w:r w:rsidR="00583756" w:rsidRPr="00C227FD">
        <w:t xml:space="preserve"> system designed to deliver social security benefits</w:t>
      </w:r>
      <w:r w:rsidR="009E517C" w:rsidRPr="00C227FD">
        <w:t xml:space="preserve">: the mainstream who will benefit from greater efficiency and personalisation, or the particularly </w:t>
      </w:r>
      <w:r w:rsidR="00775348" w:rsidRPr="00C227FD">
        <w:t>‘</w:t>
      </w:r>
      <w:r w:rsidR="009E517C" w:rsidRPr="00C227FD">
        <w:t>vulnerable</w:t>
      </w:r>
      <w:r w:rsidR="00775348" w:rsidRPr="00C227FD">
        <w:t>’</w:t>
      </w:r>
      <w:r w:rsidR="009E517C" w:rsidRPr="00C227FD">
        <w:t xml:space="preserve"> whose circumstances warrant exceptional treatment</w:t>
      </w:r>
      <w:r w:rsidR="00583756" w:rsidRPr="00C227FD">
        <w:t>.</w:t>
      </w:r>
      <w:r w:rsidR="0073018F" w:rsidRPr="00C227FD">
        <w:t xml:space="preserve"> Such is a particularly thorny process puzzle.</w:t>
      </w:r>
    </w:p>
    <w:p w14:paraId="1A40DC0E" w14:textId="77777777" w:rsidR="00D83846" w:rsidRPr="00C227FD" w:rsidRDefault="00D83846" w:rsidP="006C6143">
      <w:pPr>
        <w:spacing w:line="276" w:lineRule="auto"/>
        <w:contextualSpacing/>
        <w:jc w:val="center"/>
      </w:pPr>
    </w:p>
    <w:p w14:paraId="3C912799" w14:textId="6A6405D6" w:rsidR="009930AA" w:rsidRPr="00C227FD" w:rsidRDefault="00D83846" w:rsidP="006C6143">
      <w:pPr>
        <w:spacing w:line="276" w:lineRule="auto"/>
        <w:contextualSpacing/>
        <w:jc w:val="center"/>
        <w:rPr>
          <w:rFonts w:ascii="Palatino Linotype" w:hAnsi="Palatino Linotype"/>
          <w:color w:val="000000" w:themeColor="text1"/>
          <w:u w:val="single"/>
        </w:rPr>
      </w:pPr>
      <w:r w:rsidRPr="00C227FD">
        <w:rPr>
          <w:rFonts w:ascii="Book Antiqua" w:hAnsi="Book Antiqua"/>
          <w:b/>
          <w:bCs/>
          <w:smallCaps/>
          <w:color w:val="000000" w:themeColor="text1"/>
        </w:rPr>
        <w:t xml:space="preserve">VII. </w:t>
      </w:r>
      <w:r w:rsidR="006C6143" w:rsidRPr="00C227FD">
        <w:rPr>
          <w:rFonts w:ascii="Book Antiqua" w:hAnsi="Book Antiqua"/>
          <w:b/>
          <w:bCs/>
          <w:smallCaps/>
          <w:color w:val="000000" w:themeColor="text1"/>
        </w:rPr>
        <w:t>CONCLUSION</w:t>
      </w:r>
    </w:p>
    <w:p w14:paraId="4245CBC7" w14:textId="0B3ECA33" w:rsidR="007568D6" w:rsidRPr="00C227FD" w:rsidRDefault="007568D6" w:rsidP="00392BDE">
      <w:pPr>
        <w:spacing w:line="276" w:lineRule="auto"/>
        <w:contextualSpacing/>
        <w:jc w:val="both"/>
        <w:rPr>
          <w:sz w:val="10"/>
          <w:szCs w:val="10"/>
        </w:rPr>
      </w:pPr>
    </w:p>
    <w:p w14:paraId="57563DE1" w14:textId="66D4A95D" w:rsidR="00C8415A" w:rsidRPr="00C227FD" w:rsidRDefault="000C6EDC" w:rsidP="00392BDE">
      <w:pPr>
        <w:spacing w:line="360" w:lineRule="auto"/>
        <w:contextualSpacing/>
        <w:jc w:val="both"/>
      </w:pPr>
      <w:r w:rsidRPr="00C227FD">
        <w:t xml:space="preserve">In this article, </w:t>
      </w:r>
      <w:r w:rsidR="00C45C49" w:rsidRPr="00C227FD">
        <w:t xml:space="preserve">we </w:t>
      </w:r>
      <w:r w:rsidRPr="00C227FD">
        <w:t>have observed that different process logics shape</w:t>
      </w:r>
      <w:r w:rsidR="006234F7" w:rsidRPr="00C227FD">
        <w:t>d</w:t>
      </w:r>
      <w:r w:rsidRPr="00C227FD">
        <w:t xml:space="preserve"> assessments of which process qualities </w:t>
      </w:r>
      <w:r w:rsidR="006234F7" w:rsidRPr="00C227FD">
        <w:t xml:space="preserve">were </w:t>
      </w:r>
      <w:r w:rsidRPr="00C227FD">
        <w:t xml:space="preserve">regarded as important in the digital welfare state and that the function such qualities fulfil may differ, </w:t>
      </w:r>
      <w:r w:rsidR="00C8415A" w:rsidRPr="00C227FD">
        <w:t xml:space="preserve">often </w:t>
      </w:r>
      <w:r w:rsidRPr="00C227FD">
        <w:t>being instrumental towards distinct foundational logics</w:t>
      </w:r>
      <w:r w:rsidR="00C8415A" w:rsidRPr="00C227FD">
        <w:t>, between groups</w:t>
      </w:r>
      <w:r w:rsidRPr="00C227FD">
        <w:t>. Public officials fundamentally view</w:t>
      </w:r>
      <w:r w:rsidR="006234F7" w:rsidRPr="00C227FD">
        <w:t>ed</w:t>
      </w:r>
      <w:r w:rsidRPr="00C227FD">
        <w:t xml:space="preserve"> UC in terms of the provision of a personalised welfare service for </w:t>
      </w:r>
      <w:r w:rsidR="00392BDE" w:rsidRPr="00C227FD">
        <w:t>claimants and</w:t>
      </w:r>
      <w:r w:rsidRPr="00C227FD">
        <w:t xml:space="preserve"> assess</w:t>
      </w:r>
      <w:r w:rsidR="006234F7" w:rsidRPr="00C227FD">
        <w:t>ed</w:t>
      </w:r>
      <w:r w:rsidRPr="00C227FD">
        <w:t xml:space="preserve"> process qualities according to what </w:t>
      </w:r>
      <w:r w:rsidR="006234F7" w:rsidRPr="00C227FD">
        <w:t xml:space="preserve">would </w:t>
      </w:r>
      <w:r w:rsidRPr="00C227FD">
        <w:t xml:space="preserve">enhance the usability, accuracy and efficiency of the system. For welfare rights advisors, the assessment of UC </w:t>
      </w:r>
      <w:r w:rsidR="00392BDE" w:rsidRPr="00C227FD">
        <w:t>processes</w:t>
      </w:r>
      <w:r w:rsidRPr="00C227FD">
        <w:t xml:space="preserve"> </w:t>
      </w:r>
      <w:r w:rsidR="006234F7" w:rsidRPr="00C227FD">
        <w:t xml:space="preserve">was </w:t>
      </w:r>
      <w:r w:rsidRPr="00C227FD">
        <w:t>driven by a fundamental concern that all claimants receive the benefits to which they are legally entitled. Process qualities thus serve</w:t>
      </w:r>
      <w:r w:rsidR="006234F7" w:rsidRPr="00C227FD">
        <w:t>d</w:t>
      </w:r>
      <w:r w:rsidRPr="00C227FD">
        <w:t xml:space="preserve"> a basic goal of the legality of decisions produced by the system. Claimants, however, frame</w:t>
      </w:r>
      <w:r w:rsidR="006234F7" w:rsidRPr="00C227FD">
        <w:t>d</w:t>
      </w:r>
      <w:r w:rsidRPr="00C227FD">
        <w:t xml:space="preserve"> the UC system in terms of a relationship they have with the state, and prioritise</w:t>
      </w:r>
      <w:r w:rsidR="006234F7" w:rsidRPr="00C227FD">
        <w:t>d</w:t>
      </w:r>
      <w:r w:rsidRPr="00C227FD">
        <w:t xml:space="preserve"> the importance of processes that </w:t>
      </w:r>
      <w:r w:rsidR="006234F7" w:rsidRPr="00C227FD">
        <w:t xml:space="preserve">would </w:t>
      </w:r>
      <w:r w:rsidRPr="00C227FD">
        <w:t>make interactions feel respectful and dignifying.</w:t>
      </w:r>
    </w:p>
    <w:p w14:paraId="24895A7E" w14:textId="77777777" w:rsidR="00C8415A" w:rsidRPr="00C227FD" w:rsidRDefault="00C8415A" w:rsidP="00392BDE">
      <w:pPr>
        <w:spacing w:line="360" w:lineRule="auto"/>
        <w:contextualSpacing/>
        <w:rPr>
          <w:rFonts w:ascii="Palatino Linotype" w:hAnsi="Palatino Linotype"/>
        </w:rPr>
      </w:pPr>
    </w:p>
    <w:p w14:paraId="068F4916" w14:textId="6C5DD38A" w:rsidR="00DD07B6" w:rsidRPr="00775348" w:rsidRDefault="000C6EDC" w:rsidP="00775348">
      <w:pPr>
        <w:spacing w:line="360" w:lineRule="auto"/>
        <w:ind w:firstLine="720"/>
        <w:contextualSpacing/>
        <w:jc w:val="both"/>
        <w:rPr>
          <w:rFonts w:ascii="Palatino Linotype" w:hAnsi="Palatino Linotype"/>
        </w:rPr>
      </w:pPr>
      <w:r w:rsidRPr="00C227FD">
        <w:t xml:space="preserve">By illuminating these important but often obscured underlying forms of reasoning, we hope to have provided a firmer basis for meaningful </w:t>
      </w:r>
      <w:r w:rsidR="00392BDE" w:rsidRPr="00C227FD">
        <w:t>analysis</w:t>
      </w:r>
      <w:r w:rsidRPr="00C227FD">
        <w:t xml:space="preserve"> </w:t>
      </w:r>
      <w:r w:rsidR="00392BDE" w:rsidRPr="00C227FD">
        <w:t xml:space="preserve">of </w:t>
      </w:r>
      <w:r w:rsidRPr="00C227FD">
        <w:t>this new mode of welfare government.</w:t>
      </w:r>
      <w:r w:rsidR="00D934BC" w:rsidRPr="00C227FD">
        <w:t xml:space="preserve"> </w:t>
      </w:r>
      <w:r w:rsidRPr="00C227FD">
        <w:t xml:space="preserve">Our analysis also points to how these competing logics give rise to </w:t>
      </w:r>
      <w:r w:rsidR="00C8415A" w:rsidRPr="00C227FD">
        <w:t xml:space="preserve">a wide range of modern </w:t>
      </w:r>
      <w:r w:rsidRPr="00C227FD">
        <w:t>puzzles of procedural legitimacy—some of which are</w:t>
      </w:r>
      <w:r w:rsidR="00C8415A" w:rsidRPr="00C227FD">
        <w:t xml:space="preserve"> familiar</w:t>
      </w:r>
      <w:r w:rsidRPr="00C227FD">
        <w:t xml:space="preserve"> questions concerning welfare implementation, but some of which are novel or have become far more prominent in the era of the digital welfare state. </w:t>
      </w:r>
      <w:r w:rsidR="00C45C49" w:rsidRPr="00C227FD">
        <w:t>There is ample scope, once these</w:t>
      </w:r>
      <w:r w:rsidR="00C8415A" w:rsidRPr="00C227FD">
        <w:t xml:space="preserve"> underlying procedural legitimacy</w:t>
      </w:r>
      <w:r w:rsidR="00C45C49" w:rsidRPr="00C227FD">
        <w:t xml:space="preserve"> logics are</w:t>
      </w:r>
      <w:r w:rsidR="00C8415A" w:rsidRPr="00C227FD">
        <w:t xml:space="preserve"> properly</w:t>
      </w:r>
      <w:r w:rsidR="00C45C49" w:rsidRPr="00C227FD">
        <w:t xml:space="preserve"> grasped, to tease out these process puzzles</w:t>
      </w:r>
      <w:r w:rsidR="00392BDE" w:rsidRPr="00C227FD">
        <w:t xml:space="preserve"> and</w:t>
      </w:r>
      <w:r w:rsidR="00C45C49" w:rsidRPr="00C227FD">
        <w:t xml:space="preserve"> interrogate their underlying legitimacy claims</w:t>
      </w:r>
      <w:r w:rsidR="00775348" w:rsidRPr="00C227FD">
        <w:t xml:space="preserve"> and to explore them further, including empirically</w:t>
      </w:r>
      <w:r w:rsidR="00392BDE" w:rsidRPr="00C227FD">
        <w:t xml:space="preserve">. Given the range of process qualities we have demonstrated are relevant, and the complexity of public </w:t>
      </w:r>
      <w:r w:rsidR="00392BDE" w:rsidRPr="00C227FD">
        <w:lastRenderedPageBreak/>
        <w:t xml:space="preserve">processes, this </w:t>
      </w:r>
      <w:r w:rsidR="006C6143" w:rsidRPr="00C227FD">
        <w:t>opens</w:t>
      </w:r>
      <w:r w:rsidR="00392BDE" w:rsidRPr="00C227FD">
        <w:t xml:space="preserve"> a new pathway to rethink public process legitimacy in the modern</w:t>
      </w:r>
      <w:r w:rsidR="00775348" w:rsidRPr="00C227FD">
        <w:t xml:space="preserve"> welfare</w:t>
      </w:r>
      <w:r w:rsidR="00392BDE" w:rsidRPr="00C227FD">
        <w:t xml:space="preserve"> state.</w:t>
      </w:r>
    </w:p>
    <w:sectPr w:rsidR="00DD07B6" w:rsidRPr="00775348" w:rsidSect="00966C1E">
      <w:footnotePr>
        <w:numRestart w:val="eachSect"/>
      </w:footnotePr>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E6C09" w14:textId="77777777" w:rsidR="00627E20" w:rsidRDefault="00627E20" w:rsidP="00897679">
      <w:r>
        <w:separator/>
      </w:r>
    </w:p>
  </w:endnote>
  <w:endnote w:type="continuationSeparator" w:id="0">
    <w:p w14:paraId="2C326546" w14:textId="77777777" w:rsidR="00627E20" w:rsidRDefault="00627E20" w:rsidP="00897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Songti SC">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0906379"/>
      <w:docPartObj>
        <w:docPartGallery w:val="Page Numbers (Bottom of Page)"/>
        <w:docPartUnique/>
      </w:docPartObj>
    </w:sdtPr>
    <w:sdtEndPr>
      <w:rPr>
        <w:rStyle w:val="PageNumber"/>
      </w:rPr>
    </w:sdtEndPr>
    <w:sdtContent>
      <w:p w14:paraId="6DFB5B2D" w14:textId="3402A4A2" w:rsidR="00FF26B0" w:rsidRDefault="00FF26B0" w:rsidP="00FF26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CDF465" w14:textId="77777777" w:rsidR="00FF26B0" w:rsidRDefault="00FF26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2769277"/>
      <w:docPartObj>
        <w:docPartGallery w:val="Page Numbers (Bottom of Page)"/>
        <w:docPartUnique/>
      </w:docPartObj>
    </w:sdtPr>
    <w:sdtEndPr>
      <w:rPr>
        <w:rStyle w:val="PageNumber"/>
      </w:rPr>
    </w:sdtEndPr>
    <w:sdtContent>
      <w:p w14:paraId="3D17DE70" w14:textId="36C4D9B1" w:rsidR="00FF26B0" w:rsidRDefault="00FF26B0" w:rsidP="00FF26B0">
        <w:pPr>
          <w:pStyle w:val="Footer"/>
          <w:framePr w:wrap="none" w:vAnchor="text" w:hAnchor="margin" w:xAlign="center" w:y="1"/>
          <w:rPr>
            <w:rStyle w:val="PageNumber"/>
          </w:rPr>
        </w:pPr>
        <w:r w:rsidRPr="00ED304E">
          <w:rPr>
            <w:rStyle w:val="PageNumber"/>
            <w:rFonts w:ascii="Book Antiqua" w:hAnsi="Book Antiqua" w:cs="Times New Roman"/>
          </w:rPr>
          <w:fldChar w:fldCharType="begin"/>
        </w:r>
        <w:r w:rsidRPr="00ED304E">
          <w:rPr>
            <w:rStyle w:val="PageNumber"/>
            <w:rFonts w:ascii="Book Antiqua" w:hAnsi="Book Antiqua" w:cs="Times New Roman"/>
          </w:rPr>
          <w:instrText xml:space="preserve"> PAGE </w:instrText>
        </w:r>
        <w:r w:rsidRPr="00ED304E">
          <w:rPr>
            <w:rStyle w:val="PageNumber"/>
            <w:rFonts w:ascii="Book Antiqua" w:hAnsi="Book Antiqua" w:cs="Times New Roman"/>
          </w:rPr>
          <w:fldChar w:fldCharType="separate"/>
        </w:r>
        <w:r w:rsidR="003A7F15">
          <w:rPr>
            <w:rStyle w:val="PageNumber"/>
            <w:rFonts w:ascii="Book Antiqua" w:hAnsi="Book Antiqua" w:cs="Times New Roman"/>
            <w:noProof/>
          </w:rPr>
          <w:t>3</w:t>
        </w:r>
        <w:r w:rsidRPr="00ED304E">
          <w:rPr>
            <w:rStyle w:val="PageNumber"/>
            <w:rFonts w:ascii="Book Antiqua" w:hAnsi="Book Antiqua" w:cs="Times New Roman"/>
          </w:rPr>
          <w:fldChar w:fldCharType="end"/>
        </w:r>
      </w:p>
    </w:sdtContent>
  </w:sdt>
  <w:p w14:paraId="7FFB29A5" w14:textId="77777777" w:rsidR="00FF26B0" w:rsidRDefault="00FF2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7C1EE" w14:textId="77777777" w:rsidR="00627E20" w:rsidRDefault="00627E20" w:rsidP="00897679">
      <w:r>
        <w:separator/>
      </w:r>
    </w:p>
  </w:footnote>
  <w:footnote w:type="continuationSeparator" w:id="0">
    <w:p w14:paraId="3B498C29" w14:textId="77777777" w:rsidR="00627E20" w:rsidRDefault="00627E20" w:rsidP="00897679">
      <w:r>
        <w:continuationSeparator/>
      </w:r>
    </w:p>
  </w:footnote>
  <w:footnote w:id="1">
    <w:p w14:paraId="6A7FFA1E" w14:textId="6E7E5075" w:rsidR="00F41C2C" w:rsidRPr="006C6143" w:rsidRDefault="00F47F01"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Professor of Socio-Legal Studies, University of Strathclyde. </w:t>
      </w:r>
    </w:p>
  </w:footnote>
  <w:footnote w:id="2">
    <w:p w14:paraId="2B96802B" w14:textId="47BFB090" w:rsidR="00456D2F" w:rsidRPr="006C6143" w:rsidRDefault="00F47F01"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Senior Lecturer in Law, University of York.</w:t>
      </w:r>
    </w:p>
  </w:footnote>
  <w:footnote w:id="3">
    <w:p w14:paraId="43A2FA0B" w14:textId="43E0915F"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w:t>
      </w:r>
      <w:r w:rsidR="00BC647F" w:rsidRPr="006C6143">
        <w:rPr>
          <w:rFonts w:ascii="Times New Roman" w:hAnsi="Times New Roman" w:cs="Times New Roman"/>
        </w:rPr>
        <w:t>Professor of Public</w:t>
      </w:r>
      <w:r w:rsidRPr="006C6143">
        <w:rPr>
          <w:rFonts w:ascii="Times New Roman" w:hAnsi="Times New Roman" w:cs="Times New Roman"/>
        </w:rPr>
        <w:t xml:space="preserve"> Law, </w:t>
      </w:r>
      <w:r w:rsidR="00BC647F" w:rsidRPr="006C6143">
        <w:rPr>
          <w:rFonts w:ascii="Times New Roman" w:hAnsi="Times New Roman" w:cs="Times New Roman"/>
        </w:rPr>
        <w:t>University of York</w:t>
      </w:r>
      <w:r w:rsidRPr="006C6143">
        <w:rPr>
          <w:rFonts w:ascii="Times New Roman" w:hAnsi="Times New Roman" w:cs="Times New Roman"/>
        </w:rPr>
        <w:t xml:space="preserve">. The research underpinning this article was kindly funded by the Nuffield Foundation, as part of a grant supporting research on </w:t>
      </w:r>
      <w:r w:rsidR="00F41C2C" w:rsidRPr="006C6143">
        <w:rPr>
          <w:rFonts w:ascii="Times New Roman" w:hAnsi="Times New Roman" w:cs="Times New Roman"/>
        </w:rPr>
        <w:t>‘</w:t>
      </w:r>
      <w:r w:rsidRPr="006C6143">
        <w:rPr>
          <w:rFonts w:ascii="Times New Roman" w:hAnsi="Times New Roman" w:cs="Times New Roman"/>
        </w:rPr>
        <w:t xml:space="preserve">Administrative Fairness in the </w:t>
      </w:r>
      <w:r w:rsidR="00605424" w:rsidRPr="006C6143">
        <w:rPr>
          <w:rFonts w:ascii="Times New Roman" w:hAnsi="Times New Roman" w:cs="Times New Roman"/>
        </w:rPr>
        <w:t>Digital</w:t>
      </w:r>
      <w:r w:rsidRPr="006C6143">
        <w:rPr>
          <w:rFonts w:ascii="Times New Roman" w:hAnsi="Times New Roman" w:cs="Times New Roman"/>
        </w:rPr>
        <w:t xml:space="preserve"> Welfare State</w:t>
      </w:r>
      <w:r w:rsidR="00F41C2C" w:rsidRPr="006C6143">
        <w:rPr>
          <w:rFonts w:ascii="Times New Roman" w:hAnsi="Times New Roman" w:cs="Times New Roman"/>
        </w:rPr>
        <w:t>’</w:t>
      </w:r>
      <w:r w:rsidRPr="006C6143">
        <w:rPr>
          <w:rFonts w:ascii="Times New Roman" w:hAnsi="Times New Roman" w:cs="Times New Roman"/>
        </w:rPr>
        <w:t xml:space="preserve">. We are grateful to the </w:t>
      </w:r>
      <w:r w:rsidR="00F41C2C" w:rsidRPr="006C6143">
        <w:rPr>
          <w:rFonts w:ascii="Times New Roman" w:hAnsi="Times New Roman" w:cs="Times New Roman"/>
        </w:rPr>
        <w:t>Department for Work and Pensions</w:t>
      </w:r>
      <w:r w:rsidRPr="006C6143">
        <w:rPr>
          <w:rFonts w:ascii="Times New Roman" w:hAnsi="Times New Roman" w:cs="Times New Roman"/>
        </w:rPr>
        <w:t xml:space="preserve"> for </w:t>
      </w:r>
      <w:r w:rsidR="00605424" w:rsidRPr="006C6143">
        <w:rPr>
          <w:rFonts w:ascii="Times New Roman" w:hAnsi="Times New Roman" w:cs="Times New Roman"/>
        </w:rPr>
        <w:t>al</w:t>
      </w:r>
      <w:r w:rsidRPr="006C6143">
        <w:rPr>
          <w:rFonts w:ascii="Times New Roman" w:hAnsi="Times New Roman" w:cs="Times New Roman"/>
        </w:rPr>
        <w:t xml:space="preserve">lowing us to interview </w:t>
      </w:r>
      <w:r w:rsidR="00605424" w:rsidRPr="006C6143">
        <w:rPr>
          <w:rFonts w:ascii="Times New Roman" w:hAnsi="Times New Roman" w:cs="Times New Roman"/>
        </w:rPr>
        <w:t>officials</w:t>
      </w:r>
      <w:r w:rsidRPr="006C6143">
        <w:rPr>
          <w:rFonts w:ascii="Times New Roman" w:hAnsi="Times New Roman" w:cs="Times New Roman"/>
        </w:rPr>
        <w:t xml:space="preserve">—participation by </w:t>
      </w:r>
      <w:r w:rsidR="00F41C2C" w:rsidRPr="006C6143">
        <w:rPr>
          <w:rFonts w:ascii="Times New Roman" w:hAnsi="Times New Roman" w:cs="Times New Roman"/>
        </w:rPr>
        <w:t>the Department’s</w:t>
      </w:r>
      <w:r w:rsidRPr="006C6143">
        <w:rPr>
          <w:rFonts w:ascii="Times New Roman" w:hAnsi="Times New Roman" w:cs="Times New Roman"/>
        </w:rPr>
        <w:t xml:space="preserve"> staff in interviews was on a purely voluntary basis and any views they expressed to us are strictly person</w:t>
      </w:r>
      <w:r w:rsidR="00605424" w:rsidRPr="006C6143">
        <w:rPr>
          <w:rFonts w:ascii="Times New Roman" w:hAnsi="Times New Roman" w:cs="Times New Roman"/>
        </w:rPr>
        <w:t>al.</w:t>
      </w:r>
      <w:r w:rsidRPr="006C6143">
        <w:rPr>
          <w:rFonts w:ascii="Times New Roman" w:hAnsi="Times New Roman" w:cs="Times New Roman"/>
        </w:rPr>
        <w:t xml:space="preserve"> We are </w:t>
      </w:r>
      <w:r w:rsidR="00605424" w:rsidRPr="006C6143">
        <w:rPr>
          <w:rFonts w:ascii="Times New Roman" w:hAnsi="Times New Roman" w:cs="Times New Roman"/>
        </w:rPr>
        <w:t>al</w:t>
      </w:r>
      <w:r w:rsidRPr="006C6143">
        <w:rPr>
          <w:rFonts w:ascii="Times New Roman" w:hAnsi="Times New Roman" w:cs="Times New Roman"/>
        </w:rPr>
        <w:t>so grateful for the claimants and advisors who gave us their v</w:t>
      </w:r>
      <w:r w:rsidR="00605424" w:rsidRPr="006C6143">
        <w:rPr>
          <w:rFonts w:ascii="Times New Roman" w:hAnsi="Times New Roman" w:cs="Times New Roman"/>
        </w:rPr>
        <w:t>al</w:t>
      </w:r>
      <w:r w:rsidRPr="006C6143">
        <w:rPr>
          <w:rFonts w:ascii="Times New Roman" w:hAnsi="Times New Roman" w:cs="Times New Roman"/>
        </w:rPr>
        <w:t>uable time.</w:t>
      </w:r>
      <w:r w:rsidR="002A6E69" w:rsidRPr="006C6143">
        <w:rPr>
          <w:rFonts w:ascii="Times New Roman" w:hAnsi="Times New Roman" w:cs="Times New Roman"/>
        </w:rPr>
        <w:t xml:space="preserve"> Eleana </w:t>
      </w:r>
      <w:proofErr w:type="spellStart"/>
      <w:r w:rsidR="002A6E69" w:rsidRPr="006C6143">
        <w:rPr>
          <w:rFonts w:ascii="Times New Roman" w:hAnsi="Times New Roman" w:cs="Times New Roman"/>
        </w:rPr>
        <w:t>Kasoulide</w:t>
      </w:r>
      <w:proofErr w:type="spellEnd"/>
      <w:r w:rsidR="00F04C90" w:rsidRPr="006C6143">
        <w:rPr>
          <w:rFonts w:ascii="Times New Roman" w:hAnsi="Times New Roman" w:cs="Times New Roman"/>
        </w:rPr>
        <w:t xml:space="preserve"> and Sam Guy</w:t>
      </w:r>
      <w:r w:rsidR="002A6E69" w:rsidRPr="006C6143">
        <w:rPr>
          <w:rFonts w:ascii="Times New Roman" w:hAnsi="Times New Roman" w:cs="Times New Roman"/>
        </w:rPr>
        <w:t xml:space="preserve"> provided helpful research assistance.</w:t>
      </w:r>
      <w:r w:rsidR="00F04C90" w:rsidRPr="006C6143">
        <w:rPr>
          <w:rFonts w:ascii="Times New Roman" w:hAnsi="Times New Roman" w:cs="Times New Roman"/>
        </w:rPr>
        <w:t xml:space="preserve"> Rick Rawlings,</w:t>
      </w:r>
      <w:r w:rsidR="002618D8">
        <w:rPr>
          <w:rFonts w:ascii="Times New Roman" w:hAnsi="Times New Roman" w:cs="Times New Roman"/>
        </w:rPr>
        <w:t xml:space="preserve"> Tom Tyler,</w:t>
      </w:r>
      <w:r w:rsidR="00F04C90" w:rsidRPr="006C6143">
        <w:rPr>
          <w:rFonts w:ascii="Times New Roman" w:hAnsi="Times New Roman" w:cs="Times New Roman"/>
        </w:rPr>
        <w:t xml:space="preserve"> Neville Harris,</w:t>
      </w:r>
      <w:r w:rsidR="00F41C2C" w:rsidRPr="006C6143">
        <w:rPr>
          <w:rFonts w:ascii="Times New Roman" w:hAnsi="Times New Roman" w:cs="Times New Roman"/>
        </w:rPr>
        <w:t xml:space="preserve"> </w:t>
      </w:r>
      <w:r w:rsidR="004B53AA">
        <w:rPr>
          <w:rFonts w:ascii="Times New Roman" w:hAnsi="Times New Roman" w:cs="Times New Roman"/>
        </w:rPr>
        <w:t xml:space="preserve">Chris Gill, </w:t>
      </w:r>
      <w:r w:rsidR="00E97EEC" w:rsidRPr="006C6143">
        <w:rPr>
          <w:rFonts w:ascii="Times New Roman" w:hAnsi="Times New Roman" w:cs="Times New Roman"/>
        </w:rPr>
        <w:t>Tom Mullen, Richard Pope</w:t>
      </w:r>
      <w:r w:rsidR="00392BDE" w:rsidRPr="006C6143">
        <w:rPr>
          <w:rFonts w:ascii="Times New Roman" w:hAnsi="Times New Roman" w:cs="Times New Roman"/>
        </w:rPr>
        <w:t xml:space="preserve">, </w:t>
      </w:r>
      <w:r w:rsidR="00F41C2C" w:rsidRPr="006C6143">
        <w:rPr>
          <w:rFonts w:ascii="Times New Roman" w:hAnsi="Times New Roman" w:cs="Times New Roman"/>
        </w:rPr>
        <w:t>and</w:t>
      </w:r>
      <w:r w:rsidR="00F04C90" w:rsidRPr="006C6143">
        <w:rPr>
          <w:rFonts w:ascii="Times New Roman" w:hAnsi="Times New Roman" w:cs="Times New Roman"/>
        </w:rPr>
        <w:t xml:space="preserve"> Marc Hertogh provided helpful comments on draft versions</w:t>
      </w:r>
      <w:r w:rsidR="00E97EEC" w:rsidRPr="006C6143">
        <w:rPr>
          <w:rFonts w:ascii="Times New Roman" w:hAnsi="Times New Roman" w:cs="Times New Roman"/>
        </w:rPr>
        <w:t>, as did participants at seminars at the University of Glasgow and Yale University</w:t>
      </w:r>
      <w:r w:rsidR="00F04C90" w:rsidRPr="006C6143">
        <w:rPr>
          <w:rFonts w:ascii="Times New Roman" w:hAnsi="Times New Roman" w:cs="Times New Roman"/>
        </w:rPr>
        <w:t>.</w:t>
      </w:r>
      <w:r w:rsidRPr="006C6143">
        <w:rPr>
          <w:rFonts w:ascii="Times New Roman" w:hAnsi="Times New Roman" w:cs="Times New Roman"/>
        </w:rPr>
        <w:t xml:space="preserve"> </w:t>
      </w:r>
      <w:r w:rsidR="00F41C2C" w:rsidRPr="006C6143">
        <w:rPr>
          <w:rFonts w:ascii="Times New Roman" w:hAnsi="Times New Roman" w:cs="Times New Roman"/>
        </w:rPr>
        <w:t>A</w:t>
      </w:r>
      <w:r w:rsidRPr="006C6143">
        <w:rPr>
          <w:rFonts w:ascii="Times New Roman" w:hAnsi="Times New Roman" w:cs="Times New Roman"/>
        </w:rPr>
        <w:t>ny errors and omissions are our own.</w:t>
      </w:r>
    </w:p>
  </w:footnote>
  <w:footnote w:id="4">
    <w:p w14:paraId="00E2BDAF" w14:textId="2E5C3F7C"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Definitions of the </w:t>
      </w:r>
      <w:r w:rsidR="006A339C" w:rsidRPr="006C6143">
        <w:rPr>
          <w:rFonts w:ascii="Times New Roman" w:hAnsi="Times New Roman" w:cs="Times New Roman"/>
        </w:rPr>
        <w:t>‘</w:t>
      </w:r>
      <w:r w:rsidRPr="006C6143">
        <w:rPr>
          <w:rFonts w:ascii="Times New Roman" w:hAnsi="Times New Roman" w:cs="Times New Roman"/>
        </w:rPr>
        <w:t>welfare state</w:t>
      </w:r>
      <w:r w:rsidR="006A339C" w:rsidRPr="006C6143">
        <w:rPr>
          <w:rFonts w:ascii="Times New Roman" w:hAnsi="Times New Roman" w:cs="Times New Roman"/>
        </w:rPr>
        <w:t>’</w:t>
      </w:r>
      <w:r w:rsidRPr="006C6143">
        <w:rPr>
          <w:rFonts w:ascii="Times New Roman" w:hAnsi="Times New Roman" w:cs="Times New Roman"/>
        </w:rPr>
        <w:t xml:space="preserve"> vary, see </w:t>
      </w:r>
      <w:r w:rsidRPr="006C6143">
        <w:rPr>
          <w:rFonts w:ascii="Times New Roman" w:hAnsi="Times New Roman" w:cs="Times New Roman"/>
          <w:i/>
          <w:iCs/>
        </w:rPr>
        <w:t>e.g.</w:t>
      </w:r>
      <w:r w:rsidRPr="006C6143">
        <w:rPr>
          <w:rFonts w:ascii="Times New Roman" w:hAnsi="Times New Roman" w:cs="Times New Roman"/>
        </w:rPr>
        <w:t xml:space="preserve"> D Garland, ‘The Welfare State: A Fundament</w:t>
      </w:r>
      <w:r w:rsidR="00605424" w:rsidRPr="006C6143">
        <w:rPr>
          <w:rFonts w:ascii="Times New Roman" w:hAnsi="Times New Roman" w:cs="Times New Roman"/>
        </w:rPr>
        <w:t>al</w:t>
      </w:r>
      <w:r w:rsidRPr="006C6143">
        <w:rPr>
          <w:rFonts w:ascii="Times New Roman" w:hAnsi="Times New Roman" w:cs="Times New Roman"/>
        </w:rPr>
        <w:t xml:space="preserve"> Dimension of Modern Government’ (2014) 55(3) </w:t>
      </w:r>
      <w:r w:rsidRPr="006C6143">
        <w:rPr>
          <w:rFonts w:ascii="Times New Roman" w:hAnsi="Times New Roman" w:cs="Times New Roman"/>
          <w:i/>
          <w:iCs/>
        </w:rPr>
        <w:t>European Journ</w:t>
      </w:r>
      <w:r w:rsidR="00605424" w:rsidRPr="006C6143">
        <w:rPr>
          <w:rFonts w:ascii="Times New Roman" w:hAnsi="Times New Roman" w:cs="Times New Roman"/>
          <w:i/>
          <w:iCs/>
        </w:rPr>
        <w:t>al</w:t>
      </w:r>
      <w:r w:rsidRPr="006C6143">
        <w:rPr>
          <w:rFonts w:ascii="Times New Roman" w:hAnsi="Times New Roman" w:cs="Times New Roman"/>
          <w:i/>
          <w:iCs/>
        </w:rPr>
        <w:t xml:space="preserve"> of Sociology</w:t>
      </w:r>
      <w:r w:rsidRPr="006C6143">
        <w:rPr>
          <w:rFonts w:ascii="Times New Roman" w:hAnsi="Times New Roman" w:cs="Times New Roman"/>
        </w:rPr>
        <w:t xml:space="preserve"> 327. </w:t>
      </w:r>
    </w:p>
  </w:footnote>
  <w:footnote w:id="5">
    <w:p w14:paraId="0C99946C" w14:textId="53AC3AF9" w:rsidR="00FF26B0" w:rsidRPr="006C6143" w:rsidRDefault="00FF26B0" w:rsidP="006C6143">
      <w:pPr>
        <w:spacing w:after="240"/>
        <w:jc w:val="both"/>
        <w:rPr>
          <w:rFonts w:eastAsiaTheme="minorHAnsi"/>
          <w:sz w:val="20"/>
          <w:szCs w:val="20"/>
          <w:lang w:eastAsia="en-US"/>
        </w:rPr>
      </w:pPr>
      <w:r w:rsidRPr="006C6143">
        <w:rPr>
          <w:rStyle w:val="FootnoteReference"/>
          <w:sz w:val="20"/>
          <w:szCs w:val="20"/>
        </w:rPr>
        <w:footnoteRef/>
      </w:r>
      <w:r w:rsidRPr="006C6143">
        <w:rPr>
          <w:sz w:val="20"/>
          <w:szCs w:val="20"/>
        </w:rPr>
        <w:t xml:space="preserve"> We use this term </w:t>
      </w:r>
      <w:r w:rsidR="00FC7CAD" w:rsidRPr="006C6143">
        <w:rPr>
          <w:sz w:val="20"/>
          <w:szCs w:val="20"/>
        </w:rPr>
        <w:t>broadly but</w:t>
      </w:r>
      <w:r w:rsidRPr="006C6143">
        <w:rPr>
          <w:sz w:val="20"/>
          <w:szCs w:val="20"/>
        </w:rPr>
        <w:t xml:space="preserve"> note there have</w:t>
      </w:r>
      <w:r w:rsidR="00FC7CAD" w:rsidRPr="006C6143">
        <w:rPr>
          <w:sz w:val="20"/>
          <w:szCs w:val="20"/>
        </w:rPr>
        <w:t xml:space="preserve"> also</w:t>
      </w:r>
      <w:r w:rsidRPr="006C6143">
        <w:rPr>
          <w:sz w:val="20"/>
          <w:szCs w:val="20"/>
        </w:rPr>
        <w:t xml:space="preserve"> been numerous definitions of the </w:t>
      </w:r>
      <w:r w:rsidR="006A339C" w:rsidRPr="006C6143">
        <w:rPr>
          <w:sz w:val="20"/>
          <w:szCs w:val="20"/>
        </w:rPr>
        <w:t>‘</w:t>
      </w:r>
      <w:r w:rsidRPr="006C6143">
        <w:rPr>
          <w:sz w:val="20"/>
          <w:szCs w:val="20"/>
        </w:rPr>
        <w:t>digit</w:t>
      </w:r>
      <w:r w:rsidR="00605424" w:rsidRPr="006C6143">
        <w:rPr>
          <w:sz w:val="20"/>
          <w:szCs w:val="20"/>
        </w:rPr>
        <w:t>al</w:t>
      </w:r>
      <w:r w:rsidR="00C77D6D" w:rsidRPr="006C6143">
        <w:rPr>
          <w:sz w:val="20"/>
          <w:szCs w:val="20"/>
        </w:rPr>
        <w:t xml:space="preserve"> welfare state</w:t>
      </w:r>
      <w:r w:rsidR="006A339C" w:rsidRPr="006C6143">
        <w:rPr>
          <w:sz w:val="20"/>
          <w:szCs w:val="20"/>
        </w:rPr>
        <w:t>’</w:t>
      </w:r>
      <w:r w:rsidR="00C77D6D" w:rsidRPr="006C6143">
        <w:rPr>
          <w:sz w:val="20"/>
          <w:szCs w:val="20"/>
        </w:rPr>
        <w:t xml:space="preserve"> advanced</w:t>
      </w:r>
      <w:r w:rsidR="006A339C" w:rsidRPr="006C6143">
        <w:rPr>
          <w:sz w:val="20"/>
          <w:szCs w:val="20"/>
        </w:rPr>
        <w:t xml:space="preserve">, see </w:t>
      </w:r>
      <w:r w:rsidR="006A339C" w:rsidRPr="006C6143">
        <w:rPr>
          <w:i/>
          <w:iCs/>
          <w:sz w:val="20"/>
          <w:szCs w:val="20"/>
        </w:rPr>
        <w:t>e.g.</w:t>
      </w:r>
      <w:r w:rsidR="007A5291" w:rsidRPr="006C6143">
        <w:rPr>
          <w:sz w:val="20"/>
          <w:szCs w:val="20"/>
        </w:rPr>
        <w:t xml:space="preserve"> L van </w:t>
      </w:r>
      <w:proofErr w:type="spellStart"/>
      <w:r w:rsidR="007A5291" w:rsidRPr="006C6143">
        <w:rPr>
          <w:sz w:val="20"/>
          <w:szCs w:val="20"/>
        </w:rPr>
        <w:t>Zoonen</w:t>
      </w:r>
      <w:proofErr w:type="spellEnd"/>
      <w:r w:rsidR="007A5291" w:rsidRPr="006C6143">
        <w:rPr>
          <w:sz w:val="20"/>
          <w:szCs w:val="20"/>
        </w:rPr>
        <w:t xml:space="preserve">, ‘Data governance and citizen participation in the digital welfare state’ (2020) 2 </w:t>
      </w:r>
      <w:r w:rsidR="007A5291" w:rsidRPr="006C6143">
        <w:rPr>
          <w:i/>
          <w:sz w:val="20"/>
          <w:szCs w:val="20"/>
        </w:rPr>
        <w:t xml:space="preserve">Data &amp; Policy </w:t>
      </w:r>
      <w:r w:rsidR="007A5291" w:rsidRPr="006C6143">
        <w:rPr>
          <w:sz w:val="20"/>
          <w:szCs w:val="20"/>
        </w:rPr>
        <w:t>1</w:t>
      </w:r>
      <w:r w:rsidR="006A339C" w:rsidRPr="006C6143">
        <w:rPr>
          <w:sz w:val="20"/>
          <w:szCs w:val="20"/>
        </w:rPr>
        <w:t xml:space="preserve"> </w:t>
      </w:r>
      <w:r w:rsidR="007A5291" w:rsidRPr="006C6143">
        <w:rPr>
          <w:sz w:val="20"/>
          <w:szCs w:val="20"/>
        </w:rPr>
        <w:t xml:space="preserve">and </w:t>
      </w:r>
      <w:r w:rsidR="007A5291" w:rsidRPr="006C6143">
        <w:rPr>
          <w:rFonts w:eastAsiaTheme="minorHAnsi"/>
          <w:sz w:val="20"/>
          <w:szCs w:val="20"/>
          <w:lang w:eastAsia="en-US"/>
        </w:rPr>
        <w:t xml:space="preserve">M Kersing, L van </w:t>
      </w:r>
      <w:proofErr w:type="spellStart"/>
      <w:r w:rsidR="007A5291" w:rsidRPr="006C6143">
        <w:rPr>
          <w:rFonts w:eastAsiaTheme="minorHAnsi"/>
          <w:sz w:val="20"/>
          <w:szCs w:val="20"/>
          <w:lang w:eastAsia="en-US"/>
        </w:rPr>
        <w:t>Zoonen</w:t>
      </w:r>
      <w:proofErr w:type="spellEnd"/>
      <w:r w:rsidR="007A5291" w:rsidRPr="006C6143">
        <w:rPr>
          <w:rFonts w:eastAsiaTheme="minorHAnsi"/>
          <w:sz w:val="20"/>
          <w:szCs w:val="20"/>
          <w:lang w:eastAsia="en-US"/>
        </w:rPr>
        <w:t>, K Putters</w:t>
      </w:r>
      <w:r w:rsidR="00FC7CAD" w:rsidRPr="006C6143">
        <w:rPr>
          <w:rFonts w:eastAsiaTheme="minorHAnsi"/>
          <w:sz w:val="20"/>
          <w:szCs w:val="20"/>
          <w:lang w:eastAsia="en-US"/>
        </w:rPr>
        <w:t>, and</w:t>
      </w:r>
      <w:r w:rsidR="007A5291" w:rsidRPr="006C6143">
        <w:rPr>
          <w:rFonts w:eastAsiaTheme="minorHAnsi"/>
          <w:sz w:val="20"/>
          <w:szCs w:val="20"/>
          <w:lang w:eastAsia="en-US"/>
        </w:rPr>
        <w:t xml:space="preserve"> L </w:t>
      </w:r>
      <w:proofErr w:type="spellStart"/>
      <w:r w:rsidR="007A5291" w:rsidRPr="006C6143">
        <w:rPr>
          <w:rFonts w:eastAsiaTheme="minorHAnsi"/>
          <w:sz w:val="20"/>
          <w:szCs w:val="20"/>
          <w:lang w:eastAsia="en-US"/>
        </w:rPr>
        <w:t>Oldenhof</w:t>
      </w:r>
      <w:proofErr w:type="spellEnd"/>
      <w:r w:rsidR="007A5291" w:rsidRPr="006C6143">
        <w:rPr>
          <w:rFonts w:eastAsiaTheme="minorHAnsi"/>
          <w:sz w:val="20"/>
          <w:szCs w:val="20"/>
          <w:lang w:eastAsia="en-US"/>
        </w:rPr>
        <w:t xml:space="preserve">, </w:t>
      </w:r>
      <w:r w:rsidR="00FC7CAD" w:rsidRPr="006C6143">
        <w:rPr>
          <w:rFonts w:eastAsiaTheme="minorHAnsi"/>
          <w:sz w:val="20"/>
          <w:szCs w:val="20"/>
          <w:lang w:eastAsia="en-US"/>
        </w:rPr>
        <w:t>‘</w:t>
      </w:r>
      <w:r w:rsidR="007A5291" w:rsidRPr="006C6143">
        <w:rPr>
          <w:rFonts w:eastAsiaTheme="minorHAnsi"/>
          <w:sz w:val="20"/>
          <w:szCs w:val="20"/>
          <w:lang w:eastAsia="en-US"/>
        </w:rPr>
        <w:t>The changing roles of frontline bureaucrats in the digital welfare state</w:t>
      </w:r>
      <w:r w:rsidR="00FC7CAD" w:rsidRPr="006C6143">
        <w:rPr>
          <w:rFonts w:eastAsiaTheme="minorHAnsi"/>
          <w:sz w:val="20"/>
          <w:szCs w:val="20"/>
          <w:lang w:eastAsia="en-US"/>
        </w:rPr>
        <w:t>’</w:t>
      </w:r>
      <w:r w:rsidR="007A5291" w:rsidRPr="006C6143">
        <w:rPr>
          <w:rFonts w:eastAsiaTheme="minorHAnsi"/>
          <w:sz w:val="20"/>
          <w:szCs w:val="20"/>
          <w:lang w:eastAsia="en-US"/>
        </w:rPr>
        <w:t xml:space="preserve"> (2022) 4 </w:t>
      </w:r>
      <w:r w:rsidR="007A5291" w:rsidRPr="006C6143">
        <w:rPr>
          <w:rFonts w:eastAsiaTheme="minorHAnsi"/>
          <w:i/>
          <w:sz w:val="20"/>
          <w:szCs w:val="20"/>
          <w:lang w:eastAsia="en-US"/>
        </w:rPr>
        <w:t>Data &amp; Policy</w:t>
      </w:r>
      <w:r w:rsidR="007A5291" w:rsidRPr="006C6143">
        <w:rPr>
          <w:rFonts w:eastAsiaTheme="minorHAnsi"/>
          <w:sz w:val="20"/>
          <w:szCs w:val="20"/>
          <w:lang w:eastAsia="en-US"/>
        </w:rPr>
        <w:t xml:space="preserve"> 1</w:t>
      </w:r>
      <w:r w:rsidR="00FC7CAD" w:rsidRPr="006C6143">
        <w:rPr>
          <w:rFonts w:eastAsiaTheme="minorHAnsi"/>
          <w:sz w:val="20"/>
          <w:szCs w:val="20"/>
          <w:lang w:eastAsia="en-US"/>
        </w:rPr>
        <w:t>.</w:t>
      </w:r>
    </w:p>
  </w:footnote>
  <w:footnote w:id="6">
    <w:p w14:paraId="15939CF2" w14:textId="4EA02177"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For high-profile examples, see UN Speci</w:t>
      </w:r>
      <w:r w:rsidR="00605424" w:rsidRPr="006C6143">
        <w:rPr>
          <w:rFonts w:ascii="Times New Roman" w:hAnsi="Times New Roman" w:cs="Times New Roman"/>
        </w:rPr>
        <w:t>al</w:t>
      </w:r>
      <w:r w:rsidRPr="006C6143">
        <w:rPr>
          <w:rFonts w:ascii="Times New Roman" w:hAnsi="Times New Roman" w:cs="Times New Roman"/>
        </w:rPr>
        <w:t xml:space="preserve"> Rapporteur on Extreme Poverty, </w:t>
      </w:r>
      <w:r w:rsidRPr="006C6143">
        <w:rPr>
          <w:rFonts w:ascii="Times New Roman" w:hAnsi="Times New Roman" w:cs="Times New Roman"/>
          <w:i/>
          <w:iCs/>
        </w:rPr>
        <w:t>Digit</w:t>
      </w:r>
      <w:r w:rsidR="00605424" w:rsidRPr="006C6143">
        <w:rPr>
          <w:rFonts w:ascii="Times New Roman" w:hAnsi="Times New Roman" w:cs="Times New Roman"/>
          <w:i/>
          <w:iCs/>
        </w:rPr>
        <w:t>al</w:t>
      </w:r>
      <w:r w:rsidRPr="006C6143">
        <w:rPr>
          <w:rFonts w:ascii="Times New Roman" w:hAnsi="Times New Roman" w:cs="Times New Roman"/>
          <w:i/>
          <w:iCs/>
        </w:rPr>
        <w:t xml:space="preserve"> welfare states and human rights</w:t>
      </w:r>
      <w:r w:rsidRPr="006C6143">
        <w:rPr>
          <w:rFonts w:ascii="Times New Roman" w:hAnsi="Times New Roman" w:cs="Times New Roman"/>
        </w:rPr>
        <w:t xml:space="preserve"> (A/74/493, 2019); Human Rights Watch, </w:t>
      </w:r>
      <w:r w:rsidRPr="006C6143">
        <w:rPr>
          <w:rFonts w:ascii="Times New Roman" w:hAnsi="Times New Roman" w:cs="Times New Roman"/>
          <w:i/>
          <w:iCs/>
        </w:rPr>
        <w:t>Automated Hardship: How the Tech-Driven Overhaul of the UK’s Soci</w:t>
      </w:r>
      <w:r w:rsidR="00605424" w:rsidRPr="006C6143">
        <w:rPr>
          <w:rFonts w:ascii="Times New Roman" w:hAnsi="Times New Roman" w:cs="Times New Roman"/>
          <w:i/>
          <w:iCs/>
        </w:rPr>
        <w:t>al</w:t>
      </w:r>
      <w:r w:rsidRPr="006C6143">
        <w:rPr>
          <w:rFonts w:ascii="Times New Roman" w:hAnsi="Times New Roman" w:cs="Times New Roman"/>
          <w:i/>
          <w:iCs/>
        </w:rPr>
        <w:t xml:space="preserve"> Security System Worsens Poverty</w:t>
      </w:r>
      <w:r w:rsidRPr="006C6143">
        <w:rPr>
          <w:rFonts w:ascii="Times New Roman" w:hAnsi="Times New Roman" w:cs="Times New Roman"/>
        </w:rPr>
        <w:t xml:space="preserve"> (2020).</w:t>
      </w:r>
    </w:p>
  </w:footnote>
  <w:footnote w:id="7">
    <w:p w14:paraId="5AF8B67F" w14:textId="1099141B"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In the UK,</w:t>
      </w:r>
      <w:r w:rsidR="006A339C" w:rsidRPr="006C6143">
        <w:rPr>
          <w:rFonts w:ascii="Times New Roman" w:hAnsi="Times New Roman" w:cs="Times New Roman"/>
        </w:rPr>
        <w:t xml:space="preserve"> for instance,</w:t>
      </w:r>
      <w:r w:rsidRPr="006C6143">
        <w:rPr>
          <w:rFonts w:ascii="Times New Roman" w:hAnsi="Times New Roman" w:cs="Times New Roman"/>
        </w:rPr>
        <w:t xml:space="preserve"> both the Labour Party and the Conservative Party are committed to maintaining the Univers</w:t>
      </w:r>
      <w:r w:rsidR="00605424" w:rsidRPr="006C6143">
        <w:rPr>
          <w:rFonts w:ascii="Times New Roman" w:hAnsi="Times New Roman" w:cs="Times New Roman"/>
        </w:rPr>
        <w:t>al</w:t>
      </w:r>
      <w:r w:rsidRPr="006C6143">
        <w:rPr>
          <w:rFonts w:ascii="Times New Roman" w:hAnsi="Times New Roman" w:cs="Times New Roman"/>
        </w:rPr>
        <w:t xml:space="preserve"> Credit system.</w:t>
      </w:r>
    </w:p>
  </w:footnote>
  <w:footnote w:id="8">
    <w:p w14:paraId="5E72675E" w14:textId="5897DA66" w:rsidR="007C117A" w:rsidRPr="006C6143" w:rsidRDefault="007C117A"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J Millar and F Bennett, </w:t>
      </w:r>
      <w:r w:rsidR="006C6143" w:rsidRPr="006C6143">
        <w:rPr>
          <w:rFonts w:ascii="Times New Roman" w:hAnsi="Times New Roman" w:cs="Times New Roman"/>
        </w:rPr>
        <w:t>‘</w:t>
      </w:r>
      <w:r w:rsidRPr="006C6143">
        <w:rPr>
          <w:rFonts w:ascii="Times New Roman" w:hAnsi="Times New Roman" w:cs="Times New Roman"/>
        </w:rPr>
        <w:t xml:space="preserve">Universal Credit: Assumptions, Contradictions and Virtual Reality’ (2017) 16(2) </w:t>
      </w:r>
      <w:r w:rsidRPr="006C6143">
        <w:rPr>
          <w:rFonts w:ascii="Times New Roman" w:hAnsi="Times New Roman" w:cs="Times New Roman"/>
          <w:i/>
        </w:rPr>
        <w:t xml:space="preserve">Social Policy and Society </w:t>
      </w:r>
      <w:r w:rsidRPr="006C6143">
        <w:rPr>
          <w:rFonts w:ascii="Times New Roman" w:hAnsi="Times New Roman" w:cs="Times New Roman"/>
        </w:rPr>
        <w:t>169–182.</w:t>
      </w:r>
    </w:p>
  </w:footnote>
  <w:footnote w:id="9">
    <w:p w14:paraId="604CF27C" w14:textId="77823EE6" w:rsidR="004E6982" w:rsidRPr="006C6143" w:rsidRDefault="004E6982"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Department for Work and Pensions, ‘Stats-Explore’ (2023) at: </w:t>
      </w:r>
      <w:hyperlink r:id="rId1" w:history="1">
        <w:r w:rsidRPr="006C6143">
          <w:rPr>
            <w:rStyle w:val="Hyperlink"/>
            <w:rFonts w:ascii="Times New Roman" w:hAnsi="Times New Roman" w:cs="Times New Roman"/>
          </w:rPr>
          <w:t>https://stat-xplore.dwp.gov.uk/</w:t>
        </w:r>
      </w:hyperlink>
      <w:r w:rsidRPr="006C6143">
        <w:rPr>
          <w:rFonts w:ascii="Times New Roman" w:hAnsi="Times New Roman" w:cs="Times New Roman"/>
        </w:rPr>
        <w:t xml:space="preserve"> [accessed 4</w:t>
      </w:r>
      <w:r w:rsidRPr="006C6143">
        <w:rPr>
          <w:rFonts w:ascii="Times New Roman" w:hAnsi="Times New Roman" w:cs="Times New Roman"/>
          <w:vertAlign w:val="superscript"/>
        </w:rPr>
        <w:t>th</w:t>
      </w:r>
      <w:r w:rsidRPr="006C6143">
        <w:rPr>
          <w:rFonts w:ascii="Times New Roman" w:hAnsi="Times New Roman" w:cs="Times New Roman"/>
        </w:rPr>
        <w:t xml:space="preserve"> October 2023].</w:t>
      </w:r>
    </w:p>
  </w:footnote>
  <w:footnote w:id="10">
    <w:p w14:paraId="6AD7616D" w14:textId="27E5C268" w:rsidR="00666D24" w:rsidRPr="006C6143" w:rsidRDefault="00666D24"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For but a few examples of many, see B Lakhani, ‘Universal Credit: Will it work?’ (2012) 27(5) </w:t>
      </w:r>
      <w:r w:rsidRPr="006C6143">
        <w:rPr>
          <w:rFonts w:ascii="Times New Roman" w:hAnsi="Times New Roman" w:cs="Times New Roman"/>
          <w:i/>
        </w:rPr>
        <w:t xml:space="preserve">Local Economy </w:t>
      </w:r>
      <w:r w:rsidRPr="006C6143">
        <w:rPr>
          <w:rFonts w:ascii="Times New Roman" w:hAnsi="Times New Roman" w:cs="Times New Roman"/>
        </w:rPr>
        <w:t>455</w:t>
      </w:r>
      <w:r w:rsidR="006C6143" w:rsidRPr="006C6143">
        <w:rPr>
          <w:rFonts w:ascii="Times New Roman" w:hAnsi="Times New Roman" w:cs="Times New Roman"/>
        </w:rPr>
        <w:t>;</w:t>
      </w:r>
      <w:r w:rsidRPr="006C6143">
        <w:rPr>
          <w:rFonts w:ascii="Times New Roman" w:hAnsi="Times New Roman" w:cs="Times New Roman"/>
        </w:rPr>
        <w:t xml:space="preserve"> Millar and Bennett (n </w:t>
      </w:r>
      <w:r w:rsidRPr="006C6143">
        <w:rPr>
          <w:rFonts w:ascii="Times New Roman" w:hAnsi="Times New Roman" w:cs="Times New Roman"/>
        </w:rPr>
        <w:fldChar w:fldCharType="begin"/>
      </w:r>
      <w:r w:rsidRPr="006C6143">
        <w:rPr>
          <w:rFonts w:ascii="Times New Roman" w:hAnsi="Times New Roman" w:cs="Times New Roman"/>
        </w:rPr>
        <w:instrText xml:space="preserve"> NOTEREF _Ref147329106 \h </w:instrText>
      </w:r>
      <w:r w:rsidR="00C0149E" w:rsidRPr="006C6143">
        <w:rPr>
          <w:rFonts w:ascii="Times New Roman" w:hAnsi="Times New Roman" w:cs="Times New Roman"/>
        </w:rPr>
        <w:instrText xml:space="preserve"> \* MERGEFORMAT </w:instrText>
      </w:r>
      <w:r w:rsidRPr="006C6143">
        <w:rPr>
          <w:rFonts w:ascii="Times New Roman" w:hAnsi="Times New Roman" w:cs="Times New Roman"/>
        </w:rPr>
      </w:r>
      <w:r w:rsidRPr="006C6143">
        <w:rPr>
          <w:rFonts w:ascii="Times New Roman" w:hAnsi="Times New Roman" w:cs="Times New Roman"/>
        </w:rPr>
        <w:fldChar w:fldCharType="separate"/>
      </w:r>
      <w:r w:rsidR="00C227FD">
        <w:rPr>
          <w:rFonts w:ascii="Times New Roman" w:hAnsi="Times New Roman" w:cs="Times New Roman"/>
        </w:rPr>
        <w:t>5</w:t>
      </w:r>
      <w:r w:rsidRPr="006C6143">
        <w:rPr>
          <w:rFonts w:ascii="Times New Roman" w:hAnsi="Times New Roman" w:cs="Times New Roman"/>
        </w:rPr>
        <w:fldChar w:fldCharType="end"/>
      </w:r>
      <w:r w:rsidRPr="006C6143">
        <w:rPr>
          <w:rFonts w:ascii="Times New Roman" w:hAnsi="Times New Roman" w:cs="Times New Roman"/>
        </w:rPr>
        <w:t xml:space="preserve"> above)</w:t>
      </w:r>
      <w:r w:rsidR="006C6143" w:rsidRPr="006C6143">
        <w:rPr>
          <w:rFonts w:ascii="Times New Roman" w:hAnsi="Times New Roman" w:cs="Times New Roman"/>
        </w:rPr>
        <w:t xml:space="preserve">l </w:t>
      </w:r>
      <w:r w:rsidRPr="006C6143">
        <w:rPr>
          <w:rFonts w:ascii="Times New Roman" w:hAnsi="Times New Roman" w:cs="Times New Roman"/>
        </w:rPr>
        <w:t xml:space="preserve">S Wright and P Dwyer, ‘In-work Universal Credit: Claimant Experiences of Conditionality Mismatches and Counterproductive Benefit Sanctions’ (2022) 51(1) </w:t>
      </w:r>
      <w:r w:rsidRPr="006C6143">
        <w:rPr>
          <w:rFonts w:ascii="Times New Roman" w:hAnsi="Times New Roman" w:cs="Times New Roman"/>
          <w:i/>
        </w:rPr>
        <w:t xml:space="preserve">Journal of Social Policy </w:t>
      </w:r>
      <w:r w:rsidRPr="006C6143">
        <w:rPr>
          <w:rFonts w:ascii="Times New Roman" w:hAnsi="Times New Roman" w:cs="Times New Roman"/>
        </w:rPr>
        <w:t>20.</w:t>
      </w:r>
    </w:p>
  </w:footnote>
  <w:footnote w:id="11">
    <w:p w14:paraId="638DCAB4" w14:textId="1984BDC2" w:rsidR="00DB2BDD" w:rsidRPr="006C6143" w:rsidRDefault="00DB2BDD"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For a detailed analysis of these digital components, see: R Mears and S Howes, </w:t>
      </w:r>
      <w:r w:rsidRPr="006C6143">
        <w:rPr>
          <w:rFonts w:ascii="Times New Roman" w:hAnsi="Times New Roman" w:cs="Times New Roman"/>
          <w:i/>
          <w:iCs/>
        </w:rPr>
        <w:t xml:space="preserve">You Reap What You Code: </w:t>
      </w:r>
      <w:r w:rsidR="00C21A63" w:rsidRPr="006C6143">
        <w:rPr>
          <w:rFonts w:ascii="Times New Roman" w:hAnsi="Times New Roman" w:cs="Times New Roman"/>
          <w:i/>
          <w:iCs/>
        </w:rPr>
        <w:t>Universal C</w:t>
      </w:r>
      <w:r w:rsidRPr="006C6143">
        <w:rPr>
          <w:rFonts w:ascii="Times New Roman" w:hAnsi="Times New Roman" w:cs="Times New Roman"/>
          <w:i/>
          <w:iCs/>
        </w:rPr>
        <w:t xml:space="preserve">redit, </w:t>
      </w:r>
      <w:r w:rsidR="00C21A63" w:rsidRPr="006C6143">
        <w:rPr>
          <w:rFonts w:ascii="Times New Roman" w:hAnsi="Times New Roman" w:cs="Times New Roman"/>
          <w:i/>
          <w:iCs/>
        </w:rPr>
        <w:t>D</w:t>
      </w:r>
      <w:r w:rsidRPr="006C6143">
        <w:rPr>
          <w:rFonts w:ascii="Times New Roman" w:hAnsi="Times New Roman" w:cs="Times New Roman"/>
          <w:i/>
          <w:iCs/>
        </w:rPr>
        <w:t xml:space="preserve">igitalisation and the </w:t>
      </w:r>
      <w:r w:rsidR="00C21A63" w:rsidRPr="006C6143">
        <w:rPr>
          <w:rFonts w:ascii="Times New Roman" w:hAnsi="Times New Roman" w:cs="Times New Roman"/>
          <w:i/>
          <w:iCs/>
        </w:rPr>
        <w:t>R</w:t>
      </w:r>
      <w:r w:rsidRPr="006C6143">
        <w:rPr>
          <w:rFonts w:ascii="Times New Roman" w:hAnsi="Times New Roman" w:cs="Times New Roman"/>
          <w:i/>
          <w:iCs/>
        </w:rPr>
        <w:t xml:space="preserve">ule of </w:t>
      </w:r>
      <w:r w:rsidR="00C21A63" w:rsidRPr="006C6143">
        <w:rPr>
          <w:rFonts w:ascii="Times New Roman" w:hAnsi="Times New Roman" w:cs="Times New Roman"/>
          <w:i/>
          <w:iCs/>
        </w:rPr>
        <w:t>L</w:t>
      </w:r>
      <w:r w:rsidRPr="006C6143">
        <w:rPr>
          <w:rFonts w:ascii="Times New Roman" w:hAnsi="Times New Roman" w:cs="Times New Roman"/>
          <w:i/>
          <w:iCs/>
        </w:rPr>
        <w:t>aw</w:t>
      </w:r>
      <w:r w:rsidR="006C6143" w:rsidRPr="006C6143">
        <w:rPr>
          <w:rFonts w:ascii="Times New Roman" w:hAnsi="Times New Roman" w:cs="Times New Roman"/>
        </w:rPr>
        <w:t xml:space="preserve"> </w:t>
      </w:r>
      <w:r w:rsidR="00C21A63" w:rsidRPr="006C6143">
        <w:rPr>
          <w:rFonts w:ascii="Times New Roman" w:hAnsi="Times New Roman" w:cs="Times New Roman"/>
        </w:rPr>
        <w:t xml:space="preserve">(Child Poverty Action Group, 2023) at: </w:t>
      </w:r>
      <w:hyperlink r:id="rId2" w:history="1">
        <w:r w:rsidR="00C21A63" w:rsidRPr="006C6143">
          <w:rPr>
            <w:rStyle w:val="Hyperlink"/>
            <w:rFonts w:ascii="Times New Roman" w:hAnsi="Times New Roman" w:cs="Times New Roman"/>
          </w:rPr>
          <w:t>https://cpag.org.uk/sites/default/files/files/policypost/You_Reap_What_You_Code.pdf</w:t>
        </w:r>
      </w:hyperlink>
      <w:r w:rsidR="00C21A63" w:rsidRPr="006C6143">
        <w:rPr>
          <w:rFonts w:ascii="Times New Roman" w:hAnsi="Times New Roman" w:cs="Times New Roman"/>
        </w:rPr>
        <w:t xml:space="preserve"> [accessed 4th October 2023].</w:t>
      </w:r>
    </w:p>
  </w:footnote>
  <w:footnote w:id="12">
    <w:p w14:paraId="68EC80A1" w14:textId="05CF1CA8" w:rsidR="00CD3275" w:rsidRPr="006C6143" w:rsidRDefault="00CD3275"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D Edmiston, D Robertshaw, D Young, J Ingold, A Gibbons, K Summers, L Scullion, B </w:t>
      </w:r>
      <w:proofErr w:type="spellStart"/>
      <w:r w:rsidRPr="006C6143">
        <w:rPr>
          <w:rFonts w:ascii="Times New Roman" w:hAnsi="Times New Roman" w:cs="Times New Roman"/>
        </w:rPr>
        <w:t>Baumberg</w:t>
      </w:r>
      <w:proofErr w:type="spellEnd"/>
      <w:r w:rsidRPr="006C6143">
        <w:rPr>
          <w:rFonts w:ascii="Times New Roman" w:hAnsi="Times New Roman" w:cs="Times New Roman"/>
        </w:rPr>
        <w:t xml:space="preserve"> Geiger</w:t>
      </w:r>
      <w:r w:rsidR="006C6143" w:rsidRPr="006C6143">
        <w:rPr>
          <w:rFonts w:ascii="Times New Roman" w:hAnsi="Times New Roman" w:cs="Times New Roman"/>
        </w:rPr>
        <w:t xml:space="preserve"> and</w:t>
      </w:r>
      <w:r w:rsidRPr="006C6143">
        <w:rPr>
          <w:rFonts w:ascii="Times New Roman" w:hAnsi="Times New Roman" w:cs="Times New Roman"/>
        </w:rPr>
        <w:t xml:space="preserve"> R de Vries, ‘</w:t>
      </w:r>
      <w:r w:rsidR="00B569F0" w:rsidRPr="006C6143">
        <w:rPr>
          <w:rFonts w:ascii="Times New Roman" w:hAnsi="Times New Roman" w:cs="Times New Roman"/>
        </w:rPr>
        <w:t>Mediating the claim? How</w:t>
      </w:r>
      <w:r w:rsidR="003D5016" w:rsidRPr="006C6143">
        <w:rPr>
          <w:rFonts w:ascii="Times New Roman" w:hAnsi="Times New Roman" w:cs="Times New Roman"/>
        </w:rPr>
        <w:t xml:space="preserve"> </w:t>
      </w:r>
      <w:r w:rsidR="00B569F0" w:rsidRPr="006C6143">
        <w:rPr>
          <w:rFonts w:ascii="Times New Roman" w:hAnsi="Times New Roman" w:cs="Times New Roman"/>
        </w:rPr>
        <w:t>‘local ecosystems</w:t>
      </w:r>
      <w:r w:rsidR="003D5016" w:rsidRPr="006C6143">
        <w:rPr>
          <w:rFonts w:ascii="Times New Roman" w:hAnsi="Times New Roman" w:cs="Times New Roman"/>
        </w:rPr>
        <w:t xml:space="preserve"> </w:t>
      </w:r>
      <w:r w:rsidR="00B569F0" w:rsidRPr="006C6143">
        <w:rPr>
          <w:rFonts w:ascii="Times New Roman" w:hAnsi="Times New Roman" w:cs="Times New Roman"/>
        </w:rPr>
        <w:t>of support’</w:t>
      </w:r>
      <w:r w:rsidR="003D5016" w:rsidRPr="006C6143">
        <w:rPr>
          <w:rFonts w:ascii="Times New Roman" w:hAnsi="Times New Roman" w:cs="Times New Roman"/>
        </w:rPr>
        <w:t xml:space="preserve"> </w:t>
      </w:r>
      <w:r w:rsidR="00B569F0" w:rsidRPr="006C6143">
        <w:rPr>
          <w:rFonts w:ascii="Times New Roman" w:hAnsi="Times New Roman" w:cs="Times New Roman"/>
        </w:rPr>
        <w:t xml:space="preserve">shape the operation and experience of UK social security’ (2022) 56(5) </w:t>
      </w:r>
      <w:r w:rsidR="00B569F0" w:rsidRPr="006C6143">
        <w:rPr>
          <w:rFonts w:ascii="Times New Roman" w:hAnsi="Times New Roman" w:cs="Times New Roman"/>
          <w:i/>
        </w:rPr>
        <w:t xml:space="preserve">Social Policy &amp; Administration </w:t>
      </w:r>
      <w:r w:rsidR="003D5016" w:rsidRPr="006C6143">
        <w:rPr>
          <w:rFonts w:ascii="Times New Roman" w:hAnsi="Times New Roman" w:cs="Times New Roman"/>
        </w:rPr>
        <w:t>693</w:t>
      </w:r>
      <w:r w:rsidR="001D131C" w:rsidRPr="006C6143">
        <w:rPr>
          <w:rFonts w:ascii="Times New Roman" w:hAnsi="Times New Roman" w:cs="Times New Roman"/>
        </w:rPr>
        <w:t>, 786-787.</w:t>
      </w:r>
    </w:p>
  </w:footnote>
  <w:footnote w:id="13">
    <w:p w14:paraId="7B98F14F" w14:textId="6584D624"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The foundation</w:t>
      </w:r>
      <w:r w:rsidR="00605424" w:rsidRPr="006C6143">
        <w:rPr>
          <w:rFonts w:ascii="Times New Roman" w:hAnsi="Times New Roman" w:cs="Times New Roman"/>
        </w:rPr>
        <w:t>al</w:t>
      </w:r>
      <w:r w:rsidRPr="006C6143">
        <w:rPr>
          <w:rFonts w:ascii="Times New Roman" w:hAnsi="Times New Roman" w:cs="Times New Roman"/>
        </w:rPr>
        <w:t xml:space="preserve"> text in the field of administrative justice, which was </w:t>
      </w:r>
      <w:r w:rsidR="00C77D6D" w:rsidRPr="006C6143">
        <w:rPr>
          <w:rFonts w:ascii="Times New Roman" w:hAnsi="Times New Roman" w:cs="Times New Roman"/>
        </w:rPr>
        <w:t>a</w:t>
      </w:r>
      <w:r w:rsidR="00605424" w:rsidRPr="006C6143">
        <w:rPr>
          <w:rFonts w:ascii="Times New Roman" w:hAnsi="Times New Roman" w:cs="Times New Roman"/>
        </w:rPr>
        <w:t>l</w:t>
      </w:r>
      <w:r w:rsidRPr="006C6143">
        <w:rPr>
          <w:rFonts w:ascii="Times New Roman" w:hAnsi="Times New Roman" w:cs="Times New Roman"/>
        </w:rPr>
        <w:t>so built out of a study of soci</w:t>
      </w:r>
      <w:r w:rsidR="00605424" w:rsidRPr="006C6143">
        <w:rPr>
          <w:rFonts w:ascii="Times New Roman" w:hAnsi="Times New Roman" w:cs="Times New Roman"/>
        </w:rPr>
        <w:t>al</w:t>
      </w:r>
      <w:r w:rsidRPr="006C6143">
        <w:rPr>
          <w:rFonts w:ascii="Times New Roman" w:hAnsi="Times New Roman" w:cs="Times New Roman"/>
        </w:rPr>
        <w:t xml:space="preserve"> security provision, was based on </w:t>
      </w:r>
      <w:r w:rsidR="00FC7CAD" w:rsidRPr="006C6143">
        <w:rPr>
          <w:rFonts w:ascii="Times New Roman" w:hAnsi="Times New Roman" w:cs="Times New Roman"/>
        </w:rPr>
        <w:t xml:space="preserve">what can be described as </w:t>
      </w:r>
      <w:r w:rsidR="006A339C" w:rsidRPr="006C6143">
        <w:rPr>
          <w:rFonts w:ascii="Times New Roman" w:hAnsi="Times New Roman" w:cs="Times New Roman"/>
        </w:rPr>
        <w:t>‘</w:t>
      </w:r>
      <w:r w:rsidRPr="006C6143">
        <w:rPr>
          <w:rFonts w:ascii="Times New Roman" w:hAnsi="Times New Roman" w:cs="Times New Roman"/>
        </w:rPr>
        <w:t>pre-digit</w:t>
      </w:r>
      <w:r w:rsidR="00605424" w:rsidRPr="006C6143">
        <w:rPr>
          <w:rFonts w:ascii="Times New Roman" w:hAnsi="Times New Roman" w:cs="Times New Roman"/>
        </w:rPr>
        <w:t>al</w:t>
      </w:r>
      <w:r w:rsidR="006A339C" w:rsidRPr="006C6143">
        <w:rPr>
          <w:rFonts w:ascii="Times New Roman" w:hAnsi="Times New Roman" w:cs="Times New Roman"/>
        </w:rPr>
        <w:t>’</w:t>
      </w:r>
      <w:r w:rsidRPr="006C6143">
        <w:rPr>
          <w:rFonts w:ascii="Times New Roman" w:hAnsi="Times New Roman" w:cs="Times New Roman"/>
        </w:rPr>
        <w:t xml:space="preserve"> administration, see J Mashaw, </w:t>
      </w:r>
      <w:r w:rsidRPr="006C6143">
        <w:rPr>
          <w:rFonts w:ascii="Times New Roman" w:hAnsi="Times New Roman" w:cs="Times New Roman"/>
          <w:i/>
          <w:iCs/>
        </w:rPr>
        <w:t>Bureaucratic Justice: Managing Soci</w:t>
      </w:r>
      <w:r w:rsidR="00605424" w:rsidRPr="006C6143">
        <w:rPr>
          <w:rFonts w:ascii="Times New Roman" w:hAnsi="Times New Roman" w:cs="Times New Roman"/>
          <w:i/>
          <w:iCs/>
        </w:rPr>
        <w:t>al</w:t>
      </w:r>
      <w:r w:rsidRPr="006C6143">
        <w:rPr>
          <w:rFonts w:ascii="Times New Roman" w:hAnsi="Times New Roman" w:cs="Times New Roman"/>
          <w:i/>
          <w:iCs/>
        </w:rPr>
        <w:t xml:space="preserve"> Security Disability Claims</w:t>
      </w:r>
      <w:r w:rsidRPr="006C6143">
        <w:rPr>
          <w:rFonts w:ascii="Times New Roman" w:hAnsi="Times New Roman" w:cs="Times New Roman"/>
        </w:rPr>
        <w:t xml:space="preserve"> (Y</w:t>
      </w:r>
      <w:r w:rsidR="00605424" w:rsidRPr="006C6143">
        <w:rPr>
          <w:rFonts w:ascii="Times New Roman" w:hAnsi="Times New Roman" w:cs="Times New Roman"/>
        </w:rPr>
        <w:t>al</w:t>
      </w:r>
      <w:r w:rsidRPr="006C6143">
        <w:rPr>
          <w:rFonts w:ascii="Times New Roman" w:hAnsi="Times New Roman" w:cs="Times New Roman"/>
        </w:rPr>
        <w:t>e University Press 1983).</w:t>
      </w:r>
    </w:p>
  </w:footnote>
  <w:footnote w:id="14">
    <w:p w14:paraId="6723A4DA" w14:textId="4CA1267E"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001D131C" w:rsidRPr="006C6143">
        <w:rPr>
          <w:rFonts w:ascii="Times New Roman" w:hAnsi="Times New Roman" w:cs="Times New Roman"/>
        </w:rPr>
        <w:t xml:space="preserve"> Ibid.</w:t>
      </w:r>
      <w:r w:rsidR="00FC7CAD" w:rsidRPr="006C6143">
        <w:rPr>
          <w:rFonts w:ascii="Times New Roman" w:hAnsi="Times New Roman" w:cs="Times New Roman"/>
        </w:rPr>
        <w:t xml:space="preserve"> See also N. Harris, </w:t>
      </w:r>
      <w:r w:rsidR="00FC7CAD" w:rsidRPr="006C6143">
        <w:rPr>
          <w:rFonts w:ascii="Times New Roman" w:hAnsi="Times New Roman" w:cs="Times New Roman"/>
          <w:i/>
          <w:iCs/>
        </w:rPr>
        <w:t>Law in a Complex State: Complexity in the Law and Structure</w:t>
      </w:r>
      <w:r w:rsidR="00FC7CAD" w:rsidRPr="006C6143">
        <w:rPr>
          <w:rFonts w:ascii="Times New Roman" w:hAnsi="Times New Roman" w:cs="Times New Roman"/>
        </w:rPr>
        <w:t xml:space="preserve"> (Hart 2013), 240-241.</w:t>
      </w:r>
    </w:p>
  </w:footnote>
  <w:footnote w:id="15">
    <w:p w14:paraId="19EED0AC" w14:textId="52FCC1CD"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w:t>
      </w:r>
      <w:r w:rsidR="00605424" w:rsidRPr="006C6143">
        <w:rPr>
          <w:rFonts w:ascii="Times New Roman" w:hAnsi="Times New Roman" w:cs="Times New Roman"/>
        </w:rPr>
        <w:t>Al</w:t>
      </w:r>
      <w:r w:rsidRPr="006C6143">
        <w:rPr>
          <w:rFonts w:ascii="Times New Roman" w:hAnsi="Times New Roman" w:cs="Times New Roman"/>
        </w:rPr>
        <w:t>l interviews were recorded, transcribed, and an</w:t>
      </w:r>
      <w:r w:rsidR="00605424" w:rsidRPr="006C6143">
        <w:rPr>
          <w:rFonts w:ascii="Times New Roman" w:hAnsi="Times New Roman" w:cs="Times New Roman"/>
        </w:rPr>
        <w:t>al</w:t>
      </w:r>
      <w:r w:rsidRPr="006C6143">
        <w:rPr>
          <w:rFonts w:ascii="Times New Roman" w:hAnsi="Times New Roman" w:cs="Times New Roman"/>
        </w:rPr>
        <w:t>ysed. The research received full ethic</w:t>
      </w:r>
      <w:r w:rsidR="00605424" w:rsidRPr="006C6143">
        <w:rPr>
          <w:rFonts w:ascii="Times New Roman" w:hAnsi="Times New Roman" w:cs="Times New Roman"/>
        </w:rPr>
        <w:t>al</w:t>
      </w:r>
      <w:r w:rsidRPr="006C6143">
        <w:rPr>
          <w:rFonts w:ascii="Times New Roman" w:hAnsi="Times New Roman" w:cs="Times New Roman"/>
        </w:rPr>
        <w:t xml:space="preserve"> approv</w:t>
      </w:r>
      <w:r w:rsidR="00605424" w:rsidRPr="006C6143">
        <w:rPr>
          <w:rFonts w:ascii="Times New Roman" w:hAnsi="Times New Roman" w:cs="Times New Roman"/>
        </w:rPr>
        <w:t>al</w:t>
      </w:r>
      <w:r w:rsidRPr="006C6143">
        <w:rPr>
          <w:rFonts w:ascii="Times New Roman" w:hAnsi="Times New Roman" w:cs="Times New Roman"/>
        </w:rPr>
        <w:t xml:space="preserve"> from the Economics, Law, Management, Politics and Sociology ethics committee at the University of York.</w:t>
      </w:r>
    </w:p>
  </w:footnote>
  <w:footnote w:id="16">
    <w:p w14:paraId="76E3E979" w14:textId="77777777" w:rsidR="00037206" w:rsidRPr="006C6143" w:rsidRDefault="00037206"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For examples of other qualitative studies, see M Cheetham, S Moffatt, M Addison, and A Wiseman, ‘Impact of Universal Credit in North East England: a qualitative study of claimants and support staff’ (2019) 9 </w:t>
      </w:r>
      <w:r w:rsidRPr="006C6143">
        <w:rPr>
          <w:rFonts w:ascii="Times New Roman" w:hAnsi="Times New Roman" w:cs="Times New Roman"/>
          <w:i/>
        </w:rPr>
        <w:t>BMJ Open</w:t>
      </w:r>
      <w:r w:rsidRPr="006C6143">
        <w:rPr>
          <w:rFonts w:ascii="Times New Roman" w:hAnsi="Times New Roman" w:cs="Times New Roman"/>
        </w:rPr>
        <w:t xml:space="preserve"> 1; S Wright, P Dwyer, K Jones, J McNeill, L Scullion, and A Stewart, </w:t>
      </w:r>
      <w:r w:rsidRPr="006C6143">
        <w:rPr>
          <w:rFonts w:ascii="Times New Roman" w:hAnsi="Times New Roman" w:cs="Times New Roman"/>
          <w:i/>
          <w:iCs/>
        </w:rPr>
        <w:t>Final findings: Universal Credit</w:t>
      </w:r>
      <w:r w:rsidRPr="006C6143">
        <w:rPr>
          <w:rFonts w:ascii="Times New Roman" w:hAnsi="Times New Roman" w:cs="Times New Roman"/>
        </w:rPr>
        <w:t xml:space="preserve"> (2018) &lt;</w:t>
      </w:r>
      <w:hyperlink r:id="rId3" w:history="1">
        <w:r w:rsidRPr="006C6143">
          <w:rPr>
            <w:rStyle w:val="Hyperlink"/>
            <w:rFonts w:ascii="Times New Roman" w:hAnsi="Times New Roman" w:cs="Times New Roman"/>
          </w:rPr>
          <w:t>http://www.welfareconditionality.ac.uk/wp-content/uploads/2018/05/40414-Universal-Credit-web.pdf</w:t>
        </w:r>
      </w:hyperlink>
      <w:r w:rsidRPr="006C6143">
        <w:rPr>
          <w:rFonts w:ascii="Times New Roman" w:hAnsi="Times New Roman" w:cs="Times New Roman"/>
        </w:rPr>
        <w:t>&gt; [accessed 9th July 2023].</w:t>
      </w:r>
    </w:p>
  </w:footnote>
  <w:footnote w:id="17">
    <w:p w14:paraId="1D0D833A" w14:textId="25C5442E"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Offici</w:t>
      </w:r>
      <w:r w:rsidR="00605424" w:rsidRPr="006C6143">
        <w:rPr>
          <w:rFonts w:ascii="Times New Roman" w:hAnsi="Times New Roman" w:cs="Times New Roman"/>
        </w:rPr>
        <w:t>al</w:t>
      </w:r>
      <w:r w:rsidR="00FC7CAD" w:rsidRPr="006C6143">
        <w:rPr>
          <w:rFonts w:ascii="Times New Roman" w:hAnsi="Times New Roman" w:cs="Times New Roman"/>
        </w:rPr>
        <w:t xml:space="preserve"> Interview</w:t>
      </w:r>
      <w:r w:rsidRPr="006C6143">
        <w:rPr>
          <w:rFonts w:ascii="Times New Roman" w:hAnsi="Times New Roman" w:cs="Times New Roman"/>
        </w:rPr>
        <w:t xml:space="preserve"> 6.</w:t>
      </w:r>
    </w:p>
  </w:footnote>
  <w:footnote w:id="18">
    <w:p w14:paraId="3CCB0743" w14:textId="13B3D406"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Offici</w:t>
      </w:r>
      <w:r w:rsidR="00605424" w:rsidRPr="006C6143">
        <w:rPr>
          <w:rFonts w:ascii="Times New Roman" w:hAnsi="Times New Roman" w:cs="Times New Roman"/>
        </w:rPr>
        <w:t>al</w:t>
      </w:r>
      <w:r w:rsidR="00FC7CAD" w:rsidRPr="006C6143">
        <w:rPr>
          <w:rFonts w:ascii="Times New Roman" w:hAnsi="Times New Roman" w:cs="Times New Roman"/>
        </w:rPr>
        <w:t xml:space="preserve"> Interview</w:t>
      </w:r>
      <w:r w:rsidRPr="006C6143">
        <w:rPr>
          <w:rFonts w:ascii="Times New Roman" w:hAnsi="Times New Roman" w:cs="Times New Roman"/>
        </w:rPr>
        <w:t xml:space="preserve"> 1.</w:t>
      </w:r>
    </w:p>
  </w:footnote>
  <w:footnote w:id="19">
    <w:p w14:paraId="19B2361B" w14:textId="2374E31E"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Offici</w:t>
      </w:r>
      <w:r w:rsidR="00605424" w:rsidRPr="006C6143">
        <w:rPr>
          <w:rFonts w:ascii="Times New Roman" w:hAnsi="Times New Roman" w:cs="Times New Roman"/>
        </w:rPr>
        <w:t>al</w:t>
      </w:r>
      <w:r w:rsidR="00FC7CAD" w:rsidRPr="006C6143">
        <w:rPr>
          <w:rFonts w:ascii="Times New Roman" w:hAnsi="Times New Roman" w:cs="Times New Roman"/>
        </w:rPr>
        <w:t xml:space="preserve"> Interview</w:t>
      </w:r>
      <w:r w:rsidRPr="006C6143">
        <w:rPr>
          <w:rFonts w:ascii="Times New Roman" w:hAnsi="Times New Roman" w:cs="Times New Roman"/>
        </w:rPr>
        <w:t xml:space="preserve"> 2.</w:t>
      </w:r>
    </w:p>
  </w:footnote>
  <w:footnote w:id="20">
    <w:p w14:paraId="63ADCBF5" w14:textId="01F4C212"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Offici</w:t>
      </w:r>
      <w:r w:rsidR="00605424" w:rsidRPr="006C6143">
        <w:rPr>
          <w:rFonts w:ascii="Times New Roman" w:hAnsi="Times New Roman" w:cs="Times New Roman"/>
        </w:rPr>
        <w:t>al</w:t>
      </w:r>
      <w:r w:rsidR="00FC7CAD" w:rsidRPr="006C6143">
        <w:rPr>
          <w:rFonts w:ascii="Times New Roman" w:hAnsi="Times New Roman" w:cs="Times New Roman"/>
        </w:rPr>
        <w:t xml:space="preserve"> Interview</w:t>
      </w:r>
      <w:r w:rsidRPr="006C6143">
        <w:rPr>
          <w:rFonts w:ascii="Times New Roman" w:hAnsi="Times New Roman" w:cs="Times New Roman"/>
        </w:rPr>
        <w:t xml:space="preserve"> 2.</w:t>
      </w:r>
    </w:p>
  </w:footnote>
  <w:footnote w:id="21">
    <w:p w14:paraId="086D5297" w14:textId="32A2F177"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Offici</w:t>
      </w:r>
      <w:r w:rsidR="00605424" w:rsidRPr="006C6143">
        <w:rPr>
          <w:rFonts w:ascii="Times New Roman" w:hAnsi="Times New Roman" w:cs="Times New Roman"/>
        </w:rPr>
        <w:t>al</w:t>
      </w:r>
      <w:r w:rsidR="00FC7CAD" w:rsidRPr="006C6143">
        <w:rPr>
          <w:rFonts w:ascii="Times New Roman" w:hAnsi="Times New Roman" w:cs="Times New Roman"/>
        </w:rPr>
        <w:t xml:space="preserve"> Interview</w:t>
      </w:r>
      <w:r w:rsidRPr="006C6143">
        <w:rPr>
          <w:rFonts w:ascii="Times New Roman" w:hAnsi="Times New Roman" w:cs="Times New Roman"/>
        </w:rPr>
        <w:t xml:space="preserve"> 3.</w:t>
      </w:r>
    </w:p>
  </w:footnote>
  <w:footnote w:id="22">
    <w:p w14:paraId="5060962E" w14:textId="5F30DA0A"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Offici</w:t>
      </w:r>
      <w:r w:rsidR="00605424" w:rsidRPr="006C6143">
        <w:rPr>
          <w:rFonts w:ascii="Times New Roman" w:hAnsi="Times New Roman" w:cs="Times New Roman"/>
        </w:rPr>
        <w:t>al</w:t>
      </w:r>
      <w:r w:rsidR="00FC7CAD" w:rsidRPr="006C6143">
        <w:rPr>
          <w:rFonts w:ascii="Times New Roman" w:hAnsi="Times New Roman" w:cs="Times New Roman"/>
        </w:rPr>
        <w:t xml:space="preserve"> Interview</w:t>
      </w:r>
      <w:r w:rsidRPr="006C6143">
        <w:rPr>
          <w:rFonts w:ascii="Times New Roman" w:hAnsi="Times New Roman" w:cs="Times New Roman"/>
        </w:rPr>
        <w:t xml:space="preserve"> 6.</w:t>
      </w:r>
    </w:p>
  </w:footnote>
  <w:footnote w:id="23">
    <w:p w14:paraId="07C17F77" w14:textId="05B8A88C"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Offici</w:t>
      </w:r>
      <w:r w:rsidR="00605424" w:rsidRPr="006C6143">
        <w:rPr>
          <w:rFonts w:ascii="Times New Roman" w:hAnsi="Times New Roman" w:cs="Times New Roman"/>
        </w:rPr>
        <w:t>al</w:t>
      </w:r>
      <w:r w:rsidR="00FC7CAD" w:rsidRPr="006C6143">
        <w:rPr>
          <w:rFonts w:ascii="Times New Roman" w:hAnsi="Times New Roman" w:cs="Times New Roman"/>
        </w:rPr>
        <w:t xml:space="preserve"> Interview</w:t>
      </w:r>
      <w:r w:rsidRPr="006C6143">
        <w:rPr>
          <w:rFonts w:ascii="Times New Roman" w:hAnsi="Times New Roman" w:cs="Times New Roman"/>
        </w:rPr>
        <w:t xml:space="preserve"> 2.</w:t>
      </w:r>
    </w:p>
  </w:footnote>
  <w:footnote w:id="24">
    <w:p w14:paraId="71E5CF7D" w14:textId="71CFD76E"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Offici</w:t>
      </w:r>
      <w:r w:rsidR="00605424" w:rsidRPr="006C6143">
        <w:rPr>
          <w:rFonts w:ascii="Times New Roman" w:hAnsi="Times New Roman" w:cs="Times New Roman"/>
        </w:rPr>
        <w:t>al</w:t>
      </w:r>
      <w:r w:rsidR="00FC7CAD" w:rsidRPr="006C6143">
        <w:rPr>
          <w:rFonts w:ascii="Times New Roman" w:hAnsi="Times New Roman" w:cs="Times New Roman"/>
        </w:rPr>
        <w:t xml:space="preserve"> Interview</w:t>
      </w:r>
      <w:r w:rsidRPr="006C6143">
        <w:rPr>
          <w:rFonts w:ascii="Times New Roman" w:hAnsi="Times New Roman" w:cs="Times New Roman"/>
        </w:rPr>
        <w:t xml:space="preserve"> 6. This is a well-established benchmark in user experience research. For instance, the Flesch-Kincaid formula–a widely adopted</w:t>
      </w:r>
      <w:r w:rsidR="00D65733" w:rsidRPr="006C6143">
        <w:rPr>
          <w:rFonts w:ascii="Times New Roman" w:hAnsi="Times New Roman" w:cs="Times New Roman"/>
        </w:rPr>
        <w:t xml:space="preserve"> framework for testing the</w:t>
      </w:r>
      <w:r w:rsidRPr="006C6143">
        <w:rPr>
          <w:rFonts w:ascii="Times New Roman" w:hAnsi="Times New Roman" w:cs="Times New Roman"/>
        </w:rPr>
        <w:t xml:space="preserve"> readability </w:t>
      </w:r>
      <w:r w:rsidR="00D65733" w:rsidRPr="006C6143">
        <w:rPr>
          <w:rFonts w:ascii="Times New Roman" w:hAnsi="Times New Roman" w:cs="Times New Roman"/>
        </w:rPr>
        <w:t>of text</w:t>
      </w:r>
      <w:r w:rsidRPr="006C6143">
        <w:rPr>
          <w:rFonts w:ascii="Times New Roman" w:hAnsi="Times New Roman" w:cs="Times New Roman"/>
        </w:rPr>
        <w:t xml:space="preserve"> – </w:t>
      </w:r>
      <w:r w:rsidR="00D65733" w:rsidRPr="006C6143">
        <w:rPr>
          <w:rFonts w:ascii="Times New Roman" w:hAnsi="Times New Roman" w:cs="Times New Roman"/>
        </w:rPr>
        <w:t>provides scores that map onto</w:t>
      </w:r>
      <w:r w:rsidRPr="006C6143">
        <w:rPr>
          <w:rFonts w:ascii="Times New Roman" w:hAnsi="Times New Roman" w:cs="Times New Roman"/>
        </w:rPr>
        <w:t xml:space="preserve"> </w:t>
      </w:r>
      <w:r w:rsidR="003E53EE" w:rsidRPr="006C6143">
        <w:rPr>
          <w:rFonts w:ascii="Times New Roman" w:hAnsi="Times New Roman" w:cs="Times New Roman"/>
        </w:rPr>
        <w:t>US school grades. The highest score, indicating the easiest text to understand,</w:t>
      </w:r>
      <w:r w:rsidR="00D65733" w:rsidRPr="006C6143">
        <w:rPr>
          <w:rFonts w:ascii="Times New Roman" w:hAnsi="Times New Roman" w:cs="Times New Roman"/>
        </w:rPr>
        <w:t xml:space="preserve"> is characterised as being accessible to</w:t>
      </w:r>
      <w:r w:rsidR="003E53EE" w:rsidRPr="006C6143">
        <w:rPr>
          <w:rFonts w:ascii="Times New Roman" w:hAnsi="Times New Roman" w:cs="Times New Roman"/>
        </w:rPr>
        <w:t xml:space="preserve"> fifth grade</w:t>
      </w:r>
      <w:r w:rsidR="00D65733" w:rsidRPr="006C6143">
        <w:rPr>
          <w:rFonts w:ascii="Times New Roman" w:hAnsi="Times New Roman" w:cs="Times New Roman"/>
        </w:rPr>
        <w:t>r</w:t>
      </w:r>
      <w:r w:rsidR="00FC7CAD" w:rsidRPr="006C6143">
        <w:rPr>
          <w:rFonts w:ascii="Times New Roman" w:hAnsi="Times New Roman" w:cs="Times New Roman"/>
        </w:rPr>
        <w:t xml:space="preserve">s, which is </w:t>
      </w:r>
      <w:r w:rsidR="003E53EE" w:rsidRPr="006C6143">
        <w:rPr>
          <w:rFonts w:ascii="Times New Roman" w:hAnsi="Times New Roman" w:cs="Times New Roman"/>
        </w:rPr>
        <w:t>equiv</w:t>
      </w:r>
      <w:r w:rsidR="00605424" w:rsidRPr="006C6143">
        <w:rPr>
          <w:rFonts w:ascii="Times New Roman" w:hAnsi="Times New Roman" w:cs="Times New Roman"/>
        </w:rPr>
        <w:t>al</w:t>
      </w:r>
      <w:r w:rsidR="003E53EE" w:rsidRPr="006C6143">
        <w:rPr>
          <w:rFonts w:ascii="Times New Roman" w:hAnsi="Times New Roman" w:cs="Times New Roman"/>
        </w:rPr>
        <w:t xml:space="preserve">ent to </w:t>
      </w:r>
      <w:r w:rsidR="00FC7CAD" w:rsidRPr="006C6143">
        <w:rPr>
          <w:rFonts w:ascii="Times New Roman" w:hAnsi="Times New Roman" w:cs="Times New Roman"/>
        </w:rPr>
        <w:t>9-year-olds</w:t>
      </w:r>
      <w:r w:rsidR="003E53EE" w:rsidRPr="006C6143">
        <w:rPr>
          <w:rFonts w:ascii="Times New Roman" w:hAnsi="Times New Roman" w:cs="Times New Roman"/>
        </w:rPr>
        <w:t>. For an</w:t>
      </w:r>
      <w:r w:rsidR="00605424" w:rsidRPr="006C6143">
        <w:rPr>
          <w:rFonts w:ascii="Times New Roman" w:hAnsi="Times New Roman" w:cs="Times New Roman"/>
        </w:rPr>
        <w:t>al</w:t>
      </w:r>
      <w:r w:rsidR="003E53EE" w:rsidRPr="006C6143">
        <w:rPr>
          <w:rFonts w:ascii="Times New Roman" w:hAnsi="Times New Roman" w:cs="Times New Roman"/>
        </w:rPr>
        <w:t>ysis drawing on this practice in the context of digit</w:t>
      </w:r>
      <w:r w:rsidR="00605424" w:rsidRPr="006C6143">
        <w:rPr>
          <w:rFonts w:ascii="Times New Roman" w:hAnsi="Times New Roman" w:cs="Times New Roman"/>
        </w:rPr>
        <w:t>al</w:t>
      </w:r>
      <w:r w:rsidR="003E53EE" w:rsidRPr="006C6143">
        <w:rPr>
          <w:rFonts w:ascii="Times New Roman" w:hAnsi="Times New Roman" w:cs="Times New Roman"/>
        </w:rPr>
        <w:t xml:space="preserve"> government, see: D West, </w:t>
      </w:r>
      <w:r w:rsidR="003E53EE" w:rsidRPr="006C6143">
        <w:rPr>
          <w:rFonts w:ascii="Times New Roman" w:hAnsi="Times New Roman" w:cs="Times New Roman"/>
          <w:i/>
        </w:rPr>
        <w:t>Digit</w:t>
      </w:r>
      <w:r w:rsidR="00605424" w:rsidRPr="006C6143">
        <w:rPr>
          <w:rFonts w:ascii="Times New Roman" w:hAnsi="Times New Roman" w:cs="Times New Roman"/>
          <w:i/>
        </w:rPr>
        <w:t>al</w:t>
      </w:r>
      <w:r w:rsidR="003E53EE" w:rsidRPr="006C6143">
        <w:rPr>
          <w:rFonts w:ascii="Times New Roman" w:hAnsi="Times New Roman" w:cs="Times New Roman"/>
          <w:i/>
        </w:rPr>
        <w:t xml:space="preserve"> Government: Technology and Public Sector Performance </w:t>
      </w:r>
      <w:r w:rsidR="003E53EE" w:rsidRPr="006C6143">
        <w:rPr>
          <w:rFonts w:ascii="Times New Roman" w:hAnsi="Times New Roman" w:cs="Times New Roman"/>
        </w:rPr>
        <w:t>(Princeton University Press 2005)</w:t>
      </w:r>
      <w:r w:rsidR="00FC7CAD" w:rsidRPr="006C6143">
        <w:rPr>
          <w:rFonts w:ascii="Times New Roman" w:hAnsi="Times New Roman" w:cs="Times New Roman"/>
        </w:rPr>
        <w:t>,</w:t>
      </w:r>
      <w:r w:rsidR="003E53EE" w:rsidRPr="006C6143">
        <w:rPr>
          <w:rFonts w:ascii="Times New Roman" w:hAnsi="Times New Roman" w:cs="Times New Roman"/>
        </w:rPr>
        <w:t xml:space="preserve"> 54-56.</w:t>
      </w:r>
    </w:p>
  </w:footnote>
  <w:footnote w:id="25">
    <w:p w14:paraId="0698465B" w14:textId="5EF290A7"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Offici</w:t>
      </w:r>
      <w:r w:rsidR="00605424" w:rsidRPr="006C6143">
        <w:rPr>
          <w:rFonts w:ascii="Times New Roman" w:hAnsi="Times New Roman" w:cs="Times New Roman"/>
        </w:rPr>
        <w:t>al</w:t>
      </w:r>
      <w:r w:rsidR="00FC7CAD" w:rsidRPr="006C6143">
        <w:rPr>
          <w:rFonts w:ascii="Times New Roman" w:hAnsi="Times New Roman" w:cs="Times New Roman"/>
        </w:rPr>
        <w:t xml:space="preserve"> Interview</w:t>
      </w:r>
      <w:r w:rsidRPr="006C6143">
        <w:rPr>
          <w:rFonts w:ascii="Times New Roman" w:hAnsi="Times New Roman" w:cs="Times New Roman"/>
        </w:rPr>
        <w:t xml:space="preserve"> 3.</w:t>
      </w:r>
    </w:p>
  </w:footnote>
  <w:footnote w:id="26">
    <w:p w14:paraId="2A892F0D" w14:textId="2C43EA98"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Offici</w:t>
      </w:r>
      <w:r w:rsidR="00605424" w:rsidRPr="006C6143">
        <w:rPr>
          <w:rFonts w:ascii="Times New Roman" w:hAnsi="Times New Roman" w:cs="Times New Roman"/>
        </w:rPr>
        <w:t>al</w:t>
      </w:r>
      <w:r w:rsidR="00FC7CAD" w:rsidRPr="006C6143">
        <w:rPr>
          <w:rFonts w:ascii="Times New Roman" w:hAnsi="Times New Roman" w:cs="Times New Roman"/>
        </w:rPr>
        <w:t xml:space="preserve"> Interview</w:t>
      </w:r>
      <w:r w:rsidRPr="006C6143">
        <w:rPr>
          <w:rFonts w:ascii="Times New Roman" w:hAnsi="Times New Roman" w:cs="Times New Roman"/>
        </w:rPr>
        <w:t xml:space="preserve"> 12. </w:t>
      </w:r>
    </w:p>
  </w:footnote>
  <w:footnote w:id="27">
    <w:p w14:paraId="2E81994C" w14:textId="37639D04"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Offici</w:t>
      </w:r>
      <w:r w:rsidR="00605424" w:rsidRPr="006C6143">
        <w:rPr>
          <w:rFonts w:ascii="Times New Roman" w:hAnsi="Times New Roman" w:cs="Times New Roman"/>
        </w:rPr>
        <w:t>al</w:t>
      </w:r>
      <w:r w:rsidR="00FC7CAD" w:rsidRPr="006C6143">
        <w:rPr>
          <w:rFonts w:ascii="Times New Roman" w:hAnsi="Times New Roman" w:cs="Times New Roman"/>
        </w:rPr>
        <w:t xml:space="preserve"> Interview</w:t>
      </w:r>
      <w:r w:rsidRPr="006C6143">
        <w:rPr>
          <w:rFonts w:ascii="Times New Roman" w:hAnsi="Times New Roman" w:cs="Times New Roman"/>
        </w:rPr>
        <w:t xml:space="preserve"> 6.</w:t>
      </w:r>
    </w:p>
  </w:footnote>
  <w:footnote w:id="28">
    <w:p w14:paraId="54554D5A" w14:textId="18BBFFF7"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Offici</w:t>
      </w:r>
      <w:r w:rsidR="00605424" w:rsidRPr="006C6143">
        <w:rPr>
          <w:rFonts w:ascii="Times New Roman" w:hAnsi="Times New Roman" w:cs="Times New Roman"/>
        </w:rPr>
        <w:t>al</w:t>
      </w:r>
      <w:r w:rsidR="00FC7CAD" w:rsidRPr="006C6143">
        <w:rPr>
          <w:rFonts w:ascii="Times New Roman" w:hAnsi="Times New Roman" w:cs="Times New Roman"/>
        </w:rPr>
        <w:t xml:space="preserve"> Interview</w:t>
      </w:r>
      <w:r w:rsidRPr="006C6143">
        <w:rPr>
          <w:rFonts w:ascii="Times New Roman" w:hAnsi="Times New Roman" w:cs="Times New Roman"/>
        </w:rPr>
        <w:t xml:space="preserve"> 10.</w:t>
      </w:r>
    </w:p>
  </w:footnote>
  <w:footnote w:id="29">
    <w:p w14:paraId="5FDFE84B" w14:textId="56320928"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Offici</w:t>
      </w:r>
      <w:r w:rsidR="00605424" w:rsidRPr="006C6143">
        <w:rPr>
          <w:rFonts w:ascii="Times New Roman" w:hAnsi="Times New Roman" w:cs="Times New Roman"/>
        </w:rPr>
        <w:t>al</w:t>
      </w:r>
      <w:r w:rsidR="00FC7CAD" w:rsidRPr="006C6143">
        <w:rPr>
          <w:rFonts w:ascii="Times New Roman" w:hAnsi="Times New Roman" w:cs="Times New Roman"/>
        </w:rPr>
        <w:t xml:space="preserve"> Interview</w:t>
      </w:r>
      <w:r w:rsidRPr="006C6143">
        <w:rPr>
          <w:rFonts w:ascii="Times New Roman" w:hAnsi="Times New Roman" w:cs="Times New Roman"/>
        </w:rPr>
        <w:t xml:space="preserve"> 11.</w:t>
      </w:r>
    </w:p>
  </w:footnote>
  <w:footnote w:id="30">
    <w:p w14:paraId="48C9FFB6" w14:textId="132DC8F6"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Offici</w:t>
      </w:r>
      <w:r w:rsidR="00605424" w:rsidRPr="006C6143">
        <w:rPr>
          <w:rFonts w:ascii="Times New Roman" w:hAnsi="Times New Roman" w:cs="Times New Roman"/>
        </w:rPr>
        <w:t>al</w:t>
      </w:r>
      <w:r w:rsidR="00FC7CAD" w:rsidRPr="006C6143">
        <w:rPr>
          <w:rFonts w:ascii="Times New Roman" w:hAnsi="Times New Roman" w:cs="Times New Roman"/>
        </w:rPr>
        <w:t xml:space="preserve"> Interview</w:t>
      </w:r>
      <w:r w:rsidRPr="006C6143">
        <w:rPr>
          <w:rFonts w:ascii="Times New Roman" w:hAnsi="Times New Roman" w:cs="Times New Roman"/>
        </w:rPr>
        <w:t xml:space="preserve"> 11.</w:t>
      </w:r>
    </w:p>
  </w:footnote>
  <w:footnote w:id="31">
    <w:p w14:paraId="734F73D9" w14:textId="6C257CC2"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Offici</w:t>
      </w:r>
      <w:r w:rsidR="00605424" w:rsidRPr="006C6143">
        <w:rPr>
          <w:rFonts w:ascii="Times New Roman" w:hAnsi="Times New Roman" w:cs="Times New Roman"/>
        </w:rPr>
        <w:t>al</w:t>
      </w:r>
      <w:r w:rsidR="00FC7CAD" w:rsidRPr="006C6143">
        <w:rPr>
          <w:rFonts w:ascii="Times New Roman" w:hAnsi="Times New Roman" w:cs="Times New Roman"/>
        </w:rPr>
        <w:t xml:space="preserve"> Interview</w:t>
      </w:r>
      <w:r w:rsidRPr="006C6143">
        <w:rPr>
          <w:rFonts w:ascii="Times New Roman" w:hAnsi="Times New Roman" w:cs="Times New Roman"/>
        </w:rPr>
        <w:t xml:space="preserve"> 5.</w:t>
      </w:r>
    </w:p>
  </w:footnote>
  <w:footnote w:id="32">
    <w:p w14:paraId="462A6426" w14:textId="4F69A9BD"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Offici</w:t>
      </w:r>
      <w:r w:rsidR="00605424" w:rsidRPr="006C6143">
        <w:rPr>
          <w:rFonts w:ascii="Times New Roman" w:hAnsi="Times New Roman" w:cs="Times New Roman"/>
        </w:rPr>
        <w:t>al</w:t>
      </w:r>
      <w:r w:rsidR="00FC7CAD" w:rsidRPr="006C6143">
        <w:rPr>
          <w:rFonts w:ascii="Times New Roman" w:hAnsi="Times New Roman" w:cs="Times New Roman"/>
        </w:rPr>
        <w:t xml:space="preserve"> Interview</w:t>
      </w:r>
      <w:r w:rsidRPr="006C6143">
        <w:rPr>
          <w:rFonts w:ascii="Times New Roman" w:hAnsi="Times New Roman" w:cs="Times New Roman"/>
        </w:rPr>
        <w:t xml:space="preserve"> 10.</w:t>
      </w:r>
    </w:p>
  </w:footnote>
  <w:footnote w:id="33">
    <w:p w14:paraId="40F3E426" w14:textId="06D67E81"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Offici</w:t>
      </w:r>
      <w:r w:rsidR="00605424" w:rsidRPr="006C6143">
        <w:rPr>
          <w:rFonts w:ascii="Times New Roman" w:hAnsi="Times New Roman" w:cs="Times New Roman"/>
        </w:rPr>
        <w:t>al</w:t>
      </w:r>
      <w:r w:rsidR="00FC7CAD" w:rsidRPr="006C6143">
        <w:rPr>
          <w:rFonts w:ascii="Times New Roman" w:hAnsi="Times New Roman" w:cs="Times New Roman"/>
        </w:rPr>
        <w:t xml:space="preserve"> Interview</w:t>
      </w:r>
      <w:r w:rsidRPr="006C6143">
        <w:rPr>
          <w:rFonts w:ascii="Times New Roman" w:hAnsi="Times New Roman" w:cs="Times New Roman"/>
        </w:rPr>
        <w:t xml:space="preserve"> 10.</w:t>
      </w:r>
    </w:p>
  </w:footnote>
  <w:footnote w:id="34">
    <w:p w14:paraId="4AF5C904" w14:textId="03AFD52F"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Offici</w:t>
      </w:r>
      <w:r w:rsidR="00605424" w:rsidRPr="006C6143">
        <w:rPr>
          <w:rFonts w:ascii="Times New Roman" w:hAnsi="Times New Roman" w:cs="Times New Roman"/>
        </w:rPr>
        <w:t>al</w:t>
      </w:r>
      <w:r w:rsidR="00FC7CAD" w:rsidRPr="006C6143">
        <w:rPr>
          <w:rFonts w:ascii="Times New Roman" w:hAnsi="Times New Roman" w:cs="Times New Roman"/>
        </w:rPr>
        <w:t xml:space="preserve"> Interview</w:t>
      </w:r>
      <w:r w:rsidRPr="006C6143">
        <w:rPr>
          <w:rFonts w:ascii="Times New Roman" w:hAnsi="Times New Roman" w:cs="Times New Roman"/>
        </w:rPr>
        <w:t xml:space="preserve"> 3.</w:t>
      </w:r>
    </w:p>
  </w:footnote>
  <w:footnote w:id="35">
    <w:p w14:paraId="5EF609A0" w14:textId="7D057618"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Offici</w:t>
      </w:r>
      <w:r w:rsidR="00605424" w:rsidRPr="006C6143">
        <w:rPr>
          <w:rFonts w:ascii="Times New Roman" w:hAnsi="Times New Roman" w:cs="Times New Roman"/>
        </w:rPr>
        <w:t>al</w:t>
      </w:r>
      <w:r w:rsidR="00FC7CAD" w:rsidRPr="006C6143">
        <w:rPr>
          <w:rFonts w:ascii="Times New Roman" w:hAnsi="Times New Roman" w:cs="Times New Roman"/>
        </w:rPr>
        <w:t xml:space="preserve"> Interview</w:t>
      </w:r>
      <w:r w:rsidRPr="006C6143">
        <w:rPr>
          <w:rFonts w:ascii="Times New Roman" w:hAnsi="Times New Roman" w:cs="Times New Roman"/>
        </w:rPr>
        <w:t xml:space="preserve"> 4.</w:t>
      </w:r>
    </w:p>
  </w:footnote>
  <w:footnote w:id="36">
    <w:p w14:paraId="488F8600" w14:textId="20AAFEDE"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Offici</w:t>
      </w:r>
      <w:r w:rsidR="00605424" w:rsidRPr="006C6143">
        <w:rPr>
          <w:rFonts w:ascii="Times New Roman" w:hAnsi="Times New Roman" w:cs="Times New Roman"/>
        </w:rPr>
        <w:t>al</w:t>
      </w:r>
      <w:r w:rsidRPr="006C6143">
        <w:rPr>
          <w:rFonts w:ascii="Times New Roman" w:hAnsi="Times New Roman" w:cs="Times New Roman"/>
        </w:rPr>
        <w:t xml:space="preserve"> </w:t>
      </w:r>
      <w:r w:rsidR="00FC7CAD" w:rsidRPr="006C6143">
        <w:rPr>
          <w:rFonts w:ascii="Times New Roman" w:hAnsi="Times New Roman" w:cs="Times New Roman"/>
        </w:rPr>
        <w:t xml:space="preserve">Interview </w:t>
      </w:r>
      <w:r w:rsidRPr="006C6143">
        <w:rPr>
          <w:rFonts w:ascii="Times New Roman" w:hAnsi="Times New Roman" w:cs="Times New Roman"/>
        </w:rPr>
        <w:t>6.</w:t>
      </w:r>
    </w:p>
  </w:footnote>
  <w:footnote w:id="37">
    <w:p w14:paraId="764A4544" w14:textId="362DA2D6"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Offici</w:t>
      </w:r>
      <w:r w:rsidR="00605424" w:rsidRPr="006C6143">
        <w:rPr>
          <w:rFonts w:ascii="Times New Roman" w:hAnsi="Times New Roman" w:cs="Times New Roman"/>
        </w:rPr>
        <w:t>al</w:t>
      </w:r>
      <w:r w:rsidRPr="006C6143">
        <w:rPr>
          <w:rFonts w:ascii="Times New Roman" w:hAnsi="Times New Roman" w:cs="Times New Roman"/>
        </w:rPr>
        <w:t xml:space="preserve"> </w:t>
      </w:r>
      <w:r w:rsidR="00FC7CAD" w:rsidRPr="006C6143">
        <w:rPr>
          <w:rFonts w:ascii="Times New Roman" w:hAnsi="Times New Roman" w:cs="Times New Roman"/>
        </w:rPr>
        <w:t xml:space="preserve">Interview </w:t>
      </w:r>
      <w:r w:rsidRPr="006C6143">
        <w:rPr>
          <w:rFonts w:ascii="Times New Roman" w:hAnsi="Times New Roman" w:cs="Times New Roman"/>
        </w:rPr>
        <w:t>10.</w:t>
      </w:r>
    </w:p>
  </w:footnote>
  <w:footnote w:id="38">
    <w:p w14:paraId="25B75485" w14:textId="3DEA151F"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Offici</w:t>
      </w:r>
      <w:r w:rsidR="00605424" w:rsidRPr="006C6143">
        <w:rPr>
          <w:rFonts w:ascii="Times New Roman" w:hAnsi="Times New Roman" w:cs="Times New Roman"/>
        </w:rPr>
        <w:t>al</w:t>
      </w:r>
      <w:r w:rsidRPr="006C6143">
        <w:rPr>
          <w:rFonts w:ascii="Times New Roman" w:hAnsi="Times New Roman" w:cs="Times New Roman"/>
        </w:rPr>
        <w:t xml:space="preserve"> </w:t>
      </w:r>
      <w:r w:rsidR="00FC7CAD" w:rsidRPr="006C6143">
        <w:rPr>
          <w:rFonts w:ascii="Times New Roman" w:hAnsi="Times New Roman" w:cs="Times New Roman"/>
        </w:rPr>
        <w:t xml:space="preserve">Interview </w:t>
      </w:r>
      <w:r w:rsidRPr="006C6143">
        <w:rPr>
          <w:rFonts w:ascii="Times New Roman" w:hAnsi="Times New Roman" w:cs="Times New Roman"/>
        </w:rPr>
        <w:t>9.</w:t>
      </w:r>
    </w:p>
  </w:footnote>
  <w:footnote w:id="39">
    <w:p w14:paraId="1E4D43C3" w14:textId="20389226"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Offici</w:t>
      </w:r>
      <w:r w:rsidR="00605424" w:rsidRPr="006C6143">
        <w:rPr>
          <w:rFonts w:ascii="Times New Roman" w:hAnsi="Times New Roman" w:cs="Times New Roman"/>
        </w:rPr>
        <w:t>al</w:t>
      </w:r>
      <w:r w:rsidRPr="006C6143">
        <w:rPr>
          <w:rFonts w:ascii="Times New Roman" w:hAnsi="Times New Roman" w:cs="Times New Roman"/>
        </w:rPr>
        <w:t xml:space="preserve"> </w:t>
      </w:r>
      <w:r w:rsidR="00FC7CAD" w:rsidRPr="006C6143">
        <w:rPr>
          <w:rFonts w:ascii="Times New Roman" w:hAnsi="Times New Roman" w:cs="Times New Roman"/>
        </w:rPr>
        <w:t xml:space="preserve">Interview </w:t>
      </w:r>
      <w:r w:rsidRPr="006C6143">
        <w:rPr>
          <w:rFonts w:ascii="Times New Roman" w:hAnsi="Times New Roman" w:cs="Times New Roman"/>
        </w:rPr>
        <w:t>2.</w:t>
      </w:r>
    </w:p>
  </w:footnote>
  <w:footnote w:id="40">
    <w:p w14:paraId="5B73B466" w14:textId="2C7FB1BB"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Offici</w:t>
      </w:r>
      <w:r w:rsidR="00605424" w:rsidRPr="006C6143">
        <w:rPr>
          <w:rFonts w:ascii="Times New Roman" w:hAnsi="Times New Roman" w:cs="Times New Roman"/>
        </w:rPr>
        <w:t>al</w:t>
      </w:r>
      <w:r w:rsidRPr="006C6143">
        <w:rPr>
          <w:rFonts w:ascii="Times New Roman" w:hAnsi="Times New Roman" w:cs="Times New Roman"/>
        </w:rPr>
        <w:t xml:space="preserve"> </w:t>
      </w:r>
      <w:r w:rsidR="00FC7CAD" w:rsidRPr="006C6143">
        <w:rPr>
          <w:rFonts w:ascii="Times New Roman" w:hAnsi="Times New Roman" w:cs="Times New Roman"/>
        </w:rPr>
        <w:t xml:space="preserve">Interview </w:t>
      </w:r>
      <w:r w:rsidRPr="006C6143">
        <w:rPr>
          <w:rFonts w:ascii="Times New Roman" w:hAnsi="Times New Roman" w:cs="Times New Roman"/>
        </w:rPr>
        <w:t>9.</w:t>
      </w:r>
    </w:p>
  </w:footnote>
  <w:footnote w:id="41">
    <w:p w14:paraId="26EF3B22" w14:textId="4E0125A1"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Offici</w:t>
      </w:r>
      <w:r w:rsidR="00605424" w:rsidRPr="006C6143">
        <w:rPr>
          <w:rFonts w:ascii="Times New Roman" w:hAnsi="Times New Roman" w:cs="Times New Roman"/>
        </w:rPr>
        <w:t>al</w:t>
      </w:r>
      <w:r w:rsidRPr="006C6143">
        <w:rPr>
          <w:rFonts w:ascii="Times New Roman" w:hAnsi="Times New Roman" w:cs="Times New Roman"/>
        </w:rPr>
        <w:t xml:space="preserve"> </w:t>
      </w:r>
      <w:r w:rsidR="00FC7CAD" w:rsidRPr="006C6143">
        <w:rPr>
          <w:rFonts w:ascii="Times New Roman" w:hAnsi="Times New Roman" w:cs="Times New Roman"/>
        </w:rPr>
        <w:t xml:space="preserve">Interview </w:t>
      </w:r>
      <w:r w:rsidRPr="006C6143">
        <w:rPr>
          <w:rFonts w:ascii="Times New Roman" w:hAnsi="Times New Roman" w:cs="Times New Roman"/>
        </w:rPr>
        <w:t>7.</w:t>
      </w:r>
    </w:p>
  </w:footnote>
  <w:footnote w:id="42">
    <w:p w14:paraId="10232FD9" w14:textId="26BBA89D"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Offici</w:t>
      </w:r>
      <w:r w:rsidR="00605424" w:rsidRPr="006C6143">
        <w:rPr>
          <w:rFonts w:ascii="Times New Roman" w:hAnsi="Times New Roman" w:cs="Times New Roman"/>
        </w:rPr>
        <w:t>al</w:t>
      </w:r>
      <w:r w:rsidRPr="006C6143">
        <w:rPr>
          <w:rFonts w:ascii="Times New Roman" w:hAnsi="Times New Roman" w:cs="Times New Roman"/>
        </w:rPr>
        <w:t xml:space="preserve"> </w:t>
      </w:r>
      <w:r w:rsidR="00FC7CAD" w:rsidRPr="006C6143">
        <w:rPr>
          <w:rFonts w:ascii="Times New Roman" w:hAnsi="Times New Roman" w:cs="Times New Roman"/>
        </w:rPr>
        <w:t xml:space="preserve">Interview </w:t>
      </w:r>
      <w:r w:rsidRPr="006C6143">
        <w:rPr>
          <w:rFonts w:ascii="Times New Roman" w:hAnsi="Times New Roman" w:cs="Times New Roman"/>
        </w:rPr>
        <w:t>1.</w:t>
      </w:r>
    </w:p>
  </w:footnote>
  <w:footnote w:id="43">
    <w:p w14:paraId="016F2A2E" w14:textId="253E8203"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Offici</w:t>
      </w:r>
      <w:r w:rsidR="00605424" w:rsidRPr="006C6143">
        <w:rPr>
          <w:rFonts w:ascii="Times New Roman" w:hAnsi="Times New Roman" w:cs="Times New Roman"/>
        </w:rPr>
        <w:t>al</w:t>
      </w:r>
      <w:r w:rsidRPr="006C6143">
        <w:rPr>
          <w:rFonts w:ascii="Times New Roman" w:hAnsi="Times New Roman" w:cs="Times New Roman"/>
        </w:rPr>
        <w:t xml:space="preserve"> </w:t>
      </w:r>
      <w:r w:rsidR="00FC7CAD" w:rsidRPr="006C6143">
        <w:rPr>
          <w:rFonts w:ascii="Times New Roman" w:hAnsi="Times New Roman" w:cs="Times New Roman"/>
        </w:rPr>
        <w:t xml:space="preserve">Interview </w:t>
      </w:r>
      <w:r w:rsidRPr="006C6143">
        <w:rPr>
          <w:rFonts w:ascii="Times New Roman" w:hAnsi="Times New Roman" w:cs="Times New Roman"/>
        </w:rPr>
        <w:t>9.</w:t>
      </w:r>
    </w:p>
  </w:footnote>
  <w:footnote w:id="44">
    <w:p w14:paraId="73A4125B" w14:textId="484D21CD"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Offici</w:t>
      </w:r>
      <w:r w:rsidR="00605424" w:rsidRPr="006C6143">
        <w:rPr>
          <w:rFonts w:ascii="Times New Roman" w:hAnsi="Times New Roman" w:cs="Times New Roman"/>
        </w:rPr>
        <w:t>al</w:t>
      </w:r>
      <w:r w:rsidRPr="006C6143">
        <w:rPr>
          <w:rFonts w:ascii="Times New Roman" w:hAnsi="Times New Roman" w:cs="Times New Roman"/>
        </w:rPr>
        <w:t xml:space="preserve"> </w:t>
      </w:r>
      <w:r w:rsidR="00FC7CAD" w:rsidRPr="006C6143">
        <w:rPr>
          <w:rFonts w:ascii="Times New Roman" w:hAnsi="Times New Roman" w:cs="Times New Roman"/>
        </w:rPr>
        <w:t xml:space="preserve">Interview </w:t>
      </w:r>
      <w:r w:rsidRPr="006C6143">
        <w:rPr>
          <w:rFonts w:ascii="Times New Roman" w:hAnsi="Times New Roman" w:cs="Times New Roman"/>
        </w:rPr>
        <w:t xml:space="preserve">12. </w:t>
      </w:r>
    </w:p>
  </w:footnote>
  <w:footnote w:id="45">
    <w:p w14:paraId="536BA7E5" w14:textId="447C7924"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Offici</w:t>
      </w:r>
      <w:r w:rsidR="00605424" w:rsidRPr="006C6143">
        <w:rPr>
          <w:rFonts w:ascii="Times New Roman" w:hAnsi="Times New Roman" w:cs="Times New Roman"/>
        </w:rPr>
        <w:t>al</w:t>
      </w:r>
      <w:r w:rsidRPr="006C6143">
        <w:rPr>
          <w:rFonts w:ascii="Times New Roman" w:hAnsi="Times New Roman" w:cs="Times New Roman"/>
        </w:rPr>
        <w:t xml:space="preserve"> </w:t>
      </w:r>
      <w:r w:rsidR="00FC7CAD" w:rsidRPr="006C6143">
        <w:rPr>
          <w:rFonts w:ascii="Times New Roman" w:hAnsi="Times New Roman" w:cs="Times New Roman"/>
        </w:rPr>
        <w:t xml:space="preserve">Interview </w:t>
      </w:r>
      <w:r w:rsidRPr="006C6143">
        <w:rPr>
          <w:rFonts w:ascii="Times New Roman" w:hAnsi="Times New Roman" w:cs="Times New Roman"/>
        </w:rPr>
        <w:t>12.</w:t>
      </w:r>
    </w:p>
  </w:footnote>
  <w:footnote w:id="46">
    <w:p w14:paraId="2D34F62C" w14:textId="3C1BE907"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Offici</w:t>
      </w:r>
      <w:r w:rsidR="00605424" w:rsidRPr="006C6143">
        <w:rPr>
          <w:rFonts w:ascii="Times New Roman" w:hAnsi="Times New Roman" w:cs="Times New Roman"/>
        </w:rPr>
        <w:t>al</w:t>
      </w:r>
      <w:r w:rsidR="00FC7CAD" w:rsidRPr="006C6143">
        <w:rPr>
          <w:rFonts w:ascii="Times New Roman" w:hAnsi="Times New Roman" w:cs="Times New Roman"/>
        </w:rPr>
        <w:t xml:space="preserve"> Interview</w:t>
      </w:r>
      <w:r w:rsidRPr="006C6143">
        <w:rPr>
          <w:rFonts w:ascii="Times New Roman" w:hAnsi="Times New Roman" w:cs="Times New Roman"/>
        </w:rPr>
        <w:t xml:space="preserve"> 5.</w:t>
      </w:r>
    </w:p>
  </w:footnote>
  <w:footnote w:id="47">
    <w:p w14:paraId="3BB9230D" w14:textId="0EEC0B4A"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Advisor</w:t>
      </w:r>
      <w:r w:rsidR="00605424" w:rsidRPr="006C6143">
        <w:rPr>
          <w:rFonts w:ascii="Times New Roman" w:hAnsi="Times New Roman" w:cs="Times New Roman"/>
        </w:rPr>
        <w:t xml:space="preserve"> Interview</w:t>
      </w:r>
      <w:r w:rsidRPr="006C6143">
        <w:rPr>
          <w:rFonts w:ascii="Times New Roman" w:hAnsi="Times New Roman" w:cs="Times New Roman"/>
        </w:rPr>
        <w:t xml:space="preserve"> 13.</w:t>
      </w:r>
    </w:p>
  </w:footnote>
  <w:footnote w:id="48">
    <w:p w14:paraId="56D59696" w14:textId="5669056A"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Advisor Interview 8.</w:t>
      </w:r>
    </w:p>
  </w:footnote>
  <w:footnote w:id="49">
    <w:p w14:paraId="4F3F6AF2" w14:textId="433C823E"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Advisor Interview 4</w:t>
      </w:r>
      <w:r w:rsidR="00FC7CAD" w:rsidRPr="006C6143">
        <w:rPr>
          <w:rFonts w:ascii="Times New Roman" w:hAnsi="Times New Roman" w:cs="Times New Roman"/>
        </w:rPr>
        <w:t>.</w:t>
      </w:r>
    </w:p>
  </w:footnote>
  <w:footnote w:id="50">
    <w:p w14:paraId="29E2903A" w14:textId="77777777"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Advisor Interview 16.</w:t>
      </w:r>
    </w:p>
  </w:footnote>
  <w:footnote w:id="51">
    <w:p w14:paraId="03453A2F" w14:textId="400C8E3F"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Advisor Interview 19</w:t>
      </w:r>
      <w:r w:rsidR="00FC7CAD" w:rsidRPr="006C6143">
        <w:rPr>
          <w:rFonts w:ascii="Times New Roman" w:hAnsi="Times New Roman" w:cs="Times New Roman"/>
        </w:rPr>
        <w:t>.</w:t>
      </w:r>
    </w:p>
  </w:footnote>
  <w:footnote w:id="52">
    <w:p w14:paraId="2D9A286E" w14:textId="035D4C3C"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Advisor Interview 6</w:t>
      </w:r>
      <w:r w:rsidR="00FC7CAD" w:rsidRPr="006C6143">
        <w:rPr>
          <w:rFonts w:ascii="Times New Roman" w:hAnsi="Times New Roman" w:cs="Times New Roman"/>
        </w:rPr>
        <w:t>.</w:t>
      </w:r>
    </w:p>
  </w:footnote>
  <w:footnote w:id="53">
    <w:p w14:paraId="6B1AF712" w14:textId="2D4246C1"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Advisor Interview 4</w:t>
      </w:r>
      <w:r w:rsidR="00FC7CAD" w:rsidRPr="006C6143">
        <w:rPr>
          <w:rFonts w:ascii="Times New Roman" w:hAnsi="Times New Roman" w:cs="Times New Roman"/>
        </w:rPr>
        <w:t>.</w:t>
      </w:r>
    </w:p>
  </w:footnote>
  <w:footnote w:id="54">
    <w:p w14:paraId="24104567" w14:textId="62A1335A"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Advisor Interview 4</w:t>
      </w:r>
      <w:r w:rsidR="00FC7CAD" w:rsidRPr="006C6143">
        <w:rPr>
          <w:rFonts w:ascii="Times New Roman" w:hAnsi="Times New Roman" w:cs="Times New Roman"/>
        </w:rPr>
        <w:t>.</w:t>
      </w:r>
    </w:p>
  </w:footnote>
  <w:footnote w:id="55">
    <w:p w14:paraId="15499D96" w14:textId="07030513"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Advisor Interview 12</w:t>
      </w:r>
      <w:r w:rsidR="00FC7CAD" w:rsidRPr="006C6143">
        <w:rPr>
          <w:rFonts w:ascii="Times New Roman" w:hAnsi="Times New Roman" w:cs="Times New Roman"/>
        </w:rPr>
        <w:t>.</w:t>
      </w:r>
    </w:p>
  </w:footnote>
  <w:footnote w:id="56">
    <w:p w14:paraId="515AABD4" w14:textId="19E668C5"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w:t>
      </w:r>
      <w:r w:rsidR="005C60C7" w:rsidRPr="006C6143">
        <w:rPr>
          <w:rFonts w:ascii="Times New Roman" w:hAnsi="Times New Roman" w:cs="Times New Roman"/>
        </w:rPr>
        <w:t>Claimant Interview 1</w:t>
      </w:r>
      <w:r w:rsidR="00FC7CAD" w:rsidRPr="006C6143">
        <w:rPr>
          <w:rFonts w:ascii="Times New Roman" w:hAnsi="Times New Roman" w:cs="Times New Roman"/>
        </w:rPr>
        <w:t>.</w:t>
      </w:r>
    </w:p>
  </w:footnote>
  <w:footnote w:id="57">
    <w:p w14:paraId="1E7ECF3E" w14:textId="48E37551"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w:t>
      </w:r>
      <w:r w:rsidR="005C60C7" w:rsidRPr="006C6143">
        <w:rPr>
          <w:rFonts w:ascii="Times New Roman" w:hAnsi="Times New Roman" w:cs="Times New Roman"/>
        </w:rPr>
        <w:t>Claimant Interview 2</w:t>
      </w:r>
      <w:r w:rsidR="00FC7CAD" w:rsidRPr="006C6143">
        <w:rPr>
          <w:rFonts w:ascii="Times New Roman" w:hAnsi="Times New Roman" w:cs="Times New Roman"/>
        </w:rPr>
        <w:t>.</w:t>
      </w:r>
    </w:p>
  </w:footnote>
  <w:footnote w:id="58">
    <w:p w14:paraId="01E12E3B" w14:textId="374E1041"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w:t>
      </w:r>
      <w:r w:rsidR="005C60C7" w:rsidRPr="006C6143">
        <w:rPr>
          <w:rFonts w:ascii="Times New Roman" w:hAnsi="Times New Roman" w:cs="Times New Roman"/>
        </w:rPr>
        <w:t>Claimant Interview 3</w:t>
      </w:r>
      <w:r w:rsidR="00FC7CAD" w:rsidRPr="006C6143">
        <w:rPr>
          <w:rFonts w:ascii="Times New Roman" w:hAnsi="Times New Roman" w:cs="Times New Roman"/>
        </w:rPr>
        <w:t>.</w:t>
      </w:r>
    </w:p>
  </w:footnote>
  <w:footnote w:id="59">
    <w:p w14:paraId="36B74375" w14:textId="48D25A6A"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w:t>
      </w:r>
      <w:r w:rsidR="005C60C7" w:rsidRPr="006C6143">
        <w:rPr>
          <w:rFonts w:ascii="Times New Roman" w:hAnsi="Times New Roman" w:cs="Times New Roman"/>
        </w:rPr>
        <w:t>Claimant Interview 2</w:t>
      </w:r>
      <w:r w:rsidR="00FC7CAD" w:rsidRPr="006C6143">
        <w:rPr>
          <w:rFonts w:ascii="Times New Roman" w:hAnsi="Times New Roman" w:cs="Times New Roman"/>
        </w:rPr>
        <w:t>.</w:t>
      </w:r>
    </w:p>
  </w:footnote>
  <w:footnote w:id="60">
    <w:p w14:paraId="2FA3B7EC" w14:textId="4F86F21C"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w:t>
      </w:r>
      <w:r w:rsidR="005C60C7" w:rsidRPr="006C6143">
        <w:rPr>
          <w:rFonts w:ascii="Times New Roman" w:hAnsi="Times New Roman" w:cs="Times New Roman"/>
        </w:rPr>
        <w:t>Claimant Interview 4</w:t>
      </w:r>
      <w:r w:rsidR="00FC7CAD" w:rsidRPr="006C6143">
        <w:rPr>
          <w:rFonts w:ascii="Times New Roman" w:hAnsi="Times New Roman" w:cs="Times New Roman"/>
        </w:rPr>
        <w:t>.</w:t>
      </w:r>
    </w:p>
  </w:footnote>
  <w:footnote w:id="61">
    <w:p w14:paraId="36D3B01A" w14:textId="683B8C6C"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w:t>
      </w:r>
      <w:r w:rsidR="005C60C7" w:rsidRPr="006C6143">
        <w:rPr>
          <w:rFonts w:ascii="Times New Roman" w:hAnsi="Times New Roman" w:cs="Times New Roman"/>
        </w:rPr>
        <w:t>Claimant Interview 5</w:t>
      </w:r>
      <w:r w:rsidR="00FC7CAD" w:rsidRPr="006C6143">
        <w:rPr>
          <w:rFonts w:ascii="Times New Roman" w:hAnsi="Times New Roman" w:cs="Times New Roman"/>
        </w:rPr>
        <w:t>.</w:t>
      </w:r>
    </w:p>
  </w:footnote>
  <w:footnote w:id="62">
    <w:p w14:paraId="7217A757" w14:textId="512DE1C8"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w:t>
      </w:r>
      <w:r w:rsidR="005C60C7" w:rsidRPr="006C6143">
        <w:rPr>
          <w:rFonts w:ascii="Times New Roman" w:hAnsi="Times New Roman" w:cs="Times New Roman"/>
        </w:rPr>
        <w:t>Claimant Interview 4</w:t>
      </w:r>
      <w:r w:rsidR="00FC7CAD" w:rsidRPr="006C6143">
        <w:rPr>
          <w:rFonts w:ascii="Times New Roman" w:hAnsi="Times New Roman" w:cs="Times New Roman"/>
        </w:rPr>
        <w:t>.</w:t>
      </w:r>
    </w:p>
  </w:footnote>
  <w:footnote w:id="63">
    <w:p w14:paraId="107BA2E7" w14:textId="466CA620"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w:t>
      </w:r>
      <w:r w:rsidR="005C60C7" w:rsidRPr="006C6143">
        <w:rPr>
          <w:rFonts w:ascii="Times New Roman" w:hAnsi="Times New Roman" w:cs="Times New Roman"/>
        </w:rPr>
        <w:t>Claimant Interview 6</w:t>
      </w:r>
      <w:r w:rsidR="00FC7CAD" w:rsidRPr="006C6143">
        <w:rPr>
          <w:rFonts w:ascii="Times New Roman" w:hAnsi="Times New Roman" w:cs="Times New Roman"/>
        </w:rPr>
        <w:t>.</w:t>
      </w:r>
    </w:p>
  </w:footnote>
  <w:footnote w:id="64">
    <w:p w14:paraId="722539C7" w14:textId="7B64004E"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w:t>
      </w:r>
      <w:r w:rsidR="005C60C7" w:rsidRPr="006C6143">
        <w:rPr>
          <w:rFonts w:ascii="Times New Roman" w:hAnsi="Times New Roman" w:cs="Times New Roman"/>
        </w:rPr>
        <w:t>Claimant Interview 7</w:t>
      </w:r>
      <w:r w:rsidR="00FC7CAD" w:rsidRPr="006C6143">
        <w:rPr>
          <w:rFonts w:ascii="Times New Roman" w:hAnsi="Times New Roman" w:cs="Times New Roman"/>
        </w:rPr>
        <w:t>.</w:t>
      </w:r>
    </w:p>
  </w:footnote>
  <w:footnote w:id="65">
    <w:p w14:paraId="19267A89" w14:textId="082B2CD8"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w:t>
      </w:r>
      <w:r w:rsidR="005C60C7" w:rsidRPr="006C6143">
        <w:rPr>
          <w:rFonts w:ascii="Times New Roman" w:hAnsi="Times New Roman" w:cs="Times New Roman"/>
        </w:rPr>
        <w:t>Claimant Interview 8</w:t>
      </w:r>
      <w:r w:rsidR="00FC7CAD" w:rsidRPr="006C6143">
        <w:rPr>
          <w:rFonts w:ascii="Times New Roman" w:hAnsi="Times New Roman" w:cs="Times New Roman"/>
        </w:rPr>
        <w:t>.</w:t>
      </w:r>
    </w:p>
  </w:footnote>
  <w:footnote w:id="66">
    <w:p w14:paraId="74379B54" w14:textId="07B6BADC"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w:t>
      </w:r>
      <w:r w:rsidR="005C60C7" w:rsidRPr="006C6143">
        <w:rPr>
          <w:rFonts w:ascii="Times New Roman" w:hAnsi="Times New Roman" w:cs="Times New Roman"/>
        </w:rPr>
        <w:t>Claimant Interview 9</w:t>
      </w:r>
      <w:r w:rsidR="00FC7CAD" w:rsidRPr="006C6143">
        <w:rPr>
          <w:rFonts w:ascii="Times New Roman" w:hAnsi="Times New Roman" w:cs="Times New Roman"/>
        </w:rPr>
        <w:t>.</w:t>
      </w:r>
    </w:p>
  </w:footnote>
  <w:footnote w:id="67">
    <w:p w14:paraId="144EE340" w14:textId="53FF6446"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w:t>
      </w:r>
      <w:r w:rsidR="005C60C7" w:rsidRPr="006C6143">
        <w:rPr>
          <w:rFonts w:ascii="Times New Roman" w:hAnsi="Times New Roman" w:cs="Times New Roman"/>
        </w:rPr>
        <w:t>Claimant Interview 10</w:t>
      </w:r>
      <w:r w:rsidR="00FC7CAD" w:rsidRPr="006C6143">
        <w:rPr>
          <w:rFonts w:ascii="Times New Roman" w:hAnsi="Times New Roman" w:cs="Times New Roman"/>
        </w:rPr>
        <w:t>.</w:t>
      </w:r>
    </w:p>
  </w:footnote>
  <w:footnote w:id="68">
    <w:p w14:paraId="3170B9EF" w14:textId="151EA728"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w:t>
      </w:r>
      <w:r w:rsidR="005C60C7" w:rsidRPr="006C6143">
        <w:rPr>
          <w:rFonts w:ascii="Times New Roman" w:hAnsi="Times New Roman" w:cs="Times New Roman"/>
        </w:rPr>
        <w:t>Claimant Interview 10</w:t>
      </w:r>
      <w:r w:rsidR="00FC7CAD" w:rsidRPr="006C6143">
        <w:rPr>
          <w:rFonts w:ascii="Times New Roman" w:hAnsi="Times New Roman" w:cs="Times New Roman"/>
        </w:rPr>
        <w:t>.</w:t>
      </w:r>
    </w:p>
  </w:footnote>
  <w:footnote w:id="69">
    <w:p w14:paraId="4C99DBB1" w14:textId="60576DDD"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w:t>
      </w:r>
      <w:r w:rsidR="005C60C7" w:rsidRPr="006C6143">
        <w:rPr>
          <w:rFonts w:ascii="Times New Roman" w:hAnsi="Times New Roman" w:cs="Times New Roman"/>
        </w:rPr>
        <w:t>Claimant Interview 6</w:t>
      </w:r>
      <w:r w:rsidR="00FC7CAD" w:rsidRPr="006C6143">
        <w:rPr>
          <w:rFonts w:ascii="Times New Roman" w:hAnsi="Times New Roman" w:cs="Times New Roman"/>
        </w:rPr>
        <w:t>.</w:t>
      </w:r>
    </w:p>
  </w:footnote>
  <w:footnote w:id="70">
    <w:p w14:paraId="346C007A" w14:textId="522F227E" w:rsidR="00277655" w:rsidRPr="006C6143" w:rsidRDefault="00277655"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Claimant Interview 11</w:t>
      </w:r>
      <w:r w:rsidR="00FC7CAD" w:rsidRPr="006C6143">
        <w:rPr>
          <w:rFonts w:ascii="Times New Roman" w:hAnsi="Times New Roman" w:cs="Times New Roman"/>
        </w:rPr>
        <w:t>.</w:t>
      </w:r>
    </w:p>
  </w:footnote>
  <w:footnote w:id="71">
    <w:p w14:paraId="458DF549" w14:textId="754B2F03"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w:t>
      </w:r>
      <w:r w:rsidR="005C60C7" w:rsidRPr="006C6143">
        <w:rPr>
          <w:rFonts w:ascii="Times New Roman" w:hAnsi="Times New Roman" w:cs="Times New Roman"/>
        </w:rPr>
        <w:t>Claimant Interview 11</w:t>
      </w:r>
      <w:r w:rsidR="00FC7CAD" w:rsidRPr="006C6143">
        <w:rPr>
          <w:rFonts w:ascii="Times New Roman" w:hAnsi="Times New Roman" w:cs="Times New Roman"/>
        </w:rPr>
        <w:t>.</w:t>
      </w:r>
    </w:p>
  </w:footnote>
  <w:footnote w:id="72">
    <w:p w14:paraId="7207BF24" w14:textId="65B45509"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w:t>
      </w:r>
      <w:r w:rsidR="00605424" w:rsidRPr="006C6143">
        <w:rPr>
          <w:rFonts w:ascii="Times New Roman" w:hAnsi="Times New Roman" w:cs="Times New Roman"/>
        </w:rPr>
        <w:t>Claimant Interview 12</w:t>
      </w:r>
      <w:r w:rsidR="00FC7CAD" w:rsidRPr="006C6143">
        <w:rPr>
          <w:rFonts w:ascii="Times New Roman" w:hAnsi="Times New Roman" w:cs="Times New Roman"/>
        </w:rPr>
        <w:t>.</w:t>
      </w:r>
    </w:p>
  </w:footnote>
  <w:footnote w:id="73">
    <w:p w14:paraId="2E3CCF2D" w14:textId="5CE559D6"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w:t>
      </w:r>
      <w:r w:rsidR="005C60C7" w:rsidRPr="006C6143">
        <w:rPr>
          <w:rFonts w:ascii="Times New Roman" w:hAnsi="Times New Roman" w:cs="Times New Roman"/>
        </w:rPr>
        <w:t>Claimant Interview 2</w:t>
      </w:r>
      <w:r w:rsidR="00FC7CAD" w:rsidRPr="006C6143">
        <w:rPr>
          <w:rFonts w:ascii="Times New Roman" w:hAnsi="Times New Roman" w:cs="Times New Roman"/>
        </w:rPr>
        <w:t>.</w:t>
      </w:r>
    </w:p>
  </w:footnote>
  <w:footnote w:id="74">
    <w:p w14:paraId="6DE4B801" w14:textId="0F6626A6"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w:t>
      </w:r>
      <w:r w:rsidR="005C60C7" w:rsidRPr="006C6143">
        <w:rPr>
          <w:rFonts w:ascii="Times New Roman" w:hAnsi="Times New Roman" w:cs="Times New Roman"/>
        </w:rPr>
        <w:t>Claimant Interview 11</w:t>
      </w:r>
      <w:r w:rsidR="00FC7CAD" w:rsidRPr="006C6143">
        <w:rPr>
          <w:rFonts w:ascii="Times New Roman" w:hAnsi="Times New Roman" w:cs="Times New Roman"/>
        </w:rPr>
        <w:t>.</w:t>
      </w:r>
    </w:p>
  </w:footnote>
  <w:footnote w:id="75">
    <w:p w14:paraId="7A73E337" w14:textId="5D3BEA58"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w:t>
      </w:r>
      <w:r w:rsidR="005C60C7" w:rsidRPr="006C6143">
        <w:rPr>
          <w:rFonts w:ascii="Times New Roman" w:hAnsi="Times New Roman" w:cs="Times New Roman"/>
        </w:rPr>
        <w:t>Claimant Interview 1</w:t>
      </w:r>
      <w:r w:rsidR="00FC7CAD" w:rsidRPr="006C6143">
        <w:rPr>
          <w:rFonts w:ascii="Times New Roman" w:hAnsi="Times New Roman" w:cs="Times New Roman"/>
        </w:rPr>
        <w:t>.</w:t>
      </w:r>
    </w:p>
  </w:footnote>
  <w:footnote w:id="76">
    <w:p w14:paraId="4AE0A1B3" w14:textId="5E9A2C53"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w:t>
      </w:r>
      <w:r w:rsidR="005C60C7" w:rsidRPr="006C6143">
        <w:rPr>
          <w:rFonts w:ascii="Times New Roman" w:hAnsi="Times New Roman" w:cs="Times New Roman"/>
        </w:rPr>
        <w:t>Claimant Interview 11</w:t>
      </w:r>
      <w:r w:rsidR="00FC7CAD" w:rsidRPr="006C6143">
        <w:rPr>
          <w:rFonts w:ascii="Times New Roman" w:hAnsi="Times New Roman" w:cs="Times New Roman"/>
        </w:rPr>
        <w:t>.</w:t>
      </w:r>
    </w:p>
  </w:footnote>
  <w:footnote w:id="77">
    <w:p w14:paraId="26A83F73" w14:textId="5BA35DBE" w:rsidR="00FF26B0" w:rsidRPr="006C6143"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w:t>
      </w:r>
      <w:r w:rsidR="005C60C7" w:rsidRPr="006C6143">
        <w:rPr>
          <w:rFonts w:ascii="Times New Roman" w:hAnsi="Times New Roman" w:cs="Times New Roman"/>
        </w:rPr>
        <w:t>Claimant Interview 3</w:t>
      </w:r>
      <w:r w:rsidR="00FC7CAD" w:rsidRPr="006C6143">
        <w:rPr>
          <w:rFonts w:ascii="Times New Roman" w:hAnsi="Times New Roman" w:cs="Times New Roman"/>
        </w:rPr>
        <w:t>.</w:t>
      </w:r>
    </w:p>
  </w:footnote>
  <w:footnote w:id="78">
    <w:p w14:paraId="1F96D614" w14:textId="255029F3" w:rsidR="00FF26B0" w:rsidRPr="00741389" w:rsidRDefault="00FF26B0" w:rsidP="006C6143">
      <w:pPr>
        <w:pStyle w:val="FootnoteText"/>
        <w:spacing w:after="240"/>
        <w:jc w:val="both"/>
        <w:rPr>
          <w:rFonts w:ascii="Times New Roman" w:hAnsi="Times New Roman" w:cs="Times New Roman"/>
        </w:rPr>
      </w:pPr>
      <w:r w:rsidRPr="006C6143">
        <w:rPr>
          <w:rStyle w:val="FootnoteReference"/>
          <w:rFonts w:ascii="Times New Roman" w:hAnsi="Times New Roman" w:cs="Times New Roman"/>
        </w:rPr>
        <w:footnoteRef/>
      </w:r>
      <w:r w:rsidRPr="006C6143">
        <w:rPr>
          <w:rFonts w:ascii="Times New Roman" w:hAnsi="Times New Roman" w:cs="Times New Roman"/>
        </w:rPr>
        <w:t xml:space="preserve"> </w:t>
      </w:r>
      <w:r w:rsidR="005C60C7" w:rsidRPr="006C6143">
        <w:rPr>
          <w:rFonts w:ascii="Times New Roman" w:hAnsi="Times New Roman" w:cs="Times New Roman"/>
        </w:rPr>
        <w:t>Claimant Interview 10</w:t>
      </w:r>
      <w:r w:rsidR="00FC7CAD" w:rsidRPr="006C6143">
        <w:rPr>
          <w:rFonts w:ascii="Times New Roman" w:hAnsi="Times New Roman" w:cs="Times New Roman"/>
        </w:rPr>
        <w:t>.</w:t>
      </w:r>
    </w:p>
  </w:footnote>
  <w:footnote w:id="79">
    <w:p w14:paraId="7A804C6D" w14:textId="323E4834" w:rsidR="009008F2" w:rsidRDefault="009008F2">
      <w:pPr>
        <w:pStyle w:val="FootnoteText"/>
      </w:pPr>
      <w:r>
        <w:rPr>
          <w:rStyle w:val="FootnoteReference"/>
        </w:rPr>
        <w:footnoteRef/>
      </w:r>
      <w:r>
        <w:t xml:space="preserve"> </w:t>
      </w:r>
      <w:r w:rsidRPr="006C6143">
        <w:rPr>
          <w:rFonts w:ascii="Times New Roman" w:hAnsi="Times New Roman" w:cs="Times New Roman"/>
        </w:rPr>
        <w:t xml:space="preserve">J Mashaw, </w:t>
      </w:r>
      <w:r w:rsidRPr="006C6143">
        <w:rPr>
          <w:rFonts w:ascii="Times New Roman" w:hAnsi="Times New Roman" w:cs="Times New Roman"/>
          <w:i/>
          <w:iCs/>
        </w:rPr>
        <w:t>Bureaucratic Justice: Managing Social Security Disability Claims</w:t>
      </w:r>
      <w:r w:rsidRPr="006C6143">
        <w:rPr>
          <w:rFonts w:ascii="Times New Roman" w:hAnsi="Times New Roman" w:cs="Times New Roman"/>
        </w:rPr>
        <w:t xml:space="preserve"> (Yale University Press 1983)</w:t>
      </w:r>
    </w:p>
  </w:footnote>
  <w:footnote w:id="80">
    <w:p w14:paraId="785D6F74" w14:textId="77777777" w:rsidR="009008F2" w:rsidRPr="00013E36" w:rsidRDefault="009008F2" w:rsidP="009008F2">
      <w:pPr>
        <w:pStyle w:val="FootnoteText"/>
        <w:rPr>
          <w:rFonts w:ascii="Times New Roman" w:hAnsi="Times New Roman" w:cs="Times New Roman"/>
        </w:rPr>
      </w:pPr>
      <w:r w:rsidRPr="00013E36">
        <w:rPr>
          <w:rStyle w:val="FootnoteReference"/>
          <w:rFonts w:ascii="Times New Roman" w:hAnsi="Times New Roman" w:cs="Times New Roman"/>
        </w:rPr>
        <w:footnoteRef/>
      </w:r>
      <w:r w:rsidRPr="00013E36">
        <w:rPr>
          <w:rFonts w:ascii="Times New Roman" w:hAnsi="Times New Roman" w:cs="Times New Roman"/>
        </w:rPr>
        <w:t xml:space="preserve"> Michael Adler ‘Understanding and Analysing Administrative Justice’ in M Adler (ed) </w:t>
      </w:r>
      <w:r w:rsidRPr="00013E36">
        <w:rPr>
          <w:rFonts w:ascii="Times New Roman" w:hAnsi="Times New Roman" w:cs="Times New Roman"/>
          <w:i/>
          <w:iCs/>
        </w:rPr>
        <w:t>Administrative Justice in Context</w:t>
      </w:r>
      <w:r w:rsidRPr="00013E36">
        <w:rPr>
          <w:rFonts w:ascii="Times New Roman" w:hAnsi="Times New Roman" w:cs="Times New Roman"/>
        </w:rPr>
        <w:t xml:space="preserve"> (Hart Publishing 2010)</w:t>
      </w:r>
      <w:r>
        <w:rPr>
          <w:rFonts w:ascii="Times New Roman" w:hAnsi="Times New Roman" w:cs="Times New Roman"/>
        </w:rPr>
        <w:t xml:space="preserve"> </w:t>
      </w:r>
    </w:p>
  </w:footnote>
  <w:footnote w:id="81">
    <w:p w14:paraId="28E01F22" w14:textId="0044D8BC" w:rsidR="0081004E" w:rsidRDefault="0081004E" w:rsidP="0081004E">
      <w:pPr>
        <w:pStyle w:val="FootnoteText"/>
      </w:pPr>
      <w:r>
        <w:rPr>
          <w:rStyle w:val="FootnoteReference"/>
        </w:rPr>
        <w:footnoteRef/>
      </w:r>
      <w:r>
        <w:t xml:space="preserve"> </w:t>
      </w:r>
      <w:r w:rsidRPr="006C6143">
        <w:rPr>
          <w:rFonts w:ascii="Times New Roman" w:hAnsi="Times New Roman" w:cs="Times New Roman"/>
        </w:rPr>
        <w:t xml:space="preserve">J Mashaw, </w:t>
      </w:r>
      <w:r w:rsidRPr="006C6143">
        <w:rPr>
          <w:rFonts w:ascii="Times New Roman" w:hAnsi="Times New Roman" w:cs="Times New Roman"/>
          <w:i/>
          <w:iCs/>
        </w:rPr>
        <w:t>Bureaucratic Justice: Managing Social Security Disability Claims</w:t>
      </w:r>
      <w:r w:rsidRPr="006C6143">
        <w:rPr>
          <w:rFonts w:ascii="Times New Roman" w:hAnsi="Times New Roman" w:cs="Times New Roman"/>
        </w:rPr>
        <w:t xml:space="preserve"> (Yale University Press 1983)</w:t>
      </w:r>
      <w:r w:rsidR="009008F2" w:rsidRPr="009008F2">
        <w:rPr>
          <w:rFonts w:ascii="Times New Roman" w:hAnsi="Times New Roman" w:cs="Times New Roman"/>
        </w:rPr>
        <w:t xml:space="preserve"> </w:t>
      </w:r>
      <w:r w:rsidR="009008F2">
        <w:rPr>
          <w:rFonts w:ascii="Times New Roman" w:hAnsi="Times New Roman" w:cs="Times New Roman"/>
        </w:rPr>
        <w:t>at p. 26</w:t>
      </w:r>
    </w:p>
  </w:footnote>
  <w:footnote w:id="82">
    <w:p w14:paraId="382FEC93" w14:textId="2B7C9B30" w:rsidR="009B6442" w:rsidRPr="009B6442" w:rsidRDefault="009B6442">
      <w:pPr>
        <w:pStyle w:val="FootnoteText"/>
      </w:pPr>
      <w:r w:rsidRPr="002618D8">
        <w:rPr>
          <w:rStyle w:val="FootnoteReference"/>
          <w:rFonts w:ascii="Times New Roman" w:hAnsi="Times New Roman" w:cs="Times New Roman"/>
        </w:rPr>
        <w:footnoteRef/>
      </w:r>
      <w:r w:rsidRPr="002618D8">
        <w:rPr>
          <w:rFonts w:ascii="Times New Roman" w:hAnsi="Times New Roman" w:cs="Times New Roman"/>
        </w:rPr>
        <w:t xml:space="preserve"> Tom Tyler </w:t>
      </w:r>
      <w:r w:rsidRPr="002618D8">
        <w:rPr>
          <w:rFonts w:ascii="Times New Roman" w:hAnsi="Times New Roman" w:cs="Times New Roman"/>
          <w:i/>
          <w:iCs/>
        </w:rPr>
        <w:t>Why People Obey the Law</w:t>
      </w:r>
      <w:r w:rsidRPr="002618D8">
        <w:rPr>
          <w:rFonts w:ascii="Times New Roman" w:hAnsi="Times New Roman" w:cs="Times New Roman"/>
        </w:rPr>
        <w:t xml:space="preserve"> (Princeton University Press 2006)</w:t>
      </w:r>
    </w:p>
  </w:footnote>
  <w:footnote w:id="83">
    <w:p w14:paraId="34B0859D" w14:textId="4E717CBF" w:rsidR="007B23E9" w:rsidRPr="002618D8" w:rsidRDefault="007B23E9">
      <w:pPr>
        <w:pStyle w:val="FootnoteText"/>
        <w:rPr>
          <w:rFonts w:ascii="Times New Roman" w:hAnsi="Times New Roman" w:cs="Times New Roman"/>
        </w:rPr>
      </w:pPr>
      <w:r w:rsidRPr="002618D8">
        <w:rPr>
          <w:rStyle w:val="FootnoteReference"/>
          <w:rFonts w:ascii="Times New Roman" w:hAnsi="Times New Roman" w:cs="Times New Roman"/>
        </w:rPr>
        <w:footnoteRef/>
      </w:r>
      <w:r w:rsidRPr="002618D8">
        <w:rPr>
          <w:rFonts w:ascii="Times New Roman" w:hAnsi="Times New Roman" w:cs="Times New Roman"/>
        </w:rPr>
        <w:t xml:space="preserve"> Tom Tyler, ‘Procedural Justice and Policing: A Rush to Judgement? (2017) 13(1) </w:t>
      </w:r>
      <w:r w:rsidRPr="002618D8">
        <w:rPr>
          <w:rFonts w:ascii="Times New Roman" w:hAnsi="Times New Roman" w:cs="Times New Roman"/>
          <w:i/>
          <w:iCs/>
        </w:rPr>
        <w:t>Annual Review of Law and Social Science</w:t>
      </w:r>
      <w:r w:rsidRPr="002618D8">
        <w:rPr>
          <w:rFonts w:ascii="Times New Roman" w:hAnsi="Times New Roman" w:cs="Times New Roman"/>
        </w:rPr>
        <w:t xml:space="preserve"> 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FFA"/>
    <w:multiLevelType w:val="hybridMultilevel"/>
    <w:tmpl w:val="309AE2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104FE"/>
    <w:multiLevelType w:val="hybridMultilevel"/>
    <w:tmpl w:val="319231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54790B"/>
    <w:multiLevelType w:val="hybridMultilevel"/>
    <w:tmpl w:val="476676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450834"/>
    <w:multiLevelType w:val="hybridMultilevel"/>
    <w:tmpl w:val="DD9C4F84"/>
    <w:lvl w:ilvl="0" w:tplc="42E2652C">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382118"/>
    <w:multiLevelType w:val="multilevel"/>
    <w:tmpl w:val="9E441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96287B"/>
    <w:multiLevelType w:val="hybridMultilevel"/>
    <w:tmpl w:val="22208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2D3850"/>
    <w:multiLevelType w:val="hybridMultilevel"/>
    <w:tmpl w:val="CB8093CC"/>
    <w:lvl w:ilvl="0" w:tplc="704214F8">
      <w:start w:val="6"/>
      <w:numFmt w:val="bullet"/>
      <w:lvlText w:val="-"/>
      <w:lvlJc w:val="left"/>
      <w:pPr>
        <w:ind w:left="420" w:hanging="360"/>
      </w:pPr>
      <w:rPr>
        <w:rFonts w:ascii="Palatino Linotype" w:eastAsia="Times New Roman" w:hAnsi="Palatino Linotype"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472171E9"/>
    <w:multiLevelType w:val="hybridMultilevel"/>
    <w:tmpl w:val="39746974"/>
    <w:lvl w:ilvl="0" w:tplc="3E827000">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1541F5"/>
    <w:multiLevelType w:val="hybridMultilevel"/>
    <w:tmpl w:val="476676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4F72FA"/>
    <w:multiLevelType w:val="hybridMultilevel"/>
    <w:tmpl w:val="CA4C5142"/>
    <w:lvl w:ilvl="0" w:tplc="BE4E3B5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6B0E3B"/>
    <w:multiLevelType w:val="hybridMultilevel"/>
    <w:tmpl w:val="7FEABEC2"/>
    <w:lvl w:ilvl="0" w:tplc="7F8A560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A02B21"/>
    <w:multiLevelType w:val="multilevel"/>
    <w:tmpl w:val="8128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ED6BE7"/>
    <w:multiLevelType w:val="hybridMultilevel"/>
    <w:tmpl w:val="5B0441C8"/>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FCC44C1"/>
    <w:multiLevelType w:val="hybridMultilevel"/>
    <w:tmpl w:val="5B0441C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2200A32"/>
    <w:multiLevelType w:val="hybridMultilevel"/>
    <w:tmpl w:val="FC14532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9255FB3"/>
    <w:multiLevelType w:val="hybridMultilevel"/>
    <w:tmpl w:val="41F47970"/>
    <w:lvl w:ilvl="0" w:tplc="08090015">
      <w:start w:val="1"/>
      <w:numFmt w:val="upperLetter"/>
      <w:lvlText w:val="%1."/>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F065D9"/>
    <w:multiLevelType w:val="hybridMultilevel"/>
    <w:tmpl w:val="ECB44C1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74696706">
    <w:abstractNumId w:val="5"/>
  </w:num>
  <w:num w:numId="2" w16cid:durableId="1875651249">
    <w:abstractNumId w:val="3"/>
  </w:num>
  <w:num w:numId="3" w16cid:durableId="1666319908">
    <w:abstractNumId w:val="1"/>
  </w:num>
  <w:num w:numId="4" w16cid:durableId="476069266">
    <w:abstractNumId w:val="0"/>
  </w:num>
  <w:num w:numId="5" w16cid:durableId="1573463417">
    <w:abstractNumId w:val="14"/>
  </w:num>
  <w:num w:numId="6" w16cid:durableId="265311811">
    <w:abstractNumId w:val="15"/>
  </w:num>
  <w:num w:numId="7" w16cid:durableId="94908323">
    <w:abstractNumId w:val="13"/>
  </w:num>
  <w:num w:numId="8" w16cid:durableId="2009671123">
    <w:abstractNumId w:val="12"/>
  </w:num>
  <w:num w:numId="9" w16cid:durableId="616134402">
    <w:abstractNumId w:val="11"/>
  </w:num>
  <w:num w:numId="10" w16cid:durableId="1071150657">
    <w:abstractNumId w:val="4"/>
  </w:num>
  <w:num w:numId="11" w16cid:durableId="1096361087">
    <w:abstractNumId w:val="16"/>
  </w:num>
  <w:num w:numId="12" w16cid:durableId="409809759">
    <w:abstractNumId w:val="7"/>
  </w:num>
  <w:num w:numId="13" w16cid:durableId="597719541">
    <w:abstractNumId w:val="8"/>
  </w:num>
  <w:num w:numId="14" w16cid:durableId="1238906201">
    <w:abstractNumId w:val="2"/>
  </w:num>
  <w:num w:numId="15" w16cid:durableId="1653215530">
    <w:abstractNumId w:val="10"/>
  </w:num>
  <w:num w:numId="16" w16cid:durableId="509636122">
    <w:abstractNumId w:val="9"/>
  </w:num>
  <w:num w:numId="17" w16cid:durableId="1622116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defaultTabStop w:val="720"/>
  <w:drawingGridHorizontalSpacing w:val="120"/>
  <w:displayHorizontalDrawingGridEvery w:val="2"/>
  <w:displayVerticalDrawingGridEvery w:val="2"/>
  <w:characterSpacingControl w:val="doNotCompres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679"/>
    <w:rsid w:val="000001DD"/>
    <w:rsid w:val="00000734"/>
    <w:rsid w:val="000028AF"/>
    <w:rsid w:val="00005E3B"/>
    <w:rsid w:val="00007C0A"/>
    <w:rsid w:val="00022F5D"/>
    <w:rsid w:val="000360B9"/>
    <w:rsid w:val="00037206"/>
    <w:rsid w:val="00043759"/>
    <w:rsid w:val="0004410C"/>
    <w:rsid w:val="00046805"/>
    <w:rsid w:val="00047711"/>
    <w:rsid w:val="00052C0E"/>
    <w:rsid w:val="00064022"/>
    <w:rsid w:val="00064B8C"/>
    <w:rsid w:val="000701DD"/>
    <w:rsid w:val="00071403"/>
    <w:rsid w:val="00071D2A"/>
    <w:rsid w:val="0007203E"/>
    <w:rsid w:val="000729CC"/>
    <w:rsid w:val="00074AEC"/>
    <w:rsid w:val="00074B17"/>
    <w:rsid w:val="00075122"/>
    <w:rsid w:val="00077FD7"/>
    <w:rsid w:val="00082405"/>
    <w:rsid w:val="00084B5E"/>
    <w:rsid w:val="00096874"/>
    <w:rsid w:val="000A3BE9"/>
    <w:rsid w:val="000B36DF"/>
    <w:rsid w:val="000B4D83"/>
    <w:rsid w:val="000B6F13"/>
    <w:rsid w:val="000C0F9A"/>
    <w:rsid w:val="000C1187"/>
    <w:rsid w:val="000C6EDC"/>
    <w:rsid w:val="000D055F"/>
    <w:rsid w:val="000D4E1F"/>
    <w:rsid w:val="000F2B89"/>
    <w:rsid w:val="00100FBC"/>
    <w:rsid w:val="001010B5"/>
    <w:rsid w:val="00101BBA"/>
    <w:rsid w:val="001113E4"/>
    <w:rsid w:val="0011426C"/>
    <w:rsid w:val="001144E0"/>
    <w:rsid w:val="001214ED"/>
    <w:rsid w:val="00125DFE"/>
    <w:rsid w:val="0013153E"/>
    <w:rsid w:val="001364BD"/>
    <w:rsid w:val="00140F61"/>
    <w:rsid w:val="00141B17"/>
    <w:rsid w:val="001504E5"/>
    <w:rsid w:val="001636A8"/>
    <w:rsid w:val="001676D7"/>
    <w:rsid w:val="0017198B"/>
    <w:rsid w:val="001728E3"/>
    <w:rsid w:val="001742C0"/>
    <w:rsid w:val="00180B8E"/>
    <w:rsid w:val="00180CD1"/>
    <w:rsid w:val="00183172"/>
    <w:rsid w:val="0018418B"/>
    <w:rsid w:val="00185A54"/>
    <w:rsid w:val="0019438E"/>
    <w:rsid w:val="001A00E5"/>
    <w:rsid w:val="001A2EA5"/>
    <w:rsid w:val="001A6945"/>
    <w:rsid w:val="001C5AAB"/>
    <w:rsid w:val="001D0F25"/>
    <w:rsid w:val="001D131C"/>
    <w:rsid w:val="001D4C87"/>
    <w:rsid w:val="001D6C77"/>
    <w:rsid w:val="001F16B9"/>
    <w:rsid w:val="001F5297"/>
    <w:rsid w:val="001F5BE4"/>
    <w:rsid w:val="00215CA2"/>
    <w:rsid w:val="002265FF"/>
    <w:rsid w:val="002308A0"/>
    <w:rsid w:val="00231AD6"/>
    <w:rsid w:val="00236111"/>
    <w:rsid w:val="00244CEE"/>
    <w:rsid w:val="00244DEB"/>
    <w:rsid w:val="00253C52"/>
    <w:rsid w:val="002618D8"/>
    <w:rsid w:val="002622FC"/>
    <w:rsid w:val="00263165"/>
    <w:rsid w:val="002642B2"/>
    <w:rsid w:val="00270305"/>
    <w:rsid w:val="00277655"/>
    <w:rsid w:val="002844EB"/>
    <w:rsid w:val="00292C72"/>
    <w:rsid w:val="002A6E69"/>
    <w:rsid w:val="002A7D49"/>
    <w:rsid w:val="002B1EAE"/>
    <w:rsid w:val="002B2BEF"/>
    <w:rsid w:val="002B64A5"/>
    <w:rsid w:val="002C01F6"/>
    <w:rsid w:val="002C02D5"/>
    <w:rsid w:val="002C175F"/>
    <w:rsid w:val="002C4C5F"/>
    <w:rsid w:val="002D33AE"/>
    <w:rsid w:val="002D492D"/>
    <w:rsid w:val="002E0A48"/>
    <w:rsid w:val="002E1318"/>
    <w:rsid w:val="002E3D3E"/>
    <w:rsid w:val="002E43DB"/>
    <w:rsid w:val="002F0756"/>
    <w:rsid w:val="002F2580"/>
    <w:rsid w:val="003034EA"/>
    <w:rsid w:val="00307001"/>
    <w:rsid w:val="003132D2"/>
    <w:rsid w:val="00342578"/>
    <w:rsid w:val="00346D71"/>
    <w:rsid w:val="00347B5D"/>
    <w:rsid w:val="003507E8"/>
    <w:rsid w:val="0035105E"/>
    <w:rsid w:val="00367761"/>
    <w:rsid w:val="0037009B"/>
    <w:rsid w:val="00373102"/>
    <w:rsid w:val="0037623A"/>
    <w:rsid w:val="00383482"/>
    <w:rsid w:val="003903A4"/>
    <w:rsid w:val="00392BDE"/>
    <w:rsid w:val="0039426E"/>
    <w:rsid w:val="00396C63"/>
    <w:rsid w:val="003A1301"/>
    <w:rsid w:val="003A4F2E"/>
    <w:rsid w:val="003A5889"/>
    <w:rsid w:val="003A7F15"/>
    <w:rsid w:val="003B58A7"/>
    <w:rsid w:val="003B5CC3"/>
    <w:rsid w:val="003B7BC4"/>
    <w:rsid w:val="003C0742"/>
    <w:rsid w:val="003C1045"/>
    <w:rsid w:val="003C341F"/>
    <w:rsid w:val="003D3D05"/>
    <w:rsid w:val="003D5016"/>
    <w:rsid w:val="003E53EE"/>
    <w:rsid w:val="003E7B07"/>
    <w:rsid w:val="00400EFE"/>
    <w:rsid w:val="004011D2"/>
    <w:rsid w:val="00402991"/>
    <w:rsid w:val="00412E05"/>
    <w:rsid w:val="004138E9"/>
    <w:rsid w:val="0041644E"/>
    <w:rsid w:val="004327BD"/>
    <w:rsid w:val="00433195"/>
    <w:rsid w:val="0043362B"/>
    <w:rsid w:val="00435F0D"/>
    <w:rsid w:val="0044670C"/>
    <w:rsid w:val="00447BC0"/>
    <w:rsid w:val="00450F86"/>
    <w:rsid w:val="004548C6"/>
    <w:rsid w:val="004548E3"/>
    <w:rsid w:val="00456D2F"/>
    <w:rsid w:val="00467C1C"/>
    <w:rsid w:val="004715E5"/>
    <w:rsid w:val="00474EC0"/>
    <w:rsid w:val="004863CC"/>
    <w:rsid w:val="00491361"/>
    <w:rsid w:val="00492953"/>
    <w:rsid w:val="004937D1"/>
    <w:rsid w:val="00495908"/>
    <w:rsid w:val="004A2B6A"/>
    <w:rsid w:val="004A2FA1"/>
    <w:rsid w:val="004A4B23"/>
    <w:rsid w:val="004A4D53"/>
    <w:rsid w:val="004B02FF"/>
    <w:rsid w:val="004B53AA"/>
    <w:rsid w:val="004C4EC4"/>
    <w:rsid w:val="004D33A7"/>
    <w:rsid w:val="004D6802"/>
    <w:rsid w:val="004D736E"/>
    <w:rsid w:val="004E4E24"/>
    <w:rsid w:val="004E6215"/>
    <w:rsid w:val="004E65EF"/>
    <w:rsid w:val="004E6982"/>
    <w:rsid w:val="004F3C56"/>
    <w:rsid w:val="004F51E9"/>
    <w:rsid w:val="00503400"/>
    <w:rsid w:val="0050455D"/>
    <w:rsid w:val="00506D51"/>
    <w:rsid w:val="00531590"/>
    <w:rsid w:val="005330C3"/>
    <w:rsid w:val="00537A44"/>
    <w:rsid w:val="00546439"/>
    <w:rsid w:val="00564939"/>
    <w:rsid w:val="00571EBD"/>
    <w:rsid w:val="00577972"/>
    <w:rsid w:val="00583756"/>
    <w:rsid w:val="00596220"/>
    <w:rsid w:val="005A1A20"/>
    <w:rsid w:val="005A6270"/>
    <w:rsid w:val="005A7A05"/>
    <w:rsid w:val="005B01C6"/>
    <w:rsid w:val="005B272B"/>
    <w:rsid w:val="005C60C7"/>
    <w:rsid w:val="005D2FD2"/>
    <w:rsid w:val="005E3108"/>
    <w:rsid w:val="005E34B4"/>
    <w:rsid w:val="005F5664"/>
    <w:rsid w:val="005F56AF"/>
    <w:rsid w:val="00605424"/>
    <w:rsid w:val="00606443"/>
    <w:rsid w:val="00617032"/>
    <w:rsid w:val="006215A5"/>
    <w:rsid w:val="006234F7"/>
    <w:rsid w:val="00627E20"/>
    <w:rsid w:val="00631431"/>
    <w:rsid w:val="00634274"/>
    <w:rsid w:val="0063788B"/>
    <w:rsid w:val="006423FA"/>
    <w:rsid w:val="00645F5D"/>
    <w:rsid w:val="00656082"/>
    <w:rsid w:val="00660F3C"/>
    <w:rsid w:val="00665959"/>
    <w:rsid w:val="00666D24"/>
    <w:rsid w:val="00675072"/>
    <w:rsid w:val="00687A45"/>
    <w:rsid w:val="0069521A"/>
    <w:rsid w:val="006959B6"/>
    <w:rsid w:val="006A339C"/>
    <w:rsid w:val="006B0BA1"/>
    <w:rsid w:val="006B0D91"/>
    <w:rsid w:val="006C6143"/>
    <w:rsid w:val="006C7568"/>
    <w:rsid w:val="006C78A0"/>
    <w:rsid w:val="006D1B57"/>
    <w:rsid w:val="006D59CD"/>
    <w:rsid w:val="006D759A"/>
    <w:rsid w:val="006E1D82"/>
    <w:rsid w:val="006F1B1E"/>
    <w:rsid w:val="00702B99"/>
    <w:rsid w:val="00702DB6"/>
    <w:rsid w:val="00703423"/>
    <w:rsid w:val="00706DAC"/>
    <w:rsid w:val="0070749C"/>
    <w:rsid w:val="00710FB2"/>
    <w:rsid w:val="00711892"/>
    <w:rsid w:val="0071489A"/>
    <w:rsid w:val="00723795"/>
    <w:rsid w:val="007277D0"/>
    <w:rsid w:val="0073018F"/>
    <w:rsid w:val="00736244"/>
    <w:rsid w:val="00741389"/>
    <w:rsid w:val="00751D58"/>
    <w:rsid w:val="00754ABC"/>
    <w:rsid w:val="00755CB7"/>
    <w:rsid w:val="007568C9"/>
    <w:rsid w:val="007568D6"/>
    <w:rsid w:val="00765019"/>
    <w:rsid w:val="00767AEF"/>
    <w:rsid w:val="00775348"/>
    <w:rsid w:val="00783F2B"/>
    <w:rsid w:val="00786A6C"/>
    <w:rsid w:val="007927A6"/>
    <w:rsid w:val="007A5291"/>
    <w:rsid w:val="007A736C"/>
    <w:rsid w:val="007A773E"/>
    <w:rsid w:val="007B23E9"/>
    <w:rsid w:val="007C077D"/>
    <w:rsid w:val="007C117A"/>
    <w:rsid w:val="007C65B5"/>
    <w:rsid w:val="007D278F"/>
    <w:rsid w:val="007D59E0"/>
    <w:rsid w:val="007E3B7B"/>
    <w:rsid w:val="007F0360"/>
    <w:rsid w:val="007F1812"/>
    <w:rsid w:val="007F44C5"/>
    <w:rsid w:val="007F4BD4"/>
    <w:rsid w:val="00805743"/>
    <w:rsid w:val="0081004E"/>
    <w:rsid w:val="00813B78"/>
    <w:rsid w:val="00820643"/>
    <w:rsid w:val="008221AE"/>
    <w:rsid w:val="00826D5B"/>
    <w:rsid w:val="00831E4A"/>
    <w:rsid w:val="00844089"/>
    <w:rsid w:val="008569CF"/>
    <w:rsid w:val="00861D2B"/>
    <w:rsid w:val="00864D2A"/>
    <w:rsid w:val="00870BDD"/>
    <w:rsid w:val="0087440C"/>
    <w:rsid w:val="0088189F"/>
    <w:rsid w:val="00882480"/>
    <w:rsid w:val="0088378D"/>
    <w:rsid w:val="008930C5"/>
    <w:rsid w:val="0089661F"/>
    <w:rsid w:val="008966BE"/>
    <w:rsid w:val="00896A26"/>
    <w:rsid w:val="00897679"/>
    <w:rsid w:val="008B5424"/>
    <w:rsid w:val="008B6727"/>
    <w:rsid w:val="008C6568"/>
    <w:rsid w:val="008C65A8"/>
    <w:rsid w:val="008D03A1"/>
    <w:rsid w:val="008D7B49"/>
    <w:rsid w:val="008E191A"/>
    <w:rsid w:val="008F0E77"/>
    <w:rsid w:val="008F12F4"/>
    <w:rsid w:val="008F1FF1"/>
    <w:rsid w:val="008F411D"/>
    <w:rsid w:val="008F5CC6"/>
    <w:rsid w:val="008F6E0F"/>
    <w:rsid w:val="009008F2"/>
    <w:rsid w:val="0090218B"/>
    <w:rsid w:val="00910526"/>
    <w:rsid w:val="00911818"/>
    <w:rsid w:val="00913023"/>
    <w:rsid w:val="00917D11"/>
    <w:rsid w:val="009218D3"/>
    <w:rsid w:val="00922170"/>
    <w:rsid w:val="00923B4E"/>
    <w:rsid w:val="00924A5A"/>
    <w:rsid w:val="00933AED"/>
    <w:rsid w:val="00935E8A"/>
    <w:rsid w:val="00943130"/>
    <w:rsid w:val="0094350F"/>
    <w:rsid w:val="00943D67"/>
    <w:rsid w:val="00945A9B"/>
    <w:rsid w:val="00950DA1"/>
    <w:rsid w:val="009513E8"/>
    <w:rsid w:val="0095765D"/>
    <w:rsid w:val="009576B5"/>
    <w:rsid w:val="00965AFA"/>
    <w:rsid w:val="00966C1E"/>
    <w:rsid w:val="00970340"/>
    <w:rsid w:val="00971A21"/>
    <w:rsid w:val="00972CCD"/>
    <w:rsid w:val="0097384A"/>
    <w:rsid w:val="0098736A"/>
    <w:rsid w:val="00992B32"/>
    <w:rsid w:val="009930AA"/>
    <w:rsid w:val="009A6263"/>
    <w:rsid w:val="009B0779"/>
    <w:rsid w:val="009B1882"/>
    <w:rsid w:val="009B6442"/>
    <w:rsid w:val="009B77F2"/>
    <w:rsid w:val="009E1335"/>
    <w:rsid w:val="009E517C"/>
    <w:rsid w:val="009E6081"/>
    <w:rsid w:val="009E6719"/>
    <w:rsid w:val="009F11DE"/>
    <w:rsid w:val="009F14B9"/>
    <w:rsid w:val="009F3130"/>
    <w:rsid w:val="009F3D27"/>
    <w:rsid w:val="00A02C60"/>
    <w:rsid w:val="00A149BF"/>
    <w:rsid w:val="00A166C1"/>
    <w:rsid w:val="00A30A06"/>
    <w:rsid w:val="00A31EEC"/>
    <w:rsid w:val="00A34344"/>
    <w:rsid w:val="00A353BE"/>
    <w:rsid w:val="00A36706"/>
    <w:rsid w:val="00A376A4"/>
    <w:rsid w:val="00A40205"/>
    <w:rsid w:val="00A43DEC"/>
    <w:rsid w:val="00A44C28"/>
    <w:rsid w:val="00A4604D"/>
    <w:rsid w:val="00A51B69"/>
    <w:rsid w:val="00A5432B"/>
    <w:rsid w:val="00A63F6E"/>
    <w:rsid w:val="00A7141A"/>
    <w:rsid w:val="00A7208A"/>
    <w:rsid w:val="00A746F7"/>
    <w:rsid w:val="00A75FE0"/>
    <w:rsid w:val="00A77982"/>
    <w:rsid w:val="00A85AC4"/>
    <w:rsid w:val="00A940A1"/>
    <w:rsid w:val="00AA095D"/>
    <w:rsid w:val="00AA26CD"/>
    <w:rsid w:val="00AA2D23"/>
    <w:rsid w:val="00AA42B7"/>
    <w:rsid w:val="00AB11E8"/>
    <w:rsid w:val="00AB2F1B"/>
    <w:rsid w:val="00AB4526"/>
    <w:rsid w:val="00AC7E9E"/>
    <w:rsid w:val="00AD0983"/>
    <w:rsid w:val="00AD0A9F"/>
    <w:rsid w:val="00AD29D3"/>
    <w:rsid w:val="00AD3E9B"/>
    <w:rsid w:val="00AE136D"/>
    <w:rsid w:val="00AE3D17"/>
    <w:rsid w:val="00AE4A53"/>
    <w:rsid w:val="00AF7142"/>
    <w:rsid w:val="00AF773C"/>
    <w:rsid w:val="00B00433"/>
    <w:rsid w:val="00B15118"/>
    <w:rsid w:val="00B20D4D"/>
    <w:rsid w:val="00B20E87"/>
    <w:rsid w:val="00B24251"/>
    <w:rsid w:val="00B320C3"/>
    <w:rsid w:val="00B3668C"/>
    <w:rsid w:val="00B36D91"/>
    <w:rsid w:val="00B437BC"/>
    <w:rsid w:val="00B52CDB"/>
    <w:rsid w:val="00B535F4"/>
    <w:rsid w:val="00B54FF9"/>
    <w:rsid w:val="00B555C5"/>
    <w:rsid w:val="00B569F0"/>
    <w:rsid w:val="00B5788A"/>
    <w:rsid w:val="00B61A9D"/>
    <w:rsid w:val="00B72287"/>
    <w:rsid w:val="00B7263E"/>
    <w:rsid w:val="00B73CC8"/>
    <w:rsid w:val="00B80838"/>
    <w:rsid w:val="00B82B15"/>
    <w:rsid w:val="00B85900"/>
    <w:rsid w:val="00B86D6C"/>
    <w:rsid w:val="00B932CC"/>
    <w:rsid w:val="00B94A7D"/>
    <w:rsid w:val="00B9578D"/>
    <w:rsid w:val="00B96189"/>
    <w:rsid w:val="00B9746D"/>
    <w:rsid w:val="00BA70F4"/>
    <w:rsid w:val="00BB337E"/>
    <w:rsid w:val="00BC647F"/>
    <w:rsid w:val="00BC7C39"/>
    <w:rsid w:val="00BD2A62"/>
    <w:rsid w:val="00BD573C"/>
    <w:rsid w:val="00BD68BA"/>
    <w:rsid w:val="00BD70AF"/>
    <w:rsid w:val="00BE3244"/>
    <w:rsid w:val="00BF1211"/>
    <w:rsid w:val="00BF20E8"/>
    <w:rsid w:val="00BF3DCB"/>
    <w:rsid w:val="00BF477E"/>
    <w:rsid w:val="00BF629F"/>
    <w:rsid w:val="00BF6E38"/>
    <w:rsid w:val="00C0149E"/>
    <w:rsid w:val="00C04293"/>
    <w:rsid w:val="00C14B56"/>
    <w:rsid w:val="00C16726"/>
    <w:rsid w:val="00C17270"/>
    <w:rsid w:val="00C204AC"/>
    <w:rsid w:val="00C21A63"/>
    <w:rsid w:val="00C227FD"/>
    <w:rsid w:val="00C45C49"/>
    <w:rsid w:val="00C5033E"/>
    <w:rsid w:val="00C53EDD"/>
    <w:rsid w:val="00C637AF"/>
    <w:rsid w:val="00C724CF"/>
    <w:rsid w:val="00C77C6D"/>
    <w:rsid w:val="00C77D6D"/>
    <w:rsid w:val="00C8415A"/>
    <w:rsid w:val="00C85A02"/>
    <w:rsid w:val="00C93331"/>
    <w:rsid w:val="00CA4F12"/>
    <w:rsid w:val="00CB58C4"/>
    <w:rsid w:val="00CB6402"/>
    <w:rsid w:val="00CC3A79"/>
    <w:rsid w:val="00CC487D"/>
    <w:rsid w:val="00CD12EB"/>
    <w:rsid w:val="00CD1AA4"/>
    <w:rsid w:val="00CD3275"/>
    <w:rsid w:val="00CE08BC"/>
    <w:rsid w:val="00CE2ED8"/>
    <w:rsid w:val="00CE33D6"/>
    <w:rsid w:val="00CE5491"/>
    <w:rsid w:val="00CF4BCB"/>
    <w:rsid w:val="00CF74BB"/>
    <w:rsid w:val="00CF7C2C"/>
    <w:rsid w:val="00D107FE"/>
    <w:rsid w:val="00D27373"/>
    <w:rsid w:val="00D3398F"/>
    <w:rsid w:val="00D33A3B"/>
    <w:rsid w:val="00D34F6B"/>
    <w:rsid w:val="00D36DEC"/>
    <w:rsid w:val="00D45B6F"/>
    <w:rsid w:val="00D502AA"/>
    <w:rsid w:val="00D511C2"/>
    <w:rsid w:val="00D52189"/>
    <w:rsid w:val="00D65733"/>
    <w:rsid w:val="00D67BF7"/>
    <w:rsid w:val="00D7312A"/>
    <w:rsid w:val="00D760B8"/>
    <w:rsid w:val="00D83846"/>
    <w:rsid w:val="00D846C2"/>
    <w:rsid w:val="00D92588"/>
    <w:rsid w:val="00D934BC"/>
    <w:rsid w:val="00D95C08"/>
    <w:rsid w:val="00DA4414"/>
    <w:rsid w:val="00DA5B58"/>
    <w:rsid w:val="00DB08FC"/>
    <w:rsid w:val="00DB2BDD"/>
    <w:rsid w:val="00DD07B6"/>
    <w:rsid w:val="00DD3CB7"/>
    <w:rsid w:val="00DD4212"/>
    <w:rsid w:val="00DE61D5"/>
    <w:rsid w:val="00DF0189"/>
    <w:rsid w:val="00DF1402"/>
    <w:rsid w:val="00DF2119"/>
    <w:rsid w:val="00E02FC4"/>
    <w:rsid w:val="00E11384"/>
    <w:rsid w:val="00E12A6F"/>
    <w:rsid w:val="00E206C2"/>
    <w:rsid w:val="00E21570"/>
    <w:rsid w:val="00E23DDE"/>
    <w:rsid w:val="00E25B2B"/>
    <w:rsid w:val="00E30B35"/>
    <w:rsid w:val="00E330B0"/>
    <w:rsid w:val="00E33198"/>
    <w:rsid w:val="00E33582"/>
    <w:rsid w:val="00E3510A"/>
    <w:rsid w:val="00E3778B"/>
    <w:rsid w:val="00E37B84"/>
    <w:rsid w:val="00E45655"/>
    <w:rsid w:val="00E4677C"/>
    <w:rsid w:val="00E52C7F"/>
    <w:rsid w:val="00E5476C"/>
    <w:rsid w:val="00E61303"/>
    <w:rsid w:val="00E67811"/>
    <w:rsid w:val="00E70E9B"/>
    <w:rsid w:val="00E71057"/>
    <w:rsid w:val="00E77EF2"/>
    <w:rsid w:val="00E83F92"/>
    <w:rsid w:val="00E8797D"/>
    <w:rsid w:val="00E90077"/>
    <w:rsid w:val="00E92BCF"/>
    <w:rsid w:val="00E97D5E"/>
    <w:rsid w:val="00E97EEC"/>
    <w:rsid w:val="00EB13DA"/>
    <w:rsid w:val="00EB37E8"/>
    <w:rsid w:val="00EB7D86"/>
    <w:rsid w:val="00EB7F30"/>
    <w:rsid w:val="00EC723C"/>
    <w:rsid w:val="00ED0B00"/>
    <w:rsid w:val="00ED2902"/>
    <w:rsid w:val="00ED304E"/>
    <w:rsid w:val="00ED3223"/>
    <w:rsid w:val="00EE656F"/>
    <w:rsid w:val="00EE7FC2"/>
    <w:rsid w:val="00EF1B98"/>
    <w:rsid w:val="00F03CD2"/>
    <w:rsid w:val="00F04C90"/>
    <w:rsid w:val="00F13EAB"/>
    <w:rsid w:val="00F35003"/>
    <w:rsid w:val="00F41503"/>
    <w:rsid w:val="00F41C2C"/>
    <w:rsid w:val="00F42B1B"/>
    <w:rsid w:val="00F430CA"/>
    <w:rsid w:val="00F44090"/>
    <w:rsid w:val="00F47F01"/>
    <w:rsid w:val="00F62CEF"/>
    <w:rsid w:val="00F62F64"/>
    <w:rsid w:val="00F636ED"/>
    <w:rsid w:val="00F6413D"/>
    <w:rsid w:val="00F676DD"/>
    <w:rsid w:val="00F80580"/>
    <w:rsid w:val="00F84150"/>
    <w:rsid w:val="00F92ACB"/>
    <w:rsid w:val="00FA4FBD"/>
    <w:rsid w:val="00FB1369"/>
    <w:rsid w:val="00FB2820"/>
    <w:rsid w:val="00FB3E72"/>
    <w:rsid w:val="00FC1105"/>
    <w:rsid w:val="00FC2138"/>
    <w:rsid w:val="00FC7CAD"/>
    <w:rsid w:val="00FD0866"/>
    <w:rsid w:val="00FD749E"/>
    <w:rsid w:val="00FE5457"/>
    <w:rsid w:val="00FE5471"/>
    <w:rsid w:val="00FF0AC3"/>
    <w:rsid w:val="00FF2692"/>
    <w:rsid w:val="00FF26B0"/>
    <w:rsid w:val="00FF4BB5"/>
    <w:rsid w:val="00FF625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5A8EE"/>
  <w15:chartTrackingRefBased/>
  <w15:docId w15:val="{2456CA54-E918-9A4D-BC9A-0514426C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B35"/>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577972"/>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3">
    <w:name w:val="heading 3"/>
    <w:basedOn w:val="Normal"/>
    <w:link w:val="Heading3Char"/>
    <w:uiPriority w:val="9"/>
    <w:qFormat/>
    <w:rsid w:val="0057797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9767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897679"/>
    <w:rPr>
      <w:sz w:val="20"/>
      <w:szCs w:val="20"/>
    </w:rPr>
  </w:style>
  <w:style w:type="character" w:styleId="FootnoteReference">
    <w:name w:val="footnote reference"/>
    <w:basedOn w:val="DefaultParagraphFont"/>
    <w:uiPriority w:val="99"/>
    <w:semiHidden/>
    <w:unhideWhenUsed/>
    <w:rsid w:val="00897679"/>
    <w:rPr>
      <w:vertAlign w:val="superscript"/>
    </w:rPr>
  </w:style>
  <w:style w:type="character" w:styleId="Hyperlink">
    <w:name w:val="Hyperlink"/>
    <w:basedOn w:val="DefaultParagraphFont"/>
    <w:uiPriority w:val="99"/>
    <w:unhideWhenUsed/>
    <w:rsid w:val="00ED0B00"/>
    <w:rPr>
      <w:color w:val="0000FF"/>
      <w:u w:val="single"/>
    </w:rPr>
  </w:style>
  <w:style w:type="paragraph" w:styleId="ListParagraph">
    <w:name w:val="List Paragraph"/>
    <w:basedOn w:val="Normal"/>
    <w:uiPriority w:val="34"/>
    <w:qFormat/>
    <w:rsid w:val="00ED0B00"/>
    <w:pPr>
      <w:ind w:left="720"/>
      <w:contextualSpacing/>
    </w:pPr>
    <w:rPr>
      <w:rFonts w:asciiTheme="minorHAnsi" w:eastAsiaTheme="minorHAnsi" w:hAnsiTheme="minorHAnsi" w:cstheme="minorBidi"/>
      <w:lang w:eastAsia="en-US"/>
    </w:rPr>
  </w:style>
  <w:style w:type="character" w:styleId="FollowedHyperlink">
    <w:name w:val="FollowedHyperlink"/>
    <w:basedOn w:val="DefaultParagraphFont"/>
    <w:uiPriority w:val="99"/>
    <w:semiHidden/>
    <w:unhideWhenUsed/>
    <w:rsid w:val="00ED0B00"/>
    <w:rPr>
      <w:color w:val="954F72" w:themeColor="followedHyperlink"/>
      <w:u w:val="single"/>
    </w:rPr>
  </w:style>
  <w:style w:type="character" w:customStyle="1" w:styleId="UnresolvedMention1">
    <w:name w:val="Unresolved Mention1"/>
    <w:basedOn w:val="DefaultParagraphFont"/>
    <w:uiPriority w:val="99"/>
    <w:semiHidden/>
    <w:unhideWhenUsed/>
    <w:rsid w:val="00F636ED"/>
    <w:rPr>
      <w:color w:val="605E5C"/>
      <w:shd w:val="clear" w:color="auto" w:fill="E1DFDD"/>
    </w:rPr>
  </w:style>
  <w:style w:type="paragraph" w:styleId="Header">
    <w:name w:val="header"/>
    <w:basedOn w:val="Normal"/>
    <w:link w:val="HeaderChar"/>
    <w:uiPriority w:val="99"/>
    <w:unhideWhenUsed/>
    <w:rsid w:val="00007C0A"/>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007C0A"/>
  </w:style>
  <w:style w:type="paragraph" w:styleId="Footer">
    <w:name w:val="footer"/>
    <w:basedOn w:val="Normal"/>
    <w:link w:val="FooterChar"/>
    <w:uiPriority w:val="99"/>
    <w:unhideWhenUsed/>
    <w:rsid w:val="00007C0A"/>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007C0A"/>
  </w:style>
  <w:style w:type="character" w:styleId="PageNumber">
    <w:name w:val="page number"/>
    <w:basedOn w:val="DefaultParagraphFont"/>
    <w:uiPriority w:val="99"/>
    <w:semiHidden/>
    <w:unhideWhenUsed/>
    <w:rsid w:val="00007C0A"/>
  </w:style>
  <w:style w:type="character" w:styleId="CommentReference">
    <w:name w:val="annotation reference"/>
    <w:basedOn w:val="DefaultParagraphFont"/>
    <w:uiPriority w:val="99"/>
    <w:semiHidden/>
    <w:unhideWhenUsed/>
    <w:rsid w:val="00D760B8"/>
    <w:rPr>
      <w:sz w:val="16"/>
      <w:szCs w:val="16"/>
    </w:rPr>
  </w:style>
  <w:style w:type="paragraph" w:styleId="CommentText">
    <w:name w:val="annotation text"/>
    <w:basedOn w:val="Normal"/>
    <w:link w:val="CommentTextChar"/>
    <w:uiPriority w:val="99"/>
    <w:unhideWhenUsed/>
    <w:rsid w:val="00D760B8"/>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D760B8"/>
    <w:rPr>
      <w:sz w:val="20"/>
      <w:szCs w:val="20"/>
    </w:rPr>
  </w:style>
  <w:style w:type="paragraph" w:styleId="CommentSubject">
    <w:name w:val="annotation subject"/>
    <w:basedOn w:val="CommentText"/>
    <w:next w:val="CommentText"/>
    <w:link w:val="CommentSubjectChar"/>
    <w:uiPriority w:val="99"/>
    <w:semiHidden/>
    <w:unhideWhenUsed/>
    <w:rsid w:val="00D760B8"/>
    <w:rPr>
      <w:b/>
      <w:bCs/>
    </w:rPr>
  </w:style>
  <w:style w:type="character" w:customStyle="1" w:styleId="CommentSubjectChar">
    <w:name w:val="Comment Subject Char"/>
    <w:basedOn w:val="CommentTextChar"/>
    <w:link w:val="CommentSubject"/>
    <w:uiPriority w:val="99"/>
    <w:semiHidden/>
    <w:rsid w:val="00D760B8"/>
    <w:rPr>
      <w:b/>
      <w:bCs/>
      <w:sz w:val="20"/>
      <w:szCs w:val="20"/>
    </w:rPr>
  </w:style>
  <w:style w:type="character" w:styleId="Emphasis">
    <w:name w:val="Emphasis"/>
    <w:basedOn w:val="DefaultParagraphFont"/>
    <w:uiPriority w:val="20"/>
    <w:qFormat/>
    <w:rsid w:val="00D34F6B"/>
    <w:rPr>
      <w:i/>
      <w:iCs/>
    </w:rPr>
  </w:style>
  <w:style w:type="character" w:customStyle="1" w:styleId="authors">
    <w:name w:val="authors"/>
    <w:basedOn w:val="DefaultParagraphFont"/>
    <w:rsid w:val="00577972"/>
  </w:style>
  <w:style w:type="character" w:customStyle="1" w:styleId="Date1">
    <w:name w:val="Date1"/>
    <w:basedOn w:val="DefaultParagraphFont"/>
    <w:rsid w:val="00577972"/>
  </w:style>
  <w:style w:type="character" w:customStyle="1" w:styleId="arttitle">
    <w:name w:val="art_title"/>
    <w:basedOn w:val="DefaultParagraphFont"/>
    <w:rsid w:val="00577972"/>
  </w:style>
  <w:style w:type="character" w:customStyle="1" w:styleId="serialtitle">
    <w:name w:val="serial_title"/>
    <w:basedOn w:val="DefaultParagraphFont"/>
    <w:rsid w:val="00577972"/>
  </w:style>
  <w:style w:type="character" w:customStyle="1" w:styleId="volumeissue">
    <w:name w:val="volume_issue"/>
    <w:basedOn w:val="DefaultParagraphFont"/>
    <w:rsid w:val="00577972"/>
  </w:style>
  <w:style w:type="character" w:customStyle="1" w:styleId="pagerange">
    <w:name w:val="page_range"/>
    <w:basedOn w:val="DefaultParagraphFont"/>
    <w:rsid w:val="00577972"/>
  </w:style>
  <w:style w:type="paragraph" w:styleId="NormalWeb">
    <w:name w:val="Normal (Web)"/>
    <w:basedOn w:val="Normal"/>
    <w:uiPriority w:val="99"/>
    <w:semiHidden/>
    <w:unhideWhenUsed/>
    <w:rsid w:val="00577972"/>
    <w:pPr>
      <w:spacing w:before="100" w:beforeAutospacing="1" w:after="100" w:afterAutospacing="1"/>
    </w:pPr>
  </w:style>
  <w:style w:type="character" w:customStyle="1" w:styleId="Heading3Char">
    <w:name w:val="Heading 3 Char"/>
    <w:basedOn w:val="DefaultParagraphFont"/>
    <w:link w:val="Heading3"/>
    <w:uiPriority w:val="9"/>
    <w:rsid w:val="00577972"/>
    <w:rPr>
      <w:rFonts w:ascii="Times New Roman" w:eastAsia="Times New Roman" w:hAnsi="Times New Roman" w:cs="Times New Roman"/>
      <w:b/>
      <w:bCs/>
      <w:sz w:val="27"/>
      <w:szCs w:val="27"/>
      <w:lang w:eastAsia="en-GB"/>
    </w:rPr>
  </w:style>
  <w:style w:type="character" w:customStyle="1" w:styleId="Heading1Char">
    <w:name w:val="Heading 1 Char"/>
    <w:basedOn w:val="DefaultParagraphFont"/>
    <w:link w:val="Heading1"/>
    <w:uiPriority w:val="9"/>
    <w:rsid w:val="00577972"/>
    <w:rPr>
      <w:rFonts w:asciiTheme="majorHAnsi" w:eastAsiaTheme="majorEastAsia" w:hAnsiTheme="majorHAnsi" w:cstheme="majorBidi"/>
      <w:color w:val="2F5496" w:themeColor="accent1" w:themeShade="BF"/>
      <w:sz w:val="32"/>
      <w:szCs w:val="32"/>
    </w:rPr>
  </w:style>
  <w:style w:type="character" w:customStyle="1" w:styleId="accordion-tabbedtab-mobile">
    <w:name w:val="accordion-tabbed__tab-mobile"/>
    <w:basedOn w:val="DefaultParagraphFont"/>
    <w:rsid w:val="00577972"/>
  </w:style>
  <w:style w:type="character" w:customStyle="1" w:styleId="comma-separator">
    <w:name w:val="comma-separator"/>
    <w:basedOn w:val="DefaultParagraphFont"/>
    <w:rsid w:val="00577972"/>
  </w:style>
  <w:style w:type="paragraph" w:customStyle="1" w:styleId="volume-issue">
    <w:name w:val="volume-issue"/>
    <w:basedOn w:val="Normal"/>
    <w:rsid w:val="00577972"/>
    <w:pPr>
      <w:spacing w:before="100" w:beforeAutospacing="1" w:after="100" w:afterAutospacing="1"/>
    </w:pPr>
  </w:style>
  <w:style w:type="character" w:customStyle="1" w:styleId="val">
    <w:name w:val="val"/>
    <w:basedOn w:val="DefaultParagraphFont"/>
    <w:rsid w:val="00577972"/>
  </w:style>
  <w:style w:type="paragraph" w:customStyle="1" w:styleId="page-range">
    <w:name w:val="page-range"/>
    <w:basedOn w:val="Normal"/>
    <w:rsid w:val="00577972"/>
    <w:pPr>
      <w:spacing w:before="100" w:beforeAutospacing="1" w:after="100" w:afterAutospacing="1"/>
    </w:pPr>
  </w:style>
  <w:style w:type="paragraph" w:customStyle="1" w:styleId="bib-reference">
    <w:name w:val="bib-reference"/>
    <w:basedOn w:val="Normal"/>
    <w:rsid w:val="009F11DE"/>
    <w:pPr>
      <w:spacing w:before="100" w:beforeAutospacing="1" w:after="100" w:afterAutospacing="1"/>
    </w:pPr>
  </w:style>
  <w:style w:type="character" w:customStyle="1" w:styleId="author">
    <w:name w:val="author"/>
    <w:basedOn w:val="DefaultParagraphFont"/>
    <w:rsid w:val="009F11DE"/>
  </w:style>
  <w:style w:type="table" w:styleId="TableGrid">
    <w:name w:val="Table Grid"/>
    <w:basedOn w:val="TableNormal"/>
    <w:uiPriority w:val="39"/>
    <w:rsid w:val="00642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1301"/>
    <w:pPr>
      <w:widowControl w:val="0"/>
      <w:suppressAutoHyphens/>
      <w:spacing w:after="140" w:line="276" w:lineRule="auto"/>
    </w:pPr>
    <w:rPr>
      <w:rFonts w:ascii="Liberation Serif" w:eastAsia="Songti SC" w:hAnsi="Liberation Serif" w:cs="Arial Unicode MS"/>
      <w:lang w:eastAsia="zh-CN" w:bidi="hi-IN"/>
    </w:rPr>
  </w:style>
  <w:style w:type="character" w:customStyle="1" w:styleId="BodyTextChar">
    <w:name w:val="Body Text Char"/>
    <w:basedOn w:val="DefaultParagraphFont"/>
    <w:link w:val="BodyText"/>
    <w:rsid w:val="003A1301"/>
    <w:rPr>
      <w:rFonts w:ascii="Liberation Serif" w:eastAsia="Songti SC" w:hAnsi="Liberation Serif" w:cs="Arial Unicode MS"/>
      <w:lang w:eastAsia="zh-CN" w:bidi="hi-IN"/>
    </w:rPr>
  </w:style>
  <w:style w:type="table" w:styleId="GridTable7Colorful">
    <w:name w:val="Grid Table 7 Colorful"/>
    <w:basedOn w:val="TableNormal"/>
    <w:uiPriority w:val="52"/>
    <w:rsid w:val="009E67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Revision">
    <w:name w:val="Revision"/>
    <w:hidden/>
    <w:uiPriority w:val="99"/>
    <w:semiHidden/>
    <w:rsid w:val="009B0779"/>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F841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150"/>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9940">
      <w:bodyDiv w:val="1"/>
      <w:marLeft w:val="0"/>
      <w:marRight w:val="0"/>
      <w:marTop w:val="0"/>
      <w:marBottom w:val="0"/>
      <w:divBdr>
        <w:top w:val="none" w:sz="0" w:space="0" w:color="auto"/>
        <w:left w:val="none" w:sz="0" w:space="0" w:color="auto"/>
        <w:bottom w:val="none" w:sz="0" w:space="0" w:color="auto"/>
        <w:right w:val="none" w:sz="0" w:space="0" w:color="auto"/>
      </w:divBdr>
      <w:divsChild>
        <w:div w:id="949511365">
          <w:marLeft w:val="0"/>
          <w:marRight w:val="0"/>
          <w:marTop w:val="0"/>
          <w:marBottom w:val="0"/>
          <w:divBdr>
            <w:top w:val="none" w:sz="0" w:space="0" w:color="auto"/>
            <w:left w:val="none" w:sz="0" w:space="0" w:color="auto"/>
            <w:bottom w:val="none" w:sz="0" w:space="0" w:color="auto"/>
            <w:right w:val="none" w:sz="0" w:space="0" w:color="auto"/>
          </w:divBdr>
          <w:divsChild>
            <w:div w:id="1206212228">
              <w:marLeft w:val="0"/>
              <w:marRight w:val="0"/>
              <w:marTop w:val="0"/>
              <w:marBottom w:val="0"/>
              <w:divBdr>
                <w:top w:val="none" w:sz="0" w:space="0" w:color="auto"/>
                <w:left w:val="none" w:sz="0" w:space="0" w:color="auto"/>
                <w:bottom w:val="none" w:sz="0" w:space="0" w:color="auto"/>
                <w:right w:val="none" w:sz="0" w:space="0" w:color="auto"/>
              </w:divBdr>
              <w:divsChild>
                <w:div w:id="1319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4895">
      <w:bodyDiv w:val="1"/>
      <w:marLeft w:val="0"/>
      <w:marRight w:val="0"/>
      <w:marTop w:val="0"/>
      <w:marBottom w:val="0"/>
      <w:divBdr>
        <w:top w:val="none" w:sz="0" w:space="0" w:color="auto"/>
        <w:left w:val="none" w:sz="0" w:space="0" w:color="auto"/>
        <w:bottom w:val="none" w:sz="0" w:space="0" w:color="auto"/>
        <w:right w:val="none" w:sz="0" w:space="0" w:color="auto"/>
      </w:divBdr>
      <w:divsChild>
        <w:div w:id="344790132">
          <w:marLeft w:val="0"/>
          <w:marRight w:val="0"/>
          <w:marTop w:val="0"/>
          <w:marBottom w:val="0"/>
          <w:divBdr>
            <w:top w:val="none" w:sz="0" w:space="0" w:color="auto"/>
            <w:left w:val="none" w:sz="0" w:space="0" w:color="auto"/>
            <w:bottom w:val="none" w:sz="0" w:space="0" w:color="auto"/>
            <w:right w:val="none" w:sz="0" w:space="0" w:color="auto"/>
          </w:divBdr>
        </w:div>
        <w:div w:id="1165895633">
          <w:marLeft w:val="0"/>
          <w:marRight w:val="0"/>
          <w:marTop w:val="0"/>
          <w:marBottom w:val="0"/>
          <w:divBdr>
            <w:top w:val="none" w:sz="0" w:space="0" w:color="auto"/>
            <w:left w:val="none" w:sz="0" w:space="0" w:color="auto"/>
            <w:bottom w:val="none" w:sz="0" w:space="0" w:color="auto"/>
            <w:right w:val="none" w:sz="0" w:space="0" w:color="auto"/>
          </w:divBdr>
        </w:div>
      </w:divsChild>
    </w:div>
    <w:div w:id="81729826">
      <w:bodyDiv w:val="1"/>
      <w:marLeft w:val="0"/>
      <w:marRight w:val="0"/>
      <w:marTop w:val="0"/>
      <w:marBottom w:val="0"/>
      <w:divBdr>
        <w:top w:val="none" w:sz="0" w:space="0" w:color="auto"/>
        <w:left w:val="none" w:sz="0" w:space="0" w:color="auto"/>
        <w:bottom w:val="none" w:sz="0" w:space="0" w:color="auto"/>
        <w:right w:val="none" w:sz="0" w:space="0" w:color="auto"/>
      </w:divBdr>
      <w:divsChild>
        <w:div w:id="789595021">
          <w:marLeft w:val="0"/>
          <w:marRight w:val="0"/>
          <w:marTop w:val="0"/>
          <w:marBottom w:val="0"/>
          <w:divBdr>
            <w:top w:val="none" w:sz="0" w:space="0" w:color="auto"/>
            <w:left w:val="none" w:sz="0" w:space="0" w:color="auto"/>
            <w:bottom w:val="none" w:sz="0" w:space="0" w:color="auto"/>
            <w:right w:val="none" w:sz="0" w:space="0" w:color="auto"/>
          </w:divBdr>
          <w:divsChild>
            <w:div w:id="875240621">
              <w:marLeft w:val="0"/>
              <w:marRight w:val="0"/>
              <w:marTop w:val="0"/>
              <w:marBottom w:val="0"/>
              <w:divBdr>
                <w:top w:val="none" w:sz="0" w:space="0" w:color="auto"/>
                <w:left w:val="none" w:sz="0" w:space="0" w:color="auto"/>
                <w:bottom w:val="none" w:sz="0" w:space="0" w:color="auto"/>
                <w:right w:val="none" w:sz="0" w:space="0" w:color="auto"/>
              </w:divBdr>
              <w:divsChild>
                <w:div w:id="2010936373">
                  <w:marLeft w:val="0"/>
                  <w:marRight w:val="0"/>
                  <w:marTop w:val="0"/>
                  <w:marBottom w:val="0"/>
                  <w:divBdr>
                    <w:top w:val="none" w:sz="0" w:space="0" w:color="auto"/>
                    <w:left w:val="none" w:sz="0" w:space="0" w:color="auto"/>
                    <w:bottom w:val="none" w:sz="0" w:space="0" w:color="auto"/>
                    <w:right w:val="none" w:sz="0" w:space="0" w:color="auto"/>
                  </w:divBdr>
                  <w:divsChild>
                    <w:div w:id="7485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1656">
      <w:bodyDiv w:val="1"/>
      <w:marLeft w:val="0"/>
      <w:marRight w:val="0"/>
      <w:marTop w:val="0"/>
      <w:marBottom w:val="0"/>
      <w:divBdr>
        <w:top w:val="none" w:sz="0" w:space="0" w:color="auto"/>
        <w:left w:val="none" w:sz="0" w:space="0" w:color="auto"/>
        <w:bottom w:val="none" w:sz="0" w:space="0" w:color="auto"/>
        <w:right w:val="none" w:sz="0" w:space="0" w:color="auto"/>
      </w:divBdr>
      <w:divsChild>
        <w:div w:id="2141728688">
          <w:marLeft w:val="0"/>
          <w:marRight w:val="0"/>
          <w:marTop w:val="0"/>
          <w:marBottom w:val="0"/>
          <w:divBdr>
            <w:top w:val="none" w:sz="0" w:space="0" w:color="auto"/>
            <w:left w:val="none" w:sz="0" w:space="0" w:color="auto"/>
            <w:bottom w:val="none" w:sz="0" w:space="0" w:color="auto"/>
            <w:right w:val="none" w:sz="0" w:space="0" w:color="auto"/>
          </w:divBdr>
          <w:divsChild>
            <w:div w:id="105534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67733">
      <w:bodyDiv w:val="1"/>
      <w:marLeft w:val="0"/>
      <w:marRight w:val="0"/>
      <w:marTop w:val="0"/>
      <w:marBottom w:val="0"/>
      <w:divBdr>
        <w:top w:val="none" w:sz="0" w:space="0" w:color="auto"/>
        <w:left w:val="none" w:sz="0" w:space="0" w:color="auto"/>
        <w:bottom w:val="none" w:sz="0" w:space="0" w:color="auto"/>
        <w:right w:val="none" w:sz="0" w:space="0" w:color="auto"/>
      </w:divBdr>
      <w:divsChild>
        <w:div w:id="52507624">
          <w:marLeft w:val="0"/>
          <w:marRight w:val="0"/>
          <w:marTop w:val="0"/>
          <w:marBottom w:val="0"/>
          <w:divBdr>
            <w:top w:val="none" w:sz="0" w:space="0" w:color="auto"/>
            <w:left w:val="none" w:sz="0" w:space="0" w:color="auto"/>
            <w:bottom w:val="single" w:sz="6" w:space="0" w:color="CCCCCC"/>
            <w:right w:val="none" w:sz="0" w:space="0" w:color="auto"/>
          </w:divBdr>
          <w:divsChild>
            <w:div w:id="1710301326">
              <w:marLeft w:val="0"/>
              <w:marRight w:val="0"/>
              <w:marTop w:val="120"/>
              <w:marBottom w:val="0"/>
              <w:divBdr>
                <w:top w:val="none" w:sz="0" w:space="0" w:color="auto"/>
                <w:left w:val="none" w:sz="0" w:space="0" w:color="auto"/>
                <w:bottom w:val="none" w:sz="0" w:space="0" w:color="auto"/>
                <w:right w:val="none" w:sz="0" w:space="0" w:color="auto"/>
              </w:divBdr>
            </w:div>
          </w:divsChild>
        </w:div>
        <w:div w:id="1506745817">
          <w:marLeft w:val="0"/>
          <w:marRight w:val="0"/>
          <w:marTop w:val="0"/>
          <w:marBottom w:val="0"/>
          <w:divBdr>
            <w:top w:val="none" w:sz="0" w:space="0" w:color="auto"/>
            <w:left w:val="none" w:sz="0" w:space="0" w:color="auto"/>
            <w:bottom w:val="none" w:sz="0" w:space="0" w:color="auto"/>
            <w:right w:val="none" w:sz="0" w:space="0" w:color="auto"/>
          </w:divBdr>
        </w:div>
      </w:divsChild>
    </w:div>
    <w:div w:id="354040132">
      <w:bodyDiv w:val="1"/>
      <w:marLeft w:val="0"/>
      <w:marRight w:val="0"/>
      <w:marTop w:val="0"/>
      <w:marBottom w:val="0"/>
      <w:divBdr>
        <w:top w:val="none" w:sz="0" w:space="0" w:color="auto"/>
        <w:left w:val="none" w:sz="0" w:space="0" w:color="auto"/>
        <w:bottom w:val="none" w:sz="0" w:space="0" w:color="auto"/>
        <w:right w:val="none" w:sz="0" w:space="0" w:color="auto"/>
      </w:divBdr>
      <w:divsChild>
        <w:div w:id="1919241435">
          <w:marLeft w:val="0"/>
          <w:marRight w:val="0"/>
          <w:marTop w:val="0"/>
          <w:marBottom w:val="0"/>
          <w:divBdr>
            <w:top w:val="none" w:sz="0" w:space="0" w:color="auto"/>
            <w:left w:val="none" w:sz="0" w:space="0" w:color="auto"/>
            <w:bottom w:val="none" w:sz="0" w:space="0" w:color="auto"/>
            <w:right w:val="none" w:sz="0" w:space="0" w:color="auto"/>
          </w:divBdr>
          <w:divsChild>
            <w:div w:id="6536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89001">
      <w:bodyDiv w:val="1"/>
      <w:marLeft w:val="0"/>
      <w:marRight w:val="0"/>
      <w:marTop w:val="0"/>
      <w:marBottom w:val="0"/>
      <w:divBdr>
        <w:top w:val="none" w:sz="0" w:space="0" w:color="auto"/>
        <w:left w:val="none" w:sz="0" w:space="0" w:color="auto"/>
        <w:bottom w:val="none" w:sz="0" w:space="0" w:color="auto"/>
        <w:right w:val="none" w:sz="0" w:space="0" w:color="auto"/>
      </w:divBdr>
      <w:divsChild>
        <w:div w:id="573978696">
          <w:marLeft w:val="0"/>
          <w:marRight w:val="0"/>
          <w:marTop w:val="0"/>
          <w:marBottom w:val="0"/>
          <w:divBdr>
            <w:top w:val="none" w:sz="0" w:space="0" w:color="auto"/>
            <w:left w:val="none" w:sz="0" w:space="0" w:color="auto"/>
            <w:bottom w:val="none" w:sz="0" w:space="0" w:color="auto"/>
            <w:right w:val="none" w:sz="0" w:space="0" w:color="auto"/>
          </w:divBdr>
        </w:div>
        <w:div w:id="981932001">
          <w:marLeft w:val="0"/>
          <w:marRight w:val="0"/>
          <w:marTop w:val="0"/>
          <w:marBottom w:val="0"/>
          <w:divBdr>
            <w:top w:val="none" w:sz="0" w:space="0" w:color="auto"/>
            <w:left w:val="none" w:sz="0" w:space="0" w:color="auto"/>
            <w:bottom w:val="none" w:sz="0" w:space="0" w:color="auto"/>
            <w:right w:val="none" w:sz="0" w:space="0" w:color="auto"/>
          </w:divBdr>
        </w:div>
      </w:divsChild>
    </w:div>
    <w:div w:id="433089295">
      <w:bodyDiv w:val="1"/>
      <w:marLeft w:val="0"/>
      <w:marRight w:val="0"/>
      <w:marTop w:val="0"/>
      <w:marBottom w:val="0"/>
      <w:divBdr>
        <w:top w:val="none" w:sz="0" w:space="0" w:color="auto"/>
        <w:left w:val="none" w:sz="0" w:space="0" w:color="auto"/>
        <w:bottom w:val="none" w:sz="0" w:space="0" w:color="auto"/>
        <w:right w:val="none" w:sz="0" w:space="0" w:color="auto"/>
      </w:divBdr>
      <w:divsChild>
        <w:div w:id="1586111589">
          <w:marLeft w:val="0"/>
          <w:marRight w:val="0"/>
          <w:marTop w:val="0"/>
          <w:marBottom w:val="0"/>
          <w:divBdr>
            <w:top w:val="none" w:sz="0" w:space="0" w:color="auto"/>
            <w:left w:val="none" w:sz="0" w:space="0" w:color="auto"/>
            <w:bottom w:val="none" w:sz="0" w:space="0" w:color="auto"/>
            <w:right w:val="none" w:sz="0" w:space="0" w:color="auto"/>
          </w:divBdr>
          <w:divsChild>
            <w:div w:id="356082467">
              <w:marLeft w:val="0"/>
              <w:marRight w:val="0"/>
              <w:marTop w:val="0"/>
              <w:marBottom w:val="0"/>
              <w:divBdr>
                <w:top w:val="none" w:sz="0" w:space="0" w:color="auto"/>
                <w:left w:val="none" w:sz="0" w:space="0" w:color="auto"/>
                <w:bottom w:val="none" w:sz="0" w:space="0" w:color="auto"/>
                <w:right w:val="none" w:sz="0" w:space="0" w:color="auto"/>
              </w:divBdr>
            </w:div>
          </w:divsChild>
        </w:div>
        <w:div w:id="622268124">
          <w:marLeft w:val="0"/>
          <w:marRight w:val="0"/>
          <w:marTop w:val="0"/>
          <w:marBottom w:val="0"/>
          <w:divBdr>
            <w:top w:val="none" w:sz="0" w:space="0" w:color="auto"/>
            <w:left w:val="none" w:sz="0" w:space="0" w:color="auto"/>
            <w:bottom w:val="none" w:sz="0" w:space="0" w:color="auto"/>
            <w:right w:val="none" w:sz="0" w:space="0" w:color="auto"/>
          </w:divBdr>
          <w:divsChild>
            <w:div w:id="12004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77292">
      <w:bodyDiv w:val="1"/>
      <w:marLeft w:val="0"/>
      <w:marRight w:val="0"/>
      <w:marTop w:val="0"/>
      <w:marBottom w:val="0"/>
      <w:divBdr>
        <w:top w:val="none" w:sz="0" w:space="0" w:color="auto"/>
        <w:left w:val="none" w:sz="0" w:space="0" w:color="auto"/>
        <w:bottom w:val="none" w:sz="0" w:space="0" w:color="auto"/>
        <w:right w:val="none" w:sz="0" w:space="0" w:color="auto"/>
      </w:divBdr>
      <w:divsChild>
        <w:div w:id="1973167931">
          <w:marLeft w:val="0"/>
          <w:marRight w:val="0"/>
          <w:marTop w:val="0"/>
          <w:marBottom w:val="0"/>
          <w:divBdr>
            <w:top w:val="none" w:sz="0" w:space="0" w:color="auto"/>
            <w:left w:val="none" w:sz="0" w:space="0" w:color="auto"/>
            <w:bottom w:val="none" w:sz="0" w:space="0" w:color="auto"/>
            <w:right w:val="none" w:sz="0" w:space="0" w:color="auto"/>
          </w:divBdr>
          <w:divsChild>
            <w:div w:id="104546959">
              <w:marLeft w:val="0"/>
              <w:marRight w:val="0"/>
              <w:marTop w:val="0"/>
              <w:marBottom w:val="0"/>
              <w:divBdr>
                <w:top w:val="none" w:sz="0" w:space="0" w:color="auto"/>
                <w:left w:val="none" w:sz="0" w:space="0" w:color="auto"/>
                <w:bottom w:val="none" w:sz="0" w:space="0" w:color="auto"/>
                <w:right w:val="none" w:sz="0" w:space="0" w:color="auto"/>
              </w:divBdr>
              <w:divsChild>
                <w:div w:id="97413848">
                  <w:marLeft w:val="0"/>
                  <w:marRight w:val="0"/>
                  <w:marTop w:val="0"/>
                  <w:marBottom w:val="0"/>
                  <w:divBdr>
                    <w:top w:val="none" w:sz="0" w:space="0" w:color="auto"/>
                    <w:left w:val="none" w:sz="0" w:space="0" w:color="auto"/>
                    <w:bottom w:val="none" w:sz="0" w:space="0" w:color="auto"/>
                    <w:right w:val="none" w:sz="0" w:space="0" w:color="auto"/>
                  </w:divBdr>
                  <w:divsChild>
                    <w:div w:id="1869175437">
                      <w:marLeft w:val="0"/>
                      <w:marRight w:val="0"/>
                      <w:marTop w:val="0"/>
                      <w:marBottom w:val="0"/>
                      <w:divBdr>
                        <w:top w:val="none" w:sz="0" w:space="0" w:color="auto"/>
                        <w:left w:val="none" w:sz="0" w:space="0" w:color="auto"/>
                        <w:bottom w:val="none" w:sz="0" w:space="0" w:color="auto"/>
                        <w:right w:val="none" w:sz="0" w:space="0" w:color="auto"/>
                      </w:divBdr>
                      <w:divsChild>
                        <w:div w:id="90337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49652">
          <w:marLeft w:val="0"/>
          <w:marRight w:val="0"/>
          <w:marTop w:val="0"/>
          <w:marBottom w:val="0"/>
          <w:divBdr>
            <w:top w:val="none" w:sz="0" w:space="0" w:color="auto"/>
            <w:left w:val="none" w:sz="0" w:space="0" w:color="auto"/>
            <w:bottom w:val="none" w:sz="0" w:space="0" w:color="auto"/>
            <w:right w:val="none" w:sz="0" w:space="0" w:color="auto"/>
          </w:divBdr>
        </w:div>
      </w:divsChild>
    </w:div>
    <w:div w:id="541482438">
      <w:bodyDiv w:val="1"/>
      <w:marLeft w:val="0"/>
      <w:marRight w:val="0"/>
      <w:marTop w:val="0"/>
      <w:marBottom w:val="0"/>
      <w:divBdr>
        <w:top w:val="none" w:sz="0" w:space="0" w:color="auto"/>
        <w:left w:val="none" w:sz="0" w:space="0" w:color="auto"/>
        <w:bottom w:val="none" w:sz="0" w:space="0" w:color="auto"/>
        <w:right w:val="none" w:sz="0" w:space="0" w:color="auto"/>
      </w:divBdr>
    </w:div>
    <w:div w:id="620190798">
      <w:bodyDiv w:val="1"/>
      <w:marLeft w:val="0"/>
      <w:marRight w:val="0"/>
      <w:marTop w:val="0"/>
      <w:marBottom w:val="0"/>
      <w:divBdr>
        <w:top w:val="none" w:sz="0" w:space="0" w:color="auto"/>
        <w:left w:val="none" w:sz="0" w:space="0" w:color="auto"/>
        <w:bottom w:val="none" w:sz="0" w:space="0" w:color="auto"/>
        <w:right w:val="none" w:sz="0" w:space="0" w:color="auto"/>
      </w:divBdr>
      <w:divsChild>
        <w:div w:id="1958220515">
          <w:marLeft w:val="0"/>
          <w:marRight w:val="0"/>
          <w:marTop w:val="0"/>
          <w:marBottom w:val="0"/>
          <w:divBdr>
            <w:top w:val="none" w:sz="0" w:space="0" w:color="auto"/>
            <w:left w:val="none" w:sz="0" w:space="0" w:color="auto"/>
            <w:bottom w:val="none" w:sz="0" w:space="0" w:color="auto"/>
            <w:right w:val="none" w:sz="0" w:space="0" w:color="auto"/>
          </w:divBdr>
          <w:divsChild>
            <w:div w:id="198280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14697">
      <w:bodyDiv w:val="1"/>
      <w:marLeft w:val="0"/>
      <w:marRight w:val="0"/>
      <w:marTop w:val="0"/>
      <w:marBottom w:val="0"/>
      <w:divBdr>
        <w:top w:val="none" w:sz="0" w:space="0" w:color="auto"/>
        <w:left w:val="none" w:sz="0" w:space="0" w:color="auto"/>
        <w:bottom w:val="none" w:sz="0" w:space="0" w:color="auto"/>
        <w:right w:val="none" w:sz="0" w:space="0" w:color="auto"/>
      </w:divBdr>
    </w:div>
    <w:div w:id="761149942">
      <w:bodyDiv w:val="1"/>
      <w:marLeft w:val="0"/>
      <w:marRight w:val="0"/>
      <w:marTop w:val="0"/>
      <w:marBottom w:val="0"/>
      <w:divBdr>
        <w:top w:val="none" w:sz="0" w:space="0" w:color="auto"/>
        <w:left w:val="none" w:sz="0" w:space="0" w:color="auto"/>
        <w:bottom w:val="none" w:sz="0" w:space="0" w:color="auto"/>
        <w:right w:val="none" w:sz="0" w:space="0" w:color="auto"/>
      </w:divBdr>
    </w:div>
    <w:div w:id="833448969">
      <w:bodyDiv w:val="1"/>
      <w:marLeft w:val="0"/>
      <w:marRight w:val="0"/>
      <w:marTop w:val="0"/>
      <w:marBottom w:val="0"/>
      <w:divBdr>
        <w:top w:val="none" w:sz="0" w:space="0" w:color="auto"/>
        <w:left w:val="none" w:sz="0" w:space="0" w:color="auto"/>
        <w:bottom w:val="none" w:sz="0" w:space="0" w:color="auto"/>
        <w:right w:val="none" w:sz="0" w:space="0" w:color="auto"/>
      </w:divBdr>
      <w:divsChild>
        <w:div w:id="104884806">
          <w:marLeft w:val="0"/>
          <w:marRight w:val="0"/>
          <w:marTop w:val="0"/>
          <w:marBottom w:val="0"/>
          <w:divBdr>
            <w:top w:val="none" w:sz="0" w:space="0" w:color="auto"/>
            <w:left w:val="none" w:sz="0" w:space="0" w:color="auto"/>
            <w:bottom w:val="none" w:sz="0" w:space="0" w:color="auto"/>
            <w:right w:val="none" w:sz="0" w:space="0" w:color="auto"/>
          </w:divBdr>
          <w:divsChild>
            <w:div w:id="493834960">
              <w:marLeft w:val="0"/>
              <w:marRight w:val="0"/>
              <w:marTop w:val="0"/>
              <w:marBottom w:val="0"/>
              <w:divBdr>
                <w:top w:val="none" w:sz="0" w:space="0" w:color="auto"/>
                <w:left w:val="none" w:sz="0" w:space="0" w:color="auto"/>
                <w:bottom w:val="none" w:sz="0" w:space="0" w:color="auto"/>
                <w:right w:val="none" w:sz="0" w:space="0" w:color="auto"/>
              </w:divBdr>
              <w:divsChild>
                <w:div w:id="1327317174">
                  <w:marLeft w:val="0"/>
                  <w:marRight w:val="0"/>
                  <w:marTop w:val="0"/>
                  <w:marBottom w:val="0"/>
                  <w:divBdr>
                    <w:top w:val="none" w:sz="0" w:space="0" w:color="auto"/>
                    <w:left w:val="none" w:sz="0" w:space="0" w:color="auto"/>
                    <w:bottom w:val="none" w:sz="0" w:space="0" w:color="auto"/>
                    <w:right w:val="none" w:sz="0" w:space="0" w:color="auto"/>
                  </w:divBdr>
                  <w:divsChild>
                    <w:div w:id="168527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12287">
      <w:bodyDiv w:val="1"/>
      <w:marLeft w:val="0"/>
      <w:marRight w:val="0"/>
      <w:marTop w:val="0"/>
      <w:marBottom w:val="0"/>
      <w:divBdr>
        <w:top w:val="none" w:sz="0" w:space="0" w:color="auto"/>
        <w:left w:val="none" w:sz="0" w:space="0" w:color="auto"/>
        <w:bottom w:val="none" w:sz="0" w:space="0" w:color="auto"/>
        <w:right w:val="none" w:sz="0" w:space="0" w:color="auto"/>
      </w:divBdr>
      <w:divsChild>
        <w:div w:id="1672835031">
          <w:marLeft w:val="0"/>
          <w:marRight w:val="0"/>
          <w:marTop w:val="0"/>
          <w:marBottom w:val="0"/>
          <w:divBdr>
            <w:top w:val="none" w:sz="0" w:space="0" w:color="auto"/>
            <w:left w:val="none" w:sz="0" w:space="0" w:color="auto"/>
            <w:bottom w:val="none" w:sz="0" w:space="0" w:color="auto"/>
            <w:right w:val="none" w:sz="0" w:space="0" w:color="auto"/>
          </w:divBdr>
          <w:divsChild>
            <w:div w:id="6707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2451">
      <w:bodyDiv w:val="1"/>
      <w:marLeft w:val="0"/>
      <w:marRight w:val="0"/>
      <w:marTop w:val="0"/>
      <w:marBottom w:val="0"/>
      <w:divBdr>
        <w:top w:val="none" w:sz="0" w:space="0" w:color="auto"/>
        <w:left w:val="none" w:sz="0" w:space="0" w:color="auto"/>
        <w:bottom w:val="none" w:sz="0" w:space="0" w:color="auto"/>
        <w:right w:val="none" w:sz="0" w:space="0" w:color="auto"/>
      </w:divBdr>
    </w:div>
    <w:div w:id="905191158">
      <w:bodyDiv w:val="1"/>
      <w:marLeft w:val="0"/>
      <w:marRight w:val="0"/>
      <w:marTop w:val="0"/>
      <w:marBottom w:val="0"/>
      <w:divBdr>
        <w:top w:val="none" w:sz="0" w:space="0" w:color="auto"/>
        <w:left w:val="none" w:sz="0" w:space="0" w:color="auto"/>
        <w:bottom w:val="none" w:sz="0" w:space="0" w:color="auto"/>
        <w:right w:val="none" w:sz="0" w:space="0" w:color="auto"/>
      </w:divBdr>
      <w:divsChild>
        <w:div w:id="1054830">
          <w:marLeft w:val="0"/>
          <w:marRight w:val="0"/>
          <w:marTop w:val="0"/>
          <w:marBottom w:val="0"/>
          <w:divBdr>
            <w:top w:val="none" w:sz="0" w:space="0" w:color="auto"/>
            <w:left w:val="none" w:sz="0" w:space="0" w:color="auto"/>
            <w:bottom w:val="none" w:sz="0" w:space="0" w:color="auto"/>
            <w:right w:val="none" w:sz="0" w:space="0" w:color="auto"/>
          </w:divBdr>
          <w:divsChild>
            <w:div w:id="3833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55607">
      <w:bodyDiv w:val="1"/>
      <w:marLeft w:val="0"/>
      <w:marRight w:val="0"/>
      <w:marTop w:val="0"/>
      <w:marBottom w:val="0"/>
      <w:divBdr>
        <w:top w:val="none" w:sz="0" w:space="0" w:color="auto"/>
        <w:left w:val="none" w:sz="0" w:space="0" w:color="auto"/>
        <w:bottom w:val="none" w:sz="0" w:space="0" w:color="auto"/>
        <w:right w:val="none" w:sz="0" w:space="0" w:color="auto"/>
      </w:divBdr>
    </w:div>
    <w:div w:id="1051154686">
      <w:bodyDiv w:val="1"/>
      <w:marLeft w:val="0"/>
      <w:marRight w:val="0"/>
      <w:marTop w:val="0"/>
      <w:marBottom w:val="0"/>
      <w:divBdr>
        <w:top w:val="none" w:sz="0" w:space="0" w:color="auto"/>
        <w:left w:val="none" w:sz="0" w:space="0" w:color="auto"/>
        <w:bottom w:val="none" w:sz="0" w:space="0" w:color="auto"/>
        <w:right w:val="none" w:sz="0" w:space="0" w:color="auto"/>
      </w:divBdr>
      <w:divsChild>
        <w:div w:id="832068356">
          <w:marLeft w:val="0"/>
          <w:marRight w:val="0"/>
          <w:marTop w:val="0"/>
          <w:marBottom w:val="0"/>
          <w:divBdr>
            <w:top w:val="none" w:sz="0" w:space="0" w:color="auto"/>
            <w:left w:val="none" w:sz="0" w:space="0" w:color="auto"/>
            <w:bottom w:val="none" w:sz="0" w:space="0" w:color="auto"/>
            <w:right w:val="none" w:sz="0" w:space="0" w:color="auto"/>
          </w:divBdr>
          <w:divsChild>
            <w:div w:id="356859629">
              <w:marLeft w:val="0"/>
              <w:marRight w:val="0"/>
              <w:marTop w:val="0"/>
              <w:marBottom w:val="0"/>
              <w:divBdr>
                <w:top w:val="none" w:sz="0" w:space="0" w:color="auto"/>
                <w:left w:val="none" w:sz="0" w:space="0" w:color="auto"/>
                <w:bottom w:val="none" w:sz="0" w:space="0" w:color="auto"/>
                <w:right w:val="none" w:sz="0" w:space="0" w:color="auto"/>
              </w:divBdr>
              <w:divsChild>
                <w:div w:id="159851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423525">
      <w:bodyDiv w:val="1"/>
      <w:marLeft w:val="0"/>
      <w:marRight w:val="0"/>
      <w:marTop w:val="0"/>
      <w:marBottom w:val="0"/>
      <w:divBdr>
        <w:top w:val="none" w:sz="0" w:space="0" w:color="auto"/>
        <w:left w:val="none" w:sz="0" w:space="0" w:color="auto"/>
        <w:bottom w:val="none" w:sz="0" w:space="0" w:color="auto"/>
        <w:right w:val="none" w:sz="0" w:space="0" w:color="auto"/>
      </w:divBdr>
      <w:divsChild>
        <w:div w:id="1556239110">
          <w:marLeft w:val="0"/>
          <w:marRight w:val="0"/>
          <w:marTop w:val="0"/>
          <w:marBottom w:val="0"/>
          <w:divBdr>
            <w:top w:val="none" w:sz="0" w:space="0" w:color="auto"/>
            <w:left w:val="none" w:sz="0" w:space="0" w:color="auto"/>
            <w:bottom w:val="none" w:sz="0" w:space="0" w:color="auto"/>
            <w:right w:val="none" w:sz="0" w:space="0" w:color="auto"/>
          </w:divBdr>
          <w:divsChild>
            <w:div w:id="463740575">
              <w:marLeft w:val="0"/>
              <w:marRight w:val="0"/>
              <w:marTop w:val="0"/>
              <w:marBottom w:val="0"/>
              <w:divBdr>
                <w:top w:val="none" w:sz="0" w:space="0" w:color="auto"/>
                <w:left w:val="none" w:sz="0" w:space="0" w:color="auto"/>
                <w:bottom w:val="none" w:sz="0" w:space="0" w:color="auto"/>
                <w:right w:val="none" w:sz="0" w:space="0" w:color="auto"/>
              </w:divBdr>
              <w:divsChild>
                <w:div w:id="453060334">
                  <w:marLeft w:val="0"/>
                  <w:marRight w:val="0"/>
                  <w:marTop w:val="0"/>
                  <w:marBottom w:val="120"/>
                  <w:divBdr>
                    <w:top w:val="none" w:sz="0" w:space="0" w:color="auto"/>
                    <w:left w:val="none" w:sz="0" w:space="0" w:color="auto"/>
                    <w:bottom w:val="none" w:sz="0" w:space="0" w:color="auto"/>
                    <w:right w:val="none" w:sz="0" w:space="0" w:color="auto"/>
                  </w:divBdr>
                  <w:divsChild>
                    <w:div w:id="27494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87430">
          <w:marLeft w:val="0"/>
          <w:marRight w:val="0"/>
          <w:marTop w:val="0"/>
          <w:marBottom w:val="0"/>
          <w:divBdr>
            <w:top w:val="none" w:sz="0" w:space="0" w:color="auto"/>
            <w:left w:val="none" w:sz="0" w:space="0" w:color="auto"/>
            <w:bottom w:val="none" w:sz="0" w:space="0" w:color="auto"/>
            <w:right w:val="none" w:sz="0" w:space="0" w:color="auto"/>
          </w:divBdr>
        </w:div>
      </w:divsChild>
    </w:div>
    <w:div w:id="1102342071">
      <w:bodyDiv w:val="1"/>
      <w:marLeft w:val="0"/>
      <w:marRight w:val="0"/>
      <w:marTop w:val="0"/>
      <w:marBottom w:val="0"/>
      <w:divBdr>
        <w:top w:val="none" w:sz="0" w:space="0" w:color="auto"/>
        <w:left w:val="none" w:sz="0" w:space="0" w:color="auto"/>
        <w:bottom w:val="none" w:sz="0" w:space="0" w:color="auto"/>
        <w:right w:val="none" w:sz="0" w:space="0" w:color="auto"/>
      </w:divBdr>
      <w:divsChild>
        <w:div w:id="1874079132">
          <w:marLeft w:val="0"/>
          <w:marRight w:val="0"/>
          <w:marTop w:val="120"/>
          <w:marBottom w:val="0"/>
          <w:divBdr>
            <w:top w:val="none" w:sz="0" w:space="0" w:color="auto"/>
            <w:left w:val="none" w:sz="0" w:space="0" w:color="auto"/>
            <w:bottom w:val="none" w:sz="0" w:space="0" w:color="auto"/>
            <w:right w:val="none" w:sz="0" w:space="0" w:color="auto"/>
          </w:divBdr>
        </w:div>
      </w:divsChild>
    </w:div>
    <w:div w:id="1118645784">
      <w:bodyDiv w:val="1"/>
      <w:marLeft w:val="0"/>
      <w:marRight w:val="0"/>
      <w:marTop w:val="0"/>
      <w:marBottom w:val="0"/>
      <w:divBdr>
        <w:top w:val="none" w:sz="0" w:space="0" w:color="auto"/>
        <w:left w:val="none" w:sz="0" w:space="0" w:color="auto"/>
        <w:bottom w:val="none" w:sz="0" w:space="0" w:color="auto"/>
        <w:right w:val="none" w:sz="0" w:space="0" w:color="auto"/>
      </w:divBdr>
    </w:div>
    <w:div w:id="1167593739">
      <w:bodyDiv w:val="1"/>
      <w:marLeft w:val="0"/>
      <w:marRight w:val="0"/>
      <w:marTop w:val="0"/>
      <w:marBottom w:val="0"/>
      <w:divBdr>
        <w:top w:val="none" w:sz="0" w:space="0" w:color="auto"/>
        <w:left w:val="none" w:sz="0" w:space="0" w:color="auto"/>
        <w:bottom w:val="none" w:sz="0" w:space="0" w:color="auto"/>
        <w:right w:val="none" w:sz="0" w:space="0" w:color="auto"/>
      </w:divBdr>
      <w:divsChild>
        <w:div w:id="1465269294">
          <w:marLeft w:val="0"/>
          <w:marRight w:val="0"/>
          <w:marTop w:val="0"/>
          <w:marBottom w:val="0"/>
          <w:divBdr>
            <w:top w:val="none" w:sz="0" w:space="0" w:color="auto"/>
            <w:left w:val="none" w:sz="0" w:space="0" w:color="auto"/>
            <w:bottom w:val="none" w:sz="0" w:space="0" w:color="auto"/>
            <w:right w:val="none" w:sz="0" w:space="0" w:color="auto"/>
          </w:divBdr>
          <w:divsChild>
            <w:div w:id="1456484691">
              <w:marLeft w:val="0"/>
              <w:marRight w:val="0"/>
              <w:marTop w:val="0"/>
              <w:marBottom w:val="0"/>
              <w:divBdr>
                <w:top w:val="none" w:sz="0" w:space="0" w:color="auto"/>
                <w:left w:val="none" w:sz="0" w:space="0" w:color="auto"/>
                <w:bottom w:val="none" w:sz="0" w:space="0" w:color="auto"/>
                <w:right w:val="none" w:sz="0" w:space="0" w:color="auto"/>
              </w:divBdr>
              <w:divsChild>
                <w:div w:id="74380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68840">
      <w:bodyDiv w:val="1"/>
      <w:marLeft w:val="0"/>
      <w:marRight w:val="0"/>
      <w:marTop w:val="0"/>
      <w:marBottom w:val="0"/>
      <w:divBdr>
        <w:top w:val="none" w:sz="0" w:space="0" w:color="auto"/>
        <w:left w:val="none" w:sz="0" w:space="0" w:color="auto"/>
        <w:bottom w:val="none" w:sz="0" w:space="0" w:color="auto"/>
        <w:right w:val="none" w:sz="0" w:space="0" w:color="auto"/>
      </w:divBdr>
      <w:divsChild>
        <w:div w:id="1259945197">
          <w:marLeft w:val="0"/>
          <w:marRight w:val="0"/>
          <w:marTop w:val="0"/>
          <w:marBottom w:val="0"/>
          <w:divBdr>
            <w:top w:val="none" w:sz="0" w:space="0" w:color="auto"/>
            <w:left w:val="none" w:sz="0" w:space="0" w:color="auto"/>
            <w:bottom w:val="none" w:sz="0" w:space="0" w:color="auto"/>
            <w:right w:val="none" w:sz="0" w:space="0" w:color="auto"/>
          </w:divBdr>
          <w:divsChild>
            <w:div w:id="506167220">
              <w:marLeft w:val="0"/>
              <w:marRight w:val="0"/>
              <w:marTop w:val="0"/>
              <w:marBottom w:val="0"/>
              <w:divBdr>
                <w:top w:val="none" w:sz="0" w:space="0" w:color="auto"/>
                <w:left w:val="none" w:sz="0" w:space="0" w:color="auto"/>
                <w:bottom w:val="none" w:sz="0" w:space="0" w:color="auto"/>
                <w:right w:val="none" w:sz="0" w:space="0" w:color="auto"/>
              </w:divBdr>
              <w:divsChild>
                <w:div w:id="2106922947">
                  <w:marLeft w:val="0"/>
                  <w:marRight w:val="0"/>
                  <w:marTop w:val="0"/>
                  <w:marBottom w:val="0"/>
                  <w:divBdr>
                    <w:top w:val="none" w:sz="0" w:space="0" w:color="auto"/>
                    <w:left w:val="none" w:sz="0" w:space="0" w:color="auto"/>
                    <w:bottom w:val="none" w:sz="0" w:space="0" w:color="auto"/>
                    <w:right w:val="none" w:sz="0" w:space="0" w:color="auto"/>
                  </w:divBdr>
                  <w:divsChild>
                    <w:div w:id="297616892">
                      <w:marLeft w:val="0"/>
                      <w:marRight w:val="0"/>
                      <w:marTop w:val="0"/>
                      <w:marBottom w:val="0"/>
                      <w:divBdr>
                        <w:top w:val="none" w:sz="0" w:space="0" w:color="auto"/>
                        <w:left w:val="none" w:sz="0" w:space="0" w:color="auto"/>
                        <w:bottom w:val="none" w:sz="0" w:space="0" w:color="auto"/>
                        <w:right w:val="none" w:sz="0" w:space="0" w:color="auto"/>
                      </w:divBdr>
                      <w:divsChild>
                        <w:div w:id="17770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61129">
          <w:marLeft w:val="0"/>
          <w:marRight w:val="0"/>
          <w:marTop w:val="0"/>
          <w:marBottom w:val="0"/>
          <w:divBdr>
            <w:top w:val="none" w:sz="0" w:space="0" w:color="auto"/>
            <w:left w:val="none" w:sz="0" w:space="0" w:color="auto"/>
            <w:bottom w:val="none" w:sz="0" w:space="0" w:color="auto"/>
            <w:right w:val="none" w:sz="0" w:space="0" w:color="auto"/>
          </w:divBdr>
        </w:div>
      </w:divsChild>
    </w:div>
    <w:div w:id="1367173689">
      <w:bodyDiv w:val="1"/>
      <w:marLeft w:val="0"/>
      <w:marRight w:val="0"/>
      <w:marTop w:val="0"/>
      <w:marBottom w:val="0"/>
      <w:divBdr>
        <w:top w:val="none" w:sz="0" w:space="0" w:color="auto"/>
        <w:left w:val="none" w:sz="0" w:space="0" w:color="auto"/>
        <w:bottom w:val="none" w:sz="0" w:space="0" w:color="auto"/>
        <w:right w:val="none" w:sz="0" w:space="0" w:color="auto"/>
      </w:divBdr>
      <w:divsChild>
        <w:div w:id="721372777">
          <w:marLeft w:val="0"/>
          <w:marRight w:val="0"/>
          <w:marTop w:val="0"/>
          <w:marBottom w:val="0"/>
          <w:divBdr>
            <w:top w:val="none" w:sz="0" w:space="0" w:color="auto"/>
            <w:left w:val="none" w:sz="0" w:space="0" w:color="auto"/>
            <w:bottom w:val="none" w:sz="0" w:space="0" w:color="auto"/>
            <w:right w:val="none" w:sz="0" w:space="0" w:color="auto"/>
          </w:divBdr>
          <w:divsChild>
            <w:div w:id="950278934">
              <w:marLeft w:val="0"/>
              <w:marRight w:val="0"/>
              <w:marTop w:val="0"/>
              <w:marBottom w:val="0"/>
              <w:divBdr>
                <w:top w:val="none" w:sz="0" w:space="0" w:color="auto"/>
                <w:left w:val="none" w:sz="0" w:space="0" w:color="auto"/>
                <w:bottom w:val="none" w:sz="0" w:space="0" w:color="auto"/>
                <w:right w:val="none" w:sz="0" w:space="0" w:color="auto"/>
              </w:divBdr>
              <w:divsChild>
                <w:div w:id="5034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45972">
      <w:bodyDiv w:val="1"/>
      <w:marLeft w:val="0"/>
      <w:marRight w:val="0"/>
      <w:marTop w:val="0"/>
      <w:marBottom w:val="0"/>
      <w:divBdr>
        <w:top w:val="none" w:sz="0" w:space="0" w:color="auto"/>
        <w:left w:val="none" w:sz="0" w:space="0" w:color="auto"/>
        <w:bottom w:val="none" w:sz="0" w:space="0" w:color="auto"/>
        <w:right w:val="none" w:sz="0" w:space="0" w:color="auto"/>
      </w:divBdr>
    </w:div>
    <w:div w:id="1410153816">
      <w:bodyDiv w:val="1"/>
      <w:marLeft w:val="0"/>
      <w:marRight w:val="0"/>
      <w:marTop w:val="0"/>
      <w:marBottom w:val="0"/>
      <w:divBdr>
        <w:top w:val="none" w:sz="0" w:space="0" w:color="auto"/>
        <w:left w:val="none" w:sz="0" w:space="0" w:color="auto"/>
        <w:bottom w:val="none" w:sz="0" w:space="0" w:color="auto"/>
        <w:right w:val="none" w:sz="0" w:space="0" w:color="auto"/>
      </w:divBdr>
      <w:divsChild>
        <w:div w:id="1382361563">
          <w:marLeft w:val="0"/>
          <w:marRight w:val="0"/>
          <w:marTop w:val="0"/>
          <w:marBottom w:val="0"/>
          <w:divBdr>
            <w:top w:val="none" w:sz="0" w:space="0" w:color="auto"/>
            <w:left w:val="none" w:sz="0" w:space="0" w:color="auto"/>
            <w:bottom w:val="none" w:sz="0" w:space="0" w:color="auto"/>
            <w:right w:val="none" w:sz="0" w:space="0" w:color="auto"/>
          </w:divBdr>
          <w:divsChild>
            <w:div w:id="549347510">
              <w:marLeft w:val="0"/>
              <w:marRight w:val="0"/>
              <w:marTop w:val="0"/>
              <w:marBottom w:val="0"/>
              <w:divBdr>
                <w:top w:val="none" w:sz="0" w:space="0" w:color="auto"/>
                <w:left w:val="none" w:sz="0" w:space="0" w:color="auto"/>
                <w:bottom w:val="none" w:sz="0" w:space="0" w:color="auto"/>
                <w:right w:val="none" w:sz="0" w:space="0" w:color="auto"/>
              </w:divBdr>
              <w:divsChild>
                <w:div w:id="475486855">
                  <w:marLeft w:val="0"/>
                  <w:marRight w:val="0"/>
                  <w:marTop w:val="0"/>
                  <w:marBottom w:val="0"/>
                  <w:divBdr>
                    <w:top w:val="none" w:sz="0" w:space="0" w:color="auto"/>
                    <w:left w:val="none" w:sz="0" w:space="0" w:color="auto"/>
                    <w:bottom w:val="none" w:sz="0" w:space="0" w:color="auto"/>
                    <w:right w:val="none" w:sz="0" w:space="0" w:color="auto"/>
                  </w:divBdr>
                  <w:divsChild>
                    <w:div w:id="8742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36608">
      <w:bodyDiv w:val="1"/>
      <w:marLeft w:val="0"/>
      <w:marRight w:val="0"/>
      <w:marTop w:val="0"/>
      <w:marBottom w:val="0"/>
      <w:divBdr>
        <w:top w:val="none" w:sz="0" w:space="0" w:color="auto"/>
        <w:left w:val="none" w:sz="0" w:space="0" w:color="auto"/>
        <w:bottom w:val="none" w:sz="0" w:space="0" w:color="auto"/>
        <w:right w:val="none" w:sz="0" w:space="0" w:color="auto"/>
      </w:divBdr>
      <w:divsChild>
        <w:div w:id="859513594">
          <w:marLeft w:val="0"/>
          <w:marRight w:val="0"/>
          <w:marTop w:val="0"/>
          <w:marBottom w:val="0"/>
          <w:divBdr>
            <w:top w:val="none" w:sz="0" w:space="0" w:color="auto"/>
            <w:left w:val="none" w:sz="0" w:space="0" w:color="auto"/>
            <w:bottom w:val="single" w:sz="6" w:space="0" w:color="CCCCCC"/>
            <w:right w:val="none" w:sz="0" w:space="0" w:color="auto"/>
          </w:divBdr>
          <w:divsChild>
            <w:div w:id="739596609">
              <w:marLeft w:val="0"/>
              <w:marRight w:val="0"/>
              <w:marTop w:val="120"/>
              <w:marBottom w:val="0"/>
              <w:divBdr>
                <w:top w:val="none" w:sz="0" w:space="0" w:color="auto"/>
                <w:left w:val="none" w:sz="0" w:space="0" w:color="auto"/>
                <w:bottom w:val="none" w:sz="0" w:space="0" w:color="auto"/>
                <w:right w:val="none" w:sz="0" w:space="0" w:color="auto"/>
              </w:divBdr>
            </w:div>
          </w:divsChild>
        </w:div>
        <w:div w:id="1618416280">
          <w:marLeft w:val="0"/>
          <w:marRight w:val="0"/>
          <w:marTop w:val="0"/>
          <w:marBottom w:val="0"/>
          <w:divBdr>
            <w:top w:val="none" w:sz="0" w:space="0" w:color="auto"/>
            <w:left w:val="none" w:sz="0" w:space="0" w:color="auto"/>
            <w:bottom w:val="none" w:sz="0" w:space="0" w:color="auto"/>
            <w:right w:val="none" w:sz="0" w:space="0" w:color="auto"/>
          </w:divBdr>
        </w:div>
      </w:divsChild>
    </w:div>
    <w:div w:id="1778521082">
      <w:bodyDiv w:val="1"/>
      <w:marLeft w:val="0"/>
      <w:marRight w:val="0"/>
      <w:marTop w:val="0"/>
      <w:marBottom w:val="0"/>
      <w:divBdr>
        <w:top w:val="none" w:sz="0" w:space="0" w:color="auto"/>
        <w:left w:val="none" w:sz="0" w:space="0" w:color="auto"/>
        <w:bottom w:val="none" w:sz="0" w:space="0" w:color="auto"/>
        <w:right w:val="none" w:sz="0" w:space="0" w:color="auto"/>
      </w:divBdr>
      <w:divsChild>
        <w:div w:id="1381055725">
          <w:marLeft w:val="0"/>
          <w:marRight w:val="0"/>
          <w:marTop w:val="0"/>
          <w:marBottom w:val="0"/>
          <w:divBdr>
            <w:top w:val="none" w:sz="0" w:space="0" w:color="auto"/>
            <w:left w:val="none" w:sz="0" w:space="0" w:color="auto"/>
            <w:bottom w:val="none" w:sz="0" w:space="0" w:color="auto"/>
            <w:right w:val="none" w:sz="0" w:space="0" w:color="auto"/>
          </w:divBdr>
          <w:divsChild>
            <w:div w:id="119585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20834">
      <w:bodyDiv w:val="1"/>
      <w:marLeft w:val="0"/>
      <w:marRight w:val="0"/>
      <w:marTop w:val="0"/>
      <w:marBottom w:val="0"/>
      <w:divBdr>
        <w:top w:val="none" w:sz="0" w:space="0" w:color="auto"/>
        <w:left w:val="none" w:sz="0" w:space="0" w:color="auto"/>
        <w:bottom w:val="none" w:sz="0" w:space="0" w:color="auto"/>
        <w:right w:val="none" w:sz="0" w:space="0" w:color="auto"/>
      </w:divBdr>
    </w:div>
    <w:div w:id="1917780547">
      <w:bodyDiv w:val="1"/>
      <w:marLeft w:val="0"/>
      <w:marRight w:val="0"/>
      <w:marTop w:val="0"/>
      <w:marBottom w:val="0"/>
      <w:divBdr>
        <w:top w:val="none" w:sz="0" w:space="0" w:color="auto"/>
        <w:left w:val="none" w:sz="0" w:space="0" w:color="auto"/>
        <w:bottom w:val="none" w:sz="0" w:space="0" w:color="auto"/>
        <w:right w:val="none" w:sz="0" w:space="0" w:color="auto"/>
      </w:divBdr>
      <w:divsChild>
        <w:div w:id="2146001930">
          <w:marLeft w:val="0"/>
          <w:marRight w:val="0"/>
          <w:marTop w:val="0"/>
          <w:marBottom w:val="0"/>
          <w:divBdr>
            <w:top w:val="none" w:sz="0" w:space="0" w:color="auto"/>
            <w:left w:val="none" w:sz="0" w:space="0" w:color="auto"/>
            <w:bottom w:val="none" w:sz="0" w:space="0" w:color="auto"/>
            <w:right w:val="none" w:sz="0" w:space="0" w:color="auto"/>
          </w:divBdr>
          <w:divsChild>
            <w:div w:id="1337270010">
              <w:marLeft w:val="0"/>
              <w:marRight w:val="0"/>
              <w:marTop w:val="0"/>
              <w:marBottom w:val="0"/>
              <w:divBdr>
                <w:top w:val="none" w:sz="0" w:space="0" w:color="auto"/>
                <w:left w:val="none" w:sz="0" w:space="0" w:color="auto"/>
                <w:bottom w:val="none" w:sz="0" w:space="0" w:color="auto"/>
                <w:right w:val="none" w:sz="0" w:space="0" w:color="auto"/>
              </w:divBdr>
              <w:divsChild>
                <w:div w:id="207508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73837">
      <w:bodyDiv w:val="1"/>
      <w:marLeft w:val="0"/>
      <w:marRight w:val="0"/>
      <w:marTop w:val="0"/>
      <w:marBottom w:val="0"/>
      <w:divBdr>
        <w:top w:val="none" w:sz="0" w:space="0" w:color="auto"/>
        <w:left w:val="none" w:sz="0" w:space="0" w:color="auto"/>
        <w:bottom w:val="none" w:sz="0" w:space="0" w:color="auto"/>
        <w:right w:val="none" w:sz="0" w:space="0" w:color="auto"/>
      </w:divBdr>
      <w:divsChild>
        <w:div w:id="1167745636">
          <w:marLeft w:val="0"/>
          <w:marRight w:val="0"/>
          <w:marTop w:val="0"/>
          <w:marBottom w:val="0"/>
          <w:divBdr>
            <w:top w:val="none" w:sz="0" w:space="0" w:color="auto"/>
            <w:left w:val="none" w:sz="0" w:space="0" w:color="auto"/>
            <w:bottom w:val="none" w:sz="0" w:space="0" w:color="auto"/>
            <w:right w:val="none" w:sz="0" w:space="0" w:color="auto"/>
          </w:divBdr>
          <w:divsChild>
            <w:div w:id="851841741">
              <w:marLeft w:val="0"/>
              <w:marRight w:val="0"/>
              <w:marTop w:val="0"/>
              <w:marBottom w:val="0"/>
              <w:divBdr>
                <w:top w:val="none" w:sz="0" w:space="0" w:color="auto"/>
                <w:left w:val="none" w:sz="0" w:space="0" w:color="auto"/>
                <w:bottom w:val="none" w:sz="0" w:space="0" w:color="auto"/>
                <w:right w:val="none" w:sz="0" w:space="0" w:color="auto"/>
              </w:divBdr>
              <w:divsChild>
                <w:div w:id="832985492">
                  <w:marLeft w:val="0"/>
                  <w:marRight w:val="0"/>
                  <w:marTop w:val="0"/>
                  <w:marBottom w:val="120"/>
                  <w:divBdr>
                    <w:top w:val="none" w:sz="0" w:space="0" w:color="auto"/>
                    <w:left w:val="none" w:sz="0" w:space="0" w:color="auto"/>
                    <w:bottom w:val="none" w:sz="0" w:space="0" w:color="auto"/>
                    <w:right w:val="none" w:sz="0" w:space="0" w:color="auto"/>
                  </w:divBdr>
                  <w:divsChild>
                    <w:div w:id="11373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24187">
          <w:marLeft w:val="0"/>
          <w:marRight w:val="0"/>
          <w:marTop w:val="0"/>
          <w:marBottom w:val="0"/>
          <w:divBdr>
            <w:top w:val="none" w:sz="0" w:space="0" w:color="auto"/>
            <w:left w:val="none" w:sz="0" w:space="0" w:color="auto"/>
            <w:bottom w:val="none" w:sz="0" w:space="0" w:color="auto"/>
            <w:right w:val="none" w:sz="0" w:space="0" w:color="auto"/>
          </w:divBdr>
        </w:div>
      </w:divsChild>
    </w:div>
    <w:div w:id="1989892406">
      <w:bodyDiv w:val="1"/>
      <w:marLeft w:val="0"/>
      <w:marRight w:val="0"/>
      <w:marTop w:val="0"/>
      <w:marBottom w:val="0"/>
      <w:divBdr>
        <w:top w:val="none" w:sz="0" w:space="0" w:color="auto"/>
        <w:left w:val="none" w:sz="0" w:space="0" w:color="auto"/>
        <w:bottom w:val="none" w:sz="0" w:space="0" w:color="auto"/>
        <w:right w:val="none" w:sz="0" w:space="0" w:color="auto"/>
      </w:divBdr>
      <w:divsChild>
        <w:div w:id="1581670186">
          <w:marLeft w:val="0"/>
          <w:marRight w:val="0"/>
          <w:marTop w:val="0"/>
          <w:marBottom w:val="0"/>
          <w:divBdr>
            <w:top w:val="none" w:sz="0" w:space="0" w:color="auto"/>
            <w:left w:val="none" w:sz="0" w:space="0" w:color="auto"/>
            <w:bottom w:val="none" w:sz="0" w:space="0" w:color="auto"/>
            <w:right w:val="none" w:sz="0" w:space="0" w:color="auto"/>
          </w:divBdr>
          <w:divsChild>
            <w:div w:id="21014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welfareconditionality.ac.uk/wp-content/uploads/2018/05/40414-Universal-Credit-web.pdf" TargetMode="External"/><Relationship Id="rId2" Type="http://schemas.openxmlformats.org/officeDocument/2006/relationships/hyperlink" Target="https://cpag.org.uk/sites/default/files/files/policypost/You_Reap_What_You_Code.pdf" TargetMode="External"/><Relationship Id="rId1" Type="http://schemas.openxmlformats.org/officeDocument/2006/relationships/hyperlink" Target="https://stat-xplore.dwp.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653BC-CFD1-445A-B74A-9C21E95C9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7847</Words>
  <Characters>43177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Tomlinson</dc:creator>
  <cp:keywords/>
  <dc:description/>
  <cp:lastModifiedBy>Jed Meers</cp:lastModifiedBy>
  <cp:revision>2</cp:revision>
  <cp:lastPrinted>2023-11-11T15:34:00Z</cp:lastPrinted>
  <dcterms:created xsi:type="dcterms:W3CDTF">2023-11-12T09:35:00Z</dcterms:created>
  <dcterms:modified xsi:type="dcterms:W3CDTF">2023-11-12T09:35:00Z</dcterms:modified>
</cp:coreProperties>
</file>