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8C0E" w14:textId="340AD4E6" w:rsidR="00BF0E36" w:rsidRDefault="0093782B">
      <w:pPr>
        <w:spacing w:after="0" w:line="240" w:lineRule="auto"/>
        <w:rPr>
          <w:rFonts w:ascii="Verdana" w:hAnsi="Verdana" w:cs="Tahoma"/>
          <w:b/>
          <w:sz w:val="24"/>
          <w:lang w:val="en-GB"/>
        </w:rPr>
      </w:pPr>
      <w:r w:rsidRPr="002353FE">
        <w:rPr>
          <w:rFonts w:ascii="Tahoma" w:hAnsi="Tahoma" w:cs="Tahoma"/>
          <w:b/>
          <w:sz w:val="28"/>
          <w:lang w:val="en-GB"/>
        </w:rPr>
        <w:t>‘One Size Doesn't Fit All’. Bank S</w:t>
      </w:r>
      <w:r w:rsidR="00113E2A" w:rsidRPr="002353FE">
        <w:rPr>
          <w:rFonts w:ascii="Tahoma" w:hAnsi="Tahoma" w:cs="Tahoma"/>
          <w:b/>
          <w:sz w:val="28"/>
          <w:lang w:val="en-GB"/>
        </w:rPr>
        <w:t xml:space="preserve">witching </w:t>
      </w:r>
      <w:r w:rsidRPr="002353FE">
        <w:rPr>
          <w:rFonts w:ascii="Tahoma" w:hAnsi="Tahoma" w:cs="Tahoma"/>
          <w:b/>
          <w:sz w:val="28"/>
          <w:lang w:val="en-GB"/>
        </w:rPr>
        <w:t>D</w:t>
      </w:r>
      <w:r w:rsidR="000C0B55" w:rsidRPr="002353FE">
        <w:rPr>
          <w:rFonts w:ascii="Tahoma" w:hAnsi="Tahoma" w:cs="Tahoma"/>
          <w:b/>
          <w:sz w:val="28"/>
          <w:lang w:val="en-GB"/>
        </w:rPr>
        <w:t>ecisions</w:t>
      </w:r>
      <w:r w:rsidR="00650260" w:rsidRPr="002353FE">
        <w:rPr>
          <w:rFonts w:ascii="Tahoma" w:hAnsi="Tahoma" w:cs="Tahoma"/>
          <w:b/>
          <w:sz w:val="28"/>
          <w:lang w:val="en-GB"/>
        </w:rPr>
        <w:t xml:space="preserve"> and </w:t>
      </w:r>
      <w:r w:rsidR="00AE2C91" w:rsidRPr="002353FE">
        <w:rPr>
          <w:rFonts w:ascii="Tahoma" w:hAnsi="Tahoma" w:cs="Tahoma"/>
          <w:b/>
          <w:sz w:val="28"/>
          <w:lang w:val="en-GB"/>
        </w:rPr>
        <w:t>Customer Vulnerability</w:t>
      </w:r>
      <w:r w:rsidR="00113E2A" w:rsidRPr="002353FE">
        <w:rPr>
          <w:rFonts w:ascii="Tahoma" w:hAnsi="Tahoma" w:cs="Tahoma"/>
          <w:b/>
          <w:sz w:val="28"/>
          <w:lang w:val="en-GB"/>
        </w:rPr>
        <w:t xml:space="preserve"> </w:t>
      </w:r>
      <w:r w:rsidRPr="002353FE">
        <w:rPr>
          <w:rFonts w:ascii="Tahoma" w:hAnsi="Tahoma" w:cs="Tahoma"/>
          <w:b/>
          <w:sz w:val="28"/>
          <w:lang w:val="en-GB"/>
        </w:rPr>
        <w:t xml:space="preserve">in Europe </w:t>
      </w:r>
    </w:p>
    <w:p w14:paraId="6962F14F" w14:textId="13D05FDC" w:rsidR="002353FE" w:rsidRDefault="002353FE">
      <w:pPr>
        <w:spacing w:after="0" w:line="240" w:lineRule="auto"/>
        <w:rPr>
          <w:rFonts w:ascii="Verdana" w:hAnsi="Verdana" w:cs="Tahoma"/>
          <w:b/>
          <w:sz w:val="24"/>
          <w:lang w:val="en-GB"/>
        </w:rPr>
      </w:pPr>
    </w:p>
    <w:p w14:paraId="3BFA2D93" w14:textId="3624D989" w:rsidR="002353FE" w:rsidRPr="001E7395" w:rsidRDefault="002353FE">
      <w:pPr>
        <w:spacing w:after="0" w:line="240" w:lineRule="auto"/>
        <w:rPr>
          <w:rFonts w:ascii="Verdana" w:hAnsi="Verdana" w:cs="Tahoma"/>
          <w:sz w:val="24"/>
        </w:rPr>
      </w:pPr>
      <w:r w:rsidRPr="001E7395">
        <w:rPr>
          <w:rFonts w:ascii="Verdana" w:hAnsi="Verdana" w:cs="Tahoma"/>
          <w:sz w:val="24"/>
        </w:rPr>
        <w:t>Marcos Fernández-Gutiérrez. Universidad de Cantabria</w:t>
      </w:r>
    </w:p>
    <w:p w14:paraId="5262BFDD" w14:textId="20CA7577" w:rsidR="00E402BF" w:rsidRPr="001E7395" w:rsidRDefault="002353FE" w:rsidP="00770101">
      <w:pPr>
        <w:spacing w:before="120" w:after="0" w:line="480" w:lineRule="auto"/>
        <w:jc w:val="both"/>
        <w:rPr>
          <w:rFonts w:ascii="Verdana" w:hAnsi="Verdana" w:cs="Tahoma"/>
          <w:sz w:val="24"/>
          <w:lang w:val="en-GB"/>
        </w:rPr>
      </w:pPr>
      <w:r w:rsidRPr="001E7395">
        <w:rPr>
          <w:rFonts w:ascii="Verdana" w:hAnsi="Verdana" w:cs="Tahoma"/>
          <w:sz w:val="24"/>
          <w:lang w:val="en-GB"/>
        </w:rPr>
        <w:t>John Ashton. University of York</w:t>
      </w:r>
    </w:p>
    <w:p w14:paraId="0940CB2D" w14:textId="77777777" w:rsidR="002353FE" w:rsidRPr="004D1438" w:rsidRDefault="002353FE" w:rsidP="00770101">
      <w:pPr>
        <w:spacing w:before="120" w:after="0" w:line="480" w:lineRule="auto"/>
        <w:jc w:val="both"/>
        <w:rPr>
          <w:rFonts w:ascii="Verdana" w:hAnsi="Verdana" w:cs="Tahoma"/>
          <w:b/>
          <w:sz w:val="24"/>
          <w:lang w:val="en-GB"/>
        </w:rPr>
      </w:pPr>
    </w:p>
    <w:p w14:paraId="316765C4" w14:textId="77777777" w:rsidR="00B33EE0" w:rsidRPr="002353FE" w:rsidRDefault="00547A98" w:rsidP="00770101">
      <w:pPr>
        <w:spacing w:after="120" w:line="480" w:lineRule="auto"/>
        <w:jc w:val="both"/>
        <w:rPr>
          <w:rFonts w:ascii="Verdana" w:hAnsi="Verdana" w:cs="Tahoma"/>
          <w:b/>
          <w:sz w:val="24"/>
          <w:lang w:val="en-GB"/>
        </w:rPr>
      </w:pPr>
      <w:r w:rsidRPr="002353FE">
        <w:rPr>
          <w:rFonts w:ascii="Verdana" w:hAnsi="Verdana" w:cs="Tahoma"/>
          <w:b/>
          <w:sz w:val="24"/>
          <w:lang w:val="en-GB"/>
        </w:rPr>
        <w:t>Abstract</w:t>
      </w:r>
    </w:p>
    <w:p w14:paraId="66B7D9EE" w14:textId="47106CB8" w:rsidR="00BD2E3B" w:rsidRPr="002353FE" w:rsidRDefault="008E4A39" w:rsidP="00770101">
      <w:pPr>
        <w:spacing w:after="120" w:line="480" w:lineRule="auto"/>
        <w:jc w:val="both"/>
        <w:rPr>
          <w:rFonts w:ascii="Verdana" w:hAnsi="Verdana" w:cs="Tahoma"/>
          <w:sz w:val="24"/>
          <w:lang w:val="en-GB"/>
        </w:rPr>
      </w:pPr>
      <w:bookmarkStart w:id="0" w:name="_Hlk129281542"/>
      <w:r w:rsidRPr="002353FE">
        <w:rPr>
          <w:rFonts w:ascii="Verdana" w:hAnsi="Verdana" w:cs="Tahoma"/>
          <w:sz w:val="24"/>
          <w:lang w:val="en-GB"/>
        </w:rPr>
        <w:t xml:space="preserve">Over the last </w:t>
      </w:r>
      <w:r w:rsidR="00D478D5" w:rsidRPr="002353FE">
        <w:rPr>
          <w:rFonts w:ascii="Verdana" w:hAnsi="Verdana" w:cs="Tahoma"/>
          <w:sz w:val="24"/>
          <w:lang w:val="en-GB"/>
        </w:rPr>
        <w:t xml:space="preserve">two </w:t>
      </w:r>
      <w:r w:rsidRPr="002353FE">
        <w:rPr>
          <w:rFonts w:ascii="Verdana" w:hAnsi="Verdana" w:cs="Tahoma"/>
          <w:sz w:val="24"/>
          <w:lang w:val="en-GB"/>
        </w:rPr>
        <w:t>decade</w:t>
      </w:r>
      <w:r w:rsidR="00D478D5" w:rsidRPr="002353FE">
        <w:rPr>
          <w:rFonts w:ascii="Verdana" w:hAnsi="Verdana" w:cs="Tahoma"/>
          <w:sz w:val="24"/>
          <w:lang w:val="en-GB"/>
        </w:rPr>
        <w:t>s</w:t>
      </w:r>
      <w:r w:rsidRPr="002353FE">
        <w:rPr>
          <w:rFonts w:ascii="Verdana" w:hAnsi="Verdana" w:cs="Tahoma"/>
          <w:sz w:val="24"/>
          <w:lang w:val="en-GB"/>
        </w:rPr>
        <w:t xml:space="preserve"> m</w:t>
      </w:r>
      <w:r w:rsidR="00D57B4C" w:rsidRPr="002353FE">
        <w:rPr>
          <w:rFonts w:ascii="Verdana" w:hAnsi="Verdana" w:cs="Tahoma"/>
          <w:sz w:val="24"/>
          <w:lang w:val="en-GB"/>
        </w:rPr>
        <w:t xml:space="preserve">ultiple </w:t>
      </w:r>
      <w:r w:rsidR="0065677C" w:rsidRPr="002353FE">
        <w:rPr>
          <w:rFonts w:ascii="Verdana" w:hAnsi="Verdana" w:cs="Tahoma"/>
          <w:sz w:val="24"/>
          <w:lang w:val="en-GB"/>
        </w:rPr>
        <w:t xml:space="preserve">policies </w:t>
      </w:r>
      <w:r w:rsidR="004C037A" w:rsidRPr="002353FE">
        <w:rPr>
          <w:rFonts w:ascii="Verdana" w:hAnsi="Verdana" w:cs="Tahoma"/>
          <w:sz w:val="24"/>
          <w:lang w:val="en-GB"/>
        </w:rPr>
        <w:t xml:space="preserve">promoting </w:t>
      </w:r>
      <w:r w:rsidR="00C269C5" w:rsidRPr="002353FE">
        <w:rPr>
          <w:rFonts w:ascii="Verdana" w:hAnsi="Verdana" w:cs="Tahoma"/>
          <w:sz w:val="24"/>
          <w:lang w:val="en-GB"/>
        </w:rPr>
        <w:t xml:space="preserve">financial literacy and </w:t>
      </w:r>
      <w:r w:rsidR="004C037A" w:rsidRPr="002353FE">
        <w:rPr>
          <w:rFonts w:ascii="Verdana" w:hAnsi="Verdana" w:cs="Tahoma"/>
          <w:sz w:val="24"/>
          <w:lang w:val="en-GB"/>
        </w:rPr>
        <w:t xml:space="preserve">information availability </w:t>
      </w:r>
      <w:r w:rsidR="00F22FFA" w:rsidRPr="002353FE">
        <w:rPr>
          <w:rFonts w:ascii="Verdana" w:hAnsi="Verdana" w:cs="Tahoma"/>
          <w:sz w:val="24"/>
          <w:lang w:val="en-GB"/>
        </w:rPr>
        <w:t xml:space="preserve">in banking markets </w:t>
      </w:r>
      <w:r w:rsidR="004C037A" w:rsidRPr="002353FE">
        <w:rPr>
          <w:rFonts w:ascii="Verdana" w:hAnsi="Verdana" w:cs="Tahoma"/>
          <w:sz w:val="24"/>
          <w:lang w:val="en-GB"/>
        </w:rPr>
        <w:t xml:space="preserve">have been </w:t>
      </w:r>
      <w:r w:rsidRPr="002353FE">
        <w:rPr>
          <w:rFonts w:ascii="Verdana" w:hAnsi="Verdana" w:cs="Tahoma"/>
          <w:sz w:val="24"/>
          <w:lang w:val="en-GB"/>
        </w:rPr>
        <w:t>deployed a</w:t>
      </w:r>
      <w:r w:rsidR="00D57B4C" w:rsidRPr="002353FE">
        <w:rPr>
          <w:rFonts w:ascii="Verdana" w:hAnsi="Verdana" w:cs="Tahoma"/>
          <w:sz w:val="24"/>
          <w:lang w:val="en-GB"/>
        </w:rPr>
        <w:t>cross Europe</w:t>
      </w:r>
      <w:r w:rsidR="0065677C" w:rsidRPr="002353FE">
        <w:rPr>
          <w:rFonts w:ascii="Verdana" w:hAnsi="Verdana" w:cs="Tahoma"/>
          <w:sz w:val="24"/>
          <w:lang w:val="en-GB"/>
        </w:rPr>
        <w:t xml:space="preserve">. The objective of these policies is to </w:t>
      </w:r>
      <w:r w:rsidR="00C269C5" w:rsidRPr="002353FE">
        <w:rPr>
          <w:rFonts w:ascii="Verdana" w:hAnsi="Verdana" w:cs="Tahoma"/>
          <w:sz w:val="24"/>
          <w:lang w:val="en-GB"/>
        </w:rPr>
        <w:t xml:space="preserve">improve </w:t>
      </w:r>
      <w:r w:rsidR="0065677C" w:rsidRPr="002353FE">
        <w:rPr>
          <w:rFonts w:ascii="Verdana" w:hAnsi="Verdana" w:cs="Tahoma"/>
          <w:sz w:val="24"/>
          <w:lang w:val="en-GB"/>
        </w:rPr>
        <w:t xml:space="preserve">customers’ decision-making, including </w:t>
      </w:r>
      <w:r w:rsidR="00C269C5" w:rsidRPr="002353FE">
        <w:rPr>
          <w:rFonts w:ascii="Verdana" w:hAnsi="Verdana" w:cs="Tahoma"/>
          <w:sz w:val="24"/>
          <w:lang w:val="en-GB"/>
        </w:rPr>
        <w:t xml:space="preserve">the ability to </w:t>
      </w:r>
      <w:r w:rsidR="0065677C" w:rsidRPr="002353FE">
        <w:rPr>
          <w:rFonts w:ascii="Verdana" w:hAnsi="Verdana" w:cs="Tahoma"/>
          <w:sz w:val="24"/>
          <w:lang w:val="en-GB"/>
        </w:rPr>
        <w:t xml:space="preserve">switch bank provider. </w:t>
      </w:r>
      <w:r w:rsidR="001701B0" w:rsidRPr="002353FE">
        <w:rPr>
          <w:rFonts w:ascii="Verdana" w:hAnsi="Verdana" w:cs="Tahoma"/>
          <w:sz w:val="24"/>
          <w:lang w:val="en-GB"/>
        </w:rPr>
        <w:t>Despite the widespread use of such policies</w:t>
      </w:r>
      <w:r w:rsidR="0065677C" w:rsidRPr="002353FE">
        <w:rPr>
          <w:rFonts w:ascii="Verdana" w:hAnsi="Verdana" w:cs="Tahoma"/>
          <w:sz w:val="24"/>
          <w:lang w:val="en-GB"/>
        </w:rPr>
        <w:t xml:space="preserve">, concerns </w:t>
      </w:r>
      <w:r w:rsidR="001701B0" w:rsidRPr="002353FE">
        <w:rPr>
          <w:rFonts w:ascii="Verdana" w:hAnsi="Verdana" w:cs="Tahoma"/>
          <w:sz w:val="24"/>
          <w:lang w:val="en-GB"/>
        </w:rPr>
        <w:t>pers</w:t>
      </w:r>
      <w:r w:rsidR="0065677C" w:rsidRPr="002353FE">
        <w:rPr>
          <w:rFonts w:ascii="Verdana" w:hAnsi="Verdana" w:cs="Tahoma"/>
          <w:sz w:val="24"/>
          <w:lang w:val="en-GB"/>
        </w:rPr>
        <w:t xml:space="preserve">ist </w:t>
      </w:r>
      <w:r w:rsidR="001701B0" w:rsidRPr="002353FE">
        <w:rPr>
          <w:rFonts w:ascii="Verdana" w:hAnsi="Verdana" w:cs="Tahoma"/>
          <w:sz w:val="24"/>
          <w:lang w:val="en-GB"/>
        </w:rPr>
        <w:t xml:space="preserve">as to </w:t>
      </w:r>
      <w:r w:rsidR="0065677C" w:rsidRPr="002353FE">
        <w:rPr>
          <w:rFonts w:ascii="Verdana" w:hAnsi="Verdana" w:cs="Tahoma"/>
          <w:sz w:val="24"/>
          <w:lang w:val="en-GB"/>
        </w:rPr>
        <w:t xml:space="preserve">whether vulnerable customers </w:t>
      </w:r>
      <w:r w:rsidR="009C63E1" w:rsidRPr="002353FE">
        <w:rPr>
          <w:rFonts w:ascii="Verdana" w:hAnsi="Verdana" w:cs="Tahoma"/>
          <w:sz w:val="24"/>
          <w:lang w:val="en-GB"/>
        </w:rPr>
        <w:t>can make</w:t>
      </w:r>
      <w:r w:rsidR="0065677C" w:rsidRPr="002353FE">
        <w:rPr>
          <w:rFonts w:ascii="Verdana" w:hAnsi="Verdana" w:cs="Tahoma"/>
          <w:sz w:val="24"/>
          <w:lang w:val="en-GB"/>
        </w:rPr>
        <w:t xml:space="preserve"> </w:t>
      </w:r>
      <w:r w:rsidR="0054650A" w:rsidRPr="002353FE">
        <w:rPr>
          <w:rFonts w:ascii="Verdana" w:hAnsi="Verdana" w:cs="Tahoma"/>
          <w:sz w:val="24"/>
          <w:lang w:val="en-GB"/>
        </w:rPr>
        <w:t xml:space="preserve">appropriate </w:t>
      </w:r>
      <w:r w:rsidR="00A711C3" w:rsidRPr="002353FE">
        <w:rPr>
          <w:rFonts w:ascii="Verdana" w:hAnsi="Verdana" w:cs="Tahoma"/>
          <w:sz w:val="24"/>
          <w:lang w:val="en-GB"/>
        </w:rPr>
        <w:t xml:space="preserve">switching </w:t>
      </w:r>
      <w:r w:rsidR="0065677C" w:rsidRPr="002353FE">
        <w:rPr>
          <w:rFonts w:ascii="Verdana" w:hAnsi="Verdana" w:cs="Tahoma"/>
          <w:sz w:val="24"/>
          <w:lang w:val="en-GB"/>
        </w:rPr>
        <w:t>decisions</w:t>
      </w:r>
      <w:r w:rsidR="00B7647F" w:rsidRPr="002353FE">
        <w:rPr>
          <w:rFonts w:ascii="Verdana" w:hAnsi="Verdana" w:cs="Tahoma"/>
          <w:sz w:val="24"/>
          <w:lang w:val="en-GB"/>
        </w:rPr>
        <w:t xml:space="preserve"> </w:t>
      </w:r>
      <w:r w:rsidR="0054650A" w:rsidRPr="002353FE">
        <w:rPr>
          <w:rFonts w:ascii="Verdana" w:hAnsi="Verdana" w:cs="Tahoma"/>
          <w:sz w:val="24"/>
          <w:lang w:val="en-GB"/>
        </w:rPr>
        <w:t xml:space="preserve">in banking markets. </w:t>
      </w:r>
      <w:r w:rsidR="009C63E1" w:rsidRPr="001E7395">
        <w:rPr>
          <w:rFonts w:ascii="Verdana" w:hAnsi="Verdana" w:cs="Tahoma"/>
          <w:sz w:val="24"/>
          <w:lang w:val="en-GB"/>
        </w:rPr>
        <w:t>Drawing on financial ecology and churn</w:t>
      </w:r>
      <w:r w:rsidR="00CB15B9" w:rsidRPr="002353FE">
        <w:rPr>
          <w:rFonts w:ascii="Verdana" w:hAnsi="Verdana" w:cs="Tahoma"/>
          <w:sz w:val="24"/>
          <w:lang w:val="en-GB"/>
        </w:rPr>
        <w:t xml:space="preserve"> theories,</w:t>
      </w:r>
      <w:r w:rsidR="007E0E38" w:rsidRPr="002353FE">
        <w:rPr>
          <w:rFonts w:ascii="Verdana" w:hAnsi="Verdana" w:cs="Tahoma"/>
          <w:sz w:val="24"/>
          <w:lang w:val="en-GB"/>
        </w:rPr>
        <w:t xml:space="preserve"> </w:t>
      </w:r>
      <w:r w:rsidR="009C63E1" w:rsidRPr="002353FE">
        <w:rPr>
          <w:rFonts w:ascii="Verdana" w:hAnsi="Verdana" w:cs="Tahoma"/>
          <w:sz w:val="24"/>
          <w:lang w:val="en-GB"/>
        </w:rPr>
        <w:t>t</w:t>
      </w:r>
      <w:r w:rsidR="009A2FD0" w:rsidRPr="002353FE">
        <w:rPr>
          <w:rFonts w:ascii="Verdana" w:hAnsi="Verdana" w:cs="Tahoma"/>
          <w:sz w:val="24"/>
          <w:lang w:val="en-GB"/>
        </w:rPr>
        <w:t xml:space="preserve">his paper </w:t>
      </w:r>
      <w:r w:rsidR="00D96B1B" w:rsidRPr="002353FE">
        <w:rPr>
          <w:rFonts w:ascii="Verdana" w:hAnsi="Verdana" w:cs="Tahoma"/>
          <w:sz w:val="24"/>
          <w:lang w:val="en-GB"/>
        </w:rPr>
        <w:t xml:space="preserve">examines the </w:t>
      </w:r>
      <w:r w:rsidR="00515A2E" w:rsidRPr="002353FE">
        <w:rPr>
          <w:rFonts w:ascii="Verdana" w:hAnsi="Verdana" w:cs="Tahoma"/>
          <w:sz w:val="24"/>
          <w:lang w:val="en-GB"/>
        </w:rPr>
        <w:t>relationships</w:t>
      </w:r>
      <w:r w:rsidR="00D96B1B" w:rsidRPr="002353FE">
        <w:rPr>
          <w:rFonts w:ascii="Verdana" w:hAnsi="Verdana" w:cs="Tahoma"/>
          <w:sz w:val="24"/>
          <w:lang w:val="en-GB"/>
        </w:rPr>
        <w:t xml:space="preserve"> between </w:t>
      </w:r>
      <w:r w:rsidR="00FF2A9E" w:rsidRPr="002353FE">
        <w:rPr>
          <w:rFonts w:ascii="Verdana" w:hAnsi="Verdana" w:cs="Tahoma"/>
          <w:sz w:val="24"/>
          <w:lang w:val="en-GB"/>
        </w:rPr>
        <w:t>these pol</w:t>
      </w:r>
      <w:r w:rsidR="00D478D5" w:rsidRPr="002353FE">
        <w:rPr>
          <w:rFonts w:ascii="Verdana" w:hAnsi="Verdana" w:cs="Tahoma"/>
          <w:sz w:val="24"/>
          <w:lang w:val="en-GB"/>
        </w:rPr>
        <w:t>i</w:t>
      </w:r>
      <w:r w:rsidR="00FF2A9E" w:rsidRPr="002353FE">
        <w:rPr>
          <w:rFonts w:ascii="Verdana" w:hAnsi="Verdana" w:cs="Tahoma"/>
          <w:sz w:val="24"/>
          <w:lang w:val="en-GB"/>
        </w:rPr>
        <w:t xml:space="preserve">cies, </w:t>
      </w:r>
      <w:r w:rsidR="001703AB" w:rsidRPr="002353FE">
        <w:rPr>
          <w:rFonts w:ascii="Verdana" w:hAnsi="Verdana" w:cs="Tahoma"/>
          <w:sz w:val="24"/>
          <w:lang w:val="en-GB"/>
        </w:rPr>
        <w:t>bank</w:t>
      </w:r>
      <w:r w:rsidR="007379B4" w:rsidRPr="002353FE">
        <w:rPr>
          <w:rFonts w:ascii="Verdana" w:hAnsi="Verdana" w:cs="Tahoma"/>
          <w:sz w:val="24"/>
          <w:lang w:val="en-GB"/>
        </w:rPr>
        <w:t xml:space="preserve"> switching</w:t>
      </w:r>
      <w:r w:rsidR="001703AB" w:rsidRPr="002353FE">
        <w:rPr>
          <w:rFonts w:ascii="Verdana" w:hAnsi="Verdana" w:cs="Tahoma"/>
          <w:sz w:val="24"/>
          <w:lang w:val="en-GB"/>
        </w:rPr>
        <w:t xml:space="preserve"> and </w:t>
      </w:r>
      <w:r w:rsidR="00B7647F" w:rsidRPr="002353FE">
        <w:rPr>
          <w:rFonts w:ascii="Verdana" w:hAnsi="Verdana" w:cs="Tahoma"/>
          <w:sz w:val="24"/>
          <w:lang w:val="en-GB"/>
        </w:rPr>
        <w:t xml:space="preserve">customer vulnerability, using survey data from 24 European countries. </w:t>
      </w:r>
      <w:r w:rsidR="001703AB" w:rsidRPr="002353FE">
        <w:rPr>
          <w:rFonts w:ascii="Verdana" w:hAnsi="Verdana" w:cs="Tahoma"/>
          <w:sz w:val="24"/>
          <w:lang w:val="en-GB"/>
        </w:rPr>
        <w:t xml:space="preserve">We report that the probability of bank switching is significantly lower for three groups of vulnerable customers: the elderly, the less educated </w:t>
      </w:r>
      <w:r w:rsidR="00B7647F" w:rsidRPr="002353FE">
        <w:rPr>
          <w:rFonts w:ascii="Verdana" w:hAnsi="Verdana" w:cs="Tahoma"/>
          <w:sz w:val="24"/>
          <w:lang w:val="en-GB"/>
        </w:rPr>
        <w:t xml:space="preserve">and </w:t>
      </w:r>
      <w:r w:rsidR="001703AB" w:rsidRPr="002353FE">
        <w:rPr>
          <w:rFonts w:ascii="Verdana" w:hAnsi="Verdana" w:cs="Tahoma"/>
          <w:sz w:val="24"/>
          <w:lang w:val="en-GB"/>
        </w:rPr>
        <w:t xml:space="preserve">those living in deprived regions. </w:t>
      </w:r>
      <w:r w:rsidR="00005D37" w:rsidRPr="002353FE">
        <w:rPr>
          <w:rFonts w:ascii="Verdana" w:hAnsi="Verdana" w:cs="Tahoma"/>
          <w:sz w:val="24"/>
          <w:lang w:val="en-GB"/>
        </w:rPr>
        <w:t>W</w:t>
      </w:r>
      <w:r w:rsidR="009E3B0B" w:rsidRPr="002353FE">
        <w:rPr>
          <w:rFonts w:ascii="Verdana" w:hAnsi="Verdana" w:cs="Tahoma"/>
          <w:sz w:val="24"/>
          <w:lang w:val="en-GB"/>
        </w:rPr>
        <w:t xml:space="preserve">e </w:t>
      </w:r>
      <w:r w:rsidR="00532C5D" w:rsidRPr="002353FE">
        <w:rPr>
          <w:rFonts w:ascii="Verdana" w:hAnsi="Verdana" w:cs="Tahoma"/>
          <w:sz w:val="24"/>
          <w:lang w:val="en-GB"/>
        </w:rPr>
        <w:t>conclude</w:t>
      </w:r>
      <w:r w:rsidR="009E3B0B" w:rsidRPr="002353FE">
        <w:rPr>
          <w:rFonts w:ascii="Verdana" w:hAnsi="Verdana" w:cs="Tahoma"/>
          <w:sz w:val="24"/>
          <w:lang w:val="en-GB"/>
        </w:rPr>
        <w:t xml:space="preserve"> </w:t>
      </w:r>
      <w:r w:rsidR="00E849B4" w:rsidRPr="002353FE">
        <w:rPr>
          <w:rFonts w:ascii="Verdana" w:hAnsi="Verdana" w:cs="Tahoma"/>
          <w:sz w:val="24"/>
          <w:lang w:val="en-GB"/>
        </w:rPr>
        <w:t xml:space="preserve">national </w:t>
      </w:r>
      <w:r w:rsidR="001703AB" w:rsidRPr="002353FE">
        <w:rPr>
          <w:rFonts w:ascii="Verdana" w:hAnsi="Verdana" w:cs="Tahoma"/>
          <w:sz w:val="24"/>
          <w:lang w:val="en-GB"/>
        </w:rPr>
        <w:t>financial education policies and disclosure practices ha</w:t>
      </w:r>
      <w:r w:rsidR="00B7647F" w:rsidRPr="002353FE">
        <w:rPr>
          <w:rFonts w:ascii="Verdana" w:hAnsi="Verdana" w:cs="Tahoma"/>
          <w:sz w:val="24"/>
          <w:lang w:val="en-GB"/>
        </w:rPr>
        <w:t>ve</w:t>
      </w:r>
      <w:r w:rsidR="001703AB" w:rsidRPr="002353FE">
        <w:rPr>
          <w:rFonts w:ascii="Verdana" w:hAnsi="Verdana" w:cs="Tahoma"/>
          <w:sz w:val="24"/>
          <w:lang w:val="en-GB"/>
        </w:rPr>
        <w:t xml:space="preserve"> no significant effects on bank switching. </w:t>
      </w:r>
    </w:p>
    <w:p w14:paraId="4A08D637" w14:textId="77777777" w:rsidR="00412067" w:rsidRPr="002353FE" w:rsidRDefault="00412067" w:rsidP="00770101">
      <w:pPr>
        <w:spacing w:after="120" w:line="480" w:lineRule="auto"/>
        <w:jc w:val="both"/>
        <w:rPr>
          <w:rFonts w:ascii="Verdana" w:hAnsi="Verdana" w:cs="Tahoma"/>
          <w:sz w:val="24"/>
          <w:lang w:val="en-GB"/>
        </w:rPr>
      </w:pPr>
    </w:p>
    <w:p w14:paraId="73FFE4D4" w14:textId="434BB26D" w:rsidR="00005D37" w:rsidRPr="002353FE" w:rsidRDefault="00005D37" w:rsidP="00770101">
      <w:pPr>
        <w:spacing w:after="120" w:line="480" w:lineRule="auto"/>
        <w:jc w:val="both"/>
        <w:rPr>
          <w:rFonts w:ascii="Verdana" w:hAnsi="Verdana" w:cs="Tahoma"/>
          <w:sz w:val="24"/>
          <w:lang w:val="en-GB"/>
        </w:rPr>
      </w:pPr>
      <w:r w:rsidRPr="002353FE">
        <w:rPr>
          <w:rFonts w:ascii="Verdana" w:hAnsi="Verdana" w:cs="Tahoma"/>
          <w:sz w:val="24"/>
          <w:lang w:val="en-GB"/>
        </w:rPr>
        <w:t>Abstract</w:t>
      </w:r>
      <w:r w:rsidR="00A17909" w:rsidRPr="002353FE">
        <w:rPr>
          <w:rFonts w:ascii="Verdana" w:hAnsi="Verdana" w:cs="Tahoma"/>
          <w:sz w:val="24"/>
          <w:lang w:val="en-GB"/>
        </w:rPr>
        <w:t>:</w:t>
      </w:r>
      <w:r w:rsidRPr="002353FE">
        <w:rPr>
          <w:rFonts w:ascii="Verdana" w:hAnsi="Verdana" w:cs="Tahoma"/>
          <w:sz w:val="24"/>
          <w:lang w:val="en-GB"/>
        </w:rPr>
        <w:t xml:space="preserve"> 131</w:t>
      </w:r>
      <w:r w:rsidR="00BC3A99" w:rsidRPr="002353FE">
        <w:rPr>
          <w:rFonts w:ascii="Verdana" w:hAnsi="Verdana" w:cs="Tahoma"/>
          <w:sz w:val="24"/>
          <w:lang w:val="en-GB"/>
        </w:rPr>
        <w:t xml:space="preserve"> words</w:t>
      </w:r>
    </w:p>
    <w:p w14:paraId="1872C78F" w14:textId="77777777" w:rsidR="00412067" w:rsidRPr="002353FE" w:rsidRDefault="00412067" w:rsidP="00770101">
      <w:pPr>
        <w:spacing w:after="120" w:line="480" w:lineRule="auto"/>
        <w:jc w:val="both"/>
        <w:rPr>
          <w:rFonts w:ascii="Verdana" w:hAnsi="Verdana" w:cs="Tahoma"/>
          <w:sz w:val="24"/>
          <w:lang w:val="en-GB"/>
        </w:rPr>
      </w:pPr>
    </w:p>
    <w:bookmarkEnd w:id="0"/>
    <w:p w14:paraId="0A0FDD88" w14:textId="074BA6E4" w:rsidR="00CE55DE" w:rsidRPr="002353FE" w:rsidRDefault="008E0320" w:rsidP="008E0320">
      <w:pPr>
        <w:spacing w:after="120" w:line="480" w:lineRule="auto"/>
        <w:jc w:val="both"/>
        <w:rPr>
          <w:rFonts w:ascii="Verdana" w:hAnsi="Verdana" w:cs="Tahoma"/>
          <w:sz w:val="24"/>
          <w:lang w:val="en-GB"/>
        </w:rPr>
      </w:pPr>
      <w:r w:rsidRPr="002353FE">
        <w:rPr>
          <w:rFonts w:ascii="Verdana" w:hAnsi="Verdana" w:cs="Tahoma"/>
          <w:b/>
          <w:sz w:val="24"/>
          <w:lang w:val="en-GB"/>
        </w:rPr>
        <w:lastRenderedPageBreak/>
        <w:t>Keywords:</w:t>
      </w:r>
      <w:r w:rsidR="00DA2251" w:rsidRPr="002353FE">
        <w:rPr>
          <w:rFonts w:ascii="Verdana" w:hAnsi="Verdana" w:cs="Tahoma"/>
          <w:sz w:val="24"/>
          <w:lang w:val="en-GB"/>
        </w:rPr>
        <w:t xml:space="preserve"> banking markets, </w:t>
      </w:r>
      <w:r w:rsidR="00F9618D" w:rsidRPr="002353FE">
        <w:rPr>
          <w:rFonts w:ascii="Verdana" w:hAnsi="Verdana" w:cs="Tahoma"/>
          <w:sz w:val="24"/>
          <w:lang w:val="en-GB"/>
        </w:rPr>
        <w:t>vulnerable customers</w:t>
      </w:r>
      <w:r w:rsidR="00DA2251" w:rsidRPr="002353FE">
        <w:rPr>
          <w:rFonts w:ascii="Verdana" w:hAnsi="Verdana" w:cs="Tahoma"/>
          <w:sz w:val="24"/>
          <w:lang w:val="en-GB"/>
        </w:rPr>
        <w:t xml:space="preserve">, switching, </w:t>
      </w:r>
      <w:r w:rsidR="00F9618D" w:rsidRPr="002353FE">
        <w:rPr>
          <w:rFonts w:ascii="Verdana" w:hAnsi="Verdana" w:cs="Tahoma"/>
          <w:sz w:val="24"/>
          <w:lang w:val="en-GB"/>
        </w:rPr>
        <w:t>consumer policies</w:t>
      </w:r>
      <w:r w:rsidR="004461B3" w:rsidRPr="002353FE">
        <w:rPr>
          <w:rFonts w:ascii="Verdana" w:hAnsi="Verdana" w:cs="Tahoma"/>
          <w:sz w:val="24"/>
          <w:lang w:val="en-GB"/>
        </w:rPr>
        <w:t xml:space="preserve">, </w:t>
      </w:r>
      <w:r w:rsidR="000549C7" w:rsidRPr="002353FE">
        <w:rPr>
          <w:rFonts w:ascii="Verdana" w:hAnsi="Verdana" w:cs="Tahoma"/>
          <w:sz w:val="24"/>
          <w:lang w:val="en-GB"/>
        </w:rPr>
        <w:t>personal current accounts</w:t>
      </w:r>
      <w:r w:rsidR="00DA2251" w:rsidRPr="002353FE">
        <w:rPr>
          <w:rFonts w:ascii="Verdana" w:hAnsi="Verdana" w:cs="Tahoma"/>
          <w:sz w:val="24"/>
          <w:lang w:val="en-GB"/>
        </w:rPr>
        <w:t>.</w:t>
      </w:r>
    </w:p>
    <w:p w14:paraId="1DB25B7D" w14:textId="462A344A" w:rsidR="00CE55DE" w:rsidRPr="002353FE" w:rsidRDefault="00CE55DE" w:rsidP="008E0320">
      <w:pPr>
        <w:spacing w:after="120" w:line="480" w:lineRule="auto"/>
        <w:jc w:val="both"/>
        <w:rPr>
          <w:rFonts w:ascii="Verdana" w:hAnsi="Verdana" w:cs="Tahoma"/>
          <w:sz w:val="24"/>
          <w:lang w:val="en-GB"/>
        </w:rPr>
      </w:pPr>
    </w:p>
    <w:p w14:paraId="35F89705" w14:textId="0A24645A" w:rsidR="006C225B" w:rsidRPr="002353FE" w:rsidRDefault="006C225B">
      <w:pPr>
        <w:spacing w:after="0" w:line="240" w:lineRule="auto"/>
        <w:rPr>
          <w:rFonts w:ascii="Verdana" w:hAnsi="Verdana" w:cs="Tahoma"/>
          <w:sz w:val="24"/>
          <w:lang w:val="en-GB"/>
        </w:rPr>
      </w:pPr>
      <w:r w:rsidRPr="002353FE">
        <w:rPr>
          <w:rFonts w:ascii="Verdana" w:hAnsi="Verdana" w:cs="Tahoma"/>
          <w:sz w:val="24"/>
          <w:lang w:val="en-GB"/>
        </w:rPr>
        <w:br w:type="page"/>
      </w:r>
    </w:p>
    <w:p w14:paraId="7C178004" w14:textId="4614E98E" w:rsidR="00D45F78" w:rsidRPr="002353FE" w:rsidRDefault="00D45F78" w:rsidP="00770101">
      <w:pPr>
        <w:pStyle w:val="ListParagraph"/>
        <w:numPr>
          <w:ilvl w:val="0"/>
          <w:numId w:val="24"/>
        </w:numPr>
        <w:spacing w:before="120" w:after="0" w:line="480" w:lineRule="auto"/>
        <w:jc w:val="both"/>
        <w:rPr>
          <w:rFonts w:ascii="Verdana" w:hAnsi="Verdana" w:cs="Tahoma"/>
          <w:b/>
          <w:sz w:val="24"/>
          <w:lang w:val="en-GB"/>
        </w:rPr>
      </w:pPr>
      <w:r w:rsidRPr="002353FE">
        <w:rPr>
          <w:rFonts w:ascii="Verdana" w:hAnsi="Verdana" w:cs="Tahoma"/>
          <w:b/>
          <w:sz w:val="24"/>
          <w:lang w:val="en-GB"/>
        </w:rPr>
        <w:lastRenderedPageBreak/>
        <w:t>Introduction</w:t>
      </w:r>
    </w:p>
    <w:p w14:paraId="474C99BA" w14:textId="5DAF3584" w:rsidR="00A02DA2" w:rsidRPr="002353FE" w:rsidRDefault="00ED7515" w:rsidP="00A02DA2">
      <w:pPr>
        <w:spacing w:before="240" w:line="480" w:lineRule="auto"/>
        <w:jc w:val="both"/>
        <w:rPr>
          <w:rFonts w:ascii="Verdana" w:hAnsi="Verdana" w:cs="Tahoma"/>
          <w:sz w:val="24"/>
          <w:szCs w:val="24"/>
          <w:lang w:val="en-GB"/>
        </w:rPr>
      </w:pPr>
      <w:r w:rsidRPr="002353FE">
        <w:rPr>
          <w:rFonts w:ascii="Verdana" w:hAnsi="Verdana" w:cs="Tahoma"/>
          <w:sz w:val="24"/>
          <w:szCs w:val="24"/>
          <w:lang w:val="en-GB"/>
        </w:rPr>
        <w:t>In the last two decad</w:t>
      </w:r>
      <w:r w:rsidR="00407764" w:rsidRPr="002353FE">
        <w:rPr>
          <w:rFonts w:ascii="Verdana" w:hAnsi="Verdana" w:cs="Tahoma"/>
          <w:sz w:val="24"/>
          <w:szCs w:val="24"/>
          <w:lang w:val="en-GB"/>
        </w:rPr>
        <w:t>e</w:t>
      </w:r>
      <w:r w:rsidRPr="002353FE">
        <w:rPr>
          <w:rFonts w:ascii="Verdana" w:hAnsi="Verdana" w:cs="Tahoma"/>
          <w:sz w:val="24"/>
          <w:szCs w:val="24"/>
          <w:lang w:val="en-GB"/>
        </w:rPr>
        <w:t>s t</w:t>
      </w:r>
      <w:r w:rsidR="00D72E41" w:rsidRPr="002353FE">
        <w:rPr>
          <w:rFonts w:ascii="Verdana" w:hAnsi="Verdana" w:cs="Tahoma"/>
          <w:sz w:val="24"/>
          <w:szCs w:val="24"/>
          <w:lang w:val="en-GB"/>
        </w:rPr>
        <w:t xml:space="preserve">he banking sector </w:t>
      </w:r>
      <w:r w:rsidR="005A24F1" w:rsidRPr="002353FE">
        <w:rPr>
          <w:rFonts w:ascii="Verdana" w:hAnsi="Verdana" w:cs="Tahoma"/>
          <w:sz w:val="24"/>
          <w:szCs w:val="24"/>
          <w:lang w:val="en-GB"/>
        </w:rPr>
        <w:t xml:space="preserve">has </w:t>
      </w:r>
      <w:r w:rsidR="0074001D" w:rsidRPr="002353FE">
        <w:rPr>
          <w:rFonts w:ascii="Verdana" w:hAnsi="Verdana" w:cs="Tahoma"/>
          <w:sz w:val="24"/>
          <w:szCs w:val="24"/>
          <w:lang w:val="en-GB"/>
        </w:rPr>
        <w:t>transformed f</w:t>
      </w:r>
      <w:r w:rsidRPr="002353FE">
        <w:rPr>
          <w:rFonts w:ascii="Verdana" w:hAnsi="Verdana" w:cs="Tahoma"/>
          <w:sz w:val="24"/>
          <w:szCs w:val="24"/>
          <w:lang w:val="en-GB"/>
        </w:rPr>
        <w:t xml:space="preserve">rom </w:t>
      </w:r>
      <w:r w:rsidR="00D72E41" w:rsidRPr="002353FE">
        <w:rPr>
          <w:rFonts w:ascii="Verdana" w:hAnsi="Verdana" w:cs="Tahoma"/>
          <w:sz w:val="24"/>
          <w:szCs w:val="24"/>
          <w:lang w:val="en-GB"/>
        </w:rPr>
        <w:t>a relational model based on the close interaction between bank agents and customers to a transactional model based on technology and increasing levels of banking digitization (</w:t>
      </w:r>
      <w:r w:rsidR="00DA49F9" w:rsidRPr="002353FE">
        <w:rPr>
          <w:rFonts w:ascii="Verdana" w:hAnsi="Verdana" w:cs="Tahoma"/>
          <w:sz w:val="24"/>
          <w:szCs w:val="24"/>
          <w:lang w:val="en-GB"/>
        </w:rPr>
        <w:t xml:space="preserve">Dandapani </w:t>
      </w:r>
      <w:r w:rsidR="00DA49F9" w:rsidRPr="002353FE">
        <w:rPr>
          <w:rFonts w:ascii="Verdana" w:hAnsi="Verdana" w:cs="Tahoma"/>
          <w:i/>
          <w:iCs/>
          <w:sz w:val="24"/>
          <w:szCs w:val="24"/>
          <w:lang w:val="en-GB"/>
        </w:rPr>
        <w:t>et al</w:t>
      </w:r>
      <w:r w:rsidR="005F27D6" w:rsidRPr="002353FE">
        <w:rPr>
          <w:rFonts w:ascii="Verdana" w:hAnsi="Verdana" w:cs="Tahoma"/>
          <w:sz w:val="24"/>
          <w:szCs w:val="24"/>
          <w:lang w:val="en-GB"/>
        </w:rPr>
        <w:t>.,</w:t>
      </w:r>
      <w:r w:rsidR="00DA49F9" w:rsidRPr="002353FE">
        <w:rPr>
          <w:rFonts w:ascii="Verdana" w:hAnsi="Verdana" w:cs="Tahoma"/>
          <w:sz w:val="24"/>
          <w:szCs w:val="24"/>
          <w:lang w:val="en-GB"/>
        </w:rPr>
        <w:t xml:space="preserve"> 2018; </w:t>
      </w:r>
      <w:r w:rsidR="00D72E41" w:rsidRPr="002353FE">
        <w:rPr>
          <w:rFonts w:ascii="Verdana" w:hAnsi="Verdana" w:cs="Tahoma"/>
          <w:sz w:val="24"/>
          <w:szCs w:val="24"/>
          <w:lang w:val="en-GB"/>
        </w:rPr>
        <w:t xml:space="preserve">De la Cuesta </w:t>
      </w:r>
      <w:r w:rsidR="00D72E41" w:rsidRPr="002353FE">
        <w:rPr>
          <w:rFonts w:ascii="Verdana" w:hAnsi="Verdana" w:cs="Tahoma"/>
          <w:i/>
          <w:iCs/>
          <w:sz w:val="24"/>
          <w:szCs w:val="24"/>
          <w:lang w:val="en-GB"/>
        </w:rPr>
        <w:t>et al</w:t>
      </w:r>
      <w:r w:rsidR="005F27D6" w:rsidRPr="002353FE">
        <w:rPr>
          <w:rFonts w:ascii="Verdana" w:hAnsi="Verdana" w:cs="Tahoma"/>
          <w:sz w:val="24"/>
          <w:szCs w:val="24"/>
          <w:lang w:val="en-GB"/>
        </w:rPr>
        <w:t>.,</w:t>
      </w:r>
      <w:r w:rsidR="00D72E41" w:rsidRPr="002353FE">
        <w:rPr>
          <w:rFonts w:ascii="Verdana" w:hAnsi="Verdana" w:cs="Tahoma"/>
          <w:sz w:val="24"/>
          <w:szCs w:val="24"/>
          <w:lang w:val="en-GB"/>
        </w:rPr>
        <w:t xml:space="preserve"> 2022).</w:t>
      </w:r>
      <w:r w:rsidR="00DA49F9" w:rsidRPr="002353FE">
        <w:rPr>
          <w:rFonts w:ascii="Verdana" w:hAnsi="Verdana" w:cs="Tahoma"/>
          <w:sz w:val="24"/>
          <w:szCs w:val="24"/>
          <w:lang w:val="en-GB"/>
        </w:rPr>
        <w:t xml:space="preserve"> </w:t>
      </w:r>
      <w:r w:rsidR="009E2692" w:rsidRPr="002353FE">
        <w:rPr>
          <w:rFonts w:ascii="Verdana" w:hAnsi="Verdana" w:cs="Tahoma"/>
          <w:sz w:val="24"/>
          <w:szCs w:val="24"/>
          <w:lang w:val="en-GB"/>
        </w:rPr>
        <w:t>This shift has been</w:t>
      </w:r>
      <w:r w:rsidR="00D86EDD" w:rsidRPr="002353FE">
        <w:rPr>
          <w:rFonts w:ascii="Verdana" w:hAnsi="Verdana" w:cs="Tahoma"/>
          <w:sz w:val="24"/>
          <w:szCs w:val="24"/>
          <w:lang w:val="en-GB"/>
        </w:rPr>
        <w:t xml:space="preserve"> </w:t>
      </w:r>
      <w:r w:rsidR="00F3040B" w:rsidRPr="002353FE">
        <w:rPr>
          <w:rFonts w:ascii="Verdana" w:hAnsi="Verdana" w:cs="Tahoma"/>
          <w:sz w:val="24"/>
          <w:szCs w:val="24"/>
          <w:lang w:val="en-GB"/>
        </w:rPr>
        <w:t xml:space="preserve">associated </w:t>
      </w:r>
      <w:r w:rsidR="009E2692" w:rsidRPr="002353FE">
        <w:rPr>
          <w:rFonts w:ascii="Verdana" w:hAnsi="Verdana" w:cs="Tahoma"/>
          <w:sz w:val="24"/>
          <w:szCs w:val="24"/>
          <w:lang w:val="en-GB"/>
        </w:rPr>
        <w:t>with i</w:t>
      </w:r>
      <w:r w:rsidR="00DA49F9" w:rsidRPr="002353FE">
        <w:rPr>
          <w:rFonts w:ascii="Verdana" w:hAnsi="Verdana" w:cs="Tahoma"/>
          <w:sz w:val="24"/>
          <w:szCs w:val="24"/>
          <w:lang w:val="en-GB"/>
        </w:rPr>
        <w:t>nsufficient levels of c</w:t>
      </w:r>
      <w:r w:rsidR="00C7559A" w:rsidRPr="002353FE">
        <w:rPr>
          <w:rFonts w:ascii="Verdana" w:hAnsi="Verdana" w:cs="Tahoma"/>
          <w:sz w:val="24"/>
          <w:szCs w:val="24"/>
          <w:lang w:val="en-GB"/>
        </w:rPr>
        <w:t>ustomer</w:t>
      </w:r>
      <w:r w:rsidR="00DA49F9" w:rsidRPr="002353FE">
        <w:rPr>
          <w:rFonts w:ascii="Verdana" w:hAnsi="Verdana" w:cs="Tahoma"/>
          <w:sz w:val="24"/>
          <w:szCs w:val="24"/>
          <w:lang w:val="en-GB"/>
        </w:rPr>
        <w:t xml:space="preserve"> protection and product mis</w:t>
      </w:r>
      <w:r w:rsidR="004134C8" w:rsidRPr="002353FE">
        <w:rPr>
          <w:rFonts w:ascii="Verdana" w:hAnsi="Verdana" w:cs="Tahoma"/>
          <w:sz w:val="24"/>
          <w:szCs w:val="24"/>
          <w:lang w:val="en-GB"/>
        </w:rPr>
        <w:t>-</w:t>
      </w:r>
      <w:r w:rsidR="00DA49F9" w:rsidRPr="002353FE">
        <w:rPr>
          <w:rFonts w:ascii="Verdana" w:hAnsi="Verdana" w:cs="Tahoma"/>
          <w:sz w:val="24"/>
          <w:szCs w:val="24"/>
          <w:lang w:val="en-GB"/>
        </w:rPr>
        <w:t>se</w:t>
      </w:r>
      <w:r w:rsidR="004134C8" w:rsidRPr="002353FE">
        <w:rPr>
          <w:rFonts w:ascii="Verdana" w:hAnsi="Verdana" w:cs="Tahoma"/>
          <w:sz w:val="24"/>
          <w:szCs w:val="24"/>
          <w:lang w:val="en-GB"/>
        </w:rPr>
        <w:t>l</w:t>
      </w:r>
      <w:r w:rsidR="00DA49F9" w:rsidRPr="002353FE">
        <w:rPr>
          <w:rFonts w:ascii="Verdana" w:hAnsi="Verdana" w:cs="Tahoma"/>
          <w:sz w:val="24"/>
          <w:szCs w:val="24"/>
          <w:lang w:val="en-GB"/>
        </w:rPr>
        <w:t>ling (</w:t>
      </w:r>
      <w:r w:rsidR="00C7559A" w:rsidRPr="002353FE">
        <w:rPr>
          <w:rFonts w:ascii="Verdana" w:hAnsi="Verdana" w:cs="Tahoma"/>
          <w:sz w:val="24"/>
          <w:szCs w:val="24"/>
          <w:lang w:val="en-GB"/>
        </w:rPr>
        <w:t xml:space="preserve">Clifton </w:t>
      </w:r>
      <w:r w:rsidR="00C7559A" w:rsidRPr="002353FE">
        <w:rPr>
          <w:rFonts w:ascii="Verdana" w:hAnsi="Verdana" w:cs="Tahoma"/>
          <w:i/>
          <w:iCs/>
          <w:sz w:val="24"/>
          <w:szCs w:val="24"/>
          <w:lang w:val="en-GB"/>
        </w:rPr>
        <w:t>et al</w:t>
      </w:r>
      <w:r w:rsidR="005F27D6" w:rsidRPr="002353FE">
        <w:rPr>
          <w:rFonts w:ascii="Verdana" w:hAnsi="Verdana" w:cs="Tahoma"/>
          <w:sz w:val="24"/>
          <w:szCs w:val="24"/>
          <w:lang w:val="en-GB"/>
        </w:rPr>
        <w:t>.,</w:t>
      </w:r>
      <w:r w:rsidR="00C7559A" w:rsidRPr="002353FE">
        <w:rPr>
          <w:rFonts w:ascii="Verdana" w:hAnsi="Verdana" w:cs="Tahoma"/>
          <w:sz w:val="24"/>
          <w:szCs w:val="24"/>
          <w:lang w:val="en-GB"/>
        </w:rPr>
        <w:t xml:space="preserve"> 2017; Pasiouras</w:t>
      </w:r>
      <w:r w:rsidR="005F27D6" w:rsidRPr="002353FE">
        <w:rPr>
          <w:rFonts w:ascii="Verdana" w:hAnsi="Verdana" w:cs="Tahoma"/>
          <w:sz w:val="24"/>
          <w:szCs w:val="24"/>
          <w:lang w:val="en-GB"/>
        </w:rPr>
        <w:t>,</w:t>
      </w:r>
      <w:r w:rsidR="00C7559A" w:rsidRPr="002353FE">
        <w:rPr>
          <w:rFonts w:ascii="Verdana" w:hAnsi="Verdana" w:cs="Tahoma"/>
          <w:sz w:val="24"/>
          <w:szCs w:val="24"/>
          <w:lang w:val="en-GB"/>
        </w:rPr>
        <w:t xml:space="preserve"> 2018). As a response, regulatory efforts </w:t>
      </w:r>
      <w:r w:rsidR="00CF2D51" w:rsidRPr="002353FE">
        <w:rPr>
          <w:rFonts w:ascii="Verdana" w:hAnsi="Verdana" w:cs="Tahoma"/>
          <w:sz w:val="24"/>
          <w:szCs w:val="24"/>
          <w:lang w:val="en-GB"/>
        </w:rPr>
        <w:t xml:space="preserve">have centred on enhancing </w:t>
      </w:r>
      <w:r w:rsidR="00C7559A" w:rsidRPr="002353FE">
        <w:rPr>
          <w:rFonts w:ascii="Verdana" w:hAnsi="Verdana" w:cs="Tahoma"/>
          <w:sz w:val="24"/>
          <w:szCs w:val="24"/>
          <w:lang w:val="en-GB"/>
        </w:rPr>
        <w:t>c</w:t>
      </w:r>
      <w:r w:rsidR="00782DA0" w:rsidRPr="002353FE">
        <w:rPr>
          <w:rFonts w:ascii="Verdana" w:hAnsi="Verdana" w:cs="Tahoma"/>
          <w:sz w:val="24"/>
          <w:szCs w:val="24"/>
          <w:lang w:val="en-GB"/>
        </w:rPr>
        <w:t>ustomers</w:t>
      </w:r>
      <w:r w:rsidR="00C7559A" w:rsidRPr="002353FE">
        <w:rPr>
          <w:rFonts w:ascii="Verdana" w:hAnsi="Verdana" w:cs="Tahoma"/>
          <w:sz w:val="24"/>
          <w:szCs w:val="24"/>
          <w:lang w:val="en-GB"/>
        </w:rPr>
        <w:t xml:space="preserve">’ capacity to </w:t>
      </w:r>
      <w:r w:rsidR="00FE0AD0" w:rsidRPr="002353FE">
        <w:rPr>
          <w:rFonts w:ascii="Verdana" w:hAnsi="Verdana" w:cs="Tahoma"/>
          <w:sz w:val="24"/>
          <w:szCs w:val="24"/>
          <w:lang w:val="en-GB"/>
        </w:rPr>
        <w:t xml:space="preserve">make appropriate </w:t>
      </w:r>
      <w:r w:rsidR="00005D37" w:rsidRPr="002353FE">
        <w:rPr>
          <w:rFonts w:ascii="Verdana" w:hAnsi="Verdana" w:cs="Tahoma"/>
          <w:sz w:val="24"/>
          <w:szCs w:val="24"/>
          <w:lang w:val="en-GB"/>
        </w:rPr>
        <w:t xml:space="preserve">financial </w:t>
      </w:r>
      <w:r w:rsidR="00FE0AD0" w:rsidRPr="002353FE">
        <w:rPr>
          <w:rFonts w:ascii="Verdana" w:hAnsi="Verdana" w:cs="Tahoma"/>
          <w:sz w:val="24"/>
          <w:szCs w:val="24"/>
          <w:lang w:val="en-GB"/>
        </w:rPr>
        <w:t xml:space="preserve">decisions </w:t>
      </w:r>
      <w:r w:rsidR="000B7037" w:rsidRPr="002353FE">
        <w:rPr>
          <w:rFonts w:ascii="Verdana" w:hAnsi="Verdana" w:cs="Tahoma"/>
          <w:sz w:val="24"/>
          <w:szCs w:val="24"/>
          <w:lang w:val="en-GB"/>
        </w:rPr>
        <w:t xml:space="preserve">(Brennan </w:t>
      </w:r>
      <w:r w:rsidR="000B7037" w:rsidRPr="002353FE">
        <w:rPr>
          <w:rFonts w:ascii="Verdana" w:hAnsi="Verdana" w:cs="Tahoma"/>
          <w:i/>
          <w:iCs/>
          <w:sz w:val="24"/>
          <w:szCs w:val="24"/>
          <w:lang w:val="en-GB"/>
        </w:rPr>
        <w:t>et al</w:t>
      </w:r>
      <w:r w:rsidR="005F27D6" w:rsidRPr="002353FE">
        <w:rPr>
          <w:rFonts w:ascii="Verdana" w:hAnsi="Verdana" w:cs="Tahoma"/>
          <w:sz w:val="24"/>
          <w:szCs w:val="24"/>
          <w:lang w:val="en-GB"/>
        </w:rPr>
        <w:t>.,</w:t>
      </w:r>
      <w:r w:rsidR="000B7037" w:rsidRPr="002353FE">
        <w:rPr>
          <w:rFonts w:ascii="Verdana" w:hAnsi="Verdana" w:cs="Tahoma"/>
          <w:sz w:val="24"/>
          <w:szCs w:val="24"/>
          <w:lang w:val="en-GB"/>
        </w:rPr>
        <w:t xml:space="preserve"> 2017)</w:t>
      </w:r>
      <w:r w:rsidR="00C7559A" w:rsidRPr="002353FE">
        <w:rPr>
          <w:rFonts w:ascii="Verdana" w:hAnsi="Verdana" w:cs="Tahoma"/>
          <w:sz w:val="24"/>
          <w:szCs w:val="24"/>
          <w:lang w:val="en-GB"/>
        </w:rPr>
        <w:t xml:space="preserve">. </w:t>
      </w:r>
      <w:r w:rsidR="00DE20E3" w:rsidRPr="002353FE">
        <w:rPr>
          <w:rFonts w:ascii="Verdana" w:hAnsi="Verdana" w:cs="Tahoma"/>
          <w:sz w:val="24"/>
          <w:szCs w:val="24"/>
          <w:lang w:val="en-GB"/>
        </w:rPr>
        <w:t>T</w:t>
      </w:r>
      <w:r w:rsidR="00C00021" w:rsidRPr="002353FE">
        <w:rPr>
          <w:rFonts w:ascii="Verdana" w:hAnsi="Verdana" w:cs="Tahoma"/>
          <w:sz w:val="24"/>
          <w:szCs w:val="24"/>
          <w:lang w:val="en-GB"/>
        </w:rPr>
        <w:t>o improve “consumer empowerment”</w:t>
      </w:r>
      <w:r w:rsidR="00A6683D" w:rsidRPr="002353FE">
        <w:rPr>
          <w:rFonts w:ascii="Verdana" w:hAnsi="Verdana" w:cs="Tahoma"/>
          <w:sz w:val="24"/>
          <w:szCs w:val="24"/>
          <w:lang w:val="en-GB"/>
        </w:rPr>
        <w:t>,</w:t>
      </w:r>
      <w:r w:rsidR="00C00021" w:rsidRPr="002353FE">
        <w:rPr>
          <w:rFonts w:ascii="Verdana" w:hAnsi="Verdana" w:cs="Tahoma"/>
          <w:sz w:val="24"/>
          <w:szCs w:val="24"/>
          <w:lang w:val="en-GB"/>
        </w:rPr>
        <w:t xml:space="preserve"> t</w:t>
      </w:r>
      <w:r w:rsidR="00DE20E3" w:rsidRPr="002353FE">
        <w:rPr>
          <w:rFonts w:ascii="Verdana" w:hAnsi="Verdana" w:cs="Tahoma"/>
          <w:sz w:val="24"/>
          <w:szCs w:val="24"/>
          <w:lang w:val="en-GB"/>
        </w:rPr>
        <w:t>h</w:t>
      </w:r>
      <w:r w:rsidR="00FB6017" w:rsidRPr="002353FE">
        <w:rPr>
          <w:rFonts w:ascii="Verdana" w:hAnsi="Verdana" w:cs="Tahoma"/>
          <w:sz w:val="24"/>
          <w:szCs w:val="24"/>
          <w:lang w:val="en-GB"/>
        </w:rPr>
        <w:t>e</w:t>
      </w:r>
      <w:r w:rsidR="00DE20E3" w:rsidRPr="002353FE">
        <w:rPr>
          <w:rFonts w:ascii="Verdana" w:hAnsi="Verdana" w:cs="Tahoma"/>
          <w:sz w:val="24"/>
          <w:szCs w:val="24"/>
          <w:lang w:val="en-GB"/>
        </w:rPr>
        <w:t xml:space="preserve">se policies </w:t>
      </w:r>
      <w:r w:rsidR="00E91D60" w:rsidRPr="002353FE">
        <w:rPr>
          <w:rFonts w:ascii="Verdana" w:hAnsi="Verdana" w:cs="Tahoma"/>
          <w:sz w:val="24"/>
          <w:szCs w:val="24"/>
          <w:lang w:val="en-GB"/>
        </w:rPr>
        <w:t xml:space="preserve">have attempted to </w:t>
      </w:r>
      <w:r w:rsidR="003D0113" w:rsidRPr="002353FE">
        <w:rPr>
          <w:rFonts w:ascii="Verdana" w:hAnsi="Verdana" w:cs="Tahoma"/>
          <w:sz w:val="24"/>
          <w:szCs w:val="24"/>
          <w:lang w:val="en-GB"/>
        </w:rPr>
        <w:t xml:space="preserve">ensure </w:t>
      </w:r>
      <w:r w:rsidR="00DE20E3" w:rsidRPr="002353FE">
        <w:rPr>
          <w:rFonts w:ascii="Verdana" w:hAnsi="Verdana" w:cs="Tahoma"/>
          <w:sz w:val="24"/>
          <w:szCs w:val="24"/>
          <w:lang w:val="en-GB"/>
        </w:rPr>
        <w:t>guaranteed ac</w:t>
      </w:r>
      <w:r w:rsidR="0078168B" w:rsidRPr="002353FE">
        <w:rPr>
          <w:rFonts w:ascii="Verdana" w:hAnsi="Verdana" w:cs="Tahoma"/>
          <w:sz w:val="24"/>
          <w:szCs w:val="24"/>
          <w:lang w:val="en-GB"/>
        </w:rPr>
        <w:t>c</w:t>
      </w:r>
      <w:r w:rsidR="00DE20E3" w:rsidRPr="002353FE">
        <w:rPr>
          <w:rFonts w:ascii="Verdana" w:hAnsi="Verdana" w:cs="Tahoma"/>
          <w:sz w:val="24"/>
          <w:szCs w:val="24"/>
          <w:lang w:val="en-GB"/>
        </w:rPr>
        <w:t>ess to basic bank accounts</w:t>
      </w:r>
      <w:r w:rsidR="00FB6017" w:rsidRPr="002353FE">
        <w:rPr>
          <w:rFonts w:ascii="Verdana" w:hAnsi="Verdana" w:cs="Tahoma"/>
          <w:sz w:val="24"/>
          <w:szCs w:val="24"/>
          <w:lang w:val="en-GB"/>
        </w:rPr>
        <w:t xml:space="preserve">, </w:t>
      </w:r>
      <w:r w:rsidR="00324E39" w:rsidRPr="002353FE">
        <w:rPr>
          <w:rFonts w:ascii="Verdana" w:hAnsi="Verdana" w:cs="Tahoma"/>
          <w:sz w:val="24"/>
          <w:szCs w:val="24"/>
          <w:lang w:val="en-GB"/>
        </w:rPr>
        <w:t xml:space="preserve">enhance </w:t>
      </w:r>
      <w:r w:rsidR="00DB1C29" w:rsidRPr="002353FE">
        <w:rPr>
          <w:rFonts w:ascii="Verdana" w:hAnsi="Verdana" w:cs="Tahoma"/>
          <w:sz w:val="24"/>
          <w:szCs w:val="24"/>
          <w:lang w:val="en-GB"/>
        </w:rPr>
        <w:t>the</w:t>
      </w:r>
      <w:r w:rsidR="00E91D60" w:rsidRPr="002353FE">
        <w:rPr>
          <w:rFonts w:ascii="Verdana" w:hAnsi="Verdana" w:cs="Tahoma"/>
          <w:sz w:val="24"/>
          <w:szCs w:val="24"/>
          <w:lang w:val="en-GB"/>
        </w:rPr>
        <w:t xml:space="preserve"> </w:t>
      </w:r>
      <w:r w:rsidR="00415693" w:rsidRPr="002353FE">
        <w:rPr>
          <w:rFonts w:ascii="Verdana" w:hAnsi="Verdana" w:cs="Tahoma"/>
          <w:sz w:val="24"/>
          <w:szCs w:val="24"/>
          <w:lang w:val="en-GB"/>
        </w:rPr>
        <w:t xml:space="preserve">ability to switch banking providers </w:t>
      </w:r>
      <w:r w:rsidR="00CE6373" w:rsidRPr="002353FE">
        <w:rPr>
          <w:rFonts w:ascii="Verdana" w:hAnsi="Verdana" w:cs="Tahoma"/>
          <w:sz w:val="24"/>
          <w:szCs w:val="24"/>
          <w:lang w:val="en-GB"/>
        </w:rPr>
        <w:t xml:space="preserve">(Shi </w:t>
      </w:r>
      <w:r w:rsidR="00CE6373" w:rsidRPr="002353FE">
        <w:rPr>
          <w:rFonts w:ascii="Verdana" w:hAnsi="Verdana" w:cs="Tahoma"/>
          <w:i/>
          <w:iCs/>
          <w:sz w:val="24"/>
          <w:szCs w:val="24"/>
          <w:lang w:val="en-GB"/>
        </w:rPr>
        <w:t>et al</w:t>
      </w:r>
      <w:r w:rsidR="005F27D6" w:rsidRPr="002353FE">
        <w:rPr>
          <w:rFonts w:ascii="Verdana" w:hAnsi="Verdana" w:cs="Tahoma"/>
          <w:sz w:val="24"/>
          <w:szCs w:val="24"/>
          <w:lang w:val="en-GB"/>
        </w:rPr>
        <w:t>.,</w:t>
      </w:r>
      <w:r w:rsidR="00CE6373" w:rsidRPr="002353FE">
        <w:rPr>
          <w:rFonts w:ascii="Verdana" w:hAnsi="Verdana" w:cs="Tahoma"/>
          <w:sz w:val="24"/>
          <w:szCs w:val="24"/>
          <w:lang w:val="en-GB"/>
        </w:rPr>
        <w:t xml:space="preserve"> 2017; De la Cuesta </w:t>
      </w:r>
      <w:r w:rsidR="00CE6373" w:rsidRPr="002353FE">
        <w:rPr>
          <w:rFonts w:ascii="Verdana" w:hAnsi="Verdana" w:cs="Tahoma"/>
          <w:i/>
          <w:iCs/>
          <w:sz w:val="24"/>
          <w:szCs w:val="24"/>
          <w:lang w:val="en-GB"/>
        </w:rPr>
        <w:t>et al</w:t>
      </w:r>
      <w:r w:rsidR="005F27D6" w:rsidRPr="002353FE">
        <w:rPr>
          <w:rFonts w:ascii="Verdana" w:hAnsi="Verdana" w:cs="Tahoma"/>
          <w:sz w:val="24"/>
          <w:szCs w:val="24"/>
          <w:lang w:val="en-GB"/>
        </w:rPr>
        <w:t>.,</w:t>
      </w:r>
      <w:r w:rsidR="00CE6373" w:rsidRPr="002353FE">
        <w:rPr>
          <w:rFonts w:ascii="Verdana" w:hAnsi="Verdana" w:cs="Tahoma"/>
          <w:sz w:val="24"/>
          <w:szCs w:val="24"/>
          <w:lang w:val="en-GB"/>
        </w:rPr>
        <w:t xml:space="preserve"> 2021 and 2022) </w:t>
      </w:r>
      <w:r w:rsidR="00DE20E3" w:rsidRPr="002353FE">
        <w:rPr>
          <w:rFonts w:ascii="Verdana" w:hAnsi="Verdana" w:cs="Tahoma"/>
          <w:sz w:val="24"/>
          <w:szCs w:val="24"/>
          <w:lang w:val="en-GB"/>
        </w:rPr>
        <w:t xml:space="preserve">and </w:t>
      </w:r>
      <w:r w:rsidR="00DB1C29" w:rsidRPr="002353FE">
        <w:rPr>
          <w:rFonts w:ascii="Verdana" w:hAnsi="Verdana" w:cs="Tahoma"/>
          <w:sz w:val="24"/>
          <w:szCs w:val="24"/>
          <w:lang w:val="en-GB"/>
        </w:rPr>
        <w:t xml:space="preserve">provide </w:t>
      </w:r>
      <w:r w:rsidR="00E91D60" w:rsidRPr="002353FE">
        <w:rPr>
          <w:rFonts w:ascii="Verdana" w:hAnsi="Verdana" w:cs="Tahoma"/>
          <w:sz w:val="24"/>
          <w:szCs w:val="24"/>
          <w:lang w:val="en-GB"/>
        </w:rPr>
        <w:t xml:space="preserve">greater </w:t>
      </w:r>
      <w:r w:rsidR="00DE20E3" w:rsidRPr="002353FE">
        <w:rPr>
          <w:rFonts w:ascii="Verdana" w:hAnsi="Verdana" w:cs="Tahoma"/>
          <w:sz w:val="24"/>
          <w:szCs w:val="24"/>
          <w:lang w:val="en-GB"/>
        </w:rPr>
        <w:t>transparency, information availability and financial literacy (World Bank</w:t>
      </w:r>
      <w:r w:rsidR="005F27D6" w:rsidRPr="002353FE">
        <w:rPr>
          <w:rFonts w:ascii="Verdana" w:hAnsi="Verdana" w:cs="Tahoma"/>
          <w:sz w:val="24"/>
          <w:szCs w:val="24"/>
          <w:lang w:val="en-GB"/>
        </w:rPr>
        <w:t>,</w:t>
      </w:r>
      <w:r w:rsidR="00DE20E3" w:rsidRPr="002353FE">
        <w:rPr>
          <w:rFonts w:ascii="Verdana" w:hAnsi="Verdana" w:cs="Tahoma"/>
          <w:sz w:val="24"/>
          <w:szCs w:val="24"/>
          <w:lang w:val="en-GB"/>
        </w:rPr>
        <w:t xml:space="preserve"> 2014; EP</w:t>
      </w:r>
      <w:r w:rsidR="005F27D6" w:rsidRPr="002353FE">
        <w:rPr>
          <w:rFonts w:ascii="Verdana" w:hAnsi="Verdana" w:cs="Tahoma"/>
          <w:sz w:val="24"/>
          <w:szCs w:val="24"/>
          <w:lang w:val="en-GB"/>
        </w:rPr>
        <w:t>,</w:t>
      </w:r>
      <w:r w:rsidR="00DE20E3" w:rsidRPr="002353FE">
        <w:rPr>
          <w:rFonts w:ascii="Verdana" w:hAnsi="Verdana" w:cs="Tahoma"/>
          <w:sz w:val="24"/>
          <w:szCs w:val="24"/>
          <w:lang w:val="en-GB"/>
        </w:rPr>
        <w:t xml:space="preserve"> 2015).</w:t>
      </w:r>
    </w:p>
    <w:p w14:paraId="6B1E1A6C" w14:textId="3658C12B" w:rsidR="00762B94" w:rsidRPr="001E7395" w:rsidRDefault="003D0113" w:rsidP="00A02DA2">
      <w:pPr>
        <w:spacing w:before="240" w:line="480" w:lineRule="auto"/>
        <w:jc w:val="both"/>
        <w:rPr>
          <w:rFonts w:ascii="Verdana" w:hAnsi="Verdana" w:cs="Tahoma"/>
          <w:sz w:val="24"/>
          <w:szCs w:val="24"/>
          <w:lang w:val="en-GB"/>
        </w:rPr>
      </w:pPr>
      <w:r w:rsidRPr="001E7395">
        <w:rPr>
          <w:rFonts w:ascii="Verdana" w:hAnsi="Verdana" w:cs="Tahoma"/>
          <w:sz w:val="24"/>
          <w:szCs w:val="24"/>
          <w:lang w:val="en-GB"/>
        </w:rPr>
        <w:t>These developments are important as t</w:t>
      </w:r>
      <w:r w:rsidR="00762B94" w:rsidRPr="001E7395">
        <w:rPr>
          <w:rFonts w:ascii="Verdana" w:hAnsi="Verdana" w:cs="Tahoma"/>
          <w:sz w:val="24"/>
          <w:szCs w:val="24"/>
          <w:lang w:val="en-GB"/>
        </w:rPr>
        <w:t>he competitive operation of retail banking and perceived low levels of bank switching ha</w:t>
      </w:r>
      <w:r w:rsidRPr="001E7395">
        <w:rPr>
          <w:rFonts w:ascii="Verdana" w:hAnsi="Verdana" w:cs="Tahoma"/>
          <w:sz w:val="24"/>
          <w:szCs w:val="24"/>
          <w:lang w:val="en-GB"/>
        </w:rPr>
        <w:t>s</w:t>
      </w:r>
      <w:r w:rsidR="00762B94" w:rsidRPr="001E7395">
        <w:rPr>
          <w:rFonts w:ascii="Verdana" w:hAnsi="Verdana" w:cs="Tahoma"/>
          <w:sz w:val="24"/>
          <w:szCs w:val="24"/>
          <w:lang w:val="en-GB"/>
        </w:rPr>
        <w:t xml:space="preserve"> been repeatedly </w:t>
      </w:r>
      <w:r w:rsidRPr="001E7395">
        <w:rPr>
          <w:rFonts w:ascii="Verdana" w:hAnsi="Verdana" w:cs="Tahoma"/>
          <w:sz w:val="24"/>
          <w:szCs w:val="24"/>
          <w:lang w:val="en-GB"/>
        </w:rPr>
        <w:t xml:space="preserve">examined </w:t>
      </w:r>
      <w:r w:rsidR="00762B94" w:rsidRPr="001E7395">
        <w:rPr>
          <w:rFonts w:ascii="Verdana" w:hAnsi="Verdana" w:cs="Tahoma"/>
          <w:sz w:val="24"/>
          <w:szCs w:val="24"/>
          <w:lang w:val="en-GB"/>
        </w:rPr>
        <w:t xml:space="preserve">in the European Union (EC Directorate-General for Competition, 2006; EC, 2012). This disquiet is international in scope and has also been raised by the World Bank (World Bank, 2014), within Australia (Australian Senate Economics References Committee, 2011) and </w:t>
      </w:r>
      <w:r w:rsidR="00E40D3F" w:rsidRPr="001E7395">
        <w:rPr>
          <w:rFonts w:ascii="Verdana" w:hAnsi="Verdana" w:cs="Tahoma"/>
          <w:sz w:val="24"/>
          <w:szCs w:val="24"/>
          <w:lang w:val="en-GB"/>
        </w:rPr>
        <w:t xml:space="preserve">individual </w:t>
      </w:r>
      <w:r w:rsidR="00762B94" w:rsidRPr="001E7395">
        <w:rPr>
          <w:rFonts w:ascii="Verdana" w:hAnsi="Verdana" w:cs="Tahoma"/>
          <w:sz w:val="24"/>
          <w:szCs w:val="24"/>
          <w:lang w:val="en-GB"/>
        </w:rPr>
        <w:t xml:space="preserve">European nations (Central Bank of Ireland, 2011; Independent Commission on Banking, 2011). </w:t>
      </w:r>
      <w:r w:rsidR="00AB56B8" w:rsidRPr="001E7395">
        <w:rPr>
          <w:rFonts w:ascii="Verdana" w:hAnsi="Verdana" w:cs="Tahoma"/>
          <w:sz w:val="24"/>
          <w:szCs w:val="24"/>
          <w:lang w:val="en-GB"/>
        </w:rPr>
        <w:t>E</w:t>
      </w:r>
      <w:r w:rsidR="0018098C" w:rsidRPr="001E7395">
        <w:rPr>
          <w:rFonts w:ascii="Verdana" w:hAnsi="Verdana" w:cs="Tahoma"/>
          <w:sz w:val="24"/>
          <w:szCs w:val="24"/>
          <w:lang w:val="en-GB"/>
        </w:rPr>
        <w:t xml:space="preserve">scaping an unsatisfactory supplier of an essential and required service (Clifton </w:t>
      </w:r>
      <w:r w:rsidR="0018098C" w:rsidRPr="001E7395">
        <w:rPr>
          <w:rFonts w:ascii="Verdana" w:hAnsi="Verdana" w:cs="Tahoma"/>
          <w:i/>
          <w:iCs/>
          <w:sz w:val="24"/>
          <w:szCs w:val="24"/>
          <w:lang w:val="en-GB"/>
        </w:rPr>
        <w:t>et al</w:t>
      </w:r>
      <w:r w:rsidR="0018098C" w:rsidRPr="001E7395">
        <w:rPr>
          <w:rFonts w:ascii="Verdana" w:hAnsi="Verdana" w:cs="Tahoma"/>
          <w:sz w:val="24"/>
          <w:szCs w:val="24"/>
          <w:lang w:val="en-GB"/>
        </w:rPr>
        <w:t xml:space="preserve">., 2017) </w:t>
      </w:r>
      <w:r w:rsidR="00AB56B8" w:rsidRPr="001E7395">
        <w:rPr>
          <w:rFonts w:ascii="Verdana" w:hAnsi="Verdana" w:cs="Tahoma"/>
          <w:sz w:val="24"/>
          <w:szCs w:val="24"/>
          <w:lang w:val="en-GB"/>
        </w:rPr>
        <w:t xml:space="preserve">through </w:t>
      </w:r>
      <w:r w:rsidR="00762B94" w:rsidRPr="001E7395">
        <w:rPr>
          <w:rFonts w:ascii="Verdana" w:hAnsi="Verdana" w:cs="Tahoma"/>
          <w:sz w:val="24"/>
          <w:szCs w:val="24"/>
          <w:lang w:val="en-GB"/>
        </w:rPr>
        <w:t>switching</w:t>
      </w:r>
      <w:r w:rsidR="0018098C" w:rsidRPr="001E7395">
        <w:rPr>
          <w:rFonts w:ascii="Verdana" w:hAnsi="Verdana" w:cs="Tahoma"/>
          <w:sz w:val="24"/>
          <w:szCs w:val="24"/>
          <w:lang w:val="en-GB"/>
        </w:rPr>
        <w:t xml:space="preserve"> </w:t>
      </w:r>
      <w:r w:rsidR="00762B94" w:rsidRPr="001E7395">
        <w:rPr>
          <w:rFonts w:ascii="Verdana" w:hAnsi="Verdana" w:cs="Tahoma"/>
          <w:sz w:val="24"/>
          <w:szCs w:val="24"/>
          <w:lang w:val="en-GB"/>
        </w:rPr>
        <w:t>banking provider</w:t>
      </w:r>
      <w:r w:rsidR="00AB56B8" w:rsidRPr="001E7395">
        <w:rPr>
          <w:rFonts w:ascii="Verdana" w:hAnsi="Verdana" w:cs="Tahoma"/>
          <w:sz w:val="24"/>
          <w:szCs w:val="24"/>
          <w:lang w:val="en-GB"/>
        </w:rPr>
        <w:t>s</w:t>
      </w:r>
      <w:r w:rsidR="00762B94" w:rsidRPr="001E7395">
        <w:rPr>
          <w:rFonts w:ascii="Verdana" w:hAnsi="Verdana" w:cs="Tahoma"/>
          <w:sz w:val="24"/>
          <w:szCs w:val="24"/>
          <w:lang w:val="en-GB"/>
        </w:rPr>
        <w:t xml:space="preserve"> </w:t>
      </w:r>
      <w:r w:rsidR="00AB56B8" w:rsidRPr="001E7395">
        <w:rPr>
          <w:rFonts w:ascii="Verdana" w:hAnsi="Verdana" w:cs="Tahoma"/>
          <w:sz w:val="24"/>
          <w:szCs w:val="24"/>
          <w:lang w:val="en-GB"/>
        </w:rPr>
        <w:lastRenderedPageBreak/>
        <w:t xml:space="preserve">has subsequently become </w:t>
      </w:r>
      <w:r w:rsidR="00762B94" w:rsidRPr="001E7395">
        <w:rPr>
          <w:rFonts w:ascii="Verdana" w:hAnsi="Verdana" w:cs="Tahoma"/>
          <w:sz w:val="24"/>
          <w:szCs w:val="24"/>
          <w:lang w:val="en-GB"/>
        </w:rPr>
        <w:t xml:space="preserve">a central market tool </w:t>
      </w:r>
      <w:r w:rsidR="00AB56B8" w:rsidRPr="001E7395">
        <w:rPr>
          <w:rFonts w:ascii="Verdana" w:hAnsi="Verdana" w:cs="Tahoma"/>
          <w:sz w:val="24"/>
          <w:szCs w:val="24"/>
          <w:lang w:val="en-GB"/>
        </w:rPr>
        <w:t>within</w:t>
      </w:r>
      <w:r w:rsidR="00762B94" w:rsidRPr="001E7395">
        <w:rPr>
          <w:rFonts w:ascii="Verdana" w:hAnsi="Verdana" w:cs="Tahoma"/>
          <w:sz w:val="24"/>
          <w:szCs w:val="24"/>
          <w:lang w:val="en-GB"/>
        </w:rPr>
        <w:t xml:space="preserve"> national regulatory policies aimed at empowering banking consumers. Indeed, switching banks has subsequently been advocated as a panacea for the competitive failings of banking markets. </w:t>
      </w:r>
      <w:r w:rsidR="00EC622B" w:rsidRPr="001E7395">
        <w:rPr>
          <w:rFonts w:ascii="Verdana" w:hAnsi="Verdana" w:cs="Tahoma"/>
          <w:sz w:val="24"/>
          <w:szCs w:val="24"/>
          <w:lang w:val="en-GB"/>
        </w:rPr>
        <w:t xml:space="preserve">Subsequently </w:t>
      </w:r>
      <w:r w:rsidR="00660AF5" w:rsidRPr="001E7395">
        <w:rPr>
          <w:rFonts w:ascii="Verdana" w:hAnsi="Verdana" w:cs="Tahoma"/>
          <w:sz w:val="24"/>
          <w:szCs w:val="24"/>
          <w:lang w:val="en-GB"/>
        </w:rPr>
        <w:t xml:space="preserve">national </w:t>
      </w:r>
      <w:r w:rsidR="00EC622B" w:rsidRPr="001E7395">
        <w:rPr>
          <w:rFonts w:ascii="Verdana" w:hAnsi="Verdana" w:cs="Tahoma"/>
          <w:sz w:val="24"/>
          <w:szCs w:val="24"/>
          <w:lang w:val="en-GB"/>
        </w:rPr>
        <w:t>c</w:t>
      </w:r>
      <w:r w:rsidR="00762B94" w:rsidRPr="001E7395">
        <w:rPr>
          <w:rFonts w:ascii="Verdana" w:hAnsi="Verdana" w:cs="Tahoma"/>
          <w:sz w:val="24"/>
          <w:szCs w:val="24"/>
          <w:lang w:val="en-GB"/>
        </w:rPr>
        <w:t xml:space="preserve">ompetition authorities have </w:t>
      </w:r>
      <w:r w:rsidR="00EC622B" w:rsidRPr="001E7395">
        <w:rPr>
          <w:rFonts w:ascii="Verdana" w:hAnsi="Verdana" w:cs="Tahoma"/>
          <w:sz w:val="24"/>
          <w:szCs w:val="24"/>
          <w:lang w:val="en-GB"/>
        </w:rPr>
        <w:t xml:space="preserve">used </w:t>
      </w:r>
      <w:r w:rsidR="00660AF5" w:rsidRPr="001E7395">
        <w:rPr>
          <w:rFonts w:ascii="Verdana" w:hAnsi="Verdana" w:cs="Tahoma"/>
          <w:sz w:val="24"/>
          <w:szCs w:val="24"/>
          <w:lang w:val="en-GB"/>
        </w:rPr>
        <w:t xml:space="preserve">multiple policies </w:t>
      </w:r>
      <w:r w:rsidR="00762B94" w:rsidRPr="001E7395">
        <w:rPr>
          <w:rFonts w:ascii="Verdana" w:hAnsi="Verdana" w:cs="Tahoma"/>
          <w:sz w:val="24"/>
          <w:szCs w:val="24"/>
          <w:lang w:val="en-GB"/>
        </w:rPr>
        <w:t xml:space="preserve">to increase bank switching </w:t>
      </w:r>
      <w:r w:rsidR="00660AF5" w:rsidRPr="001E7395">
        <w:rPr>
          <w:rFonts w:ascii="Verdana" w:hAnsi="Verdana" w:cs="Tahoma"/>
          <w:sz w:val="24"/>
          <w:szCs w:val="24"/>
          <w:lang w:val="en-GB"/>
        </w:rPr>
        <w:t xml:space="preserve">to </w:t>
      </w:r>
      <w:r w:rsidR="00762B94" w:rsidRPr="001E7395">
        <w:rPr>
          <w:rFonts w:ascii="Verdana" w:hAnsi="Verdana" w:cs="Tahoma"/>
          <w:sz w:val="24"/>
          <w:szCs w:val="24"/>
          <w:lang w:val="en-GB"/>
        </w:rPr>
        <w:t>enhanc</w:t>
      </w:r>
      <w:r w:rsidR="00660AF5" w:rsidRPr="001E7395">
        <w:rPr>
          <w:rFonts w:ascii="Verdana" w:hAnsi="Verdana" w:cs="Tahoma"/>
          <w:sz w:val="24"/>
          <w:szCs w:val="24"/>
          <w:lang w:val="en-GB"/>
        </w:rPr>
        <w:t xml:space="preserve">e </w:t>
      </w:r>
      <w:r w:rsidR="00762B94" w:rsidRPr="001E7395">
        <w:rPr>
          <w:rFonts w:ascii="Verdana" w:hAnsi="Verdana" w:cs="Tahoma"/>
          <w:sz w:val="24"/>
          <w:szCs w:val="24"/>
          <w:lang w:val="en-GB"/>
        </w:rPr>
        <w:t>competition and consumer welfare within banking markets (</w:t>
      </w:r>
      <w:r w:rsidR="00762B94" w:rsidRPr="001E7395">
        <w:rPr>
          <w:rFonts w:ascii="Verdana" w:hAnsi="Verdana"/>
          <w:sz w:val="24"/>
          <w:szCs w:val="24"/>
          <w:lang w:val="en-GB"/>
        </w:rPr>
        <w:t xml:space="preserve">e.g. Central Bank of Ireland, 2011; </w:t>
      </w:r>
      <w:hyperlink w:anchor="_ENREF_31" w:tooltip="European Commission Directorate-General for Competition, 2006 #171" w:history="1">
        <w:r w:rsidR="00762B94" w:rsidRPr="001E7395">
          <w:rPr>
            <w:rFonts w:ascii="Verdana" w:hAnsi="Verdana"/>
            <w:sz w:val="24"/>
            <w:szCs w:val="24"/>
            <w:lang w:val="en-GB"/>
          </w:rPr>
          <w:fldChar w:fldCharType="begin"/>
        </w:r>
        <w:r w:rsidR="00762B94" w:rsidRPr="001E7395">
          <w:rPr>
            <w:rFonts w:ascii="Verdana" w:hAnsi="Verdana"/>
            <w:sz w:val="24"/>
            <w:szCs w:val="24"/>
            <w:lang w:val="en-GB"/>
          </w:rPr>
          <w:instrText xml:space="preserve"> ADDIN EN.CITE &lt;EndNote&gt;&lt;Cite&gt;&lt;Author&gt;Competition&lt;/Author&gt;&lt;Year&gt;2006&lt;/Year&gt;&lt;RecNum&gt;171&lt;/RecNum&gt;&lt;DisplayText&gt;European Commission Directorate-General for Competition, 2006&lt;/DisplayText&gt;&lt;record&gt;&lt;rec-number&gt;171&lt;/rec-number&gt;&lt;foreign-keys&gt;&lt;key app="EN" db-id="vs5rtd0t099rz5ew2d95exvowedr0apatvs2" timestamp="1443388160"&gt;171&lt;/key&gt;&lt;/foreign-keys&gt;&lt;ref-type name="Report"&gt;27&lt;/ref-type&gt;&lt;contributors&gt;&lt;authors&gt;&lt;author&gt;European Commission Directorate-General for Competition,&lt;/author&gt;&lt;/authors&gt;&lt;/contributors&gt;&lt;titles&gt;&lt;title&gt;Interim Report II Current Accounts and Related Services. Sector Inquiry under Article 17&lt;/title&gt;&lt;/titles&gt;&lt;number&gt;Regulation 1/2003&lt;/number&gt;&lt;dates&gt;&lt;year&gt;2006&lt;/year&gt;&lt;/dates&gt;&lt;pub-location&gt;Brussels&lt;/pub-location&gt;&lt;urls&gt;&lt;/urls&gt;&lt;/record&gt;&lt;/Cite&gt;&lt;/EndNote&gt;</w:instrText>
        </w:r>
        <w:r w:rsidR="00762B94" w:rsidRPr="001E7395">
          <w:rPr>
            <w:rFonts w:ascii="Verdana" w:hAnsi="Verdana"/>
            <w:sz w:val="24"/>
            <w:szCs w:val="24"/>
            <w:lang w:val="en-GB"/>
          </w:rPr>
          <w:fldChar w:fldCharType="separate"/>
        </w:r>
        <w:r w:rsidR="00762B94" w:rsidRPr="001E7395">
          <w:rPr>
            <w:rFonts w:ascii="Verdana" w:hAnsi="Verdana"/>
            <w:sz w:val="24"/>
            <w:szCs w:val="24"/>
            <w:lang w:val="en-GB"/>
          </w:rPr>
          <w:t>EC Directorate-General for Competition, 2006</w:t>
        </w:r>
        <w:r w:rsidR="00762B94" w:rsidRPr="001E7395">
          <w:rPr>
            <w:rFonts w:ascii="Verdana" w:hAnsi="Verdana"/>
            <w:sz w:val="24"/>
            <w:szCs w:val="24"/>
            <w:lang w:val="en-GB"/>
          </w:rPr>
          <w:fldChar w:fldCharType="end"/>
        </w:r>
      </w:hyperlink>
      <w:r w:rsidR="00762B94" w:rsidRPr="001E7395">
        <w:rPr>
          <w:rFonts w:ascii="Verdana" w:hAnsi="Verdana"/>
          <w:sz w:val="24"/>
          <w:szCs w:val="24"/>
          <w:lang w:val="en-GB"/>
        </w:rPr>
        <w:t>; Independent Commission on Banking, 2011;</w:t>
      </w:r>
      <w:r w:rsidR="00762B94" w:rsidRPr="001E7395">
        <w:rPr>
          <w:rFonts w:ascii="Verdana" w:hAnsi="Verdana" w:cs="Tahoma"/>
          <w:sz w:val="24"/>
          <w:szCs w:val="24"/>
          <w:lang w:val="en-GB"/>
        </w:rPr>
        <w:t xml:space="preserve"> EC, 2012).</w:t>
      </w:r>
    </w:p>
    <w:p w14:paraId="3B398149" w14:textId="74AAC7D4" w:rsidR="00BC7A79" w:rsidRPr="002353FE" w:rsidRDefault="003D6BFA" w:rsidP="0031695B">
      <w:pPr>
        <w:spacing w:before="240" w:line="480" w:lineRule="auto"/>
        <w:jc w:val="both"/>
        <w:rPr>
          <w:rFonts w:ascii="Verdana" w:hAnsi="Verdana" w:cs="Tahoma"/>
          <w:sz w:val="24"/>
          <w:szCs w:val="24"/>
          <w:lang w:val="en-GB"/>
        </w:rPr>
      </w:pPr>
      <w:r w:rsidRPr="002353FE">
        <w:rPr>
          <w:rFonts w:ascii="Verdana" w:hAnsi="Verdana"/>
          <w:sz w:val="24"/>
          <w:szCs w:val="24"/>
          <w:lang w:val="en-GB"/>
        </w:rPr>
        <w:t>Currently</w:t>
      </w:r>
      <w:r w:rsidR="00762B94" w:rsidRPr="001E7395">
        <w:rPr>
          <w:rFonts w:ascii="Verdana" w:hAnsi="Verdana"/>
          <w:sz w:val="24"/>
          <w:szCs w:val="24"/>
          <w:lang w:val="en-GB"/>
        </w:rPr>
        <w:t xml:space="preserve"> </w:t>
      </w:r>
      <w:r w:rsidR="00736D37" w:rsidRPr="001E7395">
        <w:rPr>
          <w:rFonts w:ascii="Verdana" w:hAnsi="Verdana"/>
          <w:sz w:val="24"/>
          <w:szCs w:val="24"/>
          <w:lang w:val="en-GB"/>
        </w:rPr>
        <w:t xml:space="preserve">there is a </w:t>
      </w:r>
      <w:r w:rsidR="00762B94" w:rsidRPr="001E7395">
        <w:rPr>
          <w:rFonts w:ascii="Verdana" w:hAnsi="Verdana"/>
          <w:sz w:val="24"/>
          <w:szCs w:val="24"/>
          <w:lang w:val="en-GB"/>
        </w:rPr>
        <w:t>limited comprehension as to how greater bank switching can be achieved</w:t>
      </w:r>
      <w:r w:rsidR="00736D37" w:rsidRPr="001E7395">
        <w:rPr>
          <w:rFonts w:ascii="Verdana" w:hAnsi="Verdana"/>
          <w:sz w:val="24"/>
          <w:szCs w:val="24"/>
          <w:lang w:val="en-GB"/>
        </w:rPr>
        <w:t xml:space="preserve">. </w:t>
      </w:r>
      <w:r w:rsidR="00A34596" w:rsidRPr="002353FE">
        <w:rPr>
          <w:rFonts w:ascii="Verdana" w:hAnsi="Verdana"/>
          <w:sz w:val="24"/>
          <w:szCs w:val="24"/>
          <w:lang w:val="en-GB"/>
        </w:rPr>
        <w:t>C</w:t>
      </w:r>
      <w:r w:rsidR="00762B94" w:rsidRPr="001E7395">
        <w:rPr>
          <w:rFonts w:ascii="Verdana" w:hAnsi="Verdana" w:cs="Tahoma"/>
          <w:sz w:val="24"/>
          <w:szCs w:val="24"/>
          <w:lang w:val="en-GB"/>
        </w:rPr>
        <w:t xml:space="preserve">oncerns persist as to the capability of vulnerable customers to make appropriate </w:t>
      </w:r>
      <w:r w:rsidR="0073132E" w:rsidRPr="001E7395">
        <w:rPr>
          <w:rFonts w:ascii="Verdana" w:hAnsi="Verdana" w:cs="Tahoma"/>
          <w:sz w:val="24"/>
          <w:szCs w:val="24"/>
          <w:lang w:val="en-GB"/>
        </w:rPr>
        <w:t xml:space="preserve">bank </w:t>
      </w:r>
      <w:r w:rsidR="00762B94" w:rsidRPr="001E7395">
        <w:rPr>
          <w:rFonts w:ascii="Verdana" w:hAnsi="Verdana" w:cs="Tahoma"/>
          <w:sz w:val="24"/>
          <w:szCs w:val="24"/>
          <w:lang w:val="en-GB"/>
        </w:rPr>
        <w:t>switching decisions. R</w:t>
      </w:r>
      <w:r w:rsidR="00762B94" w:rsidRPr="001E7395">
        <w:rPr>
          <w:rFonts w:ascii="Verdana" w:eastAsiaTheme="minorHAnsi" w:hAnsi="Verdana" w:cstheme="majorBidi"/>
          <w:sz w:val="24"/>
          <w:szCs w:val="24"/>
          <w:lang w:val="en-GB"/>
        </w:rPr>
        <w:t xml:space="preserve">epeated policy investigations have reported the unwillingness of many </w:t>
      </w:r>
      <w:r w:rsidR="00762B94" w:rsidRPr="001E7395">
        <w:rPr>
          <w:rFonts w:ascii="Verdana" w:hAnsi="Verdana" w:cstheme="majorBidi"/>
          <w:sz w:val="24"/>
          <w:szCs w:val="24"/>
          <w:lang w:val="en-GB"/>
        </w:rPr>
        <w:t>bank customers to switch banks (EC Directorate-General for Competition, 2006). Surveys from the</w:t>
      </w:r>
      <w:r w:rsidR="00762B94" w:rsidRPr="001E7395">
        <w:rPr>
          <w:rFonts w:ascii="Verdana" w:hAnsi="Verdana" w:cs="Tahoma"/>
          <w:sz w:val="24"/>
          <w:szCs w:val="24"/>
          <w:lang w:val="en-GB"/>
        </w:rPr>
        <w:t xml:space="preserve"> European Commission report that whilst banking services are among the worst functioning services consumer markets, switching remains relatively low (EC, 2021). </w:t>
      </w:r>
    </w:p>
    <w:p w14:paraId="6AC0A1B3" w14:textId="3A0CE994" w:rsidR="00762B94" w:rsidRPr="002353FE" w:rsidRDefault="00BC7A79" w:rsidP="0031695B">
      <w:pPr>
        <w:spacing w:before="240" w:line="480" w:lineRule="auto"/>
        <w:jc w:val="both"/>
        <w:rPr>
          <w:rFonts w:ascii="Verdana" w:hAnsi="Verdana" w:cs="Tahoma"/>
          <w:sz w:val="24"/>
          <w:szCs w:val="24"/>
          <w:lang w:val="en-GB"/>
        </w:rPr>
      </w:pPr>
      <w:r w:rsidRPr="002353FE">
        <w:rPr>
          <w:rFonts w:ascii="Verdana" w:hAnsi="Verdana" w:cs="Tahoma"/>
          <w:sz w:val="24"/>
          <w:szCs w:val="24"/>
          <w:lang w:val="en-GB"/>
        </w:rPr>
        <w:t>Despite</w:t>
      </w:r>
      <w:r w:rsidR="00514EE1" w:rsidRPr="001E7395">
        <w:rPr>
          <w:rFonts w:ascii="Verdana" w:hAnsi="Verdana" w:cs="Tahoma"/>
          <w:sz w:val="24"/>
          <w:szCs w:val="24"/>
          <w:lang w:val="en-GB"/>
        </w:rPr>
        <w:t xml:space="preserve"> these efforts, there </w:t>
      </w:r>
      <w:r w:rsidR="00D1356A" w:rsidRPr="001E7395">
        <w:rPr>
          <w:rFonts w:ascii="Verdana" w:hAnsi="Verdana" w:cs="Tahoma"/>
          <w:sz w:val="24"/>
          <w:szCs w:val="24"/>
          <w:lang w:val="en-GB"/>
        </w:rPr>
        <w:t xml:space="preserve">is insufficient knowledge and empirical evidence about the interaction between </w:t>
      </w:r>
      <w:r w:rsidR="00514EE1" w:rsidRPr="001E7395">
        <w:rPr>
          <w:rFonts w:ascii="Verdana" w:hAnsi="Verdana" w:cs="Tahoma"/>
          <w:sz w:val="24"/>
          <w:szCs w:val="24"/>
          <w:lang w:val="en-GB"/>
        </w:rPr>
        <w:t xml:space="preserve">personal current account switching, customer vulnerability and </w:t>
      </w:r>
      <w:r w:rsidR="00D1356A" w:rsidRPr="001E7395">
        <w:rPr>
          <w:rFonts w:ascii="Verdana" w:hAnsi="Verdana" w:cs="Tahoma"/>
          <w:sz w:val="24"/>
          <w:szCs w:val="24"/>
          <w:lang w:val="en-GB"/>
        </w:rPr>
        <w:t>policies addressed at “empowering consumers”</w:t>
      </w:r>
      <w:r w:rsidR="00514EE1" w:rsidRPr="001E7395">
        <w:rPr>
          <w:rFonts w:ascii="Verdana" w:hAnsi="Verdana" w:cs="Tahoma"/>
          <w:sz w:val="24"/>
          <w:szCs w:val="24"/>
          <w:lang w:val="en-GB"/>
        </w:rPr>
        <w:t>.</w:t>
      </w:r>
      <w:r w:rsidRPr="001E7395">
        <w:rPr>
          <w:lang w:val="en-GB"/>
        </w:rPr>
        <w:t xml:space="preserve"> </w:t>
      </w:r>
      <w:r w:rsidRPr="002353FE">
        <w:rPr>
          <w:rFonts w:ascii="Verdana" w:hAnsi="Verdana" w:cs="Tahoma"/>
          <w:sz w:val="24"/>
          <w:szCs w:val="24"/>
          <w:lang w:val="en-GB"/>
        </w:rPr>
        <w:t xml:space="preserve">This is important as </w:t>
      </w:r>
      <w:r w:rsidR="00CC2230" w:rsidRPr="002353FE">
        <w:rPr>
          <w:rFonts w:ascii="Verdana" w:hAnsi="Verdana" w:cs="Tahoma"/>
          <w:sz w:val="24"/>
          <w:szCs w:val="24"/>
          <w:lang w:val="en-GB"/>
        </w:rPr>
        <w:t xml:space="preserve">the ability to </w:t>
      </w:r>
      <w:r w:rsidRPr="002353FE">
        <w:rPr>
          <w:rFonts w:ascii="Verdana" w:hAnsi="Verdana" w:cs="Tahoma"/>
          <w:sz w:val="24"/>
          <w:szCs w:val="24"/>
          <w:lang w:val="en-GB"/>
        </w:rPr>
        <w:t xml:space="preserve">access bank </w:t>
      </w:r>
      <w:r w:rsidR="00CC2230" w:rsidRPr="002353FE">
        <w:rPr>
          <w:rFonts w:ascii="Verdana" w:hAnsi="Verdana" w:cs="Tahoma"/>
          <w:sz w:val="24"/>
          <w:szCs w:val="24"/>
          <w:lang w:val="en-GB"/>
        </w:rPr>
        <w:t xml:space="preserve">current account services </w:t>
      </w:r>
      <w:r w:rsidRPr="002353FE">
        <w:rPr>
          <w:rFonts w:ascii="Verdana" w:hAnsi="Verdana" w:cs="Tahoma"/>
          <w:sz w:val="24"/>
          <w:szCs w:val="24"/>
          <w:lang w:val="en-GB"/>
        </w:rPr>
        <w:t xml:space="preserve">has wider societial ramifications. Such financial inclusion positively impacts consumer credit outcomes over a lifetime (Brown et al., 2019) and allows households to accumulate financial and durable assets, have a better access to debt, </w:t>
      </w:r>
      <w:r w:rsidRPr="002353FE">
        <w:rPr>
          <w:rFonts w:ascii="Verdana" w:hAnsi="Verdana" w:cs="Tahoma"/>
          <w:sz w:val="24"/>
          <w:szCs w:val="24"/>
          <w:lang w:val="en-GB"/>
        </w:rPr>
        <w:lastRenderedPageBreak/>
        <w:t>and face a lower probability of financial distress (Célerier and Matray, 2019).</w:t>
      </w:r>
    </w:p>
    <w:p w14:paraId="2C879083" w14:textId="4AD77947" w:rsidR="00086927" w:rsidRPr="001E7395" w:rsidRDefault="00A11F32" w:rsidP="0031695B">
      <w:pPr>
        <w:spacing w:before="240" w:line="480" w:lineRule="auto"/>
        <w:jc w:val="both"/>
        <w:rPr>
          <w:rFonts w:ascii="Verdana" w:hAnsi="Verdana" w:cs="Tahoma"/>
          <w:sz w:val="24"/>
          <w:szCs w:val="24"/>
          <w:lang w:val="en-GB"/>
        </w:rPr>
      </w:pPr>
      <w:r w:rsidRPr="001E7395">
        <w:rPr>
          <w:rFonts w:ascii="Verdana" w:hAnsi="Verdana" w:cs="Tahoma"/>
          <w:sz w:val="24"/>
          <w:szCs w:val="24"/>
          <w:lang w:val="en-GB"/>
        </w:rPr>
        <w:t xml:space="preserve">This paper </w:t>
      </w:r>
      <w:r w:rsidR="00D1356A" w:rsidRPr="001E7395">
        <w:rPr>
          <w:rFonts w:ascii="Verdana" w:hAnsi="Verdana" w:cs="Tahoma"/>
          <w:sz w:val="24"/>
          <w:szCs w:val="24"/>
          <w:lang w:val="en-GB"/>
        </w:rPr>
        <w:t>addresses this research gap</w:t>
      </w:r>
      <w:r w:rsidR="00D1356A" w:rsidRPr="002353FE">
        <w:rPr>
          <w:rFonts w:ascii="Verdana" w:hAnsi="Verdana" w:cs="Tahoma"/>
          <w:sz w:val="24"/>
          <w:szCs w:val="24"/>
          <w:lang w:val="en-GB"/>
        </w:rPr>
        <w:t xml:space="preserve">, by </w:t>
      </w:r>
      <w:r w:rsidR="0046640B" w:rsidRPr="002353FE">
        <w:rPr>
          <w:rFonts w:ascii="Verdana" w:hAnsi="Verdana" w:cs="Tahoma"/>
          <w:sz w:val="24"/>
          <w:szCs w:val="24"/>
          <w:lang w:val="en-GB"/>
        </w:rPr>
        <w:t>consider</w:t>
      </w:r>
      <w:r w:rsidR="00D1356A" w:rsidRPr="002353FE">
        <w:rPr>
          <w:rFonts w:ascii="Verdana" w:hAnsi="Verdana" w:cs="Tahoma"/>
          <w:sz w:val="24"/>
          <w:szCs w:val="24"/>
          <w:lang w:val="en-GB"/>
        </w:rPr>
        <w:t>ing</w:t>
      </w:r>
      <w:r w:rsidR="00D627B4" w:rsidRPr="002353FE">
        <w:rPr>
          <w:rFonts w:ascii="Verdana" w:hAnsi="Verdana" w:cs="Tahoma"/>
          <w:sz w:val="24"/>
          <w:szCs w:val="24"/>
          <w:lang w:val="en-GB"/>
        </w:rPr>
        <w:t xml:space="preserve"> </w:t>
      </w:r>
      <w:r w:rsidR="0046640B" w:rsidRPr="002353FE">
        <w:rPr>
          <w:rFonts w:ascii="Verdana" w:hAnsi="Verdana" w:cs="Tahoma"/>
          <w:sz w:val="24"/>
          <w:szCs w:val="24"/>
          <w:lang w:val="en-GB"/>
        </w:rPr>
        <w:t xml:space="preserve">two questions. </w:t>
      </w:r>
      <w:r w:rsidRPr="002353FE">
        <w:rPr>
          <w:rFonts w:ascii="Verdana" w:hAnsi="Verdana" w:cs="Tahoma"/>
          <w:sz w:val="24"/>
          <w:szCs w:val="24"/>
          <w:lang w:val="en-GB"/>
        </w:rPr>
        <w:t xml:space="preserve">First, </w:t>
      </w:r>
      <w:r w:rsidR="007349CF" w:rsidRPr="002353FE">
        <w:rPr>
          <w:rFonts w:ascii="Verdana" w:hAnsi="Verdana" w:cs="Tahoma"/>
          <w:sz w:val="24"/>
          <w:szCs w:val="24"/>
          <w:lang w:val="en-GB"/>
        </w:rPr>
        <w:t>does</w:t>
      </w:r>
      <w:r w:rsidR="00724F44" w:rsidRPr="002353FE">
        <w:rPr>
          <w:rFonts w:ascii="Verdana" w:hAnsi="Verdana" w:cs="Tahoma"/>
          <w:sz w:val="24"/>
          <w:szCs w:val="24"/>
          <w:lang w:val="en-GB"/>
        </w:rPr>
        <w:t xml:space="preserve"> </w:t>
      </w:r>
      <w:r w:rsidR="0046640B" w:rsidRPr="002353FE">
        <w:rPr>
          <w:rFonts w:ascii="Verdana" w:hAnsi="Verdana" w:cs="Tahoma"/>
          <w:sz w:val="24"/>
          <w:szCs w:val="24"/>
          <w:lang w:val="en-GB"/>
        </w:rPr>
        <w:t xml:space="preserve">the </w:t>
      </w:r>
      <w:r w:rsidR="00E67F42" w:rsidRPr="002353FE">
        <w:rPr>
          <w:rFonts w:ascii="Verdana" w:hAnsi="Verdana" w:cs="Tahoma"/>
          <w:sz w:val="24"/>
          <w:szCs w:val="24"/>
          <w:lang w:val="en-GB"/>
        </w:rPr>
        <w:t xml:space="preserve">likelihood of </w:t>
      </w:r>
      <w:r w:rsidR="0046640B" w:rsidRPr="002353FE">
        <w:rPr>
          <w:rFonts w:ascii="Verdana" w:hAnsi="Verdana" w:cs="Tahoma"/>
          <w:sz w:val="24"/>
          <w:szCs w:val="24"/>
          <w:lang w:val="en-GB"/>
        </w:rPr>
        <w:t>switch</w:t>
      </w:r>
      <w:r w:rsidR="00E67F42" w:rsidRPr="002353FE">
        <w:rPr>
          <w:rFonts w:ascii="Verdana" w:hAnsi="Verdana" w:cs="Tahoma"/>
          <w:sz w:val="24"/>
          <w:szCs w:val="24"/>
          <w:lang w:val="en-GB"/>
        </w:rPr>
        <w:t>ing banking supplier var</w:t>
      </w:r>
      <w:r w:rsidR="007349CF" w:rsidRPr="002353FE">
        <w:rPr>
          <w:rFonts w:ascii="Verdana" w:hAnsi="Verdana" w:cs="Tahoma"/>
          <w:sz w:val="24"/>
          <w:szCs w:val="24"/>
          <w:lang w:val="en-GB"/>
        </w:rPr>
        <w:t>y</w:t>
      </w:r>
      <w:r w:rsidR="00E67F42" w:rsidRPr="002353FE">
        <w:rPr>
          <w:rFonts w:ascii="Verdana" w:hAnsi="Verdana" w:cs="Tahoma"/>
          <w:sz w:val="24"/>
          <w:szCs w:val="24"/>
          <w:lang w:val="en-GB"/>
        </w:rPr>
        <w:t xml:space="preserve"> </w:t>
      </w:r>
      <w:r w:rsidRPr="002353FE">
        <w:rPr>
          <w:rFonts w:ascii="Verdana" w:hAnsi="Verdana" w:cs="Tahoma"/>
          <w:sz w:val="24"/>
          <w:szCs w:val="24"/>
          <w:lang w:val="en-GB"/>
        </w:rPr>
        <w:t xml:space="preserve">across customers’ demographic, socio-economic and geographic characteristics. </w:t>
      </w:r>
      <w:r w:rsidR="009758EB" w:rsidRPr="002353FE">
        <w:rPr>
          <w:rFonts w:ascii="Verdana" w:hAnsi="Verdana" w:cs="Tahoma"/>
          <w:sz w:val="24"/>
          <w:szCs w:val="24"/>
          <w:lang w:val="en-GB"/>
        </w:rPr>
        <w:t>This</w:t>
      </w:r>
      <w:r w:rsidR="0051227D" w:rsidRPr="002353FE">
        <w:rPr>
          <w:rFonts w:ascii="Verdana" w:hAnsi="Verdana" w:cs="Tahoma"/>
          <w:sz w:val="24"/>
          <w:szCs w:val="24"/>
          <w:lang w:val="en-GB"/>
        </w:rPr>
        <w:t xml:space="preserve"> </w:t>
      </w:r>
      <w:r w:rsidR="009758EB" w:rsidRPr="002353FE">
        <w:rPr>
          <w:rFonts w:ascii="Verdana" w:hAnsi="Verdana" w:cs="Tahoma"/>
          <w:sz w:val="24"/>
          <w:szCs w:val="24"/>
          <w:lang w:val="en-GB"/>
        </w:rPr>
        <w:t xml:space="preserve">is important to consider as </w:t>
      </w:r>
      <w:r w:rsidR="009758EB" w:rsidRPr="002353FE">
        <w:rPr>
          <w:rFonts w:ascii="Verdana" w:hAnsi="Verdana" w:cs="Tahoma"/>
          <w:sz w:val="24"/>
          <w:szCs w:val="24"/>
          <w:lang w:val="en-GB"/>
        </w:rPr>
        <w:t xml:space="preserve">vulnerable customers have been defined as those “at a disadvantage in exchange relationships where that disadvantage is attributable to characteristics that are largely not controllable by them” (Andreasen and Manning, 1990). </w:t>
      </w:r>
      <w:r w:rsidR="008F3895" w:rsidRPr="002353FE">
        <w:rPr>
          <w:rFonts w:ascii="Verdana" w:hAnsi="Verdana" w:cs="Tahoma"/>
          <w:sz w:val="24"/>
          <w:szCs w:val="24"/>
          <w:lang w:val="en-GB"/>
        </w:rPr>
        <w:t xml:space="preserve">This work </w:t>
      </w:r>
      <w:r w:rsidR="0051227D" w:rsidRPr="002353FE">
        <w:rPr>
          <w:rFonts w:ascii="Verdana" w:hAnsi="Verdana" w:cs="Tahoma"/>
          <w:sz w:val="24"/>
          <w:szCs w:val="24"/>
          <w:lang w:val="en-GB"/>
        </w:rPr>
        <w:t>contribute</w:t>
      </w:r>
      <w:r w:rsidR="008F3895" w:rsidRPr="002353FE">
        <w:rPr>
          <w:rFonts w:ascii="Verdana" w:hAnsi="Verdana" w:cs="Tahoma"/>
          <w:sz w:val="24"/>
          <w:szCs w:val="24"/>
          <w:lang w:val="en-GB"/>
        </w:rPr>
        <w:t>s</w:t>
      </w:r>
      <w:r w:rsidR="0051227D" w:rsidRPr="002353FE">
        <w:rPr>
          <w:rFonts w:ascii="Verdana" w:hAnsi="Verdana" w:cs="Tahoma"/>
          <w:sz w:val="24"/>
          <w:szCs w:val="24"/>
          <w:lang w:val="en-GB"/>
        </w:rPr>
        <w:t xml:space="preserve"> to the financial </w:t>
      </w:r>
      <w:r w:rsidR="00AD2FDF" w:rsidRPr="002353FE">
        <w:rPr>
          <w:rFonts w:ascii="Verdana" w:hAnsi="Verdana" w:cs="Tahoma"/>
          <w:sz w:val="24"/>
          <w:szCs w:val="24"/>
          <w:lang w:val="en-GB"/>
        </w:rPr>
        <w:t>ecology</w:t>
      </w:r>
      <w:r w:rsidR="0051227D" w:rsidRPr="002353FE">
        <w:rPr>
          <w:rFonts w:ascii="Verdana" w:hAnsi="Verdana" w:cs="Tahoma"/>
          <w:sz w:val="24"/>
          <w:szCs w:val="24"/>
          <w:lang w:val="en-GB"/>
        </w:rPr>
        <w:t xml:space="preserve"> literature (Leyshon and Thrift, 1994 and 1995) through ex</w:t>
      </w:r>
      <w:r w:rsidR="00C24DEE" w:rsidRPr="002353FE">
        <w:rPr>
          <w:rFonts w:ascii="Verdana" w:hAnsi="Verdana" w:cs="Tahoma"/>
          <w:sz w:val="24"/>
          <w:szCs w:val="24"/>
          <w:lang w:val="en-GB"/>
        </w:rPr>
        <w:t>plor</w:t>
      </w:r>
      <w:r w:rsidR="0051227D" w:rsidRPr="002353FE">
        <w:rPr>
          <w:rFonts w:ascii="Verdana" w:hAnsi="Verdana" w:cs="Tahoma"/>
          <w:sz w:val="24"/>
          <w:szCs w:val="24"/>
          <w:lang w:val="en-GB"/>
        </w:rPr>
        <w:t>ing</w:t>
      </w:r>
      <w:r w:rsidR="00C24DEE" w:rsidRPr="002353FE">
        <w:rPr>
          <w:rFonts w:ascii="Verdana" w:hAnsi="Verdana" w:cs="Tahoma"/>
          <w:sz w:val="24"/>
          <w:szCs w:val="24"/>
          <w:lang w:val="en-GB"/>
        </w:rPr>
        <w:t xml:space="preserve"> the</w:t>
      </w:r>
      <w:r w:rsidR="004E6E5E" w:rsidRPr="002353FE">
        <w:rPr>
          <w:rFonts w:ascii="Verdana" w:hAnsi="Verdana" w:cs="Tahoma"/>
          <w:sz w:val="24"/>
          <w:szCs w:val="24"/>
          <w:lang w:val="en-GB"/>
        </w:rPr>
        <w:t xml:space="preserve"> characteristics </w:t>
      </w:r>
      <w:r w:rsidR="00C24DEE" w:rsidRPr="002353FE">
        <w:rPr>
          <w:rFonts w:ascii="Verdana" w:hAnsi="Verdana" w:cs="Tahoma"/>
          <w:sz w:val="24"/>
          <w:szCs w:val="24"/>
          <w:lang w:val="en-GB"/>
        </w:rPr>
        <w:t>which underscore th</w:t>
      </w:r>
      <w:r w:rsidR="00EA507C" w:rsidRPr="002353FE">
        <w:rPr>
          <w:rFonts w:ascii="Verdana" w:hAnsi="Verdana" w:cs="Tahoma"/>
          <w:sz w:val="24"/>
          <w:szCs w:val="24"/>
          <w:lang w:val="en-GB"/>
        </w:rPr>
        <w:t>e</w:t>
      </w:r>
      <w:r w:rsidR="00C24DEE" w:rsidRPr="002353FE">
        <w:rPr>
          <w:rFonts w:ascii="Verdana" w:hAnsi="Verdana" w:cs="Tahoma"/>
          <w:sz w:val="24"/>
          <w:szCs w:val="24"/>
          <w:lang w:val="en-GB"/>
        </w:rPr>
        <w:t xml:space="preserve"> ability to make </w:t>
      </w:r>
      <w:r w:rsidR="004E6E5E" w:rsidRPr="002353FE">
        <w:rPr>
          <w:rFonts w:ascii="Verdana" w:hAnsi="Verdana" w:cs="Tahoma"/>
          <w:sz w:val="24"/>
          <w:szCs w:val="24"/>
          <w:lang w:val="en-GB"/>
        </w:rPr>
        <w:t xml:space="preserve">appropriate </w:t>
      </w:r>
      <w:r w:rsidR="008F3895" w:rsidRPr="002353FE">
        <w:rPr>
          <w:rFonts w:ascii="Verdana" w:hAnsi="Verdana" w:cs="Tahoma"/>
          <w:sz w:val="24"/>
          <w:szCs w:val="24"/>
          <w:lang w:val="en-GB"/>
        </w:rPr>
        <w:t xml:space="preserve">personal current account </w:t>
      </w:r>
      <w:r w:rsidR="004E6E5E" w:rsidRPr="002353FE">
        <w:rPr>
          <w:rFonts w:ascii="Verdana" w:hAnsi="Verdana" w:cs="Tahoma"/>
          <w:sz w:val="24"/>
          <w:szCs w:val="24"/>
          <w:lang w:val="en-GB"/>
        </w:rPr>
        <w:t xml:space="preserve">switching decisions. </w:t>
      </w:r>
      <w:r w:rsidR="00005D37" w:rsidRPr="002353FE">
        <w:rPr>
          <w:rFonts w:ascii="Verdana" w:hAnsi="Verdana" w:cs="Tahoma"/>
          <w:sz w:val="24"/>
          <w:szCs w:val="24"/>
          <w:lang w:val="en-GB"/>
        </w:rPr>
        <w:t>Secondly</w:t>
      </w:r>
      <w:r w:rsidR="00D627B4" w:rsidRPr="002353FE">
        <w:rPr>
          <w:rFonts w:ascii="Verdana" w:hAnsi="Verdana" w:cs="Tahoma"/>
          <w:sz w:val="24"/>
          <w:szCs w:val="24"/>
          <w:lang w:val="en-GB"/>
        </w:rPr>
        <w:t>,</w:t>
      </w:r>
      <w:r w:rsidR="00005D37" w:rsidRPr="002353FE">
        <w:rPr>
          <w:rFonts w:ascii="Verdana" w:hAnsi="Verdana" w:cs="Tahoma"/>
          <w:sz w:val="24"/>
          <w:szCs w:val="24"/>
          <w:lang w:val="en-GB"/>
        </w:rPr>
        <w:t xml:space="preserve"> we examine </w:t>
      </w:r>
      <w:r w:rsidR="009C63E1" w:rsidRPr="002353FE">
        <w:rPr>
          <w:rFonts w:ascii="Verdana" w:hAnsi="Verdana" w:cs="Tahoma"/>
          <w:sz w:val="24"/>
          <w:szCs w:val="24"/>
          <w:lang w:val="en-GB"/>
        </w:rPr>
        <w:t xml:space="preserve">whether </w:t>
      </w:r>
      <w:r w:rsidR="00700AF7" w:rsidRPr="002353FE">
        <w:rPr>
          <w:rFonts w:ascii="Verdana" w:hAnsi="Verdana" w:cs="Tahoma"/>
          <w:sz w:val="24"/>
          <w:szCs w:val="24"/>
          <w:lang w:val="en-GB"/>
        </w:rPr>
        <w:t xml:space="preserve">national </w:t>
      </w:r>
      <w:r w:rsidRPr="002353FE">
        <w:rPr>
          <w:rFonts w:ascii="Verdana" w:hAnsi="Verdana" w:cs="Tahoma"/>
          <w:sz w:val="24"/>
          <w:szCs w:val="24"/>
          <w:lang w:val="en-GB"/>
        </w:rPr>
        <w:t xml:space="preserve">consumer-oriented policies </w:t>
      </w:r>
      <w:r w:rsidR="003E4EF3" w:rsidRPr="002353FE">
        <w:rPr>
          <w:rFonts w:ascii="Verdana" w:hAnsi="Verdana" w:cs="Tahoma"/>
          <w:sz w:val="24"/>
          <w:szCs w:val="24"/>
          <w:lang w:val="en-GB"/>
        </w:rPr>
        <w:t>for</w:t>
      </w:r>
      <w:r w:rsidR="00F43B5D" w:rsidRPr="002353FE">
        <w:rPr>
          <w:rFonts w:ascii="Verdana" w:hAnsi="Verdana" w:cs="Tahoma"/>
          <w:sz w:val="24"/>
          <w:szCs w:val="24"/>
          <w:lang w:val="en-GB"/>
        </w:rPr>
        <w:t xml:space="preserve"> </w:t>
      </w:r>
      <w:r w:rsidR="003E4EF3" w:rsidRPr="002353FE">
        <w:rPr>
          <w:rFonts w:ascii="Verdana" w:hAnsi="Verdana" w:cs="Tahoma"/>
          <w:sz w:val="24"/>
          <w:szCs w:val="24"/>
          <w:lang w:val="en-GB"/>
        </w:rPr>
        <w:t>increasing fin</w:t>
      </w:r>
      <w:r w:rsidR="00455643" w:rsidRPr="002353FE">
        <w:rPr>
          <w:rFonts w:ascii="Verdana" w:hAnsi="Verdana" w:cs="Tahoma"/>
          <w:sz w:val="24"/>
          <w:szCs w:val="24"/>
          <w:lang w:val="en-GB"/>
        </w:rPr>
        <w:t xml:space="preserve">ancial </w:t>
      </w:r>
      <w:r w:rsidR="003E4EF3" w:rsidRPr="002353FE">
        <w:rPr>
          <w:rFonts w:ascii="Verdana" w:hAnsi="Verdana" w:cs="Tahoma"/>
          <w:sz w:val="24"/>
          <w:szCs w:val="24"/>
          <w:lang w:val="en-GB"/>
        </w:rPr>
        <w:t xml:space="preserve">literacy </w:t>
      </w:r>
      <w:r w:rsidR="00455643" w:rsidRPr="002353FE">
        <w:rPr>
          <w:rFonts w:ascii="Verdana" w:hAnsi="Verdana" w:cs="Tahoma"/>
          <w:sz w:val="24"/>
          <w:szCs w:val="24"/>
          <w:lang w:val="en-GB"/>
        </w:rPr>
        <w:t xml:space="preserve">and </w:t>
      </w:r>
      <w:r w:rsidR="003E4EF3" w:rsidRPr="002353FE">
        <w:rPr>
          <w:rFonts w:ascii="Verdana" w:hAnsi="Verdana" w:cs="Tahoma"/>
          <w:sz w:val="24"/>
          <w:szCs w:val="24"/>
          <w:lang w:val="en-GB"/>
        </w:rPr>
        <w:t xml:space="preserve">the </w:t>
      </w:r>
      <w:r w:rsidR="00455643" w:rsidRPr="002353FE">
        <w:rPr>
          <w:rFonts w:ascii="Verdana" w:hAnsi="Verdana" w:cs="Tahoma"/>
          <w:sz w:val="24"/>
          <w:szCs w:val="24"/>
          <w:lang w:val="en-GB"/>
        </w:rPr>
        <w:t xml:space="preserve">transparency of information (disclosure practices) </w:t>
      </w:r>
      <w:r w:rsidR="00BB78DB" w:rsidRPr="002353FE">
        <w:rPr>
          <w:rFonts w:ascii="Verdana" w:hAnsi="Verdana" w:cs="Tahoma"/>
          <w:sz w:val="24"/>
          <w:szCs w:val="24"/>
          <w:lang w:val="en-GB"/>
        </w:rPr>
        <w:t>enhances</w:t>
      </w:r>
      <w:r w:rsidRPr="002353FE">
        <w:rPr>
          <w:rFonts w:ascii="Verdana" w:hAnsi="Verdana" w:cs="Tahoma"/>
          <w:sz w:val="24"/>
          <w:szCs w:val="24"/>
          <w:lang w:val="en-GB"/>
        </w:rPr>
        <w:t xml:space="preserve"> </w:t>
      </w:r>
      <w:r w:rsidR="003E745D" w:rsidRPr="002353FE">
        <w:rPr>
          <w:rFonts w:ascii="Verdana" w:hAnsi="Verdana" w:cs="Tahoma"/>
          <w:sz w:val="24"/>
          <w:szCs w:val="24"/>
          <w:lang w:val="en-GB"/>
        </w:rPr>
        <w:t xml:space="preserve">bank </w:t>
      </w:r>
      <w:r w:rsidRPr="002353FE">
        <w:rPr>
          <w:rFonts w:ascii="Verdana" w:hAnsi="Verdana" w:cs="Tahoma"/>
          <w:sz w:val="24"/>
          <w:szCs w:val="24"/>
          <w:lang w:val="en-GB"/>
        </w:rPr>
        <w:t>switching</w:t>
      </w:r>
      <w:r w:rsidR="00407764" w:rsidRPr="002353FE">
        <w:rPr>
          <w:rFonts w:ascii="Verdana" w:hAnsi="Verdana" w:cs="Tahoma"/>
          <w:sz w:val="24"/>
          <w:szCs w:val="24"/>
          <w:lang w:val="en-GB"/>
        </w:rPr>
        <w:t>.</w:t>
      </w:r>
      <w:r w:rsidR="009C63E1" w:rsidRPr="002353FE">
        <w:rPr>
          <w:rFonts w:ascii="Verdana" w:hAnsi="Verdana" w:cs="Tahoma"/>
          <w:sz w:val="24"/>
          <w:szCs w:val="24"/>
          <w:lang w:val="en-GB"/>
        </w:rPr>
        <w:t xml:space="preserve"> </w:t>
      </w:r>
      <w:r w:rsidR="009C63E1" w:rsidRPr="001E7395">
        <w:rPr>
          <w:rFonts w:ascii="Verdana" w:hAnsi="Verdana" w:cs="Tahoma"/>
          <w:sz w:val="24"/>
          <w:szCs w:val="24"/>
          <w:lang w:val="en-GB"/>
        </w:rPr>
        <w:t>Th</w:t>
      </w:r>
      <w:r w:rsidR="000C0D9D" w:rsidRPr="002353FE">
        <w:rPr>
          <w:rFonts w:ascii="Verdana" w:hAnsi="Verdana" w:cs="Tahoma"/>
          <w:sz w:val="24"/>
          <w:szCs w:val="24"/>
          <w:lang w:val="en-GB"/>
        </w:rPr>
        <w:t xml:space="preserve">ese policies </w:t>
      </w:r>
      <w:r w:rsidR="00D65087" w:rsidRPr="002353FE">
        <w:rPr>
          <w:rFonts w:ascii="Verdana" w:hAnsi="Verdana" w:cs="Tahoma"/>
          <w:sz w:val="24"/>
          <w:szCs w:val="24"/>
          <w:lang w:val="en-GB"/>
        </w:rPr>
        <w:t xml:space="preserve">assume bank switching can be increased through </w:t>
      </w:r>
      <w:r w:rsidR="008367E2" w:rsidRPr="002353FE">
        <w:rPr>
          <w:rFonts w:ascii="Verdana" w:hAnsi="Verdana" w:cs="Tahoma"/>
          <w:sz w:val="24"/>
          <w:szCs w:val="24"/>
          <w:lang w:val="en-GB"/>
        </w:rPr>
        <w:t>focus</w:t>
      </w:r>
      <w:r w:rsidR="00D65087" w:rsidRPr="002353FE">
        <w:rPr>
          <w:rFonts w:ascii="Verdana" w:hAnsi="Verdana" w:cs="Tahoma"/>
          <w:sz w:val="24"/>
          <w:szCs w:val="24"/>
          <w:lang w:val="en-GB"/>
        </w:rPr>
        <w:t xml:space="preserve">ing </w:t>
      </w:r>
      <w:r w:rsidR="008367E2" w:rsidRPr="002353FE">
        <w:rPr>
          <w:rFonts w:ascii="Verdana" w:hAnsi="Verdana" w:cs="Tahoma"/>
          <w:sz w:val="24"/>
          <w:szCs w:val="24"/>
          <w:lang w:val="en-GB"/>
        </w:rPr>
        <w:t xml:space="preserve">on </w:t>
      </w:r>
      <w:r w:rsidR="00BB78DB" w:rsidRPr="002353FE">
        <w:rPr>
          <w:rFonts w:ascii="Verdana" w:hAnsi="Verdana" w:cs="Tahoma"/>
          <w:sz w:val="24"/>
          <w:szCs w:val="24"/>
          <w:lang w:val="en-GB"/>
        </w:rPr>
        <w:t>develop</w:t>
      </w:r>
      <w:r w:rsidR="008367E2" w:rsidRPr="002353FE">
        <w:rPr>
          <w:rFonts w:ascii="Verdana" w:hAnsi="Verdana" w:cs="Tahoma"/>
          <w:sz w:val="24"/>
          <w:szCs w:val="24"/>
          <w:lang w:val="en-GB"/>
        </w:rPr>
        <w:t>ing</w:t>
      </w:r>
      <w:r w:rsidR="00CC1A16" w:rsidRPr="002353FE">
        <w:rPr>
          <w:rFonts w:ascii="Verdana" w:hAnsi="Verdana" w:cs="Tahoma"/>
          <w:sz w:val="24"/>
          <w:szCs w:val="24"/>
          <w:lang w:val="en-GB"/>
        </w:rPr>
        <w:t xml:space="preserve"> the ability of </w:t>
      </w:r>
      <w:r w:rsidR="00AD2FDF" w:rsidRPr="002353FE">
        <w:rPr>
          <w:rFonts w:ascii="Verdana" w:hAnsi="Verdana" w:cs="Tahoma"/>
          <w:sz w:val="24"/>
          <w:szCs w:val="24"/>
          <w:lang w:val="en-GB"/>
        </w:rPr>
        <w:t xml:space="preserve">customers to </w:t>
      </w:r>
      <w:r w:rsidR="00CC1A16" w:rsidRPr="002353FE">
        <w:rPr>
          <w:rFonts w:ascii="Verdana" w:hAnsi="Verdana" w:cs="Tahoma"/>
          <w:sz w:val="24"/>
          <w:szCs w:val="24"/>
          <w:lang w:val="en-GB"/>
        </w:rPr>
        <w:t xml:space="preserve">make personal financial decisions. </w:t>
      </w:r>
      <w:r w:rsidR="003D2B9C" w:rsidRPr="002353FE">
        <w:rPr>
          <w:rFonts w:ascii="Verdana" w:hAnsi="Verdana" w:cs="Tahoma"/>
          <w:sz w:val="24"/>
          <w:szCs w:val="24"/>
          <w:lang w:val="en-GB"/>
        </w:rPr>
        <w:t>This perspective stands i</w:t>
      </w:r>
      <w:r w:rsidR="002E128C" w:rsidRPr="002353FE">
        <w:rPr>
          <w:rFonts w:ascii="Verdana" w:hAnsi="Verdana" w:cs="Tahoma"/>
          <w:sz w:val="24"/>
          <w:szCs w:val="24"/>
          <w:lang w:val="en-GB"/>
        </w:rPr>
        <w:t>n</w:t>
      </w:r>
      <w:r w:rsidR="003D2B9C" w:rsidRPr="002353FE">
        <w:rPr>
          <w:rFonts w:ascii="Verdana" w:hAnsi="Verdana" w:cs="Tahoma"/>
          <w:sz w:val="24"/>
          <w:szCs w:val="24"/>
          <w:lang w:val="en-GB"/>
        </w:rPr>
        <w:t xml:space="preserve"> contrast to </w:t>
      </w:r>
      <w:r w:rsidR="00121F6E" w:rsidRPr="001E7395">
        <w:rPr>
          <w:rFonts w:ascii="Verdana" w:hAnsi="Verdana" w:cs="Tahoma"/>
          <w:sz w:val="24"/>
          <w:szCs w:val="24"/>
          <w:lang w:val="en-GB"/>
        </w:rPr>
        <w:t xml:space="preserve">churn </w:t>
      </w:r>
      <w:r w:rsidR="009C63E1" w:rsidRPr="001E7395">
        <w:rPr>
          <w:rFonts w:ascii="Verdana" w:hAnsi="Verdana" w:cs="Tahoma"/>
          <w:sz w:val="24"/>
          <w:szCs w:val="24"/>
          <w:lang w:val="en-GB"/>
        </w:rPr>
        <w:t>theor</w:t>
      </w:r>
      <w:r w:rsidR="00005D37" w:rsidRPr="001E7395">
        <w:rPr>
          <w:rFonts w:ascii="Verdana" w:hAnsi="Verdana" w:cs="Tahoma"/>
          <w:sz w:val="24"/>
          <w:szCs w:val="24"/>
          <w:lang w:val="en-GB"/>
        </w:rPr>
        <w:t>y</w:t>
      </w:r>
      <w:r w:rsidR="009C63E1" w:rsidRPr="001E7395">
        <w:rPr>
          <w:rFonts w:ascii="Verdana" w:hAnsi="Verdana" w:cs="Tahoma"/>
          <w:sz w:val="24"/>
          <w:szCs w:val="24"/>
          <w:lang w:val="en-GB"/>
        </w:rPr>
        <w:t xml:space="preserve"> </w:t>
      </w:r>
      <w:r w:rsidR="003D2B9C" w:rsidRPr="002353FE">
        <w:rPr>
          <w:rFonts w:ascii="Verdana" w:hAnsi="Verdana" w:cs="Tahoma"/>
          <w:sz w:val="24"/>
          <w:szCs w:val="24"/>
          <w:lang w:val="en-GB"/>
        </w:rPr>
        <w:t xml:space="preserve">explanations of bank switching </w:t>
      </w:r>
      <w:r w:rsidR="009C63E1" w:rsidRPr="001E7395">
        <w:rPr>
          <w:rFonts w:ascii="Verdana" w:hAnsi="Verdana" w:cs="Tahoma"/>
          <w:sz w:val="24"/>
          <w:szCs w:val="24"/>
          <w:lang w:val="en-GB"/>
        </w:rPr>
        <w:t>(Ke</w:t>
      </w:r>
      <w:r w:rsidR="00AB1654" w:rsidRPr="001E7395">
        <w:rPr>
          <w:rFonts w:ascii="Verdana" w:hAnsi="Verdana" w:cs="Tahoma"/>
          <w:sz w:val="24"/>
          <w:szCs w:val="24"/>
          <w:lang w:val="en-GB"/>
        </w:rPr>
        <w:t>a</w:t>
      </w:r>
      <w:r w:rsidR="009C63E1" w:rsidRPr="001E7395">
        <w:rPr>
          <w:rFonts w:ascii="Verdana" w:hAnsi="Verdana" w:cs="Tahoma"/>
          <w:sz w:val="24"/>
          <w:szCs w:val="24"/>
          <w:lang w:val="en-GB"/>
        </w:rPr>
        <w:t>veney</w:t>
      </w:r>
      <w:r w:rsidR="00005D37" w:rsidRPr="001E7395">
        <w:rPr>
          <w:rFonts w:ascii="Verdana" w:hAnsi="Verdana" w:cs="Tahoma"/>
          <w:sz w:val="24"/>
          <w:szCs w:val="24"/>
          <w:lang w:val="en-GB"/>
        </w:rPr>
        <w:t xml:space="preserve">, </w:t>
      </w:r>
      <w:r w:rsidR="009C63E1" w:rsidRPr="001E7395">
        <w:rPr>
          <w:rFonts w:ascii="Verdana" w:hAnsi="Verdana" w:cs="Tahoma"/>
          <w:sz w:val="24"/>
          <w:szCs w:val="24"/>
          <w:lang w:val="en-GB"/>
        </w:rPr>
        <w:t>1995)</w:t>
      </w:r>
      <w:r w:rsidR="00CA2CD0" w:rsidRPr="001E7395">
        <w:rPr>
          <w:rFonts w:ascii="Verdana" w:hAnsi="Verdana" w:cs="Tahoma"/>
          <w:sz w:val="24"/>
          <w:szCs w:val="24"/>
          <w:lang w:val="en-GB"/>
        </w:rPr>
        <w:t xml:space="preserve"> </w:t>
      </w:r>
      <w:r w:rsidR="00C4479D" w:rsidRPr="002353FE">
        <w:rPr>
          <w:rFonts w:ascii="Verdana" w:hAnsi="Verdana" w:cs="Tahoma"/>
          <w:sz w:val="24"/>
          <w:szCs w:val="24"/>
          <w:lang w:val="en-GB"/>
        </w:rPr>
        <w:t xml:space="preserve">which assume a </w:t>
      </w:r>
      <w:r w:rsidR="00CA2CD0" w:rsidRPr="001E7395">
        <w:rPr>
          <w:rFonts w:ascii="Verdana" w:hAnsi="Verdana" w:cs="Tahoma"/>
          <w:sz w:val="24"/>
          <w:szCs w:val="24"/>
          <w:lang w:val="en-GB"/>
        </w:rPr>
        <w:t>wide</w:t>
      </w:r>
      <w:r w:rsidR="003D603A" w:rsidRPr="002353FE">
        <w:rPr>
          <w:rFonts w:ascii="Verdana" w:hAnsi="Verdana" w:cs="Tahoma"/>
          <w:sz w:val="24"/>
          <w:szCs w:val="24"/>
          <w:lang w:val="en-GB"/>
        </w:rPr>
        <w:t>r</w:t>
      </w:r>
      <w:r w:rsidR="00CA2CD0" w:rsidRPr="001E7395">
        <w:rPr>
          <w:rFonts w:ascii="Verdana" w:hAnsi="Verdana" w:cs="Tahoma"/>
          <w:sz w:val="24"/>
          <w:szCs w:val="24"/>
          <w:lang w:val="en-GB"/>
        </w:rPr>
        <w:t xml:space="preserve"> range of influences </w:t>
      </w:r>
      <w:r w:rsidR="0080400F" w:rsidRPr="002353FE">
        <w:rPr>
          <w:rFonts w:ascii="Verdana" w:hAnsi="Verdana" w:cs="Tahoma"/>
          <w:sz w:val="24"/>
          <w:szCs w:val="24"/>
          <w:lang w:val="en-GB"/>
        </w:rPr>
        <w:t xml:space="preserve">influence </w:t>
      </w:r>
      <w:r w:rsidR="003D603A" w:rsidRPr="002353FE">
        <w:rPr>
          <w:rFonts w:ascii="Verdana" w:hAnsi="Verdana" w:cs="Tahoma"/>
          <w:sz w:val="24"/>
          <w:szCs w:val="24"/>
          <w:lang w:val="en-GB"/>
        </w:rPr>
        <w:t xml:space="preserve">these </w:t>
      </w:r>
      <w:r w:rsidR="00086927" w:rsidRPr="001E7395">
        <w:rPr>
          <w:rFonts w:ascii="Verdana" w:hAnsi="Verdana" w:cs="Tahoma"/>
          <w:sz w:val="24"/>
          <w:szCs w:val="24"/>
          <w:lang w:val="en-GB"/>
        </w:rPr>
        <w:t>decision</w:t>
      </w:r>
      <w:r w:rsidR="003D603A" w:rsidRPr="002353FE">
        <w:rPr>
          <w:rFonts w:ascii="Verdana" w:hAnsi="Verdana" w:cs="Tahoma"/>
          <w:sz w:val="24"/>
          <w:szCs w:val="24"/>
          <w:lang w:val="en-GB"/>
        </w:rPr>
        <w:t>s</w:t>
      </w:r>
      <w:r w:rsidR="00086927" w:rsidRPr="001E7395">
        <w:rPr>
          <w:rFonts w:ascii="Verdana" w:hAnsi="Verdana" w:cs="Tahoma"/>
          <w:sz w:val="24"/>
          <w:szCs w:val="24"/>
          <w:lang w:val="en-GB"/>
        </w:rPr>
        <w:t xml:space="preserve">. </w:t>
      </w:r>
    </w:p>
    <w:p w14:paraId="272A8666" w14:textId="28C2DE59" w:rsidR="00C5581E" w:rsidRPr="002353FE" w:rsidRDefault="00A11F32" w:rsidP="0031695B">
      <w:pPr>
        <w:spacing w:before="240" w:line="480" w:lineRule="auto"/>
        <w:jc w:val="both"/>
        <w:rPr>
          <w:rFonts w:ascii="Verdana" w:hAnsi="Verdana" w:cs="Tahoma"/>
          <w:sz w:val="24"/>
          <w:szCs w:val="24"/>
          <w:lang w:val="en-GB"/>
        </w:rPr>
      </w:pPr>
      <w:r w:rsidRPr="002353FE">
        <w:rPr>
          <w:rFonts w:ascii="Verdana" w:hAnsi="Verdana" w:cs="Tahoma"/>
          <w:sz w:val="24"/>
          <w:szCs w:val="24"/>
          <w:lang w:val="en-GB"/>
        </w:rPr>
        <w:t>T</w:t>
      </w:r>
      <w:r w:rsidR="00BC3A99" w:rsidRPr="002353FE">
        <w:rPr>
          <w:rFonts w:ascii="Verdana" w:hAnsi="Verdana" w:cs="Tahoma"/>
          <w:sz w:val="24"/>
          <w:szCs w:val="24"/>
          <w:lang w:val="en-GB"/>
        </w:rPr>
        <w:t xml:space="preserve">o </w:t>
      </w:r>
      <w:r w:rsidR="009E5D42" w:rsidRPr="002353FE">
        <w:rPr>
          <w:rFonts w:ascii="Verdana" w:hAnsi="Verdana" w:cs="Tahoma"/>
          <w:sz w:val="24"/>
          <w:szCs w:val="24"/>
          <w:lang w:val="en-GB"/>
        </w:rPr>
        <w:t>examine these questions,</w:t>
      </w:r>
      <w:r w:rsidR="00BC3A99" w:rsidRPr="002353FE">
        <w:rPr>
          <w:rFonts w:ascii="Verdana" w:hAnsi="Verdana" w:cs="Tahoma"/>
          <w:sz w:val="24"/>
          <w:szCs w:val="24"/>
          <w:lang w:val="en-GB"/>
        </w:rPr>
        <w:t xml:space="preserve"> this paper</w:t>
      </w:r>
      <w:r w:rsidRPr="002353FE">
        <w:rPr>
          <w:rFonts w:ascii="Verdana" w:hAnsi="Verdana" w:cs="Tahoma"/>
          <w:sz w:val="24"/>
          <w:szCs w:val="24"/>
          <w:lang w:val="en-GB"/>
        </w:rPr>
        <w:t xml:space="preserve"> employs microdata from the Special Eurobarometer on Financial Products and Services (EC and EP</w:t>
      </w:r>
      <w:r w:rsidR="005F27D6" w:rsidRPr="002353FE">
        <w:rPr>
          <w:rFonts w:ascii="Verdana" w:hAnsi="Verdana" w:cs="Tahoma"/>
          <w:sz w:val="24"/>
          <w:szCs w:val="24"/>
          <w:lang w:val="en-GB"/>
        </w:rPr>
        <w:t>,</w:t>
      </w:r>
      <w:r w:rsidRPr="002353FE">
        <w:rPr>
          <w:rFonts w:ascii="Verdana" w:hAnsi="Verdana" w:cs="Tahoma"/>
          <w:sz w:val="24"/>
          <w:szCs w:val="24"/>
          <w:lang w:val="en-GB"/>
        </w:rPr>
        <w:t xml:space="preserve"> 2016), </w:t>
      </w:r>
      <w:bookmarkStart w:id="1" w:name="_Hlk129282140"/>
      <w:r w:rsidRPr="002353FE">
        <w:rPr>
          <w:rFonts w:ascii="Verdana" w:hAnsi="Verdana" w:cs="Tahoma"/>
          <w:sz w:val="24"/>
          <w:szCs w:val="24"/>
          <w:lang w:val="en-GB"/>
        </w:rPr>
        <w:t xml:space="preserve">a unique source of information on bank personal current account switching behaviour and customer characteristics across European </w:t>
      </w:r>
      <w:r w:rsidR="00885C09" w:rsidRPr="002353FE">
        <w:rPr>
          <w:rFonts w:ascii="Verdana" w:hAnsi="Verdana" w:cs="Tahoma"/>
          <w:sz w:val="24"/>
          <w:szCs w:val="24"/>
          <w:lang w:val="en-GB"/>
        </w:rPr>
        <w:t>nations</w:t>
      </w:r>
      <w:r w:rsidRPr="002353FE">
        <w:rPr>
          <w:rFonts w:ascii="Verdana" w:hAnsi="Verdana" w:cs="Tahoma"/>
          <w:sz w:val="24"/>
          <w:szCs w:val="24"/>
          <w:lang w:val="en-GB"/>
        </w:rPr>
        <w:t>. Th</w:t>
      </w:r>
      <w:r w:rsidR="00DE0418" w:rsidRPr="002353FE">
        <w:rPr>
          <w:rFonts w:ascii="Verdana" w:hAnsi="Verdana" w:cs="Tahoma"/>
          <w:sz w:val="24"/>
          <w:szCs w:val="24"/>
          <w:lang w:val="en-GB"/>
        </w:rPr>
        <w:t>is</w:t>
      </w:r>
      <w:r w:rsidR="0048069F" w:rsidRPr="002353FE">
        <w:rPr>
          <w:rFonts w:ascii="Verdana" w:hAnsi="Verdana" w:cs="Tahoma"/>
          <w:sz w:val="24"/>
          <w:szCs w:val="24"/>
          <w:lang w:val="en-GB"/>
        </w:rPr>
        <w:t xml:space="preserve"> </w:t>
      </w:r>
      <w:r w:rsidRPr="002353FE">
        <w:rPr>
          <w:rFonts w:ascii="Verdana" w:hAnsi="Verdana" w:cs="Tahoma"/>
          <w:sz w:val="24"/>
          <w:szCs w:val="24"/>
          <w:lang w:val="en-GB"/>
        </w:rPr>
        <w:t xml:space="preserve">data </w:t>
      </w:r>
      <w:r w:rsidR="00DE0418" w:rsidRPr="002353FE">
        <w:rPr>
          <w:rFonts w:ascii="Verdana" w:hAnsi="Verdana" w:cs="Tahoma"/>
          <w:sz w:val="24"/>
          <w:szCs w:val="24"/>
          <w:lang w:val="en-GB"/>
        </w:rPr>
        <w:lastRenderedPageBreak/>
        <w:t>is</w:t>
      </w:r>
      <w:r w:rsidR="0048069F" w:rsidRPr="002353FE">
        <w:rPr>
          <w:rFonts w:ascii="Verdana" w:hAnsi="Verdana" w:cs="Tahoma"/>
          <w:sz w:val="24"/>
          <w:szCs w:val="24"/>
          <w:lang w:val="en-GB"/>
        </w:rPr>
        <w:t xml:space="preserve"> </w:t>
      </w:r>
      <w:r w:rsidRPr="002353FE">
        <w:rPr>
          <w:rFonts w:ascii="Verdana" w:hAnsi="Verdana" w:cs="Tahoma"/>
          <w:sz w:val="24"/>
          <w:szCs w:val="24"/>
          <w:lang w:val="en-GB"/>
        </w:rPr>
        <w:t xml:space="preserve">complemented with </w:t>
      </w:r>
      <w:r w:rsidR="009B7BA2" w:rsidRPr="002353FE">
        <w:rPr>
          <w:rFonts w:ascii="Verdana" w:hAnsi="Verdana" w:cs="Tahoma"/>
          <w:sz w:val="24"/>
          <w:szCs w:val="24"/>
          <w:lang w:val="en-GB"/>
        </w:rPr>
        <w:t xml:space="preserve">information </w:t>
      </w:r>
      <w:r w:rsidR="00DE0418" w:rsidRPr="002353FE">
        <w:rPr>
          <w:rFonts w:ascii="Verdana" w:hAnsi="Verdana" w:cs="Tahoma"/>
          <w:sz w:val="24"/>
          <w:szCs w:val="24"/>
          <w:lang w:val="en-GB"/>
        </w:rPr>
        <w:t>about</w:t>
      </w:r>
      <w:r w:rsidR="009B7BA2" w:rsidRPr="002353FE">
        <w:rPr>
          <w:rFonts w:ascii="Verdana" w:hAnsi="Verdana" w:cs="Tahoma"/>
          <w:sz w:val="24"/>
          <w:szCs w:val="24"/>
          <w:lang w:val="en-GB"/>
        </w:rPr>
        <w:t xml:space="preserve"> </w:t>
      </w:r>
      <w:r w:rsidRPr="002353FE">
        <w:rPr>
          <w:rFonts w:ascii="Verdana" w:hAnsi="Verdana" w:cs="Tahoma"/>
          <w:sz w:val="24"/>
          <w:szCs w:val="24"/>
          <w:lang w:val="en-GB"/>
        </w:rPr>
        <w:t>national consumer financial education policies and disclosure practices from the World Bank (2014) and geographical, market and regulatory factors</w:t>
      </w:r>
      <w:bookmarkEnd w:id="1"/>
      <w:r w:rsidRPr="002353FE">
        <w:rPr>
          <w:rFonts w:ascii="Verdana" w:hAnsi="Verdana" w:cs="Tahoma"/>
          <w:sz w:val="24"/>
          <w:szCs w:val="24"/>
          <w:lang w:val="en-GB"/>
        </w:rPr>
        <w:t xml:space="preserve"> from EUROSTAT and the World Bank (2017). These diverse sources enable a cross-country analysis encompassing 24 European </w:t>
      </w:r>
      <w:r w:rsidR="00127F6D" w:rsidRPr="002353FE">
        <w:rPr>
          <w:rFonts w:ascii="Verdana" w:hAnsi="Verdana" w:cs="Tahoma"/>
          <w:sz w:val="24"/>
          <w:szCs w:val="24"/>
          <w:lang w:val="en-GB"/>
        </w:rPr>
        <w:t>nations</w:t>
      </w:r>
      <w:r w:rsidRPr="002353FE">
        <w:rPr>
          <w:rFonts w:ascii="Verdana" w:hAnsi="Verdana" w:cs="Tahoma"/>
          <w:sz w:val="24"/>
          <w:szCs w:val="24"/>
          <w:lang w:val="en-GB"/>
        </w:rPr>
        <w:t xml:space="preserve">. </w:t>
      </w:r>
    </w:p>
    <w:p w14:paraId="1E61BCAD" w14:textId="462125C3" w:rsidR="00A11F32" w:rsidRPr="002353FE" w:rsidRDefault="00A11F32" w:rsidP="003D6D1E">
      <w:pPr>
        <w:spacing w:before="240" w:line="480" w:lineRule="auto"/>
        <w:jc w:val="both"/>
        <w:rPr>
          <w:rFonts w:ascii="Verdana" w:hAnsi="Verdana" w:cs="Tahoma"/>
          <w:sz w:val="24"/>
          <w:szCs w:val="24"/>
          <w:lang w:val="en-GB"/>
        </w:rPr>
      </w:pPr>
      <w:r w:rsidRPr="002353FE">
        <w:rPr>
          <w:rFonts w:ascii="Verdana" w:hAnsi="Verdana" w:cs="Tahoma"/>
          <w:sz w:val="24"/>
          <w:szCs w:val="24"/>
          <w:lang w:val="en-GB"/>
        </w:rPr>
        <w:t xml:space="preserve">We </w:t>
      </w:r>
      <w:r w:rsidR="00EC124F" w:rsidRPr="002353FE">
        <w:rPr>
          <w:rFonts w:ascii="Verdana" w:hAnsi="Verdana" w:cs="Tahoma"/>
          <w:sz w:val="24"/>
          <w:szCs w:val="24"/>
          <w:lang w:val="en-GB"/>
        </w:rPr>
        <w:t xml:space="preserve">report </w:t>
      </w:r>
      <w:r w:rsidRPr="002353FE">
        <w:rPr>
          <w:rFonts w:ascii="Verdana" w:hAnsi="Verdana" w:cs="Tahoma"/>
          <w:sz w:val="24"/>
          <w:szCs w:val="24"/>
          <w:lang w:val="en-GB"/>
        </w:rPr>
        <w:t xml:space="preserve">that a lower propensity to switch banking provider is strongly related to three </w:t>
      </w:r>
      <w:r w:rsidR="00EC124F" w:rsidRPr="002353FE">
        <w:rPr>
          <w:rFonts w:ascii="Verdana" w:hAnsi="Verdana" w:cs="Tahoma"/>
          <w:sz w:val="24"/>
          <w:szCs w:val="24"/>
          <w:lang w:val="en-GB"/>
        </w:rPr>
        <w:t xml:space="preserve">aspects </w:t>
      </w:r>
      <w:r w:rsidR="009B7BA2" w:rsidRPr="002353FE">
        <w:rPr>
          <w:rFonts w:ascii="Verdana" w:hAnsi="Verdana" w:cs="Tahoma"/>
          <w:sz w:val="24"/>
          <w:szCs w:val="24"/>
          <w:lang w:val="en-GB"/>
        </w:rPr>
        <w:t xml:space="preserve">associated </w:t>
      </w:r>
      <w:r w:rsidR="00DE0418" w:rsidRPr="002353FE">
        <w:rPr>
          <w:rFonts w:ascii="Verdana" w:hAnsi="Verdana" w:cs="Tahoma"/>
          <w:sz w:val="24"/>
          <w:szCs w:val="24"/>
          <w:lang w:val="en-GB"/>
        </w:rPr>
        <w:t>with</w:t>
      </w:r>
      <w:r w:rsidR="00EC124F" w:rsidRPr="002353FE">
        <w:rPr>
          <w:rFonts w:ascii="Verdana" w:hAnsi="Verdana" w:cs="Tahoma"/>
          <w:sz w:val="24"/>
          <w:szCs w:val="24"/>
          <w:lang w:val="en-GB"/>
        </w:rPr>
        <w:t xml:space="preserve"> </w:t>
      </w:r>
      <w:r w:rsidRPr="002353FE">
        <w:rPr>
          <w:rFonts w:ascii="Verdana" w:hAnsi="Verdana" w:cs="Tahoma"/>
          <w:sz w:val="24"/>
          <w:szCs w:val="24"/>
          <w:lang w:val="en-GB"/>
        </w:rPr>
        <w:t xml:space="preserve">customer vulnerability: </w:t>
      </w:r>
      <w:bookmarkStart w:id="2" w:name="_Hlk129282027"/>
      <w:r w:rsidRPr="002353FE">
        <w:rPr>
          <w:rFonts w:ascii="Verdana" w:hAnsi="Verdana" w:cs="Tahoma"/>
          <w:sz w:val="24"/>
          <w:szCs w:val="24"/>
          <w:lang w:val="en-GB"/>
        </w:rPr>
        <w:t>a</w:t>
      </w:r>
      <w:r w:rsidR="00EC124F" w:rsidRPr="002353FE">
        <w:rPr>
          <w:rFonts w:ascii="Verdana" w:hAnsi="Verdana" w:cs="Tahoma"/>
          <w:sz w:val="24"/>
          <w:szCs w:val="24"/>
          <w:lang w:val="en-GB"/>
        </w:rPr>
        <w:t xml:space="preserve">n advanced </w:t>
      </w:r>
      <w:r w:rsidRPr="002353FE">
        <w:rPr>
          <w:rFonts w:ascii="Verdana" w:hAnsi="Verdana" w:cs="Tahoma"/>
          <w:sz w:val="24"/>
          <w:szCs w:val="24"/>
          <w:lang w:val="en-GB"/>
        </w:rPr>
        <w:t xml:space="preserve">age, low educational </w:t>
      </w:r>
      <w:r w:rsidR="00D627B4" w:rsidRPr="002353FE">
        <w:rPr>
          <w:rFonts w:ascii="Verdana" w:hAnsi="Verdana" w:cs="Tahoma"/>
          <w:sz w:val="24"/>
          <w:szCs w:val="24"/>
          <w:lang w:val="en-GB"/>
        </w:rPr>
        <w:t>attainment,</w:t>
      </w:r>
      <w:r w:rsidRPr="002353FE">
        <w:rPr>
          <w:rFonts w:ascii="Verdana" w:hAnsi="Verdana" w:cs="Tahoma"/>
          <w:sz w:val="24"/>
          <w:szCs w:val="24"/>
          <w:lang w:val="en-GB"/>
        </w:rPr>
        <w:t xml:space="preserve"> and residence in </w:t>
      </w:r>
      <w:r w:rsidR="009B7BA2" w:rsidRPr="002353FE">
        <w:rPr>
          <w:rFonts w:ascii="Verdana" w:hAnsi="Verdana" w:cs="Tahoma"/>
          <w:sz w:val="24"/>
          <w:szCs w:val="24"/>
          <w:lang w:val="en-GB"/>
        </w:rPr>
        <w:t xml:space="preserve">a </w:t>
      </w:r>
      <w:r w:rsidR="00C5581E" w:rsidRPr="002353FE">
        <w:rPr>
          <w:rFonts w:ascii="Verdana" w:hAnsi="Verdana" w:cs="Tahoma"/>
          <w:sz w:val="24"/>
          <w:szCs w:val="24"/>
          <w:lang w:val="en-GB"/>
        </w:rPr>
        <w:t xml:space="preserve">relatively </w:t>
      </w:r>
      <w:r w:rsidRPr="002353FE">
        <w:rPr>
          <w:rFonts w:ascii="Verdana" w:hAnsi="Verdana" w:cs="Tahoma"/>
          <w:sz w:val="24"/>
          <w:szCs w:val="24"/>
          <w:lang w:val="en-GB"/>
        </w:rPr>
        <w:t xml:space="preserve">poor region. </w:t>
      </w:r>
      <w:bookmarkEnd w:id="2"/>
      <w:r w:rsidRPr="002353FE">
        <w:rPr>
          <w:rFonts w:ascii="Verdana" w:hAnsi="Verdana" w:cs="Tahoma"/>
          <w:sz w:val="24"/>
          <w:szCs w:val="24"/>
          <w:lang w:val="en-GB"/>
        </w:rPr>
        <w:t xml:space="preserve">We also </w:t>
      </w:r>
      <w:r w:rsidR="00B82C01" w:rsidRPr="002353FE">
        <w:rPr>
          <w:rFonts w:ascii="Verdana" w:hAnsi="Verdana" w:cs="Tahoma"/>
          <w:sz w:val="24"/>
          <w:szCs w:val="24"/>
          <w:lang w:val="en-GB"/>
        </w:rPr>
        <w:t xml:space="preserve">report </w:t>
      </w:r>
      <w:r w:rsidRPr="002353FE">
        <w:rPr>
          <w:rFonts w:ascii="Verdana" w:hAnsi="Verdana" w:cs="Tahoma"/>
          <w:sz w:val="24"/>
          <w:szCs w:val="24"/>
          <w:lang w:val="en-GB"/>
        </w:rPr>
        <w:t xml:space="preserve">financial education policies and disclosure practices </w:t>
      </w:r>
      <w:r w:rsidR="00B82C01" w:rsidRPr="002353FE">
        <w:rPr>
          <w:rFonts w:ascii="Verdana" w:hAnsi="Verdana" w:cs="Tahoma"/>
          <w:sz w:val="24"/>
          <w:szCs w:val="24"/>
          <w:lang w:val="en-GB"/>
        </w:rPr>
        <w:t>ha</w:t>
      </w:r>
      <w:r w:rsidR="00127F6D" w:rsidRPr="002353FE">
        <w:rPr>
          <w:rFonts w:ascii="Verdana" w:hAnsi="Verdana" w:cs="Tahoma"/>
          <w:sz w:val="24"/>
          <w:szCs w:val="24"/>
          <w:lang w:val="en-GB"/>
        </w:rPr>
        <w:t>ve</w:t>
      </w:r>
      <w:r w:rsidR="00B82C01" w:rsidRPr="002353FE">
        <w:rPr>
          <w:rFonts w:ascii="Verdana" w:hAnsi="Verdana" w:cs="Tahoma"/>
          <w:sz w:val="24"/>
          <w:szCs w:val="24"/>
          <w:lang w:val="en-GB"/>
        </w:rPr>
        <w:t xml:space="preserve"> an insignificant effect </w:t>
      </w:r>
      <w:r w:rsidRPr="002353FE">
        <w:rPr>
          <w:rFonts w:ascii="Verdana" w:hAnsi="Verdana" w:cs="Tahoma"/>
          <w:sz w:val="24"/>
          <w:szCs w:val="24"/>
          <w:lang w:val="en-GB"/>
        </w:rPr>
        <w:t xml:space="preserve">on switching banking provider. </w:t>
      </w:r>
      <w:r w:rsidR="00B82C01" w:rsidRPr="002353FE">
        <w:rPr>
          <w:rFonts w:ascii="Verdana" w:hAnsi="Verdana" w:cs="Tahoma"/>
          <w:sz w:val="24"/>
          <w:szCs w:val="24"/>
          <w:lang w:val="en-GB"/>
        </w:rPr>
        <w:t>W</w:t>
      </w:r>
      <w:r w:rsidRPr="002353FE">
        <w:rPr>
          <w:rFonts w:ascii="Verdana" w:hAnsi="Verdana" w:cs="Tahoma"/>
          <w:sz w:val="24"/>
          <w:szCs w:val="24"/>
          <w:lang w:val="en-GB"/>
        </w:rPr>
        <w:t>e</w:t>
      </w:r>
      <w:r w:rsidR="00B82C01" w:rsidRPr="002353FE">
        <w:rPr>
          <w:rFonts w:ascii="Verdana" w:hAnsi="Verdana" w:cs="Tahoma"/>
          <w:sz w:val="24"/>
          <w:szCs w:val="24"/>
          <w:lang w:val="en-GB"/>
        </w:rPr>
        <w:t xml:space="preserve"> </w:t>
      </w:r>
      <w:r w:rsidRPr="002353FE">
        <w:rPr>
          <w:rFonts w:ascii="Verdana" w:hAnsi="Verdana" w:cs="Tahoma"/>
          <w:sz w:val="24"/>
          <w:szCs w:val="24"/>
          <w:lang w:val="en-GB"/>
        </w:rPr>
        <w:t>advocat</w:t>
      </w:r>
      <w:r w:rsidR="00BF5E73" w:rsidRPr="002353FE">
        <w:rPr>
          <w:rFonts w:ascii="Verdana" w:hAnsi="Verdana" w:cs="Tahoma"/>
          <w:sz w:val="24"/>
          <w:szCs w:val="24"/>
          <w:lang w:val="en-GB"/>
        </w:rPr>
        <w:t>e</w:t>
      </w:r>
      <w:r w:rsidR="00B82C01" w:rsidRPr="002353FE">
        <w:rPr>
          <w:rFonts w:ascii="Verdana" w:hAnsi="Verdana" w:cs="Tahoma"/>
          <w:sz w:val="24"/>
          <w:szCs w:val="24"/>
          <w:lang w:val="en-GB"/>
        </w:rPr>
        <w:t xml:space="preserve"> more </w:t>
      </w:r>
      <w:r w:rsidRPr="002353FE">
        <w:rPr>
          <w:rFonts w:ascii="Verdana" w:hAnsi="Verdana" w:cs="Tahoma"/>
          <w:sz w:val="24"/>
          <w:szCs w:val="24"/>
          <w:lang w:val="en-GB"/>
        </w:rPr>
        <w:t xml:space="preserve">targeted policies recognising customers’ heterogeneity </w:t>
      </w:r>
      <w:r w:rsidR="00570240" w:rsidRPr="002353FE">
        <w:rPr>
          <w:rFonts w:ascii="Verdana" w:hAnsi="Verdana" w:cs="Tahoma"/>
          <w:sz w:val="24"/>
          <w:szCs w:val="24"/>
          <w:lang w:val="en-GB"/>
        </w:rPr>
        <w:t xml:space="preserve">are required </w:t>
      </w:r>
      <w:r w:rsidR="00D244DB" w:rsidRPr="002353FE">
        <w:rPr>
          <w:rFonts w:ascii="Verdana" w:hAnsi="Verdana" w:cs="Tahoma"/>
          <w:sz w:val="24"/>
          <w:szCs w:val="24"/>
          <w:lang w:val="en-GB"/>
        </w:rPr>
        <w:t xml:space="preserve">to increase </w:t>
      </w:r>
      <w:r w:rsidR="00570240" w:rsidRPr="002353FE">
        <w:rPr>
          <w:rFonts w:ascii="Verdana" w:hAnsi="Verdana" w:cs="Tahoma"/>
          <w:sz w:val="24"/>
          <w:szCs w:val="24"/>
          <w:lang w:val="en-GB"/>
        </w:rPr>
        <w:t>bank sw</w:t>
      </w:r>
      <w:r w:rsidRPr="002353FE">
        <w:rPr>
          <w:rFonts w:ascii="Verdana" w:hAnsi="Verdana" w:cs="Tahoma"/>
          <w:sz w:val="24"/>
          <w:szCs w:val="24"/>
          <w:lang w:val="en-GB"/>
        </w:rPr>
        <w:t>itching behaviour</w:t>
      </w:r>
      <w:r w:rsidR="002930E7" w:rsidRPr="002353FE">
        <w:rPr>
          <w:rFonts w:ascii="Verdana" w:hAnsi="Verdana" w:cs="Tahoma"/>
          <w:sz w:val="24"/>
          <w:szCs w:val="24"/>
          <w:lang w:val="en-GB"/>
        </w:rPr>
        <w:t xml:space="preserve">. </w:t>
      </w:r>
    </w:p>
    <w:p w14:paraId="563E7720" w14:textId="77777777" w:rsidR="00BB470A" w:rsidRPr="002353FE" w:rsidRDefault="00BB470A" w:rsidP="00BB470A">
      <w:pPr>
        <w:autoSpaceDE w:val="0"/>
        <w:autoSpaceDN w:val="0"/>
        <w:adjustRightInd w:val="0"/>
        <w:spacing w:after="0" w:line="480" w:lineRule="auto"/>
        <w:jc w:val="both"/>
        <w:rPr>
          <w:rFonts w:ascii="Verdana" w:hAnsi="Verdana" w:cs="Tahoma"/>
          <w:sz w:val="24"/>
          <w:szCs w:val="24"/>
          <w:lang w:val="en-GB"/>
        </w:rPr>
      </w:pPr>
      <w:r w:rsidRPr="002353FE">
        <w:rPr>
          <w:rFonts w:ascii="Verdana" w:hAnsi="Verdana" w:cs="Tahoma"/>
          <w:sz w:val="24"/>
          <w:szCs w:val="24"/>
          <w:lang w:val="en-GB"/>
        </w:rPr>
        <w:t xml:space="preserve">This paper contributes to multiple academic areas. First, we present further evidence as to bank customer switching behaviour (Keaveney, 1995; Sharpe, 1997; Kiser, 2002; Shy, 2002; Stango, 2002; Kim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2003; Bouckaert and Degryse, 2004; </w:t>
      </w:r>
      <w:r w:rsidRPr="002353FE">
        <w:rPr>
          <w:rFonts w:ascii="Verdana" w:hAnsi="Verdana"/>
          <w:sz w:val="24"/>
          <w:szCs w:val="24"/>
          <w:lang w:val="en-GB"/>
        </w:rPr>
        <w:t xml:space="preserve">Gondat-Larralde and Nier, 2006; Mavri and Ioannou, 2008; </w:t>
      </w:r>
      <w:r w:rsidRPr="002353FE">
        <w:rPr>
          <w:rFonts w:ascii="Verdana" w:hAnsi="Verdana" w:cs="Tahoma"/>
          <w:sz w:val="24"/>
          <w:szCs w:val="24"/>
          <w:lang w:val="en-GB"/>
        </w:rPr>
        <w:t xml:space="preserve">Barone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2011; Hannan and Adams, 2011; Vyas and Raitani 2014; Ho, 2015; Brunetti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2016; Waddams Price and Zhu, 2016; </w:t>
      </w:r>
      <w:r w:rsidRPr="002353FE">
        <w:rPr>
          <w:rFonts w:ascii="Verdana" w:hAnsi="Verdana" w:cs="Tahoma"/>
          <w:bCs/>
          <w:sz w:val="24"/>
          <w:szCs w:val="24"/>
          <w:lang w:val="en-US"/>
        </w:rPr>
        <w:t xml:space="preserve">Ashton and Gregoriou, </w:t>
      </w:r>
      <w:r w:rsidRPr="002353FE">
        <w:rPr>
          <w:rFonts w:ascii="Verdana" w:hAnsi="Verdana"/>
          <w:bCs/>
          <w:sz w:val="24"/>
          <w:szCs w:val="24"/>
          <w:lang w:val="en-US"/>
        </w:rPr>
        <w:t xml:space="preserve">2017, </w:t>
      </w:r>
      <w:r w:rsidRPr="002353FE">
        <w:rPr>
          <w:rFonts w:ascii="Verdana" w:hAnsi="Verdana" w:cs="Tahoma"/>
          <w:sz w:val="24"/>
          <w:szCs w:val="24"/>
          <w:lang w:val="en-GB"/>
        </w:rPr>
        <w:t xml:space="preserve">Lappeman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2022; Ngau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2023; Van der Cruijsen and Diepstraten, 2017). We contribute to this literature by examining bank switching and consumer vulnerability across multiple European nations. </w:t>
      </w:r>
    </w:p>
    <w:p w14:paraId="269001C1" w14:textId="16B53156" w:rsidR="00A11F32" w:rsidRPr="002353FE" w:rsidRDefault="00A11F32" w:rsidP="0031695B">
      <w:pPr>
        <w:spacing w:before="240" w:line="480" w:lineRule="auto"/>
        <w:jc w:val="both"/>
        <w:rPr>
          <w:rFonts w:ascii="Verdana" w:hAnsi="Verdana" w:cs="Tahoma"/>
          <w:sz w:val="24"/>
          <w:szCs w:val="24"/>
          <w:lang w:val="en-GB"/>
        </w:rPr>
      </w:pPr>
      <w:r w:rsidRPr="002353FE">
        <w:rPr>
          <w:rFonts w:ascii="Verdana" w:hAnsi="Verdana" w:cs="Tahoma"/>
          <w:sz w:val="24"/>
          <w:szCs w:val="24"/>
          <w:lang w:val="en-GB"/>
        </w:rPr>
        <w:lastRenderedPageBreak/>
        <w:t xml:space="preserve">Second, </w:t>
      </w:r>
      <w:r w:rsidR="00944E8B" w:rsidRPr="002353FE">
        <w:rPr>
          <w:rFonts w:ascii="Verdana" w:hAnsi="Verdana" w:cs="Tahoma"/>
          <w:sz w:val="24"/>
          <w:szCs w:val="24"/>
          <w:lang w:val="en-GB"/>
        </w:rPr>
        <w:t xml:space="preserve">we </w:t>
      </w:r>
      <w:bookmarkStart w:id="3" w:name="_Hlk129282366"/>
      <w:r w:rsidRPr="002353FE">
        <w:rPr>
          <w:rFonts w:ascii="Verdana" w:hAnsi="Verdana" w:cs="Tahoma"/>
          <w:sz w:val="24"/>
          <w:szCs w:val="24"/>
          <w:lang w:val="en-GB"/>
        </w:rPr>
        <w:t>examine the efficacy of consumer-oriented policies (financial literacy and disclosure practices) in encouraging bank switching</w:t>
      </w:r>
      <w:r w:rsidR="00005D37" w:rsidRPr="002353FE">
        <w:rPr>
          <w:rFonts w:ascii="Verdana" w:hAnsi="Verdana" w:cs="Tahoma"/>
          <w:sz w:val="24"/>
          <w:szCs w:val="24"/>
          <w:lang w:val="en-GB"/>
        </w:rPr>
        <w:t xml:space="preserve"> across the EU</w:t>
      </w:r>
      <w:r w:rsidRPr="002353FE">
        <w:rPr>
          <w:rFonts w:ascii="Verdana" w:hAnsi="Verdana" w:cs="Tahoma"/>
          <w:sz w:val="24"/>
          <w:szCs w:val="24"/>
          <w:lang w:val="en-GB"/>
        </w:rPr>
        <w:t xml:space="preserve">. </w:t>
      </w:r>
      <w:r w:rsidR="00452532" w:rsidRPr="002353FE">
        <w:rPr>
          <w:rFonts w:ascii="Verdana" w:hAnsi="Verdana" w:cs="Tahoma"/>
          <w:sz w:val="24"/>
          <w:szCs w:val="24"/>
          <w:lang w:val="en-GB"/>
        </w:rPr>
        <w:t xml:space="preserve">This work contributes to literature considering </w:t>
      </w:r>
      <w:bookmarkEnd w:id="3"/>
      <w:r w:rsidR="00250A76" w:rsidRPr="002353FE">
        <w:rPr>
          <w:rFonts w:ascii="Verdana" w:hAnsi="Verdana" w:cs="Tahoma"/>
          <w:sz w:val="24"/>
          <w:szCs w:val="24"/>
          <w:lang w:val="en-GB"/>
        </w:rPr>
        <w:t xml:space="preserve">the effect of </w:t>
      </w:r>
      <w:r w:rsidRPr="002353FE">
        <w:rPr>
          <w:rFonts w:ascii="Verdana" w:hAnsi="Verdana" w:cs="Tahoma"/>
          <w:sz w:val="24"/>
          <w:szCs w:val="24"/>
          <w:lang w:val="en-GB"/>
        </w:rPr>
        <w:t xml:space="preserve">financial literacy </w:t>
      </w:r>
      <w:r w:rsidR="006437BB" w:rsidRPr="002353FE">
        <w:rPr>
          <w:rFonts w:ascii="Verdana" w:hAnsi="Verdana" w:cs="Tahoma"/>
          <w:sz w:val="24"/>
          <w:szCs w:val="24"/>
          <w:lang w:val="en-GB"/>
        </w:rPr>
        <w:t xml:space="preserve">policies </w:t>
      </w:r>
      <w:r w:rsidRPr="002353FE">
        <w:rPr>
          <w:rFonts w:ascii="Verdana" w:hAnsi="Verdana" w:cs="Tahoma"/>
          <w:sz w:val="24"/>
          <w:szCs w:val="24"/>
          <w:lang w:val="en-GB"/>
        </w:rPr>
        <w:t xml:space="preserve">on financial decision-making (Agarwal </w:t>
      </w:r>
      <w:r w:rsidRPr="002353FE">
        <w:rPr>
          <w:rFonts w:ascii="Verdana" w:hAnsi="Verdana" w:cs="Tahoma"/>
          <w:i/>
          <w:iCs/>
          <w:sz w:val="24"/>
          <w:szCs w:val="24"/>
          <w:lang w:val="en-GB"/>
        </w:rPr>
        <w:t>et al</w:t>
      </w:r>
      <w:r w:rsidR="005F27D6" w:rsidRPr="002353FE">
        <w:rPr>
          <w:rFonts w:ascii="Verdana" w:hAnsi="Verdana" w:cs="Tahoma"/>
          <w:sz w:val="24"/>
          <w:szCs w:val="24"/>
          <w:lang w:val="en-GB"/>
        </w:rPr>
        <w:t>.,</w:t>
      </w:r>
      <w:r w:rsidRPr="002353FE">
        <w:rPr>
          <w:rFonts w:ascii="Verdana" w:hAnsi="Verdana" w:cs="Tahoma"/>
          <w:sz w:val="24"/>
          <w:szCs w:val="24"/>
          <w:lang w:val="en-GB"/>
        </w:rPr>
        <w:t xml:space="preserve"> 2009; </w:t>
      </w:r>
      <w:r w:rsidRPr="002353FE">
        <w:rPr>
          <w:rFonts w:ascii="Verdana" w:hAnsi="Verdana" w:cs="Dcr10"/>
          <w:sz w:val="24"/>
          <w:szCs w:val="24"/>
          <w:lang w:val="en-GB" w:eastAsia="es-ES"/>
        </w:rPr>
        <w:t>Lusardi and Mitchell</w:t>
      </w:r>
      <w:r w:rsidR="005F27D6" w:rsidRPr="002353FE">
        <w:rPr>
          <w:rFonts w:ascii="Verdana" w:hAnsi="Verdana" w:cs="Dcr10"/>
          <w:sz w:val="24"/>
          <w:szCs w:val="24"/>
          <w:lang w:val="en-GB" w:eastAsia="es-ES"/>
        </w:rPr>
        <w:t>,</w:t>
      </w:r>
      <w:r w:rsidRPr="002353FE">
        <w:rPr>
          <w:rFonts w:ascii="Verdana" w:hAnsi="Verdana" w:cs="Dcr10"/>
          <w:sz w:val="24"/>
          <w:szCs w:val="24"/>
          <w:lang w:val="en-GB" w:eastAsia="es-ES"/>
        </w:rPr>
        <w:t xml:space="preserve"> 2014; Miller </w:t>
      </w:r>
      <w:r w:rsidRPr="002353FE">
        <w:rPr>
          <w:rFonts w:ascii="Verdana" w:hAnsi="Verdana" w:cs="Dcr10"/>
          <w:i/>
          <w:iCs/>
          <w:sz w:val="24"/>
          <w:szCs w:val="24"/>
          <w:lang w:val="en-GB" w:eastAsia="es-ES"/>
        </w:rPr>
        <w:t>et al</w:t>
      </w:r>
      <w:r w:rsidR="005F27D6" w:rsidRPr="002353FE">
        <w:rPr>
          <w:rFonts w:ascii="Verdana" w:hAnsi="Verdana" w:cs="Dcr10"/>
          <w:sz w:val="24"/>
          <w:szCs w:val="24"/>
          <w:lang w:val="en-GB" w:eastAsia="es-ES"/>
        </w:rPr>
        <w:t>.,</w:t>
      </w:r>
      <w:r w:rsidRPr="002353FE">
        <w:rPr>
          <w:rFonts w:ascii="Verdana" w:hAnsi="Verdana" w:cs="Dcr10"/>
          <w:sz w:val="24"/>
          <w:szCs w:val="24"/>
          <w:lang w:val="en-GB" w:eastAsia="es-ES"/>
        </w:rPr>
        <w:t xml:space="preserve"> 2015</w:t>
      </w:r>
      <w:r w:rsidRPr="002353FE">
        <w:rPr>
          <w:rFonts w:ascii="Verdana" w:hAnsi="Verdana" w:cs="Tahoma"/>
          <w:sz w:val="24"/>
          <w:szCs w:val="24"/>
          <w:lang w:val="en-GB"/>
        </w:rPr>
        <w:t>)</w:t>
      </w:r>
      <w:r w:rsidR="006437BB" w:rsidRPr="002353FE">
        <w:rPr>
          <w:rFonts w:ascii="Verdana" w:hAnsi="Verdana" w:cs="Tahoma"/>
          <w:sz w:val="24"/>
          <w:szCs w:val="24"/>
          <w:lang w:val="en-GB"/>
        </w:rPr>
        <w:t xml:space="preserve">. </w:t>
      </w:r>
    </w:p>
    <w:p w14:paraId="1BE057CC" w14:textId="2172F761" w:rsidR="001A43A6" w:rsidRPr="002353FE" w:rsidRDefault="0099725E" w:rsidP="0031695B">
      <w:pPr>
        <w:autoSpaceDE w:val="0"/>
        <w:autoSpaceDN w:val="0"/>
        <w:adjustRightInd w:val="0"/>
        <w:spacing w:before="240" w:line="480" w:lineRule="auto"/>
        <w:jc w:val="both"/>
        <w:rPr>
          <w:rFonts w:ascii="Verdana" w:hAnsi="Verdana" w:cs="Tahoma"/>
          <w:sz w:val="24"/>
          <w:szCs w:val="24"/>
          <w:lang w:val="en-GB"/>
        </w:rPr>
      </w:pPr>
      <w:r w:rsidRPr="002353FE">
        <w:rPr>
          <w:rFonts w:ascii="Verdana" w:hAnsi="Verdana" w:cs="Tahoma"/>
          <w:sz w:val="24"/>
          <w:szCs w:val="24"/>
          <w:lang w:val="en-GB"/>
        </w:rPr>
        <w:t>The paper is structured as follows. After this introduction,</w:t>
      </w:r>
      <w:r w:rsidR="0071623F" w:rsidRPr="002353FE">
        <w:rPr>
          <w:rFonts w:ascii="Verdana" w:hAnsi="Verdana" w:cs="Tahoma"/>
          <w:sz w:val="24"/>
          <w:szCs w:val="24"/>
          <w:lang w:val="en-GB"/>
        </w:rPr>
        <w:t xml:space="preserve"> </w:t>
      </w:r>
      <w:r w:rsidR="00BE220A" w:rsidRPr="002353FE">
        <w:rPr>
          <w:rFonts w:ascii="Verdana" w:hAnsi="Verdana" w:cs="Tahoma"/>
          <w:sz w:val="24"/>
          <w:szCs w:val="24"/>
          <w:lang w:val="en-GB"/>
        </w:rPr>
        <w:t xml:space="preserve">the determinants of </w:t>
      </w:r>
      <w:r w:rsidRPr="002353FE">
        <w:rPr>
          <w:rFonts w:ascii="Verdana" w:hAnsi="Verdana" w:cs="Tahoma"/>
          <w:sz w:val="24"/>
          <w:szCs w:val="24"/>
          <w:lang w:val="en-GB"/>
        </w:rPr>
        <w:t>switching</w:t>
      </w:r>
      <w:r w:rsidR="0071623F" w:rsidRPr="002353FE">
        <w:rPr>
          <w:rFonts w:ascii="Verdana" w:hAnsi="Verdana" w:cs="Tahoma"/>
          <w:sz w:val="24"/>
          <w:szCs w:val="24"/>
          <w:lang w:val="en-GB"/>
        </w:rPr>
        <w:t xml:space="preserve"> </w:t>
      </w:r>
      <w:r w:rsidRPr="002353FE">
        <w:rPr>
          <w:rFonts w:ascii="Verdana" w:hAnsi="Verdana" w:cs="Tahoma"/>
          <w:sz w:val="24"/>
          <w:szCs w:val="24"/>
          <w:lang w:val="en-GB"/>
        </w:rPr>
        <w:t>in the banking sector</w:t>
      </w:r>
      <w:r w:rsidR="0071623F" w:rsidRPr="002353FE">
        <w:rPr>
          <w:rFonts w:ascii="Verdana" w:hAnsi="Verdana" w:cs="Tahoma"/>
          <w:sz w:val="24"/>
          <w:szCs w:val="24"/>
          <w:lang w:val="en-GB"/>
        </w:rPr>
        <w:t xml:space="preserve"> </w:t>
      </w:r>
      <w:r w:rsidR="00C160DF" w:rsidRPr="002353FE">
        <w:rPr>
          <w:rFonts w:ascii="Verdana" w:hAnsi="Verdana" w:cs="Tahoma"/>
          <w:sz w:val="24"/>
          <w:szCs w:val="24"/>
          <w:lang w:val="en-GB"/>
        </w:rPr>
        <w:t xml:space="preserve">are </w:t>
      </w:r>
      <w:r w:rsidR="0008609B" w:rsidRPr="002353FE">
        <w:rPr>
          <w:rFonts w:ascii="Verdana" w:hAnsi="Verdana" w:cs="Tahoma"/>
          <w:sz w:val="24"/>
          <w:szCs w:val="24"/>
          <w:lang w:val="en-GB"/>
        </w:rPr>
        <w:t>described</w:t>
      </w:r>
      <w:r w:rsidRPr="002353FE">
        <w:rPr>
          <w:rFonts w:ascii="Verdana" w:hAnsi="Verdana" w:cs="Tahoma"/>
          <w:sz w:val="24"/>
          <w:szCs w:val="24"/>
          <w:lang w:val="en-GB"/>
        </w:rPr>
        <w:t xml:space="preserve">. The third section presents the data and </w:t>
      </w:r>
      <w:r w:rsidR="002A691C" w:rsidRPr="002353FE">
        <w:rPr>
          <w:rFonts w:ascii="Verdana" w:hAnsi="Verdana" w:cs="Tahoma"/>
          <w:sz w:val="24"/>
          <w:szCs w:val="24"/>
          <w:lang w:val="en-GB"/>
        </w:rPr>
        <w:t xml:space="preserve">the </w:t>
      </w:r>
      <w:r w:rsidRPr="002353FE">
        <w:rPr>
          <w:rFonts w:ascii="Verdana" w:hAnsi="Verdana" w:cs="Tahoma"/>
          <w:sz w:val="24"/>
          <w:szCs w:val="24"/>
          <w:lang w:val="en-GB"/>
        </w:rPr>
        <w:t>empirical approach</w:t>
      </w:r>
      <w:r w:rsidR="0071623F" w:rsidRPr="002353FE">
        <w:rPr>
          <w:rFonts w:ascii="Verdana" w:hAnsi="Verdana" w:cs="Tahoma"/>
          <w:sz w:val="24"/>
          <w:szCs w:val="24"/>
          <w:lang w:val="en-GB"/>
        </w:rPr>
        <w:t xml:space="preserve"> employed</w:t>
      </w:r>
      <w:r w:rsidRPr="002353FE">
        <w:rPr>
          <w:rFonts w:ascii="Verdana" w:hAnsi="Verdana" w:cs="Tahoma"/>
          <w:sz w:val="24"/>
          <w:szCs w:val="24"/>
          <w:lang w:val="en-GB"/>
        </w:rPr>
        <w:t xml:space="preserve">. The fourth section </w:t>
      </w:r>
      <w:r w:rsidR="0071623F" w:rsidRPr="002353FE">
        <w:rPr>
          <w:rFonts w:ascii="Verdana" w:hAnsi="Verdana" w:cs="Tahoma"/>
          <w:sz w:val="24"/>
          <w:szCs w:val="24"/>
          <w:lang w:val="en-GB"/>
        </w:rPr>
        <w:t>reports</w:t>
      </w:r>
      <w:r w:rsidRPr="002353FE">
        <w:rPr>
          <w:rFonts w:ascii="Verdana" w:hAnsi="Verdana" w:cs="Tahoma"/>
          <w:sz w:val="24"/>
          <w:szCs w:val="24"/>
          <w:lang w:val="en-GB"/>
        </w:rPr>
        <w:t xml:space="preserve"> the results</w:t>
      </w:r>
      <w:r w:rsidR="0008609B" w:rsidRPr="002353FE">
        <w:rPr>
          <w:rFonts w:ascii="Verdana" w:hAnsi="Verdana" w:cs="Tahoma"/>
          <w:sz w:val="24"/>
          <w:szCs w:val="24"/>
          <w:lang w:val="en-GB"/>
        </w:rPr>
        <w:t>. T</w:t>
      </w:r>
      <w:r w:rsidR="0071623F" w:rsidRPr="002353FE">
        <w:rPr>
          <w:rFonts w:ascii="Verdana" w:hAnsi="Verdana" w:cs="Tahoma"/>
          <w:sz w:val="24"/>
          <w:szCs w:val="24"/>
          <w:lang w:val="en-GB"/>
        </w:rPr>
        <w:t>h</w:t>
      </w:r>
      <w:r w:rsidRPr="002353FE">
        <w:rPr>
          <w:rFonts w:ascii="Verdana" w:hAnsi="Verdana" w:cs="Tahoma"/>
          <w:sz w:val="24"/>
          <w:szCs w:val="24"/>
          <w:lang w:val="en-GB"/>
        </w:rPr>
        <w:t xml:space="preserve">e fifth section </w:t>
      </w:r>
      <w:r w:rsidR="004E06F8" w:rsidRPr="002353FE">
        <w:rPr>
          <w:rFonts w:ascii="Verdana" w:hAnsi="Verdana" w:cs="Tahoma"/>
          <w:sz w:val="24"/>
          <w:szCs w:val="24"/>
          <w:lang w:val="en-GB"/>
        </w:rPr>
        <w:t>provides a discussion of the results</w:t>
      </w:r>
      <w:r w:rsidR="002B031E" w:rsidRPr="002353FE">
        <w:rPr>
          <w:rFonts w:ascii="Verdana" w:hAnsi="Verdana" w:cs="Tahoma"/>
          <w:sz w:val="24"/>
          <w:szCs w:val="24"/>
          <w:lang w:val="en-GB"/>
        </w:rPr>
        <w:t xml:space="preserve"> </w:t>
      </w:r>
      <w:r w:rsidR="004E06F8" w:rsidRPr="002353FE">
        <w:rPr>
          <w:rFonts w:ascii="Verdana" w:hAnsi="Verdana" w:cs="Tahoma"/>
          <w:sz w:val="24"/>
          <w:szCs w:val="24"/>
          <w:lang w:val="en-GB"/>
        </w:rPr>
        <w:t xml:space="preserve">and </w:t>
      </w:r>
      <w:r w:rsidR="002B031E" w:rsidRPr="002353FE">
        <w:rPr>
          <w:rFonts w:ascii="Verdana" w:hAnsi="Verdana" w:cs="Tahoma"/>
          <w:sz w:val="24"/>
          <w:szCs w:val="24"/>
          <w:lang w:val="en-GB"/>
        </w:rPr>
        <w:t xml:space="preserve">section six </w:t>
      </w:r>
      <w:r w:rsidRPr="002353FE">
        <w:rPr>
          <w:rFonts w:ascii="Verdana" w:hAnsi="Verdana" w:cs="Tahoma"/>
          <w:sz w:val="24"/>
          <w:szCs w:val="24"/>
          <w:lang w:val="en-GB"/>
        </w:rPr>
        <w:t>concludes</w:t>
      </w:r>
      <w:r w:rsidR="0071623F" w:rsidRPr="002353FE">
        <w:rPr>
          <w:rFonts w:ascii="Verdana" w:hAnsi="Verdana" w:cs="Tahoma"/>
          <w:sz w:val="24"/>
          <w:szCs w:val="24"/>
          <w:lang w:val="en-GB"/>
        </w:rPr>
        <w:t xml:space="preserve"> and provides policy </w:t>
      </w:r>
      <w:r w:rsidR="00F722D3" w:rsidRPr="002353FE">
        <w:rPr>
          <w:rFonts w:ascii="Verdana" w:hAnsi="Verdana" w:cs="Tahoma"/>
          <w:sz w:val="24"/>
          <w:szCs w:val="24"/>
          <w:lang w:val="en-GB"/>
        </w:rPr>
        <w:t>recommendations</w:t>
      </w:r>
      <w:r w:rsidRPr="002353FE">
        <w:rPr>
          <w:rFonts w:ascii="Verdana" w:hAnsi="Verdana" w:cs="Tahoma"/>
          <w:sz w:val="24"/>
          <w:szCs w:val="24"/>
          <w:lang w:val="en-GB"/>
        </w:rPr>
        <w:t>.</w:t>
      </w:r>
    </w:p>
    <w:p w14:paraId="7152FB39" w14:textId="77777777" w:rsidR="008035F6" w:rsidRPr="002353FE" w:rsidRDefault="008035F6" w:rsidP="0031695B">
      <w:pPr>
        <w:autoSpaceDE w:val="0"/>
        <w:autoSpaceDN w:val="0"/>
        <w:adjustRightInd w:val="0"/>
        <w:spacing w:before="240" w:line="480" w:lineRule="auto"/>
        <w:jc w:val="both"/>
        <w:rPr>
          <w:rFonts w:ascii="Verdana" w:hAnsi="Verdana" w:cs="Tahoma"/>
          <w:sz w:val="24"/>
          <w:szCs w:val="24"/>
          <w:lang w:val="en-GB"/>
        </w:rPr>
      </w:pPr>
    </w:p>
    <w:p w14:paraId="6A6E69A6" w14:textId="1D9599CC" w:rsidR="00DE608D" w:rsidRPr="002353FE" w:rsidRDefault="008F2412" w:rsidP="0031695B">
      <w:pPr>
        <w:pStyle w:val="ListParagraph"/>
        <w:numPr>
          <w:ilvl w:val="0"/>
          <w:numId w:val="24"/>
        </w:numPr>
        <w:autoSpaceDE w:val="0"/>
        <w:autoSpaceDN w:val="0"/>
        <w:adjustRightInd w:val="0"/>
        <w:spacing w:before="240" w:line="480" w:lineRule="auto"/>
        <w:jc w:val="both"/>
        <w:rPr>
          <w:rFonts w:ascii="Verdana" w:eastAsiaTheme="minorHAnsi" w:hAnsi="Verdana" w:cstheme="majorBidi"/>
          <w:b/>
          <w:sz w:val="28"/>
          <w:szCs w:val="24"/>
          <w:lang w:val="en-GB"/>
        </w:rPr>
      </w:pPr>
      <w:r w:rsidRPr="002353FE">
        <w:rPr>
          <w:rFonts w:ascii="Verdana" w:eastAsiaTheme="minorHAnsi" w:hAnsi="Verdana" w:cstheme="majorBidi"/>
          <w:b/>
          <w:sz w:val="28"/>
          <w:szCs w:val="24"/>
          <w:lang w:val="en-GB"/>
        </w:rPr>
        <w:t xml:space="preserve"> </w:t>
      </w:r>
      <w:r w:rsidR="007A0160" w:rsidRPr="002353FE">
        <w:rPr>
          <w:rFonts w:ascii="Verdana" w:eastAsiaTheme="minorHAnsi" w:hAnsi="Verdana" w:cstheme="majorBidi"/>
          <w:b/>
          <w:sz w:val="28"/>
          <w:szCs w:val="24"/>
          <w:lang w:val="en-GB"/>
        </w:rPr>
        <w:t xml:space="preserve">Bank switching and vulnerable customers: A </w:t>
      </w:r>
      <w:r w:rsidR="00DE608D" w:rsidRPr="002353FE">
        <w:rPr>
          <w:rFonts w:ascii="Verdana" w:eastAsiaTheme="minorHAnsi" w:hAnsi="Verdana" w:cstheme="majorBidi"/>
          <w:b/>
          <w:sz w:val="28"/>
          <w:szCs w:val="24"/>
          <w:lang w:val="en-GB"/>
        </w:rPr>
        <w:t>review</w:t>
      </w:r>
      <w:r w:rsidR="000402A2" w:rsidRPr="002353FE">
        <w:rPr>
          <w:rFonts w:ascii="Verdana" w:eastAsiaTheme="minorHAnsi" w:hAnsi="Verdana" w:cstheme="majorBidi"/>
          <w:b/>
          <w:sz w:val="28"/>
          <w:szCs w:val="24"/>
          <w:lang w:val="en-GB"/>
        </w:rPr>
        <w:t>.</w:t>
      </w:r>
      <w:r w:rsidR="00DE608D" w:rsidRPr="002353FE">
        <w:rPr>
          <w:rFonts w:ascii="Verdana" w:eastAsiaTheme="minorHAnsi" w:hAnsi="Verdana" w:cstheme="majorBidi"/>
          <w:b/>
          <w:sz w:val="28"/>
          <w:szCs w:val="24"/>
          <w:lang w:val="en-GB"/>
        </w:rPr>
        <w:t xml:space="preserve"> </w:t>
      </w:r>
    </w:p>
    <w:p w14:paraId="5B574A33" w14:textId="1AC1E691" w:rsidR="00895F94" w:rsidRPr="002353FE" w:rsidRDefault="00592938" w:rsidP="0031695B">
      <w:pPr>
        <w:autoSpaceDE w:val="0"/>
        <w:autoSpaceDN w:val="0"/>
        <w:adjustRightInd w:val="0"/>
        <w:spacing w:line="480" w:lineRule="auto"/>
        <w:jc w:val="both"/>
        <w:rPr>
          <w:rFonts w:ascii="Verdana" w:eastAsiaTheme="minorHAnsi" w:hAnsi="Verdana" w:cstheme="majorBidi"/>
          <w:sz w:val="24"/>
          <w:szCs w:val="24"/>
          <w:lang w:val="en-GB"/>
        </w:rPr>
      </w:pPr>
      <w:r w:rsidRPr="002353FE">
        <w:rPr>
          <w:rFonts w:ascii="Verdana" w:eastAsiaTheme="minorHAnsi" w:hAnsi="Verdana" w:cstheme="majorBidi"/>
          <w:sz w:val="24"/>
          <w:szCs w:val="24"/>
          <w:lang w:val="en-GB"/>
        </w:rPr>
        <w:t>T</w:t>
      </w:r>
      <w:r w:rsidR="00DE608D" w:rsidRPr="002353FE">
        <w:rPr>
          <w:rFonts w:ascii="Verdana" w:eastAsiaTheme="minorHAnsi" w:hAnsi="Verdana" w:cstheme="majorBidi"/>
          <w:sz w:val="24"/>
          <w:szCs w:val="24"/>
          <w:lang w:val="en-GB"/>
        </w:rPr>
        <w:t>he lit</w:t>
      </w:r>
      <w:r w:rsidR="00282873" w:rsidRPr="002353FE">
        <w:rPr>
          <w:rFonts w:ascii="Verdana" w:eastAsiaTheme="minorHAnsi" w:hAnsi="Verdana" w:cstheme="majorBidi"/>
          <w:sz w:val="24"/>
          <w:szCs w:val="24"/>
          <w:lang w:val="en-GB"/>
        </w:rPr>
        <w:t>er</w:t>
      </w:r>
      <w:r w:rsidR="00DE608D" w:rsidRPr="002353FE">
        <w:rPr>
          <w:rFonts w:ascii="Verdana" w:eastAsiaTheme="minorHAnsi" w:hAnsi="Verdana" w:cstheme="majorBidi"/>
          <w:sz w:val="24"/>
          <w:szCs w:val="24"/>
          <w:lang w:val="en-GB"/>
        </w:rPr>
        <w:t>a</w:t>
      </w:r>
      <w:r w:rsidR="00282873" w:rsidRPr="002353FE">
        <w:rPr>
          <w:rFonts w:ascii="Verdana" w:eastAsiaTheme="minorHAnsi" w:hAnsi="Verdana" w:cstheme="majorBidi"/>
          <w:sz w:val="24"/>
          <w:szCs w:val="24"/>
          <w:lang w:val="en-GB"/>
        </w:rPr>
        <w:t>t</w:t>
      </w:r>
      <w:r w:rsidR="00DE608D" w:rsidRPr="002353FE">
        <w:rPr>
          <w:rFonts w:ascii="Verdana" w:eastAsiaTheme="minorHAnsi" w:hAnsi="Verdana" w:cstheme="majorBidi"/>
          <w:sz w:val="24"/>
          <w:szCs w:val="24"/>
          <w:lang w:val="en-GB"/>
        </w:rPr>
        <w:t>ure examin</w:t>
      </w:r>
      <w:r w:rsidR="000D16BF" w:rsidRPr="002353FE">
        <w:rPr>
          <w:rFonts w:ascii="Verdana" w:eastAsiaTheme="minorHAnsi" w:hAnsi="Verdana" w:cstheme="majorBidi"/>
          <w:sz w:val="24"/>
          <w:szCs w:val="24"/>
          <w:lang w:val="en-GB"/>
        </w:rPr>
        <w:t>ing</w:t>
      </w:r>
      <w:r w:rsidR="00DE608D" w:rsidRPr="002353FE">
        <w:rPr>
          <w:rFonts w:ascii="Verdana" w:eastAsiaTheme="minorHAnsi" w:hAnsi="Verdana" w:cstheme="majorBidi"/>
          <w:sz w:val="24"/>
          <w:szCs w:val="24"/>
          <w:lang w:val="en-GB"/>
        </w:rPr>
        <w:t xml:space="preserve"> switching in banking markets has been influence</w:t>
      </w:r>
      <w:r w:rsidR="00282873" w:rsidRPr="002353FE">
        <w:rPr>
          <w:rFonts w:ascii="Verdana" w:eastAsiaTheme="minorHAnsi" w:hAnsi="Verdana" w:cstheme="majorBidi"/>
          <w:sz w:val="24"/>
          <w:szCs w:val="24"/>
          <w:lang w:val="en-GB"/>
        </w:rPr>
        <w:t>d</w:t>
      </w:r>
      <w:r w:rsidR="00DE608D" w:rsidRPr="002353FE">
        <w:rPr>
          <w:rFonts w:ascii="Verdana" w:eastAsiaTheme="minorHAnsi" w:hAnsi="Verdana" w:cstheme="majorBidi"/>
          <w:sz w:val="24"/>
          <w:szCs w:val="24"/>
          <w:lang w:val="en-GB"/>
        </w:rPr>
        <w:t xml:space="preserve"> by </w:t>
      </w:r>
      <w:r w:rsidRPr="002353FE">
        <w:rPr>
          <w:rFonts w:ascii="Verdana" w:eastAsiaTheme="minorHAnsi" w:hAnsi="Verdana" w:cstheme="majorBidi"/>
          <w:sz w:val="24"/>
          <w:szCs w:val="24"/>
          <w:lang w:val="en-GB"/>
        </w:rPr>
        <w:t xml:space="preserve">multiple </w:t>
      </w:r>
      <w:r w:rsidR="00DE608D" w:rsidRPr="002353FE">
        <w:rPr>
          <w:rFonts w:ascii="Verdana" w:eastAsiaTheme="minorHAnsi" w:hAnsi="Verdana" w:cstheme="majorBidi"/>
          <w:sz w:val="24"/>
          <w:szCs w:val="24"/>
          <w:lang w:val="en-GB"/>
        </w:rPr>
        <w:t xml:space="preserve">theoretical arguments and associated policy discussions </w:t>
      </w:r>
      <w:r w:rsidR="00EC5F2C" w:rsidRPr="002353FE">
        <w:rPr>
          <w:rFonts w:ascii="Verdana" w:eastAsiaTheme="minorHAnsi" w:hAnsi="Verdana" w:cstheme="majorBidi"/>
          <w:sz w:val="24"/>
          <w:szCs w:val="24"/>
          <w:lang w:val="en-GB"/>
        </w:rPr>
        <w:t xml:space="preserve">directed at increasing </w:t>
      </w:r>
      <w:r w:rsidR="00DE608D" w:rsidRPr="002353FE">
        <w:rPr>
          <w:rFonts w:ascii="Verdana" w:eastAsiaTheme="minorHAnsi" w:hAnsi="Verdana" w:cstheme="majorBidi"/>
          <w:sz w:val="24"/>
          <w:szCs w:val="24"/>
          <w:lang w:val="en-GB"/>
        </w:rPr>
        <w:t>consumer welfare</w:t>
      </w:r>
      <w:r w:rsidR="00C57FB3" w:rsidRPr="002353FE">
        <w:rPr>
          <w:rFonts w:ascii="Verdana" w:eastAsiaTheme="minorHAnsi" w:hAnsi="Verdana" w:cstheme="majorBidi"/>
          <w:sz w:val="24"/>
          <w:szCs w:val="24"/>
          <w:lang w:val="en-GB"/>
        </w:rPr>
        <w:t xml:space="preserve">, </w:t>
      </w:r>
      <w:r w:rsidR="008F1D57" w:rsidRPr="002353FE">
        <w:rPr>
          <w:rFonts w:ascii="Verdana" w:eastAsiaTheme="minorHAnsi" w:hAnsi="Verdana" w:cstheme="majorBidi"/>
          <w:sz w:val="24"/>
          <w:szCs w:val="24"/>
          <w:lang w:val="en-GB"/>
        </w:rPr>
        <w:t>market competition,</w:t>
      </w:r>
      <w:r w:rsidR="00624FB5" w:rsidRPr="002353FE">
        <w:rPr>
          <w:rFonts w:ascii="Verdana" w:eastAsiaTheme="minorHAnsi" w:hAnsi="Verdana" w:cstheme="majorBidi"/>
          <w:sz w:val="24"/>
          <w:szCs w:val="24"/>
          <w:lang w:val="en-GB"/>
        </w:rPr>
        <w:t xml:space="preserve"> and consumer comprehension</w:t>
      </w:r>
      <w:r w:rsidR="00DE608D" w:rsidRPr="002353FE">
        <w:rPr>
          <w:rFonts w:ascii="Verdana" w:eastAsiaTheme="minorHAnsi" w:hAnsi="Verdana" w:cstheme="majorBidi"/>
          <w:sz w:val="24"/>
          <w:szCs w:val="24"/>
          <w:lang w:val="en-GB"/>
        </w:rPr>
        <w:t>.</w:t>
      </w:r>
      <w:r w:rsidR="000E2838" w:rsidRPr="002353FE">
        <w:rPr>
          <w:rFonts w:ascii="Verdana" w:eastAsiaTheme="minorHAnsi" w:hAnsi="Verdana" w:cstheme="majorBidi"/>
          <w:sz w:val="24"/>
          <w:szCs w:val="24"/>
          <w:lang w:val="en-GB"/>
        </w:rPr>
        <w:t xml:space="preserve"> These </w:t>
      </w:r>
      <w:r w:rsidR="00BB6B29" w:rsidRPr="002353FE">
        <w:rPr>
          <w:rFonts w:ascii="Verdana" w:eastAsiaTheme="minorHAnsi" w:hAnsi="Verdana" w:cstheme="majorBidi"/>
          <w:sz w:val="24"/>
          <w:szCs w:val="24"/>
          <w:lang w:val="en-GB"/>
        </w:rPr>
        <w:t>theoretical approaches include churn theor</w:t>
      </w:r>
      <w:r w:rsidR="009434E4" w:rsidRPr="002353FE">
        <w:rPr>
          <w:rFonts w:ascii="Verdana" w:eastAsiaTheme="minorHAnsi" w:hAnsi="Verdana" w:cstheme="majorBidi"/>
          <w:sz w:val="24"/>
          <w:szCs w:val="24"/>
          <w:lang w:val="en-GB"/>
        </w:rPr>
        <w:t>y</w:t>
      </w:r>
      <w:r w:rsidR="00BB6B29" w:rsidRPr="002353FE">
        <w:rPr>
          <w:rFonts w:ascii="Verdana" w:eastAsiaTheme="minorHAnsi" w:hAnsi="Verdana" w:cstheme="majorBidi"/>
          <w:sz w:val="24"/>
          <w:szCs w:val="24"/>
          <w:lang w:val="en-GB"/>
        </w:rPr>
        <w:t xml:space="preserve">, financial ecologies and associated </w:t>
      </w:r>
      <w:r w:rsidR="006A237B" w:rsidRPr="002353FE">
        <w:rPr>
          <w:rFonts w:ascii="Verdana" w:eastAsiaTheme="minorHAnsi" w:hAnsi="Verdana" w:cstheme="majorBidi"/>
          <w:sz w:val="24"/>
          <w:szCs w:val="24"/>
          <w:lang w:val="en-GB"/>
        </w:rPr>
        <w:t xml:space="preserve">work </w:t>
      </w:r>
      <w:r w:rsidR="00BB6B29" w:rsidRPr="002353FE">
        <w:rPr>
          <w:rFonts w:ascii="Verdana" w:eastAsiaTheme="minorHAnsi" w:hAnsi="Verdana" w:cstheme="majorBidi"/>
          <w:sz w:val="24"/>
          <w:szCs w:val="24"/>
          <w:lang w:val="en-GB"/>
        </w:rPr>
        <w:t>examining co</w:t>
      </w:r>
      <w:r w:rsidR="006A237B" w:rsidRPr="002353FE">
        <w:rPr>
          <w:rFonts w:ascii="Verdana" w:eastAsiaTheme="minorHAnsi" w:hAnsi="Verdana" w:cstheme="majorBidi"/>
          <w:sz w:val="24"/>
          <w:szCs w:val="24"/>
          <w:lang w:val="en-GB"/>
        </w:rPr>
        <w:t>n</w:t>
      </w:r>
      <w:r w:rsidR="00BB6B29" w:rsidRPr="002353FE">
        <w:rPr>
          <w:rFonts w:ascii="Verdana" w:eastAsiaTheme="minorHAnsi" w:hAnsi="Verdana" w:cstheme="majorBidi"/>
          <w:sz w:val="24"/>
          <w:szCs w:val="24"/>
          <w:lang w:val="en-GB"/>
        </w:rPr>
        <w:t xml:space="preserve">sumer vulnerability </w:t>
      </w:r>
      <w:r w:rsidR="006A237B" w:rsidRPr="002353FE">
        <w:rPr>
          <w:rFonts w:ascii="Verdana" w:eastAsiaTheme="minorHAnsi" w:hAnsi="Verdana" w:cstheme="majorBidi"/>
          <w:sz w:val="24"/>
          <w:szCs w:val="24"/>
          <w:lang w:val="en-GB"/>
        </w:rPr>
        <w:t xml:space="preserve">within </w:t>
      </w:r>
      <w:r w:rsidR="00BB6B29" w:rsidRPr="002353FE">
        <w:rPr>
          <w:rFonts w:ascii="Verdana" w:eastAsiaTheme="minorHAnsi" w:hAnsi="Verdana" w:cstheme="majorBidi"/>
          <w:sz w:val="24"/>
          <w:szCs w:val="24"/>
          <w:lang w:val="en-GB"/>
        </w:rPr>
        <w:t xml:space="preserve">financial markets. These areas are considered in turn. </w:t>
      </w:r>
      <w:r w:rsidR="00DE608D" w:rsidRPr="002353FE">
        <w:rPr>
          <w:rFonts w:ascii="Verdana" w:eastAsiaTheme="minorHAnsi" w:hAnsi="Verdana" w:cstheme="majorBidi"/>
          <w:sz w:val="24"/>
          <w:szCs w:val="24"/>
          <w:lang w:val="en-GB"/>
        </w:rPr>
        <w:t xml:space="preserve"> </w:t>
      </w:r>
    </w:p>
    <w:p w14:paraId="7BDE1469" w14:textId="64E8B512" w:rsidR="008035F6" w:rsidRPr="002353FE" w:rsidRDefault="003D6D1E" w:rsidP="00E07AF8">
      <w:pPr>
        <w:spacing w:line="480" w:lineRule="auto"/>
        <w:jc w:val="both"/>
        <w:rPr>
          <w:rFonts w:ascii="Verdana" w:hAnsi="Verdana" w:cs="Tahoma"/>
          <w:sz w:val="24"/>
          <w:szCs w:val="24"/>
          <w:lang w:val="en-GB"/>
        </w:rPr>
      </w:pPr>
      <w:r w:rsidRPr="001E7395">
        <w:rPr>
          <w:rFonts w:ascii="Verdana" w:hAnsi="Verdana" w:cs="Tahoma"/>
          <w:sz w:val="24"/>
          <w:szCs w:val="24"/>
          <w:lang w:val="en-GB"/>
        </w:rPr>
        <w:t>B</w:t>
      </w:r>
      <w:r w:rsidR="008035F6" w:rsidRPr="001E7395">
        <w:rPr>
          <w:rFonts w:ascii="Verdana" w:hAnsi="Verdana" w:cs="Tahoma"/>
          <w:sz w:val="24"/>
          <w:szCs w:val="24"/>
          <w:lang w:val="en-GB"/>
        </w:rPr>
        <w:t xml:space="preserve">ank switching and </w:t>
      </w:r>
      <w:r w:rsidRPr="001E7395">
        <w:rPr>
          <w:rFonts w:ascii="Verdana" w:hAnsi="Verdana" w:cs="Tahoma"/>
          <w:sz w:val="24"/>
          <w:szCs w:val="24"/>
          <w:lang w:val="en-GB"/>
        </w:rPr>
        <w:t xml:space="preserve">the associated market churn of </w:t>
      </w:r>
      <w:r w:rsidR="008035F6" w:rsidRPr="001E7395">
        <w:rPr>
          <w:rFonts w:ascii="Verdana" w:hAnsi="Verdana" w:cs="Tahoma"/>
          <w:sz w:val="24"/>
          <w:szCs w:val="24"/>
          <w:lang w:val="en-GB"/>
        </w:rPr>
        <w:t>customer</w:t>
      </w:r>
      <w:r w:rsidRPr="001E7395">
        <w:rPr>
          <w:rFonts w:ascii="Verdana" w:hAnsi="Verdana" w:cs="Tahoma"/>
          <w:sz w:val="24"/>
          <w:szCs w:val="24"/>
          <w:lang w:val="en-GB"/>
        </w:rPr>
        <w:t>s ha</w:t>
      </w:r>
      <w:r w:rsidR="008035F6" w:rsidRPr="001E7395">
        <w:rPr>
          <w:rFonts w:ascii="Verdana" w:hAnsi="Verdana" w:cs="Tahoma"/>
          <w:sz w:val="24"/>
          <w:szCs w:val="24"/>
          <w:lang w:val="en-GB"/>
        </w:rPr>
        <w:t>s been the subject of repeated examination</w:t>
      </w:r>
      <w:r w:rsidRPr="001E7395">
        <w:rPr>
          <w:rFonts w:ascii="Verdana" w:hAnsi="Verdana" w:cs="Tahoma"/>
          <w:sz w:val="24"/>
          <w:szCs w:val="24"/>
          <w:lang w:val="en-GB"/>
        </w:rPr>
        <w:t xml:space="preserve"> with the marketing litera</w:t>
      </w:r>
      <w:r w:rsidR="00B342B4" w:rsidRPr="001E7395">
        <w:rPr>
          <w:rFonts w:ascii="Verdana" w:hAnsi="Verdana" w:cs="Tahoma"/>
          <w:sz w:val="24"/>
          <w:szCs w:val="24"/>
          <w:lang w:val="en-GB"/>
        </w:rPr>
        <w:t>t</w:t>
      </w:r>
      <w:r w:rsidRPr="001E7395">
        <w:rPr>
          <w:rFonts w:ascii="Verdana" w:hAnsi="Verdana" w:cs="Tahoma"/>
          <w:sz w:val="24"/>
          <w:szCs w:val="24"/>
          <w:lang w:val="en-GB"/>
        </w:rPr>
        <w:t xml:space="preserve">ure. Following </w:t>
      </w:r>
      <w:r w:rsidR="008035F6" w:rsidRPr="001E7395">
        <w:rPr>
          <w:rFonts w:ascii="Verdana" w:hAnsi="Verdana" w:cs="Tahoma"/>
          <w:sz w:val="24"/>
          <w:szCs w:val="24"/>
          <w:lang w:val="en-GB"/>
        </w:rPr>
        <w:t xml:space="preserve">Keaveney </w:t>
      </w:r>
      <w:r w:rsidRPr="001E7395">
        <w:rPr>
          <w:rFonts w:ascii="Verdana" w:hAnsi="Verdana" w:cs="Tahoma"/>
          <w:sz w:val="24"/>
          <w:szCs w:val="24"/>
          <w:lang w:val="en-GB"/>
        </w:rPr>
        <w:t>(</w:t>
      </w:r>
      <w:r w:rsidR="008035F6" w:rsidRPr="001E7395">
        <w:rPr>
          <w:rFonts w:ascii="Verdana" w:hAnsi="Verdana" w:cs="Tahoma"/>
          <w:sz w:val="24"/>
          <w:szCs w:val="24"/>
          <w:lang w:val="en-GB"/>
        </w:rPr>
        <w:t>1995</w:t>
      </w:r>
      <w:r w:rsidRPr="001E7395">
        <w:rPr>
          <w:rFonts w:ascii="Verdana" w:hAnsi="Verdana" w:cs="Tahoma"/>
          <w:sz w:val="24"/>
          <w:szCs w:val="24"/>
          <w:lang w:val="en-GB"/>
        </w:rPr>
        <w:t xml:space="preserve">), this </w:t>
      </w:r>
      <w:r w:rsidR="00A2048F" w:rsidRPr="001E7395">
        <w:rPr>
          <w:rFonts w:ascii="Verdana" w:hAnsi="Verdana" w:cs="Tahoma"/>
          <w:sz w:val="24"/>
          <w:szCs w:val="24"/>
          <w:lang w:val="en-GB"/>
        </w:rPr>
        <w:t xml:space="preserve">churn </w:t>
      </w:r>
      <w:r w:rsidRPr="001E7395">
        <w:rPr>
          <w:rFonts w:ascii="Verdana" w:hAnsi="Verdana" w:cs="Tahoma"/>
          <w:sz w:val="24"/>
          <w:szCs w:val="24"/>
          <w:lang w:val="en-GB"/>
        </w:rPr>
        <w:t>literatur</w:t>
      </w:r>
      <w:r w:rsidR="00B342B4" w:rsidRPr="001E7395">
        <w:rPr>
          <w:rFonts w:ascii="Verdana" w:hAnsi="Verdana" w:cs="Tahoma"/>
          <w:sz w:val="24"/>
          <w:szCs w:val="24"/>
          <w:lang w:val="en-GB"/>
        </w:rPr>
        <w:t>e</w:t>
      </w:r>
      <w:r w:rsidRPr="001E7395">
        <w:rPr>
          <w:rFonts w:ascii="Verdana" w:hAnsi="Verdana" w:cs="Tahoma"/>
          <w:sz w:val="24"/>
          <w:szCs w:val="24"/>
          <w:lang w:val="en-GB"/>
        </w:rPr>
        <w:t xml:space="preserve"> has examined </w:t>
      </w:r>
      <w:r w:rsidR="00A2048F" w:rsidRPr="001E7395">
        <w:rPr>
          <w:rFonts w:ascii="Verdana" w:hAnsi="Verdana" w:cs="Tahoma"/>
          <w:sz w:val="24"/>
          <w:szCs w:val="24"/>
          <w:lang w:val="en-GB"/>
        </w:rPr>
        <w:t xml:space="preserve">the </w:t>
      </w:r>
      <w:r w:rsidR="008035F6" w:rsidRPr="001E7395">
        <w:rPr>
          <w:rFonts w:ascii="Verdana" w:hAnsi="Verdana" w:cs="Tahoma"/>
          <w:sz w:val="24"/>
          <w:szCs w:val="24"/>
          <w:lang w:val="en-GB"/>
        </w:rPr>
        <w:t xml:space="preserve">multiple and often intertwined causal factors </w:t>
      </w:r>
      <w:r w:rsidRPr="001E7395">
        <w:rPr>
          <w:rFonts w:ascii="Verdana" w:hAnsi="Verdana" w:cs="Tahoma"/>
          <w:sz w:val="24"/>
          <w:szCs w:val="24"/>
          <w:lang w:val="en-GB"/>
        </w:rPr>
        <w:t>underlying the switching process</w:t>
      </w:r>
      <w:r w:rsidR="005477A1" w:rsidRPr="002353FE">
        <w:rPr>
          <w:rFonts w:ascii="Verdana" w:hAnsi="Verdana" w:cs="Tahoma"/>
          <w:sz w:val="24"/>
          <w:szCs w:val="24"/>
          <w:lang w:val="en-GB"/>
        </w:rPr>
        <w:t xml:space="preserve"> and why </w:t>
      </w:r>
      <w:r w:rsidR="005477A1" w:rsidRPr="002353FE">
        <w:rPr>
          <w:rFonts w:ascii="Verdana" w:hAnsi="Verdana" w:cs="Tahoma"/>
          <w:sz w:val="24"/>
          <w:szCs w:val="24"/>
          <w:lang w:val="en-GB"/>
        </w:rPr>
        <w:lastRenderedPageBreak/>
        <w:t>customers may choose to switch suppliers</w:t>
      </w:r>
      <w:r w:rsidRPr="001E7395">
        <w:rPr>
          <w:rFonts w:ascii="Verdana" w:hAnsi="Verdana" w:cs="Tahoma"/>
          <w:sz w:val="24"/>
          <w:szCs w:val="24"/>
          <w:lang w:val="en-GB"/>
        </w:rPr>
        <w:t xml:space="preserve">. These factors initially </w:t>
      </w:r>
      <w:r w:rsidR="008035F6" w:rsidRPr="001E7395">
        <w:rPr>
          <w:rFonts w:ascii="Verdana" w:hAnsi="Verdana" w:cs="Tahoma"/>
          <w:sz w:val="24"/>
          <w:szCs w:val="24"/>
          <w:lang w:val="en-GB"/>
        </w:rPr>
        <w:t>includ</w:t>
      </w:r>
      <w:r w:rsidR="005477A1" w:rsidRPr="002353FE">
        <w:rPr>
          <w:rFonts w:ascii="Verdana" w:hAnsi="Verdana" w:cs="Tahoma"/>
          <w:sz w:val="24"/>
          <w:szCs w:val="24"/>
          <w:lang w:val="en-GB"/>
        </w:rPr>
        <w:t>ed</w:t>
      </w:r>
      <w:r w:rsidR="008035F6" w:rsidRPr="001E7395">
        <w:rPr>
          <w:rFonts w:ascii="Verdana" w:hAnsi="Verdana" w:cs="Tahoma"/>
          <w:sz w:val="24"/>
          <w:szCs w:val="24"/>
          <w:lang w:val="en-GB"/>
        </w:rPr>
        <w:t xml:space="preserve"> pricing, inconvenience, </w:t>
      </w:r>
      <w:r w:rsidRPr="001E7395">
        <w:rPr>
          <w:rFonts w:ascii="Verdana" w:hAnsi="Verdana" w:cs="Tahoma"/>
          <w:sz w:val="24"/>
          <w:szCs w:val="24"/>
          <w:lang w:val="en-GB"/>
        </w:rPr>
        <w:t>s</w:t>
      </w:r>
      <w:r w:rsidR="008035F6" w:rsidRPr="001E7395">
        <w:rPr>
          <w:rFonts w:ascii="Verdana" w:hAnsi="Verdana" w:cs="Tahoma"/>
          <w:sz w:val="24"/>
          <w:szCs w:val="24"/>
          <w:lang w:val="en-GB"/>
        </w:rPr>
        <w:t>ervice failures and encounters, employees</w:t>
      </w:r>
      <w:r w:rsidR="00A2048F" w:rsidRPr="001E7395">
        <w:rPr>
          <w:rFonts w:ascii="Verdana" w:hAnsi="Verdana" w:cs="Tahoma"/>
          <w:sz w:val="24"/>
          <w:szCs w:val="24"/>
          <w:lang w:val="en-GB"/>
        </w:rPr>
        <w:t>’</w:t>
      </w:r>
      <w:r w:rsidR="008035F6" w:rsidRPr="001E7395">
        <w:rPr>
          <w:rFonts w:ascii="Verdana" w:hAnsi="Verdana" w:cs="Tahoma"/>
          <w:sz w:val="24"/>
          <w:szCs w:val="24"/>
          <w:lang w:val="en-GB"/>
        </w:rPr>
        <w:t xml:space="preserve"> responses, competitors</w:t>
      </w:r>
      <w:r w:rsidR="00A2048F" w:rsidRPr="001E7395">
        <w:rPr>
          <w:rFonts w:ascii="Verdana" w:hAnsi="Verdana" w:cs="Tahoma"/>
          <w:sz w:val="24"/>
          <w:szCs w:val="24"/>
          <w:lang w:val="en-GB"/>
        </w:rPr>
        <w:t>’</w:t>
      </w:r>
      <w:r w:rsidR="008035F6" w:rsidRPr="001E7395">
        <w:rPr>
          <w:rFonts w:ascii="Verdana" w:hAnsi="Verdana" w:cs="Tahoma"/>
          <w:sz w:val="24"/>
          <w:szCs w:val="24"/>
          <w:lang w:val="en-GB"/>
        </w:rPr>
        <w:t xml:space="preserve"> </w:t>
      </w:r>
      <w:r w:rsidR="00BB62D4" w:rsidRPr="002353FE">
        <w:rPr>
          <w:rFonts w:ascii="Verdana" w:hAnsi="Verdana" w:cs="Tahoma"/>
          <w:sz w:val="24"/>
          <w:szCs w:val="24"/>
          <w:lang w:val="en-GB"/>
        </w:rPr>
        <w:t>actions,</w:t>
      </w:r>
      <w:r w:rsidR="008035F6" w:rsidRPr="001E7395">
        <w:rPr>
          <w:rFonts w:ascii="Verdana" w:hAnsi="Verdana" w:cs="Tahoma"/>
          <w:sz w:val="24"/>
          <w:szCs w:val="24"/>
          <w:lang w:val="en-GB"/>
        </w:rPr>
        <w:t xml:space="preserve"> and ethical concerns</w:t>
      </w:r>
      <w:r w:rsidR="00A329DC" w:rsidRPr="001E7395">
        <w:rPr>
          <w:rFonts w:ascii="Verdana" w:hAnsi="Verdana" w:cs="Tahoma"/>
          <w:sz w:val="24"/>
          <w:szCs w:val="24"/>
          <w:lang w:val="en-GB"/>
        </w:rPr>
        <w:t>. Overtime this range of inf</w:t>
      </w:r>
      <w:r w:rsidR="00BF607F" w:rsidRPr="001E7395">
        <w:rPr>
          <w:rFonts w:ascii="Verdana" w:hAnsi="Verdana" w:cs="Tahoma"/>
          <w:sz w:val="24"/>
          <w:szCs w:val="24"/>
          <w:lang w:val="en-GB"/>
        </w:rPr>
        <w:t>l</w:t>
      </w:r>
      <w:r w:rsidR="00A329DC" w:rsidRPr="001E7395">
        <w:rPr>
          <w:rFonts w:ascii="Verdana" w:hAnsi="Verdana" w:cs="Tahoma"/>
          <w:sz w:val="24"/>
          <w:szCs w:val="24"/>
          <w:lang w:val="en-GB"/>
        </w:rPr>
        <w:t>ue</w:t>
      </w:r>
      <w:r w:rsidR="00BF607F" w:rsidRPr="001E7395">
        <w:rPr>
          <w:rFonts w:ascii="Verdana" w:hAnsi="Verdana" w:cs="Tahoma"/>
          <w:sz w:val="24"/>
          <w:szCs w:val="24"/>
          <w:lang w:val="en-GB"/>
        </w:rPr>
        <w:t>n</w:t>
      </w:r>
      <w:r w:rsidR="00A329DC" w:rsidRPr="001E7395">
        <w:rPr>
          <w:rFonts w:ascii="Verdana" w:hAnsi="Verdana" w:cs="Tahoma"/>
          <w:sz w:val="24"/>
          <w:szCs w:val="24"/>
          <w:lang w:val="en-GB"/>
        </w:rPr>
        <w:t>ces</w:t>
      </w:r>
      <w:r w:rsidR="00BB62D4" w:rsidRPr="002353FE">
        <w:rPr>
          <w:rFonts w:ascii="Verdana" w:hAnsi="Verdana" w:cs="Tahoma"/>
          <w:sz w:val="24"/>
          <w:szCs w:val="24"/>
          <w:lang w:val="en-GB"/>
        </w:rPr>
        <w:t xml:space="preserve"> </w:t>
      </w:r>
      <w:r w:rsidRPr="001E7395">
        <w:rPr>
          <w:rFonts w:ascii="Verdana" w:hAnsi="Verdana" w:cs="Tahoma"/>
          <w:sz w:val="24"/>
          <w:szCs w:val="24"/>
          <w:lang w:val="en-GB"/>
        </w:rPr>
        <w:t>ha</w:t>
      </w:r>
      <w:r w:rsidR="00A329DC" w:rsidRPr="001E7395">
        <w:rPr>
          <w:rFonts w:ascii="Verdana" w:hAnsi="Verdana" w:cs="Tahoma"/>
          <w:sz w:val="24"/>
          <w:szCs w:val="24"/>
          <w:lang w:val="en-GB"/>
        </w:rPr>
        <w:t>s</w:t>
      </w:r>
      <w:r w:rsidRPr="001E7395">
        <w:rPr>
          <w:rFonts w:ascii="Verdana" w:hAnsi="Verdana" w:cs="Tahoma"/>
          <w:sz w:val="24"/>
          <w:szCs w:val="24"/>
          <w:lang w:val="en-GB"/>
        </w:rPr>
        <w:t xml:space="preserve"> expanded</w:t>
      </w:r>
      <w:r w:rsidR="008035F6" w:rsidRPr="001E7395">
        <w:rPr>
          <w:rFonts w:ascii="Verdana" w:hAnsi="Verdana" w:cs="Tahoma"/>
          <w:sz w:val="24"/>
          <w:szCs w:val="24"/>
          <w:lang w:val="en-GB"/>
        </w:rPr>
        <w:t xml:space="preserve">. </w:t>
      </w:r>
      <w:r w:rsidR="00697E65" w:rsidRPr="001E7395">
        <w:rPr>
          <w:rFonts w:ascii="Verdana" w:hAnsi="Verdana" w:cs="Tahoma"/>
          <w:sz w:val="24"/>
          <w:szCs w:val="24"/>
          <w:lang w:val="en-GB"/>
        </w:rPr>
        <w:t>These developments have includ</w:t>
      </w:r>
      <w:r w:rsidR="00BB62D4" w:rsidRPr="002353FE">
        <w:rPr>
          <w:rFonts w:ascii="Verdana" w:hAnsi="Verdana" w:cs="Tahoma"/>
          <w:sz w:val="24"/>
          <w:szCs w:val="24"/>
          <w:lang w:val="en-GB"/>
        </w:rPr>
        <w:t>ed</w:t>
      </w:r>
      <w:r w:rsidR="00697E65" w:rsidRPr="001E7395">
        <w:rPr>
          <w:rFonts w:ascii="Verdana" w:hAnsi="Verdana" w:cs="Tahoma"/>
          <w:sz w:val="24"/>
          <w:szCs w:val="24"/>
          <w:lang w:val="en-GB"/>
        </w:rPr>
        <w:t xml:space="preserve"> identifying socio-economic </w:t>
      </w:r>
      <w:r w:rsidR="006646F1" w:rsidRPr="001E7395">
        <w:rPr>
          <w:rFonts w:ascii="Verdana" w:hAnsi="Verdana" w:cs="Tahoma"/>
          <w:sz w:val="24"/>
          <w:szCs w:val="24"/>
          <w:lang w:val="en-GB"/>
        </w:rPr>
        <w:t xml:space="preserve">and psychological </w:t>
      </w:r>
      <w:r w:rsidR="00697E65" w:rsidRPr="001E7395">
        <w:rPr>
          <w:rFonts w:ascii="Verdana" w:hAnsi="Verdana" w:cs="Tahoma"/>
          <w:sz w:val="24"/>
          <w:szCs w:val="24"/>
          <w:lang w:val="en-GB"/>
        </w:rPr>
        <w:t>factors</w:t>
      </w:r>
      <w:r w:rsidR="00BF607F" w:rsidRPr="001E7395">
        <w:rPr>
          <w:rFonts w:ascii="Verdana" w:hAnsi="Verdana" w:cs="Tahoma"/>
          <w:sz w:val="24"/>
          <w:szCs w:val="24"/>
          <w:lang w:val="en-GB"/>
        </w:rPr>
        <w:t xml:space="preserve"> </w:t>
      </w:r>
      <w:r w:rsidR="00697E65" w:rsidRPr="001E7395">
        <w:rPr>
          <w:rFonts w:ascii="Verdana" w:hAnsi="Verdana" w:cs="Tahoma"/>
          <w:sz w:val="24"/>
          <w:szCs w:val="24"/>
          <w:lang w:val="en-GB"/>
        </w:rPr>
        <w:t>associated with bank switching</w:t>
      </w:r>
      <w:r w:rsidR="005E2315" w:rsidRPr="001E7395">
        <w:rPr>
          <w:rFonts w:ascii="Verdana" w:hAnsi="Verdana" w:cs="Tahoma"/>
          <w:sz w:val="24"/>
          <w:szCs w:val="24"/>
          <w:lang w:val="en-GB"/>
        </w:rPr>
        <w:t xml:space="preserve">. These variables </w:t>
      </w:r>
      <w:r w:rsidR="004B49A9" w:rsidRPr="002353FE">
        <w:rPr>
          <w:rFonts w:ascii="Verdana" w:hAnsi="Verdana" w:cs="Tahoma"/>
          <w:sz w:val="24"/>
          <w:szCs w:val="24"/>
          <w:lang w:val="en-GB"/>
        </w:rPr>
        <w:t xml:space="preserve">have included </w:t>
      </w:r>
      <w:r w:rsidR="00697E65" w:rsidRPr="001E7395">
        <w:rPr>
          <w:rFonts w:ascii="Verdana" w:hAnsi="Verdana" w:cs="Tahoma"/>
          <w:sz w:val="24"/>
          <w:szCs w:val="24"/>
          <w:lang w:val="en-GB"/>
        </w:rPr>
        <w:t>age, education</w:t>
      </w:r>
      <w:r w:rsidR="00995C33" w:rsidRPr="002353FE">
        <w:rPr>
          <w:rFonts w:ascii="Verdana" w:hAnsi="Verdana" w:cs="Tahoma"/>
          <w:sz w:val="24"/>
          <w:szCs w:val="24"/>
          <w:lang w:val="en-GB"/>
        </w:rPr>
        <w:t xml:space="preserve">, </w:t>
      </w:r>
      <w:r w:rsidR="00697E65" w:rsidRPr="001E7395">
        <w:rPr>
          <w:rFonts w:ascii="Verdana" w:hAnsi="Verdana" w:cs="Tahoma"/>
          <w:sz w:val="24"/>
          <w:szCs w:val="24"/>
          <w:lang w:val="en-GB"/>
        </w:rPr>
        <w:t xml:space="preserve">place of residence, </w:t>
      </w:r>
      <w:r w:rsidR="00995C33" w:rsidRPr="002353FE">
        <w:rPr>
          <w:rFonts w:ascii="Verdana" w:hAnsi="Verdana" w:cs="Tahoma"/>
          <w:sz w:val="24"/>
          <w:szCs w:val="24"/>
          <w:lang w:val="en-GB"/>
        </w:rPr>
        <w:t xml:space="preserve">and the </w:t>
      </w:r>
      <w:r w:rsidR="00D627B4" w:rsidRPr="001E7395">
        <w:rPr>
          <w:rFonts w:ascii="Verdana" w:hAnsi="Verdana" w:cs="Tahoma"/>
          <w:sz w:val="24"/>
          <w:szCs w:val="24"/>
          <w:lang w:val="en-GB"/>
        </w:rPr>
        <w:t xml:space="preserve">often negative </w:t>
      </w:r>
      <w:r w:rsidR="00697E65" w:rsidRPr="001E7395">
        <w:rPr>
          <w:rFonts w:ascii="Verdana" w:hAnsi="Verdana" w:cs="Tahoma"/>
          <w:sz w:val="24"/>
          <w:szCs w:val="24"/>
          <w:lang w:val="en-GB"/>
        </w:rPr>
        <w:t>situational trig</w:t>
      </w:r>
      <w:r w:rsidR="000B3E34" w:rsidRPr="001E7395">
        <w:rPr>
          <w:rFonts w:ascii="Verdana" w:hAnsi="Verdana" w:cs="Tahoma"/>
          <w:sz w:val="24"/>
          <w:szCs w:val="24"/>
          <w:lang w:val="en-GB"/>
        </w:rPr>
        <w:t>g</w:t>
      </w:r>
      <w:r w:rsidR="00697E65" w:rsidRPr="001E7395">
        <w:rPr>
          <w:rFonts w:ascii="Verdana" w:hAnsi="Verdana" w:cs="Tahoma"/>
          <w:sz w:val="24"/>
          <w:szCs w:val="24"/>
          <w:lang w:val="en-GB"/>
        </w:rPr>
        <w:t>ers</w:t>
      </w:r>
      <w:r w:rsidR="000B3E34" w:rsidRPr="001E7395">
        <w:rPr>
          <w:rFonts w:ascii="Verdana" w:hAnsi="Verdana" w:cs="Tahoma"/>
          <w:sz w:val="24"/>
          <w:szCs w:val="24"/>
          <w:lang w:val="en-GB"/>
        </w:rPr>
        <w:t xml:space="preserve"> </w:t>
      </w:r>
      <w:r w:rsidR="00697E65" w:rsidRPr="001E7395">
        <w:rPr>
          <w:rFonts w:ascii="Verdana" w:hAnsi="Verdana" w:cs="Tahoma"/>
          <w:sz w:val="24"/>
          <w:szCs w:val="24"/>
          <w:lang w:val="en-GB"/>
        </w:rPr>
        <w:t>unique to each cust</w:t>
      </w:r>
      <w:r w:rsidR="00D627B4" w:rsidRPr="001E7395">
        <w:rPr>
          <w:rFonts w:ascii="Verdana" w:hAnsi="Verdana" w:cs="Tahoma"/>
          <w:sz w:val="24"/>
          <w:szCs w:val="24"/>
          <w:lang w:val="en-GB"/>
        </w:rPr>
        <w:t>o</w:t>
      </w:r>
      <w:r w:rsidR="00697E65" w:rsidRPr="001E7395">
        <w:rPr>
          <w:rFonts w:ascii="Verdana" w:hAnsi="Verdana" w:cs="Tahoma"/>
          <w:sz w:val="24"/>
          <w:szCs w:val="24"/>
          <w:lang w:val="en-GB"/>
        </w:rPr>
        <w:t xml:space="preserve">mer switching </w:t>
      </w:r>
      <w:r w:rsidR="00697E65" w:rsidRPr="001E7395">
        <w:rPr>
          <w:rFonts w:ascii="Verdana" w:hAnsi="Verdana" w:cs="Tahoma"/>
          <w:color w:val="000000" w:themeColor="text1"/>
          <w:sz w:val="24"/>
          <w:szCs w:val="24"/>
          <w:lang w:val="en-GB"/>
        </w:rPr>
        <w:t>decisi</w:t>
      </w:r>
      <w:r w:rsidR="00B342B4" w:rsidRPr="001E7395">
        <w:rPr>
          <w:rFonts w:ascii="Verdana" w:hAnsi="Verdana" w:cs="Tahoma"/>
          <w:color w:val="000000" w:themeColor="text1"/>
          <w:sz w:val="24"/>
          <w:szCs w:val="24"/>
          <w:lang w:val="en-GB"/>
        </w:rPr>
        <w:t>o</w:t>
      </w:r>
      <w:r w:rsidR="00697E65" w:rsidRPr="001E7395">
        <w:rPr>
          <w:rFonts w:ascii="Verdana" w:hAnsi="Verdana" w:cs="Tahoma"/>
          <w:color w:val="000000" w:themeColor="text1"/>
          <w:sz w:val="24"/>
          <w:szCs w:val="24"/>
          <w:lang w:val="en-GB"/>
        </w:rPr>
        <w:t>n (</w:t>
      </w:r>
      <w:r w:rsidR="008035F6" w:rsidRPr="001E7395">
        <w:rPr>
          <w:rFonts w:ascii="Verdana" w:hAnsi="Verdana" w:cs="Tahoma"/>
          <w:color w:val="000000" w:themeColor="text1"/>
          <w:sz w:val="24"/>
          <w:szCs w:val="24"/>
          <w:lang w:val="en-GB"/>
        </w:rPr>
        <w:t>Nga</w:t>
      </w:r>
      <w:r w:rsidR="00697E65" w:rsidRPr="001E7395">
        <w:rPr>
          <w:rFonts w:ascii="Verdana" w:hAnsi="Verdana" w:cs="Tahoma"/>
          <w:color w:val="000000" w:themeColor="text1"/>
          <w:sz w:val="24"/>
          <w:szCs w:val="24"/>
          <w:lang w:val="en-GB"/>
        </w:rPr>
        <w:t>u</w:t>
      </w:r>
      <w:r w:rsidR="008035F6" w:rsidRPr="001E7395">
        <w:rPr>
          <w:rFonts w:ascii="Verdana" w:hAnsi="Verdana" w:cs="Tahoma"/>
          <w:color w:val="000000" w:themeColor="text1"/>
          <w:sz w:val="24"/>
          <w:szCs w:val="24"/>
          <w:lang w:val="en-GB"/>
        </w:rPr>
        <w:t xml:space="preserve"> </w:t>
      </w:r>
      <w:r w:rsidR="008035F6" w:rsidRPr="001E7395">
        <w:rPr>
          <w:rFonts w:ascii="Verdana" w:hAnsi="Verdana" w:cs="Tahoma"/>
          <w:i/>
          <w:iCs/>
          <w:color w:val="000000" w:themeColor="text1"/>
          <w:sz w:val="24"/>
          <w:szCs w:val="24"/>
          <w:lang w:val="en-GB"/>
        </w:rPr>
        <w:t>et al</w:t>
      </w:r>
      <w:r w:rsidR="00B342B4" w:rsidRPr="001E7395">
        <w:rPr>
          <w:rFonts w:ascii="Verdana" w:hAnsi="Verdana" w:cs="Tahoma"/>
          <w:color w:val="000000" w:themeColor="text1"/>
          <w:sz w:val="24"/>
          <w:szCs w:val="24"/>
          <w:lang w:val="en-GB"/>
        </w:rPr>
        <w:t>.,</w:t>
      </w:r>
      <w:r w:rsidR="008035F6" w:rsidRPr="001E7395">
        <w:rPr>
          <w:rFonts w:ascii="Verdana" w:hAnsi="Verdana" w:cs="Tahoma"/>
          <w:color w:val="000000" w:themeColor="text1"/>
          <w:sz w:val="24"/>
          <w:szCs w:val="24"/>
          <w:lang w:val="en-GB"/>
        </w:rPr>
        <w:t xml:space="preserve"> 202</w:t>
      </w:r>
      <w:r w:rsidR="00697E65" w:rsidRPr="001E7395">
        <w:rPr>
          <w:rFonts w:ascii="Verdana" w:hAnsi="Verdana" w:cs="Tahoma"/>
          <w:color w:val="000000" w:themeColor="text1"/>
          <w:sz w:val="24"/>
          <w:szCs w:val="24"/>
          <w:lang w:val="en-GB"/>
        </w:rPr>
        <w:t xml:space="preserve">3). </w:t>
      </w:r>
      <w:r w:rsidR="008035F6" w:rsidRPr="001E7395">
        <w:rPr>
          <w:rFonts w:ascii="Verdana" w:hAnsi="Verdana" w:cs="Tahoma"/>
          <w:color w:val="000000" w:themeColor="text1"/>
          <w:sz w:val="24"/>
          <w:szCs w:val="24"/>
          <w:lang w:val="en-GB"/>
        </w:rPr>
        <w:t xml:space="preserve">Other </w:t>
      </w:r>
      <w:r w:rsidR="008035F6" w:rsidRPr="001E7395">
        <w:rPr>
          <w:rFonts w:ascii="Verdana" w:hAnsi="Verdana" w:cs="Tahoma"/>
          <w:sz w:val="24"/>
          <w:szCs w:val="24"/>
          <w:lang w:val="en-GB"/>
        </w:rPr>
        <w:t xml:space="preserve">contributions </w:t>
      </w:r>
      <w:r w:rsidR="00D627B4" w:rsidRPr="001E7395">
        <w:rPr>
          <w:rFonts w:ascii="Verdana" w:hAnsi="Verdana" w:cs="Tahoma"/>
          <w:sz w:val="24"/>
          <w:szCs w:val="24"/>
          <w:lang w:val="en-GB"/>
        </w:rPr>
        <w:t xml:space="preserve">have identified </w:t>
      </w:r>
      <w:r w:rsidR="008B4E69" w:rsidRPr="001E7395">
        <w:rPr>
          <w:rFonts w:ascii="Verdana" w:hAnsi="Verdana" w:cs="Tahoma"/>
          <w:sz w:val="24"/>
          <w:szCs w:val="24"/>
          <w:lang w:val="en-GB"/>
        </w:rPr>
        <w:t xml:space="preserve">psychological influences such as the consumer commitment or psychological attachment to supplier (Bansal </w:t>
      </w:r>
      <w:r w:rsidR="008B4E69" w:rsidRPr="001E7395">
        <w:rPr>
          <w:rFonts w:ascii="Verdana" w:hAnsi="Verdana" w:cs="Tahoma"/>
          <w:i/>
          <w:iCs/>
          <w:sz w:val="24"/>
          <w:szCs w:val="24"/>
          <w:lang w:val="en-GB"/>
        </w:rPr>
        <w:t>et al</w:t>
      </w:r>
      <w:r w:rsidR="0016183E" w:rsidRPr="001E7395">
        <w:rPr>
          <w:rFonts w:ascii="Verdana" w:hAnsi="Verdana" w:cs="Tahoma"/>
          <w:sz w:val="24"/>
          <w:szCs w:val="24"/>
          <w:lang w:val="en-GB"/>
        </w:rPr>
        <w:t>.,</w:t>
      </w:r>
      <w:r w:rsidR="008B4E69" w:rsidRPr="001E7395">
        <w:rPr>
          <w:rFonts w:ascii="Verdana" w:hAnsi="Verdana" w:cs="Tahoma"/>
          <w:sz w:val="24"/>
          <w:szCs w:val="24"/>
          <w:lang w:val="en-GB"/>
        </w:rPr>
        <w:t xml:space="preserve"> 2004), </w:t>
      </w:r>
      <w:r w:rsidR="00F9474B" w:rsidRPr="001E7395">
        <w:rPr>
          <w:rFonts w:ascii="Verdana" w:hAnsi="Verdana" w:cs="Tahoma"/>
          <w:sz w:val="24"/>
          <w:szCs w:val="24"/>
          <w:lang w:val="en-GB"/>
        </w:rPr>
        <w:t>the relationship bonding strategies adopted by firms (</w:t>
      </w:r>
      <w:r w:rsidR="00F9474B" w:rsidRPr="001E7395">
        <w:rPr>
          <w:rFonts w:ascii="Verdana" w:hAnsi="Verdana" w:cs="AdvTT5843c571"/>
          <w:sz w:val="24"/>
          <w:szCs w:val="24"/>
          <w:lang w:val="en-GB"/>
        </w:rPr>
        <w:t xml:space="preserve">Chiua </w:t>
      </w:r>
      <w:r w:rsidR="00F9474B" w:rsidRPr="001E7395">
        <w:rPr>
          <w:rFonts w:ascii="Verdana" w:hAnsi="Verdana" w:cs="AdvTT5843c571"/>
          <w:i/>
          <w:iCs/>
          <w:sz w:val="24"/>
          <w:szCs w:val="24"/>
          <w:lang w:val="en-GB"/>
        </w:rPr>
        <w:t>et al.,</w:t>
      </w:r>
      <w:r w:rsidR="00F9474B" w:rsidRPr="001E7395">
        <w:rPr>
          <w:rFonts w:ascii="Verdana" w:hAnsi="Verdana" w:cs="AdvTT5843c571"/>
          <w:sz w:val="24"/>
          <w:szCs w:val="24"/>
          <w:lang w:val="en-GB"/>
        </w:rPr>
        <w:t xml:space="preserve"> 2005</w:t>
      </w:r>
      <w:r w:rsidR="00F9474B" w:rsidRPr="001E7395">
        <w:rPr>
          <w:rFonts w:ascii="Verdana" w:hAnsi="Verdana" w:cs="Tahoma"/>
          <w:sz w:val="24"/>
          <w:szCs w:val="24"/>
          <w:lang w:val="en-GB"/>
        </w:rPr>
        <w:t xml:space="preserve">), </w:t>
      </w:r>
      <w:r w:rsidR="00155FAB" w:rsidRPr="001E7395">
        <w:rPr>
          <w:rFonts w:ascii="Verdana" w:hAnsi="Verdana" w:cs="Tahoma"/>
          <w:sz w:val="24"/>
          <w:szCs w:val="24"/>
          <w:lang w:val="en-GB"/>
        </w:rPr>
        <w:t xml:space="preserve">and the potency of barriers limiting switching decisions (Colgate </w:t>
      </w:r>
      <w:r w:rsidR="00155FAB" w:rsidRPr="001E7395">
        <w:rPr>
          <w:rFonts w:ascii="Verdana" w:hAnsi="Verdana" w:cs="Tahoma"/>
          <w:i/>
          <w:iCs/>
          <w:sz w:val="24"/>
          <w:szCs w:val="24"/>
          <w:lang w:val="en-GB"/>
        </w:rPr>
        <w:t>et al</w:t>
      </w:r>
      <w:r w:rsidR="0016183E" w:rsidRPr="001E7395">
        <w:rPr>
          <w:rFonts w:ascii="Verdana" w:hAnsi="Verdana" w:cs="Tahoma"/>
          <w:sz w:val="24"/>
          <w:szCs w:val="24"/>
          <w:lang w:val="en-GB"/>
        </w:rPr>
        <w:t>.,</w:t>
      </w:r>
      <w:r w:rsidR="00155FAB" w:rsidRPr="001E7395">
        <w:rPr>
          <w:rFonts w:ascii="Verdana" w:hAnsi="Verdana" w:cs="Tahoma"/>
          <w:sz w:val="24"/>
          <w:szCs w:val="24"/>
          <w:lang w:val="en-GB"/>
        </w:rPr>
        <w:t xml:space="preserve"> 2001)</w:t>
      </w:r>
      <w:r w:rsidR="0016183E" w:rsidRPr="001E7395">
        <w:rPr>
          <w:rFonts w:ascii="Verdana" w:hAnsi="Verdana" w:cs="Tahoma"/>
          <w:sz w:val="24"/>
          <w:szCs w:val="24"/>
          <w:lang w:val="en-GB"/>
        </w:rPr>
        <w:t xml:space="preserve">. </w:t>
      </w:r>
      <w:r w:rsidR="00B8543A" w:rsidRPr="002353FE">
        <w:rPr>
          <w:rFonts w:ascii="Verdana" w:hAnsi="Verdana" w:cs="Tahoma"/>
          <w:sz w:val="24"/>
          <w:szCs w:val="24"/>
          <w:lang w:val="en-GB"/>
        </w:rPr>
        <w:t xml:space="preserve">Other work has </w:t>
      </w:r>
      <w:r w:rsidR="00066295" w:rsidRPr="002353FE">
        <w:rPr>
          <w:rFonts w:ascii="Verdana" w:hAnsi="Verdana" w:cs="Tahoma"/>
          <w:sz w:val="24"/>
          <w:szCs w:val="24"/>
          <w:lang w:val="en-GB"/>
        </w:rPr>
        <w:t xml:space="preserve">examined </w:t>
      </w:r>
      <w:r w:rsidR="00B370FA" w:rsidRPr="002353FE">
        <w:rPr>
          <w:rFonts w:ascii="Verdana" w:hAnsi="Verdana" w:cs="Tahoma"/>
          <w:sz w:val="24"/>
          <w:szCs w:val="24"/>
          <w:lang w:val="en-GB"/>
        </w:rPr>
        <w:t xml:space="preserve">how decisions to </w:t>
      </w:r>
      <w:r w:rsidR="00546D19" w:rsidRPr="002353FE">
        <w:rPr>
          <w:rFonts w:ascii="Verdana" w:hAnsi="Verdana" w:cs="Tahoma"/>
          <w:sz w:val="24"/>
          <w:szCs w:val="24"/>
          <w:lang w:val="en-GB"/>
        </w:rPr>
        <w:t>switch</w:t>
      </w:r>
      <w:r w:rsidR="00B370FA" w:rsidRPr="002353FE">
        <w:rPr>
          <w:rFonts w:ascii="Verdana" w:hAnsi="Verdana" w:cs="Tahoma"/>
          <w:sz w:val="24"/>
          <w:szCs w:val="24"/>
          <w:lang w:val="en-GB"/>
        </w:rPr>
        <w:t>,</w:t>
      </w:r>
      <w:r w:rsidR="00546D19" w:rsidRPr="002353FE">
        <w:rPr>
          <w:rFonts w:ascii="Verdana" w:hAnsi="Verdana" w:cs="Tahoma"/>
          <w:sz w:val="24"/>
          <w:szCs w:val="24"/>
          <w:lang w:val="en-GB"/>
        </w:rPr>
        <w:t xml:space="preserve"> or no</w:t>
      </w:r>
      <w:r w:rsidR="00B370FA" w:rsidRPr="002353FE">
        <w:rPr>
          <w:rFonts w:ascii="Verdana" w:hAnsi="Verdana" w:cs="Tahoma"/>
          <w:sz w:val="24"/>
          <w:szCs w:val="24"/>
          <w:lang w:val="en-GB"/>
        </w:rPr>
        <w:t>t</w:t>
      </w:r>
      <w:r w:rsidR="00546D19" w:rsidRPr="002353FE">
        <w:rPr>
          <w:rFonts w:ascii="Verdana" w:hAnsi="Verdana" w:cs="Tahoma"/>
          <w:sz w:val="24"/>
          <w:szCs w:val="24"/>
          <w:lang w:val="en-GB"/>
        </w:rPr>
        <w:t>-switch</w:t>
      </w:r>
      <w:r w:rsidR="00066295" w:rsidRPr="002353FE">
        <w:rPr>
          <w:rFonts w:ascii="Verdana" w:hAnsi="Verdana" w:cs="Tahoma"/>
          <w:sz w:val="24"/>
          <w:szCs w:val="24"/>
          <w:lang w:val="en-GB"/>
        </w:rPr>
        <w:t>,</w:t>
      </w:r>
      <w:r w:rsidR="00B370FA" w:rsidRPr="002353FE">
        <w:rPr>
          <w:rFonts w:ascii="Verdana" w:hAnsi="Verdana" w:cs="Tahoma"/>
          <w:sz w:val="24"/>
          <w:szCs w:val="24"/>
          <w:lang w:val="en-GB"/>
        </w:rPr>
        <w:t xml:space="preserve"> supplier var</w:t>
      </w:r>
      <w:r w:rsidR="00066295" w:rsidRPr="002353FE">
        <w:rPr>
          <w:rFonts w:ascii="Verdana" w:hAnsi="Verdana" w:cs="Tahoma"/>
          <w:sz w:val="24"/>
          <w:szCs w:val="24"/>
          <w:lang w:val="en-GB"/>
        </w:rPr>
        <w:t>ies</w:t>
      </w:r>
      <w:r w:rsidR="00546D19" w:rsidRPr="002353FE">
        <w:rPr>
          <w:rFonts w:ascii="Verdana" w:hAnsi="Verdana" w:cs="Tahoma"/>
          <w:sz w:val="24"/>
          <w:szCs w:val="24"/>
          <w:lang w:val="en-GB"/>
        </w:rPr>
        <w:t xml:space="preserve"> </w:t>
      </w:r>
      <w:r w:rsidR="00C16A59" w:rsidRPr="002353FE">
        <w:rPr>
          <w:rFonts w:ascii="Verdana" w:hAnsi="Verdana" w:cs="Tahoma"/>
          <w:sz w:val="24"/>
          <w:szCs w:val="24"/>
          <w:lang w:val="en-GB"/>
        </w:rPr>
        <w:t>(</w:t>
      </w:r>
      <w:r w:rsidR="00820142" w:rsidRPr="001E7395">
        <w:rPr>
          <w:rStyle w:val="nlmstring-name"/>
          <w:rFonts w:ascii="Verdana" w:hAnsi="Verdana"/>
          <w:sz w:val="24"/>
          <w:szCs w:val="24"/>
          <w:lang w:val="en-GB"/>
        </w:rPr>
        <w:t>Ganesh</w:t>
      </w:r>
      <w:r w:rsidR="00820142" w:rsidRPr="002353FE">
        <w:rPr>
          <w:rFonts w:ascii="Verdana" w:hAnsi="Verdana" w:cs="Tahoma"/>
          <w:sz w:val="24"/>
          <w:szCs w:val="24"/>
          <w:lang w:val="en-GB"/>
        </w:rPr>
        <w:t xml:space="preserve"> et al., 2000</w:t>
      </w:r>
      <w:r w:rsidR="00C16A59" w:rsidRPr="002353FE">
        <w:rPr>
          <w:rFonts w:ascii="Verdana" w:hAnsi="Verdana" w:cs="Tahoma"/>
          <w:sz w:val="24"/>
          <w:szCs w:val="24"/>
          <w:lang w:val="en-GB"/>
        </w:rPr>
        <w:t>)</w:t>
      </w:r>
      <w:r w:rsidR="00820142" w:rsidRPr="002353FE">
        <w:rPr>
          <w:rFonts w:ascii="Verdana" w:hAnsi="Verdana" w:cs="Tahoma"/>
          <w:sz w:val="24"/>
          <w:szCs w:val="24"/>
          <w:lang w:val="en-GB"/>
        </w:rPr>
        <w:t xml:space="preserve">, and the </w:t>
      </w:r>
      <w:r w:rsidR="00B26545" w:rsidRPr="002353FE">
        <w:rPr>
          <w:rFonts w:ascii="Verdana" w:hAnsi="Verdana" w:cs="Tahoma"/>
          <w:sz w:val="24"/>
          <w:szCs w:val="24"/>
          <w:lang w:val="en-GB"/>
        </w:rPr>
        <w:t xml:space="preserve">multitude of </w:t>
      </w:r>
      <w:r w:rsidR="005C35E2" w:rsidRPr="001E7395">
        <w:rPr>
          <w:rFonts w:ascii="Verdana" w:hAnsi="Verdana" w:cs="Tahoma"/>
          <w:sz w:val="24"/>
          <w:szCs w:val="24"/>
          <w:lang w:val="en-GB"/>
        </w:rPr>
        <w:t>events which may trigger</w:t>
      </w:r>
      <w:r w:rsidR="00D627B4" w:rsidRPr="001E7395">
        <w:rPr>
          <w:rFonts w:ascii="Verdana" w:hAnsi="Verdana" w:cs="Tahoma"/>
          <w:sz w:val="24"/>
          <w:szCs w:val="24"/>
          <w:lang w:val="en-GB"/>
        </w:rPr>
        <w:t xml:space="preserve"> switching decisions (</w:t>
      </w:r>
      <w:r w:rsidR="008035F6" w:rsidRPr="001E7395">
        <w:rPr>
          <w:rFonts w:ascii="Verdana" w:hAnsi="Verdana" w:cs="Tahoma"/>
          <w:sz w:val="24"/>
          <w:szCs w:val="24"/>
          <w:lang w:val="en-GB"/>
        </w:rPr>
        <w:t>Vyas and Raitani</w:t>
      </w:r>
      <w:r w:rsidR="00B342B4" w:rsidRPr="001E7395">
        <w:rPr>
          <w:rFonts w:ascii="Verdana" w:hAnsi="Verdana" w:cs="Tahoma"/>
          <w:sz w:val="24"/>
          <w:szCs w:val="24"/>
          <w:lang w:val="en-GB"/>
        </w:rPr>
        <w:t>,</w:t>
      </w:r>
      <w:r w:rsidR="008035F6" w:rsidRPr="001E7395">
        <w:rPr>
          <w:rFonts w:ascii="Verdana" w:hAnsi="Verdana" w:cs="Tahoma"/>
          <w:sz w:val="24"/>
          <w:szCs w:val="24"/>
          <w:lang w:val="en-GB"/>
        </w:rPr>
        <w:t xml:space="preserve"> 2014</w:t>
      </w:r>
      <w:r w:rsidR="00D627B4" w:rsidRPr="001E7395">
        <w:rPr>
          <w:rFonts w:ascii="Verdana" w:hAnsi="Verdana" w:cs="Tahoma"/>
          <w:sz w:val="24"/>
          <w:szCs w:val="24"/>
          <w:lang w:val="en-GB"/>
        </w:rPr>
        <w:t>)</w:t>
      </w:r>
      <w:r w:rsidR="00E07AF8" w:rsidRPr="002353FE">
        <w:rPr>
          <w:rFonts w:ascii="Verdana" w:hAnsi="Verdana" w:cs="Tahoma"/>
          <w:sz w:val="24"/>
          <w:szCs w:val="24"/>
          <w:lang w:val="en-GB"/>
        </w:rPr>
        <w:t xml:space="preserve">. More recent work has </w:t>
      </w:r>
      <w:r w:rsidR="00186718" w:rsidRPr="002353FE">
        <w:rPr>
          <w:rFonts w:ascii="Verdana" w:hAnsi="Verdana" w:cs="Tahoma"/>
          <w:sz w:val="24"/>
          <w:szCs w:val="24"/>
          <w:lang w:val="en-GB"/>
        </w:rPr>
        <w:t xml:space="preserve">identified the importance of </w:t>
      </w:r>
      <w:r w:rsidR="00D627B4" w:rsidRPr="001E7395">
        <w:rPr>
          <w:rFonts w:ascii="Verdana" w:hAnsi="Verdana" w:cs="Tahoma"/>
          <w:sz w:val="24"/>
          <w:szCs w:val="24"/>
          <w:lang w:val="en-GB"/>
        </w:rPr>
        <w:t>advertising (Martin and Mainelli</w:t>
      </w:r>
      <w:r w:rsidR="00B342B4" w:rsidRPr="001E7395">
        <w:rPr>
          <w:rFonts w:ascii="Verdana" w:hAnsi="Verdana" w:cs="Tahoma"/>
          <w:sz w:val="24"/>
          <w:szCs w:val="24"/>
          <w:lang w:val="en-GB"/>
        </w:rPr>
        <w:t>,</w:t>
      </w:r>
      <w:r w:rsidR="00D627B4" w:rsidRPr="001E7395">
        <w:rPr>
          <w:rFonts w:ascii="Verdana" w:hAnsi="Verdana" w:cs="Tahoma"/>
          <w:sz w:val="24"/>
          <w:szCs w:val="24"/>
          <w:lang w:val="en-GB"/>
        </w:rPr>
        <w:t xml:space="preserve"> 2003), branding (</w:t>
      </w:r>
      <w:r w:rsidR="00F9474B" w:rsidRPr="001E7395">
        <w:rPr>
          <w:rFonts w:ascii="Verdana" w:hAnsi="Verdana" w:cs="Helvetica"/>
          <w:sz w:val="24"/>
          <w:szCs w:val="24"/>
          <w:lang w:val="en-GB"/>
        </w:rPr>
        <w:t>Van Trijp</w:t>
      </w:r>
      <w:r w:rsidR="00F9474B" w:rsidRPr="001E7395">
        <w:rPr>
          <w:rFonts w:ascii="Verdana" w:hAnsi="Verdana" w:cs="AdvTT5843c571"/>
          <w:sz w:val="24"/>
          <w:szCs w:val="24"/>
          <w:lang w:val="en-GB"/>
        </w:rPr>
        <w:t xml:space="preserve"> </w:t>
      </w:r>
      <w:r w:rsidR="00F9474B" w:rsidRPr="001E7395">
        <w:rPr>
          <w:rFonts w:ascii="Verdana" w:hAnsi="Verdana" w:cs="AdvTT5843c571"/>
          <w:i/>
          <w:iCs/>
          <w:sz w:val="24"/>
          <w:szCs w:val="24"/>
          <w:lang w:val="en-GB"/>
        </w:rPr>
        <w:t>et al</w:t>
      </w:r>
      <w:r w:rsidR="00F9474B" w:rsidRPr="001E7395">
        <w:rPr>
          <w:rFonts w:ascii="Verdana" w:hAnsi="Verdana" w:cs="AdvTT5843c571"/>
          <w:sz w:val="24"/>
          <w:szCs w:val="24"/>
          <w:lang w:val="en-GB"/>
        </w:rPr>
        <w:t xml:space="preserve">., 1996; </w:t>
      </w:r>
      <w:r w:rsidR="00D627B4" w:rsidRPr="001E7395">
        <w:rPr>
          <w:rFonts w:ascii="Verdana" w:hAnsi="Verdana" w:cs="Tahoma"/>
          <w:sz w:val="24"/>
          <w:szCs w:val="24"/>
          <w:lang w:val="en-GB"/>
        </w:rPr>
        <w:t>Mavri and Ioannou</w:t>
      </w:r>
      <w:r w:rsidR="00B342B4" w:rsidRPr="001E7395">
        <w:rPr>
          <w:rFonts w:ascii="Verdana" w:hAnsi="Verdana" w:cs="Tahoma"/>
          <w:sz w:val="24"/>
          <w:szCs w:val="24"/>
          <w:lang w:val="en-GB"/>
        </w:rPr>
        <w:t>,</w:t>
      </w:r>
      <w:r w:rsidR="00D627B4" w:rsidRPr="001E7395">
        <w:rPr>
          <w:rFonts w:ascii="Verdana" w:hAnsi="Verdana" w:cs="Tahoma"/>
          <w:sz w:val="24"/>
          <w:szCs w:val="24"/>
          <w:lang w:val="en-GB"/>
        </w:rPr>
        <w:t xml:space="preserve"> 2008)</w:t>
      </w:r>
      <w:r w:rsidR="0016183E" w:rsidRPr="001E7395">
        <w:rPr>
          <w:rFonts w:ascii="Verdana" w:hAnsi="Verdana" w:cs="Tahoma"/>
          <w:sz w:val="24"/>
          <w:szCs w:val="24"/>
          <w:lang w:val="en-GB"/>
        </w:rPr>
        <w:t>,</w:t>
      </w:r>
      <w:r w:rsidR="00D627B4" w:rsidRPr="001E7395">
        <w:rPr>
          <w:rFonts w:ascii="Verdana" w:hAnsi="Verdana" w:cs="Tahoma"/>
          <w:sz w:val="24"/>
          <w:szCs w:val="24"/>
          <w:lang w:val="en-GB"/>
        </w:rPr>
        <w:t xml:space="preserve"> social media (Lappeman </w:t>
      </w:r>
      <w:r w:rsidR="00D627B4" w:rsidRPr="001E7395">
        <w:rPr>
          <w:rFonts w:ascii="Verdana" w:hAnsi="Verdana" w:cs="Tahoma"/>
          <w:i/>
          <w:iCs/>
          <w:sz w:val="24"/>
          <w:szCs w:val="24"/>
          <w:lang w:val="en-GB"/>
        </w:rPr>
        <w:t>et al</w:t>
      </w:r>
      <w:r w:rsidR="00B342B4" w:rsidRPr="001E7395">
        <w:rPr>
          <w:rFonts w:ascii="Verdana" w:hAnsi="Verdana" w:cs="Tahoma"/>
          <w:sz w:val="24"/>
          <w:szCs w:val="24"/>
          <w:lang w:val="en-GB"/>
        </w:rPr>
        <w:t>.,</w:t>
      </w:r>
      <w:r w:rsidR="00D627B4" w:rsidRPr="001E7395">
        <w:rPr>
          <w:rFonts w:ascii="Verdana" w:hAnsi="Verdana" w:cs="Tahoma"/>
          <w:sz w:val="24"/>
          <w:szCs w:val="24"/>
          <w:lang w:val="en-GB"/>
        </w:rPr>
        <w:t xml:space="preserve"> 2022)</w:t>
      </w:r>
      <w:r w:rsidR="0016183E" w:rsidRPr="001E7395">
        <w:rPr>
          <w:rFonts w:ascii="Verdana" w:hAnsi="Verdana" w:cs="Tahoma"/>
          <w:sz w:val="24"/>
          <w:szCs w:val="24"/>
          <w:lang w:val="en-GB"/>
        </w:rPr>
        <w:t xml:space="preserve"> and service failure (Zhao </w:t>
      </w:r>
      <w:r w:rsidR="0016183E" w:rsidRPr="001E7395">
        <w:rPr>
          <w:rFonts w:ascii="Verdana" w:hAnsi="Verdana" w:cs="Tahoma"/>
          <w:i/>
          <w:iCs/>
          <w:sz w:val="24"/>
          <w:szCs w:val="24"/>
          <w:lang w:val="en-GB"/>
        </w:rPr>
        <w:t>et al.,</w:t>
      </w:r>
      <w:r w:rsidR="0016183E" w:rsidRPr="001E7395">
        <w:rPr>
          <w:rFonts w:ascii="Verdana" w:hAnsi="Verdana" w:cs="Tahoma"/>
          <w:sz w:val="24"/>
          <w:szCs w:val="24"/>
          <w:lang w:val="en-GB"/>
        </w:rPr>
        <w:t xml:space="preserve"> 2023)</w:t>
      </w:r>
      <w:r w:rsidR="00D627B4" w:rsidRPr="001E7395">
        <w:rPr>
          <w:rFonts w:ascii="Verdana" w:hAnsi="Verdana" w:cs="Tahoma"/>
          <w:sz w:val="24"/>
          <w:szCs w:val="24"/>
          <w:lang w:val="en-GB"/>
        </w:rPr>
        <w:t xml:space="preserve"> on bank switching</w:t>
      </w:r>
      <w:r w:rsidR="00186718" w:rsidRPr="002353FE">
        <w:rPr>
          <w:rFonts w:ascii="Verdana" w:hAnsi="Verdana" w:cs="Tahoma"/>
          <w:sz w:val="24"/>
          <w:szCs w:val="24"/>
          <w:lang w:val="en-GB"/>
        </w:rPr>
        <w:t xml:space="preserve"> decisions</w:t>
      </w:r>
      <w:r w:rsidR="00D627B4" w:rsidRPr="001E7395">
        <w:rPr>
          <w:rFonts w:ascii="Verdana" w:hAnsi="Verdana" w:cs="Tahoma"/>
          <w:sz w:val="24"/>
          <w:szCs w:val="24"/>
          <w:lang w:val="en-GB"/>
        </w:rPr>
        <w:t>.</w:t>
      </w:r>
    </w:p>
    <w:p w14:paraId="4E3F4BF3" w14:textId="54D451E5" w:rsidR="00DA434E" w:rsidRPr="001E7395" w:rsidRDefault="00DE7F29" w:rsidP="0016708D">
      <w:pPr>
        <w:autoSpaceDE w:val="0"/>
        <w:autoSpaceDN w:val="0"/>
        <w:adjustRightInd w:val="0"/>
        <w:spacing w:before="240" w:after="0" w:line="480" w:lineRule="auto"/>
        <w:jc w:val="both"/>
        <w:rPr>
          <w:rFonts w:ascii="Verdana" w:hAnsi="Verdana" w:cs="Tahoma"/>
          <w:sz w:val="24"/>
          <w:szCs w:val="24"/>
          <w:lang w:val="en-GB"/>
        </w:rPr>
      </w:pPr>
      <w:r w:rsidRPr="001E7395">
        <w:rPr>
          <w:rFonts w:ascii="Verdana" w:hAnsi="Verdana" w:cs="Tahoma"/>
          <w:sz w:val="24"/>
          <w:szCs w:val="24"/>
          <w:lang w:val="en-GB"/>
        </w:rPr>
        <w:t xml:space="preserve">The financial ecology literature </w:t>
      </w:r>
      <w:r w:rsidR="00FA7793" w:rsidRPr="001E7395">
        <w:rPr>
          <w:rFonts w:ascii="Verdana" w:hAnsi="Verdana" w:cs="Tahoma"/>
          <w:sz w:val="24"/>
          <w:szCs w:val="24"/>
          <w:lang w:val="en-GB"/>
        </w:rPr>
        <w:t xml:space="preserve">(Leyshon and Thrift, 1994 and 1995; Langley and Leyshon, 2017; Grafe and Mieg, 2019; de la Cuesta-González </w:t>
      </w:r>
      <w:r w:rsidR="00FA7793" w:rsidRPr="001E7395">
        <w:rPr>
          <w:rFonts w:ascii="Verdana" w:hAnsi="Verdana" w:cs="Tahoma"/>
          <w:i/>
          <w:iCs/>
          <w:sz w:val="24"/>
          <w:szCs w:val="24"/>
          <w:lang w:val="en-GB"/>
        </w:rPr>
        <w:t>et al</w:t>
      </w:r>
      <w:r w:rsidR="00FA7793" w:rsidRPr="001E7395">
        <w:rPr>
          <w:rFonts w:ascii="Verdana" w:hAnsi="Verdana" w:cs="Tahoma"/>
          <w:sz w:val="24"/>
          <w:szCs w:val="24"/>
          <w:lang w:val="en-GB"/>
        </w:rPr>
        <w:t>., 2021)</w:t>
      </w:r>
      <w:r w:rsidR="00DD7750" w:rsidRPr="001E7395">
        <w:rPr>
          <w:rFonts w:ascii="Verdana" w:hAnsi="Verdana" w:cs="Tahoma"/>
          <w:sz w:val="24"/>
          <w:szCs w:val="24"/>
          <w:lang w:val="en-GB"/>
        </w:rPr>
        <w:t xml:space="preserve"> </w:t>
      </w:r>
      <w:r w:rsidRPr="001E7395">
        <w:rPr>
          <w:rFonts w:ascii="Verdana" w:hAnsi="Verdana" w:cs="Tahoma"/>
          <w:sz w:val="24"/>
          <w:szCs w:val="24"/>
          <w:lang w:val="en-GB"/>
        </w:rPr>
        <w:t>has also examined financial services provision</w:t>
      </w:r>
      <w:r w:rsidR="0049109E" w:rsidRPr="001E7395">
        <w:rPr>
          <w:rFonts w:ascii="Verdana" w:hAnsi="Verdana" w:cs="Tahoma"/>
          <w:sz w:val="24"/>
          <w:szCs w:val="24"/>
          <w:lang w:val="en-GB"/>
        </w:rPr>
        <w:t xml:space="preserve"> and swi</w:t>
      </w:r>
      <w:r w:rsidR="00AB2DE1" w:rsidRPr="001E7395">
        <w:rPr>
          <w:rFonts w:ascii="Verdana" w:hAnsi="Verdana" w:cs="Tahoma"/>
          <w:sz w:val="24"/>
          <w:szCs w:val="24"/>
          <w:lang w:val="en-GB"/>
        </w:rPr>
        <w:t>tc</w:t>
      </w:r>
      <w:r w:rsidR="0049109E" w:rsidRPr="001E7395">
        <w:rPr>
          <w:rFonts w:ascii="Verdana" w:hAnsi="Verdana" w:cs="Tahoma"/>
          <w:sz w:val="24"/>
          <w:szCs w:val="24"/>
          <w:lang w:val="en-GB"/>
        </w:rPr>
        <w:t xml:space="preserve">hing. </w:t>
      </w:r>
      <w:r w:rsidR="00FA7793" w:rsidRPr="001E7395">
        <w:rPr>
          <w:rFonts w:ascii="Verdana" w:hAnsi="Verdana" w:cs="Tahoma"/>
          <w:sz w:val="24"/>
          <w:szCs w:val="24"/>
          <w:lang w:val="en-GB"/>
        </w:rPr>
        <w:t xml:space="preserve">Financial ecologies are widely used to explain why vulnerable people face unequal outcomes when accessing and using financial services. </w:t>
      </w:r>
      <w:r w:rsidR="00AB2DE1" w:rsidRPr="001E7395">
        <w:rPr>
          <w:rFonts w:ascii="Verdana" w:hAnsi="Verdana" w:cs="Tahoma"/>
          <w:sz w:val="24"/>
          <w:szCs w:val="24"/>
          <w:lang w:val="en-GB"/>
        </w:rPr>
        <w:t xml:space="preserve">This </w:t>
      </w:r>
      <w:r w:rsidR="00AB2DE1" w:rsidRPr="001E7395">
        <w:rPr>
          <w:rFonts w:ascii="Verdana" w:hAnsi="Verdana" w:cs="Tahoma"/>
          <w:sz w:val="24"/>
          <w:szCs w:val="24"/>
          <w:lang w:val="en-GB"/>
        </w:rPr>
        <w:lastRenderedPageBreak/>
        <w:t>approach empha</w:t>
      </w:r>
      <w:r w:rsidR="00B26575" w:rsidRPr="001E7395">
        <w:rPr>
          <w:rFonts w:ascii="Verdana" w:hAnsi="Verdana" w:cs="Tahoma"/>
          <w:sz w:val="24"/>
          <w:szCs w:val="24"/>
          <w:lang w:val="en-GB"/>
        </w:rPr>
        <w:t>s</w:t>
      </w:r>
      <w:r w:rsidR="00AB2DE1" w:rsidRPr="001E7395">
        <w:rPr>
          <w:rFonts w:ascii="Verdana" w:hAnsi="Verdana" w:cs="Tahoma"/>
          <w:sz w:val="24"/>
          <w:szCs w:val="24"/>
          <w:lang w:val="en-GB"/>
        </w:rPr>
        <w:t>ises the multiple economic and social roles</w:t>
      </w:r>
      <w:r w:rsidR="00AE6D10" w:rsidRPr="002353FE">
        <w:rPr>
          <w:rFonts w:ascii="Verdana" w:hAnsi="Verdana" w:cs="Tahoma"/>
          <w:sz w:val="24"/>
          <w:szCs w:val="24"/>
          <w:lang w:val="en-GB"/>
        </w:rPr>
        <w:t>,</w:t>
      </w:r>
      <w:r w:rsidR="00AB2DE1" w:rsidRPr="001E7395">
        <w:rPr>
          <w:rFonts w:ascii="Verdana" w:hAnsi="Verdana" w:cs="Tahoma"/>
          <w:sz w:val="24"/>
          <w:szCs w:val="24"/>
          <w:lang w:val="en-GB"/>
        </w:rPr>
        <w:t xml:space="preserve"> financial services can convey. This framework proposes when personal current accounts become harder to access, a diversity of externalities can arise across society, such as financial exclusion for poor communities (Leyshon et al., 2004). The financial ecologies approach subsequently places greater emphasis on the interconnections between people and place that underlie financial relationships (Marshall, 2004). These interconnections include income inequality and demographic trends, such as old age</w:t>
      </w:r>
      <w:r w:rsidR="00B35617" w:rsidRPr="002353FE">
        <w:rPr>
          <w:rFonts w:ascii="Verdana" w:hAnsi="Verdana" w:cs="Tahoma"/>
          <w:sz w:val="24"/>
          <w:szCs w:val="24"/>
          <w:lang w:val="en-GB"/>
        </w:rPr>
        <w:t>,</w:t>
      </w:r>
      <w:r w:rsidR="00AB2DE1" w:rsidRPr="001E7395">
        <w:rPr>
          <w:rFonts w:ascii="Verdana" w:hAnsi="Verdana" w:cs="Tahoma"/>
          <w:sz w:val="24"/>
          <w:szCs w:val="24"/>
          <w:lang w:val="en-GB"/>
        </w:rPr>
        <w:t xml:space="preserve"> whereby vulnerability becomes concentrated in a small number of often deprived areas (Marshall, 2004). </w:t>
      </w:r>
    </w:p>
    <w:p w14:paraId="3074BED7" w14:textId="367BC877" w:rsidR="006771CC" w:rsidRPr="002353FE" w:rsidRDefault="006771CC" w:rsidP="001E7395">
      <w:pPr>
        <w:autoSpaceDE w:val="0"/>
        <w:autoSpaceDN w:val="0"/>
        <w:adjustRightInd w:val="0"/>
        <w:spacing w:before="240" w:line="480" w:lineRule="auto"/>
        <w:jc w:val="both"/>
        <w:rPr>
          <w:rFonts w:ascii="Verdana" w:hAnsi="Verdana" w:cs="Tahoma"/>
          <w:sz w:val="24"/>
          <w:szCs w:val="24"/>
          <w:lang w:val="en-GB"/>
        </w:rPr>
      </w:pPr>
      <w:r w:rsidRPr="001E7395">
        <w:rPr>
          <w:rFonts w:ascii="Verdana" w:hAnsi="Verdana" w:cs="Tahoma"/>
          <w:sz w:val="24"/>
          <w:szCs w:val="24"/>
          <w:lang w:val="en-GB"/>
        </w:rPr>
        <w:t xml:space="preserve">These unequal outcomes in the provision of financial services are thought to be related to the form of competition prevailing in many banking markets. </w:t>
      </w:r>
      <w:r w:rsidRPr="002353FE">
        <w:rPr>
          <w:rFonts w:ascii="Verdana" w:hAnsi="Verdana" w:cs="Tahoma"/>
          <w:sz w:val="24"/>
          <w:szCs w:val="24"/>
          <w:lang w:val="en-GB"/>
        </w:rPr>
        <w:t xml:space="preserve">This competition is driven by the limited number of customers who switch their personal current accounts. If these switching customers are better educated, younger, urban customers with higher incomes, banks will adjust their service provision </w:t>
      </w:r>
      <w:r w:rsidR="00081E02" w:rsidRPr="002353FE">
        <w:rPr>
          <w:rFonts w:ascii="Verdana" w:hAnsi="Verdana" w:cs="Tahoma"/>
          <w:sz w:val="24"/>
          <w:szCs w:val="24"/>
          <w:lang w:val="en-GB"/>
        </w:rPr>
        <w:t>towards</w:t>
      </w:r>
      <w:r w:rsidRPr="002353FE">
        <w:rPr>
          <w:rFonts w:ascii="Verdana" w:hAnsi="Verdana" w:cs="Tahoma"/>
          <w:sz w:val="24"/>
          <w:szCs w:val="24"/>
          <w:lang w:val="en-GB"/>
        </w:rPr>
        <w:t xml:space="preserve"> these relatively advantaged customers rather than vulnerable users (Jilke, 2015).  </w:t>
      </w:r>
    </w:p>
    <w:p w14:paraId="2FDDB02F" w14:textId="6242AB49" w:rsidR="00C767D5" w:rsidRPr="002353FE" w:rsidRDefault="00C767D5" w:rsidP="001E7395">
      <w:pPr>
        <w:autoSpaceDE w:val="0"/>
        <w:autoSpaceDN w:val="0"/>
        <w:adjustRightInd w:val="0"/>
        <w:spacing w:line="480" w:lineRule="auto"/>
        <w:jc w:val="both"/>
        <w:rPr>
          <w:rFonts w:ascii="Verdana" w:hAnsi="Verdana" w:cs="Tahoma"/>
          <w:sz w:val="24"/>
          <w:szCs w:val="24"/>
          <w:lang w:val="en-GB"/>
        </w:rPr>
      </w:pPr>
      <w:r w:rsidRPr="002353FE">
        <w:rPr>
          <w:rFonts w:ascii="Verdana" w:hAnsi="Verdana" w:cs="Tahoma"/>
          <w:sz w:val="24"/>
          <w:szCs w:val="24"/>
          <w:lang w:val="en-GB"/>
        </w:rPr>
        <w:t xml:space="preserve">Financial vulnerability </w:t>
      </w:r>
      <w:r w:rsidR="000C5728" w:rsidRPr="002353FE">
        <w:rPr>
          <w:rFonts w:ascii="Verdana" w:hAnsi="Verdana" w:cs="Tahoma"/>
          <w:sz w:val="24"/>
          <w:szCs w:val="24"/>
          <w:lang w:val="en-GB"/>
        </w:rPr>
        <w:t xml:space="preserve">therefore </w:t>
      </w:r>
      <w:r w:rsidRPr="002353FE">
        <w:rPr>
          <w:rFonts w:ascii="Verdana" w:hAnsi="Verdana" w:cs="Tahoma"/>
          <w:sz w:val="24"/>
          <w:szCs w:val="24"/>
          <w:lang w:val="en-GB"/>
        </w:rPr>
        <w:t xml:space="preserve">views customer heterogeneity as </w:t>
      </w:r>
      <w:r w:rsidR="00410452" w:rsidRPr="002353FE">
        <w:rPr>
          <w:rFonts w:ascii="Verdana" w:hAnsi="Verdana" w:cs="Tahoma"/>
          <w:sz w:val="24"/>
          <w:szCs w:val="24"/>
          <w:lang w:val="en-GB"/>
        </w:rPr>
        <w:t xml:space="preserve">instrumental in </w:t>
      </w:r>
      <w:r w:rsidR="000C5728" w:rsidRPr="002353FE">
        <w:rPr>
          <w:rFonts w:ascii="Verdana" w:hAnsi="Verdana" w:cs="Tahoma"/>
          <w:sz w:val="24"/>
          <w:szCs w:val="24"/>
          <w:lang w:val="en-GB"/>
        </w:rPr>
        <w:t xml:space="preserve">financial decision making </w:t>
      </w:r>
      <w:r w:rsidRPr="002353FE">
        <w:rPr>
          <w:rFonts w:ascii="Verdana" w:hAnsi="Verdana" w:cs="Tahoma"/>
          <w:sz w:val="24"/>
          <w:szCs w:val="24"/>
          <w:lang w:val="en-GB"/>
        </w:rPr>
        <w:t xml:space="preserve">(De la Cuesta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2021), with low levels of skills, knowledge and/or confidence among vulnerable customers leading to challenges in accessing banking services. Similarly, vulnerable customers can experience difficulties in understanding the information about and the language used in banking products. These </w:t>
      </w:r>
      <w:r w:rsidRPr="002353FE">
        <w:rPr>
          <w:rFonts w:ascii="Verdana" w:hAnsi="Verdana" w:cs="Tahoma"/>
          <w:sz w:val="24"/>
          <w:szCs w:val="24"/>
          <w:lang w:val="en-GB"/>
        </w:rPr>
        <w:lastRenderedPageBreak/>
        <w:t>vulnerable customers may also receive (or perceive) poorer attention than other more profitable customers. These outcomes can intimidate vulnerable customers, placing them in a position of inferiority, with less confidence when making switching decisions.</w:t>
      </w:r>
    </w:p>
    <w:p w14:paraId="19BAE558" w14:textId="12EDF70C" w:rsidR="00C767D5" w:rsidRPr="002353FE" w:rsidRDefault="00C767D5" w:rsidP="00C767D5">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Lastly, </w:t>
      </w:r>
      <w:r w:rsidR="00960C04" w:rsidRPr="002353FE">
        <w:rPr>
          <w:rFonts w:ascii="Verdana" w:hAnsi="Verdana" w:cs="Tahoma"/>
          <w:sz w:val="24"/>
          <w:szCs w:val="24"/>
          <w:lang w:val="en-GB"/>
        </w:rPr>
        <w:t>it</w:t>
      </w:r>
      <w:r w:rsidRPr="002353FE">
        <w:rPr>
          <w:rFonts w:ascii="Verdana" w:hAnsi="Verdana" w:cs="Tahoma"/>
          <w:sz w:val="24"/>
          <w:szCs w:val="24"/>
          <w:lang w:val="en-GB"/>
        </w:rPr>
        <w:t xml:space="preserve"> has long been understood that substantial heterogeneity exists within a populations’ financial literacy and behaviour (Lusardi and Mitchell, 2014; Xiao and O’Neill, 2018). As customers’ decisions depend on their perceptions, customers with </w:t>
      </w:r>
      <w:r w:rsidR="008C78CD" w:rsidRPr="002353FE">
        <w:rPr>
          <w:rFonts w:ascii="Verdana" w:hAnsi="Verdana" w:cs="Tahoma"/>
          <w:sz w:val="24"/>
          <w:szCs w:val="24"/>
          <w:lang w:val="en-GB"/>
        </w:rPr>
        <w:t xml:space="preserve">the </w:t>
      </w:r>
      <w:r w:rsidRPr="002353FE">
        <w:rPr>
          <w:rFonts w:ascii="Verdana" w:hAnsi="Verdana" w:cs="Tahoma"/>
          <w:sz w:val="24"/>
          <w:szCs w:val="24"/>
          <w:lang w:val="en-GB"/>
        </w:rPr>
        <w:t xml:space="preserve">least skill, experience or confidence are likely to make worse decisions than their better off counterparts (Clifton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2017). For instance, vulnerable customers are prone to loss aversion, </w:t>
      </w:r>
      <w:r w:rsidR="00AD729E" w:rsidRPr="002353FE">
        <w:rPr>
          <w:rFonts w:ascii="Verdana" w:hAnsi="Verdana" w:cs="Tahoma"/>
          <w:sz w:val="24"/>
          <w:szCs w:val="24"/>
          <w:lang w:val="en-GB"/>
        </w:rPr>
        <w:t xml:space="preserve">and tend to </w:t>
      </w:r>
      <w:r w:rsidRPr="002353FE">
        <w:rPr>
          <w:rFonts w:ascii="Verdana" w:hAnsi="Verdana" w:cs="Tahoma"/>
          <w:sz w:val="24"/>
          <w:szCs w:val="24"/>
          <w:lang w:val="en-GB"/>
        </w:rPr>
        <w:t xml:space="preserve">avoid risks in favour of decisions with less, but safer gains (De la Cuesta </w:t>
      </w:r>
      <w:r w:rsidRPr="002353FE">
        <w:rPr>
          <w:rFonts w:ascii="Verdana" w:hAnsi="Verdana" w:cs="Tahoma"/>
          <w:i/>
          <w:iCs/>
          <w:sz w:val="24"/>
          <w:szCs w:val="24"/>
          <w:lang w:val="en-GB"/>
        </w:rPr>
        <w:t>et al</w:t>
      </w:r>
      <w:r w:rsidRPr="002353FE">
        <w:rPr>
          <w:rFonts w:ascii="Verdana" w:hAnsi="Verdana" w:cs="Tahoma"/>
          <w:sz w:val="24"/>
          <w:szCs w:val="24"/>
          <w:lang w:val="en-GB"/>
        </w:rPr>
        <w:t xml:space="preserve">., 2022). </w:t>
      </w:r>
    </w:p>
    <w:p w14:paraId="66BCD789" w14:textId="6300485E" w:rsidR="00C767D5" w:rsidRPr="002353FE" w:rsidRDefault="00C767D5" w:rsidP="00C767D5">
      <w:pPr>
        <w:spacing w:before="120" w:after="120" w:line="480" w:lineRule="auto"/>
        <w:jc w:val="both"/>
        <w:rPr>
          <w:rFonts w:ascii="Verdana" w:hAnsi="Verdana"/>
          <w:sz w:val="24"/>
          <w:szCs w:val="24"/>
          <w:lang w:val="en-GB"/>
        </w:rPr>
      </w:pPr>
      <w:r w:rsidRPr="002353FE">
        <w:rPr>
          <w:rFonts w:ascii="Verdana" w:hAnsi="Verdana" w:cs="Tahoma"/>
          <w:sz w:val="24"/>
          <w:szCs w:val="24"/>
          <w:lang w:val="en-GB"/>
        </w:rPr>
        <w:t xml:space="preserve">Firm actions </w:t>
      </w:r>
      <w:r w:rsidR="00DF7FCF" w:rsidRPr="002353FE">
        <w:rPr>
          <w:rFonts w:ascii="Verdana" w:hAnsi="Verdana" w:cs="Tahoma"/>
          <w:sz w:val="24"/>
          <w:szCs w:val="24"/>
          <w:lang w:val="en-GB"/>
        </w:rPr>
        <w:t xml:space="preserve">can </w:t>
      </w:r>
      <w:r w:rsidRPr="002353FE">
        <w:rPr>
          <w:rFonts w:ascii="Verdana" w:hAnsi="Verdana" w:cs="Tahoma"/>
          <w:sz w:val="24"/>
          <w:szCs w:val="24"/>
          <w:lang w:val="en-GB"/>
        </w:rPr>
        <w:t xml:space="preserve">also influence switching decision-making </w:t>
      </w:r>
      <w:r w:rsidRPr="002353FE">
        <w:rPr>
          <w:rFonts w:ascii="Verdana" w:hAnsi="Verdana"/>
          <w:sz w:val="24"/>
          <w:szCs w:val="24"/>
          <w:lang w:val="en-GB"/>
        </w:rPr>
        <w:t>(Carlin, 2009). The behaviour of financial firms in designing, presenting</w:t>
      </w:r>
      <w:r w:rsidR="00820073" w:rsidRPr="002353FE">
        <w:rPr>
          <w:rFonts w:ascii="Verdana" w:hAnsi="Verdana"/>
          <w:sz w:val="24"/>
          <w:szCs w:val="24"/>
          <w:lang w:val="en-GB"/>
        </w:rPr>
        <w:t>,</w:t>
      </w:r>
      <w:r w:rsidRPr="002353FE">
        <w:rPr>
          <w:rFonts w:ascii="Verdana" w:hAnsi="Verdana"/>
          <w:sz w:val="24"/>
          <w:szCs w:val="24"/>
          <w:lang w:val="en-GB"/>
        </w:rPr>
        <w:t xml:space="preserve"> and selling financial services, how contracts are written, and the forms of pricing adopted can all limit consumers’ comprehension of financial services and discourage switching. Critically, if customers do not understand the quality and attributes of a complex financial service, they are less able to judge the value of the service and poor purchase decisions become likely </w:t>
      </w:r>
      <w:r w:rsidRPr="002353FE">
        <w:rPr>
          <w:rFonts w:ascii="Verdana" w:hAnsi="Verdana" w:cs="Tahoma"/>
          <w:sz w:val="24"/>
          <w:szCs w:val="24"/>
          <w:lang w:val="en-GB"/>
        </w:rPr>
        <w:t>(</w:t>
      </w:r>
      <w:r w:rsidRPr="002353FE">
        <w:rPr>
          <w:rFonts w:ascii="Verdana" w:hAnsi="Verdana"/>
          <w:sz w:val="24"/>
          <w:szCs w:val="24"/>
          <w:lang w:val="en-GB"/>
        </w:rPr>
        <w:t xml:space="preserve">Huberman and Jiang, 2006; Kamenica, 2008; Carlin and Manso, 2011). Through this process, consumer decision-making failures arise allowing some firms to sell lower quality and higher cost services to unknowing </w:t>
      </w:r>
      <w:r w:rsidR="005F5DB2" w:rsidRPr="002353FE">
        <w:rPr>
          <w:rFonts w:ascii="Verdana" w:hAnsi="Verdana"/>
          <w:sz w:val="24"/>
          <w:szCs w:val="24"/>
          <w:lang w:val="en-GB"/>
        </w:rPr>
        <w:t xml:space="preserve">and vulnerable </w:t>
      </w:r>
      <w:r w:rsidRPr="002353FE">
        <w:rPr>
          <w:rFonts w:ascii="Verdana" w:hAnsi="Verdana"/>
          <w:sz w:val="24"/>
          <w:szCs w:val="24"/>
          <w:lang w:val="en-GB"/>
        </w:rPr>
        <w:t xml:space="preserve">customers. </w:t>
      </w:r>
    </w:p>
    <w:p w14:paraId="46E3BE10" w14:textId="4B5F0390" w:rsidR="001F5823" w:rsidRPr="002353FE" w:rsidRDefault="00F818C0" w:rsidP="0031695B">
      <w:pPr>
        <w:spacing w:before="120" w:after="120" w:line="480" w:lineRule="auto"/>
        <w:jc w:val="both"/>
        <w:rPr>
          <w:rFonts w:ascii="Verdana" w:eastAsiaTheme="minorHAnsi" w:hAnsi="Verdana" w:cstheme="majorBidi"/>
          <w:sz w:val="24"/>
          <w:szCs w:val="24"/>
          <w:lang w:val="en-GB"/>
        </w:rPr>
      </w:pPr>
      <w:r w:rsidRPr="001E7395">
        <w:rPr>
          <w:rFonts w:ascii="Verdana" w:hAnsi="Verdana" w:cs="Tahoma"/>
          <w:sz w:val="24"/>
          <w:szCs w:val="24"/>
          <w:lang w:val="en-GB"/>
        </w:rPr>
        <w:lastRenderedPageBreak/>
        <w:t xml:space="preserve">Despite these </w:t>
      </w:r>
      <w:r w:rsidR="005F5DB2" w:rsidRPr="001E7395">
        <w:rPr>
          <w:rFonts w:ascii="Verdana" w:hAnsi="Verdana" w:cs="Tahoma"/>
          <w:sz w:val="24"/>
          <w:szCs w:val="24"/>
          <w:lang w:val="en-GB"/>
        </w:rPr>
        <w:t xml:space="preserve">multiple theoretical </w:t>
      </w:r>
      <w:r w:rsidRPr="001E7395">
        <w:rPr>
          <w:rFonts w:ascii="Verdana" w:hAnsi="Verdana" w:cs="Tahoma"/>
          <w:sz w:val="24"/>
          <w:szCs w:val="24"/>
          <w:lang w:val="en-GB"/>
        </w:rPr>
        <w:t xml:space="preserve">concerns, </w:t>
      </w:r>
      <w:r w:rsidR="001C242A" w:rsidRPr="002353FE">
        <w:rPr>
          <w:rFonts w:ascii="Verdana" w:hAnsi="Verdana"/>
          <w:sz w:val="24"/>
          <w:szCs w:val="24"/>
          <w:lang w:val="en-GB"/>
        </w:rPr>
        <w:t xml:space="preserve">policymakers have </w:t>
      </w:r>
      <w:r w:rsidR="000549C7" w:rsidRPr="002353FE">
        <w:rPr>
          <w:rFonts w:ascii="Verdana" w:hAnsi="Verdana"/>
          <w:sz w:val="24"/>
          <w:szCs w:val="24"/>
          <w:lang w:val="en-GB"/>
        </w:rPr>
        <w:t xml:space="preserve">long </w:t>
      </w:r>
      <w:r w:rsidR="001C242A" w:rsidRPr="002353FE">
        <w:rPr>
          <w:rFonts w:ascii="Verdana" w:hAnsi="Verdana"/>
          <w:sz w:val="24"/>
          <w:szCs w:val="24"/>
          <w:lang w:val="en-GB"/>
        </w:rPr>
        <w:t xml:space="preserve">argued </w:t>
      </w:r>
      <w:r w:rsidR="00443168" w:rsidRPr="002353FE">
        <w:rPr>
          <w:rFonts w:ascii="Verdana" w:hAnsi="Verdana"/>
          <w:sz w:val="24"/>
          <w:szCs w:val="24"/>
          <w:lang w:val="en-GB"/>
        </w:rPr>
        <w:t>consumer</w:t>
      </w:r>
      <w:r w:rsidR="00E27985" w:rsidRPr="002353FE">
        <w:rPr>
          <w:rFonts w:ascii="Verdana" w:hAnsi="Verdana"/>
          <w:sz w:val="24"/>
          <w:szCs w:val="24"/>
          <w:lang w:val="en-GB"/>
        </w:rPr>
        <w:t xml:space="preserve"> </w:t>
      </w:r>
      <w:r w:rsidR="00443168" w:rsidRPr="002353FE">
        <w:rPr>
          <w:rFonts w:ascii="Verdana" w:hAnsi="Verdana"/>
          <w:sz w:val="24"/>
          <w:szCs w:val="24"/>
          <w:lang w:val="en-GB"/>
        </w:rPr>
        <w:t xml:space="preserve">welfare will be enhanced </w:t>
      </w:r>
      <w:r w:rsidR="00633CA7" w:rsidRPr="002353FE">
        <w:rPr>
          <w:rFonts w:ascii="Verdana" w:hAnsi="Verdana"/>
          <w:sz w:val="24"/>
          <w:szCs w:val="24"/>
          <w:lang w:val="en-GB"/>
        </w:rPr>
        <w:t>by more c</w:t>
      </w:r>
      <w:r w:rsidR="00282873" w:rsidRPr="002353FE">
        <w:rPr>
          <w:rFonts w:ascii="Verdana" w:hAnsi="Verdana"/>
          <w:sz w:val="24"/>
          <w:szCs w:val="24"/>
          <w:lang w:val="en-GB"/>
        </w:rPr>
        <w:t xml:space="preserve">onsumer driven </w:t>
      </w:r>
      <w:r w:rsidR="00F722D3" w:rsidRPr="002353FE">
        <w:rPr>
          <w:rFonts w:ascii="Verdana" w:hAnsi="Verdana"/>
          <w:sz w:val="24"/>
          <w:szCs w:val="24"/>
          <w:lang w:val="en-GB"/>
        </w:rPr>
        <w:t>competition</w:t>
      </w:r>
      <w:r w:rsidR="003F37C7" w:rsidRPr="002353FE">
        <w:rPr>
          <w:rFonts w:ascii="Verdana" w:hAnsi="Verdana"/>
          <w:sz w:val="24"/>
          <w:szCs w:val="24"/>
          <w:lang w:val="en-GB"/>
        </w:rPr>
        <w:t xml:space="preserve">. </w:t>
      </w:r>
      <w:r w:rsidR="001514ED" w:rsidRPr="002353FE">
        <w:rPr>
          <w:rFonts w:ascii="Verdana" w:hAnsi="Verdana"/>
          <w:sz w:val="24"/>
          <w:szCs w:val="24"/>
          <w:lang w:val="en-GB"/>
        </w:rPr>
        <w:t>Such</w:t>
      </w:r>
      <w:r w:rsidR="003F37C7" w:rsidRPr="002353FE">
        <w:rPr>
          <w:rFonts w:ascii="Verdana" w:hAnsi="Verdana"/>
          <w:sz w:val="24"/>
          <w:szCs w:val="24"/>
          <w:lang w:val="en-GB"/>
        </w:rPr>
        <w:t xml:space="preserve"> competition requires </w:t>
      </w:r>
      <w:r w:rsidR="00282873" w:rsidRPr="002353FE">
        <w:rPr>
          <w:rFonts w:ascii="Verdana" w:hAnsi="Verdana"/>
          <w:sz w:val="24"/>
          <w:szCs w:val="24"/>
          <w:lang w:val="en-GB"/>
        </w:rPr>
        <w:t>customers</w:t>
      </w:r>
      <w:r w:rsidR="00F722D3" w:rsidRPr="002353FE">
        <w:rPr>
          <w:rFonts w:ascii="Verdana" w:hAnsi="Verdana"/>
          <w:sz w:val="24"/>
          <w:szCs w:val="24"/>
          <w:lang w:val="en-GB"/>
        </w:rPr>
        <w:t xml:space="preserve">’ </w:t>
      </w:r>
      <w:r w:rsidR="00E474C3" w:rsidRPr="002353FE">
        <w:rPr>
          <w:rFonts w:ascii="Verdana" w:hAnsi="Verdana"/>
          <w:sz w:val="24"/>
          <w:szCs w:val="24"/>
          <w:lang w:val="en-GB"/>
        </w:rPr>
        <w:t xml:space="preserve">switch </w:t>
      </w:r>
      <w:r w:rsidR="00282873" w:rsidRPr="002353FE">
        <w:rPr>
          <w:rFonts w:ascii="Verdana" w:hAnsi="Verdana"/>
          <w:sz w:val="24"/>
          <w:szCs w:val="24"/>
          <w:lang w:val="en-GB"/>
        </w:rPr>
        <w:t xml:space="preserve">between suppliers based on the price and quality of financial services. </w:t>
      </w:r>
      <w:r w:rsidR="00AB3991" w:rsidRPr="002353FE">
        <w:rPr>
          <w:rFonts w:ascii="Verdana" w:eastAsiaTheme="minorHAnsi" w:hAnsi="Verdana" w:cstheme="majorBidi"/>
          <w:sz w:val="24"/>
          <w:szCs w:val="24"/>
          <w:lang w:val="en-GB"/>
        </w:rPr>
        <w:t xml:space="preserve">It has therefore been widely assumed that </w:t>
      </w:r>
      <w:r w:rsidR="00AB3991" w:rsidRPr="002353FE">
        <w:rPr>
          <w:rFonts w:ascii="Verdana" w:hAnsi="Verdana"/>
          <w:sz w:val="24"/>
          <w:szCs w:val="24"/>
          <w:lang w:val="en-GB"/>
        </w:rPr>
        <w:t>t</w:t>
      </w:r>
      <w:r w:rsidR="00282873" w:rsidRPr="002353FE">
        <w:rPr>
          <w:rFonts w:ascii="Verdana" w:hAnsi="Verdana"/>
          <w:sz w:val="24"/>
          <w:szCs w:val="24"/>
          <w:lang w:val="en-GB"/>
        </w:rPr>
        <w:t xml:space="preserve">o </w:t>
      </w:r>
      <w:r w:rsidR="00633CA7" w:rsidRPr="002353FE">
        <w:rPr>
          <w:rFonts w:ascii="Verdana" w:hAnsi="Verdana"/>
          <w:sz w:val="24"/>
          <w:szCs w:val="24"/>
          <w:lang w:val="en-GB"/>
        </w:rPr>
        <w:t xml:space="preserve">make </w:t>
      </w:r>
      <w:r w:rsidR="00E474C3" w:rsidRPr="002353FE">
        <w:rPr>
          <w:rFonts w:ascii="Verdana" w:hAnsi="Verdana"/>
          <w:sz w:val="24"/>
          <w:szCs w:val="24"/>
          <w:lang w:val="en-GB"/>
        </w:rPr>
        <w:t xml:space="preserve">appropriate switching decisions, </w:t>
      </w:r>
      <w:r w:rsidR="00282873" w:rsidRPr="002353FE">
        <w:rPr>
          <w:rFonts w:ascii="Verdana" w:hAnsi="Verdana"/>
          <w:sz w:val="24"/>
          <w:szCs w:val="24"/>
          <w:lang w:val="en-GB"/>
        </w:rPr>
        <w:t xml:space="preserve">customers must </w:t>
      </w:r>
      <w:r w:rsidR="00332D96" w:rsidRPr="002353FE">
        <w:rPr>
          <w:rFonts w:ascii="Verdana" w:hAnsi="Verdana"/>
          <w:sz w:val="24"/>
          <w:szCs w:val="24"/>
          <w:lang w:val="en-GB"/>
        </w:rPr>
        <w:t xml:space="preserve">research the market and </w:t>
      </w:r>
      <w:r w:rsidR="00282873" w:rsidRPr="002353FE">
        <w:rPr>
          <w:rFonts w:ascii="Verdana" w:hAnsi="Verdana"/>
          <w:sz w:val="24"/>
          <w:szCs w:val="24"/>
          <w:lang w:val="en-GB"/>
        </w:rPr>
        <w:t>become active and informed market participants.</w:t>
      </w:r>
      <w:r w:rsidR="001F5823" w:rsidRPr="002353FE">
        <w:rPr>
          <w:rFonts w:ascii="Verdana" w:hAnsi="Verdana"/>
          <w:sz w:val="24"/>
          <w:szCs w:val="24"/>
          <w:lang w:val="en-GB"/>
        </w:rPr>
        <w:t xml:space="preserve"> </w:t>
      </w:r>
      <w:r w:rsidR="00FF3D56" w:rsidRPr="002353FE">
        <w:rPr>
          <w:rFonts w:ascii="Verdana" w:eastAsiaTheme="minorHAnsi" w:hAnsi="Verdana" w:cstheme="majorBidi"/>
          <w:sz w:val="24"/>
          <w:szCs w:val="24"/>
          <w:lang w:val="en-GB"/>
        </w:rPr>
        <w:t>T</w:t>
      </w:r>
      <w:r w:rsidR="00B7588D" w:rsidRPr="002353FE">
        <w:rPr>
          <w:rFonts w:ascii="Verdana" w:eastAsiaTheme="minorHAnsi" w:hAnsi="Verdana" w:cstheme="majorBidi"/>
          <w:sz w:val="24"/>
          <w:szCs w:val="24"/>
          <w:lang w:val="en-GB"/>
        </w:rPr>
        <w:t>h</w:t>
      </w:r>
      <w:r w:rsidR="008D7422" w:rsidRPr="002353FE">
        <w:rPr>
          <w:rFonts w:ascii="Verdana" w:eastAsiaTheme="minorHAnsi" w:hAnsi="Verdana" w:cstheme="majorBidi"/>
          <w:sz w:val="24"/>
          <w:szCs w:val="24"/>
          <w:lang w:val="en-GB"/>
        </w:rPr>
        <w:t xml:space="preserve">is </w:t>
      </w:r>
      <w:r w:rsidR="001F5823" w:rsidRPr="002353FE">
        <w:rPr>
          <w:rFonts w:ascii="Verdana" w:eastAsiaTheme="minorHAnsi" w:hAnsi="Verdana" w:cstheme="majorBidi"/>
          <w:sz w:val="24"/>
          <w:szCs w:val="24"/>
          <w:lang w:val="en-GB"/>
        </w:rPr>
        <w:t xml:space="preserve">ability </w:t>
      </w:r>
      <w:r w:rsidR="008D7422" w:rsidRPr="002353FE">
        <w:rPr>
          <w:rFonts w:ascii="Verdana" w:eastAsiaTheme="minorHAnsi" w:hAnsi="Verdana" w:cstheme="majorBidi"/>
          <w:sz w:val="24"/>
          <w:szCs w:val="24"/>
          <w:lang w:val="en-GB"/>
        </w:rPr>
        <w:t>t</w:t>
      </w:r>
      <w:r w:rsidR="001F5823" w:rsidRPr="002353FE">
        <w:rPr>
          <w:rFonts w:ascii="Verdana" w:eastAsiaTheme="minorHAnsi" w:hAnsi="Verdana" w:cstheme="majorBidi"/>
          <w:sz w:val="24"/>
          <w:szCs w:val="24"/>
          <w:lang w:val="en-GB"/>
        </w:rPr>
        <w:t>o make informed choices and navigate banking and financial markets</w:t>
      </w:r>
      <w:r w:rsidR="001C242A" w:rsidRPr="002353FE">
        <w:rPr>
          <w:rFonts w:ascii="Verdana" w:eastAsiaTheme="minorHAnsi" w:hAnsi="Verdana" w:cstheme="majorBidi"/>
          <w:sz w:val="24"/>
          <w:szCs w:val="24"/>
          <w:lang w:val="en-GB"/>
        </w:rPr>
        <w:t xml:space="preserve"> </w:t>
      </w:r>
      <w:r w:rsidR="0075440D" w:rsidRPr="002353FE">
        <w:rPr>
          <w:rFonts w:ascii="Verdana" w:eastAsiaTheme="minorHAnsi" w:hAnsi="Verdana" w:cstheme="majorBidi"/>
          <w:sz w:val="24"/>
          <w:szCs w:val="24"/>
          <w:lang w:val="en-GB"/>
        </w:rPr>
        <w:t xml:space="preserve">is then </w:t>
      </w:r>
      <w:r w:rsidR="001C242A" w:rsidRPr="002353FE">
        <w:rPr>
          <w:rFonts w:ascii="Verdana" w:eastAsiaTheme="minorHAnsi" w:hAnsi="Verdana" w:cstheme="majorBidi"/>
          <w:sz w:val="24"/>
          <w:szCs w:val="24"/>
          <w:lang w:val="en-GB"/>
        </w:rPr>
        <w:t xml:space="preserve">engrained through </w:t>
      </w:r>
      <w:r w:rsidR="0075440D" w:rsidRPr="002353FE">
        <w:rPr>
          <w:rFonts w:ascii="Verdana" w:eastAsiaTheme="minorHAnsi" w:hAnsi="Verdana" w:cstheme="majorBidi"/>
          <w:sz w:val="24"/>
          <w:szCs w:val="24"/>
          <w:lang w:val="en-GB"/>
        </w:rPr>
        <w:t xml:space="preserve">the application of </w:t>
      </w:r>
      <w:r w:rsidR="00590D1D" w:rsidRPr="002353FE">
        <w:rPr>
          <w:rFonts w:ascii="Verdana" w:eastAsiaTheme="minorHAnsi" w:hAnsi="Verdana" w:cstheme="majorBidi"/>
          <w:sz w:val="24"/>
          <w:szCs w:val="24"/>
          <w:lang w:val="en-GB"/>
        </w:rPr>
        <w:t>policies to enhance c</w:t>
      </w:r>
      <w:r w:rsidR="001C242A" w:rsidRPr="002353FE">
        <w:rPr>
          <w:rFonts w:ascii="Verdana" w:eastAsiaTheme="minorHAnsi" w:hAnsi="Verdana" w:cstheme="majorBidi"/>
          <w:sz w:val="24"/>
          <w:szCs w:val="24"/>
          <w:lang w:val="en-GB"/>
        </w:rPr>
        <w:t>ustomer financial literacy</w:t>
      </w:r>
      <w:r w:rsidR="001F5823" w:rsidRPr="002353FE">
        <w:rPr>
          <w:rFonts w:ascii="Verdana" w:eastAsiaTheme="minorHAnsi" w:hAnsi="Verdana" w:cstheme="majorBidi"/>
          <w:sz w:val="24"/>
          <w:szCs w:val="24"/>
          <w:lang w:val="en-GB"/>
        </w:rPr>
        <w:t>.</w:t>
      </w:r>
      <w:r w:rsidR="001C242A" w:rsidRPr="002353FE">
        <w:rPr>
          <w:rFonts w:ascii="Verdana" w:eastAsiaTheme="minorHAnsi" w:hAnsi="Verdana" w:cstheme="majorBidi"/>
          <w:sz w:val="24"/>
          <w:szCs w:val="24"/>
          <w:lang w:val="en-GB"/>
        </w:rPr>
        <w:t xml:space="preserve"> </w:t>
      </w:r>
      <w:r w:rsidR="0075440D" w:rsidRPr="002353FE">
        <w:rPr>
          <w:rFonts w:ascii="Verdana" w:eastAsiaTheme="minorHAnsi" w:hAnsi="Verdana" w:cstheme="majorBidi"/>
          <w:sz w:val="24"/>
          <w:szCs w:val="24"/>
          <w:lang w:val="en-GB"/>
        </w:rPr>
        <w:t>For instance</w:t>
      </w:r>
      <w:r w:rsidR="00B02AB9" w:rsidRPr="002353FE">
        <w:rPr>
          <w:rFonts w:ascii="Verdana" w:eastAsiaTheme="minorHAnsi" w:hAnsi="Verdana" w:cstheme="majorBidi"/>
          <w:sz w:val="24"/>
          <w:szCs w:val="24"/>
          <w:lang w:val="en-GB"/>
        </w:rPr>
        <w:t>,</w:t>
      </w:r>
      <w:r w:rsidR="0075440D" w:rsidRPr="002353FE">
        <w:rPr>
          <w:rFonts w:ascii="Verdana" w:eastAsiaTheme="minorHAnsi" w:hAnsi="Verdana" w:cstheme="majorBidi"/>
          <w:sz w:val="24"/>
          <w:szCs w:val="24"/>
          <w:lang w:val="en-GB"/>
        </w:rPr>
        <w:t xml:space="preserve"> i</w:t>
      </w:r>
      <w:r w:rsidR="00E752CF" w:rsidRPr="002353FE">
        <w:rPr>
          <w:rFonts w:ascii="Verdana" w:eastAsiaTheme="minorHAnsi" w:hAnsi="Verdana" w:cstheme="majorBidi"/>
          <w:sz w:val="24"/>
          <w:szCs w:val="24"/>
          <w:lang w:val="en-GB"/>
        </w:rPr>
        <w:t>n the E</w:t>
      </w:r>
      <w:r w:rsidR="004A1AAC" w:rsidRPr="002353FE">
        <w:rPr>
          <w:rFonts w:ascii="Verdana" w:eastAsiaTheme="minorHAnsi" w:hAnsi="Verdana" w:cstheme="majorBidi"/>
          <w:sz w:val="24"/>
          <w:szCs w:val="24"/>
          <w:lang w:val="en-GB"/>
        </w:rPr>
        <w:t>uropean Union (E</w:t>
      </w:r>
      <w:r w:rsidR="00E752CF" w:rsidRPr="002353FE">
        <w:rPr>
          <w:rFonts w:ascii="Verdana" w:eastAsiaTheme="minorHAnsi" w:hAnsi="Verdana" w:cstheme="majorBidi"/>
          <w:sz w:val="24"/>
          <w:szCs w:val="24"/>
          <w:lang w:val="en-GB"/>
        </w:rPr>
        <w:t>U</w:t>
      </w:r>
      <w:r w:rsidR="004A1AAC" w:rsidRPr="002353FE">
        <w:rPr>
          <w:rFonts w:ascii="Verdana" w:eastAsiaTheme="minorHAnsi" w:hAnsi="Verdana" w:cstheme="majorBidi"/>
          <w:sz w:val="24"/>
          <w:szCs w:val="24"/>
          <w:lang w:val="en-GB"/>
        </w:rPr>
        <w:t>)</w:t>
      </w:r>
      <w:r w:rsidR="00E752CF" w:rsidRPr="002353FE">
        <w:rPr>
          <w:rFonts w:ascii="Verdana" w:eastAsiaTheme="minorHAnsi" w:hAnsi="Verdana" w:cstheme="majorBidi"/>
          <w:sz w:val="24"/>
          <w:szCs w:val="24"/>
          <w:lang w:val="en-GB"/>
        </w:rPr>
        <w:t>, the European Consumer Agenda</w:t>
      </w:r>
      <w:r w:rsidR="00727F9B" w:rsidRPr="002353FE">
        <w:rPr>
          <w:rFonts w:ascii="Verdana" w:eastAsiaTheme="minorHAnsi" w:hAnsi="Verdana" w:cstheme="majorBidi"/>
          <w:sz w:val="24"/>
          <w:szCs w:val="24"/>
          <w:lang w:val="en-GB"/>
        </w:rPr>
        <w:t xml:space="preserve"> has </w:t>
      </w:r>
      <w:r w:rsidR="00E752CF" w:rsidRPr="002353FE">
        <w:rPr>
          <w:rFonts w:ascii="Verdana" w:eastAsiaTheme="minorHAnsi" w:hAnsi="Verdana" w:cstheme="majorBidi"/>
          <w:sz w:val="24"/>
          <w:szCs w:val="24"/>
          <w:lang w:val="en-GB"/>
        </w:rPr>
        <w:t>highlighted th</w:t>
      </w:r>
      <w:r w:rsidR="001074DE" w:rsidRPr="002353FE">
        <w:rPr>
          <w:rFonts w:ascii="Verdana" w:eastAsiaTheme="minorHAnsi" w:hAnsi="Verdana" w:cstheme="majorBidi"/>
          <w:sz w:val="24"/>
          <w:szCs w:val="24"/>
          <w:lang w:val="en-GB"/>
        </w:rPr>
        <w:t xml:space="preserve">e importance of </w:t>
      </w:r>
      <w:r w:rsidR="00E752CF" w:rsidRPr="002353FE">
        <w:rPr>
          <w:rFonts w:ascii="Verdana" w:eastAsiaTheme="minorHAnsi" w:hAnsi="Verdana" w:cstheme="majorBidi"/>
          <w:sz w:val="24"/>
          <w:szCs w:val="24"/>
          <w:lang w:val="en-GB"/>
        </w:rPr>
        <w:t xml:space="preserve">consumer education, emphasizing </w:t>
      </w:r>
      <w:r w:rsidR="00902058" w:rsidRPr="002353FE">
        <w:rPr>
          <w:rFonts w:ascii="Verdana" w:eastAsiaTheme="minorHAnsi" w:hAnsi="Verdana" w:cstheme="majorBidi"/>
          <w:sz w:val="24"/>
          <w:szCs w:val="24"/>
          <w:lang w:val="en-GB"/>
        </w:rPr>
        <w:t xml:space="preserve">improved </w:t>
      </w:r>
      <w:r w:rsidR="00E752CF" w:rsidRPr="002353FE">
        <w:rPr>
          <w:rFonts w:ascii="Verdana" w:eastAsiaTheme="minorHAnsi" w:hAnsi="Verdana" w:cstheme="majorBidi"/>
          <w:sz w:val="24"/>
          <w:szCs w:val="24"/>
          <w:lang w:val="en-GB"/>
        </w:rPr>
        <w:t xml:space="preserve">knowledge </w:t>
      </w:r>
      <w:r w:rsidR="00902058" w:rsidRPr="002353FE">
        <w:rPr>
          <w:rFonts w:ascii="Verdana" w:eastAsiaTheme="minorHAnsi" w:hAnsi="Verdana" w:cstheme="majorBidi"/>
          <w:sz w:val="24"/>
          <w:szCs w:val="24"/>
          <w:lang w:val="en-GB"/>
        </w:rPr>
        <w:t xml:space="preserve">is required for </w:t>
      </w:r>
      <w:r w:rsidR="00E752CF" w:rsidRPr="002353FE">
        <w:rPr>
          <w:rFonts w:ascii="Verdana" w:eastAsiaTheme="minorHAnsi" w:hAnsi="Verdana" w:cstheme="majorBidi"/>
          <w:sz w:val="24"/>
          <w:szCs w:val="24"/>
          <w:lang w:val="en-GB"/>
        </w:rPr>
        <w:t xml:space="preserve">effective consumer participation in the marketplace (Brennan </w:t>
      </w:r>
      <w:r w:rsidR="00E752CF" w:rsidRPr="002353FE">
        <w:rPr>
          <w:rFonts w:ascii="Verdana" w:eastAsiaTheme="minorHAnsi" w:hAnsi="Verdana" w:cstheme="majorBidi"/>
          <w:i/>
          <w:iCs/>
          <w:sz w:val="24"/>
          <w:szCs w:val="24"/>
          <w:lang w:val="en-GB"/>
        </w:rPr>
        <w:t>et al</w:t>
      </w:r>
      <w:r w:rsidR="005F27D6" w:rsidRPr="002353FE">
        <w:rPr>
          <w:rFonts w:ascii="Verdana" w:eastAsiaTheme="minorHAnsi" w:hAnsi="Verdana" w:cstheme="majorBidi"/>
          <w:sz w:val="24"/>
          <w:szCs w:val="24"/>
          <w:lang w:val="en-GB"/>
        </w:rPr>
        <w:t>.,</w:t>
      </w:r>
      <w:r w:rsidR="00E752CF" w:rsidRPr="002353FE">
        <w:rPr>
          <w:rFonts w:ascii="Verdana" w:eastAsiaTheme="minorHAnsi" w:hAnsi="Verdana" w:cstheme="majorBidi"/>
          <w:sz w:val="24"/>
          <w:szCs w:val="24"/>
          <w:lang w:val="en-GB"/>
        </w:rPr>
        <w:t xml:space="preserve"> 2017). </w:t>
      </w:r>
    </w:p>
    <w:p w14:paraId="76C2D8EB" w14:textId="3D390DAF" w:rsidR="00BE090E" w:rsidRPr="002353FE" w:rsidRDefault="00FD786F" w:rsidP="00F07FF3">
      <w:pPr>
        <w:spacing w:before="120" w:after="120" w:line="480" w:lineRule="auto"/>
        <w:jc w:val="both"/>
        <w:rPr>
          <w:rFonts w:ascii="Verdana" w:hAnsi="Verdana" w:cs="Tahoma"/>
          <w:sz w:val="24"/>
          <w:szCs w:val="24"/>
          <w:lang w:val="en-GB"/>
        </w:rPr>
      </w:pPr>
      <w:r w:rsidRPr="001E7395">
        <w:rPr>
          <w:rFonts w:ascii="Verdana" w:hAnsi="Verdana" w:cs="Tahoma"/>
          <w:sz w:val="24"/>
          <w:szCs w:val="24"/>
          <w:lang w:val="en-GB"/>
        </w:rPr>
        <w:t>In summary</w:t>
      </w:r>
      <w:r w:rsidR="00EF0ADF" w:rsidRPr="002353FE">
        <w:rPr>
          <w:rFonts w:ascii="Verdana" w:hAnsi="Verdana" w:cs="Tahoma"/>
          <w:sz w:val="24"/>
          <w:szCs w:val="24"/>
          <w:lang w:val="en-GB"/>
        </w:rPr>
        <w:t>,</w:t>
      </w:r>
      <w:r w:rsidRPr="001E7395">
        <w:rPr>
          <w:rFonts w:ascii="Verdana" w:hAnsi="Verdana" w:cs="Tahoma"/>
          <w:sz w:val="24"/>
          <w:szCs w:val="24"/>
          <w:lang w:val="en-GB"/>
        </w:rPr>
        <w:t xml:space="preserve"> a wide range of </w:t>
      </w:r>
      <w:r w:rsidR="001F4BD6" w:rsidRPr="001E7395">
        <w:rPr>
          <w:rFonts w:ascii="Verdana" w:hAnsi="Verdana" w:cs="Tahoma"/>
          <w:sz w:val="24"/>
          <w:szCs w:val="24"/>
          <w:lang w:val="en-GB"/>
        </w:rPr>
        <w:t>theories have addressed why customer ch</w:t>
      </w:r>
      <w:r w:rsidR="00B07750" w:rsidRPr="001E7395">
        <w:rPr>
          <w:rFonts w:ascii="Verdana" w:hAnsi="Verdana" w:cs="Tahoma"/>
          <w:sz w:val="24"/>
          <w:szCs w:val="24"/>
          <w:lang w:val="en-GB"/>
        </w:rPr>
        <w:t>o</w:t>
      </w:r>
      <w:r w:rsidR="001F4BD6" w:rsidRPr="001E7395">
        <w:rPr>
          <w:rFonts w:ascii="Verdana" w:hAnsi="Verdana" w:cs="Tahoma"/>
          <w:sz w:val="24"/>
          <w:szCs w:val="24"/>
          <w:lang w:val="en-GB"/>
        </w:rPr>
        <w:t>o</w:t>
      </w:r>
      <w:r w:rsidR="00F85BA1" w:rsidRPr="001E7395">
        <w:rPr>
          <w:rFonts w:ascii="Verdana" w:hAnsi="Verdana" w:cs="Tahoma"/>
          <w:sz w:val="24"/>
          <w:szCs w:val="24"/>
          <w:lang w:val="en-GB"/>
        </w:rPr>
        <w:t xml:space="preserve">se to switch their personal current account provider. These theories vary in their predictions. </w:t>
      </w:r>
      <w:r w:rsidR="008F5860" w:rsidRPr="001E7395">
        <w:rPr>
          <w:rFonts w:ascii="Verdana" w:hAnsi="Verdana" w:cs="Tahoma"/>
          <w:sz w:val="24"/>
          <w:szCs w:val="24"/>
          <w:lang w:val="en-GB"/>
        </w:rPr>
        <w:t xml:space="preserve">Churn theories has focused on the multitude of factors affecting the </w:t>
      </w:r>
      <w:r w:rsidR="009E3479" w:rsidRPr="001E7395">
        <w:rPr>
          <w:rFonts w:ascii="Verdana" w:hAnsi="Verdana" w:cs="Tahoma"/>
          <w:sz w:val="24"/>
          <w:szCs w:val="24"/>
          <w:lang w:val="en-GB"/>
        </w:rPr>
        <w:t>s</w:t>
      </w:r>
      <w:r w:rsidR="008F5860" w:rsidRPr="001E7395">
        <w:rPr>
          <w:rFonts w:ascii="Verdana" w:hAnsi="Verdana" w:cs="Tahoma"/>
          <w:sz w:val="24"/>
          <w:szCs w:val="24"/>
          <w:lang w:val="en-GB"/>
        </w:rPr>
        <w:t>wi</w:t>
      </w:r>
      <w:r w:rsidR="009E3479" w:rsidRPr="001E7395">
        <w:rPr>
          <w:rFonts w:ascii="Verdana" w:hAnsi="Verdana" w:cs="Tahoma"/>
          <w:sz w:val="24"/>
          <w:szCs w:val="24"/>
          <w:lang w:val="en-GB"/>
        </w:rPr>
        <w:t>t</w:t>
      </w:r>
      <w:r w:rsidR="008F5860" w:rsidRPr="001E7395">
        <w:rPr>
          <w:rFonts w:ascii="Verdana" w:hAnsi="Verdana" w:cs="Tahoma"/>
          <w:sz w:val="24"/>
          <w:szCs w:val="24"/>
          <w:lang w:val="en-GB"/>
        </w:rPr>
        <w:t>c</w:t>
      </w:r>
      <w:r w:rsidR="009E3479" w:rsidRPr="001E7395">
        <w:rPr>
          <w:rFonts w:ascii="Verdana" w:hAnsi="Verdana" w:cs="Tahoma"/>
          <w:sz w:val="24"/>
          <w:szCs w:val="24"/>
          <w:lang w:val="en-GB"/>
        </w:rPr>
        <w:t>h</w:t>
      </w:r>
      <w:r w:rsidR="008F5860" w:rsidRPr="001E7395">
        <w:rPr>
          <w:rFonts w:ascii="Verdana" w:hAnsi="Verdana" w:cs="Tahoma"/>
          <w:sz w:val="24"/>
          <w:szCs w:val="24"/>
          <w:lang w:val="en-GB"/>
        </w:rPr>
        <w:t>ing process</w:t>
      </w:r>
      <w:r w:rsidR="009E3479" w:rsidRPr="001E7395">
        <w:rPr>
          <w:rFonts w:ascii="Verdana" w:hAnsi="Verdana" w:cs="Tahoma"/>
          <w:sz w:val="24"/>
          <w:szCs w:val="24"/>
          <w:lang w:val="en-GB"/>
        </w:rPr>
        <w:t>. Th</w:t>
      </w:r>
      <w:r w:rsidR="008F5860" w:rsidRPr="001E7395">
        <w:rPr>
          <w:rFonts w:ascii="Verdana" w:hAnsi="Verdana" w:cs="Tahoma"/>
          <w:sz w:val="24"/>
          <w:szCs w:val="24"/>
          <w:lang w:val="en-GB"/>
        </w:rPr>
        <w:t>e financial eco</w:t>
      </w:r>
      <w:r w:rsidR="003A0B91" w:rsidRPr="001E7395">
        <w:rPr>
          <w:rFonts w:ascii="Verdana" w:hAnsi="Verdana" w:cs="Tahoma"/>
          <w:sz w:val="24"/>
          <w:szCs w:val="24"/>
          <w:lang w:val="en-GB"/>
        </w:rPr>
        <w:t>logies literature has focused on the place of consumer within society</w:t>
      </w:r>
      <w:r w:rsidR="00B57D24" w:rsidRPr="001E7395">
        <w:rPr>
          <w:rFonts w:ascii="Verdana" w:hAnsi="Verdana" w:cs="Tahoma"/>
          <w:sz w:val="24"/>
          <w:szCs w:val="24"/>
          <w:lang w:val="en-GB"/>
        </w:rPr>
        <w:t xml:space="preserve"> to explain switching decisions</w:t>
      </w:r>
      <w:r w:rsidR="00045BAE" w:rsidRPr="001E7395">
        <w:rPr>
          <w:rFonts w:ascii="Verdana" w:hAnsi="Verdana" w:cs="Tahoma"/>
          <w:sz w:val="24"/>
          <w:szCs w:val="24"/>
          <w:lang w:val="en-GB"/>
        </w:rPr>
        <w:t>. L</w:t>
      </w:r>
      <w:r w:rsidR="003A0B91" w:rsidRPr="001E7395">
        <w:rPr>
          <w:rFonts w:ascii="Verdana" w:hAnsi="Verdana" w:cs="Tahoma"/>
          <w:sz w:val="24"/>
          <w:szCs w:val="24"/>
          <w:lang w:val="en-GB"/>
        </w:rPr>
        <w:t>astly</w:t>
      </w:r>
      <w:r w:rsidR="00B57D24" w:rsidRPr="001E7395">
        <w:rPr>
          <w:rFonts w:ascii="Verdana" w:hAnsi="Verdana" w:cs="Tahoma"/>
          <w:sz w:val="24"/>
          <w:szCs w:val="24"/>
          <w:lang w:val="en-GB"/>
        </w:rPr>
        <w:t>,</w:t>
      </w:r>
      <w:r w:rsidR="003A0B91" w:rsidRPr="001E7395">
        <w:rPr>
          <w:rFonts w:ascii="Verdana" w:hAnsi="Verdana" w:cs="Tahoma"/>
          <w:sz w:val="24"/>
          <w:szCs w:val="24"/>
          <w:lang w:val="en-GB"/>
        </w:rPr>
        <w:t xml:space="preserve"> consumer vulnerability </w:t>
      </w:r>
      <w:r w:rsidR="00BE56D7" w:rsidRPr="001E7395">
        <w:rPr>
          <w:rFonts w:ascii="Verdana" w:hAnsi="Verdana" w:cs="Tahoma"/>
          <w:sz w:val="24"/>
          <w:szCs w:val="24"/>
          <w:lang w:val="en-GB"/>
        </w:rPr>
        <w:t xml:space="preserve">work has emphaised the why </w:t>
      </w:r>
      <w:r w:rsidR="009E3479" w:rsidRPr="001E7395">
        <w:rPr>
          <w:rFonts w:ascii="Verdana" w:hAnsi="Verdana" w:cs="Tahoma"/>
          <w:sz w:val="24"/>
          <w:szCs w:val="24"/>
          <w:lang w:val="en-GB"/>
        </w:rPr>
        <w:t>poor</w:t>
      </w:r>
      <w:r w:rsidR="00B57D24" w:rsidRPr="001E7395">
        <w:rPr>
          <w:rFonts w:ascii="Verdana" w:hAnsi="Verdana" w:cs="Tahoma"/>
          <w:sz w:val="24"/>
          <w:szCs w:val="24"/>
          <w:lang w:val="en-GB"/>
        </w:rPr>
        <w:t xml:space="preserve"> or no </w:t>
      </w:r>
      <w:r w:rsidR="009E3479" w:rsidRPr="001E7395">
        <w:rPr>
          <w:rFonts w:ascii="Verdana" w:hAnsi="Verdana" w:cs="Tahoma"/>
          <w:sz w:val="24"/>
          <w:szCs w:val="24"/>
          <w:lang w:val="en-GB"/>
        </w:rPr>
        <w:t>switching dec</w:t>
      </w:r>
      <w:r w:rsidR="00B57D24" w:rsidRPr="001E7395">
        <w:rPr>
          <w:rFonts w:ascii="Verdana" w:hAnsi="Verdana" w:cs="Tahoma"/>
          <w:sz w:val="24"/>
          <w:szCs w:val="24"/>
          <w:lang w:val="en-GB"/>
        </w:rPr>
        <w:t>i</w:t>
      </w:r>
      <w:r w:rsidR="009E3479" w:rsidRPr="001E7395">
        <w:rPr>
          <w:rFonts w:ascii="Verdana" w:hAnsi="Verdana" w:cs="Tahoma"/>
          <w:sz w:val="24"/>
          <w:szCs w:val="24"/>
          <w:lang w:val="en-GB"/>
        </w:rPr>
        <w:t xml:space="preserve">sions </w:t>
      </w:r>
      <w:r w:rsidR="00B57D24" w:rsidRPr="001E7395">
        <w:rPr>
          <w:rFonts w:ascii="Verdana" w:hAnsi="Verdana" w:cs="Tahoma"/>
          <w:sz w:val="24"/>
          <w:szCs w:val="24"/>
          <w:lang w:val="en-GB"/>
        </w:rPr>
        <w:t>can arise,</w:t>
      </w:r>
      <w:r w:rsidR="009E3479" w:rsidRPr="001E7395">
        <w:rPr>
          <w:rFonts w:ascii="Verdana" w:hAnsi="Verdana" w:cs="Tahoma"/>
          <w:sz w:val="24"/>
          <w:szCs w:val="24"/>
          <w:lang w:val="en-GB"/>
        </w:rPr>
        <w:t xml:space="preserve"> </w:t>
      </w:r>
      <w:r w:rsidR="00045BAE" w:rsidRPr="001E7395">
        <w:rPr>
          <w:rFonts w:ascii="Verdana" w:hAnsi="Verdana" w:cs="Tahoma"/>
          <w:sz w:val="24"/>
          <w:szCs w:val="24"/>
          <w:lang w:val="en-GB"/>
        </w:rPr>
        <w:t>be this for personal o</w:t>
      </w:r>
      <w:r w:rsidR="00BE090E" w:rsidRPr="002353FE">
        <w:rPr>
          <w:rFonts w:ascii="Verdana" w:hAnsi="Verdana" w:cs="Tahoma"/>
          <w:sz w:val="24"/>
          <w:szCs w:val="24"/>
          <w:lang w:val="en-GB"/>
        </w:rPr>
        <w:t>r</w:t>
      </w:r>
      <w:r w:rsidR="00045BAE" w:rsidRPr="001E7395">
        <w:rPr>
          <w:rFonts w:ascii="Verdana" w:hAnsi="Verdana" w:cs="Tahoma"/>
          <w:sz w:val="24"/>
          <w:szCs w:val="24"/>
          <w:lang w:val="en-GB"/>
        </w:rPr>
        <w:t xml:space="preserve"> firm level influences. </w:t>
      </w:r>
    </w:p>
    <w:p w14:paraId="622D06DD" w14:textId="6D688E56" w:rsidR="007C5ACC" w:rsidRPr="001E7395" w:rsidRDefault="00512878" w:rsidP="00F07FF3">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While presenting a diverse range of predictions th</w:t>
      </w:r>
      <w:r w:rsidR="00045BAE" w:rsidRPr="001E7395">
        <w:rPr>
          <w:rFonts w:ascii="Verdana" w:hAnsi="Verdana" w:cs="Tahoma"/>
          <w:sz w:val="24"/>
          <w:szCs w:val="24"/>
          <w:lang w:val="en-GB"/>
        </w:rPr>
        <w:t xml:space="preserve">ese </w:t>
      </w:r>
      <w:r w:rsidR="00B57D24" w:rsidRPr="001E7395">
        <w:rPr>
          <w:rFonts w:ascii="Verdana" w:hAnsi="Verdana" w:cs="Tahoma"/>
          <w:sz w:val="24"/>
          <w:szCs w:val="24"/>
          <w:lang w:val="en-GB"/>
        </w:rPr>
        <w:t xml:space="preserve">different </w:t>
      </w:r>
      <w:r w:rsidR="00045BAE" w:rsidRPr="001E7395">
        <w:rPr>
          <w:rFonts w:ascii="Verdana" w:hAnsi="Verdana" w:cs="Tahoma"/>
          <w:sz w:val="24"/>
          <w:szCs w:val="24"/>
          <w:lang w:val="en-GB"/>
        </w:rPr>
        <w:t xml:space="preserve">theoretical approaches, </w:t>
      </w:r>
      <w:r w:rsidRPr="002353FE">
        <w:rPr>
          <w:rFonts w:ascii="Verdana" w:hAnsi="Verdana" w:cs="Tahoma"/>
          <w:sz w:val="24"/>
          <w:szCs w:val="24"/>
          <w:lang w:val="en-GB"/>
        </w:rPr>
        <w:t>do</w:t>
      </w:r>
      <w:r w:rsidR="00045BAE" w:rsidRPr="001E7395">
        <w:rPr>
          <w:rFonts w:ascii="Verdana" w:hAnsi="Verdana" w:cs="Tahoma"/>
          <w:sz w:val="24"/>
          <w:szCs w:val="24"/>
          <w:lang w:val="en-GB"/>
        </w:rPr>
        <w:t xml:space="preserve"> </w:t>
      </w:r>
      <w:r w:rsidR="00B150F1" w:rsidRPr="001E7395">
        <w:rPr>
          <w:rFonts w:ascii="Verdana" w:hAnsi="Verdana" w:cs="Tahoma"/>
          <w:sz w:val="24"/>
          <w:szCs w:val="24"/>
          <w:lang w:val="en-GB"/>
        </w:rPr>
        <w:t>have common</w:t>
      </w:r>
      <w:r w:rsidR="00D65C5C" w:rsidRPr="001E7395">
        <w:rPr>
          <w:rFonts w:ascii="Verdana" w:hAnsi="Verdana" w:cs="Tahoma"/>
          <w:sz w:val="24"/>
          <w:szCs w:val="24"/>
          <w:lang w:val="en-GB"/>
        </w:rPr>
        <w:t xml:space="preserve">alities. </w:t>
      </w:r>
      <w:r w:rsidRPr="002353FE">
        <w:rPr>
          <w:rFonts w:ascii="Verdana" w:hAnsi="Verdana" w:cs="Tahoma"/>
          <w:sz w:val="24"/>
          <w:szCs w:val="24"/>
          <w:lang w:val="en-GB"/>
        </w:rPr>
        <w:t xml:space="preserve">Clearly, </w:t>
      </w:r>
      <w:r w:rsidR="00B150F1" w:rsidRPr="001E7395">
        <w:rPr>
          <w:rFonts w:ascii="Verdana" w:hAnsi="Verdana" w:cs="Tahoma"/>
          <w:sz w:val="24"/>
          <w:szCs w:val="24"/>
          <w:lang w:val="en-GB"/>
        </w:rPr>
        <w:t xml:space="preserve">individual socio-economic factors are </w:t>
      </w:r>
      <w:r w:rsidRPr="002353FE">
        <w:rPr>
          <w:rFonts w:ascii="Verdana" w:hAnsi="Verdana" w:cs="Tahoma"/>
          <w:sz w:val="24"/>
          <w:szCs w:val="24"/>
          <w:lang w:val="en-GB"/>
        </w:rPr>
        <w:t xml:space="preserve">viewed to be </w:t>
      </w:r>
      <w:r w:rsidR="00872BC5" w:rsidRPr="002353FE">
        <w:rPr>
          <w:rFonts w:ascii="Verdana" w:hAnsi="Verdana" w:cs="Tahoma"/>
          <w:sz w:val="24"/>
          <w:szCs w:val="24"/>
          <w:lang w:val="en-GB"/>
        </w:rPr>
        <w:t xml:space="preserve">influential </w:t>
      </w:r>
      <w:r w:rsidR="003170BA" w:rsidRPr="002353FE">
        <w:rPr>
          <w:rFonts w:ascii="Verdana" w:hAnsi="Verdana" w:cs="Tahoma"/>
          <w:sz w:val="24"/>
          <w:szCs w:val="24"/>
          <w:lang w:val="en-GB"/>
        </w:rPr>
        <w:t xml:space="preserve">within </w:t>
      </w:r>
      <w:r w:rsidR="00B150F1" w:rsidRPr="001E7395">
        <w:rPr>
          <w:rFonts w:ascii="Verdana" w:hAnsi="Verdana" w:cs="Tahoma"/>
          <w:sz w:val="24"/>
          <w:szCs w:val="24"/>
          <w:lang w:val="en-GB"/>
        </w:rPr>
        <w:t xml:space="preserve">switching decision </w:t>
      </w:r>
      <w:r w:rsidR="00872BC5" w:rsidRPr="002353FE">
        <w:rPr>
          <w:rFonts w:ascii="Verdana" w:hAnsi="Verdana" w:cs="Tahoma"/>
          <w:sz w:val="24"/>
          <w:szCs w:val="24"/>
          <w:lang w:val="en-GB"/>
        </w:rPr>
        <w:t xml:space="preserve">making. Further all theories </w:t>
      </w:r>
      <w:r w:rsidR="00966CC2" w:rsidRPr="002353FE">
        <w:rPr>
          <w:rFonts w:ascii="Verdana" w:hAnsi="Verdana" w:cs="Tahoma"/>
          <w:sz w:val="24"/>
          <w:szCs w:val="24"/>
          <w:lang w:val="en-GB"/>
        </w:rPr>
        <w:t xml:space="preserve">assume that </w:t>
      </w:r>
      <w:r w:rsidR="001E50E1" w:rsidRPr="001E7395">
        <w:rPr>
          <w:rFonts w:ascii="Verdana" w:hAnsi="Verdana" w:cs="Tahoma"/>
          <w:sz w:val="24"/>
          <w:szCs w:val="24"/>
          <w:lang w:val="en-GB"/>
        </w:rPr>
        <w:t>switching decision</w:t>
      </w:r>
      <w:r w:rsidR="007C5ACC" w:rsidRPr="001E7395">
        <w:rPr>
          <w:rFonts w:ascii="Verdana" w:hAnsi="Verdana" w:cs="Tahoma"/>
          <w:sz w:val="24"/>
          <w:szCs w:val="24"/>
          <w:lang w:val="en-GB"/>
        </w:rPr>
        <w:t>s</w:t>
      </w:r>
      <w:r w:rsidR="001E50E1" w:rsidRPr="001E7395">
        <w:rPr>
          <w:rFonts w:ascii="Verdana" w:hAnsi="Verdana" w:cs="Tahoma"/>
          <w:sz w:val="24"/>
          <w:szCs w:val="24"/>
          <w:lang w:val="en-GB"/>
        </w:rPr>
        <w:t xml:space="preserve"> arise from </w:t>
      </w:r>
      <w:r w:rsidR="008037F6" w:rsidRPr="001E7395">
        <w:rPr>
          <w:rFonts w:ascii="Verdana" w:hAnsi="Verdana" w:cs="Tahoma"/>
          <w:sz w:val="24"/>
          <w:szCs w:val="24"/>
          <w:lang w:val="en-GB"/>
        </w:rPr>
        <w:t xml:space="preserve">more than </w:t>
      </w:r>
      <w:r w:rsidR="008037F6" w:rsidRPr="001E7395">
        <w:rPr>
          <w:rFonts w:ascii="Verdana" w:hAnsi="Verdana" w:cs="Tahoma"/>
          <w:sz w:val="24"/>
          <w:szCs w:val="24"/>
          <w:lang w:val="en-GB"/>
        </w:rPr>
        <w:lastRenderedPageBreak/>
        <w:t xml:space="preserve">just personal </w:t>
      </w:r>
      <w:r w:rsidR="00E02894" w:rsidRPr="001E7395">
        <w:rPr>
          <w:rFonts w:ascii="Verdana" w:hAnsi="Verdana" w:cs="Tahoma"/>
          <w:sz w:val="24"/>
          <w:szCs w:val="24"/>
          <w:lang w:val="en-GB"/>
        </w:rPr>
        <w:t>decision-making</w:t>
      </w:r>
      <w:r w:rsidR="008037F6" w:rsidRPr="001E7395">
        <w:rPr>
          <w:rFonts w:ascii="Verdana" w:hAnsi="Verdana" w:cs="Tahoma"/>
          <w:sz w:val="24"/>
          <w:szCs w:val="24"/>
          <w:lang w:val="en-GB"/>
        </w:rPr>
        <w:t xml:space="preserve"> abilities. </w:t>
      </w:r>
      <w:r w:rsidR="00E02894" w:rsidRPr="001E7395">
        <w:rPr>
          <w:rFonts w:ascii="Verdana" w:hAnsi="Verdana" w:cs="Tahoma"/>
          <w:sz w:val="24"/>
          <w:szCs w:val="24"/>
          <w:lang w:val="en-GB"/>
        </w:rPr>
        <w:t xml:space="preserve">Drawing on these insights we now turn to </w:t>
      </w:r>
      <w:r w:rsidR="00A16BA5" w:rsidRPr="001E7395">
        <w:rPr>
          <w:rFonts w:ascii="Verdana" w:hAnsi="Verdana" w:cs="Tahoma"/>
          <w:sz w:val="24"/>
          <w:szCs w:val="24"/>
          <w:lang w:val="en-GB"/>
        </w:rPr>
        <w:t xml:space="preserve">the analysis where we examine the socio-economic factors influencing personal current account switching and if national policies focused on </w:t>
      </w:r>
      <w:r w:rsidR="00966CC2" w:rsidRPr="002353FE">
        <w:rPr>
          <w:rFonts w:ascii="Verdana" w:hAnsi="Verdana" w:cs="Tahoma"/>
          <w:sz w:val="24"/>
          <w:szCs w:val="24"/>
          <w:lang w:val="en-GB"/>
        </w:rPr>
        <w:t xml:space="preserve">enhancing </w:t>
      </w:r>
      <w:r w:rsidR="006A4DEC" w:rsidRPr="001E7395">
        <w:rPr>
          <w:rFonts w:ascii="Verdana" w:hAnsi="Verdana" w:cs="Tahoma"/>
          <w:sz w:val="24"/>
          <w:szCs w:val="24"/>
          <w:lang w:val="en-GB"/>
        </w:rPr>
        <w:t xml:space="preserve">individual </w:t>
      </w:r>
      <w:r w:rsidR="007C5ACC" w:rsidRPr="001E7395">
        <w:rPr>
          <w:rFonts w:ascii="Verdana" w:hAnsi="Verdana" w:cs="Tahoma"/>
          <w:sz w:val="24"/>
          <w:szCs w:val="24"/>
          <w:lang w:val="en-GB"/>
        </w:rPr>
        <w:t>decision-making</w:t>
      </w:r>
      <w:r w:rsidR="006A4DEC" w:rsidRPr="001E7395">
        <w:rPr>
          <w:rFonts w:ascii="Verdana" w:hAnsi="Verdana" w:cs="Tahoma"/>
          <w:sz w:val="24"/>
          <w:szCs w:val="24"/>
          <w:lang w:val="en-GB"/>
        </w:rPr>
        <w:t xml:space="preserve"> abilities (</w:t>
      </w:r>
      <w:r w:rsidR="00966CC2" w:rsidRPr="002353FE">
        <w:rPr>
          <w:rFonts w:ascii="Verdana" w:hAnsi="Verdana" w:cs="Tahoma"/>
          <w:sz w:val="24"/>
          <w:szCs w:val="24"/>
          <w:lang w:val="en-GB"/>
        </w:rPr>
        <w:t xml:space="preserve">through </w:t>
      </w:r>
      <w:r w:rsidR="006A4DEC" w:rsidRPr="001E7395">
        <w:rPr>
          <w:rFonts w:ascii="Verdana" w:hAnsi="Verdana" w:cs="Tahoma"/>
          <w:sz w:val="24"/>
          <w:szCs w:val="24"/>
          <w:lang w:val="en-GB"/>
        </w:rPr>
        <w:t>financial education and information disclosure</w:t>
      </w:r>
      <w:r w:rsidR="00B07750" w:rsidRPr="001E7395">
        <w:rPr>
          <w:rFonts w:ascii="Verdana" w:hAnsi="Verdana" w:cs="Tahoma"/>
          <w:sz w:val="24"/>
          <w:szCs w:val="24"/>
          <w:lang w:val="en-GB"/>
        </w:rPr>
        <w:t>) are influential</w:t>
      </w:r>
      <w:r w:rsidR="007C5ACC" w:rsidRPr="001E7395">
        <w:rPr>
          <w:rFonts w:ascii="Verdana" w:hAnsi="Verdana" w:cs="Tahoma"/>
          <w:sz w:val="24"/>
          <w:szCs w:val="24"/>
          <w:lang w:val="en-GB"/>
        </w:rPr>
        <w:t xml:space="preserve"> </w:t>
      </w:r>
      <w:r w:rsidR="003170BA" w:rsidRPr="002353FE">
        <w:rPr>
          <w:rFonts w:ascii="Verdana" w:hAnsi="Verdana" w:cs="Tahoma"/>
          <w:sz w:val="24"/>
          <w:szCs w:val="24"/>
          <w:lang w:val="en-GB"/>
        </w:rPr>
        <w:t xml:space="preserve">on bank swithichign decisions, </w:t>
      </w:r>
      <w:r w:rsidR="007C5ACC" w:rsidRPr="001E7395">
        <w:rPr>
          <w:rFonts w:ascii="Verdana" w:hAnsi="Verdana" w:cs="Tahoma"/>
          <w:sz w:val="24"/>
          <w:szCs w:val="24"/>
          <w:lang w:val="en-GB"/>
        </w:rPr>
        <w:t>or otherwise</w:t>
      </w:r>
      <w:r w:rsidR="00B07750" w:rsidRPr="001E7395">
        <w:rPr>
          <w:rFonts w:ascii="Verdana" w:hAnsi="Verdana" w:cs="Tahoma"/>
          <w:sz w:val="24"/>
          <w:szCs w:val="24"/>
          <w:lang w:val="en-GB"/>
        </w:rPr>
        <w:t xml:space="preserve">. </w:t>
      </w:r>
      <w:r w:rsidR="006A4DEC" w:rsidRPr="001E7395">
        <w:rPr>
          <w:rFonts w:ascii="Verdana" w:hAnsi="Verdana" w:cs="Tahoma"/>
          <w:sz w:val="24"/>
          <w:szCs w:val="24"/>
          <w:lang w:val="en-GB"/>
        </w:rPr>
        <w:t xml:space="preserve"> </w:t>
      </w:r>
      <w:r w:rsidR="00A16BA5" w:rsidRPr="001E7395">
        <w:rPr>
          <w:rFonts w:ascii="Verdana" w:hAnsi="Verdana" w:cs="Tahoma"/>
          <w:sz w:val="24"/>
          <w:szCs w:val="24"/>
          <w:lang w:val="en-GB"/>
        </w:rPr>
        <w:t xml:space="preserve"> </w:t>
      </w:r>
      <w:r w:rsidR="008037F6" w:rsidRPr="001E7395">
        <w:rPr>
          <w:rFonts w:ascii="Verdana" w:hAnsi="Verdana" w:cs="Tahoma"/>
          <w:sz w:val="24"/>
          <w:szCs w:val="24"/>
          <w:lang w:val="en-GB"/>
        </w:rPr>
        <w:t xml:space="preserve"> </w:t>
      </w:r>
      <w:r w:rsidR="001E50E1" w:rsidRPr="001E7395">
        <w:rPr>
          <w:rFonts w:ascii="Verdana" w:hAnsi="Verdana" w:cs="Tahoma"/>
          <w:sz w:val="24"/>
          <w:szCs w:val="24"/>
          <w:lang w:val="en-GB"/>
        </w:rPr>
        <w:t xml:space="preserve"> </w:t>
      </w:r>
    </w:p>
    <w:p w14:paraId="7A7F8467" w14:textId="6065EA59" w:rsidR="00F07FF3" w:rsidRPr="002353FE" w:rsidRDefault="00045BAE" w:rsidP="00F07FF3">
      <w:pPr>
        <w:spacing w:before="120" w:after="120" w:line="480" w:lineRule="auto"/>
        <w:jc w:val="both"/>
        <w:rPr>
          <w:rFonts w:ascii="Verdana" w:hAnsi="Verdana" w:cs="Tahoma"/>
          <w:sz w:val="24"/>
          <w:szCs w:val="24"/>
          <w:lang w:val="en-GB"/>
        </w:rPr>
      </w:pPr>
      <w:r w:rsidRPr="001E7395">
        <w:rPr>
          <w:rFonts w:ascii="Verdana" w:hAnsi="Verdana" w:cs="Tahoma"/>
          <w:sz w:val="24"/>
          <w:szCs w:val="24"/>
          <w:lang w:val="en-GB"/>
        </w:rPr>
        <w:t xml:space="preserve"> </w:t>
      </w:r>
      <w:r w:rsidR="00BE56D7" w:rsidRPr="001E7395">
        <w:rPr>
          <w:rFonts w:ascii="Verdana" w:hAnsi="Verdana" w:cs="Tahoma"/>
          <w:sz w:val="24"/>
          <w:szCs w:val="24"/>
          <w:lang w:val="en-GB"/>
        </w:rPr>
        <w:t xml:space="preserve"> </w:t>
      </w:r>
      <w:r w:rsidR="001F4BD6" w:rsidRPr="001E7395">
        <w:rPr>
          <w:rFonts w:ascii="Verdana" w:hAnsi="Verdana" w:cs="Tahoma"/>
          <w:sz w:val="24"/>
          <w:szCs w:val="24"/>
          <w:lang w:val="en-GB"/>
        </w:rPr>
        <w:t xml:space="preserve"> </w:t>
      </w:r>
    </w:p>
    <w:p w14:paraId="39AB6BCA" w14:textId="6C759624" w:rsidR="009A0C5E" w:rsidRPr="002353FE" w:rsidRDefault="00B125D4" w:rsidP="00B125D4">
      <w:pPr>
        <w:spacing w:before="120" w:after="0" w:line="480" w:lineRule="auto"/>
        <w:jc w:val="both"/>
        <w:rPr>
          <w:rFonts w:ascii="Verdana" w:hAnsi="Verdana" w:cs="Tahoma"/>
          <w:b/>
          <w:sz w:val="28"/>
          <w:szCs w:val="24"/>
          <w:lang w:val="en-GB"/>
        </w:rPr>
      </w:pPr>
      <w:r w:rsidRPr="002353FE">
        <w:rPr>
          <w:rFonts w:ascii="Verdana" w:hAnsi="Verdana" w:cs="Tahoma"/>
          <w:b/>
          <w:sz w:val="28"/>
          <w:szCs w:val="24"/>
          <w:lang w:val="en-GB"/>
        </w:rPr>
        <w:t xml:space="preserve">3. </w:t>
      </w:r>
      <w:r w:rsidRPr="002353FE">
        <w:rPr>
          <w:rFonts w:ascii="Verdana" w:hAnsi="Verdana" w:cs="Tahoma"/>
          <w:b/>
          <w:sz w:val="28"/>
          <w:szCs w:val="24"/>
          <w:lang w:val="en-GB"/>
        </w:rPr>
        <w:tab/>
      </w:r>
      <w:r w:rsidR="0060329F" w:rsidRPr="002353FE">
        <w:rPr>
          <w:rFonts w:ascii="Verdana" w:hAnsi="Verdana" w:cs="Tahoma"/>
          <w:b/>
          <w:sz w:val="28"/>
          <w:szCs w:val="24"/>
          <w:lang w:val="en-GB"/>
        </w:rPr>
        <w:t>Data and empirical approach</w:t>
      </w:r>
    </w:p>
    <w:p w14:paraId="09EFD95B" w14:textId="1B07E6BF" w:rsidR="00EE3E3B" w:rsidRPr="002353FE" w:rsidRDefault="00C27B76" w:rsidP="00EE3E3B">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This section is divided</w:t>
      </w:r>
      <w:r w:rsidR="00EE3E3B" w:rsidRPr="002353FE">
        <w:rPr>
          <w:rFonts w:ascii="Verdana" w:hAnsi="Verdana" w:cs="Tahoma"/>
          <w:sz w:val="24"/>
          <w:szCs w:val="24"/>
          <w:lang w:val="en-GB"/>
        </w:rPr>
        <w:t xml:space="preserve"> </w:t>
      </w:r>
      <w:r w:rsidRPr="002353FE">
        <w:rPr>
          <w:rFonts w:ascii="Verdana" w:hAnsi="Verdana" w:cs="Tahoma"/>
          <w:sz w:val="24"/>
          <w:szCs w:val="24"/>
          <w:lang w:val="en-GB"/>
        </w:rPr>
        <w:t xml:space="preserve">into </w:t>
      </w:r>
      <w:r w:rsidR="00EE3E3B" w:rsidRPr="002353FE">
        <w:rPr>
          <w:rFonts w:ascii="Verdana" w:hAnsi="Verdana" w:cs="Tahoma"/>
          <w:sz w:val="24"/>
          <w:szCs w:val="24"/>
          <w:lang w:val="en-GB"/>
        </w:rPr>
        <w:t>three</w:t>
      </w:r>
      <w:r w:rsidRPr="002353FE">
        <w:rPr>
          <w:rFonts w:ascii="Verdana" w:hAnsi="Verdana" w:cs="Tahoma"/>
          <w:sz w:val="24"/>
          <w:szCs w:val="24"/>
          <w:lang w:val="en-GB"/>
        </w:rPr>
        <w:t xml:space="preserve"> </w:t>
      </w:r>
      <w:r w:rsidR="007E205F" w:rsidRPr="002353FE">
        <w:rPr>
          <w:rFonts w:ascii="Verdana" w:hAnsi="Verdana" w:cs="Tahoma"/>
          <w:sz w:val="24"/>
          <w:szCs w:val="24"/>
          <w:lang w:val="en-GB"/>
        </w:rPr>
        <w:t>sub-</w:t>
      </w:r>
      <w:r w:rsidRPr="002353FE">
        <w:rPr>
          <w:rFonts w:ascii="Verdana" w:hAnsi="Verdana" w:cs="Tahoma"/>
          <w:sz w:val="24"/>
          <w:szCs w:val="24"/>
          <w:lang w:val="en-GB"/>
        </w:rPr>
        <w:t>sections</w:t>
      </w:r>
      <w:r w:rsidR="00C52AB6" w:rsidRPr="002353FE">
        <w:rPr>
          <w:rFonts w:ascii="Verdana" w:hAnsi="Verdana" w:cs="Tahoma"/>
          <w:sz w:val="24"/>
          <w:szCs w:val="24"/>
          <w:lang w:val="en-GB"/>
        </w:rPr>
        <w:t>, which describe</w:t>
      </w:r>
      <w:r w:rsidRPr="002353FE">
        <w:rPr>
          <w:rFonts w:ascii="Verdana" w:hAnsi="Verdana" w:cs="Tahoma"/>
          <w:sz w:val="24"/>
          <w:szCs w:val="24"/>
          <w:lang w:val="en-GB"/>
        </w:rPr>
        <w:t xml:space="preserve"> the </w:t>
      </w:r>
      <w:r w:rsidR="00F722D3" w:rsidRPr="002353FE">
        <w:rPr>
          <w:rFonts w:ascii="Verdana" w:hAnsi="Verdana" w:cs="Tahoma"/>
          <w:sz w:val="24"/>
          <w:szCs w:val="24"/>
          <w:lang w:val="en-GB"/>
        </w:rPr>
        <w:t>hypothe</w:t>
      </w:r>
      <w:r w:rsidR="00C52AB6" w:rsidRPr="002353FE">
        <w:rPr>
          <w:rFonts w:ascii="Verdana" w:hAnsi="Verdana" w:cs="Tahoma"/>
          <w:sz w:val="24"/>
          <w:szCs w:val="24"/>
          <w:lang w:val="en-GB"/>
        </w:rPr>
        <w:t>ses</w:t>
      </w:r>
      <w:r w:rsidRPr="002353FE">
        <w:rPr>
          <w:rFonts w:ascii="Verdana" w:hAnsi="Verdana" w:cs="Tahoma"/>
          <w:sz w:val="24"/>
          <w:szCs w:val="24"/>
          <w:lang w:val="en-GB"/>
        </w:rPr>
        <w:t>, the data employed</w:t>
      </w:r>
      <w:r w:rsidR="00FE4891" w:rsidRPr="002353FE">
        <w:rPr>
          <w:rFonts w:ascii="Verdana" w:hAnsi="Verdana" w:cs="Tahoma"/>
          <w:sz w:val="24"/>
          <w:szCs w:val="24"/>
          <w:lang w:val="en-GB"/>
        </w:rPr>
        <w:t>,</w:t>
      </w:r>
      <w:r w:rsidR="00EE3E3B" w:rsidRPr="002353FE">
        <w:rPr>
          <w:rFonts w:ascii="Verdana" w:hAnsi="Verdana" w:cs="Tahoma"/>
          <w:sz w:val="24"/>
          <w:szCs w:val="24"/>
          <w:lang w:val="en-GB"/>
        </w:rPr>
        <w:t xml:space="preserve"> and</w:t>
      </w:r>
      <w:r w:rsidRPr="002353FE">
        <w:rPr>
          <w:rFonts w:ascii="Verdana" w:hAnsi="Verdana" w:cs="Tahoma"/>
          <w:sz w:val="24"/>
          <w:szCs w:val="24"/>
          <w:lang w:val="en-GB"/>
        </w:rPr>
        <w:t xml:space="preserve"> the methods </w:t>
      </w:r>
      <w:r w:rsidR="00786F2B" w:rsidRPr="002353FE">
        <w:rPr>
          <w:rFonts w:ascii="Verdana" w:hAnsi="Verdana" w:cs="Tahoma"/>
          <w:sz w:val="24"/>
          <w:szCs w:val="24"/>
          <w:lang w:val="en-GB"/>
        </w:rPr>
        <w:t>used</w:t>
      </w:r>
      <w:r w:rsidR="00EE3E3B" w:rsidRPr="002353FE">
        <w:rPr>
          <w:rFonts w:ascii="Verdana" w:hAnsi="Verdana" w:cs="Tahoma"/>
          <w:sz w:val="24"/>
          <w:szCs w:val="24"/>
          <w:lang w:val="en-GB"/>
        </w:rPr>
        <w:t xml:space="preserve">. </w:t>
      </w:r>
      <w:r w:rsidR="00321FF3" w:rsidRPr="002353FE">
        <w:rPr>
          <w:rFonts w:ascii="Verdana" w:hAnsi="Verdana" w:cs="Tahoma"/>
          <w:sz w:val="24"/>
          <w:lang w:val="en-GB"/>
        </w:rPr>
        <w:t>The assessment considers personal current accounts</w:t>
      </w:r>
      <w:r w:rsidR="001F3E69" w:rsidRPr="002353FE">
        <w:rPr>
          <w:rFonts w:ascii="Verdana" w:hAnsi="Verdana" w:cs="Tahoma"/>
          <w:sz w:val="24"/>
          <w:lang w:val="en-GB"/>
        </w:rPr>
        <w:t>:</w:t>
      </w:r>
      <w:r w:rsidR="00321FF3" w:rsidRPr="002353FE">
        <w:rPr>
          <w:rFonts w:ascii="Verdana" w:hAnsi="Verdana" w:cs="Tahoma"/>
          <w:sz w:val="24"/>
          <w:szCs w:val="24"/>
          <w:lang w:val="en-GB"/>
        </w:rPr>
        <w:t xml:space="preserve"> a composite financial service offering core deposit and payment services, and in some cases optional borrowing or overdraft facilities. This gateway financial service </w:t>
      </w:r>
      <w:r w:rsidR="00D51575" w:rsidRPr="002353FE">
        <w:rPr>
          <w:rFonts w:ascii="Verdana" w:hAnsi="Verdana" w:cs="Tahoma"/>
          <w:sz w:val="24"/>
          <w:szCs w:val="24"/>
          <w:lang w:val="en-GB"/>
        </w:rPr>
        <w:t xml:space="preserve">is </w:t>
      </w:r>
      <w:r w:rsidR="00321FF3" w:rsidRPr="002353FE">
        <w:rPr>
          <w:rFonts w:ascii="Verdana" w:hAnsi="Verdana" w:cs="Tahoma"/>
          <w:sz w:val="24"/>
          <w:szCs w:val="24"/>
          <w:lang w:val="en-GB"/>
        </w:rPr>
        <w:t xml:space="preserve">employed as a conduit for </w:t>
      </w:r>
      <w:r w:rsidR="000F6F9C" w:rsidRPr="002353FE">
        <w:rPr>
          <w:rFonts w:ascii="Verdana" w:hAnsi="Verdana" w:cs="Tahoma"/>
          <w:sz w:val="24"/>
          <w:szCs w:val="24"/>
          <w:lang w:val="en-GB"/>
        </w:rPr>
        <w:t>most</w:t>
      </w:r>
      <w:r w:rsidR="00321FF3" w:rsidRPr="002353FE">
        <w:rPr>
          <w:rFonts w:ascii="Verdana" w:hAnsi="Verdana" w:cs="Tahoma"/>
          <w:sz w:val="24"/>
          <w:szCs w:val="24"/>
          <w:lang w:val="en-GB"/>
        </w:rPr>
        <w:t xml:space="preserve"> customers’ income and payments </w:t>
      </w:r>
      <w:r w:rsidR="00D51575" w:rsidRPr="002353FE">
        <w:rPr>
          <w:rFonts w:ascii="Verdana" w:hAnsi="Verdana" w:cs="Tahoma"/>
          <w:sz w:val="24"/>
          <w:szCs w:val="24"/>
          <w:lang w:val="en-GB"/>
        </w:rPr>
        <w:t xml:space="preserve">and </w:t>
      </w:r>
      <w:r w:rsidR="00321FF3" w:rsidRPr="002353FE">
        <w:rPr>
          <w:rFonts w:ascii="Verdana" w:hAnsi="Verdana" w:cs="Tahoma"/>
          <w:sz w:val="24"/>
          <w:szCs w:val="24"/>
          <w:lang w:val="en-GB"/>
        </w:rPr>
        <w:t xml:space="preserve">provides information on current account usage and financial behaviours. </w:t>
      </w:r>
    </w:p>
    <w:p w14:paraId="0C71D98B" w14:textId="77777777" w:rsidR="00D55F6C" w:rsidRPr="002353FE" w:rsidRDefault="00D55F6C" w:rsidP="00EE3E3B">
      <w:pPr>
        <w:spacing w:before="120" w:after="120" w:line="480" w:lineRule="auto"/>
        <w:jc w:val="both"/>
        <w:rPr>
          <w:rFonts w:ascii="Verdana" w:hAnsi="Verdana" w:cs="Tahoma"/>
          <w:sz w:val="24"/>
          <w:szCs w:val="24"/>
          <w:lang w:val="en-GB"/>
        </w:rPr>
      </w:pPr>
    </w:p>
    <w:p w14:paraId="51723893" w14:textId="2D19E04D" w:rsidR="00EE3E3B" w:rsidRPr="002353FE" w:rsidRDefault="00B125D4" w:rsidP="00EE3E3B">
      <w:pPr>
        <w:spacing w:before="120" w:after="120" w:line="480" w:lineRule="auto"/>
        <w:jc w:val="both"/>
        <w:rPr>
          <w:rFonts w:ascii="Verdana" w:hAnsi="Verdana" w:cs="Tahoma"/>
          <w:b/>
          <w:sz w:val="24"/>
          <w:szCs w:val="24"/>
          <w:lang w:val="en-GB"/>
        </w:rPr>
      </w:pPr>
      <w:r w:rsidRPr="002353FE">
        <w:rPr>
          <w:rFonts w:ascii="Verdana" w:hAnsi="Verdana" w:cs="Tahoma"/>
          <w:b/>
          <w:sz w:val="24"/>
          <w:szCs w:val="24"/>
          <w:lang w:val="en-GB"/>
        </w:rPr>
        <w:t>3</w:t>
      </w:r>
      <w:r w:rsidR="008E0320" w:rsidRPr="002353FE">
        <w:rPr>
          <w:rFonts w:ascii="Verdana" w:hAnsi="Verdana" w:cs="Tahoma"/>
          <w:b/>
          <w:sz w:val="24"/>
          <w:szCs w:val="24"/>
          <w:lang w:val="en-GB"/>
        </w:rPr>
        <w:t xml:space="preserve">.1 </w:t>
      </w:r>
      <w:r w:rsidR="008E0320" w:rsidRPr="002353FE">
        <w:rPr>
          <w:rFonts w:ascii="Verdana" w:hAnsi="Verdana" w:cs="Tahoma"/>
          <w:b/>
          <w:sz w:val="24"/>
          <w:szCs w:val="24"/>
          <w:lang w:val="en-GB"/>
        </w:rPr>
        <w:tab/>
        <w:t>Hypothes</w:t>
      </w:r>
      <w:r w:rsidR="00EE3E3B" w:rsidRPr="002353FE">
        <w:rPr>
          <w:rFonts w:ascii="Verdana" w:hAnsi="Verdana" w:cs="Tahoma"/>
          <w:b/>
          <w:sz w:val="24"/>
          <w:szCs w:val="24"/>
          <w:lang w:val="en-GB"/>
        </w:rPr>
        <w:t xml:space="preserve">es </w:t>
      </w:r>
    </w:p>
    <w:p w14:paraId="759BF82B" w14:textId="68796CE8" w:rsidR="00D70FFB" w:rsidRPr="002353FE" w:rsidRDefault="00B70FBF">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T</w:t>
      </w:r>
      <w:r w:rsidR="00EE3E3B" w:rsidRPr="002353FE">
        <w:rPr>
          <w:rFonts w:ascii="Verdana" w:hAnsi="Verdana" w:cs="Tahoma"/>
          <w:sz w:val="24"/>
          <w:szCs w:val="24"/>
          <w:lang w:val="en-GB"/>
        </w:rPr>
        <w:t xml:space="preserve">wo </w:t>
      </w:r>
      <w:r w:rsidR="00C27B76" w:rsidRPr="002353FE">
        <w:rPr>
          <w:rFonts w:ascii="Verdana" w:hAnsi="Verdana" w:cs="Tahoma"/>
          <w:sz w:val="24"/>
          <w:szCs w:val="24"/>
          <w:lang w:val="en-GB"/>
        </w:rPr>
        <w:t xml:space="preserve">hypotheses </w:t>
      </w:r>
      <w:r w:rsidR="00EE3E3B" w:rsidRPr="002353FE">
        <w:rPr>
          <w:rFonts w:ascii="Verdana" w:hAnsi="Verdana" w:cs="Tahoma"/>
          <w:sz w:val="24"/>
          <w:szCs w:val="24"/>
          <w:lang w:val="en-GB"/>
        </w:rPr>
        <w:t xml:space="preserve">are </w:t>
      </w:r>
      <w:r w:rsidR="00E655DE" w:rsidRPr="002353FE">
        <w:rPr>
          <w:rFonts w:ascii="Verdana" w:hAnsi="Verdana" w:cs="Tahoma"/>
          <w:sz w:val="24"/>
          <w:szCs w:val="24"/>
          <w:lang w:val="en-GB"/>
        </w:rPr>
        <w:t>considered. First</w:t>
      </w:r>
      <w:r w:rsidR="00175811" w:rsidRPr="002353FE">
        <w:rPr>
          <w:rFonts w:ascii="Verdana" w:hAnsi="Verdana" w:cs="Tahoma"/>
          <w:sz w:val="24"/>
          <w:szCs w:val="24"/>
          <w:lang w:val="en-GB"/>
        </w:rPr>
        <w:t>,</w:t>
      </w:r>
      <w:r w:rsidR="00E655DE" w:rsidRPr="002353FE">
        <w:rPr>
          <w:rFonts w:ascii="Verdana" w:hAnsi="Verdana" w:cs="Tahoma"/>
          <w:sz w:val="24"/>
          <w:szCs w:val="24"/>
          <w:lang w:val="en-GB"/>
        </w:rPr>
        <w:t xml:space="preserve"> </w:t>
      </w:r>
      <w:r w:rsidR="00960758" w:rsidRPr="002353FE">
        <w:rPr>
          <w:rFonts w:ascii="Verdana" w:hAnsi="Verdana" w:cs="Tahoma"/>
          <w:sz w:val="24"/>
          <w:szCs w:val="24"/>
          <w:lang w:val="en-GB"/>
        </w:rPr>
        <w:t xml:space="preserve">we examine </w:t>
      </w:r>
      <w:r w:rsidR="00894185" w:rsidRPr="002353FE">
        <w:rPr>
          <w:rFonts w:ascii="Verdana" w:hAnsi="Verdana" w:cs="Tahoma"/>
          <w:sz w:val="24"/>
          <w:szCs w:val="24"/>
          <w:lang w:val="en-GB"/>
        </w:rPr>
        <w:t xml:space="preserve">whether customers with socio-economic characteristics associated </w:t>
      </w:r>
      <w:r w:rsidR="004D5E92" w:rsidRPr="002353FE">
        <w:rPr>
          <w:rFonts w:ascii="Verdana" w:hAnsi="Verdana" w:cs="Tahoma"/>
          <w:sz w:val="24"/>
          <w:szCs w:val="24"/>
          <w:lang w:val="en-GB"/>
        </w:rPr>
        <w:t xml:space="preserve">with </w:t>
      </w:r>
      <w:r w:rsidR="00894185" w:rsidRPr="002353FE">
        <w:rPr>
          <w:rFonts w:ascii="Verdana" w:hAnsi="Verdana" w:cs="Tahoma"/>
          <w:sz w:val="24"/>
          <w:szCs w:val="24"/>
          <w:lang w:val="en-GB"/>
        </w:rPr>
        <w:t xml:space="preserve">vulnerability are less </w:t>
      </w:r>
      <w:r w:rsidR="00B80A60" w:rsidRPr="002353FE">
        <w:rPr>
          <w:rFonts w:ascii="Verdana" w:hAnsi="Verdana" w:cs="Tahoma"/>
          <w:sz w:val="24"/>
          <w:szCs w:val="24"/>
          <w:lang w:val="en-GB"/>
        </w:rPr>
        <w:t xml:space="preserve">likely </w:t>
      </w:r>
      <w:r w:rsidR="00894185" w:rsidRPr="002353FE">
        <w:rPr>
          <w:rFonts w:ascii="Verdana" w:hAnsi="Verdana" w:cs="Tahoma"/>
          <w:sz w:val="24"/>
          <w:szCs w:val="24"/>
          <w:lang w:val="en-GB"/>
        </w:rPr>
        <w:t xml:space="preserve">to switch their </w:t>
      </w:r>
      <w:r w:rsidR="0051358A" w:rsidRPr="002353FE">
        <w:rPr>
          <w:rFonts w:ascii="Verdana" w:hAnsi="Verdana" w:cs="Tahoma"/>
          <w:sz w:val="24"/>
          <w:szCs w:val="24"/>
          <w:lang w:val="en-GB"/>
        </w:rPr>
        <w:t xml:space="preserve">personal </w:t>
      </w:r>
      <w:r w:rsidR="00477424" w:rsidRPr="001E7395">
        <w:rPr>
          <w:rFonts w:ascii="Verdana" w:hAnsi="Verdana" w:cs="Tahoma"/>
          <w:sz w:val="24"/>
          <w:szCs w:val="24"/>
          <w:lang w:val="en-GB"/>
        </w:rPr>
        <w:t>current account</w:t>
      </w:r>
      <w:r w:rsidR="00894185" w:rsidRPr="002353FE">
        <w:rPr>
          <w:rFonts w:ascii="Verdana" w:hAnsi="Verdana" w:cs="Tahoma"/>
          <w:sz w:val="24"/>
          <w:szCs w:val="24"/>
          <w:lang w:val="en-GB"/>
        </w:rPr>
        <w:t xml:space="preserve"> provider. As customer vulnerability is not directly observable, studies typically focus on socio-economic variables associated with a higher risk of experienc</w:t>
      </w:r>
      <w:r w:rsidR="00780BEC" w:rsidRPr="002353FE">
        <w:rPr>
          <w:rFonts w:ascii="Verdana" w:hAnsi="Verdana" w:cs="Tahoma"/>
          <w:sz w:val="24"/>
          <w:szCs w:val="24"/>
          <w:lang w:val="en-GB"/>
        </w:rPr>
        <w:t>ing</w:t>
      </w:r>
      <w:r w:rsidR="00894185" w:rsidRPr="002353FE">
        <w:rPr>
          <w:rFonts w:ascii="Verdana" w:hAnsi="Verdana" w:cs="Tahoma"/>
          <w:sz w:val="24"/>
          <w:szCs w:val="24"/>
          <w:lang w:val="en-GB"/>
        </w:rPr>
        <w:t xml:space="preserve"> vulnerability (Clifton </w:t>
      </w:r>
      <w:r w:rsidR="00894185"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894185" w:rsidRPr="002353FE">
        <w:rPr>
          <w:rFonts w:ascii="Verdana" w:hAnsi="Verdana" w:cs="Tahoma"/>
          <w:sz w:val="24"/>
          <w:szCs w:val="24"/>
          <w:lang w:val="en-GB"/>
        </w:rPr>
        <w:t xml:space="preserve"> 2017; </w:t>
      </w:r>
      <w:r w:rsidR="000A38C8" w:rsidRPr="002353FE">
        <w:rPr>
          <w:rFonts w:ascii="Verdana" w:hAnsi="Verdana" w:cs="Tahoma"/>
          <w:sz w:val="24"/>
          <w:szCs w:val="24"/>
          <w:lang w:val="en-GB"/>
        </w:rPr>
        <w:t xml:space="preserve">Fernández-Gutiérrez </w:t>
      </w:r>
      <w:r w:rsidR="000A38C8"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0A38C8" w:rsidRPr="002353FE">
        <w:rPr>
          <w:rFonts w:ascii="Verdana" w:hAnsi="Verdana" w:cs="Tahoma"/>
          <w:sz w:val="24"/>
          <w:szCs w:val="24"/>
          <w:lang w:val="en-GB"/>
        </w:rPr>
        <w:t xml:space="preserve"> 2017; </w:t>
      </w:r>
      <w:r w:rsidR="00894185" w:rsidRPr="002353FE">
        <w:rPr>
          <w:rFonts w:ascii="Verdana" w:hAnsi="Verdana" w:cs="Tahoma"/>
          <w:sz w:val="24"/>
          <w:szCs w:val="24"/>
          <w:lang w:val="en-GB"/>
        </w:rPr>
        <w:t xml:space="preserve">Shi </w:t>
      </w:r>
      <w:r w:rsidR="00894185"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894185" w:rsidRPr="002353FE">
        <w:rPr>
          <w:rFonts w:ascii="Verdana" w:hAnsi="Verdana" w:cs="Tahoma"/>
          <w:sz w:val="24"/>
          <w:szCs w:val="24"/>
          <w:lang w:val="en-GB"/>
        </w:rPr>
        <w:t xml:space="preserve"> 2017). </w:t>
      </w:r>
      <w:r w:rsidR="00D43742" w:rsidRPr="002353FE">
        <w:rPr>
          <w:rFonts w:ascii="Verdana" w:hAnsi="Verdana" w:cs="Tahoma"/>
          <w:sz w:val="24"/>
          <w:szCs w:val="24"/>
          <w:lang w:val="en-GB"/>
        </w:rPr>
        <w:t xml:space="preserve">In </w:t>
      </w:r>
      <w:r w:rsidR="00D43742" w:rsidRPr="002353FE">
        <w:rPr>
          <w:rFonts w:ascii="Verdana" w:hAnsi="Verdana" w:cs="Tahoma"/>
          <w:sz w:val="24"/>
          <w:szCs w:val="24"/>
          <w:lang w:val="en-GB"/>
        </w:rPr>
        <w:lastRenderedPageBreak/>
        <w:t xml:space="preserve">particular, </w:t>
      </w:r>
      <w:r w:rsidR="00894185" w:rsidRPr="002353FE">
        <w:rPr>
          <w:rFonts w:ascii="Verdana" w:hAnsi="Verdana" w:cs="Tahoma"/>
          <w:sz w:val="24"/>
          <w:szCs w:val="24"/>
          <w:lang w:val="en-GB"/>
        </w:rPr>
        <w:t>the elderly</w:t>
      </w:r>
      <w:r w:rsidR="00D43742" w:rsidRPr="002353FE">
        <w:rPr>
          <w:rFonts w:ascii="Verdana" w:hAnsi="Verdana" w:cs="Tahoma"/>
          <w:sz w:val="24"/>
          <w:szCs w:val="24"/>
          <w:lang w:val="en-GB"/>
        </w:rPr>
        <w:t xml:space="preserve"> are</w:t>
      </w:r>
      <w:r w:rsidR="00894185" w:rsidRPr="002353FE">
        <w:rPr>
          <w:rFonts w:ascii="Verdana" w:hAnsi="Verdana" w:cs="Tahoma"/>
          <w:sz w:val="24"/>
          <w:szCs w:val="24"/>
          <w:lang w:val="en-GB"/>
        </w:rPr>
        <w:t xml:space="preserve"> </w:t>
      </w:r>
      <w:r w:rsidR="00780BEC" w:rsidRPr="002353FE">
        <w:rPr>
          <w:rFonts w:ascii="Verdana" w:hAnsi="Verdana" w:cs="Tahoma"/>
          <w:sz w:val="24"/>
          <w:szCs w:val="24"/>
          <w:lang w:val="en-GB"/>
        </w:rPr>
        <w:t xml:space="preserve">characterised by </w:t>
      </w:r>
      <w:r w:rsidR="00894185" w:rsidRPr="002353FE">
        <w:rPr>
          <w:rFonts w:ascii="Verdana" w:hAnsi="Verdana" w:cs="Tahoma"/>
          <w:sz w:val="24"/>
          <w:szCs w:val="24"/>
          <w:lang w:val="en-GB"/>
        </w:rPr>
        <w:t>declining skills, higher risk aversion and sensitivity to framing (Lunn and Lyons</w:t>
      </w:r>
      <w:r w:rsidR="007F7EED" w:rsidRPr="002353FE">
        <w:rPr>
          <w:rFonts w:ascii="Verdana" w:hAnsi="Verdana" w:cs="Tahoma"/>
          <w:sz w:val="24"/>
          <w:szCs w:val="24"/>
          <w:lang w:val="en-GB"/>
        </w:rPr>
        <w:t>,</w:t>
      </w:r>
      <w:r w:rsidR="00894185" w:rsidRPr="002353FE">
        <w:rPr>
          <w:rFonts w:ascii="Verdana" w:hAnsi="Verdana" w:cs="Tahoma"/>
          <w:sz w:val="24"/>
          <w:szCs w:val="24"/>
          <w:lang w:val="en-GB"/>
        </w:rPr>
        <w:t xml:space="preserve"> 2010)</w:t>
      </w:r>
      <w:r w:rsidR="00780BEC" w:rsidRPr="002353FE">
        <w:rPr>
          <w:rFonts w:ascii="Verdana" w:hAnsi="Verdana" w:cs="Tahoma"/>
          <w:sz w:val="24"/>
          <w:szCs w:val="24"/>
          <w:lang w:val="en-GB"/>
        </w:rPr>
        <w:t>. These</w:t>
      </w:r>
      <w:r w:rsidR="00894185" w:rsidRPr="002353FE">
        <w:rPr>
          <w:rFonts w:ascii="Verdana" w:hAnsi="Verdana" w:cs="Tahoma"/>
          <w:sz w:val="24"/>
          <w:szCs w:val="24"/>
          <w:lang w:val="en-GB"/>
        </w:rPr>
        <w:t xml:space="preserve"> factors make elderly customers more </w:t>
      </w:r>
      <w:r w:rsidR="00874D9F" w:rsidRPr="002353FE">
        <w:rPr>
          <w:rFonts w:ascii="Verdana" w:hAnsi="Verdana" w:cs="Tahoma"/>
          <w:sz w:val="24"/>
          <w:szCs w:val="24"/>
          <w:lang w:val="en-GB"/>
        </w:rPr>
        <w:t xml:space="preserve">likely to make </w:t>
      </w:r>
      <w:r w:rsidR="00894185" w:rsidRPr="002353FE">
        <w:rPr>
          <w:rFonts w:ascii="Verdana" w:hAnsi="Verdana" w:cs="Tahoma"/>
          <w:sz w:val="24"/>
          <w:szCs w:val="24"/>
          <w:lang w:val="en-GB"/>
        </w:rPr>
        <w:t>sub-optimal decision</w:t>
      </w:r>
      <w:r w:rsidR="00874D9F" w:rsidRPr="002353FE">
        <w:rPr>
          <w:rFonts w:ascii="Verdana" w:hAnsi="Verdana" w:cs="Tahoma"/>
          <w:sz w:val="24"/>
          <w:szCs w:val="24"/>
          <w:lang w:val="en-GB"/>
        </w:rPr>
        <w:t>s</w:t>
      </w:r>
      <w:r w:rsidR="00894185" w:rsidRPr="002353FE">
        <w:rPr>
          <w:rFonts w:ascii="Verdana" w:hAnsi="Verdana" w:cs="Tahoma"/>
          <w:sz w:val="24"/>
          <w:szCs w:val="24"/>
          <w:lang w:val="en-GB"/>
        </w:rPr>
        <w:t xml:space="preserve">. Similarly, </w:t>
      </w:r>
      <w:r w:rsidR="00EB7E65" w:rsidRPr="002353FE">
        <w:rPr>
          <w:rFonts w:ascii="Verdana" w:hAnsi="Verdana" w:cs="Tahoma"/>
          <w:sz w:val="24"/>
          <w:szCs w:val="24"/>
          <w:lang w:val="en-GB"/>
        </w:rPr>
        <w:t xml:space="preserve">less </w:t>
      </w:r>
      <w:r w:rsidR="00894185" w:rsidRPr="002353FE">
        <w:rPr>
          <w:rFonts w:ascii="Verdana" w:hAnsi="Verdana" w:cs="Tahoma"/>
          <w:sz w:val="24"/>
          <w:szCs w:val="24"/>
          <w:lang w:val="en-GB"/>
        </w:rPr>
        <w:t xml:space="preserve">educated </w:t>
      </w:r>
      <w:r w:rsidR="00780BEC" w:rsidRPr="002353FE">
        <w:rPr>
          <w:rFonts w:ascii="Verdana" w:hAnsi="Verdana" w:cs="Tahoma"/>
          <w:sz w:val="24"/>
          <w:szCs w:val="24"/>
          <w:lang w:val="en-GB"/>
        </w:rPr>
        <w:t xml:space="preserve">customers </w:t>
      </w:r>
      <w:r w:rsidR="00D0471B" w:rsidRPr="002353FE">
        <w:rPr>
          <w:rFonts w:ascii="Verdana" w:hAnsi="Verdana" w:cs="Tahoma"/>
          <w:sz w:val="24"/>
          <w:szCs w:val="24"/>
          <w:lang w:val="en-GB"/>
        </w:rPr>
        <w:t xml:space="preserve">are characterized by lower literacy and numeracy skills, and face difficulties </w:t>
      </w:r>
      <w:r w:rsidR="00EB7E65" w:rsidRPr="002353FE">
        <w:rPr>
          <w:rFonts w:ascii="Verdana" w:hAnsi="Verdana" w:cs="Tahoma"/>
          <w:sz w:val="24"/>
          <w:szCs w:val="24"/>
          <w:lang w:val="en-GB"/>
        </w:rPr>
        <w:t xml:space="preserve">in </w:t>
      </w:r>
      <w:r w:rsidR="00D0471B" w:rsidRPr="002353FE">
        <w:rPr>
          <w:rFonts w:ascii="Verdana" w:hAnsi="Verdana" w:cs="Tahoma"/>
          <w:sz w:val="24"/>
          <w:szCs w:val="24"/>
          <w:lang w:val="en-GB"/>
        </w:rPr>
        <w:t>comprehen</w:t>
      </w:r>
      <w:r w:rsidR="00EB7E65" w:rsidRPr="002353FE">
        <w:rPr>
          <w:rFonts w:ascii="Verdana" w:hAnsi="Verdana" w:cs="Tahoma"/>
          <w:sz w:val="24"/>
          <w:szCs w:val="24"/>
          <w:lang w:val="en-GB"/>
        </w:rPr>
        <w:t xml:space="preserve">ding </w:t>
      </w:r>
      <w:r w:rsidR="00D0471B" w:rsidRPr="002353FE">
        <w:rPr>
          <w:rFonts w:ascii="Verdana" w:hAnsi="Verdana" w:cs="Tahoma"/>
          <w:sz w:val="24"/>
          <w:szCs w:val="24"/>
          <w:lang w:val="en-GB"/>
        </w:rPr>
        <w:t xml:space="preserve">information required </w:t>
      </w:r>
      <w:r w:rsidR="00EB7E65" w:rsidRPr="002353FE">
        <w:rPr>
          <w:rFonts w:ascii="Verdana" w:hAnsi="Verdana" w:cs="Tahoma"/>
          <w:sz w:val="24"/>
          <w:szCs w:val="24"/>
          <w:lang w:val="en-GB"/>
        </w:rPr>
        <w:t xml:space="preserve">for appropriate </w:t>
      </w:r>
      <w:r w:rsidR="00D0471B" w:rsidRPr="002353FE">
        <w:rPr>
          <w:rFonts w:ascii="Verdana" w:hAnsi="Verdana" w:cs="Tahoma"/>
          <w:sz w:val="24"/>
          <w:szCs w:val="24"/>
          <w:lang w:val="en-GB"/>
        </w:rPr>
        <w:t>decision-making</w:t>
      </w:r>
      <w:r w:rsidR="00EB7E65" w:rsidRPr="002353FE">
        <w:rPr>
          <w:rFonts w:ascii="Verdana" w:hAnsi="Verdana" w:cs="Tahoma"/>
          <w:sz w:val="24"/>
          <w:szCs w:val="24"/>
          <w:lang w:val="en-GB"/>
        </w:rPr>
        <w:t>. Th</w:t>
      </w:r>
      <w:r w:rsidR="000653EB" w:rsidRPr="002353FE">
        <w:rPr>
          <w:rFonts w:ascii="Verdana" w:hAnsi="Verdana" w:cs="Tahoma"/>
          <w:sz w:val="24"/>
          <w:szCs w:val="24"/>
          <w:lang w:val="en-GB"/>
        </w:rPr>
        <w:t>e</w:t>
      </w:r>
      <w:r w:rsidR="00EB7E65" w:rsidRPr="002353FE">
        <w:rPr>
          <w:rFonts w:ascii="Verdana" w:hAnsi="Verdana" w:cs="Tahoma"/>
          <w:sz w:val="24"/>
          <w:szCs w:val="24"/>
          <w:lang w:val="en-GB"/>
        </w:rPr>
        <w:t>s</w:t>
      </w:r>
      <w:r w:rsidR="000653EB" w:rsidRPr="002353FE">
        <w:rPr>
          <w:rFonts w:ascii="Verdana" w:hAnsi="Verdana" w:cs="Tahoma"/>
          <w:sz w:val="24"/>
          <w:szCs w:val="24"/>
          <w:lang w:val="en-GB"/>
        </w:rPr>
        <w:t>e</w:t>
      </w:r>
      <w:r w:rsidR="00EB7E65" w:rsidRPr="002353FE">
        <w:rPr>
          <w:rFonts w:ascii="Verdana" w:hAnsi="Verdana" w:cs="Tahoma"/>
          <w:sz w:val="24"/>
          <w:szCs w:val="24"/>
          <w:lang w:val="en-GB"/>
        </w:rPr>
        <w:t xml:space="preserve"> </w:t>
      </w:r>
      <w:r w:rsidR="000653EB" w:rsidRPr="002353FE">
        <w:rPr>
          <w:rFonts w:ascii="Verdana" w:hAnsi="Verdana" w:cs="Tahoma"/>
          <w:sz w:val="24"/>
          <w:szCs w:val="24"/>
          <w:lang w:val="en-GB"/>
        </w:rPr>
        <w:t>effects are</w:t>
      </w:r>
      <w:r w:rsidR="00EB7E65" w:rsidRPr="002353FE">
        <w:rPr>
          <w:rFonts w:ascii="Verdana" w:hAnsi="Verdana" w:cs="Tahoma"/>
          <w:sz w:val="24"/>
          <w:szCs w:val="24"/>
          <w:lang w:val="en-GB"/>
        </w:rPr>
        <w:t xml:space="preserve"> amplified </w:t>
      </w:r>
      <w:r w:rsidR="00D0471B" w:rsidRPr="002353FE">
        <w:rPr>
          <w:rFonts w:ascii="Verdana" w:hAnsi="Verdana" w:cs="Tahoma"/>
          <w:sz w:val="24"/>
          <w:szCs w:val="24"/>
          <w:lang w:val="en-GB"/>
        </w:rPr>
        <w:t xml:space="preserve">in </w:t>
      </w:r>
      <w:r w:rsidR="00C478E3" w:rsidRPr="002353FE">
        <w:rPr>
          <w:rFonts w:ascii="Verdana" w:hAnsi="Verdana" w:cs="Tahoma"/>
          <w:sz w:val="24"/>
          <w:szCs w:val="24"/>
          <w:lang w:val="en-GB"/>
        </w:rPr>
        <w:t xml:space="preserve">the </w:t>
      </w:r>
      <w:r w:rsidR="00D0471B" w:rsidRPr="002353FE">
        <w:rPr>
          <w:rFonts w:ascii="Verdana" w:hAnsi="Verdana" w:cs="Tahoma"/>
          <w:sz w:val="24"/>
          <w:szCs w:val="24"/>
          <w:lang w:val="en-GB"/>
        </w:rPr>
        <w:t xml:space="preserve">presence of misleading information (Shi </w:t>
      </w:r>
      <w:r w:rsidR="00D0471B"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D0471B" w:rsidRPr="002353FE">
        <w:rPr>
          <w:rFonts w:ascii="Verdana" w:hAnsi="Verdana" w:cs="Tahoma"/>
          <w:sz w:val="24"/>
          <w:szCs w:val="24"/>
          <w:lang w:val="en-GB"/>
        </w:rPr>
        <w:t xml:space="preserve"> 2017). </w:t>
      </w:r>
      <w:r w:rsidR="00085D45" w:rsidRPr="002353FE">
        <w:rPr>
          <w:rFonts w:ascii="Verdana" w:hAnsi="Verdana" w:cs="Tahoma"/>
          <w:sz w:val="24"/>
          <w:szCs w:val="24"/>
          <w:lang w:val="en-GB"/>
        </w:rPr>
        <w:t>R</w:t>
      </w:r>
      <w:r w:rsidR="00D0471B" w:rsidRPr="002353FE">
        <w:rPr>
          <w:rFonts w:ascii="Verdana" w:hAnsi="Verdana" w:cs="Tahoma"/>
          <w:sz w:val="24"/>
          <w:szCs w:val="24"/>
          <w:lang w:val="en-GB"/>
        </w:rPr>
        <w:t xml:space="preserve">esidents </w:t>
      </w:r>
      <w:r w:rsidR="00085D45" w:rsidRPr="002353FE">
        <w:rPr>
          <w:rFonts w:ascii="Verdana" w:hAnsi="Verdana" w:cs="Tahoma"/>
          <w:sz w:val="24"/>
          <w:szCs w:val="24"/>
          <w:lang w:val="en-GB"/>
        </w:rPr>
        <w:t>from rural</w:t>
      </w:r>
      <w:r w:rsidR="00962D37" w:rsidRPr="002353FE">
        <w:rPr>
          <w:rFonts w:ascii="Verdana" w:hAnsi="Verdana" w:cs="Tahoma"/>
          <w:sz w:val="24"/>
          <w:szCs w:val="24"/>
          <w:lang w:val="en-GB"/>
        </w:rPr>
        <w:t xml:space="preserve"> </w:t>
      </w:r>
      <w:r w:rsidR="00085D45" w:rsidRPr="002353FE">
        <w:rPr>
          <w:rFonts w:ascii="Verdana" w:hAnsi="Verdana" w:cs="Tahoma"/>
          <w:sz w:val="24"/>
          <w:szCs w:val="24"/>
          <w:lang w:val="en-GB"/>
        </w:rPr>
        <w:t xml:space="preserve">and poorer </w:t>
      </w:r>
      <w:r w:rsidR="00D0471B" w:rsidRPr="002353FE">
        <w:rPr>
          <w:rFonts w:ascii="Verdana" w:hAnsi="Verdana" w:cs="Tahoma"/>
          <w:sz w:val="24"/>
          <w:szCs w:val="24"/>
          <w:lang w:val="en-GB"/>
        </w:rPr>
        <w:t xml:space="preserve">locations </w:t>
      </w:r>
      <w:r w:rsidR="00085D45" w:rsidRPr="002353FE">
        <w:rPr>
          <w:rFonts w:ascii="Verdana" w:hAnsi="Verdana" w:cs="Tahoma"/>
          <w:sz w:val="24"/>
          <w:szCs w:val="24"/>
          <w:lang w:val="en-GB"/>
        </w:rPr>
        <w:t xml:space="preserve">are also </w:t>
      </w:r>
      <w:r w:rsidR="00477424" w:rsidRPr="002353FE">
        <w:rPr>
          <w:rFonts w:ascii="Verdana" w:hAnsi="Verdana" w:cs="Tahoma"/>
          <w:sz w:val="24"/>
          <w:szCs w:val="24"/>
          <w:lang w:val="en-GB"/>
        </w:rPr>
        <w:t xml:space="preserve">more likely to be </w:t>
      </w:r>
      <w:r w:rsidR="00D0471B" w:rsidRPr="002353FE">
        <w:rPr>
          <w:rFonts w:ascii="Verdana" w:hAnsi="Verdana" w:cs="Tahoma"/>
          <w:sz w:val="24"/>
          <w:szCs w:val="24"/>
          <w:lang w:val="en-GB"/>
        </w:rPr>
        <w:t xml:space="preserve">placed at a disadvantage </w:t>
      </w:r>
      <w:r w:rsidR="00962D37" w:rsidRPr="002353FE">
        <w:rPr>
          <w:rFonts w:ascii="Verdana" w:hAnsi="Verdana" w:cs="Tahoma"/>
          <w:sz w:val="24"/>
          <w:szCs w:val="24"/>
          <w:lang w:val="en-GB"/>
        </w:rPr>
        <w:t xml:space="preserve">in </w:t>
      </w:r>
      <w:r w:rsidR="00D0471B" w:rsidRPr="002353FE">
        <w:rPr>
          <w:rFonts w:ascii="Verdana" w:hAnsi="Verdana" w:cs="Tahoma"/>
          <w:sz w:val="24"/>
          <w:szCs w:val="24"/>
          <w:lang w:val="en-GB"/>
        </w:rPr>
        <w:t>banking markets</w:t>
      </w:r>
      <w:r w:rsidR="00103194" w:rsidRPr="002353FE">
        <w:rPr>
          <w:rFonts w:ascii="Verdana" w:hAnsi="Verdana" w:cs="Tahoma"/>
          <w:sz w:val="24"/>
          <w:szCs w:val="24"/>
          <w:lang w:val="en-GB"/>
        </w:rPr>
        <w:t xml:space="preserve">. </w:t>
      </w:r>
      <w:r w:rsidR="00103194" w:rsidRPr="001E7395">
        <w:rPr>
          <w:rFonts w:ascii="Verdana" w:hAnsi="Verdana" w:cs="Tahoma"/>
          <w:sz w:val="24"/>
          <w:szCs w:val="24"/>
          <w:lang w:val="en-GB"/>
        </w:rPr>
        <w:t xml:space="preserve">As these areas are less profitable for banks, </w:t>
      </w:r>
      <w:r w:rsidR="003A6582" w:rsidRPr="002353FE">
        <w:rPr>
          <w:rFonts w:ascii="Verdana" w:hAnsi="Verdana" w:cs="Tahoma"/>
          <w:sz w:val="24"/>
          <w:szCs w:val="24"/>
          <w:lang w:val="en-GB"/>
        </w:rPr>
        <w:t>bank</w:t>
      </w:r>
      <w:r w:rsidR="005159BA" w:rsidRPr="002353FE">
        <w:rPr>
          <w:rFonts w:ascii="Verdana" w:hAnsi="Verdana" w:cs="Tahoma"/>
          <w:sz w:val="24"/>
          <w:szCs w:val="24"/>
          <w:lang w:val="en-GB"/>
        </w:rPr>
        <w:t xml:space="preserve">s have closed a disproportionate number of their </w:t>
      </w:r>
      <w:r w:rsidR="003A6582" w:rsidRPr="002353FE">
        <w:rPr>
          <w:rFonts w:ascii="Verdana" w:hAnsi="Verdana" w:cs="Tahoma"/>
          <w:sz w:val="24"/>
          <w:szCs w:val="24"/>
          <w:lang w:val="en-GB"/>
        </w:rPr>
        <w:t>branch</w:t>
      </w:r>
      <w:r w:rsidR="005159BA" w:rsidRPr="002353FE">
        <w:rPr>
          <w:rFonts w:ascii="Verdana" w:hAnsi="Verdana" w:cs="Tahoma"/>
          <w:sz w:val="24"/>
          <w:szCs w:val="24"/>
          <w:lang w:val="en-GB"/>
        </w:rPr>
        <w:t>es</w:t>
      </w:r>
      <w:r w:rsidR="003A6582" w:rsidRPr="002353FE">
        <w:rPr>
          <w:rFonts w:ascii="Verdana" w:hAnsi="Verdana" w:cs="Tahoma"/>
          <w:sz w:val="24"/>
          <w:szCs w:val="24"/>
          <w:lang w:val="en-GB"/>
        </w:rPr>
        <w:t xml:space="preserve"> (Marshall</w:t>
      </w:r>
      <w:r w:rsidR="00855D55" w:rsidRPr="002353FE">
        <w:rPr>
          <w:rFonts w:ascii="Verdana" w:hAnsi="Verdana" w:cs="Tahoma"/>
          <w:sz w:val="24"/>
          <w:szCs w:val="24"/>
          <w:lang w:val="en-GB"/>
        </w:rPr>
        <w:t>,</w:t>
      </w:r>
      <w:r w:rsidR="003A6582" w:rsidRPr="002353FE">
        <w:rPr>
          <w:rFonts w:ascii="Verdana" w:hAnsi="Verdana" w:cs="Tahoma"/>
          <w:sz w:val="24"/>
          <w:szCs w:val="24"/>
          <w:lang w:val="en-GB"/>
        </w:rPr>
        <w:t xml:space="preserve"> 2004)</w:t>
      </w:r>
      <w:r w:rsidR="005159BA" w:rsidRPr="002353FE">
        <w:rPr>
          <w:rFonts w:ascii="Verdana" w:hAnsi="Verdana" w:cs="Tahoma"/>
          <w:sz w:val="24"/>
          <w:szCs w:val="24"/>
          <w:lang w:val="en-GB"/>
        </w:rPr>
        <w:t xml:space="preserve">. </w:t>
      </w:r>
      <w:r w:rsidR="005E68FC" w:rsidRPr="002353FE">
        <w:rPr>
          <w:rFonts w:ascii="Verdana" w:hAnsi="Verdana" w:cs="Tahoma"/>
          <w:sz w:val="24"/>
          <w:szCs w:val="24"/>
          <w:lang w:val="en-GB"/>
        </w:rPr>
        <w:t xml:space="preserve">The </w:t>
      </w:r>
      <w:r w:rsidR="00103194" w:rsidRPr="001E7395">
        <w:rPr>
          <w:rFonts w:ascii="Verdana" w:hAnsi="Verdana" w:cs="Tahoma"/>
          <w:sz w:val="24"/>
          <w:szCs w:val="24"/>
          <w:lang w:val="en-GB"/>
        </w:rPr>
        <w:t>residents</w:t>
      </w:r>
      <w:r w:rsidR="005E68FC" w:rsidRPr="002353FE">
        <w:rPr>
          <w:rFonts w:ascii="Verdana" w:hAnsi="Verdana" w:cs="Tahoma"/>
          <w:sz w:val="24"/>
          <w:szCs w:val="24"/>
          <w:lang w:val="en-GB"/>
        </w:rPr>
        <w:t xml:space="preserve"> of poorer and rural areas </w:t>
      </w:r>
      <w:r w:rsidR="004F6893" w:rsidRPr="002353FE">
        <w:rPr>
          <w:rFonts w:ascii="Verdana" w:hAnsi="Verdana" w:cs="Tahoma"/>
          <w:sz w:val="24"/>
          <w:szCs w:val="24"/>
          <w:lang w:val="en-GB"/>
        </w:rPr>
        <w:t>may</w:t>
      </w:r>
      <w:r w:rsidR="005475C6" w:rsidRPr="002353FE">
        <w:rPr>
          <w:rFonts w:ascii="Verdana" w:hAnsi="Verdana" w:cs="Tahoma"/>
          <w:sz w:val="24"/>
          <w:szCs w:val="24"/>
          <w:lang w:val="en-GB"/>
        </w:rPr>
        <w:t xml:space="preserve"> </w:t>
      </w:r>
      <w:r w:rsidR="006E13BA" w:rsidRPr="002353FE">
        <w:rPr>
          <w:rFonts w:ascii="Verdana" w:hAnsi="Verdana" w:cs="Tahoma"/>
          <w:sz w:val="24"/>
          <w:szCs w:val="24"/>
          <w:lang w:val="en-GB"/>
        </w:rPr>
        <w:t xml:space="preserve">have </w:t>
      </w:r>
      <w:r w:rsidR="001E6D84" w:rsidRPr="002353FE">
        <w:rPr>
          <w:rFonts w:ascii="Verdana" w:hAnsi="Verdana" w:cs="Tahoma"/>
          <w:sz w:val="24"/>
          <w:szCs w:val="24"/>
          <w:lang w:val="en-GB"/>
        </w:rPr>
        <w:t xml:space="preserve">insufficient </w:t>
      </w:r>
      <w:r w:rsidR="006E13BA" w:rsidRPr="002353FE">
        <w:rPr>
          <w:rFonts w:ascii="Verdana" w:hAnsi="Verdana" w:cs="Tahoma"/>
          <w:sz w:val="24"/>
          <w:szCs w:val="24"/>
          <w:lang w:val="en-GB"/>
        </w:rPr>
        <w:t xml:space="preserve">access to </w:t>
      </w:r>
      <w:r w:rsidR="001E6D84" w:rsidRPr="002353FE">
        <w:rPr>
          <w:rFonts w:ascii="Verdana" w:hAnsi="Verdana" w:cs="Tahoma"/>
          <w:sz w:val="24"/>
          <w:szCs w:val="24"/>
          <w:lang w:val="en-GB"/>
        </w:rPr>
        <w:t>financial service providers</w:t>
      </w:r>
      <w:r w:rsidR="00477424" w:rsidRPr="001E7395">
        <w:rPr>
          <w:rFonts w:ascii="Verdana" w:hAnsi="Verdana" w:cs="Tahoma"/>
          <w:sz w:val="24"/>
          <w:szCs w:val="24"/>
          <w:lang w:val="en-GB"/>
        </w:rPr>
        <w:t xml:space="preserve"> </w:t>
      </w:r>
      <w:r w:rsidR="001E6D84" w:rsidRPr="002353FE">
        <w:rPr>
          <w:rFonts w:ascii="Verdana" w:hAnsi="Verdana" w:cs="Tahoma"/>
          <w:sz w:val="24"/>
          <w:szCs w:val="24"/>
          <w:lang w:val="en-GB"/>
        </w:rPr>
        <w:t xml:space="preserve">to </w:t>
      </w:r>
      <w:r w:rsidR="00103194" w:rsidRPr="001E7395">
        <w:rPr>
          <w:rFonts w:ascii="Verdana" w:hAnsi="Verdana" w:cs="Tahoma"/>
          <w:sz w:val="24"/>
          <w:szCs w:val="24"/>
          <w:lang w:val="en-GB"/>
        </w:rPr>
        <w:t xml:space="preserve">adequately </w:t>
      </w:r>
      <w:r w:rsidR="001E6D84" w:rsidRPr="002353FE">
        <w:rPr>
          <w:rFonts w:ascii="Verdana" w:hAnsi="Verdana" w:cs="Tahoma"/>
          <w:sz w:val="24"/>
          <w:szCs w:val="24"/>
          <w:lang w:val="en-GB"/>
        </w:rPr>
        <w:t xml:space="preserve">provide for </w:t>
      </w:r>
      <w:r w:rsidR="00103194" w:rsidRPr="001E7395">
        <w:rPr>
          <w:rFonts w:ascii="Verdana" w:hAnsi="Verdana" w:cs="Tahoma"/>
          <w:sz w:val="24"/>
          <w:szCs w:val="24"/>
          <w:lang w:val="en-GB"/>
        </w:rPr>
        <w:t xml:space="preserve">their financial needs </w:t>
      </w:r>
      <w:r w:rsidR="00D0471B" w:rsidRPr="001E7395">
        <w:rPr>
          <w:rFonts w:ascii="Verdana" w:hAnsi="Verdana" w:cs="Tahoma"/>
          <w:sz w:val="24"/>
          <w:szCs w:val="24"/>
          <w:lang w:val="en-GB"/>
        </w:rPr>
        <w:t xml:space="preserve">(De la Cuesta </w:t>
      </w:r>
      <w:r w:rsidR="00D0471B" w:rsidRPr="001E7395">
        <w:rPr>
          <w:rFonts w:ascii="Verdana" w:hAnsi="Verdana" w:cs="Tahoma"/>
          <w:i/>
          <w:iCs/>
          <w:sz w:val="24"/>
          <w:szCs w:val="24"/>
          <w:lang w:val="en-GB"/>
        </w:rPr>
        <w:t>et al</w:t>
      </w:r>
      <w:r w:rsidR="007F7EED" w:rsidRPr="001E7395">
        <w:rPr>
          <w:rFonts w:ascii="Verdana" w:hAnsi="Verdana" w:cs="Tahoma"/>
          <w:sz w:val="24"/>
          <w:szCs w:val="24"/>
          <w:lang w:val="en-GB"/>
        </w:rPr>
        <w:t>.,</w:t>
      </w:r>
      <w:r w:rsidR="00D0471B" w:rsidRPr="001E7395">
        <w:rPr>
          <w:rFonts w:ascii="Verdana" w:hAnsi="Verdana" w:cs="Tahoma"/>
          <w:sz w:val="24"/>
          <w:szCs w:val="24"/>
          <w:lang w:val="en-GB"/>
        </w:rPr>
        <w:t xml:space="preserve"> 2021).</w:t>
      </w:r>
      <w:r w:rsidR="00D0471B" w:rsidRPr="002353FE">
        <w:rPr>
          <w:rFonts w:ascii="Verdana" w:hAnsi="Verdana" w:cs="Tahoma"/>
          <w:sz w:val="24"/>
          <w:szCs w:val="24"/>
          <w:lang w:val="en-GB"/>
        </w:rPr>
        <w:t xml:space="preserve"> </w:t>
      </w:r>
    </w:p>
    <w:p w14:paraId="1049B687" w14:textId="4130A989" w:rsidR="00894185" w:rsidRPr="002353FE" w:rsidRDefault="00693548">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To summarise, a </w:t>
      </w:r>
      <w:r w:rsidR="00D0471B" w:rsidRPr="002353FE">
        <w:rPr>
          <w:rFonts w:ascii="Verdana" w:hAnsi="Verdana" w:cs="Tahoma"/>
          <w:sz w:val="24"/>
          <w:szCs w:val="24"/>
          <w:lang w:val="en-GB"/>
        </w:rPr>
        <w:t xml:space="preserve">high age, a low educational attainment and residence in a rural or poor area would constitute characteristics </w:t>
      </w:r>
      <w:r w:rsidR="00162B22" w:rsidRPr="002353FE">
        <w:rPr>
          <w:rFonts w:ascii="Verdana" w:hAnsi="Verdana" w:cs="Tahoma"/>
          <w:sz w:val="24"/>
          <w:szCs w:val="24"/>
          <w:lang w:val="en-GB"/>
        </w:rPr>
        <w:t>o</w:t>
      </w:r>
      <w:r w:rsidR="004F6893" w:rsidRPr="002353FE">
        <w:rPr>
          <w:rFonts w:ascii="Verdana" w:hAnsi="Verdana" w:cs="Tahoma"/>
          <w:sz w:val="24"/>
          <w:szCs w:val="24"/>
          <w:lang w:val="en-GB"/>
        </w:rPr>
        <w:t>f</w:t>
      </w:r>
      <w:r w:rsidR="00162B22" w:rsidRPr="002353FE">
        <w:rPr>
          <w:rFonts w:ascii="Verdana" w:hAnsi="Verdana" w:cs="Tahoma"/>
          <w:sz w:val="24"/>
          <w:szCs w:val="24"/>
          <w:lang w:val="en-GB"/>
        </w:rPr>
        <w:t xml:space="preserve"> a financial ecology</w:t>
      </w:r>
      <w:r w:rsidR="00DD1616" w:rsidRPr="002353FE">
        <w:rPr>
          <w:rFonts w:ascii="Verdana" w:hAnsi="Verdana" w:cs="Tahoma"/>
          <w:sz w:val="24"/>
          <w:szCs w:val="24"/>
          <w:lang w:val="en-GB"/>
        </w:rPr>
        <w:t>, within which bank swithcing decisions become more challenging</w:t>
      </w:r>
      <w:r w:rsidR="00FD2C91" w:rsidRPr="002353FE">
        <w:rPr>
          <w:rFonts w:ascii="Verdana" w:hAnsi="Verdana" w:cs="Tahoma"/>
          <w:sz w:val="24"/>
          <w:szCs w:val="24"/>
          <w:lang w:val="en-GB"/>
        </w:rPr>
        <w:t>.</w:t>
      </w:r>
      <w:r w:rsidR="002E454E" w:rsidRPr="002353FE">
        <w:rPr>
          <w:rFonts w:ascii="Verdana" w:hAnsi="Verdana" w:cs="Tahoma"/>
          <w:sz w:val="24"/>
          <w:szCs w:val="24"/>
          <w:lang w:val="en-GB"/>
        </w:rPr>
        <w:t xml:space="preserve"> </w:t>
      </w:r>
      <w:r w:rsidR="00CC3689" w:rsidRPr="002353FE">
        <w:rPr>
          <w:rFonts w:ascii="Verdana" w:hAnsi="Verdana" w:cs="Tahoma"/>
          <w:sz w:val="24"/>
          <w:szCs w:val="24"/>
          <w:lang w:val="en-GB"/>
        </w:rPr>
        <w:t xml:space="preserve">These </w:t>
      </w:r>
      <w:r w:rsidR="00386DCC" w:rsidRPr="002353FE">
        <w:rPr>
          <w:rFonts w:ascii="Verdana" w:hAnsi="Verdana" w:cs="Tahoma"/>
          <w:sz w:val="24"/>
          <w:szCs w:val="24"/>
          <w:lang w:val="en-GB"/>
        </w:rPr>
        <w:t>socio-economic factors</w:t>
      </w:r>
      <w:r w:rsidR="006420CD" w:rsidRPr="002353FE">
        <w:rPr>
          <w:rFonts w:ascii="Verdana" w:hAnsi="Verdana" w:cs="Tahoma"/>
          <w:sz w:val="24"/>
          <w:szCs w:val="24"/>
          <w:lang w:val="en-GB"/>
        </w:rPr>
        <w:t xml:space="preserve"> </w:t>
      </w:r>
      <w:r w:rsidR="00827199" w:rsidRPr="002353FE">
        <w:rPr>
          <w:rFonts w:ascii="Verdana" w:hAnsi="Verdana" w:cs="Tahoma"/>
          <w:sz w:val="24"/>
          <w:szCs w:val="24"/>
          <w:lang w:val="en-GB"/>
        </w:rPr>
        <w:t xml:space="preserve">associated with vulnerability </w:t>
      </w:r>
      <w:r w:rsidR="00386DCC" w:rsidRPr="002353FE">
        <w:rPr>
          <w:rFonts w:ascii="Verdana" w:hAnsi="Verdana" w:cs="Tahoma"/>
          <w:sz w:val="24"/>
          <w:szCs w:val="24"/>
          <w:lang w:val="en-GB"/>
        </w:rPr>
        <w:t>a</w:t>
      </w:r>
      <w:r w:rsidR="006420CD" w:rsidRPr="002353FE">
        <w:rPr>
          <w:rFonts w:ascii="Verdana" w:hAnsi="Verdana" w:cs="Tahoma"/>
          <w:sz w:val="24"/>
          <w:szCs w:val="24"/>
          <w:lang w:val="en-GB"/>
        </w:rPr>
        <w:t xml:space="preserve">re also </w:t>
      </w:r>
      <w:r w:rsidR="00386DCC" w:rsidRPr="002353FE">
        <w:rPr>
          <w:rFonts w:ascii="Verdana" w:hAnsi="Verdana" w:cs="Tahoma"/>
          <w:sz w:val="24"/>
          <w:szCs w:val="24"/>
          <w:lang w:val="en-GB"/>
        </w:rPr>
        <w:t>influent</w:t>
      </w:r>
      <w:r w:rsidR="006420CD" w:rsidRPr="002353FE">
        <w:rPr>
          <w:rFonts w:ascii="Verdana" w:hAnsi="Verdana" w:cs="Tahoma"/>
          <w:sz w:val="24"/>
          <w:szCs w:val="24"/>
          <w:lang w:val="en-GB"/>
        </w:rPr>
        <w:t>i</w:t>
      </w:r>
      <w:r w:rsidR="00386DCC" w:rsidRPr="002353FE">
        <w:rPr>
          <w:rFonts w:ascii="Verdana" w:hAnsi="Verdana" w:cs="Tahoma"/>
          <w:sz w:val="24"/>
          <w:szCs w:val="24"/>
          <w:lang w:val="en-GB"/>
        </w:rPr>
        <w:t>al within churn theory (</w:t>
      </w:r>
      <w:r w:rsidR="000E02EA" w:rsidRPr="001E7395">
        <w:rPr>
          <w:rFonts w:ascii="Verdana" w:hAnsi="Verdana" w:cs="Tahoma"/>
          <w:color w:val="000000" w:themeColor="text1"/>
          <w:sz w:val="24"/>
          <w:szCs w:val="24"/>
          <w:lang w:val="en-GB"/>
        </w:rPr>
        <w:t xml:space="preserve">Ngau </w:t>
      </w:r>
      <w:r w:rsidR="000E02EA" w:rsidRPr="001E7395">
        <w:rPr>
          <w:rFonts w:ascii="Verdana" w:hAnsi="Verdana" w:cs="Tahoma"/>
          <w:i/>
          <w:iCs/>
          <w:color w:val="000000" w:themeColor="text1"/>
          <w:sz w:val="24"/>
          <w:szCs w:val="24"/>
          <w:lang w:val="en-GB"/>
        </w:rPr>
        <w:t>et al</w:t>
      </w:r>
      <w:r w:rsidR="000E02EA" w:rsidRPr="001E7395">
        <w:rPr>
          <w:rFonts w:ascii="Verdana" w:hAnsi="Verdana" w:cs="Tahoma"/>
          <w:color w:val="000000" w:themeColor="text1"/>
          <w:sz w:val="24"/>
          <w:szCs w:val="24"/>
          <w:lang w:val="en-GB"/>
        </w:rPr>
        <w:t>., 2023</w:t>
      </w:r>
      <w:r w:rsidR="00386DCC" w:rsidRPr="002353FE">
        <w:rPr>
          <w:rFonts w:ascii="Verdana" w:hAnsi="Verdana" w:cs="Tahoma"/>
          <w:sz w:val="24"/>
          <w:szCs w:val="24"/>
          <w:lang w:val="en-GB"/>
        </w:rPr>
        <w:t xml:space="preserve">). </w:t>
      </w:r>
      <w:r w:rsidR="002E454E" w:rsidRPr="002353FE">
        <w:rPr>
          <w:rFonts w:ascii="Verdana" w:hAnsi="Verdana" w:cs="Tahoma"/>
          <w:sz w:val="24"/>
          <w:szCs w:val="24"/>
          <w:lang w:val="en-GB"/>
        </w:rPr>
        <w:t xml:space="preserve">We analyse whether this </w:t>
      </w:r>
      <w:r w:rsidR="000E02EA" w:rsidRPr="002353FE">
        <w:rPr>
          <w:rFonts w:ascii="Verdana" w:hAnsi="Verdana" w:cs="Tahoma"/>
          <w:sz w:val="24"/>
          <w:szCs w:val="24"/>
          <w:lang w:val="en-GB"/>
        </w:rPr>
        <w:t xml:space="preserve">customer </w:t>
      </w:r>
      <w:r w:rsidR="00FD2C91" w:rsidRPr="002353FE">
        <w:rPr>
          <w:rFonts w:ascii="Verdana" w:hAnsi="Verdana" w:cs="Tahoma"/>
          <w:sz w:val="24"/>
          <w:szCs w:val="24"/>
          <w:lang w:val="en-GB"/>
        </w:rPr>
        <w:t xml:space="preserve">vulnerability </w:t>
      </w:r>
      <w:r w:rsidR="002E454E" w:rsidRPr="002353FE">
        <w:rPr>
          <w:rFonts w:ascii="Verdana" w:hAnsi="Verdana" w:cs="Tahoma"/>
          <w:sz w:val="24"/>
          <w:szCs w:val="24"/>
          <w:lang w:val="en-GB"/>
        </w:rPr>
        <w:t xml:space="preserve">is reflected in </w:t>
      </w:r>
      <w:r w:rsidR="00317DDA" w:rsidRPr="001E7395">
        <w:rPr>
          <w:rFonts w:ascii="Verdana" w:hAnsi="Verdana" w:cs="Tahoma"/>
          <w:sz w:val="24"/>
          <w:szCs w:val="24"/>
          <w:lang w:val="en-GB"/>
        </w:rPr>
        <w:t>current account provider</w:t>
      </w:r>
      <w:r w:rsidR="002E454E" w:rsidRPr="002353FE">
        <w:rPr>
          <w:rFonts w:ascii="Verdana" w:hAnsi="Verdana" w:cs="Tahoma"/>
          <w:sz w:val="24"/>
          <w:szCs w:val="24"/>
          <w:lang w:val="en-GB"/>
        </w:rPr>
        <w:t xml:space="preserve"> switching decisions, by testing the following hypothesis:</w:t>
      </w:r>
      <w:r w:rsidR="00D0471B" w:rsidRPr="002353FE">
        <w:rPr>
          <w:rFonts w:ascii="Verdana" w:hAnsi="Verdana" w:cs="Tahoma"/>
          <w:sz w:val="24"/>
          <w:szCs w:val="24"/>
          <w:lang w:val="en-GB"/>
        </w:rPr>
        <w:t xml:space="preserve">   </w:t>
      </w:r>
    </w:p>
    <w:p w14:paraId="523A2A60" w14:textId="66B10974" w:rsidR="00BE08B7" w:rsidRPr="002353FE" w:rsidRDefault="00C27B76" w:rsidP="001F3E69">
      <w:pPr>
        <w:spacing w:before="120" w:after="120" w:line="480" w:lineRule="auto"/>
        <w:ind w:left="567" w:right="281" w:hanging="567"/>
        <w:jc w:val="both"/>
        <w:rPr>
          <w:rFonts w:ascii="Verdana" w:hAnsi="Verdana" w:cs="Tahoma"/>
          <w:i/>
          <w:sz w:val="24"/>
          <w:szCs w:val="24"/>
          <w:lang w:val="en-GB"/>
        </w:rPr>
      </w:pPr>
      <w:r w:rsidRPr="002353FE">
        <w:rPr>
          <w:rFonts w:ascii="Verdana" w:hAnsi="Verdana" w:cs="Tahoma"/>
          <w:i/>
          <w:sz w:val="24"/>
          <w:szCs w:val="24"/>
          <w:lang w:val="en-GB"/>
        </w:rPr>
        <w:t>H</w:t>
      </w:r>
      <w:r w:rsidRPr="002353FE">
        <w:rPr>
          <w:rFonts w:ascii="Verdana" w:hAnsi="Verdana" w:cs="Tahoma"/>
          <w:i/>
          <w:sz w:val="24"/>
          <w:szCs w:val="24"/>
          <w:vertAlign w:val="subscript"/>
          <w:lang w:val="en-GB"/>
        </w:rPr>
        <w:t>1</w:t>
      </w:r>
      <w:r w:rsidRPr="002353FE">
        <w:rPr>
          <w:rFonts w:ascii="Verdana" w:hAnsi="Verdana" w:cs="Tahoma"/>
          <w:i/>
          <w:sz w:val="24"/>
          <w:szCs w:val="24"/>
          <w:lang w:val="en-GB"/>
        </w:rPr>
        <w:t xml:space="preserve">. </w:t>
      </w:r>
      <w:r w:rsidR="00EE3E3B" w:rsidRPr="002353FE">
        <w:rPr>
          <w:rFonts w:ascii="Verdana" w:hAnsi="Verdana" w:cs="Tahoma"/>
          <w:i/>
          <w:sz w:val="24"/>
          <w:szCs w:val="24"/>
          <w:lang w:val="en-GB"/>
        </w:rPr>
        <w:tab/>
      </w:r>
      <w:r w:rsidR="00780BEC" w:rsidRPr="002353FE">
        <w:rPr>
          <w:rFonts w:ascii="Verdana" w:hAnsi="Verdana" w:cs="Tahoma"/>
          <w:i/>
          <w:sz w:val="24"/>
          <w:szCs w:val="24"/>
          <w:lang w:val="en-GB"/>
        </w:rPr>
        <w:t>I</w:t>
      </w:r>
      <w:r w:rsidR="00520D3A" w:rsidRPr="002353FE">
        <w:rPr>
          <w:rFonts w:ascii="Verdana" w:hAnsi="Verdana" w:cs="Tahoma"/>
          <w:i/>
          <w:sz w:val="24"/>
          <w:szCs w:val="24"/>
          <w:lang w:val="en-GB"/>
        </w:rPr>
        <w:t>ndividuals with</w:t>
      </w:r>
      <w:r w:rsidR="00481055" w:rsidRPr="002353FE">
        <w:rPr>
          <w:rFonts w:ascii="Verdana" w:hAnsi="Verdana" w:cs="Tahoma"/>
          <w:i/>
          <w:sz w:val="24"/>
          <w:szCs w:val="24"/>
          <w:lang w:val="en-GB"/>
        </w:rPr>
        <w:t xml:space="preserve"> socio-economic </w:t>
      </w:r>
      <w:r w:rsidR="00AD0728" w:rsidRPr="002353FE">
        <w:rPr>
          <w:rFonts w:ascii="Verdana" w:hAnsi="Verdana" w:cs="Tahoma"/>
          <w:i/>
          <w:sz w:val="24"/>
          <w:szCs w:val="24"/>
          <w:lang w:val="en-GB"/>
        </w:rPr>
        <w:t>characteristics</w:t>
      </w:r>
      <w:r w:rsidR="002E454E" w:rsidRPr="002353FE">
        <w:rPr>
          <w:rFonts w:ascii="Verdana" w:hAnsi="Verdana" w:cs="Tahoma"/>
          <w:i/>
          <w:sz w:val="24"/>
          <w:szCs w:val="24"/>
          <w:lang w:val="en-GB"/>
        </w:rPr>
        <w:t xml:space="preserve"> representative of customer vulnerability</w:t>
      </w:r>
      <w:r w:rsidR="00780BEC" w:rsidRPr="002353FE">
        <w:rPr>
          <w:rFonts w:ascii="Verdana" w:hAnsi="Verdana" w:cs="Tahoma"/>
          <w:i/>
          <w:sz w:val="24"/>
          <w:szCs w:val="24"/>
          <w:lang w:val="en-GB"/>
        </w:rPr>
        <w:t xml:space="preserve"> are less </w:t>
      </w:r>
      <w:r w:rsidR="00FD2C91" w:rsidRPr="002353FE">
        <w:rPr>
          <w:rFonts w:ascii="Verdana" w:hAnsi="Verdana" w:cs="Tahoma"/>
          <w:i/>
          <w:sz w:val="24"/>
          <w:szCs w:val="24"/>
          <w:lang w:val="en-GB"/>
        </w:rPr>
        <w:t xml:space="preserve">likely </w:t>
      </w:r>
      <w:r w:rsidR="00780BEC" w:rsidRPr="002353FE">
        <w:rPr>
          <w:rFonts w:ascii="Verdana" w:hAnsi="Verdana" w:cs="Tahoma"/>
          <w:i/>
          <w:sz w:val="24"/>
          <w:szCs w:val="24"/>
          <w:lang w:val="en-GB"/>
        </w:rPr>
        <w:t>to switch their personal current account provider</w:t>
      </w:r>
      <w:r w:rsidR="00E655DE" w:rsidRPr="002353FE">
        <w:rPr>
          <w:rFonts w:ascii="Verdana" w:hAnsi="Verdana" w:cs="Tahoma"/>
          <w:i/>
          <w:sz w:val="24"/>
          <w:szCs w:val="24"/>
          <w:lang w:val="en-GB"/>
        </w:rPr>
        <w:t>.</w:t>
      </w:r>
      <w:r w:rsidR="00BE08B7" w:rsidRPr="002353FE">
        <w:rPr>
          <w:rFonts w:ascii="Verdana" w:hAnsi="Verdana" w:cs="Tahoma"/>
          <w:i/>
          <w:sz w:val="24"/>
          <w:szCs w:val="24"/>
          <w:lang w:val="en-GB"/>
        </w:rPr>
        <w:t xml:space="preserve"> </w:t>
      </w:r>
    </w:p>
    <w:p w14:paraId="4350C231" w14:textId="697704B4" w:rsidR="005003F9" w:rsidRPr="002353FE" w:rsidRDefault="002E454E" w:rsidP="00940111">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lastRenderedPageBreak/>
        <w:t xml:space="preserve">Second, we examine the </w:t>
      </w:r>
      <w:r w:rsidR="003148C6" w:rsidRPr="002353FE">
        <w:rPr>
          <w:rFonts w:ascii="Verdana" w:hAnsi="Verdana" w:cs="Tahoma"/>
          <w:sz w:val="24"/>
          <w:szCs w:val="24"/>
          <w:lang w:val="en-GB"/>
        </w:rPr>
        <w:t xml:space="preserve">association </w:t>
      </w:r>
      <w:r w:rsidRPr="002353FE">
        <w:rPr>
          <w:rFonts w:ascii="Verdana" w:hAnsi="Verdana" w:cs="Tahoma"/>
          <w:sz w:val="24"/>
          <w:szCs w:val="24"/>
          <w:lang w:val="en-GB"/>
        </w:rPr>
        <w:t xml:space="preserve">between individuals’ decisions to switch </w:t>
      </w:r>
      <w:r w:rsidR="00103194" w:rsidRPr="001E7395">
        <w:rPr>
          <w:rFonts w:ascii="Verdana" w:hAnsi="Verdana" w:cs="Tahoma"/>
          <w:sz w:val="24"/>
          <w:szCs w:val="24"/>
          <w:lang w:val="en-GB"/>
        </w:rPr>
        <w:t>current account</w:t>
      </w:r>
      <w:r w:rsidR="000A2A1F" w:rsidRPr="001E7395">
        <w:rPr>
          <w:rFonts w:ascii="Verdana" w:hAnsi="Verdana" w:cs="Tahoma"/>
          <w:sz w:val="24"/>
          <w:szCs w:val="24"/>
          <w:lang w:val="en-GB"/>
        </w:rPr>
        <w:t>s</w:t>
      </w:r>
      <w:r w:rsidR="00103194" w:rsidRPr="001E7395">
        <w:rPr>
          <w:rFonts w:ascii="Verdana" w:hAnsi="Verdana" w:cs="Tahoma"/>
          <w:sz w:val="24"/>
          <w:szCs w:val="24"/>
          <w:lang w:val="en-GB"/>
        </w:rPr>
        <w:t xml:space="preserve"> </w:t>
      </w:r>
      <w:r w:rsidRPr="002353FE">
        <w:rPr>
          <w:rFonts w:ascii="Verdana" w:hAnsi="Verdana" w:cs="Tahoma"/>
          <w:sz w:val="24"/>
          <w:szCs w:val="24"/>
          <w:lang w:val="en-GB"/>
        </w:rPr>
        <w:t xml:space="preserve">and </w:t>
      </w:r>
      <w:r w:rsidR="00373A7A" w:rsidRPr="002353FE">
        <w:rPr>
          <w:rFonts w:ascii="Verdana" w:hAnsi="Verdana" w:cs="Tahoma"/>
          <w:sz w:val="24"/>
          <w:szCs w:val="24"/>
          <w:lang w:val="en-GB"/>
        </w:rPr>
        <w:t xml:space="preserve">the </w:t>
      </w:r>
      <w:r w:rsidR="000A2A1F" w:rsidRPr="002353FE">
        <w:rPr>
          <w:rFonts w:ascii="Verdana" w:hAnsi="Verdana" w:cs="Tahoma"/>
          <w:sz w:val="24"/>
          <w:szCs w:val="24"/>
          <w:lang w:val="en-GB"/>
        </w:rPr>
        <w:t xml:space="preserve">national </w:t>
      </w:r>
      <w:r w:rsidRPr="002353FE">
        <w:rPr>
          <w:rFonts w:ascii="Verdana" w:hAnsi="Verdana" w:cs="Tahoma"/>
          <w:sz w:val="24"/>
          <w:szCs w:val="24"/>
          <w:lang w:val="en-GB"/>
        </w:rPr>
        <w:t xml:space="preserve">policies </w:t>
      </w:r>
      <w:r w:rsidR="00482585" w:rsidRPr="002353FE">
        <w:rPr>
          <w:rFonts w:ascii="Verdana" w:hAnsi="Verdana" w:cs="Tahoma"/>
          <w:sz w:val="24"/>
          <w:szCs w:val="24"/>
          <w:lang w:val="en-GB"/>
        </w:rPr>
        <w:t xml:space="preserve">directed at </w:t>
      </w:r>
      <w:r w:rsidR="000653EB" w:rsidRPr="002353FE">
        <w:rPr>
          <w:rFonts w:ascii="Verdana" w:hAnsi="Verdana" w:cs="Tahoma"/>
          <w:sz w:val="24"/>
          <w:szCs w:val="24"/>
          <w:lang w:val="en-GB"/>
        </w:rPr>
        <w:t>increasing</w:t>
      </w:r>
      <w:r w:rsidR="001F3E69" w:rsidRPr="002353FE">
        <w:rPr>
          <w:rFonts w:ascii="Verdana" w:hAnsi="Verdana" w:cs="Tahoma"/>
          <w:sz w:val="24"/>
          <w:szCs w:val="24"/>
          <w:lang w:val="en-GB"/>
        </w:rPr>
        <w:t xml:space="preserve"> </w:t>
      </w:r>
      <w:r w:rsidRPr="002353FE">
        <w:rPr>
          <w:rFonts w:ascii="Verdana" w:hAnsi="Verdana" w:cs="Tahoma"/>
          <w:sz w:val="24"/>
          <w:szCs w:val="24"/>
          <w:lang w:val="en-GB"/>
        </w:rPr>
        <w:t xml:space="preserve">consumer empowerment. </w:t>
      </w:r>
      <w:r w:rsidR="00103194" w:rsidRPr="001E7395">
        <w:rPr>
          <w:rFonts w:ascii="Verdana" w:hAnsi="Verdana" w:cs="Tahoma"/>
          <w:sz w:val="24"/>
          <w:szCs w:val="24"/>
          <w:lang w:val="en-GB"/>
        </w:rPr>
        <w:t>National</w:t>
      </w:r>
      <w:r w:rsidR="00103194" w:rsidRPr="002353FE">
        <w:rPr>
          <w:rFonts w:ascii="Verdana" w:hAnsi="Verdana" w:cs="Tahoma"/>
          <w:sz w:val="24"/>
          <w:szCs w:val="24"/>
          <w:lang w:val="en-GB"/>
        </w:rPr>
        <w:t xml:space="preserve"> s</w:t>
      </w:r>
      <w:r w:rsidRPr="002353FE">
        <w:rPr>
          <w:rFonts w:ascii="Verdana" w:hAnsi="Verdana" w:cs="Tahoma"/>
          <w:sz w:val="24"/>
          <w:szCs w:val="24"/>
          <w:lang w:val="en-GB"/>
        </w:rPr>
        <w:t>trategies to enhance switching have focused on financial literacy (World Bank</w:t>
      </w:r>
      <w:r w:rsidR="007F7EED" w:rsidRPr="002353FE">
        <w:rPr>
          <w:rFonts w:ascii="Verdana" w:hAnsi="Verdana" w:cs="Tahoma"/>
          <w:sz w:val="24"/>
          <w:szCs w:val="24"/>
          <w:lang w:val="en-GB"/>
        </w:rPr>
        <w:t>,</w:t>
      </w:r>
      <w:r w:rsidRPr="002353FE">
        <w:rPr>
          <w:rFonts w:ascii="Verdana" w:hAnsi="Verdana" w:cs="Tahoma"/>
          <w:sz w:val="24"/>
          <w:szCs w:val="24"/>
          <w:lang w:val="en-GB"/>
        </w:rPr>
        <w:t xml:space="preserve"> 2014; EP</w:t>
      </w:r>
      <w:r w:rsidR="007F7EED" w:rsidRPr="002353FE">
        <w:rPr>
          <w:rFonts w:ascii="Verdana" w:hAnsi="Verdana" w:cs="Tahoma"/>
          <w:sz w:val="24"/>
          <w:szCs w:val="24"/>
          <w:lang w:val="en-GB"/>
        </w:rPr>
        <w:t>,</w:t>
      </w:r>
      <w:r w:rsidRPr="002353FE">
        <w:rPr>
          <w:rFonts w:ascii="Verdana" w:hAnsi="Verdana" w:cs="Tahoma"/>
          <w:sz w:val="24"/>
          <w:szCs w:val="24"/>
          <w:lang w:val="en-GB"/>
        </w:rPr>
        <w:t xml:space="preserve"> 2015; Brennan </w:t>
      </w:r>
      <w:r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Pr="002353FE">
        <w:rPr>
          <w:rFonts w:ascii="Verdana" w:hAnsi="Verdana" w:cs="Tahoma"/>
          <w:sz w:val="24"/>
          <w:szCs w:val="24"/>
          <w:lang w:val="en-GB"/>
        </w:rPr>
        <w:t xml:space="preserve"> 2017; Pasiouras</w:t>
      </w:r>
      <w:r w:rsidR="007F7EED" w:rsidRPr="002353FE">
        <w:rPr>
          <w:rFonts w:ascii="Verdana" w:hAnsi="Verdana" w:cs="Tahoma"/>
          <w:sz w:val="24"/>
          <w:szCs w:val="24"/>
          <w:lang w:val="en-GB"/>
        </w:rPr>
        <w:t>,</w:t>
      </w:r>
      <w:r w:rsidRPr="002353FE">
        <w:rPr>
          <w:rFonts w:ascii="Verdana" w:hAnsi="Verdana" w:cs="Tahoma"/>
          <w:sz w:val="24"/>
          <w:szCs w:val="24"/>
          <w:lang w:val="en-GB"/>
        </w:rPr>
        <w:t xml:space="preserve"> 2018)</w:t>
      </w:r>
      <w:r w:rsidR="0090736F" w:rsidRPr="002353FE">
        <w:rPr>
          <w:rFonts w:ascii="Verdana" w:hAnsi="Verdana" w:cs="Tahoma"/>
          <w:sz w:val="24"/>
          <w:szCs w:val="24"/>
          <w:lang w:val="en-GB"/>
        </w:rPr>
        <w:t xml:space="preserve">. While </w:t>
      </w:r>
      <w:r w:rsidR="000A3E82" w:rsidRPr="002353FE">
        <w:rPr>
          <w:rFonts w:ascii="Verdana" w:hAnsi="Verdana" w:cs="Tahoma"/>
          <w:sz w:val="24"/>
          <w:szCs w:val="24"/>
          <w:lang w:val="en-GB"/>
        </w:rPr>
        <w:t>i</w:t>
      </w:r>
      <w:r w:rsidRPr="002353FE">
        <w:rPr>
          <w:rFonts w:ascii="Verdana" w:hAnsi="Verdana" w:cs="Tahoma"/>
          <w:sz w:val="24"/>
          <w:szCs w:val="24"/>
          <w:lang w:val="en-GB"/>
        </w:rPr>
        <w:t xml:space="preserve">t is often assumed switching rates </w:t>
      </w:r>
      <w:r w:rsidR="00626DFB" w:rsidRPr="002353FE">
        <w:rPr>
          <w:rFonts w:ascii="Verdana" w:hAnsi="Verdana" w:cs="Tahoma"/>
          <w:sz w:val="24"/>
          <w:szCs w:val="24"/>
          <w:lang w:val="en-GB"/>
        </w:rPr>
        <w:t>are positivel</w:t>
      </w:r>
      <w:r w:rsidR="0090736F" w:rsidRPr="002353FE">
        <w:rPr>
          <w:rFonts w:ascii="Verdana" w:hAnsi="Verdana" w:cs="Tahoma"/>
          <w:sz w:val="24"/>
          <w:szCs w:val="24"/>
          <w:lang w:val="en-GB"/>
        </w:rPr>
        <w:t>y</w:t>
      </w:r>
      <w:r w:rsidR="00626DFB" w:rsidRPr="002353FE">
        <w:rPr>
          <w:rFonts w:ascii="Verdana" w:hAnsi="Verdana" w:cs="Tahoma"/>
          <w:sz w:val="24"/>
          <w:szCs w:val="24"/>
          <w:lang w:val="en-GB"/>
        </w:rPr>
        <w:t xml:space="preserve"> associated with </w:t>
      </w:r>
      <w:r w:rsidR="000653EB" w:rsidRPr="002353FE">
        <w:rPr>
          <w:rFonts w:ascii="Verdana" w:hAnsi="Verdana" w:cs="Tahoma"/>
          <w:sz w:val="24"/>
          <w:szCs w:val="24"/>
          <w:lang w:val="en-GB"/>
        </w:rPr>
        <w:t xml:space="preserve">greater </w:t>
      </w:r>
      <w:r w:rsidRPr="002353FE">
        <w:rPr>
          <w:rFonts w:ascii="Verdana" w:hAnsi="Verdana" w:cs="Tahoma"/>
          <w:sz w:val="24"/>
          <w:szCs w:val="24"/>
          <w:lang w:val="en-GB"/>
        </w:rPr>
        <w:t>financial literacy</w:t>
      </w:r>
      <w:r w:rsidR="0090736F" w:rsidRPr="002353FE">
        <w:rPr>
          <w:rFonts w:ascii="Verdana" w:hAnsi="Verdana" w:cs="Tahoma"/>
          <w:sz w:val="24"/>
          <w:szCs w:val="24"/>
          <w:lang w:val="en-GB"/>
        </w:rPr>
        <w:t>, th</w:t>
      </w:r>
      <w:r w:rsidR="00642F01" w:rsidRPr="002353FE">
        <w:rPr>
          <w:rFonts w:ascii="Verdana" w:hAnsi="Verdana" w:cs="Tahoma"/>
          <w:sz w:val="24"/>
          <w:szCs w:val="24"/>
          <w:lang w:val="en-GB"/>
        </w:rPr>
        <w:t>e</w:t>
      </w:r>
      <w:r w:rsidR="009C69A3" w:rsidRPr="002353FE">
        <w:rPr>
          <w:rFonts w:ascii="Verdana" w:hAnsi="Verdana" w:cs="Tahoma"/>
          <w:sz w:val="24"/>
          <w:szCs w:val="24"/>
          <w:lang w:val="en-GB"/>
        </w:rPr>
        <w:t xml:space="preserve"> effectiveness of </w:t>
      </w:r>
      <w:r w:rsidRPr="002353FE">
        <w:rPr>
          <w:rFonts w:ascii="Verdana" w:hAnsi="Verdana" w:cs="Tahoma"/>
          <w:sz w:val="24"/>
          <w:szCs w:val="24"/>
          <w:lang w:val="en-GB"/>
        </w:rPr>
        <w:t xml:space="preserve">financial education </w:t>
      </w:r>
      <w:r w:rsidR="009C69A3" w:rsidRPr="002353FE">
        <w:rPr>
          <w:rFonts w:ascii="Verdana" w:hAnsi="Verdana" w:cs="Tahoma"/>
          <w:sz w:val="24"/>
          <w:szCs w:val="24"/>
          <w:lang w:val="en-GB"/>
        </w:rPr>
        <w:t xml:space="preserve">is </w:t>
      </w:r>
      <w:r w:rsidR="00642F01" w:rsidRPr="002353FE">
        <w:rPr>
          <w:rFonts w:ascii="Verdana" w:hAnsi="Verdana" w:cs="Tahoma"/>
          <w:sz w:val="24"/>
          <w:szCs w:val="24"/>
          <w:lang w:val="en-GB"/>
        </w:rPr>
        <w:t xml:space="preserve">disputed by many </w:t>
      </w:r>
      <w:r w:rsidRPr="002353FE">
        <w:rPr>
          <w:rFonts w:ascii="Verdana" w:hAnsi="Verdana" w:cs="Tahoma"/>
          <w:sz w:val="24"/>
          <w:szCs w:val="24"/>
          <w:lang w:val="en-GB"/>
        </w:rPr>
        <w:t>(Hoffmann and Otteby</w:t>
      </w:r>
      <w:r w:rsidR="007F7EED" w:rsidRPr="002353FE">
        <w:rPr>
          <w:rFonts w:ascii="Verdana" w:hAnsi="Verdana" w:cs="Tahoma"/>
          <w:sz w:val="24"/>
          <w:szCs w:val="24"/>
          <w:lang w:val="en-GB"/>
        </w:rPr>
        <w:t>,</w:t>
      </w:r>
      <w:r w:rsidRPr="002353FE">
        <w:rPr>
          <w:rFonts w:ascii="Verdana" w:hAnsi="Verdana" w:cs="Tahoma"/>
          <w:sz w:val="24"/>
          <w:szCs w:val="24"/>
          <w:lang w:val="en-GB"/>
        </w:rPr>
        <w:t xml:space="preserve"> 2018). </w:t>
      </w:r>
      <w:r w:rsidR="0090736F" w:rsidRPr="002353FE">
        <w:rPr>
          <w:rFonts w:ascii="Verdana" w:hAnsi="Verdana" w:cs="Tahoma"/>
          <w:sz w:val="24"/>
          <w:szCs w:val="24"/>
          <w:lang w:val="en-GB"/>
        </w:rPr>
        <w:t>S</w:t>
      </w:r>
      <w:r w:rsidRPr="002353FE">
        <w:rPr>
          <w:rFonts w:ascii="Verdana" w:hAnsi="Verdana" w:cs="Tahoma"/>
          <w:sz w:val="24"/>
          <w:szCs w:val="24"/>
          <w:lang w:val="en-GB"/>
        </w:rPr>
        <w:t xml:space="preserve">witching </w:t>
      </w:r>
      <w:r w:rsidR="0000329B" w:rsidRPr="002353FE">
        <w:rPr>
          <w:rFonts w:ascii="Verdana" w:hAnsi="Verdana" w:cs="Tahoma"/>
          <w:sz w:val="24"/>
          <w:szCs w:val="24"/>
          <w:lang w:val="en-GB"/>
        </w:rPr>
        <w:t>is</w:t>
      </w:r>
      <w:r w:rsidRPr="002353FE">
        <w:rPr>
          <w:rFonts w:ascii="Verdana" w:hAnsi="Verdana" w:cs="Tahoma"/>
          <w:sz w:val="24"/>
          <w:szCs w:val="24"/>
          <w:lang w:val="en-GB"/>
        </w:rPr>
        <w:t xml:space="preserve"> </w:t>
      </w:r>
      <w:r w:rsidR="005150E1" w:rsidRPr="002353FE">
        <w:rPr>
          <w:rFonts w:ascii="Verdana" w:hAnsi="Verdana" w:cs="Tahoma"/>
          <w:sz w:val="24"/>
          <w:szCs w:val="24"/>
          <w:lang w:val="en-GB"/>
        </w:rPr>
        <w:t xml:space="preserve">also </w:t>
      </w:r>
      <w:r w:rsidRPr="002353FE">
        <w:rPr>
          <w:rFonts w:ascii="Verdana" w:hAnsi="Verdana" w:cs="Tahoma"/>
          <w:sz w:val="24"/>
          <w:szCs w:val="24"/>
          <w:lang w:val="en-GB"/>
        </w:rPr>
        <w:t xml:space="preserve">encouraged </w:t>
      </w:r>
      <w:r w:rsidR="0000329B" w:rsidRPr="002353FE">
        <w:rPr>
          <w:rFonts w:ascii="Verdana" w:hAnsi="Verdana" w:cs="Tahoma"/>
          <w:sz w:val="24"/>
          <w:szCs w:val="24"/>
          <w:lang w:val="en-GB"/>
        </w:rPr>
        <w:t xml:space="preserve">through </w:t>
      </w:r>
      <w:r w:rsidRPr="002353FE">
        <w:rPr>
          <w:rFonts w:ascii="Verdana" w:hAnsi="Verdana" w:cs="Tahoma"/>
          <w:sz w:val="24"/>
          <w:szCs w:val="24"/>
          <w:lang w:val="en-GB"/>
        </w:rPr>
        <w:t>polic</w:t>
      </w:r>
      <w:r w:rsidR="0000329B" w:rsidRPr="002353FE">
        <w:rPr>
          <w:rFonts w:ascii="Verdana" w:hAnsi="Verdana" w:cs="Tahoma"/>
          <w:sz w:val="24"/>
          <w:szCs w:val="24"/>
          <w:lang w:val="en-GB"/>
        </w:rPr>
        <w:t>ies</w:t>
      </w:r>
      <w:r w:rsidRPr="002353FE">
        <w:rPr>
          <w:rFonts w:ascii="Verdana" w:hAnsi="Verdana" w:cs="Tahoma"/>
          <w:sz w:val="24"/>
          <w:szCs w:val="24"/>
          <w:lang w:val="en-GB"/>
        </w:rPr>
        <w:t xml:space="preserve"> </w:t>
      </w:r>
      <w:r w:rsidR="00D30F49" w:rsidRPr="002353FE">
        <w:rPr>
          <w:rFonts w:ascii="Verdana" w:hAnsi="Verdana" w:cs="Tahoma"/>
          <w:sz w:val="24"/>
          <w:szCs w:val="24"/>
          <w:lang w:val="en-GB"/>
        </w:rPr>
        <w:t xml:space="preserve">to </w:t>
      </w:r>
      <w:r w:rsidRPr="002353FE">
        <w:rPr>
          <w:rFonts w:ascii="Verdana" w:hAnsi="Verdana" w:cs="Tahoma"/>
          <w:sz w:val="24"/>
          <w:szCs w:val="24"/>
          <w:lang w:val="en-GB"/>
        </w:rPr>
        <w:t>mak</w:t>
      </w:r>
      <w:r w:rsidR="00642F01" w:rsidRPr="002353FE">
        <w:rPr>
          <w:rFonts w:ascii="Verdana" w:hAnsi="Verdana" w:cs="Tahoma"/>
          <w:sz w:val="24"/>
          <w:szCs w:val="24"/>
          <w:lang w:val="en-GB"/>
        </w:rPr>
        <w:t>e</w:t>
      </w:r>
      <w:r w:rsidRPr="002353FE">
        <w:rPr>
          <w:rFonts w:ascii="Verdana" w:hAnsi="Verdana" w:cs="Tahoma"/>
          <w:sz w:val="24"/>
          <w:szCs w:val="24"/>
          <w:lang w:val="en-GB"/>
        </w:rPr>
        <w:t xml:space="preserve"> the switching process easier or more transparent. </w:t>
      </w:r>
      <w:r w:rsidR="00BC171F" w:rsidRPr="002353FE">
        <w:rPr>
          <w:rFonts w:ascii="Verdana" w:hAnsi="Verdana" w:cs="Tahoma"/>
          <w:sz w:val="24"/>
          <w:szCs w:val="24"/>
          <w:lang w:val="en-GB"/>
        </w:rPr>
        <w:t>If these policies are effective</w:t>
      </w:r>
      <w:r w:rsidRPr="002353FE">
        <w:rPr>
          <w:rFonts w:ascii="Verdana" w:hAnsi="Verdana" w:cs="Tahoma"/>
          <w:sz w:val="24"/>
          <w:szCs w:val="24"/>
          <w:lang w:val="en-GB"/>
        </w:rPr>
        <w:t xml:space="preserve">, it </w:t>
      </w:r>
      <w:r w:rsidR="00162B22" w:rsidRPr="002353FE">
        <w:rPr>
          <w:rFonts w:ascii="Verdana" w:hAnsi="Verdana" w:cs="Tahoma"/>
          <w:sz w:val="24"/>
          <w:szCs w:val="24"/>
          <w:lang w:val="en-GB"/>
        </w:rPr>
        <w:t xml:space="preserve">might be </w:t>
      </w:r>
      <w:r w:rsidRPr="002353FE">
        <w:rPr>
          <w:rFonts w:ascii="Verdana" w:hAnsi="Verdana" w:cs="Tahoma"/>
          <w:sz w:val="24"/>
          <w:szCs w:val="24"/>
          <w:lang w:val="en-GB"/>
        </w:rPr>
        <w:t xml:space="preserve">expected switching rates are higher </w:t>
      </w:r>
      <w:r w:rsidR="00103194" w:rsidRPr="001E7395">
        <w:rPr>
          <w:rFonts w:ascii="Verdana" w:hAnsi="Verdana" w:cs="Tahoma"/>
          <w:sz w:val="24"/>
          <w:szCs w:val="24"/>
          <w:lang w:val="en-GB"/>
        </w:rPr>
        <w:t>in those nations</w:t>
      </w:r>
      <w:r w:rsidR="00103194" w:rsidRPr="002353FE">
        <w:rPr>
          <w:rFonts w:ascii="Verdana" w:hAnsi="Verdana" w:cs="Tahoma"/>
          <w:sz w:val="24"/>
          <w:szCs w:val="24"/>
          <w:lang w:val="en-GB"/>
        </w:rPr>
        <w:t xml:space="preserve"> </w:t>
      </w:r>
      <w:r w:rsidRPr="002353FE">
        <w:rPr>
          <w:rFonts w:ascii="Verdana" w:hAnsi="Verdana" w:cs="Tahoma"/>
          <w:sz w:val="24"/>
          <w:szCs w:val="24"/>
          <w:lang w:val="en-GB"/>
        </w:rPr>
        <w:t>whe</w:t>
      </w:r>
      <w:r w:rsidR="00520D3A" w:rsidRPr="002353FE">
        <w:rPr>
          <w:rFonts w:ascii="Verdana" w:hAnsi="Verdana" w:cs="Tahoma"/>
          <w:sz w:val="24"/>
          <w:szCs w:val="24"/>
          <w:lang w:val="en-GB"/>
        </w:rPr>
        <w:t>re</w:t>
      </w:r>
      <w:r w:rsidRPr="002353FE">
        <w:rPr>
          <w:rFonts w:ascii="Verdana" w:hAnsi="Verdana" w:cs="Tahoma"/>
          <w:sz w:val="24"/>
          <w:szCs w:val="24"/>
          <w:lang w:val="en-GB"/>
        </w:rPr>
        <w:t xml:space="preserve"> efforts to introduce</w:t>
      </w:r>
      <w:r w:rsidR="00780BEC" w:rsidRPr="002353FE">
        <w:rPr>
          <w:rFonts w:ascii="Verdana" w:hAnsi="Verdana" w:cs="Tahoma"/>
          <w:sz w:val="24"/>
          <w:szCs w:val="24"/>
          <w:lang w:val="en-GB"/>
        </w:rPr>
        <w:t xml:space="preserve"> compulsory information to customers</w:t>
      </w:r>
      <w:r w:rsidRPr="002353FE">
        <w:rPr>
          <w:rFonts w:ascii="Verdana" w:hAnsi="Verdana" w:cs="Tahoma"/>
          <w:sz w:val="24"/>
          <w:szCs w:val="24"/>
          <w:lang w:val="en-GB"/>
        </w:rPr>
        <w:t xml:space="preserve"> </w:t>
      </w:r>
      <w:r w:rsidR="00780BEC" w:rsidRPr="002353FE">
        <w:rPr>
          <w:rFonts w:ascii="Verdana" w:hAnsi="Verdana" w:cs="Tahoma"/>
          <w:sz w:val="24"/>
          <w:szCs w:val="24"/>
          <w:lang w:val="en-GB"/>
        </w:rPr>
        <w:t>(</w:t>
      </w:r>
      <w:r w:rsidRPr="002353FE">
        <w:rPr>
          <w:rFonts w:ascii="Verdana" w:hAnsi="Verdana" w:cs="Tahoma"/>
          <w:sz w:val="24"/>
          <w:szCs w:val="24"/>
          <w:lang w:val="en-GB"/>
        </w:rPr>
        <w:t>disclosure practices</w:t>
      </w:r>
      <w:r w:rsidR="00780BEC" w:rsidRPr="002353FE">
        <w:rPr>
          <w:rFonts w:ascii="Verdana" w:hAnsi="Verdana" w:cs="Tahoma"/>
          <w:sz w:val="24"/>
          <w:szCs w:val="24"/>
          <w:lang w:val="en-GB"/>
        </w:rPr>
        <w:t>)</w:t>
      </w:r>
      <w:r w:rsidRPr="002353FE">
        <w:rPr>
          <w:rFonts w:ascii="Verdana" w:hAnsi="Verdana" w:cs="Tahoma"/>
          <w:sz w:val="24"/>
          <w:szCs w:val="24"/>
          <w:lang w:val="en-GB"/>
        </w:rPr>
        <w:t xml:space="preserve"> </w:t>
      </w:r>
      <w:r w:rsidR="00520D3A" w:rsidRPr="002353FE">
        <w:rPr>
          <w:rFonts w:ascii="Verdana" w:hAnsi="Verdana" w:cs="Tahoma"/>
          <w:sz w:val="24"/>
          <w:szCs w:val="24"/>
          <w:lang w:val="en-GB"/>
        </w:rPr>
        <w:t>have been more intense</w:t>
      </w:r>
      <w:r w:rsidRPr="002353FE">
        <w:rPr>
          <w:rFonts w:ascii="Verdana" w:hAnsi="Verdana" w:cs="Tahoma"/>
          <w:sz w:val="24"/>
          <w:szCs w:val="24"/>
          <w:lang w:val="en-GB"/>
        </w:rPr>
        <w:t>.</w:t>
      </w:r>
      <w:r w:rsidR="00520D3A" w:rsidRPr="002353FE">
        <w:rPr>
          <w:rFonts w:ascii="Verdana" w:hAnsi="Verdana" w:cs="Tahoma"/>
          <w:sz w:val="24"/>
          <w:szCs w:val="24"/>
          <w:lang w:val="en-GB"/>
        </w:rPr>
        <w:t xml:space="preserve"> </w:t>
      </w:r>
    </w:p>
    <w:p w14:paraId="47F16780" w14:textId="6B235CAD" w:rsidR="002E454E" w:rsidRPr="002353FE" w:rsidRDefault="005003F9" w:rsidP="00940111">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As previously indicated, such policies are focused in enhancing the individual cusomters ability to make </w:t>
      </w:r>
      <w:r w:rsidR="0012228F" w:rsidRPr="002353FE">
        <w:rPr>
          <w:rFonts w:ascii="Verdana" w:hAnsi="Verdana" w:cs="Tahoma"/>
          <w:sz w:val="24"/>
          <w:szCs w:val="24"/>
          <w:lang w:val="en-GB"/>
        </w:rPr>
        <w:t xml:space="preserve">switching </w:t>
      </w:r>
      <w:r w:rsidRPr="002353FE">
        <w:rPr>
          <w:rFonts w:ascii="Verdana" w:hAnsi="Verdana" w:cs="Tahoma"/>
          <w:sz w:val="24"/>
          <w:szCs w:val="24"/>
          <w:lang w:val="en-GB"/>
        </w:rPr>
        <w:t xml:space="preserve">decisions, without considering other </w:t>
      </w:r>
      <w:r w:rsidR="0012228F" w:rsidRPr="002353FE">
        <w:rPr>
          <w:rFonts w:ascii="Verdana" w:hAnsi="Verdana" w:cs="Tahoma"/>
          <w:sz w:val="24"/>
          <w:szCs w:val="24"/>
          <w:lang w:val="en-GB"/>
        </w:rPr>
        <w:t xml:space="preserve">potentially influential factors. This approach </w:t>
      </w:r>
      <w:r w:rsidR="00162B22" w:rsidRPr="001E7395">
        <w:rPr>
          <w:rFonts w:ascii="Verdana" w:hAnsi="Verdana" w:cs="Tahoma"/>
          <w:sz w:val="24"/>
          <w:szCs w:val="24"/>
          <w:lang w:val="en-GB"/>
        </w:rPr>
        <w:t>conflicts with ma</w:t>
      </w:r>
      <w:r w:rsidR="00204E0E" w:rsidRPr="001E7395">
        <w:rPr>
          <w:rFonts w:ascii="Verdana" w:hAnsi="Verdana" w:cs="Tahoma"/>
          <w:sz w:val="24"/>
          <w:szCs w:val="24"/>
          <w:lang w:val="en-GB"/>
        </w:rPr>
        <w:t>n</w:t>
      </w:r>
      <w:r w:rsidR="00162B22" w:rsidRPr="001E7395">
        <w:rPr>
          <w:rFonts w:ascii="Verdana" w:hAnsi="Verdana" w:cs="Tahoma"/>
          <w:sz w:val="24"/>
          <w:szCs w:val="24"/>
          <w:lang w:val="en-GB"/>
        </w:rPr>
        <w:t xml:space="preserve">y of the insights provided from </w:t>
      </w:r>
      <w:r w:rsidR="003979A4" w:rsidRPr="002353FE">
        <w:rPr>
          <w:rFonts w:ascii="Verdana" w:hAnsi="Verdana" w:cs="Tahoma"/>
          <w:sz w:val="24"/>
          <w:szCs w:val="24"/>
          <w:lang w:val="en-GB"/>
        </w:rPr>
        <w:t>c</w:t>
      </w:r>
      <w:r w:rsidR="00D30F49" w:rsidRPr="001E7395">
        <w:rPr>
          <w:rFonts w:ascii="Verdana" w:hAnsi="Verdana" w:cs="Tahoma"/>
          <w:sz w:val="24"/>
          <w:szCs w:val="24"/>
          <w:lang w:val="en-GB"/>
        </w:rPr>
        <w:t xml:space="preserve">hurn theory </w:t>
      </w:r>
      <w:r w:rsidR="00162B22" w:rsidRPr="001E7395">
        <w:rPr>
          <w:rFonts w:ascii="Verdana" w:hAnsi="Verdana" w:cs="Tahoma"/>
          <w:sz w:val="24"/>
          <w:szCs w:val="24"/>
          <w:lang w:val="en-GB"/>
        </w:rPr>
        <w:t xml:space="preserve">(Ngau </w:t>
      </w:r>
      <w:r w:rsidR="00162B22" w:rsidRPr="001E7395">
        <w:rPr>
          <w:rFonts w:ascii="Verdana" w:hAnsi="Verdana" w:cs="Tahoma"/>
          <w:i/>
          <w:iCs/>
          <w:sz w:val="24"/>
          <w:szCs w:val="24"/>
          <w:lang w:val="en-GB"/>
        </w:rPr>
        <w:t>et al</w:t>
      </w:r>
      <w:r w:rsidR="00204E0E" w:rsidRPr="001E7395">
        <w:rPr>
          <w:rFonts w:ascii="Verdana" w:hAnsi="Verdana" w:cs="Tahoma"/>
          <w:sz w:val="24"/>
          <w:szCs w:val="24"/>
          <w:lang w:val="en-GB"/>
        </w:rPr>
        <w:t>.,</w:t>
      </w:r>
      <w:r w:rsidR="00162B22" w:rsidRPr="001E7395">
        <w:rPr>
          <w:rFonts w:ascii="Verdana" w:hAnsi="Verdana" w:cs="Tahoma"/>
          <w:sz w:val="24"/>
          <w:szCs w:val="24"/>
          <w:lang w:val="en-GB"/>
        </w:rPr>
        <w:t xml:space="preserve"> 2023)</w:t>
      </w:r>
      <w:r w:rsidR="0054401A" w:rsidRPr="001E7395">
        <w:rPr>
          <w:rFonts w:ascii="Verdana" w:hAnsi="Verdana" w:cs="Tahoma"/>
          <w:sz w:val="24"/>
          <w:szCs w:val="24"/>
          <w:lang w:val="en-GB"/>
        </w:rPr>
        <w:t xml:space="preserve">, where </w:t>
      </w:r>
      <w:r w:rsidR="00162B22" w:rsidRPr="001E7395">
        <w:rPr>
          <w:rFonts w:ascii="Verdana" w:hAnsi="Verdana" w:cs="Tahoma"/>
          <w:sz w:val="24"/>
          <w:szCs w:val="24"/>
          <w:lang w:val="en-GB"/>
        </w:rPr>
        <w:t xml:space="preserve">bank switching is </w:t>
      </w:r>
      <w:r w:rsidR="0054401A" w:rsidRPr="001E7395">
        <w:rPr>
          <w:rFonts w:ascii="Verdana" w:hAnsi="Verdana" w:cs="Tahoma"/>
          <w:sz w:val="24"/>
          <w:szCs w:val="24"/>
          <w:lang w:val="en-GB"/>
        </w:rPr>
        <w:t xml:space="preserve">viewed to be </w:t>
      </w:r>
      <w:r w:rsidR="00162B22" w:rsidRPr="001E7395">
        <w:rPr>
          <w:rFonts w:ascii="Verdana" w:hAnsi="Verdana" w:cs="Tahoma"/>
          <w:sz w:val="24"/>
          <w:szCs w:val="24"/>
          <w:lang w:val="en-GB"/>
        </w:rPr>
        <w:t>a complex action, involving personal</w:t>
      </w:r>
      <w:r w:rsidR="0012228F" w:rsidRPr="002353FE">
        <w:rPr>
          <w:rFonts w:ascii="Verdana" w:hAnsi="Verdana" w:cs="Tahoma"/>
          <w:sz w:val="24"/>
          <w:szCs w:val="24"/>
          <w:lang w:val="en-GB"/>
        </w:rPr>
        <w:t>, psychological</w:t>
      </w:r>
      <w:r w:rsidR="00E25C8E" w:rsidRPr="002353FE">
        <w:rPr>
          <w:rFonts w:ascii="Verdana" w:hAnsi="Verdana" w:cs="Tahoma"/>
          <w:sz w:val="24"/>
          <w:szCs w:val="24"/>
          <w:lang w:val="en-GB"/>
        </w:rPr>
        <w:t>, social</w:t>
      </w:r>
      <w:r w:rsidR="0012228F" w:rsidRPr="002353FE">
        <w:rPr>
          <w:rFonts w:ascii="Verdana" w:hAnsi="Verdana" w:cs="Tahoma"/>
          <w:sz w:val="24"/>
          <w:szCs w:val="24"/>
          <w:lang w:val="en-GB"/>
        </w:rPr>
        <w:t xml:space="preserve"> and economic</w:t>
      </w:r>
      <w:r w:rsidR="00162B22" w:rsidRPr="001E7395">
        <w:rPr>
          <w:rFonts w:ascii="Verdana" w:hAnsi="Verdana" w:cs="Tahoma"/>
          <w:sz w:val="24"/>
          <w:szCs w:val="24"/>
          <w:lang w:val="en-GB"/>
        </w:rPr>
        <w:t xml:space="preserve"> situational triggers.</w:t>
      </w:r>
      <w:r w:rsidR="00162B22" w:rsidRPr="002353FE">
        <w:rPr>
          <w:rFonts w:ascii="Verdana" w:hAnsi="Verdana" w:cs="Tahoma"/>
          <w:sz w:val="24"/>
          <w:szCs w:val="24"/>
          <w:lang w:val="en-GB"/>
        </w:rPr>
        <w:t xml:space="preserve"> </w:t>
      </w:r>
      <w:r w:rsidR="00780BEC" w:rsidRPr="002353FE">
        <w:rPr>
          <w:rFonts w:ascii="Verdana" w:hAnsi="Verdana" w:cs="Tahoma"/>
          <w:sz w:val="24"/>
          <w:szCs w:val="24"/>
          <w:lang w:val="en-GB"/>
        </w:rPr>
        <w:t>We</w:t>
      </w:r>
      <w:r w:rsidR="00520D3A" w:rsidRPr="002353FE">
        <w:rPr>
          <w:rFonts w:ascii="Verdana" w:hAnsi="Verdana" w:cs="Tahoma"/>
          <w:sz w:val="24"/>
          <w:szCs w:val="24"/>
          <w:lang w:val="en-GB"/>
        </w:rPr>
        <w:t xml:space="preserve"> analyse th</w:t>
      </w:r>
      <w:r w:rsidR="00780BEC" w:rsidRPr="002353FE">
        <w:rPr>
          <w:rFonts w:ascii="Verdana" w:hAnsi="Verdana" w:cs="Tahoma"/>
          <w:sz w:val="24"/>
          <w:szCs w:val="24"/>
          <w:lang w:val="en-GB"/>
        </w:rPr>
        <w:t xml:space="preserve">e relationship between </w:t>
      </w:r>
      <w:r w:rsidR="00EF2A8F" w:rsidRPr="002353FE">
        <w:rPr>
          <w:rFonts w:ascii="Verdana" w:hAnsi="Verdana" w:cs="Tahoma"/>
          <w:sz w:val="24"/>
          <w:szCs w:val="24"/>
          <w:lang w:val="en-GB"/>
        </w:rPr>
        <w:t xml:space="preserve">national financial literacy and disclosure </w:t>
      </w:r>
      <w:r w:rsidR="00780BEC" w:rsidRPr="002353FE">
        <w:rPr>
          <w:rFonts w:ascii="Verdana" w:hAnsi="Verdana" w:cs="Tahoma"/>
          <w:sz w:val="24"/>
          <w:szCs w:val="24"/>
          <w:lang w:val="en-GB"/>
        </w:rPr>
        <w:t xml:space="preserve">policies </w:t>
      </w:r>
      <w:r w:rsidR="00E25C8E" w:rsidRPr="002353FE">
        <w:rPr>
          <w:rFonts w:ascii="Verdana" w:hAnsi="Verdana" w:cs="Tahoma"/>
          <w:sz w:val="24"/>
          <w:szCs w:val="24"/>
          <w:lang w:val="en-GB"/>
        </w:rPr>
        <w:t>through</w:t>
      </w:r>
      <w:r w:rsidR="004C2B64" w:rsidRPr="002353FE">
        <w:rPr>
          <w:rFonts w:ascii="Verdana" w:hAnsi="Verdana" w:cs="Tahoma"/>
          <w:sz w:val="24"/>
          <w:szCs w:val="24"/>
          <w:lang w:val="en-GB"/>
        </w:rPr>
        <w:t xml:space="preserve"> </w:t>
      </w:r>
      <w:r w:rsidR="00780BEC" w:rsidRPr="002353FE">
        <w:rPr>
          <w:rFonts w:ascii="Verdana" w:hAnsi="Verdana" w:cs="Tahoma"/>
          <w:sz w:val="24"/>
          <w:szCs w:val="24"/>
          <w:lang w:val="en-GB"/>
        </w:rPr>
        <w:t>testing</w:t>
      </w:r>
      <w:r w:rsidR="00520D3A" w:rsidRPr="002353FE">
        <w:rPr>
          <w:rFonts w:ascii="Verdana" w:hAnsi="Verdana" w:cs="Tahoma"/>
          <w:sz w:val="24"/>
          <w:szCs w:val="24"/>
          <w:lang w:val="en-GB"/>
        </w:rPr>
        <w:t xml:space="preserve"> the following hypothesis:</w:t>
      </w:r>
    </w:p>
    <w:p w14:paraId="59434F72" w14:textId="793BEF62" w:rsidR="00C27B76" w:rsidRPr="002353FE" w:rsidRDefault="00C27B76" w:rsidP="00800AFD">
      <w:pPr>
        <w:spacing w:before="120" w:after="120" w:line="480" w:lineRule="auto"/>
        <w:ind w:left="567" w:right="423" w:hanging="567"/>
        <w:jc w:val="both"/>
        <w:rPr>
          <w:rFonts w:ascii="Verdana" w:hAnsi="Verdana" w:cs="Tahoma"/>
          <w:i/>
          <w:sz w:val="24"/>
          <w:szCs w:val="24"/>
          <w:lang w:val="en-GB"/>
        </w:rPr>
      </w:pPr>
      <w:r w:rsidRPr="002353FE">
        <w:rPr>
          <w:rFonts w:ascii="Verdana" w:hAnsi="Verdana" w:cs="Tahoma"/>
          <w:i/>
          <w:sz w:val="24"/>
          <w:szCs w:val="24"/>
          <w:lang w:val="en-GB"/>
        </w:rPr>
        <w:t>H</w:t>
      </w:r>
      <w:r w:rsidR="00481055" w:rsidRPr="002353FE">
        <w:rPr>
          <w:rFonts w:ascii="Verdana" w:hAnsi="Verdana" w:cs="Tahoma"/>
          <w:i/>
          <w:sz w:val="24"/>
          <w:szCs w:val="24"/>
          <w:vertAlign w:val="subscript"/>
          <w:lang w:val="en-GB"/>
        </w:rPr>
        <w:t>2</w:t>
      </w:r>
      <w:r w:rsidRPr="002353FE">
        <w:rPr>
          <w:rFonts w:ascii="Verdana" w:hAnsi="Verdana" w:cs="Tahoma"/>
          <w:i/>
          <w:sz w:val="24"/>
          <w:szCs w:val="24"/>
          <w:lang w:val="en-GB"/>
        </w:rPr>
        <w:t xml:space="preserve">. </w:t>
      </w:r>
      <w:r w:rsidR="00B125D4" w:rsidRPr="002353FE">
        <w:rPr>
          <w:rFonts w:ascii="Verdana" w:hAnsi="Verdana" w:cs="Tahoma"/>
          <w:i/>
          <w:sz w:val="24"/>
          <w:szCs w:val="24"/>
          <w:lang w:val="en-GB"/>
        </w:rPr>
        <w:t xml:space="preserve"> </w:t>
      </w:r>
      <w:r w:rsidR="00B125D4" w:rsidRPr="002353FE">
        <w:rPr>
          <w:rFonts w:ascii="Verdana" w:hAnsi="Verdana" w:cs="Tahoma"/>
          <w:i/>
          <w:sz w:val="24"/>
          <w:szCs w:val="24"/>
          <w:lang w:val="en-GB"/>
        </w:rPr>
        <w:tab/>
      </w:r>
      <w:r w:rsidR="004C2B64" w:rsidRPr="002353FE">
        <w:rPr>
          <w:rFonts w:ascii="Verdana" w:hAnsi="Verdana" w:cs="Tahoma"/>
          <w:i/>
          <w:sz w:val="24"/>
          <w:szCs w:val="24"/>
          <w:lang w:val="en-GB"/>
        </w:rPr>
        <w:t xml:space="preserve">More frequent </w:t>
      </w:r>
      <w:r w:rsidR="00B125D4" w:rsidRPr="002353FE">
        <w:rPr>
          <w:rFonts w:ascii="Verdana" w:hAnsi="Verdana" w:cs="Tahoma"/>
          <w:i/>
          <w:sz w:val="24"/>
          <w:szCs w:val="24"/>
          <w:lang w:val="en-GB"/>
        </w:rPr>
        <w:t xml:space="preserve">personal current account </w:t>
      </w:r>
      <w:r w:rsidR="004C2B64" w:rsidRPr="002353FE">
        <w:rPr>
          <w:rFonts w:ascii="Verdana" w:hAnsi="Verdana" w:cs="Tahoma"/>
          <w:i/>
          <w:sz w:val="24"/>
          <w:szCs w:val="24"/>
          <w:lang w:val="en-GB"/>
        </w:rPr>
        <w:t xml:space="preserve">switching decisions occur in </w:t>
      </w:r>
      <w:r w:rsidR="000653EB" w:rsidRPr="002353FE">
        <w:rPr>
          <w:rFonts w:ascii="Verdana" w:hAnsi="Verdana" w:cs="Tahoma"/>
          <w:i/>
          <w:sz w:val="24"/>
          <w:szCs w:val="24"/>
          <w:lang w:val="en-GB"/>
        </w:rPr>
        <w:t xml:space="preserve">nations </w:t>
      </w:r>
      <w:r w:rsidR="00696344" w:rsidRPr="002353FE">
        <w:rPr>
          <w:rFonts w:ascii="Verdana" w:hAnsi="Verdana" w:cs="Tahoma"/>
          <w:i/>
          <w:sz w:val="24"/>
          <w:szCs w:val="24"/>
          <w:lang w:val="en-GB"/>
        </w:rPr>
        <w:t>which</w:t>
      </w:r>
      <w:r w:rsidR="009F6539" w:rsidRPr="002353FE">
        <w:rPr>
          <w:rFonts w:ascii="Verdana" w:hAnsi="Verdana" w:cs="Tahoma"/>
          <w:i/>
          <w:sz w:val="24"/>
          <w:szCs w:val="24"/>
          <w:lang w:val="en-GB"/>
        </w:rPr>
        <w:t xml:space="preserve"> use </w:t>
      </w:r>
      <w:r w:rsidR="0064103A" w:rsidRPr="002353FE">
        <w:rPr>
          <w:rFonts w:ascii="Verdana" w:hAnsi="Verdana" w:cs="Tahoma"/>
          <w:i/>
          <w:sz w:val="24"/>
          <w:szCs w:val="24"/>
          <w:lang w:val="en-GB"/>
        </w:rPr>
        <w:t xml:space="preserve">more </w:t>
      </w:r>
      <w:r w:rsidRPr="002353FE">
        <w:rPr>
          <w:rFonts w:ascii="Verdana" w:hAnsi="Verdana" w:cs="Tahoma"/>
          <w:i/>
          <w:sz w:val="24"/>
          <w:szCs w:val="24"/>
          <w:lang w:val="en-GB"/>
        </w:rPr>
        <w:t>consumer</w:t>
      </w:r>
      <w:r w:rsidR="00520D3A" w:rsidRPr="002353FE">
        <w:rPr>
          <w:rFonts w:ascii="Verdana" w:hAnsi="Verdana" w:cs="Tahoma"/>
          <w:i/>
          <w:sz w:val="24"/>
          <w:szCs w:val="24"/>
          <w:lang w:val="en-GB"/>
        </w:rPr>
        <w:t>-oriented policies (</w:t>
      </w:r>
      <w:r w:rsidRPr="002353FE">
        <w:rPr>
          <w:rFonts w:ascii="Verdana" w:hAnsi="Verdana" w:cs="Tahoma"/>
          <w:i/>
          <w:sz w:val="24"/>
          <w:szCs w:val="24"/>
          <w:lang w:val="en-GB"/>
        </w:rPr>
        <w:t>financial education</w:t>
      </w:r>
      <w:r w:rsidR="00175811" w:rsidRPr="002353FE">
        <w:rPr>
          <w:rFonts w:ascii="Verdana" w:hAnsi="Verdana" w:cs="Tahoma"/>
          <w:i/>
          <w:sz w:val="24"/>
          <w:szCs w:val="24"/>
          <w:lang w:val="en-GB"/>
        </w:rPr>
        <w:t xml:space="preserve"> </w:t>
      </w:r>
      <w:r w:rsidR="00520D3A" w:rsidRPr="002353FE">
        <w:rPr>
          <w:rFonts w:ascii="Verdana" w:hAnsi="Verdana" w:cs="Tahoma"/>
          <w:i/>
          <w:sz w:val="24"/>
          <w:szCs w:val="24"/>
          <w:lang w:val="en-GB"/>
        </w:rPr>
        <w:t>and disclosure practices)</w:t>
      </w:r>
      <w:r w:rsidRPr="002353FE">
        <w:rPr>
          <w:rFonts w:ascii="Verdana" w:hAnsi="Verdana" w:cs="Tahoma"/>
          <w:i/>
          <w:sz w:val="24"/>
          <w:szCs w:val="24"/>
          <w:lang w:val="en-GB"/>
        </w:rPr>
        <w:t>.</w:t>
      </w:r>
    </w:p>
    <w:p w14:paraId="60D7FE5A" w14:textId="7382E571" w:rsidR="00C27B76" w:rsidRPr="002353FE" w:rsidRDefault="00B125D4" w:rsidP="00B125D4">
      <w:pPr>
        <w:spacing w:before="120" w:after="120" w:line="480" w:lineRule="auto"/>
        <w:jc w:val="both"/>
        <w:rPr>
          <w:rFonts w:ascii="Verdana" w:hAnsi="Verdana" w:cs="Tahoma"/>
          <w:b/>
          <w:sz w:val="24"/>
          <w:lang w:val="en-GB"/>
        </w:rPr>
      </w:pPr>
      <w:r w:rsidRPr="002353FE">
        <w:rPr>
          <w:rFonts w:ascii="Verdana" w:hAnsi="Verdana" w:cs="Tahoma"/>
          <w:b/>
          <w:sz w:val="24"/>
          <w:lang w:val="en-GB"/>
        </w:rPr>
        <w:lastRenderedPageBreak/>
        <w:t xml:space="preserve">3.2 </w:t>
      </w:r>
      <w:r w:rsidRPr="002353FE">
        <w:rPr>
          <w:rFonts w:ascii="Verdana" w:hAnsi="Verdana" w:cs="Tahoma"/>
          <w:b/>
          <w:sz w:val="24"/>
          <w:lang w:val="en-GB"/>
        </w:rPr>
        <w:tab/>
      </w:r>
      <w:r w:rsidR="00C27B76" w:rsidRPr="002353FE">
        <w:rPr>
          <w:rFonts w:ascii="Verdana" w:hAnsi="Verdana" w:cs="Tahoma"/>
          <w:b/>
          <w:sz w:val="24"/>
          <w:lang w:val="en-GB"/>
        </w:rPr>
        <w:t>Data</w:t>
      </w:r>
    </w:p>
    <w:p w14:paraId="60C4F88A" w14:textId="0B5B7F49" w:rsidR="002C29A0" w:rsidRPr="002353FE" w:rsidRDefault="00B125D4" w:rsidP="00B125D4">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I</w:t>
      </w:r>
      <w:r w:rsidR="004722BB" w:rsidRPr="002353FE">
        <w:rPr>
          <w:rFonts w:ascii="Verdana" w:hAnsi="Verdana" w:cs="Tahoma"/>
          <w:sz w:val="24"/>
          <w:szCs w:val="24"/>
          <w:lang w:val="en-GB"/>
        </w:rPr>
        <w:t xml:space="preserve">nformation </w:t>
      </w:r>
      <w:r w:rsidRPr="002353FE">
        <w:rPr>
          <w:rFonts w:ascii="Verdana" w:hAnsi="Verdana" w:cs="Tahoma"/>
          <w:sz w:val="24"/>
          <w:szCs w:val="24"/>
          <w:lang w:val="en-GB"/>
        </w:rPr>
        <w:t>on switch</w:t>
      </w:r>
      <w:r w:rsidR="002C29A0" w:rsidRPr="002353FE">
        <w:rPr>
          <w:rFonts w:ascii="Verdana" w:hAnsi="Verdana" w:cs="Tahoma"/>
          <w:sz w:val="24"/>
          <w:szCs w:val="24"/>
          <w:lang w:val="en-GB"/>
        </w:rPr>
        <w:t>ing personal current accounts</w:t>
      </w:r>
      <w:r w:rsidRPr="002353FE">
        <w:rPr>
          <w:rFonts w:ascii="Verdana" w:hAnsi="Verdana" w:cs="Tahoma"/>
          <w:sz w:val="24"/>
          <w:szCs w:val="24"/>
          <w:lang w:val="en-GB"/>
        </w:rPr>
        <w:t xml:space="preserve"> and </w:t>
      </w:r>
      <w:r w:rsidR="000113CB" w:rsidRPr="002353FE">
        <w:rPr>
          <w:rFonts w:ascii="Verdana" w:hAnsi="Verdana" w:cs="Tahoma"/>
          <w:sz w:val="24"/>
          <w:szCs w:val="24"/>
          <w:lang w:val="en-GB"/>
        </w:rPr>
        <w:t xml:space="preserve">individual </w:t>
      </w:r>
      <w:r w:rsidRPr="002353FE">
        <w:rPr>
          <w:rFonts w:ascii="Verdana" w:hAnsi="Verdana" w:cs="Tahoma"/>
          <w:sz w:val="24"/>
          <w:szCs w:val="24"/>
          <w:lang w:val="en-GB"/>
        </w:rPr>
        <w:t xml:space="preserve">demographic and socio-economic factors </w:t>
      </w:r>
      <w:r w:rsidR="00CE5832" w:rsidRPr="002353FE">
        <w:rPr>
          <w:rFonts w:ascii="Verdana" w:hAnsi="Verdana" w:cs="Tahoma"/>
          <w:sz w:val="24"/>
          <w:szCs w:val="24"/>
          <w:lang w:val="en-GB"/>
        </w:rPr>
        <w:t xml:space="preserve">is </w:t>
      </w:r>
      <w:r w:rsidR="004722BB" w:rsidRPr="002353FE">
        <w:rPr>
          <w:rFonts w:ascii="Verdana" w:hAnsi="Verdana" w:cs="Tahoma"/>
          <w:sz w:val="24"/>
          <w:szCs w:val="24"/>
          <w:lang w:val="en-GB"/>
        </w:rPr>
        <w:t>obtained from the Special Eurobarometer on Financial Products and Services (E</w:t>
      </w:r>
      <w:r w:rsidR="00945E5B" w:rsidRPr="002353FE">
        <w:rPr>
          <w:rFonts w:ascii="Verdana" w:hAnsi="Verdana" w:cs="Tahoma"/>
          <w:sz w:val="24"/>
          <w:szCs w:val="24"/>
          <w:lang w:val="en-GB"/>
        </w:rPr>
        <w:t>C and EP</w:t>
      </w:r>
      <w:r w:rsidR="007F7EED" w:rsidRPr="002353FE">
        <w:rPr>
          <w:rFonts w:ascii="Verdana" w:hAnsi="Verdana" w:cs="Tahoma"/>
          <w:sz w:val="24"/>
          <w:szCs w:val="24"/>
          <w:lang w:val="en-GB"/>
        </w:rPr>
        <w:t>,</w:t>
      </w:r>
      <w:r w:rsidR="004722BB" w:rsidRPr="002353FE">
        <w:rPr>
          <w:rFonts w:ascii="Verdana" w:hAnsi="Verdana" w:cs="Tahoma"/>
          <w:sz w:val="24"/>
          <w:szCs w:val="24"/>
          <w:lang w:val="en-GB"/>
        </w:rPr>
        <w:t xml:space="preserve"> 2016). This unique survey requested by the European Commission (Directorate General for Financial Stability, Financial Serv</w:t>
      </w:r>
      <w:r w:rsidR="002C29A0" w:rsidRPr="002353FE">
        <w:rPr>
          <w:rFonts w:ascii="Verdana" w:hAnsi="Verdana" w:cs="Tahoma"/>
          <w:sz w:val="24"/>
          <w:szCs w:val="24"/>
          <w:lang w:val="en-GB"/>
        </w:rPr>
        <w:t>ices and Capital Markets Union)</w:t>
      </w:r>
      <w:r w:rsidR="004722BB" w:rsidRPr="002353FE">
        <w:rPr>
          <w:rFonts w:ascii="Verdana" w:hAnsi="Verdana" w:cs="Tahoma"/>
          <w:sz w:val="24"/>
          <w:szCs w:val="24"/>
          <w:lang w:val="en-GB"/>
        </w:rPr>
        <w:t xml:space="preserve"> examin</w:t>
      </w:r>
      <w:r w:rsidR="000549C7" w:rsidRPr="002353FE">
        <w:rPr>
          <w:rFonts w:ascii="Verdana" w:hAnsi="Verdana" w:cs="Tahoma"/>
          <w:sz w:val="24"/>
          <w:szCs w:val="24"/>
          <w:lang w:val="en-GB"/>
        </w:rPr>
        <w:t>es</w:t>
      </w:r>
      <w:r w:rsidR="004722BB" w:rsidRPr="002353FE">
        <w:rPr>
          <w:rFonts w:ascii="Verdana" w:hAnsi="Verdana" w:cs="Tahoma"/>
          <w:sz w:val="24"/>
          <w:szCs w:val="24"/>
          <w:lang w:val="en-GB"/>
        </w:rPr>
        <w:t xml:space="preserve"> current consumer behaviour when buying financial services in the EU. </w:t>
      </w:r>
    </w:p>
    <w:p w14:paraId="5945B569" w14:textId="4BA9E4F5" w:rsidR="004D73A6" w:rsidRPr="002353FE" w:rsidRDefault="004722BB" w:rsidP="00800AF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The survey was carried out in April 2016 </w:t>
      </w:r>
      <w:r w:rsidR="00F722D3" w:rsidRPr="002353FE">
        <w:rPr>
          <w:rFonts w:ascii="Verdana" w:hAnsi="Verdana" w:cs="Tahoma"/>
          <w:sz w:val="24"/>
          <w:szCs w:val="24"/>
          <w:lang w:val="en-GB"/>
        </w:rPr>
        <w:t>using</w:t>
      </w:r>
      <w:r w:rsidRPr="002353FE">
        <w:rPr>
          <w:rFonts w:ascii="Verdana" w:hAnsi="Verdana" w:cs="Tahoma"/>
          <w:sz w:val="24"/>
          <w:szCs w:val="24"/>
          <w:lang w:val="en-GB"/>
        </w:rPr>
        <w:t xml:space="preserve"> face-to-face interviews</w:t>
      </w:r>
      <w:r w:rsidR="00F722D3" w:rsidRPr="002353FE">
        <w:rPr>
          <w:rFonts w:ascii="Verdana" w:hAnsi="Verdana" w:cs="Tahoma"/>
          <w:sz w:val="24"/>
          <w:szCs w:val="24"/>
          <w:lang w:val="en-GB"/>
        </w:rPr>
        <w:t xml:space="preserve">. This </w:t>
      </w:r>
      <w:r w:rsidR="00E00A23" w:rsidRPr="002353FE">
        <w:rPr>
          <w:rFonts w:ascii="Verdana" w:hAnsi="Verdana" w:cs="Tahoma"/>
          <w:sz w:val="24"/>
          <w:szCs w:val="24"/>
          <w:lang w:val="en-GB"/>
        </w:rPr>
        <w:t>yield</w:t>
      </w:r>
      <w:r w:rsidR="00F722D3" w:rsidRPr="002353FE">
        <w:rPr>
          <w:rFonts w:ascii="Verdana" w:hAnsi="Verdana" w:cs="Tahoma"/>
          <w:sz w:val="24"/>
          <w:szCs w:val="24"/>
          <w:lang w:val="en-GB"/>
        </w:rPr>
        <w:t>ed</w:t>
      </w:r>
      <w:r w:rsidR="00462315" w:rsidRPr="002353FE">
        <w:rPr>
          <w:rFonts w:ascii="Verdana" w:hAnsi="Verdana" w:cs="Tahoma"/>
          <w:sz w:val="24"/>
          <w:szCs w:val="24"/>
          <w:lang w:val="en-GB"/>
        </w:rPr>
        <w:t xml:space="preserve"> a sample of 27,969 respondents from 28 EU countries.</w:t>
      </w:r>
      <w:r w:rsidRPr="002353FE">
        <w:rPr>
          <w:rFonts w:ascii="Verdana" w:hAnsi="Verdana" w:cs="Tahoma"/>
          <w:sz w:val="24"/>
          <w:szCs w:val="24"/>
          <w:lang w:val="en-GB"/>
        </w:rPr>
        <w:t xml:space="preserve"> </w:t>
      </w:r>
      <w:r w:rsidR="00F722D3" w:rsidRPr="002353FE">
        <w:rPr>
          <w:rFonts w:ascii="Verdana" w:hAnsi="Verdana" w:cs="Tahoma"/>
          <w:sz w:val="24"/>
          <w:szCs w:val="24"/>
          <w:lang w:val="en-GB"/>
        </w:rPr>
        <w:t>To consider switching, re</w:t>
      </w:r>
      <w:r w:rsidR="00462315" w:rsidRPr="002353FE">
        <w:rPr>
          <w:rFonts w:ascii="Verdana" w:hAnsi="Verdana" w:cs="Tahoma"/>
          <w:sz w:val="24"/>
          <w:szCs w:val="24"/>
          <w:lang w:val="en-GB"/>
        </w:rPr>
        <w:t>spondents</w:t>
      </w:r>
      <w:r w:rsidR="00F722D3" w:rsidRPr="002353FE">
        <w:rPr>
          <w:rFonts w:ascii="Verdana" w:hAnsi="Verdana" w:cs="Tahoma"/>
          <w:sz w:val="24"/>
          <w:szCs w:val="24"/>
          <w:lang w:val="en-GB"/>
        </w:rPr>
        <w:t xml:space="preserve"> were asked</w:t>
      </w:r>
      <w:r w:rsidR="00462315" w:rsidRPr="002353FE">
        <w:rPr>
          <w:rFonts w:ascii="Verdana" w:hAnsi="Verdana" w:cs="Tahoma"/>
          <w:sz w:val="24"/>
          <w:szCs w:val="24"/>
          <w:lang w:val="en-GB"/>
        </w:rPr>
        <w:t>: “</w:t>
      </w:r>
      <w:r w:rsidR="00462315" w:rsidRPr="002353FE">
        <w:rPr>
          <w:rFonts w:ascii="Verdana" w:hAnsi="Verdana" w:cs="Tahoma"/>
          <w:i/>
          <w:sz w:val="24"/>
          <w:szCs w:val="24"/>
          <w:lang w:val="en-GB"/>
        </w:rPr>
        <w:t>in the last 5 years have you changed provider of these products and services</w:t>
      </w:r>
      <w:r w:rsidR="00E00A23" w:rsidRPr="002353FE">
        <w:rPr>
          <w:rFonts w:ascii="Verdana" w:hAnsi="Verdana" w:cs="Tahoma"/>
          <w:i/>
          <w:sz w:val="24"/>
          <w:szCs w:val="24"/>
          <w:lang w:val="en-GB"/>
        </w:rPr>
        <w:t>?</w:t>
      </w:r>
      <w:r w:rsidR="00462315" w:rsidRPr="002353FE">
        <w:rPr>
          <w:rFonts w:ascii="Verdana" w:hAnsi="Verdana" w:cs="Tahoma"/>
          <w:sz w:val="24"/>
          <w:szCs w:val="24"/>
          <w:lang w:val="en-GB"/>
        </w:rPr>
        <w:t>”</w:t>
      </w:r>
      <w:r w:rsidR="00E00A23" w:rsidRPr="002353FE">
        <w:rPr>
          <w:rFonts w:ascii="Verdana" w:hAnsi="Verdana" w:cs="Tahoma"/>
          <w:sz w:val="24"/>
          <w:szCs w:val="24"/>
          <w:lang w:val="en-GB"/>
        </w:rPr>
        <w:t xml:space="preserve"> </w:t>
      </w:r>
      <w:r w:rsidR="00221B30" w:rsidRPr="002353FE">
        <w:rPr>
          <w:rFonts w:ascii="Verdana" w:hAnsi="Verdana" w:cs="Tahoma"/>
          <w:sz w:val="24"/>
          <w:szCs w:val="24"/>
          <w:lang w:val="en-GB"/>
        </w:rPr>
        <w:t xml:space="preserve">for </w:t>
      </w:r>
      <w:r w:rsidR="00462315" w:rsidRPr="002353FE">
        <w:rPr>
          <w:rFonts w:ascii="Verdana" w:hAnsi="Verdana" w:cs="Tahoma"/>
          <w:sz w:val="24"/>
          <w:szCs w:val="24"/>
          <w:lang w:val="en-GB"/>
        </w:rPr>
        <w:t>11 financial services (7 banking services and 4 insurance services)</w:t>
      </w:r>
      <w:r w:rsidR="00E00A23" w:rsidRPr="002353FE">
        <w:rPr>
          <w:rFonts w:ascii="Verdana" w:hAnsi="Verdana" w:cs="Tahoma"/>
          <w:sz w:val="24"/>
          <w:szCs w:val="24"/>
          <w:lang w:val="en-GB"/>
        </w:rPr>
        <w:t>.</w:t>
      </w:r>
      <w:r w:rsidR="00462315" w:rsidRPr="002353FE">
        <w:rPr>
          <w:rFonts w:ascii="Verdana" w:hAnsi="Verdana" w:cs="Tahoma"/>
          <w:sz w:val="24"/>
          <w:szCs w:val="24"/>
          <w:lang w:val="en-GB"/>
        </w:rPr>
        <w:t xml:space="preserve"> </w:t>
      </w:r>
      <w:r w:rsidR="00162B22" w:rsidRPr="002353FE">
        <w:rPr>
          <w:rFonts w:ascii="Verdana" w:hAnsi="Verdana" w:cs="Tahoma"/>
          <w:sz w:val="24"/>
          <w:szCs w:val="24"/>
          <w:lang w:val="en-GB"/>
        </w:rPr>
        <w:t xml:space="preserve">We restrict the analysis </w:t>
      </w:r>
      <w:r w:rsidR="00C57FB3" w:rsidRPr="002353FE">
        <w:rPr>
          <w:rFonts w:ascii="Verdana" w:hAnsi="Verdana" w:cs="Tahoma"/>
          <w:sz w:val="24"/>
          <w:szCs w:val="24"/>
          <w:lang w:val="en-GB"/>
        </w:rPr>
        <w:t>to those consumers that have a personal current bank account, using the answers provided in the survey to the question: “</w:t>
      </w:r>
      <w:r w:rsidR="00C57FB3" w:rsidRPr="002353FE">
        <w:rPr>
          <w:rFonts w:ascii="Verdana" w:hAnsi="Verdana" w:cs="Tahoma"/>
          <w:i/>
          <w:sz w:val="24"/>
          <w:szCs w:val="24"/>
          <w:lang w:val="en-GB"/>
        </w:rPr>
        <w:t>which of the following financial products and services do you have?</w:t>
      </w:r>
      <w:r w:rsidR="00BD0402" w:rsidRPr="002353FE">
        <w:rPr>
          <w:rFonts w:ascii="Verdana" w:hAnsi="Verdana" w:cs="Tahoma"/>
          <w:sz w:val="24"/>
          <w:szCs w:val="24"/>
          <w:lang w:val="en-GB"/>
        </w:rPr>
        <w:t>”</w:t>
      </w:r>
      <w:r w:rsidR="00C57FB3" w:rsidRPr="002353FE">
        <w:rPr>
          <w:rFonts w:ascii="Verdana" w:hAnsi="Verdana" w:cs="Tahoma"/>
          <w:sz w:val="24"/>
          <w:szCs w:val="24"/>
          <w:lang w:val="en-GB"/>
        </w:rPr>
        <w:t>. This include</w:t>
      </w:r>
      <w:r w:rsidR="0064103A" w:rsidRPr="002353FE">
        <w:rPr>
          <w:rFonts w:ascii="Verdana" w:hAnsi="Verdana" w:cs="Tahoma"/>
          <w:sz w:val="24"/>
          <w:szCs w:val="24"/>
          <w:lang w:val="en-GB"/>
        </w:rPr>
        <w:t>s</w:t>
      </w:r>
      <w:r w:rsidR="00C57FB3" w:rsidRPr="002353FE">
        <w:rPr>
          <w:rFonts w:ascii="Verdana" w:hAnsi="Verdana" w:cs="Tahoma"/>
          <w:sz w:val="24"/>
          <w:szCs w:val="24"/>
          <w:lang w:val="en-GB"/>
        </w:rPr>
        <w:t xml:space="preserve"> </w:t>
      </w:r>
      <w:r w:rsidR="00462315" w:rsidRPr="002353FE">
        <w:rPr>
          <w:rFonts w:ascii="Verdana" w:hAnsi="Verdana" w:cs="Tahoma"/>
          <w:sz w:val="24"/>
          <w:szCs w:val="24"/>
          <w:lang w:val="en-GB"/>
        </w:rPr>
        <w:t>76</w:t>
      </w:r>
      <w:r w:rsidR="004C22AF" w:rsidRPr="002353FE">
        <w:rPr>
          <w:rFonts w:ascii="Verdana" w:hAnsi="Verdana" w:cs="Tahoma"/>
          <w:sz w:val="24"/>
          <w:szCs w:val="24"/>
          <w:lang w:val="en-GB"/>
        </w:rPr>
        <w:t>.5</w:t>
      </w:r>
      <w:r w:rsidR="00462315" w:rsidRPr="002353FE">
        <w:rPr>
          <w:rFonts w:ascii="Verdana" w:hAnsi="Verdana" w:cs="Tahoma"/>
          <w:sz w:val="24"/>
          <w:szCs w:val="24"/>
          <w:lang w:val="en-GB"/>
        </w:rPr>
        <w:t>% of the respondents</w:t>
      </w:r>
      <w:r w:rsidR="004C22AF" w:rsidRPr="002353FE">
        <w:rPr>
          <w:rFonts w:ascii="Verdana" w:hAnsi="Verdana" w:cs="Tahoma"/>
          <w:sz w:val="24"/>
          <w:szCs w:val="24"/>
          <w:lang w:val="en-GB"/>
        </w:rPr>
        <w:t xml:space="preserve"> </w:t>
      </w:r>
      <w:r w:rsidR="00E00A23" w:rsidRPr="002353FE">
        <w:rPr>
          <w:rFonts w:ascii="Verdana" w:hAnsi="Verdana" w:cs="Tahoma"/>
          <w:sz w:val="24"/>
          <w:szCs w:val="24"/>
          <w:lang w:val="en-GB"/>
        </w:rPr>
        <w:t>yield</w:t>
      </w:r>
      <w:r w:rsidR="004F309D" w:rsidRPr="002353FE">
        <w:rPr>
          <w:rFonts w:ascii="Verdana" w:hAnsi="Verdana" w:cs="Tahoma"/>
          <w:sz w:val="24"/>
          <w:szCs w:val="24"/>
          <w:lang w:val="en-GB"/>
        </w:rPr>
        <w:t>ing</w:t>
      </w:r>
      <w:r w:rsidR="004C22AF" w:rsidRPr="002353FE">
        <w:rPr>
          <w:rFonts w:ascii="Verdana" w:hAnsi="Verdana" w:cs="Tahoma"/>
          <w:sz w:val="24"/>
          <w:szCs w:val="24"/>
          <w:lang w:val="en-GB"/>
        </w:rPr>
        <w:t xml:space="preserve"> a sample of 21,397 </w:t>
      </w:r>
      <w:r w:rsidR="00C57FB3" w:rsidRPr="002353FE">
        <w:rPr>
          <w:rFonts w:ascii="Verdana" w:hAnsi="Verdana" w:cs="Tahoma"/>
          <w:sz w:val="24"/>
          <w:szCs w:val="24"/>
          <w:lang w:val="en-GB"/>
        </w:rPr>
        <w:t>respondents.</w:t>
      </w:r>
    </w:p>
    <w:p w14:paraId="7D5A0330" w14:textId="2E8918F7" w:rsidR="000113CB" w:rsidRPr="002353FE" w:rsidRDefault="001D695F" w:rsidP="00800AF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For hypothesis </w:t>
      </w:r>
      <w:r w:rsidR="007C283A" w:rsidRPr="002353FE">
        <w:rPr>
          <w:rFonts w:ascii="Verdana" w:hAnsi="Verdana" w:cs="Tahoma"/>
          <w:sz w:val="24"/>
          <w:szCs w:val="24"/>
          <w:lang w:val="en-GB"/>
        </w:rPr>
        <w:t>one</w:t>
      </w:r>
      <w:r w:rsidRPr="002353FE">
        <w:rPr>
          <w:rFonts w:ascii="Verdana" w:hAnsi="Verdana" w:cs="Tahoma"/>
          <w:sz w:val="24"/>
          <w:szCs w:val="24"/>
          <w:lang w:val="en-GB"/>
        </w:rPr>
        <w:t>, t</w:t>
      </w:r>
      <w:r w:rsidR="000113CB" w:rsidRPr="002353FE">
        <w:rPr>
          <w:rFonts w:ascii="Verdana" w:hAnsi="Verdana" w:cs="Tahoma"/>
          <w:sz w:val="24"/>
          <w:szCs w:val="24"/>
          <w:lang w:val="en-GB"/>
        </w:rPr>
        <w:t xml:space="preserve">he </w:t>
      </w:r>
      <w:r w:rsidR="000104E7" w:rsidRPr="002353FE">
        <w:rPr>
          <w:rFonts w:ascii="Verdana" w:hAnsi="Verdana" w:cs="Tahoma"/>
          <w:sz w:val="24"/>
          <w:szCs w:val="24"/>
          <w:lang w:val="en-GB"/>
        </w:rPr>
        <w:t xml:space="preserve">selection of </w:t>
      </w:r>
      <w:r w:rsidR="000113CB" w:rsidRPr="002353FE">
        <w:rPr>
          <w:rFonts w:ascii="Verdana" w:hAnsi="Verdana" w:cs="Tahoma"/>
          <w:sz w:val="24"/>
          <w:szCs w:val="24"/>
          <w:lang w:val="en-GB"/>
        </w:rPr>
        <w:t xml:space="preserve">individual demographic and socio-economic </w:t>
      </w:r>
      <w:r w:rsidR="006462DB" w:rsidRPr="002353FE">
        <w:rPr>
          <w:rFonts w:ascii="Verdana" w:hAnsi="Verdana" w:cs="Tahoma"/>
          <w:sz w:val="24"/>
          <w:szCs w:val="24"/>
          <w:lang w:val="en-GB"/>
        </w:rPr>
        <w:t xml:space="preserve">independent </w:t>
      </w:r>
      <w:r w:rsidR="000113CB" w:rsidRPr="002353FE">
        <w:rPr>
          <w:rFonts w:ascii="Verdana" w:hAnsi="Verdana" w:cs="Tahoma"/>
          <w:sz w:val="24"/>
          <w:szCs w:val="24"/>
          <w:lang w:val="en-GB"/>
        </w:rPr>
        <w:t>factors</w:t>
      </w:r>
      <w:r w:rsidR="00650260" w:rsidRPr="002353FE">
        <w:rPr>
          <w:rFonts w:ascii="Verdana" w:hAnsi="Verdana" w:cs="Tahoma"/>
          <w:sz w:val="24"/>
          <w:szCs w:val="24"/>
          <w:lang w:val="en-GB"/>
        </w:rPr>
        <w:t xml:space="preserve"> </w:t>
      </w:r>
      <w:r w:rsidR="00751BFD" w:rsidRPr="002353FE">
        <w:rPr>
          <w:rFonts w:ascii="Verdana" w:hAnsi="Verdana" w:cs="Tahoma"/>
          <w:sz w:val="24"/>
          <w:szCs w:val="24"/>
          <w:lang w:val="en-GB"/>
        </w:rPr>
        <w:t>was guided by pas</w:t>
      </w:r>
      <w:r w:rsidR="001C7DA3" w:rsidRPr="002353FE">
        <w:rPr>
          <w:rFonts w:ascii="Verdana" w:hAnsi="Verdana" w:cs="Tahoma"/>
          <w:sz w:val="24"/>
          <w:szCs w:val="24"/>
          <w:lang w:val="en-GB"/>
        </w:rPr>
        <w:t>t</w:t>
      </w:r>
      <w:r w:rsidR="00751BFD" w:rsidRPr="002353FE">
        <w:rPr>
          <w:rFonts w:ascii="Verdana" w:hAnsi="Verdana" w:cs="Tahoma"/>
          <w:sz w:val="24"/>
          <w:szCs w:val="24"/>
          <w:lang w:val="en-GB"/>
        </w:rPr>
        <w:t xml:space="preserve"> studies </w:t>
      </w:r>
      <w:r w:rsidR="001C16CA" w:rsidRPr="002353FE">
        <w:rPr>
          <w:rFonts w:ascii="Verdana" w:hAnsi="Verdana" w:cs="Tahoma"/>
          <w:sz w:val="24"/>
          <w:szCs w:val="24"/>
          <w:lang w:val="en-GB"/>
        </w:rPr>
        <w:t xml:space="preserve">on </w:t>
      </w:r>
      <w:r w:rsidR="00751BFD" w:rsidRPr="002353FE">
        <w:rPr>
          <w:rFonts w:ascii="Verdana" w:hAnsi="Verdana" w:cs="Tahoma"/>
          <w:sz w:val="24"/>
          <w:szCs w:val="24"/>
          <w:lang w:val="en-GB"/>
        </w:rPr>
        <w:t>the determinants of current account switching</w:t>
      </w:r>
      <w:r w:rsidR="002F3C27" w:rsidRPr="002353FE">
        <w:rPr>
          <w:rFonts w:ascii="Verdana" w:hAnsi="Verdana" w:cs="Tahoma"/>
          <w:sz w:val="24"/>
          <w:szCs w:val="24"/>
          <w:lang w:val="en-GB"/>
        </w:rPr>
        <w:t xml:space="preserve"> (Carbó-Valverde </w:t>
      </w:r>
      <w:r w:rsidR="002F3C27"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2F3C27" w:rsidRPr="002353FE">
        <w:rPr>
          <w:rFonts w:ascii="Verdana" w:hAnsi="Verdana" w:cs="Tahoma"/>
          <w:sz w:val="24"/>
          <w:szCs w:val="24"/>
          <w:lang w:val="en-GB"/>
        </w:rPr>
        <w:t xml:space="preserve"> 2011</w:t>
      </w:r>
      <w:r w:rsidR="001C16CA" w:rsidRPr="002353FE">
        <w:rPr>
          <w:rFonts w:ascii="Verdana" w:hAnsi="Verdana" w:cs="Tahoma"/>
          <w:sz w:val="24"/>
          <w:szCs w:val="24"/>
          <w:lang w:val="en-GB"/>
        </w:rPr>
        <w:t xml:space="preserve">), financial exclusion (Deku </w:t>
      </w:r>
      <w:r w:rsidR="001C16CA"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1C16CA" w:rsidRPr="002353FE">
        <w:rPr>
          <w:rFonts w:ascii="Verdana" w:hAnsi="Verdana" w:cs="Tahoma"/>
          <w:sz w:val="24"/>
          <w:szCs w:val="24"/>
          <w:lang w:val="en-GB"/>
        </w:rPr>
        <w:t xml:space="preserve"> 2016; Kara and Molyneux</w:t>
      </w:r>
      <w:r w:rsidR="007F7EED" w:rsidRPr="002353FE">
        <w:rPr>
          <w:rFonts w:ascii="Verdana" w:hAnsi="Verdana" w:cs="Tahoma"/>
          <w:sz w:val="24"/>
          <w:szCs w:val="24"/>
          <w:lang w:val="en-GB"/>
        </w:rPr>
        <w:t>,</w:t>
      </w:r>
      <w:r w:rsidR="001C16CA" w:rsidRPr="002353FE">
        <w:rPr>
          <w:rFonts w:ascii="Verdana" w:hAnsi="Verdana" w:cs="Tahoma"/>
          <w:sz w:val="24"/>
          <w:szCs w:val="24"/>
          <w:lang w:val="en-GB"/>
        </w:rPr>
        <w:t xml:space="preserve"> 2017) and customer vulnerability in banking services (Clifton </w:t>
      </w:r>
      <w:r w:rsidR="001C16CA"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1C16CA" w:rsidRPr="002353FE">
        <w:rPr>
          <w:rFonts w:ascii="Verdana" w:hAnsi="Verdana" w:cs="Tahoma"/>
          <w:sz w:val="24"/>
          <w:szCs w:val="24"/>
          <w:lang w:val="en-GB"/>
        </w:rPr>
        <w:t xml:space="preserve"> 2017; </w:t>
      </w:r>
      <w:r w:rsidR="00CC1148" w:rsidRPr="002353FE">
        <w:rPr>
          <w:rFonts w:ascii="Verdana" w:hAnsi="Verdana" w:cs="Tahoma"/>
          <w:sz w:val="24"/>
          <w:szCs w:val="24"/>
          <w:lang w:val="en-GB"/>
        </w:rPr>
        <w:t xml:space="preserve">Shi </w:t>
      </w:r>
      <w:r w:rsidR="00CC1148"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CC1148" w:rsidRPr="002353FE">
        <w:rPr>
          <w:rFonts w:ascii="Verdana" w:hAnsi="Verdana" w:cs="Tahoma"/>
          <w:sz w:val="24"/>
          <w:szCs w:val="24"/>
          <w:lang w:val="en-GB"/>
        </w:rPr>
        <w:t xml:space="preserve"> 2017; De la Cuesta </w:t>
      </w:r>
      <w:r w:rsidR="00CC1148"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CC1148" w:rsidRPr="002353FE">
        <w:rPr>
          <w:rFonts w:ascii="Verdana" w:hAnsi="Verdana" w:cs="Tahoma"/>
          <w:sz w:val="24"/>
          <w:szCs w:val="24"/>
          <w:lang w:val="en-GB"/>
        </w:rPr>
        <w:t xml:space="preserve"> 2021</w:t>
      </w:r>
      <w:r w:rsidR="00ED40B3" w:rsidRPr="002353FE">
        <w:rPr>
          <w:rFonts w:ascii="Verdana" w:hAnsi="Verdana" w:cs="Tahoma"/>
          <w:sz w:val="24"/>
          <w:szCs w:val="24"/>
          <w:lang w:val="en-GB"/>
        </w:rPr>
        <w:t xml:space="preserve"> and</w:t>
      </w:r>
      <w:r w:rsidR="00CC1148" w:rsidRPr="002353FE">
        <w:rPr>
          <w:rFonts w:ascii="Verdana" w:hAnsi="Verdana" w:cs="Tahoma"/>
          <w:sz w:val="24"/>
          <w:szCs w:val="24"/>
          <w:lang w:val="en-GB"/>
        </w:rPr>
        <w:t xml:space="preserve"> 2022).</w:t>
      </w:r>
      <w:r w:rsidR="00503056" w:rsidRPr="002353FE">
        <w:rPr>
          <w:rFonts w:ascii="Verdana" w:hAnsi="Verdana" w:cs="Tahoma"/>
          <w:sz w:val="24"/>
          <w:szCs w:val="24"/>
          <w:lang w:val="en-GB"/>
        </w:rPr>
        <w:t xml:space="preserve"> O</w:t>
      </w:r>
      <w:r w:rsidR="006D6C8D" w:rsidRPr="002353FE">
        <w:rPr>
          <w:rFonts w:ascii="Verdana" w:hAnsi="Verdana" w:cs="Tahoma"/>
          <w:sz w:val="24"/>
          <w:szCs w:val="24"/>
          <w:lang w:val="en-GB"/>
        </w:rPr>
        <w:t xml:space="preserve">ur analysis considers </w:t>
      </w:r>
      <w:r w:rsidR="000113CB" w:rsidRPr="002353FE">
        <w:rPr>
          <w:rFonts w:ascii="Verdana" w:hAnsi="Verdana" w:cs="Tahoma"/>
          <w:sz w:val="24"/>
          <w:szCs w:val="24"/>
          <w:lang w:val="en-GB"/>
        </w:rPr>
        <w:t>age</w:t>
      </w:r>
      <w:r w:rsidR="00AA711D" w:rsidRPr="002353FE">
        <w:rPr>
          <w:rFonts w:ascii="Verdana" w:hAnsi="Verdana" w:cs="Tahoma"/>
          <w:sz w:val="24"/>
          <w:szCs w:val="24"/>
          <w:lang w:val="en-GB"/>
        </w:rPr>
        <w:t xml:space="preserve">, </w:t>
      </w:r>
      <w:r w:rsidR="00141A98" w:rsidRPr="002353FE">
        <w:rPr>
          <w:rFonts w:ascii="Verdana" w:hAnsi="Verdana" w:cs="Tahoma"/>
          <w:sz w:val="24"/>
          <w:szCs w:val="24"/>
          <w:lang w:val="en-GB"/>
        </w:rPr>
        <w:lastRenderedPageBreak/>
        <w:t>educational attainment</w:t>
      </w:r>
      <w:r w:rsidR="00CC1148" w:rsidRPr="002353FE">
        <w:rPr>
          <w:rFonts w:ascii="Verdana" w:hAnsi="Verdana" w:cs="Tahoma"/>
          <w:sz w:val="24"/>
          <w:szCs w:val="24"/>
          <w:lang w:val="en-GB"/>
        </w:rPr>
        <w:t xml:space="preserve"> </w:t>
      </w:r>
      <w:r w:rsidR="00AA711D" w:rsidRPr="002353FE">
        <w:rPr>
          <w:rFonts w:ascii="Verdana" w:hAnsi="Verdana" w:cs="Tahoma"/>
          <w:sz w:val="24"/>
          <w:szCs w:val="24"/>
          <w:lang w:val="en-GB"/>
        </w:rPr>
        <w:t xml:space="preserve">and place of residence </w:t>
      </w:r>
      <w:r w:rsidR="00CC1148" w:rsidRPr="002353FE">
        <w:rPr>
          <w:rFonts w:ascii="Verdana" w:hAnsi="Verdana" w:cs="Tahoma"/>
          <w:sz w:val="24"/>
          <w:szCs w:val="24"/>
          <w:lang w:val="en-GB"/>
        </w:rPr>
        <w:t>as key independent variables at the individual level</w:t>
      </w:r>
      <w:r w:rsidR="00BC365D" w:rsidRPr="002353FE">
        <w:rPr>
          <w:rFonts w:ascii="Verdana" w:hAnsi="Verdana" w:cs="Tahoma"/>
          <w:sz w:val="24"/>
          <w:szCs w:val="24"/>
          <w:lang w:val="en-GB"/>
        </w:rPr>
        <w:t xml:space="preserve">. We also use </w:t>
      </w:r>
      <w:r w:rsidR="000113CB" w:rsidRPr="002353FE">
        <w:rPr>
          <w:rFonts w:ascii="Verdana" w:hAnsi="Verdana" w:cs="Tahoma"/>
          <w:sz w:val="24"/>
          <w:szCs w:val="24"/>
          <w:lang w:val="en-GB"/>
        </w:rPr>
        <w:t xml:space="preserve">nationality, gender, employment status, occupation, </w:t>
      </w:r>
      <w:r w:rsidR="00141A98" w:rsidRPr="002353FE">
        <w:rPr>
          <w:rFonts w:ascii="Verdana" w:hAnsi="Verdana" w:cs="Tahoma"/>
          <w:sz w:val="24"/>
          <w:szCs w:val="24"/>
          <w:lang w:val="en-GB"/>
        </w:rPr>
        <w:t xml:space="preserve">marital status, </w:t>
      </w:r>
      <w:r w:rsidR="000113CB" w:rsidRPr="002353FE">
        <w:rPr>
          <w:rFonts w:ascii="Verdana" w:hAnsi="Verdana" w:cs="Tahoma"/>
          <w:sz w:val="24"/>
          <w:szCs w:val="24"/>
          <w:lang w:val="en-GB"/>
        </w:rPr>
        <w:t>household size and household ownership status</w:t>
      </w:r>
      <w:r w:rsidR="006D6C8D" w:rsidRPr="002353FE">
        <w:rPr>
          <w:rFonts w:ascii="Verdana" w:hAnsi="Verdana" w:cs="Tahoma"/>
          <w:sz w:val="24"/>
          <w:szCs w:val="24"/>
          <w:lang w:val="en-GB"/>
        </w:rPr>
        <w:t xml:space="preserve"> as </w:t>
      </w:r>
      <w:r w:rsidR="00503056" w:rsidRPr="002353FE">
        <w:rPr>
          <w:rFonts w:ascii="Verdana" w:hAnsi="Verdana" w:cs="Tahoma"/>
          <w:sz w:val="24"/>
          <w:szCs w:val="24"/>
          <w:lang w:val="en-GB"/>
        </w:rPr>
        <w:t>individual level</w:t>
      </w:r>
      <w:r w:rsidR="00503056" w:rsidRPr="002353FE" w:rsidDel="00BC365D">
        <w:rPr>
          <w:rFonts w:ascii="Verdana" w:hAnsi="Verdana" w:cs="Tahoma"/>
          <w:sz w:val="24"/>
          <w:szCs w:val="24"/>
          <w:lang w:val="en-GB"/>
        </w:rPr>
        <w:t xml:space="preserve"> </w:t>
      </w:r>
      <w:r w:rsidR="00CC1148" w:rsidRPr="002353FE">
        <w:rPr>
          <w:rFonts w:ascii="Verdana" w:hAnsi="Verdana" w:cs="Tahoma"/>
          <w:sz w:val="24"/>
          <w:szCs w:val="24"/>
          <w:lang w:val="en-GB"/>
        </w:rPr>
        <w:t>control variables</w:t>
      </w:r>
      <w:r w:rsidR="000113CB" w:rsidRPr="002353FE">
        <w:rPr>
          <w:rFonts w:ascii="Verdana" w:hAnsi="Verdana" w:cs="Tahoma"/>
          <w:sz w:val="24"/>
          <w:szCs w:val="24"/>
          <w:lang w:val="en-GB"/>
        </w:rPr>
        <w:t xml:space="preserve">. </w:t>
      </w:r>
    </w:p>
    <w:p w14:paraId="187D052D" w14:textId="39E532B9" w:rsidR="00940111" w:rsidRPr="002353FE" w:rsidRDefault="004F309D" w:rsidP="00800AF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A</w:t>
      </w:r>
      <w:r w:rsidR="000113CB" w:rsidRPr="002353FE">
        <w:rPr>
          <w:rFonts w:ascii="Verdana" w:hAnsi="Verdana" w:cs="Tahoma"/>
          <w:sz w:val="24"/>
          <w:szCs w:val="24"/>
          <w:lang w:val="en-GB"/>
        </w:rPr>
        <w:t>ge is measure</w:t>
      </w:r>
      <w:r w:rsidR="002B018A" w:rsidRPr="002353FE">
        <w:rPr>
          <w:rFonts w:ascii="Verdana" w:hAnsi="Verdana" w:cs="Tahoma"/>
          <w:sz w:val="24"/>
          <w:szCs w:val="24"/>
          <w:lang w:val="en-GB"/>
        </w:rPr>
        <w:t>d across intervals from 15 to 24, from 25 to 34, from 35 to 44, from 45 to 54, from 55 to 64 and more than 64.</w:t>
      </w:r>
      <w:r w:rsidR="00CC1148" w:rsidRPr="002353FE">
        <w:rPr>
          <w:rFonts w:ascii="Verdana" w:hAnsi="Verdana" w:cs="Tahoma"/>
          <w:sz w:val="24"/>
          <w:szCs w:val="24"/>
          <w:lang w:val="en-GB"/>
        </w:rPr>
        <w:t xml:space="preserve"> We focus on those </w:t>
      </w:r>
      <w:r w:rsidR="00503056" w:rsidRPr="002353FE">
        <w:rPr>
          <w:rFonts w:ascii="Verdana" w:hAnsi="Verdana" w:cs="Tahoma"/>
          <w:sz w:val="24"/>
          <w:szCs w:val="24"/>
          <w:lang w:val="en-GB"/>
        </w:rPr>
        <w:t xml:space="preserve">respondents </w:t>
      </w:r>
      <w:r w:rsidR="00CC1148" w:rsidRPr="002353FE">
        <w:rPr>
          <w:rFonts w:ascii="Verdana" w:hAnsi="Verdana" w:cs="Tahoma"/>
          <w:sz w:val="24"/>
          <w:szCs w:val="24"/>
          <w:lang w:val="en-GB"/>
        </w:rPr>
        <w:t xml:space="preserve">over </w:t>
      </w:r>
      <w:r w:rsidR="00503056" w:rsidRPr="002353FE">
        <w:rPr>
          <w:rFonts w:ascii="Verdana" w:hAnsi="Verdana" w:cs="Tahoma"/>
          <w:sz w:val="24"/>
          <w:szCs w:val="24"/>
          <w:lang w:val="en-GB"/>
        </w:rPr>
        <w:t xml:space="preserve">the age of </w:t>
      </w:r>
      <w:r w:rsidR="00CC1148" w:rsidRPr="002353FE">
        <w:rPr>
          <w:rFonts w:ascii="Verdana" w:hAnsi="Verdana" w:cs="Tahoma"/>
          <w:sz w:val="24"/>
          <w:szCs w:val="24"/>
          <w:lang w:val="en-GB"/>
        </w:rPr>
        <w:t xml:space="preserve">64 as </w:t>
      </w:r>
      <w:r w:rsidR="00BC365D" w:rsidRPr="002353FE">
        <w:rPr>
          <w:rFonts w:ascii="Verdana" w:hAnsi="Verdana" w:cs="Tahoma"/>
          <w:sz w:val="24"/>
          <w:szCs w:val="24"/>
          <w:lang w:val="en-GB"/>
        </w:rPr>
        <w:t xml:space="preserve">a vulnerable </w:t>
      </w:r>
      <w:r w:rsidR="00CC1148" w:rsidRPr="002353FE">
        <w:rPr>
          <w:rFonts w:ascii="Verdana" w:hAnsi="Verdana" w:cs="Tahoma"/>
          <w:sz w:val="24"/>
          <w:szCs w:val="24"/>
          <w:lang w:val="en-GB"/>
        </w:rPr>
        <w:t>group.</w:t>
      </w:r>
      <w:r w:rsidR="002B018A" w:rsidRPr="002353FE">
        <w:rPr>
          <w:rFonts w:ascii="Verdana" w:hAnsi="Verdana" w:cs="Tahoma"/>
          <w:sz w:val="24"/>
          <w:szCs w:val="24"/>
          <w:lang w:val="en-GB"/>
        </w:rPr>
        <w:t xml:space="preserve"> </w:t>
      </w:r>
      <w:r w:rsidR="00DE1133" w:rsidRPr="002353FE">
        <w:rPr>
          <w:rFonts w:ascii="Verdana" w:hAnsi="Verdana" w:cs="Tahoma"/>
          <w:sz w:val="24"/>
          <w:szCs w:val="24"/>
          <w:lang w:val="en-GB"/>
        </w:rPr>
        <w:t>I</w:t>
      </w:r>
      <w:r w:rsidR="00EF1632" w:rsidRPr="002353FE">
        <w:rPr>
          <w:rFonts w:ascii="Verdana" w:hAnsi="Verdana" w:cs="Tahoma"/>
          <w:sz w:val="24"/>
          <w:szCs w:val="24"/>
          <w:lang w:val="en-GB"/>
        </w:rPr>
        <w:t>nformation on</w:t>
      </w:r>
      <w:r w:rsidR="002B018A" w:rsidRPr="002353FE">
        <w:rPr>
          <w:rFonts w:ascii="Verdana" w:hAnsi="Verdana" w:cs="Tahoma"/>
          <w:sz w:val="24"/>
          <w:szCs w:val="24"/>
          <w:lang w:val="en-GB"/>
        </w:rPr>
        <w:t xml:space="preserve"> the</w:t>
      </w:r>
      <w:r w:rsidR="004C22AF" w:rsidRPr="002353FE">
        <w:rPr>
          <w:rFonts w:ascii="Verdana" w:hAnsi="Verdana" w:cs="Tahoma"/>
          <w:sz w:val="24"/>
          <w:szCs w:val="24"/>
          <w:lang w:val="en-GB"/>
        </w:rPr>
        <w:t xml:space="preserve"> </w:t>
      </w:r>
      <w:r w:rsidR="004505DD" w:rsidRPr="002353FE">
        <w:rPr>
          <w:rFonts w:ascii="Verdana" w:hAnsi="Verdana" w:cs="Tahoma"/>
          <w:sz w:val="24"/>
          <w:szCs w:val="24"/>
          <w:lang w:val="en-GB"/>
        </w:rPr>
        <w:t xml:space="preserve">education attainment </w:t>
      </w:r>
      <w:r w:rsidR="00B6755E" w:rsidRPr="002353FE">
        <w:rPr>
          <w:rFonts w:ascii="Verdana" w:hAnsi="Verdana" w:cs="Tahoma"/>
          <w:sz w:val="24"/>
          <w:szCs w:val="24"/>
          <w:lang w:val="en-GB"/>
        </w:rPr>
        <w:t xml:space="preserve">considers </w:t>
      </w:r>
      <w:r w:rsidR="000549C7" w:rsidRPr="002353FE">
        <w:rPr>
          <w:rFonts w:ascii="Verdana" w:hAnsi="Verdana" w:cs="Tahoma"/>
          <w:sz w:val="24"/>
          <w:szCs w:val="24"/>
          <w:lang w:val="en-GB"/>
        </w:rPr>
        <w:t xml:space="preserve">the </w:t>
      </w:r>
      <w:r w:rsidR="004C22AF" w:rsidRPr="002353FE">
        <w:rPr>
          <w:rFonts w:ascii="Verdana" w:hAnsi="Verdana" w:cs="Tahoma"/>
          <w:sz w:val="24"/>
          <w:szCs w:val="24"/>
          <w:lang w:val="en-GB"/>
        </w:rPr>
        <w:t>age when respondent</w:t>
      </w:r>
      <w:r w:rsidR="00135605" w:rsidRPr="002353FE">
        <w:rPr>
          <w:rFonts w:ascii="Verdana" w:hAnsi="Verdana" w:cs="Tahoma"/>
          <w:sz w:val="24"/>
          <w:szCs w:val="24"/>
          <w:lang w:val="en-GB"/>
        </w:rPr>
        <w:t>s</w:t>
      </w:r>
      <w:r w:rsidR="004C22AF" w:rsidRPr="002353FE">
        <w:rPr>
          <w:rFonts w:ascii="Verdana" w:hAnsi="Verdana" w:cs="Tahoma"/>
          <w:sz w:val="24"/>
          <w:szCs w:val="24"/>
          <w:lang w:val="en-GB"/>
        </w:rPr>
        <w:t xml:space="preserve"> </w:t>
      </w:r>
      <w:r w:rsidR="00B31B85" w:rsidRPr="002353FE">
        <w:rPr>
          <w:rFonts w:ascii="Verdana" w:hAnsi="Verdana" w:cs="Tahoma"/>
          <w:sz w:val="24"/>
          <w:szCs w:val="24"/>
          <w:lang w:val="en-GB"/>
        </w:rPr>
        <w:t>ha</w:t>
      </w:r>
      <w:r w:rsidR="00135605" w:rsidRPr="002353FE">
        <w:rPr>
          <w:rFonts w:ascii="Verdana" w:hAnsi="Verdana" w:cs="Tahoma"/>
          <w:sz w:val="24"/>
          <w:szCs w:val="24"/>
          <w:lang w:val="en-GB"/>
        </w:rPr>
        <w:t>ve</w:t>
      </w:r>
      <w:r w:rsidR="00B31B85" w:rsidRPr="002353FE">
        <w:rPr>
          <w:rFonts w:ascii="Verdana" w:hAnsi="Verdana" w:cs="Tahoma"/>
          <w:sz w:val="24"/>
          <w:szCs w:val="24"/>
          <w:lang w:val="en-GB"/>
        </w:rPr>
        <w:t xml:space="preserve"> </w:t>
      </w:r>
      <w:r w:rsidR="004C22AF" w:rsidRPr="002353FE">
        <w:rPr>
          <w:rFonts w:ascii="Verdana" w:hAnsi="Verdana" w:cs="Tahoma"/>
          <w:sz w:val="24"/>
          <w:szCs w:val="24"/>
          <w:lang w:val="en-GB"/>
        </w:rPr>
        <w:t>finished full-time education</w:t>
      </w:r>
      <w:r w:rsidR="004505DD" w:rsidRPr="002353FE">
        <w:rPr>
          <w:rFonts w:ascii="Verdana" w:hAnsi="Verdana" w:cs="Tahoma"/>
          <w:sz w:val="24"/>
          <w:szCs w:val="24"/>
          <w:lang w:val="en-GB"/>
        </w:rPr>
        <w:t>.</w:t>
      </w:r>
      <w:r w:rsidR="002B018A" w:rsidRPr="002353FE">
        <w:rPr>
          <w:rFonts w:ascii="Verdana" w:hAnsi="Verdana" w:cs="Tahoma"/>
          <w:sz w:val="24"/>
          <w:szCs w:val="24"/>
          <w:lang w:val="en-GB"/>
        </w:rPr>
        <w:t xml:space="preserve"> </w:t>
      </w:r>
      <w:r w:rsidR="00EF1632" w:rsidRPr="002353FE">
        <w:rPr>
          <w:rFonts w:ascii="Verdana" w:hAnsi="Verdana" w:cs="Tahoma"/>
          <w:sz w:val="24"/>
          <w:szCs w:val="24"/>
          <w:lang w:val="en-GB"/>
        </w:rPr>
        <w:t>R</w:t>
      </w:r>
      <w:r w:rsidR="004505DD" w:rsidRPr="002353FE">
        <w:rPr>
          <w:rFonts w:ascii="Verdana" w:hAnsi="Verdana" w:cs="Tahoma"/>
          <w:sz w:val="24"/>
          <w:szCs w:val="24"/>
          <w:lang w:val="en-GB"/>
        </w:rPr>
        <w:t xml:space="preserve">espondents with a basic education </w:t>
      </w:r>
      <w:r w:rsidR="000549C7" w:rsidRPr="002353FE">
        <w:rPr>
          <w:rFonts w:ascii="Verdana" w:hAnsi="Verdana" w:cs="Tahoma"/>
          <w:sz w:val="24"/>
          <w:szCs w:val="24"/>
          <w:lang w:val="en-GB"/>
        </w:rPr>
        <w:t xml:space="preserve">are </w:t>
      </w:r>
      <w:r w:rsidR="004505DD" w:rsidRPr="002353FE">
        <w:rPr>
          <w:rFonts w:ascii="Verdana" w:hAnsi="Verdana" w:cs="Tahoma"/>
          <w:sz w:val="24"/>
          <w:szCs w:val="24"/>
          <w:lang w:val="en-GB"/>
        </w:rPr>
        <w:t>those who</w:t>
      </w:r>
      <w:r w:rsidR="002B018A" w:rsidRPr="002353FE">
        <w:rPr>
          <w:rFonts w:ascii="Verdana" w:hAnsi="Verdana" w:cs="Tahoma"/>
          <w:sz w:val="24"/>
          <w:szCs w:val="24"/>
          <w:lang w:val="en-GB"/>
        </w:rPr>
        <w:t xml:space="preserve"> left education </w:t>
      </w:r>
      <w:r w:rsidR="004C22AF" w:rsidRPr="002353FE">
        <w:rPr>
          <w:rFonts w:ascii="Verdana" w:hAnsi="Verdana" w:cs="Tahoma"/>
          <w:sz w:val="24"/>
          <w:szCs w:val="24"/>
          <w:lang w:val="en-GB"/>
        </w:rPr>
        <w:t>at 15 or before</w:t>
      </w:r>
      <w:r w:rsidR="000549C7" w:rsidRPr="002353FE">
        <w:rPr>
          <w:rFonts w:ascii="Verdana" w:hAnsi="Verdana" w:cs="Tahoma"/>
          <w:sz w:val="24"/>
          <w:szCs w:val="24"/>
          <w:lang w:val="en-GB"/>
        </w:rPr>
        <w:t>,</w:t>
      </w:r>
      <w:r w:rsidR="00634E4A" w:rsidRPr="002353FE">
        <w:rPr>
          <w:rFonts w:ascii="Verdana" w:hAnsi="Verdana" w:cs="Tahoma"/>
          <w:sz w:val="24"/>
          <w:szCs w:val="24"/>
          <w:lang w:val="en-GB"/>
        </w:rPr>
        <w:t xml:space="preserve"> </w:t>
      </w:r>
      <w:r w:rsidR="000549C7" w:rsidRPr="002353FE">
        <w:rPr>
          <w:rFonts w:ascii="Verdana" w:hAnsi="Verdana" w:cs="Tahoma"/>
          <w:sz w:val="24"/>
          <w:szCs w:val="24"/>
          <w:lang w:val="en-GB"/>
        </w:rPr>
        <w:t xml:space="preserve">those under 19 still studying and respondents </w:t>
      </w:r>
      <w:r w:rsidR="00634E4A" w:rsidRPr="002353FE">
        <w:rPr>
          <w:rFonts w:ascii="Verdana" w:hAnsi="Verdana" w:cs="Tahoma"/>
          <w:sz w:val="24"/>
          <w:szCs w:val="24"/>
          <w:lang w:val="en-GB"/>
        </w:rPr>
        <w:t xml:space="preserve">who never received </w:t>
      </w:r>
      <w:r w:rsidR="00F548A1" w:rsidRPr="002353FE">
        <w:rPr>
          <w:rFonts w:ascii="Verdana" w:hAnsi="Verdana" w:cs="Tahoma"/>
          <w:sz w:val="24"/>
          <w:szCs w:val="24"/>
          <w:lang w:val="en-GB"/>
        </w:rPr>
        <w:t xml:space="preserve">a </w:t>
      </w:r>
      <w:r w:rsidR="00634E4A" w:rsidRPr="002353FE">
        <w:rPr>
          <w:rFonts w:ascii="Verdana" w:hAnsi="Verdana" w:cs="Tahoma"/>
          <w:sz w:val="24"/>
          <w:szCs w:val="24"/>
          <w:lang w:val="en-GB"/>
        </w:rPr>
        <w:t>full-time education</w:t>
      </w:r>
      <w:r w:rsidR="000549C7" w:rsidRPr="002353FE">
        <w:rPr>
          <w:rFonts w:ascii="Verdana" w:hAnsi="Verdana" w:cs="Tahoma"/>
          <w:sz w:val="24"/>
          <w:szCs w:val="24"/>
          <w:lang w:val="en-GB"/>
        </w:rPr>
        <w:t>. R</w:t>
      </w:r>
      <w:r w:rsidR="004505DD" w:rsidRPr="002353FE">
        <w:rPr>
          <w:rFonts w:ascii="Verdana" w:hAnsi="Verdana" w:cs="Tahoma"/>
          <w:sz w:val="24"/>
          <w:szCs w:val="24"/>
          <w:lang w:val="en-GB"/>
        </w:rPr>
        <w:t>espond</w:t>
      </w:r>
      <w:r w:rsidR="00FD338C" w:rsidRPr="002353FE">
        <w:rPr>
          <w:rFonts w:ascii="Verdana" w:hAnsi="Verdana" w:cs="Tahoma"/>
          <w:sz w:val="24"/>
          <w:szCs w:val="24"/>
          <w:lang w:val="en-GB"/>
        </w:rPr>
        <w:t>ents with a secondary education</w:t>
      </w:r>
      <w:r w:rsidR="004505DD" w:rsidRPr="002353FE">
        <w:rPr>
          <w:rFonts w:ascii="Verdana" w:hAnsi="Verdana" w:cs="Tahoma"/>
          <w:sz w:val="24"/>
          <w:szCs w:val="24"/>
          <w:lang w:val="en-GB"/>
        </w:rPr>
        <w:t xml:space="preserve"> </w:t>
      </w:r>
      <w:r w:rsidR="000549C7" w:rsidRPr="002353FE">
        <w:rPr>
          <w:rFonts w:ascii="Verdana" w:hAnsi="Verdana" w:cs="Tahoma"/>
          <w:sz w:val="24"/>
          <w:szCs w:val="24"/>
          <w:lang w:val="en-GB"/>
        </w:rPr>
        <w:t xml:space="preserve">include persons </w:t>
      </w:r>
      <w:r w:rsidR="004505DD" w:rsidRPr="002353FE">
        <w:rPr>
          <w:rFonts w:ascii="Verdana" w:hAnsi="Verdana" w:cs="Tahoma"/>
          <w:sz w:val="24"/>
          <w:szCs w:val="24"/>
          <w:lang w:val="en-GB"/>
        </w:rPr>
        <w:t xml:space="preserve">who finished studying between </w:t>
      </w:r>
      <w:r w:rsidR="000549C7" w:rsidRPr="002353FE">
        <w:rPr>
          <w:rFonts w:ascii="Verdana" w:hAnsi="Verdana" w:cs="Tahoma"/>
          <w:sz w:val="24"/>
          <w:szCs w:val="24"/>
          <w:lang w:val="en-GB"/>
        </w:rPr>
        <w:t xml:space="preserve">the ages of </w:t>
      </w:r>
      <w:r w:rsidR="004505DD" w:rsidRPr="002353FE">
        <w:rPr>
          <w:rFonts w:ascii="Verdana" w:hAnsi="Verdana" w:cs="Tahoma"/>
          <w:sz w:val="24"/>
          <w:szCs w:val="24"/>
          <w:lang w:val="en-GB"/>
        </w:rPr>
        <w:t>16 and 19, as well as those over 19 still studying</w:t>
      </w:r>
      <w:r w:rsidR="000549C7" w:rsidRPr="002353FE">
        <w:rPr>
          <w:rFonts w:ascii="Verdana" w:hAnsi="Verdana" w:cs="Tahoma"/>
          <w:sz w:val="24"/>
          <w:szCs w:val="24"/>
          <w:lang w:val="en-GB"/>
        </w:rPr>
        <w:t>. R</w:t>
      </w:r>
      <w:r w:rsidR="004505DD" w:rsidRPr="002353FE">
        <w:rPr>
          <w:rFonts w:ascii="Verdana" w:hAnsi="Verdana" w:cs="Tahoma"/>
          <w:sz w:val="24"/>
          <w:szCs w:val="24"/>
          <w:lang w:val="en-GB"/>
        </w:rPr>
        <w:t xml:space="preserve">espondents with a higher education </w:t>
      </w:r>
      <w:r w:rsidR="000549C7" w:rsidRPr="002353FE">
        <w:rPr>
          <w:rFonts w:ascii="Verdana" w:hAnsi="Verdana" w:cs="Tahoma"/>
          <w:sz w:val="24"/>
          <w:szCs w:val="24"/>
          <w:lang w:val="en-GB"/>
        </w:rPr>
        <w:t xml:space="preserve">are </w:t>
      </w:r>
      <w:r w:rsidR="004C22AF" w:rsidRPr="002353FE">
        <w:rPr>
          <w:rFonts w:ascii="Verdana" w:hAnsi="Verdana" w:cs="Tahoma"/>
          <w:sz w:val="24"/>
          <w:szCs w:val="24"/>
          <w:lang w:val="en-GB"/>
        </w:rPr>
        <w:t xml:space="preserve">those that </w:t>
      </w:r>
      <w:r w:rsidR="00B31B85" w:rsidRPr="002353FE">
        <w:rPr>
          <w:rFonts w:ascii="Verdana" w:hAnsi="Verdana" w:cs="Tahoma"/>
          <w:sz w:val="24"/>
          <w:szCs w:val="24"/>
          <w:lang w:val="en-GB"/>
        </w:rPr>
        <w:t xml:space="preserve">completed </w:t>
      </w:r>
      <w:r w:rsidR="004C22AF" w:rsidRPr="002353FE">
        <w:rPr>
          <w:rFonts w:ascii="Verdana" w:hAnsi="Verdana" w:cs="Tahoma"/>
          <w:sz w:val="24"/>
          <w:szCs w:val="24"/>
          <w:lang w:val="en-GB"/>
        </w:rPr>
        <w:t>full-tim</w:t>
      </w:r>
      <w:r w:rsidR="002B018A" w:rsidRPr="002353FE">
        <w:rPr>
          <w:rFonts w:ascii="Verdana" w:hAnsi="Verdana" w:cs="Tahoma"/>
          <w:sz w:val="24"/>
          <w:szCs w:val="24"/>
          <w:lang w:val="en-GB"/>
        </w:rPr>
        <w:t xml:space="preserve">e education </w:t>
      </w:r>
      <w:r w:rsidR="00F23058" w:rsidRPr="002353FE">
        <w:rPr>
          <w:rFonts w:ascii="Verdana" w:hAnsi="Verdana" w:cs="Tahoma"/>
          <w:sz w:val="24"/>
          <w:szCs w:val="24"/>
          <w:lang w:val="en-GB"/>
        </w:rPr>
        <w:t xml:space="preserve">after </w:t>
      </w:r>
      <w:r w:rsidR="002B018A" w:rsidRPr="002353FE">
        <w:rPr>
          <w:rFonts w:ascii="Verdana" w:hAnsi="Verdana" w:cs="Tahoma"/>
          <w:sz w:val="24"/>
          <w:szCs w:val="24"/>
          <w:lang w:val="en-GB"/>
        </w:rPr>
        <w:t>the age of 19</w:t>
      </w:r>
      <w:r w:rsidR="00E03A7D" w:rsidRPr="002353FE">
        <w:rPr>
          <w:rFonts w:ascii="Verdana" w:hAnsi="Verdana" w:cs="Tahoma"/>
          <w:sz w:val="24"/>
          <w:szCs w:val="24"/>
          <w:lang w:val="en-GB"/>
        </w:rPr>
        <w:t xml:space="preserve">. </w:t>
      </w:r>
      <w:r w:rsidR="00F23058" w:rsidRPr="002353FE">
        <w:rPr>
          <w:rFonts w:ascii="Verdana" w:hAnsi="Verdana" w:cs="Tahoma"/>
          <w:sz w:val="24"/>
          <w:szCs w:val="24"/>
          <w:lang w:val="en-GB"/>
        </w:rPr>
        <w:t>C</w:t>
      </w:r>
      <w:r w:rsidR="00CC1148" w:rsidRPr="002353FE">
        <w:rPr>
          <w:rFonts w:ascii="Verdana" w:hAnsi="Verdana" w:cs="Tahoma"/>
          <w:sz w:val="24"/>
          <w:szCs w:val="24"/>
          <w:lang w:val="en-GB"/>
        </w:rPr>
        <w:t xml:space="preserve">ustomers with a basic education </w:t>
      </w:r>
      <w:r w:rsidR="00F23058" w:rsidRPr="002353FE">
        <w:rPr>
          <w:rFonts w:ascii="Verdana" w:hAnsi="Verdana" w:cs="Tahoma"/>
          <w:sz w:val="24"/>
          <w:szCs w:val="24"/>
          <w:lang w:val="en-GB"/>
        </w:rPr>
        <w:t xml:space="preserve">are </w:t>
      </w:r>
      <w:r w:rsidR="00CC1148" w:rsidRPr="002353FE">
        <w:rPr>
          <w:rFonts w:ascii="Verdana" w:hAnsi="Verdana" w:cs="Tahoma"/>
          <w:sz w:val="24"/>
          <w:szCs w:val="24"/>
          <w:lang w:val="en-GB"/>
        </w:rPr>
        <w:t>the group representative of vulnerability.</w:t>
      </w:r>
    </w:p>
    <w:p w14:paraId="624D5A81" w14:textId="6FF089FA" w:rsidR="00F03089" w:rsidRPr="002353FE" w:rsidRDefault="00AA1AD7" w:rsidP="00800AF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R</w:t>
      </w:r>
      <w:r w:rsidR="00141A98" w:rsidRPr="002353FE">
        <w:rPr>
          <w:rFonts w:ascii="Verdana" w:hAnsi="Verdana" w:cs="Tahoma"/>
          <w:sz w:val="24"/>
          <w:szCs w:val="24"/>
          <w:lang w:val="en-GB"/>
        </w:rPr>
        <w:t>egard</w:t>
      </w:r>
      <w:r w:rsidRPr="002353FE">
        <w:rPr>
          <w:rFonts w:ascii="Verdana" w:hAnsi="Verdana" w:cs="Tahoma"/>
          <w:sz w:val="24"/>
          <w:szCs w:val="24"/>
          <w:lang w:val="en-GB"/>
        </w:rPr>
        <w:t>ing</w:t>
      </w:r>
      <w:r w:rsidR="00141A98" w:rsidRPr="002353FE">
        <w:rPr>
          <w:rFonts w:ascii="Verdana" w:hAnsi="Verdana" w:cs="Tahoma"/>
          <w:sz w:val="24"/>
          <w:szCs w:val="24"/>
          <w:lang w:val="en-GB"/>
        </w:rPr>
        <w:t xml:space="preserve"> o</w:t>
      </w:r>
      <w:r w:rsidR="00DE1A2C" w:rsidRPr="002353FE">
        <w:rPr>
          <w:rFonts w:ascii="Verdana" w:hAnsi="Verdana" w:cs="Tahoma"/>
          <w:sz w:val="24"/>
          <w:szCs w:val="24"/>
          <w:lang w:val="en-GB"/>
        </w:rPr>
        <w:t>ther individual characteristics</w:t>
      </w:r>
      <w:r w:rsidR="00141A98" w:rsidRPr="002353FE">
        <w:rPr>
          <w:rFonts w:ascii="Verdana" w:hAnsi="Verdana" w:cs="Tahoma"/>
          <w:sz w:val="24"/>
          <w:szCs w:val="24"/>
          <w:lang w:val="en-GB"/>
        </w:rPr>
        <w:t>,</w:t>
      </w:r>
      <w:r w:rsidR="00DE1A2C" w:rsidRPr="002353FE">
        <w:rPr>
          <w:rFonts w:ascii="Verdana" w:hAnsi="Verdana" w:cs="Tahoma"/>
          <w:sz w:val="24"/>
          <w:szCs w:val="24"/>
          <w:lang w:val="en-GB"/>
        </w:rPr>
        <w:t xml:space="preserve"> </w:t>
      </w:r>
      <w:r w:rsidRPr="002353FE">
        <w:rPr>
          <w:rFonts w:ascii="Verdana" w:hAnsi="Verdana" w:cs="Tahoma"/>
          <w:sz w:val="24"/>
          <w:szCs w:val="24"/>
          <w:lang w:val="en-GB"/>
        </w:rPr>
        <w:t xml:space="preserve">respondents' </w:t>
      </w:r>
      <w:r w:rsidR="00141A98" w:rsidRPr="002353FE">
        <w:rPr>
          <w:rFonts w:ascii="Verdana" w:hAnsi="Verdana" w:cs="Tahoma"/>
          <w:sz w:val="24"/>
          <w:szCs w:val="24"/>
          <w:lang w:val="en-GB"/>
        </w:rPr>
        <w:t>n</w:t>
      </w:r>
      <w:r w:rsidR="000113CB" w:rsidRPr="002353FE">
        <w:rPr>
          <w:rFonts w:ascii="Verdana" w:hAnsi="Verdana" w:cs="Tahoma"/>
          <w:sz w:val="24"/>
          <w:szCs w:val="24"/>
          <w:lang w:val="en-GB"/>
        </w:rPr>
        <w:t xml:space="preserve">ationality </w:t>
      </w:r>
      <w:r w:rsidR="001519D2" w:rsidRPr="002353FE">
        <w:rPr>
          <w:rFonts w:ascii="Verdana" w:hAnsi="Verdana" w:cs="Tahoma"/>
          <w:sz w:val="24"/>
          <w:szCs w:val="24"/>
          <w:lang w:val="en-GB"/>
        </w:rPr>
        <w:t xml:space="preserve">indicates if the person has a different </w:t>
      </w:r>
      <w:r w:rsidR="00DE1A2C" w:rsidRPr="002353FE">
        <w:rPr>
          <w:rFonts w:ascii="Verdana" w:hAnsi="Verdana" w:cs="Tahoma"/>
          <w:sz w:val="24"/>
          <w:szCs w:val="24"/>
          <w:lang w:val="en-GB"/>
        </w:rPr>
        <w:t xml:space="preserve">nationality </w:t>
      </w:r>
      <w:r w:rsidR="001519D2" w:rsidRPr="002353FE">
        <w:rPr>
          <w:rFonts w:ascii="Verdana" w:hAnsi="Verdana" w:cs="Tahoma"/>
          <w:sz w:val="24"/>
          <w:szCs w:val="24"/>
          <w:lang w:val="en-GB"/>
        </w:rPr>
        <w:t xml:space="preserve">that their </w:t>
      </w:r>
      <w:r w:rsidR="00DE1A2C" w:rsidRPr="002353FE">
        <w:rPr>
          <w:rFonts w:ascii="Verdana" w:hAnsi="Verdana" w:cs="Tahoma"/>
          <w:sz w:val="24"/>
          <w:szCs w:val="24"/>
          <w:lang w:val="en-GB"/>
        </w:rPr>
        <w:t>country of residence or not</w:t>
      </w:r>
      <w:r w:rsidR="000113CB" w:rsidRPr="002353FE">
        <w:rPr>
          <w:rFonts w:ascii="Verdana" w:hAnsi="Verdana" w:cs="Tahoma"/>
          <w:sz w:val="24"/>
          <w:szCs w:val="24"/>
          <w:lang w:val="en-GB"/>
        </w:rPr>
        <w:t>. G</w:t>
      </w:r>
      <w:r w:rsidR="00DE1A2C" w:rsidRPr="002353FE">
        <w:rPr>
          <w:rFonts w:ascii="Verdana" w:hAnsi="Verdana" w:cs="Tahoma"/>
          <w:sz w:val="24"/>
          <w:szCs w:val="24"/>
          <w:lang w:val="en-GB"/>
        </w:rPr>
        <w:t>ender differentiat</w:t>
      </w:r>
      <w:r w:rsidR="000113CB" w:rsidRPr="002353FE">
        <w:rPr>
          <w:rFonts w:ascii="Verdana" w:hAnsi="Verdana" w:cs="Tahoma"/>
          <w:sz w:val="24"/>
          <w:szCs w:val="24"/>
          <w:lang w:val="en-GB"/>
        </w:rPr>
        <w:t>e</w:t>
      </w:r>
      <w:r w:rsidR="00E03A7D" w:rsidRPr="002353FE">
        <w:rPr>
          <w:rFonts w:ascii="Verdana" w:hAnsi="Verdana" w:cs="Tahoma"/>
          <w:sz w:val="24"/>
          <w:szCs w:val="24"/>
          <w:lang w:val="en-GB"/>
        </w:rPr>
        <w:t>s</w:t>
      </w:r>
      <w:r w:rsidR="00DE5032" w:rsidRPr="002353FE">
        <w:rPr>
          <w:rFonts w:ascii="Verdana" w:hAnsi="Verdana" w:cs="Tahoma"/>
          <w:sz w:val="24"/>
          <w:szCs w:val="24"/>
          <w:lang w:val="en-GB"/>
        </w:rPr>
        <w:t xml:space="preserve"> men</w:t>
      </w:r>
      <w:r w:rsidR="00DE1A2C" w:rsidRPr="002353FE">
        <w:rPr>
          <w:rFonts w:ascii="Verdana" w:hAnsi="Verdana" w:cs="Tahoma"/>
          <w:sz w:val="24"/>
          <w:szCs w:val="24"/>
          <w:lang w:val="en-GB"/>
        </w:rPr>
        <w:t xml:space="preserve"> </w:t>
      </w:r>
      <w:r w:rsidR="00DE5032" w:rsidRPr="002353FE">
        <w:rPr>
          <w:rFonts w:ascii="Verdana" w:hAnsi="Verdana" w:cs="Tahoma"/>
          <w:sz w:val="24"/>
          <w:szCs w:val="24"/>
          <w:lang w:val="en-GB"/>
        </w:rPr>
        <w:t>and wome</w:t>
      </w:r>
      <w:r w:rsidR="00DE1A2C" w:rsidRPr="002353FE">
        <w:rPr>
          <w:rFonts w:ascii="Verdana" w:hAnsi="Verdana" w:cs="Tahoma"/>
          <w:sz w:val="24"/>
          <w:szCs w:val="24"/>
          <w:lang w:val="en-GB"/>
        </w:rPr>
        <w:t>n</w:t>
      </w:r>
      <w:r w:rsidR="002F3C27" w:rsidRPr="002353FE">
        <w:rPr>
          <w:rFonts w:ascii="Verdana" w:hAnsi="Verdana" w:cs="Tahoma"/>
          <w:sz w:val="24"/>
          <w:szCs w:val="24"/>
          <w:lang w:val="en-GB"/>
        </w:rPr>
        <w:t>. C</w:t>
      </w:r>
      <w:r w:rsidR="00DE1A2C" w:rsidRPr="002353FE">
        <w:rPr>
          <w:rFonts w:ascii="Verdana" w:hAnsi="Verdana" w:cs="Tahoma"/>
          <w:sz w:val="24"/>
          <w:szCs w:val="24"/>
          <w:lang w:val="en-GB"/>
        </w:rPr>
        <w:t xml:space="preserve">urrent employment </w:t>
      </w:r>
      <w:r w:rsidR="002B018A" w:rsidRPr="002353FE">
        <w:rPr>
          <w:rFonts w:ascii="Verdana" w:hAnsi="Verdana" w:cs="Tahoma"/>
          <w:sz w:val="24"/>
          <w:szCs w:val="24"/>
          <w:lang w:val="en-GB"/>
        </w:rPr>
        <w:t>status</w:t>
      </w:r>
      <w:r w:rsidR="00DE1A2C" w:rsidRPr="002353FE">
        <w:rPr>
          <w:rFonts w:ascii="Verdana" w:hAnsi="Verdana" w:cs="Tahoma"/>
          <w:sz w:val="24"/>
          <w:szCs w:val="24"/>
          <w:lang w:val="en-GB"/>
        </w:rPr>
        <w:t xml:space="preserve"> </w:t>
      </w:r>
      <w:r w:rsidR="00DE3C4C" w:rsidRPr="002353FE">
        <w:rPr>
          <w:rFonts w:ascii="Verdana" w:hAnsi="Verdana" w:cs="Tahoma"/>
          <w:sz w:val="24"/>
          <w:szCs w:val="24"/>
          <w:lang w:val="en-GB"/>
        </w:rPr>
        <w:t>distinguishes</w:t>
      </w:r>
      <w:r w:rsidR="00DE1A2C" w:rsidRPr="002353FE">
        <w:rPr>
          <w:rFonts w:ascii="Verdana" w:hAnsi="Verdana" w:cs="Tahoma"/>
          <w:sz w:val="24"/>
          <w:szCs w:val="24"/>
          <w:lang w:val="en-GB"/>
        </w:rPr>
        <w:t xml:space="preserve"> respondent</w:t>
      </w:r>
      <w:r w:rsidR="000113CB" w:rsidRPr="002353FE">
        <w:rPr>
          <w:rFonts w:ascii="Verdana" w:hAnsi="Verdana" w:cs="Tahoma"/>
          <w:sz w:val="24"/>
          <w:szCs w:val="24"/>
          <w:lang w:val="en-GB"/>
        </w:rPr>
        <w:t xml:space="preserve">s who are </w:t>
      </w:r>
      <w:r w:rsidR="00DE1A2C" w:rsidRPr="002353FE">
        <w:rPr>
          <w:rFonts w:ascii="Verdana" w:hAnsi="Verdana" w:cs="Tahoma"/>
          <w:sz w:val="24"/>
          <w:szCs w:val="24"/>
          <w:lang w:val="en-GB"/>
        </w:rPr>
        <w:t xml:space="preserve">self-employed or </w:t>
      </w:r>
      <w:r w:rsidR="000113CB" w:rsidRPr="002353FE">
        <w:rPr>
          <w:rFonts w:ascii="Verdana" w:hAnsi="Verdana" w:cs="Tahoma"/>
          <w:sz w:val="24"/>
          <w:szCs w:val="24"/>
          <w:lang w:val="en-GB"/>
        </w:rPr>
        <w:t xml:space="preserve">in </w:t>
      </w:r>
      <w:r w:rsidR="00DE1A2C" w:rsidRPr="002353FE">
        <w:rPr>
          <w:rFonts w:ascii="Verdana" w:hAnsi="Verdana" w:cs="Tahoma"/>
          <w:sz w:val="24"/>
          <w:szCs w:val="24"/>
          <w:lang w:val="en-GB"/>
        </w:rPr>
        <w:t>paid work, versus those not employed</w:t>
      </w:r>
      <w:r w:rsidR="000113CB" w:rsidRPr="002353FE">
        <w:rPr>
          <w:rFonts w:ascii="Verdana" w:hAnsi="Verdana" w:cs="Tahoma"/>
          <w:sz w:val="24"/>
          <w:szCs w:val="24"/>
          <w:lang w:val="en-GB"/>
        </w:rPr>
        <w:t>. O</w:t>
      </w:r>
      <w:r w:rsidR="00DE1A2C" w:rsidRPr="002353FE">
        <w:rPr>
          <w:rFonts w:ascii="Verdana" w:hAnsi="Verdana" w:cs="Tahoma"/>
          <w:sz w:val="24"/>
          <w:szCs w:val="24"/>
          <w:lang w:val="en-GB"/>
        </w:rPr>
        <w:t xml:space="preserve">ccupation </w:t>
      </w:r>
      <w:r w:rsidR="00361915" w:rsidRPr="002353FE">
        <w:rPr>
          <w:rFonts w:ascii="Verdana" w:hAnsi="Verdana" w:cs="Tahoma"/>
          <w:sz w:val="24"/>
          <w:szCs w:val="24"/>
          <w:lang w:val="en-GB"/>
        </w:rPr>
        <w:t>describes</w:t>
      </w:r>
      <w:r w:rsidR="00FD338C" w:rsidRPr="002353FE">
        <w:rPr>
          <w:rFonts w:ascii="Verdana" w:hAnsi="Verdana" w:cs="Tahoma"/>
          <w:sz w:val="24"/>
          <w:szCs w:val="24"/>
          <w:lang w:val="en-GB"/>
        </w:rPr>
        <w:t xml:space="preserve"> </w:t>
      </w:r>
      <w:r w:rsidR="000113CB" w:rsidRPr="002353FE">
        <w:rPr>
          <w:rFonts w:ascii="Verdana" w:hAnsi="Verdana" w:cs="Tahoma"/>
          <w:sz w:val="24"/>
          <w:szCs w:val="24"/>
          <w:lang w:val="en-GB"/>
        </w:rPr>
        <w:t>respondent</w:t>
      </w:r>
      <w:r w:rsidR="00634E4A" w:rsidRPr="002353FE">
        <w:rPr>
          <w:rFonts w:ascii="Verdana" w:hAnsi="Verdana" w:cs="Tahoma"/>
          <w:sz w:val="24"/>
          <w:szCs w:val="24"/>
          <w:lang w:val="en-GB"/>
        </w:rPr>
        <w:t>s</w:t>
      </w:r>
      <w:r w:rsidR="000113CB" w:rsidRPr="002353FE">
        <w:rPr>
          <w:rFonts w:ascii="Verdana" w:hAnsi="Verdana" w:cs="Tahoma"/>
          <w:sz w:val="24"/>
          <w:szCs w:val="24"/>
          <w:lang w:val="en-GB"/>
        </w:rPr>
        <w:t xml:space="preserve"> </w:t>
      </w:r>
      <w:r w:rsidR="00AB707E" w:rsidRPr="002353FE">
        <w:rPr>
          <w:rFonts w:ascii="Verdana" w:hAnsi="Verdana" w:cs="Tahoma"/>
          <w:sz w:val="24"/>
          <w:szCs w:val="24"/>
          <w:lang w:val="en-GB"/>
        </w:rPr>
        <w:t xml:space="preserve">who </w:t>
      </w:r>
      <w:r w:rsidR="00602B62" w:rsidRPr="002353FE">
        <w:rPr>
          <w:rFonts w:ascii="Verdana" w:hAnsi="Verdana" w:cs="Tahoma"/>
          <w:sz w:val="24"/>
          <w:szCs w:val="24"/>
          <w:lang w:val="en-GB"/>
        </w:rPr>
        <w:t>work</w:t>
      </w:r>
      <w:r w:rsidR="000113CB" w:rsidRPr="002353FE">
        <w:rPr>
          <w:rFonts w:ascii="Verdana" w:hAnsi="Verdana" w:cs="Tahoma"/>
          <w:sz w:val="24"/>
          <w:szCs w:val="24"/>
          <w:lang w:val="en-GB"/>
        </w:rPr>
        <w:t xml:space="preserve"> as </w:t>
      </w:r>
      <w:r w:rsidR="00DE1A2C" w:rsidRPr="002353FE">
        <w:rPr>
          <w:rFonts w:ascii="Verdana" w:hAnsi="Verdana" w:cs="Tahoma"/>
          <w:sz w:val="24"/>
          <w:szCs w:val="24"/>
          <w:lang w:val="en-GB"/>
        </w:rPr>
        <w:t>managers</w:t>
      </w:r>
      <w:r w:rsidR="000113CB" w:rsidRPr="002353FE">
        <w:rPr>
          <w:rFonts w:ascii="Verdana" w:hAnsi="Verdana" w:cs="Tahoma"/>
          <w:sz w:val="24"/>
          <w:szCs w:val="24"/>
          <w:lang w:val="en-GB"/>
        </w:rPr>
        <w:t xml:space="preserve">, </w:t>
      </w:r>
      <w:r w:rsidR="00DE1A2C" w:rsidRPr="002353FE">
        <w:rPr>
          <w:rFonts w:ascii="Verdana" w:hAnsi="Verdana" w:cs="Tahoma"/>
          <w:sz w:val="24"/>
          <w:szCs w:val="24"/>
          <w:lang w:val="en-GB"/>
        </w:rPr>
        <w:t>other white</w:t>
      </w:r>
      <w:r w:rsidR="00791918" w:rsidRPr="002353FE">
        <w:rPr>
          <w:rFonts w:ascii="Verdana" w:hAnsi="Verdana" w:cs="Tahoma"/>
          <w:sz w:val="24"/>
          <w:szCs w:val="24"/>
          <w:lang w:val="en-GB"/>
        </w:rPr>
        <w:t>-</w:t>
      </w:r>
      <w:r w:rsidR="00DE1A2C" w:rsidRPr="002353FE">
        <w:rPr>
          <w:rFonts w:ascii="Verdana" w:hAnsi="Verdana" w:cs="Tahoma"/>
          <w:sz w:val="24"/>
          <w:szCs w:val="24"/>
          <w:lang w:val="en-GB"/>
        </w:rPr>
        <w:t>collar workers</w:t>
      </w:r>
      <w:r w:rsidR="00634E4A" w:rsidRPr="002353FE">
        <w:rPr>
          <w:rFonts w:ascii="Verdana" w:hAnsi="Verdana" w:cs="Tahoma"/>
          <w:sz w:val="24"/>
          <w:szCs w:val="24"/>
          <w:lang w:val="en-GB"/>
        </w:rPr>
        <w:t>,</w:t>
      </w:r>
      <w:r w:rsidR="00141A98" w:rsidRPr="002353FE">
        <w:rPr>
          <w:rFonts w:ascii="Verdana" w:hAnsi="Verdana" w:cs="Tahoma"/>
          <w:sz w:val="24"/>
          <w:szCs w:val="24"/>
          <w:lang w:val="en-GB"/>
        </w:rPr>
        <w:t xml:space="preserve"> </w:t>
      </w:r>
      <w:r w:rsidR="00DE1A2C" w:rsidRPr="002353FE">
        <w:rPr>
          <w:rFonts w:ascii="Verdana" w:hAnsi="Verdana" w:cs="Tahoma"/>
          <w:sz w:val="24"/>
          <w:szCs w:val="24"/>
          <w:lang w:val="en-GB"/>
        </w:rPr>
        <w:t>manual workers</w:t>
      </w:r>
      <w:r w:rsidR="00AB707E" w:rsidRPr="002353FE">
        <w:rPr>
          <w:rFonts w:ascii="Verdana" w:hAnsi="Verdana" w:cs="Tahoma"/>
          <w:sz w:val="24"/>
          <w:szCs w:val="24"/>
          <w:lang w:val="en-GB"/>
        </w:rPr>
        <w:t>,</w:t>
      </w:r>
      <w:r w:rsidR="00DE1A2C" w:rsidRPr="002353FE">
        <w:rPr>
          <w:rFonts w:ascii="Verdana" w:hAnsi="Verdana" w:cs="Tahoma"/>
          <w:sz w:val="24"/>
          <w:szCs w:val="24"/>
          <w:lang w:val="en-GB"/>
        </w:rPr>
        <w:t xml:space="preserve"> </w:t>
      </w:r>
      <w:r w:rsidR="00634E4A" w:rsidRPr="002353FE">
        <w:rPr>
          <w:rFonts w:ascii="Verdana" w:hAnsi="Verdana" w:cs="Tahoma"/>
          <w:sz w:val="24"/>
          <w:szCs w:val="24"/>
          <w:lang w:val="en-GB"/>
        </w:rPr>
        <w:t xml:space="preserve">and </w:t>
      </w:r>
      <w:r w:rsidR="000113CB" w:rsidRPr="002353FE">
        <w:rPr>
          <w:rFonts w:ascii="Verdana" w:hAnsi="Verdana" w:cs="Tahoma"/>
          <w:sz w:val="24"/>
          <w:szCs w:val="24"/>
          <w:lang w:val="en-GB"/>
        </w:rPr>
        <w:t>other</w:t>
      </w:r>
      <w:r w:rsidR="00634E4A" w:rsidRPr="002353FE">
        <w:rPr>
          <w:rFonts w:ascii="Verdana" w:hAnsi="Verdana" w:cs="Tahoma"/>
          <w:sz w:val="24"/>
          <w:szCs w:val="24"/>
          <w:lang w:val="en-GB"/>
        </w:rPr>
        <w:t xml:space="preserve"> occupations</w:t>
      </w:r>
      <w:r w:rsidR="000113CB" w:rsidRPr="002353FE">
        <w:rPr>
          <w:rFonts w:ascii="Verdana" w:hAnsi="Verdana" w:cs="Tahoma"/>
          <w:sz w:val="24"/>
          <w:szCs w:val="24"/>
          <w:lang w:val="en-GB"/>
        </w:rPr>
        <w:t xml:space="preserve">. </w:t>
      </w:r>
      <w:r w:rsidR="00DC551D" w:rsidRPr="002353FE">
        <w:rPr>
          <w:rFonts w:ascii="Verdana" w:hAnsi="Verdana" w:cs="Tahoma"/>
          <w:sz w:val="24"/>
          <w:szCs w:val="24"/>
          <w:lang w:val="en-GB"/>
        </w:rPr>
        <w:t>M</w:t>
      </w:r>
      <w:r w:rsidR="00F46EBF" w:rsidRPr="002353FE">
        <w:rPr>
          <w:rFonts w:ascii="Verdana" w:hAnsi="Verdana" w:cs="Tahoma"/>
          <w:sz w:val="24"/>
          <w:szCs w:val="24"/>
          <w:lang w:val="en-GB"/>
        </w:rPr>
        <w:t xml:space="preserve">arital </w:t>
      </w:r>
      <w:r w:rsidR="002B018A" w:rsidRPr="002353FE">
        <w:rPr>
          <w:rFonts w:ascii="Verdana" w:hAnsi="Verdana" w:cs="Tahoma"/>
          <w:sz w:val="24"/>
          <w:szCs w:val="24"/>
          <w:lang w:val="en-GB"/>
        </w:rPr>
        <w:t>status</w:t>
      </w:r>
      <w:r w:rsidR="00F46EBF" w:rsidRPr="002353FE">
        <w:rPr>
          <w:rFonts w:ascii="Verdana" w:hAnsi="Verdana" w:cs="Tahoma"/>
          <w:sz w:val="24"/>
          <w:szCs w:val="24"/>
          <w:lang w:val="en-GB"/>
        </w:rPr>
        <w:t xml:space="preserve"> </w:t>
      </w:r>
      <w:r w:rsidR="00361915" w:rsidRPr="002353FE">
        <w:rPr>
          <w:rFonts w:ascii="Verdana" w:hAnsi="Verdana" w:cs="Tahoma"/>
          <w:sz w:val="24"/>
          <w:szCs w:val="24"/>
          <w:lang w:val="en-GB"/>
        </w:rPr>
        <w:t>records</w:t>
      </w:r>
      <w:r w:rsidR="00F46EBF" w:rsidRPr="002353FE">
        <w:rPr>
          <w:rFonts w:ascii="Verdana" w:hAnsi="Verdana" w:cs="Tahoma"/>
          <w:sz w:val="24"/>
          <w:szCs w:val="24"/>
          <w:lang w:val="en-GB"/>
        </w:rPr>
        <w:t xml:space="preserve"> </w:t>
      </w:r>
      <w:r w:rsidR="00634E4A" w:rsidRPr="002353FE">
        <w:rPr>
          <w:rFonts w:ascii="Verdana" w:hAnsi="Verdana" w:cs="Tahoma"/>
          <w:sz w:val="24"/>
          <w:szCs w:val="24"/>
          <w:lang w:val="en-GB"/>
        </w:rPr>
        <w:t xml:space="preserve">respondents </w:t>
      </w:r>
      <w:r w:rsidR="00F46EBF" w:rsidRPr="002353FE">
        <w:rPr>
          <w:rFonts w:ascii="Verdana" w:hAnsi="Verdana" w:cs="Tahoma"/>
          <w:sz w:val="24"/>
          <w:szCs w:val="24"/>
          <w:lang w:val="en-GB"/>
        </w:rPr>
        <w:t xml:space="preserve">who </w:t>
      </w:r>
      <w:r w:rsidR="00807912" w:rsidRPr="002353FE">
        <w:rPr>
          <w:rFonts w:ascii="Verdana" w:hAnsi="Verdana" w:cs="Tahoma"/>
          <w:sz w:val="24"/>
          <w:szCs w:val="24"/>
          <w:lang w:val="en-GB"/>
        </w:rPr>
        <w:t xml:space="preserve">are </w:t>
      </w:r>
      <w:r w:rsidR="00F46EBF" w:rsidRPr="002353FE">
        <w:rPr>
          <w:rFonts w:ascii="Verdana" w:hAnsi="Verdana" w:cs="Tahoma"/>
          <w:sz w:val="24"/>
          <w:szCs w:val="24"/>
          <w:lang w:val="en-GB"/>
        </w:rPr>
        <w:t>single, divorced</w:t>
      </w:r>
      <w:r w:rsidR="00ED020C" w:rsidRPr="002353FE">
        <w:rPr>
          <w:rFonts w:ascii="Verdana" w:hAnsi="Verdana" w:cs="Tahoma"/>
          <w:sz w:val="24"/>
          <w:szCs w:val="24"/>
          <w:lang w:val="en-GB"/>
        </w:rPr>
        <w:t xml:space="preserve"> or</w:t>
      </w:r>
      <w:r w:rsidR="00141A98" w:rsidRPr="002353FE">
        <w:rPr>
          <w:rFonts w:ascii="Verdana" w:hAnsi="Verdana" w:cs="Tahoma"/>
          <w:sz w:val="24"/>
          <w:szCs w:val="24"/>
          <w:lang w:val="en-GB"/>
        </w:rPr>
        <w:t xml:space="preserve"> </w:t>
      </w:r>
      <w:r w:rsidR="00F46EBF" w:rsidRPr="002353FE">
        <w:rPr>
          <w:rFonts w:ascii="Verdana" w:hAnsi="Verdana" w:cs="Tahoma"/>
          <w:sz w:val="24"/>
          <w:szCs w:val="24"/>
          <w:lang w:val="en-GB"/>
        </w:rPr>
        <w:t>widowed</w:t>
      </w:r>
      <w:r w:rsidR="00ED020C" w:rsidRPr="002353FE">
        <w:rPr>
          <w:rFonts w:ascii="Verdana" w:hAnsi="Verdana" w:cs="Tahoma"/>
          <w:sz w:val="24"/>
          <w:szCs w:val="24"/>
          <w:lang w:val="en-GB"/>
        </w:rPr>
        <w:t xml:space="preserve"> versus those</w:t>
      </w:r>
      <w:r w:rsidR="00F46EBF" w:rsidRPr="002353FE">
        <w:rPr>
          <w:rFonts w:ascii="Verdana" w:hAnsi="Verdana" w:cs="Tahoma"/>
          <w:sz w:val="24"/>
          <w:szCs w:val="24"/>
          <w:lang w:val="en-GB"/>
        </w:rPr>
        <w:t xml:space="preserve"> </w:t>
      </w:r>
      <w:r w:rsidR="00941A22" w:rsidRPr="002353FE">
        <w:rPr>
          <w:rFonts w:ascii="Verdana" w:hAnsi="Verdana" w:cs="Tahoma"/>
          <w:sz w:val="24"/>
          <w:szCs w:val="24"/>
          <w:lang w:val="en-GB"/>
        </w:rPr>
        <w:t>married</w:t>
      </w:r>
      <w:r w:rsidR="00ED020C" w:rsidRPr="002353FE">
        <w:rPr>
          <w:rFonts w:ascii="Verdana" w:hAnsi="Verdana" w:cs="Tahoma"/>
          <w:sz w:val="24"/>
          <w:szCs w:val="24"/>
          <w:lang w:val="en-GB"/>
        </w:rPr>
        <w:t xml:space="preserve"> or</w:t>
      </w:r>
      <w:r w:rsidR="00941A22" w:rsidRPr="002353FE">
        <w:rPr>
          <w:rFonts w:ascii="Verdana" w:hAnsi="Verdana" w:cs="Tahoma"/>
          <w:sz w:val="24"/>
          <w:szCs w:val="24"/>
          <w:lang w:val="en-GB"/>
        </w:rPr>
        <w:t xml:space="preserve"> cohabiting</w:t>
      </w:r>
      <w:r w:rsidR="00DC551D" w:rsidRPr="002353FE">
        <w:rPr>
          <w:rFonts w:ascii="Verdana" w:hAnsi="Verdana" w:cs="Tahoma"/>
          <w:sz w:val="24"/>
          <w:szCs w:val="24"/>
          <w:lang w:val="en-GB"/>
        </w:rPr>
        <w:t>. H</w:t>
      </w:r>
      <w:r w:rsidR="00F46EBF" w:rsidRPr="002353FE">
        <w:rPr>
          <w:rFonts w:ascii="Verdana" w:hAnsi="Verdana" w:cs="Tahoma"/>
          <w:sz w:val="24"/>
          <w:szCs w:val="24"/>
          <w:lang w:val="en-GB"/>
        </w:rPr>
        <w:t>ousehold size</w:t>
      </w:r>
      <w:r w:rsidR="00DC551D" w:rsidRPr="002353FE">
        <w:rPr>
          <w:rFonts w:ascii="Verdana" w:hAnsi="Verdana" w:cs="Tahoma"/>
          <w:sz w:val="24"/>
          <w:szCs w:val="24"/>
          <w:lang w:val="en-GB"/>
        </w:rPr>
        <w:t xml:space="preserve"> </w:t>
      </w:r>
      <w:r w:rsidR="00DC551D" w:rsidRPr="002353FE">
        <w:rPr>
          <w:rFonts w:ascii="Verdana" w:hAnsi="Verdana" w:cs="Tahoma"/>
          <w:sz w:val="24"/>
          <w:szCs w:val="24"/>
          <w:lang w:val="en-GB"/>
        </w:rPr>
        <w:lastRenderedPageBreak/>
        <w:t xml:space="preserve">quantifies </w:t>
      </w:r>
      <w:r w:rsidR="00F46EBF" w:rsidRPr="002353FE">
        <w:rPr>
          <w:rFonts w:ascii="Verdana" w:hAnsi="Verdana" w:cs="Tahoma"/>
          <w:sz w:val="24"/>
          <w:szCs w:val="24"/>
          <w:lang w:val="en-GB"/>
        </w:rPr>
        <w:t>the number of household</w:t>
      </w:r>
      <w:r w:rsidR="00634E4A" w:rsidRPr="002353FE">
        <w:rPr>
          <w:rFonts w:ascii="Verdana" w:hAnsi="Verdana" w:cs="Tahoma"/>
          <w:sz w:val="24"/>
          <w:szCs w:val="24"/>
          <w:lang w:val="en-GB"/>
        </w:rPr>
        <w:t xml:space="preserve"> members</w:t>
      </w:r>
      <w:r w:rsidR="00E3021C" w:rsidRPr="002353FE">
        <w:rPr>
          <w:rFonts w:ascii="Verdana" w:hAnsi="Verdana" w:cs="Tahoma"/>
          <w:sz w:val="24"/>
          <w:szCs w:val="24"/>
          <w:lang w:val="en-GB"/>
        </w:rPr>
        <w:t xml:space="preserve">; </w:t>
      </w:r>
      <w:r w:rsidR="00F46EBF" w:rsidRPr="002353FE">
        <w:rPr>
          <w:rFonts w:ascii="Verdana" w:hAnsi="Verdana" w:cs="Tahoma"/>
          <w:sz w:val="24"/>
          <w:szCs w:val="24"/>
          <w:lang w:val="en-GB"/>
        </w:rPr>
        <w:t xml:space="preserve">this variable </w:t>
      </w:r>
      <w:r w:rsidR="00E3021C" w:rsidRPr="002353FE">
        <w:rPr>
          <w:rFonts w:ascii="Verdana" w:hAnsi="Verdana" w:cs="Tahoma"/>
          <w:sz w:val="24"/>
          <w:szCs w:val="24"/>
          <w:lang w:val="en-GB"/>
        </w:rPr>
        <w:t xml:space="preserve">is </w:t>
      </w:r>
      <w:r w:rsidR="002B018A" w:rsidRPr="002353FE">
        <w:rPr>
          <w:rFonts w:ascii="Verdana" w:hAnsi="Verdana" w:cs="Tahoma"/>
          <w:sz w:val="24"/>
          <w:szCs w:val="24"/>
          <w:lang w:val="en-GB"/>
        </w:rPr>
        <w:t xml:space="preserve">also </w:t>
      </w:r>
      <w:r w:rsidR="00E3021C" w:rsidRPr="002353FE">
        <w:rPr>
          <w:rFonts w:ascii="Verdana" w:hAnsi="Verdana" w:cs="Tahoma"/>
          <w:sz w:val="24"/>
          <w:szCs w:val="24"/>
          <w:lang w:val="en-GB"/>
        </w:rPr>
        <w:t xml:space="preserve">considered in a </w:t>
      </w:r>
      <w:r w:rsidR="00F46EBF" w:rsidRPr="002353FE">
        <w:rPr>
          <w:rFonts w:ascii="Verdana" w:hAnsi="Verdana" w:cs="Tahoma"/>
          <w:sz w:val="24"/>
          <w:szCs w:val="24"/>
          <w:lang w:val="en-GB"/>
        </w:rPr>
        <w:t xml:space="preserve">squared </w:t>
      </w:r>
      <w:r w:rsidR="00E3021C" w:rsidRPr="002353FE">
        <w:rPr>
          <w:rFonts w:ascii="Verdana" w:hAnsi="Verdana" w:cs="Tahoma"/>
          <w:sz w:val="24"/>
          <w:szCs w:val="24"/>
          <w:lang w:val="en-GB"/>
        </w:rPr>
        <w:t>format. H</w:t>
      </w:r>
      <w:r w:rsidR="00F46EBF" w:rsidRPr="002353FE">
        <w:rPr>
          <w:rFonts w:ascii="Verdana" w:hAnsi="Verdana" w:cs="Tahoma"/>
          <w:sz w:val="24"/>
          <w:szCs w:val="24"/>
          <w:lang w:val="en-GB"/>
        </w:rPr>
        <w:t xml:space="preserve">ouse ownership </w:t>
      </w:r>
      <w:r w:rsidR="00DE3C4C" w:rsidRPr="002353FE">
        <w:rPr>
          <w:rFonts w:ascii="Verdana" w:hAnsi="Verdana" w:cs="Tahoma"/>
          <w:sz w:val="24"/>
          <w:szCs w:val="24"/>
          <w:lang w:val="en-GB"/>
        </w:rPr>
        <w:t>distinguishes</w:t>
      </w:r>
      <w:r w:rsidR="00F46EBF" w:rsidRPr="002353FE">
        <w:rPr>
          <w:rFonts w:ascii="Verdana" w:hAnsi="Verdana" w:cs="Tahoma"/>
          <w:sz w:val="24"/>
          <w:szCs w:val="24"/>
          <w:lang w:val="en-GB"/>
        </w:rPr>
        <w:t xml:space="preserve"> between those who own their house, those who hold a mortgage and </w:t>
      </w:r>
      <w:r w:rsidR="00E3021C" w:rsidRPr="002353FE">
        <w:rPr>
          <w:rFonts w:ascii="Verdana" w:hAnsi="Verdana" w:cs="Tahoma"/>
          <w:sz w:val="24"/>
          <w:szCs w:val="24"/>
          <w:lang w:val="en-GB"/>
        </w:rPr>
        <w:t xml:space="preserve">other </w:t>
      </w:r>
      <w:r w:rsidR="00F46EBF" w:rsidRPr="002353FE">
        <w:rPr>
          <w:rFonts w:ascii="Verdana" w:hAnsi="Verdana" w:cs="Tahoma"/>
          <w:sz w:val="24"/>
          <w:szCs w:val="24"/>
          <w:lang w:val="en-GB"/>
        </w:rPr>
        <w:t>res</w:t>
      </w:r>
      <w:r w:rsidR="00E3021C" w:rsidRPr="002353FE">
        <w:rPr>
          <w:rFonts w:ascii="Verdana" w:hAnsi="Verdana" w:cs="Tahoma"/>
          <w:sz w:val="24"/>
          <w:szCs w:val="24"/>
          <w:lang w:val="en-GB"/>
        </w:rPr>
        <w:t>pondents</w:t>
      </w:r>
      <w:r w:rsidR="00F46EBF" w:rsidRPr="002353FE">
        <w:rPr>
          <w:rFonts w:ascii="Verdana" w:hAnsi="Verdana" w:cs="Tahoma"/>
          <w:sz w:val="24"/>
          <w:szCs w:val="24"/>
          <w:lang w:val="en-GB"/>
        </w:rPr>
        <w:t>.</w:t>
      </w:r>
    </w:p>
    <w:p w14:paraId="6764AD24" w14:textId="2A255039" w:rsidR="007B573D" w:rsidRPr="002353FE" w:rsidRDefault="00E27101">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To test whether geographical factors affect customers’ switching decisions, w</w:t>
      </w:r>
      <w:r w:rsidR="00CC1148" w:rsidRPr="002353FE">
        <w:rPr>
          <w:rFonts w:ascii="Verdana" w:hAnsi="Verdana" w:cs="Tahoma"/>
          <w:sz w:val="24"/>
          <w:szCs w:val="24"/>
          <w:lang w:val="en-GB"/>
        </w:rPr>
        <w:t xml:space="preserve">e include </w:t>
      </w:r>
      <w:r w:rsidRPr="002353FE">
        <w:rPr>
          <w:rFonts w:ascii="Verdana" w:hAnsi="Verdana" w:cs="Tahoma"/>
          <w:sz w:val="24"/>
          <w:szCs w:val="24"/>
          <w:lang w:val="en-GB"/>
        </w:rPr>
        <w:t xml:space="preserve">the characteristics of the place </w:t>
      </w:r>
      <w:r w:rsidR="00191E88" w:rsidRPr="002353FE">
        <w:rPr>
          <w:rFonts w:ascii="Verdana" w:hAnsi="Verdana" w:cs="Tahoma"/>
          <w:sz w:val="24"/>
          <w:szCs w:val="24"/>
          <w:lang w:val="en-GB"/>
        </w:rPr>
        <w:t xml:space="preserve">of residence as </w:t>
      </w:r>
      <w:r w:rsidR="00CC1148" w:rsidRPr="002353FE">
        <w:rPr>
          <w:rFonts w:ascii="Verdana" w:hAnsi="Verdana" w:cs="Tahoma"/>
          <w:sz w:val="24"/>
          <w:szCs w:val="24"/>
          <w:lang w:val="en-GB"/>
        </w:rPr>
        <w:t>independent variables</w:t>
      </w:r>
      <w:r w:rsidR="00454DC9" w:rsidRPr="002353FE">
        <w:rPr>
          <w:rFonts w:ascii="Verdana" w:hAnsi="Verdana" w:cs="Tahoma"/>
          <w:sz w:val="24"/>
          <w:szCs w:val="24"/>
          <w:lang w:val="en-GB"/>
        </w:rPr>
        <w:t xml:space="preserve">. </w:t>
      </w:r>
      <w:r w:rsidR="007B573D" w:rsidRPr="002353FE">
        <w:rPr>
          <w:rFonts w:ascii="Verdana" w:hAnsi="Verdana" w:cs="Tahoma"/>
          <w:sz w:val="24"/>
          <w:szCs w:val="24"/>
          <w:lang w:val="en-GB"/>
        </w:rPr>
        <w:t xml:space="preserve">We focus on residents in rural areas, regions with lower population density or regions with lower </w:t>
      </w:r>
      <w:r w:rsidR="00ED020C" w:rsidRPr="002353FE">
        <w:rPr>
          <w:rFonts w:ascii="Verdana" w:hAnsi="Verdana" w:cs="Tahoma"/>
          <w:sz w:val="24"/>
          <w:szCs w:val="24"/>
          <w:lang w:val="en-GB"/>
        </w:rPr>
        <w:t>GDP per capita</w:t>
      </w:r>
      <w:r w:rsidR="007B573D" w:rsidRPr="002353FE">
        <w:rPr>
          <w:rFonts w:ascii="Verdana" w:hAnsi="Verdana" w:cs="Tahoma"/>
          <w:sz w:val="24"/>
          <w:szCs w:val="24"/>
          <w:lang w:val="en-GB"/>
        </w:rPr>
        <w:t xml:space="preserve"> as </w:t>
      </w:r>
      <w:r w:rsidR="00E31D20" w:rsidRPr="002353FE">
        <w:rPr>
          <w:rFonts w:ascii="Verdana" w:hAnsi="Verdana" w:cs="Tahoma"/>
          <w:sz w:val="24"/>
          <w:szCs w:val="24"/>
          <w:lang w:val="en-GB"/>
        </w:rPr>
        <w:t xml:space="preserve">indicators </w:t>
      </w:r>
      <w:r w:rsidR="007B573D" w:rsidRPr="002353FE">
        <w:rPr>
          <w:rFonts w:ascii="Verdana" w:hAnsi="Verdana" w:cs="Tahoma"/>
          <w:sz w:val="24"/>
          <w:szCs w:val="24"/>
          <w:lang w:val="en-GB"/>
        </w:rPr>
        <w:t xml:space="preserve">of customer vulnerability. </w:t>
      </w:r>
    </w:p>
    <w:p w14:paraId="4C95ED24" w14:textId="69EF0017" w:rsidR="008F5B5F" w:rsidRPr="002353FE" w:rsidRDefault="00AA1E78" w:rsidP="0033405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T</w:t>
      </w:r>
      <w:r w:rsidR="00E3021C" w:rsidRPr="002353FE">
        <w:rPr>
          <w:rFonts w:ascii="Verdana" w:hAnsi="Verdana" w:cs="Tahoma"/>
          <w:sz w:val="24"/>
          <w:szCs w:val="24"/>
          <w:lang w:val="en-GB"/>
        </w:rPr>
        <w:t xml:space="preserve">he concentration of population in </w:t>
      </w:r>
      <w:r w:rsidRPr="002353FE">
        <w:rPr>
          <w:rFonts w:ascii="Verdana" w:hAnsi="Verdana" w:cs="Tahoma"/>
          <w:sz w:val="24"/>
          <w:szCs w:val="24"/>
          <w:lang w:val="en-GB"/>
        </w:rPr>
        <w:t xml:space="preserve">an </w:t>
      </w:r>
      <w:r w:rsidR="00E3021C" w:rsidRPr="002353FE">
        <w:rPr>
          <w:rFonts w:ascii="Verdana" w:hAnsi="Verdana" w:cs="Tahoma"/>
          <w:sz w:val="24"/>
          <w:szCs w:val="24"/>
          <w:lang w:val="en-GB"/>
        </w:rPr>
        <w:t>area of residence</w:t>
      </w:r>
      <w:r w:rsidR="00CC1148" w:rsidRPr="002353FE">
        <w:rPr>
          <w:rFonts w:ascii="Verdana" w:hAnsi="Verdana" w:cs="Tahoma"/>
          <w:sz w:val="24"/>
          <w:szCs w:val="24"/>
          <w:lang w:val="en-GB"/>
        </w:rPr>
        <w:t xml:space="preserve"> </w:t>
      </w:r>
      <w:r w:rsidR="00E03A7D" w:rsidRPr="002353FE">
        <w:rPr>
          <w:rFonts w:ascii="Verdana" w:hAnsi="Verdana" w:cs="Tahoma"/>
          <w:sz w:val="24"/>
          <w:szCs w:val="24"/>
          <w:lang w:val="en-GB"/>
        </w:rPr>
        <w:t>is</w:t>
      </w:r>
      <w:r w:rsidR="008F5B5F" w:rsidRPr="002353FE">
        <w:rPr>
          <w:rFonts w:ascii="Verdana" w:hAnsi="Verdana" w:cs="Tahoma"/>
          <w:sz w:val="24"/>
          <w:szCs w:val="24"/>
          <w:lang w:val="en-GB"/>
        </w:rPr>
        <w:t xml:space="preserve"> </w:t>
      </w:r>
      <w:r w:rsidR="004F309D" w:rsidRPr="002353FE">
        <w:rPr>
          <w:rFonts w:ascii="Verdana" w:hAnsi="Verdana" w:cs="Tahoma"/>
          <w:sz w:val="24"/>
          <w:szCs w:val="24"/>
          <w:lang w:val="en-GB"/>
        </w:rPr>
        <w:t xml:space="preserve">quantified over </w:t>
      </w:r>
      <w:r w:rsidR="008F5B5F" w:rsidRPr="002353FE">
        <w:rPr>
          <w:rFonts w:ascii="Verdana" w:hAnsi="Verdana" w:cs="Tahoma"/>
          <w:sz w:val="24"/>
          <w:szCs w:val="24"/>
          <w:lang w:val="en-GB"/>
        </w:rPr>
        <w:t>two dimensions.</w:t>
      </w:r>
      <w:r w:rsidR="003B066E" w:rsidRPr="002353FE">
        <w:rPr>
          <w:rFonts w:ascii="Verdana" w:hAnsi="Verdana" w:cs="Tahoma"/>
          <w:sz w:val="24"/>
          <w:szCs w:val="24"/>
          <w:lang w:val="en-GB"/>
        </w:rPr>
        <w:t xml:space="preserve"> First, the size of the community where the respondent lives</w:t>
      </w:r>
      <w:r w:rsidR="00791918" w:rsidRPr="002353FE">
        <w:rPr>
          <w:rFonts w:ascii="Verdana" w:hAnsi="Verdana" w:cs="Tahoma"/>
          <w:sz w:val="24"/>
          <w:szCs w:val="24"/>
          <w:lang w:val="en-GB"/>
        </w:rPr>
        <w:t xml:space="preserve"> is considered </w:t>
      </w:r>
      <w:r w:rsidR="00DE5032" w:rsidRPr="002353FE">
        <w:rPr>
          <w:rFonts w:ascii="Verdana" w:hAnsi="Verdana" w:cs="Tahoma"/>
          <w:sz w:val="24"/>
          <w:szCs w:val="24"/>
          <w:lang w:val="en-GB"/>
        </w:rPr>
        <w:t>using information</w:t>
      </w:r>
      <w:r w:rsidR="003B066E" w:rsidRPr="002353FE">
        <w:rPr>
          <w:rFonts w:ascii="Verdana" w:hAnsi="Verdana" w:cs="Tahoma"/>
          <w:sz w:val="24"/>
          <w:szCs w:val="24"/>
          <w:lang w:val="en-GB"/>
        </w:rPr>
        <w:t xml:space="preserve"> provided by E</w:t>
      </w:r>
      <w:r w:rsidR="00945E5B" w:rsidRPr="002353FE">
        <w:rPr>
          <w:rFonts w:ascii="Verdana" w:hAnsi="Verdana" w:cs="Tahoma"/>
          <w:sz w:val="24"/>
          <w:szCs w:val="24"/>
          <w:lang w:val="en-GB"/>
        </w:rPr>
        <w:t>C and EP</w:t>
      </w:r>
      <w:r w:rsidR="003B066E" w:rsidRPr="002353FE">
        <w:rPr>
          <w:rFonts w:ascii="Verdana" w:hAnsi="Verdana" w:cs="Tahoma"/>
          <w:sz w:val="24"/>
          <w:szCs w:val="24"/>
          <w:lang w:val="en-GB"/>
        </w:rPr>
        <w:t xml:space="preserve"> (2016)</w:t>
      </w:r>
      <w:r w:rsidR="00791918" w:rsidRPr="002353FE">
        <w:rPr>
          <w:rFonts w:ascii="Verdana" w:hAnsi="Verdana" w:cs="Tahoma"/>
          <w:sz w:val="24"/>
          <w:szCs w:val="24"/>
          <w:lang w:val="en-GB"/>
        </w:rPr>
        <w:t>. Th</w:t>
      </w:r>
      <w:r w:rsidR="00DE0418" w:rsidRPr="002353FE">
        <w:rPr>
          <w:rFonts w:ascii="Verdana" w:hAnsi="Verdana" w:cs="Tahoma"/>
          <w:sz w:val="24"/>
          <w:szCs w:val="24"/>
          <w:lang w:val="en-GB"/>
        </w:rPr>
        <w:t xml:space="preserve">is </w:t>
      </w:r>
      <w:r w:rsidR="00791918" w:rsidRPr="002353FE">
        <w:rPr>
          <w:rFonts w:ascii="Verdana" w:hAnsi="Verdana" w:cs="Tahoma"/>
          <w:sz w:val="24"/>
          <w:szCs w:val="24"/>
          <w:lang w:val="en-GB"/>
        </w:rPr>
        <w:t>data</w:t>
      </w:r>
      <w:r w:rsidR="00361915" w:rsidRPr="002353FE">
        <w:rPr>
          <w:rFonts w:ascii="Verdana" w:hAnsi="Verdana" w:cs="Tahoma"/>
          <w:sz w:val="24"/>
          <w:szCs w:val="24"/>
          <w:lang w:val="en-GB"/>
        </w:rPr>
        <w:t>,</w:t>
      </w:r>
      <w:r w:rsidR="00791918" w:rsidRPr="002353FE">
        <w:rPr>
          <w:rFonts w:ascii="Verdana" w:hAnsi="Verdana" w:cs="Tahoma"/>
          <w:sz w:val="24"/>
          <w:szCs w:val="24"/>
          <w:lang w:val="en-GB"/>
        </w:rPr>
        <w:t xml:space="preserve"> derived from </w:t>
      </w:r>
      <w:r w:rsidR="003B066E" w:rsidRPr="002353FE">
        <w:rPr>
          <w:rFonts w:ascii="Verdana" w:hAnsi="Verdana" w:cs="Tahoma"/>
          <w:sz w:val="24"/>
          <w:szCs w:val="24"/>
          <w:lang w:val="en-GB"/>
        </w:rPr>
        <w:t>postal codes</w:t>
      </w:r>
      <w:r w:rsidR="00361915" w:rsidRPr="002353FE">
        <w:rPr>
          <w:rFonts w:ascii="Verdana" w:hAnsi="Verdana" w:cs="Tahoma"/>
          <w:sz w:val="24"/>
          <w:szCs w:val="24"/>
          <w:lang w:val="en-GB"/>
        </w:rPr>
        <w:t>,</w:t>
      </w:r>
      <w:r w:rsidR="00A51885" w:rsidRPr="002353FE">
        <w:rPr>
          <w:rFonts w:ascii="Verdana" w:hAnsi="Verdana" w:cs="Tahoma"/>
          <w:sz w:val="24"/>
          <w:szCs w:val="24"/>
          <w:lang w:val="en-GB"/>
        </w:rPr>
        <w:t xml:space="preserve"> </w:t>
      </w:r>
      <w:r w:rsidR="00361915" w:rsidRPr="002353FE">
        <w:rPr>
          <w:rFonts w:ascii="Verdana" w:hAnsi="Verdana" w:cs="Tahoma"/>
          <w:sz w:val="24"/>
          <w:szCs w:val="24"/>
          <w:lang w:val="en-GB"/>
        </w:rPr>
        <w:t>indicate</w:t>
      </w:r>
      <w:r w:rsidR="00DE0418" w:rsidRPr="002353FE">
        <w:rPr>
          <w:rFonts w:ascii="Verdana" w:hAnsi="Verdana" w:cs="Tahoma"/>
          <w:sz w:val="24"/>
          <w:szCs w:val="24"/>
          <w:lang w:val="en-GB"/>
        </w:rPr>
        <w:t>s</w:t>
      </w:r>
      <w:r w:rsidR="00361915" w:rsidRPr="002353FE">
        <w:rPr>
          <w:rFonts w:ascii="Verdana" w:hAnsi="Verdana" w:cs="Tahoma"/>
          <w:sz w:val="24"/>
          <w:szCs w:val="24"/>
          <w:lang w:val="en-GB"/>
        </w:rPr>
        <w:t xml:space="preserve"> </w:t>
      </w:r>
      <w:r w:rsidR="0049545C" w:rsidRPr="002353FE">
        <w:rPr>
          <w:rFonts w:ascii="Verdana" w:hAnsi="Verdana" w:cs="Tahoma"/>
          <w:sz w:val="24"/>
          <w:szCs w:val="24"/>
          <w:lang w:val="en-GB"/>
        </w:rPr>
        <w:t xml:space="preserve">if </w:t>
      </w:r>
      <w:r w:rsidR="00361915" w:rsidRPr="002353FE">
        <w:rPr>
          <w:rFonts w:ascii="Verdana" w:hAnsi="Verdana" w:cs="Tahoma"/>
          <w:sz w:val="24"/>
          <w:szCs w:val="24"/>
          <w:lang w:val="en-GB"/>
        </w:rPr>
        <w:t>respondents</w:t>
      </w:r>
      <w:r w:rsidR="00FD338C" w:rsidRPr="002353FE">
        <w:rPr>
          <w:rFonts w:ascii="Verdana" w:hAnsi="Verdana" w:cs="Tahoma"/>
          <w:sz w:val="24"/>
          <w:szCs w:val="24"/>
          <w:lang w:val="en-GB"/>
        </w:rPr>
        <w:t xml:space="preserve"> liv</w:t>
      </w:r>
      <w:r w:rsidR="0049545C" w:rsidRPr="002353FE">
        <w:rPr>
          <w:rFonts w:ascii="Verdana" w:hAnsi="Verdana" w:cs="Tahoma"/>
          <w:sz w:val="24"/>
          <w:szCs w:val="24"/>
          <w:lang w:val="en-GB"/>
        </w:rPr>
        <w:t>e</w:t>
      </w:r>
      <w:r w:rsidR="00FD338C" w:rsidRPr="002353FE">
        <w:rPr>
          <w:rFonts w:ascii="Verdana" w:hAnsi="Verdana" w:cs="Tahoma"/>
          <w:sz w:val="24"/>
          <w:szCs w:val="24"/>
          <w:lang w:val="en-GB"/>
        </w:rPr>
        <w:t xml:space="preserve"> in </w:t>
      </w:r>
      <w:r w:rsidR="00A51885" w:rsidRPr="002353FE">
        <w:rPr>
          <w:rFonts w:ascii="Verdana" w:hAnsi="Verdana" w:cs="Tahoma"/>
          <w:sz w:val="24"/>
          <w:szCs w:val="24"/>
          <w:lang w:val="en-GB"/>
        </w:rPr>
        <w:t>rural areas, towns and suburbs or small urban areas and cities</w:t>
      </w:r>
      <w:r w:rsidR="00791918" w:rsidRPr="002353FE">
        <w:rPr>
          <w:rFonts w:ascii="Verdana" w:hAnsi="Verdana" w:cs="Tahoma"/>
          <w:sz w:val="24"/>
          <w:szCs w:val="24"/>
          <w:lang w:val="en-GB"/>
        </w:rPr>
        <w:t xml:space="preserve">. </w:t>
      </w:r>
      <w:r w:rsidR="00D724C0" w:rsidRPr="002353FE">
        <w:rPr>
          <w:rFonts w:ascii="Verdana" w:hAnsi="Verdana" w:cs="Tahoma"/>
          <w:sz w:val="24"/>
          <w:szCs w:val="24"/>
          <w:lang w:val="en-GB"/>
        </w:rPr>
        <w:t xml:space="preserve">We also </w:t>
      </w:r>
      <w:r w:rsidR="002018E1" w:rsidRPr="002353FE">
        <w:rPr>
          <w:rFonts w:ascii="Verdana" w:hAnsi="Verdana" w:cs="Tahoma"/>
          <w:sz w:val="24"/>
          <w:szCs w:val="24"/>
          <w:lang w:val="en-GB"/>
        </w:rPr>
        <w:t>consider</w:t>
      </w:r>
      <w:r w:rsidR="00D724C0" w:rsidRPr="002353FE">
        <w:rPr>
          <w:rFonts w:ascii="Verdana" w:hAnsi="Verdana" w:cs="Tahoma"/>
          <w:sz w:val="24"/>
          <w:szCs w:val="24"/>
          <w:lang w:val="en-GB"/>
        </w:rPr>
        <w:t xml:space="preserve"> </w:t>
      </w:r>
      <w:r w:rsidR="002018E1" w:rsidRPr="002353FE">
        <w:rPr>
          <w:rFonts w:ascii="Verdana" w:hAnsi="Verdana" w:cs="Tahoma"/>
          <w:sz w:val="24"/>
          <w:szCs w:val="24"/>
          <w:lang w:val="en-GB"/>
        </w:rPr>
        <w:t xml:space="preserve">the population density </w:t>
      </w:r>
      <w:r w:rsidR="00A51885" w:rsidRPr="002353FE">
        <w:rPr>
          <w:rFonts w:ascii="Verdana" w:hAnsi="Verdana" w:cs="Tahoma"/>
          <w:sz w:val="24"/>
          <w:szCs w:val="24"/>
          <w:lang w:val="en-GB"/>
        </w:rPr>
        <w:t xml:space="preserve">of the </w:t>
      </w:r>
      <w:r w:rsidR="00F34752" w:rsidRPr="002353FE">
        <w:rPr>
          <w:rFonts w:ascii="Verdana" w:hAnsi="Verdana" w:cs="Tahoma"/>
          <w:sz w:val="24"/>
          <w:szCs w:val="24"/>
          <w:lang w:val="en-GB"/>
        </w:rPr>
        <w:t xml:space="preserve">respondents’ </w:t>
      </w:r>
      <w:r w:rsidR="00A51885" w:rsidRPr="002353FE">
        <w:rPr>
          <w:rFonts w:ascii="Verdana" w:hAnsi="Verdana" w:cs="Tahoma"/>
          <w:sz w:val="24"/>
          <w:szCs w:val="24"/>
          <w:lang w:val="en-GB"/>
        </w:rPr>
        <w:t>region</w:t>
      </w:r>
      <w:r w:rsidR="00D070ED" w:rsidRPr="002353FE">
        <w:rPr>
          <w:rFonts w:ascii="Verdana" w:hAnsi="Verdana" w:cs="Tahoma"/>
          <w:sz w:val="24"/>
          <w:szCs w:val="24"/>
          <w:lang w:val="en-GB"/>
        </w:rPr>
        <w:t xml:space="preserve"> </w:t>
      </w:r>
      <w:r w:rsidR="00F34752" w:rsidRPr="002353FE">
        <w:rPr>
          <w:rFonts w:ascii="Verdana" w:hAnsi="Verdana" w:cs="Tahoma"/>
          <w:sz w:val="24"/>
          <w:szCs w:val="24"/>
          <w:lang w:val="en-GB"/>
        </w:rPr>
        <w:t xml:space="preserve">using </w:t>
      </w:r>
      <w:r w:rsidR="002018E1" w:rsidRPr="002353FE">
        <w:rPr>
          <w:rFonts w:ascii="Verdana" w:hAnsi="Verdana" w:cs="Tahoma"/>
          <w:sz w:val="24"/>
          <w:szCs w:val="24"/>
          <w:lang w:val="en-GB"/>
        </w:rPr>
        <w:t>variables corresponding to the following intervals: more than 500, from 200 to 500, from 100 to 200, from 75 to 100, from 50 to 75 and less than 50</w:t>
      </w:r>
      <w:r w:rsidR="00361915" w:rsidRPr="002353FE">
        <w:rPr>
          <w:rFonts w:ascii="Verdana" w:hAnsi="Verdana" w:cs="Tahoma"/>
          <w:sz w:val="24"/>
          <w:szCs w:val="24"/>
          <w:lang w:val="en-GB"/>
        </w:rPr>
        <w:t xml:space="preserve"> inhabitants per square kilometre</w:t>
      </w:r>
      <w:r w:rsidR="002018E1" w:rsidRPr="002353FE">
        <w:rPr>
          <w:rFonts w:ascii="Verdana" w:hAnsi="Verdana" w:cs="Tahoma"/>
          <w:sz w:val="24"/>
          <w:szCs w:val="24"/>
          <w:lang w:val="en-GB"/>
        </w:rPr>
        <w:t>.</w:t>
      </w:r>
      <w:r w:rsidR="00EC7C3F" w:rsidRPr="002353FE">
        <w:rPr>
          <w:rFonts w:ascii="Verdana" w:hAnsi="Verdana" w:cs="Tahoma"/>
          <w:sz w:val="24"/>
          <w:szCs w:val="24"/>
          <w:lang w:val="en-GB"/>
        </w:rPr>
        <w:t xml:space="preserve"> This information is </w:t>
      </w:r>
      <w:r w:rsidR="00A51885" w:rsidRPr="002353FE">
        <w:rPr>
          <w:rFonts w:ascii="Verdana" w:hAnsi="Verdana" w:cs="Tahoma"/>
          <w:sz w:val="24"/>
          <w:szCs w:val="24"/>
          <w:lang w:val="en-GB"/>
        </w:rPr>
        <w:t>ob</w:t>
      </w:r>
      <w:r w:rsidR="00EC7C3F" w:rsidRPr="002353FE">
        <w:rPr>
          <w:rFonts w:ascii="Verdana" w:hAnsi="Verdana" w:cs="Tahoma"/>
          <w:sz w:val="24"/>
          <w:szCs w:val="24"/>
          <w:lang w:val="en-GB"/>
        </w:rPr>
        <w:t>tained from EUROSTAT (2017a)</w:t>
      </w:r>
      <w:r w:rsidR="00D22A6E" w:rsidRPr="002353FE">
        <w:rPr>
          <w:rFonts w:ascii="Verdana" w:hAnsi="Verdana" w:cs="Tahoma"/>
          <w:sz w:val="24"/>
          <w:szCs w:val="24"/>
          <w:lang w:val="en-GB"/>
        </w:rPr>
        <w:t xml:space="preserve"> for</w:t>
      </w:r>
      <w:r w:rsidR="00A51885" w:rsidRPr="002353FE">
        <w:rPr>
          <w:rFonts w:ascii="Verdana" w:hAnsi="Verdana" w:cs="Tahoma"/>
          <w:sz w:val="24"/>
          <w:szCs w:val="24"/>
          <w:lang w:val="en-GB"/>
        </w:rPr>
        <w:t xml:space="preserve"> 2015</w:t>
      </w:r>
      <w:r w:rsidR="007170AE" w:rsidRPr="002353FE">
        <w:rPr>
          <w:rFonts w:ascii="Verdana" w:hAnsi="Verdana" w:cs="Tahoma"/>
          <w:sz w:val="24"/>
          <w:szCs w:val="24"/>
          <w:lang w:val="en-GB"/>
        </w:rPr>
        <w:t>, and it corresponds to the NUTS 2</w:t>
      </w:r>
      <w:r w:rsidR="007170AE" w:rsidRPr="002353FE">
        <w:rPr>
          <w:rStyle w:val="FootnoteReference"/>
          <w:rFonts w:ascii="Verdana" w:hAnsi="Verdana" w:cs="Tahoma"/>
          <w:sz w:val="24"/>
          <w:szCs w:val="24"/>
          <w:lang w:val="en-GB"/>
        </w:rPr>
        <w:footnoteReference w:id="1"/>
      </w:r>
      <w:r w:rsidR="007170AE" w:rsidRPr="002353FE">
        <w:rPr>
          <w:rFonts w:ascii="Verdana" w:hAnsi="Verdana" w:cs="Tahoma"/>
          <w:sz w:val="24"/>
          <w:szCs w:val="24"/>
          <w:lang w:val="en-GB"/>
        </w:rPr>
        <w:t xml:space="preserve"> European level of regional disaggregation (excepting Germany, Italy and the UK, where the information refers to the NUTS 1 level).</w:t>
      </w:r>
      <w:r w:rsidR="00AE1CDD" w:rsidRPr="002353FE">
        <w:rPr>
          <w:rFonts w:ascii="Verdana" w:hAnsi="Verdana" w:cs="Tahoma"/>
          <w:sz w:val="24"/>
          <w:szCs w:val="24"/>
          <w:lang w:val="en-GB"/>
        </w:rPr>
        <w:t xml:space="preserve"> </w:t>
      </w:r>
      <w:r w:rsidR="0049545C" w:rsidRPr="002353FE">
        <w:rPr>
          <w:rFonts w:ascii="Verdana" w:hAnsi="Verdana" w:cs="Tahoma"/>
          <w:sz w:val="24"/>
          <w:szCs w:val="24"/>
          <w:lang w:val="en-GB"/>
        </w:rPr>
        <w:t>Once collected, t</w:t>
      </w:r>
      <w:r w:rsidR="00361915" w:rsidRPr="002353FE">
        <w:rPr>
          <w:rFonts w:ascii="Verdana" w:hAnsi="Verdana" w:cs="Tahoma"/>
          <w:sz w:val="24"/>
          <w:szCs w:val="24"/>
          <w:lang w:val="en-GB"/>
        </w:rPr>
        <w:t>h</w:t>
      </w:r>
      <w:r w:rsidR="00DE0418" w:rsidRPr="002353FE">
        <w:rPr>
          <w:rFonts w:ascii="Verdana" w:hAnsi="Verdana" w:cs="Tahoma"/>
          <w:sz w:val="24"/>
          <w:szCs w:val="24"/>
          <w:lang w:val="en-GB"/>
        </w:rPr>
        <w:t>is</w:t>
      </w:r>
      <w:r w:rsidR="00361915" w:rsidRPr="002353FE">
        <w:rPr>
          <w:rFonts w:ascii="Verdana" w:hAnsi="Verdana" w:cs="Tahoma"/>
          <w:sz w:val="24"/>
          <w:szCs w:val="24"/>
          <w:lang w:val="en-GB"/>
        </w:rPr>
        <w:t xml:space="preserve"> data </w:t>
      </w:r>
      <w:r w:rsidR="00DE0418" w:rsidRPr="002353FE">
        <w:rPr>
          <w:rFonts w:ascii="Verdana" w:hAnsi="Verdana" w:cs="Tahoma"/>
          <w:sz w:val="24"/>
          <w:szCs w:val="24"/>
          <w:lang w:val="en-GB"/>
        </w:rPr>
        <w:t>is</w:t>
      </w:r>
      <w:r w:rsidR="00D724C0" w:rsidRPr="002353FE">
        <w:rPr>
          <w:rFonts w:ascii="Verdana" w:hAnsi="Verdana" w:cs="Tahoma"/>
          <w:sz w:val="24"/>
          <w:szCs w:val="24"/>
          <w:lang w:val="en-GB"/>
        </w:rPr>
        <w:t xml:space="preserve"> </w:t>
      </w:r>
      <w:r w:rsidR="0049545C" w:rsidRPr="002353FE">
        <w:rPr>
          <w:rFonts w:ascii="Verdana" w:hAnsi="Verdana" w:cs="Tahoma"/>
          <w:sz w:val="24"/>
          <w:szCs w:val="24"/>
          <w:lang w:val="en-GB"/>
        </w:rPr>
        <w:t>merged with</w:t>
      </w:r>
      <w:r w:rsidR="00FD338C" w:rsidRPr="002353FE">
        <w:rPr>
          <w:rFonts w:ascii="Verdana" w:hAnsi="Verdana" w:cs="Tahoma"/>
          <w:sz w:val="24"/>
          <w:szCs w:val="24"/>
          <w:lang w:val="en-GB"/>
        </w:rPr>
        <w:t xml:space="preserve"> the</w:t>
      </w:r>
      <w:r w:rsidR="006462DB" w:rsidRPr="002353FE">
        <w:rPr>
          <w:rFonts w:ascii="Verdana" w:hAnsi="Verdana" w:cs="Tahoma"/>
          <w:sz w:val="24"/>
          <w:szCs w:val="24"/>
          <w:lang w:val="en-GB"/>
        </w:rPr>
        <w:t xml:space="preserve"> individual</w:t>
      </w:r>
      <w:r w:rsidR="00D724C0" w:rsidRPr="002353FE">
        <w:rPr>
          <w:rFonts w:ascii="Verdana" w:hAnsi="Verdana" w:cs="Tahoma"/>
          <w:sz w:val="24"/>
          <w:szCs w:val="24"/>
          <w:lang w:val="en-GB"/>
        </w:rPr>
        <w:t xml:space="preserve"> </w:t>
      </w:r>
      <w:r w:rsidR="00D070ED" w:rsidRPr="002353FE">
        <w:rPr>
          <w:rFonts w:ascii="Verdana" w:hAnsi="Verdana" w:cs="Tahoma"/>
          <w:sz w:val="24"/>
          <w:szCs w:val="24"/>
          <w:lang w:val="en-GB"/>
        </w:rPr>
        <w:lastRenderedPageBreak/>
        <w:t xml:space="preserve">information </w:t>
      </w:r>
      <w:r w:rsidR="00361915" w:rsidRPr="002353FE">
        <w:rPr>
          <w:rFonts w:ascii="Verdana" w:hAnsi="Verdana" w:cs="Tahoma"/>
          <w:sz w:val="24"/>
          <w:szCs w:val="24"/>
          <w:lang w:val="en-GB"/>
        </w:rPr>
        <w:t xml:space="preserve">from </w:t>
      </w:r>
      <w:r w:rsidR="00484258" w:rsidRPr="002353FE">
        <w:rPr>
          <w:rFonts w:ascii="Verdana" w:hAnsi="Verdana" w:cs="Tahoma"/>
          <w:sz w:val="24"/>
          <w:szCs w:val="24"/>
          <w:lang w:val="en-GB"/>
        </w:rPr>
        <w:t xml:space="preserve">the Special Eurobarometer on Financial Products and Services </w:t>
      </w:r>
      <w:r w:rsidR="0049545C" w:rsidRPr="002353FE">
        <w:rPr>
          <w:rFonts w:ascii="Verdana" w:hAnsi="Verdana" w:cs="Tahoma"/>
          <w:sz w:val="24"/>
          <w:szCs w:val="24"/>
          <w:lang w:val="en-GB"/>
        </w:rPr>
        <w:t>(</w:t>
      </w:r>
      <w:r w:rsidR="009210A0" w:rsidRPr="002353FE">
        <w:rPr>
          <w:rFonts w:ascii="Verdana" w:hAnsi="Verdana" w:cs="Tahoma"/>
          <w:sz w:val="24"/>
          <w:szCs w:val="24"/>
          <w:lang w:val="en-GB"/>
        </w:rPr>
        <w:t>EC and EP</w:t>
      </w:r>
      <w:r w:rsidR="007F7EED" w:rsidRPr="002353FE">
        <w:rPr>
          <w:rFonts w:ascii="Verdana" w:hAnsi="Verdana" w:cs="Tahoma"/>
          <w:sz w:val="24"/>
          <w:szCs w:val="24"/>
          <w:lang w:val="en-GB"/>
        </w:rPr>
        <w:t>,</w:t>
      </w:r>
      <w:r w:rsidR="009210A0" w:rsidRPr="002353FE">
        <w:rPr>
          <w:rFonts w:ascii="Verdana" w:hAnsi="Verdana" w:cs="Tahoma"/>
          <w:sz w:val="24"/>
          <w:szCs w:val="24"/>
          <w:lang w:val="en-GB"/>
        </w:rPr>
        <w:t xml:space="preserve"> </w:t>
      </w:r>
      <w:r w:rsidR="00433449" w:rsidRPr="002353FE">
        <w:rPr>
          <w:rFonts w:ascii="Verdana" w:hAnsi="Verdana" w:cs="Tahoma"/>
          <w:sz w:val="24"/>
          <w:szCs w:val="24"/>
          <w:lang w:val="en-GB"/>
        </w:rPr>
        <w:t xml:space="preserve">2016) </w:t>
      </w:r>
      <w:r w:rsidR="00484258" w:rsidRPr="002353FE">
        <w:rPr>
          <w:rFonts w:ascii="Verdana" w:hAnsi="Verdana" w:cs="Tahoma"/>
          <w:sz w:val="24"/>
          <w:szCs w:val="24"/>
          <w:lang w:val="en-GB"/>
        </w:rPr>
        <w:t xml:space="preserve">for </w:t>
      </w:r>
      <w:r w:rsidR="00D070ED" w:rsidRPr="002353FE">
        <w:rPr>
          <w:rFonts w:ascii="Verdana" w:hAnsi="Verdana" w:cs="Tahoma"/>
          <w:sz w:val="24"/>
          <w:szCs w:val="24"/>
          <w:lang w:val="en-GB"/>
        </w:rPr>
        <w:t xml:space="preserve">the region </w:t>
      </w:r>
      <w:r w:rsidR="00EC7C3F" w:rsidRPr="002353FE">
        <w:rPr>
          <w:rFonts w:ascii="Verdana" w:hAnsi="Verdana" w:cs="Tahoma"/>
          <w:sz w:val="24"/>
          <w:szCs w:val="24"/>
          <w:lang w:val="en-GB"/>
        </w:rPr>
        <w:t>where</w:t>
      </w:r>
      <w:r w:rsidR="00D070ED" w:rsidRPr="002353FE">
        <w:rPr>
          <w:rFonts w:ascii="Verdana" w:hAnsi="Verdana" w:cs="Tahoma"/>
          <w:sz w:val="24"/>
          <w:szCs w:val="24"/>
          <w:lang w:val="en-GB"/>
        </w:rPr>
        <w:t xml:space="preserve"> each respondent</w:t>
      </w:r>
      <w:r w:rsidR="00EC7C3F" w:rsidRPr="002353FE">
        <w:rPr>
          <w:rFonts w:ascii="Verdana" w:hAnsi="Verdana" w:cs="Tahoma"/>
          <w:sz w:val="24"/>
          <w:szCs w:val="24"/>
          <w:lang w:val="en-GB"/>
        </w:rPr>
        <w:t xml:space="preserve"> lives</w:t>
      </w:r>
      <w:r w:rsidR="00D070ED" w:rsidRPr="002353FE">
        <w:rPr>
          <w:rFonts w:ascii="Verdana" w:hAnsi="Verdana" w:cs="Tahoma"/>
          <w:sz w:val="24"/>
          <w:szCs w:val="24"/>
          <w:lang w:val="en-GB"/>
        </w:rPr>
        <w:t>.</w:t>
      </w:r>
      <w:r w:rsidR="0049545C" w:rsidRPr="002353FE">
        <w:rPr>
          <w:rFonts w:ascii="Verdana" w:hAnsi="Verdana" w:cs="Tahoma"/>
          <w:sz w:val="24"/>
          <w:szCs w:val="24"/>
          <w:lang w:val="en-GB"/>
        </w:rPr>
        <w:t xml:space="preserve"> </w:t>
      </w:r>
      <w:r w:rsidR="000A55EA" w:rsidRPr="002353FE">
        <w:rPr>
          <w:rFonts w:ascii="Verdana" w:hAnsi="Verdana" w:cs="Tahoma"/>
          <w:sz w:val="24"/>
          <w:szCs w:val="24"/>
          <w:lang w:val="en-GB"/>
        </w:rPr>
        <w:t>W</w:t>
      </w:r>
      <w:r w:rsidR="0049545C" w:rsidRPr="002353FE">
        <w:rPr>
          <w:rFonts w:ascii="Verdana" w:hAnsi="Verdana" w:cs="Tahoma"/>
          <w:sz w:val="24"/>
          <w:szCs w:val="24"/>
          <w:lang w:val="en-GB"/>
        </w:rPr>
        <w:t xml:space="preserve">e </w:t>
      </w:r>
      <w:r w:rsidR="00AE1CDD" w:rsidRPr="002353FE">
        <w:rPr>
          <w:rFonts w:ascii="Verdana" w:hAnsi="Verdana" w:cs="Tahoma"/>
          <w:sz w:val="24"/>
          <w:szCs w:val="24"/>
          <w:lang w:val="en-GB"/>
        </w:rPr>
        <w:t xml:space="preserve">also </w:t>
      </w:r>
      <w:r w:rsidR="0049545C" w:rsidRPr="002353FE">
        <w:rPr>
          <w:rFonts w:ascii="Verdana" w:hAnsi="Verdana" w:cs="Tahoma"/>
          <w:sz w:val="24"/>
          <w:szCs w:val="24"/>
          <w:lang w:val="en-GB"/>
        </w:rPr>
        <w:t xml:space="preserve">include </w:t>
      </w:r>
      <w:r w:rsidR="00D724C0" w:rsidRPr="002353FE">
        <w:rPr>
          <w:rFonts w:ascii="Verdana" w:hAnsi="Verdana" w:cs="Tahoma"/>
          <w:sz w:val="24"/>
          <w:szCs w:val="24"/>
          <w:lang w:val="en-GB"/>
        </w:rPr>
        <w:t xml:space="preserve">information </w:t>
      </w:r>
      <w:r w:rsidR="0049545C" w:rsidRPr="002353FE">
        <w:rPr>
          <w:rFonts w:ascii="Verdana" w:hAnsi="Verdana" w:cs="Tahoma"/>
          <w:sz w:val="24"/>
          <w:szCs w:val="24"/>
          <w:lang w:val="en-GB"/>
        </w:rPr>
        <w:t>on the</w:t>
      </w:r>
      <w:r w:rsidR="00361915" w:rsidRPr="002353FE">
        <w:rPr>
          <w:rFonts w:ascii="Verdana" w:hAnsi="Verdana" w:cs="Tahoma"/>
          <w:sz w:val="24"/>
          <w:szCs w:val="24"/>
          <w:lang w:val="en-GB"/>
        </w:rPr>
        <w:t xml:space="preserve"> </w:t>
      </w:r>
      <w:r w:rsidR="006F145B" w:rsidRPr="002353FE">
        <w:rPr>
          <w:rFonts w:ascii="Verdana" w:hAnsi="Verdana" w:cs="Tahoma"/>
          <w:sz w:val="24"/>
          <w:szCs w:val="24"/>
          <w:lang w:val="en-GB"/>
        </w:rPr>
        <w:t xml:space="preserve">GDP per capita (in </w:t>
      </w:r>
      <w:r w:rsidR="00EC7C3F" w:rsidRPr="002353FE">
        <w:rPr>
          <w:rFonts w:ascii="Verdana" w:hAnsi="Verdana" w:cs="Tahoma"/>
          <w:sz w:val="24"/>
          <w:szCs w:val="24"/>
          <w:lang w:val="en-GB"/>
        </w:rPr>
        <w:t>thousand</w:t>
      </w:r>
      <w:r w:rsidR="006F145B" w:rsidRPr="002353FE">
        <w:rPr>
          <w:rFonts w:ascii="Verdana" w:hAnsi="Verdana" w:cs="Tahoma"/>
          <w:sz w:val="24"/>
          <w:szCs w:val="24"/>
          <w:lang w:val="en-GB"/>
        </w:rPr>
        <w:t xml:space="preserve"> euros per inhabitant) of the region where the respondent lives</w:t>
      </w:r>
      <w:r w:rsidR="0049545C" w:rsidRPr="002353FE">
        <w:rPr>
          <w:rFonts w:ascii="Verdana" w:hAnsi="Verdana" w:cs="Tahoma"/>
          <w:sz w:val="24"/>
          <w:szCs w:val="24"/>
          <w:lang w:val="en-GB"/>
        </w:rPr>
        <w:t>, obtained from EUROSTAT (2017</w:t>
      </w:r>
      <w:r w:rsidR="00137647" w:rsidRPr="002353FE">
        <w:rPr>
          <w:rFonts w:ascii="Verdana" w:hAnsi="Verdana" w:cs="Tahoma"/>
          <w:sz w:val="24"/>
          <w:szCs w:val="24"/>
          <w:lang w:val="en-GB"/>
        </w:rPr>
        <w:t>b</w:t>
      </w:r>
      <w:r w:rsidR="0049545C" w:rsidRPr="002353FE">
        <w:rPr>
          <w:rFonts w:ascii="Verdana" w:hAnsi="Verdana" w:cs="Tahoma"/>
          <w:sz w:val="24"/>
          <w:szCs w:val="24"/>
          <w:lang w:val="en-GB"/>
        </w:rPr>
        <w:t>)</w:t>
      </w:r>
      <w:r w:rsidR="00EC7C3F" w:rsidRPr="002353FE">
        <w:rPr>
          <w:rFonts w:ascii="Verdana" w:hAnsi="Verdana" w:cs="Tahoma"/>
          <w:sz w:val="24"/>
          <w:szCs w:val="24"/>
          <w:lang w:val="en-GB"/>
        </w:rPr>
        <w:t xml:space="preserve">. </w:t>
      </w:r>
      <w:r w:rsidR="00D724C0" w:rsidRPr="002353FE">
        <w:rPr>
          <w:rFonts w:ascii="Verdana" w:hAnsi="Verdana" w:cs="Tahoma"/>
          <w:sz w:val="24"/>
          <w:szCs w:val="24"/>
          <w:lang w:val="en-GB"/>
        </w:rPr>
        <w:t>This variable</w:t>
      </w:r>
      <w:r w:rsidR="007F3F99" w:rsidRPr="002353FE">
        <w:rPr>
          <w:rFonts w:ascii="Verdana" w:hAnsi="Verdana" w:cs="Tahoma"/>
          <w:sz w:val="24"/>
          <w:szCs w:val="24"/>
          <w:lang w:val="en-GB"/>
        </w:rPr>
        <w:t xml:space="preserve"> correspond</w:t>
      </w:r>
      <w:r w:rsidR="007F2F01" w:rsidRPr="002353FE">
        <w:rPr>
          <w:rFonts w:ascii="Verdana" w:hAnsi="Verdana" w:cs="Tahoma"/>
          <w:sz w:val="24"/>
          <w:szCs w:val="24"/>
          <w:lang w:val="en-GB"/>
        </w:rPr>
        <w:t xml:space="preserve">s </w:t>
      </w:r>
      <w:r w:rsidR="007F3F99" w:rsidRPr="002353FE">
        <w:rPr>
          <w:rFonts w:ascii="Verdana" w:hAnsi="Verdana" w:cs="Tahoma"/>
          <w:sz w:val="24"/>
          <w:szCs w:val="24"/>
          <w:lang w:val="en-GB"/>
        </w:rPr>
        <w:t>to the year 2015</w:t>
      </w:r>
      <w:r w:rsidR="007F3F99" w:rsidRPr="002353FE">
        <w:rPr>
          <w:rStyle w:val="FootnoteReference"/>
          <w:rFonts w:ascii="Verdana" w:hAnsi="Verdana" w:cs="Tahoma"/>
          <w:sz w:val="24"/>
          <w:szCs w:val="24"/>
          <w:lang w:val="en-GB"/>
        </w:rPr>
        <w:footnoteReference w:id="2"/>
      </w:r>
      <w:r w:rsidR="007F2F01" w:rsidRPr="002353FE">
        <w:rPr>
          <w:rFonts w:ascii="Verdana" w:hAnsi="Verdana" w:cs="Tahoma"/>
          <w:sz w:val="24"/>
          <w:szCs w:val="24"/>
          <w:lang w:val="en-GB"/>
        </w:rPr>
        <w:t xml:space="preserve"> and</w:t>
      </w:r>
      <w:r w:rsidR="00D724C0" w:rsidRPr="002353FE">
        <w:rPr>
          <w:rFonts w:ascii="Verdana" w:hAnsi="Verdana" w:cs="Tahoma"/>
          <w:sz w:val="24"/>
          <w:szCs w:val="24"/>
          <w:lang w:val="en-GB"/>
        </w:rPr>
        <w:t xml:space="preserve"> employs the </w:t>
      </w:r>
      <w:r w:rsidR="00EC7C3F" w:rsidRPr="002353FE">
        <w:rPr>
          <w:rFonts w:ascii="Verdana" w:hAnsi="Verdana" w:cs="Tahoma"/>
          <w:sz w:val="24"/>
          <w:szCs w:val="24"/>
          <w:lang w:val="en-GB"/>
        </w:rPr>
        <w:t>following intervals: more than 40, from 30 to 40, from 20 to 30, from 10 to 20 and less than 10</w:t>
      </w:r>
      <w:r w:rsidR="00361915" w:rsidRPr="002353FE">
        <w:rPr>
          <w:rFonts w:ascii="Verdana" w:hAnsi="Verdana" w:cs="Tahoma"/>
          <w:sz w:val="24"/>
          <w:szCs w:val="24"/>
          <w:lang w:val="en-GB"/>
        </w:rPr>
        <w:t xml:space="preserve"> thousand euros per year</w:t>
      </w:r>
      <w:r w:rsidR="006F145B" w:rsidRPr="002353FE">
        <w:rPr>
          <w:rFonts w:ascii="Verdana" w:hAnsi="Verdana" w:cs="Tahoma"/>
          <w:sz w:val="24"/>
          <w:szCs w:val="24"/>
          <w:lang w:val="en-GB"/>
        </w:rPr>
        <w:t>.</w:t>
      </w:r>
      <w:r w:rsidR="00EC7C3F" w:rsidRPr="002353FE">
        <w:rPr>
          <w:rFonts w:ascii="Verdana" w:hAnsi="Verdana" w:cs="Tahoma"/>
          <w:sz w:val="24"/>
          <w:szCs w:val="24"/>
          <w:lang w:val="en-GB"/>
        </w:rPr>
        <w:t xml:space="preserve"> </w:t>
      </w:r>
      <w:r w:rsidR="009210A0" w:rsidRPr="002353FE">
        <w:rPr>
          <w:rFonts w:ascii="Verdana" w:hAnsi="Verdana" w:cs="Tahoma"/>
          <w:sz w:val="24"/>
          <w:szCs w:val="24"/>
          <w:lang w:val="en-GB"/>
        </w:rPr>
        <w:t>This</w:t>
      </w:r>
      <w:r w:rsidR="006F145B" w:rsidRPr="002353FE">
        <w:rPr>
          <w:rFonts w:ascii="Verdana" w:hAnsi="Verdana" w:cs="Tahoma"/>
          <w:sz w:val="24"/>
          <w:szCs w:val="24"/>
          <w:lang w:val="en-GB"/>
        </w:rPr>
        <w:t xml:space="preserve"> variable corresponds to the </w:t>
      </w:r>
      <w:r w:rsidR="004F309D" w:rsidRPr="002353FE">
        <w:rPr>
          <w:rFonts w:ascii="Verdana" w:hAnsi="Verdana" w:cs="Tahoma"/>
          <w:sz w:val="24"/>
          <w:szCs w:val="24"/>
          <w:lang w:val="en-GB"/>
        </w:rPr>
        <w:t>NUTS</w:t>
      </w:r>
      <w:r w:rsidR="00E9789E" w:rsidRPr="002353FE">
        <w:rPr>
          <w:rFonts w:ascii="Verdana" w:hAnsi="Verdana" w:cs="Tahoma"/>
          <w:sz w:val="24"/>
          <w:szCs w:val="24"/>
          <w:lang w:val="en-GB"/>
        </w:rPr>
        <w:t xml:space="preserve"> </w:t>
      </w:r>
      <w:r w:rsidR="0049545C" w:rsidRPr="002353FE">
        <w:rPr>
          <w:rFonts w:ascii="Verdana" w:hAnsi="Verdana" w:cs="Tahoma"/>
          <w:sz w:val="24"/>
          <w:szCs w:val="24"/>
          <w:lang w:val="en-GB"/>
        </w:rPr>
        <w:t>2</w:t>
      </w:r>
      <w:r w:rsidR="004F309D" w:rsidRPr="002353FE">
        <w:rPr>
          <w:rFonts w:ascii="Verdana" w:hAnsi="Verdana" w:cs="Tahoma"/>
          <w:sz w:val="24"/>
          <w:szCs w:val="24"/>
          <w:lang w:val="en-GB"/>
        </w:rPr>
        <w:t xml:space="preserve"> level</w:t>
      </w:r>
      <w:r w:rsidR="0049545C" w:rsidRPr="002353FE">
        <w:rPr>
          <w:rFonts w:ascii="Verdana" w:hAnsi="Verdana" w:cs="Tahoma"/>
          <w:sz w:val="24"/>
          <w:szCs w:val="24"/>
          <w:lang w:val="en-GB"/>
        </w:rPr>
        <w:t xml:space="preserve"> (NUTS1</w:t>
      </w:r>
      <w:r w:rsidR="004F309D" w:rsidRPr="002353FE">
        <w:rPr>
          <w:rFonts w:ascii="Verdana" w:hAnsi="Verdana" w:cs="Tahoma"/>
          <w:sz w:val="24"/>
          <w:szCs w:val="24"/>
          <w:lang w:val="en-GB"/>
        </w:rPr>
        <w:t xml:space="preserve"> for Germany, </w:t>
      </w:r>
      <w:r w:rsidR="00337805" w:rsidRPr="002353FE">
        <w:rPr>
          <w:rFonts w:ascii="Verdana" w:hAnsi="Verdana" w:cs="Tahoma"/>
          <w:sz w:val="24"/>
          <w:szCs w:val="24"/>
          <w:lang w:val="en-GB"/>
        </w:rPr>
        <w:t>Italy,</w:t>
      </w:r>
      <w:r w:rsidR="004F309D" w:rsidRPr="002353FE">
        <w:rPr>
          <w:rFonts w:ascii="Verdana" w:hAnsi="Verdana" w:cs="Tahoma"/>
          <w:sz w:val="24"/>
          <w:szCs w:val="24"/>
          <w:lang w:val="en-GB"/>
        </w:rPr>
        <w:t xml:space="preserve"> and the UK</w:t>
      </w:r>
      <w:r w:rsidR="0049545C" w:rsidRPr="002353FE">
        <w:rPr>
          <w:rFonts w:ascii="Verdana" w:hAnsi="Verdana" w:cs="Tahoma"/>
          <w:sz w:val="24"/>
          <w:szCs w:val="24"/>
          <w:lang w:val="en-GB"/>
        </w:rPr>
        <w:t>)</w:t>
      </w:r>
      <w:r w:rsidR="006F145B" w:rsidRPr="002353FE">
        <w:rPr>
          <w:rFonts w:ascii="Verdana" w:hAnsi="Verdana" w:cs="Tahoma"/>
          <w:sz w:val="24"/>
          <w:szCs w:val="24"/>
          <w:lang w:val="en-GB"/>
        </w:rPr>
        <w:t>.</w:t>
      </w:r>
      <w:r w:rsidR="00137647" w:rsidRPr="002353FE">
        <w:rPr>
          <w:rFonts w:ascii="Verdana" w:hAnsi="Verdana" w:cs="Tahoma"/>
          <w:sz w:val="24"/>
          <w:szCs w:val="24"/>
          <w:lang w:val="en-GB"/>
        </w:rPr>
        <w:t xml:space="preserve"> </w:t>
      </w:r>
    </w:p>
    <w:p w14:paraId="2EB75599" w14:textId="3B85B5DE" w:rsidR="00C34F75" w:rsidRPr="002353FE" w:rsidRDefault="00546235" w:rsidP="0033405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W</w:t>
      </w:r>
      <w:r w:rsidR="00137647" w:rsidRPr="002353FE">
        <w:rPr>
          <w:rFonts w:ascii="Verdana" w:hAnsi="Verdana" w:cs="Tahoma"/>
          <w:sz w:val="24"/>
          <w:szCs w:val="24"/>
          <w:lang w:val="en-GB"/>
        </w:rPr>
        <w:t xml:space="preserve">e </w:t>
      </w:r>
      <w:r w:rsidR="00932E59" w:rsidRPr="002353FE">
        <w:rPr>
          <w:rFonts w:ascii="Verdana" w:hAnsi="Verdana" w:cs="Tahoma"/>
          <w:sz w:val="24"/>
          <w:szCs w:val="24"/>
          <w:lang w:val="en-GB"/>
        </w:rPr>
        <w:t xml:space="preserve">use </w:t>
      </w:r>
      <w:r w:rsidR="00137647" w:rsidRPr="002353FE">
        <w:rPr>
          <w:rFonts w:ascii="Verdana" w:hAnsi="Verdana" w:cs="Tahoma"/>
          <w:sz w:val="24"/>
          <w:szCs w:val="24"/>
          <w:lang w:val="en-GB"/>
        </w:rPr>
        <w:t>f</w:t>
      </w:r>
      <w:r w:rsidR="00433449" w:rsidRPr="002353FE">
        <w:rPr>
          <w:rFonts w:ascii="Verdana" w:hAnsi="Verdana" w:cs="Tahoma"/>
          <w:sz w:val="24"/>
          <w:szCs w:val="24"/>
          <w:lang w:val="en-GB"/>
        </w:rPr>
        <w:t>ive v</w:t>
      </w:r>
      <w:r w:rsidR="00C34F75" w:rsidRPr="002353FE">
        <w:rPr>
          <w:rFonts w:ascii="Verdana" w:hAnsi="Verdana" w:cs="Tahoma"/>
          <w:sz w:val="24"/>
          <w:szCs w:val="24"/>
          <w:lang w:val="en-GB"/>
        </w:rPr>
        <w:t xml:space="preserve">ariables </w:t>
      </w:r>
      <w:r w:rsidR="009F3149" w:rsidRPr="002353FE">
        <w:rPr>
          <w:rFonts w:ascii="Verdana" w:hAnsi="Verdana" w:cs="Tahoma"/>
          <w:sz w:val="24"/>
          <w:szCs w:val="24"/>
          <w:lang w:val="en-GB"/>
        </w:rPr>
        <w:t xml:space="preserve">to </w:t>
      </w:r>
      <w:r w:rsidR="00C34F75" w:rsidRPr="002353FE">
        <w:rPr>
          <w:rFonts w:ascii="Verdana" w:hAnsi="Verdana" w:cs="Tahoma"/>
          <w:sz w:val="24"/>
          <w:szCs w:val="24"/>
          <w:lang w:val="en-GB"/>
        </w:rPr>
        <w:t>captur</w:t>
      </w:r>
      <w:r w:rsidR="009F3149" w:rsidRPr="002353FE">
        <w:rPr>
          <w:rFonts w:ascii="Verdana" w:hAnsi="Verdana" w:cs="Tahoma"/>
          <w:sz w:val="24"/>
          <w:szCs w:val="24"/>
          <w:lang w:val="en-GB"/>
        </w:rPr>
        <w:t>e</w:t>
      </w:r>
      <w:r w:rsidR="00C34F75" w:rsidRPr="002353FE">
        <w:rPr>
          <w:rFonts w:ascii="Verdana" w:hAnsi="Verdana" w:cs="Tahoma"/>
          <w:sz w:val="24"/>
          <w:szCs w:val="24"/>
          <w:lang w:val="en-GB"/>
        </w:rPr>
        <w:t xml:space="preserve"> effects </w:t>
      </w:r>
      <w:r w:rsidR="00AC2708" w:rsidRPr="002353FE">
        <w:rPr>
          <w:rFonts w:ascii="Verdana" w:hAnsi="Verdana" w:cs="Tahoma"/>
          <w:sz w:val="24"/>
          <w:szCs w:val="24"/>
          <w:lang w:val="en-GB"/>
        </w:rPr>
        <w:t>on switching derived from</w:t>
      </w:r>
      <w:r w:rsidR="00C34F75" w:rsidRPr="002353FE">
        <w:rPr>
          <w:rFonts w:ascii="Verdana" w:hAnsi="Verdana" w:cs="Tahoma"/>
          <w:sz w:val="24"/>
          <w:szCs w:val="24"/>
          <w:lang w:val="en-GB"/>
        </w:rPr>
        <w:t xml:space="preserve"> </w:t>
      </w:r>
      <w:r w:rsidR="000A55EA" w:rsidRPr="002353FE">
        <w:rPr>
          <w:rFonts w:ascii="Verdana" w:hAnsi="Verdana" w:cs="Tahoma"/>
          <w:sz w:val="24"/>
          <w:szCs w:val="24"/>
          <w:lang w:val="en-GB"/>
        </w:rPr>
        <w:t xml:space="preserve">national </w:t>
      </w:r>
      <w:r w:rsidR="00C34F75" w:rsidRPr="002353FE">
        <w:rPr>
          <w:rFonts w:ascii="Verdana" w:hAnsi="Verdana" w:cs="Tahoma"/>
          <w:sz w:val="24"/>
          <w:szCs w:val="24"/>
          <w:lang w:val="en-GB"/>
        </w:rPr>
        <w:t>macroeconomic or market characteristics</w:t>
      </w:r>
      <w:r w:rsidR="00433449" w:rsidRPr="002353FE">
        <w:rPr>
          <w:rFonts w:ascii="Verdana" w:hAnsi="Verdana" w:cs="Tahoma"/>
          <w:sz w:val="24"/>
          <w:szCs w:val="24"/>
          <w:lang w:val="en-GB"/>
        </w:rPr>
        <w:t xml:space="preserve"> at the time the </w:t>
      </w:r>
      <w:r w:rsidR="0033405D" w:rsidRPr="002353FE">
        <w:rPr>
          <w:rFonts w:ascii="Verdana" w:hAnsi="Verdana" w:cs="Tahoma"/>
          <w:sz w:val="24"/>
          <w:szCs w:val="24"/>
          <w:lang w:val="en-GB"/>
        </w:rPr>
        <w:t xml:space="preserve">Eurobarometer </w:t>
      </w:r>
      <w:r w:rsidR="006E7F0F" w:rsidRPr="002353FE">
        <w:rPr>
          <w:rFonts w:ascii="Verdana" w:hAnsi="Verdana" w:cs="Tahoma"/>
          <w:sz w:val="24"/>
          <w:szCs w:val="24"/>
          <w:lang w:val="en-GB"/>
        </w:rPr>
        <w:t>survey</w:t>
      </w:r>
      <w:r w:rsidR="00433449" w:rsidRPr="002353FE">
        <w:rPr>
          <w:rFonts w:ascii="Verdana" w:hAnsi="Verdana" w:cs="Tahoma"/>
          <w:sz w:val="24"/>
          <w:szCs w:val="24"/>
          <w:lang w:val="en-GB"/>
        </w:rPr>
        <w:t xml:space="preserve"> was conducted</w:t>
      </w:r>
      <w:r w:rsidR="00C34F75" w:rsidRPr="002353FE">
        <w:rPr>
          <w:rFonts w:ascii="Verdana" w:hAnsi="Verdana" w:cs="Tahoma"/>
          <w:sz w:val="24"/>
          <w:szCs w:val="24"/>
          <w:lang w:val="en-GB"/>
        </w:rPr>
        <w:t>.</w:t>
      </w:r>
      <w:r w:rsidR="00192ACA" w:rsidRPr="002353FE">
        <w:rPr>
          <w:rFonts w:ascii="Verdana" w:hAnsi="Verdana" w:cs="Tahoma"/>
          <w:sz w:val="24"/>
          <w:szCs w:val="24"/>
          <w:lang w:val="en-GB"/>
        </w:rPr>
        <w:t xml:space="preserve"> First, </w:t>
      </w:r>
      <w:r w:rsidR="00932E59" w:rsidRPr="002353FE">
        <w:rPr>
          <w:rFonts w:ascii="Verdana" w:hAnsi="Verdana" w:cs="Tahoma"/>
          <w:sz w:val="24"/>
          <w:szCs w:val="24"/>
          <w:lang w:val="en-GB"/>
        </w:rPr>
        <w:t xml:space="preserve">we employ </w:t>
      </w:r>
      <w:r w:rsidR="00192ACA" w:rsidRPr="002353FE">
        <w:rPr>
          <w:rFonts w:ascii="Verdana" w:hAnsi="Verdana" w:cs="Tahoma"/>
          <w:sz w:val="24"/>
          <w:szCs w:val="24"/>
          <w:lang w:val="en-GB"/>
        </w:rPr>
        <w:t>GDP</w:t>
      </w:r>
      <w:r w:rsidR="000B1ECB" w:rsidRPr="002353FE">
        <w:rPr>
          <w:rFonts w:ascii="Verdana" w:hAnsi="Verdana" w:cs="Tahoma"/>
          <w:sz w:val="24"/>
          <w:szCs w:val="24"/>
          <w:lang w:val="en-GB"/>
        </w:rPr>
        <w:t xml:space="preserve"> growth</w:t>
      </w:r>
      <w:r w:rsidR="00433449" w:rsidRPr="002353FE">
        <w:rPr>
          <w:rFonts w:ascii="Verdana" w:hAnsi="Verdana" w:cs="Tahoma"/>
          <w:sz w:val="24"/>
          <w:szCs w:val="24"/>
          <w:lang w:val="en-GB"/>
        </w:rPr>
        <w:t>,</w:t>
      </w:r>
      <w:r w:rsidR="00E03A7D" w:rsidRPr="002353FE">
        <w:rPr>
          <w:rFonts w:ascii="Verdana" w:hAnsi="Verdana" w:cs="Tahoma"/>
          <w:sz w:val="24"/>
          <w:szCs w:val="24"/>
          <w:lang w:val="en-GB"/>
        </w:rPr>
        <w:t xml:space="preserve"> </w:t>
      </w:r>
      <w:r w:rsidR="00AD0728" w:rsidRPr="002353FE">
        <w:rPr>
          <w:rFonts w:ascii="Verdana" w:hAnsi="Verdana" w:cs="Tahoma"/>
          <w:sz w:val="24"/>
          <w:szCs w:val="24"/>
          <w:lang w:val="en-GB"/>
        </w:rPr>
        <w:t xml:space="preserve">measured as </w:t>
      </w:r>
      <w:r w:rsidR="00E03A7D" w:rsidRPr="002353FE">
        <w:rPr>
          <w:rFonts w:ascii="Verdana" w:hAnsi="Verdana" w:cs="Tahoma"/>
          <w:sz w:val="24"/>
          <w:szCs w:val="24"/>
          <w:lang w:val="en-GB"/>
        </w:rPr>
        <w:t xml:space="preserve">the </w:t>
      </w:r>
      <w:r w:rsidR="00192ACA" w:rsidRPr="002353FE">
        <w:rPr>
          <w:rFonts w:ascii="Verdana" w:hAnsi="Verdana" w:cs="Tahoma"/>
          <w:sz w:val="24"/>
          <w:szCs w:val="24"/>
          <w:lang w:val="en-GB"/>
        </w:rPr>
        <w:t>average</w:t>
      </w:r>
      <w:r w:rsidR="00BC1348" w:rsidRPr="002353FE">
        <w:rPr>
          <w:rFonts w:ascii="Verdana" w:hAnsi="Verdana" w:cs="Tahoma"/>
          <w:sz w:val="24"/>
          <w:szCs w:val="24"/>
          <w:lang w:val="en-GB"/>
        </w:rPr>
        <w:t xml:space="preserve"> </w:t>
      </w:r>
      <w:r w:rsidR="00E03A7D" w:rsidRPr="002353FE">
        <w:rPr>
          <w:rFonts w:ascii="Verdana" w:hAnsi="Verdana" w:cs="Tahoma"/>
          <w:sz w:val="24"/>
          <w:szCs w:val="24"/>
          <w:lang w:val="en-GB"/>
        </w:rPr>
        <w:t>growth</w:t>
      </w:r>
      <w:r w:rsidR="000B1ECB" w:rsidRPr="002353FE">
        <w:rPr>
          <w:rFonts w:ascii="Verdana" w:hAnsi="Verdana" w:cs="Tahoma"/>
          <w:sz w:val="24"/>
          <w:szCs w:val="24"/>
          <w:lang w:val="en-GB"/>
        </w:rPr>
        <w:t xml:space="preserve"> at constant prices</w:t>
      </w:r>
      <w:r w:rsidR="00932E59" w:rsidRPr="002353FE">
        <w:rPr>
          <w:rFonts w:ascii="Verdana" w:hAnsi="Verdana" w:cs="Tahoma"/>
          <w:sz w:val="24"/>
          <w:szCs w:val="24"/>
          <w:lang w:val="en-GB"/>
        </w:rPr>
        <w:t>,</w:t>
      </w:r>
      <w:r w:rsidR="00E03A7D" w:rsidRPr="002353FE">
        <w:rPr>
          <w:rFonts w:ascii="Verdana" w:hAnsi="Verdana" w:cs="Tahoma"/>
          <w:sz w:val="24"/>
          <w:szCs w:val="24"/>
          <w:lang w:val="en-GB"/>
        </w:rPr>
        <w:t xml:space="preserve"> </w:t>
      </w:r>
      <w:r w:rsidR="00192ACA" w:rsidRPr="002353FE">
        <w:rPr>
          <w:rFonts w:ascii="Verdana" w:hAnsi="Verdana" w:cs="Tahoma"/>
          <w:sz w:val="24"/>
          <w:szCs w:val="24"/>
          <w:lang w:val="en-GB"/>
        </w:rPr>
        <w:t xml:space="preserve">in the </w:t>
      </w:r>
      <w:r w:rsidR="009610FE" w:rsidRPr="002353FE">
        <w:rPr>
          <w:rFonts w:ascii="Verdana" w:hAnsi="Verdana" w:cs="Tahoma"/>
          <w:sz w:val="24"/>
          <w:szCs w:val="24"/>
          <w:lang w:val="en-GB"/>
        </w:rPr>
        <w:t>period 2011-2015</w:t>
      </w:r>
      <w:r w:rsidR="00A05765" w:rsidRPr="002353FE">
        <w:rPr>
          <w:rFonts w:ascii="Verdana" w:hAnsi="Verdana" w:cs="Tahoma"/>
          <w:sz w:val="24"/>
          <w:szCs w:val="24"/>
          <w:lang w:val="en-GB"/>
        </w:rPr>
        <w:t xml:space="preserve"> (EUROSTAT</w:t>
      </w:r>
      <w:r w:rsidR="007F7EED" w:rsidRPr="002353FE">
        <w:rPr>
          <w:rFonts w:ascii="Verdana" w:hAnsi="Verdana" w:cs="Tahoma"/>
          <w:sz w:val="24"/>
          <w:szCs w:val="24"/>
          <w:lang w:val="en-GB"/>
        </w:rPr>
        <w:t>,</w:t>
      </w:r>
      <w:r w:rsidR="00F4198A" w:rsidRPr="002353FE">
        <w:rPr>
          <w:rFonts w:ascii="Verdana" w:hAnsi="Verdana" w:cs="Tahoma"/>
          <w:sz w:val="24"/>
          <w:szCs w:val="24"/>
          <w:lang w:val="en-GB"/>
        </w:rPr>
        <w:t xml:space="preserve"> 2017b)</w:t>
      </w:r>
      <w:r w:rsidR="00E03A7D" w:rsidRPr="002353FE">
        <w:rPr>
          <w:rFonts w:ascii="Verdana" w:hAnsi="Verdana" w:cs="Tahoma"/>
          <w:sz w:val="24"/>
          <w:szCs w:val="24"/>
          <w:lang w:val="en-GB"/>
        </w:rPr>
        <w:t xml:space="preserve">. </w:t>
      </w:r>
      <w:r w:rsidR="009610FE" w:rsidRPr="002353FE">
        <w:rPr>
          <w:rFonts w:ascii="Verdana" w:hAnsi="Verdana" w:cs="Tahoma"/>
          <w:sz w:val="24"/>
          <w:szCs w:val="24"/>
          <w:lang w:val="en-GB"/>
        </w:rPr>
        <w:t>Second, inflation</w:t>
      </w:r>
      <w:r w:rsidR="003F67C9" w:rsidRPr="002353FE">
        <w:rPr>
          <w:rFonts w:ascii="Verdana" w:hAnsi="Verdana" w:cs="Tahoma"/>
          <w:sz w:val="24"/>
          <w:szCs w:val="24"/>
          <w:lang w:val="en-GB"/>
        </w:rPr>
        <w:t xml:space="preserve"> is</w:t>
      </w:r>
      <w:r w:rsidR="00E03A7D" w:rsidRPr="002353FE">
        <w:rPr>
          <w:rFonts w:ascii="Verdana" w:hAnsi="Verdana" w:cs="Tahoma"/>
          <w:sz w:val="24"/>
          <w:szCs w:val="24"/>
          <w:lang w:val="en-GB"/>
        </w:rPr>
        <w:t xml:space="preserve"> </w:t>
      </w:r>
      <w:r w:rsidR="00361915" w:rsidRPr="002353FE">
        <w:rPr>
          <w:rFonts w:ascii="Verdana" w:hAnsi="Verdana" w:cs="Tahoma"/>
          <w:sz w:val="24"/>
          <w:szCs w:val="24"/>
          <w:lang w:val="en-GB"/>
        </w:rPr>
        <w:t xml:space="preserve">recorded as </w:t>
      </w:r>
      <w:r w:rsidR="009610FE" w:rsidRPr="002353FE">
        <w:rPr>
          <w:rFonts w:ascii="Verdana" w:hAnsi="Verdana" w:cs="Tahoma"/>
          <w:sz w:val="24"/>
          <w:szCs w:val="24"/>
          <w:lang w:val="en-GB"/>
        </w:rPr>
        <w:t>the average annual growth of the consumer price index in the period 2011-2015 (EUROSTAT</w:t>
      </w:r>
      <w:r w:rsidR="007F7EED" w:rsidRPr="002353FE">
        <w:rPr>
          <w:rFonts w:ascii="Verdana" w:hAnsi="Verdana" w:cs="Tahoma"/>
          <w:sz w:val="24"/>
          <w:szCs w:val="24"/>
          <w:lang w:val="en-GB"/>
        </w:rPr>
        <w:t>,</w:t>
      </w:r>
      <w:r w:rsidR="009610FE" w:rsidRPr="002353FE">
        <w:rPr>
          <w:rFonts w:ascii="Verdana" w:hAnsi="Verdana" w:cs="Tahoma"/>
          <w:sz w:val="24"/>
          <w:szCs w:val="24"/>
          <w:lang w:val="en-GB"/>
        </w:rPr>
        <w:t xml:space="preserve"> 2017c)</w:t>
      </w:r>
      <w:r w:rsidR="003F67C9" w:rsidRPr="002353FE">
        <w:rPr>
          <w:rFonts w:ascii="Verdana" w:hAnsi="Verdana" w:cs="Tahoma"/>
          <w:sz w:val="24"/>
          <w:szCs w:val="24"/>
          <w:lang w:val="en-GB"/>
        </w:rPr>
        <w:t xml:space="preserve">. </w:t>
      </w:r>
      <w:r w:rsidR="009610FE" w:rsidRPr="002353FE">
        <w:rPr>
          <w:rFonts w:ascii="Verdana" w:hAnsi="Verdana" w:cs="Tahoma"/>
          <w:sz w:val="24"/>
          <w:szCs w:val="24"/>
          <w:lang w:val="en-GB"/>
        </w:rPr>
        <w:t>Third,</w:t>
      </w:r>
      <w:r w:rsidR="00BC1348" w:rsidRPr="002353FE">
        <w:rPr>
          <w:rFonts w:ascii="Verdana" w:hAnsi="Verdana" w:cs="Tahoma"/>
          <w:sz w:val="24"/>
          <w:szCs w:val="24"/>
          <w:lang w:val="en-GB"/>
        </w:rPr>
        <w:t xml:space="preserve"> </w:t>
      </w:r>
      <w:r w:rsidR="00634A5E" w:rsidRPr="002353FE">
        <w:rPr>
          <w:rFonts w:ascii="Verdana" w:hAnsi="Verdana" w:cs="Tahoma"/>
          <w:sz w:val="24"/>
          <w:szCs w:val="24"/>
          <w:lang w:val="en-GB"/>
        </w:rPr>
        <w:t xml:space="preserve">national </w:t>
      </w:r>
      <w:r w:rsidR="00BC1348" w:rsidRPr="002353FE">
        <w:rPr>
          <w:rFonts w:ascii="Verdana" w:hAnsi="Verdana" w:cs="Tahoma"/>
          <w:sz w:val="24"/>
          <w:szCs w:val="24"/>
          <w:lang w:val="en-GB"/>
        </w:rPr>
        <w:t>interest rates</w:t>
      </w:r>
      <w:r w:rsidR="00433449" w:rsidRPr="002353FE">
        <w:rPr>
          <w:rFonts w:ascii="Verdana" w:hAnsi="Verdana" w:cs="Tahoma"/>
          <w:sz w:val="24"/>
          <w:szCs w:val="24"/>
          <w:lang w:val="en-GB"/>
        </w:rPr>
        <w:t>,</w:t>
      </w:r>
      <w:r w:rsidR="004F309D" w:rsidRPr="002353FE">
        <w:rPr>
          <w:rFonts w:ascii="Verdana" w:hAnsi="Verdana" w:cs="Tahoma"/>
          <w:sz w:val="24"/>
          <w:szCs w:val="24"/>
          <w:lang w:val="en-GB"/>
        </w:rPr>
        <w:t xml:space="preserve"> </w:t>
      </w:r>
      <w:r w:rsidR="00E03A7D" w:rsidRPr="002353FE">
        <w:rPr>
          <w:rFonts w:ascii="Verdana" w:hAnsi="Verdana" w:cs="Tahoma"/>
          <w:sz w:val="24"/>
          <w:szCs w:val="24"/>
          <w:lang w:val="en-GB"/>
        </w:rPr>
        <w:t xml:space="preserve">measured as </w:t>
      </w:r>
      <w:r w:rsidR="00175811" w:rsidRPr="002353FE">
        <w:rPr>
          <w:rFonts w:ascii="Verdana" w:hAnsi="Verdana" w:cs="Tahoma"/>
          <w:sz w:val="24"/>
          <w:szCs w:val="24"/>
          <w:lang w:val="en-GB"/>
        </w:rPr>
        <w:t>the</w:t>
      </w:r>
      <w:r w:rsidR="00634A5E" w:rsidRPr="002353FE">
        <w:rPr>
          <w:rFonts w:ascii="Verdana" w:hAnsi="Verdana" w:cs="Tahoma"/>
          <w:sz w:val="24"/>
          <w:szCs w:val="24"/>
          <w:lang w:val="en-GB"/>
        </w:rPr>
        <w:t xml:space="preserve"> 2011-2014 average </w:t>
      </w:r>
      <w:r w:rsidR="00175811" w:rsidRPr="002353FE">
        <w:rPr>
          <w:rFonts w:ascii="Verdana" w:hAnsi="Verdana" w:cs="Tahoma"/>
          <w:sz w:val="24"/>
          <w:szCs w:val="24"/>
          <w:lang w:val="en-GB"/>
        </w:rPr>
        <w:t>money market interest rate</w:t>
      </w:r>
      <w:r w:rsidR="009610FE" w:rsidRPr="002353FE">
        <w:rPr>
          <w:rFonts w:ascii="Verdana" w:hAnsi="Verdana" w:cs="Tahoma"/>
          <w:sz w:val="24"/>
          <w:szCs w:val="24"/>
          <w:lang w:val="en-GB"/>
        </w:rPr>
        <w:t xml:space="preserve"> at 6 months (EUROSTAT</w:t>
      </w:r>
      <w:r w:rsidR="007F7EED" w:rsidRPr="002353FE">
        <w:rPr>
          <w:rFonts w:ascii="Verdana" w:hAnsi="Verdana" w:cs="Tahoma"/>
          <w:sz w:val="24"/>
          <w:szCs w:val="24"/>
          <w:lang w:val="en-GB"/>
        </w:rPr>
        <w:t>,</w:t>
      </w:r>
      <w:r w:rsidR="009610FE" w:rsidRPr="002353FE">
        <w:rPr>
          <w:rFonts w:ascii="Verdana" w:hAnsi="Verdana" w:cs="Tahoma"/>
          <w:sz w:val="24"/>
          <w:szCs w:val="24"/>
          <w:lang w:val="en-GB"/>
        </w:rPr>
        <w:t xml:space="preserve"> 2017d)</w:t>
      </w:r>
      <w:r w:rsidR="00634A5E" w:rsidRPr="002353FE">
        <w:rPr>
          <w:rFonts w:ascii="Verdana" w:hAnsi="Verdana" w:cs="Tahoma"/>
          <w:sz w:val="24"/>
          <w:szCs w:val="24"/>
          <w:lang w:val="en-GB"/>
        </w:rPr>
        <w:t xml:space="preserve"> is employed</w:t>
      </w:r>
      <w:r w:rsidR="002C323A" w:rsidRPr="002353FE">
        <w:rPr>
          <w:rFonts w:ascii="Verdana" w:hAnsi="Verdana" w:cs="Tahoma"/>
          <w:sz w:val="24"/>
          <w:szCs w:val="24"/>
          <w:lang w:val="en-GB"/>
        </w:rPr>
        <w:t xml:space="preserve"> </w:t>
      </w:r>
      <w:r w:rsidR="00C005FD" w:rsidRPr="002353FE">
        <w:rPr>
          <w:rFonts w:ascii="Verdana" w:hAnsi="Verdana" w:cs="Tahoma"/>
          <w:sz w:val="24"/>
          <w:szCs w:val="24"/>
          <w:lang w:val="en-GB"/>
        </w:rPr>
        <w:t>(</w:t>
      </w:r>
      <w:r w:rsidR="002C323A" w:rsidRPr="002353FE">
        <w:rPr>
          <w:rFonts w:ascii="Verdana" w:hAnsi="Verdana" w:cs="Tahoma"/>
          <w:sz w:val="24"/>
          <w:szCs w:val="24"/>
          <w:lang w:val="en-GB"/>
        </w:rPr>
        <w:t xml:space="preserve">as </w:t>
      </w:r>
      <w:r w:rsidR="009610FE" w:rsidRPr="002353FE">
        <w:rPr>
          <w:rFonts w:ascii="Verdana" w:hAnsi="Verdana" w:cs="Tahoma"/>
          <w:sz w:val="24"/>
          <w:szCs w:val="24"/>
          <w:lang w:val="en-GB"/>
        </w:rPr>
        <w:t xml:space="preserve">information for 2015 </w:t>
      </w:r>
      <w:r w:rsidR="003D66A7" w:rsidRPr="002353FE">
        <w:rPr>
          <w:rFonts w:ascii="Verdana" w:hAnsi="Verdana" w:cs="Tahoma"/>
          <w:sz w:val="24"/>
          <w:szCs w:val="24"/>
          <w:lang w:val="en-GB"/>
        </w:rPr>
        <w:t>wa</w:t>
      </w:r>
      <w:r w:rsidR="009610FE" w:rsidRPr="002353FE">
        <w:rPr>
          <w:rFonts w:ascii="Verdana" w:hAnsi="Verdana" w:cs="Tahoma"/>
          <w:sz w:val="24"/>
          <w:szCs w:val="24"/>
          <w:lang w:val="en-GB"/>
        </w:rPr>
        <w:t xml:space="preserve">s not available for </w:t>
      </w:r>
      <w:r w:rsidR="002B018A" w:rsidRPr="002353FE">
        <w:rPr>
          <w:rFonts w:ascii="Verdana" w:hAnsi="Verdana" w:cs="Tahoma"/>
          <w:sz w:val="24"/>
          <w:szCs w:val="24"/>
          <w:lang w:val="en-GB"/>
        </w:rPr>
        <w:t>eight</w:t>
      </w:r>
      <w:r w:rsidR="009610FE" w:rsidRPr="002353FE">
        <w:rPr>
          <w:rFonts w:ascii="Verdana" w:hAnsi="Verdana" w:cs="Tahoma"/>
          <w:sz w:val="24"/>
          <w:szCs w:val="24"/>
          <w:lang w:val="en-GB"/>
        </w:rPr>
        <w:t xml:space="preserve"> countries</w:t>
      </w:r>
      <w:r w:rsidR="00361915" w:rsidRPr="002353FE">
        <w:rPr>
          <w:rStyle w:val="FootnoteReference"/>
          <w:rFonts w:ascii="Verdana" w:hAnsi="Verdana" w:cs="Tahoma"/>
          <w:sz w:val="24"/>
          <w:szCs w:val="24"/>
          <w:lang w:val="en-GB"/>
        </w:rPr>
        <w:footnoteReference w:id="3"/>
      </w:r>
      <w:r w:rsidR="00C005FD" w:rsidRPr="002353FE">
        <w:rPr>
          <w:rFonts w:ascii="Verdana" w:hAnsi="Verdana" w:cs="Tahoma"/>
          <w:sz w:val="24"/>
          <w:szCs w:val="24"/>
          <w:lang w:val="en-GB"/>
        </w:rPr>
        <w:t>)</w:t>
      </w:r>
      <w:r w:rsidR="009610FE" w:rsidRPr="002353FE">
        <w:rPr>
          <w:rFonts w:ascii="Verdana" w:hAnsi="Verdana" w:cs="Tahoma"/>
          <w:sz w:val="24"/>
          <w:szCs w:val="24"/>
          <w:lang w:val="en-GB"/>
        </w:rPr>
        <w:t xml:space="preserve">. </w:t>
      </w:r>
      <w:r w:rsidR="00710272" w:rsidRPr="002353FE">
        <w:rPr>
          <w:rFonts w:ascii="Verdana" w:hAnsi="Verdana" w:cs="Tahoma"/>
          <w:sz w:val="24"/>
          <w:szCs w:val="24"/>
          <w:lang w:val="en-GB"/>
        </w:rPr>
        <w:t xml:space="preserve">Fourth, the </w:t>
      </w:r>
      <w:r w:rsidR="00824823" w:rsidRPr="002353FE">
        <w:rPr>
          <w:rFonts w:ascii="Verdana" w:hAnsi="Verdana" w:cs="Tahoma"/>
          <w:sz w:val="24"/>
          <w:szCs w:val="24"/>
          <w:lang w:val="en-GB"/>
        </w:rPr>
        <w:t>Boone indicator of competition</w:t>
      </w:r>
      <w:r w:rsidR="006462DB" w:rsidRPr="002353FE">
        <w:rPr>
          <w:rFonts w:ascii="Verdana" w:hAnsi="Verdana" w:cs="Tahoma"/>
          <w:sz w:val="24"/>
          <w:szCs w:val="24"/>
          <w:lang w:val="en-GB"/>
        </w:rPr>
        <w:t xml:space="preserve"> </w:t>
      </w:r>
      <w:r w:rsidR="000B1ECB" w:rsidRPr="002353FE">
        <w:rPr>
          <w:rFonts w:ascii="Verdana" w:hAnsi="Verdana" w:cs="Tahoma"/>
          <w:sz w:val="24"/>
          <w:szCs w:val="24"/>
          <w:lang w:val="en-GB"/>
        </w:rPr>
        <w:t xml:space="preserve">(average </w:t>
      </w:r>
      <w:r w:rsidR="00F548A1" w:rsidRPr="002353FE">
        <w:rPr>
          <w:rFonts w:ascii="Verdana" w:hAnsi="Verdana" w:cs="Tahoma"/>
          <w:sz w:val="24"/>
          <w:szCs w:val="24"/>
          <w:lang w:val="en-GB"/>
        </w:rPr>
        <w:t xml:space="preserve">for </w:t>
      </w:r>
      <w:r w:rsidR="000B1ECB" w:rsidRPr="002353FE">
        <w:rPr>
          <w:rFonts w:ascii="Verdana" w:hAnsi="Verdana" w:cs="Tahoma"/>
          <w:sz w:val="24"/>
          <w:szCs w:val="24"/>
          <w:lang w:val="en-GB"/>
        </w:rPr>
        <w:t>the period 2011-2015)</w:t>
      </w:r>
      <w:r w:rsidR="00E9789E" w:rsidRPr="002353FE">
        <w:rPr>
          <w:rFonts w:ascii="Verdana" w:hAnsi="Verdana" w:cs="Tahoma"/>
          <w:sz w:val="24"/>
          <w:szCs w:val="24"/>
          <w:lang w:val="en-GB"/>
        </w:rPr>
        <w:t>,</w:t>
      </w:r>
      <w:r w:rsidR="00F548A1" w:rsidRPr="002353FE">
        <w:rPr>
          <w:rFonts w:ascii="Verdana" w:hAnsi="Verdana" w:cs="Tahoma"/>
          <w:sz w:val="24"/>
          <w:szCs w:val="24"/>
          <w:lang w:val="en-GB"/>
        </w:rPr>
        <w:t xml:space="preserve"> </w:t>
      </w:r>
      <w:r w:rsidR="00B97569" w:rsidRPr="002353FE">
        <w:rPr>
          <w:rFonts w:ascii="Verdana" w:hAnsi="Verdana" w:cs="Tahoma"/>
          <w:sz w:val="24"/>
          <w:szCs w:val="24"/>
          <w:lang w:val="en-GB"/>
        </w:rPr>
        <w:t xml:space="preserve">was </w:t>
      </w:r>
      <w:r w:rsidR="00710272" w:rsidRPr="002353FE">
        <w:rPr>
          <w:rFonts w:ascii="Verdana" w:hAnsi="Verdana" w:cs="Tahoma"/>
          <w:sz w:val="24"/>
          <w:szCs w:val="24"/>
          <w:lang w:val="en-GB"/>
        </w:rPr>
        <w:t xml:space="preserve">obtained from </w:t>
      </w:r>
      <w:r w:rsidR="00824823" w:rsidRPr="002353FE">
        <w:rPr>
          <w:rFonts w:ascii="Verdana" w:hAnsi="Verdana" w:cs="Tahoma"/>
          <w:sz w:val="24"/>
          <w:szCs w:val="24"/>
          <w:lang w:val="en-GB"/>
        </w:rPr>
        <w:t>the World Bank Global Financial Development Database (World Bank</w:t>
      </w:r>
      <w:r w:rsidR="007F7EED" w:rsidRPr="002353FE">
        <w:rPr>
          <w:rFonts w:ascii="Verdana" w:hAnsi="Verdana" w:cs="Tahoma"/>
          <w:sz w:val="24"/>
          <w:szCs w:val="24"/>
          <w:lang w:val="en-GB"/>
        </w:rPr>
        <w:t>,</w:t>
      </w:r>
      <w:r w:rsidR="00824823" w:rsidRPr="002353FE">
        <w:rPr>
          <w:rFonts w:ascii="Verdana" w:hAnsi="Verdana" w:cs="Tahoma"/>
          <w:sz w:val="24"/>
          <w:szCs w:val="24"/>
          <w:lang w:val="en-GB"/>
        </w:rPr>
        <w:t xml:space="preserve"> 2017)</w:t>
      </w:r>
      <w:r w:rsidR="002C323A" w:rsidRPr="002353FE">
        <w:rPr>
          <w:rFonts w:ascii="Verdana" w:hAnsi="Verdana" w:cs="Tahoma"/>
          <w:sz w:val="24"/>
          <w:szCs w:val="24"/>
          <w:lang w:val="en-GB"/>
        </w:rPr>
        <w:t xml:space="preserve">. This </w:t>
      </w:r>
      <w:r w:rsidR="007F3F99" w:rsidRPr="002353FE">
        <w:rPr>
          <w:rFonts w:ascii="Verdana" w:hAnsi="Verdana" w:cs="Tahoma"/>
          <w:sz w:val="24"/>
          <w:szCs w:val="24"/>
          <w:lang w:val="en-GB"/>
        </w:rPr>
        <w:t>indicator</w:t>
      </w:r>
      <w:r w:rsidR="00F548A1" w:rsidRPr="002353FE">
        <w:rPr>
          <w:rFonts w:ascii="Verdana" w:hAnsi="Verdana" w:cs="Tahoma"/>
          <w:sz w:val="24"/>
          <w:szCs w:val="24"/>
          <w:lang w:val="en-GB"/>
        </w:rPr>
        <w:t xml:space="preserve"> </w:t>
      </w:r>
      <w:r w:rsidR="00B97569" w:rsidRPr="002353FE">
        <w:rPr>
          <w:rFonts w:ascii="Verdana" w:hAnsi="Verdana" w:cs="Tahoma"/>
          <w:sz w:val="24"/>
          <w:szCs w:val="24"/>
          <w:lang w:val="en-GB"/>
        </w:rPr>
        <w:t xml:space="preserve">measures </w:t>
      </w:r>
      <w:r w:rsidR="00824823" w:rsidRPr="002353FE">
        <w:rPr>
          <w:rFonts w:ascii="Verdana" w:hAnsi="Verdana" w:cs="Tahoma"/>
          <w:sz w:val="24"/>
          <w:szCs w:val="24"/>
          <w:lang w:val="en-GB"/>
        </w:rPr>
        <w:t>the elasticity of profits to marginal costs</w:t>
      </w:r>
      <w:r w:rsidR="00DE1133" w:rsidRPr="002353FE">
        <w:rPr>
          <w:rFonts w:ascii="Verdana" w:hAnsi="Verdana" w:cs="Tahoma"/>
          <w:sz w:val="24"/>
          <w:szCs w:val="24"/>
          <w:lang w:val="en-GB"/>
        </w:rPr>
        <w:t>, where a</w:t>
      </w:r>
      <w:r w:rsidR="00824823" w:rsidRPr="002353FE">
        <w:rPr>
          <w:rFonts w:ascii="Verdana" w:hAnsi="Verdana" w:cs="Tahoma"/>
          <w:sz w:val="24"/>
          <w:szCs w:val="24"/>
          <w:lang w:val="en-GB"/>
        </w:rPr>
        <w:t xml:space="preserve"> higher value implies l</w:t>
      </w:r>
      <w:r w:rsidR="006462DB" w:rsidRPr="002353FE">
        <w:rPr>
          <w:rFonts w:ascii="Verdana" w:hAnsi="Verdana" w:cs="Tahoma"/>
          <w:sz w:val="24"/>
          <w:szCs w:val="24"/>
          <w:lang w:val="en-GB"/>
        </w:rPr>
        <w:t>ess</w:t>
      </w:r>
      <w:r w:rsidR="00824823" w:rsidRPr="002353FE">
        <w:rPr>
          <w:rFonts w:ascii="Verdana" w:hAnsi="Verdana" w:cs="Tahoma"/>
          <w:sz w:val="24"/>
          <w:szCs w:val="24"/>
          <w:lang w:val="en-GB"/>
        </w:rPr>
        <w:t xml:space="preserve"> competitive conduct </w:t>
      </w:r>
      <w:r w:rsidR="004F309D" w:rsidRPr="002353FE">
        <w:rPr>
          <w:rFonts w:ascii="Verdana" w:hAnsi="Verdana" w:cs="Tahoma"/>
          <w:sz w:val="24"/>
          <w:szCs w:val="24"/>
          <w:lang w:val="en-GB"/>
        </w:rPr>
        <w:t>by</w:t>
      </w:r>
      <w:r w:rsidR="00824823" w:rsidRPr="002353FE">
        <w:rPr>
          <w:rFonts w:ascii="Verdana" w:hAnsi="Verdana" w:cs="Tahoma"/>
          <w:sz w:val="24"/>
          <w:szCs w:val="24"/>
          <w:lang w:val="en-GB"/>
        </w:rPr>
        <w:t xml:space="preserve"> financial institutions</w:t>
      </w:r>
      <w:r w:rsidR="00710272" w:rsidRPr="002353FE">
        <w:rPr>
          <w:rFonts w:ascii="Verdana" w:hAnsi="Verdana" w:cs="Tahoma"/>
          <w:sz w:val="24"/>
          <w:szCs w:val="24"/>
          <w:lang w:val="en-GB"/>
        </w:rPr>
        <w:t>.</w:t>
      </w:r>
      <w:r w:rsidR="009610FE" w:rsidRPr="002353FE">
        <w:rPr>
          <w:rFonts w:ascii="Verdana" w:hAnsi="Verdana" w:cs="Tahoma"/>
          <w:sz w:val="24"/>
          <w:szCs w:val="24"/>
          <w:lang w:val="en-GB"/>
        </w:rPr>
        <w:t xml:space="preserve"> </w:t>
      </w:r>
      <w:r w:rsidR="002166D9" w:rsidRPr="002353FE">
        <w:rPr>
          <w:rFonts w:ascii="Verdana" w:hAnsi="Verdana" w:cs="Tahoma"/>
          <w:sz w:val="24"/>
          <w:szCs w:val="24"/>
          <w:lang w:val="en-GB"/>
        </w:rPr>
        <w:t>F</w:t>
      </w:r>
      <w:r w:rsidR="007F3F99" w:rsidRPr="002353FE">
        <w:rPr>
          <w:rFonts w:ascii="Verdana" w:hAnsi="Verdana" w:cs="Tahoma"/>
          <w:sz w:val="24"/>
          <w:szCs w:val="24"/>
          <w:lang w:val="en-GB"/>
        </w:rPr>
        <w:t>ifth</w:t>
      </w:r>
      <w:r w:rsidR="002C323A" w:rsidRPr="002353FE">
        <w:rPr>
          <w:rFonts w:ascii="Verdana" w:hAnsi="Verdana" w:cs="Tahoma"/>
          <w:sz w:val="24"/>
          <w:szCs w:val="24"/>
          <w:lang w:val="en-GB"/>
        </w:rPr>
        <w:t xml:space="preserve">, </w:t>
      </w:r>
      <w:r w:rsidR="009A47BE" w:rsidRPr="002353FE">
        <w:rPr>
          <w:rFonts w:ascii="Verdana" w:hAnsi="Verdana" w:cs="Tahoma"/>
          <w:sz w:val="24"/>
          <w:szCs w:val="24"/>
          <w:lang w:val="en-GB"/>
        </w:rPr>
        <w:lastRenderedPageBreak/>
        <w:t xml:space="preserve">the </w:t>
      </w:r>
      <w:r w:rsidR="00A75695" w:rsidRPr="002353FE">
        <w:rPr>
          <w:rFonts w:ascii="Verdana" w:hAnsi="Verdana" w:cs="Tahoma"/>
          <w:sz w:val="24"/>
          <w:szCs w:val="24"/>
          <w:lang w:val="en-GB"/>
        </w:rPr>
        <w:t xml:space="preserve">national </w:t>
      </w:r>
      <w:r w:rsidR="009A47BE" w:rsidRPr="002353FE">
        <w:rPr>
          <w:rFonts w:ascii="Verdana" w:hAnsi="Verdana" w:cs="Tahoma"/>
          <w:sz w:val="24"/>
          <w:szCs w:val="24"/>
          <w:lang w:val="en-GB"/>
        </w:rPr>
        <w:t xml:space="preserve">market size </w:t>
      </w:r>
      <w:r w:rsidR="002166D9" w:rsidRPr="002353FE">
        <w:rPr>
          <w:rFonts w:ascii="Verdana" w:hAnsi="Verdana" w:cs="Tahoma"/>
          <w:sz w:val="24"/>
          <w:szCs w:val="24"/>
          <w:lang w:val="en-GB"/>
        </w:rPr>
        <w:t>is</w:t>
      </w:r>
      <w:r w:rsidR="00433449" w:rsidRPr="002353FE">
        <w:rPr>
          <w:rFonts w:ascii="Verdana" w:hAnsi="Verdana" w:cs="Tahoma"/>
          <w:sz w:val="24"/>
          <w:szCs w:val="24"/>
          <w:lang w:val="en-GB"/>
        </w:rPr>
        <w:t xml:space="preserve"> </w:t>
      </w:r>
      <w:r w:rsidR="009A47BE" w:rsidRPr="002353FE">
        <w:rPr>
          <w:rFonts w:ascii="Verdana" w:hAnsi="Verdana" w:cs="Tahoma"/>
          <w:sz w:val="24"/>
          <w:szCs w:val="24"/>
          <w:lang w:val="en-GB"/>
        </w:rPr>
        <w:t>calculated from the percentage of adult population using any banking service (</w:t>
      </w:r>
      <w:r w:rsidR="0033405D" w:rsidRPr="002353FE">
        <w:rPr>
          <w:rFonts w:ascii="Verdana" w:hAnsi="Verdana" w:cs="Tahoma"/>
          <w:sz w:val="24"/>
          <w:szCs w:val="24"/>
          <w:lang w:val="en-GB"/>
        </w:rPr>
        <w:t>EC and EP</w:t>
      </w:r>
      <w:r w:rsidR="007F7EED" w:rsidRPr="002353FE">
        <w:rPr>
          <w:rFonts w:ascii="Verdana" w:hAnsi="Verdana" w:cs="Tahoma"/>
          <w:sz w:val="24"/>
          <w:szCs w:val="24"/>
          <w:lang w:val="en-GB"/>
        </w:rPr>
        <w:t>,</w:t>
      </w:r>
      <w:r w:rsidR="002166D9" w:rsidRPr="002353FE">
        <w:rPr>
          <w:rFonts w:ascii="Verdana" w:hAnsi="Verdana" w:cs="Tahoma"/>
          <w:sz w:val="24"/>
          <w:szCs w:val="24"/>
          <w:lang w:val="en-GB"/>
        </w:rPr>
        <w:t xml:space="preserve"> 2016</w:t>
      </w:r>
      <w:r w:rsidR="009A47BE" w:rsidRPr="002353FE">
        <w:rPr>
          <w:rFonts w:ascii="Verdana" w:hAnsi="Verdana" w:cs="Tahoma"/>
          <w:sz w:val="24"/>
          <w:szCs w:val="24"/>
          <w:lang w:val="en-GB"/>
        </w:rPr>
        <w:t>) a</w:t>
      </w:r>
      <w:r w:rsidR="00BC1348" w:rsidRPr="002353FE">
        <w:rPr>
          <w:rFonts w:ascii="Verdana" w:hAnsi="Verdana" w:cs="Tahoma"/>
          <w:sz w:val="24"/>
          <w:szCs w:val="24"/>
          <w:lang w:val="en-GB"/>
        </w:rPr>
        <w:t>nd</w:t>
      </w:r>
      <w:r w:rsidR="009A47BE" w:rsidRPr="002353FE">
        <w:rPr>
          <w:rFonts w:ascii="Verdana" w:hAnsi="Verdana" w:cs="Tahoma"/>
          <w:sz w:val="24"/>
          <w:szCs w:val="24"/>
          <w:lang w:val="en-GB"/>
        </w:rPr>
        <w:t xml:space="preserve"> the </w:t>
      </w:r>
      <w:r w:rsidR="00A75695" w:rsidRPr="002353FE">
        <w:rPr>
          <w:rFonts w:ascii="Verdana" w:hAnsi="Verdana" w:cs="Tahoma"/>
          <w:sz w:val="24"/>
          <w:szCs w:val="24"/>
          <w:lang w:val="en-GB"/>
        </w:rPr>
        <w:t>nation</w:t>
      </w:r>
      <w:r w:rsidR="00C005FD" w:rsidRPr="002353FE">
        <w:rPr>
          <w:rFonts w:ascii="Verdana" w:hAnsi="Verdana" w:cs="Tahoma"/>
          <w:sz w:val="24"/>
          <w:szCs w:val="24"/>
          <w:lang w:val="en-GB"/>
        </w:rPr>
        <w:t>al population</w:t>
      </w:r>
      <w:r w:rsidR="00A75695" w:rsidRPr="002353FE">
        <w:rPr>
          <w:rFonts w:ascii="Verdana" w:hAnsi="Verdana" w:cs="Tahoma"/>
          <w:sz w:val="24"/>
          <w:szCs w:val="24"/>
          <w:lang w:val="en-GB"/>
        </w:rPr>
        <w:t xml:space="preserve"> </w:t>
      </w:r>
      <w:r w:rsidR="009A47BE" w:rsidRPr="002353FE">
        <w:rPr>
          <w:rFonts w:ascii="Verdana" w:hAnsi="Verdana" w:cs="Tahoma"/>
          <w:sz w:val="24"/>
          <w:szCs w:val="24"/>
          <w:lang w:val="en-GB"/>
        </w:rPr>
        <w:t>(EUROSTAT</w:t>
      </w:r>
      <w:r w:rsidR="007F7EED" w:rsidRPr="002353FE">
        <w:rPr>
          <w:rFonts w:ascii="Verdana" w:hAnsi="Verdana" w:cs="Tahoma"/>
          <w:sz w:val="24"/>
          <w:szCs w:val="24"/>
          <w:lang w:val="en-GB"/>
        </w:rPr>
        <w:t>,</w:t>
      </w:r>
      <w:r w:rsidR="009A47BE" w:rsidRPr="002353FE">
        <w:rPr>
          <w:rFonts w:ascii="Verdana" w:hAnsi="Verdana" w:cs="Tahoma"/>
          <w:sz w:val="24"/>
          <w:szCs w:val="24"/>
          <w:lang w:val="en-GB"/>
        </w:rPr>
        <w:t xml:space="preserve"> 2017e)</w:t>
      </w:r>
      <w:r w:rsidR="00DE1133" w:rsidRPr="002353FE">
        <w:rPr>
          <w:rFonts w:ascii="Verdana" w:hAnsi="Verdana" w:cs="Tahoma"/>
          <w:sz w:val="24"/>
          <w:szCs w:val="24"/>
          <w:lang w:val="en-GB"/>
        </w:rPr>
        <w:t>,</w:t>
      </w:r>
      <w:r w:rsidR="00361915" w:rsidRPr="002353FE">
        <w:rPr>
          <w:rFonts w:ascii="Verdana" w:hAnsi="Verdana" w:cs="Tahoma"/>
          <w:sz w:val="24"/>
          <w:szCs w:val="24"/>
          <w:lang w:val="en-GB"/>
        </w:rPr>
        <w:t xml:space="preserve"> </w:t>
      </w:r>
      <w:r w:rsidR="00BC1348" w:rsidRPr="002353FE">
        <w:rPr>
          <w:rFonts w:ascii="Verdana" w:hAnsi="Verdana" w:cs="Tahoma"/>
          <w:sz w:val="24"/>
          <w:szCs w:val="24"/>
          <w:lang w:val="en-GB"/>
        </w:rPr>
        <w:t>expressed in</w:t>
      </w:r>
      <w:r w:rsidR="006462DB" w:rsidRPr="002353FE">
        <w:rPr>
          <w:rFonts w:ascii="Verdana" w:hAnsi="Verdana" w:cs="Tahoma"/>
          <w:sz w:val="24"/>
          <w:szCs w:val="24"/>
          <w:lang w:val="en-GB"/>
        </w:rPr>
        <w:t xml:space="preserve"> tens of</w:t>
      </w:r>
      <w:r w:rsidR="00BC1348" w:rsidRPr="002353FE">
        <w:rPr>
          <w:rFonts w:ascii="Verdana" w:hAnsi="Verdana" w:cs="Tahoma"/>
          <w:sz w:val="24"/>
          <w:szCs w:val="24"/>
          <w:lang w:val="en-GB"/>
        </w:rPr>
        <w:t xml:space="preserve"> millions</w:t>
      </w:r>
      <w:r w:rsidR="009A47BE" w:rsidRPr="002353FE">
        <w:rPr>
          <w:rFonts w:ascii="Verdana" w:hAnsi="Verdana" w:cs="Tahoma"/>
          <w:sz w:val="24"/>
          <w:szCs w:val="24"/>
          <w:lang w:val="en-GB"/>
        </w:rPr>
        <w:t>.</w:t>
      </w:r>
      <w:r w:rsidR="001C7DA3" w:rsidRPr="002353FE">
        <w:rPr>
          <w:rFonts w:ascii="Verdana" w:hAnsi="Verdana" w:cs="Tahoma"/>
          <w:sz w:val="24"/>
          <w:szCs w:val="24"/>
          <w:lang w:val="en-GB"/>
        </w:rPr>
        <w:t xml:space="preserve"> </w:t>
      </w:r>
    </w:p>
    <w:p w14:paraId="67F6EFC8" w14:textId="3C837831" w:rsidR="00F711D6" w:rsidRPr="002353FE" w:rsidRDefault="001D695F" w:rsidP="0033405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To test</w:t>
      </w:r>
      <w:r w:rsidR="002C323A" w:rsidRPr="002353FE">
        <w:rPr>
          <w:rFonts w:ascii="Verdana" w:hAnsi="Verdana" w:cs="Tahoma"/>
          <w:sz w:val="24"/>
          <w:szCs w:val="24"/>
          <w:lang w:val="en-GB"/>
        </w:rPr>
        <w:t xml:space="preserve"> hypothesis </w:t>
      </w:r>
      <w:r w:rsidR="001F0247" w:rsidRPr="002353FE">
        <w:rPr>
          <w:rFonts w:ascii="Verdana" w:hAnsi="Verdana" w:cs="Tahoma"/>
          <w:sz w:val="24"/>
          <w:szCs w:val="24"/>
          <w:lang w:val="en-GB"/>
        </w:rPr>
        <w:t>two</w:t>
      </w:r>
      <w:r w:rsidR="002C323A" w:rsidRPr="002353FE">
        <w:rPr>
          <w:rFonts w:ascii="Verdana" w:hAnsi="Verdana" w:cs="Tahoma"/>
          <w:sz w:val="24"/>
          <w:szCs w:val="24"/>
          <w:lang w:val="en-GB"/>
        </w:rPr>
        <w:t xml:space="preserve">, </w:t>
      </w:r>
      <w:r w:rsidR="009C447F" w:rsidRPr="002353FE">
        <w:rPr>
          <w:rFonts w:ascii="Verdana" w:hAnsi="Verdana" w:cs="Tahoma"/>
          <w:sz w:val="24"/>
          <w:szCs w:val="24"/>
          <w:lang w:val="en-GB"/>
        </w:rPr>
        <w:t xml:space="preserve">we construct </w:t>
      </w:r>
      <w:r w:rsidR="009A47BE" w:rsidRPr="002353FE">
        <w:rPr>
          <w:rFonts w:ascii="Verdana" w:hAnsi="Verdana" w:cs="Tahoma"/>
          <w:sz w:val="24"/>
          <w:szCs w:val="24"/>
          <w:lang w:val="en-GB"/>
        </w:rPr>
        <w:t>a composite indicator</w:t>
      </w:r>
      <w:r w:rsidR="008D75E9" w:rsidRPr="002353FE">
        <w:rPr>
          <w:rFonts w:ascii="Verdana" w:hAnsi="Verdana" w:cs="Tahoma"/>
          <w:sz w:val="24"/>
          <w:szCs w:val="24"/>
          <w:lang w:val="en-GB"/>
        </w:rPr>
        <w:t xml:space="preserve"> </w:t>
      </w:r>
      <w:r w:rsidR="000141A6" w:rsidRPr="002353FE">
        <w:rPr>
          <w:rFonts w:ascii="Verdana" w:hAnsi="Verdana" w:cs="Tahoma"/>
          <w:sz w:val="24"/>
          <w:szCs w:val="24"/>
          <w:lang w:val="en-GB"/>
        </w:rPr>
        <w:t xml:space="preserve">of </w:t>
      </w:r>
      <w:r w:rsidR="008D75E9" w:rsidRPr="002353FE">
        <w:rPr>
          <w:rFonts w:ascii="Verdana" w:hAnsi="Verdana" w:cs="Tahoma"/>
          <w:sz w:val="24"/>
          <w:szCs w:val="24"/>
          <w:lang w:val="en-GB"/>
        </w:rPr>
        <w:t>consumer financial education</w:t>
      </w:r>
      <w:r w:rsidR="009A47BE" w:rsidRPr="002353FE">
        <w:rPr>
          <w:rFonts w:ascii="Verdana" w:hAnsi="Verdana" w:cs="Tahoma"/>
          <w:sz w:val="24"/>
          <w:szCs w:val="24"/>
          <w:lang w:val="en-GB"/>
        </w:rPr>
        <w:t xml:space="preserve"> from </w:t>
      </w:r>
      <w:r w:rsidRPr="002353FE">
        <w:rPr>
          <w:rFonts w:ascii="Verdana" w:hAnsi="Verdana" w:cs="Tahoma"/>
          <w:sz w:val="24"/>
          <w:szCs w:val="24"/>
          <w:lang w:val="en-GB"/>
        </w:rPr>
        <w:t xml:space="preserve">World Bank (2014) </w:t>
      </w:r>
      <w:r w:rsidR="009A47BE" w:rsidRPr="002353FE">
        <w:rPr>
          <w:rFonts w:ascii="Verdana" w:hAnsi="Verdana" w:cs="Tahoma"/>
          <w:sz w:val="24"/>
          <w:szCs w:val="24"/>
          <w:lang w:val="en-GB"/>
        </w:rPr>
        <w:t xml:space="preserve">information </w:t>
      </w:r>
      <w:r w:rsidR="00CA131B" w:rsidRPr="002353FE">
        <w:rPr>
          <w:rFonts w:ascii="Verdana" w:hAnsi="Verdana" w:cs="Tahoma"/>
          <w:sz w:val="24"/>
          <w:szCs w:val="24"/>
          <w:lang w:val="en-GB"/>
        </w:rPr>
        <w:t>for 114 nations</w:t>
      </w:r>
      <w:r w:rsidR="008D75E9" w:rsidRPr="002353FE">
        <w:rPr>
          <w:rFonts w:ascii="Verdana" w:hAnsi="Verdana" w:cs="Tahoma"/>
          <w:sz w:val="24"/>
          <w:szCs w:val="24"/>
          <w:lang w:val="en-GB"/>
        </w:rPr>
        <w:t>.</w:t>
      </w:r>
      <w:r w:rsidR="00CA131B" w:rsidRPr="002353FE">
        <w:rPr>
          <w:rFonts w:ascii="Verdana" w:hAnsi="Verdana" w:cs="Tahoma"/>
          <w:sz w:val="24"/>
          <w:szCs w:val="24"/>
          <w:lang w:val="en-GB"/>
        </w:rPr>
        <w:t xml:space="preserve"> T</w:t>
      </w:r>
      <w:r w:rsidR="005457F9" w:rsidRPr="002353FE">
        <w:rPr>
          <w:rFonts w:ascii="Verdana" w:hAnsi="Verdana" w:cs="Tahoma"/>
          <w:sz w:val="24"/>
          <w:szCs w:val="24"/>
          <w:lang w:val="en-GB"/>
        </w:rPr>
        <w:t xml:space="preserve">his </w:t>
      </w:r>
      <w:r w:rsidR="00316BAC" w:rsidRPr="002353FE">
        <w:rPr>
          <w:rFonts w:ascii="Verdana" w:hAnsi="Verdana" w:cs="Tahoma"/>
          <w:sz w:val="24"/>
          <w:szCs w:val="24"/>
          <w:lang w:val="en-GB"/>
        </w:rPr>
        <w:t xml:space="preserve">provides information on </w:t>
      </w:r>
      <w:r w:rsidR="005457F9" w:rsidRPr="002353FE">
        <w:rPr>
          <w:rFonts w:ascii="Verdana" w:hAnsi="Verdana" w:cs="Tahoma"/>
          <w:sz w:val="24"/>
          <w:szCs w:val="24"/>
          <w:lang w:val="en-GB"/>
        </w:rPr>
        <w:t xml:space="preserve">six </w:t>
      </w:r>
      <w:r w:rsidR="00316BAC" w:rsidRPr="002353FE">
        <w:rPr>
          <w:rFonts w:ascii="Verdana" w:hAnsi="Verdana" w:cs="Tahoma"/>
          <w:sz w:val="24"/>
          <w:szCs w:val="24"/>
          <w:lang w:val="en-GB"/>
        </w:rPr>
        <w:t>items</w:t>
      </w:r>
      <w:r w:rsidRPr="002353FE">
        <w:rPr>
          <w:rFonts w:ascii="Verdana" w:hAnsi="Verdana" w:cs="Tahoma"/>
          <w:sz w:val="24"/>
          <w:szCs w:val="24"/>
          <w:lang w:val="en-GB"/>
        </w:rPr>
        <w:t xml:space="preserve"> as to whether nations have an </w:t>
      </w:r>
      <w:r w:rsidR="00316BAC" w:rsidRPr="002353FE">
        <w:rPr>
          <w:rFonts w:ascii="Verdana" w:hAnsi="Verdana" w:cs="Tahoma"/>
          <w:sz w:val="24"/>
          <w:szCs w:val="24"/>
          <w:lang w:val="en-GB"/>
        </w:rPr>
        <w:t>agency</w:t>
      </w:r>
      <w:r w:rsidR="00FD338C" w:rsidRPr="002353FE">
        <w:rPr>
          <w:rFonts w:ascii="Verdana" w:hAnsi="Verdana" w:cs="Tahoma"/>
          <w:sz w:val="24"/>
          <w:szCs w:val="24"/>
          <w:lang w:val="en-GB"/>
        </w:rPr>
        <w:t xml:space="preserve"> which</w:t>
      </w:r>
      <w:r w:rsidR="00316BAC" w:rsidRPr="002353FE">
        <w:rPr>
          <w:rFonts w:ascii="Verdana" w:hAnsi="Verdana" w:cs="Tahoma"/>
          <w:sz w:val="24"/>
          <w:szCs w:val="24"/>
          <w:lang w:val="en-GB"/>
        </w:rPr>
        <w:t xml:space="preserve">: </w:t>
      </w:r>
      <w:r w:rsidR="0083232D" w:rsidRPr="002353FE">
        <w:rPr>
          <w:rFonts w:ascii="Verdana" w:hAnsi="Verdana" w:cs="Tahoma"/>
          <w:sz w:val="24"/>
          <w:szCs w:val="24"/>
          <w:lang w:val="en-GB"/>
        </w:rPr>
        <w:t xml:space="preserve">i. </w:t>
      </w:r>
      <w:r w:rsidR="00316BAC" w:rsidRPr="002353FE">
        <w:rPr>
          <w:rFonts w:ascii="Verdana" w:hAnsi="Verdana" w:cs="Tahoma"/>
          <w:i/>
          <w:sz w:val="24"/>
          <w:szCs w:val="24"/>
          <w:lang w:val="en-GB"/>
        </w:rPr>
        <w:t>Has the responsibility to implement and/or oversee any aspect of financial education/literacy</w:t>
      </w:r>
      <w:r w:rsidR="0083232D" w:rsidRPr="002353FE">
        <w:rPr>
          <w:rFonts w:ascii="Verdana" w:hAnsi="Verdana" w:cs="Tahoma"/>
          <w:sz w:val="24"/>
          <w:szCs w:val="24"/>
          <w:lang w:val="en-GB"/>
        </w:rPr>
        <w:t xml:space="preserve">; ii. </w:t>
      </w:r>
      <w:r w:rsidR="00316BAC" w:rsidRPr="002353FE">
        <w:rPr>
          <w:rFonts w:ascii="Verdana" w:hAnsi="Verdana" w:cs="Tahoma"/>
          <w:i/>
          <w:sz w:val="24"/>
          <w:szCs w:val="24"/>
          <w:lang w:val="en-GB"/>
        </w:rPr>
        <w:t>Conducts a survey of financial capability/literacy and publishes regular reports</w:t>
      </w:r>
      <w:r w:rsidR="00316BAC" w:rsidRPr="002353FE">
        <w:rPr>
          <w:rFonts w:ascii="Verdana" w:hAnsi="Verdana" w:cs="Tahoma"/>
          <w:sz w:val="24"/>
          <w:szCs w:val="24"/>
          <w:lang w:val="en-GB"/>
        </w:rPr>
        <w:t xml:space="preserve">; </w:t>
      </w:r>
      <w:r w:rsidR="0083232D" w:rsidRPr="002353FE">
        <w:rPr>
          <w:rFonts w:ascii="Verdana" w:hAnsi="Verdana" w:cs="Tahoma"/>
          <w:sz w:val="24"/>
          <w:szCs w:val="24"/>
          <w:lang w:val="en-GB"/>
        </w:rPr>
        <w:t xml:space="preserve">iii. </w:t>
      </w:r>
      <w:r w:rsidR="00316BAC" w:rsidRPr="002353FE">
        <w:rPr>
          <w:rFonts w:ascii="Verdana" w:hAnsi="Verdana" w:cs="Tahoma"/>
          <w:i/>
          <w:sz w:val="24"/>
          <w:szCs w:val="24"/>
          <w:lang w:val="en-GB"/>
        </w:rPr>
        <w:t>Develops and monitors implementation of a strategy</w:t>
      </w:r>
      <w:r w:rsidR="00316BAC" w:rsidRPr="002353FE">
        <w:rPr>
          <w:rFonts w:ascii="Verdana" w:hAnsi="Verdana" w:cs="Tahoma"/>
          <w:sz w:val="24"/>
          <w:szCs w:val="24"/>
          <w:lang w:val="en-GB"/>
        </w:rPr>
        <w:t xml:space="preserve">; </w:t>
      </w:r>
      <w:r w:rsidR="0083232D" w:rsidRPr="002353FE">
        <w:rPr>
          <w:rFonts w:ascii="Verdana" w:hAnsi="Verdana" w:cs="Tahoma"/>
          <w:sz w:val="24"/>
          <w:szCs w:val="24"/>
          <w:lang w:val="en-GB"/>
        </w:rPr>
        <w:t xml:space="preserve">iv. </w:t>
      </w:r>
      <w:r w:rsidR="00316BAC" w:rsidRPr="002353FE">
        <w:rPr>
          <w:rFonts w:ascii="Verdana" w:hAnsi="Verdana" w:cs="Tahoma"/>
          <w:i/>
          <w:sz w:val="24"/>
          <w:szCs w:val="24"/>
          <w:lang w:val="en-GB"/>
        </w:rPr>
        <w:t>Provides training on financial literacy topics</w:t>
      </w:r>
      <w:r w:rsidR="00316BAC" w:rsidRPr="002353FE">
        <w:rPr>
          <w:rFonts w:ascii="Verdana" w:hAnsi="Verdana" w:cs="Tahoma"/>
          <w:sz w:val="24"/>
          <w:szCs w:val="24"/>
          <w:lang w:val="en-GB"/>
        </w:rPr>
        <w:t xml:space="preserve">; </w:t>
      </w:r>
      <w:r w:rsidR="0083232D" w:rsidRPr="002353FE">
        <w:rPr>
          <w:rFonts w:ascii="Verdana" w:hAnsi="Verdana" w:cs="Tahoma"/>
          <w:sz w:val="24"/>
          <w:szCs w:val="24"/>
          <w:lang w:val="en-GB"/>
        </w:rPr>
        <w:t xml:space="preserve">v. </w:t>
      </w:r>
      <w:r w:rsidR="00316BAC" w:rsidRPr="002353FE">
        <w:rPr>
          <w:rFonts w:ascii="Verdana" w:hAnsi="Verdana" w:cs="Tahoma"/>
          <w:i/>
          <w:sz w:val="24"/>
          <w:szCs w:val="24"/>
          <w:lang w:val="en-GB"/>
        </w:rPr>
        <w:t>Issues guidelines to the providers of financial services on financial education/literacy</w:t>
      </w:r>
      <w:r w:rsidR="00316BAC" w:rsidRPr="002353FE">
        <w:rPr>
          <w:rFonts w:ascii="Verdana" w:hAnsi="Verdana" w:cs="Tahoma"/>
          <w:sz w:val="24"/>
          <w:szCs w:val="24"/>
          <w:lang w:val="en-GB"/>
        </w:rPr>
        <w:t xml:space="preserve">; and </w:t>
      </w:r>
      <w:r w:rsidR="0083232D" w:rsidRPr="002353FE">
        <w:rPr>
          <w:rFonts w:ascii="Verdana" w:hAnsi="Verdana" w:cs="Tahoma"/>
          <w:sz w:val="24"/>
          <w:szCs w:val="24"/>
          <w:lang w:val="en-GB"/>
        </w:rPr>
        <w:t xml:space="preserve">vi. </w:t>
      </w:r>
      <w:r w:rsidR="00316BAC" w:rsidRPr="002353FE">
        <w:rPr>
          <w:rFonts w:ascii="Verdana" w:hAnsi="Verdana" w:cs="Tahoma"/>
          <w:i/>
          <w:sz w:val="24"/>
          <w:szCs w:val="24"/>
          <w:lang w:val="en-GB"/>
        </w:rPr>
        <w:t>Develops training materials on financial topics</w:t>
      </w:r>
      <w:r w:rsidR="00316BAC" w:rsidRPr="002353FE">
        <w:rPr>
          <w:rFonts w:ascii="Verdana" w:hAnsi="Verdana" w:cs="Tahoma"/>
          <w:sz w:val="24"/>
          <w:szCs w:val="24"/>
          <w:lang w:val="en-GB"/>
        </w:rPr>
        <w:t xml:space="preserve">. </w:t>
      </w:r>
      <w:r w:rsidR="0003716E" w:rsidRPr="002353FE">
        <w:rPr>
          <w:rFonts w:ascii="Verdana" w:hAnsi="Verdana" w:cs="Tahoma"/>
          <w:sz w:val="24"/>
          <w:szCs w:val="24"/>
          <w:lang w:val="en-GB"/>
        </w:rPr>
        <w:t>Following Pasiouras (</w:t>
      </w:r>
      <w:r w:rsidR="002E6D0B" w:rsidRPr="002353FE">
        <w:rPr>
          <w:rFonts w:ascii="Verdana" w:hAnsi="Verdana" w:cs="Tahoma"/>
          <w:sz w:val="24"/>
          <w:szCs w:val="24"/>
          <w:lang w:val="en-GB"/>
        </w:rPr>
        <w:t>2018</w:t>
      </w:r>
      <w:r w:rsidR="0003716E" w:rsidRPr="002353FE">
        <w:rPr>
          <w:rFonts w:ascii="Verdana" w:hAnsi="Verdana" w:cs="Tahoma"/>
          <w:sz w:val="24"/>
          <w:szCs w:val="24"/>
          <w:lang w:val="en-GB"/>
        </w:rPr>
        <w:t xml:space="preserve">), </w:t>
      </w:r>
      <w:r w:rsidR="00137647" w:rsidRPr="002353FE">
        <w:rPr>
          <w:rFonts w:ascii="Verdana" w:hAnsi="Verdana" w:cs="Tahoma"/>
          <w:sz w:val="24"/>
          <w:szCs w:val="24"/>
          <w:lang w:val="en-GB"/>
        </w:rPr>
        <w:t xml:space="preserve">we construct </w:t>
      </w:r>
      <w:r w:rsidR="000F23A6" w:rsidRPr="002353FE">
        <w:rPr>
          <w:rFonts w:ascii="Verdana" w:hAnsi="Verdana" w:cs="Tahoma"/>
          <w:sz w:val="24"/>
          <w:szCs w:val="24"/>
          <w:lang w:val="en-GB"/>
        </w:rPr>
        <w:t>a</w:t>
      </w:r>
      <w:r w:rsidR="0003716E" w:rsidRPr="002353FE">
        <w:rPr>
          <w:rFonts w:ascii="Verdana" w:hAnsi="Verdana" w:cs="Tahoma"/>
          <w:sz w:val="24"/>
          <w:szCs w:val="24"/>
          <w:lang w:val="en-GB"/>
        </w:rPr>
        <w:t xml:space="preserve"> composite indicator </w:t>
      </w:r>
      <w:r w:rsidR="000F23A6" w:rsidRPr="002353FE">
        <w:rPr>
          <w:rFonts w:ascii="Verdana" w:hAnsi="Verdana" w:cs="Tahoma"/>
          <w:sz w:val="24"/>
          <w:szCs w:val="24"/>
          <w:lang w:val="en-GB"/>
        </w:rPr>
        <w:t>from</w:t>
      </w:r>
      <w:r w:rsidR="0003716E" w:rsidRPr="002353FE">
        <w:rPr>
          <w:rFonts w:ascii="Verdana" w:hAnsi="Verdana" w:cs="Tahoma"/>
          <w:sz w:val="24"/>
          <w:szCs w:val="24"/>
          <w:lang w:val="en-GB"/>
        </w:rPr>
        <w:t xml:space="preserve"> these </w:t>
      </w:r>
      <w:r w:rsidR="00CE5832" w:rsidRPr="002353FE">
        <w:rPr>
          <w:rFonts w:ascii="Verdana" w:hAnsi="Verdana" w:cs="Tahoma"/>
          <w:sz w:val="24"/>
          <w:szCs w:val="24"/>
          <w:lang w:val="en-GB"/>
        </w:rPr>
        <w:t xml:space="preserve">six </w:t>
      </w:r>
      <w:r w:rsidR="0003716E" w:rsidRPr="002353FE">
        <w:rPr>
          <w:rFonts w:ascii="Verdana" w:hAnsi="Verdana" w:cs="Tahoma"/>
          <w:sz w:val="24"/>
          <w:szCs w:val="24"/>
          <w:lang w:val="en-GB"/>
        </w:rPr>
        <w:t>items</w:t>
      </w:r>
      <w:r w:rsidR="0083232D" w:rsidRPr="002353FE">
        <w:rPr>
          <w:rFonts w:ascii="Verdana" w:hAnsi="Verdana" w:cs="Tahoma"/>
          <w:sz w:val="24"/>
          <w:szCs w:val="24"/>
          <w:lang w:val="en-GB"/>
        </w:rPr>
        <w:t xml:space="preserve">. </w:t>
      </w:r>
      <w:r w:rsidR="00137647" w:rsidRPr="002353FE">
        <w:rPr>
          <w:rFonts w:ascii="Verdana" w:hAnsi="Verdana" w:cs="Tahoma"/>
          <w:sz w:val="24"/>
          <w:szCs w:val="24"/>
          <w:lang w:val="en-GB"/>
        </w:rPr>
        <w:t>We code</w:t>
      </w:r>
      <w:r w:rsidR="005457F9" w:rsidRPr="002353FE">
        <w:rPr>
          <w:rFonts w:ascii="Verdana" w:hAnsi="Verdana" w:cs="Tahoma"/>
          <w:sz w:val="24"/>
          <w:szCs w:val="24"/>
          <w:lang w:val="en-GB"/>
        </w:rPr>
        <w:t xml:space="preserve"> </w:t>
      </w:r>
      <w:r w:rsidR="00F711D6" w:rsidRPr="002353FE">
        <w:rPr>
          <w:rFonts w:ascii="Verdana" w:hAnsi="Verdana" w:cs="Tahoma"/>
          <w:sz w:val="24"/>
          <w:szCs w:val="24"/>
          <w:lang w:val="en-GB"/>
        </w:rPr>
        <w:t>each of them</w:t>
      </w:r>
      <w:r w:rsidR="0003716E" w:rsidRPr="002353FE">
        <w:rPr>
          <w:rFonts w:ascii="Verdana" w:hAnsi="Verdana" w:cs="Tahoma"/>
          <w:sz w:val="24"/>
          <w:szCs w:val="24"/>
          <w:lang w:val="en-GB"/>
        </w:rPr>
        <w:t xml:space="preserve"> as </w:t>
      </w:r>
      <w:r w:rsidR="00CF1832" w:rsidRPr="002353FE">
        <w:rPr>
          <w:rFonts w:ascii="Verdana" w:hAnsi="Verdana" w:cs="Tahoma"/>
          <w:sz w:val="24"/>
          <w:szCs w:val="24"/>
          <w:lang w:val="en-GB"/>
        </w:rPr>
        <w:t xml:space="preserve">one </w:t>
      </w:r>
      <w:r w:rsidR="0003716E" w:rsidRPr="002353FE">
        <w:rPr>
          <w:rFonts w:ascii="Verdana" w:hAnsi="Verdana" w:cs="Tahoma"/>
          <w:sz w:val="24"/>
          <w:szCs w:val="24"/>
          <w:lang w:val="en-GB"/>
        </w:rPr>
        <w:t xml:space="preserve">if the answer is yes, </w:t>
      </w:r>
      <w:r w:rsidR="00BC1348" w:rsidRPr="002353FE">
        <w:rPr>
          <w:rFonts w:ascii="Verdana" w:hAnsi="Verdana" w:cs="Tahoma"/>
          <w:sz w:val="24"/>
          <w:szCs w:val="24"/>
          <w:lang w:val="en-GB"/>
        </w:rPr>
        <w:t xml:space="preserve">and </w:t>
      </w:r>
      <w:r w:rsidR="00CF1832" w:rsidRPr="002353FE">
        <w:rPr>
          <w:rFonts w:ascii="Verdana" w:hAnsi="Verdana" w:cs="Tahoma"/>
          <w:sz w:val="24"/>
          <w:szCs w:val="24"/>
          <w:lang w:val="en-GB"/>
        </w:rPr>
        <w:t>zero</w:t>
      </w:r>
      <w:r w:rsidR="00BC1348" w:rsidRPr="002353FE">
        <w:rPr>
          <w:rFonts w:ascii="Verdana" w:hAnsi="Verdana" w:cs="Tahoma"/>
          <w:sz w:val="24"/>
          <w:szCs w:val="24"/>
          <w:lang w:val="en-GB"/>
        </w:rPr>
        <w:t xml:space="preserve"> if not</w:t>
      </w:r>
      <w:r w:rsidR="0083232D" w:rsidRPr="002353FE">
        <w:rPr>
          <w:rFonts w:ascii="Verdana" w:hAnsi="Verdana" w:cs="Tahoma"/>
          <w:sz w:val="24"/>
          <w:szCs w:val="24"/>
          <w:lang w:val="en-GB"/>
        </w:rPr>
        <w:t xml:space="preserve">. Then, </w:t>
      </w:r>
      <w:r w:rsidR="00137647" w:rsidRPr="002353FE">
        <w:rPr>
          <w:rFonts w:ascii="Verdana" w:hAnsi="Verdana" w:cs="Tahoma"/>
          <w:sz w:val="24"/>
          <w:szCs w:val="24"/>
          <w:lang w:val="en-GB"/>
        </w:rPr>
        <w:t xml:space="preserve">we sum </w:t>
      </w:r>
      <w:r w:rsidR="0083232D" w:rsidRPr="002353FE">
        <w:rPr>
          <w:rFonts w:ascii="Verdana" w:hAnsi="Verdana" w:cs="Tahoma"/>
          <w:sz w:val="24"/>
          <w:szCs w:val="24"/>
          <w:lang w:val="en-GB"/>
        </w:rPr>
        <w:t xml:space="preserve">the </w:t>
      </w:r>
      <w:r w:rsidR="00A821EC" w:rsidRPr="002353FE">
        <w:rPr>
          <w:rFonts w:ascii="Verdana" w:hAnsi="Verdana" w:cs="Tahoma"/>
          <w:sz w:val="24"/>
          <w:szCs w:val="24"/>
          <w:lang w:val="en-GB"/>
        </w:rPr>
        <w:t>six</w:t>
      </w:r>
      <w:r w:rsidR="0083232D" w:rsidRPr="002353FE">
        <w:rPr>
          <w:rFonts w:ascii="Verdana" w:hAnsi="Verdana" w:cs="Tahoma"/>
          <w:sz w:val="24"/>
          <w:szCs w:val="24"/>
          <w:lang w:val="en-GB"/>
        </w:rPr>
        <w:t xml:space="preserve"> sub-indicators, to obtain a single indicator ranging from 0 to 6</w:t>
      </w:r>
      <w:r w:rsidR="00BC1348" w:rsidRPr="002353FE">
        <w:rPr>
          <w:rFonts w:ascii="Verdana" w:hAnsi="Verdana" w:cs="Tahoma"/>
          <w:sz w:val="24"/>
          <w:szCs w:val="24"/>
          <w:lang w:val="en-GB"/>
        </w:rPr>
        <w:t xml:space="preserve">. </w:t>
      </w:r>
      <w:r w:rsidR="0083232D" w:rsidRPr="002353FE">
        <w:rPr>
          <w:rFonts w:ascii="Verdana" w:hAnsi="Verdana" w:cs="Tahoma"/>
          <w:sz w:val="24"/>
          <w:szCs w:val="24"/>
          <w:lang w:val="en-GB"/>
        </w:rPr>
        <w:t xml:space="preserve">We rescale this indicator to a value ranging </w:t>
      </w:r>
      <w:r w:rsidR="0050134F" w:rsidRPr="002353FE">
        <w:rPr>
          <w:rFonts w:ascii="Verdana" w:hAnsi="Verdana" w:cs="Tahoma"/>
          <w:sz w:val="24"/>
          <w:szCs w:val="24"/>
          <w:lang w:val="en-GB"/>
        </w:rPr>
        <w:t xml:space="preserve">from </w:t>
      </w:r>
      <w:r w:rsidR="00CF1832" w:rsidRPr="002353FE">
        <w:rPr>
          <w:rFonts w:ascii="Verdana" w:hAnsi="Verdana" w:cs="Tahoma"/>
          <w:sz w:val="24"/>
          <w:szCs w:val="24"/>
          <w:lang w:val="en-GB"/>
        </w:rPr>
        <w:t xml:space="preserve">zero </w:t>
      </w:r>
      <w:r w:rsidR="0050134F" w:rsidRPr="002353FE">
        <w:rPr>
          <w:rFonts w:ascii="Verdana" w:hAnsi="Verdana" w:cs="Tahoma"/>
          <w:sz w:val="24"/>
          <w:szCs w:val="24"/>
          <w:lang w:val="en-GB"/>
        </w:rPr>
        <w:t>(</w:t>
      </w:r>
      <w:r w:rsidR="004D5EC8" w:rsidRPr="002353FE">
        <w:rPr>
          <w:rFonts w:ascii="Verdana" w:hAnsi="Verdana" w:cs="Tahoma"/>
          <w:sz w:val="24"/>
          <w:szCs w:val="24"/>
          <w:lang w:val="en-GB"/>
        </w:rPr>
        <w:t>represent</w:t>
      </w:r>
      <w:r w:rsidR="00CF1832" w:rsidRPr="002353FE">
        <w:rPr>
          <w:rFonts w:ascii="Verdana" w:hAnsi="Verdana" w:cs="Tahoma"/>
          <w:sz w:val="24"/>
          <w:szCs w:val="24"/>
          <w:lang w:val="en-GB"/>
        </w:rPr>
        <w:t>ing</w:t>
      </w:r>
      <w:r w:rsidR="004D5EC8" w:rsidRPr="002353FE">
        <w:rPr>
          <w:rFonts w:ascii="Verdana" w:hAnsi="Verdana" w:cs="Tahoma"/>
          <w:sz w:val="24"/>
          <w:szCs w:val="24"/>
          <w:lang w:val="en-GB"/>
        </w:rPr>
        <w:t xml:space="preserve"> the </w:t>
      </w:r>
      <w:r w:rsidR="0050134F" w:rsidRPr="002353FE">
        <w:rPr>
          <w:rFonts w:ascii="Verdana" w:hAnsi="Verdana" w:cs="Tahoma"/>
          <w:sz w:val="24"/>
          <w:szCs w:val="24"/>
          <w:lang w:val="en-GB"/>
        </w:rPr>
        <w:t>minimum</w:t>
      </w:r>
      <w:r w:rsidR="00C86C33" w:rsidRPr="002353FE">
        <w:rPr>
          <w:rFonts w:ascii="Verdana" w:hAnsi="Verdana" w:cs="Tahoma"/>
          <w:sz w:val="24"/>
          <w:szCs w:val="24"/>
          <w:lang w:val="en-GB"/>
        </w:rPr>
        <w:t xml:space="preserve"> level of financial education policies</w:t>
      </w:r>
      <w:r w:rsidR="0050134F" w:rsidRPr="002353FE">
        <w:rPr>
          <w:rFonts w:ascii="Verdana" w:hAnsi="Verdana" w:cs="Tahoma"/>
          <w:sz w:val="24"/>
          <w:szCs w:val="24"/>
          <w:lang w:val="en-GB"/>
        </w:rPr>
        <w:t xml:space="preserve">) to </w:t>
      </w:r>
      <w:r w:rsidR="00CF1832" w:rsidRPr="002353FE">
        <w:rPr>
          <w:rFonts w:ascii="Verdana" w:hAnsi="Verdana" w:cs="Tahoma"/>
          <w:sz w:val="24"/>
          <w:szCs w:val="24"/>
          <w:lang w:val="en-GB"/>
        </w:rPr>
        <w:t xml:space="preserve">one </w:t>
      </w:r>
      <w:r w:rsidR="0003716E" w:rsidRPr="002353FE">
        <w:rPr>
          <w:rFonts w:ascii="Verdana" w:hAnsi="Verdana" w:cs="Tahoma"/>
          <w:sz w:val="24"/>
          <w:szCs w:val="24"/>
          <w:lang w:val="en-GB"/>
        </w:rPr>
        <w:t>(</w:t>
      </w:r>
      <w:r w:rsidR="004D5EC8" w:rsidRPr="002353FE">
        <w:rPr>
          <w:rFonts w:ascii="Verdana" w:hAnsi="Verdana" w:cs="Tahoma"/>
          <w:sz w:val="24"/>
          <w:szCs w:val="24"/>
          <w:lang w:val="en-GB"/>
        </w:rPr>
        <w:t xml:space="preserve">the </w:t>
      </w:r>
      <w:r w:rsidR="0003716E" w:rsidRPr="002353FE">
        <w:rPr>
          <w:rFonts w:ascii="Verdana" w:hAnsi="Verdana" w:cs="Tahoma"/>
          <w:sz w:val="24"/>
          <w:szCs w:val="24"/>
          <w:lang w:val="en-GB"/>
        </w:rPr>
        <w:t xml:space="preserve">maximum). </w:t>
      </w:r>
    </w:p>
    <w:p w14:paraId="5C79DAA9" w14:textId="432F6D6E" w:rsidR="0083232D" w:rsidRPr="002353FE" w:rsidRDefault="004D5EC8" w:rsidP="0033405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A</w:t>
      </w:r>
      <w:r w:rsidR="0083232D" w:rsidRPr="002353FE">
        <w:rPr>
          <w:rFonts w:ascii="Verdana" w:hAnsi="Verdana" w:cs="Tahoma"/>
          <w:sz w:val="24"/>
          <w:szCs w:val="24"/>
          <w:lang w:val="en-GB"/>
        </w:rPr>
        <w:t>n analogous indicator is constructed from World Bank (2014) information</w:t>
      </w:r>
      <w:r w:rsidR="006B7A78" w:rsidRPr="002353FE">
        <w:rPr>
          <w:rFonts w:ascii="Verdana" w:hAnsi="Verdana" w:cs="Tahoma"/>
          <w:sz w:val="24"/>
          <w:szCs w:val="24"/>
          <w:lang w:val="en-GB"/>
        </w:rPr>
        <w:t xml:space="preserve"> on disclosure practices</w:t>
      </w:r>
      <w:r w:rsidR="0083232D" w:rsidRPr="002353FE">
        <w:rPr>
          <w:rFonts w:ascii="Verdana" w:hAnsi="Verdana" w:cs="Tahoma"/>
          <w:sz w:val="24"/>
          <w:szCs w:val="24"/>
          <w:lang w:val="en-GB"/>
        </w:rPr>
        <w:t>.</w:t>
      </w:r>
      <w:r w:rsidR="002B5849" w:rsidRPr="002353FE">
        <w:rPr>
          <w:rFonts w:ascii="Verdana" w:hAnsi="Verdana" w:cs="Tahoma"/>
          <w:sz w:val="24"/>
          <w:szCs w:val="24"/>
          <w:lang w:val="en-GB"/>
        </w:rPr>
        <w:t xml:space="preserve"> </w:t>
      </w:r>
      <w:r w:rsidR="008E7264" w:rsidRPr="002353FE">
        <w:rPr>
          <w:rFonts w:ascii="Verdana" w:hAnsi="Verdana" w:cs="Tahoma"/>
          <w:sz w:val="24"/>
          <w:szCs w:val="24"/>
          <w:lang w:val="en-GB"/>
        </w:rPr>
        <w:t>This</w:t>
      </w:r>
      <w:r w:rsidR="0083232D" w:rsidRPr="002353FE">
        <w:rPr>
          <w:rFonts w:ascii="Verdana" w:hAnsi="Verdana" w:cs="Tahoma"/>
          <w:sz w:val="24"/>
          <w:szCs w:val="24"/>
          <w:lang w:val="en-GB"/>
        </w:rPr>
        <w:t xml:space="preserve"> provides information on </w:t>
      </w:r>
      <w:r w:rsidR="00A821EC" w:rsidRPr="002353FE">
        <w:rPr>
          <w:rFonts w:ascii="Verdana" w:hAnsi="Verdana" w:cs="Tahoma"/>
          <w:sz w:val="24"/>
          <w:szCs w:val="24"/>
          <w:lang w:val="en-GB"/>
        </w:rPr>
        <w:t>eight</w:t>
      </w:r>
      <w:r w:rsidR="00000D8A" w:rsidRPr="002353FE">
        <w:rPr>
          <w:rFonts w:ascii="Verdana" w:hAnsi="Verdana" w:cs="Tahoma"/>
          <w:sz w:val="24"/>
          <w:szCs w:val="24"/>
          <w:lang w:val="en-GB"/>
        </w:rPr>
        <w:t xml:space="preserve"> </w:t>
      </w:r>
      <w:r w:rsidR="000465D3" w:rsidRPr="002353FE">
        <w:rPr>
          <w:rFonts w:ascii="Verdana" w:hAnsi="Verdana" w:cs="Tahoma"/>
          <w:sz w:val="24"/>
          <w:szCs w:val="24"/>
          <w:lang w:val="en-GB"/>
        </w:rPr>
        <w:t xml:space="preserve">disclosure </w:t>
      </w:r>
      <w:r w:rsidR="00000D8A" w:rsidRPr="002353FE">
        <w:rPr>
          <w:rFonts w:ascii="Verdana" w:hAnsi="Verdana" w:cs="Tahoma"/>
          <w:sz w:val="24"/>
          <w:szCs w:val="24"/>
          <w:lang w:val="en-GB"/>
        </w:rPr>
        <w:t xml:space="preserve">requirements </w:t>
      </w:r>
      <w:r w:rsidR="008E5902" w:rsidRPr="002353FE">
        <w:rPr>
          <w:rFonts w:ascii="Verdana" w:hAnsi="Verdana" w:cs="Tahoma"/>
          <w:sz w:val="24"/>
          <w:szCs w:val="24"/>
          <w:lang w:val="en-GB"/>
        </w:rPr>
        <w:t>for personal current accounts</w:t>
      </w:r>
      <w:r w:rsidR="00000D8A" w:rsidRPr="002353FE">
        <w:rPr>
          <w:rFonts w:ascii="Verdana" w:hAnsi="Verdana" w:cs="Tahoma"/>
          <w:sz w:val="24"/>
          <w:szCs w:val="24"/>
          <w:lang w:val="en-GB"/>
        </w:rPr>
        <w:t xml:space="preserve">: </w:t>
      </w:r>
      <w:r w:rsidR="00000D8A" w:rsidRPr="002353FE">
        <w:rPr>
          <w:rFonts w:ascii="Verdana" w:hAnsi="Verdana" w:cs="Tahoma"/>
          <w:i/>
          <w:sz w:val="24"/>
          <w:szCs w:val="24"/>
          <w:lang w:val="en-GB"/>
        </w:rPr>
        <w:t xml:space="preserve">i. Plain language; ii. Local language; iii. Standardized disclosure format; iv. Recourse rights and processes; v. and vi. A monthly account statement free of charge (for banks and for other regulated financial institutions, respectively); vii. Detailed </w:t>
      </w:r>
      <w:r w:rsidR="00000D8A" w:rsidRPr="002353FE">
        <w:rPr>
          <w:rFonts w:ascii="Verdana" w:hAnsi="Verdana" w:cs="Tahoma"/>
          <w:i/>
          <w:sz w:val="24"/>
          <w:szCs w:val="24"/>
          <w:lang w:val="en-GB"/>
        </w:rPr>
        <w:lastRenderedPageBreak/>
        <w:t>transactional information for a period; and viii. To notify customers in writing of changes in terms/conditions in their agreements</w:t>
      </w:r>
      <w:r w:rsidR="00000D8A" w:rsidRPr="002353FE">
        <w:rPr>
          <w:rFonts w:ascii="Verdana" w:hAnsi="Verdana" w:cs="Tahoma"/>
          <w:sz w:val="24"/>
          <w:szCs w:val="24"/>
          <w:lang w:val="en-GB"/>
        </w:rPr>
        <w:t>.</w:t>
      </w:r>
      <w:r w:rsidR="00C86C33" w:rsidRPr="002353FE">
        <w:rPr>
          <w:rFonts w:ascii="Verdana" w:hAnsi="Verdana" w:cs="Tahoma"/>
          <w:sz w:val="24"/>
          <w:szCs w:val="24"/>
          <w:lang w:val="en-GB"/>
        </w:rPr>
        <w:t xml:space="preserve"> </w:t>
      </w:r>
      <w:r w:rsidRPr="002353FE">
        <w:rPr>
          <w:rFonts w:ascii="Verdana" w:hAnsi="Verdana" w:cs="Tahoma"/>
          <w:sz w:val="24"/>
          <w:szCs w:val="24"/>
          <w:lang w:val="en-GB"/>
        </w:rPr>
        <w:t>We calculate a</w:t>
      </w:r>
      <w:r w:rsidR="00C86C33" w:rsidRPr="002353FE">
        <w:rPr>
          <w:rFonts w:ascii="Verdana" w:hAnsi="Verdana" w:cs="Tahoma"/>
          <w:sz w:val="24"/>
          <w:szCs w:val="24"/>
          <w:lang w:val="en-GB"/>
        </w:rPr>
        <w:t xml:space="preserve"> composite indicator, in a</w:t>
      </w:r>
      <w:r w:rsidR="00A617A2" w:rsidRPr="002353FE">
        <w:rPr>
          <w:rFonts w:ascii="Verdana" w:hAnsi="Verdana" w:cs="Tahoma"/>
          <w:sz w:val="24"/>
          <w:szCs w:val="24"/>
          <w:lang w:val="en-GB"/>
        </w:rPr>
        <w:t xml:space="preserve"> similar manner </w:t>
      </w:r>
      <w:r w:rsidR="00C86C33" w:rsidRPr="002353FE">
        <w:rPr>
          <w:rFonts w:ascii="Verdana" w:hAnsi="Verdana" w:cs="Tahoma"/>
          <w:sz w:val="24"/>
          <w:szCs w:val="24"/>
          <w:lang w:val="en-GB"/>
        </w:rPr>
        <w:t xml:space="preserve">to </w:t>
      </w:r>
      <w:r w:rsidR="001B2168" w:rsidRPr="002353FE">
        <w:rPr>
          <w:rFonts w:ascii="Verdana" w:hAnsi="Verdana" w:cs="Tahoma"/>
          <w:sz w:val="24"/>
          <w:szCs w:val="24"/>
          <w:lang w:val="en-GB"/>
        </w:rPr>
        <w:t xml:space="preserve">the </w:t>
      </w:r>
      <w:r w:rsidR="00C86C33" w:rsidRPr="002353FE">
        <w:rPr>
          <w:rFonts w:ascii="Verdana" w:hAnsi="Verdana" w:cs="Tahoma"/>
          <w:sz w:val="24"/>
          <w:szCs w:val="24"/>
          <w:lang w:val="en-GB"/>
        </w:rPr>
        <w:t xml:space="preserve">financial education </w:t>
      </w:r>
      <w:r w:rsidR="001B2168" w:rsidRPr="002353FE">
        <w:rPr>
          <w:rFonts w:ascii="Verdana" w:hAnsi="Verdana" w:cs="Tahoma"/>
          <w:sz w:val="24"/>
          <w:szCs w:val="24"/>
          <w:lang w:val="en-GB"/>
        </w:rPr>
        <w:t xml:space="preserve">measure </w:t>
      </w:r>
      <w:r w:rsidR="00C86C33" w:rsidRPr="002353FE">
        <w:rPr>
          <w:rFonts w:ascii="Verdana" w:hAnsi="Verdana" w:cs="Tahoma"/>
          <w:sz w:val="24"/>
          <w:szCs w:val="24"/>
          <w:lang w:val="en-GB"/>
        </w:rPr>
        <w:t>and rescale</w:t>
      </w:r>
      <w:r w:rsidRPr="002353FE">
        <w:rPr>
          <w:rFonts w:ascii="Verdana" w:hAnsi="Verdana" w:cs="Tahoma"/>
          <w:sz w:val="24"/>
          <w:szCs w:val="24"/>
          <w:lang w:val="en-GB"/>
        </w:rPr>
        <w:t xml:space="preserve"> it</w:t>
      </w:r>
      <w:r w:rsidR="00C86C33" w:rsidRPr="002353FE">
        <w:rPr>
          <w:rFonts w:ascii="Verdana" w:hAnsi="Verdana" w:cs="Tahoma"/>
          <w:sz w:val="24"/>
          <w:szCs w:val="24"/>
          <w:lang w:val="en-GB"/>
        </w:rPr>
        <w:t xml:space="preserve"> from </w:t>
      </w:r>
      <w:r w:rsidR="001B2168" w:rsidRPr="002353FE">
        <w:rPr>
          <w:rFonts w:ascii="Verdana" w:hAnsi="Verdana" w:cs="Tahoma"/>
          <w:sz w:val="24"/>
          <w:szCs w:val="24"/>
          <w:lang w:val="en-GB"/>
        </w:rPr>
        <w:t>zero</w:t>
      </w:r>
      <w:r w:rsidR="005C5169" w:rsidRPr="002353FE">
        <w:rPr>
          <w:rFonts w:ascii="Verdana" w:hAnsi="Verdana" w:cs="Tahoma"/>
          <w:sz w:val="24"/>
          <w:szCs w:val="24"/>
          <w:lang w:val="en-GB"/>
        </w:rPr>
        <w:t xml:space="preserve">, </w:t>
      </w:r>
      <w:r w:rsidRPr="002353FE">
        <w:rPr>
          <w:rFonts w:ascii="Verdana" w:hAnsi="Verdana" w:cs="Tahoma"/>
          <w:sz w:val="24"/>
          <w:szCs w:val="24"/>
          <w:lang w:val="en-GB"/>
        </w:rPr>
        <w:t>represent</w:t>
      </w:r>
      <w:r w:rsidR="005C5169" w:rsidRPr="002353FE">
        <w:rPr>
          <w:rFonts w:ascii="Verdana" w:hAnsi="Verdana" w:cs="Tahoma"/>
          <w:sz w:val="24"/>
          <w:szCs w:val="24"/>
          <w:lang w:val="en-GB"/>
        </w:rPr>
        <w:t xml:space="preserve">ing </w:t>
      </w:r>
      <w:r w:rsidRPr="002353FE">
        <w:rPr>
          <w:rFonts w:ascii="Verdana" w:hAnsi="Verdana" w:cs="Tahoma"/>
          <w:sz w:val="24"/>
          <w:szCs w:val="24"/>
          <w:lang w:val="en-GB"/>
        </w:rPr>
        <w:t xml:space="preserve">the </w:t>
      </w:r>
      <w:r w:rsidR="00C86C33" w:rsidRPr="002353FE">
        <w:rPr>
          <w:rFonts w:ascii="Verdana" w:hAnsi="Verdana" w:cs="Tahoma"/>
          <w:sz w:val="24"/>
          <w:szCs w:val="24"/>
          <w:lang w:val="en-GB"/>
        </w:rPr>
        <w:t xml:space="preserve">minimum level of disclosure </w:t>
      </w:r>
      <w:r w:rsidR="009D2386" w:rsidRPr="002353FE">
        <w:rPr>
          <w:rFonts w:ascii="Verdana" w:hAnsi="Verdana" w:cs="Tahoma"/>
          <w:sz w:val="24"/>
          <w:szCs w:val="24"/>
          <w:lang w:val="en-GB"/>
        </w:rPr>
        <w:t>requirements</w:t>
      </w:r>
      <w:r w:rsidR="00C86C33" w:rsidRPr="002353FE">
        <w:rPr>
          <w:rFonts w:ascii="Verdana" w:hAnsi="Verdana" w:cs="Tahoma"/>
          <w:sz w:val="24"/>
          <w:szCs w:val="24"/>
          <w:lang w:val="en-GB"/>
        </w:rPr>
        <w:t xml:space="preserve"> to </w:t>
      </w:r>
      <w:r w:rsidR="001B2168" w:rsidRPr="002353FE">
        <w:rPr>
          <w:rFonts w:ascii="Verdana" w:hAnsi="Verdana" w:cs="Tahoma"/>
          <w:sz w:val="24"/>
          <w:szCs w:val="24"/>
          <w:lang w:val="en-GB"/>
        </w:rPr>
        <w:t xml:space="preserve">one </w:t>
      </w:r>
      <w:r w:rsidR="00C86C33" w:rsidRPr="002353FE">
        <w:rPr>
          <w:rFonts w:ascii="Verdana" w:hAnsi="Verdana" w:cs="Tahoma"/>
          <w:sz w:val="24"/>
          <w:szCs w:val="24"/>
          <w:lang w:val="en-GB"/>
        </w:rPr>
        <w:t>(</w:t>
      </w:r>
      <w:r w:rsidRPr="002353FE">
        <w:rPr>
          <w:rFonts w:ascii="Verdana" w:hAnsi="Verdana" w:cs="Tahoma"/>
          <w:sz w:val="24"/>
          <w:szCs w:val="24"/>
          <w:lang w:val="en-GB"/>
        </w:rPr>
        <w:t xml:space="preserve">the </w:t>
      </w:r>
      <w:r w:rsidR="00C86C33" w:rsidRPr="002353FE">
        <w:rPr>
          <w:rFonts w:ascii="Verdana" w:hAnsi="Verdana" w:cs="Tahoma"/>
          <w:sz w:val="24"/>
          <w:szCs w:val="24"/>
          <w:lang w:val="en-GB"/>
        </w:rPr>
        <w:t>maximum).</w:t>
      </w:r>
      <w:r w:rsidR="00000D8A" w:rsidRPr="002353FE">
        <w:rPr>
          <w:rFonts w:ascii="Verdana" w:hAnsi="Verdana" w:cs="Tahoma"/>
          <w:sz w:val="24"/>
          <w:szCs w:val="24"/>
          <w:lang w:val="en-GB"/>
        </w:rPr>
        <w:t xml:space="preserve">   </w:t>
      </w:r>
    </w:p>
    <w:p w14:paraId="447A7573" w14:textId="6A61CB70" w:rsidR="00E9789E" w:rsidRPr="002353FE" w:rsidRDefault="00000D8A" w:rsidP="0033405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Information on financial education policies is available for </w:t>
      </w:r>
      <w:r w:rsidR="0003716E" w:rsidRPr="002353FE">
        <w:rPr>
          <w:rFonts w:ascii="Verdana" w:hAnsi="Verdana" w:cs="Tahoma"/>
          <w:sz w:val="24"/>
          <w:szCs w:val="24"/>
          <w:lang w:val="en-GB"/>
        </w:rPr>
        <w:t xml:space="preserve">25 </w:t>
      </w:r>
      <w:r w:rsidR="002C323A" w:rsidRPr="002353FE">
        <w:rPr>
          <w:rFonts w:ascii="Verdana" w:hAnsi="Verdana" w:cs="Tahoma"/>
          <w:sz w:val="24"/>
          <w:szCs w:val="24"/>
          <w:lang w:val="en-GB"/>
        </w:rPr>
        <w:t xml:space="preserve">of the 28 </w:t>
      </w:r>
      <w:r w:rsidR="0003716E" w:rsidRPr="002353FE">
        <w:rPr>
          <w:rFonts w:ascii="Verdana" w:hAnsi="Verdana" w:cs="Tahoma"/>
          <w:sz w:val="24"/>
          <w:szCs w:val="24"/>
          <w:lang w:val="en-GB"/>
        </w:rPr>
        <w:t>E</w:t>
      </w:r>
      <w:r w:rsidRPr="002353FE">
        <w:rPr>
          <w:rFonts w:ascii="Verdana" w:hAnsi="Verdana" w:cs="Tahoma"/>
          <w:sz w:val="24"/>
          <w:szCs w:val="24"/>
          <w:lang w:val="en-GB"/>
        </w:rPr>
        <w:t>U</w:t>
      </w:r>
      <w:r w:rsidR="0003716E" w:rsidRPr="002353FE">
        <w:rPr>
          <w:rFonts w:ascii="Verdana" w:hAnsi="Verdana" w:cs="Tahoma"/>
          <w:sz w:val="24"/>
          <w:szCs w:val="24"/>
          <w:lang w:val="en-GB"/>
        </w:rPr>
        <w:t xml:space="preserve"> </w:t>
      </w:r>
      <w:r w:rsidR="001226FB" w:rsidRPr="002353FE">
        <w:rPr>
          <w:rFonts w:ascii="Verdana" w:hAnsi="Verdana" w:cs="Tahoma"/>
          <w:sz w:val="24"/>
          <w:szCs w:val="24"/>
          <w:lang w:val="en-GB"/>
        </w:rPr>
        <w:t>countries</w:t>
      </w:r>
      <w:r w:rsidR="002C323A" w:rsidRPr="002353FE">
        <w:rPr>
          <w:rFonts w:ascii="Verdana" w:hAnsi="Verdana" w:cs="Tahoma"/>
          <w:sz w:val="24"/>
          <w:szCs w:val="24"/>
          <w:lang w:val="en-GB"/>
        </w:rPr>
        <w:t xml:space="preserve"> </w:t>
      </w:r>
      <w:r w:rsidR="0003716E" w:rsidRPr="002353FE">
        <w:rPr>
          <w:rFonts w:ascii="Verdana" w:hAnsi="Verdana" w:cs="Tahoma"/>
          <w:sz w:val="24"/>
          <w:szCs w:val="24"/>
          <w:lang w:val="en-GB"/>
        </w:rPr>
        <w:t>(</w:t>
      </w:r>
      <w:r w:rsidR="002C323A" w:rsidRPr="002353FE">
        <w:rPr>
          <w:rFonts w:ascii="Verdana" w:hAnsi="Verdana" w:cs="Tahoma"/>
          <w:sz w:val="24"/>
          <w:szCs w:val="24"/>
          <w:lang w:val="en-GB"/>
        </w:rPr>
        <w:t xml:space="preserve">data </w:t>
      </w:r>
      <w:r w:rsidRPr="002353FE">
        <w:rPr>
          <w:rFonts w:ascii="Verdana" w:hAnsi="Verdana" w:cs="Tahoma"/>
          <w:sz w:val="24"/>
          <w:szCs w:val="24"/>
          <w:lang w:val="en-GB"/>
        </w:rPr>
        <w:t>i</w:t>
      </w:r>
      <w:r w:rsidR="002C323A" w:rsidRPr="002353FE">
        <w:rPr>
          <w:rFonts w:ascii="Verdana" w:hAnsi="Verdana" w:cs="Tahoma"/>
          <w:sz w:val="24"/>
          <w:szCs w:val="24"/>
          <w:lang w:val="en-GB"/>
        </w:rPr>
        <w:t xml:space="preserve">s unavailable for </w:t>
      </w:r>
      <w:r w:rsidR="0003716E" w:rsidRPr="002353FE">
        <w:rPr>
          <w:rFonts w:ascii="Verdana" w:hAnsi="Verdana" w:cs="Tahoma"/>
          <w:sz w:val="24"/>
          <w:szCs w:val="24"/>
          <w:lang w:val="en-GB"/>
        </w:rPr>
        <w:t>Sweden, Cyprus and Malta)</w:t>
      </w:r>
      <w:r w:rsidR="00E43C86" w:rsidRPr="002353FE">
        <w:rPr>
          <w:rFonts w:ascii="Verdana" w:hAnsi="Verdana" w:cs="Tahoma"/>
          <w:sz w:val="24"/>
          <w:szCs w:val="24"/>
          <w:lang w:val="en-GB"/>
        </w:rPr>
        <w:t xml:space="preserve">. </w:t>
      </w:r>
      <w:r w:rsidR="00B465D8" w:rsidRPr="002353FE">
        <w:rPr>
          <w:rFonts w:ascii="Verdana" w:hAnsi="Verdana" w:cs="Tahoma"/>
          <w:sz w:val="24"/>
          <w:szCs w:val="24"/>
          <w:lang w:val="en-GB"/>
        </w:rPr>
        <w:t>From</w:t>
      </w:r>
      <w:r w:rsidR="00904888" w:rsidRPr="002353FE">
        <w:rPr>
          <w:rFonts w:ascii="Verdana" w:hAnsi="Verdana" w:cs="Tahoma"/>
          <w:sz w:val="24"/>
          <w:szCs w:val="24"/>
          <w:lang w:val="en-GB"/>
        </w:rPr>
        <w:t xml:space="preserve"> these </w:t>
      </w:r>
      <w:r w:rsidR="00B465D8" w:rsidRPr="002353FE">
        <w:rPr>
          <w:rFonts w:ascii="Verdana" w:hAnsi="Verdana" w:cs="Tahoma"/>
          <w:sz w:val="24"/>
          <w:szCs w:val="24"/>
          <w:lang w:val="en-GB"/>
        </w:rPr>
        <w:t>nations, i</w:t>
      </w:r>
      <w:r w:rsidR="00E43C86" w:rsidRPr="002353FE">
        <w:rPr>
          <w:rFonts w:ascii="Verdana" w:hAnsi="Verdana" w:cs="Tahoma"/>
          <w:sz w:val="24"/>
          <w:szCs w:val="24"/>
          <w:lang w:val="en-GB"/>
        </w:rPr>
        <w:t xml:space="preserve">nformation </w:t>
      </w:r>
      <w:r w:rsidRPr="002353FE">
        <w:rPr>
          <w:rFonts w:ascii="Verdana" w:hAnsi="Verdana" w:cs="Tahoma"/>
          <w:sz w:val="24"/>
          <w:szCs w:val="24"/>
          <w:lang w:val="en-GB"/>
        </w:rPr>
        <w:t>for disclosure practices is available for 24 countries (</w:t>
      </w:r>
      <w:r w:rsidR="004D5EC8" w:rsidRPr="002353FE">
        <w:rPr>
          <w:rFonts w:ascii="Verdana" w:hAnsi="Verdana" w:cs="Tahoma"/>
          <w:sz w:val="24"/>
          <w:szCs w:val="24"/>
          <w:lang w:val="en-GB"/>
        </w:rPr>
        <w:t xml:space="preserve">data is unavailable for </w:t>
      </w:r>
      <w:r w:rsidRPr="002353FE">
        <w:rPr>
          <w:rFonts w:ascii="Verdana" w:hAnsi="Verdana" w:cs="Tahoma"/>
          <w:sz w:val="24"/>
          <w:szCs w:val="24"/>
          <w:lang w:val="en-GB"/>
        </w:rPr>
        <w:t>Poland)</w:t>
      </w:r>
      <w:r w:rsidR="0003716E" w:rsidRPr="002353FE">
        <w:rPr>
          <w:rFonts w:ascii="Verdana" w:hAnsi="Verdana" w:cs="Tahoma"/>
          <w:sz w:val="24"/>
          <w:szCs w:val="24"/>
          <w:lang w:val="en-GB"/>
        </w:rPr>
        <w:t xml:space="preserve">. </w:t>
      </w:r>
      <w:r w:rsidR="00CE5832" w:rsidRPr="002353FE">
        <w:rPr>
          <w:rFonts w:ascii="Verdana" w:hAnsi="Verdana" w:cs="Tahoma"/>
          <w:sz w:val="24"/>
          <w:szCs w:val="24"/>
          <w:lang w:val="en-GB"/>
        </w:rPr>
        <w:t xml:space="preserve">Subsequently </w:t>
      </w:r>
      <w:r w:rsidR="0003716E" w:rsidRPr="002353FE">
        <w:rPr>
          <w:rFonts w:ascii="Verdana" w:hAnsi="Verdana" w:cs="Tahoma"/>
          <w:sz w:val="24"/>
          <w:szCs w:val="24"/>
          <w:lang w:val="en-GB"/>
        </w:rPr>
        <w:t>2</w:t>
      </w:r>
      <w:r w:rsidRPr="002353FE">
        <w:rPr>
          <w:rFonts w:ascii="Verdana" w:hAnsi="Verdana" w:cs="Tahoma"/>
          <w:sz w:val="24"/>
          <w:szCs w:val="24"/>
          <w:lang w:val="en-GB"/>
        </w:rPr>
        <w:t>4</w:t>
      </w:r>
      <w:r w:rsidR="0003716E" w:rsidRPr="002353FE">
        <w:rPr>
          <w:rFonts w:ascii="Verdana" w:hAnsi="Verdana" w:cs="Tahoma"/>
          <w:sz w:val="24"/>
          <w:szCs w:val="24"/>
          <w:lang w:val="en-GB"/>
        </w:rPr>
        <w:t xml:space="preserve"> countries, represent</w:t>
      </w:r>
      <w:r w:rsidR="00E43C86" w:rsidRPr="002353FE">
        <w:rPr>
          <w:rFonts w:ascii="Verdana" w:hAnsi="Verdana" w:cs="Tahoma"/>
          <w:sz w:val="24"/>
          <w:szCs w:val="24"/>
          <w:lang w:val="en-GB"/>
        </w:rPr>
        <w:t>ing</w:t>
      </w:r>
      <w:r w:rsidR="0003716E" w:rsidRPr="002353FE">
        <w:rPr>
          <w:rFonts w:ascii="Verdana" w:hAnsi="Verdana" w:cs="Tahoma"/>
          <w:sz w:val="24"/>
          <w:szCs w:val="24"/>
          <w:lang w:val="en-GB"/>
        </w:rPr>
        <w:t xml:space="preserve"> 9</w:t>
      </w:r>
      <w:r w:rsidRPr="002353FE">
        <w:rPr>
          <w:rFonts w:ascii="Verdana" w:hAnsi="Verdana" w:cs="Tahoma"/>
          <w:sz w:val="24"/>
          <w:szCs w:val="24"/>
          <w:lang w:val="en-GB"/>
        </w:rPr>
        <w:t>0.4</w:t>
      </w:r>
      <w:r w:rsidR="0003716E" w:rsidRPr="002353FE">
        <w:rPr>
          <w:rFonts w:ascii="Verdana" w:hAnsi="Verdana" w:cs="Tahoma"/>
          <w:sz w:val="24"/>
          <w:szCs w:val="24"/>
          <w:lang w:val="en-GB"/>
        </w:rPr>
        <w:t>% of the EU population</w:t>
      </w:r>
      <w:r w:rsidRPr="002353FE">
        <w:rPr>
          <w:rFonts w:ascii="Verdana" w:hAnsi="Verdana" w:cs="Tahoma"/>
          <w:sz w:val="24"/>
          <w:szCs w:val="24"/>
          <w:lang w:val="en-GB"/>
        </w:rPr>
        <w:t xml:space="preserve"> in 2016</w:t>
      </w:r>
      <w:r w:rsidR="0003716E" w:rsidRPr="002353FE">
        <w:rPr>
          <w:rFonts w:ascii="Verdana" w:hAnsi="Verdana" w:cs="Tahoma"/>
          <w:sz w:val="24"/>
          <w:szCs w:val="24"/>
          <w:lang w:val="en-GB"/>
        </w:rPr>
        <w:t xml:space="preserve"> (EUROSTAT</w:t>
      </w:r>
      <w:r w:rsidR="007F7EED" w:rsidRPr="002353FE">
        <w:rPr>
          <w:rFonts w:ascii="Verdana" w:hAnsi="Verdana" w:cs="Tahoma"/>
          <w:sz w:val="24"/>
          <w:szCs w:val="24"/>
          <w:lang w:val="en-GB"/>
        </w:rPr>
        <w:t>,</w:t>
      </w:r>
      <w:r w:rsidR="0003716E" w:rsidRPr="002353FE">
        <w:rPr>
          <w:rFonts w:ascii="Verdana" w:hAnsi="Verdana" w:cs="Tahoma"/>
          <w:sz w:val="24"/>
          <w:szCs w:val="24"/>
          <w:lang w:val="en-GB"/>
        </w:rPr>
        <w:t xml:space="preserve"> 2017e)</w:t>
      </w:r>
      <w:r w:rsidR="00CE5832" w:rsidRPr="002353FE">
        <w:rPr>
          <w:rFonts w:ascii="Verdana" w:hAnsi="Verdana" w:cs="Tahoma"/>
          <w:sz w:val="24"/>
          <w:szCs w:val="24"/>
          <w:lang w:val="en-GB"/>
        </w:rPr>
        <w:t xml:space="preserve"> are assessed</w:t>
      </w:r>
      <w:r w:rsidR="0003716E" w:rsidRPr="002353FE">
        <w:rPr>
          <w:rFonts w:ascii="Verdana" w:hAnsi="Verdana" w:cs="Tahoma"/>
          <w:sz w:val="24"/>
          <w:szCs w:val="24"/>
          <w:lang w:val="en-GB"/>
        </w:rPr>
        <w:t xml:space="preserve">. </w:t>
      </w:r>
      <w:r w:rsidR="00755A16" w:rsidRPr="002353FE">
        <w:rPr>
          <w:rFonts w:ascii="Verdana" w:hAnsi="Verdana" w:cs="Tahoma"/>
          <w:sz w:val="24"/>
          <w:szCs w:val="24"/>
          <w:lang w:val="en-GB"/>
        </w:rPr>
        <w:t>This yields a final valid sample of 1</w:t>
      </w:r>
      <w:r w:rsidR="006462DB" w:rsidRPr="002353FE">
        <w:rPr>
          <w:rFonts w:ascii="Verdana" w:hAnsi="Verdana" w:cs="Tahoma"/>
          <w:sz w:val="24"/>
          <w:szCs w:val="24"/>
          <w:lang w:val="en-GB"/>
        </w:rPr>
        <w:t>9</w:t>
      </w:r>
      <w:r w:rsidR="00755A16" w:rsidRPr="002353FE">
        <w:rPr>
          <w:rFonts w:ascii="Verdana" w:hAnsi="Verdana" w:cs="Tahoma"/>
          <w:sz w:val="24"/>
          <w:szCs w:val="24"/>
          <w:lang w:val="en-GB"/>
        </w:rPr>
        <w:t>,</w:t>
      </w:r>
      <w:r w:rsidR="00330E69" w:rsidRPr="002353FE">
        <w:rPr>
          <w:rFonts w:ascii="Verdana" w:hAnsi="Verdana" w:cs="Tahoma"/>
          <w:sz w:val="24"/>
          <w:szCs w:val="24"/>
          <w:lang w:val="en-GB"/>
        </w:rPr>
        <w:t>159</w:t>
      </w:r>
      <w:r w:rsidR="00755A16" w:rsidRPr="002353FE">
        <w:rPr>
          <w:rFonts w:ascii="Verdana" w:hAnsi="Verdana" w:cs="Tahoma"/>
          <w:sz w:val="24"/>
          <w:szCs w:val="24"/>
          <w:lang w:val="en-GB"/>
        </w:rPr>
        <w:t xml:space="preserve"> individuals. </w:t>
      </w:r>
      <w:r w:rsidR="00C4464C" w:rsidRPr="002353FE">
        <w:rPr>
          <w:rFonts w:ascii="Verdana" w:hAnsi="Verdana" w:cs="Tahoma"/>
          <w:sz w:val="24"/>
          <w:szCs w:val="24"/>
          <w:lang w:val="en-GB"/>
        </w:rPr>
        <w:t>T</w:t>
      </w:r>
      <w:r w:rsidR="00330E69" w:rsidRPr="002353FE">
        <w:rPr>
          <w:rFonts w:ascii="Verdana" w:hAnsi="Verdana" w:cs="Tahoma"/>
          <w:sz w:val="24"/>
          <w:szCs w:val="24"/>
          <w:lang w:val="en-GB"/>
        </w:rPr>
        <w:t xml:space="preserve">he definition and source of </w:t>
      </w:r>
      <w:r w:rsidR="001226FB" w:rsidRPr="002353FE">
        <w:rPr>
          <w:rFonts w:ascii="Verdana" w:hAnsi="Verdana" w:cs="Tahoma"/>
          <w:sz w:val="24"/>
          <w:szCs w:val="24"/>
          <w:lang w:val="en-GB"/>
        </w:rPr>
        <w:t xml:space="preserve">all the variables </w:t>
      </w:r>
      <w:r w:rsidR="002C323A" w:rsidRPr="002353FE">
        <w:rPr>
          <w:rFonts w:ascii="Verdana" w:hAnsi="Verdana" w:cs="Tahoma"/>
          <w:sz w:val="24"/>
          <w:szCs w:val="24"/>
          <w:lang w:val="en-GB"/>
        </w:rPr>
        <w:t>i</w:t>
      </w:r>
      <w:r w:rsidR="00DE3C4C" w:rsidRPr="002353FE">
        <w:rPr>
          <w:rFonts w:ascii="Verdana" w:hAnsi="Verdana" w:cs="Tahoma"/>
          <w:sz w:val="24"/>
          <w:szCs w:val="24"/>
          <w:lang w:val="en-GB"/>
        </w:rPr>
        <w:t>s</w:t>
      </w:r>
      <w:r w:rsidR="002C323A" w:rsidRPr="002353FE">
        <w:rPr>
          <w:rFonts w:ascii="Verdana" w:hAnsi="Verdana" w:cs="Tahoma"/>
          <w:sz w:val="24"/>
          <w:szCs w:val="24"/>
          <w:lang w:val="en-GB"/>
        </w:rPr>
        <w:t xml:space="preserve"> </w:t>
      </w:r>
      <w:r w:rsidR="00DE3C4C" w:rsidRPr="002353FE">
        <w:rPr>
          <w:rFonts w:ascii="Verdana" w:hAnsi="Verdana" w:cs="Tahoma"/>
          <w:sz w:val="24"/>
          <w:szCs w:val="24"/>
          <w:lang w:val="en-GB"/>
        </w:rPr>
        <w:t>provided</w:t>
      </w:r>
      <w:r w:rsidR="002C323A" w:rsidRPr="002353FE">
        <w:rPr>
          <w:rFonts w:ascii="Verdana" w:hAnsi="Verdana" w:cs="Tahoma"/>
          <w:sz w:val="24"/>
          <w:szCs w:val="24"/>
          <w:lang w:val="en-GB"/>
        </w:rPr>
        <w:t xml:space="preserve"> in Table </w:t>
      </w:r>
      <w:r w:rsidR="00285B4E" w:rsidRPr="002353FE">
        <w:rPr>
          <w:rFonts w:ascii="Verdana" w:hAnsi="Verdana" w:cs="Tahoma"/>
          <w:sz w:val="24"/>
          <w:szCs w:val="24"/>
          <w:lang w:val="en-GB"/>
        </w:rPr>
        <w:t>I</w:t>
      </w:r>
      <w:r w:rsidR="002C323A" w:rsidRPr="002353FE">
        <w:rPr>
          <w:rFonts w:ascii="Verdana" w:hAnsi="Verdana" w:cs="Tahoma"/>
          <w:sz w:val="24"/>
          <w:szCs w:val="24"/>
          <w:lang w:val="en-GB"/>
        </w:rPr>
        <w:t>.</w:t>
      </w:r>
      <w:r w:rsidR="0028127C" w:rsidRPr="002353FE">
        <w:rPr>
          <w:rFonts w:ascii="Verdana" w:hAnsi="Verdana" w:cs="Tahoma"/>
          <w:sz w:val="24"/>
          <w:szCs w:val="24"/>
          <w:lang w:val="en-GB"/>
        </w:rPr>
        <w:t xml:space="preserve"> </w:t>
      </w:r>
      <w:r w:rsidR="002B5849" w:rsidRPr="002353FE">
        <w:rPr>
          <w:rFonts w:ascii="Verdana" w:hAnsi="Verdana" w:cs="Tahoma"/>
          <w:sz w:val="24"/>
          <w:szCs w:val="24"/>
          <w:lang w:val="en-GB"/>
        </w:rPr>
        <w:t>T</w:t>
      </w:r>
      <w:r w:rsidR="00707000" w:rsidRPr="002353FE">
        <w:rPr>
          <w:rFonts w:ascii="Verdana" w:hAnsi="Verdana" w:cs="Tahoma"/>
          <w:sz w:val="24"/>
          <w:szCs w:val="24"/>
          <w:lang w:val="en-GB"/>
        </w:rPr>
        <w:t>he value</w:t>
      </w:r>
      <w:r w:rsidR="002B5849" w:rsidRPr="002353FE">
        <w:rPr>
          <w:rFonts w:ascii="Verdana" w:hAnsi="Verdana" w:cs="Tahoma"/>
          <w:sz w:val="24"/>
          <w:szCs w:val="24"/>
          <w:lang w:val="en-GB"/>
        </w:rPr>
        <w:t>s</w:t>
      </w:r>
      <w:r w:rsidR="00707000" w:rsidRPr="002353FE">
        <w:rPr>
          <w:rFonts w:ascii="Verdana" w:hAnsi="Verdana" w:cs="Tahoma"/>
          <w:sz w:val="24"/>
          <w:szCs w:val="24"/>
          <w:lang w:val="en-GB"/>
        </w:rPr>
        <w:t xml:space="preserve"> of all the </w:t>
      </w:r>
      <w:r w:rsidR="004D5EC8" w:rsidRPr="002353FE">
        <w:rPr>
          <w:rFonts w:ascii="Verdana" w:hAnsi="Verdana" w:cs="Tahoma"/>
          <w:sz w:val="24"/>
          <w:szCs w:val="24"/>
          <w:lang w:val="en-GB"/>
        </w:rPr>
        <w:t xml:space="preserve">independent </w:t>
      </w:r>
      <w:r w:rsidR="002B5849" w:rsidRPr="002353FE">
        <w:rPr>
          <w:rFonts w:ascii="Verdana" w:hAnsi="Verdana" w:cs="Tahoma"/>
          <w:sz w:val="24"/>
          <w:szCs w:val="24"/>
          <w:lang w:val="en-GB"/>
        </w:rPr>
        <w:t xml:space="preserve">variables </w:t>
      </w:r>
      <w:r w:rsidR="00E47A27" w:rsidRPr="002353FE">
        <w:rPr>
          <w:rFonts w:ascii="Verdana" w:hAnsi="Verdana" w:cs="Tahoma"/>
          <w:sz w:val="24"/>
          <w:szCs w:val="24"/>
          <w:lang w:val="en-GB"/>
        </w:rPr>
        <w:t xml:space="preserve">at the country level </w:t>
      </w:r>
      <w:r w:rsidR="002B5849" w:rsidRPr="002353FE">
        <w:rPr>
          <w:rFonts w:ascii="Verdana" w:hAnsi="Verdana" w:cs="Tahoma"/>
          <w:sz w:val="24"/>
          <w:szCs w:val="24"/>
          <w:lang w:val="en-GB"/>
        </w:rPr>
        <w:t>are shown</w:t>
      </w:r>
      <w:r w:rsidR="00707000" w:rsidRPr="002353FE">
        <w:rPr>
          <w:rFonts w:ascii="Verdana" w:hAnsi="Verdana" w:cs="Tahoma"/>
          <w:sz w:val="24"/>
          <w:szCs w:val="24"/>
          <w:lang w:val="en-GB"/>
        </w:rPr>
        <w:t xml:space="preserve"> in</w:t>
      </w:r>
      <w:r w:rsidR="002B5849" w:rsidRPr="002353FE">
        <w:rPr>
          <w:rFonts w:ascii="Verdana" w:hAnsi="Verdana" w:cs="Tahoma"/>
          <w:sz w:val="24"/>
          <w:szCs w:val="24"/>
          <w:lang w:val="en-GB"/>
        </w:rPr>
        <w:t xml:space="preserve"> a</w:t>
      </w:r>
      <w:r w:rsidR="00F9379F" w:rsidRPr="002353FE">
        <w:rPr>
          <w:rFonts w:ascii="Verdana" w:hAnsi="Verdana" w:cs="Tahoma"/>
          <w:sz w:val="24"/>
          <w:szCs w:val="24"/>
          <w:lang w:val="en-GB"/>
        </w:rPr>
        <w:t>n</w:t>
      </w:r>
      <w:r w:rsidR="002B5849" w:rsidRPr="002353FE">
        <w:rPr>
          <w:rFonts w:ascii="Verdana" w:hAnsi="Verdana" w:cs="Tahoma"/>
          <w:sz w:val="24"/>
          <w:szCs w:val="24"/>
          <w:lang w:val="en-GB"/>
        </w:rPr>
        <w:t xml:space="preserve"> </w:t>
      </w:r>
      <w:r w:rsidR="00F9379F" w:rsidRPr="002353FE">
        <w:rPr>
          <w:rFonts w:ascii="Verdana" w:hAnsi="Verdana" w:cs="Tahoma"/>
          <w:sz w:val="24"/>
          <w:szCs w:val="24"/>
          <w:lang w:val="en-GB"/>
        </w:rPr>
        <w:t>a</w:t>
      </w:r>
      <w:r w:rsidR="00E47A27" w:rsidRPr="002353FE">
        <w:rPr>
          <w:rFonts w:ascii="Verdana" w:hAnsi="Verdana" w:cs="Tahoma"/>
          <w:sz w:val="24"/>
          <w:szCs w:val="24"/>
          <w:lang w:val="en-GB"/>
        </w:rPr>
        <w:t>pp</w:t>
      </w:r>
      <w:r w:rsidR="00707000" w:rsidRPr="002353FE">
        <w:rPr>
          <w:rFonts w:ascii="Verdana" w:hAnsi="Verdana" w:cs="Tahoma"/>
          <w:sz w:val="24"/>
          <w:szCs w:val="24"/>
          <w:lang w:val="en-GB"/>
        </w:rPr>
        <w:t>e</w:t>
      </w:r>
      <w:r w:rsidR="00F9379F" w:rsidRPr="002353FE">
        <w:rPr>
          <w:rFonts w:ascii="Verdana" w:hAnsi="Verdana" w:cs="Tahoma"/>
          <w:sz w:val="24"/>
          <w:szCs w:val="24"/>
          <w:lang w:val="en-GB"/>
        </w:rPr>
        <w:t>ndi</w:t>
      </w:r>
      <w:r w:rsidR="00707000" w:rsidRPr="002353FE">
        <w:rPr>
          <w:rFonts w:ascii="Verdana" w:hAnsi="Verdana" w:cs="Tahoma"/>
          <w:sz w:val="24"/>
          <w:szCs w:val="24"/>
          <w:lang w:val="en-GB"/>
        </w:rPr>
        <w:t>x.</w:t>
      </w:r>
    </w:p>
    <w:p w14:paraId="31BB09B1" w14:textId="341891D4" w:rsidR="00AF4F63" w:rsidRPr="002353FE" w:rsidRDefault="004D5EC8" w:rsidP="0033405D">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The </w:t>
      </w:r>
      <w:r w:rsidR="00580A4C" w:rsidRPr="002353FE">
        <w:rPr>
          <w:rFonts w:ascii="Verdana" w:hAnsi="Verdana" w:cs="Tahoma"/>
          <w:sz w:val="24"/>
          <w:szCs w:val="24"/>
          <w:lang w:val="en-GB"/>
        </w:rPr>
        <w:t xml:space="preserve">variables’ </w:t>
      </w:r>
      <w:r w:rsidRPr="002353FE">
        <w:rPr>
          <w:rFonts w:ascii="Verdana" w:hAnsi="Verdana" w:cs="Tahoma"/>
          <w:sz w:val="24"/>
          <w:szCs w:val="24"/>
          <w:lang w:val="en-GB"/>
        </w:rPr>
        <w:t>d</w:t>
      </w:r>
      <w:r w:rsidR="002C323A" w:rsidRPr="002353FE">
        <w:rPr>
          <w:rFonts w:ascii="Verdana" w:hAnsi="Verdana" w:cs="Tahoma"/>
          <w:sz w:val="24"/>
          <w:szCs w:val="24"/>
          <w:lang w:val="en-GB"/>
        </w:rPr>
        <w:t>escriptive statistics are presented</w:t>
      </w:r>
      <w:r w:rsidR="00323D53" w:rsidRPr="002353FE">
        <w:rPr>
          <w:rFonts w:ascii="Verdana" w:hAnsi="Verdana" w:cs="Tahoma"/>
          <w:sz w:val="24"/>
          <w:szCs w:val="24"/>
          <w:lang w:val="en-GB"/>
        </w:rPr>
        <w:t xml:space="preserve"> in Table </w:t>
      </w:r>
      <w:r w:rsidR="00285B4E" w:rsidRPr="002353FE">
        <w:rPr>
          <w:rFonts w:ascii="Verdana" w:hAnsi="Verdana" w:cs="Tahoma"/>
          <w:sz w:val="24"/>
          <w:szCs w:val="24"/>
          <w:lang w:val="en-GB"/>
        </w:rPr>
        <w:t>II</w:t>
      </w:r>
      <w:r w:rsidR="002C323A" w:rsidRPr="002353FE">
        <w:rPr>
          <w:rFonts w:ascii="Verdana" w:hAnsi="Verdana" w:cs="Tahoma"/>
          <w:sz w:val="24"/>
          <w:szCs w:val="24"/>
          <w:lang w:val="en-GB"/>
        </w:rPr>
        <w:t>. T</w:t>
      </w:r>
      <w:r w:rsidR="00207DEF" w:rsidRPr="002353FE">
        <w:rPr>
          <w:rFonts w:ascii="Verdana" w:hAnsi="Verdana" w:cs="Tahoma"/>
          <w:sz w:val="24"/>
          <w:szCs w:val="24"/>
          <w:lang w:val="en-GB"/>
        </w:rPr>
        <w:t xml:space="preserve">he </w:t>
      </w:r>
      <w:r w:rsidR="00C84882" w:rsidRPr="002353FE">
        <w:rPr>
          <w:rFonts w:ascii="Verdana" w:hAnsi="Verdana" w:cs="Tahoma"/>
          <w:sz w:val="24"/>
          <w:szCs w:val="24"/>
          <w:lang w:val="en-GB"/>
        </w:rPr>
        <w:t xml:space="preserve">sample </w:t>
      </w:r>
      <w:r w:rsidR="00207DEF" w:rsidRPr="002353FE">
        <w:rPr>
          <w:rFonts w:ascii="Verdana" w:hAnsi="Verdana" w:cs="Tahoma"/>
          <w:sz w:val="24"/>
          <w:szCs w:val="24"/>
          <w:lang w:val="en-GB"/>
        </w:rPr>
        <w:t xml:space="preserve">composition </w:t>
      </w:r>
      <w:r w:rsidR="00BB035C" w:rsidRPr="002353FE">
        <w:rPr>
          <w:rFonts w:ascii="Verdana" w:hAnsi="Verdana" w:cs="Tahoma"/>
          <w:sz w:val="24"/>
          <w:szCs w:val="24"/>
          <w:lang w:val="en-GB"/>
        </w:rPr>
        <w:t>(</w:t>
      </w:r>
      <w:r w:rsidR="002C323A" w:rsidRPr="002353FE">
        <w:rPr>
          <w:rFonts w:ascii="Verdana" w:hAnsi="Verdana" w:cs="Tahoma"/>
          <w:sz w:val="24"/>
          <w:szCs w:val="24"/>
          <w:lang w:val="en-GB"/>
        </w:rPr>
        <w:t xml:space="preserve">after applying </w:t>
      </w:r>
      <w:r w:rsidR="002B018A" w:rsidRPr="002353FE">
        <w:rPr>
          <w:rFonts w:ascii="Verdana" w:hAnsi="Verdana" w:cs="Tahoma"/>
          <w:sz w:val="24"/>
          <w:szCs w:val="24"/>
          <w:lang w:val="en-GB"/>
        </w:rPr>
        <w:t>sampling</w:t>
      </w:r>
      <w:r w:rsidR="002C323A" w:rsidRPr="002353FE">
        <w:rPr>
          <w:rFonts w:ascii="Verdana" w:hAnsi="Verdana" w:cs="Tahoma"/>
          <w:sz w:val="24"/>
          <w:szCs w:val="24"/>
          <w:lang w:val="en-GB"/>
        </w:rPr>
        <w:t xml:space="preserve"> weights</w:t>
      </w:r>
      <w:r w:rsidR="00BB035C" w:rsidRPr="002353FE">
        <w:rPr>
          <w:rFonts w:ascii="Verdana" w:hAnsi="Verdana" w:cs="Tahoma"/>
          <w:sz w:val="24"/>
          <w:szCs w:val="24"/>
          <w:lang w:val="en-GB"/>
        </w:rPr>
        <w:t xml:space="preserve">) is displayed </w:t>
      </w:r>
      <w:r w:rsidRPr="002353FE">
        <w:rPr>
          <w:rFonts w:ascii="Verdana" w:hAnsi="Verdana" w:cs="Tahoma"/>
          <w:sz w:val="24"/>
          <w:szCs w:val="24"/>
          <w:lang w:val="en-GB"/>
        </w:rPr>
        <w:t>first</w:t>
      </w:r>
      <w:r w:rsidR="002C323A" w:rsidRPr="002353FE">
        <w:rPr>
          <w:rFonts w:ascii="Verdana" w:hAnsi="Verdana" w:cs="Tahoma"/>
          <w:sz w:val="24"/>
          <w:szCs w:val="24"/>
          <w:lang w:val="en-GB"/>
        </w:rPr>
        <w:t xml:space="preserve">. </w:t>
      </w:r>
      <w:r w:rsidR="00CE191C" w:rsidRPr="002353FE">
        <w:rPr>
          <w:rFonts w:ascii="Verdana" w:hAnsi="Verdana" w:cs="Tahoma"/>
          <w:sz w:val="24"/>
          <w:szCs w:val="24"/>
          <w:lang w:val="en-GB"/>
        </w:rPr>
        <w:t>T</w:t>
      </w:r>
      <w:r w:rsidR="00207DEF" w:rsidRPr="002353FE">
        <w:rPr>
          <w:rFonts w:ascii="Verdana" w:hAnsi="Verdana" w:cs="Tahoma"/>
          <w:sz w:val="24"/>
          <w:szCs w:val="24"/>
          <w:lang w:val="en-GB"/>
        </w:rPr>
        <w:t xml:space="preserve">he </w:t>
      </w:r>
      <w:r w:rsidRPr="002353FE">
        <w:rPr>
          <w:rFonts w:ascii="Verdana" w:hAnsi="Verdana" w:cs="Tahoma"/>
          <w:sz w:val="24"/>
          <w:szCs w:val="24"/>
          <w:lang w:val="en-GB"/>
        </w:rPr>
        <w:t>next</w:t>
      </w:r>
      <w:r w:rsidR="00207DEF" w:rsidRPr="002353FE">
        <w:rPr>
          <w:rFonts w:ascii="Verdana" w:hAnsi="Verdana" w:cs="Tahoma"/>
          <w:sz w:val="24"/>
          <w:szCs w:val="24"/>
          <w:lang w:val="en-GB"/>
        </w:rPr>
        <w:t xml:space="preserve"> column shows the average percentage of c</w:t>
      </w:r>
      <w:r w:rsidRPr="002353FE">
        <w:rPr>
          <w:rFonts w:ascii="Verdana" w:hAnsi="Verdana" w:cs="Tahoma"/>
          <w:sz w:val="24"/>
          <w:szCs w:val="24"/>
          <w:lang w:val="en-GB"/>
        </w:rPr>
        <w:t>ustomers</w:t>
      </w:r>
      <w:r w:rsidR="00207DEF" w:rsidRPr="002353FE">
        <w:rPr>
          <w:rFonts w:ascii="Verdana" w:hAnsi="Verdana" w:cs="Tahoma"/>
          <w:sz w:val="24"/>
          <w:szCs w:val="24"/>
          <w:lang w:val="en-GB"/>
        </w:rPr>
        <w:t xml:space="preserve"> that have switched their </w:t>
      </w:r>
      <w:r w:rsidR="00DE3C4C" w:rsidRPr="002353FE">
        <w:rPr>
          <w:rFonts w:ascii="Verdana" w:hAnsi="Verdana" w:cs="Tahoma"/>
          <w:sz w:val="24"/>
          <w:szCs w:val="24"/>
          <w:lang w:val="en-GB"/>
        </w:rPr>
        <w:t xml:space="preserve">personal current </w:t>
      </w:r>
      <w:r w:rsidR="00D24EF3" w:rsidRPr="002353FE">
        <w:rPr>
          <w:rFonts w:ascii="Verdana" w:hAnsi="Verdana" w:cs="Tahoma"/>
          <w:sz w:val="24"/>
          <w:szCs w:val="24"/>
          <w:lang w:val="en-GB"/>
        </w:rPr>
        <w:t>account in the last 5 years</w:t>
      </w:r>
      <w:r w:rsidR="00330E69" w:rsidRPr="002353FE">
        <w:rPr>
          <w:rFonts w:ascii="Verdana" w:hAnsi="Verdana" w:cs="Tahoma"/>
          <w:sz w:val="24"/>
          <w:szCs w:val="24"/>
          <w:lang w:val="en-GB"/>
        </w:rPr>
        <w:t>, by country and by socio-economic characteristic</w:t>
      </w:r>
      <w:r w:rsidR="00207DEF" w:rsidRPr="002353FE">
        <w:rPr>
          <w:rFonts w:ascii="Verdana" w:hAnsi="Verdana" w:cs="Tahoma"/>
          <w:sz w:val="24"/>
          <w:szCs w:val="24"/>
          <w:lang w:val="en-GB"/>
        </w:rPr>
        <w:t>.</w:t>
      </w:r>
      <w:r w:rsidR="004B4A1C" w:rsidRPr="002353FE">
        <w:rPr>
          <w:rFonts w:ascii="Verdana" w:hAnsi="Verdana" w:cs="Tahoma"/>
          <w:sz w:val="24"/>
          <w:szCs w:val="24"/>
          <w:lang w:val="en-GB"/>
        </w:rPr>
        <w:t xml:space="preserve"> </w:t>
      </w:r>
      <w:r w:rsidR="000F23A6" w:rsidRPr="002353FE">
        <w:rPr>
          <w:rFonts w:ascii="Verdana" w:hAnsi="Verdana" w:cs="Tahoma"/>
          <w:sz w:val="24"/>
          <w:szCs w:val="24"/>
          <w:lang w:val="en-GB"/>
        </w:rPr>
        <w:t>O</w:t>
      </w:r>
      <w:r w:rsidR="004B4A1C" w:rsidRPr="002353FE">
        <w:rPr>
          <w:rFonts w:ascii="Verdana" w:hAnsi="Verdana" w:cs="Tahoma"/>
          <w:sz w:val="24"/>
          <w:szCs w:val="24"/>
          <w:lang w:val="en-GB"/>
        </w:rPr>
        <w:t>n average, 8.</w:t>
      </w:r>
      <w:r w:rsidR="00330E69" w:rsidRPr="002353FE">
        <w:rPr>
          <w:rFonts w:ascii="Verdana" w:hAnsi="Verdana" w:cs="Tahoma"/>
          <w:sz w:val="24"/>
          <w:szCs w:val="24"/>
          <w:lang w:val="en-GB"/>
        </w:rPr>
        <w:t>21</w:t>
      </w:r>
      <w:r w:rsidR="004B4A1C" w:rsidRPr="002353FE">
        <w:rPr>
          <w:rFonts w:ascii="Verdana" w:hAnsi="Verdana" w:cs="Tahoma"/>
          <w:sz w:val="24"/>
          <w:szCs w:val="24"/>
          <w:lang w:val="en-GB"/>
        </w:rPr>
        <w:t xml:space="preserve">% of </w:t>
      </w:r>
      <w:r w:rsidRPr="002353FE">
        <w:rPr>
          <w:rFonts w:ascii="Verdana" w:hAnsi="Verdana" w:cs="Tahoma"/>
          <w:sz w:val="24"/>
          <w:szCs w:val="24"/>
          <w:lang w:val="en-GB"/>
        </w:rPr>
        <w:t>customers</w:t>
      </w:r>
      <w:r w:rsidR="004B4A1C" w:rsidRPr="002353FE">
        <w:rPr>
          <w:rFonts w:ascii="Verdana" w:hAnsi="Verdana" w:cs="Tahoma"/>
          <w:sz w:val="24"/>
          <w:szCs w:val="24"/>
          <w:lang w:val="en-GB"/>
        </w:rPr>
        <w:t xml:space="preserve"> who have a bank account have switched during the last 5 years. There are large differences between </w:t>
      </w:r>
      <w:r w:rsidR="00361915" w:rsidRPr="002353FE">
        <w:rPr>
          <w:rFonts w:ascii="Verdana" w:hAnsi="Verdana" w:cs="Tahoma"/>
          <w:sz w:val="24"/>
          <w:szCs w:val="24"/>
          <w:lang w:val="en-GB"/>
        </w:rPr>
        <w:t>EU nations</w:t>
      </w:r>
      <w:r w:rsidR="00F548A1" w:rsidRPr="002353FE">
        <w:rPr>
          <w:rFonts w:ascii="Verdana" w:hAnsi="Verdana" w:cs="Tahoma"/>
          <w:sz w:val="24"/>
          <w:szCs w:val="24"/>
          <w:lang w:val="en-GB"/>
        </w:rPr>
        <w:t xml:space="preserve">. Relatively high levels of bank switching are observed in </w:t>
      </w:r>
      <w:r w:rsidR="004B4A1C" w:rsidRPr="002353FE">
        <w:rPr>
          <w:rFonts w:ascii="Verdana" w:hAnsi="Verdana" w:cs="Tahoma"/>
          <w:sz w:val="24"/>
          <w:szCs w:val="24"/>
          <w:lang w:val="en-GB"/>
        </w:rPr>
        <w:t>Denmark</w:t>
      </w:r>
      <w:r w:rsidR="00F548A1" w:rsidRPr="002353FE">
        <w:rPr>
          <w:rFonts w:ascii="Verdana" w:hAnsi="Verdana" w:cs="Tahoma"/>
          <w:sz w:val="24"/>
          <w:szCs w:val="24"/>
          <w:lang w:val="en-GB"/>
        </w:rPr>
        <w:t xml:space="preserve"> (18.2%)</w:t>
      </w:r>
      <w:r w:rsidR="004B4A1C" w:rsidRPr="002353FE">
        <w:rPr>
          <w:rFonts w:ascii="Verdana" w:hAnsi="Verdana" w:cs="Tahoma"/>
          <w:sz w:val="24"/>
          <w:szCs w:val="24"/>
          <w:lang w:val="en-GB"/>
        </w:rPr>
        <w:t xml:space="preserve">, </w:t>
      </w:r>
      <w:r w:rsidR="005176A5" w:rsidRPr="002353FE">
        <w:rPr>
          <w:rFonts w:ascii="Verdana" w:hAnsi="Verdana" w:cs="Tahoma"/>
          <w:sz w:val="24"/>
          <w:szCs w:val="24"/>
          <w:lang w:val="en-GB"/>
        </w:rPr>
        <w:t xml:space="preserve">the </w:t>
      </w:r>
      <w:r w:rsidR="002D31EF" w:rsidRPr="002353FE">
        <w:rPr>
          <w:rFonts w:ascii="Verdana" w:hAnsi="Verdana" w:cs="Tahoma"/>
          <w:sz w:val="24"/>
          <w:szCs w:val="24"/>
          <w:lang w:val="en-GB"/>
        </w:rPr>
        <w:t>Czech</w:t>
      </w:r>
      <w:r w:rsidR="005176A5" w:rsidRPr="002353FE">
        <w:rPr>
          <w:rFonts w:ascii="Verdana" w:hAnsi="Verdana" w:cs="Tahoma"/>
          <w:sz w:val="24"/>
          <w:szCs w:val="24"/>
          <w:lang w:val="en-GB"/>
        </w:rPr>
        <w:t xml:space="preserve"> Republic</w:t>
      </w:r>
      <w:r w:rsidR="00F548A1" w:rsidRPr="002353FE">
        <w:rPr>
          <w:rFonts w:ascii="Verdana" w:hAnsi="Verdana" w:cs="Tahoma"/>
          <w:sz w:val="24"/>
          <w:szCs w:val="24"/>
          <w:lang w:val="en-GB"/>
        </w:rPr>
        <w:t xml:space="preserve"> (15.29%)</w:t>
      </w:r>
      <w:r w:rsidR="002D31EF" w:rsidRPr="002353FE">
        <w:rPr>
          <w:rFonts w:ascii="Verdana" w:hAnsi="Verdana" w:cs="Tahoma"/>
          <w:sz w:val="24"/>
          <w:szCs w:val="24"/>
          <w:lang w:val="en-GB"/>
        </w:rPr>
        <w:t xml:space="preserve">, </w:t>
      </w:r>
      <w:r w:rsidR="004B4A1C" w:rsidRPr="002353FE">
        <w:rPr>
          <w:rFonts w:ascii="Verdana" w:hAnsi="Verdana" w:cs="Tahoma"/>
          <w:sz w:val="24"/>
          <w:szCs w:val="24"/>
          <w:lang w:val="en-GB"/>
        </w:rPr>
        <w:t>Romania</w:t>
      </w:r>
      <w:r w:rsidR="00F548A1" w:rsidRPr="002353FE">
        <w:rPr>
          <w:rFonts w:ascii="Verdana" w:hAnsi="Verdana" w:cs="Tahoma"/>
          <w:sz w:val="24"/>
          <w:szCs w:val="24"/>
          <w:lang w:val="en-GB"/>
        </w:rPr>
        <w:t xml:space="preserve"> (12.5%)</w:t>
      </w:r>
      <w:r w:rsidR="00AF4F63" w:rsidRPr="002353FE">
        <w:rPr>
          <w:rFonts w:ascii="Verdana" w:hAnsi="Verdana" w:cs="Tahoma"/>
          <w:sz w:val="24"/>
          <w:szCs w:val="24"/>
          <w:lang w:val="en-GB"/>
        </w:rPr>
        <w:t>,</w:t>
      </w:r>
      <w:r w:rsidR="00330E69" w:rsidRPr="002353FE">
        <w:rPr>
          <w:rFonts w:ascii="Verdana" w:hAnsi="Verdana" w:cs="Tahoma"/>
          <w:sz w:val="24"/>
          <w:szCs w:val="24"/>
          <w:lang w:val="en-GB"/>
        </w:rPr>
        <w:t xml:space="preserve"> </w:t>
      </w:r>
      <w:r w:rsidR="004B4A1C" w:rsidRPr="002353FE">
        <w:rPr>
          <w:rFonts w:ascii="Verdana" w:hAnsi="Verdana" w:cs="Tahoma"/>
          <w:sz w:val="24"/>
          <w:szCs w:val="24"/>
          <w:lang w:val="en-GB"/>
        </w:rPr>
        <w:t>Slovenia</w:t>
      </w:r>
      <w:r w:rsidR="00323D53" w:rsidRPr="002353FE">
        <w:rPr>
          <w:rFonts w:ascii="Verdana" w:hAnsi="Verdana" w:cs="Tahoma"/>
          <w:sz w:val="24"/>
          <w:szCs w:val="24"/>
          <w:lang w:val="en-GB"/>
        </w:rPr>
        <w:t xml:space="preserve"> (11.95%)</w:t>
      </w:r>
      <w:r w:rsidR="00AF4F63" w:rsidRPr="002353FE">
        <w:rPr>
          <w:rFonts w:ascii="Verdana" w:hAnsi="Verdana" w:cs="Tahoma"/>
          <w:sz w:val="24"/>
          <w:szCs w:val="24"/>
          <w:lang w:val="en-GB"/>
        </w:rPr>
        <w:t>, UK (10.34%), Luxembourg (10.27%) and Latvia (10.25%)</w:t>
      </w:r>
      <w:r w:rsidR="00323D53" w:rsidRPr="002353FE">
        <w:rPr>
          <w:rFonts w:ascii="Verdana" w:hAnsi="Verdana" w:cs="Tahoma"/>
          <w:sz w:val="24"/>
          <w:szCs w:val="24"/>
          <w:lang w:val="en-GB"/>
        </w:rPr>
        <w:t xml:space="preserve">. </w:t>
      </w:r>
      <w:r w:rsidR="00E9789E" w:rsidRPr="002353FE">
        <w:rPr>
          <w:rFonts w:ascii="Verdana" w:hAnsi="Verdana" w:cs="Tahoma"/>
          <w:sz w:val="24"/>
          <w:szCs w:val="24"/>
          <w:lang w:val="en-GB"/>
        </w:rPr>
        <w:t>S</w:t>
      </w:r>
      <w:r w:rsidR="00073736" w:rsidRPr="002353FE">
        <w:rPr>
          <w:rFonts w:ascii="Verdana" w:hAnsi="Verdana" w:cs="Tahoma"/>
          <w:sz w:val="24"/>
          <w:szCs w:val="24"/>
          <w:lang w:val="en-GB"/>
        </w:rPr>
        <w:t>witching</w:t>
      </w:r>
      <w:r w:rsidRPr="002353FE">
        <w:rPr>
          <w:rFonts w:ascii="Verdana" w:hAnsi="Verdana" w:cs="Tahoma"/>
          <w:sz w:val="24"/>
          <w:szCs w:val="24"/>
          <w:lang w:val="en-GB"/>
        </w:rPr>
        <w:t xml:space="preserve"> levels</w:t>
      </w:r>
      <w:r w:rsidR="00073736" w:rsidRPr="002353FE">
        <w:rPr>
          <w:rFonts w:ascii="Verdana" w:hAnsi="Verdana" w:cs="Tahoma"/>
          <w:sz w:val="24"/>
          <w:szCs w:val="24"/>
          <w:lang w:val="en-GB"/>
        </w:rPr>
        <w:t xml:space="preserve"> </w:t>
      </w:r>
      <w:r w:rsidR="00323D53" w:rsidRPr="002353FE">
        <w:rPr>
          <w:rFonts w:ascii="Verdana" w:hAnsi="Verdana" w:cs="Tahoma"/>
          <w:sz w:val="24"/>
          <w:szCs w:val="24"/>
          <w:lang w:val="en-GB"/>
        </w:rPr>
        <w:t xml:space="preserve">are </w:t>
      </w:r>
      <w:r w:rsidR="004B4A1C" w:rsidRPr="002353FE">
        <w:rPr>
          <w:rFonts w:ascii="Verdana" w:hAnsi="Verdana" w:cs="Tahoma"/>
          <w:sz w:val="24"/>
          <w:szCs w:val="24"/>
          <w:lang w:val="en-GB"/>
        </w:rPr>
        <w:t>low</w:t>
      </w:r>
      <w:r w:rsidR="00323D53" w:rsidRPr="002353FE">
        <w:rPr>
          <w:rFonts w:ascii="Verdana" w:hAnsi="Verdana" w:cs="Tahoma"/>
          <w:sz w:val="24"/>
          <w:szCs w:val="24"/>
          <w:lang w:val="en-GB"/>
        </w:rPr>
        <w:t>er</w:t>
      </w:r>
      <w:r w:rsidR="004B4A1C" w:rsidRPr="002353FE">
        <w:rPr>
          <w:rFonts w:ascii="Verdana" w:hAnsi="Verdana" w:cs="Tahoma"/>
          <w:sz w:val="24"/>
          <w:szCs w:val="24"/>
          <w:lang w:val="en-GB"/>
        </w:rPr>
        <w:t xml:space="preserve"> in </w:t>
      </w:r>
      <w:r w:rsidR="002D31EF" w:rsidRPr="002353FE">
        <w:rPr>
          <w:rFonts w:ascii="Verdana" w:hAnsi="Verdana" w:cs="Tahoma"/>
          <w:sz w:val="24"/>
          <w:szCs w:val="24"/>
          <w:lang w:val="en-GB"/>
        </w:rPr>
        <w:t>Greece (2.3</w:t>
      </w:r>
      <w:r w:rsidR="004B4A1C" w:rsidRPr="002353FE">
        <w:rPr>
          <w:rFonts w:ascii="Verdana" w:hAnsi="Verdana" w:cs="Tahoma"/>
          <w:sz w:val="24"/>
          <w:szCs w:val="24"/>
          <w:lang w:val="en-GB"/>
        </w:rPr>
        <w:t>%), Portugal (3.96%),</w:t>
      </w:r>
      <w:r w:rsidR="00753E8B" w:rsidRPr="002353FE">
        <w:rPr>
          <w:rFonts w:ascii="Verdana" w:hAnsi="Verdana" w:cs="Tahoma"/>
          <w:sz w:val="24"/>
          <w:szCs w:val="24"/>
          <w:lang w:val="en-GB"/>
        </w:rPr>
        <w:t xml:space="preserve"> </w:t>
      </w:r>
      <w:r w:rsidR="00753E8B" w:rsidRPr="002353FE">
        <w:rPr>
          <w:rFonts w:ascii="Verdana" w:hAnsi="Verdana" w:cs="Tahoma"/>
          <w:sz w:val="24"/>
          <w:szCs w:val="24"/>
          <w:lang w:val="en-GB"/>
        </w:rPr>
        <w:lastRenderedPageBreak/>
        <w:t>Italy (5.27%), Ireland (5.44%)</w:t>
      </w:r>
      <w:r w:rsidR="00AF4F63" w:rsidRPr="002353FE">
        <w:rPr>
          <w:rFonts w:ascii="Verdana" w:hAnsi="Verdana" w:cs="Tahoma"/>
          <w:sz w:val="24"/>
          <w:szCs w:val="24"/>
          <w:lang w:val="en-GB"/>
        </w:rPr>
        <w:t>,</w:t>
      </w:r>
      <w:r w:rsidR="004B4A1C" w:rsidRPr="002353FE">
        <w:rPr>
          <w:rFonts w:ascii="Verdana" w:hAnsi="Verdana" w:cs="Tahoma"/>
          <w:sz w:val="24"/>
          <w:szCs w:val="24"/>
          <w:lang w:val="en-GB"/>
        </w:rPr>
        <w:t xml:space="preserve"> the Nether</w:t>
      </w:r>
      <w:r w:rsidR="00753E8B" w:rsidRPr="002353FE">
        <w:rPr>
          <w:rFonts w:ascii="Verdana" w:hAnsi="Verdana" w:cs="Tahoma"/>
          <w:sz w:val="24"/>
          <w:szCs w:val="24"/>
          <w:lang w:val="en-GB"/>
        </w:rPr>
        <w:t>lands (5.77%)</w:t>
      </w:r>
      <w:r w:rsidR="002B5849" w:rsidRPr="002353FE">
        <w:rPr>
          <w:rFonts w:ascii="Verdana" w:hAnsi="Verdana" w:cs="Tahoma"/>
          <w:sz w:val="24"/>
          <w:szCs w:val="24"/>
          <w:lang w:val="en-GB"/>
        </w:rPr>
        <w:t xml:space="preserve"> and</w:t>
      </w:r>
      <w:r w:rsidR="00AF4F63" w:rsidRPr="002353FE">
        <w:rPr>
          <w:rFonts w:ascii="Verdana" w:hAnsi="Verdana" w:cs="Tahoma"/>
          <w:sz w:val="24"/>
          <w:szCs w:val="24"/>
          <w:lang w:val="en-GB"/>
        </w:rPr>
        <w:t xml:space="preserve"> Germany (6.05%)</w:t>
      </w:r>
      <w:r w:rsidR="004B4A1C" w:rsidRPr="002353FE">
        <w:rPr>
          <w:rFonts w:ascii="Verdana" w:hAnsi="Verdana" w:cs="Tahoma"/>
          <w:sz w:val="24"/>
          <w:szCs w:val="24"/>
          <w:lang w:val="en-GB"/>
        </w:rPr>
        <w:t>.</w:t>
      </w:r>
    </w:p>
    <w:p w14:paraId="618BCE45" w14:textId="77777777" w:rsidR="006B7A78" w:rsidRPr="002353FE" w:rsidRDefault="003D0218" w:rsidP="00F93165">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For</w:t>
      </w:r>
      <w:r w:rsidR="0028127C" w:rsidRPr="002353FE">
        <w:rPr>
          <w:rFonts w:ascii="Verdana" w:hAnsi="Verdana" w:cs="Tahoma"/>
          <w:sz w:val="24"/>
          <w:szCs w:val="24"/>
          <w:lang w:val="en-GB"/>
        </w:rPr>
        <w:t xml:space="preserve"> socio-economic characteristics, a</w:t>
      </w:r>
      <w:r w:rsidR="002A7855" w:rsidRPr="002353FE">
        <w:rPr>
          <w:rFonts w:ascii="Verdana" w:hAnsi="Verdana" w:cs="Tahoma"/>
          <w:sz w:val="24"/>
          <w:szCs w:val="24"/>
          <w:lang w:val="en-GB"/>
        </w:rPr>
        <w:t>verage switching rates are lower among the elderly</w:t>
      </w:r>
      <w:r w:rsidR="0028127C" w:rsidRPr="002353FE">
        <w:rPr>
          <w:rFonts w:ascii="Verdana" w:hAnsi="Verdana" w:cs="Tahoma"/>
          <w:sz w:val="24"/>
          <w:szCs w:val="24"/>
          <w:lang w:val="en-GB"/>
        </w:rPr>
        <w:t xml:space="preserve"> (3.66% among those over 64)</w:t>
      </w:r>
      <w:r w:rsidR="002A7855" w:rsidRPr="002353FE">
        <w:rPr>
          <w:rFonts w:ascii="Verdana" w:hAnsi="Verdana" w:cs="Tahoma"/>
          <w:sz w:val="24"/>
          <w:szCs w:val="24"/>
          <w:lang w:val="en-GB"/>
        </w:rPr>
        <w:t>, those with basic levels of education</w:t>
      </w:r>
      <w:r w:rsidR="0028127C" w:rsidRPr="002353FE">
        <w:rPr>
          <w:rFonts w:ascii="Verdana" w:hAnsi="Verdana" w:cs="Tahoma"/>
          <w:sz w:val="24"/>
          <w:szCs w:val="24"/>
          <w:lang w:val="en-GB"/>
        </w:rPr>
        <w:t xml:space="preserve"> (5.37%)</w:t>
      </w:r>
      <w:r w:rsidR="002A7855" w:rsidRPr="002353FE">
        <w:rPr>
          <w:rFonts w:ascii="Verdana" w:hAnsi="Verdana" w:cs="Tahoma"/>
          <w:sz w:val="24"/>
          <w:szCs w:val="24"/>
          <w:lang w:val="en-GB"/>
        </w:rPr>
        <w:t>, those not working</w:t>
      </w:r>
      <w:r w:rsidR="0028127C" w:rsidRPr="002353FE">
        <w:rPr>
          <w:rFonts w:ascii="Verdana" w:hAnsi="Verdana" w:cs="Tahoma"/>
          <w:sz w:val="24"/>
          <w:szCs w:val="24"/>
          <w:lang w:val="en-GB"/>
        </w:rPr>
        <w:t xml:space="preserve"> (6.15%)</w:t>
      </w:r>
      <w:r w:rsidR="002A7855" w:rsidRPr="002353FE">
        <w:rPr>
          <w:rFonts w:ascii="Verdana" w:hAnsi="Verdana" w:cs="Tahoma"/>
          <w:sz w:val="24"/>
          <w:szCs w:val="24"/>
          <w:lang w:val="en-GB"/>
        </w:rPr>
        <w:t xml:space="preserve"> and those who own their house </w:t>
      </w:r>
      <w:r w:rsidR="0028127C" w:rsidRPr="002353FE">
        <w:rPr>
          <w:rFonts w:ascii="Verdana" w:hAnsi="Verdana" w:cs="Tahoma"/>
          <w:sz w:val="24"/>
          <w:szCs w:val="24"/>
          <w:lang w:val="en-GB"/>
        </w:rPr>
        <w:t xml:space="preserve">(5.52%). </w:t>
      </w:r>
      <w:r w:rsidRPr="002353FE">
        <w:rPr>
          <w:rFonts w:ascii="Verdana" w:hAnsi="Verdana" w:cs="Tahoma"/>
          <w:sz w:val="24"/>
          <w:szCs w:val="24"/>
          <w:lang w:val="en-GB"/>
        </w:rPr>
        <w:t>A</w:t>
      </w:r>
      <w:r w:rsidR="0028127C" w:rsidRPr="002353FE">
        <w:rPr>
          <w:rFonts w:ascii="Verdana" w:hAnsi="Verdana" w:cs="Tahoma"/>
          <w:sz w:val="24"/>
          <w:szCs w:val="24"/>
          <w:lang w:val="en-GB"/>
        </w:rPr>
        <w:t>verage switching rates are higher</w:t>
      </w:r>
      <w:r w:rsidR="002A7855" w:rsidRPr="002353FE">
        <w:rPr>
          <w:rFonts w:ascii="Verdana" w:hAnsi="Verdana" w:cs="Tahoma"/>
          <w:sz w:val="24"/>
          <w:szCs w:val="24"/>
          <w:lang w:val="en-GB"/>
        </w:rPr>
        <w:t xml:space="preserve"> among </w:t>
      </w:r>
      <w:r w:rsidR="0028127C" w:rsidRPr="002353FE">
        <w:rPr>
          <w:rFonts w:ascii="Verdana" w:hAnsi="Verdana" w:cs="Tahoma"/>
          <w:sz w:val="24"/>
          <w:szCs w:val="24"/>
          <w:lang w:val="en-GB"/>
        </w:rPr>
        <w:t xml:space="preserve">those in age intervals between 15 and 44 (over 10%), those with higher education (11.3%), </w:t>
      </w:r>
      <w:r w:rsidR="002A7855" w:rsidRPr="002353FE">
        <w:rPr>
          <w:rFonts w:ascii="Verdana" w:hAnsi="Verdana" w:cs="Tahoma"/>
          <w:sz w:val="24"/>
          <w:szCs w:val="24"/>
          <w:lang w:val="en-GB"/>
        </w:rPr>
        <w:t>non-nationals</w:t>
      </w:r>
      <w:r w:rsidR="0028127C" w:rsidRPr="002353FE">
        <w:rPr>
          <w:rFonts w:ascii="Verdana" w:hAnsi="Verdana" w:cs="Tahoma"/>
          <w:sz w:val="24"/>
          <w:szCs w:val="24"/>
          <w:lang w:val="en-GB"/>
        </w:rPr>
        <w:t xml:space="preserve"> (13.36%)</w:t>
      </w:r>
      <w:r w:rsidR="002A7855" w:rsidRPr="002353FE">
        <w:rPr>
          <w:rFonts w:ascii="Verdana" w:hAnsi="Verdana" w:cs="Tahoma"/>
          <w:sz w:val="24"/>
          <w:szCs w:val="24"/>
          <w:lang w:val="en-GB"/>
        </w:rPr>
        <w:t>, managers</w:t>
      </w:r>
      <w:r w:rsidR="0028127C" w:rsidRPr="002353FE">
        <w:rPr>
          <w:rFonts w:ascii="Verdana" w:hAnsi="Verdana" w:cs="Tahoma"/>
          <w:sz w:val="24"/>
          <w:szCs w:val="24"/>
          <w:lang w:val="en-GB"/>
        </w:rPr>
        <w:t xml:space="preserve"> (9.65%)</w:t>
      </w:r>
      <w:r w:rsidR="002A7855" w:rsidRPr="002353FE">
        <w:rPr>
          <w:rFonts w:ascii="Verdana" w:hAnsi="Verdana" w:cs="Tahoma"/>
          <w:sz w:val="24"/>
          <w:szCs w:val="24"/>
          <w:lang w:val="en-GB"/>
        </w:rPr>
        <w:t xml:space="preserve"> and residents </w:t>
      </w:r>
      <w:r w:rsidR="001F0247" w:rsidRPr="002353FE">
        <w:rPr>
          <w:rFonts w:ascii="Verdana" w:hAnsi="Verdana" w:cs="Tahoma"/>
          <w:sz w:val="24"/>
          <w:szCs w:val="24"/>
          <w:lang w:val="en-GB"/>
        </w:rPr>
        <w:t>of</w:t>
      </w:r>
      <w:r w:rsidR="002A7855" w:rsidRPr="002353FE">
        <w:rPr>
          <w:rFonts w:ascii="Verdana" w:hAnsi="Verdana" w:cs="Tahoma"/>
          <w:sz w:val="24"/>
          <w:szCs w:val="24"/>
          <w:lang w:val="en-GB"/>
        </w:rPr>
        <w:t xml:space="preserve"> cities</w:t>
      </w:r>
      <w:r w:rsidR="0028127C" w:rsidRPr="002353FE">
        <w:rPr>
          <w:rFonts w:ascii="Verdana" w:hAnsi="Verdana" w:cs="Tahoma"/>
          <w:sz w:val="24"/>
          <w:szCs w:val="24"/>
          <w:lang w:val="en-GB"/>
        </w:rPr>
        <w:t xml:space="preserve"> (9.47%)</w:t>
      </w:r>
      <w:r w:rsidR="002A7855" w:rsidRPr="002353FE">
        <w:rPr>
          <w:rFonts w:ascii="Verdana" w:hAnsi="Verdana" w:cs="Tahoma"/>
          <w:sz w:val="24"/>
          <w:szCs w:val="24"/>
          <w:lang w:val="en-GB"/>
        </w:rPr>
        <w:t xml:space="preserve">. </w:t>
      </w:r>
    </w:p>
    <w:p w14:paraId="64DB9556" w14:textId="77777777" w:rsidR="006B7A78" w:rsidRPr="002353FE" w:rsidRDefault="006B7A78" w:rsidP="00F93165">
      <w:pPr>
        <w:spacing w:before="120" w:after="120" w:line="480" w:lineRule="auto"/>
        <w:jc w:val="both"/>
        <w:rPr>
          <w:rFonts w:ascii="Verdana" w:hAnsi="Verdana" w:cs="Tahoma"/>
          <w:sz w:val="24"/>
          <w:szCs w:val="24"/>
          <w:lang w:val="en-GB"/>
        </w:rPr>
      </w:pPr>
    </w:p>
    <w:p w14:paraId="25E5BBA0" w14:textId="515C372E" w:rsidR="006B7A78" w:rsidRPr="002353FE" w:rsidRDefault="006B7A78" w:rsidP="00F93165">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[TABLE </w:t>
      </w:r>
      <w:r w:rsidR="00285B4E" w:rsidRPr="002353FE">
        <w:rPr>
          <w:rFonts w:ascii="Verdana" w:hAnsi="Verdana" w:cs="Tahoma"/>
          <w:sz w:val="24"/>
          <w:szCs w:val="24"/>
          <w:lang w:val="en-GB"/>
        </w:rPr>
        <w:t>I</w:t>
      </w:r>
      <w:r w:rsidRPr="002353FE">
        <w:rPr>
          <w:rFonts w:ascii="Verdana" w:hAnsi="Verdana" w:cs="Tahoma"/>
          <w:sz w:val="24"/>
          <w:szCs w:val="24"/>
          <w:lang w:val="en-GB"/>
        </w:rPr>
        <w:t>]</w:t>
      </w:r>
    </w:p>
    <w:p w14:paraId="4E7624DF" w14:textId="77777777" w:rsidR="006B7A78" w:rsidRPr="002353FE" w:rsidRDefault="006B7A78" w:rsidP="00F93165">
      <w:pPr>
        <w:spacing w:before="120" w:after="120" w:line="480" w:lineRule="auto"/>
        <w:jc w:val="both"/>
        <w:rPr>
          <w:rFonts w:ascii="Verdana" w:hAnsi="Verdana" w:cs="Tahoma"/>
          <w:sz w:val="24"/>
          <w:szCs w:val="24"/>
          <w:lang w:val="en-GB"/>
        </w:rPr>
      </w:pPr>
    </w:p>
    <w:p w14:paraId="55D4D035" w14:textId="35FE0FB7" w:rsidR="006B7A78" w:rsidRPr="002353FE" w:rsidRDefault="006B7A78" w:rsidP="000E41B9">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 xml:space="preserve">[TABLE </w:t>
      </w:r>
      <w:r w:rsidR="00285B4E" w:rsidRPr="002353FE">
        <w:rPr>
          <w:rFonts w:ascii="Verdana" w:hAnsi="Verdana" w:cs="Tahoma"/>
          <w:sz w:val="24"/>
          <w:szCs w:val="24"/>
          <w:lang w:val="en-GB"/>
        </w:rPr>
        <w:t>II</w:t>
      </w:r>
      <w:r w:rsidRPr="002353FE">
        <w:rPr>
          <w:rFonts w:ascii="Verdana" w:hAnsi="Verdana" w:cs="Tahoma"/>
          <w:sz w:val="24"/>
          <w:szCs w:val="24"/>
          <w:lang w:val="en-GB"/>
        </w:rPr>
        <w:t>]</w:t>
      </w:r>
    </w:p>
    <w:p w14:paraId="396D3922" w14:textId="77777777" w:rsidR="006B7A78" w:rsidRPr="002353FE" w:rsidRDefault="006B7A78" w:rsidP="000E41B9">
      <w:pPr>
        <w:spacing w:before="120" w:after="120" w:line="480" w:lineRule="auto"/>
        <w:jc w:val="both"/>
        <w:rPr>
          <w:rFonts w:ascii="Verdana" w:hAnsi="Verdana" w:cs="Tahoma"/>
          <w:sz w:val="24"/>
          <w:szCs w:val="24"/>
          <w:lang w:val="en-GB"/>
        </w:rPr>
      </w:pPr>
    </w:p>
    <w:p w14:paraId="2D453273" w14:textId="60445B3E" w:rsidR="00DD7845" w:rsidRPr="002353FE" w:rsidRDefault="00E86B49" w:rsidP="000E41B9">
      <w:pPr>
        <w:spacing w:before="120" w:after="120" w:line="480" w:lineRule="auto"/>
        <w:jc w:val="both"/>
        <w:rPr>
          <w:rFonts w:ascii="Verdana" w:hAnsi="Verdana" w:cs="Tahoma"/>
          <w:b/>
          <w:lang w:val="en-GB"/>
        </w:rPr>
      </w:pPr>
      <w:r w:rsidRPr="002353FE">
        <w:rPr>
          <w:rFonts w:ascii="Verdana" w:hAnsi="Verdana" w:cs="Tahoma"/>
          <w:b/>
          <w:lang w:val="en-GB"/>
        </w:rPr>
        <w:t xml:space="preserve">3.3 </w:t>
      </w:r>
      <w:r w:rsidRPr="002353FE">
        <w:rPr>
          <w:rFonts w:ascii="Verdana" w:hAnsi="Verdana" w:cs="Tahoma"/>
          <w:b/>
          <w:lang w:val="en-GB"/>
        </w:rPr>
        <w:tab/>
      </w:r>
      <w:r w:rsidR="00A16485" w:rsidRPr="002353FE">
        <w:rPr>
          <w:rFonts w:ascii="Verdana" w:hAnsi="Verdana" w:cs="Tahoma"/>
          <w:b/>
          <w:lang w:val="en-GB"/>
        </w:rPr>
        <w:t>Empirical approach</w:t>
      </w:r>
    </w:p>
    <w:p w14:paraId="101470D9" w14:textId="549CC84E" w:rsidR="000E41B9" w:rsidRPr="002353FE" w:rsidRDefault="002D1A44" w:rsidP="0067060F">
      <w:pPr>
        <w:tabs>
          <w:tab w:val="left" w:pos="5103"/>
        </w:tabs>
        <w:spacing w:before="120" w:after="120" w:line="480" w:lineRule="auto"/>
        <w:jc w:val="both"/>
        <w:rPr>
          <w:rFonts w:ascii="Verdana" w:hAnsi="Verdana" w:cs="Tahoma"/>
          <w:sz w:val="24"/>
          <w:lang w:val="en-GB"/>
        </w:rPr>
      </w:pPr>
      <w:r w:rsidRPr="002353FE">
        <w:rPr>
          <w:rFonts w:ascii="Verdana" w:hAnsi="Verdana" w:cs="Tahoma"/>
          <w:sz w:val="24"/>
          <w:lang w:val="en-GB"/>
        </w:rPr>
        <w:t>Our dependent variable capturing recent switching decisions (</w:t>
      </w:r>
      <w:r w:rsidRPr="002353FE">
        <w:rPr>
          <w:rFonts w:ascii="Verdana" w:hAnsi="Verdana" w:cs="Tahoma"/>
          <w:i/>
          <w:sz w:val="24"/>
          <w:lang w:val="en-GB"/>
        </w:rPr>
        <w:t>y</w:t>
      </w:r>
      <w:r w:rsidRPr="002353FE">
        <w:rPr>
          <w:rFonts w:ascii="Verdana" w:hAnsi="Verdana" w:cs="Tahoma"/>
          <w:i/>
          <w:sz w:val="24"/>
          <w:vertAlign w:val="subscript"/>
          <w:lang w:val="en-GB"/>
        </w:rPr>
        <w:t>i</w:t>
      </w:r>
      <w:r w:rsidRPr="002353FE">
        <w:rPr>
          <w:rFonts w:ascii="Verdana" w:hAnsi="Verdana" w:cs="Tahoma"/>
          <w:sz w:val="24"/>
          <w:lang w:val="en-GB"/>
        </w:rPr>
        <w:t xml:space="preserve">) </w:t>
      </w:r>
      <w:r w:rsidR="002477CB" w:rsidRPr="002353FE">
        <w:rPr>
          <w:rFonts w:ascii="Verdana" w:hAnsi="Verdana" w:cs="Tahoma"/>
          <w:sz w:val="24"/>
          <w:lang w:val="en-GB"/>
        </w:rPr>
        <w:t xml:space="preserve">is </w:t>
      </w:r>
      <w:r w:rsidRPr="002353FE">
        <w:rPr>
          <w:rFonts w:ascii="Verdana" w:hAnsi="Verdana" w:cs="Tahoma"/>
          <w:sz w:val="24"/>
          <w:lang w:val="en-GB"/>
        </w:rPr>
        <w:t>binary</w:t>
      </w:r>
      <w:r w:rsidR="002477CB" w:rsidRPr="002353FE">
        <w:rPr>
          <w:rFonts w:ascii="Verdana" w:hAnsi="Verdana" w:cs="Tahoma"/>
          <w:sz w:val="24"/>
          <w:lang w:val="en-GB"/>
        </w:rPr>
        <w:t xml:space="preserve">, </w:t>
      </w:r>
      <w:r w:rsidRPr="002353FE">
        <w:rPr>
          <w:rFonts w:ascii="Verdana" w:hAnsi="Verdana" w:cs="Tahoma"/>
          <w:sz w:val="24"/>
          <w:lang w:val="en-GB"/>
        </w:rPr>
        <w:t xml:space="preserve">being </w:t>
      </w:r>
      <w:r w:rsidR="00C57089" w:rsidRPr="002353FE">
        <w:rPr>
          <w:rFonts w:ascii="Verdana" w:hAnsi="Verdana" w:cs="Tahoma"/>
          <w:sz w:val="24"/>
          <w:lang w:val="en-GB"/>
        </w:rPr>
        <w:t xml:space="preserve">one </w:t>
      </w:r>
      <w:r w:rsidRPr="002353FE">
        <w:rPr>
          <w:rFonts w:ascii="Verdana" w:hAnsi="Verdana" w:cs="Tahoma"/>
          <w:sz w:val="24"/>
          <w:lang w:val="en-GB"/>
        </w:rPr>
        <w:t xml:space="preserve">if the individual </w:t>
      </w:r>
      <w:r w:rsidRPr="002353FE">
        <w:rPr>
          <w:rFonts w:ascii="Verdana" w:hAnsi="Verdana" w:cs="Tahoma"/>
          <w:i/>
          <w:sz w:val="24"/>
          <w:lang w:val="en-GB"/>
        </w:rPr>
        <w:t>i</w:t>
      </w:r>
      <w:r w:rsidRPr="002353FE">
        <w:rPr>
          <w:rFonts w:ascii="Verdana" w:hAnsi="Verdana" w:cs="Tahoma"/>
          <w:sz w:val="24"/>
          <w:lang w:val="en-GB"/>
        </w:rPr>
        <w:t xml:space="preserve"> has switched </w:t>
      </w:r>
      <w:r w:rsidR="000B42D2" w:rsidRPr="002353FE">
        <w:rPr>
          <w:rFonts w:ascii="Verdana" w:hAnsi="Verdana" w:cs="Tahoma"/>
          <w:sz w:val="24"/>
          <w:lang w:val="en-GB"/>
        </w:rPr>
        <w:t>their</w:t>
      </w:r>
      <w:r w:rsidRPr="002353FE">
        <w:rPr>
          <w:rFonts w:ascii="Verdana" w:hAnsi="Verdana" w:cs="Tahoma"/>
          <w:sz w:val="24"/>
          <w:lang w:val="en-GB"/>
        </w:rPr>
        <w:t xml:space="preserve"> provider of </w:t>
      </w:r>
      <w:r w:rsidR="00D80D72" w:rsidRPr="002353FE">
        <w:rPr>
          <w:rFonts w:ascii="Verdana" w:hAnsi="Verdana" w:cs="Tahoma"/>
          <w:sz w:val="24"/>
          <w:lang w:val="en-GB"/>
        </w:rPr>
        <w:t xml:space="preserve">personal </w:t>
      </w:r>
      <w:r w:rsidRPr="002353FE">
        <w:rPr>
          <w:rFonts w:ascii="Verdana" w:hAnsi="Verdana" w:cs="Tahoma"/>
          <w:sz w:val="24"/>
          <w:lang w:val="en-GB"/>
        </w:rPr>
        <w:t xml:space="preserve">current bank account during the last 5 years, and </w:t>
      </w:r>
      <w:r w:rsidR="00C57089" w:rsidRPr="002353FE">
        <w:rPr>
          <w:rFonts w:ascii="Verdana" w:hAnsi="Verdana" w:cs="Tahoma"/>
          <w:sz w:val="24"/>
          <w:lang w:val="en-GB"/>
        </w:rPr>
        <w:t>zero</w:t>
      </w:r>
      <w:r w:rsidRPr="002353FE">
        <w:rPr>
          <w:rFonts w:ascii="Verdana" w:hAnsi="Verdana" w:cs="Tahoma"/>
          <w:sz w:val="24"/>
          <w:lang w:val="en-GB"/>
        </w:rPr>
        <w:t xml:space="preserve"> otherwise. Given </w:t>
      </w:r>
      <w:r w:rsidR="00D80D72" w:rsidRPr="002353FE">
        <w:rPr>
          <w:rFonts w:ascii="Verdana" w:hAnsi="Verdana" w:cs="Tahoma"/>
          <w:sz w:val="24"/>
          <w:lang w:val="en-GB"/>
        </w:rPr>
        <w:t xml:space="preserve">the data format </w:t>
      </w:r>
      <w:r w:rsidRPr="002353FE">
        <w:rPr>
          <w:rFonts w:ascii="Verdana" w:hAnsi="Verdana" w:cs="Tahoma"/>
          <w:sz w:val="24"/>
          <w:lang w:val="en-GB"/>
        </w:rPr>
        <w:t>of the dependent variable, we use a probit specification to estimate the relationships between</w:t>
      </w:r>
      <w:r w:rsidR="002B5849" w:rsidRPr="002353FE">
        <w:rPr>
          <w:rFonts w:ascii="Verdana" w:hAnsi="Verdana" w:cs="Tahoma"/>
          <w:sz w:val="24"/>
          <w:lang w:val="en-GB"/>
        </w:rPr>
        <w:t xml:space="preserve"> recent switching decisions and</w:t>
      </w:r>
      <w:r w:rsidRPr="002353FE">
        <w:rPr>
          <w:rFonts w:ascii="Verdana" w:hAnsi="Verdana" w:cs="Tahoma"/>
          <w:sz w:val="24"/>
          <w:lang w:val="en-GB"/>
        </w:rPr>
        <w:t xml:space="preserve"> the independent variables. A probit specification has been </w:t>
      </w:r>
      <w:r w:rsidR="007F6ADB" w:rsidRPr="002353FE">
        <w:rPr>
          <w:rFonts w:ascii="Verdana" w:hAnsi="Verdana" w:cs="Tahoma"/>
          <w:sz w:val="24"/>
          <w:lang w:val="en-GB"/>
        </w:rPr>
        <w:t xml:space="preserve">frequently used </w:t>
      </w:r>
      <w:r w:rsidR="00D80D72" w:rsidRPr="002353FE">
        <w:rPr>
          <w:rFonts w:ascii="Verdana" w:hAnsi="Verdana" w:cs="Tahoma"/>
          <w:sz w:val="24"/>
          <w:lang w:val="en-GB"/>
        </w:rPr>
        <w:t xml:space="preserve">to analyse </w:t>
      </w:r>
      <w:r w:rsidR="00805514" w:rsidRPr="002353FE">
        <w:rPr>
          <w:rFonts w:ascii="Verdana" w:hAnsi="Verdana" w:cs="Tahoma"/>
          <w:sz w:val="24"/>
          <w:lang w:val="en-GB"/>
        </w:rPr>
        <w:t>consumer switching behaviour</w:t>
      </w:r>
      <w:r w:rsidR="007F6ADB" w:rsidRPr="002353FE">
        <w:rPr>
          <w:rFonts w:ascii="Verdana" w:hAnsi="Verdana" w:cs="Tahoma"/>
          <w:sz w:val="24"/>
          <w:lang w:val="en-GB"/>
        </w:rPr>
        <w:t xml:space="preserve"> in presence of a binary dependent variable</w:t>
      </w:r>
      <w:r w:rsidR="00805514" w:rsidRPr="002353FE">
        <w:rPr>
          <w:rFonts w:ascii="Verdana" w:hAnsi="Verdana" w:cs="Tahoma"/>
          <w:sz w:val="24"/>
          <w:lang w:val="en-GB"/>
        </w:rPr>
        <w:t xml:space="preserve"> </w:t>
      </w:r>
      <w:r w:rsidR="00805514" w:rsidRPr="002353FE">
        <w:rPr>
          <w:rFonts w:ascii="Verdana" w:hAnsi="Verdana" w:cs="Tahoma"/>
          <w:sz w:val="24"/>
          <w:lang w:val="en-GB"/>
        </w:rPr>
        <w:lastRenderedPageBreak/>
        <w:t>(Brunetti</w:t>
      </w:r>
      <w:r w:rsidR="002F6180" w:rsidRPr="002353FE">
        <w:rPr>
          <w:rFonts w:ascii="Verdana" w:hAnsi="Verdana" w:cs="Tahoma"/>
          <w:sz w:val="24"/>
          <w:lang w:val="en-GB"/>
        </w:rPr>
        <w:t xml:space="preserve"> </w:t>
      </w:r>
      <w:r w:rsidR="002F6180" w:rsidRPr="002353FE">
        <w:rPr>
          <w:rFonts w:ascii="Verdana" w:hAnsi="Verdana" w:cs="Tahoma"/>
          <w:i/>
          <w:iCs/>
          <w:sz w:val="24"/>
          <w:lang w:val="en-GB"/>
        </w:rPr>
        <w:t>et al</w:t>
      </w:r>
      <w:r w:rsidR="007F7EED" w:rsidRPr="002353FE">
        <w:rPr>
          <w:rFonts w:ascii="Verdana" w:hAnsi="Verdana" w:cs="Tahoma"/>
          <w:sz w:val="24"/>
          <w:lang w:val="en-GB"/>
        </w:rPr>
        <w:t>.,</w:t>
      </w:r>
      <w:r w:rsidR="00B52E13" w:rsidRPr="002353FE">
        <w:rPr>
          <w:rFonts w:ascii="Verdana" w:hAnsi="Verdana" w:cs="Tahoma"/>
          <w:sz w:val="24"/>
          <w:lang w:val="en-GB"/>
        </w:rPr>
        <w:t xml:space="preserve"> </w:t>
      </w:r>
      <w:r w:rsidR="00A05765" w:rsidRPr="002353FE">
        <w:rPr>
          <w:rFonts w:ascii="Verdana" w:hAnsi="Verdana" w:cs="Tahoma"/>
          <w:sz w:val="24"/>
          <w:lang w:val="en-GB"/>
        </w:rPr>
        <w:t>2016</w:t>
      </w:r>
      <w:r w:rsidR="00D80D72" w:rsidRPr="002353FE">
        <w:rPr>
          <w:rFonts w:ascii="Verdana" w:hAnsi="Verdana" w:cs="Tahoma"/>
          <w:sz w:val="24"/>
          <w:lang w:val="en-GB"/>
        </w:rPr>
        <w:t>;</w:t>
      </w:r>
      <w:r w:rsidR="00805514" w:rsidRPr="002353FE">
        <w:rPr>
          <w:rFonts w:ascii="Verdana" w:hAnsi="Verdana" w:cs="Tahoma"/>
          <w:sz w:val="24"/>
          <w:lang w:val="en-GB"/>
        </w:rPr>
        <w:t xml:space="preserve"> </w:t>
      </w:r>
      <w:r w:rsidR="00E47A27" w:rsidRPr="002353FE">
        <w:rPr>
          <w:rFonts w:ascii="Verdana" w:hAnsi="Verdana" w:cs="Tahoma"/>
          <w:sz w:val="24"/>
          <w:lang w:val="en-GB"/>
        </w:rPr>
        <w:t>Waddams Price and Zhu</w:t>
      </w:r>
      <w:r w:rsidR="007F7EED" w:rsidRPr="002353FE">
        <w:rPr>
          <w:rFonts w:ascii="Verdana" w:hAnsi="Verdana" w:cs="Tahoma"/>
          <w:sz w:val="24"/>
          <w:lang w:val="en-GB"/>
        </w:rPr>
        <w:t>,</w:t>
      </w:r>
      <w:r w:rsidR="00E47A27" w:rsidRPr="002353FE">
        <w:rPr>
          <w:rFonts w:ascii="Verdana" w:hAnsi="Verdana" w:cs="Tahoma"/>
          <w:sz w:val="24"/>
          <w:lang w:val="en-GB"/>
        </w:rPr>
        <w:t xml:space="preserve"> 2016; </w:t>
      </w:r>
      <w:r w:rsidR="00805514" w:rsidRPr="002353FE">
        <w:rPr>
          <w:rFonts w:ascii="Verdana" w:hAnsi="Verdana" w:cs="Tahoma"/>
          <w:sz w:val="24"/>
          <w:lang w:val="en-GB"/>
        </w:rPr>
        <w:t>Clifton</w:t>
      </w:r>
      <w:r w:rsidR="002F6180" w:rsidRPr="002353FE">
        <w:rPr>
          <w:rFonts w:ascii="Verdana" w:hAnsi="Verdana" w:cs="Tahoma"/>
          <w:sz w:val="24"/>
          <w:lang w:val="en-GB"/>
        </w:rPr>
        <w:t xml:space="preserve"> </w:t>
      </w:r>
      <w:r w:rsidR="002F6180" w:rsidRPr="002353FE">
        <w:rPr>
          <w:rFonts w:ascii="Verdana" w:hAnsi="Verdana" w:cs="Tahoma"/>
          <w:i/>
          <w:iCs/>
          <w:sz w:val="24"/>
          <w:lang w:val="en-GB"/>
        </w:rPr>
        <w:t>et al</w:t>
      </w:r>
      <w:r w:rsidR="007F7EED" w:rsidRPr="002353FE">
        <w:rPr>
          <w:rFonts w:ascii="Verdana" w:hAnsi="Verdana" w:cs="Tahoma"/>
          <w:sz w:val="24"/>
          <w:lang w:val="en-GB"/>
        </w:rPr>
        <w:t>.,</w:t>
      </w:r>
      <w:r w:rsidR="00B52E13" w:rsidRPr="002353FE">
        <w:rPr>
          <w:rFonts w:ascii="Verdana" w:hAnsi="Verdana" w:cs="Tahoma"/>
          <w:sz w:val="24"/>
          <w:lang w:val="en-GB"/>
        </w:rPr>
        <w:t xml:space="preserve"> </w:t>
      </w:r>
      <w:r w:rsidR="00A05765" w:rsidRPr="002353FE">
        <w:rPr>
          <w:rFonts w:ascii="Verdana" w:hAnsi="Verdana" w:cs="Tahoma"/>
          <w:sz w:val="24"/>
          <w:lang w:val="en-GB"/>
        </w:rPr>
        <w:t>2017</w:t>
      </w:r>
      <w:r w:rsidR="00805514" w:rsidRPr="002353FE">
        <w:rPr>
          <w:rFonts w:ascii="Verdana" w:hAnsi="Verdana" w:cs="Tahoma"/>
          <w:sz w:val="24"/>
          <w:lang w:val="en-GB"/>
        </w:rPr>
        <w:t>)</w:t>
      </w:r>
      <w:r w:rsidR="007F6ADB" w:rsidRPr="002353FE">
        <w:rPr>
          <w:rFonts w:ascii="Verdana" w:hAnsi="Verdana" w:cs="Tahoma"/>
          <w:sz w:val="24"/>
          <w:lang w:val="en-GB"/>
        </w:rPr>
        <w:t xml:space="preserve">. </w:t>
      </w:r>
      <w:r w:rsidR="00D80D72" w:rsidRPr="002353FE">
        <w:rPr>
          <w:rFonts w:ascii="Verdana" w:hAnsi="Verdana" w:cs="Tahoma"/>
          <w:sz w:val="24"/>
          <w:lang w:val="en-GB"/>
        </w:rPr>
        <w:t>O</w:t>
      </w:r>
      <w:r w:rsidR="0068439C" w:rsidRPr="002353FE">
        <w:rPr>
          <w:rFonts w:ascii="Verdana" w:hAnsi="Verdana" w:cs="Tahoma"/>
          <w:sz w:val="24"/>
          <w:lang w:val="en-GB"/>
        </w:rPr>
        <w:t>ur</w:t>
      </w:r>
      <w:r w:rsidR="005A15EE" w:rsidRPr="002353FE">
        <w:rPr>
          <w:rFonts w:ascii="Verdana" w:hAnsi="Verdana" w:cs="Tahoma"/>
          <w:sz w:val="24"/>
          <w:lang w:val="en-GB"/>
        </w:rPr>
        <w:t xml:space="preserve"> </w:t>
      </w:r>
      <w:r w:rsidR="00D80D72" w:rsidRPr="002353FE">
        <w:rPr>
          <w:rFonts w:ascii="Verdana" w:hAnsi="Verdana" w:cs="Tahoma"/>
          <w:sz w:val="24"/>
          <w:szCs w:val="24"/>
          <w:lang w:val="en-GB"/>
        </w:rPr>
        <w:t>a</w:t>
      </w:r>
      <w:r w:rsidR="00C9295D" w:rsidRPr="002353FE">
        <w:rPr>
          <w:rFonts w:ascii="Verdana" w:hAnsi="Verdana" w:cs="Tahoma"/>
          <w:sz w:val="24"/>
          <w:szCs w:val="24"/>
          <w:lang w:val="en-GB"/>
        </w:rPr>
        <w:t xml:space="preserve">nalysis is based on two </w:t>
      </w:r>
      <w:r w:rsidR="00C9295D" w:rsidRPr="002353FE">
        <w:rPr>
          <w:rFonts w:ascii="Verdana" w:hAnsi="Verdana" w:cs="Tahoma"/>
          <w:color w:val="000000" w:themeColor="text1"/>
          <w:sz w:val="24"/>
          <w:szCs w:val="24"/>
          <w:lang w:val="en-GB"/>
        </w:rPr>
        <w:t xml:space="preserve">different probit estimations </w:t>
      </w:r>
      <w:r w:rsidR="000E41B9" w:rsidRPr="002353FE">
        <w:rPr>
          <w:rFonts w:ascii="Verdana" w:hAnsi="Verdana" w:cs="Tahoma"/>
          <w:color w:val="000000" w:themeColor="text1"/>
          <w:sz w:val="24"/>
          <w:szCs w:val="24"/>
          <w:lang w:val="en-GB"/>
        </w:rPr>
        <w:t>of the following form</w:t>
      </w:r>
      <w:r w:rsidR="0067060F" w:rsidRPr="002353FE">
        <w:rPr>
          <w:rFonts w:ascii="Verdana" w:hAnsi="Verdana" w:cs="Tahoma"/>
          <w:color w:val="000000" w:themeColor="text1"/>
          <w:sz w:val="24"/>
          <w:szCs w:val="24"/>
          <w:lang w:val="en-GB"/>
        </w:rPr>
        <w:t xml:space="preserve">, </w:t>
      </w:r>
      <w:r w:rsidR="00EE1EFF" w:rsidRPr="002353FE">
        <w:rPr>
          <w:rFonts w:ascii="Verdana" w:hAnsi="Verdana" w:cs="Tahoma"/>
          <w:color w:val="000000" w:themeColor="text1"/>
          <w:sz w:val="24"/>
          <w:szCs w:val="24"/>
          <w:lang w:val="en-GB"/>
        </w:rPr>
        <w:t xml:space="preserve">assuming </w:t>
      </w:r>
      <w:r w:rsidR="0067060F" w:rsidRPr="002353FE">
        <w:rPr>
          <w:rFonts w:ascii="Verdana" w:hAnsi="Verdana" w:cs="Tahoma"/>
          <w:i/>
          <w:color w:val="000000" w:themeColor="text1"/>
          <w:sz w:val="24"/>
          <w:szCs w:val="24"/>
          <w:lang w:val="en-GB"/>
        </w:rPr>
        <w:t>F</w:t>
      </w:r>
      <w:r w:rsidR="0067060F" w:rsidRPr="002353FE">
        <w:rPr>
          <w:rFonts w:ascii="Verdana" w:hAnsi="Verdana" w:cs="Tahoma"/>
          <w:color w:val="000000" w:themeColor="text1"/>
          <w:sz w:val="24"/>
          <w:szCs w:val="24"/>
          <w:lang w:val="en-GB"/>
        </w:rPr>
        <w:t xml:space="preserve"> follows a normal standard distribution function (</w:t>
      </w:r>
      <w:r w:rsidR="0067060F" w:rsidRPr="002353FE">
        <w:rPr>
          <w:rFonts w:ascii="Symbol" w:hAnsi="Symbol" w:cs="Tahoma"/>
          <w:color w:val="000000" w:themeColor="text1"/>
          <w:sz w:val="24"/>
          <w:szCs w:val="24"/>
          <w:lang w:val="en-GB"/>
        </w:rPr>
        <w:t></w:t>
      </w:r>
      <w:r w:rsidR="0067060F" w:rsidRPr="002353FE">
        <w:rPr>
          <w:rFonts w:ascii="Verdana" w:hAnsi="Verdana" w:cs="Tahoma"/>
          <w:color w:val="000000" w:themeColor="text1"/>
          <w:sz w:val="24"/>
          <w:szCs w:val="24"/>
          <w:lang w:val="en-GB"/>
        </w:rPr>
        <w:t>)</w:t>
      </w:r>
      <w:r w:rsidR="000E41B9" w:rsidRPr="002353FE">
        <w:rPr>
          <w:rFonts w:ascii="Verdana" w:hAnsi="Verdana" w:cs="Tahoma"/>
          <w:color w:val="000000" w:themeColor="text1"/>
          <w:sz w:val="24"/>
          <w:szCs w:val="24"/>
          <w:lang w:val="en-GB"/>
        </w:rPr>
        <w:t>:</w:t>
      </w:r>
    </w:p>
    <w:p w14:paraId="7B39E6CE" w14:textId="130076CB" w:rsidR="000E41B9" w:rsidRPr="002353FE" w:rsidRDefault="00AA6E6C" w:rsidP="000E41B9">
      <w:pPr>
        <w:pStyle w:val="ListParagraph"/>
        <w:numPr>
          <w:ilvl w:val="0"/>
          <w:numId w:val="37"/>
        </w:numPr>
        <w:spacing w:before="120" w:after="120" w:line="480" w:lineRule="auto"/>
        <w:jc w:val="both"/>
        <w:rPr>
          <w:rFonts w:ascii="Verdana" w:hAnsi="Verdana" w:cs="Tahoma"/>
          <w:color w:val="000000" w:themeColor="text1"/>
          <w:sz w:val="24"/>
          <w:szCs w:val="24"/>
          <w:lang w:val="en-GB"/>
        </w:rPr>
      </w:pPr>
      <m:oMath>
        <m:func>
          <m:funcPr>
            <m:ctrlPr>
              <w:rPr>
                <w:rFonts w:ascii="Cambria Math" w:hAnsi="Cambria Math" w:cs="Tahoma"/>
                <w:color w:val="000000" w:themeColor="text1"/>
                <w:sz w:val="24"/>
                <w:szCs w:val="24"/>
                <w:lang w:val="en-GB"/>
              </w:rPr>
            </m:ctrlPr>
          </m:funcPr>
          <m:fName>
            <m:r>
              <m:rPr>
                <m:sty m:val="p"/>
              </m:rPr>
              <w:rPr>
                <w:rFonts w:ascii="Cambria Math" w:hAnsi="Cambria Math" w:cs="Tahoma"/>
                <w:color w:val="000000" w:themeColor="text1"/>
                <w:sz w:val="24"/>
                <w:szCs w:val="24"/>
                <w:lang w:val="en-GB"/>
              </w:rPr>
              <m:t>Pr</m:t>
            </m:r>
          </m:fName>
          <m:e>
            <m:d>
              <m:dPr>
                <m:ctrlPr>
                  <w:rPr>
                    <w:rFonts w:ascii="Cambria Math" w:hAnsi="Cambria Math" w:cs="Tahoma"/>
                    <w:i/>
                    <w:color w:val="000000" w:themeColor="text1"/>
                    <w:sz w:val="24"/>
                    <w:szCs w:val="24"/>
                    <w:lang w:val="en-GB"/>
                  </w:rPr>
                </m:ctrlPr>
              </m:dPr>
              <m:e>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y</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=1</m:t>
                </m:r>
              </m:e>
            </m:d>
            <m:r>
              <w:rPr>
                <w:rFonts w:ascii="Cambria Math" w:hAnsi="Cambria Math" w:cs="Tahoma"/>
                <w:color w:val="000000" w:themeColor="text1"/>
                <w:sz w:val="24"/>
                <w:szCs w:val="24"/>
                <w:lang w:val="en-GB"/>
              </w:rPr>
              <m:t>=F(</m:t>
            </m:r>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X</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m:t>
            </m:r>
          </m:e>
        </m:func>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R</m:t>
            </m:r>
          </m:e>
          <m:sub>
            <m:r>
              <w:rPr>
                <w:rFonts w:ascii="Cambria Math" w:hAnsi="Cambria Math" w:cs="Tahoma"/>
                <w:color w:val="000000" w:themeColor="text1"/>
                <w:sz w:val="24"/>
                <w:szCs w:val="24"/>
                <w:lang w:val="en-GB"/>
              </w:rPr>
              <m:t>i,</m:t>
            </m:r>
          </m:sub>
        </m:sSub>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C</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m:t>
        </m:r>
      </m:oMath>
      <w:r w:rsidR="007F6ADB" w:rsidRPr="002353FE">
        <w:rPr>
          <w:rFonts w:ascii="Verdana" w:hAnsi="Verdana" w:cs="Tahoma"/>
          <w:color w:val="000000" w:themeColor="text1"/>
          <w:sz w:val="24"/>
          <w:szCs w:val="24"/>
          <w:lang w:val="en-GB"/>
        </w:rPr>
        <w:t xml:space="preserve"> </w:t>
      </w:r>
    </w:p>
    <w:p w14:paraId="775872F4" w14:textId="2F171C9D" w:rsidR="000E41B9" w:rsidRPr="002353FE" w:rsidRDefault="00AA6E6C" w:rsidP="000E41B9">
      <w:pPr>
        <w:pStyle w:val="ListParagraph"/>
        <w:numPr>
          <w:ilvl w:val="0"/>
          <w:numId w:val="37"/>
        </w:numPr>
        <w:spacing w:before="120" w:after="120" w:line="480" w:lineRule="auto"/>
        <w:jc w:val="both"/>
        <w:rPr>
          <w:rFonts w:ascii="Verdana" w:hAnsi="Verdana" w:cs="Tahoma"/>
          <w:color w:val="000000" w:themeColor="text1"/>
          <w:sz w:val="24"/>
          <w:szCs w:val="24"/>
          <w:lang w:val="en-GB"/>
        </w:rPr>
      </w:pPr>
      <m:oMath>
        <m:func>
          <m:funcPr>
            <m:ctrlPr>
              <w:rPr>
                <w:rFonts w:ascii="Cambria Math" w:hAnsi="Cambria Math" w:cs="Tahoma"/>
                <w:color w:val="000000" w:themeColor="text1"/>
                <w:sz w:val="24"/>
                <w:szCs w:val="24"/>
                <w:lang w:val="en-GB"/>
              </w:rPr>
            </m:ctrlPr>
          </m:funcPr>
          <m:fName>
            <m:r>
              <m:rPr>
                <m:sty m:val="p"/>
              </m:rPr>
              <w:rPr>
                <w:rFonts w:ascii="Cambria Math" w:hAnsi="Cambria Math" w:cs="Tahoma"/>
                <w:color w:val="000000" w:themeColor="text1"/>
                <w:sz w:val="24"/>
                <w:szCs w:val="24"/>
                <w:lang w:val="en-GB"/>
              </w:rPr>
              <m:t>Pr</m:t>
            </m:r>
          </m:fName>
          <m:e>
            <m:d>
              <m:dPr>
                <m:ctrlPr>
                  <w:rPr>
                    <w:rFonts w:ascii="Cambria Math" w:hAnsi="Cambria Math" w:cs="Tahoma"/>
                    <w:i/>
                    <w:color w:val="000000" w:themeColor="text1"/>
                    <w:sz w:val="24"/>
                    <w:szCs w:val="24"/>
                    <w:lang w:val="en-GB"/>
                  </w:rPr>
                </m:ctrlPr>
              </m:dPr>
              <m:e>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y</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=1</m:t>
                </m:r>
              </m:e>
            </m:d>
            <m:r>
              <w:rPr>
                <w:rFonts w:ascii="Cambria Math" w:hAnsi="Cambria Math" w:cs="Tahoma"/>
                <w:color w:val="000000" w:themeColor="text1"/>
                <w:sz w:val="24"/>
                <w:szCs w:val="24"/>
                <w:lang w:val="en-GB"/>
              </w:rPr>
              <m:t>=F(</m:t>
            </m:r>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X</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m:t>
            </m:r>
          </m:e>
        </m:func>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R</m:t>
            </m:r>
          </m:e>
          <m:sub>
            <m:r>
              <w:rPr>
                <w:rFonts w:ascii="Cambria Math" w:hAnsi="Cambria Math" w:cs="Tahoma"/>
                <w:color w:val="000000" w:themeColor="text1"/>
                <w:sz w:val="24"/>
                <w:szCs w:val="24"/>
                <w:lang w:val="en-GB"/>
              </w:rPr>
              <m:t>i,</m:t>
            </m:r>
          </m:sub>
        </m:sSub>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M</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 xml:space="preserve">, </m:t>
        </m:r>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FinEd</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m:t>
        </m:r>
        <m:sSub>
          <m:sSubPr>
            <m:ctrlPr>
              <w:rPr>
                <w:rFonts w:ascii="Cambria Math" w:hAnsi="Cambria Math" w:cs="Tahoma"/>
                <w:i/>
                <w:color w:val="000000" w:themeColor="text1"/>
                <w:sz w:val="24"/>
                <w:szCs w:val="24"/>
                <w:lang w:val="en-GB"/>
              </w:rPr>
            </m:ctrlPr>
          </m:sSubPr>
          <m:e>
            <m:r>
              <w:rPr>
                <w:rFonts w:ascii="Cambria Math" w:hAnsi="Cambria Math" w:cs="Tahoma"/>
                <w:color w:val="000000" w:themeColor="text1"/>
                <w:sz w:val="24"/>
                <w:szCs w:val="24"/>
                <w:lang w:val="en-GB"/>
              </w:rPr>
              <m:t>Disc</m:t>
            </m:r>
          </m:e>
          <m:sub>
            <m:r>
              <w:rPr>
                <w:rFonts w:ascii="Cambria Math" w:hAnsi="Cambria Math" w:cs="Tahoma"/>
                <w:color w:val="000000" w:themeColor="text1"/>
                <w:sz w:val="24"/>
                <w:szCs w:val="24"/>
                <w:lang w:val="en-GB"/>
              </w:rPr>
              <m:t>i</m:t>
            </m:r>
          </m:sub>
        </m:sSub>
        <m:r>
          <w:rPr>
            <w:rFonts w:ascii="Cambria Math" w:hAnsi="Cambria Math" w:cs="Tahoma"/>
            <w:color w:val="000000" w:themeColor="text1"/>
            <w:sz w:val="24"/>
            <w:szCs w:val="24"/>
            <w:lang w:val="en-GB"/>
          </w:rPr>
          <m:t>)</m:t>
        </m:r>
      </m:oMath>
      <w:r w:rsidR="0067060F" w:rsidRPr="002353FE">
        <w:rPr>
          <w:rFonts w:ascii="Verdana" w:hAnsi="Verdana" w:cs="Tahoma"/>
          <w:color w:val="000000" w:themeColor="text1"/>
          <w:sz w:val="24"/>
          <w:szCs w:val="24"/>
          <w:lang w:val="en-GB"/>
        </w:rPr>
        <w:t xml:space="preserve"> </w:t>
      </w:r>
    </w:p>
    <w:p w14:paraId="6C13174E" w14:textId="53ECAF39" w:rsidR="00753E8B" w:rsidRPr="002353FE" w:rsidRDefault="00C9295D" w:rsidP="000E41B9">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Where:</w:t>
      </w:r>
    </w:p>
    <w:p w14:paraId="3371EFE4" w14:textId="7C2B4B75" w:rsidR="00C9295D" w:rsidRPr="002353FE" w:rsidRDefault="00C9295D" w:rsidP="000E41B9">
      <w:pPr>
        <w:spacing w:before="120" w:after="120" w:line="480" w:lineRule="auto"/>
        <w:ind w:left="2124" w:hanging="711"/>
        <w:jc w:val="both"/>
        <w:rPr>
          <w:rFonts w:ascii="Verdana" w:hAnsi="Verdana" w:cs="Tahoma"/>
          <w:sz w:val="24"/>
          <w:szCs w:val="24"/>
          <w:lang w:val="en-GB"/>
        </w:rPr>
      </w:pPr>
      <w:r w:rsidRPr="002353FE">
        <w:rPr>
          <w:rFonts w:ascii="Verdana" w:hAnsi="Verdana" w:cs="Tahoma"/>
          <w:i/>
          <w:sz w:val="24"/>
          <w:szCs w:val="24"/>
          <w:lang w:val="en-GB"/>
        </w:rPr>
        <w:t>y</w:t>
      </w:r>
      <w:r w:rsidRPr="002353FE">
        <w:rPr>
          <w:rFonts w:ascii="Verdana" w:hAnsi="Verdana" w:cs="Tahoma"/>
          <w:i/>
          <w:sz w:val="24"/>
          <w:szCs w:val="24"/>
          <w:vertAlign w:val="subscript"/>
          <w:lang w:val="en-GB"/>
        </w:rPr>
        <w:t>i</w:t>
      </w:r>
      <w:r w:rsidRPr="002353FE">
        <w:rPr>
          <w:rFonts w:ascii="Verdana" w:hAnsi="Verdana" w:cs="Tahoma"/>
          <w:i/>
          <w:sz w:val="24"/>
          <w:szCs w:val="24"/>
          <w:lang w:val="en-GB"/>
        </w:rPr>
        <w:t xml:space="preserve"> </w:t>
      </w:r>
      <w:r w:rsidRPr="002353FE">
        <w:rPr>
          <w:rFonts w:ascii="Verdana" w:hAnsi="Verdana" w:cs="Tahoma"/>
          <w:sz w:val="24"/>
          <w:szCs w:val="24"/>
          <w:lang w:val="en-GB"/>
        </w:rPr>
        <w:t xml:space="preserve">= </w:t>
      </w:r>
      <w:r w:rsidR="00B3093D" w:rsidRPr="002353FE">
        <w:rPr>
          <w:rFonts w:ascii="Verdana" w:hAnsi="Verdana" w:cs="Tahoma"/>
          <w:sz w:val="24"/>
          <w:szCs w:val="24"/>
          <w:lang w:val="en-GB"/>
        </w:rPr>
        <w:tab/>
      </w:r>
      <w:r w:rsidRPr="002353FE">
        <w:rPr>
          <w:rFonts w:ascii="Verdana" w:hAnsi="Verdana" w:cs="Tahoma"/>
          <w:sz w:val="24"/>
          <w:szCs w:val="24"/>
          <w:lang w:val="en-GB"/>
        </w:rPr>
        <w:t xml:space="preserve">decision on switching made by individual </w:t>
      </w:r>
      <w:r w:rsidR="003A3952" w:rsidRPr="002353FE">
        <w:rPr>
          <w:rFonts w:ascii="Verdana" w:hAnsi="Verdana" w:cs="Tahoma"/>
          <w:i/>
          <w:sz w:val="24"/>
          <w:szCs w:val="24"/>
          <w:lang w:val="en-GB"/>
        </w:rPr>
        <w:t>i</w:t>
      </w:r>
      <w:r w:rsidR="0067060F" w:rsidRPr="002353FE">
        <w:rPr>
          <w:rFonts w:ascii="Verdana" w:hAnsi="Verdana" w:cs="Tahoma"/>
          <w:sz w:val="24"/>
          <w:szCs w:val="24"/>
          <w:lang w:val="en-GB"/>
        </w:rPr>
        <w:t>.</w:t>
      </w:r>
    </w:p>
    <w:p w14:paraId="06B67E43" w14:textId="332EF682" w:rsidR="003A3952" w:rsidRPr="002353FE" w:rsidRDefault="003A3952" w:rsidP="000E41B9">
      <w:pPr>
        <w:spacing w:before="120" w:after="120" w:line="480" w:lineRule="auto"/>
        <w:ind w:left="705" w:firstLine="708"/>
        <w:jc w:val="both"/>
        <w:rPr>
          <w:rFonts w:ascii="Verdana" w:hAnsi="Verdana" w:cs="Tahoma"/>
          <w:sz w:val="24"/>
          <w:szCs w:val="24"/>
          <w:lang w:val="en-GB"/>
        </w:rPr>
      </w:pPr>
      <w:r w:rsidRPr="002353FE">
        <w:rPr>
          <w:rFonts w:ascii="Verdana" w:hAnsi="Verdana" w:cs="Tahoma"/>
          <w:i/>
          <w:sz w:val="24"/>
          <w:szCs w:val="24"/>
          <w:lang w:val="en-GB"/>
        </w:rPr>
        <w:t>X</w:t>
      </w:r>
      <w:r w:rsidRPr="002353FE">
        <w:rPr>
          <w:rFonts w:ascii="Verdana" w:hAnsi="Verdana" w:cs="Tahoma"/>
          <w:i/>
          <w:sz w:val="24"/>
          <w:szCs w:val="24"/>
          <w:vertAlign w:val="subscript"/>
          <w:lang w:val="en-GB"/>
        </w:rPr>
        <w:t>i</w:t>
      </w:r>
      <w:r w:rsidRPr="002353FE">
        <w:rPr>
          <w:rFonts w:ascii="Verdana" w:hAnsi="Verdana" w:cs="Tahoma"/>
          <w:i/>
          <w:sz w:val="24"/>
          <w:szCs w:val="24"/>
          <w:lang w:val="en-GB"/>
        </w:rPr>
        <w:t xml:space="preserve"> </w:t>
      </w:r>
      <w:r w:rsidRPr="002353FE">
        <w:rPr>
          <w:rFonts w:ascii="Verdana" w:hAnsi="Verdana" w:cs="Tahoma"/>
          <w:sz w:val="24"/>
          <w:szCs w:val="24"/>
          <w:lang w:val="en-GB"/>
        </w:rPr>
        <w:t xml:space="preserve">= vector of characteristics of individual </w:t>
      </w:r>
      <w:r w:rsidRPr="002353FE">
        <w:rPr>
          <w:rFonts w:ascii="Verdana" w:hAnsi="Verdana" w:cs="Tahoma"/>
          <w:i/>
          <w:sz w:val="24"/>
          <w:szCs w:val="24"/>
          <w:lang w:val="en-GB"/>
        </w:rPr>
        <w:t>i</w:t>
      </w:r>
      <w:r w:rsidRPr="002353FE">
        <w:rPr>
          <w:rFonts w:ascii="Verdana" w:hAnsi="Verdana" w:cs="Tahoma"/>
          <w:sz w:val="24"/>
          <w:szCs w:val="24"/>
          <w:lang w:val="en-GB"/>
        </w:rPr>
        <w:t>.</w:t>
      </w:r>
    </w:p>
    <w:p w14:paraId="52113A06" w14:textId="68C6B6D8" w:rsidR="003A3952" w:rsidRPr="002353FE" w:rsidRDefault="003A3952" w:rsidP="000E41B9">
      <w:pPr>
        <w:spacing w:before="120" w:after="120" w:line="480" w:lineRule="auto"/>
        <w:ind w:left="2124" w:hanging="708"/>
        <w:jc w:val="both"/>
        <w:rPr>
          <w:rFonts w:ascii="Verdana" w:hAnsi="Verdana" w:cs="Tahoma"/>
          <w:sz w:val="24"/>
          <w:szCs w:val="24"/>
          <w:lang w:val="en-GB"/>
        </w:rPr>
      </w:pPr>
      <w:r w:rsidRPr="002353FE">
        <w:rPr>
          <w:rFonts w:ascii="Verdana" w:hAnsi="Verdana" w:cs="Tahoma"/>
          <w:i/>
          <w:sz w:val="24"/>
          <w:szCs w:val="24"/>
          <w:lang w:val="en-GB"/>
        </w:rPr>
        <w:t>R</w:t>
      </w:r>
      <w:r w:rsidRPr="002353FE">
        <w:rPr>
          <w:rFonts w:ascii="Verdana" w:hAnsi="Verdana" w:cs="Tahoma"/>
          <w:i/>
          <w:sz w:val="24"/>
          <w:szCs w:val="24"/>
          <w:vertAlign w:val="subscript"/>
          <w:lang w:val="en-GB"/>
        </w:rPr>
        <w:t>i</w:t>
      </w:r>
      <w:r w:rsidRPr="002353FE">
        <w:rPr>
          <w:rFonts w:ascii="Verdana" w:hAnsi="Verdana" w:cs="Tahoma"/>
          <w:sz w:val="24"/>
          <w:szCs w:val="24"/>
          <w:lang w:val="en-GB"/>
        </w:rPr>
        <w:t xml:space="preserve"> =</w:t>
      </w:r>
      <w:r w:rsidR="00AF743B" w:rsidRPr="002353FE">
        <w:rPr>
          <w:rFonts w:ascii="Verdana" w:hAnsi="Verdana" w:cs="Tahoma"/>
          <w:sz w:val="24"/>
          <w:szCs w:val="24"/>
          <w:lang w:val="en-GB"/>
        </w:rPr>
        <w:tab/>
      </w:r>
      <w:r w:rsidR="00805514" w:rsidRPr="002353FE">
        <w:rPr>
          <w:rFonts w:ascii="Verdana" w:hAnsi="Verdana" w:cs="Tahoma"/>
          <w:sz w:val="24"/>
          <w:szCs w:val="24"/>
          <w:lang w:val="en-GB"/>
        </w:rPr>
        <w:t xml:space="preserve">vector of characteristics of the place of residence of </w:t>
      </w:r>
      <w:r w:rsidRPr="002353FE">
        <w:rPr>
          <w:rFonts w:ascii="Verdana" w:hAnsi="Verdana" w:cs="Tahoma"/>
          <w:sz w:val="24"/>
          <w:szCs w:val="24"/>
          <w:lang w:val="en-GB"/>
        </w:rPr>
        <w:t xml:space="preserve">individual </w:t>
      </w:r>
      <w:r w:rsidRPr="002353FE">
        <w:rPr>
          <w:rFonts w:ascii="Verdana" w:hAnsi="Verdana" w:cs="Tahoma"/>
          <w:i/>
          <w:sz w:val="24"/>
          <w:szCs w:val="24"/>
          <w:lang w:val="en-GB"/>
        </w:rPr>
        <w:t>i</w:t>
      </w:r>
      <w:r w:rsidRPr="002353FE">
        <w:rPr>
          <w:rFonts w:ascii="Verdana" w:hAnsi="Verdana" w:cs="Tahoma"/>
          <w:sz w:val="24"/>
          <w:szCs w:val="24"/>
          <w:lang w:val="en-GB"/>
        </w:rPr>
        <w:t>.</w:t>
      </w:r>
    </w:p>
    <w:p w14:paraId="676BF568" w14:textId="2CD9D017" w:rsidR="003A3952" w:rsidRPr="002353FE" w:rsidRDefault="003A3952" w:rsidP="00E47A27">
      <w:pPr>
        <w:spacing w:before="120" w:after="120" w:line="480" w:lineRule="auto"/>
        <w:ind w:left="2124" w:hanging="711"/>
        <w:jc w:val="both"/>
        <w:rPr>
          <w:rFonts w:ascii="Verdana" w:hAnsi="Verdana" w:cs="Tahoma"/>
          <w:sz w:val="24"/>
          <w:szCs w:val="24"/>
          <w:lang w:val="en-GB"/>
        </w:rPr>
      </w:pPr>
      <w:r w:rsidRPr="002353FE">
        <w:rPr>
          <w:rFonts w:ascii="Verdana" w:hAnsi="Verdana" w:cs="Tahoma"/>
          <w:i/>
          <w:sz w:val="24"/>
          <w:szCs w:val="24"/>
          <w:lang w:val="en-GB"/>
        </w:rPr>
        <w:t>C</w:t>
      </w:r>
      <w:r w:rsidRPr="002353FE">
        <w:rPr>
          <w:rFonts w:ascii="Verdana" w:hAnsi="Verdana" w:cs="Tahoma"/>
          <w:sz w:val="24"/>
          <w:szCs w:val="24"/>
          <w:vertAlign w:val="subscript"/>
          <w:lang w:val="en-GB"/>
        </w:rPr>
        <w:t>i</w:t>
      </w:r>
      <w:r w:rsidRPr="002353FE">
        <w:rPr>
          <w:rFonts w:ascii="Verdana" w:hAnsi="Verdana" w:cs="Tahoma"/>
          <w:sz w:val="24"/>
          <w:szCs w:val="24"/>
          <w:lang w:val="en-GB"/>
        </w:rPr>
        <w:t xml:space="preserve"> = </w:t>
      </w:r>
      <w:r w:rsidR="00B3093D" w:rsidRPr="002353FE">
        <w:rPr>
          <w:rFonts w:ascii="Verdana" w:hAnsi="Verdana" w:cs="Tahoma"/>
          <w:sz w:val="24"/>
          <w:szCs w:val="24"/>
          <w:lang w:val="en-GB"/>
        </w:rPr>
        <w:tab/>
      </w:r>
      <w:r w:rsidRPr="002353FE">
        <w:rPr>
          <w:rFonts w:ascii="Verdana" w:hAnsi="Verdana" w:cs="Tahoma"/>
          <w:sz w:val="24"/>
          <w:szCs w:val="24"/>
          <w:lang w:val="en-GB"/>
        </w:rPr>
        <w:t xml:space="preserve">country </w:t>
      </w:r>
      <w:r w:rsidR="00021360" w:rsidRPr="002353FE">
        <w:rPr>
          <w:rFonts w:ascii="Verdana" w:hAnsi="Verdana" w:cs="Tahoma"/>
          <w:sz w:val="24"/>
          <w:szCs w:val="24"/>
          <w:lang w:val="en-GB"/>
        </w:rPr>
        <w:t xml:space="preserve">of </w:t>
      </w:r>
      <w:r w:rsidRPr="002353FE">
        <w:rPr>
          <w:rFonts w:ascii="Verdana" w:hAnsi="Verdana" w:cs="Tahoma"/>
          <w:sz w:val="24"/>
          <w:szCs w:val="24"/>
          <w:lang w:val="en-GB"/>
        </w:rPr>
        <w:t xml:space="preserve">individual </w:t>
      </w:r>
      <w:r w:rsidRPr="002353FE">
        <w:rPr>
          <w:rFonts w:ascii="Verdana" w:hAnsi="Verdana" w:cs="Tahoma"/>
          <w:i/>
          <w:sz w:val="24"/>
          <w:szCs w:val="24"/>
          <w:lang w:val="en-GB"/>
        </w:rPr>
        <w:t>i</w:t>
      </w:r>
      <w:r w:rsidR="00021360" w:rsidRPr="002353FE">
        <w:rPr>
          <w:rFonts w:ascii="Verdana" w:hAnsi="Verdana" w:cs="Tahoma"/>
          <w:i/>
          <w:sz w:val="24"/>
          <w:szCs w:val="24"/>
          <w:lang w:val="en-GB"/>
        </w:rPr>
        <w:t xml:space="preserve"> </w:t>
      </w:r>
      <w:r w:rsidR="00021360" w:rsidRPr="002353FE">
        <w:rPr>
          <w:rFonts w:ascii="Verdana" w:hAnsi="Verdana" w:cs="Tahoma"/>
          <w:sz w:val="24"/>
          <w:szCs w:val="24"/>
          <w:lang w:val="en-GB"/>
        </w:rPr>
        <w:t>(binary variables)</w:t>
      </w:r>
      <w:r w:rsidRPr="002353FE">
        <w:rPr>
          <w:rFonts w:ascii="Verdana" w:hAnsi="Verdana" w:cs="Tahoma"/>
          <w:sz w:val="24"/>
          <w:szCs w:val="24"/>
          <w:lang w:val="en-GB"/>
        </w:rPr>
        <w:t>.</w:t>
      </w:r>
    </w:p>
    <w:p w14:paraId="33B294BD" w14:textId="42C881B9" w:rsidR="003A3952" w:rsidRPr="002353FE" w:rsidRDefault="0067060F" w:rsidP="000E41B9">
      <w:pPr>
        <w:spacing w:before="120" w:after="120" w:line="480" w:lineRule="auto"/>
        <w:ind w:left="2124" w:hanging="711"/>
        <w:jc w:val="both"/>
        <w:rPr>
          <w:rFonts w:ascii="Verdana" w:hAnsi="Verdana" w:cs="Tahoma"/>
          <w:sz w:val="24"/>
          <w:szCs w:val="24"/>
          <w:lang w:val="en-GB"/>
        </w:rPr>
      </w:pPr>
      <w:r w:rsidRPr="002353FE">
        <w:rPr>
          <w:rFonts w:ascii="Verdana" w:hAnsi="Verdana" w:cs="Tahoma"/>
          <w:i/>
          <w:sz w:val="24"/>
          <w:szCs w:val="24"/>
          <w:lang w:val="en-GB"/>
        </w:rPr>
        <w:t>M</w:t>
      </w:r>
      <w:r w:rsidR="003A3952" w:rsidRPr="002353FE">
        <w:rPr>
          <w:rFonts w:ascii="Verdana" w:hAnsi="Verdana" w:cs="Tahoma"/>
          <w:i/>
          <w:sz w:val="24"/>
          <w:szCs w:val="24"/>
          <w:vertAlign w:val="subscript"/>
          <w:lang w:val="en-GB"/>
        </w:rPr>
        <w:t>i</w:t>
      </w:r>
      <w:r w:rsidR="003A3952" w:rsidRPr="002353FE">
        <w:rPr>
          <w:rFonts w:ascii="Verdana" w:hAnsi="Verdana" w:cs="Tahoma"/>
          <w:sz w:val="24"/>
          <w:szCs w:val="24"/>
          <w:lang w:val="en-GB"/>
        </w:rPr>
        <w:t xml:space="preserve"> = vector of macroeconomic and market characteristics in the country </w:t>
      </w:r>
      <w:r w:rsidR="00021360" w:rsidRPr="002353FE">
        <w:rPr>
          <w:rFonts w:ascii="Verdana" w:hAnsi="Verdana" w:cs="Tahoma"/>
          <w:sz w:val="24"/>
          <w:szCs w:val="24"/>
          <w:lang w:val="en-GB"/>
        </w:rPr>
        <w:t>of</w:t>
      </w:r>
      <w:r w:rsidR="003A3952" w:rsidRPr="002353FE">
        <w:rPr>
          <w:rFonts w:ascii="Verdana" w:hAnsi="Verdana" w:cs="Tahoma"/>
          <w:sz w:val="24"/>
          <w:szCs w:val="24"/>
          <w:lang w:val="en-GB"/>
        </w:rPr>
        <w:t xml:space="preserve"> individual </w:t>
      </w:r>
      <w:r w:rsidR="003A3952" w:rsidRPr="002353FE">
        <w:rPr>
          <w:rFonts w:ascii="Verdana" w:hAnsi="Verdana" w:cs="Tahoma"/>
          <w:i/>
          <w:sz w:val="24"/>
          <w:szCs w:val="24"/>
          <w:lang w:val="en-GB"/>
        </w:rPr>
        <w:t>i</w:t>
      </w:r>
      <w:r w:rsidR="003A3952" w:rsidRPr="002353FE">
        <w:rPr>
          <w:rFonts w:ascii="Verdana" w:hAnsi="Verdana" w:cs="Tahoma"/>
          <w:sz w:val="24"/>
          <w:szCs w:val="24"/>
          <w:lang w:val="en-GB"/>
        </w:rPr>
        <w:t>.</w:t>
      </w:r>
    </w:p>
    <w:p w14:paraId="6500D719" w14:textId="6AC398C1" w:rsidR="003A3952" w:rsidRPr="002353FE" w:rsidRDefault="0067060F" w:rsidP="000E41B9">
      <w:pPr>
        <w:spacing w:before="120" w:after="120" w:line="480" w:lineRule="auto"/>
        <w:ind w:left="2124" w:hanging="1416"/>
        <w:jc w:val="both"/>
        <w:rPr>
          <w:rFonts w:ascii="Verdana" w:hAnsi="Verdana" w:cs="Tahoma"/>
          <w:sz w:val="24"/>
          <w:szCs w:val="24"/>
          <w:lang w:val="en-GB"/>
        </w:rPr>
      </w:pPr>
      <w:r w:rsidRPr="002353FE">
        <w:rPr>
          <w:rFonts w:ascii="Verdana" w:hAnsi="Verdana" w:cs="Tahoma"/>
          <w:i/>
          <w:sz w:val="24"/>
          <w:szCs w:val="24"/>
          <w:lang w:val="en-GB"/>
        </w:rPr>
        <w:t>FinEd</w:t>
      </w:r>
      <w:r w:rsidR="003A3952" w:rsidRPr="002353FE">
        <w:rPr>
          <w:rFonts w:ascii="Verdana" w:hAnsi="Verdana" w:cs="Tahoma"/>
          <w:i/>
          <w:sz w:val="24"/>
          <w:szCs w:val="24"/>
          <w:vertAlign w:val="subscript"/>
          <w:lang w:val="en-GB"/>
        </w:rPr>
        <w:t>i</w:t>
      </w:r>
      <w:r w:rsidR="003A3952" w:rsidRPr="002353FE">
        <w:rPr>
          <w:rFonts w:ascii="Verdana" w:hAnsi="Verdana" w:cs="Tahoma"/>
          <w:i/>
          <w:sz w:val="24"/>
          <w:szCs w:val="24"/>
          <w:lang w:val="en-GB"/>
        </w:rPr>
        <w:t xml:space="preserve"> </w:t>
      </w:r>
      <w:r w:rsidR="003A3952" w:rsidRPr="002353FE">
        <w:rPr>
          <w:rFonts w:ascii="Verdana" w:hAnsi="Verdana" w:cs="Tahoma"/>
          <w:sz w:val="24"/>
          <w:szCs w:val="24"/>
          <w:lang w:val="en-GB"/>
        </w:rPr>
        <w:t xml:space="preserve">= </w:t>
      </w:r>
      <w:r w:rsidR="00B3093D" w:rsidRPr="002353FE">
        <w:rPr>
          <w:rFonts w:ascii="Verdana" w:hAnsi="Verdana" w:cs="Tahoma"/>
          <w:sz w:val="24"/>
          <w:szCs w:val="24"/>
          <w:lang w:val="en-GB"/>
        </w:rPr>
        <w:tab/>
      </w:r>
      <w:r w:rsidR="003A3952" w:rsidRPr="002353FE">
        <w:rPr>
          <w:rFonts w:ascii="Verdana" w:hAnsi="Verdana" w:cs="Tahoma"/>
          <w:sz w:val="24"/>
          <w:szCs w:val="24"/>
          <w:lang w:val="en-GB"/>
        </w:rPr>
        <w:t xml:space="preserve">indicator on consumer financial education in the country </w:t>
      </w:r>
      <w:r w:rsidR="00021360" w:rsidRPr="002353FE">
        <w:rPr>
          <w:rFonts w:ascii="Verdana" w:hAnsi="Verdana" w:cs="Tahoma"/>
          <w:sz w:val="24"/>
          <w:szCs w:val="24"/>
          <w:lang w:val="en-GB"/>
        </w:rPr>
        <w:t>of</w:t>
      </w:r>
      <w:r w:rsidR="003A3952" w:rsidRPr="002353FE">
        <w:rPr>
          <w:rFonts w:ascii="Verdana" w:hAnsi="Verdana" w:cs="Tahoma"/>
          <w:sz w:val="24"/>
          <w:szCs w:val="24"/>
          <w:lang w:val="en-GB"/>
        </w:rPr>
        <w:t xml:space="preserve"> individual </w:t>
      </w:r>
      <w:r w:rsidR="003A3952" w:rsidRPr="002353FE">
        <w:rPr>
          <w:rFonts w:ascii="Verdana" w:hAnsi="Verdana" w:cs="Tahoma"/>
          <w:i/>
          <w:sz w:val="24"/>
          <w:szCs w:val="24"/>
          <w:lang w:val="en-GB"/>
        </w:rPr>
        <w:t>i</w:t>
      </w:r>
      <w:r w:rsidR="003A3952" w:rsidRPr="002353FE">
        <w:rPr>
          <w:rFonts w:ascii="Verdana" w:hAnsi="Verdana" w:cs="Tahoma"/>
          <w:sz w:val="24"/>
          <w:szCs w:val="24"/>
          <w:lang w:val="en-GB"/>
        </w:rPr>
        <w:t>.</w:t>
      </w:r>
    </w:p>
    <w:p w14:paraId="6F2031E7" w14:textId="6CBADEC5" w:rsidR="0067060F" w:rsidRPr="002353FE" w:rsidRDefault="0067060F" w:rsidP="000E41B9">
      <w:pPr>
        <w:spacing w:before="120" w:after="120" w:line="480" w:lineRule="auto"/>
        <w:ind w:left="2124" w:hanging="1416"/>
        <w:jc w:val="both"/>
        <w:rPr>
          <w:rFonts w:ascii="Verdana" w:hAnsi="Verdana" w:cs="Tahoma"/>
          <w:sz w:val="24"/>
          <w:szCs w:val="24"/>
          <w:lang w:val="en-GB"/>
        </w:rPr>
      </w:pPr>
      <w:r w:rsidRPr="002353FE">
        <w:rPr>
          <w:rFonts w:ascii="Verdana" w:hAnsi="Verdana" w:cs="Tahoma"/>
          <w:i/>
          <w:sz w:val="24"/>
          <w:szCs w:val="24"/>
          <w:lang w:val="en-GB"/>
        </w:rPr>
        <w:t>Disc</w:t>
      </w:r>
      <w:r w:rsidRPr="002353FE">
        <w:rPr>
          <w:rFonts w:ascii="Verdana" w:hAnsi="Verdana" w:cs="Tahoma"/>
          <w:i/>
          <w:sz w:val="24"/>
          <w:szCs w:val="24"/>
          <w:vertAlign w:val="subscript"/>
          <w:lang w:val="en-GB"/>
        </w:rPr>
        <w:t>i</w:t>
      </w:r>
      <w:r w:rsidRPr="002353FE">
        <w:rPr>
          <w:rFonts w:ascii="Verdana" w:hAnsi="Verdana" w:cs="Tahoma"/>
          <w:sz w:val="24"/>
          <w:szCs w:val="24"/>
          <w:lang w:val="en-GB"/>
        </w:rPr>
        <w:t xml:space="preserve"> = indicator on disclosure practices in the country </w:t>
      </w:r>
      <w:r w:rsidR="00021360" w:rsidRPr="002353FE">
        <w:rPr>
          <w:rFonts w:ascii="Verdana" w:hAnsi="Verdana" w:cs="Tahoma"/>
          <w:sz w:val="24"/>
          <w:szCs w:val="24"/>
          <w:lang w:val="en-GB"/>
        </w:rPr>
        <w:t>of</w:t>
      </w:r>
      <w:r w:rsidRPr="002353FE">
        <w:rPr>
          <w:rFonts w:ascii="Verdana" w:hAnsi="Verdana" w:cs="Tahoma"/>
          <w:sz w:val="24"/>
          <w:szCs w:val="24"/>
          <w:lang w:val="en-GB"/>
        </w:rPr>
        <w:t xml:space="preserve"> individual </w:t>
      </w:r>
      <w:r w:rsidRPr="002353FE">
        <w:rPr>
          <w:rFonts w:ascii="Verdana" w:hAnsi="Verdana" w:cs="Tahoma"/>
          <w:i/>
          <w:sz w:val="24"/>
          <w:szCs w:val="24"/>
          <w:lang w:val="en-GB"/>
        </w:rPr>
        <w:t>i</w:t>
      </w:r>
      <w:r w:rsidRPr="002353FE">
        <w:rPr>
          <w:rFonts w:ascii="Verdana" w:hAnsi="Verdana" w:cs="Tahoma"/>
          <w:sz w:val="24"/>
          <w:szCs w:val="24"/>
          <w:lang w:val="en-GB"/>
        </w:rPr>
        <w:t>.</w:t>
      </w:r>
    </w:p>
    <w:p w14:paraId="6C48BC03" w14:textId="095E9CC8" w:rsidR="00753E8B" w:rsidRPr="002353FE" w:rsidRDefault="003A3952" w:rsidP="00BB035C">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t>Model 1 is used to test hypothes</w:t>
      </w:r>
      <w:r w:rsidR="00805514" w:rsidRPr="002353FE">
        <w:rPr>
          <w:rFonts w:ascii="Verdana" w:hAnsi="Verdana" w:cs="Tahoma"/>
          <w:sz w:val="24"/>
          <w:szCs w:val="24"/>
          <w:lang w:val="en-GB"/>
        </w:rPr>
        <w:t>i</w:t>
      </w:r>
      <w:r w:rsidRPr="002353FE">
        <w:rPr>
          <w:rFonts w:ascii="Verdana" w:hAnsi="Verdana" w:cs="Tahoma"/>
          <w:sz w:val="24"/>
          <w:szCs w:val="24"/>
          <w:lang w:val="en-GB"/>
        </w:rPr>
        <w:t xml:space="preserve">s </w:t>
      </w:r>
      <w:r w:rsidR="009B60D3" w:rsidRPr="002353FE">
        <w:rPr>
          <w:rFonts w:ascii="Verdana" w:hAnsi="Verdana" w:cs="Tahoma"/>
          <w:sz w:val="24"/>
          <w:szCs w:val="24"/>
          <w:lang w:val="en-GB"/>
        </w:rPr>
        <w:t xml:space="preserve">one </w:t>
      </w:r>
      <w:r w:rsidRPr="002353FE">
        <w:rPr>
          <w:rFonts w:ascii="Verdana" w:hAnsi="Verdana" w:cs="Tahoma"/>
          <w:sz w:val="24"/>
          <w:szCs w:val="24"/>
          <w:lang w:val="en-GB"/>
        </w:rPr>
        <w:t xml:space="preserve">while controlling for </w:t>
      </w:r>
      <w:r w:rsidR="00C33E74" w:rsidRPr="002353FE">
        <w:rPr>
          <w:rFonts w:ascii="Verdana" w:hAnsi="Verdana" w:cs="Tahoma"/>
          <w:sz w:val="24"/>
          <w:szCs w:val="24"/>
          <w:lang w:val="en-GB"/>
        </w:rPr>
        <w:t xml:space="preserve">national </w:t>
      </w:r>
      <w:r w:rsidRPr="002353FE">
        <w:rPr>
          <w:rFonts w:ascii="Verdana" w:hAnsi="Verdana" w:cs="Tahoma"/>
          <w:sz w:val="24"/>
          <w:szCs w:val="24"/>
          <w:lang w:val="en-GB"/>
        </w:rPr>
        <w:t>differences. Model 2 perm</w:t>
      </w:r>
      <w:r w:rsidR="00C80A7E" w:rsidRPr="002353FE">
        <w:rPr>
          <w:rFonts w:ascii="Verdana" w:hAnsi="Verdana" w:cs="Tahoma"/>
          <w:sz w:val="24"/>
          <w:szCs w:val="24"/>
          <w:lang w:val="en-GB"/>
        </w:rPr>
        <w:t xml:space="preserve">its </w:t>
      </w:r>
      <w:r w:rsidR="005A15EE" w:rsidRPr="002353FE">
        <w:rPr>
          <w:rFonts w:ascii="Verdana" w:hAnsi="Verdana" w:cs="Tahoma"/>
          <w:sz w:val="24"/>
          <w:szCs w:val="24"/>
          <w:lang w:val="en-GB"/>
        </w:rPr>
        <w:t xml:space="preserve">the simultaneous </w:t>
      </w:r>
      <w:r w:rsidR="00C80A7E" w:rsidRPr="002353FE">
        <w:rPr>
          <w:rFonts w:ascii="Verdana" w:hAnsi="Verdana" w:cs="Tahoma"/>
          <w:sz w:val="24"/>
          <w:szCs w:val="24"/>
          <w:lang w:val="en-GB"/>
        </w:rPr>
        <w:t>test</w:t>
      </w:r>
      <w:r w:rsidR="005A15EE" w:rsidRPr="002353FE">
        <w:rPr>
          <w:rFonts w:ascii="Verdana" w:hAnsi="Verdana" w:cs="Tahoma"/>
          <w:sz w:val="24"/>
          <w:szCs w:val="24"/>
          <w:lang w:val="en-GB"/>
        </w:rPr>
        <w:t xml:space="preserve">ing of </w:t>
      </w:r>
      <w:r w:rsidR="00C80A7E" w:rsidRPr="002353FE">
        <w:rPr>
          <w:rFonts w:ascii="Verdana" w:hAnsi="Verdana" w:cs="Tahoma"/>
          <w:sz w:val="24"/>
          <w:szCs w:val="24"/>
          <w:lang w:val="en-GB"/>
        </w:rPr>
        <w:t>hypotheses</w:t>
      </w:r>
      <w:r w:rsidR="00805514" w:rsidRPr="002353FE">
        <w:rPr>
          <w:rFonts w:ascii="Verdana" w:hAnsi="Verdana" w:cs="Tahoma"/>
          <w:sz w:val="24"/>
          <w:szCs w:val="24"/>
          <w:lang w:val="en-GB"/>
        </w:rPr>
        <w:t xml:space="preserve"> </w:t>
      </w:r>
      <w:r w:rsidR="009B60D3" w:rsidRPr="002353FE">
        <w:rPr>
          <w:rFonts w:ascii="Verdana" w:hAnsi="Verdana" w:cs="Tahoma"/>
          <w:sz w:val="24"/>
          <w:szCs w:val="24"/>
          <w:lang w:val="en-GB"/>
        </w:rPr>
        <w:t xml:space="preserve">one </w:t>
      </w:r>
      <w:r w:rsidR="002B018A" w:rsidRPr="002353FE">
        <w:rPr>
          <w:rFonts w:ascii="Verdana" w:hAnsi="Verdana" w:cs="Tahoma"/>
          <w:sz w:val="24"/>
          <w:szCs w:val="24"/>
          <w:lang w:val="en-GB"/>
        </w:rPr>
        <w:t>and</w:t>
      </w:r>
      <w:r w:rsidRPr="002353FE">
        <w:rPr>
          <w:rFonts w:ascii="Verdana" w:hAnsi="Verdana" w:cs="Tahoma"/>
          <w:sz w:val="24"/>
          <w:szCs w:val="24"/>
          <w:lang w:val="en-GB"/>
        </w:rPr>
        <w:t xml:space="preserve"> </w:t>
      </w:r>
      <w:r w:rsidR="009B60D3" w:rsidRPr="002353FE">
        <w:rPr>
          <w:rFonts w:ascii="Verdana" w:hAnsi="Verdana" w:cs="Tahoma"/>
          <w:sz w:val="24"/>
          <w:szCs w:val="24"/>
          <w:lang w:val="en-GB"/>
        </w:rPr>
        <w:t>two</w:t>
      </w:r>
      <w:r w:rsidRPr="002353FE">
        <w:rPr>
          <w:rFonts w:ascii="Verdana" w:hAnsi="Verdana" w:cs="Tahoma"/>
          <w:sz w:val="24"/>
          <w:szCs w:val="24"/>
          <w:lang w:val="en-GB"/>
        </w:rPr>
        <w:t xml:space="preserve">, while controlling for the </w:t>
      </w:r>
      <w:r w:rsidR="007233E5" w:rsidRPr="002353FE">
        <w:rPr>
          <w:rFonts w:ascii="Verdana" w:hAnsi="Verdana" w:cs="Tahoma"/>
          <w:sz w:val="24"/>
          <w:szCs w:val="24"/>
          <w:lang w:val="en-GB"/>
        </w:rPr>
        <w:t xml:space="preserve">national </w:t>
      </w:r>
      <w:r w:rsidRPr="002353FE">
        <w:rPr>
          <w:rFonts w:ascii="Verdana" w:hAnsi="Verdana" w:cs="Tahoma"/>
          <w:sz w:val="24"/>
          <w:szCs w:val="24"/>
          <w:lang w:val="en-GB"/>
        </w:rPr>
        <w:t xml:space="preserve">macroeconomic and market characteristics. </w:t>
      </w:r>
      <w:r w:rsidR="00367E30" w:rsidRPr="002353FE">
        <w:rPr>
          <w:rFonts w:ascii="Verdana" w:hAnsi="Verdana" w:cs="Tahoma"/>
          <w:sz w:val="24"/>
          <w:szCs w:val="24"/>
          <w:lang w:val="en-GB"/>
        </w:rPr>
        <w:t xml:space="preserve">All the estimations provide robust standard errors clustered at the </w:t>
      </w:r>
      <w:r w:rsidR="000A2FA2" w:rsidRPr="002353FE">
        <w:rPr>
          <w:rFonts w:ascii="Verdana" w:hAnsi="Verdana" w:cs="Tahoma"/>
          <w:sz w:val="24"/>
          <w:szCs w:val="24"/>
          <w:lang w:val="en-GB"/>
        </w:rPr>
        <w:t xml:space="preserve">national </w:t>
      </w:r>
      <w:r w:rsidR="00367E30" w:rsidRPr="002353FE">
        <w:rPr>
          <w:rFonts w:ascii="Verdana" w:hAnsi="Verdana" w:cs="Tahoma"/>
          <w:sz w:val="24"/>
          <w:szCs w:val="24"/>
          <w:lang w:val="en-GB"/>
        </w:rPr>
        <w:t xml:space="preserve">level, to correct for correlation of the error term within </w:t>
      </w:r>
      <w:r w:rsidR="00367E30" w:rsidRPr="002353FE">
        <w:rPr>
          <w:rFonts w:ascii="Verdana" w:hAnsi="Verdana" w:cs="Tahoma"/>
          <w:sz w:val="24"/>
          <w:szCs w:val="24"/>
          <w:lang w:val="en-GB"/>
        </w:rPr>
        <w:lastRenderedPageBreak/>
        <w:t>countries (</w:t>
      </w:r>
      <w:r w:rsidR="0067060F" w:rsidRPr="002353FE">
        <w:rPr>
          <w:rFonts w:ascii="Verdana" w:hAnsi="Verdana" w:cs="Tahoma"/>
          <w:sz w:val="24"/>
          <w:szCs w:val="24"/>
          <w:lang w:val="en-GB"/>
        </w:rPr>
        <w:t xml:space="preserve">taken as </w:t>
      </w:r>
      <w:r w:rsidR="00367E30" w:rsidRPr="002353FE">
        <w:rPr>
          <w:rFonts w:ascii="Verdana" w:hAnsi="Verdana" w:cs="Tahoma"/>
          <w:sz w:val="24"/>
          <w:szCs w:val="24"/>
          <w:lang w:val="en-GB"/>
        </w:rPr>
        <w:t>clusters).</w:t>
      </w:r>
      <w:r w:rsidR="0067060F" w:rsidRPr="002353FE">
        <w:rPr>
          <w:rFonts w:ascii="Verdana" w:hAnsi="Verdana" w:cs="Tahoma"/>
          <w:sz w:val="24"/>
          <w:szCs w:val="24"/>
          <w:lang w:val="en-GB"/>
        </w:rPr>
        <w:t xml:space="preserve"> </w:t>
      </w:r>
      <w:r w:rsidR="00440180" w:rsidRPr="002353FE">
        <w:rPr>
          <w:rFonts w:ascii="Verdana" w:hAnsi="Verdana" w:cs="Tahoma"/>
          <w:sz w:val="24"/>
          <w:szCs w:val="24"/>
          <w:lang w:val="en-GB"/>
        </w:rPr>
        <w:t xml:space="preserve">By using the sampling weights from </w:t>
      </w:r>
      <w:r w:rsidR="00E47A27" w:rsidRPr="002353FE">
        <w:rPr>
          <w:rFonts w:ascii="Verdana" w:hAnsi="Verdana" w:cs="Tahoma"/>
          <w:sz w:val="24"/>
          <w:szCs w:val="24"/>
          <w:lang w:val="en-GB"/>
        </w:rPr>
        <w:t>EC and EP</w:t>
      </w:r>
      <w:r w:rsidR="00440180" w:rsidRPr="002353FE">
        <w:rPr>
          <w:rFonts w:ascii="Verdana" w:hAnsi="Verdana" w:cs="Tahoma"/>
          <w:sz w:val="24"/>
          <w:szCs w:val="24"/>
          <w:lang w:val="en-GB"/>
        </w:rPr>
        <w:t xml:space="preserve"> (2016), t</w:t>
      </w:r>
      <w:r w:rsidR="0067060F" w:rsidRPr="002353FE">
        <w:rPr>
          <w:rFonts w:ascii="Verdana" w:hAnsi="Verdana" w:cs="Tahoma"/>
          <w:sz w:val="24"/>
          <w:szCs w:val="24"/>
          <w:lang w:val="en-GB"/>
        </w:rPr>
        <w:t>he estimat</w:t>
      </w:r>
      <w:r w:rsidR="000A2FA2" w:rsidRPr="002353FE">
        <w:rPr>
          <w:rFonts w:ascii="Verdana" w:hAnsi="Verdana" w:cs="Tahoma"/>
          <w:sz w:val="24"/>
          <w:szCs w:val="24"/>
          <w:lang w:val="en-GB"/>
        </w:rPr>
        <w:t>es</w:t>
      </w:r>
      <w:r w:rsidR="0067060F" w:rsidRPr="002353FE">
        <w:rPr>
          <w:rFonts w:ascii="Verdana" w:hAnsi="Verdana" w:cs="Tahoma"/>
          <w:sz w:val="24"/>
          <w:szCs w:val="24"/>
          <w:lang w:val="en-GB"/>
        </w:rPr>
        <w:t xml:space="preserve"> </w:t>
      </w:r>
      <w:r w:rsidR="000A2FA2" w:rsidRPr="002353FE">
        <w:rPr>
          <w:rFonts w:ascii="Verdana" w:hAnsi="Verdana" w:cs="Tahoma"/>
          <w:sz w:val="24"/>
          <w:szCs w:val="24"/>
          <w:lang w:val="en-GB"/>
        </w:rPr>
        <w:t>are</w:t>
      </w:r>
      <w:r w:rsidR="0067060F" w:rsidRPr="002353FE">
        <w:rPr>
          <w:rFonts w:ascii="Verdana" w:hAnsi="Verdana" w:cs="Tahoma"/>
          <w:sz w:val="24"/>
          <w:szCs w:val="24"/>
          <w:lang w:val="en-GB"/>
        </w:rPr>
        <w:t xml:space="preserve"> representative at the population level</w:t>
      </w:r>
      <w:r w:rsidR="00440180" w:rsidRPr="002353FE">
        <w:rPr>
          <w:rFonts w:ascii="Verdana" w:hAnsi="Verdana" w:cs="Tahoma"/>
          <w:sz w:val="24"/>
          <w:szCs w:val="24"/>
          <w:lang w:val="en-GB"/>
        </w:rPr>
        <w:t>.</w:t>
      </w:r>
      <w:r w:rsidR="0067060F" w:rsidRPr="002353FE">
        <w:rPr>
          <w:rFonts w:ascii="Verdana" w:hAnsi="Verdana" w:cs="Tahoma"/>
          <w:sz w:val="24"/>
          <w:szCs w:val="24"/>
          <w:lang w:val="en-GB"/>
        </w:rPr>
        <w:t xml:space="preserve"> </w:t>
      </w:r>
    </w:p>
    <w:p w14:paraId="0D4F6701" w14:textId="77777777" w:rsidR="00323D53" w:rsidRPr="002353FE" w:rsidRDefault="00323D53" w:rsidP="00770101">
      <w:pPr>
        <w:spacing w:before="120" w:after="120" w:line="480" w:lineRule="auto"/>
        <w:ind w:firstLine="708"/>
        <w:jc w:val="both"/>
        <w:rPr>
          <w:rFonts w:ascii="Verdana" w:hAnsi="Verdana" w:cs="Tahoma"/>
          <w:sz w:val="24"/>
          <w:szCs w:val="24"/>
          <w:lang w:val="en-GB"/>
        </w:rPr>
      </w:pPr>
    </w:p>
    <w:p w14:paraId="171CA72B" w14:textId="11CA3C0B" w:rsidR="004469D7" w:rsidRPr="002353FE" w:rsidRDefault="00C80A7E" w:rsidP="00C80A7E">
      <w:pPr>
        <w:spacing w:before="120" w:after="120" w:line="480" w:lineRule="auto"/>
        <w:jc w:val="both"/>
        <w:rPr>
          <w:rFonts w:ascii="Verdana" w:hAnsi="Verdana" w:cs="Tahoma"/>
          <w:b/>
          <w:sz w:val="28"/>
          <w:szCs w:val="24"/>
          <w:lang w:val="en-GB"/>
        </w:rPr>
      </w:pPr>
      <w:r w:rsidRPr="002353FE">
        <w:rPr>
          <w:rFonts w:ascii="Verdana" w:hAnsi="Verdana" w:cs="Tahoma"/>
          <w:b/>
          <w:sz w:val="28"/>
          <w:szCs w:val="24"/>
          <w:lang w:val="en-GB"/>
        </w:rPr>
        <w:t xml:space="preserve">4.  </w:t>
      </w:r>
      <w:r w:rsidRPr="002353FE">
        <w:rPr>
          <w:rFonts w:ascii="Verdana" w:hAnsi="Verdana" w:cs="Tahoma"/>
          <w:b/>
          <w:sz w:val="28"/>
          <w:szCs w:val="24"/>
          <w:lang w:val="en-GB"/>
        </w:rPr>
        <w:tab/>
      </w:r>
      <w:r w:rsidR="004469D7" w:rsidRPr="002353FE">
        <w:rPr>
          <w:rFonts w:ascii="Verdana" w:hAnsi="Verdana" w:cs="Tahoma"/>
          <w:b/>
          <w:sz w:val="28"/>
          <w:szCs w:val="24"/>
          <w:lang w:val="en-GB"/>
        </w:rPr>
        <w:t>Results</w:t>
      </w:r>
    </w:p>
    <w:p w14:paraId="4145CE86" w14:textId="256F6B97" w:rsidR="00DB5B2C" w:rsidRPr="002353FE" w:rsidRDefault="00323D53" w:rsidP="00E86B49">
      <w:pPr>
        <w:pStyle w:val="ListParagraph"/>
        <w:spacing w:before="120" w:after="120" w:line="480" w:lineRule="auto"/>
        <w:ind w:left="0"/>
        <w:contextualSpacing w:val="0"/>
        <w:jc w:val="both"/>
        <w:rPr>
          <w:rFonts w:ascii="Verdana" w:hAnsi="Verdana" w:cs="Tahoma"/>
          <w:sz w:val="24"/>
          <w:szCs w:val="24"/>
          <w:lang w:val="en-GB"/>
        </w:rPr>
      </w:pPr>
      <w:r w:rsidRPr="002353FE">
        <w:rPr>
          <w:rFonts w:ascii="Verdana" w:hAnsi="Verdana" w:cs="Tahoma"/>
          <w:sz w:val="24"/>
          <w:szCs w:val="24"/>
          <w:lang w:val="en-GB"/>
        </w:rPr>
        <w:t>T</w:t>
      </w:r>
      <w:r w:rsidR="00DB5B2C" w:rsidRPr="002353FE">
        <w:rPr>
          <w:rFonts w:ascii="Verdana" w:hAnsi="Verdana" w:cs="Tahoma"/>
          <w:sz w:val="24"/>
          <w:szCs w:val="24"/>
          <w:lang w:val="en-GB"/>
        </w:rPr>
        <w:t xml:space="preserve">he </w:t>
      </w:r>
      <w:r w:rsidR="007233E5" w:rsidRPr="002353FE">
        <w:rPr>
          <w:rFonts w:ascii="Verdana" w:hAnsi="Verdana" w:cs="Tahoma"/>
          <w:sz w:val="24"/>
          <w:szCs w:val="24"/>
          <w:lang w:val="en-GB"/>
        </w:rPr>
        <w:t xml:space="preserve">estimated </w:t>
      </w:r>
      <w:r w:rsidR="00DB5B2C" w:rsidRPr="002353FE">
        <w:rPr>
          <w:rFonts w:ascii="Verdana" w:hAnsi="Verdana" w:cs="Tahoma"/>
          <w:sz w:val="24"/>
          <w:szCs w:val="24"/>
          <w:lang w:val="en-GB"/>
        </w:rPr>
        <w:t xml:space="preserve">marginal effects </w:t>
      </w:r>
      <w:r w:rsidR="007233E5" w:rsidRPr="002353FE">
        <w:rPr>
          <w:rFonts w:ascii="Verdana" w:hAnsi="Verdana" w:cs="Tahoma"/>
          <w:sz w:val="24"/>
          <w:szCs w:val="24"/>
          <w:lang w:val="en-GB"/>
        </w:rPr>
        <w:t>a</w:t>
      </w:r>
      <w:r w:rsidRPr="002353FE">
        <w:rPr>
          <w:rFonts w:ascii="Verdana" w:hAnsi="Verdana" w:cs="Tahoma"/>
          <w:sz w:val="24"/>
          <w:szCs w:val="24"/>
          <w:lang w:val="en-GB"/>
        </w:rPr>
        <w:t xml:space="preserve">re reported in Table </w:t>
      </w:r>
      <w:r w:rsidR="00285B4E" w:rsidRPr="002353FE">
        <w:rPr>
          <w:rFonts w:ascii="Verdana" w:hAnsi="Verdana" w:cs="Tahoma"/>
          <w:sz w:val="24"/>
          <w:szCs w:val="24"/>
          <w:lang w:val="en-GB"/>
        </w:rPr>
        <w:t>III</w:t>
      </w:r>
      <w:r w:rsidR="00DB5B2C" w:rsidRPr="002353FE">
        <w:rPr>
          <w:rFonts w:ascii="Verdana" w:hAnsi="Verdana" w:cs="Tahoma"/>
          <w:sz w:val="24"/>
          <w:szCs w:val="24"/>
          <w:lang w:val="en-GB"/>
        </w:rPr>
        <w:t>. The</w:t>
      </w:r>
      <w:r w:rsidR="009C3ECC" w:rsidRPr="002353FE">
        <w:rPr>
          <w:rFonts w:ascii="Verdana" w:hAnsi="Verdana" w:cs="Tahoma"/>
          <w:sz w:val="24"/>
          <w:szCs w:val="24"/>
          <w:lang w:val="en-GB"/>
        </w:rPr>
        <w:t>y</w:t>
      </w:r>
      <w:r w:rsidR="00DB5B2C" w:rsidRPr="002353FE">
        <w:rPr>
          <w:rFonts w:ascii="Verdana" w:hAnsi="Verdana" w:cs="Tahoma"/>
          <w:sz w:val="24"/>
          <w:szCs w:val="24"/>
          <w:lang w:val="en-GB"/>
        </w:rPr>
        <w:t xml:space="preserve"> indicate the estimated change in the probability of having switched </w:t>
      </w:r>
      <w:r w:rsidR="0050569D" w:rsidRPr="002353FE">
        <w:rPr>
          <w:rFonts w:ascii="Verdana" w:hAnsi="Verdana" w:cs="Tahoma"/>
          <w:sz w:val="24"/>
          <w:szCs w:val="24"/>
          <w:lang w:val="en-GB"/>
        </w:rPr>
        <w:t xml:space="preserve">current </w:t>
      </w:r>
      <w:r w:rsidR="00DB5B2C" w:rsidRPr="002353FE">
        <w:rPr>
          <w:rFonts w:ascii="Verdana" w:hAnsi="Verdana" w:cs="Tahoma"/>
          <w:sz w:val="24"/>
          <w:szCs w:val="24"/>
          <w:lang w:val="en-GB"/>
        </w:rPr>
        <w:t xml:space="preserve">bank account </w:t>
      </w:r>
      <w:r w:rsidR="00816232" w:rsidRPr="002353FE">
        <w:rPr>
          <w:rFonts w:ascii="Verdana" w:hAnsi="Verdana" w:cs="Tahoma"/>
          <w:sz w:val="24"/>
          <w:szCs w:val="24"/>
          <w:lang w:val="en-GB"/>
        </w:rPr>
        <w:t xml:space="preserve">that </w:t>
      </w:r>
      <w:r w:rsidR="00AD2B51" w:rsidRPr="002353FE">
        <w:rPr>
          <w:rFonts w:ascii="Verdana" w:hAnsi="Verdana" w:cs="Tahoma"/>
          <w:sz w:val="24"/>
          <w:szCs w:val="24"/>
          <w:lang w:val="en-GB"/>
        </w:rPr>
        <w:t xml:space="preserve">is </w:t>
      </w:r>
      <w:r w:rsidR="00DB5B2C" w:rsidRPr="002353FE">
        <w:rPr>
          <w:rFonts w:ascii="Verdana" w:hAnsi="Verdana" w:cs="Tahoma"/>
          <w:sz w:val="24"/>
          <w:szCs w:val="24"/>
          <w:lang w:val="en-GB"/>
        </w:rPr>
        <w:t>associated with a unitary change in each independent variable.</w:t>
      </w:r>
    </w:p>
    <w:p w14:paraId="474CC061" w14:textId="4F42A2CE" w:rsidR="002F6180" w:rsidRPr="002353FE" w:rsidRDefault="000E41B9" w:rsidP="00816232">
      <w:pPr>
        <w:pStyle w:val="ListParagraph"/>
        <w:spacing w:before="120" w:after="120" w:line="480" w:lineRule="auto"/>
        <w:ind w:left="0"/>
        <w:contextualSpacing w:val="0"/>
        <w:jc w:val="both"/>
        <w:rPr>
          <w:rFonts w:ascii="Verdana" w:hAnsi="Verdana" w:cs="Tahoma"/>
          <w:sz w:val="24"/>
          <w:szCs w:val="24"/>
          <w:lang w:val="en-GB"/>
        </w:rPr>
      </w:pPr>
      <w:r w:rsidRPr="002353FE">
        <w:rPr>
          <w:rFonts w:ascii="Verdana" w:hAnsi="Verdana" w:cs="Tahoma"/>
          <w:sz w:val="24"/>
          <w:szCs w:val="24"/>
          <w:lang w:val="en-GB"/>
        </w:rPr>
        <w:t xml:space="preserve">For hypothesis </w:t>
      </w:r>
      <w:r w:rsidR="00AD2B51" w:rsidRPr="002353FE">
        <w:rPr>
          <w:rFonts w:ascii="Verdana" w:hAnsi="Verdana" w:cs="Tahoma"/>
          <w:sz w:val="24"/>
          <w:szCs w:val="24"/>
          <w:lang w:val="en-GB"/>
        </w:rPr>
        <w:t>one</w:t>
      </w:r>
      <w:r w:rsidRPr="002353FE">
        <w:rPr>
          <w:rFonts w:ascii="Verdana" w:hAnsi="Verdana" w:cs="Tahoma"/>
          <w:sz w:val="24"/>
          <w:szCs w:val="24"/>
          <w:lang w:val="en-GB"/>
        </w:rPr>
        <w:t xml:space="preserve">, we observe considerable heterogeneity in </w:t>
      </w:r>
      <w:r w:rsidR="0050569D" w:rsidRPr="002353FE">
        <w:rPr>
          <w:rFonts w:ascii="Verdana" w:hAnsi="Verdana" w:cs="Tahoma"/>
          <w:sz w:val="24"/>
          <w:szCs w:val="24"/>
          <w:lang w:val="en-GB"/>
        </w:rPr>
        <w:t xml:space="preserve">current </w:t>
      </w:r>
      <w:r w:rsidR="007412B0" w:rsidRPr="002353FE">
        <w:rPr>
          <w:rFonts w:ascii="Verdana" w:hAnsi="Verdana" w:cs="Tahoma"/>
          <w:sz w:val="24"/>
          <w:szCs w:val="24"/>
          <w:lang w:val="en-GB"/>
        </w:rPr>
        <w:t>bank</w:t>
      </w:r>
      <w:r w:rsidR="0050569D" w:rsidRPr="002353FE">
        <w:rPr>
          <w:rFonts w:ascii="Verdana" w:hAnsi="Verdana" w:cs="Tahoma"/>
          <w:sz w:val="24"/>
          <w:szCs w:val="24"/>
          <w:lang w:val="en-GB"/>
        </w:rPr>
        <w:t xml:space="preserve"> account</w:t>
      </w:r>
      <w:r w:rsidR="007412B0" w:rsidRPr="002353FE">
        <w:rPr>
          <w:rFonts w:ascii="Verdana" w:hAnsi="Verdana" w:cs="Tahoma"/>
          <w:sz w:val="24"/>
          <w:szCs w:val="24"/>
          <w:lang w:val="en-GB"/>
        </w:rPr>
        <w:t xml:space="preserve"> </w:t>
      </w:r>
      <w:r w:rsidRPr="002353FE">
        <w:rPr>
          <w:rFonts w:ascii="Verdana" w:hAnsi="Verdana" w:cs="Tahoma"/>
          <w:sz w:val="24"/>
          <w:szCs w:val="24"/>
          <w:lang w:val="en-GB"/>
        </w:rPr>
        <w:t xml:space="preserve">switching. </w:t>
      </w:r>
      <w:r w:rsidR="00615F06" w:rsidRPr="002353FE">
        <w:rPr>
          <w:rFonts w:ascii="Verdana" w:hAnsi="Verdana" w:cs="Tahoma"/>
          <w:sz w:val="24"/>
          <w:szCs w:val="24"/>
          <w:lang w:val="en-GB"/>
        </w:rPr>
        <w:t>R</w:t>
      </w:r>
      <w:r w:rsidR="00B00B0D" w:rsidRPr="002353FE">
        <w:rPr>
          <w:rFonts w:ascii="Verdana" w:hAnsi="Verdana" w:cs="Tahoma"/>
          <w:sz w:val="24"/>
          <w:szCs w:val="24"/>
          <w:lang w:val="en-GB"/>
        </w:rPr>
        <w:t>espondents over</w:t>
      </w:r>
      <w:r w:rsidR="00A066B9" w:rsidRPr="002353FE">
        <w:rPr>
          <w:rFonts w:ascii="Verdana" w:hAnsi="Verdana" w:cs="Tahoma"/>
          <w:sz w:val="24"/>
          <w:szCs w:val="24"/>
          <w:lang w:val="en-GB"/>
        </w:rPr>
        <w:t xml:space="preserve"> 64 </w:t>
      </w:r>
      <w:r w:rsidR="00615F06" w:rsidRPr="002353FE">
        <w:rPr>
          <w:rFonts w:ascii="Verdana" w:hAnsi="Verdana" w:cs="Tahoma"/>
          <w:sz w:val="24"/>
          <w:szCs w:val="24"/>
          <w:lang w:val="en-GB"/>
        </w:rPr>
        <w:t xml:space="preserve">years old </w:t>
      </w:r>
      <w:r w:rsidR="00A066B9" w:rsidRPr="002353FE">
        <w:rPr>
          <w:rFonts w:ascii="Verdana" w:hAnsi="Verdana" w:cs="Tahoma"/>
          <w:sz w:val="24"/>
          <w:szCs w:val="24"/>
          <w:lang w:val="en-GB"/>
        </w:rPr>
        <w:t>have a lower probability of switch</w:t>
      </w:r>
      <w:r w:rsidR="00081040" w:rsidRPr="002353FE">
        <w:rPr>
          <w:rFonts w:ascii="Verdana" w:hAnsi="Verdana" w:cs="Tahoma"/>
          <w:sz w:val="24"/>
          <w:szCs w:val="24"/>
          <w:lang w:val="en-GB"/>
        </w:rPr>
        <w:t>ing</w:t>
      </w:r>
      <w:r w:rsidR="00A066B9" w:rsidRPr="002353FE">
        <w:rPr>
          <w:rFonts w:ascii="Verdana" w:hAnsi="Verdana" w:cs="Tahoma"/>
          <w:sz w:val="24"/>
          <w:szCs w:val="24"/>
          <w:lang w:val="en-GB"/>
        </w:rPr>
        <w:t xml:space="preserve"> their bank account than those </w:t>
      </w:r>
      <w:r w:rsidR="00C41135" w:rsidRPr="002353FE">
        <w:rPr>
          <w:rFonts w:ascii="Verdana" w:hAnsi="Verdana" w:cs="Tahoma"/>
          <w:sz w:val="24"/>
          <w:szCs w:val="24"/>
          <w:lang w:val="en-GB"/>
        </w:rPr>
        <w:t xml:space="preserve">respondents aged </w:t>
      </w:r>
      <w:r w:rsidR="00A066B9" w:rsidRPr="002353FE">
        <w:rPr>
          <w:rFonts w:ascii="Verdana" w:hAnsi="Verdana" w:cs="Tahoma"/>
          <w:sz w:val="24"/>
          <w:szCs w:val="24"/>
          <w:lang w:val="en-GB"/>
        </w:rPr>
        <w:t>between 35 and 44</w:t>
      </w:r>
      <w:r w:rsidR="00F949C8" w:rsidRPr="002353FE">
        <w:rPr>
          <w:rFonts w:ascii="Verdana" w:hAnsi="Verdana" w:cs="Tahoma"/>
          <w:sz w:val="24"/>
          <w:szCs w:val="24"/>
          <w:lang w:val="en-GB"/>
        </w:rPr>
        <w:t xml:space="preserve"> (reference category)</w:t>
      </w:r>
      <w:r w:rsidR="009C3ECC" w:rsidRPr="002353FE">
        <w:rPr>
          <w:rFonts w:ascii="Verdana" w:hAnsi="Verdana" w:cs="Tahoma"/>
          <w:sz w:val="24"/>
          <w:szCs w:val="24"/>
          <w:lang w:val="en-GB"/>
        </w:rPr>
        <w:t>:</w:t>
      </w:r>
      <w:r w:rsidR="00A066B9" w:rsidRPr="002353FE">
        <w:rPr>
          <w:rFonts w:ascii="Verdana" w:hAnsi="Verdana" w:cs="Tahoma"/>
          <w:sz w:val="24"/>
          <w:szCs w:val="24"/>
          <w:lang w:val="en-GB"/>
        </w:rPr>
        <w:t xml:space="preserve"> -6.8% </w:t>
      </w:r>
      <w:r w:rsidR="004B67CD" w:rsidRPr="002353FE">
        <w:rPr>
          <w:rFonts w:ascii="Verdana" w:hAnsi="Verdana" w:cs="Tahoma"/>
          <w:sz w:val="24"/>
          <w:szCs w:val="24"/>
          <w:lang w:val="en-GB"/>
        </w:rPr>
        <w:t>in</w:t>
      </w:r>
      <w:r w:rsidR="00A066B9" w:rsidRPr="002353FE">
        <w:rPr>
          <w:rFonts w:ascii="Verdana" w:hAnsi="Verdana" w:cs="Tahoma"/>
          <w:sz w:val="24"/>
          <w:szCs w:val="24"/>
          <w:lang w:val="en-GB"/>
        </w:rPr>
        <w:t xml:space="preserve"> model 1 and -</w:t>
      </w:r>
      <w:r w:rsidR="0068439C" w:rsidRPr="002353FE">
        <w:rPr>
          <w:rFonts w:ascii="Verdana" w:hAnsi="Verdana" w:cs="Tahoma"/>
          <w:sz w:val="24"/>
          <w:szCs w:val="24"/>
          <w:lang w:val="en-GB"/>
        </w:rPr>
        <w:t>6.9</w:t>
      </w:r>
      <w:r w:rsidR="00A066B9" w:rsidRPr="002353FE">
        <w:rPr>
          <w:rFonts w:ascii="Verdana" w:hAnsi="Verdana" w:cs="Tahoma"/>
          <w:sz w:val="24"/>
          <w:szCs w:val="24"/>
          <w:lang w:val="en-GB"/>
        </w:rPr>
        <w:t xml:space="preserve">% </w:t>
      </w:r>
      <w:r w:rsidR="004B67CD" w:rsidRPr="002353FE">
        <w:rPr>
          <w:rFonts w:ascii="Verdana" w:hAnsi="Verdana" w:cs="Tahoma"/>
          <w:sz w:val="24"/>
          <w:szCs w:val="24"/>
          <w:lang w:val="en-GB"/>
        </w:rPr>
        <w:t>in</w:t>
      </w:r>
      <w:r w:rsidR="00A066B9" w:rsidRPr="002353FE">
        <w:rPr>
          <w:rFonts w:ascii="Verdana" w:hAnsi="Verdana" w:cs="Tahoma"/>
          <w:sz w:val="24"/>
          <w:szCs w:val="24"/>
          <w:lang w:val="en-GB"/>
        </w:rPr>
        <w:t xml:space="preserve"> model 2. </w:t>
      </w:r>
      <w:r w:rsidR="00323D53" w:rsidRPr="002353FE">
        <w:rPr>
          <w:rFonts w:ascii="Verdana" w:hAnsi="Verdana" w:cs="Tahoma"/>
          <w:sz w:val="24"/>
          <w:szCs w:val="24"/>
          <w:lang w:val="en-GB"/>
        </w:rPr>
        <w:t>T</w:t>
      </w:r>
      <w:r w:rsidR="0068439C" w:rsidRPr="002353FE">
        <w:rPr>
          <w:rFonts w:ascii="Verdana" w:hAnsi="Verdana" w:cs="Tahoma"/>
          <w:sz w:val="24"/>
          <w:szCs w:val="24"/>
          <w:lang w:val="en-GB"/>
        </w:rPr>
        <w:t>hose in t</w:t>
      </w:r>
      <w:r w:rsidR="00A066B9" w:rsidRPr="002353FE">
        <w:rPr>
          <w:rFonts w:ascii="Verdana" w:hAnsi="Verdana" w:cs="Tahoma"/>
          <w:sz w:val="24"/>
          <w:szCs w:val="24"/>
          <w:lang w:val="en-GB"/>
        </w:rPr>
        <w:t xml:space="preserve">he </w:t>
      </w:r>
      <w:r w:rsidR="001435AB" w:rsidRPr="002353FE">
        <w:rPr>
          <w:rFonts w:ascii="Verdana" w:hAnsi="Verdana" w:cs="Tahoma"/>
          <w:sz w:val="24"/>
          <w:szCs w:val="24"/>
          <w:lang w:val="en-GB"/>
        </w:rPr>
        <w:t xml:space="preserve">between </w:t>
      </w:r>
      <w:r w:rsidR="002837F4" w:rsidRPr="002353FE">
        <w:rPr>
          <w:rFonts w:ascii="Verdana" w:hAnsi="Verdana" w:cs="Tahoma"/>
          <w:sz w:val="24"/>
          <w:szCs w:val="24"/>
          <w:lang w:val="en-GB"/>
        </w:rPr>
        <w:t xml:space="preserve">55 and 64 </w:t>
      </w:r>
      <w:r w:rsidR="00323D53" w:rsidRPr="002353FE">
        <w:rPr>
          <w:rFonts w:ascii="Verdana" w:hAnsi="Verdana" w:cs="Tahoma"/>
          <w:sz w:val="24"/>
          <w:szCs w:val="24"/>
          <w:lang w:val="en-GB"/>
        </w:rPr>
        <w:t xml:space="preserve">age </w:t>
      </w:r>
      <w:r w:rsidR="00A066B9" w:rsidRPr="002353FE">
        <w:rPr>
          <w:rFonts w:ascii="Verdana" w:hAnsi="Verdana" w:cs="Tahoma"/>
          <w:sz w:val="24"/>
          <w:szCs w:val="24"/>
          <w:lang w:val="en-GB"/>
        </w:rPr>
        <w:t>group (-3.</w:t>
      </w:r>
      <w:r w:rsidR="0068439C" w:rsidRPr="002353FE">
        <w:rPr>
          <w:rFonts w:ascii="Verdana" w:hAnsi="Verdana" w:cs="Tahoma"/>
          <w:sz w:val="24"/>
          <w:szCs w:val="24"/>
          <w:lang w:val="en-GB"/>
        </w:rPr>
        <w:t>3</w:t>
      </w:r>
      <w:r w:rsidR="00A066B9" w:rsidRPr="002353FE">
        <w:rPr>
          <w:rFonts w:ascii="Verdana" w:hAnsi="Verdana" w:cs="Tahoma"/>
          <w:sz w:val="24"/>
          <w:szCs w:val="24"/>
          <w:lang w:val="en-GB"/>
        </w:rPr>
        <w:t>% and -</w:t>
      </w:r>
      <w:r w:rsidR="0068439C" w:rsidRPr="002353FE">
        <w:rPr>
          <w:rFonts w:ascii="Verdana" w:hAnsi="Verdana" w:cs="Tahoma"/>
          <w:sz w:val="24"/>
          <w:szCs w:val="24"/>
          <w:lang w:val="en-GB"/>
        </w:rPr>
        <w:t>3.4</w:t>
      </w:r>
      <w:r w:rsidR="00A066B9" w:rsidRPr="002353FE">
        <w:rPr>
          <w:rFonts w:ascii="Verdana" w:hAnsi="Verdana" w:cs="Tahoma"/>
          <w:sz w:val="24"/>
          <w:szCs w:val="24"/>
          <w:lang w:val="en-GB"/>
        </w:rPr>
        <w:t xml:space="preserve">%, respectively) </w:t>
      </w:r>
      <w:r w:rsidR="00323D53" w:rsidRPr="002353FE">
        <w:rPr>
          <w:rFonts w:ascii="Verdana" w:hAnsi="Verdana" w:cs="Tahoma"/>
          <w:sz w:val="24"/>
          <w:szCs w:val="24"/>
          <w:lang w:val="en-GB"/>
        </w:rPr>
        <w:t xml:space="preserve">also </w:t>
      </w:r>
      <w:r w:rsidR="00A066B9" w:rsidRPr="002353FE">
        <w:rPr>
          <w:rFonts w:ascii="Verdana" w:hAnsi="Verdana" w:cs="Tahoma"/>
          <w:sz w:val="24"/>
          <w:szCs w:val="24"/>
          <w:lang w:val="en-GB"/>
        </w:rPr>
        <w:t>ha</w:t>
      </w:r>
      <w:r w:rsidR="0068439C" w:rsidRPr="002353FE">
        <w:rPr>
          <w:rFonts w:ascii="Verdana" w:hAnsi="Verdana" w:cs="Tahoma"/>
          <w:sz w:val="24"/>
          <w:szCs w:val="24"/>
          <w:lang w:val="en-GB"/>
        </w:rPr>
        <w:t>ve</w:t>
      </w:r>
      <w:r w:rsidR="00A066B9" w:rsidRPr="002353FE">
        <w:rPr>
          <w:rFonts w:ascii="Verdana" w:hAnsi="Verdana" w:cs="Tahoma"/>
          <w:sz w:val="24"/>
          <w:szCs w:val="24"/>
          <w:lang w:val="en-GB"/>
        </w:rPr>
        <w:t xml:space="preserve"> a lower probability of switching than </w:t>
      </w:r>
      <w:r w:rsidR="00323D53" w:rsidRPr="002353FE">
        <w:rPr>
          <w:rFonts w:ascii="Verdana" w:hAnsi="Verdana" w:cs="Tahoma"/>
          <w:sz w:val="24"/>
          <w:szCs w:val="24"/>
          <w:lang w:val="en-GB"/>
        </w:rPr>
        <w:t xml:space="preserve">respondents </w:t>
      </w:r>
      <w:r w:rsidR="00B00B0D" w:rsidRPr="002353FE">
        <w:rPr>
          <w:rFonts w:ascii="Verdana" w:hAnsi="Verdana" w:cs="Tahoma"/>
          <w:sz w:val="24"/>
          <w:szCs w:val="24"/>
          <w:lang w:val="en-GB"/>
        </w:rPr>
        <w:t>between 35 and 44 years old</w:t>
      </w:r>
      <w:r w:rsidR="00A066B9" w:rsidRPr="002353FE">
        <w:rPr>
          <w:rFonts w:ascii="Verdana" w:hAnsi="Verdana" w:cs="Tahoma"/>
          <w:sz w:val="24"/>
          <w:szCs w:val="24"/>
          <w:lang w:val="en-GB"/>
        </w:rPr>
        <w:t>.</w:t>
      </w:r>
      <w:r w:rsidR="00081040" w:rsidRPr="002353FE">
        <w:rPr>
          <w:rFonts w:ascii="Verdana" w:hAnsi="Verdana" w:cs="Tahoma"/>
          <w:sz w:val="24"/>
          <w:szCs w:val="24"/>
          <w:lang w:val="en-GB"/>
        </w:rPr>
        <w:t xml:space="preserve"> </w:t>
      </w:r>
      <w:r w:rsidR="002837F4" w:rsidRPr="002353FE">
        <w:rPr>
          <w:rFonts w:ascii="Verdana" w:hAnsi="Verdana" w:cs="Tahoma"/>
          <w:sz w:val="24"/>
          <w:szCs w:val="24"/>
          <w:lang w:val="en-GB"/>
        </w:rPr>
        <w:t>C</w:t>
      </w:r>
      <w:r w:rsidR="009E1F09" w:rsidRPr="002353FE">
        <w:rPr>
          <w:rFonts w:ascii="Verdana" w:hAnsi="Verdana" w:cs="Tahoma"/>
          <w:sz w:val="24"/>
          <w:szCs w:val="24"/>
          <w:lang w:val="en-GB"/>
        </w:rPr>
        <w:t>onsumers with a basic educational attainment have a lower probability of switch</w:t>
      </w:r>
      <w:r w:rsidR="00C45D4C" w:rsidRPr="002353FE">
        <w:rPr>
          <w:rFonts w:ascii="Verdana" w:hAnsi="Verdana" w:cs="Tahoma"/>
          <w:sz w:val="24"/>
          <w:szCs w:val="24"/>
          <w:lang w:val="en-GB"/>
        </w:rPr>
        <w:t xml:space="preserve">ing </w:t>
      </w:r>
      <w:r w:rsidR="009E1F09" w:rsidRPr="002353FE">
        <w:rPr>
          <w:rFonts w:ascii="Verdana" w:hAnsi="Verdana" w:cs="Tahoma"/>
          <w:sz w:val="24"/>
          <w:szCs w:val="24"/>
          <w:lang w:val="en-GB"/>
        </w:rPr>
        <w:t>bank account than those with</w:t>
      </w:r>
      <w:r w:rsidR="00323D53" w:rsidRPr="002353FE">
        <w:rPr>
          <w:rFonts w:ascii="Verdana" w:hAnsi="Verdana" w:cs="Tahoma"/>
          <w:sz w:val="24"/>
          <w:szCs w:val="24"/>
          <w:lang w:val="en-GB"/>
        </w:rPr>
        <w:t xml:space="preserve"> </w:t>
      </w:r>
      <w:r w:rsidR="00C45D4C" w:rsidRPr="002353FE">
        <w:rPr>
          <w:rFonts w:ascii="Verdana" w:hAnsi="Verdana" w:cs="Tahoma"/>
          <w:sz w:val="24"/>
          <w:szCs w:val="24"/>
          <w:lang w:val="en-GB"/>
        </w:rPr>
        <w:t xml:space="preserve">more </w:t>
      </w:r>
      <w:r w:rsidR="009E1F09" w:rsidRPr="002353FE">
        <w:rPr>
          <w:rFonts w:ascii="Verdana" w:hAnsi="Verdana" w:cs="Tahoma"/>
          <w:sz w:val="24"/>
          <w:szCs w:val="24"/>
          <w:lang w:val="en-GB"/>
        </w:rPr>
        <w:t>education</w:t>
      </w:r>
      <w:r w:rsidR="00E45B6E" w:rsidRPr="002353FE">
        <w:rPr>
          <w:rFonts w:ascii="Verdana" w:hAnsi="Verdana" w:cs="Tahoma"/>
          <w:sz w:val="24"/>
          <w:szCs w:val="24"/>
          <w:lang w:val="en-GB"/>
        </w:rPr>
        <w:t xml:space="preserve"> (reference category)</w:t>
      </w:r>
      <w:r w:rsidR="009E1F09" w:rsidRPr="002353FE">
        <w:rPr>
          <w:rFonts w:ascii="Verdana" w:hAnsi="Verdana" w:cs="Tahoma"/>
          <w:sz w:val="24"/>
          <w:szCs w:val="24"/>
          <w:lang w:val="en-GB"/>
        </w:rPr>
        <w:t xml:space="preserve">. This is observed </w:t>
      </w:r>
      <w:r w:rsidR="005A15EE" w:rsidRPr="002353FE">
        <w:rPr>
          <w:rFonts w:ascii="Verdana" w:hAnsi="Verdana" w:cs="Tahoma"/>
          <w:sz w:val="24"/>
          <w:szCs w:val="24"/>
          <w:lang w:val="en-GB"/>
        </w:rPr>
        <w:t xml:space="preserve">within </w:t>
      </w:r>
      <w:r w:rsidR="00073736" w:rsidRPr="002353FE">
        <w:rPr>
          <w:rFonts w:ascii="Verdana" w:hAnsi="Verdana" w:cs="Tahoma"/>
          <w:sz w:val="24"/>
          <w:szCs w:val="24"/>
          <w:lang w:val="en-GB"/>
        </w:rPr>
        <w:t xml:space="preserve">model 1 (-2%) and </w:t>
      </w:r>
      <w:r w:rsidR="009E1F09" w:rsidRPr="002353FE">
        <w:rPr>
          <w:rFonts w:ascii="Verdana" w:hAnsi="Verdana" w:cs="Tahoma"/>
          <w:sz w:val="24"/>
          <w:szCs w:val="24"/>
          <w:lang w:val="en-GB"/>
        </w:rPr>
        <w:t>model</w:t>
      </w:r>
      <w:r w:rsidR="00C53941" w:rsidRPr="002353FE">
        <w:rPr>
          <w:rFonts w:ascii="Verdana" w:hAnsi="Verdana" w:cs="Tahoma"/>
          <w:sz w:val="24"/>
          <w:szCs w:val="24"/>
          <w:lang w:val="en-GB"/>
        </w:rPr>
        <w:t xml:space="preserve"> 2</w:t>
      </w:r>
      <w:r w:rsidR="009E1F09" w:rsidRPr="002353FE">
        <w:rPr>
          <w:rFonts w:ascii="Verdana" w:hAnsi="Verdana" w:cs="Tahoma"/>
          <w:sz w:val="24"/>
          <w:szCs w:val="24"/>
          <w:lang w:val="en-GB"/>
        </w:rPr>
        <w:t xml:space="preserve"> (-2</w:t>
      </w:r>
      <w:r w:rsidR="00C53941" w:rsidRPr="002353FE">
        <w:rPr>
          <w:rFonts w:ascii="Verdana" w:hAnsi="Verdana" w:cs="Tahoma"/>
          <w:sz w:val="24"/>
          <w:szCs w:val="24"/>
          <w:lang w:val="en-GB"/>
        </w:rPr>
        <w:t>.</w:t>
      </w:r>
      <w:r w:rsidR="00257EFF" w:rsidRPr="002353FE">
        <w:rPr>
          <w:rFonts w:ascii="Verdana" w:hAnsi="Verdana" w:cs="Tahoma"/>
          <w:sz w:val="24"/>
          <w:szCs w:val="24"/>
          <w:lang w:val="en-GB"/>
        </w:rPr>
        <w:t>3</w:t>
      </w:r>
      <w:r w:rsidR="009E1F09" w:rsidRPr="002353FE">
        <w:rPr>
          <w:rFonts w:ascii="Verdana" w:hAnsi="Verdana" w:cs="Tahoma"/>
          <w:sz w:val="24"/>
          <w:szCs w:val="24"/>
          <w:lang w:val="en-GB"/>
        </w:rPr>
        <w:t>%)</w:t>
      </w:r>
      <w:r w:rsidR="00C53941" w:rsidRPr="002353FE">
        <w:rPr>
          <w:rFonts w:ascii="Verdana" w:hAnsi="Verdana" w:cs="Tahoma"/>
          <w:sz w:val="24"/>
          <w:szCs w:val="24"/>
          <w:lang w:val="en-GB"/>
        </w:rPr>
        <w:t xml:space="preserve">. </w:t>
      </w:r>
      <w:r w:rsidR="00EE1EFF" w:rsidRPr="002353FE">
        <w:rPr>
          <w:rFonts w:ascii="Verdana" w:hAnsi="Verdana" w:cs="Tahoma"/>
          <w:sz w:val="24"/>
          <w:szCs w:val="24"/>
          <w:lang w:val="en-GB"/>
        </w:rPr>
        <w:t>T</w:t>
      </w:r>
      <w:r w:rsidR="009E1F09" w:rsidRPr="002353FE">
        <w:rPr>
          <w:rFonts w:ascii="Verdana" w:hAnsi="Verdana" w:cs="Tahoma"/>
          <w:sz w:val="24"/>
          <w:szCs w:val="24"/>
          <w:lang w:val="en-GB"/>
        </w:rPr>
        <w:t xml:space="preserve">he probability of switching is </w:t>
      </w:r>
      <w:r w:rsidR="00EE1EFF" w:rsidRPr="002353FE">
        <w:rPr>
          <w:rFonts w:ascii="Verdana" w:hAnsi="Verdana" w:cs="Tahoma"/>
          <w:sz w:val="24"/>
          <w:szCs w:val="24"/>
          <w:lang w:val="en-GB"/>
        </w:rPr>
        <w:t xml:space="preserve">also </w:t>
      </w:r>
      <w:r w:rsidR="009E1F09" w:rsidRPr="002353FE">
        <w:rPr>
          <w:rFonts w:ascii="Verdana" w:hAnsi="Verdana" w:cs="Tahoma"/>
          <w:sz w:val="24"/>
          <w:szCs w:val="24"/>
          <w:lang w:val="en-GB"/>
        </w:rPr>
        <w:t xml:space="preserve">lower among those with secondary education </w:t>
      </w:r>
      <w:r w:rsidR="002837F4" w:rsidRPr="002353FE">
        <w:rPr>
          <w:rFonts w:ascii="Verdana" w:hAnsi="Verdana" w:cs="Tahoma"/>
          <w:sz w:val="24"/>
          <w:szCs w:val="24"/>
          <w:lang w:val="en-GB"/>
        </w:rPr>
        <w:t xml:space="preserve">relative to </w:t>
      </w:r>
      <w:r w:rsidR="009E1F09" w:rsidRPr="002353FE">
        <w:rPr>
          <w:rFonts w:ascii="Verdana" w:hAnsi="Verdana" w:cs="Tahoma"/>
          <w:sz w:val="24"/>
          <w:szCs w:val="24"/>
          <w:lang w:val="en-GB"/>
        </w:rPr>
        <w:t>those with higher education</w:t>
      </w:r>
      <w:r w:rsidR="009C3ECC" w:rsidRPr="002353FE">
        <w:rPr>
          <w:rFonts w:ascii="Verdana" w:hAnsi="Verdana" w:cs="Tahoma"/>
          <w:sz w:val="24"/>
          <w:szCs w:val="24"/>
          <w:lang w:val="en-GB"/>
        </w:rPr>
        <w:t xml:space="preserve"> (-2.3% and -2.4%, respectively)</w:t>
      </w:r>
      <w:r w:rsidR="009E1F09" w:rsidRPr="002353FE">
        <w:rPr>
          <w:rFonts w:ascii="Verdana" w:hAnsi="Verdana" w:cs="Tahoma"/>
          <w:sz w:val="24"/>
          <w:szCs w:val="24"/>
          <w:lang w:val="en-GB"/>
        </w:rPr>
        <w:t xml:space="preserve">. Given the average percentage of </w:t>
      </w:r>
      <w:r w:rsidR="007412B0" w:rsidRPr="002353FE">
        <w:rPr>
          <w:rFonts w:ascii="Verdana" w:hAnsi="Verdana" w:cs="Tahoma"/>
          <w:sz w:val="24"/>
          <w:szCs w:val="24"/>
          <w:lang w:val="en-GB"/>
        </w:rPr>
        <w:t xml:space="preserve">bank </w:t>
      </w:r>
      <w:r w:rsidR="009E1F09" w:rsidRPr="002353FE">
        <w:rPr>
          <w:rFonts w:ascii="Verdana" w:hAnsi="Verdana" w:cs="Tahoma"/>
          <w:sz w:val="24"/>
          <w:szCs w:val="24"/>
          <w:lang w:val="en-GB"/>
        </w:rPr>
        <w:t>switching (8.</w:t>
      </w:r>
      <w:r w:rsidR="00257EFF" w:rsidRPr="002353FE">
        <w:rPr>
          <w:rFonts w:ascii="Verdana" w:hAnsi="Verdana" w:cs="Tahoma"/>
          <w:sz w:val="24"/>
          <w:szCs w:val="24"/>
          <w:lang w:val="en-GB"/>
        </w:rPr>
        <w:t>21</w:t>
      </w:r>
      <w:r w:rsidR="009E1F09" w:rsidRPr="002353FE">
        <w:rPr>
          <w:rFonts w:ascii="Verdana" w:hAnsi="Verdana" w:cs="Tahoma"/>
          <w:sz w:val="24"/>
          <w:szCs w:val="24"/>
          <w:lang w:val="en-GB"/>
        </w:rPr>
        <w:t xml:space="preserve">%) the magnitude of the effects estimated with respect to </w:t>
      </w:r>
      <w:r w:rsidR="005B78FE" w:rsidRPr="002353FE">
        <w:rPr>
          <w:rFonts w:ascii="Verdana" w:hAnsi="Verdana" w:cs="Tahoma"/>
          <w:sz w:val="24"/>
          <w:szCs w:val="24"/>
          <w:lang w:val="en-GB"/>
        </w:rPr>
        <w:t xml:space="preserve">age and </w:t>
      </w:r>
      <w:r w:rsidR="009E1F09" w:rsidRPr="002353FE">
        <w:rPr>
          <w:rFonts w:ascii="Verdana" w:hAnsi="Verdana" w:cs="Tahoma"/>
          <w:sz w:val="24"/>
          <w:szCs w:val="24"/>
          <w:lang w:val="en-GB"/>
        </w:rPr>
        <w:t>educational attainment</w:t>
      </w:r>
      <w:r w:rsidR="00E45B6E" w:rsidRPr="002353FE">
        <w:rPr>
          <w:rFonts w:ascii="Verdana" w:hAnsi="Verdana" w:cs="Tahoma"/>
          <w:sz w:val="24"/>
          <w:szCs w:val="24"/>
          <w:lang w:val="en-GB"/>
        </w:rPr>
        <w:t xml:space="preserve"> </w:t>
      </w:r>
      <w:r w:rsidR="009E1F09" w:rsidRPr="002353FE">
        <w:rPr>
          <w:rFonts w:ascii="Verdana" w:hAnsi="Verdana" w:cs="Tahoma"/>
          <w:sz w:val="24"/>
          <w:szCs w:val="24"/>
          <w:lang w:val="en-GB"/>
        </w:rPr>
        <w:t xml:space="preserve">is </w:t>
      </w:r>
      <w:r w:rsidR="002A7855" w:rsidRPr="002353FE">
        <w:rPr>
          <w:rFonts w:ascii="Verdana" w:hAnsi="Verdana" w:cs="Tahoma"/>
          <w:sz w:val="24"/>
          <w:szCs w:val="24"/>
          <w:lang w:val="en-GB"/>
        </w:rPr>
        <w:t>sizable</w:t>
      </w:r>
      <w:r w:rsidR="009E1F09" w:rsidRPr="002353FE">
        <w:rPr>
          <w:rFonts w:ascii="Verdana" w:hAnsi="Verdana" w:cs="Tahoma"/>
          <w:sz w:val="24"/>
          <w:szCs w:val="24"/>
          <w:lang w:val="en-GB"/>
        </w:rPr>
        <w:t>.</w:t>
      </w:r>
      <w:r w:rsidR="00EE1EFF" w:rsidRPr="002353FE">
        <w:rPr>
          <w:rFonts w:ascii="Verdana" w:hAnsi="Verdana" w:cs="Tahoma"/>
          <w:sz w:val="24"/>
          <w:szCs w:val="24"/>
          <w:lang w:val="en-GB"/>
        </w:rPr>
        <w:t xml:space="preserve"> </w:t>
      </w:r>
    </w:p>
    <w:p w14:paraId="60BF8319" w14:textId="74C66689" w:rsidR="009E1F09" w:rsidRPr="002353FE" w:rsidRDefault="00B93240" w:rsidP="00816232">
      <w:pPr>
        <w:pStyle w:val="ListParagraph"/>
        <w:spacing w:before="120" w:after="120" w:line="480" w:lineRule="auto"/>
        <w:ind w:left="0"/>
        <w:contextualSpacing w:val="0"/>
        <w:jc w:val="both"/>
        <w:rPr>
          <w:rFonts w:ascii="Verdana" w:hAnsi="Verdana" w:cs="Tahoma"/>
          <w:sz w:val="24"/>
          <w:szCs w:val="24"/>
          <w:lang w:val="en-GB"/>
        </w:rPr>
      </w:pPr>
      <w:r w:rsidRPr="002353FE">
        <w:rPr>
          <w:rFonts w:ascii="Verdana" w:hAnsi="Verdana" w:cs="Tahoma"/>
          <w:sz w:val="24"/>
          <w:szCs w:val="24"/>
          <w:lang w:val="en-GB"/>
        </w:rPr>
        <w:t>For</w:t>
      </w:r>
      <w:r w:rsidR="009E1F09" w:rsidRPr="002353FE">
        <w:rPr>
          <w:rFonts w:ascii="Verdana" w:hAnsi="Verdana" w:cs="Tahoma"/>
          <w:sz w:val="24"/>
          <w:szCs w:val="24"/>
          <w:lang w:val="en-GB"/>
        </w:rPr>
        <w:t xml:space="preserve"> </w:t>
      </w:r>
      <w:r w:rsidR="002E7532" w:rsidRPr="002353FE">
        <w:rPr>
          <w:rFonts w:ascii="Verdana" w:hAnsi="Verdana" w:cs="Tahoma"/>
          <w:sz w:val="24"/>
          <w:szCs w:val="24"/>
          <w:lang w:val="en-GB"/>
        </w:rPr>
        <w:t>other</w:t>
      </w:r>
      <w:r w:rsidR="009E1F09" w:rsidRPr="002353FE">
        <w:rPr>
          <w:rFonts w:ascii="Verdana" w:hAnsi="Verdana" w:cs="Tahoma"/>
          <w:sz w:val="24"/>
          <w:szCs w:val="24"/>
          <w:lang w:val="en-GB"/>
        </w:rPr>
        <w:t xml:space="preserve"> </w:t>
      </w:r>
      <w:r w:rsidR="002E7532" w:rsidRPr="002353FE">
        <w:rPr>
          <w:rFonts w:ascii="Verdana" w:hAnsi="Verdana" w:cs="Tahoma"/>
          <w:sz w:val="24"/>
          <w:szCs w:val="24"/>
          <w:lang w:val="en-GB"/>
        </w:rPr>
        <w:t>individual characteristics</w:t>
      </w:r>
      <w:r w:rsidR="009E1F09" w:rsidRPr="002353FE">
        <w:rPr>
          <w:rFonts w:ascii="Verdana" w:hAnsi="Verdana" w:cs="Tahoma"/>
          <w:sz w:val="24"/>
          <w:szCs w:val="24"/>
          <w:lang w:val="en-GB"/>
        </w:rPr>
        <w:t>, non-nationals have a higher probability of switch</w:t>
      </w:r>
      <w:r w:rsidR="00AD2B51" w:rsidRPr="002353FE">
        <w:rPr>
          <w:rFonts w:ascii="Verdana" w:hAnsi="Verdana" w:cs="Tahoma"/>
          <w:sz w:val="24"/>
          <w:szCs w:val="24"/>
          <w:lang w:val="en-GB"/>
        </w:rPr>
        <w:t>ing</w:t>
      </w:r>
      <w:r w:rsidR="009E1F09" w:rsidRPr="002353FE">
        <w:rPr>
          <w:rFonts w:ascii="Verdana" w:hAnsi="Verdana" w:cs="Tahoma"/>
          <w:sz w:val="24"/>
          <w:szCs w:val="24"/>
          <w:lang w:val="en-GB"/>
        </w:rPr>
        <w:t xml:space="preserve"> their bank account than nationals</w:t>
      </w:r>
      <w:r w:rsidR="00257EFF" w:rsidRPr="002353FE">
        <w:rPr>
          <w:rFonts w:ascii="Verdana" w:hAnsi="Verdana" w:cs="Tahoma"/>
          <w:sz w:val="24"/>
          <w:szCs w:val="24"/>
          <w:lang w:val="en-GB"/>
        </w:rPr>
        <w:t xml:space="preserve"> (+2.1% in both model</w:t>
      </w:r>
      <w:r w:rsidR="00EE1EFF" w:rsidRPr="002353FE">
        <w:rPr>
          <w:rFonts w:ascii="Verdana" w:hAnsi="Verdana" w:cs="Tahoma"/>
          <w:sz w:val="24"/>
          <w:szCs w:val="24"/>
          <w:lang w:val="en-GB"/>
        </w:rPr>
        <w:t>s</w:t>
      </w:r>
      <w:r w:rsidR="00257EFF" w:rsidRPr="002353FE">
        <w:rPr>
          <w:rFonts w:ascii="Verdana" w:hAnsi="Verdana" w:cs="Tahoma"/>
          <w:sz w:val="24"/>
          <w:szCs w:val="24"/>
          <w:lang w:val="en-GB"/>
        </w:rPr>
        <w:t xml:space="preserve"> 1 </w:t>
      </w:r>
      <w:r w:rsidR="00257EFF" w:rsidRPr="002353FE">
        <w:rPr>
          <w:rFonts w:ascii="Verdana" w:hAnsi="Verdana" w:cs="Tahoma"/>
          <w:sz w:val="24"/>
          <w:szCs w:val="24"/>
          <w:lang w:val="en-GB"/>
        </w:rPr>
        <w:lastRenderedPageBreak/>
        <w:t>and 2)</w:t>
      </w:r>
      <w:r w:rsidR="009E1F09" w:rsidRPr="002353FE">
        <w:rPr>
          <w:rFonts w:ascii="Verdana" w:hAnsi="Verdana" w:cs="Tahoma"/>
          <w:sz w:val="24"/>
          <w:szCs w:val="24"/>
          <w:lang w:val="en-GB"/>
        </w:rPr>
        <w:t xml:space="preserve">. </w:t>
      </w:r>
      <w:r w:rsidR="007412B0" w:rsidRPr="002353FE">
        <w:rPr>
          <w:rFonts w:ascii="Verdana" w:hAnsi="Verdana" w:cs="Tahoma"/>
          <w:sz w:val="24"/>
          <w:szCs w:val="24"/>
          <w:lang w:val="en-GB"/>
        </w:rPr>
        <w:t xml:space="preserve">This is consistent with Carbó-Valverde </w:t>
      </w:r>
      <w:r w:rsidR="007412B0" w:rsidRPr="002353FE">
        <w:rPr>
          <w:rFonts w:ascii="Verdana" w:hAnsi="Verdana" w:cs="Tahoma"/>
          <w:i/>
          <w:iCs/>
          <w:sz w:val="24"/>
          <w:szCs w:val="24"/>
          <w:lang w:val="en-GB"/>
        </w:rPr>
        <w:t>et al</w:t>
      </w:r>
      <w:r w:rsidR="007F7EED" w:rsidRPr="002353FE">
        <w:rPr>
          <w:rFonts w:ascii="Verdana" w:hAnsi="Verdana" w:cs="Tahoma"/>
          <w:sz w:val="24"/>
          <w:szCs w:val="24"/>
          <w:lang w:val="en-GB"/>
        </w:rPr>
        <w:t>.</w:t>
      </w:r>
      <w:r w:rsidR="007412B0" w:rsidRPr="002353FE">
        <w:rPr>
          <w:rFonts w:ascii="Verdana" w:hAnsi="Verdana" w:cs="Tahoma"/>
          <w:sz w:val="24"/>
          <w:szCs w:val="24"/>
          <w:lang w:val="en-GB"/>
        </w:rPr>
        <w:t xml:space="preserve"> (2011), who find that im</w:t>
      </w:r>
      <w:r w:rsidR="00816232" w:rsidRPr="002353FE">
        <w:rPr>
          <w:rFonts w:ascii="Verdana" w:hAnsi="Verdana" w:cs="Tahoma"/>
          <w:sz w:val="24"/>
          <w:szCs w:val="24"/>
          <w:lang w:val="en-GB"/>
        </w:rPr>
        <w:t>m</w:t>
      </w:r>
      <w:r w:rsidR="007412B0" w:rsidRPr="002353FE">
        <w:rPr>
          <w:rFonts w:ascii="Verdana" w:hAnsi="Verdana" w:cs="Tahoma"/>
          <w:sz w:val="24"/>
          <w:szCs w:val="24"/>
          <w:lang w:val="en-GB"/>
        </w:rPr>
        <w:t xml:space="preserve">igrants face lower switching costs. </w:t>
      </w:r>
      <w:r w:rsidR="001C7DA3" w:rsidRPr="002353FE">
        <w:rPr>
          <w:rFonts w:ascii="Verdana" w:hAnsi="Verdana" w:cs="Tahoma"/>
          <w:sz w:val="24"/>
          <w:szCs w:val="24"/>
          <w:lang w:val="en-GB"/>
        </w:rPr>
        <w:t>T</w:t>
      </w:r>
      <w:r w:rsidR="009E1F09" w:rsidRPr="002353FE">
        <w:rPr>
          <w:rFonts w:ascii="Verdana" w:hAnsi="Verdana" w:cs="Tahoma"/>
          <w:sz w:val="24"/>
          <w:szCs w:val="24"/>
          <w:lang w:val="en-GB"/>
        </w:rPr>
        <w:t>hose owning their house are associated with a lower probability of switching</w:t>
      </w:r>
      <w:r w:rsidR="00AD30A6" w:rsidRPr="002353FE">
        <w:rPr>
          <w:rFonts w:ascii="Verdana" w:hAnsi="Verdana" w:cs="Tahoma"/>
          <w:sz w:val="24"/>
          <w:szCs w:val="24"/>
          <w:lang w:val="en-GB"/>
        </w:rPr>
        <w:t xml:space="preserve"> (-2.9% and -2.7%, respectively)</w:t>
      </w:r>
      <w:r w:rsidR="009E1F09" w:rsidRPr="002353FE">
        <w:rPr>
          <w:rFonts w:ascii="Verdana" w:hAnsi="Verdana" w:cs="Tahoma"/>
          <w:sz w:val="24"/>
          <w:szCs w:val="24"/>
          <w:lang w:val="en-GB"/>
        </w:rPr>
        <w:t>, p</w:t>
      </w:r>
      <w:r w:rsidR="00AA78BA" w:rsidRPr="002353FE">
        <w:rPr>
          <w:rFonts w:ascii="Verdana" w:hAnsi="Verdana" w:cs="Tahoma"/>
          <w:sz w:val="24"/>
          <w:szCs w:val="24"/>
          <w:lang w:val="en-GB"/>
        </w:rPr>
        <w:t>ossibly</w:t>
      </w:r>
      <w:r w:rsidR="009E1F09" w:rsidRPr="002353FE">
        <w:rPr>
          <w:rFonts w:ascii="Verdana" w:hAnsi="Verdana" w:cs="Tahoma"/>
          <w:sz w:val="24"/>
          <w:szCs w:val="24"/>
          <w:lang w:val="en-GB"/>
        </w:rPr>
        <w:t xml:space="preserve"> because their </w:t>
      </w:r>
      <w:r w:rsidR="001C7DA3" w:rsidRPr="002353FE">
        <w:rPr>
          <w:rFonts w:ascii="Verdana" w:hAnsi="Verdana" w:cs="Tahoma"/>
          <w:sz w:val="24"/>
          <w:szCs w:val="24"/>
          <w:lang w:val="en-GB"/>
        </w:rPr>
        <w:t>financial needs are less pressing</w:t>
      </w:r>
      <w:r w:rsidR="009E1F09" w:rsidRPr="002353FE">
        <w:rPr>
          <w:rFonts w:ascii="Verdana" w:hAnsi="Verdana" w:cs="Tahoma"/>
          <w:sz w:val="24"/>
          <w:szCs w:val="24"/>
          <w:lang w:val="en-GB"/>
        </w:rPr>
        <w:t xml:space="preserve">. </w:t>
      </w:r>
      <w:r w:rsidR="005B78FE" w:rsidRPr="002353FE">
        <w:rPr>
          <w:rFonts w:ascii="Verdana" w:hAnsi="Verdana" w:cs="Tahoma"/>
          <w:sz w:val="24"/>
          <w:szCs w:val="24"/>
          <w:lang w:val="en-GB"/>
        </w:rPr>
        <w:t>Other</w:t>
      </w:r>
      <w:r w:rsidR="009E1F09" w:rsidRPr="002353FE">
        <w:rPr>
          <w:rFonts w:ascii="Verdana" w:hAnsi="Verdana" w:cs="Tahoma"/>
          <w:sz w:val="24"/>
          <w:szCs w:val="24"/>
          <w:lang w:val="en-GB"/>
        </w:rPr>
        <w:t xml:space="preserve"> individual </w:t>
      </w:r>
      <w:r w:rsidR="002E7532" w:rsidRPr="002353FE">
        <w:rPr>
          <w:rFonts w:ascii="Verdana" w:hAnsi="Verdana" w:cs="Tahoma"/>
          <w:sz w:val="24"/>
          <w:szCs w:val="24"/>
          <w:lang w:val="en-GB"/>
        </w:rPr>
        <w:t>characteristics</w:t>
      </w:r>
      <w:r w:rsidR="009E1F09" w:rsidRPr="002353FE">
        <w:rPr>
          <w:rFonts w:ascii="Verdana" w:hAnsi="Verdana" w:cs="Tahoma"/>
          <w:sz w:val="24"/>
          <w:szCs w:val="24"/>
          <w:lang w:val="en-GB"/>
        </w:rPr>
        <w:t xml:space="preserve"> </w:t>
      </w:r>
      <w:r w:rsidR="001C7DA3" w:rsidRPr="002353FE">
        <w:rPr>
          <w:rFonts w:ascii="Verdana" w:hAnsi="Verdana" w:cs="Tahoma"/>
          <w:sz w:val="24"/>
          <w:szCs w:val="24"/>
          <w:lang w:val="en-GB"/>
        </w:rPr>
        <w:t xml:space="preserve">do not display </w:t>
      </w:r>
      <w:r w:rsidR="009E1F09" w:rsidRPr="002353FE">
        <w:rPr>
          <w:rFonts w:ascii="Verdana" w:hAnsi="Verdana" w:cs="Tahoma"/>
          <w:sz w:val="24"/>
          <w:szCs w:val="24"/>
          <w:lang w:val="en-GB"/>
        </w:rPr>
        <w:t>significant effects.</w:t>
      </w:r>
    </w:p>
    <w:p w14:paraId="2D90D758" w14:textId="2EFE7185" w:rsidR="002F6180" w:rsidRPr="002353FE" w:rsidRDefault="002837F4" w:rsidP="00816232">
      <w:pPr>
        <w:pStyle w:val="ListParagraph"/>
        <w:spacing w:before="120" w:after="120" w:line="480" w:lineRule="auto"/>
        <w:ind w:left="0"/>
        <w:contextualSpacing w:val="0"/>
        <w:jc w:val="both"/>
        <w:rPr>
          <w:rFonts w:ascii="Verdana" w:hAnsi="Verdana" w:cs="Tahoma"/>
          <w:sz w:val="24"/>
          <w:szCs w:val="24"/>
          <w:lang w:val="en-GB"/>
        </w:rPr>
      </w:pPr>
      <w:r w:rsidRPr="002353FE">
        <w:rPr>
          <w:rFonts w:ascii="Verdana" w:hAnsi="Verdana" w:cs="Tahoma"/>
          <w:sz w:val="24"/>
          <w:szCs w:val="24"/>
          <w:lang w:val="en-GB"/>
        </w:rPr>
        <w:t>Re</w:t>
      </w:r>
      <w:r w:rsidR="00B00B0D" w:rsidRPr="002353FE">
        <w:rPr>
          <w:rFonts w:ascii="Verdana" w:hAnsi="Verdana" w:cs="Tahoma"/>
          <w:sz w:val="24"/>
          <w:szCs w:val="24"/>
          <w:lang w:val="en-GB"/>
        </w:rPr>
        <w:t>spondents</w:t>
      </w:r>
      <w:r w:rsidR="00A066B9" w:rsidRPr="002353FE">
        <w:rPr>
          <w:rFonts w:ascii="Verdana" w:hAnsi="Verdana" w:cs="Tahoma"/>
          <w:sz w:val="24"/>
          <w:szCs w:val="24"/>
          <w:lang w:val="en-GB"/>
        </w:rPr>
        <w:t xml:space="preserve"> living in rural areas </w:t>
      </w:r>
      <w:r w:rsidR="00AD30A6" w:rsidRPr="002353FE">
        <w:rPr>
          <w:rFonts w:ascii="Verdana" w:hAnsi="Verdana" w:cs="Tahoma"/>
          <w:sz w:val="24"/>
          <w:szCs w:val="24"/>
          <w:lang w:val="en-GB"/>
        </w:rPr>
        <w:t xml:space="preserve">and towns </w:t>
      </w:r>
      <w:r w:rsidR="00AA78BA" w:rsidRPr="002353FE">
        <w:rPr>
          <w:rFonts w:ascii="Verdana" w:hAnsi="Verdana" w:cs="Tahoma"/>
          <w:sz w:val="24"/>
          <w:szCs w:val="24"/>
          <w:lang w:val="en-GB"/>
        </w:rPr>
        <w:t xml:space="preserve">do not show a lower probability of switching </w:t>
      </w:r>
      <w:r w:rsidR="00A066B9" w:rsidRPr="002353FE">
        <w:rPr>
          <w:rFonts w:ascii="Verdana" w:hAnsi="Verdana" w:cs="Tahoma"/>
          <w:sz w:val="24"/>
          <w:szCs w:val="24"/>
          <w:lang w:val="en-GB"/>
        </w:rPr>
        <w:t xml:space="preserve">than </w:t>
      </w:r>
      <w:r w:rsidR="00B00B0D" w:rsidRPr="002353FE">
        <w:rPr>
          <w:rFonts w:ascii="Verdana" w:hAnsi="Verdana" w:cs="Tahoma"/>
          <w:sz w:val="24"/>
          <w:szCs w:val="24"/>
          <w:lang w:val="en-GB"/>
        </w:rPr>
        <w:t xml:space="preserve">respondents </w:t>
      </w:r>
      <w:r w:rsidR="00A066B9" w:rsidRPr="002353FE">
        <w:rPr>
          <w:rFonts w:ascii="Verdana" w:hAnsi="Verdana" w:cs="Tahoma"/>
          <w:sz w:val="24"/>
          <w:szCs w:val="24"/>
          <w:lang w:val="en-GB"/>
        </w:rPr>
        <w:t>living in cities</w:t>
      </w:r>
      <w:r w:rsidR="00504D38" w:rsidRPr="002353FE">
        <w:rPr>
          <w:rFonts w:ascii="Verdana" w:hAnsi="Verdana" w:cs="Tahoma"/>
          <w:sz w:val="24"/>
          <w:szCs w:val="24"/>
          <w:lang w:val="en-GB"/>
        </w:rPr>
        <w:t xml:space="preserve"> (reference category)</w:t>
      </w:r>
      <w:r w:rsidR="00B643FA" w:rsidRPr="002353FE">
        <w:rPr>
          <w:rFonts w:ascii="Verdana" w:hAnsi="Verdana" w:cs="Tahoma"/>
          <w:sz w:val="24"/>
          <w:szCs w:val="24"/>
          <w:lang w:val="en-GB"/>
        </w:rPr>
        <w:t xml:space="preserve">, with </w:t>
      </w:r>
      <w:r w:rsidR="00AD30A6" w:rsidRPr="002353FE">
        <w:rPr>
          <w:rFonts w:ascii="Verdana" w:hAnsi="Verdana" w:cs="Tahoma"/>
          <w:sz w:val="24"/>
          <w:szCs w:val="24"/>
          <w:lang w:val="en-GB"/>
        </w:rPr>
        <w:t>p-values rang</w:t>
      </w:r>
      <w:r w:rsidR="00B643FA" w:rsidRPr="002353FE">
        <w:rPr>
          <w:rFonts w:ascii="Verdana" w:hAnsi="Verdana" w:cs="Tahoma"/>
          <w:sz w:val="24"/>
          <w:szCs w:val="24"/>
          <w:lang w:val="en-GB"/>
        </w:rPr>
        <w:t>ing</w:t>
      </w:r>
      <w:r w:rsidR="00AD30A6" w:rsidRPr="002353FE">
        <w:rPr>
          <w:rFonts w:ascii="Verdana" w:hAnsi="Verdana" w:cs="Tahoma"/>
          <w:sz w:val="24"/>
          <w:szCs w:val="24"/>
          <w:lang w:val="en-GB"/>
        </w:rPr>
        <w:t xml:space="preserve"> from 0.19 to 0.22 for rural residents and from 0</w:t>
      </w:r>
      <w:r w:rsidR="00EE1EFF" w:rsidRPr="002353FE">
        <w:rPr>
          <w:rFonts w:ascii="Verdana" w:hAnsi="Verdana" w:cs="Tahoma"/>
          <w:sz w:val="24"/>
          <w:szCs w:val="24"/>
          <w:lang w:val="en-GB"/>
        </w:rPr>
        <w:t>.11 to 0.17 for town residents</w:t>
      </w:r>
      <w:r w:rsidR="00AD30A6" w:rsidRPr="002353FE">
        <w:rPr>
          <w:rFonts w:ascii="Verdana" w:hAnsi="Verdana" w:cs="Tahoma"/>
          <w:sz w:val="24"/>
          <w:szCs w:val="24"/>
          <w:lang w:val="en-GB"/>
        </w:rPr>
        <w:t>.</w:t>
      </w:r>
      <w:r w:rsidR="002F1AF7" w:rsidRPr="002353FE">
        <w:rPr>
          <w:rFonts w:ascii="Verdana" w:hAnsi="Verdana" w:cs="Tahoma"/>
          <w:sz w:val="24"/>
          <w:szCs w:val="24"/>
          <w:lang w:val="en-GB"/>
        </w:rPr>
        <w:t xml:space="preserve"> </w:t>
      </w:r>
      <w:r w:rsidR="0050569D" w:rsidRPr="002353FE">
        <w:rPr>
          <w:rFonts w:ascii="Verdana" w:hAnsi="Verdana" w:cs="Tahoma"/>
          <w:sz w:val="24"/>
          <w:szCs w:val="24"/>
          <w:lang w:val="en-GB"/>
        </w:rPr>
        <w:t>However</w:t>
      </w:r>
      <w:r w:rsidR="00F93165" w:rsidRPr="002353FE">
        <w:rPr>
          <w:rFonts w:ascii="Verdana" w:hAnsi="Verdana" w:cs="Tahoma"/>
          <w:sz w:val="24"/>
          <w:szCs w:val="24"/>
          <w:lang w:val="en-GB"/>
        </w:rPr>
        <w:t xml:space="preserve">, respondents living in </w:t>
      </w:r>
      <w:r w:rsidR="00AB1003" w:rsidRPr="002353FE">
        <w:rPr>
          <w:rFonts w:ascii="Verdana" w:hAnsi="Verdana" w:cs="Tahoma"/>
          <w:sz w:val="24"/>
          <w:szCs w:val="24"/>
          <w:lang w:val="en-GB"/>
        </w:rPr>
        <w:t>regions</w:t>
      </w:r>
      <w:r w:rsidR="00F93165" w:rsidRPr="002353FE">
        <w:rPr>
          <w:rFonts w:ascii="Verdana" w:hAnsi="Verdana" w:cs="Tahoma"/>
          <w:sz w:val="24"/>
          <w:szCs w:val="24"/>
          <w:lang w:val="en-GB"/>
        </w:rPr>
        <w:t xml:space="preserve"> of population density of between 50 and 75 and between 100 and 200 (only in model 2) inhabitants per square kilometre have a lower likelihood of switching banks account than residents in </w:t>
      </w:r>
      <w:r w:rsidR="0086717E" w:rsidRPr="002353FE">
        <w:rPr>
          <w:rFonts w:ascii="Verdana" w:hAnsi="Verdana" w:cs="Tahoma"/>
          <w:sz w:val="24"/>
          <w:szCs w:val="24"/>
          <w:lang w:val="en-GB"/>
        </w:rPr>
        <w:t>regions with more than 500 inhabitants per square kilometre</w:t>
      </w:r>
      <w:r w:rsidR="00296367" w:rsidRPr="002353FE">
        <w:rPr>
          <w:rFonts w:ascii="Verdana" w:hAnsi="Verdana" w:cs="Tahoma"/>
          <w:sz w:val="24"/>
          <w:szCs w:val="24"/>
          <w:lang w:val="en-GB"/>
        </w:rPr>
        <w:t xml:space="preserve"> (reference category)</w:t>
      </w:r>
      <w:r w:rsidR="0044537F" w:rsidRPr="002353FE">
        <w:rPr>
          <w:rFonts w:ascii="Verdana" w:hAnsi="Verdana" w:cs="Tahoma"/>
          <w:sz w:val="24"/>
          <w:szCs w:val="24"/>
          <w:lang w:val="en-GB"/>
        </w:rPr>
        <w:t>.</w:t>
      </w:r>
    </w:p>
    <w:p w14:paraId="3DB1E638" w14:textId="63A6AE14" w:rsidR="009F3B8D" w:rsidRPr="002353FE" w:rsidRDefault="009F3B8D" w:rsidP="00816232">
      <w:pPr>
        <w:pStyle w:val="ListParagraph"/>
        <w:spacing w:before="120" w:after="120" w:line="480" w:lineRule="auto"/>
        <w:ind w:left="0"/>
        <w:contextualSpacing w:val="0"/>
        <w:jc w:val="both"/>
        <w:rPr>
          <w:rFonts w:ascii="Verdana" w:hAnsi="Verdana" w:cs="Tahoma"/>
          <w:sz w:val="24"/>
          <w:szCs w:val="24"/>
          <w:lang w:val="en-GB"/>
        </w:rPr>
      </w:pPr>
      <w:r w:rsidRPr="002353FE">
        <w:rPr>
          <w:rFonts w:ascii="Verdana" w:hAnsi="Verdana" w:cs="Tahoma"/>
          <w:sz w:val="24"/>
          <w:szCs w:val="24"/>
          <w:lang w:val="en-GB"/>
        </w:rPr>
        <w:t xml:space="preserve">For regional GDP per capita, the probability of switching is lower in the poorest regions (&lt;10 thousand euros per inhabitant) </w:t>
      </w:r>
      <w:r w:rsidR="001E7BAC" w:rsidRPr="002353FE">
        <w:rPr>
          <w:rFonts w:ascii="Verdana" w:hAnsi="Verdana" w:cs="Tahoma"/>
          <w:sz w:val="24"/>
          <w:szCs w:val="24"/>
          <w:lang w:val="en-GB"/>
        </w:rPr>
        <w:t>relative to</w:t>
      </w:r>
      <w:r w:rsidRPr="002353FE">
        <w:rPr>
          <w:rFonts w:ascii="Verdana" w:hAnsi="Verdana" w:cs="Tahoma"/>
          <w:sz w:val="24"/>
          <w:szCs w:val="24"/>
          <w:lang w:val="en-GB"/>
        </w:rPr>
        <w:t xml:space="preserve"> the richest (&gt;40 thousand euros per inhabitant)</w:t>
      </w:r>
      <w:r w:rsidR="00296367" w:rsidRPr="002353FE">
        <w:rPr>
          <w:rFonts w:ascii="Verdana" w:hAnsi="Verdana" w:cs="Tahoma"/>
          <w:sz w:val="24"/>
          <w:szCs w:val="24"/>
          <w:lang w:val="en-GB"/>
        </w:rPr>
        <w:t xml:space="preserve"> (reference category)</w:t>
      </w:r>
      <w:r w:rsidRPr="002353FE">
        <w:rPr>
          <w:rFonts w:ascii="Verdana" w:hAnsi="Verdana" w:cs="Tahoma"/>
          <w:sz w:val="24"/>
          <w:szCs w:val="24"/>
          <w:lang w:val="en-GB"/>
        </w:rPr>
        <w:t>. This effect is large</w:t>
      </w:r>
      <w:r w:rsidR="009C3ECC" w:rsidRPr="002353FE">
        <w:rPr>
          <w:rFonts w:ascii="Verdana" w:hAnsi="Verdana" w:cs="Tahoma"/>
          <w:sz w:val="24"/>
          <w:szCs w:val="24"/>
          <w:lang w:val="en-GB"/>
        </w:rPr>
        <w:t>r</w:t>
      </w:r>
      <w:r w:rsidRPr="002353FE">
        <w:rPr>
          <w:rFonts w:ascii="Verdana" w:hAnsi="Verdana" w:cs="Tahoma"/>
          <w:sz w:val="24"/>
          <w:szCs w:val="24"/>
          <w:lang w:val="en-GB"/>
        </w:rPr>
        <w:t xml:space="preserve"> in model </w:t>
      </w:r>
      <w:r w:rsidR="00C53941" w:rsidRPr="002353FE">
        <w:rPr>
          <w:rFonts w:ascii="Verdana" w:hAnsi="Verdana" w:cs="Tahoma"/>
          <w:sz w:val="24"/>
          <w:szCs w:val="24"/>
          <w:lang w:val="en-GB"/>
        </w:rPr>
        <w:t>1</w:t>
      </w:r>
      <w:r w:rsidRPr="002353FE">
        <w:rPr>
          <w:rFonts w:ascii="Verdana" w:hAnsi="Verdana" w:cs="Tahoma"/>
          <w:sz w:val="24"/>
          <w:szCs w:val="24"/>
          <w:lang w:val="en-GB"/>
        </w:rPr>
        <w:t xml:space="preserve"> (-</w:t>
      </w:r>
      <w:r w:rsidR="00FE7F11" w:rsidRPr="002353FE">
        <w:rPr>
          <w:rFonts w:ascii="Verdana" w:hAnsi="Verdana" w:cs="Tahoma"/>
          <w:sz w:val="24"/>
          <w:szCs w:val="24"/>
          <w:lang w:val="en-GB"/>
        </w:rPr>
        <w:t>8.</w:t>
      </w:r>
      <w:r w:rsidRPr="002353FE">
        <w:rPr>
          <w:rFonts w:ascii="Verdana" w:hAnsi="Verdana" w:cs="Tahoma"/>
          <w:sz w:val="24"/>
          <w:szCs w:val="24"/>
          <w:lang w:val="en-GB"/>
        </w:rPr>
        <w:t xml:space="preserve">9%) </w:t>
      </w:r>
      <w:r w:rsidR="00FE7F11" w:rsidRPr="002353FE">
        <w:rPr>
          <w:rFonts w:ascii="Verdana" w:hAnsi="Verdana" w:cs="Tahoma"/>
          <w:sz w:val="24"/>
          <w:szCs w:val="24"/>
          <w:lang w:val="en-GB"/>
        </w:rPr>
        <w:t xml:space="preserve">than </w:t>
      </w:r>
      <w:r w:rsidRPr="002353FE">
        <w:rPr>
          <w:rFonts w:ascii="Verdana" w:hAnsi="Verdana" w:cs="Tahoma"/>
          <w:sz w:val="24"/>
          <w:szCs w:val="24"/>
          <w:lang w:val="en-GB"/>
        </w:rPr>
        <w:t xml:space="preserve">in model </w:t>
      </w:r>
      <w:r w:rsidR="00C53941" w:rsidRPr="002353FE">
        <w:rPr>
          <w:rFonts w:ascii="Verdana" w:hAnsi="Verdana" w:cs="Tahoma"/>
          <w:sz w:val="24"/>
          <w:szCs w:val="24"/>
          <w:lang w:val="en-GB"/>
        </w:rPr>
        <w:t>2</w:t>
      </w:r>
      <w:r w:rsidR="00FE7F11" w:rsidRPr="002353FE">
        <w:rPr>
          <w:rFonts w:ascii="Verdana" w:hAnsi="Verdana" w:cs="Tahoma"/>
          <w:sz w:val="24"/>
          <w:szCs w:val="24"/>
          <w:lang w:val="en-GB"/>
        </w:rPr>
        <w:t xml:space="preserve"> (</w:t>
      </w:r>
      <w:r w:rsidR="0050569D" w:rsidRPr="002353FE">
        <w:rPr>
          <w:rFonts w:ascii="Verdana" w:hAnsi="Verdana" w:cs="Tahoma"/>
          <w:sz w:val="24"/>
          <w:szCs w:val="24"/>
          <w:lang w:val="en-GB"/>
        </w:rPr>
        <w:t>-</w:t>
      </w:r>
      <w:r w:rsidR="00FE7F11" w:rsidRPr="002353FE">
        <w:rPr>
          <w:rFonts w:ascii="Verdana" w:hAnsi="Verdana" w:cs="Tahoma"/>
          <w:sz w:val="24"/>
          <w:szCs w:val="24"/>
          <w:lang w:val="en-GB"/>
        </w:rPr>
        <w:t>5.5%)</w:t>
      </w:r>
      <w:r w:rsidR="00C53941" w:rsidRPr="002353FE">
        <w:rPr>
          <w:rFonts w:ascii="Verdana" w:hAnsi="Verdana" w:cs="Tahoma"/>
          <w:sz w:val="24"/>
          <w:szCs w:val="24"/>
          <w:lang w:val="en-GB"/>
        </w:rPr>
        <w:t>. In model 1</w:t>
      </w:r>
      <w:r w:rsidRPr="002353FE">
        <w:rPr>
          <w:rFonts w:ascii="Verdana" w:hAnsi="Verdana" w:cs="Tahoma"/>
          <w:sz w:val="24"/>
          <w:szCs w:val="24"/>
          <w:lang w:val="en-GB"/>
        </w:rPr>
        <w:t xml:space="preserve"> switching is</w:t>
      </w:r>
      <w:r w:rsidR="00F93165" w:rsidRPr="002353FE">
        <w:rPr>
          <w:rFonts w:ascii="Verdana" w:hAnsi="Verdana" w:cs="Tahoma"/>
          <w:sz w:val="24"/>
          <w:szCs w:val="24"/>
          <w:lang w:val="en-GB"/>
        </w:rPr>
        <w:t xml:space="preserve"> also</w:t>
      </w:r>
      <w:r w:rsidRPr="002353FE">
        <w:rPr>
          <w:rFonts w:ascii="Verdana" w:hAnsi="Verdana" w:cs="Tahoma"/>
          <w:sz w:val="24"/>
          <w:szCs w:val="24"/>
          <w:lang w:val="en-GB"/>
        </w:rPr>
        <w:t xml:space="preserve"> lower in regions with GDP per capita between 10 and 20 thousand euros per inhabitant than in the richest regions</w:t>
      </w:r>
      <w:r w:rsidR="00FE7F11" w:rsidRPr="002353FE">
        <w:rPr>
          <w:rFonts w:ascii="Verdana" w:hAnsi="Verdana" w:cs="Tahoma"/>
          <w:sz w:val="24"/>
          <w:szCs w:val="24"/>
          <w:lang w:val="en-GB"/>
        </w:rPr>
        <w:t xml:space="preserve"> (-5%)</w:t>
      </w:r>
      <w:r w:rsidRPr="002353FE">
        <w:rPr>
          <w:rFonts w:ascii="Verdana" w:hAnsi="Verdana" w:cs="Tahoma"/>
          <w:sz w:val="24"/>
          <w:szCs w:val="24"/>
          <w:lang w:val="en-GB"/>
        </w:rPr>
        <w:t xml:space="preserve">. </w:t>
      </w:r>
    </w:p>
    <w:p w14:paraId="2722B9DF" w14:textId="0AAC9396" w:rsidR="0054694D" w:rsidRPr="002353FE" w:rsidRDefault="0054694D" w:rsidP="00816232">
      <w:pPr>
        <w:pStyle w:val="ListParagraph"/>
        <w:spacing w:before="120" w:after="120" w:line="480" w:lineRule="auto"/>
        <w:ind w:left="0"/>
        <w:contextualSpacing w:val="0"/>
        <w:jc w:val="both"/>
        <w:rPr>
          <w:rFonts w:ascii="Verdana" w:hAnsi="Verdana" w:cs="Tahoma"/>
          <w:sz w:val="24"/>
          <w:szCs w:val="24"/>
          <w:lang w:val="en-GB"/>
        </w:rPr>
      </w:pPr>
      <w:r w:rsidRPr="002353FE">
        <w:rPr>
          <w:rFonts w:ascii="Verdana" w:hAnsi="Verdana" w:cs="Tahoma"/>
          <w:sz w:val="24"/>
          <w:szCs w:val="24"/>
          <w:lang w:val="en-GB"/>
        </w:rPr>
        <w:t xml:space="preserve">The </w:t>
      </w:r>
      <w:r w:rsidR="00FE7F11" w:rsidRPr="002353FE">
        <w:rPr>
          <w:rFonts w:ascii="Verdana" w:hAnsi="Verdana" w:cs="Tahoma"/>
          <w:sz w:val="24"/>
          <w:szCs w:val="24"/>
          <w:lang w:val="en-GB"/>
        </w:rPr>
        <w:t>coefficient</w:t>
      </w:r>
      <w:r w:rsidR="0016154D" w:rsidRPr="002353FE">
        <w:rPr>
          <w:rFonts w:ascii="Verdana" w:hAnsi="Verdana" w:cs="Tahoma"/>
          <w:sz w:val="24"/>
          <w:szCs w:val="24"/>
          <w:lang w:val="en-GB"/>
        </w:rPr>
        <w:t xml:space="preserve"> </w:t>
      </w:r>
      <w:r w:rsidR="00FE7F11" w:rsidRPr="002353FE">
        <w:rPr>
          <w:rFonts w:ascii="Verdana" w:hAnsi="Verdana" w:cs="Tahoma"/>
          <w:sz w:val="24"/>
          <w:szCs w:val="24"/>
          <w:lang w:val="en-GB"/>
        </w:rPr>
        <w:t>s</w:t>
      </w:r>
      <w:r w:rsidR="0016154D" w:rsidRPr="002353FE">
        <w:rPr>
          <w:rFonts w:ascii="Verdana" w:hAnsi="Verdana" w:cs="Tahoma"/>
          <w:sz w:val="24"/>
          <w:szCs w:val="24"/>
          <w:lang w:val="en-GB"/>
        </w:rPr>
        <w:t xml:space="preserve">ign for </w:t>
      </w:r>
      <w:r w:rsidR="00FE7F11" w:rsidRPr="002353FE">
        <w:rPr>
          <w:rFonts w:ascii="Verdana" w:hAnsi="Verdana" w:cs="Tahoma"/>
          <w:sz w:val="24"/>
          <w:szCs w:val="24"/>
          <w:lang w:val="en-GB"/>
        </w:rPr>
        <w:t xml:space="preserve">the </w:t>
      </w:r>
      <w:r w:rsidRPr="002353FE">
        <w:rPr>
          <w:rFonts w:ascii="Verdana" w:hAnsi="Verdana" w:cs="Tahoma"/>
          <w:sz w:val="24"/>
          <w:szCs w:val="24"/>
          <w:lang w:val="en-GB"/>
        </w:rPr>
        <w:t>variables</w:t>
      </w:r>
      <w:r w:rsidR="00296367" w:rsidRPr="002353FE">
        <w:rPr>
          <w:rFonts w:ascii="Verdana" w:hAnsi="Verdana" w:cs="Tahoma"/>
          <w:sz w:val="24"/>
          <w:szCs w:val="24"/>
          <w:lang w:val="en-GB"/>
        </w:rPr>
        <w:t xml:space="preserve"> representing </w:t>
      </w:r>
      <w:r w:rsidR="00E36B16" w:rsidRPr="002353FE">
        <w:rPr>
          <w:rFonts w:ascii="Verdana" w:hAnsi="Verdana" w:cs="Tahoma"/>
          <w:sz w:val="24"/>
          <w:szCs w:val="24"/>
          <w:lang w:val="en-GB"/>
        </w:rPr>
        <w:t xml:space="preserve">national </w:t>
      </w:r>
      <w:r w:rsidR="00296367" w:rsidRPr="002353FE">
        <w:rPr>
          <w:rFonts w:ascii="Verdana" w:hAnsi="Verdana" w:cs="Tahoma"/>
          <w:sz w:val="24"/>
          <w:szCs w:val="24"/>
          <w:lang w:val="en-GB"/>
        </w:rPr>
        <w:t>macroeconomic or market characteristics</w:t>
      </w:r>
      <w:r w:rsidR="00FE7F11" w:rsidRPr="002353FE">
        <w:rPr>
          <w:rFonts w:ascii="Verdana" w:hAnsi="Verdana" w:cs="Tahoma"/>
          <w:sz w:val="24"/>
          <w:szCs w:val="24"/>
          <w:lang w:val="en-GB"/>
        </w:rPr>
        <w:t xml:space="preserve"> </w:t>
      </w:r>
      <w:r w:rsidR="0016154D" w:rsidRPr="002353FE">
        <w:rPr>
          <w:rFonts w:ascii="Verdana" w:hAnsi="Verdana" w:cs="Tahoma"/>
          <w:sz w:val="24"/>
          <w:szCs w:val="24"/>
          <w:lang w:val="en-GB"/>
        </w:rPr>
        <w:t>are</w:t>
      </w:r>
      <w:r w:rsidR="00B54BD0" w:rsidRPr="002353FE">
        <w:rPr>
          <w:rFonts w:ascii="Verdana" w:hAnsi="Verdana" w:cs="Tahoma"/>
          <w:sz w:val="24"/>
          <w:szCs w:val="24"/>
          <w:lang w:val="en-GB"/>
        </w:rPr>
        <w:t xml:space="preserve"> accordance with expectations, albeit in</w:t>
      </w:r>
      <w:r w:rsidR="0016154D" w:rsidRPr="002353FE">
        <w:rPr>
          <w:rFonts w:ascii="Verdana" w:hAnsi="Verdana" w:cs="Tahoma"/>
          <w:sz w:val="24"/>
          <w:szCs w:val="24"/>
          <w:lang w:val="en-GB"/>
        </w:rPr>
        <w:t>significant</w:t>
      </w:r>
      <w:r w:rsidRPr="002353FE">
        <w:rPr>
          <w:rFonts w:ascii="Verdana" w:hAnsi="Verdana" w:cs="Tahoma"/>
          <w:sz w:val="24"/>
          <w:szCs w:val="24"/>
          <w:lang w:val="en-GB"/>
        </w:rPr>
        <w:t>.</w:t>
      </w:r>
      <w:r w:rsidR="00FE7F11" w:rsidRPr="002353FE">
        <w:rPr>
          <w:rFonts w:ascii="Verdana" w:hAnsi="Verdana" w:cs="Tahoma"/>
          <w:sz w:val="24"/>
          <w:szCs w:val="24"/>
          <w:lang w:val="en-GB"/>
        </w:rPr>
        <w:t xml:space="preserve"> </w:t>
      </w:r>
      <w:r w:rsidR="009C3ECC" w:rsidRPr="002353FE">
        <w:rPr>
          <w:rFonts w:ascii="Verdana" w:hAnsi="Verdana" w:cs="Tahoma"/>
          <w:sz w:val="24"/>
          <w:szCs w:val="24"/>
          <w:lang w:val="en-GB"/>
        </w:rPr>
        <w:t>S</w:t>
      </w:r>
      <w:r w:rsidRPr="002353FE">
        <w:rPr>
          <w:rFonts w:ascii="Verdana" w:hAnsi="Verdana" w:cs="Tahoma"/>
          <w:sz w:val="24"/>
          <w:szCs w:val="24"/>
          <w:lang w:val="en-GB"/>
        </w:rPr>
        <w:t xml:space="preserve">witching personal current accounts </w:t>
      </w:r>
      <w:r w:rsidR="009C3ECC" w:rsidRPr="002353FE">
        <w:rPr>
          <w:rFonts w:ascii="Verdana" w:hAnsi="Verdana" w:cs="Tahoma"/>
          <w:sz w:val="24"/>
          <w:szCs w:val="24"/>
          <w:lang w:val="en-GB"/>
        </w:rPr>
        <w:t xml:space="preserve">is </w:t>
      </w:r>
      <w:r w:rsidR="00FE7F11" w:rsidRPr="002353FE">
        <w:rPr>
          <w:rFonts w:ascii="Verdana" w:hAnsi="Verdana" w:cs="Tahoma"/>
          <w:sz w:val="24"/>
          <w:szCs w:val="24"/>
          <w:lang w:val="en-GB"/>
        </w:rPr>
        <w:t xml:space="preserve">positively associated with </w:t>
      </w:r>
      <w:r w:rsidRPr="002353FE">
        <w:rPr>
          <w:rFonts w:ascii="Verdana" w:hAnsi="Verdana" w:cs="Tahoma"/>
          <w:sz w:val="24"/>
          <w:szCs w:val="24"/>
          <w:lang w:val="en-GB"/>
        </w:rPr>
        <w:t>interest rates</w:t>
      </w:r>
      <w:r w:rsidR="005E2BD0" w:rsidRPr="002353FE">
        <w:rPr>
          <w:rFonts w:ascii="Verdana" w:hAnsi="Verdana" w:cs="Tahoma"/>
          <w:sz w:val="24"/>
          <w:szCs w:val="24"/>
          <w:lang w:val="en-GB"/>
        </w:rPr>
        <w:t>, as higher interest rates</w:t>
      </w:r>
      <w:r w:rsidRPr="002353FE">
        <w:rPr>
          <w:rFonts w:ascii="Verdana" w:hAnsi="Verdana" w:cs="Tahoma"/>
          <w:sz w:val="24"/>
          <w:szCs w:val="24"/>
          <w:lang w:val="en-GB"/>
        </w:rPr>
        <w:t xml:space="preserve"> provide consumers greater </w:t>
      </w:r>
      <w:r w:rsidRPr="002353FE">
        <w:rPr>
          <w:rFonts w:ascii="Verdana" w:hAnsi="Verdana" w:cs="Tahoma"/>
          <w:sz w:val="24"/>
          <w:szCs w:val="24"/>
          <w:lang w:val="en-GB"/>
        </w:rPr>
        <w:lastRenderedPageBreak/>
        <w:t xml:space="preserve">financial incentives to switch. The Boone indicator of competition is negatively associated with the probability of switching current accounts. Switching </w:t>
      </w:r>
      <w:r w:rsidR="00E36B16" w:rsidRPr="002353FE">
        <w:rPr>
          <w:rFonts w:ascii="Verdana" w:hAnsi="Verdana" w:cs="Tahoma"/>
          <w:sz w:val="24"/>
          <w:szCs w:val="24"/>
          <w:lang w:val="en-GB"/>
        </w:rPr>
        <w:t xml:space="preserve">is </w:t>
      </w:r>
      <w:r w:rsidRPr="002353FE">
        <w:rPr>
          <w:rFonts w:ascii="Verdana" w:hAnsi="Verdana" w:cs="Tahoma"/>
          <w:sz w:val="24"/>
          <w:szCs w:val="24"/>
          <w:lang w:val="en-GB"/>
        </w:rPr>
        <w:t>therefore</w:t>
      </w:r>
      <w:r w:rsidR="005E2BD0" w:rsidRPr="002353FE">
        <w:rPr>
          <w:rFonts w:ascii="Verdana" w:hAnsi="Verdana" w:cs="Tahoma"/>
          <w:sz w:val="24"/>
          <w:szCs w:val="24"/>
          <w:lang w:val="en-GB"/>
        </w:rPr>
        <w:t xml:space="preserve"> </w:t>
      </w:r>
      <w:r w:rsidRPr="002353FE">
        <w:rPr>
          <w:rFonts w:ascii="Verdana" w:hAnsi="Verdana" w:cs="Tahoma"/>
          <w:sz w:val="24"/>
          <w:szCs w:val="24"/>
          <w:lang w:val="en-GB"/>
        </w:rPr>
        <w:t xml:space="preserve">higher in </w:t>
      </w:r>
      <w:r w:rsidR="00E36B16" w:rsidRPr="002353FE">
        <w:rPr>
          <w:rFonts w:ascii="Verdana" w:hAnsi="Verdana" w:cs="Tahoma"/>
          <w:sz w:val="24"/>
          <w:szCs w:val="24"/>
          <w:lang w:val="en-GB"/>
        </w:rPr>
        <w:t xml:space="preserve">nations </w:t>
      </w:r>
      <w:r w:rsidRPr="002353FE">
        <w:rPr>
          <w:rFonts w:ascii="Verdana" w:hAnsi="Verdana" w:cs="Tahoma"/>
          <w:sz w:val="24"/>
          <w:szCs w:val="24"/>
          <w:lang w:val="en-GB"/>
        </w:rPr>
        <w:t xml:space="preserve">with more competitive banking markets (as measured by this indicator). </w:t>
      </w:r>
    </w:p>
    <w:p w14:paraId="7308960C" w14:textId="77777777" w:rsidR="00DE0418" w:rsidRPr="002353FE" w:rsidRDefault="00C571D1" w:rsidP="00F93165">
      <w:pPr>
        <w:pStyle w:val="ListParagraph"/>
        <w:spacing w:before="120" w:after="120" w:line="480" w:lineRule="auto"/>
        <w:ind w:left="0"/>
        <w:contextualSpacing w:val="0"/>
        <w:jc w:val="both"/>
        <w:rPr>
          <w:rFonts w:ascii="Verdana" w:hAnsi="Verdana" w:cs="Tahoma"/>
          <w:sz w:val="24"/>
          <w:szCs w:val="24"/>
          <w:lang w:val="en-GB"/>
        </w:rPr>
      </w:pPr>
      <w:r w:rsidRPr="002353FE">
        <w:rPr>
          <w:rFonts w:ascii="Verdana" w:hAnsi="Verdana" w:cs="Tahoma"/>
          <w:sz w:val="24"/>
          <w:szCs w:val="24"/>
          <w:lang w:val="en-GB"/>
        </w:rPr>
        <w:t>For h</w:t>
      </w:r>
      <w:r w:rsidR="002F6180" w:rsidRPr="002353FE">
        <w:rPr>
          <w:rFonts w:ascii="Verdana" w:hAnsi="Verdana" w:cs="Tahoma"/>
          <w:sz w:val="24"/>
          <w:szCs w:val="24"/>
          <w:lang w:val="en-GB"/>
        </w:rPr>
        <w:t xml:space="preserve">ypothesis </w:t>
      </w:r>
      <w:r w:rsidR="00B54BD0" w:rsidRPr="002353FE">
        <w:rPr>
          <w:rFonts w:ascii="Verdana" w:hAnsi="Verdana" w:cs="Tahoma"/>
          <w:sz w:val="24"/>
          <w:szCs w:val="24"/>
          <w:lang w:val="en-GB"/>
        </w:rPr>
        <w:t>two</w:t>
      </w:r>
      <w:r w:rsidR="002F6180" w:rsidRPr="002353FE">
        <w:rPr>
          <w:rFonts w:ascii="Verdana" w:hAnsi="Verdana" w:cs="Tahoma"/>
          <w:sz w:val="24"/>
          <w:szCs w:val="24"/>
          <w:lang w:val="en-GB"/>
        </w:rPr>
        <w:t xml:space="preserve">, </w:t>
      </w:r>
      <w:r w:rsidR="00427A30" w:rsidRPr="002353FE">
        <w:rPr>
          <w:rFonts w:ascii="Verdana" w:hAnsi="Verdana" w:cs="Tahoma"/>
          <w:sz w:val="24"/>
          <w:szCs w:val="24"/>
          <w:lang w:val="en-GB"/>
        </w:rPr>
        <w:t>the</w:t>
      </w:r>
      <w:r w:rsidR="0038398E" w:rsidRPr="002353FE">
        <w:rPr>
          <w:rFonts w:ascii="Verdana" w:hAnsi="Verdana" w:cs="Tahoma"/>
          <w:sz w:val="24"/>
          <w:szCs w:val="24"/>
          <w:lang w:val="en-GB"/>
        </w:rPr>
        <w:t xml:space="preserve"> coefficient </w:t>
      </w:r>
      <w:r w:rsidR="006F6170" w:rsidRPr="002353FE">
        <w:rPr>
          <w:rFonts w:ascii="Verdana" w:hAnsi="Verdana" w:cs="Tahoma"/>
          <w:sz w:val="24"/>
          <w:szCs w:val="24"/>
          <w:lang w:val="en-GB"/>
        </w:rPr>
        <w:t>for</w:t>
      </w:r>
      <w:r w:rsidR="005E2BD0" w:rsidRPr="002353FE">
        <w:rPr>
          <w:rFonts w:ascii="Verdana" w:hAnsi="Verdana" w:cs="Tahoma"/>
          <w:sz w:val="24"/>
          <w:szCs w:val="24"/>
          <w:lang w:val="en-GB"/>
        </w:rPr>
        <w:t xml:space="preserve"> </w:t>
      </w:r>
      <w:r w:rsidR="006F6170" w:rsidRPr="002353FE">
        <w:rPr>
          <w:rFonts w:ascii="Verdana" w:hAnsi="Verdana" w:cs="Tahoma"/>
          <w:sz w:val="24"/>
          <w:szCs w:val="24"/>
          <w:lang w:val="en-GB"/>
        </w:rPr>
        <w:t xml:space="preserve">national </w:t>
      </w:r>
      <w:r w:rsidR="005E2BD0" w:rsidRPr="002353FE">
        <w:rPr>
          <w:rFonts w:ascii="Verdana" w:hAnsi="Verdana" w:cs="Tahoma"/>
          <w:sz w:val="24"/>
          <w:szCs w:val="24"/>
          <w:lang w:val="en-GB"/>
        </w:rPr>
        <w:t>consumer financial education policies and the probability of switching</w:t>
      </w:r>
      <w:r w:rsidR="0038398E" w:rsidRPr="002353FE">
        <w:rPr>
          <w:rFonts w:ascii="Verdana" w:hAnsi="Verdana" w:cs="Tahoma"/>
          <w:sz w:val="24"/>
          <w:szCs w:val="24"/>
          <w:lang w:val="en-GB"/>
        </w:rPr>
        <w:t xml:space="preserve"> is </w:t>
      </w:r>
      <w:r w:rsidR="00355ECF" w:rsidRPr="002353FE">
        <w:rPr>
          <w:rFonts w:ascii="Verdana" w:hAnsi="Verdana" w:cs="Tahoma"/>
          <w:sz w:val="24"/>
          <w:szCs w:val="24"/>
          <w:lang w:val="en-GB"/>
        </w:rPr>
        <w:t xml:space="preserve">statistically </w:t>
      </w:r>
      <w:r w:rsidR="006F6170" w:rsidRPr="002353FE">
        <w:rPr>
          <w:rFonts w:ascii="Verdana" w:hAnsi="Verdana" w:cs="Tahoma"/>
          <w:sz w:val="24"/>
          <w:szCs w:val="24"/>
          <w:lang w:val="en-GB"/>
        </w:rPr>
        <w:t>in</w:t>
      </w:r>
      <w:r w:rsidR="00355ECF" w:rsidRPr="002353FE">
        <w:rPr>
          <w:rFonts w:ascii="Verdana" w:hAnsi="Verdana" w:cs="Tahoma"/>
          <w:sz w:val="24"/>
          <w:szCs w:val="24"/>
          <w:lang w:val="en-GB"/>
        </w:rPr>
        <w:t>significant (p-value = 0.216)</w:t>
      </w:r>
      <w:r w:rsidR="005E2BD0" w:rsidRPr="002353FE">
        <w:rPr>
          <w:rFonts w:ascii="Verdana" w:hAnsi="Verdana" w:cs="Tahoma"/>
          <w:sz w:val="24"/>
          <w:szCs w:val="24"/>
          <w:lang w:val="en-GB"/>
        </w:rPr>
        <w:t xml:space="preserve">. </w:t>
      </w:r>
      <w:r w:rsidR="00F63F5D" w:rsidRPr="002353FE">
        <w:rPr>
          <w:rFonts w:ascii="Verdana" w:hAnsi="Verdana" w:cs="Tahoma"/>
          <w:sz w:val="24"/>
          <w:szCs w:val="24"/>
          <w:lang w:val="en-GB"/>
        </w:rPr>
        <w:t>A</w:t>
      </w:r>
      <w:r w:rsidR="007E14BD" w:rsidRPr="002353FE">
        <w:rPr>
          <w:rFonts w:ascii="Verdana" w:hAnsi="Verdana" w:cs="Tahoma"/>
          <w:sz w:val="24"/>
          <w:szCs w:val="24"/>
          <w:lang w:val="en-GB"/>
        </w:rPr>
        <w:t>n</w:t>
      </w:r>
      <w:r w:rsidR="00F63F5D" w:rsidRPr="002353FE">
        <w:rPr>
          <w:rFonts w:ascii="Verdana" w:hAnsi="Verdana" w:cs="Tahoma"/>
          <w:sz w:val="24"/>
          <w:szCs w:val="24"/>
          <w:lang w:val="en-GB"/>
        </w:rPr>
        <w:t xml:space="preserve"> </w:t>
      </w:r>
      <w:r w:rsidR="007E14BD" w:rsidRPr="002353FE">
        <w:rPr>
          <w:rFonts w:ascii="Verdana" w:hAnsi="Verdana" w:cs="Tahoma"/>
          <w:sz w:val="24"/>
          <w:szCs w:val="24"/>
          <w:lang w:val="en-GB"/>
        </w:rPr>
        <w:t>i</w:t>
      </w:r>
      <w:r w:rsidR="00F63F5D" w:rsidRPr="002353FE">
        <w:rPr>
          <w:rFonts w:ascii="Verdana" w:hAnsi="Verdana" w:cs="Tahoma"/>
          <w:sz w:val="24"/>
          <w:szCs w:val="24"/>
          <w:lang w:val="en-GB"/>
        </w:rPr>
        <w:t>n</w:t>
      </w:r>
      <w:r w:rsidR="007E14BD" w:rsidRPr="002353FE">
        <w:rPr>
          <w:rFonts w:ascii="Verdana" w:hAnsi="Verdana" w:cs="Tahoma"/>
          <w:sz w:val="24"/>
          <w:szCs w:val="24"/>
          <w:lang w:val="en-GB"/>
        </w:rPr>
        <w:t>s</w:t>
      </w:r>
      <w:r w:rsidR="00F63F5D" w:rsidRPr="002353FE">
        <w:rPr>
          <w:rFonts w:ascii="Verdana" w:hAnsi="Verdana" w:cs="Tahoma"/>
          <w:sz w:val="24"/>
          <w:szCs w:val="24"/>
          <w:lang w:val="en-GB"/>
        </w:rPr>
        <w:t xml:space="preserve">ignificant </w:t>
      </w:r>
      <w:r w:rsidR="007E14BD" w:rsidRPr="002353FE">
        <w:rPr>
          <w:rFonts w:ascii="Verdana" w:hAnsi="Verdana" w:cs="Tahoma"/>
          <w:sz w:val="24"/>
          <w:szCs w:val="24"/>
          <w:lang w:val="en-GB"/>
        </w:rPr>
        <w:t xml:space="preserve">coefficient value </w:t>
      </w:r>
      <w:r w:rsidR="00F63F5D" w:rsidRPr="002353FE">
        <w:rPr>
          <w:rFonts w:ascii="Verdana" w:hAnsi="Verdana" w:cs="Tahoma"/>
          <w:sz w:val="24"/>
          <w:szCs w:val="24"/>
          <w:lang w:val="en-GB"/>
        </w:rPr>
        <w:t xml:space="preserve">is also found </w:t>
      </w:r>
      <w:r w:rsidR="007E14BD" w:rsidRPr="002353FE">
        <w:rPr>
          <w:rFonts w:ascii="Verdana" w:hAnsi="Verdana" w:cs="Tahoma"/>
          <w:sz w:val="24"/>
          <w:szCs w:val="24"/>
          <w:lang w:val="en-GB"/>
        </w:rPr>
        <w:t xml:space="preserve">for </w:t>
      </w:r>
      <w:r w:rsidR="00152F7F" w:rsidRPr="002353FE">
        <w:rPr>
          <w:rFonts w:ascii="Verdana" w:hAnsi="Verdana" w:cs="Tahoma"/>
          <w:sz w:val="24"/>
          <w:szCs w:val="24"/>
          <w:lang w:val="en-GB"/>
        </w:rPr>
        <w:t xml:space="preserve">national </w:t>
      </w:r>
      <w:r w:rsidR="0038398E" w:rsidRPr="002353FE">
        <w:rPr>
          <w:rFonts w:ascii="Verdana" w:hAnsi="Verdana" w:cs="Tahoma"/>
          <w:sz w:val="24"/>
          <w:szCs w:val="24"/>
          <w:lang w:val="en-GB"/>
        </w:rPr>
        <w:t>disclosure practices and the probability of switching</w:t>
      </w:r>
      <w:r w:rsidR="00F63F5D" w:rsidRPr="002353FE">
        <w:rPr>
          <w:rFonts w:ascii="Verdana" w:hAnsi="Verdana" w:cs="Tahoma"/>
          <w:sz w:val="24"/>
          <w:szCs w:val="24"/>
          <w:lang w:val="en-GB"/>
        </w:rPr>
        <w:t xml:space="preserve"> </w:t>
      </w:r>
      <w:r w:rsidR="00355ECF" w:rsidRPr="002353FE">
        <w:rPr>
          <w:rFonts w:ascii="Verdana" w:hAnsi="Verdana" w:cs="Tahoma"/>
          <w:sz w:val="24"/>
          <w:szCs w:val="24"/>
          <w:lang w:val="en-GB"/>
        </w:rPr>
        <w:t>(p-value = 0.29). Th</w:t>
      </w:r>
      <w:r w:rsidR="00152F7F" w:rsidRPr="002353FE">
        <w:rPr>
          <w:rFonts w:ascii="Verdana" w:hAnsi="Verdana" w:cs="Tahoma"/>
          <w:sz w:val="24"/>
          <w:szCs w:val="24"/>
          <w:lang w:val="en-GB"/>
        </w:rPr>
        <w:t>e</w:t>
      </w:r>
      <w:r w:rsidR="00F63F5D" w:rsidRPr="002353FE">
        <w:rPr>
          <w:rFonts w:ascii="Verdana" w:hAnsi="Verdana" w:cs="Tahoma"/>
          <w:sz w:val="24"/>
          <w:szCs w:val="24"/>
          <w:lang w:val="en-GB"/>
        </w:rPr>
        <w:t>s</w:t>
      </w:r>
      <w:r w:rsidR="00152F7F" w:rsidRPr="002353FE">
        <w:rPr>
          <w:rFonts w:ascii="Verdana" w:hAnsi="Verdana" w:cs="Tahoma"/>
          <w:sz w:val="24"/>
          <w:szCs w:val="24"/>
          <w:lang w:val="en-GB"/>
        </w:rPr>
        <w:t>e</w:t>
      </w:r>
      <w:r w:rsidR="00F63F5D" w:rsidRPr="002353FE">
        <w:rPr>
          <w:rFonts w:ascii="Verdana" w:hAnsi="Verdana" w:cs="Tahoma"/>
          <w:sz w:val="24"/>
          <w:szCs w:val="24"/>
          <w:lang w:val="en-GB"/>
        </w:rPr>
        <w:t xml:space="preserve"> result</w:t>
      </w:r>
      <w:r w:rsidR="00152F7F" w:rsidRPr="002353FE">
        <w:rPr>
          <w:rFonts w:ascii="Verdana" w:hAnsi="Verdana" w:cs="Tahoma"/>
          <w:sz w:val="24"/>
          <w:szCs w:val="24"/>
          <w:lang w:val="en-GB"/>
        </w:rPr>
        <w:t>s</w:t>
      </w:r>
      <w:r w:rsidR="00F63F5D" w:rsidRPr="002353FE">
        <w:rPr>
          <w:rFonts w:ascii="Verdana" w:hAnsi="Verdana" w:cs="Tahoma"/>
          <w:sz w:val="24"/>
          <w:szCs w:val="24"/>
          <w:lang w:val="en-GB"/>
        </w:rPr>
        <w:t xml:space="preserve"> impl</w:t>
      </w:r>
      <w:r w:rsidR="00152F7F" w:rsidRPr="002353FE">
        <w:rPr>
          <w:rFonts w:ascii="Verdana" w:hAnsi="Verdana" w:cs="Tahoma"/>
          <w:sz w:val="24"/>
          <w:szCs w:val="24"/>
          <w:lang w:val="en-GB"/>
        </w:rPr>
        <w:t>y</w:t>
      </w:r>
      <w:r w:rsidR="00F63F5D" w:rsidRPr="002353FE">
        <w:rPr>
          <w:rFonts w:ascii="Verdana" w:hAnsi="Verdana" w:cs="Tahoma"/>
          <w:sz w:val="24"/>
          <w:szCs w:val="24"/>
          <w:lang w:val="en-GB"/>
        </w:rPr>
        <w:t xml:space="preserve"> </w:t>
      </w:r>
      <w:r w:rsidR="009909EB" w:rsidRPr="002353FE">
        <w:rPr>
          <w:rFonts w:ascii="Verdana" w:hAnsi="Verdana" w:cs="Tahoma"/>
          <w:sz w:val="24"/>
          <w:szCs w:val="24"/>
          <w:lang w:val="en-GB"/>
        </w:rPr>
        <w:t xml:space="preserve">no significant </w:t>
      </w:r>
      <w:r w:rsidR="00C86C33" w:rsidRPr="002353FE">
        <w:rPr>
          <w:rFonts w:ascii="Verdana" w:hAnsi="Verdana" w:cs="Tahoma"/>
          <w:sz w:val="24"/>
          <w:szCs w:val="24"/>
          <w:lang w:val="en-GB"/>
        </w:rPr>
        <w:t xml:space="preserve">relationship </w:t>
      </w:r>
      <w:r w:rsidR="006D35B7" w:rsidRPr="002353FE">
        <w:rPr>
          <w:rFonts w:ascii="Verdana" w:hAnsi="Verdana" w:cs="Tahoma"/>
          <w:sz w:val="24"/>
          <w:szCs w:val="24"/>
          <w:lang w:val="en-GB"/>
        </w:rPr>
        <w:t xml:space="preserve">exists </w:t>
      </w:r>
      <w:r w:rsidR="00C86C33" w:rsidRPr="002353FE">
        <w:rPr>
          <w:rFonts w:ascii="Verdana" w:hAnsi="Verdana" w:cs="Tahoma"/>
          <w:sz w:val="24"/>
          <w:szCs w:val="24"/>
          <w:lang w:val="en-GB"/>
        </w:rPr>
        <w:t xml:space="preserve">between </w:t>
      </w:r>
      <w:r w:rsidR="00F93165" w:rsidRPr="002353FE">
        <w:rPr>
          <w:rFonts w:ascii="Verdana" w:hAnsi="Verdana" w:cs="Tahoma"/>
          <w:sz w:val="24"/>
          <w:szCs w:val="24"/>
          <w:lang w:val="en-GB"/>
        </w:rPr>
        <w:t xml:space="preserve">neither </w:t>
      </w:r>
      <w:r w:rsidR="009A03B5" w:rsidRPr="002353FE">
        <w:rPr>
          <w:rFonts w:ascii="Verdana" w:hAnsi="Verdana" w:cs="Tahoma"/>
          <w:sz w:val="24"/>
          <w:szCs w:val="24"/>
          <w:lang w:val="en-GB"/>
        </w:rPr>
        <w:t xml:space="preserve">national financial education policies </w:t>
      </w:r>
      <w:r w:rsidR="00F93165" w:rsidRPr="002353FE">
        <w:rPr>
          <w:rFonts w:ascii="Verdana" w:hAnsi="Verdana" w:cs="Tahoma"/>
          <w:sz w:val="24"/>
          <w:szCs w:val="24"/>
          <w:lang w:val="en-GB"/>
        </w:rPr>
        <w:t>or</w:t>
      </w:r>
      <w:r w:rsidR="009A03B5" w:rsidRPr="002353FE">
        <w:rPr>
          <w:rFonts w:ascii="Verdana" w:hAnsi="Verdana" w:cs="Tahoma"/>
          <w:sz w:val="24"/>
          <w:szCs w:val="24"/>
          <w:lang w:val="en-GB"/>
        </w:rPr>
        <w:t xml:space="preserve"> </w:t>
      </w:r>
      <w:r w:rsidR="00C86C33" w:rsidRPr="002353FE">
        <w:rPr>
          <w:rFonts w:ascii="Verdana" w:hAnsi="Verdana" w:cs="Tahoma"/>
          <w:sz w:val="24"/>
          <w:szCs w:val="24"/>
          <w:lang w:val="en-GB"/>
        </w:rPr>
        <w:t xml:space="preserve">disclosure requirements </w:t>
      </w:r>
      <w:r w:rsidR="009D2386" w:rsidRPr="002353FE">
        <w:rPr>
          <w:rFonts w:ascii="Verdana" w:hAnsi="Verdana" w:cs="Tahoma"/>
          <w:sz w:val="24"/>
          <w:szCs w:val="24"/>
          <w:lang w:val="en-GB"/>
        </w:rPr>
        <w:t xml:space="preserve">and </w:t>
      </w:r>
      <w:r w:rsidR="007412B0" w:rsidRPr="002353FE">
        <w:rPr>
          <w:rFonts w:ascii="Verdana" w:hAnsi="Verdana" w:cs="Tahoma"/>
          <w:sz w:val="24"/>
          <w:szCs w:val="24"/>
          <w:lang w:val="en-GB"/>
        </w:rPr>
        <w:t xml:space="preserve">bank </w:t>
      </w:r>
      <w:r w:rsidR="009D2386" w:rsidRPr="002353FE">
        <w:rPr>
          <w:rFonts w:ascii="Verdana" w:hAnsi="Verdana" w:cs="Tahoma"/>
          <w:sz w:val="24"/>
          <w:szCs w:val="24"/>
          <w:lang w:val="en-GB"/>
        </w:rPr>
        <w:t>switching</w:t>
      </w:r>
      <w:r w:rsidR="009909EB" w:rsidRPr="002353FE">
        <w:rPr>
          <w:rFonts w:ascii="Verdana" w:hAnsi="Verdana" w:cs="Tahoma"/>
          <w:sz w:val="24"/>
          <w:szCs w:val="24"/>
          <w:lang w:val="en-GB"/>
        </w:rPr>
        <w:t xml:space="preserve">. </w:t>
      </w:r>
    </w:p>
    <w:p w14:paraId="6F5EB99F" w14:textId="77777777" w:rsidR="00050030" w:rsidRPr="002353FE" w:rsidRDefault="00050030">
      <w:pPr>
        <w:spacing w:after="0" w:line="240" w:lineRule="auto"/>
        <w:rPr>
          <w:rFonts w:ascii="Verdana" w:hAnsi="Verdana" w:cs="Tahoma"/>
          <w:sz w:val="24"/>
          <w:szCs w:val="24"/>
          <w:lang w:val="en-GB"/>
        </w:rPr>
      </w:pPr>
    </w:p>
    <w:p w14:paraId="5BEA1F2D" w14:textId="238A44F4" w:rsidR="005F22BC" w:rsidRPr="002353FE" w:rsidRDefault="00050030" w:rsidP="00050030">
      <w:pPr>
        <w:spacing w:after="0" w:line="240" w:lineRule="auto"/>
        <w:rPr>
          <w:rFonts w:ascii="Verdana" w:hAnsi="Verdana" w:cs="Tahoma"/>
          <w:b/>
          <w:sz w:val="24"/>
          <w:lang w:val="en-GB"/>
        </w:rPr>
      </w:pPr>
      <w:r w:rsidRPr="002353FE">
        <w:rPr>
          <w:rFonts w:ascii="Verdana" w:hAnsi="Verdana" w:cs="Tahoma"/>
          <w:sz w:val="24"/>
          <w:szCs w:val="24"/>
          <w:lang w:val="en-GB"/>
        </w:rPr>
        <w:t xml:space="preserve">[TABLE </w:t>
      </w:r>
      <w:r w:rsidR="00285B4E" w:rsidRPr="002353FE">
        <w:rPr>
          <w:rFonts w:ascii="Verdana" w:hAnsi="Verdana" w:cs="Tahoma"/>
          <w:sz w:val="24"/>
          <w:szCs w:val="24"/>
          <w:lang w:val="en-GB"/>
        </w:rPr>
        <w:t>III</w:t>
      </w:r>
      <w:r w:rsidRPr="002353FE">
        <w:rPr>
          <w:rFonts w:ascii="Verdana" w:hAnsi="Verdana" w:cs="Tahoma"/>
          <w:sz w:val="24"/>
          <w:szCs w:val="24"/>
          <w:lang w:val="en-GB"/>
        </w:rPr>
        <w:t>]</w:t>
      </w:r>
    </w:p>
    <w:p w14:paraId="57AB115F" w14:textId="77777777" w:rsidR="00B3641E" w:rsidRPr="002353FE" w:rsidRDefault="00B3641E" w:rsidP="000C19DD">
      <w:pPr>
        <w:spacing w:before="120" w:after="120" w:line="480" w:lineRule="auto"/>
        <w:jc w:val="both"/>
        <w:rPr>
          <w:rFonts w:ascii="Verdana" w:hAnsi="Verdana" w:cs="Tahoma"/>
          <w:b/>
          <w:sz w:val="24"/>
          <w:lang w:val="en-GB"/>
        </w:rPr>
      </w:pPr>
    </w:p>
    <w:p w14:paraId="60A19619" w14:textId="7DA1B7B3" w:rsidR="00D37DC8" w:rsidRPr="002353FE" w:rsidRDefault="00D37DC8" w:rsidP="00D37DC8">
      <w:pPr>
        <w:spacing w:before="120" w:after="120" w:line="480" w:lineRule="auto"/>
        <w:jc w:val="both"/>
        <w:rPr>
          <w:rFonts w:ascii="Verdana" w:hAnsi="Verdana" w:cs="Tahoma"/>
          <w:sz w:val="24"/>
          <w:lang w:val="en-GB"/>
        </w:rPr>
      </w:pPr>
      <w:r w:rsidRPr="002353FE">
        <w:rPr>
          <w:rFonts w:ascii="Verdana" w:hAnsi="Verdana" w:cs="Tahoma"/>
          <w:sz w:val="24"/>
          <w:lang w:val="en-GB"/>
        </w:rPr>
        <w:t xml:space="preserve">For robustness, we also estimate a logit specification, an alternative to a probit specification in presence of a binary dependent variable. This produces similar results. Estimates associated with old age, low educational attainment, and house ownership, are still negative and significant, with a similar magnitude to the probit estimates. </w:t>
      </w:r>
      <w:r w:rsidR="00F93165" w:rsidRPr="002353FE">
        <w:rPr>
          <w:rFonts w:ascii="Verdana" w:hAnsi="Verdana" w:cs="Tahoma"/>
          <w:sz w:val="24"/>
          <w:lang w:val="en-GB"/>
        </w:rPr>
        <w:t xml:space="preserve">Only results reported for non-national customers become insignificant. </w:t>
      </w:r>
      <w:r w:rsidRPr="002353FE">
        <w:rPr>
          <w:rFonts w:ascii="Verdana" w:hAnsi="Verdana" w:cs="Tahoma"/>
          <w:sz w:val="24"/>
          <w:lang w:val="en-GB"/>
        </w:rPr>
        <w:t xml:space="preserve">Similar findings are also reported for the place of residence (only the relationship between living in a town and switching becomes statistically significant at 90%). For hypothesis two, the estimated values of the coefficients for financial education policies and disclosure practices are similar and </w:t>
      </w:r>
      <w:r w:rsidR="006D35B7" w:rsidRPr="002353FE">
        <w:rPr>
          <w:rFonts w:ascii="Verdana" w:hAnsi="Verdana" w:cs="Tahoma"/>
          <w:sz w:val="24"/>
          <w:lang w:val="en-GB"/>
        </w:rPr>
        <w:t xml:space="preserve">remain </w:t>
      </w:r>
      <w:r w:rsidRPr="002353FE">
        <w:rPr>
          <w:rFonts w:ascii="Verdana" w:hAnsi="Verdana" w:cs="Tahoma"/>
          <w:sz w:val="24"/>
          <w:lang w:val="en-GB"/>
        </w:rPr>
        <w:t>insignifican</w:t>
      </w:r>
      <w:r w:rsidR="006D35B7" w:rsidRPr="002353FE">
        <w:rPr>
          <w:rFonts w:ascii="Verdana" w:hAnsi="Verdana" w:cs="Tahoma"/>
          <w:sz w:val="24"/>
          <w:lang w:val="en-GB"/>
        </w:rPr>
        <w:t>t</w:t>
      </w:r>
      <w:r w:rsidRPr="002353FE">
        <w:rPr>
          <w:rFonts w:ascii="Verdana" w:hAnsi="Verdana" w:cs="Tahoma"/>
          <w:sz w:val="24"/>
          <w:lang w:val="en-GB"/>
        </w:rPr>
        <w:t xml:space="preserve">. </w:t>
      </w:r>
      <w:r w:rsidR="00A90F43" w:rsidRPr="002353FE">
        <w:rPr>
          <w:rFonts w:ascii="Verdana" w:hAnsi="Verdana" w:cs="Tahoma"/>
          <w:sz w:val="24"/>
          <w:lang w:val="en-GB"/>
        </w:rPr>
        <w:t xml:space="preserve">Variables representing customer vulnerability (in particular, high age and low </w:t>
      </w:r>
      <w:r w:rsidR="00A90F43" w:rsidRPr="002353FE">
        <w:rPr>
          <w:rFonts w:ascii="Verdana" w:hAnsi="Verdana" w:cs="Tahoma"/>
          <w:sz w:val="24"/>
          <w:lang w:val="en-GB"/>
        </w:rPr>
        <w:lastRenderedPageBreak/>
        <w:t>educational attainment) are strongly related to the probability of switching. This finding also occurs when the estimations control for national financial education policies and disclosure requirements.</w:t>
      </w:r>
    </w:p>
    <w:p w14:paraId="194787A7" w14:textId="77777777" w:rsidR="009B3D0F" w:rsidRPr="002353FE" w:rsidRDefault="009B3D0F" w:rsidP="00D37DC8">
      <w:pPr>
        <w:spacing w:before="120" w:after="120" w:line="480" w:lineRule="auto"/>
        <w:jc w:val="both"/>
        <w:rPr>
          <w:rFonts w:ascii="Verdana" w:hAnsi="Verdana" w:cs="Tahoma"/>
          <w:sz w:val="24"/>
          <w:lang w:val="en-GB"/>
        </w:rPr>
      </w:pPr>
    </w:p>
    <w:p w14:paraId="26886E17" w14:textId="3EC720CE" w:rsidR="009B3D0F" w:rsidRPr="001E7395" w:rsidRDefault="009B3D0F" w:rsidP="00D37DC8">
      <w:pPr>
        <w:spacing w:before="120" w:after="120" w:line="480" w:lineRule="auto"/>
        <w:jc w:val="both"/>
        <w:rPr>
          <w:rFonts w:ascii="Verdana" w:hAnsi="Verdana" w:cs="Tahoma"/>
          <w:b/>
          <w:bCs/>
          <w:sz w:val="24"/>
          <w:lang w:val="en-GB"/>
        </w:rPr>
      </w:pPr>
      <w:r w:rsidRPr="001E7395">
        <w:rPr>
          <w:rFonts w:ascii="Verdana" w:hAnsi="Verdana" w:cs="Tahoma"/>
          <w:b/>
          <w:bCs/>
          <w:sz w:val="24"/>
          <w:lang w:val="en-GB"/>
        </w:rPr>
        <w:t xml:space="preserve">5. </w:t>
      </w:r>
      <w:r w:rsidRPr="002353FE">
        <w:rPr>
          <w:rFonts w:ascii="Verdana" w:hAnsi="Verdana" w:cs="Tahoma"/>
          <w:b/>
          <w:bCs/>
          <w:sz w:val="24"/>
          <w:lang w:val="en-GB"/>
        </w:rPr>
        <w:tab/>
      </w:r>
      <w:r w:rsidRPr="001E7395">
        <w:rPr>
          <w:rFonts w:ascii="Verdana" w:hAnsi="Verdana" w:cs="Tahoma"/>
          <w:b/>
          <w:bCs/>
          <w:sz w:val="24"/>
          <w:lang w:val="en-GB"/>
        </w:rPr>
        <w:t xml:space="preserve">Discussion </w:t>
      </w:r>
    </w:p>
    <w:p w14:paraId="29DABFEE" w14:textId="5F2C6BC6" w:rsidR="009B3D0F" w:rsidRPr="001E7395" w:rsidRDefault="009D6A81" w:rsidP="00D37DC8">
      <w:pPr>
        <w:spacing w:before="120" w:after="120" w:line="480" w:lineRule="auto"/>
        <w:jc w:val="both"/>
        <w:rPr>
          <w:rFonts w:ascii="Verdana" w:hAnsi="Verdana" w:cs="Tahoma"/>
          <w:sz w:val="24"/>
          <w:szCs w:val="24"/>
          <w:lang w:val="en-GB"/>
        </w:rPr>
      </w:pPr>
      <w:r w:rsidRPr="002353FE">
        <w:rPr>
          <w:rFonts w:ascii="Verdana" w:hAnsi="Verdana" w:cs="Tahoma"/>
          <w:sz w:val="24"/>
          <w:lang w:val="en-GB"/>
        </w:rPr>
        <w:t>T</w:t>
      </w:r>
      <w:r w:rsidR="00B86A60" w:rsidRPr="002353FE">
        <w:rPr>
          <w:rFonts w:ascii="Verdana" w:hAnsi="Verdana" w:cs="Tahoma"/>
          <w:sz w:val="24"/>
          <w:lang w:val="en-GB"/>
        </w:rPr>
        <w:t xml:space="preserve">he results from the analysis provide strong support for Hypothesis 1, that </w:t>
      </w:r>
      <w:r w:rsidR="00E97D1E" w:rsidRPr="002353FE">
        <w:rPr>
          <w:rFonts w:ascii="Verdana" w:hAnsi="Verdana" w:cs="Tahoma"/>
          <w:sz w:val="24"/>
          <w:szCs w:val="24"/>
          <w:lang w:val="en-GB"/>
        </w:rPr>
        <w:t>i</w:t>
      </w:r>
      <w:r w:rsidR="00B86A60" w:rsidRPr="001E7395">
        <w:rPr>
          <w:rFonts w:ascii="Verdana" w:hAnsi="Verdana" w:cs="Tahoma"/>
          <w:sz w:val="24"/>
          <w:szCs w:val="24"/>
          <w:lang w:val="en-GB"/>
        </w:rPr>
        <w:t xml:space="preserve">ndividuals with socio-economic characteristics representative of customer vulnerability are less likely to switch their personal current account provider. </w:t>
      </w:r>
      <w:r w:rsidR="000A6DAB" w:rsidRPr="001E7395">
        <w:rPr>
          <w:rFonts w:ascii="Verdana" w:hAnsi="Verdana" w:cs="Tahoma"/>
          <w:sz w:val="24"/>
          <w:szCs w:val="24"/>
          <w:lang w:val="en-GB"/>
        </w:rPr>
        <w:t xml:space="preserve">We report that age, education, GDP and </w:t>
      </w:r>
      <w:r w:rsidR="00BB713A" w:rsidRPr="001E7395">
        <w:rPr>
          <w:rFonts w:ascii="Verdana" w:hAnsi="Verdana" w:cs="Tahoma"/>
          <w:sz w:val="24"/>
          <w:szCs w:val="24"/>
          <w:lang w:val="en-GB"/>
        </w:rPr>
        <w:t xml:space="preserve">whether someone </w:t>
      </w:r>
      <w:r w:rsidR="00B86884" w:rsidRPr="002353FE">
        <w:rPr>
          <w:rFonts w:ascii="Verdana" w:hAnsi="Verdana" w:cs="Tahoma"/>
          <w:sz w:val="24"/>
          <w:szCs w:val="24"/>
          <w:lang w:val="en-GB"/>
        </w:rPr>
        <w:t xml:space="preserve">is </w:t>
      </w:r>
      <w:r w:rsidR="00BB713A" w:rsidRPr="001E7395">
        <w:rPr>
          <w:rFonts w:ascii="Verdana" w:hAnsi="Verdana" w:cs="Tahoma"/>
          <w:sz w:val="24"/>
          <w:szCs w:val="24"/>
          <w:lang w:val="en-GB"/>
        </w:rPr>
        <w:t>living in an urban space are all significantly linked to less current account switching</w:t>
      </w:r>
      <w:r w:rsidR="006D4ADA" w:rsidRPr="001E7395">
        <w:rPr>
          <w:rFonts w:ascii="Verdana" w:hAnsi="Verdana" w:cs="Tahoma"/>
          <w:sz w:val="24"/>
          <w:szCs w:val="24"/>
          <w:lang w:val="en-GB"/>
        </w:rPr>
        <w:t xml:space="preserve">. Plausible outcomes are also recorded for other national and market level factors.  </w:t>
      </w:r>
      <w:r w:rsidR="00BB713A" w:rsidRPr="001E7395">
        <w:rPr>
          <w:rFonts w:ascii="Verdana" w:hAnsi="Verdana" w:cs="Tahoma"/>
          <w:sz w:val="24"/>
          <w:szCs w:val="24"/>
          <w:lang w:val="en-GB"/>
        </w:rPr>
        <w:t xml:space="preserve"> </w:t>
      </w:r>
    </w:p>
    <w:p w14:paraId="0054D0E6" w14:textId="73911824" w:rsidR="00D37DC8" w:rsidRPr="002353FE" w:rsidRDefault="00B86A60" w:rsidP="00D37DC8">
      <w:pPr>
        <w:spacing w:before="120" w:after="120" w:line="480" w:lineRule="auto"/>
        <w:jc w:val="both"/>
        <w:rPr>
          <w:rFonts w:ascii="Verdana" w:hAnsi="Verdana" w:cs="Tahoma"/>
          <w:iCs/>
          <w:sz w:val="24"/>
          <w:szCs w:val="24"/>
          <w:lang w:val="en-GB"/>
        </w:rPr>
      </w:pPr>
      <w:r w:rsidRPr="001E7395">
        <w:rPr>
          <w:rFonts w:ascii="Verdana" w:hAnsi="Verdana" w:cs="Tahoma"/>
          <w:iCs/>
          <w:sz w:val="24"/>
          <w:szCs w:val="24"/>
          <w:lang w:val="en-GB"/>
        </w:rPr>
        <w:t xml:space="preserve">The results refute </w:t>
      </w:r>
      <w:r w:rsidR="00696344" w:rsidRPr="001E7395">
        <w:rPr>
          <w:rFonts w:ascii="Verdana" w:hAnsi="Verdana" w:cs="Tahoma"/>
          <w:iCs/>
          <w:sz w:val="24"/>
          <w:szCs w:val="24"/>
          <w:lang w:val="en-GB"/>
        </w:rPr>
        <w:t>H</w:t>
      </w:r>
      <w:r w:rsidRPr="001E7395">
        <w:rPr>
          <w:rFonts w:ascii="Verdana" w:hAnsi="Verdana" w:cs="Tahoma"/>
          <w:iCs/>
          <w:sz w:val="24"/>
          <w:szCs w:val="24"/>
          <w:lang w:val="en-GB"/>
        </w:rPr>
        <w:t xml:space="preserve">ypothesis </w:t>
      </w:r>
      <w:r w:rsidR="00696344" w:rsidRPr="001E7395">
        <w:rPr>
          <w:rFonts w:ascii="Verdana" w:hAnsi="Verdana" w:cs="Tahoma"/>
          <w:iCs/>
          <w:sz w:val="24"/>
          <w:szCs w:val="24"/>
          <w:lang w:val="en-GB"/>
        </w:rPr>
        <w:t xml:space="preserve">2, that </w:t>
      </w:r>
      <w:r w:rsidR="009F6539" w:rsidRPr="001E7395">
        <w:rPr>
          <w:rFonts w:ascii="Verdana" w:hAnsi="Verdana" w:cs="Tahoma"/>
          <w:iCs/>
          <w:sz w:val="24"/>
          <w:szCs w:val="24"/>
          <w:lang w:val="en-GB"/>
        </w:rPr>
        <w:t>more frequent personal current account switching decisions occur in nations which have use more consumer-oriented policies (financial education and disclosure practices).</w:t>
      </w:r>
      <w:r w:rsidR="006D4ADA" w:rsidRPr="001E7395">
        <w:rPr>
          <w:rFonts w:ascii="Verdana" w:hAnsi="Verdana" w:cs="Tahoma"/>
          <w:iCs/>
          <w:sz w:val="24"/>
          <w:szCs w:val="24"/>
          <w:lang w:val="en-GB"/>
        </w:rPr>
        <w:t xml:space="preserve"> </w:t>
      </w:r>
      <w:r w:rsidR="006D4ADA" w:rsidRPr="002353FE">
        <w:rPr>
          <w:rFonts w:ascii="Verdana" w:hAnsi="Verdana" w:cs="Tahoma"/>
          <w:iCs/>
          <w:sz w:val="24"/>
          <w:szCs w:val="24"/>
          <w:lang w:val="en-GB"/>
        </w:rPr>
        <w:t>T</w:t>
      </w:r>
      <w:r w:rsidR="00D37DC8" w:rsidRPr="002353FE">
        <w:rPr>
          <w:rFonts w:ascii="Verdana" w:hAnsi="Verdana" w:cs="Tahoma"/>
          <w:iCs/>
          <w:sz w:val="24"/>
          <w:szCs w:val="24"/>
          <w:lang w:val="en-GB"/>
        </w:rPr>
        <w:t xml:space="preserve">he results obtained show that neither financial education policies or disclosure requirements influence the probability of customer </w:t>
      </w:r>
      <w:r w:rsidR="0050569D" w:rsidRPr="002353FE">
        <w:rPr>
          <w:rFonts w:ascii="Verdana" w:hAnsi="Verdana" w:cs="Tahoma"/>
          <w:iCs/>
          <w:sz w:val="24"/>
          <w:szCs w:val="24"/>
          <w:lang w:val="en-GB"/>
        </w:rPr>
        <w:t xml:space="preserve">current </w:t>
      </w:r>
      <w:r w:rsidR="00D37DC8" w:rsidRPr="002353FE">
        <w:rPr>
          <w:rFonts w:ascii="Verdana" w:hAnsi="Verdana" w:cs="Tahoma"/>
          <w:iCs/>
          <w:sz w:val="24"/>
          <w:szCs w:val="24"/>
          <w:lang w:val="en-GB"/>
        </w:rPr>
        <w:t>bank</w:t>
      </w:r>
      <w:r w:rsidR="0050569D" w:rsidRPr="002353FE">
        <w:rPr>
          <w:rFonts w:ascii="Verdana" w:hAnsi="Verdana" w:cs="Tahoma"/>
          <w:iCs/>
          <w:sz w:val="24"/>
          <w:szCs w:val="24"/>
          <w:lang w:val="en-GB"/>
        </w:rPr>
        <w:t xml:space="preserve"> account</w:t>
      </w:r>
      <w:r w:rsidR="00D37DC8" w:rsidRPr="002353FE">
        <w:rPr>
          <w:rFonts w:ascii="Verdana" w:hAnsi="Verdana" w:cs="Tahoma"/>
          <w:iCs/>
          <w:sz w:val="24"/>
          <w:szCs w:val="24"/>
          <w:lang w:val="en-GB"/>
        </w:rPr>
        <w:t xml:space="preserve"> switching. </w:t>
      </w:r>
      <w:r w:rsidR="007A5118" w:rsidRPr="002353FE">
        <w:rPr>
          <w:rFonts w:ascii="Verdana" w:hAnsi="Verdana" w:cs="Tahoma"/>
          <w:iCs/>
          <w:sz w:val="24"/>
          <w:szCs w:val="24"/>
          <w:lang w:val="en-GB"/>
        </w:rPr>
        <w:t xml:space="preserve">The estimates for the effect of elderly and the less-educated customers status on banking switching are also consistent when we control our estimations for these national consumer-oriented policies. This indicates these policies are also ineffective in reducing differences in switching behaviour between more and less vulnerable customers. </w:t>
      </w:r>
    </w:p>
    <w:p w14:paraId="17AC4C7F" w14:textId="235AFDF5" w:rsidR="00624047" w:rsidRPr="002353FE" w:rsidRDefault="00624047" w:rsidP="00D37DC8">
      <w:pPr>
        <w:spacing w:before="120" w:after="120" w:line="480" w:lineRule="auto"/>
        <w:jc w:val="both"/>
        <w:rPr>
          <w:rFonts w:ascii="Verdana" w:hAnsi="Verdana" w:cs="Tahoma"/>
          <w:sz w:val="24"/>
          <w:szCs w:val="24"/>
          <w:lang w:val="en-GB"/>
        </w:rPr>
      </w:pPr>
      <w:r w:rsidRPr="002353FE">
        <w:rPr>
          <w:rFonts w:ascii="Verdana" w:hAnsi="Verdana" w:cs="Tahoma"/>
          <w:sz w:val="24"/>
          <w:szCs w:val="24"/>
          <w:lang w:val="en-GB"/>
        </w:rPr>
        <w:lastRenderedPageBreak/>
        <w:t xml:space="preserve">Both </w:t>
      </w:r>
      <w:r w:rsidR="00A90F43" w:rsidRPr="002353FE">
        <w:rPr>
          <w:rFonts w:ascii="Verdana" w:hAnsi="Verdana" w:cs="Tahoma"/>
          <w:sz w:val="24"/>
          <w:szCs w:val="24"/>
          <w:lang w:val="en-GB"/>
        </w:rPr>
        <w:t>findings</w:t>
      </w:r>
      <w:r w:rsidRPr="002353FE">
        <w:rPr>
          <w:rFonts w:ascii="Verdana" w:hAnsi="Verdana" w:cs="Tahoma"/>
          <w:sz w:val="24"/>
          <w:szCs w:val="24"/>
          <w:lang w:val="en-GB"/>
        </w:rPr>
        <w:t xml:space="preserve"> support the conjecture that individual level decision making</w:t>
      </w:r>
      <w:r w:rsidR="000D5808" w:rsidRPr="002353FE">
        <w:rPr>
          <w:rFonts w:ascii="Verdana" w:hAnsi="Verdana" w:cs="Tahoma"/>
          <w:sz w:val="24"/>
          <w:szCs w:val="24"/>
          <w:lang w:val="en-GB"/>
        </w:rPr>
        <w:t xml:space="preserve"> </w:t>
      </w:r>
      <w:r w:rsidR="00E34A0C" w:rsidRPr="002353FE">
        <w:rPr>
          <w:rFonts w:ascii="Verdana" w:hAnsi="Verdana" w:cs="Tahoma"/>
          <w:sz w:val="24"/>
          <w:szCs w:val="24"/>
          <w:lang w:val="en-GB"/>
        </w:rPr>
        <w:t>underlying the national policies, is</w:t>
      </w:r>
      <w:r w:rsidR="000E7514" w:rsidRPr="002353FE">
        <w:rPr>
          <w:rFonts w:ascii="Verdana" w:hAnsi="Verdana" w:cs="Tahoma"/>
          <w:sz w:val="24"/>
          <w:szCs w:val="24"/>
          <w:lang w:val="en-GB"/>
        </w:rPr>
        <w:t xml:space="preserve"> not the only influence affecting b</w:t>
      </w:r>
      <w:r w:rsidRPr="002353FE">
        <w:rPr>
          <w:rFonts w:ascii="Verdana" w:hAnsi="Verdana" w:cs="Tahoma"/>
          <w:sz w:val="24"/>
          <w:szCs w:val="24"/>
          <w:lang w:val="en-GB"/>
        </w:rPr>
        <w:t xml:space="preserve">ank switching </w:t>
      </w:r>
      <w:r w:rsidR="000E7514" w:rsidRPr="002353FE">
        <w:rPr>
          <w:rFonts w:ascii="Verdana" w:hAnsi="Verdana" w:cs="Tahoma"/>
          <w:sz w:val="24"/>
          <w:szCs w:val="24"/>
          <w:lang w:val="en-GB"/>
        </w:rPr>
        <w:t xml:space="preserve">decisions. Indeed, this process may be </w:t>
      </w:r>
      <w:r w:rsidR="00E34A0C" w:rsidRPr="002353FE">
        <w:rPr>
          <w:rFonts w:ascii="Verdana" w:hAnsi="Verdana" w:cs="Tahoma"/>
          <w:sz w:val="24"/>
          <w:szCs w:val="24"/>
          <w:lang w:val="en-GB"/>
        </w:rPr>
        <w:t xml:space="preserve">far </w:t>
      </w:r>
      <w:r w:rsidR="000E7514" w:rsidRPr="002353FE">
        <w:rPr>
          <w:rFonts w:ascii="Verdana" w:hAnsi="Verdana" w:cs="Tahoma"/>
          <w:sz w:val="24"/>
          <w:szCs w:val="24"/>
          <w:lang w:val="en-GB"/>
        </w:rPr>
        <w:t>more complex, as predicted by churn theory, and involve</w:t>
      </w:r>
      <w:r w:rsidR="00356DA1" w:rsidRPr="002353FE">
        <w:rPr>
          <w:rFonts w:ascii="Verdana" w:hAnsi="Verdana" w:cs="Tahoma"/>
          <w:sz w:val="24"/>
          <w:szCs w:val="24"/>
          <w:lang w:val="en-GB"/>
        </w:rPr>
        <w:t>s</w:t>
      </w:r>
      <w:r w:rsidR="000E7514" w:rsidRPr="002353FE">
        <w:rPr>
          <w:rFonts w:ascii="Verdana" w:hAnsi="Verdana" w:cs="Tahoma"/>
          <w:sz w:val="24"/>
          <w:szCs w:val="24"/>
          <w:lang w:val="en-GB"/>
        </w:rPr>
        <w:t xml:space="preserve"> socio-economic factors as suggested by the financial ecology literature. </w:t>
      </w:r>
      <w:r w:rsidR="00A918A2" w:rsidRPr="002353FE">
        <w:rPr>
          <w:rFonts w:ascii="Verdana" w:hAnsi="Verdana" w:cs="Tahoma"/>
          <w:sz w:val="24"/>
          <w:szCs w:val="24"/>
          <w:lang w:val="en-GB"/>
        </w:rPr>
        <w:t>The finding that personal current account switching is unevenly distributed across socio-economic and geographical groups also has strong commonalities with work examining financial literacy (Lusardi et al., 2015).</w:t>
      </w:r>
    </w:p>
    <w:p w14:paraId="1232F6D9" w14:textId="77777777" w:rsidR="007A5118" w:rsidRPr="002353FE" w:rsidRDefault="007A5118" w:rsidP="00D37DC8">
      <w:pPr>
        <w:spacing w:before="120" w:after="120" w:line="480" w:lineRule="auto"/>
        <w:jc w:val="both"/>
        <w:rPr>
          <w:rFonts w:ascii="Verdana" w:hAnsi="Verdana" w:cs="Tahoma"/>
          <w:sz w:val="24"/>
          <w:szCs w:val="24"/>
          <w:lang w:val="en-GB"/>
        </w:rPr>
      </w:pPr>
    </w:p>
    <w:p w14:paraId="4D0A8BCD" w14:textId="205807EE" w:rsidR="009475B5" w:rsidRPr="002353FE" w:rsidRDefault="009B3D0F" w:rsidP="00D37DC8">
      <w:pPr>
        <w:spacing w:before="120" w:after="120" w:line="480" w:lineRule="auto"/>
        <w:jc w:val="both"/>
        <w:rPr>
          <w:rFonts w:ascii="Verdana" w:hAnsi="Verdana" w:cs="Tahoma"/>
          <w:b/>
          <w:sz w:val="24"/>
          <w:lang w:val="en-GB"/>
        </w:rPr>
      </w:pPr>
      <w:r w:rsidRPr="002353FE">
        <w:rPr>
          <w:rFonts w:ascii="Verdana" w:hAnsi="Verdana" w:cs="Tahoma"/>
          <w:b/>
          <w:sz w:val="24"/>
          <w:lang w:val="en-GB"/>
        </w:rPr>
        <w:t>6</w:t>
      </w:r>
      <w:r w:rsidR="000C19DD" w:rsidRPr="002353FE">
        <w:rPr>
          <w:rFonts w:ascii="Verdana" w:hAnsi="Verdana" w:cs="Tahoma"/>
          <w:b/>
          <w:sz w:val="24"/>
          <w:lang w:val="en-GB"/>
        </w:rPr>
        <w:t xml:space="preserve">.  </w:t>
      </w:r>
      <w:r w:rsidR="000C19DD" w:rsidRPr="002353FE">
        <w:rPr>
          <w:rFonts w:ascii="Verdana" w:hAnsi="Verdana" w:cs="Tahoma"/>
          <w:b/>
          <w:sz w:val="24"/>
          <w:lang w:val="en-GB"/>
        </w:rPr>
        <w:tab/>
      </w:r>
      <w:r w:rsidR="00A7002C" w:rsidRPr="002353FE">
        <w:rPr>
          <w:rFonts w:ascii="Verdana" w:hAnsi="Verdana" w:cs="Tahoma"/>
          <w:b/>
          <w:sz w:val="24"/>
          <w:lang w:val="en-GB"/>
        </w:rPr>
        <w:t>Conclusions</w:t>
      </w:r>
    </w:p>
    <w:p w14:paraId="3A8C966F" w14:textId="772B67C1" w:rsidR="00A918A2" w:rsidRPr="002353FE" w:rsidRDefault="0093782B" w:rsidP="00A918A2">
      <w:pPr>
        <w:spacing w:before="120" w:after="120" w:line="480" w:lineRule="auto"/>
        <w:jc w:val="both"/>
        <w:rPr>
          <w:rFonts w:ascii="Verdana" w:hAnsi="Verdana" w:cs="Tahoma"/>
          <w:sz w:val="24"/>
          <w:lang w:val="en-GB"/>
        </w:rPr>
      </w:pPr>
      <w:r w:rsidRPr="002353FE">
        <w:rPr>
          <w:rFonts w:ascii="Verdana" w:hAnsi="Verdana" w:cs="Tahoma"/>
          <w:sz w:val="24"/>
          <w:lang w:val="en-GB"/>
        </w:rPr>
        <w:t>In th</w:t>
      </w:r>
      <w:r w:rsidR="00C82F0B" w:rsidRPr="002353FE">
        <w:rPr>
          <w:rFonts w:ascii="Verdana" w:hAnsi="Verdana" w:cs="Tahoma"/>
          <w:sz w:val="24"/>
          <w:lang w:val="en-GB"/>
        </w:rPr>
        <w:t>is</w:t>
      </w:r>
      <w:r w:rsidRPr="002353FE">
        <w:rPr>
          <w:rFonts w:ascii="Verdana" w:hAnsi="Verdana" w:cs="Tahoma"/>
          <w:sz w:val="24"/>
          <w:lang w:val="en-GB"/>
        </w:rPr>
        <w:t xml:space="preserve"> </w:t>
      </w:r>
      <w:r w:rsidR="00C82F0B" w:rsidRPr="002353FE">
        <w:rPr>
          <w:rFonts w:ascii="Verdana" w:hAnsi="Verdana" w:cs="Tahoma"/>
          <w:sz w:val="24"/>
          <w:lang w:val="en-GB"/>
        </w:rPr>
        <w:t>study,</w:t>
      </w:r>
      <w:r w:rsidRPr="002353FE">
        <w:rPr>
          <w:rFonts w:ascii="Verdana" w:hAnsi="Verdana" w:cs="Tahoma"/>
          <w:sz w:val="24"/>
          <w:lang w:val="en-GB"/>
        </w:rPr>
        <w:t xml:space="preserve"> we examine </w:t>
      </w:r>
      <w:r w:rsidR="00A545D5" w:rsidRPr="002353FE">
        <w:rPr>
          <w:rFonts w:ascii="Verdana" w:hAnsi="Verdana" w:cs="Tahoma"/>
          <w:sz w:val="24"/>
          <w:lang w:val="en-GB"/>
        </w:rPr>
        <w:t>the relationship</w:t>
      </w:r>
      <w:r w:rsidR="00E52258" w:rsidRPr="002353FE">
        <w:rPr>
          <w:rFonts w:ascii="Verdana" w:hAnsi="Verdana" w:cs="Tahoma"/>
          <w:sz w:val="24"/>
          <w:lang w:val="en-GB"/>
        </w:rPr>
        <w:t>s</w:t>
      </w:r>
      <w:r w:rsidR="00A545D5" w:rsidRPr="002353FE">
        <w:rPr>
          <w:rFonts w:ascii="Verdana" w:hAnsi="Verdana" w:cs="Tahoma"/>
          <w:sz w:val="24"/>
          <w:lang w:val="en-GB"/>
        </w:rPr>
        <w:t xml:space="preserve"> between </w:t>
      </w:r>
      <w:r w:rsidRPr="002353FE">
        <w:rPr>
          <w:rFonts w:ascii="Verdana" w:hAnsi="Verdana" w:cs="Tahoma"/>
          <w:sz w:val="24"/>
          <w:lang w:val="en-GB"/>
        </w:rPr>
        <w:t xml:space="preserve">customers’ propensity to switch </w:t>
      </w:r>
      <w:r w:rsidR="00C82F0B" w:rsidRPr="002353FE">
        <w:rPr>
          <w:rFonts w:ascii="Verdana" w:hAnsi="Verdana" w:cs="Tahoma"/>
          <w:sz w:val="24"/>
          <w:lang w:val="en-GB"/>
        </w:rPr>
        <w:t>personal current accounts</w:t>
      </w:r>
      <w:r w:rsidR="00E52258" w:rsidRPr="002353FE">
        <w:rPr>
          <w:rFonts w:ascii="Verdana" w:hAnsi="Verdana" w:cs="Tahoma"/>
          <w:sz w:val="24"/>
          <w:lang w:val="en-GB"/>
        </w:rPr>
        <w:t xml:space="preserve">, customer vulnerability and </w:t>
      </w:r>
      <w:r w:rsidR="009B2878" w:rsidRPr="002353FE">
        <w:rPr>
          <w:rFonts w:ascii="Verdana" w:hAnsi="Verdana" w:cs="Tahoma"/>
          <w:sz w:val="24"/>
          <w:lang w:val="en-GB"/>
        </w:rPr>
        <w:t xml:space="preserve">policies used to enhance switching. We </w:t>
      </w:r>
      <w:r w:rsidRPr="002353FE">
        <w:rPr>
          <w:rFonts w:ascii="Verdana" w:hAnsi="Verdana" w:cs="Tahoma"/>
          <w:sz w:val="24"/>
          <w:lang w:val="en-GB"/>
        </w:rPr>
        <w:t>report that substantial heteroge</w:t>
      </w:r>
      <w:r w:rsidR="0044537F" w:rsidRPr="002353FE">
        <w:rPr>
          <w:rFonts w:ascii="Verdana" w:hAnsi="Verdana" w:cs="Tahoma"/>
          <w:sz w:val="24"/>
          <w:lang w:val="en-GB"/>
        </w:rPr>
        <w:t>ne</w:t>
      </w:r>
      <w:r w:rsidRPr="002353FE">
        <w:rPr>
          <w:rFonts w:ascii="Verdana" w:hAnsi="Verdana" w:cs="Tahoma"/>
          <w:sz w:val="24"/>
          <w:lang w:val="en-GB"/>
        </w:rPr>
        <w:t>ity exist</w:t>
      </w:r>
      <w:r w:rsidR="00B00B0D" w:rsidRPr="002353FE">
        <w:rPr>
          <w:rFonts w:ascii="Verdana" w:hAnsi="Verdana" w:cs="Tahoma"/>
          <w:sz w:val="24"/>
          <w:lang w:val="en-GB"/>
        </w:rPr>
        <w:t xml:space="preserve">s in </w:t>
      </w:r>
      <w:r w:rsidRPr="002353FE">
        <w:rPr>
          <w:rFonts w:ascii="Verdana" w:hAnsi="Verdana" w:cs="Tahoma"/>
          <w:sz w:val="24"/>
          <w:lang w:val="en-GB"/>
        </w:rPr>
        <w:t xml:space="preserve">the </w:t>
      </w:r>
      <w:r w:rsidR="000F23A6" w:rsidRPr="002353FE">
        <w:rPr>
          <w:rFonts w:ascii="Verdana" w:hAnsi="Verdana" w:cs="Tahoma"/>
          <w:sz w:val="24"/>
          <w:lang w:val="en-GB"/>
        </w:rPr>
        <w:t>distribution of customers</w:t>
      </w:r>
      <w:r w:rsidR="002A7855" w:rsidRPr="002353FE">
        <w:rPr>
          <w:rFonts w:ascii="Verdana" w:hAnsi="Verdana" w:cs="Tahoma"/>
          <w:sz w:val="24"/>
          <w:lang w:val="en-GB"/>
        </w:rPr>
        <w:t>’</w:t>
      </w:r>
      <w:r w:rsidR="000F23A6" w:rsidRPr="002353FE">
        <w:rPr>
          <w:rFonts w:ascii="Verdana" w:hAnsi="Verdana" w:cs="Tahoma"/>
          <w:sz w:val="24"/>
          <w:lang w:val="en-GB"/>
        </w:rPr>
        <w:t xml:space="preserve"> </w:t>
      </w:r>
      <w:r w:rsidR="00583AB2" w:rsidRPr="002353FE">
        <w:rPr>
          <w:rFonts w:ascii="Verdana" w:hAnsi="Verdana" w:cs="Tahoma"/>
          <w:sz w:val="24"/>
          <w:lang w:val="en-GB"/>
        </w:rPr>
        <w:t>switch</w:t>
      </w:r>
      <w:r w:rsidR="000F23A6" w:rsidRPr="002353FE">
        <w:rPr>
          <w:rFonts w:ascii="Verdana" w:hAnsi="Verdana" w:cs="Tahoma"/>
          <w:sz w:val="24"/>
          <w:lang w:val="en-GB"/>
        </w:rPr>
        <w:t xml:space="preserve">ing </w:t>
      </w:r>
      <w:r w:rsidR="00B00B0D" w:rsidRPr="002353FE">
        <w:rPr>
          <w:rFonts w:ascii="Verdana" w:hAnsi="Verdana" w:cs="Tahoma"/>
          <w:sz w:val="24"/>
          <w:lang w:val="en-GB"/>
        </w:rPr>
        <w:t xml:space="preserve">personal </w:t>
      </w:r>
      <w:r w:rsidR="000F23A6" w:rsidRPr="002353FE">
        <w:rPr>
          <w:rFonts w:ascii="Verdana" w:hAnsi="Verdana" w:cs="Tahoma"/>
          <w:sz w:val="24"/>
          <w:lang w:val="en-GB"/>
        </w:rPr>
        <w:t>current accounts</w:t>
      </w:r>
      <w:r w:rsidR="00CE76C8" w:rsidRPr="002353FE">
        <w:rPr>
          <w:rFonts w:ascii="Verdana" w:hAnsi="Verdana" w:cs="Tahoma"/>
          <w:sz w:val="24"/>
          <w:lang w:val="en-GB"/>
        </w:rPr>
        <w:t>,</w:t>
      </w:r>
      <w:r w:rsidR="009B2878" w:rsidRPr="002353FE">
        <w:rPr>
          <w:rFonts w:ascii="Verdana" w:hAnsi="Verdana" w:cs="Tahoma"/>
          <w:sz w:val="24"/>
          <w:lang w:val="en-GB"/>
        </w:rPr>
        <w:t xml:space="preserve"> </w:t>
      </w:r>
      <w:r w:rsidR="00EF2270" w:rsidRPr="002353FE">
        <w:rPr>
          <w:rFonts w:ascii="Verdana" w:hAnsi="Verdana" w:cs="Tahoma"/>
          <w:sz w:val="24"/>
          <w:lang w:val="en-GB"/>
        </w:rPr>
        <w:t xml:space="preserve">when comparing </w:t>
      </w:r>
      <w:r w:rsidR="00CE76C8" w:rsidRPr="002353FE">
        <w:rPr>
          <w:rFonts w:ascii="Verdana" w:hAnsi="Verdana" w:cs="Tahoma"/>
          <w:sz w:val="24"/>
          <w:lang w:val="en-GB"/>
        </w:rPr>
        <w:t>v</w:t>
      </w:r>
      <w:r w:rsidR="00EF2270" w:rsidRPr="002353FE">
        <w:rPr>
          <w:rFonts w:ascii="Verdana" w:hAnsi="Verdana" w:cs="Tahoma"/>
          <w:sz w:val="24"/>
          <w:lang w:val="en-GB"/>
        </w:rPr>
        <w:t>ulnerable customers and their counterparts</w:t>
      </w:r>
      <w:r w:rsidR="000F23A6" w:rsidRPr="002353FE">
        <w:rPr>
          <w:rFonts w:ascii="Verdana" w:hAnsi="Verdana" w:cs="Tahoma"/>
          <w:sz w:val="24"/>
          <w:lang w:val="en-GB"/>
        </w:rPr>
        <w:t>.</w:t>
      </w:r>
      <w:r w:rsidR="00EF2270" w:rsidRPr="002353FE">
        <w:rPr>
          <w:rFonts w:ascii="Verdana" w:hAnsi="Verdana" w:cs="Tahoma"/>
          <w:sz w:val="24"/>
          <w:lang w:val="en-GB"/>
        </w:rPr>
        <w:t xml:space="preserve"> The elderly</w:t>
      </w:r>
      <w:r w:rsidR="00903D32" w:rsidRPr="002353FE">
        <w:rPr>
          <w:rFonts w:ascii="Verdana" w:hAnsi="Verdana" w:cs="Tahoma"/>
          <w:sz w:val="24"/>
          <w:lang w:val="en-GB"/>
        </w:rPr>
        <w:t xml:space="preserve"> and less educated</w:t>
      </w:r>
      <w:r w:rsidR="00EF2270" w:rsidRPr="002353FE">
        <w:rPr>
          <w:rFonts w:ascii="Verdana" w:hAnsi="Verdana" w:cs="Tahoma"/>
          <w:sz w:val="24"/>
          <w:lang w:val="en-GB"/>
        </w:rPr>
        <w:t xml:space="preserve"> customers</w:t>
      </w:r>
      <w:r w:rsidR="00CE5832" w:rsidRPr="002353FE">
        <w:rPr>
          <w:rFonts w:ascii="Verdana" w:hAnsi="Verdana" w:cs="Tahoma"/>
          <w:sz w:val="24"/>
          <w:lang w:val="en-GB"/>
        </w:rPr>
        <w:t xml:space="preserve"> </w:t>
      </w:r>
      <w:r w:rsidR="000F23A6" w:rsidRPr="002353FE">
        <w:rPr>
          <w:rFonts w:ascii="Verdana" w:hAnsi="Verdana" w:cs="Tahoma"/>
          <w:sz w:val="24"/>
          <w:lang w:val="en-GB"/>
        </w:rPr>
        <w:t xml:space="preserve">are </w:t>
      </w:r>
      <w:r w:rsidR="00583AB2" w:rsidRPr="002353FE">
        <w:rPr>
          <w:rFonts w:ascii="Verdana" w:hAnsi="Verdana" w:cs="Tahoma"/>
          <w:sz w:val="24"/>
          <w:lang w:val="en-GB"/>
        </w:rPr>
        <w:t xml:space="preserve">far less likely to </w:t>
      </w:r>
      <w:r w:rsidR="00C82F0B" w:rsidRPr="002353FE">
        <w:rPr>
          <w:rFonts w:ascii="Verdana" w:hAnsi="Verdana" w:cs="Tahoma"/>
          <w:sz w:val="24"/>
          <w:lang w:val="en-GB"/>
        </w:rPr>
        <w:t xml:space="preserve">switch their personal current account </w:t>
      </w:r>
      <w:r w:rsidR="000F23A6" w:rsidRPr="002353FE">
        <w:rPr>
          <w:rFonts w:ascii="Verdana" w:hAnsi="Verdana" w:cs="Tahoma"/>
          <w:sz w:val="24"/>
          <w:lang w:val="en-GB"/>
        </w:rPr>
        <w:t xml:space="preserve">than other </w:t>
      </w:r>
      <w:r w:rsidR="00EF2270" w:rsidRPr="002353FE">
        <w:rPr>
          <w:rFonts w:ascii="Verdana" w:hAnsi="Verdana" w:cs="Tahoma"/>
          <w:sz w:val="24"/>
          <w:lang w:val="en-GB"/>
        </w:rPr>
        <w:t>customers</w:t>
      </w:r>
      <w:r w:rsidR="00583AB2" w:rsidRPr="002353FE">
        <w:rPr>
          <w:rFonts w:ascii="Verdana" w:hAnsi="Verdana" w:cs="Tahoma"/>
          <w:sz w:val="24"/>
          <w:lang w:val="en-GB"/>
        </w:rPr>
        <w:t>.</w:t>
      </w:r>
      <w:r w:rsidR="00340B20" w:rsidRPr="002353FE">
        <w:rPr>
          <w:rFonts w:ascii="Verdana" w:hAnsi="Verdana" w:cs="Tahoma"/>
          <w:sz w:val="24"/>
          <w:lang w:val="en-GB"/>
        </w:rPr>
        <w:t xml:space="preserve"> </w:t>
      </w:r>
      <w:r w:rsidR="00A545D5" w:rsidRPr="002353FE">
        <w:rPr>
          <w:rFonts w:ascii="Verdana" w:hAnsi="Verdana" w:cs="Tahoma"/>
          <w:sz w:val="24"/>
          <w:lang w:val="en-GB"/>
        </w:rPr>
        <w:t xml:space="preserve">A lower propensity to switch </w:t>
      </w:r>
      <w:r w:rsidR="00826E1A" w:rsidRPr="002353FE">
        <w:rPr>
          <w:rFonts w:ascii="Verdana" w:hAnsi="Verdana" w:cs="Tahoma"/>
          <w:sz w:val="24"/>
          <w:lang w:val="en-GB"/>
        </w:rPr>
        <w:t xml:space="preserve">banks </w:t>
      </w:r>
      <w:r w:rsidR="00A545D5" w:rsidRPr="002353FE">
        <w:rPr>
          <w:rFonts w:ascii="Verdana" w:hAnsi="Verdana" w:cs="Tahoma"/>
          <w:sz w:val="24"/>
          <w:lang w:val="en-GB"/>
        </w:rPr>
        <w:t xml:space="preserve">is </w:t>
      </w:r>
      <w:r w:rsidR="00CC49C3" w:rsidRPr="002353FE">
        <w:rPr>
          <w:rFonts w:ascii="Verdana" w:hAnsi="Verdana" w:cs="Tahoma"/>
          <w:sz w:val="24"/>
          <w:lang w:val="en-GB"/>
        </w:rPr>
        <w:t xml:space="preserve">also </w:t>
      </w:r>
      <w:r w:rsidR="00693A59" w:rsidRPr="002353FE">
        <w:rPr>
          <w:rFonts w:ascii="Verdana" w:hAnsi="Verdana" w:cs="Tahoma"/>
          <w:sz w:val="24"/>
          <w:lang w:val="en-GB"/>
        </w:rPr>
        <w:t>observed</w:t>
      </w:r>
      <w:r w:rsidR="00922A10" w:rsidRPr="002353FE">
        <w:rPr>
          <w:rFonts w:ascii="Verdana" w:hAnsi="Verdana" w:cs="Tahoma"/>
          <w:sz w:val="24"/>
          <w:lang w:val="en-GB"/>
        </w:rPr>
        <w:t xml:space="preserve"> </w:t>
      </w:r>
      <w:r w:rsidR="00903D32" w:rsidRPr="002353FE">
        <w:rPr>
          <w:rFonts w:ascii="Verdana" w:hAnsi="Verdana" w:cs="Tahoma"/>
          <w:sz w:val="24"/>
          <w:lang w:val="en-GB"/>
        </w:rPr>
        <w:t xml:space="preserve">for </w:t>
      </w:r>
      <w:r w:rsidR="00A545D5" w:rsidRPr="002353FE">
        <w:rPr>
          <w:rFonts w:ascii="Verdana" w:hAnsi="Verdana" w:cs="Tahoma"/>
          <w:sz w:val="24"/>
          <w:lang w:val="en-GB"/>
        </w:rPr>
        <w:t>customers</w:t>
      </w:r>
      <w:r w:rsidR="00903D32" w:rsidRPr="002353FE">
        <w:rPr>
          <w:rFonts w:ascii="Verdana" w:hAnsi="Verdana" w:cs="Tahoma"/>
          <w:sz w:val="24"/>
          <w:lang w:val="en-GB"/>
        </w:rPr>
        <w:t xml:space="preserve"> living in </w:t>
      </w:r>
      <w:r w:rsidR="007503A1" w:rsidRPr="002353FE">
        <w:rPr>
          <w:rFonts w:ascii="Verdana" w:hAnsi="Verdana" w:cs="Tahoma"/>
          <w:sz w:val="24"/>
          <w:lang w:val="en-GB"/>
        </w:rPr>
        <w:t xml:space="preserve">poorer </w:t>
      </w:r>
      <w:r w:rsidR="00903D32" w:rsidRPr="002353FE">
        <w:rPr>
          <w:rFonts w:ascii="Verdana" w:hAnsi="Verdana" w:cs="Tahoma"/>
          <w:sz w:val="24"/>
          <w:lang w:val="en-GB"/>
        </w:rPr>
        <w:t>regions</w:t>
      </w:r>
      <w:r w:rsidR="00340B20" w:rsidRPr="002353FE">
        <w:rPr>
          <w:rFonts w:ascii="Verdana" w:hAnsi="Verdana" w:cs="Tahoma"/>
          <w:sz w:val="24"/>
          <w:lang w:val="en-GB"/>
        </w:rPr>
        <w:t>.</w:t>
      </w:r>
      <w:r w:rsidR="00583AB2" w:rsidRPr="002353FE">
        <w:rPr>
          <w:rFonts w:ascii="Verdana" w:hAnsi="Verdana" w:cs="Tahoma"/>
          <w:sz w:val="24"/>
          <w:lang w:val="en-GB"/>
        </w:rPr>
        <w:t xml:space="preserve"> </w:t>
      </w:r>
      <w:r w:rsidR="005A3AE4" w:rsidRPr="002353FE">
        <w:rPr>
          <w:rFonts w:ascii="Verdana" w:hAnsi="Verdana" w:cs="Tahoma"/>
          <w:sz w:val="24"/>
          <w:lang w:val="en-GB"/>
        </w:rPr>
        <w:t xml:space="preserve">We </w:t>
      </w:r>
      <w:r w:rsidR="00CC49C3" w:rsidRPr="002353FE">
        <w:rPr>
          <w:rFonts w:ascii="Verdana" w:hAnsi="Verdana" w:cs="Tahoma"/>
          <w:sz w:val="24"/>
          <w:lang w:val="en-GB"/>
        </w:rPr>
        <w:t>further</w:t>
      </w:r>
      <w:r w:rsidR="005A3AE4" w:rsidRPr="002353FE">
        <w:rPr>
          <w:rFonts w:ascii="Verdana" w:hAnsi="Verdana" w:cs="Tahoma"/>
          <w:sz w:val="24"/>
          <w:lang w:val="en-GB"/>
        </w:rPr>
        <w:t xml:space="preserve"> report </w:t>
      </w:r>
      <w:r w:rsidR="00461DEB" w:rsidRPr="002353FE">
        <w:rPr>
          <w:rFonts w:ascii="Verdana" w:hAnsi="Verdana" w:cs="Tahoma"/>
          <w:sz w:val="24"/>
          <w:lang w:val="en-GB"/>
        </w:rPr>
        <w:t xml:space="preserve">that </w:t>
      </w:r>
      <w:r w:rsidR="00EF2270" w:rsidRPr="002353FE">
        <w:rPr>
          <w:rFonts w:ascii="Verdana" w:hAnsi="Verdana" w:cs="Tahoma"/>
          <w:sz w:val="24"/>
          <w:lang w:val="en-GB"/>
        </w:rPr>
        <w:t xml:space="preserve">neither </w:t>
      </w:r>
      <w:r w:rsidR="00461DEB" w:rsidRPr="002353FE">
        <w:rPr>
          <w:rFonts w:ascii="Verdana" w:hAnsi="Verdana" w:cs="Tahoma"/>
          <w:sz w:val="24"/>
          <w:lang w:val="en-GB"/>
        </w:rPr>
        <w:t xml:space="preserve">financial education policies </w:t>
      </w:r>
      <w:r w:rsidR="00EF2270" w:rsidRPr="002353FE">
        <w:rPr>
          <w:rFonts w:ascii="Verdana" w:hAnsi="Verdana" w:cs="Tahoma"/>
          <w:sz w:val="24"/>
          <w:lang w:val="en-GB"/>
        </w:rPr>
        <w:t xml:space="preserve">or disclosure practices </w:t>
      </w:r>
      <w:r w:rsidR="000508B7" w:rsidRPr="001E7395">
        <w:rPr>
          <w:rFonts w:ascii="Verdana" w:hAnsi="Verdana" w:cs="Tahoma"/>
          <w:sz w:val="24"/>
          <w:lang w:val="en-GB"/>
        </w:rPr>
        <w:t>carried out at the national level</w:t>
      </w:r>
      <w:r w:rsidR="000508B7" w:rsidRPr="002353FE">
        <w:rPr>
          <w:rFonts w:ascii="Verdana" w:hAnsi="Verdana" w:cs="Tahoma"/>
          <w:sz w:val="24"/>
          <w:lang w:val="en-GB"/>
        </w:rPr>
        <w:t xml:space="preserve"> </w:t>
      </w:r>
      <w:r w:rsidR="00EF2270" w:rsidRPr="002353FE">
        <w:rPr>
          <w:rFonts w:ascii="Verdana" w:hAnsi="Verdana" w:cs="Tahoma"/>
          <w:sz w:val="24"/>
          <w:lang w:val="en-GB"/>
        </w:rPr>
        <w:t>have a significant effect on the</w:t>
      </w:r>
      <w:r w:rsidR="00461DEB" w:rsidRPr="002353FE">
        <w:rPr>
          <w:rFonts w:ascii="Verdana" w:hAnsi="Verdana" w:cs="Tahoma"/>
          <w:sz w:val="24"/>
          <w:lang w:val="en-GB"/>
        </w:rPr>
        <w:t xml:space="preserve"> individual propensity to switch current bank account</w:t>
      </w:r>
      <w:r w:rsidR="00EF2270" w:rsidRPr="002353FE">
        <w:rPr>
          <w:rFonts w:ascii="Verdana" w:hAnsi="Verdana" w:cs="Tahoma"/>
          <w:sz w:val="24"/>
          <w:lang w:val="en-GB"/>
        </w:rPr>
        <w:t xml:space="preserve">. </w:t>
      </w:r>
      <w:r w:rsidR="004208EB" w:rsidRPr="002353FE">
        <w:rPr>
          <w:rFonts w:ascii="Verdana" w:hAnsi="Verdana" w:cs="Tahoma"/>
          <w:sz w:val="24"/>
          <w:lang w:val="en-GB"/>
        </w:rPr>
        <w:t>These results</w:t>
      </w:r>
      <w:r w:rsidR="002A5A3B" w:rsidRPr="002353FE">
        <w:rPr>
          <w:rFonts w:ascii="Verdana" w:hAnsi="Verdana" w:cs="Tahoma"/>
          <w:sz w:val="24"/>
          <w:lang w:val="en-GB"/>
        </w:rPr>
        <w:t>,</w:t>
      </w:r>
      <w:r w:rsidR="004208EB" w:rsidRPr="002353FE">
        <w:rPr>
          <w:rFonts w:ascii="Verdana" w:hAnsi="Verdana" w:cs="Tahoma"/>
          <w:sz w:val="24"/>
          <w:lang w:val="en-GB"/>
        </w:rPr>
        <w:t xml:space="preserve"> </w:t>
      </w:r>
      <w:r w:rsidR="002A5A3B" w:rsidRPr="002353FE">
        <w:rPr>
          <w:rFonts w:ascii="Verdana" w:hAnsi="Verdana" w:cs="Tahoma"/>
          <w:sz w:val="24"/>
          <w:lang w:val="en-GB"/>
        </w:rPr>
        <w:t xml:space="preserve">which </w:t>
      </w:r>
      <w:r w:rsidR="004208EB" w:rsidRPr="001E7395">
        <w:rPr>
          <w:rFonts w:ascii="Verdana" w:hAnsi="Verdana" w:cs="Tahoma"/>
          <w:sz w:val="24"/>
          <w:lang w:val="en-GB"/>
        </w:rPr>
        <w:t>contradict contemporary policy approaches, are unsurprising i</w:t>
      </w:r>
      <w:r w:rsidR="00826E1A" w:rsidRPr="001E7395">
        <w:rPr>
          <w:rFonts w:ascii="Verdana" w:hAnsi="Verdana" w:cs="Tahoma"/>
          <w:sz w:val="24"/>
          <w:lang w:val="en-GB"/>
        </w:rPr>
        <w:t xml:space="preserve">n light of the predictions of </w:t>
      </w:r>
      <w:r w:rsidR="004208EB" w:rsidRPr="001E7395">
        <w:rPr>
          <w:rFonts w:ascii="Verdana" w:hAnsi="Verdana" w:cs="Tahoma"/>
          <w:sz w:val="24"/>
          <w:lang w:val="en-GB"/>
        </w:rPr>
        <w:t xml:space="preserve">churn theory and </w:t>
      </w:r>
      <w:r w:rsidR="00826E1A" w:rsidRPr="001E7395">
        <w:rPr>
          <w:rFonts w:ascii="Verdana" w:hAnsi="Verdana" w:cs="Tahoma"/>
          <w:sz w:val="24"/>
          <w:lang w:val="en-GB"/>
        </w:rPr>
        <w:t>the financial ecologies literature.</w:t>
      </w:r>
      <w:r w:rsidR="00826E1A" w:rsidRPr="002353FE">
        <w:rPr>
          <w:rFonts w:ascii="Verdana" w:hAnsi="Verdana" w:cs="Tahoma"/>
          <w:sz w:val="24"/>
          <w:lang w:val="en-GB"/>
        </w:rPr>
        <w:t xml:space="preserve"> </w:t>
      </w:r>
    </w:p>
    <w:p w14:paraId="353EA701" w14:textId="05838F04" w:rsidR="00162B22" w:rsidRPr="002353FE" w:rsidRDefault="00304D1F" w:rsidP="00A918A2">
      <w:pPr>
        <w:spacing w:before="120" w:after="120" w:line="480" w:lineRule="auto"/>
        <w:jc w:val="both"/>
        <w:rPr>
          <w:rFonts w:ascii="Verdana" w:hAnsi="Verdana" w:cs="Tahoma"/>
          <w:sz w:val="24"/>
          <w:lang w:val="en-GB"/>
        </w:rPr>
      </w:pPr>
      <w:r w:rsidRPr="002353FE">
        <w:rPr>
          <w:rFonts w:ascii="Verdana" w:hAnsi="Verdana" w:cs="Tahoma"/>
          <w:sz w:val="24"/>
          <w:lang w:val="en-GB"/>
        </w:rPr>
        <w:lastRenderedPageBreak/>
        <w:t>The implications of these findings ar</w:t>
      </w:r>
      <w:r w:rsidR="00C82F0B" w:rsidRPr="002353FE">
        <w:rPr>
          <w:rFonts w:ascii="Verdana" w:hAnsi="Verdana" w:cs="Tahoma"/>
          <w:sz w:val="24"/>
          <w:lang w:val="en-GB"/>
        </w:rPr>
        <w:t>e</w:t>
      </w:r>
      <w:r w:rsidRPr="002353FE">
        <w:rPr>
          <w:rFonts w:ascii="Verdana" w:hAnsi="Verdana" w:cs="Tahoma"/>
          <w:sz w:val="24"/>
          <w:lang w:val="en-GB"/>
        </w:rPr>
        <w:t xml:space="preserve"> multifarious</w:t>
      </w:r>
      <w:r w:rsidR="002B7A76" w:rsidRPr="002353FE">
        <w:rPr>
          <w:rFonts w:ascii="Verdana" w:hAnsi="Verdana" w:cs="Tahoma"/>
          <w:sz w:val="24"/>
          <w:lang w:val="en-GB"/>
        </w:rPr>
        <w:t xml:space="preserve">. Clearly, </w:t>
      </w:r>
      <w:r w:rsidRPr="002353FE">
        <w:rPr>
          <w:rFonts w:ascii="Verdana" w:hAnsi="Verdana" w:cs="Tahoma"/>
          <w:sz w:val="24"/>
          <w:lang w:val="en-GB"/>
        </w:rPr>
        <w:t>polic</w:t>
      </w:r>
      <w:r w:rsidR="002A7855" w:rsidRPr="002353FE">
        <w:rPr>
          <w:rFonts w:ascii="Verdana" w:hAnsi="Verdana" w:cs="Tahoma"/>
          <w:sz w:val="24"/>
          <w:lang w:val="en-GB"/>
        </w:rPr>
        <w:t>ies t</w:t>
      </w:r>
      <w:r w:rsidR="006F4F24" w:rsidRPr="002353FE">
        <w:rPr>
          <w:rFonts w:ascii="Verdana" w:hAnsi="Verdana" w:cs="Tahoma"/>
          <w:sz w:val="24"/>
          <w:lang w:val="en-GB"/>
        </w:rPr>
        <w:t>hat aim t</w:t>
      </w:r>
      <w:r w:rsidR="002A7855" w:rsidRPr="002353FE">
        <w:rPr>
          <w:rFonts w:ascii="Verdana" w:hAnsi="Verdana" w:cs="Tahoma"/>
          <w:sz w:val="24"/>
          <w:lang w:val="en-GB"/>
        </w:rPr>
        <w:t xml:space="preserve">o encourage bank switching </w:t>
      </w:r>
      <w:r w:rsidR="00291247" w:rsidRPr="002353FE">
        <w:rPr>
          <w:rFonts w:ascii="Verdana" w:hAnsi="Verdana" w:cs="Tahoma"/>
          <w:sz w:val="24"/>
          <w:lang w:val="en-GB"/>
        </w:rPr>
        <w:t xml:space="preserve">should </w:t>
      </w:r>
      <w:r w:rsidRPr="002353FE">
        <w:rPr>
          <w:rFonts w:ascii="Verdana" w:hAnsi="Verdana" w:cs="Tahoma"/>
          <w:sz w:val="24"/>
          <w:lang w:val="en-GB"/>
        </w:rPr>
        <w:t>acknowledge and incorporate th</w:t>
      </w:r>
      <w:r w:rsidR="008D3B42" w:rsidRPr="002353FE">
        <w:rPr>
          <w:rFonts w:ascii="Verdana" w:hAnsi="Verdana" w:cs="Tahoma"/>
          <w:sz w:val="24"/>
          <w:lang w:val="en-GB"/>
        </w:rPr>
        <w:t>e</w:t>
      </w:r>
      <w:r w:rsidRPr="002353FE">
        <w:rPr>
          <w:rFonts w:ascii="Verdana" w:hAnsi="Verdana" w:cs="Tahoma"/>
          <w:sz w:val="24"/>
          <w:lang w:val="en-GB"/>
        </w:rPr>
        <w:t xml:space="preserve"> heteroge</w:t>
      </w:r>
      <w:r w:rsidR="0044537F" w:rsidRPr="002353FE">
        <w:rPr>
          <w:rFonts w:ascii="Verdana" w:hAnsi="Verdana" w:cs="Tahoma"/>
          <w:sz w:val="24"/>
          <w:lang w:val="en-GB"/>
        </w:rPr>
        <w:t>ne</w:t>
      </w:r>
      <w:r w:rsidRPr="002353FE">
        <w:rPr>
          <w:rFonts w:ascii="Verdana" w:hAnsi="Verdana" w:cs="Tahoma"/>
          <w:sz w:val="24"/>
          <w:lang w:val="en-GB"/>
        </w:rPr>
        <w:t>ity of customer switching</w:t>
      </w:r>
      <w:r w:rsidR="00B812D6" w:rsidRPr="002353FE">
        <w:rPr>
          <w:rFonts w:ascii="Verdana" w:hAnsi="Verdana" w:cs="Tahoma"/>
          <w:sz w:val="24"/>
          <w:lang w:val="en-GB"/>
        </w:rPr>
        <w:t xml:space="preserve"> and the specific needs and circumstances of vulnerable customers</w:t>
      </w:r>
      <w:r w:rsidRPr="002353FE">
        <w:rPr>
          <w:rFonts w:ascii="Verdana" w:hAnsi="Verdana" w:cs="Tahoma"/>
          <w:sz w:val="24"/>
          <w:lang w:val="en-GB"/>
        </w:rPr>
        <w:t xml:space="preserve">. </w:t>
      </w:r>
      <w:r w:rsidR="008231C3" w:rsidRPr="002353FE">
        <w:rPr>
          <w:rFonts w:ascii="Verdana" w:hAnsi="Verdana" w:cs="Tahoma"/>
          <w:sz w:val="24"/>
          <w:lang w:val="en-GB"/>
        </w:rPr>
        <w:t xml:space="preserve">As existing </w:t>
      </w:r>
      <w:r w:rsidR="0094165C" w:rsidRPr="002353FE">
        <w:rPr>
          <w:rFonts w:ascii="Verdana" w:hAnsi="Verdana" w:cs="Tahoma"/>
          <w:sz w:val="24"/>
          <w:lang w:val="en-GB"/>
        </w:rPr>
        <w:t xml:space="preserve">national </w:t>
      </w:r>
      <w:r w:rsidR="002B7A76" w:rsidRPr="002353FE">
        <w:rPr>
          <w:rFonts w:ascii="Verdana" w:hAnsi="Verdana" w:cs="Tahoma"/>
          <w:sz w:val="24"/>
          <w:lang w:val="en-GB"/>
        </w:rPr>
        <w:t>financial education programmes</w:t>
      </w:r>
      <w:r w:rsidR="00B00A0B" w:rsidRPr="002353FE">
        <w:rPr>
          <w:rFonts w:ascii="Verdana" w:hAnsi="Verdana" w:cs="Tahoma"/>
          <w:sz w:val="24"/>
          <w:lang w:val="en-GB"/>
        </w:rPr>
        <w:t xml:space="preserve"> </w:t>
      </w:r>
      <w:r w:rsidR="00CC49C3" w:rsidRPr="002353FE">
        <w:rPr>
          <w:rFonts w:ascii="Verdana" w:hAnsi="Verdana" w:cs="Tahoma"/>
          <w:sz w:val="24"/>
          <w:lang w:val="en-GB"/>
        </w:rPr>
        <w:t xml:space="preserve">appear </w:t>
      </w:r>
      <w:r w:rsidR="008231C3" w:rsidRPr="002353FE">
        <w:rPr>
          <w:rFonts w:ascii="Verdana" w:hAnsi="Verdana" w:cs="Tahoma"/>
          <w:sz w:val="24"/>
          <w:lang w:val="en-GB"/>
        </w:rPr>
        <w:t xml:space="preserve">to have </w:t>
      </w:r>
      <w:r w:rsidR="00C62024" w:rsidRPr="002353FE">
        <w:rPr>
          <w:rFonts w:ascii="Verdana" w:hAnsi="Verdana" w:cs="Tahoma"/>
          <w:sz w:val="24"/>
          <w:lang w:val="en-GB"/>
        </w:rPr>
        <w:t xml:space="preserve">limited </w:t>
      </w:r>
      <w:r w:rsidR="008231C3" w:rsidRPr="002353FE">
        <w:rPr>
          <w:rFonts w:ascii="Verdana" w:hAnsi="Verdana" w:cs="Tahoma"/>
          <w:sz w:val="24"/>
          <w:lang w:val="en-GB"/>
        </w:rPr>
        <w:t>value, we propose t</w:t>
      </w:r>
      <w:r w:rsidR="002B7A76" w:rsidRPr="002353FE">
        <w:rPr>
          <w:rFonts w:ascii="Verdana" w:hAnsi="Verdana" w:cs="Tahoma"/>
          <w:sz w:val="24"/>
          <w:lang w:val="en-GB"/>
        </w:rPr>
        <w:t>ailoring financial education programmes to respond to the needs of a diverse population</w:t>
      </w:r>
      <w:r w:rsidR="008231C3" w:rsidRPr="002353FE">
        <w:rPr>
          <w:rFonts w:ascii="Verdana" w:hAnsi="Verdana" w:cs="Tahoma"/>
          <w:sz w:val="24"/>
          <w:lang w:val="en-GB"/>
        </w:rPr>
        <w:t xml:space="preserve">. </w:t>
      </w:r>
      <w:r w:rsidR="000439F0" w:rsidRPr="002353FE">
        <w:rPr>
          <w:rFonts w:ascii="Verdana" w:hAnsi="Verdana" w:cs="Tahoma"/>
          <w:sz w:val="24"/>
          <w:lang w:val="en-GB"/>
        </w:rPr>
        <w:t>Indeed</w:t>
      </w:r>
      <w:r w:rsidR="008231C3" w:rsidRPr="002353FE">
        <w:rPr>
          <w:rFonts w:ascii="Verdana" w:hAnsi="Verdana" w:cs="Tahoma"/>
          <w:sz w:val="24"/>
          <w:lang w:val="en-GB"/>
        </w:rPr>
        <w:t>,</w:t>
      </w:r>
      <w:r w:rsidR="000439F0" w:rsidRPr="002353FE">
        <w:rPr>
          <w:rFonts w:ascii="Verdana" w:hAnsi="Verdana" w:cs="Tahoma"/>
          <w:sz w:val="24"/>
          <w:lang w:val="en-GB"/>
        </w:rPr>
        <w:t xml:space="preserve"> targeted interventions </w:t>
      </w:r>
      <w:r w:rsidR="0087426F" w:rsidRPr="002353FE">
        <w:rPr>
          <w:rFonts w:ascii="Verdana" w:hAnsi="Verdana" w:cs="Tahoma"/>
          <w:sz w:val="24"/>
          <w:lang w:val="en-GB"/>
        </w:rPr>
        <w:t xml:space="preserve">to develop </w:t>
      </w:r>
      <w:r w:rsidR="000439F0" w:rsidRPr="002353FE">
        <w:rPr>
          <w:rFonts w:ascii="Verdana" w:hAnsi="Verdana" w:cs="Tahoma"/>
          <w:sz w:val="24"/>
          <w:lang w:val="en-GB"/>
        </w:rPr>
        <w:t xml:space="preserve">financial literacy in specific population groups have been </w:t>
      </w:r>
      <w:r w:rsidR="008231C3" w:rsidRPr="002353FE">
        <w:rPr>
          <w:rFonts w:ascii="Verdana" w:hAnsi="Verdana" w:cs="Tahoma"/>
          <w:sz w:val="24"/>
          <w:lang w:val="en-GB"/>
        </w:rPr>
        <w:t xml:space="preserve">previously </w:t>
      </w:r>
      <w:r w:rsidR="000439F0" w:rsidRPr="002353FE">
        <w:rPr>
          <w:rFonts w:ascii="Verdana" w:hAnsi="Verdana" w:cs="Tahoma"/>
          <w:sz w:val="24"/>
          <w:lang w:val="en-GB"/>
        </w:rPr>
        <w:t>successful (Carlin and Robinson</w:t>
      </w:r>
      <w:r w:rsidR="007F7EED" w:rsidRPr="002353FE">
        <w:rPr>
          <w:rFonts w:ascii="Verdana" w:hAnsi="Verdana" w:cs="Tahoma"/>
          <w:sz w:val="24"/>
          <w:lang w:val="en-GB"/>
        </w:rPr>
        <w:t>,</w:t>
      </w:r>
      <w:r w:rsidR="000439F0" w:rsidRPr="002353FE">
        <w:rPr>
          <w:rFonts w:ascii="Verdana" w:hAnsi="Verdana" w:cs="Tahoma"/>
          <w:sz w:val="24"/>
          <w:lang w:val="en-GB"/>
        </w:rPr>
        <w:t xml:space="preserve"> 2012)</w:t>
      </w:r>
      <w:r w:rsidR="00826E1A" w:rsidRPr="002353FE">
        <w:rPr>
          <w:rFonts w:ascii="Verdana" w:hAnsi="Verdana" w:cs="Tahoma"/>
          <w:sz w:val="24"/>
          <w:lang w:val="en-GB"/>
        </w:rPr>
        <w:t xml:space="preserve"> </w:t>
      </w:r>
      <w:r w:rsidR="00826E1A" w:rsidRPr="001E7395">
        <w:rPr>
          <w:rFonts w:ascii="Verdana" w:hAnsi="Verdana" w:cs="Tahoma"/>
          <w:sz w:val="24"/>
          <w:lang w:val="en-GB"/>
        </w:rPr>
        <w:t xml:space="preserve">acknowledging that </w:t>
      </w:r>
      <w:r w:rsidR="00DB4B29" w:rsidRPr="001E7395">
        <w:rPr>
          <w:rFonts w:ascii="Verdana" w:hAnsi="Verdana" w:cs="Tahoma"/>
          <w:sz w:val="24"/>
          <w:lang w:val="en-GB"/>
        </w:rPr>
        <w:t xml:space="preserve">certain </w:t>
      </w:r>
      <w:r w:rsidR="00826E1A" w:rsidRPr="001E7395">
        <w:rPr>
          <w:rFonts w:ascii="Verdana" w:hAnsi="Verdana" w:cs="Tahoma"/>
          <w:sz w:val="24"/>
          <w:lang w:val="en-GB"/>
        </w:rPr>
        <w:t>groups of people may</w:t>
      </w:r>
      <w:r w:rsidR="00906E63" w:rsidRPr="001E7395">
        <w:rPr>
          <w:rFonts w:ascii="Verdana" w:hAnsi="Verdana" w:cs="Tahoma"/>
          <w:sz w:val="24"/>
          <w:lang w:val="en-GB"/>
        </w:rPr>
        <w:t xml:space="preserve"> </w:t>
      </w:r>
      <w:r w:rsidR="00826E1A" w:rsidRPr="001E7395">
        <w:rPr>
          <w:rFonts w:ascii="Verdana" w:hAnsi="Verdana" w:cs="Tahoma"/>
          <w:sz w:val="24"/>
          <w:lang w:val="en-GB"/>
        </w:rPr>
        <w:t xml:space="preserve">require </w:t>
      </w:r>
      <w:r w:rsidR="00DB4B29" w:rsidRPr="001E7395">
        <w:rPr>
          <w:rFonts w:ascii="Verdana" w:hAnsi="Verdana" w:cs="Tahoma"/>
          <w:sz w:val="24"/>
          <w:lang w:val="en-GB"/>
        </w:rPr>
        <w:t xml:space="preserve">focused </w:t>
      </w:r>
      <w:r w:rsidR="00826E1A" w:rsidRPr="001E7395">
        <w:rPr>
          <w:rFonts w:ascii="Verdana" w:hAnsi="Verdana" w:cs="Tahoma"/>
          <w:sz w:val="24"/>
          <w:lang w:val="en-GB"/>
        </w:rPr>
        <w:t>support to engender greater bank switching</w:t>
      </w:r>
      <w:r w:rsidR="000439F0" w:rsidRPr="001E7395">
        <w:rPr>
          <w:rFonts w:ascii="Verdana" w:hAnsi="Verdana" w:cs="Tahoma"/>
          <w:sz w:val="24"/>
          <w:lang w:val="en-GB"/>
        </w:rPr>
        <w:t>.</w:t>
      </w:r>
      <w:r w:rsidR="000439F0" w:rsidRPr="002353FE">
        <w:rPr>
          <w:rFonts w:ascii="Verdana" w:hAnsi="Verdana" w:cs="Tahoma"/>
          <w:sz w:val="24"/>
          <w:lang w:val="en-GB"/>
        </w:rPr>
        <w:t xml:space="preserve"> </w:t>
      </w:r>
      <w:r w:rsidR="006F4F24" w:rsidRPr="002353FE">
        <w:rPr>
          <w:rFonts w:ascii="Verdana" w:hAnsi="Verdana" w:cs="Tahoma"/>
          <w:sz w:val="24"/>
          <w:lang w:val="en-GB"/>
        </w:rPr>
        <w:t xml:space="preserve">A similar conclusion also applies to regulatory actions based on the introduction of disclosure requirements. Mandatory transparency policies are not sufficient to address the difficulties of vulnerable customers, as these customers may be unaware of the information disclosed or may not understand it (De la Cuesta </w:t>
      </w:r>
      <w:r w:rsidR="006F4F24" w:rsidRPr="002353FE">
        <w:rPr>
          <w:rFonts w:ascii="Verdana" w:hAnsi="Verdana" w:cs="Tahoma"/>
          <w:i/>
          <w:iCs/>
          <w:sz w:val="24"/>
          <w:lang w:val="en-GB"/>
        </w:rPr>
        <w:t>et al</w:t>
      </w:r>
      <w:r w:rsidR="006F4F24" w:rsidRPr="002353FE">
        <w:rPr>
          <w:rFonts w:ascii="Verdana" w:hAnsi="Verdana" w:cs="Tahoma"/>
          <w:sz w:val="24"/>
          <w:lang w:val="en-GB"/>
        </w:rPr>
        <w:t xml:space="preserve">., 2021). </w:t>
      </w:r>
      <w:r w:rsidR="00114A10" w:rsidRPr="002353FE">
        <w:rPr>
          <w:rFonts w:ascii="Verdana" w:hAnsi="Verdana" w:cs="Tahoma"/>
          <w:sz w:val="24"/>
          <w:lang w:val="en-GB"/>
        </w:rPr>
        <w:t>W</w:t>
      </w:r>
      <w:r w:rsidR="006F4F24" w:rsidRPr="002353FE">
        <w:rPr>
          <w:rFonts w:ascii="Verdana" w:hAnsi="Verdana" w:cs="Tahoma"/>
          <w:sz w:val="24"/>
          <w:lang w:val="en-GB"/>
        </w:rPr>
        <w:t xml:space="preserve">e propose </w:t>
      </w:r>
      <w:r w:rsidR="00775C86" w:rsidRPr="001E7395">
        <w:rPr>
          <w:rFonts w:ascii="Verdana" w:hAnsi="Verdana" w:cs="Tahoma"/>
          <w:sz w:val="24"/>
          <w:lang w:val="en-GB"/>
        </w:rPr>
        <w:t>implementation of</w:t>
      </w:r>
      <w:r w:rsidR="006F4F24" w:rsidRPr="001E7395">
        <w:rPr>
          <w:rFonts w:ascii="Verdana" w:hAnsi="Verdana" w:cs="Tahoma"/>
          <w:sz w:val="24"/>
          <w:lang w:val="en-GB"/>
        </w:rPr>
        <w:t xml:space="preserve"> </w:t>
      </w:r>
      <w:r w:rsidR="00B551C2" w:rsidRPr="001E7395">
        <w:rPr>
          <w:rFonts w:ascii="Verdana" w:hAnsi="Verdana" w:cs="Tahoma"/>
          <w:sz w:val="24"/>
          <w:lang w:val="en-GB"/>
        </w:rPr>
        <w:t xml:space="preserve">regulation </w:t>
      </w:r>
      <w:r w:rsidR="00114A10" w:rsidRPr="002353FE">
        <w:rPr>
          <w:rFonts w:ascii="Verdana" w:hAnsi="Verdana" w:cs="Tahoma"/>
          <w:sz w:val="24"/>
          <w:lang w:val="en-GB"/>
        </w:rPr>
        <w:t>to address the specific difficulties of vulnerable customers</w:t>
      </w:r>
      <w:r w:rsidR="0085634E" w:rsidRPr="002353FE">
        <w:rPr>
          <w:rFonts w:ascii="Verdana" w:hAnsi="Verdana" w:cs="Tahoma"/>
          <w:sz w:val="24"/>
          <w:lang w:val="en-GB"/>
        </w:rPr>
        <w:t xml:space="preserve">, and </w:t>
      </w:r>
      <w:r w:rsidR="00114A10" w:rsidRPr="002353FE">
        <w:rPr>
          <w:rFonts w:ascii="Verdana" w:hAnsi="Verdana" w:cs="Tahoma"/>
          <w:sz w:val="24"/>
          <w:lang w:val="en-GB"/>
        </w:rPr>
        <w:t xml:space="preserve">focus </w:t>
      </w:r>
      <w:r w:rsidR="008A6CCF" w:rsidRPr="001E7395">
        <w:rPr>
          <w:rFonts w:ascii="Verdana" w:hAnsi="Verdana" w:cs="Tahoma"/>
          <w:sz w:val="24"/>
          <w:lang w:val="en-GB"/>
        </w:rPr>
        <w:t>on</w:t>
      </w:r>
      <w:r w:rsidR="00B551C2" w:rsidRPr="001E7395">
        <w:rPr>
          <w:rFonts w:ascii="Verdana" w:hAnsi="Verdana" w:cs="Tahoma"/>
          <w:sz w:val="24"/>
          <w:lang w:val="en-GB"/>
        </w:rPr>
        <w:t xml:space="preserve"> wh</w:t>
      </w:r>
      <w:r w:rsidR="00114A10" w:rsidRPr="002353FE">
        <w:rPr>
          <w:rFonts w:ascii="Verdana" w:hAnsi="Verdana" w:cs="Tahoma"/>
          <w:sz w:val="24"/>
          <w:lang w:val="en-GB"/>
        </w:rPr>
        <w:t xml:space="preserve">at </w:t>
      </w:r>
      <w:r w:rsidR="00B551C2" w:rsidRPr="001E7395">
        <w:rPr>
          <w:rFonts w:ascii="Verdana" w:hAnsi="Verdana" w:cs="Tahoma"/>
          <w:sz w:val="24"/>
          <w:lang w:val="en-GB"/>
        </w:rPr>
        <w:t>information</w:t>
      </w:r>
      <w:r w:rsidR="00775C86" w:rsidRPr="001E7395">
        <w:rPr>
          <w:rFonts w:ascii="Verdana" w:hAnsi="Verdana" w:cs="Tahoma"/>
          <w:sz w:val="24"/>
          <w:lang w:val="en-GB"/>
        </w:rPr>
        <w:t xml:space="preserve"> is presented</w:t>
      </w:r>
      <w:r w:rsidR="008A6CCF" w:rsidRPr="001E7395">
        <w:rPr>
          <w:rFonts w:ascii="Verdana" w:hAnsi="Verdana" w:cs="Tahoma"/>
          <w:sz w:val="24"/>
          <w:lang w:val="en-GB"/>
        </w:rPr>
        <w:t xml:space="preserve">, </w:t>
      </w:r>
      <w:r w:rsidR="00B551C2" w:rsidRPr="001E7395">
        <w:rPr>
          <w:rFonts w:ascii="Verdana" w:hAnsi="Verdana" w:cs="Tahoma"/>
          <w:sz w:val="24"/>
          <w:lang w:val="en-GB"/>
        </w:rPr>
        <w:t xml:space="preserve">and how </w:t>
      </w:r>
      <w:r w:rsidR="00114A10" w:rsidRPr="002353FE">
        <w:rPr>
          <w:rFonts w:ascii="Verdana" w:hAnsi="Verdana" w:cs="Tahoma"/>
          <w:sz w:val="24"/>
          <w:lang w:val="en-GB"/>
        </w:rPr>
        <w:t>this information</w:t>
      </w:r>
      <w:r w:rsidR="00B551C2" w:rsidRPr="001E7395">
        <w:rPr>
          <w:rFonts w:ascii="Verdana" w:hAnsi="Verdana" w:cs="Tahoma"/>
          <w:sz w:val="24"/>
          <w:lang w:val="en-GB"/>
        </w:rPr>
        <w:t xml:space="preserve"> is presented</w:t>
      </w:r>
      <w:r w:rsidR="006F4F24" w:rsidRPr="001E7395">
        <w:rPr>
          <w:rFonts w:ascii="Verdana" w:hAnsi="Verdana" w:cs="Tahoma"/>
          <w:sz w:val="24"/>
          <w:lang w:val="en-GB"/>
        </w:rPr>
        <w:t>.</w:t>
      </w:r>
      <w:r w:rsidR="006F4F24" w:rsidRPr="002353FE">
        <w:rPr>
          <w:rFonts w:ascii="Verdana" w:hAnsi="Verdana" w:cs="Tahoma"/>
          <w:sz w:val="24"/>
          <w:lang w:val="en-GB"/>
        </w:rPr>
        <w:t xml:space="preserve"> </w:t>
      </w:r>
      <w:r w:rsidR="000439F0" w:rsidRPr="002353FE">
        <w:rPr>
          <w:rFonts w:ascii="Verdana" w:hAnsi="Verdana" w:cs="Tahoma"/>
          <w:sz w:val="24"/>
          <w:lang w:val="en-GB"/>
        </w:rPr>
        <w:t>A</w:t>
      </w:r>
      <w:r w:rsidR="00CD0302" w:rsidRPr="002353FE">
        <w:rPr>
          <w:rFonts w:ascii="Verdana" w:hAnsi="Verdana" w:cs="Tahoma"/>
          <w:sz w:val="24"/>
          <w:lang w:val="en-GB"/>
        </w:rPr>
        <w:t xml:space="preserve">n </w:t>
      </w:r>
      <w:r w:rsidR="000439F0" w:rsidRPr="002353FE">
        <w:rPr>
          <w:rFonts w:ascii="Verdana" w:hAnsi="Verdana" w:cs="Tahoma"/>
          <w:sz w:val="24"/>
          <w:lang w:val="en-GB"/>
        </w:rPr>
        <w:t xml:space="preserve">application of </w:t>
      </w:r>
      <w:r w:rsidR="006F4F24" w:rsidRPr="002353FE">
        <w:rPr>
          <w:rFonts w:ascii="Verdana" w:hAnsi="Verdana" w:cs="Tahoma"/>
          <w:sz w:val="24"/>
          <w:lang w:val="en-GB"/>
        </w:rPr>
        <w:t xml:space="preserve">consumer </w:t>
      </w:r>
      <w:r w:rsidR="000439F0" w:rsidRPr="002353FE">
        <w:rPr>
          <w:rFonts w:ascii="Verdana" w:hAnsi="Verdana" w:cs="Tahoma"/>
          <w:sz w:val="24"/>
          <w:lang w:val="en-GB"/>
        </w:rPr>
        <w:t>policy, considering the needs and requirement</w:t>
      </w:r>
      <w:r w:rsidR="005E1164" w:rsidRPr="002353FE">
        <w:rPr>
          <w:rFonts w:ascii="Verdana" w:hAnsi="Verdana" w:cs="Tahoma"/>
          <w:sz w:val="24"/>
          <w:lang w:val="en-GB"/>
        </w:rPr>
        <w:t>s</w:t>
      </w:r>
      <w:r w:rsidR="000439F0" w:rsidRPr="002353FE">
        <w:rPr>
          <w:rFonts w:ascii="Verdana" w:hAnsi="Verdana" w:cs="Tahoma"/>
          <w:sz w:val="24"/>
          <w:lang w:val="en-GB"/>
        </w:rPr>
        <w:t xml:space="preserve"> of different </w:t>
      </w:r>
      <w:r w:rsidR="006D320B" w:rsidRPr="002353FE">
        <w:rPr>
          <w:rFonts w:ascii="Verdana" w:hAnsi="Verdana" w:cs="Tahoma"/>
          <w:sz w:val="24"/>
          <w:lang w:val="en-GB"/>
        </w:rPr>
        <w:t>demographic</w:t>
      </w:r>
      <w:r w:rsidR="000439F0" w:rsidRPr="002353FE">
        <w:rPr>
          <w:rFonts w:ascii="Verdana" w:hAnsi="Verdana" w:cs="Tahoma"/>
          <w:sz w:val="24"/>
          <w:lang w:val="en-GB"/>
        </w:rPr>
        <w:t>, socio-economic and geographical groups would certainly be considered superior to a ‘one</w:t>
      </w:r>
      <w:r w:rsidR="00B00A0B" w:rsidRPr="002353FE">
        <w:rPr>
          <w:rFonts w:ascii="Verdana" w:hAnsi="Verdana" w:cs="Tahoma"/>
          <w:sz w:val="24"/>
          <w:lang w:val="en-GB"/>
        </w:rPr>
        <w:t>-size-</w:t>
      </w:r>
      <w:r w:rsidR="000439F0" w:rsidRPr="002353FE">
        <w:rPr>
          <w:rFonts w:ascii="Verdana" w:hAnsi="Verdana" w:cs="Tahoma"/>
          <w:sz w:val="24"/>
          <w:lang w:val="en-GB"/>
        </w:rPr>
        <w:t>fits</w:t>
      </w:r>
      <w:r w:rsidR="00B00A0B" w:rsidRPr="002353FE">
        <w:rPr>
          <w:rFonts w:ascii="Verdana" w:hAnsi="Verdana" w:cs="Tahoma"/>
          <w:sz w:val="24"/>
          <w:lang w:val="en-GB"/>
        </w:rPr>
        <w:t>-</w:t>
      </w:r>
      <w:r w:rsidR="000439F0" w:rsidRPr="002353FE">
        <w:rPr>
          <w:rFonts w:ascii="Verdana" w:hAnsi="Verdana" w:cs="Tahoma"/>
          <w:sz w:val="24"/>
          <w:lang w:val="en-GB"/>
        </w:rPr>
        <w:t>all’ approach</w:t>
      </w:r>
      <w:r w:rsidR="008A1CB3" w:rsidRPr="002353FE">
        <w:rPr>
          <w:rFonts w:ascii="Verdana" w:hAnsi="Verdana" w:cs="Tahoma"/>
          <w:sz w:val="24"/>
          <w:lang w:val="en-GB"/>
        </w:rPr>
        <w:t xml:space="preserve"> </w:t>
      </w:r>
      <w:r w:rsidR="000439F0" w:rsidRPr="002353FE">
        <w:rPr>
          <w:rFonts w:ascii="Verdana" w:hAnsi="Verdana" w:cs="Tahoma"/>
          <w:sz w:val="24"/>
          <w:lang w:val="en-GB"/>
        </w:rPr>
        <w:t>often</w:t>
      </w:r>
      <w:r w:rsidR="002414C5" w:rsidRPr="002353FE">
        <w:rPr>
          <w:rFonts w:ascii="Verdana" w:hAnsi="Verdana" w:cs="Tahoma"/>
          <w:sz w:val="24"/>
          <w:lang w:val="en-GB"/>
        </w:rPr>
        <w:t xml:space="preserve"> </w:t>
      </w:r>
      <w:r w:rsidR="000439F0" w:rsidRPr="002353FE">
        <w:rPr>
          <w:rFonts w:ascii="Verdana" w:hAnsi="Verdana" w:cs="Tahoma"/>
          <w:sz w:val="24"/>
          <w:lang w:val="en-GB"/>
        </w:rPr>
        <w:t>employed</w:t>
      </w:r>
      <w:r w:rsidR="0087426F" w:rsidRPr="002353FE">
        <w:rPr>
          <w:rFonts w:ascii="Verdana" w:hAnsi="Verdana" w:cs="Tahoma"/>
          <w:sz w:val="24"/>
          <w:lang w:val="en-GB"/>
        </w:rPr>
        <w:t xml:space="preserve"> in </w:t>
      </w:r>
      <w:r w:rsidR="00B551C2" w:rsidRPr="002353FE">
        <w:rPr>
          <w:rFonts w:ascii="Verdana" w:hAnsi="Verdana" w:cs="Tahoma"/>
          <w:sz w:val="24"/>
          <w:lang w:val="en-GB"/>
        </w:rPr>
        <w:t xml:space="preserve">consumer policies in the </w:t>
      </w:r>
      <w:r w:rsidR="0087426F" w:rsidRPr="002353FE">
        <w:rPr>
          <w:rFonts w:ascii="Verdana" w:hAnsi="Verdana" w:cs="Tahoma"/>
          <w:sz w:val="24"/>
          <w:lang w:val="en-GB"/>
        </w:rPr>
        <w:t>financial</w:t>
      </w:r>
      <w:r w:rsidR="008A1CB3" w:rsidRPr="002353FE">
        <w:rPr>
          <w:rFonts w:ascii="Verdana" w:hAnsi="Verdana" w:cs="Tahoma"/>
          <w:sz w:val="24"/>
          <w:lang w:val="en-GB"/>
        </w:rPr>
        <w:t xml:space="preserve"> </w:t>
      </w:r>
      <w:r w:rsidR="00B551C2" w:rsidRPr="002353FE">
        <w:rPr>
          <w:rFonts w:ascii="Verdana" w:hAnsi="Verdana" w:cs="Tahoma"/>
          <w:sz w:val="24"/>
          <w:lang w:val="en-GB"/>
        </w:rPr>
        <w:t>sector</w:t>
      </w:r>
      <w:r w:rsidR="0094165C" w:rsidRPr="002353FE">
        <w:rPr>
          <w:rFonts w:ascii="Verdana" w:hAnsi="Verdana" w:cs="Tahoma"/>
          <w:sz w:val="24"/>
          <w:lang w:val="en-GB"/>
        </w:rPr>
        <w:t xml:space="preserve"> (Hoffmann and Otteby</w:t>
      </w:r>
      <w:r w:rsidR="007F7EED" w:rsidRPr="002353FE">
        <w:rPr>
          <w:rFonts w:ascii="Verdana" w:hAnsi="Verdana" w:cs="Tahoma"/>
          <w:sz w:val="24"/>
          <w:lang w:val="en-GB"/>
        </w:rPr>
        <w:t>,</w:t>
      </w:r>
      <w:r w:rsidR="0094165C" w:rsidRPr="002353FE">
        <w:rPr>
          <w:rFonts w:ascii="Verdana" w:hAnsi="Verdana" w:cs="Tahoma"/>
          <w:sz w:val="24"/>
          <w:lang w:val="en-GB"/>
        </w:rPr>
        <w:t xml:space="preserve"> 2017)</w:t>
      </w:r>
      <w:r w:rsidR="00B812D6" w:rsidRPr="002353FE">
        <w:rPr>
          <w:rFonts w:ascii="Verdana" w:hAnsi="Verdana" w:cs="Tahoma"/>
          <w:sz w:val="24"/>
          <w:lang w:val="en-GB"/>
        </w:rPr>
        <w:t>.</w:t>
      </w:r>
      <w:r w:rsidR="005E1164" w:rsidRPr="002353FE">
        <w:rPr>
          <w:rFonts w:ascii="Verdana" w:hAnsi="Verdana" w:cs="Tahoma"/>
          <w:sz w:val="24"/>
          <w:lang w:val="en-GB"/>
        </w:rPr>
        <w:t xml:space="preserve"> </w:t>
      </w:r>
      <w:r w:rsidR="00276E23" w:rsidRPr="002353FE">
        <w:rPr>
          <w:rFonts w:ascii="Verdana" w:hAnsi="Verdana" w:cs="Tahoma"/>
          <w:sz w:val="24"/>
          <w:lang w:val="en-GB"/>
        </w:rPr>
        <w:t xml:space="preserve">The convenience surveys introduced by the European regulation (Market in Financial Instruments Directive, MIFID) are a good example of how customer heterogeneity can be incorporated into such regulatory policies. </w:t>
      </w:r>
    </w:p>
    <w:p w14:paraId="57A4EAFC" w14:textId="73A7B098" w:rsidR="00F2579A" w:rsidRPr="002353FE" w:rsidRDefault="009F1E00" w:rsidP="00053B7F">
      <w:pPr>
        <w:spacing w:before="120" w:after="120" w:line="480" w:lineRule="auto"/>
        <w:jc w:val="both"/>
        <w:rPr>
          <w:rFonts w:ascii="Verdana" w:hAnsi="Verdana" w:cs="Tahoma"/>
          <w:sz w:val="24"/>
          <w:szCs w:val="24"/>
          <w:lang w:val="en-GB"/>
        </w:rPr>
      </w:pPr>
      <w:r w:rsidRPr="001E7395">
        <w:rPr>
          <w:rFonts w:ascii="Verdana" w:hAnsi="Verdana" w:cs="Tahoma"/>
          <w:sz w:val="24"/>
          <w:lang w:val="en-GB"/>
        </w:rPr>
        <w:lastRenderedPageBreak/>
        <w:t xml:space="preserve">We also acknowledge other factors over the sample period may have been influential. </w:t>
      </w:r>
      <w:r w:rsidRPr="002353FE">
        <w:rPr>
          <w:rFonts w:ascii="Verdana" w:hAnsi="Verdana" w:cs="Tahoma"/>
          <w:sz w:val="24"/>
          <w:lang w:val="en-GB"/>
        </w:rPr>
        <w:t>T</w:t>
      </w:r>
      <w:r w:rsidR="001D1E3C" w:rsidRPr="002353FE">
        <w:rPr>
          <w:rFonts w:ascii="Verdana" w:hAnsi="Verdana" w:cs="Tahoma"/>
          <w:sz w:val="24"/>
          <w:lang w:val="en-GB"/>
        </w:rPr>
        <w:t xml:space="preserve">he </w:t>
      </w:r>
      <w:r w:rsidR="002B7A76" w:rsidRPr="002353FE">
        <w:rPr>
          <w:rFonts w:ascii="Verdana" w:hAnsi="Verdana" w:cs="Tahoma"/>
          <w:sz w:val="24"/>
          <w:lang w:val="en-GB"/>
        </w:rPr>
        <w:t xml:space="preserve">stubborn resistance </w:t>
      </w:r>
      <w:r w:rsidR="001D1E3C" w:rsidRPr="002353FE">
        <w:rPr>
          <w:rFonts w:ascii="Verdana" w:hAnsi="Verdana" w:cs="Tahoma"/>
          <w:sz w:val="24"/>
          <w:lang w:val="en-GB"/>
        </w:rPr>
        <w:t xml:space="preserve">to bank switching </w:t>
      </w:r>
      <w:r w:rsidR="002B7A76" w:rsidRPr="002353FE">
        <w:rPr>
          <w:rFonts w:ascii="Verdana" w:hAnsi="Verdana" w:cs="Tahoma"/>
          <w:sz w:val="24"/>
          <w:lang w:val="en-GB"/>
        </w:rPr>
        <w:t>over</w:t>
      </w:r>
      <w:r w:rsidR="002316B5" w:rsidRPr="002353FE">
        <w:rPr>
          <w:rFonts w:ascii="Verdana" w:hAnsi="Verdana" w:cs="Tahoma"/>
          <w:sz w:val="24"/>
          <w:lang w:val="en-GB"/>
        </w:rPr>
        <w:t xml:space="preserve"> </w:t>
      </w:r>
      <w:r w:rsidR="002B7A76" w:rsidRPr="002353FE">
        <w:rPr>
          <w:rFonts w:ascii="Verdana" w:hAnsi="Verdana" w:cs="Tahoma"/>
          <w:sz w:val="24"/>
          <w:lang w:val="en-GB"/>
        </w:rPr>
        <w:t>time and</w:t>
      </w:r>
      <w:r w:rsidR="008D3B42" w:rsidRPr="002353FE">
        <w:rPr>
          <w:rFonts w:ascii="Verdana" w:hAnsi="Verdana" w:cs="Tahoma"/>
          <w:sz w:val="24"/>
          <w:lang w:val="en-GB"/>
        </w:rPr>
        <w:t xml:space="preserve"> </w:t>
      </w:r>
      <w:r w:rsidR="002B7A76" w:rsidRPr="002353FE">
        <w:rPr>
          <w:rFonts w:ascii="Verdana" w:hAnsi="Verdana" w:cs="Tahoma"/>
          <w:sz w:val="24"/>
          <w:lang w:val="en-GB"/>
        </w:rPr>
        <w:t>internationally</w:t>
      </w:r>
      <w:r w:rsidR="001D1E3C" w:rsidRPr="002353FE">
        <w:rPr>
          <w:rFonts w:ascii="Verdana" w:hAnsi="Verdana" w:cs="Tahoma"/>
          <w:sz w:val="24"/>
          <w:lang w:val="en-GB"/>
        </w:rPr>
        <w:t xml:space="preserve">, may have </w:t>
      </w:r>
      <w:r w:rsidR="00A84048" w:rsidRPr="002353FE">
        <w:rPr>
          <w:rFonts w:ascii="Verdana" w:hAnsi="Verdana" w:cs="Tahoma"/>
          <w:sz w:val="24"/>
          <w:lang w:val="en-GB"/>
        </w:rPr>
        <w:t>arisen from c</w:t>
      </w:r>
      <w:r w:rsidR="002B7A76" w:rsidRPr="002353FE">
        <w:rPr>
          <w:rFonts w:ascii="Verdana" w:hAnsi="Verdana" w:cs="Tahoma"/>
          <w:sz w:val="24"/>
          <w:lang w:val="en-GB"/>
        </w:rPr>
        <w:t xml:space="preserve">onflicting prudential policy demands placed on banks. </w:t>
      </w:r>
      <w:r w:rsidR="00F2579A" w:rsidRPr="001E7395">
        <w:rPr>
          <w:rFonts w:ascii="Verdana" w:hAnsi="Verdana" w:cs="Tahoma"/>
          <w:sz w:val="24"/>
          <w:szCs w:val="24"/>
          <w:lang w:val="en-GB"/>
        </w:rPr>
        <w:t xml:space="preserve">Since the announcement of Basel III, limited switching has been proposed in personal current accounts markets to ensure stable bank financing (Brunetti </w:t>
      </w:r>
      <w:r w:rsidR="00F2579A" w:rsidRPr="001E7395">
        <w:rPr>
          <w:rFonts w:ascii="Verdana" w:hAnsi="Verdana" w:cs="Tahoma"/>
          <w:i/>
          <w:iCs/>
          <w:sz w:val="24"/>
          <w:szCs w:val="24"/>
          <w:lang w:val="en-GB"/>
        </w:rPr>
        <w:t>et al</w:t>
      </w:r>
      <w:r w:rsidR="00F2579A" w:rsidRPr="001E7395">
        <w:rPr>
          <w:rFonts w:ascii="Verdana" w:hAnsi="Verdana" w:cs="Tahoma"/>
          <w:sz w:val="24"/>
          <w:szCs w:val="24"/>
          <w:lang w:val="en-GB"/>
        </w:rPr>
        <w:t xml:space="preserve">., 2016). Subsequently banks internationally have been encouraged to develop long-term banking relationships with their customers and limit customer switching in personal current accounts markets. This has occurred at a time when competition authorities and other financial regulators have been encouraging more bank switching for competitive and consumer welfare outcomes. </w:t>
      </w:r>
      <w:r w:rsidR="00052989" w:rsidRPr="002353FE">
        <w:rPr>
          <w:rFonts w:ascii="Verdana" w:hAnsi="Verdana" w:cs="Tahoma"/>
          <w:sz w:val="24"/>
          <w:szCs w:val="24"/>
          <w:lang w:val="en-GB"/>
        </w:rPr>
        <w:t>Clearly i</w:t>
      </w:r>
      <w:r w:rsidR="00053B7F" w:rsidRPr="002353FE">
        <w:rPr>
          <w:rFonts w:ascii="Verdana" w:hAnsi="Verdana" w:cs="Tahoma"/>
          <w:sz w:val="24"/>
          <w:szCs w:val="24"/>
          <w:lang w:val="en-GB"/>
        </w:rPr>
        <w:t xml:space="preserve">t is essential to review </w:t>
      </w:r>
      <w:r w:rsidR="005F4343" w:rsidRPr="002353FE">
        <w:rPr>
          <w:rFonts w:ascii="Verdana" w:hAnsi="Verdana" w:cs="Tahoma"/>
          <w:sz w:val="24"/>
          <w:szCs w:val="24"/>
          <w:lang w:val="en-GB"/>
        </w:rPr>
        <w:t xml:space="preserve">such </w:t>
      </w:r>
      <w:r w:rsidR="00053B7F" w:rsidRPr="002353FE">
        <w:rPr>
          <w:rFonts w:ascii="Verdana" w:hAnsi="Verdana" w:cs="Tahoma"/>
          <w:sz w:val="24"/>
          <w:szCs w:val="24"/>
          <w:lang w:val="en-GB"/>
        </w:rPr>
        <w:t>policy holistically to remove these inconsistencies (Miller et al., 2015).</w:t>
      </w:r>
    </w:p>
    <w:p w14:paraId="53047668" w14:textId="52DA2F19" w:rsidR="006B300B" w:rsidRPr="002353FE" w:rsidRDefault="000865A8" w:rsidP="00CA05D4">
      <w:pPr>
        <w:spacing w:before="120" w:after="120" w:line="480" w:lineRule="auto"/>
        <w:jc w:val="both"/>
        <w:rPr>
          <w:rFonts w:ascii="Verdana" w:hAnsi="Verdana" w:cs="Tahoma"/>
          <w:sz w:val="24"/>
          <w:lang w:val="en-GB"/>
        </w:rPr>
      </w:pPr>
      <w:r w:rsidRPr="002353FE">
        <w:rPr>
          <w:rFonts w:ascii="Verdana" w:hAnsi="Verdana" w:cs="Tahoma"/>
          <w:sz w:val="24"/>
          <w:lang w:val="en-GB"/>
        </w:rPr>
        <w:t xml:space="preserve">This </w:t>
      </w:r>
      <w:r w:rsidR="00690380" w:rsidRPr="002353FE">
        <w:rPr>
          <w:rFonts w:ascii="Verdana" w:hAnsi="Verdana" w:cs="Tahoma"/>
          <w:sz w:val="24"/>
          <w:lang w:val="en-GB"/>
        </w:rPr>
        <w:t xml:space="preserve">study </w:t>
      </w:r>
      <w:r w:rsidRPr="002353FE">
        <w:rPr>
          <w:rFonts w:ascii="Verdana" w:hAnsi="Verdana" w:cs="Tahoma"/>
          <w:sz w:val="24"/>
          <w:lang w:val="en-GB"/>
        </w:rPr>
        <w:t xml:space="preserve">encourages further research on the topic of consumers’ switching of banking services. </w:t>
      </w:r>
      <w:r w:rsidR="00AC70A3" w:rsidRPr="001E7395">
        <w:rPr>
          <w:rFonts w:ascii="Verdana" w:hAnsi="Verdana" w:cs="Tahoma"/>
          <w:sz w:val="24"/>
          <w:lang w:val="en-GB"/>
        </w:rPr>
        <w:t xml:space="preserve">Future research should </w:t>
      </w:r>
      <w:bookmarkStart w:id="4" w:name="_Hlk138282219"/>
      <w:r w:rsidR="00AC70A3" w:rsidRPr="001E7395">
        <w:rPr>
          <w:rFonts w:ascii="Verdana" w:hAnsi="Verdana" w:cs="Tahoma"/>
          <w:sz w:val="24"/>
          <w:lang w:val="en-GB"/>
        </w:rPr>
        <w:t>address the interaction between branch attachment</w:t>
      </w:r>
      <w:r w:rsidR="00DA2584" w:rsidRPr="001E7395">
        <w:rPr>
          <w:rFonts w:ascii="Verdana" w:hAnsi="Verdana" w:cs="Tahoma"/>
          <w:sz w:val="24"/>
          <w:lang w:val="en-GB"/>
        </w:rPr>
        <w:t xml:space="preserve"> </w:t>
      </w:r>
      <w:r w:rsidR="002D1167" w:rsidRPr="001E7395">
        <w:rPr>
          <w:rFonts w:ascii="Verdana" w:hAnsi="Verdana" w:cs="Tahoma"/>
          <w:sz w:val="24"/>
          <w:lang w:val="en-GB"/>
        </w:rPr>
        <w:t xml:space="preserve">(Shimul </w:t>
      </w:r>
      <w:r w:rsidR="002D1167" w:rsidRPr="001E7395">
        <w:rPr>
          <w:rFonts w:ascii="Verdana" w:hAnsi="Verdana" w:cs="Tahoma"/>
          <w:i/>
          <w:iCs/>
          <w:sz w:val="24"/>
          <w:lang w:val="en-GB"/>
        </w:rPr>
        <w:t>et al</w:t>
      </w:r>
      <w:r w:rsidR="002D1167" w:rsidRPr="001E7395">
        <w:rPr>
          <w:rFonts w:ascii="Verdana" w:hAnsi="Verdana" w:cs="Tahoma"/>
          <w:sz w:val="24"/>
          <w:lang w:val="en-GB"/>
        </w:rPr>
        <w:t xml:space="preserve">. 2023) </w:t>
      </w:r>
      <w:r w:rsidR="00AC70A3" w:rsidRPr="001E7395">
        <w:rPr>
          <w:rFonts w:ascii="Verdana" w:hAnsi="Verdana" w:cs="Tahoma"/>
          <w:sz w:val="24"/>
          <w:lang w:val="en-GB"/>
        </w:rPr>
        <w:t>as well as other variables capturing the relationship between customers and providers</w:t>
      </w:r>
      <w:r w:rsidR="00DA2584" w:rsidRPr="001E7395">
        <w:rPr>
          <w:rFonts w:ascii="Verdana" w:hAnsi="Verdana" w:cs="Tahoma"/>
          <w:sz w:val="24"/>
          <w:lang w:val="en-GB"/>
        </w:rPr>
        <w:t>)</w:t>
      </w:r>
      <w:r w:rsidR="00AC70A3" w:rsidRPr="001E7395">
        <w:rPr>
          <w:rFonts w:ascii="Verdana" w:hAnsi="Verdana" w:cs="Tahoma"/>
          <w:sz w:val="24"/>
          <w:lang w:val="en-GB"/>
        </w:rPr>
        <w:t>, switching and customer vulnerability</w:t>
      </w:r>
      <w:bookmarkEnd w:id="4"/>
      <w:r w:rsidR="00AC70A3" w:rsidRPr="001E7395">
        <w:rPr>
          <w:rFonts w:ascii="Verdana" w:hAnsi="Verdana" w:cs="Tahoma"/>
          <w:sz w:val="24"/>
          <w:lang w:val="en-GB"/>
        </w:rPr>
        <w:t xml:space="preserve">. In addition, </w:t>
      </w:r>
      <w:bookmarkStart w:id="5" w:name="_Hlk138282290"/>
      <w:r w:rsidR="00AC70A3" w:rsidRPr="001E7395">
        <w:rPr>
          <w:rFonts w:ascii="Verdana" w:hAnsi="Verdana" w:cs="Tahoma"/>
          <w:sz w:val="24"/>
          <w:lang w:val="en-GB"/>
        </w:rPr>
        <w:t>mechanisms and cognitive factors which explain inertia and switching costs</w:t>
      </w:r>
      <w:bookmarkEnd w:id="5"/>
      <w:r w:rsidR="00AC70A3" w:rsidRPr="001E7395">
        <w:rPr>
          <w:rFonts w:ascii="Verdana" w:hAnsi="Verdana" w:cs="Tahoma"/>
          <w:sz w:val="24"/>
          <w:lang w:val="en-GB"/>
        </w:rPr>
        <w:t xml:space="preserve"> should receive further specific attention, </w:t>
      </w:r>
      <w:r w:rsidR="00707B58" w:rsidRPr="002353FE">
        <w:rPr>
          <w:rFonts w:ascii="Verdana" w:hAnsi="Verdana" w:cs="Tahoma"/>
          <w:sz w:val="24"/>
          <w:lang w:val="en-GB"/>
        </w:rPr>
        <w:t>to</w:t>
      </w:r>
      <w:r w:rsidR="00DA2584" w:rsidRPr="001E7395">
        <w:rPr>
          <w:rFonts w:ascii="Verdana" w:hAnsi="Verdana" w:cs="Tahoma"/>
          <w:sz w:val="24"/>
          <w:lang w:val="en-GB"/>
        </w:rPr>
        <w:t xml:space="preserve"> improve the</w:t>
      </w:r>
      <w:r w:rsidR="00AC70A3" w:rsidRPr="001E7395">
        <w:rPr>
          <w:rFonts w:ascii="Verdana" w:hAnsi="Verdana" w:cs="Tahoma"/>
          <w:sz w:val="24"/>
          <w:lang w:val="en-GB"/>
        </w:rPr>
        <w:t xml:space="preserve"> understand</w:t>
      </w:r>
      <w:r w:rsidR="00DA2584" w:rsidRPr="001E7395">
        <w:rPr>
          <w:rFonts w:ascii="Verdana" w:hAnsi="Verdana" w:cs="Tahoma"/>
          <w:sz w:val="24"/>
          <w:lang w:val="en-GB"/>
        </w:rPr>
        <w:t xml:space="preserve">ing of </w:t>
      </w:r>
      <w:r w:rsidR="00EA26D5" w:rsidRPr="002353FE">
        <w:rPr>
          <w:rFonts w:ascii="Verdana" w:hAnsi="Verdana" w:cs="Tahoma"/>
          <w:sz w:val="24"/>
          <w:lang w:val="en-GB"/>
        </w:rPr>
        <w:t>why customer do not switch</w:t>
      </w:r>
      <w:r w:rsidR="00AC70A3" w:rsidRPr="001E7395">
        <w:rPr>
          <w:rFonts w:ascii="Verdana" w:hAnsi="Verdana" w:cs="Tahoma"/>
          <w:sz w:val="24"/>
          <w:lang w:val="en-GB"/>
        </w:rPr>
        <w:t xml:space="preserve">. Finally, </w:t>
      </w:r>
      <w:r w:rsidR="008B29BD" w:rsidRPr="002353FE">
        <w:rPr>
          <w:rFonts w:ascii="Verdana" w:hAnsi="Verdana" w:cs="Tahoma"/>
          <w:sz w:val="24"/>
          <w:lang w:val="en-GB"/>
        </w:rPr>
        <w:t xml:space="preserve">further research on the efficacy of </w:t>
      </w:r>
      <w:r w:rsidRPr="001E7395">
        <w:rPr>
          <w:rFonts w:ascii="Verdana" w:hAnsi="Verdana" w:cs="Tahoma"/>
          <w:sz w:val="24"/>
          <w:lang w:val="en-GB"/>
        </w:rPr>
        <w:t xml:space="preserve">financial education policies and disclosure practices </w:t>
      </w:r>
      <w:r w:rsidR="008B29BD" w:rsidRPr="002353FE">
        <w:rPr>
          <w:rFonts w:ascii="Verdana" w:hAnsi="Verdana" w:cs="Tahoma"/>
          <w:sz w:val="24"/>
          <w:lang w:val="en-GB"/>
        </w:rPr>
        <w:t xml:space="preserve">is </w:t>
      </w:r>
      <w:r w:rsidR="00707B58" w:rsidRPr="002353FE">
        <w:rPr>
          <w:rFonts w:ascii="Verdana" w:hAnsi="Verdana" w:cs="Tahoma"/>
          <w:sz w:val="24"/>
          <w:lang w:val="en-GB"/>
        </w:rPr>
        <w:t xml:space="preserve">required. </w:t>
      </w:r>
      <w:r w:rsidR="00456F16" w:rsidRPr="002353FE">
        <w:rPr>
          <w:rFonts w:ascii="Verdana" w:hAnsi="Verdana" w:cs="Tahoma"/>
          <w:sz w:val="24"/>
          <w:lang w:val="en-GB"/>
        </w:rPr>
        <w:t>Similarly,</w:t>
      </w:r>
      <w:r w:rsidR="00DE328A" w:rsidRPr="002353FE">
        <w:rPr>
          <w:rFonts w:ascii="Verdana" w:hAnsi="Verdana" w:cs="Tahoma"/>
          <w:sz w:val="24"/>
          <w:lang w:val="en-GB"/>
        </w:rPr>
        <w:t xml:space="preserve"> </w:t>
      </w:r>
      <w:r w:rsidR="00CB5519" w:rsidRPr="002353FE">
        <w:rPr>
          <w:rFonts w:ascii="Verdana" w:hAnsi="Verdana" w:cs="Tahoma"/>
          <w:sz w:val="24"/>
          <w:lang w:val="en-GB"/>
        </w:rPr>
        <w:t xml:space="preserve">the effectiveness of </w:t>
      </w:r>
      <w:r w:rsidR="00DE328A" w:rsidRPr="002353FE">
        <w:rPr>
          <w:rFonts w:ascii="Verdana" w:hAnsi="Verdana" w:cs="Tahoma"/>
          <w:sz w:val="24"/>
          <w:lang w:val="en-GB"/>
        </w:rPr>
        <w:t>other policies address</w:t>
      </w:r>
      <w:r w:rsidR="009B53D0" w:rsidRPr="002353FE">
        <w:rPr>
          <w:rFonts w:ascii="Verdana" w:hAnsi="Verdana" w:cs="Tahoma"/>
          <w:sz w:val="24"/>
          <w:lang w:val="en-GB"/>
        </w:rPr>
        <w:t>ing</w:t>
      </w:r>
      <w:r w:rsidR="00DE328A" w:rsidRPr="002353FE">
        <w:rPr>
          <w:rFonts w:ascii="Verdana" w:hAnsi="Verdana" w:cs="Tahoma"/>
          <w:sz w:val="24"/>
          <w:lang w:val="en-GB"/>
        </w:rPr>
        <w:t xml:space="preserve"> at </w:t>
      </w:r>
      <w:r w:rsidR="00CB5519" w:rsidRPr="002353FE">
        <w:rPr>
          <w:rFonts w:ascii="Verdana" w:hAnsi="Verdana" w:cs="Tahoma"/>
          <w:sz w:val="24"/>
          <w:lang w:val="en-GB"/>
        </w:rPr>
        <w:t>promoting</w:t>
      </w:r>
      <w:r w:rsidR="00DE328A" w:rsidRPr="002353FE">
        <w:rPr>
          <w:rFonts w:ascii="Verdana" w:hAnsi="Verdana" w:cs="Tahoma"/>
          <w:sz w:val="24"/>
          <w:lang w:val="en-GB"/>
        </w:rPr>
        <w:t xml:space="preserve"> consumer </w:t>
      </w:r>
      <w:r w:rsidR="008A1CB3" w:rsidRPr="002353FE">
        <w:rPr>
          <w:rFonts w:ascii="Verdana" w:hAnsi="Verdana" w:cs="Tahoma"/>
          <w:sz w:val="24"/>
          <w:lang w:val="en-GB"/>
        </w:rPr>
        <w:t xml:space="preserve">switching banking services </w:t>
      </w:r>
      <w:r w:rsidR="00DE328A" w:rsidRPr="002353FE">
        <w:rPr>
          <w:rFonts w:ascii="Verdana" w:hAnsi="Verdana" w:cs="Tahoma"/>
          <w:sz w:val="24"/>
          <w:lang w:val="en-GB"/>
        </w:rPr>
        <w:t>should be</w:t>
      </w:r>
      <w:r w:rsidR="008A1CB3" w:rsidRPr="002353FE">
        <w:rPr>
          <w:rFonts w:ascii="Verdana" w:hAnsi="Verdana" w:cs="Tahoma"/>
          <w:sz w:val="24"/>
          <w:lang w:val="en-GB"/>
        </w:rPr>
        <w:t xml:space="preserve"> </w:t>
      </w:r>
      <w:r w:rsidR="003D187F" w:rsidRPr="002353FE">
        <w:rPr>
          <w:rFonts w:ascii="Verdana" w:hAnsi="Verdana" w:cs="Tahoma"/>
          <w:sz w:val="24"/>
          <w:lang w:val="en-GB"/>
        </w:rPr>
        <w:t>the</w:t>
      </w:r>
      <w:r w:rsidR="00DE328A" w:rsidRPr="002353FE">
        <w:rPr>
          <w:rFonts w:ascii="Verdana" w:hAnsi="Verdana" w:cs="Tahoma"/>
          <w:sz w:val="24"/>
          <w:lang w:val="en-GB"/>
        </w:rPr>
        <w:t xml:space="preserve"> object of </w:t>
      </w:r>
      <w:r w:rsidR="003D187F" w:rsidRPr="002353FE">
        <w:rPr>
          <w:rFonts w:ascii="Verdana" w:hAnsi="Verdana" w:cs="Tahoma"/>
          <w:sz w:val="24"/>
          <w:lang w:val="en-GB"/>
        </w:rPr>
        <w:t xml:space="preserve">future </w:t>
      </w:r>
      <w:r w:rsidR="00DE328A" w:rsidRPr="002353FE">
        <w:rPr>
          <w:rFonts w:ascii="Verdana" w:hAnsi="Verdana" w:cs="Tahoma"/>
          <w:sz w:val="24"/>
          <w:lang w:val="en-GB"/>
        </w:rPr>
        <w:t xml:space="preserve">analysis. </w:t>
      </w:r>
      <w:r w:rsidR="006B300B" w:rsidRPr="002353FE">
        <w:rPr>
          <w:rFonts w:ascii="Verdana" w:hAnsi="Verdana" w:cs="Tahoma"/>
          <w:b/>
          <w:sz w:val="24"/>
          <w:szCs w:val="24"/>
          <w:lang w:val="en-GB"/>
        </w:rPr>
        <w:br w:type="page"/>
      </w:r>
    </w:p>
    <w:p w14:paraId="0D302519" w14:textId="55B9C697" w:rsidR="00421384" w:rsidRPr="002353FE" w:rsidRDefault="00421384" w:rsidP="001E7395">
      <w:pPr>
        <w:spacing w:before="120" w:after="120" w:line="480" w:lineRule="auto"/>
        <w:ind w:left="-142"/>
        <w:jc w:val="both"/>
        <w:rPr>
          <w:rFonts w:ascii="Verdana" w:hAnsi="Verdana" w:cs="Tahoma"/>
          <w:b/>
          <w:sz w:val="24"/>
          <w:szCs w:val="24"/>
          <w:lang w:val="en-GB"/>
        </w:rPr>
      </w:pPr>
      <w:r w:rsidRPr="002353FE">
        <w:rPr>
          <w:rFonts w:ascii="Verdana" w:hAnsi="Verdana" w:cs="Tahoma"/>
          <w:b/>
          <w:sz w:val="24"/>
          <w:szCs w:val="24"/>
          <w:lang w:val="en-GB"/>
        </w:rPr>
        <w:lastRenderedPageBreak/>
        <w:t>References</w:t>
      </w:r>
    </w:p>
    <w:p w14:paraId="0B0BD5A0" w14:textId="28DAFDE1" w:rsidR="00D06D99" w:rsidRPr="002353FE" w:rsidRDefault="00D06D99" w:rsidP="001E7395">
      <w:pPr>
        <w:tabs>
          <w:tab w:val="left" w:pos="142"/>
        </w:tabs>
        <w:spacing w:after="120" w:line="360" w:lineRule="auto"/>
        <w:ind w:left="142"/>
        <w:jc w:val="both"/>
        <w:rPr>
          <w:rFonts w:ascii="Verdana" w:hAnsi="Verdana"/>
          <w:sz w:val="24"/>
          <w:szCs w:val="24"/>
          <w:lang w:val="en-GB" w:eastAsia="en-GB"/>
        </w:rPr>
      </w:pPr>
      <w:r w:rsidRPr="002353FE">
        <w:rPr>
          <w:rFonts w:ascii="Verdana" w:hAnsi="Verdana"/>
          <w:color w:val="000000"/>
          <w:kern w:val="24"/>
          <w:sz w:val="24"/>
          <w:szCs w:val="24"/>
          <w:lang w:val="en-GB"/>
        </w:rPr>
        <w:t>Agarwal, S</w:t>
      </w:r>
      <w:r w:rsidR="00783F57" w:rsidRPr="002353FE">
        <w:rPr>
          <w:rFonts w:ascii="Verdana" w:hAnsi="Verdana"/>
          <w:color w:val="000000"/>
          <w:kern w:val="24"/>
          <w:sz w:val="24"/>
          <w:szCs w:val="24"/>
          <w:lang w:val="en-GB"/>
        </w:rPr>
        <w:t>.</w:t>
      </w:r>
      <w:r w:rsidRPr="002353FE">
        <w:rPr>
          <w:rFonts w:ascii="Verdana" w:hAnsi="Verdana"/>
          <w:color w:val="000000"/>
          <w:kern w:val="24"/>
          <w:sz w:val="24"/>
          <w:szCs w:val="24"/>
          <w:lang w:val="en-GB"/>
        </w:rPr>
        <w:t xml:space="preserve">, Driscoll, </w:t>
      </w:r>
      <w:r w:rsidR="007F7EED" w:rsidRPr="002353FE">
        <w:rPr>
          <w:rFonts w:ascii="Verdana" w:hAnsi="Verdana"/>
          <w:color w:val="000000"/>
          <w:kern w:val="24"/>
          <w:sz w:val="24"/>
          <w:szCs w:val="24"/>
          <w:lang w:val="en-GB"/>
        </w:rPr>
        <w:t xml:space="preserve">J.C., </w:t>
      </w:r>
      <w:r w:rsidRPr="002353FE">
        <w:rPr>
          <w:rFonts w:ascii="Verdana" w:hAnsi="Verdana"/>
          <w:color w:val="000000"/>
          <w:kern w:val="24"/>
          <w:sz w:val="24"/>
          <w:szCs w:val="24"/>
          <w:lang w:val="en-GB"/>
        </w:rPr>
        <w:t>Gabaix</w:t>
      </w:r>
      <w:r w:rsidR="007F7EED" w:rsidRPr="002353FE">
        <w:rPr>
          <w:rFonts w:ascii="Verdana" w:hAnsi="Verdana"/>
          <w:color w:val="000000"/>
          <w:kern w:val="24"/>
          <w:sz w:val="24"/>
          <w:szCs w:val="24"/>
          <w:lang w:val="en-GB"/>
        </w:rPr>
        <w:t>, X.</w:t>
      </w:r>
      <w:r w:rsidRPr="002353FE">
        <w:rPr>
          <w:rFonts w:ascii="Verdana" w:hAnsi="Verdana"/>
          <w:color w:val="000000"/>
          <w:kern w:val="24"/>
          <w:sz w:val="24"/>
          <w:szCs w:val="24"/>
          <w:lang w:val="en-GB"/>
        </w:rPr>
        <w:t xml:space="preserve"> and Laibson</w:t>
      </w:r>
      <w:r w:rsidR="007F7EED" w:rsidRPr="002353FE">
        <w:rPr>
          <w:rFonts w:ascii="Verdana" w:hAnsi="Verdana"/>
          <w:color w:val="000000"/>
          <w:kern w:val="24"/>
          <w:sz w:val="24"/>
          <w:szCs w:val="24"/>
          <w:lang w:val="en-GB"/>
        </w:rPr>
        <w:t>, D.</w:t>
      </w:r>
      <w:r w:rsidR="00783F57" w:rsidRPr="002353FE">
        <w:rPr>
          <w:rFonts w:ascii="Verdana" w:hAnsi="Verdana"/>
          <w:color w:val="000000"/>
          <w:kern w:val="24"/>
          <w:sz w:val="24"/>
          <w:szCs w:val="24"/>
          <w:lang w:val="en-GB"/>
        </w:rPr>
        <w:t xml:space="preserve"> </w:t>
      </w:r>
      <w:r w:rsidR="007F7EED" w:rsidRPr="002353FE">
        <w:rPr>
          <w:rFonts w:ascii="Verdana" w:hAnsi="Verdana"/>
          <w:color w:val="000000"/>
          <w:kern w:val="24"/>
          <w:sz w:val="24"/>
          <w:szCs w:val="24"/>
          <w:lang w:val="en-GB"/>
        </w:rPr>
        <w:t>(</w:t>
      </w:r>
      <w:r w:rsidRPr="002353FE">
        <w:rPr>
          <w:rFonts w:ascii="Verdana" w:hAnsi="Verdana"/>
          <w:color w:val="000000"/>
          <w:kern w:val="24"/>
          <w:sz w:val="24"/>
          <w:szCs w:val="24"/>
          <w:lang w:val="en-GB"/>
        </w:rPr>
        <w:t>2009</w:t>
      </w:r>
      <w:r w:rsidR="007F7EED" w:rsidRPr="002353FE">
        <w:rPr>
          <w:rFonts w:ascii="Verdana" w:hAnsi="Verdana"/>
          <w:color w:val="000000"/>
          <w:kern w:val="24"/>
          <w:sz w:val="24"/>
          <w:szCs w:val="24"/>
          <w:lang w:val="en-GB"/>
        </w:rPr>
        <w:t>)</w:t>
      </w:r>
      <w:r w:rsidR="003F180B" w:rsidRPr="002353FE">
        <w:rPr>
          <w:rFonts w:ascii="Verdana" w:hAnsi="Verdana"/>
          <w:color w:val="000000"/>
          <w:kern w:val="24"/>
          <w:sz w:val="24"/>
          <w:szCs w:val="24"/>
          <w:lang w:val="en-GB"/>
        </w:rPr>
        <w:t>,</w:t>
      </w:r>
      <w:r w:rsidRPr="002353FE">
        <w:rPr>
          <w:rFonts w:ascii="Verdana" w:hAnsi="Verdana"/>
          <w:color w:val="000000"/>
          <w:kern w:val="24"/>
          <w:sz w:val="24"/>
          <w:szCs w:val="24"/>
          <w:lang w:val="en-GB"/>
        </w:rPr>
        <w:t xml:space="preserve"> “The Age of Reason: Financial Decision over the Life Cycle and Implications for Regulation”</w:t>
      </w:r>
      <w:r w:rsidR="00F63D9F" w:rsidRPr="002353FE">
        <w:rPr>
          <w:rFonts w:ascii="Verdana" w:hAnsi="Verdana"/>
          <w:color w:val="000000"/>
          <w:kern w:val="24"/>
          <w:sz w:val="24"/>
          <w:szCs w:val="24"/>
          <w:lang w:val="en-GB"/>
        </w:rPr>
        <w:t>,</w:t>
      </w:r>
      <w:r w:rsidRPr="002353FE">
        <w:rPr>
          <w:rFonts w:ascii="Verdana" w:hAnsi="Verdana"/>
          <w:color w:val="000000"/>
          <w:kern w:val="24"/>
          <w:sz w:val="24"/>
          <w:szCs w:val="24"/>
          <w:lang w:val="en-GB"/>
        </w:rPr>
        <w:t xml:space="preserve"> </w:t>
      </w:r>
      <w:r w:rsidRPr="002353FE">
        <w:rPr>
          <w:rFonts w:ascii="Verdana" w:hAnsi="Verdana"/>
          <w:i/>
          <w:iCs/>
          <w:color w:val="000000"/>
          <w:kern w:val="24"/>
          <w:sz w:val="24"/>
          <w:szCs w:val="24"/>
          <w:lang w:val="en-GB"/>
        </w:rPr>
        <w:t>Brookings Papers on Economic Activity</w:t>
      </w:r>
      <w:r w:rsidRPr="002353FE">
        <w:rPr>
          <w:rFonts w:ascii="Verdana" w:hAnsi="Verdana"/>
          <w:color w:val="000000"/>
          <w:kern w:val="24"/>
          <w:sz w:val="24"/>
          <w:szCs w:val="24"/>
          <w:lang w:val="en-GB"/>
        </w:rPr>
        <w:t xml:space="preserve"> Fall</w:t>
      </w:r>
      <w:r w:rsidR="007F7EED" w:rsidRPr="002353FE">
        <w:rPr>
          <w:rFonts w:ascii="Verdana" w:hAnsi="Verdana"/>
          <w:color w:val="000000"/>
          <w:kern w:val="24"/>
          <w:sz w:val="24"/>
          <w:szCs w:val="24"/>
          <w:lang w:val="en-GB"/>
        </w:rPr>
        <w:t>,</w:t>
      </w:r>
      <w:r w:rsidRPr="002353FE">
        <w:rPr>
          <w:rFonts w:ascii="Verdana" w:hAnsi="Verdana"/>
          <w:color w:val="000000"/>
          <w:kern w:val="24"/>
          <w:sz w:val="24"/>
          <w:szCs w:val="24"/>
          <w:lang w:val="en-GB"/>
        </w:rPr>
        <w:t xml:space="preserve"> </w:t>
      </w:r>
      <w:r w:rsidR="007F7EED" w:rsidRPr="002353FE">
        <w:rPr>
          <w:rFonts w:ascii="Verdana" w:hAnsi="Verdana"/>
          <w:color w:val="000000"/>
          <w:kern w:val="24"/>
          <w:sz w:val="24"/>
          <w:szCs w:val="24"/>
          <w:lang w:val="en-GB"/>
        </w:rPr>
        <w:t xml:space="preserve">pp. </w:t>
      </w:r>
      <w:r w:rsidRPr="002353FE">
        <w:rPr>
          <w:rFonts w:ascii="Verdana" w:hAnsi="Verdana"/>
          <w:color w:val="000000"/>
          <w:kern w:val="24"/>
          <w:sz w:val="24"/>
          <w:szCs w:val="24"/>
          <w:lang w:val="en-GB"/>
        </w:rPr>
        <w:t xml:space="preserve">51-117. </w:t>
      </w:r>
    </w:p>
    <w:p w14:paraId="3292D389" w14:textId="77777777" w:rsidR="002D72DF" w:rsidRPr="002353FE" w:rsidRDefault="002D72DF"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 xml:space="preserve">Andreasen, A.R. and Manning, J. (1990), “The dissatisfaction and complaining behavior of vulnerable consumers”, </w:t>
      </w:r>
      <w:r w:rsidRPr="002353FE">
        <w:rPr>
          <w:rFonts w:ascii="Verdana" w:hAnsi="Verdana"/>
          <w:i/>
          <w:sz w:val="24"/>
          <w:szCs w:val="24"/>
          <w:lang w:val="en-GB"/>
        </w:rPr>
        <w:t>Journal of Consumer Satisfaction</w:t>
      </w:r>
      <w:r w:rsidRPr="002353FE">
        <w:rPr>
          <w:rFonts w:ascii="Verdana" w:hAnsi="Verdana"/>
          <w:sz w:val="24"/>
          <w:szCs w:val="24"/>
          <w:lang w:val="en-GB"/>
        </w:rPr>
        <w:t>, vol. 3, pp. 12-20.</w:t>
      </w:r>
    </w:p>
    <w:p w14:paraId="4AD830F7" w14:textId="262E3C1F" w:rsidR="00F23BA8" w:rsidRPr="002353FE" w:rsidRDefault="00F23BA8" w:rsidP="001E7395">
      <w:pPr>
        <w:pStyle w:val="ListParagraph"/>
        <w:spacing w:after="120" w:line="360" w:lineRule="auto"/>
        <w:ind w:left="142" w:right="-90"/>
        <w:contextualSpacing w:val="0"/>
        <w:jc w:val="both"/>
        <w:rPr>
          <w:rFonts w:ascii="Verdana" w:hAnsi="Verdana"/>
          <w:b/>
          <w:sz w:val="24"/>
          <w:szCs w:val="24"/>
          <w:lang w:val="en-US"/>
        </w:rPr>
      </w:pPr>
      <w:r w:rsidRPr="002353FE">
        <w:rPr>
          <w:rFonts w:ascii="Verdana" w:hAnsi="Verdana"/>
          <w:bCs/>
          <w:sz w:val="24"/>
          <w:szCs w:val="24"/>
          <w:lang w:val="en-US"/>
        </w:rPr>
        <w:t>Ashton, J.K., and Gregoriou</w:t>
      </w:r>
      <w:r w:rsidR="007F7EED" w:rsidRPr="002353FE">
        <w:rPr>
          <w:rFonts w:ascii="Verdana" w:hAnsi="Verdana"/>
          <w:bCs/>
          <w:sz w:val="24"/>
          <w:szCs w:val="24"/>
          <w:lang w:val="en-US"/>
        </w:rPr>
        <w:t>, A</w:t>
      </w:r>
      <w:r w:rsidRPr="002353FE">
        <w:rPr>
          <w:rFonts w:ascii="Verdana" w:hAnsi="Verdana"/>
          <w:bCs/>
          <w:sz w:val="24"/>
          <w:szCs w:val="24"/>
          <w:lang w:val="en-US"/>
        </w:rPr>
        <w:t>.</w:t>
      </w:r>
      <w:r w:rsidR="007F7EED" w:rsidRPr="002353FE">
        <w:rPr>
          <w:rFonts w:ascii="Verdana" w:hAnsi="Verdana"/>
          <w:bCs/>
          <w:sz w:val="24"/>
          <w:szCs w:val="24"/>
          <w:lang w:val="en-US"/>
        </w:rPr>
        <w:t xml:space="preserve"> (</w:t>
      </w:r>
      <w:r w:rsidRPr="002353FE">
        <w:rPr>
          <w:rFonts w:ascii="Verdana" w:hAnsi="Verdana"/>
          <w:bCs/>
          <w:sz w:val="24"/>
          <w:szCs w:val="24"/>
          <w:lang w:val="en-US"/>
        </w:rPr>
        <w:t>2017</w:t>
      </w:r>
      <w:r w:rsidR="007F7EED" w:rsidRPr="002353FE">
        <w:rPr>
          <w:rFonts w:ascii="Verdana" w:hAnsi="Verdana"/>
          <w:bCs/>
          <w:sz w:val="24"/>
          <w:szCs w:val="24"/>
          <w:lang w:val="en-US"/>
        </w:rPr>
        <w:t>)</w:t>
      </w:r>
      <w:r w:rsidR="003F180B" w:rsidRPr="002353FE">
        <w:rPr>
          <w:rFonts w:ascii="Verdana" w:hAnsi="Verdana"/>
          <w:bCs/>
          <w:sz w:val="24"/>
          <w:szCs w:val="24"/>
          <w:lang w:val="en-US"/>
        </w:rPr>
        <w:t>,</w:t>
      </w:r>
      <w:r w:rsidRPr="002353FE">
        <w:rPr>
          <w:rFonts w:ascii="Verdana" w:hAnsi="Verdana"/>
          <w:bCs/>
          <w:sz w:val="24"/>
          <w:szCs w:val="24"/>
          <w:lang w:val="en-US"/>
        </w:rPr>
        <w:t xml:space="preserve"> “Do overdraft users cross-subsidise other current account customers?”</w:t>
      </w:r>
      <w:r w:rsidR="00F63D9F" w:rsidRPr="002353FE">
        <w:rPr>
          <w:rFonts w:ascii="Verdana" w:hAnsi="Verdana"/>
          <w:bCs/>
          <w:sz w:val="24"/>
          <w:szCs w:val="24"/>
          <w:lang w:val="en-US"/>
        </w:rPr>
        <w:t>,</w:t>
      </w:r>
      <w:r w:rsidRPr="002353FE">
        <w:rPr>
          <w:rFonts w:ascii="Verdana" w:hAnsi="Verdana"/>
          <w:bCs/>
          <w:sz w:val="24"/>
          <w:szCs w:val="24"/>
          <w:lang w:val="en-US"/>
        </w:rPr>
        <w:t xml:space="preserve"> </w:t>
      </w:r>
      <w:r w:rsidRPr="002353FE">
        <w:rPr>
          <w:rFonts w:ascii="Verdana" w:hAnsi="Verdana"/>
          <w:bCs/>
          <w:i/>
          <w:sz w:val="24"/>
          <w:szCs w:val="24"/>
          <w:lang w:val="en-US"/>
        </w:rPr>
        <w:t>International Journal of the Economics of Business</w:t>
      </w:r>
      <w:r w:rsidR="007F7EED" w:rsidRPr="002353FE">
        <w:rPr>
          <w:rFonts w:ascii="Verdana" w:hAnsi="Verdana"/>
          <w:bCs/>
          <w:sz w:val="24"/>
          <w:szCs w:val="24"/>
          <w:lang w:val="en-US"/>
        </w:rPr>
        <w:t xml:space="preserve">, vol. </w:t>
      </w:r>
      <w:r w:rsidRPr="002353FE">
        <w:rPr>
          <w:rFonts w:ascii="Verdana" w:hAnsi="Verdana"/>
          <w:bCs/>
          <w:sz w:val="24"/>
          <w:szCs w:val="24"/>
          <w:lang w:val="en-US"/>
        </w:rPr>
        <w:t>24</w:t>
      </w:r>
      <w:r w:rsidR="007161EE" w:rsidRPr="002353FE">
        <w:rPr>
          <w:rFonts w:ascii="Verdana" w:hAnsi="Verdana"/>
          <w:bCs/>
          <w:sz w:val="24"/>
          <w:szCs w:val="24"/>
          <w:lang w:val="en-US"/>
        </w:rPr>
        <w:t xml:space="preserve"> No </w:t>
      </w:r>
      <w:r w:rsidRPr="002353FE">
        <w:rPr>
          <w:rFonts w:ascii="Verdana" w:hAnsi="Verdana"/>
          <w:bCs/>
          <w:sz w:val="24"/>
          <w:szCs w:val="24"/>
          <w:lang w:val="en-US"/>
        </w:rPr>
        <w:t>1</w:t>
      </w:r>
      <w:r w:rsidR="007F7EED" w:rsidRPr="002353FE">
        <w:rPr>
          <w:rFonts w:ascii="Verdana" w:hAnsi="Verdana"/>
          <w:bCs/>
          <w:sz w:val="24"/>
          <w:szCs w:val="24"/>
          <w:lang w:val="en-US"/>
        </w:rPr>
        <w:t>, pp.</w:t>
      </w:r>
      <w:r w:rsidRPr="002353FE">
        <w:rPr>
          <w:rFonts w:ascii="Verdana" w:hAnsi="Verdana"/>
          <w:bCs/>
          <w:sz w:val="24"/>
          <w:szCs w:val="24"/>
          <w:lang w:val="en-US"/>
        </w:rPr>
        <w:t xml:space="preserve"> 1-26.</w:t>
      </w:r>
      <w:r w:rsidRPr="002353FE">
        <w:rPr>
          <w:rFonts w:ascii="Verdana" w:hAnsi="Verdana"/>
          <w:sz w:val="24"/>
          <w:szCs w:val="24"/>
          <w:lang w:val="en-US"/>
        </w:rPr>
        <w:t xml:space="preserve"> </w:t>
      </w:r>
    </w:p>
    <w:p w14:paraId="65E7F7FF" w14:textId="654FEA9F" w:rsidR="00AE6F59" w:rsidRPr="002353FE" w:rsidRDefault="00AE6F59" w:rsidP="001E7395">
      <w:pPr>
        <w:autoSpaceDE w:val="0"/>
        <w:autoSpaceDN w:val="0"/>
        <w:adjustRightInd w:val="0"/>
        <w:spacing w:after="120" w:line="360" w:lineRule="auto"/>
        <w:ind w:left="142"/>
        <w:jc w:val="both"/>
        <w:rPr>
          <w:rFonts w:ascii="Verdana" w:hAnsi="Verdana"/>
          <w:color w:val="000000"/>
          <w:sz w:val="24"/>
          <w:szCs w:val="24"/>
          <w:lang w:val="en-GB" w:eastAsia="es-ES"/>
        </w:rPr>
      </w:pPr>
      <w:r w:rsidRPr="002353FE">
        <w:rPr>
          <w:rFonts w:ascii="Verdana" w:hAnsi="Verdana"/>
          <w:color w:val="000000"/>
          <w:sz w:val="24"/>
          <w:szCs w:val="24"/>
          <w:lang w:val="en-GB" w:eastAsia="es-ES"/>
        </w:rPr>
        <w:t>Australian Senate Economics References Committee</w:t>
      </w:r>
      <w:r w:rsidR="007F7EED" w:rsidRPr="002353FE">
        <w:rPr>
          <w:rFonts w:ascii="Verdana" w:hAnsi="Verdana"/>
          <w:color w:val="000000"/>
          <w:sz w:val="24"/>
          <w:szCs w:val="24"/>
          <w:lang w:val="en-GB" w:eastAsia="es-ES"/>
        </w:rPr>
        <w:t xml:space="preserve"> (</w:t>
      </w:r>
      <w:r w:rsidRPr="002353FE">
        <w:rPr>
          <w:rFonts w:ascii="Verdana" w:hAnsi="Verdana"/>
          <w:sz w:val="24"/>
          <w:szCs w:val="24"/>
          <w:lang w:val="en-GB" w:eastAsia="es-ES"/>
        </w:rPr>
        <w:t>2011</w:t>
      </w:r>
      <w:r w:rsidR="007F7EED" w:rsidRPr="002353FE">
        <w:rPr>
          <w:rFonts w:ascii="Verdana" w:hAnsi="Verdana"/>
          <w:sz w:val="24"/>
          <w:szCs w:val="24"/>
          <w:lang w:val="en-GB" w:eastAsia="es-ES"/>
        </w:rPr>
        <w:t>)</w:t>
      </w:r>
      <w:r w:rsidR="003F180B" w:rsidRPr="002353FE">
        <w:rPr>
          <w:rFonts w:ascii="Verdana" w:hAnsi="Verdana"/>
          <w:color w:val="000000"/>
          <w:sz w:val="24"/>
          <w:szCs w:val="24"/>
          <w:lang w:val="en-GB" w:eastAsia="es-ES"/>
        </w:rPr>
        <w:t>,</w:t>
      </w:r>
      <w:r w:rsidRPr="002353FE">
        <w:rPr>
          <w:rFonts w:ascii="Verdana" w:hAnsi="Verdana"/>
          <w:color w:val="000000"/>
          <w:sz w:val="24"/>
          <w:szCs w:val="24"/>
          <w:lang w:val="en-GB" w:eastAsia="es-ES"/>
        </w:rPr>
        <w:t xml:space="preserve"> </w:t>
      </w:r>
      <w:r w:rsidRPr="002353FE">
        <w:rPr>
          <w:rFonts w:ascii="Verdana" w:hAnsi="Verdana"/>
          <w:i/>
          <w:color w:val="000000"/>
          <w:sz w:val="24"/>
          <w:szCs w:val="24"/>
          <w:lang w:val="en-GB" w:eastAsia="es-ES"/>
        </w:rPr>
        <w:t>Competition within the Australian Banking Sector</w:t>
      </w:r>
      <w:r w:rsidRPr="002353FE">
        <w:rPr>
          <w:rFonts w:ascii="Verdana" w:hAnsi="Verdana"/>
          <w:color w:val="000000"/>
          <w:sz w:val="24"/>
          <w:szCs w:val="24"/>
          <w:lang w:val="en-GB" w:eastAsia="es-ES"/>
        </w:rPr>
        <w:t>. Canberra.</w:t>
      </w:r>
    </w:p>
    <w:p w14:paraId="425AB0C0" w14:textId="77777777" w:rsidR="009440ED" w:rsidRPr="001E7395" w:rsidRDefault="009440ED" w:rsidP="001E7395">
      <w:pPr>
        <w:ind w:left="142"/>
        <w:jc w:val="both"/>
        <w:rPr>
          <w:rFonts w:ascii="Verdana" w:hAnsi="Verdana" w:cs="AdvTT5843c571"/>
          <w:sz w:val="24"/>
          <w:szCs w:val="24"/>
          <w:lang w:val="en-GB"/>
        </w:rPr>
      </w:pPr>
      <w:r w:rsidRPr="001E7395">
        <w:rPr>
          <w:rFonts w:ascii="Verdana" w:hAnsi="Verdana" w:cs="AdvTT5843c571"/>
          <w:sz w:val="24"/>
          <w:szCs w:val="24"/>
          <w:lang w:val="en-GB"/>
        </w:rPr>
        <w:t xml:space="preserve">Bansal, H. S., Irving, P. G. and Taylor, S. F. (2004), “A Three-Component Model of Customer Commitment to Service Providers”, </w:t>
      </w:r>
      <w:r w:rsidRPr="001E7395">
        <w:rPr>
          <w:rFonts w:ascii="Verdana" w:hAnsi="Verdana" w:cs="AdvTT5843c571"/>
          <w:i/>
          <w:iCs/>
          <w:sz w:val="24"/>
          <w:szCs w:val="24"/>
          <w:lang w:val="en-GB"/>
        </w:rPr>
        <w:t>Journal of the Academy of Marketing Science</w:t>
      </w:r>
      <w:r w:rsidRPr="001E7395">
        <w:rPr>
          <w:rFonts w:ascii="Verdana" w:hAnsi="Verdana" w:cs="AdvTT5843c571"/>
          <w:sz w:val="24"/>
          <w:szCs w:val="24"/>
          <w:lang w:val="en-GB"/>
        </w:rPr>
        <w:t>, 32(3), pp.234-250.</w:t>
      </w:r>
    </w:p>
    <w:p w14:paraId="3A37F632" w14:textId="0E1AD0CA" w:rsidR="00430ED7" w:rsidRPr="002353FE" w:rsidRDefault="006675CB"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US"/>
        </w:rPr>
        <w:t>Barone, G., Felici,</w:t>
      </w:r>
      <w:r w:rsidR="007F7EED" w:rsidRPr="002353FE">
        <w:rPr>
          <w:rFonts w:ascii="Verdana" w:hAnsi="Verdana"/>
          <w:sz w:val="24"/>
          <w:szCs w:val="24"/>
          <w:lang w:val="en-US"/>
        </w:rPr>
        <w:t xml:space="preserve"> R.</w:t>
      </w:r>
      <w:r w:rsidRPr="002353FE">
        <w:rPr>
          <w:rFonts w:ascii="Verdana" w:hAnsi="Verdana"/>
          <w:sz w:val="24"/>
          <w:szCs w:val="24"/>
          <w:lang w:val="en-US"/>
        </w:rPr>
        <w:t xml:space="preserve"> and</w:t>
      </w:r>
      <w:r w:rsidR="00430ED7" w:rsidRPr="002353FE">
        <w:rPr>
          <w:rFonts w:ascii="Verdana" w:hAnsi="Verdana"/>
          <w:sz w:val="24"/>
          <w:szCs w:val="24"/>
          <w:lang w:val="en-US"/>
        </w:rPr>
        <w:t xml:space="preserve"> Pagnini</w:t>
      </w:r>
      <w:r w:rsidR="007F7EED" w:rsidRPr="002353FE">
        <w:rPr>
          <w:rFonts w:ascii="Verdana" w:hAnsi="Verdana"/>
          <w:sz w:val="24"/>
          <w:szCs w:val="24"/>
          <w:lang w:val="en-US"/>
        </w:rPr>
        <w:t>, M. (</w:t>
      </w:r>
      <w:r w:rsidR="00430ED7" w:rsidRPr="002353FE">
        <w:rPr>
          <w:rFonts w:ascii="Verdana" w:hAnsi="Verdana"/>
          <w:sz w:val="24"/>
          <w:szCs w:val="24"/>
          <w:lang w:val="en-US"/>
        </w:rPr>
        <w:t>2011</w:t>
      </w:r>
      <w:r w:rsidR="007F7EED" w:rsidRPr="002353FE">
        <w:rPr>
          <w:rFonts w:ascii="Verdana" w:hAnsi="Verdana"/>
          <w:sz w:val="24"/>
          <w:szCs w:val="24"/>
          <w:lang w:val="en-US"/>
        </w:rPr>
        <w:t>)</w:t>
      </w:r>
      <w:r w:rsidR="003F180B" w:rsidRPr="002353FE">
        <w:rPr>
          <w:rFonts w:ascii="Verdana" w:hAnsi="Verdana"/>
          <w:sz w:val="24"/>
          <w:szCs w:val="24"/>
          <w:lang w:val="en-US"/>
        </w:rPr>
        <w:t>,</w:t>
      </w:r>
      <w:r w:rsidR="00430ED7" w:rsidRPr="002353FE">
        <w:rPr>
          <w:rFonts w:ascii="Verdana" w:hAnsi="Verdana"/>
          <w:sz w:val="24"/>
          <w:szCs w:val="24"/>
          <w:lang w:val="en-US"/>
        </w:rPr>
        <w:t xml:space="preserve"> </w:t>
      </w:r>
      <w:r w:rsidR="00996345" w:rsidRPr="002353FE">
        <w:rPr>
          <w:rFonts w:ascii="Verdana" w:hAnsi="Verdana"/>
          <w:sz w:val="24"/>
          <w:szCs w:val="24"/>
          <w:lang w:val="en-GB"/>
        </w:rPr>
        <w:t>“</w:t>
      </w:r>
      <w:r w:rsidR="00430ED7" w:rsidRPr="002353FE">
        <w:rPr>
          <w:rFonts w:ascii="Verdana" w:hAnsi="Verdana"/>
          <w:sz w:val="24"/>
          <w:szCs w:val="24"/>
          <w:lang w:val="en-GB"/>
        </w:rPr>
        <w:t>Switching costs in local credit markets</w:t>
      </w:r>
      <w:r w:rsidR="00996345" w:rsidRPr="002353FE">
        <w:rPr>
          <w:rFonts w:ascii="Verdana" w:hAnsi="Verdana"/>
          <w:sz w:val="24"/>
          <w:szCs w:val="24"/>
          <w:lang w:val="en-GB"/>
        </w:rPr>
        <w:t>”</w:t>
      </w:r>
      <w:r w:rsidR="00F63D9F" w:rsidRPr="002353FE">
        <w:rPr>
          <w:rFonts w:ascii="Verdana" w:hAnsi="Verdana"/>
          <w:sz w:val="24"/>
          <w:szCs w:val="24"/>
          <w:lang w:val="en-GB"/>
        </w:rPr>
        <w:t>,</w:t>
      </w:r>
      <w:r w:rsidR="00430ED7" w:rsidRPr="002353FE">
        <w:rPr>
          <w:rFonts w:ascii="Verdana" w:hAnsi="Verdana"/>
          <w:sz w:val="24"/>
          <w:szCs w:val="24"/>
          <w:lang w:val="en-GB"/>
        </w:rPr>
        <w:t xml:space="preserve"> </w:t>
      </w:r>
      <w:r w:rsidR="00430ED7" w:rsidRPr="002353FE">
        <w:rPr>
          <w:rFonts w:ascii="Verdana" w:hAnsi="Verdana"/>
          <w:i/>
          <w:sz w:val="24"/>
          <w:szCs w:val="24"/>
          <w:lang w:val="en-GB"/>
        </w:rPr>
        <w:t>International Journal of Industrial Organization</w:t>
      </w:r>
      <w:r w:rsidR="007161EE" w:rsidRPr="002353FE">
        <w:rPr>
          <w:rFonts w:ascii="Verdana" w:hAnsi="Verdana"/>
          <w:sz w:val="24"/>
          <w:szCs w:val="24"/>
          <w:lang w:val="en-GB"/>
        </w:rPr>
        <w:t xml:space="preserve">, vol. </w:t>
      </w:r>
      <w:r w:rsidR="00430ED7" w:rsidRPr="002353FE">
        <w:rPr>
          <w:rFonts w:ascii="Verdana" w:hAnsi="Verdana"/>
          <w:sz w:val="24"/>
          <w:szCs w:val="24"/>
          <w:lang w:val="en-GB"/>
        </w:rPr>
        <w:t>29</w:t>
      </w:r>
      <w:r w:rsidR="007161EE" w:rsidRPr="002353FE">
        <w:rPr>
          <w:rFonts w:ascii="Verdana" w:hAnsi="Verdana"/>
          <w:sz w:val="24"/>
          <w:szCs w:val="24"/>
          <w:lang w:val="en-GB"/>
        </w:rPr>
        <w:t>, pp.</w:t>
      </w:r>
      <w:r w:rsidR="00430ED7" w:rsidRPr="002353FE">
        <w:rPr>
          <w:rFonts w:ascii="Verdana" w:hAnsi="Verdana"/>
          <w:sz w:val="24"/>
          <w:szCs w:val="24"/>
          <w:lang w:val="en-GB"/>
        </w:rPr>
        <w:t xml:space="preserve"> 694-704.</w:t>
      </w:r>
    </w:p>
    <w:p w14:paraId="0FEC9E7B" w14:textId="06701DC3" w:rsidR="00430ED7" w:rsidRPr="002353FE" w:rsidRDefault="00430ED7"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Bouckaert, J.</w:t>
      </w:r>
      <w:r w:rsidR="006675CB" w:rsidRPr="002353FE">
        <w:rPr>
          <w:rFonts w:ascii="Verdana" w:hAnsi="Verdana"/>
          <w:sz w:val="24"/>
          <w:szCs w:val="24"/>
          <w:lang w:val="en-GB"/>
        </w:rPr>
        <w:t xml:space="preserve"> and</w:t>
      </w:r>
      <w:r w:rsidRPr="002353FE">
        <w:rPr>
          <w:rFonts w:ascii="Verdana" w:hAnsi="Verdana"/>
          <w:sz w:val="24"/>
          <w:szCs w:val="24"/>
          <w:lang w:val="en-GB"/>
        </w:rPr>
        <w:t xml:space="preserve"> Degryse</w:t>
      </w:r>
      <w:r w:rsidR="007161EE" w:rsidRPr="002353FE">
        <w:rPr>
          <w:rFonts w:ascii="Verdana" w:hAnsi="Verdana"/>
          <w:sz w:val="24"/>
          <w:szCs w:val="24"/>
          <w:lang w:val="en-GB"/>
        </w:rPr>
        <w:t>, H</w:t>
      </w:r>
      <w:r w:rsidRPr="002353FE">
        <w:rPr>
          <w:rFonts w:ascii="Verdana" w:hAnsi="Verdana"/>
          <w:sz w:val="24"/>
          <w:szCs w:val="24"/>
          <w:lang w:val="en-GB"/>
        </w:rPr>
        <w:t xml:space="preserve">. </w:t>
      </w:r>
      <w:r w:rsidR="007161EE" w:rsidRPr="002353FE">
        <w:rPr>
          <w:rFonts w:ascii="Verdana" w:hAnsi="Verdana"/>
          <w:sz w:val="24"/>
          <w:szCs w:val="24"/>
          <w:lang w:val="en-GB"/>
        </w:rPr>
        <w:t>(</w:t>
      </w:r>
      <w:r w:rsidRPr="002353FE">
        <w:rPr>
          <w:rFonts w:ascii="Verdana" w:hAnsi="Verdana"/>
          <w:sz w:val="24"/>
          <w:szCs w:val="24"/>
          <w:lang w:val="en-GB"/>
        </w:rPr>
        <w:t>2004</w:t>
      </w:r>
      <w:r w:rsidR="007161E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“Softening Competition by Inducing Switching in Credit Markets”</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Journal of Industrial Economics</w:t>
      </w:r>
      <w:r w:rsidR="007161EE" w:rsidRPr="002353FE">
        <w:rPr>
          <w:rFonts w:ascii="Verdana" w:hAnsi="Verdana"/>
          <w:sz w:val="24"/>
          <w:szCs w:val="24"/>
          <w:lang w:val="en-GB"/>
        </w:rPr>
        <w:t xml:space="preserve">, vol. </w:t>
      </w:r>
      <w:r w:rsidR="006675CB" w:rsidRPr="002353FE">
        <w:rPr>
          <w:rFonts w:ascii="Verdana" w:hAnsi="Verdana"/>
          <w:sz w:val="24"/>
          <w:szCs w:val="24"/>
          <w:lang w:val="en-GB"/>
        </w:rPr>
        <w:t>52</w:t>
      </w:r>
      <w:r w:rsidR="007161EE" w:rsidRPr="002353FE">
        <w:rPr>
          <w:rFonts w:ascii="Verdana" w:hAnsi="Verdana"/>
          <w:sz w:val="24"/>
          <w:szCs w:val="24"/>
          <w:lang w:val="en-GB"/>
        </w:rPr>
        <w:t>, pp.</w:t>
      </w:r>
      <w:r w:rsidRPr="002353FE">
        <w:rPr>
          <w:rFonts w:ascii="Verdana" w:hAnsi="Verdana"/>
          <w:sz w:val="24"/>
          <w:szCs w:val="24"/>
          <w:lang w:val="en-GB"/>
        </w:rPr>
        <w:t xml:space="preserve"> 27-52.</w:t>
      </w:r>
    </w:p>
    <w:p w14:paraId="54E93A97" w14:textId="2A18E719" w:rsidR="00E3168D" w:rsidRPr="002353FE" w:rsidRDefault="00E3168D"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Brennan, C., Vlaev, I., Blakemore, M. and</w:t>
      </w:r>
      <w:r w:rsidR="000B7037" w:rsidRPr="002353FE">
        <w:rPr>
          <w:rFonts w:ascii="Verdana" w:hAnsi="Verdana"/>
          <w:sz w:val="24"/>
          <w:szCs w:val="24"/>
          <w:lang w:val="en-GB"/>
        </w:rPr>
        <w:t xml:space="preserve"> </w:t>
      </w:r>
      <w:r w:rsidRPr="002353FE">
        <w:rPr>
          <w:rFonts w:ascii="Verdana" w:hAnsi="Verdana"/>
          <w:sz w:val="24"/>
          <w:szCs w:val="24"/>
          <w:lang w:val="en-GB"/>
        </w:rPr>
        <w:t>Smith</w:t>
      </w:r>
      <w:r w:rsidR="007161EE" w:rsidRPr="002353FE">
        <w:rPr>
          <w:rFonts w:ascii="Verdana" w:hAnsi="Verdana"/>
          <w:sz w:val="24"/>
          <w:szCs w:val="24"/>
          <w:lang w:val="en-GB"/>
        </w:rPr>
        <w:t>, N. (</w:t>
      </w:r>
      <w:r w:rsidRPr="002353FE">
        <w:rPr>
          <w:rFonts w:ascii="Verdana" w:hAnsi="Verdana"/>
          <w:sz w:val="24"/>
          <w:szCs w:val="24"/>
          <w:lang w:val="en-GB"/>
        </w:rPr>
        <w:t>2017</w:t>
      </w:r>
      <w:r w:rsidR="007161E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“Consumer education and empowerment in Europe: recent developments in policy and practice”</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International Journal of Consumer Studies</w:t>
      </w:r>
      <w:r w:rsidR="007161EE" w:rsidRPr="002353FE">
        <w:rPr>
          <w:rFonts w:ascii="Verdana" w:hAnsi="Verdana"/>
          <w:sz w:val="24"/>
          <w:szCs w:val="24"/>
          <w:lang w:val="en-GB"/>
        </w:rPr>
        <w:t xml:space="preserve">, vol. </w:t>
      </w:r>
      <w:r w:rsidRPr="002353FE">
        <w:rPr>
          <w:rFonts w:ascii="Verdana" w:hAnsi="Verdana"/>
          <w:sz w:val="24"/>
          <w:szCs w:val="24"/>
          <w:lang w:val="en-GB"/>
        </w:rPr>
        <w:t>41</w:t>
      </w:r>
      <w:r w:rsidR="007161EE" w:rsidRPr="002353FE">
        <w:rPr>
          <w:rFonts w:ascii="Verdana" w:hAnsi="Verdana"/>
          <w:sz w:val="24"/>
          <w:szCs w:val="24"/>
          <w:lang w:val="en-GB"/>
        </w:rPr>
        <w:t xml:space="preserve"> No </w:t>
      </w:r>
      <w:r w:rsidRPr="002353FE">
        <w:rPr>
          <w:rFonts w:ascii="Verdana" w:hAnsi="Verdana"/>
          <w:sz w:val="24"/>
          <w:szCs w:val="24"/>
          <w:lang w:val="en-GB"/>
        </w:rPr>
        <w:t>2</w:t>
      </w:r>
      <w:r w:rsidR="007161EE" w:rsidRPr="002353FE">
        <w:rPr>
          <w:rFonts w:ascii="Verdana" w:hAnsi="Verdana"/>
          <w:sz w:val="24"/>
          <w:szCs w:val="24"/>
          <w:lang w:val="en-GB"/>
        </w:rPr>
        <w:t xml:space="preserve">, pp. </w:t>
      </w:r>
      <w:r w:rsidRPr="002353FE">
        <w:rPr>
          <w:rFonts w:ascii="Verdana" w:hAnsi="Verdana"/>
          <w:sz w:val="24"/>
          <w:szCs w:val="24"/>
          <w:lang w:val="en-GB"/>
        </w:rPr>
        <w:t>147-157.</w:t>
      </w:r>
    </w:p>
    <w:p w14:paraId="7B548291" w14:textId="19693755" w:rsidR="00826E1A" w:rsidRPr="002353FE" w:rsidRDefault="00826E1A" w:rsidP="001E7395">
      <w:pPr>
        <w:spacing w:after="120" w:line="360" w:lineRule="auto"/>
        <w:ind w:left="142"/>
        <w:jc w:val="both"/>
        <w:rPr>
          <w:rFonts w:ascii="Verdana" w:hAnsi="Verdana"/>
          <w:sz w:val="24"/>
          <w:szCs w:val="24"/>
          <w:lang w:val="en-GB"/>
        </w:rPr>
      </w:pPr>
      <w:r w:rsidRPr="001E7395">
        <w:rPr>
          <w:rFonts w:ascii="Verdana" w:hAnsi="Verdana"/>
          <w:sz w:val="24"/>
          <w:szCs w:val="24"/>
          <w:lang w:val="en-GB"/>
        </w:rPr>
        <w:t xml:space="preserve">Brown, J. R., Cookson, J. A. </w:t>
      </w:r>
      <w:r w:rsidR="00AB1654" w:rsidRPr="001E7395">
        <w:rPr>
          <w:rFonts w:ascii="Verdana" w:hAnsi="Verdana"/>
          <w:sz w:val="24"/>
          <w:szCs w:val="24"/>
          <w:lang w:val="en-GB"/>
        </w:rPr>
        <w:t xml:space="preserve">and </w:t>
      </w:r>
      <w:r w:rsidRPr="001E7395">
        <w:rPr>
          <w:rFonts w:ascii="Verdana" w:hAnsi="Verdana"/>
          <w:sz w:val="24"/>
          <w:szCs w:val="24"/>
          <w:lang w:val="en-GB"/>
        </w:rPr>
        <w:t>Heimer R. Z. (2019)</w:t>
      </w:r>
      <w:r w:rsidR="00AB1654" w:rsidRPr="001E7395">
        <w:rPr>
          <w:rFonts w:ascii="Verdana" w:hAnsi="Verdana"/>
          <w:sz w:val="24"/>
          <w:szCs w:val="24"/>
          <w:lang w:val="en-GB"/>
        </w:rPr>
        <w:t>, “</w:t>
      </w:r>
      <w:r w:rsidRPr="001E7395">
        <w:rPr>
          <w:rFonts w:ascii="Verdana" w:hAnsi="Verdana"/>
          <w:sz w:val="24"/>
          <w:szCs w:val="24"/>
          <w:lang w:val="en-GB"/>
        </w:rPr>
        <w:t>Growing up without finance</w:t>
      </w:r>
      <w:r w:rsidR="00AB1654"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Journal of Financial Economics</w:t>
      </w:r>
      <w:r w:rsidR="00AB1654" w:rsidRPr="001E7395">
        <w:rPr>
          <w:rFonts w:ascii="Verdana" w:hAnsi="Verdana"/>
          <w:sz w:val="24"/>
          <w:szCs w:val="24"/>
          <w:lang w:val="en-GB"/>
        </w:rPr>
        <w:t>, vol.</w:t>
      </w:r>
      <w:r w:rsidRPr="001E7395">
        <w:rPr>
          <w:rFonts w:ascii="Verdana" w:hAnsi="Verdana"/>
          <w:sz w:val="24"/>
          <w:szCs w:val="24"/>
          <w:lang w:val="en-GB"/>
        </w:rPr>
        <w:t xml:space="preserve"> 134,</w:t>
      </w:r>
      <w:r w:rsidR="00AB1654" w:rsidRPr="001E7395">
        <w:rPr>
          <w:rFonts w:ascii="Verdana" w:hAnsi="Verdana"/>
          <w:sz w:val="24"/>
          <w:szCs w:val="24"/>
          <w:lang w:val="en-GB"/>
        </w:rPr>
        <w:t xml:space="preserve"> pp.</w:t>
      </w:r>
      <w:r w:rsidRPr="001E7395">
        <w:rPr>
          <w:rFonts w:ascii="Verdana" w:hAnsi="Verdana"/>
          <w:sz w:val="24"/>
          <w:szCs w:val="24"/>
          <w:lang w:val="en-GB"/>
        </w:rPr>
        <w:t xml:space="preserve"> 591–616.</w:t>
      </w:r>
      <w:r w:rsidRPr="002353FE">
        <w:rPr>
          <w:rFonts w:ascii="Verdana" w:hAnsi="Verdana"/>
          <w:sz w:val="24"/>
          <w:szCs w:val="24"/>
          <w:lang w:val="en-GB"/>
        </w:rPr>
        <w:t xml:space="preserve"> </w:t>
      </w:r>
    </w:p>
    <w:p w14:paraId="326007CB" w14:textId="2D2825B4" w:rsidR="00095193" w:rsidRPr="002353FE" w:rsidRDefault="00095193"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lastRenderedPageBreak/>
        <w:t>Brunetti, M.</w:t>
      </w:r>
      <w:r w:rsidR="006675CB" w:rsidRPr="002353FE">
        <w:rPr>
          <w:rFonts w:ascii="Verdana" w:hAnsi="Verdana"/>
          <w:sz w:val="24"/>
          <w:szCs w:val="24"/>
          <w:lang w:val="en-GB"/>
        </w:rPr>
        <w:t>,</w:t>
      </w:r>
      <w:r w:rsidR="007161EE" w:rsidRPr="002353FE">
        <w:rPr>
          <w:rFonts w:ascii="Verdana" w:hAnsi="Verdana"/>
          <w:sz w:val="24"/>
          <w:szCs w:val="24"/>
          <w:lang w:val="en-GB"/>
        </w:rPr>
        <w:t xml:space="preserve"> </w:t>
      </w:r>
      <w:r w:rsidRPr="002353FE">
        <w:rPr>
          <w:rFonts w:ascii="Verdana" w:hAnsi="Verdana"/>
          <w:sz w:val="24"/>
          <w:szCs w:val="24"/>
          <w:lang w:val="en-GB"/>
        </w:rPr>
        <w:t>Ciciretti,</w:t>
      </w:r>
      <w:r w:rsidR="007161EE" w:rsidRPr="002353FE">
        <w:rPr>
          <w:rFonts w:ascii="Verdana" w:hAnsi="Verdana"/>
          <w:sz w:val="24"/>
          <w:szCs w:val="24"/>
          <w:lang w:val="en-GB"/>
        </w:rPr>
        <w:t xml:space="preserve"> R.</w:t>
      </w:r>
      <w:r w:rsidRPr="002353FE">
        <w:rPr>
          <w:rFonts w:ascii="Verdana" w:hAnsi="Verdana"/>
          <w:sz w:val="24"/>
          <w:szCs w:val="24"/>
          <w:lang w:val="en-GB"/>
        </w:rPr>
        <w:t xml:space="preserve"> and </w:t>
      </w:r>
      <w:r w:rsidR="00985A02" w:rsidRPr="002353FE">
        <w:rPr>
          <w:rFonts w:ascii="Verdana" w:hAnsi="Verdana"/>
          <w:sz w:val="24"/>
          <w:szCs w:val="24"/>
          <w:lang w:val="en-GB"/>
        </w:rPr>
        <w:t>Djordjevic</w:t>
      </w:r>
      <w:r w:rsidR="007161EE" w:rsidRPr="002353FE">
        <w:rPr>
          <w:rFonts w:ascii="Verdana" w:hAnsi="Verdana"/>
          <w:sz w:val="24"/>
          <w:szCs w:val="24"/>
          <w:lang w:val="en-GB"/>
        </w:rPr>
        <w:t>, L.J</w:t>
      </w:r>
      <w:r w:rsidR="00783F57" w:rsidRPr="002353FE">
        <w:rPr>
          <w:rFonts w:ascii="Verdana" w:hAnsi="Verdana"/>
          <w:sz w:val="24"/>
          <w:szCs w:val="24"/>
          <w:lang w:val="en-GB"/>
        </w:rPr>
        <w:t>.</w:t>
      </w:r>
      <w:r w:rsidRPr="002353FE">
        <w:rPr>
          <w:rFonts w:ascii="Verdana" w:hAnsi="Verdana"/>
          <w:sz w:val="24"/>
          <w:szCs w:val="24"/>
          <w:lang w:val="en-GB"/>
        </w:rPr>
        <w:t xml:space="preserve"> </w:t>
      </w:r>
      <w:r w:rsidR="007161EE" w:rsidRPr="002353FE">
        <w:rPr>
          <w:rFonts w:ascii="Verdana" w:hAnsi="Verdana"/>
          <w:sz w:val="24"/>
          <w:szCs w:val="24"/>
          <w:lang w:val="en-GB"/>
        </w:rPr>
        <w:t>(</w:t>
      </w:r>
      <w:r w:rsidRPr="002353FE">
        <w:rPr>
          <w:rFonts w:ascii="Verdana" w:hAnsi="Verdana"/>
          <w:sz w:val="24"/>
          <w:szCs w:val="24"/>
          <w:lang w:val="en-GB"/>
        </w:rPr>
        <w:t>2016</w:t>
      </w:r>
      <w:r w:rsidR="007161E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996345" w:rsidRPr="002353FE">
        <w:rPr>
          <w:rFonts w:ascii="Verdana" w:hAnsi="Verdana"/>
          <w:sz w:val="24"/>
          <w:szCs w:val="24"/>
          <w:lang w:val="en-GB"/>
        </w:rPr>
        <w:t>“</w:t>
      </w:r>
      <w:r w:rsidRPr="002353FE">
        <w:rPr>
          <w:rFonts w:ascii="Verdana" w:hAnsi="Verdana"/>
          <w:sz w:val="24"/>
          <w:szCs w:val="24"/>
          <w:lang w:val="en-GB"/>
        </w:rPr>
        <w:t>The Determinant</w:t>
      </w:r>
      <w:r w:rsidR="00996345" w:rsidRPr="002353FE">
        <w:rPr>
          <w:rFonts w:ascii="Verdana" w:hAnsi="Verdana"/>
          <w:sz w:val="24"/>
          <w:szCs w:val="24"/>
          <w:lang w:val="en-GB"/>
        </w:rPr>
        <w:t>s</w:t>
      </w:r>
      <w:r w:rsidRPr="002353FE">
        <w:rPr>
          <w:rFonts w:ascii="Verdana" w:hAnsi="Verdana"/>
          <w:sz w:val="24"/>
          <w:szCs w:val="24"/>
          <w:lang w:val="en-GB"/>
        </w:rPr>
        <w:t xml:space="preserve"> of </w:t>
      </w:r>
      <w:r w:rsidR="00996345" w:rsidRPr="002353FE">
        <w:rPr>
          <w:rFonts w:ascii="Verdana" w:hAnsi="Verdana"/>
          <w:sz w:val="24"/>
          <w:szCs w:val="24"/>
          <w:lang w:val="en-GB"/>
        </w:rPr>
        <w:t>H</w:t>
      </w:r>
      <w:r w:rsidRPr="002353FE">
        <w:rPr>
          <w:rFonts w:ascii="Verdana" w:hAnsi="Verdana"/>
          <w:sz w:val="24"/>
          <w:szCs w:val="24"/>
          <w:lang w:val="en-GB"/>
        </w:rPr>
        <w:t xml:space="preserve">ousehold’s </w:t>
      </w:r>
      <w:r w:rsidR="00996345" w:rsidRPr="002353FE">
        <w:rPr>
          <w:rFonts w:ascii="Verdana" w:hAnsi="Verdana"/>
          <w:sz w:val="24"/>
          <w:szCs w:val="24"/>
          <w:lang w:val="en-GB"/>
        </w:rPr>
        <w:t>B</w:t>
      </w:r>
      <w:r w:rsidRPr="002353FE">
        <w:rPr>
          <w:rFonts w:ascii="Verdana" w:hAnsi="Verdana"/>
          <w:sz w:val="24"/>
          <w:szCs w:val="24"/>
          <w:lang w:val="en-GB"/>
        </w:rPr>
        <w:t xml:space="preserve">ank </w:t>
      </w:r>
      <w:r w:rsidR="00996345" w:rsidRPr="002353FE">
        <w:rPr>
          <w:rFonts w:ascii="Verdana" w:hAnsi="Verdana"/>
          <w:sz w:val="24"/>
          <w:szCs w:val="24"/>
          <w:lang w:val="en-GB"/>
        </w:rPr>
        <w:t>S</w:t>
      </w:r>
      <w:r w:rsidRPr="002353FE">
        <w:rPr>
          <w:rFonts w:ascii="Verdana" w:hAnsi="Verdana"/>
          <w:sz w:val="24"/>
          <w:szCs w:val="24"/>
          <w:lang w:val="en-GB"/>
        </w:rPr>
        <w:t>witching</w:t>
      </w:r>
      <w:r w:rsidR="00996345" w:rsidRPr="002353FE">
        <w:rPr>
          <w:rFonts w:ascii="Verdana" w:hAnsi="Verdana"/>
          <w:sz w:val="24"/>
          <w:szCs w:val="24"/>
          <w:lang w:val="en-GB"/>
        </w:rPr>
        <w:t>”</w:t>
      </w:r>
      <w:r w:rsidR="00F63D9F" w:rsidRPr="002353FE">
        <w:rPr>
          <w:rFonts w:ascii="Verdana" w:hAnsi="Verdana"/>
          <w:sz w:val="24"/>
          <w:szCs w:val="24"/>
          <w:lang w:val="en-GB"/>
        </w:rPr>
        <w:t>,</w:t>
      </w:r>
      <w:r w:rsidR="00996345" w:rsidRPr="002353FE">
        <w:rPr>
          <w:rFonts w:ascii="Verdana" w:hAnsi="Verdana"/>
          <w:sz w:val="24"/>
          <w:szCs w:val="24"/>
          <w:lang w:val="en-GB"/>
        </w:rPr>
        <w:t xml:space="preserve"> </w:t>
      </w:r>
      <w:r w:rsidRPr="002353FE">
        <w:rPr>
          <w:rFonts w:ascii="Verdana" w:hAnsi="Verdana"/>
          <w:i/>
          <w:sz w:val="24"/>
          <w:szCs w:val="24"/>
          <w:lang w:val="en-GB"/>
        </w:rPr>
        <w:t>Journal</w:t>
      </w:r>
      <w:r w:rsidR="00841319" w:rsidRPr="002353FE">
        <w:rPr>
          <w:rFonts w:ascii="Verdana" w:hAnsi="Verdana"/>
          <w:i/>
          <w:sz w:val="24"/>
          <w:szCs w:val="24"/>
          <w:lang w:val="en-GB"/>
        </w:rPr>
        <w:t xml:space="preserve"> of</w:t>
      </w:r>
      <w:r w:rsidRPr="002353FE">
        <w:rPr>
          <w:rFonts w:ascii="Verdana" w:hAnsi="Verdana"/>
          <w:i/>
          <w:sz w:val="24"/>
          <w:szCs w:val="24"/>
          <w:lang w:val="en-GB"/>
        </w:rPr>
        <w:t xml:space="preserve"> Financial Stability</w:t>
      </w:r>
      <w:r w:rsidR="007161EE" w:rsidRPr="002353FE">
        <w:rPr>
          <w:rFonts w:ascii="Verdana" w:hAnsi="Verdana"/>
          <w:sz w:val="24"/>
          <w:szCs w:val="24"/>
          <w:lang w:val="en-GB"/>
        </w:rPr>
        <w:t xml:space="preserve">, vol. </w:t>
      </w:r>
      <w:r w:rsidRPr="002353FE">
        <w:rPr>
          <w:rFonts w:ascii="Verdana" w:hAnsi="Verdana"/>
          <w:sz w:val="24"/>
          <w:szCs w:val="24"/>
          <w:lang w:val="en-GB"/>
        </w:rPr>
        <w:t>26</w:t>
      </w:r>
      <w:r w:rsidR="007161EE" w:rsidRPr="002353FE">
        <w:rPr>
          <w:rFonts w:ascii="Verdana" w:hAnsi="Verdana"/>
          <w:sz w:val="24"/>
          <w:szCs w:val="24"/>
          <w:lang w:val="en-GB"/>
        </w:rPr>
        <w:t xml:space="preserve">, pp. </w:t>
      </w:r>
      <w:r w:rsidRPr="002353FE">
        <w:rPr>
          <w:rFonts w:ascii="Verdana" w:hAnsi="Verdana"/>
          <w:sz w:val="24"/>
          <w:szCs w:val="24"/>
          <w:lang w:val="en-GB"/>
        </w:rPr>
        <w:t>175-189</w:t>
      </w:r>
      <w:r w:rsidR="00A05765" w:rsidRPr="002353FE">
        <w:rPr>
          <w:rFonts w:ascii="Verdana" w:hAnsi="Verdana"/>
          <w:sz w:val="24"/>
          <w:szCs w:val="24"/>
          <w:lang w:val="en-GB"/>
        </w:rPr>
        <w:t>.</w:t>
      </w:r>
    </w:p>
    <w:p w14:paraId="2917D47C" w14:textId="149E5E25" w:rsidR="007B3BAD" w:rsidRPr="002353FE" w:rsidRDefault="007B3BAD"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Carbó-Val</w:t>
      </w:r>
      <w:r w:rsidR="004C3B49" w:rsidRPr="002353FE">
        <w:rPr>
          <w:rFonts w:ascii="Verdana" w:hAnsi="Verdana"/>
          <w:sz w:val="24"/>
          <w:szCs w:val="24"/>
          <w:lang w:val="en-GB"/>
        </w:rPr>
        <w:t>verde, S.</w:t>
      </w:r>
      <w:r w:rsidR="00985A02" w:rsidRPr="002353FE">
        <w:rPr>
          <w:rFonts w:ascii="Verdana" w:hAnsi="Verdana"/>
          <w:sz w:val="24"/>
          <w:szCs w:val="24"/>
          <w:lang w:val="en-GB"/>
        </w:rPr>
        <w:t>, Hannan</w:t>
      </w:r>
      <w:r w:rsidR="006675CB" w:rsidRPr="002353FE">
        <w:rPr>
          <w:rFonts w:ascii="Verdana" w:hAnsi="Verdana"/>
          <w:sz w:val="24"/>
          <w:szCs w:val="24"/>
          <w:lang w:val="en-GB"/>
        </w:rPr>
        <w:t>,</w:t>
      </w:r>
      <w:r w:rsidR="007161EE" w:rsidRPr="002353FE">
        <w:rPr>
          <w:rFonts w:ascii="Verdana" w:hAnsi="Verdana"/>
          <w:sz w:val="24"/>
          <w:szCs w:val="24"/>
          <w:lang w:val="en-GB"/>
        </w:rPr>
        <w:t xml:space="preserve"> T.H. </w:t>
      </w:r>
      <w:r w:rsidR="004C3B49" w:rsidRPr="002353FE">
        <w:rPr>
          <w:rFonts w:ascii="Verdana" w:hAnsi="Verdana"/>
          <w:sz w:val="24"/>
          <w:szCs w:val="24"/>
          <w:lang w:val="en-GB"/>
        </w:rPr>
        <w:t>and Rodríguez-Ferná</w:t>
      </w:r>
      <w:r w:rsidRPr="002353FE">
        <w:rPr>
          <w:rFonts w:ascii="Verdana" w:hAnsi="Verdana"/>
          <w:sz w:val="24"/>
          <w:szCs w:val="24"/>
          <w:lang w:val="en-GB"/>
        </w:rPr>
        <w:t>ndez</w:t>
      </w:r>
      <w:r w:rsidR="007161EE" w:rsidRPr="002353FE">
        <w:rPr>
          <w:rFonts w:ascii="Verdana" w:hAnsi="Verdana"/>
          <w:sz w:val="24"/>
          <w:szCs w:val="24"/>
          <w:lang w:val="en-GB"/>
        </w:rPr>
        <w:t>, F.</w:t>
      </w:r>
      <w:r w:rsidRPr="002353FE">
        <w:rPr>
          <w:rFonts w:ascii="Verdana" w:hAnsi="Verdana"/>
          <w:sz w:val="24"/>
          <w:szCs w:val="24"/>
          <w:lang w:val="en-GB"/>
        </w:rPr>
        <w:t xml:space="preserve"> </w:t>
      </w:r>
      <w:r w:rsidR="007161EE" w:rsidRPr="002353FE">
        <w:rPr>
          <w:rFonts w:ascii="Verdana" w:hAnsi="Verdana"/>
          <w:sz w:val="24"/>
          <w:szCs w:val="24"/>
          <w:lang w:val="en-GB"/>
        </w:rPr>
        <w:t>(</w:t>
      </w:r>
      <w:r w:rsidRPr="002353FE">
        <w:rPr>
          <w:rFonts w:ascii="Verdana" w:hAnsi="Verdana"/>
          <w:sz w:val="24"/>
          <w:szCs w:val="24"/>
          <w:lang w:val="en-GB"/>
        </w:rPr>
        <w:t>2011</w:t>
      </w:r>
      <w:r w:rsidR="007161EE" w:rsidRPr="002353FE">
        <w:rPr>
          <w:rFonts w:ascii="Verdana" w:hAnsi="Verdana"/>
          <w:sz w:val="24"/>
          <w:szCs w:val="24"/>
          <w:lang w:val="en-GB"/>
        </w:rPr>
        <w:t>)</w:t>
      </w:r>
      <w:r w:rsidR="003F180B" w:rsidRPr="002353FE">
        <w:rPr>
          <w:rFonts w:ascii="Verdana" w:hAnsi="Verdana"/>
          <w:sz w:val="24"/>
          <w:szCs w:val="24"/>
          <w:lang w:val="en-GB"/>
        </w:rPr>
        <w:t>,</w:t>
      </w:r>
      <w:r w:rsidR="006757BC" w:rsidRPr="002353FE">
        <w:rPr>
          <w:rFonts w:ascii="Verdana" w:hAnsi="Verdana"/>
          <w:sz w:val="24"/>
          <w:szCs w:val="24"/>
          <w:lang w:val="en-GB"/>
        </w:rPr>
        <w:t xml:space="preserve"> “Exploiting old customers and attracting new ones: The case of bank deposit pricing”</w:t>
      </w:r>
      <w:r w:rsidR="00F63D9F" w:rsidRPr="002353FE">
        <w:rPr>
          <w:rFonts w:ascii="Verdana" w:hAnsi="Verdana"/>
          <w:sz w:val="24"/>
          <w:szCs w:val="24"/>
          <w:lang w:val="en-GB"/>
        </w:rPr>
        <w:t>,</w:t>
      </w:r>
      <w:r w:rsidR="006757BC" w:rsidRPr="002353FE">
        <w:rPr>
          <w:rFonts w:ascii="Verdana" w:hAnsi="Verdana"/>
          <w:sz w:val="24"/>
          <w:szCs w:val="24"/>
          <w:lang w:val="en-GB"/>
        </w:rPr>
        <w:t xml:space="preserve"> </w:t>
      </w:r>
      <w:r w:rsidR="006757BC" w:rsidRPr="002353FE">
        <w:rPr>
          <w:rFonts w:ascii="Verdana" w:hAnsi="Verdana"/>
          <w:i/>
          <w:sz w:val="24"/>
          <w:szCs w:val="24"/>
          <w:lang w:val="en-GB"/>
        </w:rPr>
        <w:t>European Economic Review</w:t>
      </w:r>
      <w:r w:rsidR="007161EE" w:rsidRPr="002353FE">
        <w:rPr>
          <w:rFonts w:ascii="Verdana" w:hAnsi="Verdana"/>
          <w:sz w:val="24"/>
          <w:szCs w:val="24"/>
          <w:lang w:val="en-GB"/>
        </w:rPr>
        <w:t xml:space="preserve">, vol. </w:t>
      </w:r>
      <w:r w:rsidR="006757BC" w:rsidRPr="002353FE">
        <w:rPr>
          <w:rFonts w:ascii="Verdana" w:hAnsi="Verdana"/>
          <w:sz w:val="24"/>
          <w:szCs w:val="24"/>
          <w:lang w:val="en-GB"/>
        </w:rPr>
        <w:t>55</w:t>
      </w:r>
      <w:r w:rsidR="007161EE" w:rsidRPr="002353FE">
        <w:rPr>
          <w:rFonts w:ascii="Verdana" w:hAnsi="Verdana"/>
          <w:sz w:val="24"/>
          <w:szCs w:val="24"/>
          <w:lang w:val="en-GB"/>
        </w:rPr>
        <w:t>, pp.</w:t>
      </w:r>
      <w:r w:rsidR="006757BC" w:rsidRPr="002353FE">
        <w:rPr>
          <w:rFonts w:ascii="Verdana" w:hAnsi="Verdana"/>
          <w:sz w:val="24"/>
          <w:szCs w:val="24"/>
          <w:lang w:val="en-GB"/>
        </w:rPr>
        <w:t xml:space="preserve"> 903-915.</w:t>
      </w:r>
    </w:p>
    <w:p w14:paraId="123F5571" w14:textId="62E7E6DF" w:rsidR="00754B68" w:rsidRPr="002353FE" w:rsidRDefault="00754B68"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 xml:space="preserve">Carlin, B. </w:t>
      </w:r>
      <w:r w:rsidR="007161EE" w:rsidRPr="002353FE">
        <w:rPr>
          <w:rFonts w:ascii="Verdana" w:hAnsi="Verdana"/>
          <w:sz w:val="24"/>
          <w:szCs w:val="24"/>
          <w:lang w:val="en-GB"/>
        </w:rPr>
        <w:t>(</w:t>
      </w:r>
      <w:r w:rsidRPr="002353FE">
        <w:rPr>
          <w:rFonts w:ascii="Verdana" w:hAnsi="Verdana"/>
          <w:sz w:val="24"/>
          <w:szCs w:val="24"/>
          <w:lang w:val="en-GB"/>
        </w:rPr>
        <w:t>2009</w:t>
      </w:r>
      <w:r w:rsidR="007161E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430ED7" w:rsidRPr="002353FE">
        <w:rPr>
          <w:rFonts w:ascii="Verdana" w:hAnsi="Verdana"/>
          <w:sz w:val="24"/>
          <w:szCs w:val="24"/>
          <w:lang w:val="en-GB"/>
        </w:rPr>
        <w:t>“</w:t>
      </w:r>
      <w:hyperlink r:id="rId8" w:tgtFrame="_blank" w:history="1">
        <w:r w:rsidRPr="002353FE">
          <w:rPr>
            <w:rFonts w:ascii="Verdana" w:hAnsi="Verdana"/>
            <w:sz w:val="24"/>
            <w:szCs w:val="24"/>
            <w:lang w:val="en-US"/>
          </w:rPr>
          <w:t>Strategic Price Complexity in Retail Financial Markets</w:t>
        </w:r>
      </w:hyperlink>
      <w:r w:rsidR="00430ED7" w:rsidRPr="002353FE">
        <w:rPr>
          <w:rFonts w:ascii="Verdana" w:hAnsi="Verdana"/>
          <w:sz w:val="24"/>
          <w:szCs w:val="24"/>
          <w:lang w:val="en-US"/>
        </w:rPr>
        <w:t>”</w:t>
      </w:r>
      <w:r w:rsidR="00F63D9F" w:rsidRPr="002353FE">
        <w:rPr>
          <w:rFonts w:ascii="Verdana" w:hAnsi="Verdana"/>
          <w:sz w:val="24"/>
          <w:szCs w:val="24"/>
          <w:lang w:val="en-US"/>
        </w:rPr>
        <w:t>,</w:t>
      </w:r>
      <w:r w:rsidR="00430ED7" w:rsidRPr="002353FE">
        <w:rPr>
          <w:rFonts w:ascii="Verdana" w:hAnsi="Verdana"/>
          <w:sz w:val="24"/>
          <w:szCs w:val="24"/>
          <w:lang w:val="en-US"/>
        </w:rPr>
        <w:t xml:space="preserve"> </w:t>
      </w:r>
      <w:r w:rsidRPr="002353FE">
        <w:rPr>
          <w:rFonts w:ascii="Verdana" w:hAnsi="Verdana"/>
          <w:sz w:val="24"/>
          <w:szCs w:val="24"/>
          <w:lang w:val="en-US"/>
        </w:rPr>
        <w:t xml:space="preserve"> </w:t>
      </w:r>
      <w:r w:rsidRPr="002353FE">
        <w:rPr>
          <w:rFonts w:ascii="Verdana" w:hAnsi="Verdana"/>
          <w:i/>
          <w:sz w:val="24"/>
          <w:szCs w:val="24"/>
          <w:lang w:val="en-US"/>
        </w:rPr>
        <w:t>Journal of Financial Economics</w:t>
      </w:r>
      <w:r w:rsidR="007161EE" w:rsidRPr="002353FE">
        <w:rPr>
          <w:rFonts w:ascii="Verdana" w:hAnsi="Verdana"/>
          <w:iCs/>
          <w:sz w:val="24"/>
          <w:szCs w:val="24"/>
          <w:lang w:val="en-US"/>
        </w:rPr>
        <w:t>, vol.</w:t>
      </w:r>
      <w:r w:rsidR="00430ED7" w:rsidRPr="002353FE">
        <w:rPr>
          <w:rFonts w:ascii="Verdana" w:hAnsi="Verdana"/>
          <w:sz w:val="24"/>
          <w:szCs w:val="24"/>
          <w:lang w:val="en-US"/>
        </w:rPr>
        <w:t xml:space="preserve"> </w:t>
      </w:r>
      <w:r w:rsidRPr="002353FE">
        <w:rPr>
          <w:rFonts w:ascii="Verdana" w:hAnsi="Verdana"/>
          <w:sz w:val="24"/>
          <w:szCs w:val="24"/>
          <w:lang w:val="en-US"/>
        </w:rPr>
        <w:t>91</w:t>
      </w:r>
      <w:r w:rsidR="007161EE" w:rsidRPr="002353FE">
        <w:rPr>
          <w:rFonts w:ascii="Verdana" w:hAnsi="Verdana"/>
          <w:sz w:val="24"/>
          <w:szCs w:val="24"/>
          <w:lang w:val="en-US"/>
        </w:rPr>
        <w:t>, pp.</w:t>
      </w:r>
      <w:r w:rsidRPr="002353FE">
        <w:rPr>
          <w:rFonts w:ascii="Verdana" w:hAnsi="Verdana"/>
          <w:sz w:val="24"/>
          <w:szCs w:val="24"/>
          <w:lang w:val="en-US"/>
        </w:rPr>
        <w:t xml:space="preserve"> 278-287.</w:t>
      </w:r>
    </w:p>
    <w:p w14:paraId="46DDF573" w14:textId="50D5FCC7" w:rsidR="00430ED7" w:rsidRPr="002353FE" w:rsidRDefault="00430ED7"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 xml:space="preserve">Carlin, B.I. </w:t>
      </w:r>
      <w:r w:rsidR="006675CB" w:rsidRPr="002353FE">
        <w:rPr>
          <w:rFonts w:ascii="Verdana" w:hAnsi="Verdana"/>
          <w:sz w:val="24"/>
          <w:szCs w:val="24"/>
          <w:lang w:val="en-GB"/>
        </w:rPr>
        <w:t xml:space="preserve">and </w:t>
      </w:r>
      <w:r w:rsidRPr="002353FE">
        <w:rPr>
          <w:rFonts w:ascii="Verdana" w:hAnsi="Verdana"/>
          <w:sz w:val="24"/>
          <w:szCs w:val="24"/>
          <w:lang w:val="en-GB"/>
        </w:rPr>
        <w:t>Manso</w:t>
      </w:r>
      <w:r w:rsidR="007161EE" w:rsidRPr="002353FE">
        <w:rPr>
          <w:rFonts w:ascii="Verdana" w:hAnsi="Verdana"/>
          <w:sz w:val="24"/>
          <w:szCs w:val="24"/>
          <w:lang w:val="en-GB"/>
        </w:rPr>
        <w:t>, G</w:t>
      </w:r>
      <w:r w:rsidRPr="002353FE">
        <w:rPr>
          <w:rFonts w:ascii="Verdana" w:hAnsi="Verdana"/>
          <w:sz w:val="24"/>
          <w:szCs w:val="24"/>
          <w:lang w:val="en-GB"/>
        </w:rPr>
        <w:t xml:space="preserve">. </w:t>
      </w:r>
      <w:r w:rsidR="007161EE" w:rsidRPr="002353FE">
        <w:rPr>
          <w:rFonts w:ascii="Verdana" w:hAnsi="Verdana"/>
          <w:sz w:val="24"/>
          <w:szCs w:val="24"/>
          <w:lang w:val="en-GB"/>
        </w:rPr>
        <w:t>(</w:t>
      </w:r>
      <w:r w:rsidRPr="002353FE">
        <w:rPr>
          <w:rFonts w:ascii="Verdana" w:hAnsi="Verdana"/>
          <w:sz w:val="24"/>
          <w:szCs w:val="24"/>
          <w:lang w:val="en-GB"/>
        </w:rPr>
        <w:t>2011</w:t>
      </w:r>
      <w:r w:rsidR="007161E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“Obfuscation, Learning, and the Evolution of Investor Sophistication”</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Review of Financial Studies</w:t>
      </w:r>
      <w:r w:rsidR="007161EE" w:rsidRPr="002353FE">
        <w:rPr>
          <w:rFonts w:ascii="Verdana" w:hAnsi="Verdana"/>
          <w:iCs/>
          <w:sz w:val="24"/>
          <w:szCs w:val="24"/>
          <w:lang w:val="en-GB"/>
        </w:rPr>
        <w:t>, vol.</w:t>
      </w:r>
      <w:r w:rsidR="006675CB" w:rsidRPr="002353FE">
        <w:rPr>
          <w:rFonts w:ascii="Verdana" w:hAnsi="Verdana"/>
          <w:sz w:val="24"/>
          <w:szCs w:val="24"/>
          <w:lang w:val="en-GB"/>
        </w:rPr>
        <w:t xml:space="preserve"> 24</w:t>
      </w:r>
      <w:r w:rsidR="007161EE" w:rsidRPr="002353FE">
        <w:rPr>
          <w:rFonts w:ascii="Verdana" w:hAnsi="Verdana"/>
          <w:sz w:val="24"/>
          <w:szCs w:val="24"/>
          <w:lang w:val="en-GB"/>
        </w:rPr>
        <w:t>, pp.</w:t>
      </w:r>
      <w:r w:rsidRPr="002353FE">
        <w:rPr>
          <w:rFonts w:ascii="Verdana" w:hAnsi="Verdana"/>
          <w:sz w:val="24"/>
          <w:szCs w:val="24"/>
          <w:lang w:val="en-GB"/>
        </w:rPr>
        <w:t xml:space="preserve"> 754-785.</w:t>
      </w:r>
    </w:p>
    <w:p w14:paraId="459E2C57" w14:textId="49AA19AC" w:rsidR="00DA599A" w:rsidRPr="002353FE" w:rsidRDefault="00DA599A"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Carlin, B.I. and Robinson</w:t>
      </w:r>
      <w:r w:rsidR="007161EE" w:rsidRPr="002353FE">
        <w:rPr>
          <w:rFonts w:ascii="Verdana" w:hAnsi="Verdana"/>
          <w:sz w:val="24"/>
          <w:szCs w:val="24"/>
          <w:lang w:val="en-GB"/>
        </w:rPr>
        <w:t>, D.T</w:t>
      </w:r>
      <w:r w:rsidRPr="002353FE">
        <w:rPr>
          <w:rFonts w:ascii="Verdana" w:hAnsi="Verdana"/>
          <w:sz w:val="24"/>
          <w:szCs w:val="24"/>
          <w:lang w:val="en-GB"/>
        </w:rPr>
        <w:t xml:space="preserve">. </w:t>
      </w:r>
      <w:r w:rsidR="007161EE" w:rsidRPr="002353FE">
        <w:rPr>
          <w:rFonts w:ascii="Verdana" w:hAnsi="Verdana"/>
          <w:sz w:val="24"/>
          <w:szCs w:val="24"/>
          <w:lang w:val="en-GB"/>
        </w:rPr>
        <w:t>(</w:t>
      </w:r>
      <w:r w:rsidRPr="002353FE">
        <w:rPr>
          <w:rFonts w:ascii="Verdana" w:hAnsi="Verdana"/>
          <w:sz w:val="24"/>
          <w:szCs w:val="24"/>
          <w:lang w:val="en-GB"/>
        </w:rPr>
        <w:t>2012</w:t>
      </w:r>
      <w:r w:rsidR="007161E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“What Does Financial Literacy Training Teach Us”</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The Journal of Economic Education</w:t>
      </w:r>
      <w:r w:rsidR="007161EE" w:rsidRPr="002353FE">
        <w:rPr>
          <w:rFonts w:ascii="Verdana" w:hAnsi="Verdana"/>
          <w:iCs/>
          <w:sz w:val="24"/>
          <w:szCs w:val="24"/>
          <w:lang w:val="en-GB"/>
        </w:rPr>
        <w:t>, vol.</w:t>
      </w:r>
      <w:r w:rsidRPr="002353FE">
        <w:rPr>
          <w:rFonts w:ascii="Verdana" w:hAnsi="Verdana"/>
          <w:sz w:val="24"/>
          <w:szCs w:val="24"/>
          <w:lang w:val="en-GB"/>
        </w:rPr>
        <w:t xml:space="preserve"> </w:t>
      </w:r>
      <w:r w:rsidR="009C2B2A" w:rsidRPr="002353FE">
        <w:rPr>
          <w:rFonts w:ascii="Verdana" w:hAnsi="Verdana"/>
          <w:sz w:val="24"/>
          <w:szCs w:val="24"/>
          <w:lang w:val="en-GB"/>
        </w:rPr>
        <w:t>43</w:t>
      </w:r>
      <w:r w:rsidR="007161EE" w:rsidRPr="002353FE">
        <w:rPr>
          <w:rFonts w:ascii="Verdana" w:hAnsi="Verdana"/>
          <w:sz w:val="24"/>
          <w:szCs w:val="24"/>
          <w:lang w:val="en-GB"/>
        </w:rPr>
        <w:t xml:space="preserve"> No </w:t>
      </w:r>
      <w:r w:rsidR="009C2B2A" w:rsidRPr="002353FE">
        <w:rPr>
          <w:rFonts w:ascii="Verdana" w:hAnsi="Verdana"/>
          <w:sz w:val="24"/>
          <w:szCs w:val="24"/>
          <w:lang w:val="en-GB"/>
        </w:rPr>
        <w:t>3</w:t>
      </w:r>
      <w:r w:rsidR="007161EE" w:rsidRPr="002353FE">
        <w:rPr>
          <w:rFonts w:ascii="Verdana" w:hAnsi="Verdana"/>
          <w:sz w:val="24"/>
          <w:szCs w:val="24"/>
          <w:lang w:val="en-GB"/>
        </w:rPr>
        <w:t xml:space="preserve">, pp. </w:t>
      </w:r>
      <w:r w:rsidR="009C2B2A" w:rsidRPr="002353FE">
        <w:rPr>
          <w:rFonts w:ascii="Verdana" w:hAnsi="Verdana"/>
          <w:sz w:val="24"/>
          <w:szCs w:val="24"/>
          <w:lang w:val="en-GB"/>
        </w:rPr>
        <w:t xml:space="preserve">235-247. </w:t>
      </w:r>
    </w:p>
    <w:p w14:paraId="7FF0E5B1" w14:textId="657CCEBB" w:rsidR="006C307B" w:rsidRPr="002353FE" w:rsidRDefault="006C307B" w:rsidP="001E7395">
      <w:pPr>
        <w:widowControl w:val="0"/>
        <w:autoSpaceDE w:val="0"/>
        <w:autoSpaceDN w:val="0"/>
        <w:adjustRightInd w:val="0"/>
        <w:spacing w:after="120" w:line="360" w:lineRule="auto"/>
        <w:ind w:left="142"/>
        <w:jc w:val="both"/>
        <w:rPr>
          <w:rFonts w:ascii="Verdana" w:hAnsi="Verdana"/>
          <w:sz w:val="24"/>
          <w:szCs w:val="24"/>
          <w:lang w:val="en-GB"/>
        </w:rPr>
      </w:pPr>
      <w:r w:rsidRPr="001E7395">
        <w:rPr>
          <w:rFonts w:ascii="Verdana" w:hAnsi="Verdana"/>
          <w:sz w:val="24"/>
          <w:szCs w:val="24"/>
          <w:lang w:val="en-GB"/>
        </w:rPr>
        <w:t>Célerier, C. and Matray, A. (2019)</w:t>
      </w:r>
      <w:r w:rsidR="00AB1654" w:rsidRPr="001E7395">
        <w:rPr>
          <w:rFonts w:ascii="Verdana" w:hAnsi="Verdana"/>
          <w:sz w:val="24"/>
          <w:szCs w:val="24"/>
          <w:lang w:val="en-GB"/>
        </w:rPr>
        <w:t>,</w:t>
      </w:r>
      <w:r w:rsidRPr="001E7395">
        <w:rPr>
          <w:rFonts w:ascii="Verdana" w:hAnsi="Verdana"/>
          <w:sz w:val="24"/>
          <w:szCs w:val="24"/>
          <w:lang w:val="en-GB"/>
        </w:rPr>
        <w:t xml:space="preserve"> </w:t>
      </w:r>
      <w:r w:rsidR="00AB1654" w:rsidRPr="001E7395">
        <w:rPr>
          <w:rFonts w:ascii="Verdana" w:hAnsi="Verdana"/>
          <w:sz w:val="24"/>
          <w:szCs w:val="24"/>
          <w:lang w:val="en-GB"/>
        </w:rPr>
        <w:t>“</w:t>
      </w:r>
      <w:r w:rsidRPr="001E7395">
        <w:rPr>
          <w:rFonts w:ascii="Verdana" w:hAnsi="Verdana"/>
          <w:sz w:val="24"/>
          <w:szCs w:val="24"/>
          <w:lang w:val="en-GB"/>
        </w:rPr>
        <w:t>Bank-Branch Supply, Financial Inclusion, and Wealth Accumulation</w:t>
      </w:r>
      <w:r w:rsidR="00AB1654"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The Review of Financial Studies</w:t>
      </w:r>
      <w:r w:rsidRPr="001E7395">
        <w:rPr>
          <w:rFonts w:ascii="Verdana" w:hAnsi="Verdana"/>
          <w:sz w:val="24"/>
          <w:szCs w:val="24"/>
          <w:lang w:val="en-GB"/>
        </w:rPr>
        <w:t>, vol. 32</w:t>
      </w:r>
      <w:r w:rsidR="00AB1654" w:rsidRPr="001E7395">
        <w:rPr>
          <w:rFonts w:ascii="Verdana" w:hAnsi="Verdana"/>
          <w:sz w:val="24"/>
          <w:szCs w:val="24"/>
          <w:lang w:val="en-GB"/>
        </w:rPr>
        <w:t xml:space="preserve"> No</w:t>
      </w:r>
      <w:r w:rsidRPr="001E7395">
        <w:rPr>
          <w:rFonts w:ascii="Verdana" w:hAnsi="Verdana"/>
          <w:sz w:val="24"/>
          <w:szCs w:val="24"/>
          <w:lang w:val="en-GB"/>
        </w:rPr>
        <w:t xml:space="preserve"> 12, </w:t>
      </w:r>
      <w:r w:rsidR="00AB1654" w:rsidRPr="001E7395">
        <w:rPr>
          <w:rFonts w:ascii="Verdana" w:hAnsi="Verdana"/>
          <w:sz w:val="24"/>
          <w:szCs w:val="24"/>
          <w:lang w:val="en-GB"/>
        </w:rPr>
        <w:t xml:space="preserve">pp. </w:t>
      </w:r>
      <w:r w:rsidRPr="001E7395">
        <w:rPr>
          <w:rFonts w:ascii="Verdana" w:hAnsi="Verdana"/>
          <w:sz w:val="24"/>
          <w:szCs w:val="24"/>
          <w:lang w:val="en-GB"/>
        </w:rPr>
        <w:t>4767–4809.</w:t>
      </w:r>
      <w:r w:rsidRPr="002353FE">
        <w:rPr>
          <w:rFonts w:ascii="Verdana" w:hAnsi="Verdana"/>
          <w:sz w:val="24"/>
          <w:szCs w:val="24"/>
          <w:lang w:val="en-GB"/>
        </w:rPr>
        <w:t xml:space="preserve"> </w:t>
      </w:r>
    </w:p>
    <w:p w14:paraId="0A3069F3" w14:textId="1D91DDA6" w:rsidR="00DA599A" w:rsidRPr="002353FE" w:rsidRDefault="00DA599A" w:rsidP="001E7395">
      <w:pPr>
        <w:autoSpaceDE w:val="0"/>
        <w:autoSpaceDN w:val="0"/>
        <w:adjustRightInd w:val="0"/>
        <w:spacing w:after="120" w:line="360" w:lineRule="auto"/>
        <w:ind w:left="142"/>
        <w:jc w:val="both"/>
        <w:rPr>
          <w:rFonts w:ascii="Verdana" w:hAnsi="Verdana"/>
          <w:color w:val="000000"/>
          <w:sz w:val="24"/>
          <w:szCs w:val="24"/>
          <w:lang w:val="en-GB" w:eastAsia="es-ES"/>
        </w:rPr>
      </w:pPr>
      <w:r w:rsidRPr="002353FE">
        <w:rPr>
          <w:rFonts w:ascii="Verdana" w:hAnsi="Verdana"/>
          <w:color w:val="000000"/>
          <w:sz w:val="24"/>
          <w:szCs w:val="24"/>
          <w:lang w:val="en-GB" w:eastAsia="es-ES"/>
        </w:rPr>
        <w:t>Central Bank of Ireland</w:t>
      </w:r>
      <w:r w:rsidR="007161EE" w:rsidRPr="002353FE">
        <w:rPr>
          <w:rFonts w:ascii="Verdana" w:hAnsi="Verdana"/>
          <w:color w:val="000000"/>
          <w:sz w:val="24"/>
          <w:szCs w:val="24"/>
          <w:lang w:val="en-GB" w:eastAsia="es-ES"/>
        </w:rPr>
        <w:t xml:space="preserve"> (</w:t>
      </w:r>
      <w:r w:rsidRPr="002353FE">
        <w:rPr>
          <w:rFonts w:ascii="Verdana" w:hAnsi="Verdana"/>
          <w:sz w:val="24"/>
          <w:szCs w:val="24"/>
          <w:lang w:val="en-GB" w:eastAsia="es-ES"/>
        </w:rPr>
        <w:t>2011</w:t>
      </w:r>
      <w:r w:rsidR="007161EE" w:rsidRPr="002353FE">
        <w:rPr>
          <w:rFonts w:ascii="Verdana" w:hAnsi="Verdana"/>
          <w:sz w:val="24"/>
          <w:szCs w:val="24"/>
          <w:lang w:val="en-GB" w:eastAsia="es-ES"/>
        </w:rPr>
        <w:t>)</w:t>
      </w:r>
      <w:r w:rsidR="003F180B" w:rsidRPr="002353FE">
        <w:rPr>
          <w:rFonts w:ascii="Verdana" w:hAnsi="Verdana"/>
          <w:sz w:val="24"/>
          <w:szCs w:val="24"/>
          <w:lang w:val="en-GB" w:eastAsia="es-ES"/>
        </w:rPr>
        <w:t>,</w:t>
      </w:r>
      <w:r w:rsidRPr="002353FE">
        <w:rPr>
          <w:rFonts w:ascii="Verdana" w:hAnsi="Verdana"/>
          <w:color w:val="000000"/>
          <w:sz w:val="24"/>
          <w:szCs w:val="24"/>
          <w:lang w:val="en-GB" w:eastAsia="es-ES"/>
        </w:rPr>
        <w:t xml:space="preserve"> </w:t>
      </w:r>
      <w:r w:rsidRPr="002353FE">
        <w:rPr>
          <w:rFonts w:ascii="Verdana" w:hAnsi="Verdana"/>
          <w:i/>
          <w:color w:val="000000"/>
          <w:sz w:val="24"/>
          <w:szCs w:val="24"/>
          <w:lang w:val="en-GB" w:eastAsia="es-ES"/>
        </w:rPr>
        <w:t xml:space="preserve">A Review of Personal Current Account Charges. </w:t>
      </w:r>
      <w:r w:rsidRPr="002353FE">
        <w:rPr>
          <w:rFonts w:ascii="Verdana" w:hAnsi="Verdana"/>
          <w:color w:val="000000"/>
          <w:sz w:val="24"/>
          <w:szCs w:val="24"/>
          <w:lang w:val="en-GB" w:eastAsia="es-ES"/>
        </w:rPr>
        <w:t>Central Bank of Ireland</w:t>
      </w:r>
      <w:r w:rsidR="0008320E" w:rsidRPr="002353FE">
        <w:rPr>
          <w:rFonts w:ascii="Verdana" w:hAnsi="Verdana"/>
          <w:color w:val="000000"/>
          <w:sz w:val="24"/>
          <w:szCs w:val="24"/>
          <w:lang w:val="en-GB" w:eastAsia="es-ES"/>
        </w:rPr>
        <w:t>, Dublin</w:t>
      </w:r>
      <w:r w:rsidR="00625CBB" w:rsidRPr="002353FE">
        <w:rPr>
          <w:rFonts w:ascii="Verdana" w:hAnsi="Verdana"/>
          <w:color w:val="000000"/>
          <w:sz w:val="24"/>
          <w:szCs w:val="24"/>
          <w:lang w:val="en-GB" w:eastAsia="es-ES"/>
        </w:rPr>
        <w:t>.</w:t>
      </w:r>
    </w:p>
    <w:p w14:paraId="5F4F0043" w14:textId="77777777" w:rsidR="009440ED" w:rsidRPr="001E7395" w:rsidRDefault="009440ED" w:rsidP="001E7395">
      <w:pPr>
        <w:ind w:left="142"/>
        <w:jc w:val="both"/>
        <w:rPr>
          <w:rFonts w:ascii="Verdana" w:hAnsi="Verdana" w:cs="AdvTT5843c571"/>
          <w:sz w:val="24"/>
          <w:szCs w:val="24"/>
          <w:lang w:val="en-GB"/>
        </w:rPr>
      </w:pPr>
      <w:r w:rsidRPr="001E7395">
        <w:rPr>
          <w:rFonts w:ascii="Verdana" w:hAnsi="Verdana" w:cs="AdvTT5843c571"/>
          <w:sz w:val="24"/>
          <w:szCs w:val="24"/>
          <w:lang w:val="en-GB"/>
        </w:rPr>
        <w:t xml:space="preserve">Chiua, H. C., Hsieh, Y. C. Lic, YC, Lee M. (2005), “Relationship marketing and consumer switching behavior”, </w:t>
      </w:r>
      <w:r w:rsidRPr="001E7395">
        <w:rPr>
          <w:rFonts w:ascii="Verdana" w:hAnsi="Verdana" w:cs="AdvTT5843c571"/>
          <w:i/>
          <w:iCs/>
          <w:sz w:val="24"/>
          <w:szCs w:val="24"/>
          <w:lang w:val="en-GB"/>
        </w:rPr>
        <w:t>Journal of Business Research,</w:t>
      </w:r>
      <w:r w:rsidRPr="001E7395">
        <w:rPr>
          <w:rFonts w:ascii="Verdana" w:hAnsi="Verdana" w:cs="AdvTT5843c571"/>
          <w:sz w:val="24"/>
          <w:szCs w:val="24"/>
          <w:lang w:val="en-GB"/>
        </w:rPr>
        <w:t xml:space="preserve"> vol. 58, pp. 1681– 1689. </w:t>
      </w:r>
    </w:p>
    <w:p w14:paraId="04FED74C" w14:textId="301F53C2" w:rsidR="003C0AFC" w:rsidRPr="002353FE" w:rsidRDefault="003C0AFC" w:rsidP="001E7395">
      <w:pPr>
        <w:spacing w:after="120" w:line="360" w:lineRule="auto"/>
        <w:ind w:left="142"/>
        <w:jc w:val="both"/>
        <w:rPr>
          <w:rFonts w:ascii="Verdana" w:hAnsi="Verdana"/>
          <w:sz w:val="24"/>
          <w:szCs w:val="24"/>
          <w:lang w:val="en-US"/>
        </w:rPr>
      </w:pPr>
      <w:r w:rsidRPr="002353FE">
        <w:rPr>
          <w:rFonts w:ascii="Verdana" w:hAnsi="Verdana"/>
          <w:sz w:val="24"/>
          <w:szCs w:val="24"/>
          <w:lang w:val="en-GB"/>
        </w:rPr>
        <w:t>Clifton, J.</w:t>
      </w:r>
      <w:r w:rsidR="00985A02" w:rsidRPr="002353FE">
        <w:rPr>
          <w:rFonts w:ascii="Verdana" w:hAnsi="Verdana"/>
          <w:sz w:val="24"/>
          <w:szCs w:val="24"/>
          <w:lang w:val="en-GB"/>
        </w:rPr>
        <w:t>,</w:t>
      </w:r>
      <w:r w:rsidRPr="002353FE">
        <w:rPr>
          <w:rFonts w:ascii="Verdana" w:hAnsi="Verdana"/>
          <w:sz w:val="24"/>
          <w:szCs w:val="24"/>
          <w:lang w:val="en-GB"/>
        </w:rPr>
        <w:t xml:space="preserve"> Fernández-Gutiérrez, </w:t>
      </w:r>
      <w:r w:rsidR="007161EE" w:rsidRPr="002353FE">
        <w:rPr>
          <w:rFonts w:ascii="Verdana" w:hAnsi="Verdana"/>
          <w:sz w:val="24"/>
          <w:szCs w:val="24"/>
          <w:lang w:val="en-GB"/>
        </w:rPr>
        <w:t xml:space="preserve">M. </w:t>
      </w:r>
      <w:r w:rsidRPr="002353FE">
        <w:rPr>
          <w:rFonts w:ascii="Verdana" w:hAnsi="Verdana"/>
          <w:sz w:val="24"/>
          <w:szCs w:val="24"/>
          <w:lang w:val="en-GB"/>
        </w:rPr>
        <w:t>and García Olalla</w:t>
      </w:r>
      <w:r w:rsidR="007161EE" w:rsidRPr="002353FE">
        <w:rPr>
          <w:rFonts w:ascii="Verdana" w:hAnsi="Verdana"/>
          <w:sz w:val="24"/>
          <w:szCs w:val="24"/>
          <w:lang w:val="en-GB"/>
        </w:rPr>
        <w:t>, M</w:t>
      </w:r>
      <w:r w:rsidR="00985A02" w:rsidRPr="002353FE">
        <w:rPr>
          <w:rFonts w:ascii="Verdana" w:hAnsi="Verdana"/>
          <w:sz w:val="24"/>
          <w:szCs w:val="24"/>
          <w:lang w:val="en-GB"/>
        </w:rPr>
        <w:t xml:space="preserve">. </w:t>
      </w:r>
      <w:r w:rsidR="007161EE" w:rsidRPr="002353FE">
        <w:rPr>
          <w:rFonts w:ascii="Verdana" w:hAnsi="Verdana"/>
          <w:sz w:val="24"/>
          <w:szCs w:val="24"/>
          <w:lang w:val="en-GB"/>
        </w:rPr>
        <w:t>(</w:t>
      </w:r>
      <w:r w:rsidRPr="002353FE">
        <w:rPr>
          <w:rFonts w:ascii="Verdana" w:hAnsi="Verdana"/>
          <w:sz w:val="24"/>
          <w:szCs w:val="24"/>
          <w:lang w:val="en-GB"/>
        </w:rPr>
        <w:t>2017</w:t>
      </w:r>
      <w:r w:rsidR="007161E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sz w:val="24"/>
          <w:szCs w:val="24"/>
          <w:lang w:val="en-US"/>
        </w:rPr>
        <w:t>“Including vulnerable groups in financial services: insights from consumer satisfaction”</w:t>
      </w:r>
      <w:r w:rsidR="00F63D9F" w:rsidRPr="002353FE">
        <w:rPr>
          <w:rFonts w:ascii="Verdana" w:hAnsi="Verdana"/>
          <w:sz w:val="24"/>
          <w:szCs w:val="24"/>
          <w:lang w:val="en-US"/>
        </w:rPr>
        <w:t xml:space="preserve">, </w:t>
      </w:r>
      <w:r w:rsidRPr="002353FE">
        <w:rPr>
          <w:rFonts w:ascii="Verdana" w:hAnsi="Verdana"/>
          <w:i/>
          <w:sz w:val="24"/>
          <w:szCs w:val="24"/>
          <w:lang w:val="en-US"/>
        </w:rPr>
        <w:t>Journal of Economic Policy Reform</w:t>
      </w:r>
      <w:r w:rsidR="007161EE" w:rsidRPr="002353FE">
        <w:rPr>
          <w:rFonts w:ascii="Verdana" w:hAnsi="Verdana"/>
          <w:iCs/>
          <w:sz w:val="24"/>
          <w:szCs w:val="24"/>
          <w:lang w:val="en-US"/>
        </w:rPr>
        <w:t>, vol.</w:t>
      </w:r>
      <w:r w:rsidRPr="002353FE">
        <w:rPr>
          <w:rFonts w:ascii="Verdana" w:hAnsi="Verdana"/>
          <w:sz w:val="24"/>
          <w:szCs w:val="24"/>
          <w:lang w:val="en-US"/>
        </w:rPr>
        <w:t xml:space="preserve"> 20</w:t>
      </w:r>
      <w:r w:rsidR="007161EE" w:rsidRPr="002353FE">
        <w:rPr>
          <w:rFonts w:ascii="Verdana" w:hAnsi="Verdana"/>
          <w:sz w:val="24"/>
          <w:szCs w:val="24"/>
          <w:lang w:val="en-US"/>
        </w:rPr>
        <w:t xml:space="preserve"> No </w:t>
      </w:r>
      <w:r w:rsidRPr="002353FE">
        <w:rPr>
          <w:rFonts w:ascii="Verdana" w:hAnsi="Verdana"/>
          <w:sz w:val="24"/>
          <w:szCs w:val="24"/>
          <w:lang w:val="en-US"/>
        </w:rPr>
        <w:t>3</w:t>
      </w:r>
      <w:r w:rsidR="007161EE" w:rsidRPr="002353FE">
        <w:rPr>
          <w:rFonts w:ascii="Verdana" w:hAnsi="Verdana"/>
          <w:sz w:val="24"/>
          <w:szCs w:val="24"/>
          <w:lang w:val="en-US"/>
        </w:rPr>
        <w:t>, pp.</w:t>
      </w:r>
      <w:r w:rsidRPr="002353FE">
        <w:rPr>
          <w:rFonts w:ascii="Verdana" w:hAnsi="Verdana"/>
          <w:sz w:val="24"/>
          <w:szCs w:val="24"/>
          <w:lang w:val="en-US"/>
        </w:rPr>
        <w:t xml:space="preserve"> 214-237.</w:t>
      </w:r>
    </w:p>
    <w:p w14:paraId="69BD78AF" w14:textId="77777777" w:rsidR="00DB38DC" w:rsidRPr="002353FE" w:rsidRDefault="00DB38DC" w:rsidP="001E7395">
      <w:pPr>
        <w:pStyle w:val="Title"/>
        <w:spacing w:after="120" w:line="360" w:lineRule="auto"/>
        <w:ind w:left="142"/>
        <w:jc w:val="both"/>
        <w:rPr>
          <w:rFonts w:ascii="Verdana" w:hAnsi="Verdana" w:cs="Times New Roman"/>
          <w:b w:val="0"/>
          <w:bCs w:val="0"/>
          <w:spacing w:val="0"/>
          <w:lang w:val="en-GB"/>
        </w:rPr>
      </w:pPr>
    </w:p>
    <w:p w14:paraId="1DAD69D6" w14:textId="77777777" w:rsidR="00DB38DC" w:rsidRPr="001E7395" w:rsidRDefault="00DB38DC" w:rsidP="001E7395">
      <w:pPr>
        <w:ind w:left="142"/>
        <w:jc w:val="both"/>
        <w:rPr>
          <w:rFonts w:ascii="Verdana" w:hAnsi="Verdana" w:cs="AdvTT5843c571"/>
          <w:sz w:val="24"/>
          <w:szCs w:val="24"/>
          <w:lang w:val="en-GB"/>
        </w:rPr>
      </w:pPr>
    </w:p>
    <w:p w14:paraId="4EC10449" w14:textId="77777777" w:rsidR="00DB38DC" w:rsidRPr="001E7395" w:rsidRDefault="00DB38DC" w:rsidP="001E7395">
      <w:pPr>
        <w:ind w:left="142"/>
        <w:jc w:val="both"/>
        <w:rPr>
          <w:rFonts w:ascii="Verdana" w:hAnsi="Verdana" w:cs="Helvetica"/>
          <w:sz w:val="24"/>
          <w:szCs w:val="24"/>
          <w:lang w:val="en-GB"/>
        </w:rPr>
      </w:pPr>
    </w:p>
    <w:p w14:paraId="5D038706" w14:textId="3DCFD588" w:rsidR="00DB38DC" w:rsidRPr="001E7395" w:rsidRDefault="00DB38DC" w:rsidP="001E7395">
      <w:pPr>
        <w:pStyle w:val="Title"/>
        <w:spacing w:after="120" w:line="360" w:lineRule="auto"/>
        <w:ind w:left="142"/>
        <w:jc w:val="both"/>
        <w:rPr>
          <w:rFonts w:ascii="Verdana" w:hAnsi="Verdana" w:cs="Helvetica"/>
          <w:b w:val="0"/>
          <w:bCs w:val="0"/>
          <w:spacing w:val="0"/>
        </w:rPr>
      </w:pPr>
      <w:r w:rsidRPr="001E7395">
        <w:rPr>
          <w:rFonts w:ascii="Verdana" w:hAnsi="Verdana" w:cs="Helvetica"/>
          <w:b w:val="0"/>
          <w:bCs w:val="0"/>
          <w:spacing w:val="0"/>
        </w:rPr>
        <w:lastRenderedPageBreak/>
        <w:t>Colgate</w:t>
      </w:r>
      <w:r w:rsidRPr="001E7395">
        <w:rPr>
          <w:rFonts w:ascii="Verdana" w:hAnsi="Verdana" w:cs="Helvetica"/>
          <w:b w:val="0"/>
          <w:spacing w:val="0"/>
        </w:rPr>
        <w:t xml:space="preserve">, </w:t>
      </w:r>
      <w:r w:rsidRPr="001E7395">
        <w:rPr>
          <w:rFonts w:ascii="Verdana" w:hAnsi="Verdana" w:cs="Helvetica"/>
          <w:b w:val="0"/>
          <w:bCs w:val="0"/>
          <w:spacing w:val="0"/>
        </w:rPr>
        <w:t>M</w:t>
      </w:r>
      <w:r w:rsidRPr="001E7395">
        <w:rPr>
          <w:rFonts w:ascii="Verdana" w:hAnsi="Verdana" w:cs="Helvetica"/>
          <w:b w:val="0"/>
          <w:spacing w:val="0"/>
        </w:rPr>
        <w:t>.</w:t>
      </w:r>
      <w:r w:rsidRPr="001E7395">
        <w:rPr>
          <w:rFonts w:ascii="Verdana" w:hAnsi="Verdana" w:cs="Helvetica"/>
          <w:b w:val="0"/>
          <w:bCs w:val="0"/>
          <w:spacing w:val="0"/>
        </w:rPr>
        <w:t xml:space="preserve"> and Lang</w:t>
      </w:r>
      <w:r w:rsidRPr="001E7395">
        <w:rPr>
          <w:rFonts w:ascii="Verdana" w:hAnsi="Verdana" w:cs="Helvetica"/>
          <w:b w:val="0"/>
          <w:spacing w:val="0"/>
        </w:rPr>
        <w:t>,</w:t>
      </w:r>
      <w:r w:rsidRPr="001E7395">
        <w:rPr>
          <w:rFonts w:ascii="Verdana" w:hAnsi="Verdana" w:cs="Helvetica"/>
          <w:b w:val="0"/>
          <w:bCs w:val="0"/>
          <w:spacing w:val="0"/>
        </w:rPr>
        <w:t xml:space="preserve"> B</w:t>
      </w:r>
      <w:r w:rsidRPr="001E7395">
        <w:rPr>
          <w:rFonts w:ascii="Verdana" w:hAnsi="Verdana" w:cs="Helvetica"/>
          <w:b w:val="0"/>
          <w:spacing w:val="0"/>
        </w:rPr>
        <w:t>.</w:t>
      </w:r>
      <w:r w:rsidRPr="001E7395">
        <w:rPr>
          <w:rFonts w:ascii="Verdana" w:hAnsi="Verdana" w:cs="Helvetica"/>
          <w:b w:val="0"/>
          <w:bCs w:val="0"/>
          <w:spacing w:val="0"/>
        </w:rPr>
        <w:t xml:space="preserve"> (2001)</w:t>
      </w:r>
      <w:r w:rsidRPr="001E7395">
        <w:rPr>
          <w:rFonts w:ascii="Verdana" w:hAnsi="Verdana" w:cs="Helvetica"/>
          <w:b w:val="0"/>
          <w:spacing w:val="0"/>
        </w:rPr>
        <w:t>,</w:t>
      </w:r>
      <w:r w:rsidRPr="001E7395">
        <w:rPr>
          <w:rFonts w:ascii="Verdana" w:hAnsi="Verdana" w:cs="Helvetica"/>
          <w:b w:val="0"/>
          <w:bCs w:val="0"/>
          <w:spacing w:val="0"/>
        </w:rPr>
        <w:t xml:space="preserve"> </w:t>
      </w:r>
      <w:r w:rsidRPr="001E7395">
        <w:rPr>
          <w:rFonts w:ascii="Verdana" w:hAnsi="Verdana" w:cs="Helvetica"/>
          <w:b w:val="0"/>
          <w:spacing w:val="0"/>
        </w:rPr>
        <w:t>“</w:t>
      </w:r>
      <w:r w:rsidRPr="001E7395">
        <w:rPr>
          <w:rFonts w:ascii="Verdana" w:hAnsi="Verdana" w:cs="Helvetica"/>
          <w:b w:val="0"/>
          <w:bCs w:val="0"/>
          <w:spacing w:val="0"/>
        </w:rPr>
        <w:t>Switching barriers in consumer markets: an investigation of the financial services industry</w:t>
      </w:r>
      <w:r w:rsidRPr="001E7395">
        <w:rPr>
          <w:rFonts w:ascii="Verdana" w:hAnsi="Verdana" w:cs="Helvetica"/>
          <w:b w:val="0"/>
          <w:spacing w:val="0"/>
        </w:rPr>
        <w:t>”</w:t>
      </w:r>
      <w:r w:rsidRPr="001E7395">
        <w:rPr>
          <w:rFonts w:ascii="Verdana" w:hAnsi="Verdana" w:cs="Helvetica"/>
          <w:b w:val="0"/>
          <w:bCs w:val="0"/>
          <w:spacing w:val="0"/>
        </w:rPr>
        <w:t xml:space="preserve">, </w:t>
      </w:r>
      <w:r w:rsidRPr="001E7395">
        <w:rPr>
          <w:rFonts w:ascii="Verdana" w:hAnsi="Verdana" w:cs="Helvetica"/>
          <w:b w:val="0"/>
          <w:bCs w:val="0"/>
          <w:i/>
          <w:spacing w:val="0"/>
        </w:rPr>
        <w:t>Journal of Consumer Marketing</w:t>
      </w:r>
      <w:r w:rsidRPr="001E7395">
        <w:rPr>
          <w:rFonts w:ascii="Verdana" w:hAnsi="Verdana" w:cs="Helvetica"/>
          <w:b w:val="0"/>
          <w:bCs w:val="0"/>
          <w:spacing w:val="0"/>
        </w:rPr>
        <w:t xml:space="preserve">, </w:t>
      </w:r>
      <w:r w:rsidRPr="001E7395">
        <w:rPr>
          <w:rFonts w:ascii="Verdana" w:hAnsi="Verdana" w:cs="Helvetica"/>
          <w:b w:val="0"/>
          <w:spacing w:val="0"/>
        </w:rPr>
        <w:t xml:space="preserve">vol. </w:t>
      </w:r>
      <w:r w:rsidRPr="001E7395">
        <w:rPr>
          <w:rFonts w:ascii="Verdana" w:hAnsi="Verdana" w:cs="Helvetica"/>
          <w:b w:val="0"/>
          <w:bCs w:val="0"/>
          <w:spacing w:val="0"/>
        </w:rPr>
        <w:t xml:space="preserve">18, </w:t>
      </w:r>
      <w:r w:rsidRPr="001E7395">
        <w:rPr>
          <w:rFonts w:ascii="Verdana" w:hAnsi="Verdana" w:cs="Helvetica"/>
          <w:b w:val="0"/>
          <w:spacing w:val="0"/>
        </w:rPr>
        <w:t xml:space="preserve">No. </w:t>
      </w:r>
      <w:r w:rsidRPr="001E7395">
        <w:rPr>
          <w:rFonts w:ascii="Verdana" w:hAnsi="Verdana" w:cs="Helvetica"/>
          <w:b w:val="0"/>
          <w:bCs w:val="0"/>
          <w:spacing w:val="0"/>
        </w:rPr>
        <w:t xml:space="preserve">4, </w:t>
      </w:r>
      <w:r w:rsidRPr="001E7395">
        <w:rPr>
          <w:rFonts w:ascii="Verdana" w:hAnsi="Verdana" w:cs="Helvetica"/>
          <w:b w:val="0"/>
          <w:spacing w:val="0"/>
        </w:rPr>
        <w:t>pp.</w:t>
      </w:r>
      <w:r w:rsidRPr="001E7395">
        <w:rPr>
          <w:rFonts w:ascii="Verdana" w:hAnsi="Verdana" w:cs="Helvetica"/>
          <w:b w:val="0"/>
          <w:bCs w:val="0"/>
          <w:spacing w:val="0"/>
        </w:rPr>
        <w:t>332-347</w:t>
      </w:r>
      <w:r w:rsidR="00220D69" w:rsidRPr="002353FE">
        <w:rPr>
          <w:rFonts w:ascii="Verdana" w:hAnsi="Verdana" w:cs="Helvetica"/>
          <w:b w:val="0"/>
          <w:bCs w:val="0"/>
          <w:spacing w:val="0"/>
        </w:rPr>
        <w:t>.</w:t>
      </w:r>
    </w:p>
    <w:p w14:paraId="322A8CCC" w14:textId="45B8C8FE" w:rsidR="00E35DEE" w:rsidRPr="002353FE" w:rsidRDefault="00E35DEE" w:rsidP="001E7395">
      <w:pPr>
        <w:pStyle w:val="Title"/>
        <w:spacing w:after="120" w:line="360" w:lineRule="auto"/>
        <w:ind w:left="142"/>
        <w:jc w:val="both"/>
        <w:rPr>
          <w:rFonts w:ascii="Verdana" w:hAnsi="Verdana" w:cs="Times New Roman"/>
          <w:b w:val="0"/>
          <w:bCs w:val="0"/>
          <w:spacing w:val="0"/>
          <w:lang w:val="en-GB"/>
        </w:rPr>
      </w:pPr>
      <w:r w:rsidRPr="002353FE">
        <w:rPr>
          <w:rFonts w:ascii="Verdana" w:hAnsi="Verdana" w:cs="Times New Roman"/>
          <w:b w:val="0"/>
          <w:bCs w:val="0"/>
          <w:spacing w:val="0"/>
          <w:lang w:val="en-GB"/>
        </w:rPr>
        <w:t>Dandapani, K., Lawrence, E.R.,</w:t>
      </w:r>
      <w:r w:rsidR="000B7037" w:rsidRPr="002353FE">
        <w:rPr>
          <w:rFonts w:ascii="Verdana" w:hAnsi="Verdana" w:cs="Times New Roman"/>
          <w:b w:val="0"/>
          <w:bCs w:val="0"/>
          <w:spacing w:val="0"/>
          <w:lang w:val="en-GB"/>
        </w:rPr>
        <w:t xml:space="preserve"> and</w:t>
      </w:r>
      <w:r w:rsidRPr="002353FE">
        <w:rPr>
          <w:rFonts w:ascii="Verdana" w:hAnsi="Verdana" w:cs="Times New Roman"/>
          <w:b w:val="0"/>
          <w:bCs w:val="0"/>
          <w:spacing w:val="0"/>
          <w:lang w:val="en-GB"/>
        </w:rPr>
        <w:t xml:space="preserve"> Rodriguez</w:t>
      </w:r>
      <w:r w:rsidR="007161EE" w:rsidRPr="002353FE">
        <w:rPr>
          <w:rFonts w:ascii="Verdana" w:hAnsi="Verdana" w:cs="Times New Roman"/>
          <w:b w:val="0"/>
          <w:bCs w:val="0"/>
          <w:spacing w:val="0"/>
          <w:lang w:val="en-GB"/>
        </w:rPr>
        <w:t>, J</w:t>
      </w:r>
      <w:r w:rsidRPr="002353FE">
        <w:rPr>
          <w:rFonts w:ascii="Verdana" w:hAnsi="Verdana" w:cs="Times New Roman"/>
          <w:b w:val="0"/>
          <w:bCs w:val="0"/>
          <w:spacing w:val="0"/>
          <w:lang w:val="en-GB"/>
        </w:rPr>
        <w:t xml:space="preserve">. </w:t>
      </w:r>
      <w:r w:rsidR="007161EE" w:rsidRPr="002353FE">
        <w:rPr>
          <w:rFonts w:ascii="Verdana" w:hAnsi="Verdana" w:cs="Times New Roman"/>
          <w:b w:val="0"/>
          <w:bCs w:val="0"/>
          <w:spacing w:val="0"/>
          <w:lang w:val="en-GB"/>
        </w:rPr>
        <w:t>(</w:t>
      </w:r>
      <w:r w:rsidRPr="002353FE">
        <w:rPr>
          <w:rFonts w:ascii="Verdana" w:hAnsi="Verdana" w:cs="Times New Roman"/>
          <w:b w:val="0"/>
          <w:bCs w:val="0"/>
          <w:spacing w:val="0"/>
          <w:lang w:val="en-GB"/>
        </w:rPr>
        <w:t>2018</w:t>
      </w:r>
      <w:r w:rsidR="007161EE" w:rsidRPr="002353FE">
        <w:rPr>
          <w:rFonts w:ascii="Verdana" w:hAnsi="Verdana" w:cs="Times New Roman"/>
          <w:b w:val="0"/>
          <w:bCs w:val="0"/>
          <w:spacing w:val="0"/>
          <w:lang w:val="en-GB"/>
        </w:rPr>
        <w:t>)</w:t>
      </w:r>
      <w:r w:rsidR="003F180B" w:rsidRPr="002353FE">
        <w:rPr>
          <w:rFonts w:ascii="Verdana" w:hAnsi="Verdana" w:cs="Times New Roman"/>
          <w:b w:val="0"/>
          <w:bCs w:val="0"/>
          <w:spacing w:val="0"/>
          <w:lang w:val="en-GB"/>
        </w:rPr>
        <w:t>,</w:t>
      </w:r>
      <w:r w:rsidRPr="002353FE">
        <w:rPr>
          <w:rFonts w:ascii="Verdana" w:hAnsi="Verdana" w:cs="Times New Roman"/>
          <w:b w:val="0"/>
          <w:bCs w:val="0"/>
          <w:spacing w:val="0"/>
          <w:lang w:val="en-GB"/>
        </w:rPr>
        <w:t xml:space="preserve"> “Determinants of transactional internet banking”</w:t>
      </w:r>
      <w:r w:rsidR="00F63D9F" w:rsidRPr="002353FE">
        <w:rPr>
          <w:rFonts w:ascii="Verdana" w:hAnsi="Verdana" w:cs="Times New Roman"/>
          <w:b w:val="0"/>
          <w:bCs w:val="0"/>
          <w:spacing w:val="0"/>
          <w:lang w:val="en-GB"/>
        </w:rPr>
        <w:t>,</w:t>
      </w:r>
      <w:r w:rsidRPr="002353FE">
        <w:rPr>
          <w:rFonts w:ascii="Verdana" w:hAnsi="Verdana" w:cs="Times New Roman"/>
          <w:b w:val="0"/>
          <w:bCs w:val="0"/>
          <w:spacing w:val="0"/>
          <w:lang w:val="en-GB"/>
        </w:rPr>
        <w:t xml:space="preserve"> </w:t>
      </w:r>
      <w:r w:rsidRPr="002353FE">
        <w:rPr>
          <w:rFonts w:ascii="Verdana" w:hAnsi="Verdana" w:cs="Times New Roman"/>
          <w:b w:val="0"/>
          <w:bCs w:val="0"/>
          <w:i/>
          <w:spacing w:val="0"/>
          <w:lang w:val="en-GB"/>
        </w:rPr>
        <w:t>Journal of Financial Services Research</w:t>
      </w:r>
      <w:r w:rsidR="007161EE" w:rsidRPr="002353FE">
        <w:rPr>
          <w:rFonts w:ascii="Verdana" w:hAnsi="Verdana" w:cs="Times New Roman"/>
          <w:b w:val="0"/>
          <w:bCs w:val="0"/>
          <w:spacing w:val="0"/>
          <w:lang w:val="en-GB"/>
        </w:rPr>
        <w:t xml:space="preserve">, vol. </w:t>
      </w:r>
      <w:r w:rsidRPr="002353FE">
        <w:rPr>
          <w:rFonts w:ascii="Verdana" w:hAnsi="Verdana" w:cs="Times New Roman"/>
          <w:b w:val="0"/>
          <w:bCs w:val="0"/>
          <w:spacing w:val="0"/>
          <w:lang w:val="en-GB"/>
        </w:rPr>
        <w:t>54</w:t>
      </w:r>
      <w:r w:rsidR="007161EE" w:rsidRPr="002353FE">
        <w:rPr>
          <w:rFonts w:ascii="Verdana" w:hAnsi="Verdana" w:cs="Times New Roman"/>
          <w:b w:val="0"/>
          <w:bCs w:val="0"/>
          <w:spacing w:val="0"/>
          <w:lang w:val="en-GB"/>
        </w:rPr>
        <w:t xml:space="preserve"> No </w:t>
      </w:r>
      <w:r w:rsidRPr="002353FE">
        <w:rPr>
          <w:rFonts w:ascii="Verdana" w:hAnsi="Verdana" w:cs="Times New Roman"/>
          <w:b w:val="0"/>
          <w:bCs w:val="0"/>
          <w:spacing w:val="0"/>
          <w:lang w:val="en-GB"/>
        </w:rPr>
        <w:t>2</w:t>
      </w:r>
      <w:r w:rsidR="007161EE" w:rsidRPr="002353FE">
        <w:rPr>
          <w:rFonts w:ascii="Verdana" w:hAnsi="Verdana" w:cs="Times New Roman"/>
          <w:b w:val="0"/>
          <w:bCs w:val="0"/>
          <w:spacing w:val="0"/>
          <w:lang w:val="en-GB"/>
        </w:rPr>
        <w:t>, pp.</w:t>
      </w:r>
      <w:r w:rsidRPr="002353FE">
        <w:rPr>
          <w:rFonts w:ascii="Verdana" w:hAnsi="Verdana" w:cs="Times New Roman"/>
          <w:b w:val="0"/>
          <w:bCs w:val="0"/>
          <w:spacing w:val="0"/>
          <w:lang w:val="en-GB"/>
        </w:rPr>
        <w:t xml:space="preserve"> 243-267.</w:t>
      </w:r>
    </w:p>
    <w:p w14:paraId="51A00165" w14:textId="342E10B3" w:rsidR="000B7037" w:rsidRPr="002353FE" w:rsidRDefault="000B7037" w:rsidP="001E7395">
      <w:pPr>
        <w:pStyle w:val="Title"/>
        <w:spacing w:after="120" w:line="360" w:lineRule="auto"/>
        <w:ind w:left="142"/>
        <w:jc w:val="both"/>
        <w:rPr>
          <w:rFonts w:ascii="Verdana" w:hAnsi="Verdana" w:cs="Times New Roman"/>
          <w:b w:val="0"/>
          <w:bCs w:val="0"/>
          <w:spacing w:val="0"/>
          <w:lang w:val="es-ES"/>
        </w:rPr>
      </w:pPr>
      <w:r w:rsidRPr="002353FE">
        <w:rPr>
          <w:rFonts w:ascii="Verdana" w:hAnsi="Verdana" w:cs="Times New Roman"/>
          <w:b w:val="0"/>
          <w:bCs w:val="0"/>
          <w:spacing w:val="0"/>
          <w:lang w:val="en-GB"/>
        </w:rPr>
        <w:t>De la Cuesta-González, M., Paredes-Gazquez, J., Ruza, C. and</w:t>
      </w:r>
      <w:r w:rsidR="007161EE" w:rsidRPr="002353FE">
        <w:rPr>
          <w:rFonts w:ascii="Verdana" w:hAnsi="Verdana" w:cs="Times New Roman"/>
          <w:b w:val="0"/>
          <w:bCs w:val="0"/>
          <w:spacing w:val="0"/>
          <w:lang w:val="en-GB"/>
        </w:rPr>
        <w:t xml:space="preserve"> </w:t>
      </w:r>
      <w:r w:rsidRPr="002353FE">
        <w:rPr>
          <w:rFonts w:ascii="Verdana" w:hAnsi="Verdana" w:cs="Times New Roman"/>
          <w:b w:val="0"/>
          <w:bCs w:val="0"/>
          <w:spacing w:val="0"/>
          <w:lang w:val="en-GB"/>
        </w:rPr>
        <w:t>Fernández-Olit</w:t>
      </w:r>
      <w:r w:rsidR="007161EE" w:rsidRPr="002353FE">
        <w:rPr>
          <w:rFonts w:ascii="Verdana" w:hAnsi="Verdana" w:cs="Times New Roman"/>
          <w:b w:val="0"/>
          <w:bCs w:val="0"/>
          <w:spacing w:val="0"/>
          <w:lang w:val="en-GB"/>
        </w:rPr>
        <w:t>, B</w:t>
      </w:r>
      <w:r w:rsidRPr="002353FE">
        <w:rPr>
          <w:rFonts w:ascii="Verdana" w:hAnsi="Verdana" w:cs="Times New Roman"/>
          <w:b w:val="0"/>
          <w:bCs w:val="0"/>
          <w:spacing w:val="0"/>
          <w:lang w:val="en-GB"/>
        </w:rPr>
        <w:t>.</w:t>
      </w:r>
      <w:r w:rsidR="007161EE" w:rsidRPr="002353FE">
        <w:rPr>
          <w:rFonts w:ascii="Verdana" w:hAnsi="Verdana" w:cs="Times New Roman"/>
          <w:b w:val="0"/>
          <w:bCs w:val="0"/>
          <w:spacing w:val="0"/>
          <w:lang w:val="en-GB"/>
        </w:rPr>
        <w:t xml:space="preserve"> (</w:t>
      </w:r>
      <w:r w:rsidRPr="002353FE">
        <w:rPr>
          <w:rFonts w:ascii="Verdana" w:hAnsi="Verdana" w:cs="Times New Roman"/>
          <w:b w:val="0"/>
          <w:bCs w:val="0"/>
          <w:spacing w:val="0"/>
          <w:lang w:val="en-GB"/>
        </w:rPr>
        <w:t>2021</w:t>
      </w:r>
      <w:r w:rsidR="007161EE" w:rsidRPr="002353FE">
        <w:rPr>
          <w:rFonts w:ascii="Verdana" w:hAnsi="Verdana" w:cs="Times New Roman"/>
          <w:b w:val="0"/>
          <w:bCs w:val="0"/>
          <w:spacing w:val="0"/>
          <w:lang w:val="en-GB"/>
        </w:rPr>
        <w:t>)</w:t>
      </w:r>
      <w:r w:rsidR="003F180B" w:rsidRPr="002353FE">
        <w:rPr>
          <w:rFonts w:ascii="Verdana" w:hAnsi="Verdana" w:cs="Times New Roman"/>
          <w:b w:val="0"/>
          <w:bCs w:val="0"/>
          <w:spacing w:val="0"/>
          <w:lang w:val="en-GB"/>
        </w:rPr>
        <w:t>,</w:t>
      </w:r>
      <w:r w:rsidRPr="002353FE">
        <w:rPr>
          <w:rFonts w:ascii="Verdana" w:hAnsi="Verdana" w:cs="Times New Roman"/>
          <w:b w:val="0"/>
          <w:bCs w:val="0"/>
          <w:spacing w:val="0"/>
          <w:lang w:val="en-GB"/>
        </w:rPr>
        <w:t xml:space="preserve"> “The relationship between vulnerable financial consumers and banking institutions. </w:t>
      </w:r>
      <w:r w:rsidRPr="002353FE">
        <w:rPr>
          <w:rFonts w:ascii="Verdana" w:hAnsi="Verdana" w:cs="Times New Roman"/>
          <w:b w:val="0"/>
          <w:bCs w:val="0"/>
          <w:spacing w:val="0"/>
          <w:lang w:val="es-ES"/>
        </w:rPr>
        <w:t>A qualitative study in Spain”</w:t>
      </w:r>
      <w:r w:rsidR="00F63D9F" w:rsidRPr="002353FE">
        <w:rPr>
          <w:rFonts w:ascii="Verdana" w:hAnsi="Verdana" w:cs="Times New Roman"/>
          <w:b w:val="0"/>
          <w:bCs w:val="0"/>
          <w:spacing w:val="0"/>
          <w:lang w:val="es-ES"/>
        </w:rPr>
        <w:t>,</w:t>
      </w:r>
      <w:r w:rsidRPr="002353FE">
        <w:rPr>
          <w:rFonts w:ascii="Verdana" w:hAnsi="Verdana" w:cs="Times New Roman"/>
          <w:b w:val="0"/>
          <w:bCs w:val="0"/>
          <w:spacing w:val="0"/>
          <w:lang w:val="es-ES"/>
        </w:rPr>
        <w:t xml:space="preserve"> </w:t>
      </w:r>
      <w:r w:rsidRPr="002353FE">
        <w:rPr>
          <w:rFonts w:ascii="Verdana" w:hAnsi="Verdana" w:cs="Times New Roman"/>
          <w:b w:val="0"/>
          <w:bCs w:val="0"/>
          <w:i/>
          <w:spacing w:val="0"/>
          <w:lang w:val="es-ES"/>
        </w:rPr>
        <w:t>Geoforum</w:t>
      </w:r>
      <w:r w:rsidR="007161EE" w:rsidRPr="002353FE">
        <w:rPr>
          <w:rFonts w:ascii="Verdana" w:hAnsi="Verdana" w:cs="Times New Roman"/>
          <w:b w:val="0"/>
          <w:bCs w:val="0"/>
          <w:iCs/>
          <w:spacing w:val="0"/>
          <w:lang w:val="es-ES"/>
        </w:rPr>
        <w:t>, vol.</w:t>
      </w:r>
      <w:r w:rsidRPr="002353FE">
        <w:rPr>
          <w:rFonts w:ascii="Verdana" w:hAnsi="Verdana" w:cs="Times New Roman"/>
          <w:b w:val="0"/>
          <w:bCs w:val="0"/>
          <w:spacing w:val="0"/>
          <w:lang w:val="es-ES"/>
        </w:rPr>
        <w:t xml:space="preserve"> 119</w:t>
      </w:r>
      <w:r w:rsidR="007161EE" w:rsidRPr="002353FE">
        <w:rPr>
          <w:rFonts w:ascii="Verdana" w:hAnsi="Verdana" w:cs="Times New Roman"/>
          <w:b w:val="0"/>
          <w:bCs w:val="0"/>
          <w:spacing w:val="0"/>
          <w:lang w:val="es-ES"/>
        </w:rPr>
        <w:t>, pp.</w:t>
      </w:r>
      <w:r w:rsidRPr="002353FE">
        <w:rPr>
          <w:rFonts w:ascii="Verdana" w:hAnsi="Verdana" w:cs="Times New Roman"/>
          <w:b w:val="0"/>
          <w:bCs w:val="0"/>
          <w:spacing w:val="0"/>
          <w:lang w:val="es-ES"/>
        </w:rPr>
        <w:t xml:space="preserve"> 163-176.</w:t>
      </w:r>
    </w:p>
    <w:p w14:paraId="0E0022ED" w14:textId="445F763D" w:rsidR="00E35DEE" w:rsidRPr="002353FE" w:rsidRDefault="00494229" w:rsidP="001E7395">
      <w:pPr>
        <w:pStyle w:val="Title"/>
        <w:spacing w:after="120" w:line="360" w:lineRule="auto"/>
        <w:ind w:left="142"/>
        <w:jc w:val="both"/>
        <w:rPr>
          <w:rFonts w:ascii="Verdana" w:hAnsi="Verdana" w:cs="Times New Roman"/>
          <w:b w:val="0"/>
          <w:bCs w:val="0"/>
          <w:spacing w:val="0"/>
          <w:lang w:val="en-GB"/>
        </w:rPr>
      </w:pPr>
      <w:hyperlink r:id="rId9" w:tooltip="Marta de la Cuesta-González" w:history="1">
        <w:r w:rsidR="00E35DEE" w:rsidRPr="002353FE">
          <w:rPr>
            <w:rFonts w:ascii="Verdana" w:hAnsi="Verdana" w:cs="Times New Roman"/>
            <w:b w:val="0"/>
            <w:bCs w:val="0"/>
            <w:spacing w:val="0"/>
            <w:lang w:val="es-ES"/>
          </w:rPr>
          <w:t>De la Cuesta-González, M.</w:t>
        </w:r>
      </w:hyperlink>
      <w:r w:rsidR="00E35DEE" w:rsidRPr="002353FE">
        <w:rPr>
          <w:rFonts w:ascii="Verdana" w:hAnsi="Verdana" w:cs="Times New Roman"/>
          <w:b w:val="0"/>
          <w:bCs w:val="0"/>
          <w:spacing w:val="0"/>
          <w:lang w:val="es-ES"/>
        </w:rPr>
        <w:t>, </w:t>
      </w:r>
      <w:hyperlink r:id="rId10" w:tooltip="Beatriz Fernandez-Olit" w:history="1">
        <w:r w:rsidR="00E35DEE" w:rsidRPr="002353FE">
          <w:rPr>
            <w:rFonts w:ascii="Verdana" w:hAnsi="Verdana" w:cs="Times New Roman"/>
            <w:b w:val="0"/>
            <w:bCs w:val="0"/>
            <w:spacing w:val="0"/>
            <w:lang w:val="es-ES"/>
          </w:rPr>
          <w:t>Fern</w:t>
        </w:r>
        <w:r w:rsidR="000B7037" w:rsidRPr="002353FE">
          <w:rPr>
            <w:rFonts w:ascii="Verdana" w:hAnsi="Verdana" w:cs="Times New Roman"/>
            <w:b w:val="0"/>
            <w:bCs w:val="0"/>
            <w:spacing w:val="0"/>
            <w:lang w:val="es-ES"/>
          </w:rPr>
          <w:t>á</w:t>
        </w:r>
        <w:r w:rsidR="00E35DEE" w:rsidRPr="002353FE">
          <w:rPr>
            <w:rFonts w:ascii="Verdana" w:hAnsi="Verdana" w:cs="Times New Roman"/>
            <w:b w:val="0"/>
            <w:bCs w:val="0"/>
            <w:spacing w:val="0"/>
            <w:lang w:val="es-ES"/>
          </w:rPr>
          <w:t>ndez-Olit, B.</w:t>
        </w:r>
      </w:hyperlink>
      <w:r w:rsidR="00E35DEE" w:rsidRPr="002353FE">
        <w:rPr>
          <w:rFonts w:ascii="Verdana" w:hAnsi="Verdana" w:cs="Times New Roman"/>
          <w:b w:val="0"/>
          <w:bCs w:val="0"/>
          <w:spacing w:val="0"/>
          <w:lang w:val="es-ES"/>
        </w:rPr>
        <w:t>, </w:t>
      </w:r>
      <w:hyperlink r:id="rId11" w:tooltip="Isabel Orenes-Casanova" w:history="1">
        <w:r w:rsidR="00E35DEE" w:rsidRPr="002353FE">
          <w:rPr>
            <w:rFonts w:ascii="Verdana" w:hAnsi="Verdana" w:cs="Times New Roman"/>
            <w:b w:val="0"/>
            <w:bCs w:val="0"/>
            <w:spacing w:val="0"/>
            <w:lang w:val="es-ES"/>
          </w:rPr>
          <w:t>Orenes-Casanova, I.</w:t>
        </w:r>
      </w:hyperlink>
      <w:r w:rsidR="000B7037" w:rsidRPr="002353FE">
        <w:rPr>
          <w:rFonts w:ascii="Verdana" w:hAnsi="Verdana" w:cs="Times New Roman"/>
          <w:b w:val="0"/>
          <w:bCs w:val="0"/>
          <w:spacing w:val="0"/>
          <w:lang w:val="es-ES"/>
        </w:rPr>
        <w:t xml:space="preserve"> </w:t>
      </w:r>
      <w:r w:rsidR="000B7037" w:rsidRPr="002353FE">
        <w:rPr>
          <w:rFonts w:ascii="Verdana" w:hAnsi="Verdana" w:cs="Times New Roman"/>
          <w:b w:val="0"/>
          <w:bCs w:val="0"/>
          <w:spacing w:val="0"/>
          <w:lang w:val="en-GB"/>
        </w:rPr>
        <w:t xml:space="preserve">and </w:t>
      </w:r>
      <w:hyperlink r:id="rId12" w:tooltip="Juandiego Paredes-Gazquez" w:history="1">
        <w:r w:rsidR="000B7037" w:rsidRPr="002353FE">
          <w:rPr>
            <w:rFonts w:ascii="Verdana" w:hAnsi="Verdana" w:cs="Times New Roman"/>
            <w:b w:val="0"/>
            <w:bCs w:val="0"/>
            <w:spacing w:val="0"/>
            <w:lang w:val="en-GB"/>
          </w:rPr>
          <w:t>Paredes-Gazquez</w:t>
        </w:r>
      </w:hyperlink>
      <w:r w:rsidR="007161EE" w:rsidRPr="002353FE">
        <w:rPr>
          <w:rFonts w:ascii="Verdana" w:hAnsi="Verdana" w:cs="Times New Roman"/>
          <w:b w:val="0"/>
          <w:bCs w:val="0"/>
          <w:spacing w:val="0"/>
          <w:lang w:val="en-GB"/>
        </w:rPr>
        <w:t>, J</w:t>
      </w:r>
      <w:r w:rsidR="000B7037" w:rsidRPr="002353FE">
        <w:rPr>
          <w:rFonts w:ascii="Verdana" w:hAnsi="Verdana" w:cs="Times New Roman"/>
          <w:b w:val="0"/>
          <w:bCs w:val="0"/>
          <w:spacing w:val="0"/>
          <w:lang w:val="en-GB"/>
        </w:rPr>
        <w:t xml:space="preserve">. </w:t>
      </w:r>
      <w:r w:rsidR="007161EE" w:rsidRPr="002353FE">
        <w:rPr>
          <w:rFonts w:ascii="Verdana" w:hAnsi="Verdana" w:cs="Times New Roman"/>
          <w:b w:val="0"/>
          <w:bCs w:val="0"/>
          <w:spacing w:val="0"/>
          <w:lang w:val="en-GB"/>
        </w:rPr>
        <w:t>(</w:t>
      </w:r>
      <w:r w:rsidR="00E35DEE" w:rsidRPr="002353FE">
        <w:rPr>
          <w:rFonts w:ascii="Verdana" w:hAnsi="Verdana" w:cs="Times New Roman"/>
          <w:b w:val="0"/>
          <w:bCs w:val="0"/>
          <w:spacing w:val="0"/>
          <w:lang w:val="en-GB"/>
        </w:rPr>
        <w:t>2022</w:t>
      </w:r>
      <w:r w:rsidR="007161EE" w:rsidRPr="002353FE">
        <w:rPr>
          <w:rFonts w:ascii="Verdana" w:hAnsi="Verdana" w:cs="Times New Roman"/>
          <w:b w:val="0"/>
          <w:bCs w:val="0"/>
          <w:spacing w:val="0"/>
          <w:lang w:val="en-GB"/>
        </w:rPr>
        <w:t>)</w:t>
      </w:r>
      <w:r w:rsidR="003F180B" w:rsidRPr="002353FE">
        <w:rPr>
          <w:rFonts w:ascii="Verdana" w:hAnsi="Verdana" w:cs="Times New Roman"/>
          <w:b w:val="0"/>
          <w:bCs w:val="0"/>
          <w:spacing w:val="0"/>
          <w:lang w:val="en-GB"/>
        </w:rPr>
        <w:t>,</w:t>
      </w:r>
      <w:r w:rsidR="00E35DEE" w:rsidRPr="002353FE">
        <w:rPr>
          <w:rFonts w:ascii="Verdana" w:hAnsi="Verdana" w:cs="Times New Roman"/>
          <w:b w:val="0"/>
          <w:bCs w:val="0"/>
          <w:spacing w:val="0"/>
          <w:lang w:val="en-GB"/>
        </w:rPr>
        <w:t xml:space="preserve"> “Affective and cognitive factors that hinder the banking relationships of economically vulnerable consumers”</w:t>
      </w:r>
      <w:r w:rsidR="00F63D9F" w:rsidRPr="002353FE">
        <w:rPr>
          <w:rFonts w:ascii="Verdana" w:hAnsi="Verdana" w:cs="Times New Roman"/>
          <w:b w:val="0"/>
          <w:bCs w:val="0"/>
          <w:spacing w:val="0"/>
          <w:lang w:val="en-GB"/>
        </w:rPr>
        <w:t>,</w:t>
      </w:r>
      <w:r w:rsidR="00E35DEE" w:rsidRPr="002353FE">
        <w:rPr>
          <w:rFonts w:ascii="Verdana" w:hAnsi="Verdana" w:cs="Times New Roman"/>
          <w:b w:val="0"/>
          <w:bCs w:val="0"/>
          <w:spacing w:val="0"/>
          <w:lang w:val="en-GB"/>
        </w:rPr>
        <w:t> </w:t>
      </w:r>
      <w:hyperlink r:id="rId13" w:history="1">
        <w:r w:rsidR="00E35DEE" w:rsidRPr="002353FE">
          <w:rPr>
            <w:rFonts w:ascii="Verdana" w:hAnsi="Verdana" w:cs="Times New Roman"/>
            <w:b w:val="0"/>
            <w:bCs w:val="0"/>
            <w:i/>
            <w:spacing w:val="0"/>
            <w:lang w:val="en-GB"/>
          </w:rPr>
          <w:t>International Journal of Bank Marketing</w:t>
        </w:r>
      </w:hyperlink>
      <w:r w:rsidR="007161EE" w:rsidRPr="002353FE">
        <w:rPr>
          <w:rFonts w:ascii="Verdana" w:hAnsi="Verdana" w:cs="Times New Roman"/>
          <w:b w:val="0"/>
          <w:bCs w:val="0"/>
          <w:spacing w:val="0"/>
          <w:lang w:val="en-GB"/>
        </w:rPr>
        <w:t xml:space="preserve">, vol. </w:t>
      </w:r>
      <w:r w:rsidR="00E35DEE" w:rsidRPr="002353FE">
        <w:rPr>
          <w:rFonts w:ascii="Verdana" w:hAnsi="Verdana" w:cs="Times New Roman"/>
          <w:b w:val="0"/>
          <w:bCs w:val="0"/>
          <w:spacing w:val="0"/>
          <w:lang w:val="en-GB"/>
        </w:rPr>
        <w:t>40</w:t>
      </w:r>
      <w:r w:rsidR="007161EE" w:rsidRPr="002353FE">
        <w:rPr>
          <w:rFonts w:ascii="Verdana" w:hAnsi="Verdana" w:cs="Times New Roman"/>
          <w:b w:val="0"/>
          <w:bCs w:val="0"/>
          <w:spacing w:val="0"/>
          <w:lang w:val="en-GB"/>
        </w:rPr>
        <w:t xml:space="preserve"> No </w:t>
      </w:r>
      <w:r w:rsidR="00E35DEE" w:rsidRPr="002353FE">
        <w:rPr>
          <w:rFonts w:ascii="Verdana" w:hAnsi="Verdana" w:cs="Times New Roman"/>
          <w:b w:val="0"/>
          <w:bCs w:val="0"/>
          <w:spacing w:val="0"/>
          <w:lang w:val="en-GB"/>
        </w:rPr>
        <w:t>7</w:t>
      </w:r>
      <w:r w:rsidR="007161EE" w:rsidRPr="002353FE">
        <w:rPr>
          <w:rFonts w:ascii="Verdana" w:hAnsi="Verdana" w:cs="Times New Roman"/>
          <w:b w:val="0"/>
          <w:bCs w:val="0"/>
          <w:spacing w:val="0"/>
          <w:lang w:val="en-GB"/>
        </w:rPr>
        <w:t xml:space="preserve">, pp. </w:t>
      </w:r>
      <w:r w:rsidR="00E35DEE" w:rsidRPr="002353FE">
        <w:rPr>
          <w:rFonts w:ascii="Verdana" w:hAnsi="Verdana" w:cs="Times New Roman"/>
          <w:b w:val="0"/>
          <w:bCs w:val="0"/>
          <w:spacing w:val="0"/>
          <w:lang w:val="en-GB"/>
        </w:rPr>
        <w:t>1337-1363.</w:t>
      </w:r>
    </w:p>
    <w:p w14:paraId="10022D88" w14:textId="661DDCB5" w:rsidR="000104E7" w:rsidRPr="002353FE" w:rsidRDefault="000104E7" w:rsidP="001E7395">
      <w:pPr>
        <w:pStyle w:val="Title"/>
        <w:spacing w:after="120" w:line="360" w:lineRule="auto"/>
        <w:ind w:left="142"/>
        <w:jc w:val="both"/>
        <w:rPr>
          <w:rFonts w:ascii="Verdana" w:hAnsi="Verdana" w:cs="Times New Roman"/>
          <w:b w:val="0"/>
          <w:bCs w:val="0"/>
          <w:spacing w:val="0"/>
          <w:lang w:val="en-GB"/>
        </w:rPr>
      </w:pPr>
      <w:r w:rsidRPr="002353FE">
        <w:rPr>
          <w:rFonts w:ascii="Verdana" w:hAnsi="Verdana" w:cs="Times New Roman"/>
          <w:b w:val="0"/>
          <w:bCs w:val="0"/>
          <w:spacing w:val="0"/>
          <w:lang w:val="en-GB"/>
        </w:rPr>
        <w:t xml:space="preserve">Deku, S.Y., Kara, A. and Molyneux, P. </w:t>
      </w:r>
      <w:r w:rsidR="007161EE" w:rsidRPr="002353FE">
        <w:rPr>
          <w:rFonts w:ascii="Verdana" w:hAnsi="Verdana" w:cs="Times New Roman"/>
          <w:b w:val="0"/>
          <w:bCs w:val="0"/>
          <w:spacing w:val="0"/>
          <w:lang w:val="en-GB"/>
        </w:rPr>
        <w:t>(</w:t>
      </w:r>
      <w:r w:rsidRPr="002353FE">
        <w:rPr>
          <w:rFonts w:ascii="Verdana" w:hAnsi="Verdana" w:cs="Times New Roman"/>
          <w:b w:val="0"/>
          <w:bCs w:val="0"/>
          <w:spacing w:val="0"/>
          <w:lang w:val="en-GB"/>
        </w:rPr>
        <w:t>2016</w:t>
      </w:r>
      <w:r w:rsidR="007161EE" w:rsidRPr="002353FE">
        <w:rPr>
          <w:rFonts w:ascii="Verdana" w:hAnsi="Verdana" w:cs="Times New Roman"/>
          <w:b w:val="0"/>
          <w:bCs w:val="0"/>
          <w:spacing w:val="0"/>
          <w:lang w:val="en-GB"/>
        </w:rPr>
        <w:t>)</w:t>
      </w:r>
      <w:r w:rsidR="003F180B" w:rsidRPr="002353FE">
        <w:rPr>
          <w:rFonts w:ascii="Verdana" w:hAnsi="Verdana" w:cs="Times New Roman"/>
          <w:b w:val="0"/>
          <w:bCs w:val="0"/>
          <w:spacing w:val="0"/>
          <w:lang w:val="en-GB"/>
        </w:rPr>
        <w:t>,</w:t>
      </w:r>
      <w:r w:rsidRPr="002353FE">
        <w:rPr>
          <w:rFonts w:ascii="Verdana" w:hAnsi="Verdana" w:cs="Times New Roman"/>
          <w:b w:val="0"/>
          <w:bCs w:val="0"/>
          <w:spacing w:val="0"/>
          <w:lang w:val="en-GB"/>
        </w:rPr>
        <w:t xml:space="preserve"> “Access to consumer credit in the UK”</w:t>
      </w:r>
      <w:r w:rsidR="00F63D9F" w:rsidRPr="002353FE">
        <w:rPr>
          <w:rFonts w:ascii="Verdana" w:hAnsi="Verdana" w:cs="Times New Roman"/>
          <w:b w:val="0"/>
          <w:bCs w:val="0"/>
          <w:spacing w:val="0"/>
          <w:lang w:val="en-GB"/>
        </w:rPr>
        <w:t>,</w:t>
      </w:r>
      <w:r w:rsidRPr="002353FE">
        <w:rPr>
          <w:rFonts w:ascii="Verdana" w:hAnsi="Verdana" w:cs="Times New Roman"/>
          <w:b w:val="0"/>
          <w:bCs w:val="0"/>
          <w:spacing w:val="0"/>
          <w:lang w:val="en-GB"/>
        </w:rPr>
        <w:t xml:space="preserve"> </w:t>
      </w:r>
      <w:r w:rsidRPr="002353FE">
        <w:rPr>
          <w:rFonts w:ascii="Verdana" w:hAnsi="Verdana" w:cs="Times New Roman"/>
          <w:b w:val="0"/>
          <w:bCs w:val="0"/>
          <w:i/>
          <w:spacing w:val="0"/>
          <w:lang w:val="en-GB"/>
        </w:rPr>
        <w:t>European Journal of Finance</w:t>
      </w:r>
      <w:r w:rsidR="007161EE" w:rsidRPr="002353FE">
        <w:rPr>
          <w:rFonts w:ascii="Verdana" w:hAnsi="Verdana" w:cs="Times New Roman"/>
          <w:b w:val="0"/>
          <w:bCs w:val="0"/>
          <w:iCs/>
          <w:spacing w:val="0"/>
          <w:lang w:val="en-GB"/>
        </w:rPr>
        <w:t>, vol.</w:t>
      </w:r>
      <w:r w:rsidR="006D6C8D" w:rsidRPr="002353FE">
        <w:rPr>
          <w:rFonts w:ascii="Verdana" w:hAnsi="Verdana" w:cs="Times New Roman"/>
          <w:b w:val="0"/>
          <w:bCs w:val="0"/>
          <w:spacing w:val="0"/>
          <w:lang w:val="en-GB"/>
        </w:rPr>
        <w:t xml:space="preserve"> 22</w:t>
      </w:r>
      <w:r w:rsidR="007161EE" w:rsidRPr="002353FE">
        <w:rPr>
          <w:rFonts w:ascii="Verdana" w:hAnsi="Verdana" w:cs="Times New Roman"/>
          <w:b w:val="0"/>
          <w:bCs w:val="0"/>
          <w:spacing w:val="0"/>
          <w:lang w:val="en-GB"/>
        </w:rPr>
        <w:t xml:space="preserve"> No </w:t>
      </w:r>
      <w:r w:rsidR="006D6C8D" w:rsidRPr="002353FE">
        <w:rPr>
          <w:rFonts w:ascii="Verdana" w:hAnsi="Verdana" w:cs="Times New Roman"/>
          <w:b w:val="0"/>
          <w:bCs w:val="0"/>
          <w:spacing w:val="0"/>
          <w:lang w:val="en-GB"/>
        </w:rPr>
        <w:t>10</w:t>
      </w:r>
      <w:r w:rsidR="007161EE" w:rsidRPr="002353FE">
        <w:rPr>
          <w:rFonts w:ascii="Verdana" w:hAnsi="Verdana" w:cs="Times New Roman"/>
          <w:b w:val="0"/>
          <w:bCs w:val="0"/>
          <w:spacing w:val="0"/>
          <w:lang w:val="en-GB"/>
        </w:rPr>
        <w:t xml:space="preserve">, pp. </w:t>
      </w:r>
      <w:r w:rsidRPr="002353FE">
        <w:rPr>
          <w:rFonts w:ascii="Verdana" w:hAnsi="Verdana" w:cs="Times New Roman"/>
          <w:b w:val="0"/>
          <w:bCs w:val="0"/>
          <w:spacing w:val="0"/>
          <w:lang w:val="en-GB"/>
        </w:rPr>
        <w:t>941-964.</w:t>
      </w:r>
    </w:p>
    <w:p w14:paraId="40D3C1F3" w14:textId="48E956F0" w:rsidR="00DA599A" w:rsidRPr="002353FE" w:rsidRDefault="00803764" w:rsidP="001E7395">
      <w:pPr>
        <w:autoSpaceDE w:val="0"/>
        <w:autoSpaceDN w:val="0"/>
        <w:adjustRightInd w:val="0"/>
        <w:spacing w:after="120" w:line="360" w:lineRule="auto"/>
        <w:ind w:left="142"/>
        <w:jc w:val="both"/>
        <w:rPr>
          <w:rFonts w:ascii="Verdana" w:hAnsi="Verdana"/>
          <w:color w:val="000000"/>
          <w:sz w:val="24"/>
          <w:szCs w:val="24"/>
          <w:lang w:val="en-GB" w:eastAsia="es-ES"/>
        </w:rPr>
      </w:pPr>
      <w:r w:rsidRPr="002353FE">
        <w:rPr>
          <w:rFonts w:ascii="Verdana" w:hAnsi="Verdana"/>
          <w:sz w:val="24"/>
          <w:szCs w:val="24"/>
          <w:lang w:val="en-GB"/>
        </w:rPr>
        <w:t>EC (European Commission)</w:t>
      </w:r>
      <w:r w:rsidR="00DA599A" w:rsidRPr="002353FE">
        <w:rPr>
          <w:rFonts w:ascii="Verdana" w:hAnsi="Verdana"/>
          <w:color w:val="000000"/>
          <w:sz w:val="24"/>
          <w:szCs w:val="24"/>
          <w:lang w:val="en-GB" w:eastAsia="es-ES"/>
        </w:rPr>
        <w:t xml:space="preserve"> Directorate-General for Competition</w:t>
      </w:r>
      <w:r w:rsidR="007161EE" w:rsidRPr="002353FE">
        <w:rPr>
          <w:rFonts w:ascii="Verdana" w:hAnsi="Verdana"/>
          <w:color w:val="000000"/>
          <w:sz w:val="24"/>
          <w:szCs w:val="24"/>
          <w:lang w:val="en-GB" w:eastAsia="es-ES"/>
        </w:rPr>
        <w:t xml:space="preserve"> (</w:t>
      </w:r>
      <w:r w:rsidR="00DA599A" w:rsidRPr="002353FE">
        <w:rPr>
          <w:rFonts w:ascii="Verdana" w:hAnsi="Verdana"/>
          <w:sz w:val="24"/>
          <w:szCs w:val="24"/>
          <w:lang w:val="en-GB" w:eastAsia="es-ES"/>
        </w:rPr>
        <w:t>2006</w:t>
      </w:r>
      <w:r w:rsidR="007161EE" w:rsidRPr="002353FE">
        <w:rPr>
          <w:rFonts w:ascii="Verdana" w:hAnsi="Verdana"/>
          <w:sz w:val="24"/>
          <w:szCs w:val="24"/>
          <w:lang w:val="en-GB" w:eastAsia="es-ES"/>
        </w:rPr>
        <w:t>)</w:t>
      </w:r>
      <w:r w:rsidR="003F180B" w:rsidRPr="002353FE">
        <w:rPr>
          <w:rFonts w:ascii="Verdana" w:hAnsi="Verdana"/>
          <w:color w:val="000000"/>
          <w:sz w:val="24"/>
          <w:szCs w:val="24"/>
          <w:lang w:val="en-GB" w:eastAsia="es-ES"/>
        </w:rPr>
        <w:t>,</w:t>
      </w:r>
      <w:r w:rsidR="00DA599A" w:rsidRPr="002353FE">
        <w:rPr>
          <w:rFonts w:ascii="Verdana" w:hAnsi="Verdana"/>
          <w:color w:val="000000"/>
          <w:sz w:val="24"/>
          <w:szCs w:val="24"/>
          <w:lang w:val="en-GB" w:eastAsia="es-ES"/>
        </w:rPr>
        <w:t xml:space="preserve"> </w:t>
      </w:r>
      <w:r w:rsidR="00DA599A" w:rsidRPr="002353FE">
        <w:rPr>
          <w:rFonts w:ascii="Verdana" w:hAnsi="Verdana"/>
          <w:i/>
          <w:color w:val="000000"/>
          <w:sz w:val="24"/>
          <w:szCs w:val="24"/>
          <w:lang w:val="en-GB" w:eastAsia="es-ES"/>
        </w:rPr>
        <w:t>Interim Report II Current Accounts and Related Services. Sector Inquiry under Article 17</w:t>
      </w:r>
      <w:r w:rsidR="00625CBB" w:rsidRPr="002353FE">
        <w:rPr>
          <w:rFonts w:ascii="Verdana" w:hAnsi="Verdana"/>
          <w:color w:val="000000"/>
          <w:sz w:val="24"/>
          <w:szCs w:val="24"/>
          <w:lang w:val="en-GB" w:eastAsia="es-ES"/>
        </w:rPr>
        <w:t>, Regulation 1/2003.</w:t>
      </w:r>
      <w:r w:rsidR="00DA599A" w:rsidRPr="002353FE">
        <w:rPr>
          <w:rFonts w:ascii="Verdana" w:hAnsi="Verdana"/>
          <w:color w:val="000000"/>
          <w:sz w:val="24"/>
          <w:szCs w:val="24"/>
          <w:lang w:val="en-GB" w:eastAsia="es-ES"/>
        </w:rPr>
        <w:t xml:space="preserve"> Brussels.</w:t>
      </w:r>
    </w:p>
    <w:p w14:paraId="4D7708C6" w14:textId="6693E775" w:rsidR="003D130C" w:rsidRPr="001E7395" w:rsidRDefault="00803764"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EC (European Commission)</w:t>
      </w:r>
      <w:r w:rsidR="007161EE" w:rsidRPr="002353FE">
        <w:rPr>
          <w:rFonts w:ascii="Verdana" w:hAnsi="Verdana"/>
          <w:sz w:val="24"/>
          <w:szCs w:val="24"/>
          <w:lang w:val="en-GB"/>
        </w:rPr>
        <w:t xml:space="preserve"> (</w:t>
      </w:r>
      <w:r w:rsidR="003D130C" w:rsidRPr="002353FE">
        <w:rPr>
          <w:rFonts w:ascii="Verdana" w:hAnsi="Verdana"/>
          <w:sz w:val="24"/>
          <w:szCs w:val="24"/>
          <w:lang w:val="en-GB"/>
        </w:rPr>
        <w:t>2012</w:t>
      </w:r>
      <w:r w:rsidR="007161EE" w:rsidRPr="002353FE">
        <w:rPr>
          <w:rFonts w:ascii="Verdana" w:hAnsi="Verdana"/>
          <w:sz w:val="24"/>
          <w:szCs w:val="24"/>
          <w:lang w:val="en-GB"/>
        </w:rPr>
        <w:t>)</w:t>
      </w:r>
      <w:r w:rsidR="003F180B" w:rsidRPr="002353FE">
        <w:rPr>
          <w:rFonts w:ascii="Verdana" w:hAnsi="Verdana"/>
          <w:sz w:val="24"/>
          <w:szCs w:val="24"/>
          <w:lang w:val="en-GB"/>
        </w:rPr>
        <w:t>,</w:t>
      </w:r>
      <w:r w:rsidR="003D130C" w:rsidRPr="002353FE">
        <w:rPr>
          <w:rFonts w:ascii="Verdana" w:hAnsi="Verdana"/>
          <w:sz w:val="24"/>
          <w:szCs w:val="24"/>
          <w:lang w:val="en-GB"/>
        </w:rPr>
        <w:t xml:space="preserve"> </w:t>
      </w:r>
      <w:r w:rsidR="003D130C" w:rsidRPr="002353FE">
        <w:rPr>
          <w:rFonts w:ascii="Verdana" w:hAnsi="Verdana"/>
          <w:i/>
          <w:sz w:val="24"/>
          <w:szCs w:val="24"/>
          <w:lang w:val="en-GB"/>
        </w:rPr>
        <w:t>On knowledge-enhancing aspects of consumer empowerment</w:t>
      </w:r>
      <w:r w:rsidR="003D130C" w:rsidRPr="002353FE">
        <w:rPr>
          <w:rFonts w:ascii="Verdana" w:hAnsi="Verdana"/>
          <w:sz w:val="24"/>
          <w:szCs w:val="24"/>
          <w:lang w:val="en-GB"/>
        </w:rPr>
        <w:t>. European Commission</w:t>
      </w:r>
      <w:r w:rsidR="0008320E" w:rsidRPr="002353FE">
        <w:rPr>
          <w:rFonts w:ascii="Verdana" w:hAnsi="Verdana"/>
          <w:sz w:val="24"/>
          <w:szCs w:val="24"/>
          <w:lang w:val="en-GB"/>
        </w:rPr>
        <w:t>, Brussels</w:t>
      </w:r>
      <w:r w:rsidR="003D130C" w:rsidRPr="002353FE">
        <w:rPr>
          <w:rFonts w:ascii="Verdana" w:hAnsi="Verdana"/>
          <w:sz w:val="24"/>
          <w:szCs w:val="24"/>
          <w:lang w:val="en-GB"/>
        </w:rPr>
        <w:t>.</w:t>
      </w:r>
    </w:p>
    <w:p w14:paraId="6A986719" w14:textId="0F071BDD" w:rsidR="00406E02" w:rsidRPr="002353FE" w:rsidRDefault="00803764"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EC (</w:t>
      </w:r>
      <w:r w:rsidR="00406E02" w:rsidRPr="002353FE">
        <w:rPr>
          <w:rFonts w:ascii="Verdana" w:hAnsi="Verdana"/>
          <w:sz w:val="24"/>
          <w:szCs w:val="24"/>
          <w:lang w:val="en-GB"/>
        </w:rPr>
        <w:t>European Commission</w:t>
      </w:r>
      <w:r w:rsidRPr="002353FE">
        <w:rPr>
          <w:rFonts w:ascii="Verdana" w:hAnsi="Verdana"/>
          <w:sz w:val="24"/>
          <w:szCs w:val="24"/>
          <w:lang w:val="en-GB"/>
        </w:rPr>
        <w:t>)</w:t>
      </w:r>
      <w:r w:rsidR="007161EE" w:rsidRPr="002353FE">
        <w:rPr>
          <w:rFonts w:ascii="Verdana" w:hAnsi="Verdana"/>
          <w:sz w:val="24"/>
          <w:szCs w:val="24"/>
          <w:lang w:val="en-GB"/>
        </w:rPr>
        <w:t xml:space="preserve"> (</w:t>
      </w:r>
      <w:r w:rsidR="007B3BAD" w:rsidRPr="002353FE">
        <w:rPr>
          <w:rFonts w:ascii="Verdana" w:hAnsi="Verdana"/>
          <w:sz w:val="24"/>
          <w:szCs w:val="24"/>
          <w:lang w:val="en-GB"/>
        </w:rPr>
        <w:t>20</w:t>
      </w:r>
      <w:r w:rsidR="004A1AAC" w:rsidRPr="002353FE">
        <w:rPr>
          <w:rFonts w:ascii="Verdana" w:hAnsi="Verdana"/>
          <w:sz w:val="24"/>
          <w:szCs w:val="24"/>
          <w:lang w:val="en-GB"/>
        </w:rPr>
        <w:t>21</w:t>
      </w:r>
      <w:r w:rsidR="007161EE" w:rsidRPr="002353FE">
        <w:rPr>
          <w:rFonts w:ascii="Verdana" w:hAnsi="Verdana"/>
          <w:sz w:val="24"/>
          <w:szCs w:val="24"/>
          <w:lang w:val="en-GB"/>
        </w:rPr>
        <w:t>)</w:t>
      </w:r>
      <w:r w:rsidR="003F180B" w:rsidRPr="002353FE">
        <w:rPr>
          <w:rFonts w:ascii="Verdana" w:hAnsi="Verdana"/>
          <w:sz w:val="24"/>
          <w:szCs w:val="24"/>
          <w:lang w:val="en-GB"/>
        </w:rPr>
        <w:t>,</w:t>
      </w:r>
      <w:r w:rsidR="00406E02" w:rsidRPr="002353FE">
        <w:rPr>
          <w:rFonts w:ascii="Verdana" w:hAnsi="Verdana"/>
          <w:sz w:val="24"/>
          <w:szCs w:val="24"/>
          <w:lang w:val="en-GB"/>
        </w:rPr>
        <w:t xml:space="preserve"> </w:t>
      </w:r>
      <w:r w:rsidR="00406E02" w:rsidRPr="002353FE">
        <w:rPr>
          <w:rFonts w:ascii="Verdana" w:hAnsi="Verdana"/>
          <w:i/>
          <w:sz w:val="24"/>
          <w:szCs w:val="24"/>
          <w:lang w:val="en-GB"/>
        </w:rPr>
        <w:t>Consumer Market Monitoring Survey</w:t>
      </w:r>
      <w:r w:rsidR="00406E02" w:rsidRPr="002353FE">
        <w:rPr>
          <w:rFonts w:ascii="Verdana" w:hAnsi="Verdana"/>
          <w:sz w:val="24"/>
          <w:szCs w:val="24"/>
          <w:lang w:val="en-GB"/>
        </w:rPr>
        <w:t xml:space="preserve">. </w:t>
      </w:r>
      <w:r w:rsidR="004A1AAC" w:rsidRPr="002353FE">
        <w:rPr>
          <w:rFonts w:ascii="Verdana" w:hAnsi="Verdana"/>
          <w:sz w:val="24"/>
          <w:szCs w:val="24"/>
          <w:lang w:val="en-GB"/>
        </w:rPr>
        <w:t>https://commission.europa.eu/strategy-and-policy/policies/consumers/consumer-protection-policy/evidence-based-consumer-policy/market-monitoring_en</w:t>
      </w:r>
      <w:r w:rsidR="00406E02" w:rsidRPr="002353FE">
        <w:rPr>
          <w:rFonts w:ascii="Verdana" w:hAnsi="Verdana"/>
          <w:sz w:val="24"/>
          <w:szCs w:val="24"/>
          <w:lang w:val="en-GB"/>
        </w:rPr>
        <w:t>.</w:t>
      </w:r>
    </w:p>
    <w:p w14:paraId="73B81BBF" w14:textId="7AC50E93" w:rsidR="00F10790" w:rsidRPr="002353FE" w:rsidRDefault="00803764"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EC (</w:t>
      </w:r>
      <w:r w:rsidR="00F10790" w:rsidRPr="002353FE">
        <w:rPr>
          <w:rFonts w:ascii="Verdana" w:hAnsi="Verdana"/>
          <w:sz w:val="24"/>
          <w:szCs w:val="24"/>
          <w:lang w:val="en-GB"/>
        </w:rPr>
        <w:t>European Commission</w:t>
      </w:r>
      <w:r w:rsidRPr="002353FE">
        <w:rPr>
          <w:rFonts w:ascii="Verdana" w:hAnsi="Verdana"/>
          <w:sz w:val="24"/>
          <w:szCs w:val="24"/>
          <w:lang w:val="en-GB"/>
        </w:rPr>
        <w:t>)</w:t>
      </w:r>
      <w:r w:rsidR="00F10790" w:rsidRPr="002353FE">
        <w:rPr>
          <w:rFonts w:ascii="Verdana" w:hAnsi="Verdana"/>
          <w:sz w:val="24"/>
          <w:szCs w:val="24"/>
          <w:lang w:val="en-GB"/>
        </w:rPr>
        <w:t xml:space="preserve"> and </w:t>
      </w:r>
      <w:r w:rsidRPr="002353FE">
        <w:rPr>
          <w:rFonts w:ascii="Verdana" w:hAnsi="Verdana"/>
          <w:sz w:val="24"/>
          <w:szCs w:val="24"/>
          <w:lang w:val="en-GB"/>
        </w:rPr>
        <w:t>EP (</w:t>
      </w:r>
      <w:r w:rsidR="00F10790" w:rsidRPr="002353FE">
        <w:rPr>
          <w:rFonts w:ascii="Verdana" w:hAnsi="Verdana"/>
          <w:sz w:val="24"/>
          <w:szCs w:val="24"/>
          <w:lang w:val="en-GB"/>
        </w:rPr>
        <w:t>European Parliament</w:t>
      </w:r>
      <w:r w:rsidRPr="002353FE">
        <w:rPr>
          <w:rFonts w:ascii="Verdana" w:hAnsi="Verdana"/>
          <w:sz w:val="24"/>
          <w:szCs w:val="24"/>
          <w:lang w:val="en-GB"/>
        </w:rPr>
        <w:t>)</w:t>
      </w:r>
      <w:r w:rsidR="007161EE" w:rsidRPr="002353FE">
        <w:rPr>
          <w:rFonts w:ascii="Verdana" w:hAnsi="Verdana"/>
          <w:sz w:val="24"/>
          <w:szCs w:val="24"/>
          <w:lang w:val="en-GB"/>
        </w:rPr>
        <w:t xml:space="preserve"> (</w:t>
      </w:r>
      <w:r w:rsidR="00F10790" w:rsidRPr="002353FE">
        <w:rPr>
          <w:rFonts w:ascii="Verdana" w:hAnsi="Verdana"/>
          <w:sz w:val="24"/>
          <w:szCs w:val="24"/>
          <w:lang w:val="en-GB"/>
        </w:rPr>
        <w:t>2016</w:t>
      </w:r>
      <w:r w:rsidR="007161EE" w:rsidRPr="002353FE">
        <w:rPr>
          <w:rFonts w:ascii="Verdana" w:hAnsi="Verdana"/>
          <w:sz w:val="24"/>
          <w:szCs w:val="24"/>
          <w:lang w:val="en-GB"/>
        </w:rPr>
        <w:t>)</w:t>
      </w:r>
      <w:r w:rsidR="003F180B" w:rsidRPr="002353FE">
        <w:rPr>
          <w:rFonts w:ascii="Verdana" w:hAnsi="Verdana"/>
          <w:sz w:val="24"/>
          <w:szCs w:val="24"/>
          <w:lang w:val="en-GB"/>
        </w:rPr>
        <w:t>,</w:t>
      </w:r>
      <w:r w:rsidR="00F10790" w:rsidRPr="002353FE">
        <w:rPr>
          <w:rFonts w:ascii="Verdana" w:hAnsi="Verdana"/>
          <w:sz w:val="24"/>
          <w:szCs w:val="24"/>
          <w:lang w:val="en-GB"/>
        </w:rPr>
        <w:t xml:space="preserve"> </w:t>
      </w:r>
      <w:r w:rsidR="00F10790" w:rsidRPr="002353FE">
        <w:rPr>
          <w:rFonts w:ascii="Verdana" w:hAnsi="Verdana"/>
          <w:i/>
          <w:sz w:val="24"/>
          <w:szCs w:val="24"/>
          <w:lang w:val="en-GB"/>
        </w:rPr>
        <w:t>Eurobarometer 85.1. TNS opinion [producer]. GESIS Data Archive, Cologne. ZA6693 Data file Version 1.0.0, doi: 10.4232/1.12591</w:t>
      </w:r>
      <w:r w:rsidR="00F10790" w:rsidRPr="002353FE">
        <w:rPr>
          <w:rFonts w:ascii="Verdana" w:hAnsi="Verdana"/>
          <w:sz w:val="24"/>
          <w:szCs w:val="24"/>
          <w:lang w:val="en-GB"/>
        </w:rPr>
        <w:t>.</w:t>
      </w:r>
    </w:p>
    <w:p w14:paraId="10C06668" w14:textId="7AB96347" w:rsidR="005839AC" w:rsidRPr="002353FE" w:rsidRDefault="00803764"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lastRenderedPageBreak/>
        <w:t>EP (</w:t>
      </w:r>
      <w:r w:rsidR="005839AC" w:rsidRPr="002353FE">
        <w:rPr>
          <w:rFonts w:ascii="Verdana" w:hAnsi="Verdana"/>
          <w:sz w:val="24"/>
          <w:szCs w:val="24"/>
          <w:lang w:val="en-GB"/>
        </w:rPr>
        <w:t>European Parliament</w:t>
      </w:r>
      <w:r w:rsidRPr="002353FE">
        <w:rPr>
          <w:rFonts w:ascii="Verdana" w:hAnsi="Verdana"/>
          <w:sz w:val="24"/>
          <w:szCs w:val="24"/>
          <w:lang w:val="en-GB"/>
        </w:rPr>
        <w:t>)</w:t>
      </w:r>
      <w:r w:rsidR="007161EE" w:rsidRPr="002353FE">
        <w:rPr>
          <w:rFonts w:ascii="Verdana" w:hAnsi="Verdana"/>
          <w:sz w:val="24"/>
          <w:szCs w:val="24"/>
          <w:lang w:val="en-GB"/>
        </w:rPr>
        <w:t xml:space="preserve"> (</w:t>
      </w:r>
      <w:r w:rsidR="005839AC" w:rsidRPr="002353FE">
        <w:rPr>
          <w:rFonts w:ascii="Verdana" w:hAnsi="Verdana"/>
          <w:sz w:val="24"/>
          <w:szCs w:val="24"/>
          <w:lang w:val="en-GB"/>
        </w:rPr>
        <w:t>2015</w:t>
      </w:r>
      <w:r w:rsidR="007161EE" w:rsidRPr="002353FE">
        <w:rPr>
          <w:rFonts w:ascii="Verdana" w:hAnsi="Verdana"/>
          <w:sz w:val="24"/>
          <w:szCs w:val="24"/>
          <w:lang w:val="en-GB"/>
        </w:rPr>
        <w:t>)</w:t>
      </w:r>
      <w:r w:rsidR="003F180B" w:rsidRPr="002353FE">
        <w:rPr>
          <w:rFonts w:ascii="Verdana" w:hAnsi="Verdana"/>
          <w:sz w:val="24"/>
          <w:szCs w:val="24"/>
          <w:lang w:val="en-GB"/>
        </w:rPr>
        <w:t>,</w:t>
      </w:r>
      <w:r w:rsidR="005839AC" w:rsidRPr="002353FE">
        <w:rPr>
          <w:rFonts w:ascii="Verdana" w:hAnsi="Verdana"/>
          <w:sz w:val="24"/>
          <w:szCs w:val="24"/>
          <w:lang w:val="en-GB"/>
        </w:rPr>
        <w:t xml:space="preserve"> </w:t>
      </w:r>
      <w:r w:rsidR="005839AC" w:rsidRPr="002353FE">
        <w:rPr>
          <w:rFonts w:ascii="Verdana" w:hAnsi="Verdana"/>
          <w:i/>
          <w:sz w:val="24"/>
          <w:szCs w:val="24"/>
          <w:lang w:val="en-GB"/>
        </w:rPr>
        <w:t>Improving the financial literacy of European consumers</w:t>
      </w:r>
      <w:r w:rsidR="005839AC" w:rsidRPr="002353FE">
        <w:rPr>
          <w:rFonts w:ascii="Verdana" w:hAnsi="Verdana"/>
          <w:sz w:val="24"/>
          <w:szCs w:val="24"/>
          <w:lang w:val="en-GB"/>
        </w:rPr>
        <w:t>. European Parliament</w:t>
      </w:r>
      <w:r w:rsidR="0008320E" w:rsidRPr="002353FE">
        <w:rPr>
          <w:rFonts w:ascii="Verdana" w:hAnsi="Verdana"/>
          <w:sz w:val="24"/>
          <w:szCs w:val="24"/>
          <w:lang w:val="en-GB"/>
        </w:rPr>
        <w:t>, Brussels</w:t>
      </w:r>
      <w:r w:rsidR="005839AC" w:rsidRPr="002353FE">
        <w:rPr>
          <w:rFonts w:ascii="Verdana" w:hAnsi="Verdana"/>
          <w:sz w:val="24"/>
          <w:szCs w:val="24"/>
          <w:lang w:val="en-GB"/>
        </w:rPr>
        <w:t xml:space="preserve">. </w:t>
      </w:r>
    </w:p>
    <w:p w14:paraId="60A4C0A1" w14:textId="0B8FBB2A" w:rsidR="0049545C" w:rsidRPr="002353FE" w:rsidRDefault="0049545C"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EUROSTAT</w:t>
      </w:r>
      <w:r w:rsidR="008D4CA3" w:rsidRPr="002353FE">
        <w:rPr>
          <w:rFonts w:ascii="Verdana" w:hAnsi="Verdana"/>
          <w:sz w:val="24"/>
          <w:szCs w:val="24"/>
          <w:lang w:val="en-GB"/>
        </w:rPr>
        <w:t xml:space="preserve"> (</w:t>
      </w:r>
      <w:r w:rsidRPr="002353FE">
        <w:rPr>
          <w:rFonts w:ascii="Verdana" w:hAnsi="Verdana"/>
          <w:sz w:val="24"/>
          <w:szCs w:val="24"/>
          <w:lang w:val="en-GB"/>
        </w:rPr>
        <w:t>2015</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NUTS – Nomenclature of territorial units for statistics</w:t>
      </w:r>
      <w:r w:rsidRPr="002353FE">
        <w:rPr>
          <w:rFonts w:ascii="Verdana" w:hAnsi="Verdana"/>
          <w:sz w:val="24"/>
          <w:szCs w:val="24"/>
          <w:lang w:val="en-GB"/>
        </w:rPr>
        <w:t xml:space="preserve">. </w:t>
      </w:r>
      <w:hyperlink r:id="rId14" w:history="1">
        <w:r w:rsidRPr="002353FE">
          <w:rPr>
            <w:rStyle w:val="Hyperlink"/>
            <w:rFonts w:ascii="Verdana" w:hAnsi="Verdana"/>
            <w:sz w:val="24"/>
            <w:szCs w:val="24"/>
            <w:lang w:val="en-GB"/>
          </w:rPr>
          <w:t>http://ec.europa.eu/eurostat/web/nuts</w:t>
        </w:r>
      </w:hyperlink>
      <w:r w:rsidRPr="002353FE">
        <w:rPr>
          <w:rFonts w:ascii="Verdana" w:hAnsi="Verdana"/>
          <w:sz w:val="24"/>
          <w:szCs w:val="24"/>
          <w:lang w:val="en-GB"/>
        </w:rPr>
        <w:t>.</w:t>
      </w:r>
    </w:p>
    <w:p w14:paraId="40254FC4" w14:textId="779B0340" w:rsidR="0067071E" w:rsidRPr="002353FE" w:rsidRDefault="0067071E"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EUROSTAT</w:t>
      </w:r>
      <w:r w:rsidR="008D4CA3" w:rsidRPr="002353FE">
        <w:rPr>
          <w:rFonts w:ascii="Verdana" w:hAnsi="Verdana"/>
          <w:sz w:val="24"/>
          <w:szCs w:val="24"/>
          <w:lang w:val="en-GB"/>
        </w:rPr>
        <w:t xml:space="preserve"> (</w:t>
      </w:r>
      <w:r w:rsidRPr="002353FE">
        <w:rPr>
          <w:rFonts w:ascii="Verdana" w:hAnsi="Verdana"/>
          <w:sz w:val="24"/>
          <w:szCs w:val="24"/>
          <w:lang w:val="en-GB"/>
        </w:rPr>
        <w:t>2017a</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7E3DBC" w:rsidRPr="002353FE">
        <w:rPr>
          <w:rFonts w:ascii="Verdana" w:hAnsi="Verdana"/>
          <w:i/>
          <w:sz w:val="24"/>
          <w:szCs w:val="24"/>
          <w:lang w:val="en-GB"/>
        </w:rPr>
        <w:t>R</w:t>
      </w:r>
      <w:r w:rsidRPr="002353FE">
        <w:rPr>
          <w:rFonts w:ascii="Verdana" w:hAnsi="Verdana"/>
          <w:i/>
          <w:sz w:val="24"/>
          <w:szCs w:val="24"/>
          <w:lang w:val="en-GB"/>
        </w:rPr>
        <w:t>egional statistics</w:t>
      </w:r>
      <w:r w:rsidR="007E3DBC" w:rsidRPr="002353FE">
        <w:rPr>
          <w:rFonts w:ascii="Verdana" w:hAnsi="Verdana"/>
          <w:i/>
          <w:sz w:val="24"/>
          <w:szCs w:val="24"/>
          <w:lang w:val="en-GB"/>
        </w:rPr>
        <w:t xml:space="preserve"> by NUTS classification</w:t>
      </w:r>
      <w:r w:rsidRPr="002353FE">
        <w:rPr>
          <w:rFonts w:ascii="Verdana" w:hAnsi="Verdana"/>
          <w:sz w:val="24"/>
          <w:szCs w:val="24"/>
          <w:lang w:val="en-GB"/>
        </w:rPr>
        <w:t xml:space="preserve">. </w:t>
      </w:r>
      <w:hyperlink r:id="rId15" w:history="1">
        <w:r w:rsidRPr="002353FE">
          <w:rPr>
            <w:rStyle w:val="Hyperlink"/>
            <w:rFonts w:ascii="Verdana" w:hAnsi="Verdana"/>
            <w:sz w:val="24"/>
            <w:szCs w:val="24"/>
            <w:lang w:val="en-GB"/>
          </w:rPr>
          <w:t>http://ec.europa.eu/eurostat/data/database</w:t>
        </w:r>
      </w:hyperlink>
      <w:r w:rsidRPr="002353FE">
        <w:rPr>
          <w:rFonts w:ascii="Verdana" w:hAnsi="Verdana"/>
          <w:sz w:val="24"/>
          <w:szCs w:val="24"/>
          <w:lang w:val="en-GB"/>
        </w:rPr>
        <w:t>.</w:t>
      </w:r>
    </w:p>
    <w:p w14:paraId="7271DD94" w14:textId="64C5FD28" w:rsidR="0067071E" w:rsidRPr="002353FE" w:rsidRDefault="0067071E"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EUROSTAT</w:t>
      </w:r>
      <w:r w:rsidR="008D4CA3" w:rsidRPr="002353FE">
        <w:rPr>
          <w:rFonts w:ascii="Verdana" w:hAnsi="Verdana"/>
          <w:sz w:val="24"/>
          <w:szCs w:val="24"/>
          <w:lang w:val="en-GB"/>
        </w:rPr>
        <w:t xml:space="preserve"> (</w:t>
      </w:r>
      <w:r w:rsidRPr="002353FE">
        <w:rPr>
          <w:rFonts w:ascii="Verdana" w:hAnsi="Verdana"/>
          <w:sz w:val="24"/>
          <w:szCs w:val="24"/>
          <w:lang w:val="en-GB"/>
        </w:rPr>
        <w:t>2017</w:t>
      </w:r>
      <w:r w:rsidR="00137647" w:rsidRPr="002353FE">
        <w:rPr>
          <w:rFonts w:ascii="Verdana" w:hAnsi="Verdana"/>
          <w:sz w:val="24"/>
          <w:szCs w:val="24"/>
          <w:lang w:val="en-GB"/>
        </w:rPr>
        <w:t>b</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7E3DBC" w:rsidRPr="002353FE">
        <w:rPr>
          <w:rFonts w:ascii="Verdana" w:hAnsi="Verdana"/>
          <w:i/>
          <w:sz w:val="24"/>
          <w:szCs w:val="24"/>
          <w:lang w:val="en-GB"/>
        </w:rPr>
        <w:t>National accounts</w:t>
      </w:r>
      <w:r w:rsidR="00F33417" w:rsidRPr="002353FE">
        <w:rPr>
          <w:rFonts w:ascii="Verdana" w:hAnsi="Verdana"/>
          <w:sz w:val="24"/>
          <w:szCs w:val="24"/>
          <w:lang w:val="en-GB"/>
        </w:rPr>
        <w:t xml:space="preserve">. </w:t>
      </w:r>
      <w:hyperlink r:id="rId16" w:history="1">
        <w:r w:rsidRPr="002353FE">
          <w:rPr>
            <w:rStyle w:val="Hyperlink"/>
            <w:rFonts w:ascii="Verdana" w:hAnsi="Verdana"/>
            <w:sz w:val="24"/>
            <w:szCs w:val="24"/>
            <w:lang w:val="en-GB"/>
          </w:rPr>
          <w:t>http://ec.europa.eu/eurostat/data/database</w:t>
        </w:r>
      </w:hyperlink>
      <w:r w:rsidR="007E3DBC" w:rsidRPr="002353FE">
        <w:rPr>
          <w:rFonts w:ascii="Verdana" w:hAnsi="Verdana"/>
          <w:sz w:val="24"/>
          <w:szCs w:val="24"/>
          <w:lang w:val="en-GB"/>
        </w:rPr>
        <w:t xml:space="preserve">. </w:t>
      </w:r>
    </w:p>
    <w:p w14:paraId="154E6CA1" w14:textId="4F5F1BB8" w:rsidR="007E3DBC" w:rsidRPr="002353FE" w:rsidRDefault="007E3DBC"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 xml:space="preserve">EUROSTAT </w:t>
      </w:r>
      <w:r w:rsidR="008D4CA3" w:rsidRPr="002353FE">
        <w:rPr>
          <w:rFonts w:ascii="Verdana" w:hAnsi="Verdana"/>
          <w:sz w:val="24"/>
          <w:szCs w:val="24"/>
          <w:lang w:val="en-GB"/>
        </w:rPr>
        <w:t>(</w:t>
      </w:r>
      <w:r w:rsidRPr="002353FE">
        <w:rPr>
          <w:rFonts w:ascii="Verdana" w:hAnsi="Verdana"/>
          <w:sz w:val="24"/>
          <w:szCs w:val="24"/>
          <w:lang w:val="en-GB"/>
        </w:rPr>
        <w:t>2017</w:t>
      </w:r>
      <w:r w:rsidR="00137647" w:rsidRPr="002353FE">
        <w:rPr>
          <w:rFonts w:ascii="Verdana" w:hAnsi="Verdana"/>
          <w:sz w:val="24"/>
          <w:szCs w:val="24"/>
          <w:lang w:val="en-GB"/>
        </w:rPr>
        <w:t>c</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Prices</w:t>
      </w:r>
      <w:r w:rsidRPr="002353FE">
        <w:rPr>
          <w:rFonts w:ascii="Verdana" w:hAnsi="Verdana"/>
          <w:sz w:val="24"/>
          <w:szCs w:val="24"/>
          <w:lang w:val="en-GB"/>
        </w:rPr>
        <w:t xml:space="preserve">. </w:t>
      </w:r>
      <w:hyperlink r:id="rId17" w:history="1">
        <w:r w:rsidRPr="002353FE">
          <w:rPr>
            <w:rStyle w:val="Hyperlink"/>
            <w:rFonts w:ascii="Verdana" w:hAnsi="Verdana"/>
            <w:sz w:val="24"/>
            <w:szCs w:val="24"/>
            <w:lang w:val="en-GB"/>
          </w:rPr>
          <w:t>http://ec.europa.eu/eurostat/data/database</w:t>
        </w:r>
      </w:hyperlink>
      <w:r w:rsidRPr="002353FE">
        <w:rPr>
          <w:rFonts w:ascii="Verdana" w:hAnsi="Verdana"/>
          <w:sz w:val="24"/>
          <w:szCs w:val="24"/>
          <w:lang w:val="en-GB"/>
        </w:rPr>
        <w:t xml:space="preserve">. </w:t>
      </w:r>
    </w:p>
    <w:p w14:paraId="7CAA2BAF" w14:textId="29B834DF" w:rsidR="007E3DBC" w:rsidRPr="002353FE" w:rsidRDefault="007E3DBC"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EUROSTAT</w:t>
      </w:r>
      <w:r w:rsidR="008D4CA3" w:rsidRPr="002353FE">
        <w:rPr>
          <w:rFonts w:ascii="Verdana" w:hAnsi="Verdana"/>
          <w:sz w:val="24"/>
          <w:szCs w:val="24"/>
          <w:lang w:val="en-GB"/>
        </w:rPr>
        <w:t xml:space="preserve"> (</w:t>
      </w:r>
      <w:r w:rsidRPr="002353FE">
        <w:rPr>
          <w:rFonts w:ascii="Verdana" w:hAnsi="Verdana"/>
          <w:sz w:val="24"/>
          <w:szCs w:val="24"/>
          <w:lang w:val="en-GB"/>
        </w:rPr>
        <w:t>2017</w:t>
      </w:r>
      <w:r w:rsidR="00137647" w:rsidRPr="002353FE">
        <w:rPr>
          <w:rFonts w:ascii="Verdana" w:hAnsi="Verdana"/>
          <w:sz w:val="24"/>
          <w:szCs w:val="24"/>
          <w:lang w:val="en-GB"/>
        </w:rPr>
        <w:t>d</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Interest rates</w:t>
      </w:r>
      <w:r w:rsidRPr="002353FE">
        <w:rPr>
          <w:rFonts w:ascii="Verdana" w:hAnsi="Verdana"/>
          <w:sz w:val="24"/>
          <w:szCs w:val="24"/>
          <w:lang w:val="en-GB"/>
        </w:rPr>
        <w:t>.</w:t>
      </w:r>
      <w:r w:rsidR="00F33417" w:rsidRPr="002353FE">
        <w:rPr>
          <w:rFonts w:ascii="Verdana" w:hAnsi="Verdana"/>
          <w:sz w:val="24"/>
          <w:szCs w:val="24"/>
          <w:lang w:val="en-GB"/>
        </w:rPr>
        <w:t xml:space="preserve"> </w:t>
      </w:r>
      <w:hyperlink r:id="rId18" w:history="1">
        <w:r w:rsidRPr="002353FE">
          <w:rPr>
            <w:rStyle w:val="Hyperlink"/>
            <w:rFonts w:ascii="Verdana" w:hAnsi="Verdana"/>
            <w:sz w:val="24"/>
            <w:szCs w:val="24"/>
            <w:lang w:val="en-GB"/>
          </w:rPr>
          <w:t>http://ec.europa.eu/eurostat/data/database</w:t>
        </w:r>
      </w:hyperlink>
      <w:r w:rsidRPr="002353FE">
        <w:rPr>
          <w:rFonts w:ascii="Verdana" w:hAnsi="Verdana"/>
          <w:sz w:val="24"/>
          <w:szCs w:val="24"/>
          <w:lang w:val="en-GB"/>
        </w:rPr>
        <w:t xml:space="preserve">. </w:t>
      </w:r>
    </w:p>
    <w:p w14:paraId="275AD88E" w14:textId="64C5A89E" w:rsidR="007E3DBC" w:rsidRPr="002353FE" w:rsidRDefault="007E3DBC"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EUROSTAT</w:t>
      </w:r>
      <w:r w:rsidR="008D4CA3" w:rsidRPr="002353FE">
        <w:rPr>
          <w:rFonts w:ascii="Verdana" w:hAnsi="Verdana"/>
          <w:sz w:val="24"/>
          <w:szCs w:val="24"/>
          <w:lang w:val="en-GB"/>
        </w:rPr>
        <w:t xml:space="preserve"> (</w:t>
      </w:r>
      <w:r w:rsidRPr="002353FE">
        <w:rPr>
          <w:rFonts w:ascii="Verdana" w:hAnsi="Verdana"/>
          <w:sz w:val="24"/>
          <w:szCs w:val="24"/>
          <w:lang w:val="en-GB"/>
        </w:rPr>
        <w:t>2017</w:t>
      </w:r>
      <w:r w:rsidR="00137647" w:rsidRPr="002353FE">
        <w:rPr>
          <w:rFonts w:ascii="Verdana" w:hAnsi="Verdana"/>
          <w:sz w:val="24"/>
          <w:szCs w:val="24"/>
          <w:lang w:val="en-GB"/>
        </w:rPr>
        <w:t>e</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Population and housing census</w:t>
      </w:r>
      <w:r w:rsidRPr="002353FE">
        <w:rPr>
          <w:rFonts w:ascii="Verdana" w:hAnsi="Verdana"/>
          <w:sz w:val="24"/>
          <w:szCs w:val="24"/>
          <w:lang w:val="en-GB"/>
        </w:rPr>
        <w:t>.</w:t>
      </w:r>
      <w:r w:rsidR="00F33417" w:rsidRPr="002353FE">
        <w:rPr>
          <w:rFonts w:ascii="Verdana" w:hAnsi="Verdana"/>
          <w:sz w:val="24"/>
          <w:szCs w:val="24"/>
          <w:lang w:val="en-GB"/>
        </w:rPr>
        <w:t xml:space="preserve"> </w:t>
      </w:r>
      <w:hyperlink r:id="rId19" w:history="1">
        <w:r w:rsidRPr="002353FE">
          <w:rPr>
            <w:rStyle w:val="Hyperlink"/>
            <w:rFonts w:ascii="Verdana" w:hAnsi="Verdana"/>
            <w:sz w:val="24"/>
            <w:szCs w:val="24"/>
            <w:lang w:val="en-GB"/>
          </w:rPr>
          <w:t>http://ec.europa.eu/eurostat/data/database</w:t>
        </w:r>
      </w:hyperlink>
      <w:r w:rsidRPr="002353FE">
        <w:rPr>
          <w:rFonts w:ascii="Verdana" w:hAnsi="Verdana"/>
          <w:sz w:val="24"/>
          <w:szCs w:val="24"/>
          <w:lang w:val="en-GB"/>
        </w:rPr>
        <w:t xml:space="preserve">. </w:t>
      </w:r>
    </w:p>
    <w:p w14:paraId="63327C5A" w14:textId="483641FA" w:rsidR="00D33374" w:rsidRPr="002353FE" w:rsidRDefault="00D33374"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Fernández-Gutiérrez, M.</w:t>
      </w:r>
      <w:r w:rsidR="00985A02" w:rsidRPr="002353FE">
        <w:rPr>
          <w:rFonts w:ascii="Verdana" w:hAnsi="Verdana"/>
          <w:sz w:val="24"/>
          <w:szCs w:val="24"/>
          <w:lang w:val="en-GB"/>
        </w:rPr>
        <w:t>,</w:t>
      </w:r>
      <w:r w:rsidRPr="002353FE">
        <w:rPr>
          <w:rFonts w:ascii="Verdana" w:hAnsi="Verdana"/>
          <w:sz w:val="24"/>
          <w:szCs w:val="24"/>
          <w:lang w:val="en-GB"/>
        </w:rPr>
        <w:t xml:space="preserve"> James,</w:t>
      </w:r>
      <w:r w:rsidR="008D4CA3" w:rsidRPr="002353FE">
        <w:rPr>
          <w:rFonts w:ascii="Verdana" w:hAnsi="Verdana"/>
          <w:sz w:val="24"/>
          <w:szCs w:val="24"/>
          <w:lang w:val="en-GB"/>
        </w:rPr>
        <w:t xml:space="preserve"> O.</w:t>
      </w:r>
      <w:r w:rsidRPr="002353FE">
        <w:rPr>
          <w:rFonts w:ascii="Verdana" w:hAnsi="Verdana"/>
          <w:sz w:val="24"/>
          <w:szCs w:val="24"/>
          <w:lang w:val="en-GB"/>
        </w:rPr>
        <w:t xml:space="preserve"> and Jilke</w:t>
      </w:r>
      <w:r w:rsidR="008D4CA3" w:rsidRPr="002353FE">
        <w:rPr>
          <w:rFonts w:ascii="Verdana" w:hAnsi="Verdana"/>
          <w:sz w:val="24"/>
          <w:szCs w:val="24"/>
          <w:lang w:val="en-GB"/>
        </w:rPr>
        <w:t>, S</w:t>
      </w:r>
      <w:r w:rsidRPr="002353FE">
        <w:rPr>
          <w:rFonts w:ascii="Verdana" w:hAnsi="Verdana"/>
          <w:sz w:val="24"/>
          <w:szCs w:val="24"/>
          <w:lang w:val="en-GB"/>
        </w:rPr>
        <w:t xml:space="preserve">. </w:t>
      </w:r>
      <w:r w:rsidR="008D4CA3" w:rsidRPr="002353FE">
        <w:rPr>
          <w:rFonts w:ascii="Verdana" w:hAnsi="Verdana"/>
          <w:sz w:val="24"/>
          <w:szCs w:val="24"/>
          <w:lang w:val="en-GB"/>
        </w:rPr>
        <w:t>(</w:t>
      </w:r>
      <w:r w:rsidRPr="002353FE">
        <w:rPr>
          <w:rFonts w:ascii="Verdana" w:hAnsi="Verdana"/>
          <w:sz w:val="24"/>
          <w:szCs w:val="24"/>
          <w:lang w:val="en-GB"/>
        </w:rPr>
        <w:t>2017</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“Competition and switching in public service markets:</w:t>
      </w:r>
      <w:r w:rsidR="00625CBB" w:rsidRPr="002353FE">
        <w:rPr>
          <w:rFonts w:ascii="Verdana" w:hAnsi="Verdana"/>
          <w:sz w:val="24"/>
          <w:szCs w:val="24"/>
          <w:lang w:val="en-GB"/>
        </w:rPr>
        <w:t xml:space="preserve"> Can they reduce inequalities?”</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Regulation &amp; Governance</w:t>
      </w:r>
      <w:r w:rsidR="008D4CA3" w:rsidRPr="002353FE">
        <w:rPr>
          <w:rFonts w:ascii="Verdana" w:hAnsi="Verdana"/>
          <w:sz w:val="24"/>
          <w:szCs w:val="24"/>
          <w:lang w:val="en-GB"/>
        </w:rPr>
        <w:t xml:space="preserve">, vol. </w:t>
      </w:r>
      <w:r w:rsidR="00625CBB" w:rsidRPr="002353FE">
        <w:rPr>
          <w:rFonts w:ascii="Verdana" w:hAnsi="Verdana"/>
          <w:sz w:val="24"/>
          <w:szCs w:val="24"/>
          <w:lang w:val="en-GB"/>
        </w:rPr>
        <w:t>11</w:t>
      </w:r>
      <w:r w:rsidR="008D4CA3" w:rsidRPr="002353FE">
        <w:rPr>
          <w:rFonts w:ascii="Verdana" w:hAnsi="Verdana"/>
          <w:sz w:val="24"/>
          <w:szCs w:val="24"/>
          <w:lang w:val="en-GB"/>
        </w:rPr>
        <w:t xml:space="preserve"> No </w:t>
      </w:r>
      <w:r w:rsidR="00625CBB" w:rsidRPr="002353FE">
        <w:rPr>
          <w:rFonts w:ascii="Verdana" w:hAnsi="Verdana"/>
          <w:sz w:val="24"/>
          <w:szCs w:val="24"/>
          <w:lang w:val="en-GB"/>
        </w:rPr>
        <w:t>1</w:t>
      </w:r>
      <w:r w:rsidR="008D4CA3" w:rsidRPr="002353FE">
        <w:rPr>
          <w:rFonts w:ascii="Verdana" w:hAnsi="Verdana"/>
          <w:sz w:val="24"/>
          <w:szCs w:val="24"/>
          <w:lang w:val="en-GB"/>
        </w:rPr>
        <w:t>, pp.</w:t>
      </w:r>
      <w:r w:rsidRPr="002353FE">
        <w:rPr>
          <w:rFonts w:ascii="Verdana" w:hAnsi="Verdana"/>
          <w:sz w:val="24"/>
          <w:szCs w:val="24"/>
          <w:lang w:val="en-GB"/>
        </w:rPr>
        <w:t xml:space="preserve"> 41-63.</w:t>
      </w:r>
    </w:p>
    <w:p w14:paraId="2AA8D8A4" w14:textId="77777777" w:rsidR="00D478AC" w:rsidRPr="001E7395" w:rsidRDefault="00D478AC" w:rsidP="001E7395">
      <w:pPr>
        <w:spacing w:after="160" w:line="360" w:lineRule="auto"/>
        <w:ind w:left="142"/>
        <w:rPr>
          <w:rFonts w:ascii="Verdana" w:hAnsi="Verdana"/>
          <w:color w:val="000000" w:themeColor="text1"/>
          <w:sz w:val="24"/>
          <w:szCs w:val="24"/>
          <w:lang w:val="en-GB"/>
        </w:rPr>
      </w:pPr>
      <w:r w:rsidRPr="001E7395">
        <w:rPr>
          <w:rStyle w:val="nlmstring-name"/>
          <w:rFonts w:ascii="Verdana" w:hAnsi="Verdana"/>
          <w:sz w:val="24"/>
          <w:szCs w:val="24"/>
          <w:lang w:val="en-GB"/>
        </w:rPr>
        <w:t>Ganesh</w:t>
      </w:r>
      <w:r w:rsidRPr="001E7395">
        <w:rPr>
          <w:rFonts w:ascii="Verdana" w:hAnsi="Verdana"/>
          <w:sz w:val="24"/>
          <w:szCs w:val="24"/>
          <w:lang w:val="en-GB"/>
        </w:rPr>
        <w:t xml:space="preserve">, J., </w:t>
      </w:r>
      <w:r w:rsidRPr="001E7395">
        <w:rPr>
          <w:rStyle w:val="nlmstring-name"/>
          <w:rFonts w:ascii="Verdana" w:hAnsi="Verdana"/>
          <w:sz w:val="24"/>
          <w:szCs w:val="24"/>
          <w:lang w:val="en-GB"/>
        </w:rPr>
        <w:t>Arnold</w:t>
      </w:r>
      <w:r w:rsidRPr="001E7395">
        <w:rPr>
          <w:rFonts w:ascii="Verdana" w:hAnsi="Verdana"/>
          <w:sz w:val="24"/>
          <w:szCs w:val="24"/>
          <w:lang w:val="en-GB"/>
        </w:rPr>
        <w:t xml:space="preserve">, M. J. and </w:t>
      </w:r>
      <w:r w:rsidRPr="001E7395">
        <w:rPr>
          <w:rStyle w:val="nlmstring-name"/>
          <w:rFonts w:ascii="Verdana" w:hAnsi="Verdana"/>
          <w:sz w:val="24"/>
          <w:szCs w:val="24"/>
          <w:lang w:val="en-GB"/>
        </w:rPr>
        <w:t xml:space="preserve">Reynolds K. E. (2000), </w:t>
      </w:r>
      <w:r w:rsidRPr="001E7395">
        <w:rPr>
          <w:rFonts w:ascii="Verdana" w:hAnsi="Verdana"/>
          <w:sz w:val="24"/>
          <w:szCs w:val="24"/>
          <w:lang w:val="en-GB"/>
        </w:rPr>
        <w:t xml:space="preserve">Understanding the Customer Base of Service Providers: An Examination of the Differences between Switchers and Stayers, </w:t>
      </w:r>
      <w:r w:rsidRPr="001E7395">
        <w:rPr>
          <w:rStyle w:val="journalname"/>
          <w:rFonts w:ascii="Verdana" w:hAnsi="Verdana"/>
          <w:i/>
          <w:iCs/>
          <w:sz w:val="24"/>
          <w:szCs w:val="24"/>
          <w:lang w:val="en-GB"/>
        </w:rPr>
        <w:t>Journal of Marketing</w:t>
      </w:r>
      <w:r w:rsidRPr="001E7395">
        <w:rPr>
          <w:rStyle w:val="journalname"/>
          <w:rFonts w:ascii="Verdana" w:hAnsi="Verdana"/>
          <w:sz w:val="24"/>
          <w:szCs w:val="24"/>
          <w:lang w:val="en-GB"/>
        </w:rPr>
        <w:t xml:space="preserve">, vol. </w:t>
      </w:r>
      <w:r w:rsidRPr="001E7395">
        <w:rPr>
          <w:rStyle w:val="volume"/>
          <w:rFonts w:ascii="Verdana" w:hAnsi="Verdana"/>
          <w:sz w:val="24"/>
          <w:szCs w:val="24"/>
          <w:lang w:val="en-GB"/>
        </w:rPr>
        <w:t xml:space="preserve">64, No. </w:t>
      </w:r>
      <w:r w:rsidRPr="001E7395">
        <w:rPr>
          <w:rStyle w:val="issue"/>
          <w:rFonts w:ascii="Verdana" w:hAnsi="Verdana"/>
          <w:sz w:val="24"/>
          <w:szCs w:val="24"/>
          <w:lang w:val="en-GB"/>
        </w:rPr>
        <w:t>3</w:t>
      </w:r>
      <w:r w:rsidRPr="001E7395">
        <w:rPr>
          <w:rFonts w:ascii="Verdana" w:hAnsi="Verdana"/>
          <w:sz w:val="24"/>
          <w:szCs w:val="24"/>
          <w:lang w:val="en-GB"/>
        </w:rPr>
        <w:t xml:space="preserve">, pp </w:t>
      </w:r>
      <w:r w:rsidRPr="001E7395">
        <w:rPr>
          <w:rStyle w:val="page"/>
          <w:rFonts w:ascii="Verdana" w:hAnsi="Verdana"/>
          <w:sz w:val="24"/>
          <w:szCs w:val="24"/>
          <w:lang w:val="en-GB"/>
        </w:rPr>
        <w:t>65-87.</w:t>
      </w:r>
    </w:p>
    <w:p w14:paraId="0A6EFEE2" w14:textId="35954A8A" w:rsidR="00D06D99" w:rsidRPr="002353FE" w:rsidRDefault="00D06D99" w:rsidP="001E7395">
      <w:pPr>
        <w:spacing w:after="120" w:line="360" w:lineRule="auto"/>
        <w:ind w:left="142"/>
        <w:jc w:val="both"/>
        <w:rPr>
          <w:rFonts w:ascii="Verdana" w:hAnsi="Verdana"/>
          <w:sz w:val="24"/>
          <w:szCs w:val="24"/>
          <w:lang w:val="en-GB" w:eastAsia="en-GB"/>
        </w:rPr>
      </w:pPr>
      <w:r w:rsidRPr="002353FE">
        <w:rPr>
          <w:rFonts w:ascii="Verdana" w:hAnsi="Verdana"/>
          <w:sz w:val="24"/>
          <w:szCs w:val="24"/>
          <w:lang w:val="en-GB"/>
        </w:rPr>
        <w:t>Gondat-Larralde, C. and Nier</w:t>
      </w:r>
      <w:r w:rsidR="008D4CA3" w:rsidRPr="002353FE">
        <w:rPr>
          <w:rFonts w:ascii="Verdana" w:hAnsi="Verdana"/>
          <w:sz w:val="24"/>
          <w:szCs w:val="24"/>
          <w:lang w:val="en-GB"/>
        </w:rPr>
        <w:t>, E</w:t>
      </w:r>
      <w:r w:rsidRPr="002353FE">
        <w:rPr>
          <w:rFonts w:ascii="Verdana" w:hAnsi="Verdana"/>
          <w:sz w:val="24"/>
          <w:szCs w:val="24"/>
          <w:lang w:val="en-GB"/>
        </w:rPr>
        <w:t xml:space="preserve">. </w:t>
      </w:r>
      <w:r w:rsidR="008D4CA3" w:rsidRPr="002353FE">
        <w:rPr>
          <w:rFonts w:ascii="Verdana" w:hAnsi="Verdana"/>
          <w:sz w:val="24"/>
          <w:szCs w:val="24"/>
          <w:lang w:val="en-GB"/>
        </w:rPr>
        <w:t>(</w:t>
      </w:r>
      <w:r w:rsidRPr="002353FE">
        <w:rPr>
          <w:rFonts w:ascii="Verdana" w:hAnsi="Verdana"/>
          <w:sz w:val="24"/>
          <w:szCs w:val="24"/>
          <w:lang w:val="en-GB"/>
        </w:rPr>
        <w:t>2006</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“Switching costs in the market for personal current accounts: some evidence for the United Kingdom”</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Bank of England Working Paper</w:t>
      </w:r>
      <w:r w:rsidRPr="002353FE">
        <w:rPr>
          <w:rFonts w:ascii="Verdana" w:hAnsi="Verdana"/>
          <w:sz w:val="24"/>
          <w:szCs w:val="24"/>
          <w:lang w:val="en-GB"/>
        </w:rPr>
        <w:t xml:space="preserve"> (292) Bank of England.  </w:t>
      </w:r>
    </w:p>
    <w:p w14:paraId="13EEE07F" w14:textId="024114DD" w:rsidR="00794986" w:rsidRPr="002353FE" w:rsidRDefault="00794986" w:rsidP="001E7395">
      <w:pPr>
        <w:widowControl w:val="0"/>
        <w:autoSpaceDE w:val="0"/>
        <w:autoSpaceDN w:val="0"/>
        <w:adjustRightInd w:val="0"/>
        <w:spacing w:after="120" w:line="360" w:lineRule="auto"/>
        <w:ind w:left="142"/>
        <w:jc w:val="both"/>
        <w:rPr>
          <w:rFonts w:ascii="Verdana" w:hAnsi="Verdana"/>
          <w:sz w:val="24"/>
          <w:szCs w:val="24"/>
          <w:lang w:val="en-GB"/>
        </w:rPr>
      </w:pPr>
      <w:r w:rsidRPr="001E7395">
        <w:rPr>
          <w:rFonts w:ascii="Verdana" w:hAnsi="Verdana"/>
          <w:sz w:val="24"/>
          <w:szCs w:val="24"/>
          <w:lang w:val="en-GB"/>
        </w:rPr>
        <w:t xml:space="preserve">Grafe, F.J. </w:t>
      </w:r>
      <w:r w:rsidR="00CA605E" w:rsidRPr="001E7395">
        <w:rPr>
          <w:rFonts w:ascii="Verdana" w:hAnsi="Verdana"/>
          <w:sz w:val="24"/>
          <w:szCs w:val="24"/>
          <w:lang w:val="en-GB"/>
        </w:rPr>
        <w:t xml:space="preserve">and </w:t>
      </w:r>
      <w:r w:rsidRPr="001E7395">
        <w:rPr>
          <w:rFonts w:ascii="Verdana" w:hAnsi="Verdana"/>
          <w:sz w:val="24"/>
          <w:szCs w:val="24"/>
          <w:lang w:val="en-GB"/>
        </w:rPr>
        <w:t>Mieg, H.A. (2019)</w:t>
      </w:r>
      <w:r w:rsidR="00CA605E" w:rsidRPr="001E7395">
        <w:rPr>
          <w:rFonts w:ascii="Verdana" w:hAnsi="Verdana"/>
          <w:sz w:val="24"/>
          <w:szCs w:val="24"/>
          <w:lang w:val="en-GB"/>
        </w:rPr>
        <w:t>,</w:t>
      </w:r>
      <w:r w:rsidRPr="001E7395">
        <w:rPr>
          <w:rFonts w:ascii="Verdana" w:hAnsi="Verdana"/>
          <w:sz w:val="24"/>
          <w:szCs w:val="24"/>
          <w:lang w:val="en-GB"/>
        </w:rPr>
        <w:t xml:space="preserve"> </w:t>
      </w:r>
      <w:r w:rsidR="00CA605E" w:rsidRPr="001E7395">
        <w:rPr>
          <w:rFonts w:ascii="Verdana" w:hAnsi="Verdana"/>
          <w:sz w:val="24"/>
          <w:szCs w:val="24"/>
          <w:lang w:val="en-GB"/>
        </w:rPr>
        <w:t>“</w:t>
      </w:r>
      <w:r w:rsidRPr="001E7395">
        <w:rPr>
          <w:rFonts w:ascii="Verdana" w:hAnsi="Verdana"/>
          <w:sz w:val="24"/>
          <w:szCs w:val="24"/>
          <w:lang w:val="en-GB"/>
        </w:rPr>
        <w:t>Connecting financialization and urbanization: the changing financial ecology of urban infrastructure in the UK</w:t>
      </w:r>
      <w:r w:rsidR="00CA605E" w:rsidRPr="001E7395">
        <w:rPr>
          <w:rFonts w:ascii="Verdana" w:hAnsi="Verdana"/>
          <w:sz w:val="24"/>
          <w:szCs w:val="24"/>
          <w:lang w:val="en-GB"/>
        </w:rPr>
        <w:t xml:space="preserve">”, </w:t>
      </w:r>
      <w:r w:rsidRPr="001E7395">
        <w:rPr>
          <w:rFonts w:ascii="Verdana" w:hAnsi="Verdana"/>
          <w:i/>
          <w:iCs/>
          <w:sz w:val="24"/>
          <w:szCs w:val="24"/>
          <w:lang w:val="en-GB"/>
        </w:rPr>
        <w:t>Regional Studies, Regional Science</w:t>
      </w:r>
      <w:r w:rsidRPr="001E7395">
        <w:rPr>
          <w:rFonts w:ascii="Verdana" w:hAnsi="Verdana"/>
          <w:sz w:val="24"/>
          <w:szCs w:val="24"/>
          <w:lang w:val="en-GB"/>
        </w:rPr>
        <w:t xml:space="preserve">, </w:t>
      </w:r>
      <w:r w:rsidR="00CA605E" w:rsidRPr="001E7395">
        <w:rPr>
          <w:rFonts w:ascii="Verdana" w:hAnsi="Verdana"/>
          <w:sz w:val="24"/>
          <w:szCs w:val="24"/>
          <w:lang w:val="en-GB"/>
        </w:rPr>
        <w:t xml:space="preserve">vol. </w:t>
      </w:r>
      <w:r w:rsidRPr="001E7395">
        <w:rPr>
          <w:rFonts w:ascii="Verdana" w:hAnsi="Verdana"/>
          <w:sz w:val="24"/>
          <w:szCs w:val="24"/>
          <w:lang w:val="en-GB"/>
        </w:rPr>
        <w:t>6</w:t>
      </w:r>
      <w:r w:rsidR="00CA605E" w:rsidRPr="001E7395">
        <w:rPr>
          <w:rFonts w:ascii="Verdana" w:hAnsi="Verdana"/>
          <w:sz w:val="24"/>
          <w:szCs w:val="24"/>
          <w:lang w:val="en-GB"/>
        </w:rPr>
        <w:t xml:space="preserve"> No </w:t>
      </w:r>
      <w:r w:rsidRPr="001E7395">
        <w:rPr>
          <w:rFonts w:ascii="Verdana" w:hAnsi="Verdana"/>
          <w:sz w:val="24"/>
          <w:szCs w:val="24"/>
          <w:lang w:val="en-GB"/>
        </w:rPr>
        <w:t>1</w:t>
      </w:r>
      <w:r w:rsidR="00CA605E" w:rsidRPr="001E7395">
        <w:rPr>
          <w:rFonts w:ascii="Verdana" w:hAnsi="Verdana"/>
          <w:sz w:val="24"/>
          <w:szCs w:val="24"/>
          <w:lang w:val="en-GB"/>
        </w:rPr>
        <w:t>, pp.</w:t>
      </w:r>
      <w:r w:rsidRPr="001E7395">
        <w:rPr>
          <w:rFonts w:ascii="Verdana" w:hAnsi="Verdana"/>
          <w:sz w:val="24"/>
          <w:szCs w:val="24"/>
          <w:lang w:val="en-GB"/>
        </w:rPr>
        <w:t xml:space="preserve"> 496-511.</w:t>
      </w:r>
    </w:p>
    <w:p w14:paraId="5A358E28" w14:textId="6EED3684" w:rsidR="00430ED7" w:rsidRPr="002353FE" w:rsidRDefault="00430ED7"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Hannan, T.</w:t>
      </w:r>
      <w:r w:rsidR="00625CBB" w:rsidRPr="002353FE">
        <w:rPr>
          <w:rFonts w:ascii="Verdana" w:hAnsi="Verdana"/>
          <w:sz w:val="24"/>
          <w:szCs w:val="24"/>
          <w:lang w:val="en-GB"/>
        </w:rPr>
        <w:t xml:space="preserve"> and</w:t>
      </w:r>
      <w:r w:rsidRPr="002353FE">
        <w:rPr>
          <w:rFonts w:ascii="Verdana" w:hAnsi="Verdana"/>
          <w:sz w:val="24"/>
          <w:szCs w:val="24"/>
          <w:lang w:val="en-GB"/>
        </w:rPr>
        <w:t xml:space="preserve"> Adams</w:t>
      </w:r>
      <w:r w:rsidR="008D4CA3" w:rsidRPr="002353FE">
        <w:rPr>
          <w:rFonts w:ascii="Verdana" w:hAnsi="Verdana"/>
          <w:sz w:val="24"/>
          <w:szCs w:val="24"/>
          <w:lang w:val="en-GB"/>
        </w:rPr>
        <w:t>, R.M.</w:t>
      </w:r>
      <w:r w:rsidRPr="002353FE">
        <w:rPr>
          <w:rFonts w:ascii="Verdana" w:hAnsi="Verdana"/>
          <w:sz w:val="24"/>
          <w:szCs w:val="24"/>
          <w:lang w:val="en-GB"/>
        </w:rPr>
        <w:t xml:space="preserve"> </w:t>
      </w:r>
      <w:r w:rsidR="008D4CA3" w:rsidRPr="002353FE">
        <w:rPr>
          <w:rFonts w:ascii="Verdana" w:hAnsi="Verdana"/>
          <w:sz w:val="24"/>
          <w:szCs w:val="24"/>
          <w:lang w:val="en-GB"/>
        </w:rPr>
        <w:t>(</w:t>
      </w:r>
      <w:r w:rsidRPr="002353FE">
        <w:rPr>
          <w:rFonts w:ascii="Verdana" w:hAnsi="Verdana"/>
          <w:sz w:val="24"/>
          <w:szCs w:val="24"/>
          <w:lang w:val="en-GB"/>
        </w:rPr>
        <w:t>2011</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“Consumer Switching Costs and Firm Pricing: Evidence from Bank Pricing of Deposit Accounts”</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Journal of Industrial Economics</w:t>
      </w:r>
      <w:r w:rsidR="008D4CA3" w:rsidRPr="002353FE">
        <w:rPr>
          <w:rFonts w:ascii="Verdana" w:hAnsi="Verdana"/>
          <w:iCs/>
          <w:sz w:val="24"/>
          <w:szCs w:val="24"/>
          <w:lang w:val="en-GB"/>
        </w:rPr>
        <w:t>, vol.</w:t>
      </w:r>
      <w:r w:rsidR="00625CBB" w:rsidRPr="002353FE">
        <w:rPr>
          <w:rFonts w:ascii="Verdana" w:hAnsi="Verdana"/>
          <w:sz w:val="24"/>
          <w:szCs w:val="24"/>
          <w:lang w:val="en-GB"/>
        </w:rPr>
        <w:t xml:space="preserve"> 59</w:t>
      </w:r>
      <w:r w:rsidR="008D4CA3" w:rsidRPr="002353FE">
        <w:rPr>
          <w:rFonts w:ascii="Verdana" w:hAnsi="Verdana"/>
          <w:sz w:val="24"/>
          <w:szCs w:val="24"/>
          <w:lang w:val="en-GB"/>
        </w:rPr>
        <w:t>, pp.</w:t>
      </w:r>
      <w:r w:rsidRPr="002353FE">
        <w:rPr>
          <w:rFonts w:ascii="Verdana" w:hAnsi="Verdana"/>
          <w:sz w:val="24"/>
          <w:szCs w:val="24"/>
          <w:lang w:val="en-GB"/>
        </w:rPr>
        <w:t xml:space="preserve"> 296-320.</w:t>
      </w:r>
    </w:p>
    <w:p w14:paraId="08B80085" w14:textId="55788D7C" w:rsidR="00B44784" w:rsidRPr="002353FE" w:rsidRDefault="00B44784"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lastRenderedPageBreak/>
        <w:t xml:space="preserve">Ho, C. Y. </w:t>
      </w:r>
      <w:r w:rsidR="008D4CA3" w:rsidRPr="002353FE">
        <w:rPr>
          <w:rFonts w:ascii="Verdana" w:hAnsi="Verdana"/>
          <w:sz w:val="24"/>
          <w:szCs w:val="24"/>
          <w:lang w:val="en-GB"/>
        </w:rPr>
        <w:t>(</w:t>
      </w:r>
      <w:r w:rsidRPr="002353FE">
        <w:rPr>
          <w:rFonts w:ascii="Verdana" w:hAnsi="Verdana"/>
          <w:sz w:val="24"/>
          <w:szCs w:val="24"/>
          <w:lang w:val="en-GB"/>
        </w:rPr>
        <w:t>2015</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430ED7" w:rsidRPr="002353FE">
        <w:rPr>
          <w:rFonts w:ascii="Verdana" w:hAnsi="Verdana"/>
          <w:sz w:val="24"/>
          <w:szCs w:val="24"/>
          <w:lang w:val="en-GB"/>
        </w:rPr>
        <w:t>“</w:t>
      </w:r>
      <w:r w:rsidRPr="002353FE">
        <w:rPr>
          <w:rFonts w:ascii="Verdana" w:hAnsi="Verdana"/>
          <w:sz w:val="24"/>
          <w:szCs w:val="24"/>
          <w:lang w:val="en-GB"/>
        </w:rPr>
        <w:t>Switching cost and deposit demand in China</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International Economic Review</w:t>
      </w:r>
      <w:r w:rsidR="008D4CA3" w:rsidRPr="002353FE">
        <w:rPr>
          <w:rFonts w:ascii="Verdana" w:hAnsi="Verdana"/>
          <w:iCs/>
          <w:sz w:val="24"/>
          <w:szCs w:val="24"/>
          <w:lang w:val="en-GB"/>
        </w:rPr>
        <w:t>, vol.</w:t>
      </w:r>
      <w:r w:rsidRPr="002353FE">
        <w:rPr>
          <w:rFonts w:ascii="Verdana" w:hAnsi="Verdana"/>
          <w:sz w:val="24"/>
          <w:szCs w:val="24"/>
          <w:lang w:val="en-GB"/>
        </w:rPr>
        <w:t xml:space="preserve"> 56</w:t>
      </w:r>
      <w:r w:rsidR="008D4CA3" w:rsidRPr="002353FE">
        <w:rPr>
          <w:rFonts w:ascii="Verdana" w:hAnsi="Verdana"/>
          <w:sz w:val="24"/>
          <w:szCs w:val="24"/>
          <w:lang w:val="en-GB"/>
        </w:rPr>
        <w:t xml:space="preserve">, No </w:t>
      </w:r>
      <w:r w:rsidRPr="002353FE">
        <w:rPr>
          <w:rFonts w:ascii="Verdana" w:hAnsi="Verdana"/>
          <w:sz w:val="24"/>
          <w:szCs w:val="24"/>
          <w:lang w:val="en-GB"/>
        </w:rPr>
        <w:t>3</w:t>
      </w:r>
      <w:r w:rsidR="008D4CA3" w:rsidRPr="002353FE">
        <w:rPr>
          <w:rFonts w:ascii="Verdana" w:hAnsi="Verdana"/>
          <w:sz w:val="24"/>
          <w:szCs w:val="24"/>
          <w:lang w:val="en-GB"/>
        </w:rPr>
        <w:t>, pp.</w:t>
      </w:r>
      <w:r w:rsidRPr="002353FE">
        <w:rPr>
          <w:rFonts w:ascii="Verdana" w:hAnsi="Verdana"/>
          <w:sz w:val="24"/>
          <w:szCs w:val="24"/>
          <w:lang w:val="en-GB"/>
        </w:rPr>
        <w:t xml:space="preserve"> 723- 749. </w:t>
      </w:r>
    </w:p>
    <w:p w14:paraId="2DED6A4F" w14:textId="6E37A670" w:rsidR="00E3168D" w:rsidRPr="002353FE" w:rsidRDefault="00E3168D"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Hoffmann, A. and Otteby</w:t>
      </w:r>
      <w:r w:rsidR="008D4CA3" w:rsidRPr="002353FE">
        <w:rPr>
          <w:rFonts w:ascii="Verdana" w:hAnsi="Verdana"/>
          <w:sz w:val="24"/>
          <w:szCs w:val="24"/>
          <w:lang w:val="en-GB"/>
        </w:rPr>
        <w:t>, K</w:t>
      </w:r>
      <w:r w:rsidR="000B7037" w:rsidRPr="002353FE">
        <w:rPr>
          <w:rFonts w:ascii="Verdana" w:hAnsi="Verdana"/>
          <w:sz w:val="24"/>
          <w:szCs w:val="24"/>
          <w:lang w:val="en-GB"/>
        </w:rPr>
        <w:t>.</w:t>
      </w:r>
      <w:r w:rsidRPr="002353FE">
        <w:rPr>
          <w:rFonts w:ascii="Verdana" w:hAnsi="Verdana"/>
          <w:sz w:val="24"/>
          <w:szCs w:val="24"/>
          <w:lang w:val="en-GB"/>
        </w:rPr>
        <w:t xml:space="preserve"> </w:t>
      </w:r>
      <w:r w:rsidR="008D4CA3" w:rsidRPr="002353FE">
        <w:rPr>
          <w:rFonts w:ascii="Verdana" w:hAnsi="Verdana"/>
          <w:sz w:val="24"/>
          <w:szCs w:val="24"/>
          <w:lang w:val="en-GB"/>
        </w:rPr>
        <w:t>(</w:t>
      </w:r>
      <w:r w:rsidRPr="002353FE">
        <w:rPr>
          <w:rFonts w:ascii="Verdana" w:hAnsi="Verdana"/>
          <w:sz w:val="24"/>
          <w:szCs w:val="24"/>
          <w:lang w:val="en-GB"/>
        </w:rPr>
        <w:t>2018</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“Personal finance blogs: Helpful tool for consumers with low financial literacy or preaching to the choir?”</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International Journal of Consumer Studies</w:t>
      </w:r>
      <w:r w:rsidR="008D4CA3" w:rsidRPr="002353FE">
        <w:rPr>
          <w:rFonts w:ascii="Verdana" w:hAnsi="Verdana"/>
          <w:sz w:val="24"/>
          <w:szCs w:val="24"/>
          <w:lang w:val="en-GB"/>
        </w:rPr>
        <w:t xml:space="preserve">, vol. </w:t>
      </w:r>
      <w:r w:rsidRPr="002353FE">
        <w:rPr>
          <w:rFonts w:ascii="Verdana" w:hAnsi="Verdana"/>
          <w:sz w:val="24"/>
          <w:szCs w:val="24"/>
          <w:lang w:val="en-GB"/>
        </w:rPr>
        <w:t>42</w:t>
      </w:r>
      <w:r w:rsidR="008D4CA3" w:rsidRPr="002353FE">
        <w:rPr>
          <w:rFonts w:ascii="Verdana" w:hAnsi="Verdana"/>
          <w:sz w:val="24"/>
          <w:szCs w:val="24"/>
          <w:lang w:val="en-GB"/>
        </w:rPr>
        <w:t xml:space="preserve"> No </w:t>
      </w:r>
      <w:r w:rsidRPr="002353FE">
        <w:rPr>
          <w:rFonts w:ascii="Verdana" w:hAnsi="Verdana"/>
          <w:sz w:val="24"/>
          <w:szCs w:val="24"/>
          <w:lang w:val="en-GB"/>
        </w:rPr>
        <w:t>2</w:t>
      </w:r>
      <w:r w:rsidR="008D4CA3" w:rsidRPr="002353FE">
        <w:rPr>
          <w:rFonts w:ascii="Verdana" w:hAnsi="Verdana"/>
          <w:sz w:val="24"/>
          <w:szCs w:val="24"/>
          <w:lang w:val="en-GB"/>
        </w:rPr>
        <w:t>, pp.</w:t>
      </w:r>
      <w:r w:rsidRPr="002353FE">
        <w:rPr>
          <w:rFonts w:ascii="Verdana" w:hAnsi="Verdana"/>
          <w:sz w:val="24"/>
          <w:szCs w:val="24"/>
          <w:lang w:val="en-GB"/>
        </w:rPr>
        <w:t xml:space="preserve"> 241-254.</w:t>
      </w:r>
    </w:p>
    <w:p w14:paraId="664704C6" w14:textId="567202B8" w:rsidR="006B300B" w:rsidRPr="002353FE" w:rsidRDefault="006B300B" w:rsidP="001E7395">
      <w:pPr>
        <w:spacing w:after="120" w:line="360" w:lineRule="auto"/>
        <w:ind w:left="142"/>
        <w:jc w:val="both"/>
        <w:rPr>
          <w:rFonts w:ascii="Verdana" w:hAnsi="Verdana"/>
          <w:sz w:val="24"/>
          <w:szCs w:val="24"/>
          <w:lang w:val="en-US"/>
        </w:rPr>
      </w:pPr>
      <w:r w:rsidRPr="002353FE">
        <w:rPr>
          <w:rFonts w:ascii="Verdana" w:hAnsi="Verdana"/>
          <w:sz w:val="24"/>
          <w:szCs w:val="24"/>
          <w:lang w:val="en-US"/>
        </w:rPr>
        <w:t xml:space="preserve">Huberman, G. and </w:t>
      </w:r>
      <w:r w:rsidR="008D4CA3" w:rsidRPr="002353FE">
        <w:rPr>
          <w:rFonts w:ascii="Verdana" w:hAnsi="Verdana"/>
          <w:sz w:val="24"/>
          <w:szCs w:val="24"/>
          <w:lang w:val="en-US"/>
        </w:rPr>
        <w:t>J</w:t>
      </w:r>
      <w:r w:rsidRPr="002353FE">
        <w:rPr>
          <w:rFonts w:ascii="Verdana" w:hAnsi="Verdana"/>
          <w:sz w:val="24"/>
          <w:szCs w:val="24"/>
          <w:lang w:val="en-US"/>
        </w:rPr>
        <w:t>iang</w:t>
      </w:r>
      <w:r w:rsidR="008D4CA3" w:rsidRPr="002353FE">
        <w:rPr>
          <w:rFonts w:ascii="Verdana" w:hAnsi="Verdana"/>
          <w:sz w:val="24"/>
          <w:szCs w:val="24"/>
          <w:lang w:val="en-US"/>
        </w:rPr>
        <w:t>, W</w:t>
      </w:r>
      <w:r w:rsidR="00985A02" w:rsidRPr="002353FE">
        <w:rPr>
          <w:rFonts w:ascii="Verdana" w:hAnsi="Verdana"/>
          <w:sz w:val="24"/>
          <w:szCs w:val="24"/>
          <w:lang w:val="en-US"/>
        </w:rPr>
        <w:t>.</w:t>
      </w:r>
      <w:r w:rsidRPr="002353FE">
        <w:rPr>
          <w:rFonts w:ascii="Verdana" w:hAnsi="Verdana"/>
          <w:sz w:val="24"/>
          <w:szCs w:val="24"/>
          <w:lang w:val="en-US"/>
        </w:rPr>
        <w:t xml:space="preserve"> </w:t>
      </w:r>
      <w:r w:rsidR="008D4CA3" w:rsidRPr="002353FE">
        <w:rPr>
          <w:rFonts w:ascii="Verdana" w:hAnsi="Verdana"/>
          <w:sz w:val="24"/>
          <w:szCs w:val="24"/>
          <w:lang w:val="en-US"/>
        </w:rPr>
        <w:t>(</w:t>
      </w:r>
      <w:r w:rsidRPr="002353FE">
        <w:rPr>
          <w:rFonts w:ascii="Verdana" w:hAnsi="Verdana"/>
          <w:sz w:val="24"/>
          <w:szCs w:val="24"/>
          <w:lang w:val="en-US"/>
        </w:rPr>
        <w:t>2006</w:t>
      </w:r>
      <w:r w:rsidR="008D4CA3" w:rsidRPr="002353FE">
        <w:rPr>
          <w:rFonts w:ascii="Verdana" w:hAnsi="Verdana"/>
          <w:sz w:val="24"/>
          <w:szCs w:val="24"/>
          <w:lang w:val="en-US"/>
        </w:rPr>
        <w:t>)</w:t>
      </w:r>
      <w:r w:rsidR="003F180B" w:rsidRPr="002353FE">
        <w:rPr>
          <w:rFonts w:ascii="Verdana" w:hAnsi="Verdana"/>
          <w:sz w:val="24"/>
          <w:szCs w:val="24"/>
          <w:lang w:val="en-US"/>
        </w:rPr>
        <w:t>,</w:t>
      </w:r>
      <w:r w:rsidRPr="002353FE">
        <w:rPr>
          <w:rFonts w:ascii="Verdana" w:hAnsi="Verdana"/>
          <w:sz w:val="24"/>
          <w:szCs w:val="24"/>
          <w:lang w:val="en-US"/>
        </w:rPr>
        <w:t xml:space="preserve"> </w:t>
      </w:r>
      <w:r w:rsidR="00783F57" w:rsidRPr="002353FE">
        <w:rPr>
          <w:rFonts w:ascii="Verdana" w:hAnsi="Verdana"/>
          <w:sz w:val="24"/>
          <w:szCs w:val="24"/>
          <w:lang w:val="en-US"/>
        </w:rPr>
        <w:t>“</w:t>
      </w:r>
      <w:r w:rsidRPr="002353FE">
        <w:rPr>
          <w:rFonts w:ascii="Verdana" w:hAnsi="Verdana"/>
          <w:sz w:val="24"/>
          <w:szCs w:val="24"/>
          <w:lang w:val="en-US"/>
        </w:rPr>
        <w:t>Offering versus Choice in 401(k) Plans: Equity Exposure and Number of Funds</w:t>
      </w:r>
      <w:r w:rsidR="00783F57" w:rsidRPr="002353FE">
        <w:rPr>
          <w:rFonts w:ascii="Verdana" w:hAnsi="Verdana"/>
          <w:sz w:val="24"/>
          <w:szCs w:val="24"/>
          <w:lang w:val="en-US"/>
        </w:rPr>
        <w:t>”</w:t>
      </w:r>
      <w:r w:rsidR="00F63D9F" w:rsidRPr="002353FE">
        <w:rPr>
          <w:rFonts w:ascii="Verdana" w:hAnsi="Verdana"/>
          <w:sz w:val="24"/>
          <w:szCs w:val="24"/>
          <w:lang w:val="en-US"/>
        </w:rPr>
        <w:t>,</w:t>
      </w:r>
      <w:r w:rsidR="008D4CA3" w:rsidRPr="002353FE">
        <w:rPr>
          <w:rFonts w:ascii="Verdana" w:hAnsi="Verdana"/>
          <w:sz w:val="24"/>
          <w:szCs w:val="24"/>
          <w:lang w:val="en-US"/>
        </w:rPr>
        <w:t xml:space="preserve"> </w:t>
      </w:r>
      <w:r w:rsidRPr="002353FE">
        <w:rPr>
          <w:rFonts w:ascii="Verdana" w:hAnsi="Verdana"/>
          <w:i/>
          <w:iCs/>
          <w:sz w:val="24"/>
          <w:szCs w:val="24"/>
          <w:lang w:val="en-US"/>
        </w:rPr>
        <w:t>Journal of Finance</w:t>
      </w:r>
      <w:r w:rsidR="008D4CA3" w:rsidRPr="002353FE">
        <w:rPr>
          <w:rFonts w:ascii="Verdana" w:hAnsi="Verdana"/>
          <w:sz w:val="24"/>
          <w:szCs w:val="24"/>
          <w:lang w:val="en-US"/>
        </w:rPr>
        <w:t xml:space="preserve">, vol. </w:t>
      </w:r>
      <w:r w:rsidR="00625CBB" w:rsidRPr="002353FE">
        <w:rPr>
          <w:rFonts w:ascii="Verdana" w:hAnsi="Verdana"/>
          <w:sz w:val="24"/>
          <w:szCs w:val="24"/>
          <w:lang w:val="en-US"/>
        </w:rPr>
        <w:t>61</w:t>
      </w:r>
      <w:r w:rsidR="008D4CA3" w:rsidRPr="002353FE">
        <w:rPr>
          <w:rFonts w:ascii="Verdana" w:hAnsi="Verdana"/>
          <w:sz w:val="24"/>
          <w:szCs w:val="24"/>
          <w:lang w:val="en-US"/>
        </w:rPr>
        <w:t xml:space="preserve"> No </w:t>
      </w:r>
      <w:r w:rsidR="00625CBB" w:rsidRPr="002353FE">
        <w:rPr>
          <w:rFonts w:ascii="Verdana" w:hAnsi="Verdana"/>
          <w:sz w:val="24"/>
          <w:szCs w:val="24"/>
          <w:lang w:val="en-US"/>
        </w:rPr>
        <w:t>2</w:t>
      </w:r>
      <w:r w:rsidR="008D4CA3" w:rsidRPr="002353FE">
        <w:rPr>
          <w:rFonts w:ascii="Verdana" w:hAnsi="Verdana"/>
          <w:sz w:val="24"/>
          <w:szCs w:val="24"/>
          <w:lang w:val="en-US"/>
        </w:rPr>
        <w:t xml:space="preserve">, pp. </w:t>
      </w:r>
      <w:r w:rsidRPr="002353FE">
        <w:rPr>
          <w:rFonts w:ascii="Verdana" w:hAnsi="Verdana"/>
          <w:sz w:val="24"/>
          <w:szCs w:val="24"/>
          <w:lang w:val="en-US"/>
        </w:rPr>
        <w:t>763-801.</w:t>
      </w:r>
    </w:p>
    <w:p w14:paraId="04EF75FC" w14:textId="04235EFF" w:rsidR="00BD7B1D" w:rsidRPr="002353FE" w:rsidRDefault="00BD7B1D" w:rsidP="001E7395">
      <w:pPr>
        <w:widowControl w:val="0"/>
        <w:autoSpaceDE w:val="0"/>
        <w:autoSpaceDN w:val="0"/>
        <w:adjustRightInd w:val="0"/>
        <w:spacing w:after="120" w:line="360" w:lineRule="auto"/>
        <w:ind w:left="142"/>
        <w:jc w:val="both"/>
        <w:rPr>
          <w:rFonts w:ascii="Verdana" w:hAnsi="Verdana"/>
          <w:sz w:val="24"/>
          <w:szCs w:val="24"/>
          <w:lang w:val="en-US"/>
        </w:rPr>
      </w:pPr>
      <w:r w:rsidRPr="002353FE">
        <w:rPr>
          <w:rFonts w:ascii="Verdana" w:hAnsi="Verdana"/>
          <w:sz w:val="24"/>
          <w:szCs w:val="24"/>
          <w:lang w:val="en-US"/>
        </w:rPr>
        <w:t>In</w:t>
      </w:r>
      <w:r w:rsidR="00625CBB" w:rsidRPr="002353FE">
        <w:rPr>
          <w:rFonts w:ascii="Verdana" w:hAnsi="Verdana"/>
          <w:sz w:val="24"/>
          <w:szCs w:val="24"/>
          <w:lang w:val="en-US"/>
        </w:rPr>
        <w:t>dependent Commission on Banking</w:t>
      </w:r>
      <w:r w:rsidR="008D4CA3" w:rsidRPr="002353FE">
        <w:rPr>
          <w:rFonts w:ascii="Verdana" w:hAnsi="Verdana"/>
          <w:sz w:val="24"/>
          <w:szCs w:val="24"/>
          <w:lang w:val="en-US"/>
        </w:rPr>
        <w:t xml:space="preserve"> (</w:t>
      </w:r>
      <w:r w:rsidRPr="002353FE">
        <w:rPr>
          <w:rFonts w:ascii="Verdana" w:hAnsi="Verdana"/>
          <w:sz w:val="24"/>
          <w:szCs w:val="24"/>
          <w:lang w:val="en-US"/>
        </w:rPr>
        <w:t>2011</w:t>
      </w:r>
      <w:r w:rsidR="008D4CA3" w:rsidRPr="002353FE">
        <w:rPr>
          <w:rFonts w:ascii="Verdana" w:hAnsi="Verdana"/>
          <w:sz w:val="24"/>
          <w:szCs w:val="24"/>
          <w:lang w:val="en-US"/>
        </w:rPr>
        <w:t>)</w:t>
      </w:r>
      <w:r w:rsidR="003F180B" w:rsidRPr="002353FE">
        <w:rPr>
          <w:rFonts w:ascii="Verdana" w:hAnsi="Verdana"/>
          <w:sz w:val="24"/>
          <w:szCs w:val="24"/>
          <w:lang w:val="en-US"/>
        </w:rPr>
        <w:t>,</w:t>
      </w:r>
      <w:r w:rsidRPr="002353FE">
        <w:rPr>
          <w:rFonts w:ascii="Verdana" w:hAnsi="Verdana"/>
          <w:sz w:val="24"/>
          <w:szCs w:val="24"/>
          <w:lang w:val="en-US"/>
        </w:rPr>
        <w:t xml:space="preserve"> Final Re</w:t>
      </w:r>
      <w:r w:rsidR="00625CBB" w:rsidRPr="002353FE">
        <w:rPr>
          <w:rFonts w:ascii="Verdana" w:hAnsi="Verdana"/>
          <w:sz w:val="24"/>
          <w:szCs w:val="24"/>
          <w:lang w:val="en-US"/>
        </w:rPr>
        <w:t>port.</w:t>
      </w:r>
      <w:r w:rsidRPr="002353FE">
        <w:rPr>
          <w:rFonts w:ascii="Verdana" w:hAnsi="Verdana"/>
          <w:sz w:val="24"/>
          <w:szCs w:val="24"/>
          <w:lang w:val="en-US"/>
        </w:rPr>
        <w:t xml:space="preserve"> London.</w:t>
      </w:r>
    </w:p>
    <w:p w14:paraId="7E9A57F5" w14:textId="0A852E0E" w:rsidR="004B66C0" w:rsidRPr="002353FE" w:rsidRDefault="004B66C0"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Jilke</w:t>
      </w:r>
      <w:r w:rsidR="00782FC3" w:rsidRPr="002353FE">
        <w:rPr>
          <w:rFonts w:ascii="Verdana" w:hAnsi="Verdana"/>
          <w:sz w:val="24"/>
          <w:szCs w:val="24"/>
          <w:lang w:val="en-GB"/>
        </w:rPr>
        <w:t>,</w:t>
      </w:r>
      <w:r w:rsidRPr="002353FE">
        <w:rPr>
          <w:rFonts w:ascii="Verdana" w:hAnsi="Verdana"/>
          <w:sz w:val="24"/>
          <w:szCs w:val="24"/>
          <w:lang w:val="en-GB"/>
        </w:rPr>
        <w:t xml:space="preserve"> S</w:t>
      </w:r>
      <w:r w:rsidR="008D4CA3" w:rsidRPr="002353FE">
        <w:rPr>
          <w:rFonts w:ascii="Verdana" w:hAnsi="Verdana"/>
          <w:sz w:val="24"/>
          <w:szCs w:val="24"/>
          <w:lang w:val="en-GB"/>
        </w:rPr>
        <w:t xml:space="preserve"> (</w:t>
      </w:r>
      <w:r w:rsidRPr="002353FE">
        <w:rPr>
          <w:rFonts w:ascii="Verdana" w:hAnsi="Verdana"/>
          <w:sz w:val="24"/>
          <w:szCs w:val="24"/>
          <w:lang w:val="en-GB"/>
        </w:rPr>
        <w:t>2015</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782FC3" w:rsidRPr="002353FE">
        <w:rPr>
          <w:rFonts w:ascii="Verdana" w:hAnsi="Verdana"/>
          <w:sz w:val="24"/>
          <w:szCs w:val="24"/>
          <w:lang w:val="en-GB"/>
        </w:rPr>
        <w:t>“</w:t>
      </w:r>
      <w:r w:rsidRPr="002353FE">
        <w:rPr>
          <w:rFonts w:ascii="Verdana" w:hAnsi="Verdana"/>
          <w:sz w:val="24"/>
          <w:szCs w:val="24"/>
          <w:lang w:val="en-GB"/>
        </w:rPr>
        <w:t>Choice and equality: are vulnerable citizens worse off after liberalization reforms?</w:t>
      </w:r>
      <w:r w:rsidR="00782FC3" w:rsidRPr="002353FE">
        <w:rPr>
          <w:rFonts w:ascii="Verdana" w:hAnsi="Verdana"/>
          <w:sz w:val="24"/>
          <w:szCs w:val="24"/>
          <w:lang w:val="en-GB"/>
        </w:rPr>
        <w:t>”</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Public Administration</w:t>
      </w:r>
      <w:r w:rsidR="008D4CA3" w:rsidRPr="002353FE">
        <w:rPr>
          <w:rFonts w:ascii="Verdana" w:hAnsi="Verdana"/>
          <w:iCs/>
          <w:sz w:val="24"/>
          <w:szCs w:val="24"/>
          <w:lang w:val="en-GB"/>
        </w:rPr>
        <w:t xml:space="preserve">, vol. </w:t>
      </w:r>
      <w:r w:rsidR="00625CBB" w:rsidRPr="002353FE">
        <w:rPr>
          <w:rFonts w:ascii="Verdana" w:hAnsi="Verdana"/>
          <w:sz w:val="24"/>
          <w:szCs w:val="24"/>
          <w:lang w:val="en-GB"/>
        </w:rPr>
        <w:t>93</w:t>
      </w:r>
      <w:r w:rsidR="008D4CA3" w:rsidRPr="002353FE">
        <w:rPr>
          <w:rFonts w:ascii="Verdana" w:hAnsi="Verdana"/>
          <w:sz w:val="24"/>
          <w:szCs w:val="24"/>
          <w:lang w:val="en-GB"/>
        </w:rPr>
        <w:t xml:space="preserve"> No </w:t>
      </w:r>
      <w:r w:rsidR="00625CBB" w:rsidRPr="002353FE">
        <w:rPr>
          <w:rFonts w:ascii="Verdana" w:hAnsi="Verdana"/>
          <w:sz w:val="24"/>
          <w:szCs w:val="24"/>
          <w:lang w:val="en-GB"/>
        </w:rPr>
        <w:t>1</w:t>
      </w:r>
      <w:r w:rsidR="008D4CA3" w:rsidRPr="002353FE">
        <w:rPr>
          <w:rFonts w:ascii="Verdana" w:hAnsi="Verdana"/>
          <w:sz w:val="24"/>
          <w:szCs w:val="24"/>
          <w:lang w:val="en-GB"/>
        </w:rPr>
        <w:t xml:space="preserve">, pp. </w:t>
      </w:r>
      <w:r w:rsidRPr="002353FE">
        <w:rPr>
          <w:rFonts w:ascii="Verdana" w:hAnsi="Verdana"/>
          <w:sz w:val="24"/>
          <w:szCs w:val="24"/>
          <w:lang w:val="en-GB"/>
        </w:rPr>
        <w:t>68-85.</w:t>
      </w:r>
    </w:p>
    <w:p w14:paraId="030C231B" w14:textId="08B0A73B" w:rsidR="006B300B" w:rsidRPr="002353FE" w:rsidRDefault="006B300B" w:rsidP="001E7395">
      <w:pPr>
        <w:spacing w:after="120" w:line="360" w:lineRule="auto"/>
        <w:ind w:left="142"/>
        <w:jc w:val="both"/>
        <w:rPr>
          <w:rFonts w:ascii="Verdana" w:hAnsi="Verdana"/>
          <w:sz w:val="24"/>
          <w:szCs w:val="24"/>
          <w:lang w:val="en-US"/>
        </w:rPr>
      </w:pPr>
      <w:r w:rsidRPr="002353FE">
        <w:rPr>
          <w:rFonts w:ascii="Verdana" w:hAnsi="Verdana"/>
          <w:sz w:val="24"/>
          <w:szCs w:val="24"/>
          <w:lang w:val="en-US"/>
        </w:rPr>
        <w:t xml:space="preserve">Kamenica, E. </w:t>
      </w:r>
      <w:r w:rsidR="008D4CA3" w:rsidRPr="002353FE">
        <w:rPr>
          <w:rFonts w:ascii="Verdana" w:hAnsi="Verdana"/>
          <w:sz w:val="24"/>
          <w:szCs w:val="24"/>
          <w:lang w:val="en-US"/>
        </w:rPr>
        <w:t>(</w:t>
      </w:r>
      <w:r w:rsidRPr="002353FE">
        <w:rPr>
          <w:rFonts w:ascii="Verdana" w:hAnsi="Verdana"/>
          <w:sz w:val="24"/>
          <w:szCs w:val="24"/>
          <w:lang w:val="en-US"/>
        </w:rPr>
        <w:t>2008</w:t>
      </w:r>
      <w:r w:rsidR="008D4CA3" w:rsidRPr="002353FE">
        <w:rPr>
          <w:rFonts w:ascii="Verdana" w:hAnsi="Verdana"/>
          <w:sz w:val="24"/>
          <w:szCs w:val="24"/>
          <w:lang w:val="en-US"/>
        </w:rPr>
        <w:t>)</w:t>
      </w:r>
      <w:r w:rsidR="003F180B" w:rsidRPr="002353FE">
        <w:rPr>
          <w:rFonts w:ascii="Verdana" w:hAnsi="Verdana"/>
          <w:sz w:val="24"/>
          <w:szCs w:val="24"/>
          <w:lang w:val="en-US"/>
        </w:rPr>
        <w:t>,</w:t>
      </w:r>
      <w:r w:rsidRPr="002353FE">
        <w:rPr>
          <w:rFonts w:ascii="Verdana" w:hAnsi="Verdana"/>
          <w:sz w:val="24"/>
          <w:szCs w:val="24"/>
          <w:lang w:val="en-US"/>
        </w:rPr>
        <w:t xml:space="preserve"> </w:t>
      </w:r>
      <w:r w:rsidR="00783F57" w:rsidRPr="002353FE">
        <w:rPr>
          <w:rFonts w:ascii="Verdana" w:hAnsi="Verdana"/>
          <w:sz w:val="24"/>
          <w:szCs w:val="24"/>
          <w:lang w:val="en-US"/>
        </w:rPr>
        <w:t>“</w:t>
      </w:r>
      <w:r w:rsidRPr="002353FE">
        <w:rPr>
          <w:rFonts w:ascii="Verdana" w:hAnsi="Verdana"/>
          <w:sz w:val="24"/>
          <w:szCs w:val="24"/>
          <w:lang w:val="en-US"/>
        </w:rPr>
        <w:t>Contextual Inference in Markets: On the Informational Content of Product Lines</w:t>
      </w:r>
      <w:r w:rsidR="00783F57" w:rsidRPr="002353FE">
        <w:rPr>
          <w:rFonts w:ascii="Verdana" w:hAnsi="Verdana"/>
          <w:sz w:val="24"/>
          <w:szCs w:val="24"/>
          <w:lang w:val="en-US"/>
        </w:rPr>
        <w:t>”</w:t>
      </w:r>
      <w:r w:rsidR="00F63D9F" w:rsidRPr="002353FE">
        <w:rPr>
          <w:rFonts w:ascii="Verdana" w:hAnsi="Verdana"/>
          <w:sz w:val="24"/>
          <w:szCs w:val="24"/>
          <w:lang w:val="en-US"/>
        </w:rPr>
        <w:t>,</w:t>
      </w:r>
      <w:r w:rsidRPr="002353FE">
        <w:rPr>
          <w:rFonts w:ascii="Verdana" w:hAnsi="Verdana"/>
          <w:sz w:val="24"/>
          <w:szCs w:val="24"/>
          <w:lang w:val="en-US"/>
        </w:rPr>
        <w:t xml:space="preserve"> </w:t>
      </w:r>
      <w:r w:rsidRPr="002353FE">
        <w:rPr>
          <w:rFonts w:ascii="Verdana" w:hAnsi="Verdana"/>
          <w:i/>
          <w:iCs/>
          <w:sz w:val="24"/>
          <w:szCs w:val="24"/>
          <w:lang w:val="en-US"/>
        </w:rPr>
        <w:t>American Economic Review</w:t>
      </w:r>
      <w:r w:rsidR="008D4CA3" w:rsidRPr="002353FE">
        <w:rPr>
          <w:rFonts w:ascii="Verdana" w:hAnsi="Verdana"/>
          <w:sz w:val="24"/>
          <w:szCs w:val="24"/>
          <w:lang w:val="en-US"/>
        </w:rPr>
        <w:t xml:space="preserve">, vol. </w:t>
      </w:r>
      <w:r w:rsidR="00625CBB" w:rsidRPr="002353FE">
        <w:rPr>
          <w:rFonts w:ascii="Verdana" w:hAnsi="Verdana"/>
          <w:sz w:val="24"/>
          <w:szCs w:val="24"/>
          <w:lang w:val="en-US"/>
        </w:rPr>
        <w:t>98</w:t>
      </w:r>
      <w:r w:rsidR="008D4CA3" w:rsidRPr="002353FE">
        <w:rPr>
          <w:rFonts w:ascii="Verdana" w:hAnsi="Verdana"/>
          <w:sz w:val="24"/>
          <w:szCs w:val="24"/>
          <w:lang w:val="en-US"/>
        </w:rPr>
        <w:t xml:space="preserve"> No </w:t>
      </w:r>
      <w:r w:rsidR="00625CBB" w:rsidRPr="002353FE">
        <w:rPr>
          <w:rFonts w:ascii="Verdana" w:hAnsi="Verdana"/>
          <w:sz w:val="24"/>
          <w:szCs w:val="24"/>
          <w:lang w:val="en-US"/>
        </w:rPr>
        <w:t>5</w:t>
      </w:r>
      <w:r w:rsidR="008D4CA3" w:rsidRPr="002353FE">
        <w:rPr>
          <w:rFonts w:ascii="Verdana" w:hAnsi="Verdana"/>
          <w:sz w:val="24"/>
          <w:szCs w:val="24"/>
          <w:lang w:val="en-US"/>
        </w:rPr>
        <w:t>, pp.</w:t>
      </w:r>
      <w:r w:rsidRPr="002353FE">
        <w:rPr>
          <w:rFonts w:ascii="Verdana" w:hAnsi="Verdana"/>
          <w:sz w:val="24"/>
          <w:szCs w:val="24"/>
          <w:lang w:val="en-US"/>
        </w:rPr>
        <w:t xml:space="preserve"> 2127-49. </w:t>
      </w:r>
    </w:p>
    <w:p w14:paraId="3B5DD3D1" w14:textId="7B82BD0E" w:rsidR="000104E7" w:rsidRPr="002353FE" w:rsidRDefault="000104E7" w:rsidP="001E7395">
      <w:pPr>
        <w:spacing w:after="120" w:line="360" w:lineRule="auto"/>
        <w:ind w:left="142"/>
        <w:jc w:val="both"/>
        <w:rPr>
          <w:rFonts w:ascii="Verdana" w:hAnsi="Verdana"/>
          <w:sz w:val="24"/>
          <w:szCs w:val="24"/>
          <w:lang w:val="en-US"/>
        </w:rPr>
      </w:pPr>
      <w:r w:rsidRPr="002353FE">
        <w:rPr>
          <w:rFonts w:ascii="Verdana" w:hAnsi="Verdana"/>
          <w:sz w:val="24"/>
          <w:szCs w:val="24"/>
          <w:lang w:val="en-US"/>
        </w:rPr>
        <w:t xml:space="preserve">Kara, A. and Molyneux, P. </w:t>
      </w:r>
      <w:r w:rsidR="008D4CA3" w:rsidRPr="002353FE">
        <w:rPr>
          <w:rFonts w:ascii="Verdana" w:hAnsi="Verdana"/>
          <w:sz w:val="24"/>
          <w:szCs w:val="24"/>
          <w:lang w:val="en-US"/>
        </w:rPr>
        <w:t>(</w:t>
      </w:r>
      <w:r w:rsidRPr="002353FE">
        <w:rPr>
          <w:rFonts w:ascii="Verdana" w:hAnsi="Verdana"/>
          <w:sz w:val="24"/>
          <w:szCs w:val="24"/>
          <w:lang w:val="en-US"/>
        </w:rPr>
        <w:t>2017</w:t>
      </w:r>
      <w:r w:rsidR="008D4CA3" w:rsidRPr="002353FE">
        <w:rPr>
          <w:rFonts w:ascii="Verdana" w:hAnsi="Verdana"/>
          <w:sz w:val="24"/>
          <w:szCs w:val="24"/>
          <w:lang w:val="en-US"/>
        </w:rPr>
        <w:t>)</w:t>
      </w:r>
      <w:r w:rsidR="003F180B" w:rsidRPr="002353FE">
        <w:rPr>
          <w:rFonts w:ascii="Verdana" w:hAnsi="Verdana"/>
          <w:sz w:val="24"/>
          <w:szCs w:val="24"/>
          <w:lang w:val="en-US"/>
        </w:rPr>
        <w:t>,</w:t>
      </w:r>
      <w:r w:rsidRPr="002353FE">
        <w:rPr>
          <w:rFonts w:ascii="Verdana" w:hAnsi="Verdana"/>
          <w:sz w:val="24"/>
          <w:szCs w:val="24"/>
          <w:lang w:val="en-US"/>
        </w:rPr>
        <w:t xml:space="preserve"> “Household access to mortgages in the UK”</w:t>
      </w:r>
      <w:r w:rsidR="00F63D9F" w:rsidRPr="002353FE">
        <w:rPr>
          <w:rFonts w:ascii="Verdana" w:hAnsi="Verdana"/>
          <w:sz w:val="24"/>
          <w:szCs w:val="24"/>
          <w:lang w:val="en-US"/>
        </w:rPr>
        <w:t>,</w:t>
      </w:r>
      <w:r w:rsidRPr="002353FE">
        <w:rPr>
          <w:rFonts w:ascii="Verdana" w:hAnsi="Verdana"/>
          <w:sz w:val="24"/>
          <w:szCs w:val="24"/>
          <w:lang w:val="en-US"/>
        </w:rPr>
        <w:t xml:space="preserve"> </w:t>
      </w:r>
      <w:r w:rsidRPr="002353FE">
        <w:rPr>
          <w:rFonts w:ascii="Verdana" w:hAnsi="Verdana"/>
          <w:i/>
          <w:sz w:val="24"/>
          <w:szCs w:val="24"/>
          <w:lang w:val="en-US"/>
        </w:rPr>
        <w:t>Journal of Financial Services Research</w:t>
      </w:r>
      <w:r w:rsidR="008D4CA3" w:rsidRPr="002353FE">
        <w:rPr>
          <w:rFonts w:ascii="Verdana" w:hAnsi="Verdana"/>
          <w:iCs/>
          <w:sz w:val="24"/>
          <w:szCs w:val="24"/>
          <w:lang w:val="en-US"/>
        </w:rPr>
        <w:t>, vol.</w:t>
      </w:r>
      <w:r w:rsidRPr="002353FE">
        <w:rPr>
          <w:rFonts w:ascii="Verdana" w:hAnsi="Verdana"/>
          <w:sz w:val="24"/>
          <w:szCs w:val="24"/>
          <w:lang w:val="en-US"/>
        </w:rPr>
        <w:t xml:space="preserve"> 52</w:t>
      </w:r>
      <w:r w:rsidR="008D4CA3" w:rsidRPr="002353FE">
        <w:rPr>
          <w:rFonts w:ascii="Verdana" w:hAnsi="Verdana"/>
          <w:sz w:val="24"/>
          <w:szCs w:val="24"/>
          <w:lang w:val="en-US"/>
        </w:rPr>
        <w:t xml:space="preserve"> No </w:t>
      </w:r>
      <w:r w:rsidRPr="002353FE">
        <w:rPr>
          <w:rFonts w:ascii="Verdana" w:hAnsi="Verdana"/>
          <w:sz w:val="24"/>
          <w:szCs w:val="24"/>
          <w:lang w:val="en-US"/>
        </w:rPr>
        <w:t>3</w:t>
      </w:r>
      <w:r w:rsidR="008D4CA3" w:rsidRPr="002353FE">
        <w:rPr>
          <w:rFonts w:ascii="Verdana" w:hAnsi="Verdana"/>
          <w:sz w:val="24"/>
          <w:szCs w:val="24"/>
          <w:lang w:val="en-US"/>
        </w:rPr>
        <w:t>, pp.</w:t>
      </w:r>
      <w:r w:rsidRPr="002353FE">
        <w:rPr>
          <w:rFonts w:ascii="Verdana" w:hAnsi="Verdana"/>
          <w:sz w:val="24"/>
          <w:szCs w:val="24"/>
          <w:lang w:val="en-US"/>
        </w:rPr>
        <w:t xml:space="preserve"> 253-275.</w:t>
      </w:r>
    </w:p>
    <w:p w14:paraId="5C2886BA" w14:textId="77777777" w:rsidR="00CA605E" w:rsidRPr="002353FE" w:rsidRDefault="00CA605E" w:rsidP="001E7395">
      <w:pPr>
        <w:spacing w:after="120" w:line="360" w:lineRule="auto"/>
        <w:ind w:left="142"/>
        <w:jc w:val="both"/>
        <w:rPr>
          <w:rFonts w:ascii="Verdana" w:hAnsi="Verdana"/>
          <w:sz w:val="24"/>
          <w:szCs w:val="24"/>
          <w:lang w:val="en-US"/>
        </w:rPr>
      </w:pPr>
      <w:r w:rsidRPr="001E7395">
        <w:rPr>
          <w:rFonts w:ascii="Verdana" w:hAnsi="Verdana"/>
          <w:sz w:val="24"/>
          <w:szCs w:val="24"/>
          <w:lang w:val="en-US"/>
        </w:rPr>
        <w:t xml:space="preserve">Keaveney, S. M. (1995), “Customer Switching Behavior in Service Industries: An Exploratory Study”, </w:t>
      </w:r>
      <w:r w:rsidRPr="001E7395">
        <w:rPr>
          <w:rFonts w:ascii="Verdana" w:hAnsi="Verdana"/>
          <w:i/>
          <w:iCs/>
          <w:sz w:val="24"/>
          <w:szCs w:val="24"/>
          <w:lang w:val="en-US"/>
        </w:rPr>
        <w:t>Journal of Marketing</w:t>
      </w:r>
      <w:r w:rsidRPr="001E7395">
        <w:rPr>
          <w:rFonts w:ascii="Verdana" w:hAnsi="Verdana"/>
          <w:sz w:val="24"/>
          <w:szCs w:val="24"/>
          <w:lang w:val="en-US"/>
        </w:rPr>
        <w:t>, vol. 59, No 2, pp. 71-82</w:t>
      </w:r>
    </w:p>
    <w:p w14:paraId="022D5030" w14:textId="2E2BF1A2" w:rsidR="00095193" w:rsidRPr="002353FE" w:rsidRDefault="00095193"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Kim, M.</w:t>
      </w:r>
      <w:r w:rsidR="00625CBB" w:rsidRPr="002353FE">
        <w:rPr>
          <w:rFonts w:ascii="Verdana" w:hAnsi="Verdana"/>
          <w:sz w:val="24"/>
          <w:szCs w:val="24"/>
          <w:lang w:val="en-GB"/>
        </w:rPr>
        <w:t>,</w:t>
      </w:r>
      <w:r w:rsidRPr="002353FE">
        <w:rPr>
          <w:rFonts w:ascii="Verdana" w:hAnsi="Verdana"/>
          <w:sz w:val="24"/>
          <w:szCs w:val="24"/>
          <w:lang w:val="en-GB"/>
        </w:rPr>
        <w:t xml:space="preserve"> Kliger</w:t>
      </w:r>
      <w:r w:rsidR="00625CBB" w:rsidRPr="002353FE">
        <w:rPr>
          <w:rFonts w:ascii="Verdana" w:hAnsi="Verdana"/>
          <w:sz w:val="24"/>
          <w:szCs w:val="24"/>
          <w:lang w:val="en-GB"/>
        </w:rPr>
        <w:t>,</w:t>
      </w:r>
      <w:r w:rsidR="008D4CA3" w:rsidRPr="002353FE">
        <w:rPr>
          <w:rFonts w:ascii="Verdana" w:hAnsi="Verdana"/>
          <w:sz w:val="24"/>
          <w:szCs w:val="24"/>
          <w:lang w:val="en-GB"/>
        </w:rPr>
        <w:t xml:space="preserve"> D.</w:t>
      </w:r>
      <w:r w:rsidRPr="002353FE">
        <w:rPr>
          <w:rFonts w:ascii="Verdana" w:hAnsi="Verdana"/>
          <w:sz w:val="24"/>
          <w:szCs w:val="24"/>
          <w:lang w:val="en-GB"/>
        </w:rPr>
        <w:t xml:space="preserve"> and Vale</w:t>
      </w:r>
      <w:r w:rsidR="008D4CA3" w:rsidRPr="002353FE">
        <w:rPr>
          <w:rFonts w:ascii="Verdana" w:hAnsi="Verdana"/>
          <w:sz w:val="24"/>
          <w:szCs w:val="24"/>
          <w:lang w:val="en-GB"/>
        </w:rPr>
        <w:t>, B</w:t>
      </w:r>
      <w:r w:rsidRPr="002353FE">
        <w:rPr>
          <w:rFonts w:ascii="Verdana" w:hAnsi="Verdana"/>
          <w:sz w:val="24"/>
          <w:szCs w:val="24"/>
          <w:lang w:val="en-GB"/>
        </w:rPr>
        <w:t xml:space="preserve">. </w:t>
      </w:r>
      <w:r w:rsidR="008D4CA3" w:rsidRPr="002353FE">
        <w:rPr>
          <w:rFonts w:ascii="Verdana" w:hAnsi="Verdana"/>
          <w:sz w:val="24"/>
          <w:szCs w:val="24"/>
          <w:lang w:val="en-GB"/>
        </w:rPr>
        <w:t>(</w:t>
      </w:r>
      <w:r w:rsidRPr="002353FE">
        <w:rPr>
          <w:rFonts w:ascii="Verdana" w:hAnsi="Verdana"/>
          <w:sz w:val="24"/>
          <w:szCs w:val="24"/>
          <w:lang w:val="en-GB"/>
        </w:rPr>
        <w:t>2003</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AE6F59" w:rsidRPr="002353FE">
        <w:rPr>
          <w:rFonts w:ascii="Verdana" w:hAnsi="Verdana"/>
          <w:sz w:val="24"/>
          <w:szCs w:val="24"/>
          <w:lang w:val="en-GB"/>
        </w:rPr>
        <w:t>“</w:t>
      </w:r>
      <w:r w:rsidRPr="002353FE">
        <w:rPr>
          <w:rFonts w:ascii="Verdana" w:hAnsi="Verdana"/>
          <w:sz w:val="24"/>
          <w:szCs w:val="24"/>
          <w:lang w:val="en-GB"/>
        </w:rPr>
        <w:t>Estimating switching costs: the case of banking”</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Journal of Financial Intermediation</w:t>
      </w:r>
      <w:r w:rsidR="008D4CA3" w:rsidRPr="002353FE">
        <w:rPr>
          <w:rFonts w:ascii="Verdana" w:hAnsi="Verdana"/>
          <w:sz w:val="24"/>
          <w:szCs w:val="24"/>
          <w:lang w:val="en-GB"/>
        </w:rPr>
        <w:t xml:space="preserve">, vol. </w:t>
      </w:r>
      <w:r w:rsidRPr="002353FE">
        <w:rPr>
          <w:rFonts w:ascii="Verdana" w:hAnsi="Verdana"/>
          <w:sz w:val="24"/>
          <w:szCs w:val="24"/>
          <w:lang w:val="en-GB"/>
        </w:rPr>
        <w:t>12</w:t>
      </w:r>
      <w:r w:rsidR="008D4CA3" w:rsidRPr="002353FE">
        <w:rPr>
          <w:rFonts w:ascii="Verdana" w:hAnsi="Verdana"/>
          <w:sz w:val="24"/>
          <w:szCs w:val="24"/>
          <w:lang w:val="en-GB"/>
        </w:rPr>
        <w:t>, pp.</w:t>
      </w:r>
      <w:r w:rsidRPr="002353FE">
        <w:rPr>
          <w:rFonts w:ascii="Verdana" w:hAnsi="Verdana"/>
          <w:sz w:val="24"/>
          <w:szCs w:val="24"/>
          <w:lang w:val="en-GB"/>
        </w:rPr>
        <w:t xml:space="preserve"> 25-56. </w:t>
      </w:r>
    </w:p>
    <w:p w14:paraId="492A3302" w14:textId="78B1E969" w:rsidR="00430ED7" w:rsidRPr="002353FE" w:rsidRDefault="00625CBB"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Kiser, E.K.</w:t>
      </w:r>
      <w:r w:rsidR="00430ED7" w:rsidRPr="002353FE">
        <w:rPr>
          <w:rFonts w:ascii="Verdana" w:hAnsi="Verdana"/>
          <w:sz w:val="24"/>
          <w:szCs w:val="24"/>
          <w:lang w:val="en-GB"/>
        </w:rPr>
        <w:t xml:space="preserve"> </w:t>
      </w:r>
      <w:r w:rsidR="008D4CA3" w:rsidRPr="002353FE">
        <w:rPr>
          <w:rFonts w:ascii="Verdana" w:hAnsi="Verdana"/>
          <w:sz w:val="24"/>
          <w:szCs w:val="24"/>
          <w:lang w:val="en-GB"/>
        </w:rPr>
        <w:t>(</w:t>
      </w:r>
      <w:r w:rsidR="00430ED7" w:rsidRPr="002353FE">
        <w:rPr>
          <w:rFonts w:ascii="Verdana" w:hAnsi="Verdana"/>
          <w:sz w:val="24"/>
          <w:szCs w:val="24"/>
          <w:lang w:val="en-GB"/>
        </w:rPr>
        <w:t>2002</w:t>
      </w:r>
      <w:r w:rsidR="008D4CA3" w:rsidRPr="002353FE">
        <w:rPr>
          <w:rFonts w:ascii="Verdana" w:hAnsi="Verdana"/>
          <w:sz w:val="24"/>
          <w:szCs w:val="24"/>
          <w:lang w:val="en-GB"/>
        </w:rPr>
        <w:t>)</w:t>
      </w:r>
      <w:r w:rsidR="003F180B" w:rsidRPr="002353FE">
        <w:rPr>
          <w:rFonts w:ascii="Verdana" w:hAnsi="Verdana"/>
          <w:sz w:val="24"/>
          <w:szCs w:val="24"/>
          <w:lang w:val="en-GB"/>
        </w:rPr>
        <w:t>,</w:t>
      </w:r>
      <w:r w:rsidR="00430ED7" w:rsidRPr="002353FE">
        <w:rPr>
          <w:rFonts w:ascii="Verdana" w:hAnsi="Verdana"/>
          <w:sz w:val="24"/>
          <w:szCs w:val="24"/>
          <w:lang w:val="en-GB"/>
        </w:rPr>
        <w:t xml:space="preserve"> </w:t>
      </w:r>
      <w:r w:rsidR="00AE6F59" w:rsidRPr="002353FE">
        <w:rPr>
          <w:rFonts w:ascii="Verdana" w:hAnsi="Verdana"/>
          <w:sz w:val="24"/>
          <w:szCs w:val="24"/>
          <w:lang w:val="en-GB"/>
        </w:rPr>
        <w:t>“</w:t>
      </w:r>
      <w:r w:rsidR="00430ED7" w:rsidRPr="002353FE">
        <w:rPr>
          <w:rFonts w:ascii="Verdana" w:hAnsi="Verdana"/>
          <w:sz w:val="24"/>
          <w:szCs w:val="24"/>
          <w:lang w:val="en-GB"/>
        </w:rPr>
        <w:t>Predicting household switching behavior and switching costs at depository institutions</w:t>
      </w:r>
      <w:r w:rsidR="00AE6F59" w:rsidRPr="002353FE">
        <w:rPr>
          <w:rFonts w:ascii="Verdana" w:hAnsi="Verdana"/>
          <w:sz w:val="24"/>
          <w:szCs w:val="24"/>
          <w:lang w:val="en-GB"/>
        </w:rPr>
        <w:t>”</w:t>
      </w:r>
      <w:r w:rsidR="00F63D9F" w:rsidRPr="002353FE">
        <w:rPr>
          <w:rFonts w:ascii="Verdana" w:hAnsi="Verdana"/>
          <w:sz w:val="24"/>
          <w:szCs w:val="24"/>
          <w:lang w:val="en-GB"/>
        </w:rPr>
        <w:t>,</w:t>
      </w:r>
      <w:r w:rsidR="00430ED7" w:rsidRPr="002353FE">
        <w:rPr>
          <w:rFonts w:ascii="Verdana" w:hAnsi="Verdana"/>
          <w:sz w:val="24"/>
          <w:szCs w:val="24"/>
          <w:lang w:val="en-GB"/>
        </w:rPr>
        <w:t xml:space="preserve"> </w:t>
      </w:r>
      <w:r w:rsidR="00430ED7" w:rsidRPr="002353FE">
        <w:rPr>
          <w:rFonts w:ascii="Verdana" w:hAnsi="Verdana"/>
          <w:i/>
          <w:sz w:val="24"/>
          <w:szCs w:val="24"/>
          <w:lang w:val="en-GB"/>
        </w:rPr>
        <w:t>Review of Industrial Organization</w:t>
      </w:r>
      <w:r w:rsidR="008D4CA3" w:rsidRPr="002353FE">
        <w:rPr>
          <w:rFonts w:ascii="Verdana" w:hAnsi="Verdana"/>
          <w:iCs/>
          <w:sz w:val="24"/>
          <w:szCs w:val="24"/>
          <w:lang w:val="en-GB"/>
        </w:rPr>
        <w:t>, vol.</w:t>
      </w:r>
      <w:r w:rsidRPr="002353FE">
        <w:rPr>
          <w:rFonts w:ascii="Verdana" w:hAnsi="Verdana"/>
          <w:sz w:val="24"/>
          <w:szCs w:val="24"/>
          <w:lang w:val="en-GB"/>
        </w:rPr>
        <w:t xml:space="preserve"> 20</w:t>
      </w:r>
      <w:r w:rsidR="008D4CA3" w:rsidRPr="002353FE">
        <w:rPr>
          <w:rFonts w:ascii="Verdana" w:hAnsi="Verdana"/>
          <w:sz w:val="24"/>
          <w:szCs w:val="24"/>
          <w:lang w:val="en-GB"/>
        </w:rPr>
        <w:t>, pp.</w:t>
      </w:r>
      <w:r w:rsidR="00430ED7" w:rsidRPr="002353FE">
        <w:rPr>
          <w:rFonts w:ascii="Verdana" w:hAnsi="Verdana"/>
          <w:sz w:val="24"/>
          <w:szCs w:val="24"/>
          <w:lang w:val="en-GB"/>
        </w:rPr>
        <w:t xml:space="preserve"> 349-365.</w:t>
      </w:r>
    </w:p>
    <w:p w14:paraId="2618ADFD" w14:textId="375994E9" w:rsidR="00794986" w:rsidRPr="001E7395" w:rsidRDefault="00794986" w:rsidP="001E7395">
      <w:pPr>
        <w:widowControl w:val="0"/>
        <w:autoSpaceDE w:val="0"/>
        <w:autoSpaceDN w:val="0"/>
        <w:adjustRightInd w:val="0"/>
        <w:spacing w:after="120" w:line="360" w:lineRule="auto"/>
        <w:ind w:left="142"/>
        <w:jc w:val="both"/>
        <w:rPr>
          <w:rFonts w:ascii="Verdana" w:hAnsi="Verdana"/>
          <w:sz w:val="24"/>
          <w:szCs w:val="24"/>
          <w:lang w:val="en-GB"/>
        </w:rPr>
      </w:pPr>
      <w:r w:rsidRPr="001E7395">
        <w:rPr>
          <w:rFonts w:ascii="Verdana" w:hAnsi="Verdana"/>
          <w:sz w:val="24"/>
          <w:szCs w:val="24"/>
          <w:lang w:val="en-GB"/>
        </w:rPr>
        <w:t>Langley, P.</w:t>
      </w:r>
      <w:r w:rsidR="00CA605E" w:rsidRPr="001E7395">
        <w:rPr>
          <w:rFonts w:ascii="Verdana" w:hAnsi="Verdana"/>
          <w:sz w:val="24"/>
          <w:szCs w:val="24"/>
          <w:lang w:val="en-GB"/>
        </w:rPr>
        <w:t xml:space="preserve"> and </w:t>
      </w:r>
      <w:r w:rsidRPr="001E7395">
        <w:rPr>
          <w:rFonts w:ascii="Verdana" w:hAnsi="Verdana"/>
          <w:sz w:val="24"/>
          <w:szCs w:val="24"/>
          <w:lang w:val="en-GB"/>
        </w:rPr>
        <w:t>Leyshon, A. (2017)</w:t>
      </w:r>
      <w:r w:rsidR="00CA605E" w:rsidRPr="001E7395">
        <w:rPr>
          <w:rFonts w:ascii="Verdana" w:hAnsi="Verdana"/>
          <w:sz w:val="24"/>
          <w:szCs w:val="24"/>
          <w:lang w:val="en-GB"/>
        </w:rPr>
        <w:t>,</w:t>
      </w:r>
      <w:r w:rsidRPr="001E7395">
        <w:rPr>
          <w:rFonts w:ascii="Verdana" w:hAnsi="Verdana"/>
          <w:sz w:val="24"/>
          <w:szCs w:val="24"/>
          <w:lang w:val="en-GB"/>
        </w:rPr>
        <w:t xml:space="preserve"> </w:t>
      </w:r>
      <w:r w:rsidR="00CA605E" w:rsidRPr="001E7395">
        <w:rPr>
          <w:rFonts w:ascii="Verdana" w:hAnsi="Verdana"/>
          <w:sz w:val="24"/>
          <w:szCs w:val="24"/>
          <w:lang w:val="en-GB"/>
        </w:rPr>
        <w:t>“</w:t>
      </w:r>
      <w:r w:rsidRPr="001E7395">
        <w:rPr>
          <w:rFonts w:ascii="Verdana" w:hAnsi="Verdana"/>
          <w:sz w:val="24"/>
          <w:szCs w:val="24"/>
          <w:lang w:val="en-GB"/>
        </w:rPr>
        <w:t>Capitalizing on the crowd: The monetary and financial ecologies of crowdfunding</w:t>
      </w:r>
      <w:r w:rsidR="00CA605E"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Environment and Planning A: Economy and Space</w:t>
      </w:r>
      <w:r w:rsidRPr="001E7395">
        <w:rPr>
          <w:rFonts w:ascii="Verdana" w:hAnsi="Verdana"/>
          <w:sz w:val="24"/>
          <w:szCs w:val="24"/>
          <w:lang w:val="en-GB"/>
        </w:rPr>
        <w:t xml:space="preserve">, </w:t>
      </w:r>
      <w:r w:rsidR="00CA605E" w:rsidRPr="001E7395">
        <w:rPr>
          <w:rFonts w:ascii="Verdana" w:hAnsi="Verdana"/>
          <w:sz w:val="24"/>
          <w:szCs w:val="24"/>
          <w:lang w:val="en-GB"/>
        </w:rPr>
        <w:t xml:space="preserve">vol. </w:t>
      </w:r>
      <w:r w:rsidRPr="001E7395">
        <w:rPr>
          <w:rFonts w:ascii="Verdana" w:hAnsi="Verdana"/>
          <w:sz w:val="24"/>
          <w:szCs w:val="24"/>
          <w:lang w:val="en-GB"/>
        </w:rPr>
        <w:t>49</w:t>
      </w:r>
      <w:r w:rsidR="00CA605E" w:rsidRPr="001E7395">
        <w:rPr>
          <w:rFonts w:ascii="Verdana" w:hAnsi="Verdana"/>
          <w:sz w:val="24"/>
          <w:szCs w:val="24"/>
          <w:lang w:val="en-GB"/>
        </w:rPr>
        <w:t xml:space="preserve"> No </w:t>
      </w:r>
      <w:r w:rsidRPr="001E7395">
        <w:rPr>
          <w:rFonts w:ascii="Verdana" w:hAnsi="Verdana"/>
          <w:sz w:val="24"/>
          <w:szCs w:val="24"/>
          <w:lang w:val="en-GB"/>
        </w:rPr>
        <w:t>5</w:t>
      </w:r>
      <w:r w:rsidR="00CA605E" w:rsidRPr="001E7395">
        <w:rPr>
          <w:rFonts w:ascii="Verdana" w:hAnsi="Verdana"/>
          <w:sz w:val="24"/>
          <w:szCs w:val="24"/>
          <w:lang w:val="en-GB"/>
        </w:rPr>
        <w:t>, pp.</w:t>
      </w:r>
      <w:r w:rsidRPr="001E7395">
        <w:rPr>
          <w:rFonts w:ascii="Verdana" w:hAnsi="Verdana"/>
          <w:sz w:val="24"/>
          <w:szCs w:val="24"/>
          <w:lang w:val="en-GB"/>
        </w:rPr>
        <w:t xml:space="preserve"> 1019–39. </w:t>
      </w:r>
    </w:p>
    <w:p w14:paraId="16C5D28B" w14:textId="3C778C62" w:rsidR="006C307B" w:rsidRPr="001E7395" w:rsidRDefault="006C307B" w:rsidP="001E7395">
      <w:pPr>
        <w:widowControl w:val="0"/>
        <w:autoSpaceDE w:val="0"/>
        <w:autoSpaceDN w:val="0"/>
        <w:adjustRightInd w:val="0"/>
        <w:spacing w:after="120" w:line="360" w:lineRule="auto"/>
        <w:ind w:left="142"/>
        <w:jc w:val="both"/>
        <w:rPr>
          <w:rFonts w:ascii="Verdana" w:hAnsi="Verdana"/>
          <w:sz w:val="24"/>
          <w:szCs w:val="24"/>
          <w:lang w:val="en-GB"/>
        </w:rPr>
      </w:pPr>
      <w:r w:rsidRPr="001E7395">
        <w:rPr>
          <w:rFonts w:ascii="Verdana" w:hAnsi="Verdana"/>
          <w:sz w:val="24"/>
          <w:szCs w:val="24"/>
          <w:lang w:val="en-GB"/>
        </w:rPr>
        <w:t>Lappeman, J., Franco, M., Warner V.</w:t>
      </w:r>
      <w:r w:rsidR="00CA605E" w:rsidRPr="001E7395">
        <w:rPr>
          <w:rFonts w:ascii="Verdana" w:hAnsi="Verdana"/>
          <w:sz w:val="24"/>
          <w:szCs w:val="24"/>
          <w:lang w:val="en-GB"/>
        </w:rPr>
        <w:t xml:space="preserve"> and</w:t>
      </w:r>
      <w:r w:rsidRPr="001E7395">
        <w:rPr>
          <w:rFonts w:ascii="Verdana" w:hAnsi="Verdana"/>
          <w:sz w:val="24"/>
          <w:szCs w:val="24"/>
          <w:lang w:val="en-GB"/>
        </w:rPr>
        <w:t xml:space="preserve"> Sierra-Rubia, L. (2022)</w:t>
      </w:r>
      <w:r w:rsidR="00CA605E" w:rsidRPr="001E7395">
        <w:rPr>
          <w:rFonts w:ascii="Verdana" w:hAnsi="Verdana"/>
          <w:sz w:val="24"/>
          <w:szCs w:val="24"/>
          <w:lang w:val="en-GB"/>
        </w:rPr>
        <w:t>,</w:t>
      </w:r>
      <w:r w:rsidRPr="001E7395">
        <w:rPr>
          <w:rFonts w:ascii="Verdana" w:hAnsi="Verdana"/>
          <w:sz w:val="24"/>
          <w:szCs w:val="24"/>
          <w:lang w:val="en-GB"/>
        </w:rPr>
        <w:t xml:space="preserve"> </w:t>
      </w:r>
      <w:r w:rsidR="00CA605E" w:rsidRPr="001E7395">
        <w:rPr>
          <w:rFonts w:ascii="Verdana" w:hAnsi="Verdana"/>
          <w:sz w:val="24"/>
          <w:szCs w:val="24"/>
          <w:lang w:val="en-GB"/>
        </w:rPr>
        <w:t>“</w:t>
      </w:r>
      <w:r w:rsidRPr="001E7395">
        <w:rPr>
          <w:rFonts w:ascii="Verdana" w:hAnsi="Verdana"/>
          <w:sz w:val="24"/>
          <w:szCs w:val="24"/>
          <w:lang w:val="en-GB"/>
        </w:rPr>
        <w:t xml:space="preserve">What </w:t>
      </w:r>
      <w:r w:rsidRPr="001E7395">
        <w:rPr>
          <w:rFonts w:ascii="Verdana" w:hAnsi="Verdana"/>
          <w:sz w:val="24"/>
          <w:szCs w:val="24"/>
          <w:lang w:val="en-GB"/>
        </w:rPr>
        <w:lastRenderedPageBreak/>
        <w:t>social media sentiment tells us about why customers churn</w:t>
      </w:r>
      <w:r w:rsidR="00CA605E"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Journal of Consumer Marketing</w:t>
      </w:r>
      <w:r w:rsidRPr="001E7395">
        <w:rPr>
          <w:rFonts w:ascii="Verdana" w:hAnsi="Verdana"/>
          <w:sz w:val="24"/>
          <w:szCs w:val="24"/>
          <w:lang w:val="en-GB"/>
        </w:rPr>
        <w:t>,</w:t>
      </w:r>
      <w:r w:rsidR="00CA605E" w:rsidRPr="001E7395">
        <w:rPr>
          <w:rFonts w:ascii="Verdana" w:hAnsi="Verdana"/>
          <w:sz w:val="24"/>
          <w:szCs w:val="24"/>
          <w:lang w:val="en-GB"/>
        </w:rPr>
        <w:t xml:space="preserve"> vol. </w:t>
      </w:r>
      <w:r w:rsidRPr="001E7395">
        <w:rPr>
          <w:rFonts w:ascii="Verdana" w:hAnsi="Verdana"/>
          <w:sz w:val="24"/>
          <w:szCs w:val="24"/>
          <w:lang w:val="en-GB"/>
        </w:rPr>
        <w:t>39</w:t>
      </w:r>
      <w:r w:rsidR="00CA605E" w:rsidRPr="001E7395">
        <w:rPr>
          <w:rFonts w:ascii="Verdana" w:hAnsi="Verdana"/>
          <w:sz w:val="24"/>
          <w:szCs w:val="24"/>
          <w:lang w:val="en-GB"/>
        </w:rPr>
        <w:t xml:space="preserve"> nº </w:t>
      </w:r>
      <w:r w:rsidRPr="001E7395">
        <w:rPr>
          <w:rFonts w:ascii="Verdana" w:hAnsi="Verdana"/>
          <w:sz w:val="24"/>
          <w:szCs w:val="24"/>
          <w:lang w:val="en-GB"/>
        </w:rPr>
        <w:t>5</w:t>
      </w:r>
      <w:r w:rsidR="00CA605E" w:rsidRPr="001E7395">
        <w:rPr>
          <w:rFonts w:ascii="Verdana" w:hAnsi="Verdana"/>
          <w:sz w:val="24"/>
          <w:szCs w:val="24"/>
          <w:lang w:val="en-GB"/>
        </w:rPr>
        <w:t xml:space="preserve">, pp. </w:t>
      </w:r>
      <w:r w:rsidRPr="001E7395">
        <w:rPr>
          <w:rFonts w:ascii="Verdana" w:hAnsi="Verdana"/>
          <w:sz w:val="24"/>
          <w:szCs w:val="24"/>
          <w:lang w:val="en-GB"/>
        </w:rPr>
        <w:t>385–403</w:t>
      </w:r>
      <w:r w:rsidR="00CA605E" w:rsidRPr="001E7395">
        <w:rPr>
          <w:rFonts w:ascii="Verdana" w:hAnsi="Verdana"/>
          <w:sz w:val="24"/>
          <w:szCs w:val="24"/>
          <w:lang w:val="en-GB"/>
        </w:rPr>
        <w:t>.</w:t>
      </w:r>
      <w:r w:rsidRPr="001E7395">
        <w:rPr>
          <w:rFonts w:ascii="Verdana" w:hAnsi="Verdana"/>
          <w:sz w:val="24"/>
          <w:szCs w:val="24"/>
          <w:lang w:val="en-GB"/>
        </w:rPr>
        <w:t xml:space="preserve">   </w:t>
      </w:r>
    </w:p>
    <w:p w14:paraId="60F7D5AB" w14:textId="30CDE94C" w:rsidR="00C178C3" w:rsidRPr="001E7395" w:rsidRDefault="00C178C3" w:rsidP="001E7395">
      <w:pPr>
        <w:widowControl w:val="0"/>
        <w:autoSpaceDE w:val="0"/>
        <w:autoSpaceDN w:val="0"/>
        <w:adjustRightInd w:val="0"/>
        <w:spacing w:after="120" w:line="360" w:lineRule="auto"/>
        <w:ind w:left="142"/>
        <w:jc w:val="both"/>
        <w:rPr>
          <w:rFonts w:ascii="Verdana" w:hAnsi="Verdana"/>
          <w:sz w:val="24"/>
          <w:szCs w:val="24"/>
          <w:lang w:val="en-GB"/>
        </w:rPr>
      </w:pPr>
      <w:r w:rsidRPr="001E7395">
        <w:rPr>
          <w:rFonts w:ascii="Verdana" w:hAnsi="Verdana"/>
          <w:sz w:val="24"/>
          <w:szCs w:val="24"/>
          <w:lang w:val="en-GB"/>
        </w:rPr>
        <w:t>Leyshon, A.</w:t>
      </w:r>
      <w:r w:rsidR="00AB1654" w:rsidRPr="001E7395">
        <w:rPr>
          <w:rFonts w:ascii="Verdana" w:hAnsi="Verdana"/>
          <w:sz w:val="24"/>
          <w:szCs w:val="24"/>
          <w:lang w:val="en-GB"/>
        </w:rPr>
        <w:t xml:space="preserve"> and</w:t>
      </w:r>
      <w:r w:rsidRPr="001E7395">
        <w:rPr>
          <w:rFonts w:ascii="Verdana" w:hAnsi="Verdana"/>
          <w:sz w:val="24"/>
          <w:szCs w:val="24"/>
          <w:lang w:val="en-GB"/>
        </w:rPr>
        <w:t xml:space="preserve"> Thrift, N. (1994)</w:t>
      </w:r>
      <w:r w:rsidR="00AB1654" w:rsidRPr="001E7395">
        <w:rPr>
          <w:rFonts w:ascii="Verdana" w:hAnsi="Verdana"/>
          <w:sz w:val="24"/>
          <w:szCs w:val="24"/>
          <w:lang w:val="en-GB"/>
        </w:rPr>
        <w:t>,</w:t>
      </w:r>
      <w:r w:rsidRPr="001E7395">
        <w:rPr>
          <w:rFonts w:ascii="Verdana" w:hAnsi="Verdana"/>
          <w:sz w:val="24"/>
          <w:szCs w:val="24"/>
          <w:lang w:val="en-GB"/>
        </w:rPr>
        <w:t xml:space="preserve"> </w:t>
      </w:r>
      <w:r w:rsidR="00AB1654" w:rsidRPr="001E7395">
        <w:rPr>
          <w:rFonts w:ascii="Verdana" w:hAnsi="Verdana"/>
          <w:sz w:val="24"/>
          <w:szCs w:val="24"/>
          <w:lang w:val="en-GB"/>
        </w:rPr>
        <w:t>“</w:t>
      </w:r>
      <w:r w:rsidRPr="001E7395">
        <w:rPr>
          <w:rFonts w:ascii="Verdana" w:hAnsi="Verdana"/>
          <w:sz w:val="24"/>
          <w:szCs w:val="24"/>
          <w:lang w:val="en-GB"/>
        </w:rPr>
        <w:t>Access to Financial Services and Financial Infrastructure Withdrawal: Problems and Policies</w:t>
      </w:r>
      <w:r w:rsidR="00AB1654"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Area</w:t>
      </w:r>
      <w:r w:rsidRPr="001E7395">
        <w:rPr>
          <w:rFonts w:ascii="Verdana" w:hAnsi="Verdana"/>
          <w:sz w:val="24"/>
          <w:szCs w:val="24"/>
          <w:lang w:val="en-GB"/>
        </w:rPr>
        <w:t xml:space="preserve">, </w:t>
      </w:r>
      <w:r w:rsidR="00AB1654" w:rsidRPr="001E7395">
        <w:rPr>
          <w:rFonts w:ascii="Verdana" w:hAnsi="Verdana"/>
          <w:sz w:val="24"/>
          <w:szCs w:val="24"/>
          <w:lang w:val="en-GB"/>
        </w:rPr>
        <w:t xml:space="preserve">vol. </w:t>
      </w:r>
      <w:r w:rsidRPr="001E7395">
        <w:rPr>
          <w:rFonts w:ascii="Verdana" w:hAnsi="Verdana"/>
          <w:sz w:val="24"/>
          <w:szCs w:val="24"/>
          <w:lang w:val="en-GB"/>
        </w:rPr>
        <w:t>26</w:t>
      </w:r>
      <w:r w:rsidR="00AB1654" w:rsidRPr="001E7395">
        <w:rPr>
          <w:rFonts w:ascii="Verdana" w:hAnsi="Verdana"/>
          <w:sz w:val="24"/>
          <w:szCs w:val="24"/>
          <w:lang w:val="en-GB"/>
        </w:rPr>
        <w:t xml:space="preserve"> No </w:t>
      </w:r>
      <w:r w:rsidRPr="001E7395">
        <w:rPr>
          <w:rFonts w:ascii="Verdana" w:hAnsi="Verdana"/>
          <w:sz w:val="24"/>
          <w:szCs w:val="24"/>
          <w:lang w:val="en-GB"/>
        </w:rPr>
        <w:t>3</w:t>
      </w:r>
      <w:r w:rsidR="00AB1654" w:rsidRPr="001E7395">
        <w:rPr>
          <w:rFonts w:ascii="Verdana" w:hAnsi="Verdana"/>
          <w:sz w:val="24"/>
          <w:szCs w:val="24"/>
          <w:lang w:val="en-GB"/>
        </w:rPr>
        <w:t xml:space="preserve">, pp. </w:t>
      </w:r>
      <w:r w:rsidRPr="001E7395">
        <w:rPr>
          <w:rFonts w:ascii="Verdana" w:hAnsi="Verdana"/>
          <w:sz w:val="24"/>
          <w:szCs w:val="24"/>
          <w:lang w:val="en-GB"/>
        </w:rPr>
        <w:t>268-</w:t>
      </w:r>
      <w:r w:rsidR="00AB1654" w:rsidRPr="001E7395">
        <w:rPr>
          <w:rFonts w:ascii="Verdana" w:hAnsi="Verdana"/>
          <w:sz w:val="24"/>
          <w:szCs w:val="24"/>
          <w:lang w:val="en-GB"/>
        </w:rPr>
        <w:t>2</w:t>
      </w:r>
      <w:r w:rsidRPr="001E7395">
        <w:rPr>
          <w:rFonts w:ascii="Verdana" w:hAnsi="Verdana"/>
          <w:sz w:val="24"/>
          <w:szCs w:val="24"/>
          <w:lang w:val="en-GB"/>
        </w:rPr>
        <w:t>75.</w:t>
      </w:r>
    </w:p>
    <w:p w14:paraId="1ECCF5F0" w14:textId="60045900" w:rsidR="00C178C3" w:rsidRPr="002353FE" w:rsidRDefault="00C178C3" w:rsidP="001E7395">
      <w:pPr>
        <w:widowControl w:val="0"/>
        <w:autoSpaceDE w:val="0"/>
        <w:autoSpaceDN w:val="0"/>
        <w:adjustRightInd w:val="0"/>
        <w:spacing w:after="120" w:line="360" w:lineRule="auto"/>
        <w:ind w:left="142"/>
        <w:jc w:val="both"/>
        <w:rPr>
          <w:rFonts w:ascii="Verdana" w:hAnsi="Verdana"/>
          <w:sz w:val="24"/>
          <w:szCs w:val="24"/>
          <w:lang w:val="en-GB"/>
        </w:rPr>
      </w:pPr>
      <w:r w:rsidRPr="001E7395">
        <w:rPr>
          <w:rFonts w:ascii="Verdana" w:hAnsi="Verdana"/>
          <w:sz w:val="24"/>
          <w:szCs w:val="24"/>
          <w:lang w:val="en-GB"/>
        </w:rPr>
        <w:t>Leyshon, A.</w:t>
      </w:r>
      <w:r w:rsidR="00AB1654" w:rsidRPr="001E7395">
        <w:rPr>
          <w:rFonts w:ascii="Verdana" w:hAnsi="Verdana"/>
          <w:sz w:val="24"/>
          <w:szCs w:val="24"/>
          <w:lang w:val="en-GB"/>
        </w:rPr>
        <w:t xml:space="preserve"> and</w:t>
      </w:r>
      <w:r w:rsidRPr="001E7395">
        <w:rPr>
          <w:rFonts w:ascii="Verdana" w:hAnsi="Verdana"/>
          <w:sz w:val="24"/>
          <w:szCs w:val="24"/>
          <w:lang w:val="en-GB"/>
        </w:rPr>
        <w:t xml:space="preserve"> Thrift, N. (1995)</w:t>
      </w:r>
      <w:r w:rsidR="00AB1654" w:rsidRPr="001E7395">
        <w:rPr>
          <w:rFonts w:ascii="Verdana" w:hAnsi="Verdana"/>
          <w:sz w:val="24"/>
          <w:szCs w:val="24"/>
          <w:lang w:val="en-GB"/>
        </w:rPr>
        <w:t>,</w:t>
      </w:r>
      <w:r w:rsidRPr="001E7395">
        <w:rPr>
          <w:rFonts w:ascii="Verdana" w:hAnsi="Verdana"/>
          <w:sz w:val="24"/>
          <w:szCs w:val="24"/>
          <w:lang w:val="en-GB"/>
        </w:rPr>
        <w:t xml:space="preserve"> </w:t>
      </w:r>
      <w:r w:rsidR="00AB1654" w:rsidRPr="001E7395">
        <w:rPr>
          <w:rFonts w:ascii="Verdana" w:hAnsi="Verdana"/>
          <w:sz w:val="24"/>
          <w:szCs w:val="24"/>
          <w:lang w:val="en-GB"/>
        </w:rPr>
        <w:t>“</w:t>
      </w:r>
      <w:r w:rsidRPr="001E7395">
        <w:rPr>
          <w:rFonts w:ascii="Verdana" w:hAnsi="Verdana"/>
          <w:sz w:val="24"/>
          <w:szCs w:val="24"/>
          <w:lang w:val="en-GB"/>
        </w:rPr>
        <w:t>Geographies of Financial Exclusion: Financial Abandonment in Britain and the United States</w:t>
      </w:r>
      <w:r w:rsidR="00AB1654" w:rsidRPr="001E7395">
        <w:rPr>
          <w:rFonts w:ascii="Verdana" w:hAnsi="Verdana"/>
          <w:sz w:val="24"/>
          <w:szCs w:val="24"/>
          <w:lang w:val="en-GB"/>
        </w:rPr>
        <w:t xml:space="preserve">”, </w:t>
      </w:r>
      <w:r w:rsidRPr="001E7395">
        <w:rPr>
          <w:rFonts w:ascii="Verdana" w:hAnsi="Verdana"/>
          <w:i/>
          <w:iCs/>
          <w:sz w:val="24"/>
          <w:szCs w:val="24"/>
          <w:lang w:val="en-GB"/>
        </w:rPr>
        <w:t>Transactions of the Institute of British Geographers</w:t>
      </w:r>
      <w:r w:rsidRPr="001E7395">
        <w:rPr>
          <w:rFonts w:ascii="Verdana" w:hAnsi="Verdana"/>
          <w:sz w:val="24"/>
          <w:szCs w:val="24"/>
          <w:lang w:val="en-GB"/>
        </w:rPr>
        <w:t xml:space="preserve">, </w:t>
      </w:r>
      <w:r w:rsidR="00AB1654" w:rsidRPr="001E7395">
        <w:rPr>
          <w:rFonts w:ascii="Verdana" w:hAnsi="Verdana"/>
          <w:sz w:val="24"/>
          <w:szCs w:val="24"/>
          <w:lang w:val="en-GB"/>
        </w:rPr>
        <w:t xml:space="preserve">vol. </w:t>
      </w:r>
      <w:r w:rsidRPr="001E7395">
        <w:rPr>
          <w:rFonts w:ascii="Verdana" w:hAnsi="Verdana"/>
          <w:sz w:val="24"/>
          <w:szCs w:val="24"/>
          <w:lang w:val="en-GB"/>
        </w:rPr>
        <w:t>20</w:t>
      </w:r>
      <w:r w:rsidR="00AB1654" w:rsidRPr="001E7395">
        <w:rPr>
          <w:rFonts w:ascii="Verdana" w:hAnsi="Verdana"/>
          <w:sz w:val="24"/>
          <w:szCs w:val="24"/>
          <w:lang w:val="en-GB"/>
        </w:rPr>
        <w:t xml:space="preserve"> No </w:t>
      </w:r>
      <w:r w:rsidRPr="001E7395">
        <w:rPr>
          <w:rFonts w:ascii="Verdana" w:hAnsi="Verdana"/>
          <w:sz w:val="24"/>
          <w:szCs w:val="24"/>
          <w:lang w:val="en-GB"/>
        </w:rPr>
        <w:t>3,</w:t>
      </w:r>
      <w:r w:rsidR="00AB1654" w:rsidRPr="001E7395">
        <w:rPr>
          <w:rFonts w:ascii="Verdana" w:hAnsi="Verdana"/>
          <w:sz w:val="24"/>
          <w:szCs w:val="24"/>
          <w:lang w:val="en-GB"/>
        </w:rPr>
        <w:t xml:space="preserve"> pp.</w:t>
      </w:r>
      <w:r w:rsidRPr="001E7395">
        <w:rPr>
          <w:rFonts w:ascii="Verdana" w:hAnsi="Verdana"/>
          <w:sz w:val="24"/>
          <w:szCs w:val="24"/>
          <w:lang w:val="en-GB"/>
        </w:rPr>
        <w:t xml:space="preserve"> 312–</w:t>
      </w:r>
      <w:r w:rsidR="00AB1654" w:rsidRPr="001E7395">
        <w:rPr>
          <w:rFonts w:ascii="Verdana" w:hAnsi="Verdana"/>
          <w:sz w:val="24"/>
          <w:szCs w:val="24"/>
          <w:lang w:val="en-GB"/>
        </w:rPr>
        <w:t>3</w:t>
      </w:r>
      <w:r w:rsidRPr="001E7395">
        <w:rPr>
          <w:rFonts w:ascii="Verdana" w:hAnsi="Verdana"/>
          <w:sz w:val="24"/>
          <w:szCs w:val="24"/>
          <w:lang w:val="en-GB"/>
        </w:rPr>
        <w:t>41.</w:t>
      </w:r>
      <w:r w:rsidRPr="002353FE">
        <w:rPr>
          <w:rFonts w:ascii="Verdana" w:hAnsi="Verdana"/>
          <w:sz w:val="24"/>
          <w:szCs w:val="24"/>
          <w:lang w:val="en-GB"/>
        </w:rPr>
        <w:t xml:space="preserve"> </w:t>
      </w:r>
    </w:p>
    <w:p w14:paraId="298F3E78" w14:textId="63A6588C" w:rsidR="00894185" w:rsidRPr="002353FE" w:rsidRDefault="00894185" w:rsidP="001E7395">
      <w:pPr>
        <w:spacing w:after="120" w:line="360" w:lineRule="auto"/>
        <w:ind w:left="142"/>
        <w:jc w:val="both"/>
        <w:rPr>
          <w:rFonts w:ascii="Verdana" w:hAnsi="Verdana"/>
          <w:sz w:val="24"/>
          <w:szCs w:val="24"/>
          <w:lang w:val="en-US"/>
        </w:rPr>
      </w:pPr>
      <w:r w:rsidRPr="002353FE">
        <w:rPr>
          <w:rFonts w:ascii="Verdana" w:hAnsi="Verdana"/>
          <w:sz w:val="24"/>
          <w:szCs w:val="24"/>
          <w:lang w:val="en-US"/>
        </w:rPr>
        <w:t>Lunn, P., and Lyons</w:t>
      </w:r>
      <w:r w:rsidR="008D4CA3" w:rsidRPr="002353FE">
        <w:rPr>
          <w:rFonts w:ascii="Verdana" w:hAnsi="Verdana"/>
          <w:sz w:val="24"/>
          <w:szCs w:val="24"/>
          <w:lang w:val="en-US"/>
        </w:rPr>
        <w:t>, S</w:t>
      </w:r>
      <w:r w:rsidRPr="002353FE">
        <w:rPr>
          <w:rFonts w:ascii="Verdana" w:hAnsi="Verdana"/>
          <w:sz w:val="24"/>
          <w:szCs w:val="24"/>
          <w:lang w:val="en-US"/>
        </w:rPr>
        <w:t xml:space="preserve">. </w:t>
      </w:r>
      <w:r w:rsidR="008D4CA3" w:rsidRPr="002353FE">
        <w:rPr>
          <w:rFonts w:ascii="Verdana" w:hAnsi="Verdana"/>
          <w:sz w:val="24"/>
          <w:szCs w:val="24"/>
          <w:lang w:val="en-US"/>
        </w:rPr>
        <w:t>(</w:t>
      </w:r>
      <w:r w:rsidRPr="002353FE">
        <w:rPr>
          <w:rFonts w:ascii="Verdana" w:hAnsi="Verdana"/>
          <w:sz w:val="24"/>
          <w:szCs w:val="24"/>
          <w:lang w:val="en-US"/>
        </w:rPr>
        <w:t>2010</w:t>
      </w:r>
      <w:r w:rsidR="008D4CA3" w:rsidRPr="002353FE">
        <w:rPr>
          <w:rFonts w:ascii="Verdana" w:hAnsi="Verdana"/>
          <w:sz w:val="24"/>
          <w:szCs w:val="24"/>
          <w:lang w:val="en-US"/>
        </w:rPr>
        <w:t>)</w:t>
      </w:r>
      <w:r w:rsidR="003F180B" w:rsidRPr="002353FE">
        <w:rPr>
          <w:rFonts w:ascii="Verdana" w:hAnsi="Verdana"/>
          <w:sz w:val="24"/>
          <w:szCs w:val="24"/>
          <w:lang w:val="en-US"/>
        </w:rPr>
        <w:t>,</w:t>
      </w:r>
      <w:r w:rsidRPr="002353FE">
        <w:rPr>
          <w:rFonts w:ascii="Verdana" w:hAnsi="Verdana"/>
          <w:sz w:val="24"/>
          <w:szCs w:val="24"/>
          <w:lang w:val="en-US"/>
        </w:rPr>
        <w:t xml:space="preserve"> “Behavioural Economics and “Vulnerable Consumers”: A Summary of Evidence”. Communications Consumer Panel.</w:t>
      </w:r>
    </w:p>
    <w:p w14:paraId="155F3054" w14:textId="35FA6176" w:rsidR="00AE6F59" w:rsidRPr="002353FE" w:rsidRDefault="0093782B" w:rsidP="001E7395">
      <w:pPr>
        <w:spacing w:after="120" w:line="360" w:lineRule="auto"/>
        <w:ind w:left="142"/>
        <w:jc w:val="both"/>
        <w:rPr>
          <w:rFonts w:ascii="Verdana" w:eastAsia="Times New Roman" w:hAnsi="Verdana" w:cs="Arial"/>
          <w:sz w:val="24"/>
          <w:szCs w:val="24"/>
          <w:lang w:val="en-GB" w:eastAsia="en-GB"/>
        </w:rPr>
      </w:pPr>
      <w:r w:rsidRPr="002353FE">
        <w:rPr>
          <w:rFonts w:ascii="Verdana" w:hAnsi="Verdana"/>
          <w:sz w:val="24"/>
          <w:szCs w:val="24"/>
          <w:lang w:val="en-US"/>
        </w:rPr>
        <w:t>Lusardi, A.</w:t>
      </w:r>
      <w:r w:rsidR="00625CBB" w:rsidRPr="002353FE">
        <w:rPr>
          <w:rFonts w:ascii="Verdana" w:hAnsi="Verdana"/>
          <w:sz w:val="24"/>
          <w:szCs w:val="24"/>
          <w:lang w:val="en-US"/>
        </w:rPr>
        <w:t>,</w:t>
      </w:r>
      <w:r w:rsidRPr="002353FE">
        <w:rPr>
          <w:rFonts w:ascii="Verdana" w:hAnsi="Verdana"/>
          <w:sz w:val="24"/>
          <w:szCs w:val="24"/>
          <w:lang w:val="en-US"/>
        </w:rPr>
        <w:t xml:space="preserve"> Michaud</w:t>
      </w:r>
      <w:r w:rsidR="00625CBB" w:rsidRPr="002353FE">
        <w:rPr>
          <w:rFonts w:ascii="Verdana" w:hAnsi="Verdana"/>
          <w:sz w:val="24"/>
          <w:szCs w:val="24"/>
          <w:lang w:val="en-US"/>
        </w:rPr>
        <w:t>,</w:t>
      </w:r>
      <w:r w:rsidR="008D4CA3" w:rsidRPr="002353FE">
        <w:rPr>
          <w:rFonts w:ascii="Verdana" w:hAnsi="Verdana"/>
          <w:sz w:val="24"/>
          <w:szCs w:val="24"/>
          <w:lang w:val="en-US"/>
        </w:rPr>
        <w:t xml:space="preserve"> P.C.</w:t>
      </w:r>
      <w:r w:rsidRPr="002353FE">
        <w:rPr>
          <w:rFonts w:ascii="Verdana" w:hAnsi="Verdana"/>
          <w:sz w:val="24"/>
          <w:szCs w:val="24"/>
          <w:lang w:val="en-US"/>
        </w:rPr>
        <w:t xml:space="preserve"> </w:t>
      </w:r>
      <w:r w:rsidRPr="002353FE">
        <w:rPr>
          <w:rFonts w:ascii="Verdana" w:hAnsi="Verdana"/>
          <w:sz w:val="24"/>
          <w:szCs w:val="24"/>
          <w:lang w:val="en-GB"/>
        </w:rPr>
        <w:t>and Mitchel</w:t>
      </w:r>
      <w:r w:rsidR="008D4CA3" w:rsidRPr="002353FE">
        <w:rPr>
          <w:rFonts w:ascii="Verdana" w:hAnsi="Verdana"/>
          <w:sz w:val="24"/>
          <w:szCs w:val="24"/>
          <w:lang w:val="en-GB"/>
        </w:rPr>
        <w:t>, O. S. (</w:t>
      </w:r>
      <w:r w:rsidRPr="002353FE">
        <w:rPr>
          <w:rFonts w:ascii="Verdana" w:hAnsi="Verdana"/>
          <w:sz w:val="24"/>
          <w:szCs w:val="24"/>
          <w:lang w:val="en-GB"/>
        </w:rPr>
        <w:t>2015</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5F7250" w:rsidRPr="002353FE">
        <w:rPr>
          <w:rFonts w:ascii="Verdana" w:hAnsi="Verdana"/>
          <w:sz w:val="24"/>
          <w:szCs w:val="24"/>
          <w:lang w:val="en-GB"/>
        </w:rPr>
        <w:t>“</w:t>
      </w:r>
      <w:r w:rsidRPr="002353FE">
        <w:rPr>
          <w:rFonts w:ascii="Verdana" w:hAnsi="Verdana"/>
          <w:sz w:val="24"/>
          <w:szCs w:val="24"/>
          <w:lang w:val="en-GB"/>
        </w:rPr>
        <w:t>Optim</w:t>
      </w:r>
      <w:r w:rsidR="005F7250" w:rsidRPr="002353FE">
        <w:rPr>
          <w:rFonts w:ascii="Verdana" w:hAnsi="Verdana"/>
          <w:sz w:val="24"/>
          <w:szCs w:val="24"/>
          <w:lang w:val="en-GB"/>
        </w:rPr>
        <w:t>al</w:t>
      </w:r>
      <w:r w:rsidRPr="002353FE">
        <w:rPr>
          <w:rFonts w:ascii="Verdana" w:hAnsi="Verdana"/>
          <w:sz w:val="24"/>
          <w:szCs w:val="24"/>
          <w:lang w:val="en-GB"/>
        </w:rPr>
        <w:t xml:space="preserve"> Financial </w:t>
      </w:r>
      <w:r w:rsidR="00625CBB" w:rsidRPr="002353FE">
        <w:rPr>
          <w:rFonts w:ascii="Verdana" w:hAnsi="Verdana"/>
          <w:sz w:val="24"/>
          <w:szCs w:val="24"/>
          <w:lang w:val="en-GB"/>
        </w:rPr>
        <w:t>Knowledge and Wealth Inequality”</w:t>
      </w:r>
      <w:r w:rsidR="00F63D9F" w:rsidRPr="002353FE">
        <w:rPr>
          <w:rFonts w:ascii="Verdana" w:hAnsi="Verdana"/>
          <w:sz w:val="24"/>
          <w:szCs w:val="24"/>
          <w:lang w:val="en-GB"/>
        </w:rPr>
        <w:t>,</w:t>
      </w:r>
      <w:r w:rsidRPr="002353FE">
        <w:rPr>
          <w:rFonts w:ascii="Verdana" w:hAnsi="Verdana"/>
          <w:sz w:val="24"/>
          <w:szCs w:val="24"/>
          <w:lang w:val="en-GB"/>
        </w:rPr>
        <w:t xml:space="preserve"> Working</w:t>
      </w:r>
      <w:r w:rsidR="00AE6F59" w:rsidRPr="002353FE">
        <w:rPr>
          <w:rFonts w:ascii="Verdana" w:hAnsi="Verdana"/>
          <w:sz w:val="24"/>
          <w:szCs w:val="24"/>
          <w:lang w:val="en-GB"/>
        </w:rPr>
        <w:t xml:space="preserve"> paper Pensions Research Centre and </w:t>
      </w:r>
      <w:r w:rsidR="00AE6F59" w:rsidRPr="002353FE">
        <w:rPr>
          <w:rFonts w:ascii="Verdana" w:eastAsia="Times New Roman" w:hAnsi="Verdana" w:cs="Arial"/>
          <w:sz w:val="24"/>
          <w:szCs w:val="24"/>
          <w:lang w:val="en-GB" w:eastAsia="en-GB"/>
        </w:rPr>
        <w:t>Boettne Centrer. The Wharton School of the University of Pennsylvania.</w:t>
      </w:r>
    </w:p>
    <w:p w14:paraId="2DEBE02A" w14:textId="1489261F" w:rsidR="00E17D39" w:rsidRPr="002353FE" w:rsidRDefault="00E17D39"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Lusardi, A. and Mitchell</w:t>
      </w:r>
      <w:r w:rsidR="008D4CA3" w:rsidRPr="002353FE">
        <w:rPr>
          <w:rFonts w:ascii="Verdana" w:hAnsi="Verdana"/>
          <w:sz w:val="24"/>
          <w:szCs w:val="24"/>
          <w:lang w:val="en-GB"/>
        </w:rPr>
        <w:t>, O. S.</w:t>
      </w:r>
      <w:r w:rsidRPr="002353FE">
        <w:rPr>
          <w:rFonts w:ascii="Verdana" w:hAnsi="Verdana"/>
          <w:sz w:val="24"/>
          <w:szCs w:val="24"/>
          <w:lang w:val="en-GB"/>
        </w:rPr>
        <w:t xml:space="preserve"> </w:t>
      </w:r>
      <w:r w:rsidR="008D4CA3" w:rsidRPr="002353FE">
        <w:rPr>
          <w:rFonts w:ascii="Verdana" w:hAnsi="Verdana"/>
          <w:sz w:val="24"/>
          <w:szCs w:val="24"/>
          <w:lang w:val="en-GB"/>
        </w:rPr>
        <w:t>(</w:t>
      </w:r>
      <w:r w:rsidRPr="002353FE">
        <w:rPr>
          <w:rFonts w:ascii="Verdana" w:hAnsi="Verdana"/>
          <w:sz w:val="24"/>
          <w:szCs w:val="24"/>
          <w:lang w:val="en-GB"/>
        </w:rPr>
        <w:t>2014</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625CBB" w:rsidRPr="002353FE">
        <w:rPr>
          <w:rFonts w:ascii="Verdana" w:hAnsi="Verdana"/>
          <w:sz w:val="24"/>
          <w:szCs w:val="24"/>
          <w:lang w:val="en-GB"/>
        </w:rPr>
        <w:t>“</w:t>
      </w:r>
      <w:r w:rsidRPr="002353FE">
        <w:rPr>
          <w:rFonts w:ascii="Verdana" w:hAnsi="Verdana"/>
          <w:sz w:val="24"/>
          <w:szCs w:val="24"/>
          <w:lang w:val="en-GB"/>
        </w:rPr>
        <w:t>The Economic Importance of Financial Literacy: Theory and Evidence”</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Journal of Economic Literature</w:t>
      </w:r>
      <w:r w:rsidR="008D4CA3" w:rsidRPr="002353FE">
        <w:rPr>
          <w:rFonts w:ascii="Verdana" w:hAnsi="Verdana"/>
          <w:sz w:val="24"/>
          <w:szCs w:val="24"/>
          <w:lang w:val="en-GB"/>
        </w:rPr>
        <w:t xml:space="preserve">, vol. </w:t>
      </w:r>
      <w:r w:rsidRPr="002353FE">
        <w:rPr>
          <w:rFonts w:ascii="Verdana" w:hAnsi="Verdana"/>
          <w:sz w:val="24"/>
          <w:szCs w:val="24"/>
          <w:lang w:val="en-GB"/>
        </w:rPr>
        <w:t>52</w:t>
      </w:r>
      <w:r w:rsidR="008D4CA3" w:rsidRPr="002353FE">
        <w:rPr>
          <w:rFonts w:ascii="Verdana" w:hAnsi="Verdana"/>
          <w:sz w:val="24"/>
          <w:szCs w:val="24"/>
          <w:lang w:val="en-GB"/>
        </w:rPr>
        <w:t xml:space="preserve"> No </w:t>
      </w:r>
      <w:r w:rsidRPr="002353FE">
        <w:rPr>
          <w:rFonts w:ascii="Verdana" w:hAnsi="Verdana"/>
          <w:sz w:val="24"/>
          <w:szCs w:val="24"/>
          <w:lang w:val="en-GB"/>
        </w:rPr>
        <w:t>1</w:t>
      </w:r>
      <w:r w:rsidR="008D4CA3" w:rsidRPr="002353FE">
        <w:rPr>
          <w:rFonts w:ascii="Verdana" w:hAnsi="Verdana"/>
          <w:sz w:val="24"/>
          <w:szCs w:val="24"/>
          <w:lang w:val="en-GB"/>
        </w:rPr>
        <w:t xml:space="preserve">, pp. </w:t>
      </w:r>
      <w:r w:rsidRPr="002353FE">
        <w:rPr>
          <w:rFonts w:ascii="Verdana" w:hAnsi="Verdana"/>
          <w:sz w:val="24"/>
          <w:szCs w:val="24"/>
          <w:lang w:val="en-GB"/>
        </w:rPr>
        <w:t xml:space="preserve">5-44. </w:t>
      </w:r>
    </w:p>
    <w:p w14:paraId="6FB898E6" w14:textId="5DF9DD0B" w:rsidR="006C307B" w:rsidRPr="001E7395" w:rsidRDefault="006C307B" w:rsidP="001E7395">
      <w:pPr>
        <w:spacing w:after="120" w:line="360" w:lineRule="auto"/>
        <w:ind w:left="142"/>
        <w:jc w:val="both"/>
        <w:rPr>
          <w:rFonts w:ascii="Verdana" w:hAnsi="Verdana"/>
          <w:sz w:val="24"/>
          <w:szCs w:val="24"/>
          <w:lang w:val="en-GB"/>
        </w:rPr>
      </w:pPr>
      <w:r w:rsidRPr="001E7395">
        <w:rPr>
          <w:rFonts w:ascii="Verdana" w:hAnsi="Verdana"/>
          <w:sz w:val="24"/>
          <w:szCs w:val="24"/>
          <w:lang w:val="en-GB"/>
        </w:rPr>
        <w:t>Marshall, J. N. (2004)</w:t>
      </w:r>
      <w:r w:rsidR="000F136F" w:rsidRPr="001E7395">
        <w:rPr>
          <w:rFonts w:ascii="Verdana" w:hAnsi="Verdana"/>
          <w:sz w:val="24"/>
          <w:szCs w:val="24"/>
          <w:lang w:val="en-GB"/>
        </w:rPr>
        <w:t>,</w:t>
      </w:r>
      <w:r w:rsidRPr="001E7395">
        <w:rPr>
          <w:rFonts w:ascii="Verdana" w:hAnsi="Verdana"/>
          <w:sz w:val="24"/>
          <w:szCs w:val="24"/>
          <w:lang w:val="en-GB"/>
        </w:rPr>
        <w:t xml:space="preserve"> </w:t>
      </w:r>
      <w:r w:rsidR="000F136F" w:rsidRPr="001E7395">
        <w:rPr>
          <w:rFonts w:ascii="Verdana" w:hAnsi="Verdana"/>
          <w:sz w:val="24"/>
          <w:szCs w:val="24"/>
          <w:lang w:val="en-GB"/>
        </w:rPr>
        <w:t>“</w:t>
      </w:r>
      <w:r w:rsidRPr="001E7395">
        <w:rPr>
          <w:rFonts w:ascii="Verdana" w:hAnsi="Verdana"/>
          <w:sz w:val="24"/>
          <w:szCs w:val="24"/>
          <w:lang w:val="en-GB"/>
        </w:rPr>
        <w:t>Financial institutions in disadvantaged areas: a comparative analysis of policies encouraging financial inclusion in Britain and the United States</w:t>
      </w:r>
      <w:r w:rsidR="000F136F"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Environment and Planning A</w:t>
      </w:r>
      <w:r w:rsidRPr="001E7395">
        <w:rPr>
          <w:rFonts w:ascii="Verdana" w:hAnsi="Verdana"/>
          <w:sz w:val="24"/>
          <w:szCs w:val="24"/>
          <w:lang w:val="en-GB"/>
        </w:rPr>
        <w:t>, vol 36, pp. 241-261.</w:t>
      </w:r>
    </w:p>
    <w:p w14:paraId="17908737" w14:textId="6A5D7F6A" w:rsidR="006C307B" w:rsidRPr="001E7395" w:rsidRDefault="006C307B" w:rsidP="001E7395">
      <w:pPr>
        <w:spacing w:after="120" w:line="360" w:lineRule="auto"/>
        <w:ind w:left="142"/>
        <w:jc w:val="both"/>
        <w:rPr>
          <w:rFonts w:ascii="Verdana" w:hAnsi="Verdana"/>
          <w:sz w:val="24"/>
          <w:szCs w:val="24"/>
          <w:lang w:val="en-GB"/>
        </w:rPr>
      </w:pPr>
      <w:r w:rsidRPr="001E7395">
        <w:rPr>
          <w:rFonts w:ascii="Verdana" w:hAnsi="Verdana"/>
          <w:sz w:val="24"/>
          <w:szCs w:val="24"/>
          <w:lang w:val="en-GB"/>
        </w:rPr>
        <w:t>Martin, S. and Mainelli, M. (2003)</w:t>
      </w:r>
      <w:r w:rsidR="000F136F" w:rsidRPr="001E7395">
        <w:rPr>
          <w:rFonts w:ascii="Verdana" w:hAnsi="Verdana"/>
          <w:sz w:val="24"/>
          <w:szCs w:val="24"/>
          <w:lang w:val="en-GB"/>
        </w:rPr>
        <w:t>, “</w:t>
      </w:r>
      <w:r w:rsidRPr="001E7395">
        <w:rPr>
          <w:rFonts w:ascii="Verdana" w:hAnsi="Verdana"/>
          <w:sz w:val="24"/>
          <w:szCs w:val="24"/>
          <w:lang w:val="en-GB"/>
        </w:rPr>
        <w:t>Why bother to be better? Strategically stagnant personal current accounts</w:t>
      </w:r>
      <w:r w:rsidR="000F136F"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Strategic Change</w:t>
      </w:r>
      <w:r w:rsidR="000F136F" w:rsidRPr="001E7395">
        <w:rPr>
          <w:rFonts w:ascii="Verdana" w:hAnsi="Verdana"/>
          <w:sz w:val="24"/>
          <w:szCs w:val="24"/>
          <w:lang w:val="en-GB"/>
        </w:rPr>
        <w:t xml:space="preserve">, vol. </w:t>
      </w:r>
      <w:r w:rsidRPr="001E7395">
        <w:rPr>
          <w:rFonts w:ascii="Verdana" w:hAnsi="Verdana"/>
          <w:sz w:val="24"/>
          <w:szCs w:val="24"/>
          <w:lang w:val="en-GB"/>
        </w:rPr>
        <w:t>12</w:t>
      </w:r>
      <w:r w:rsidR="000F136F" w:rsidRPr="001E7395">
        <w:rPr>
          <w:rFonts w:ascii="Verdana" w:hAnsi="Verdana"/>
          <w:sz w:val="24"/>
          <w:szCs w:val="24"/>
          <w:lang w:val="en-GB"/>
        </w:rPr>
        <w:t xml:space="preserve">, pp. </w:t>
      </w:r>
      <w:r w:rsidRPr="001E7395">
        <w:rPr>
          <w:rFonts w:ascii="Verdana" w:hAnsi="Verdana"/>
          <w:sz w:val="24"/>
          <w:szCs w:val="24"/>
          <w:lang w:val="en-GB"/>
        </w:rPr>
        <w:t>209–221</w:t>
      </w:r>
      <w:r w:rsidR="000F136F" w:rsidRPr="001E7395">
        <w:rPr>
          <w:rFonts w:ascii="Verdana" w:hAnsi="Verdana"/>
          <w:sz w:val="24"/>
          <w:szCs w:val="24"/>
          <w:lang w:val="en-GB"/>
        </w:rPr>
        <w:t>.</w:t>
      </w:r>
      <w:r w:rsidRPr="001E7395">
        <w:rPr>
          <w:rFonts w:ascii="Verdana" w:hAnsi="Verdana"/>
          <w:sz w:val="24"/>
          <w:szCs w:val="24"/>
          <w:lang w:val="en-GB"/>
        </w:rPr>
        <w:t xml:space="preserve"> </w:t>
      </w:r>
    </w:p>
    <w:p w14:paraId="1EA018A2" w14:textId="690A3F2E" w:rsidR="006C307B" w:rsidRPr="002353FE" w:rsidRDefault="006C307B" w:rsidP="001E7395">
      <w:pPr>
        <w:spacing w:after="120" w:line="360" w:lineRule="auto"/>
        <w:ind w:left="142"/>
        <w:jc w:val="both"/>
        <w:rPr>
          <w:rFonts w:ascii="Verdana" w:hAnsi="Verdana"/>
          <w:sz w:val="24"/>
          <w:szCs w:val="24"/>
          <w:lang w:val="en-GB"/>
        </w:rPr>
      </w:pPr>
      <w:r w:rsidRPr="001E7395">
        <w:rPr>
          <w:rFonts w:ascii="Verdana" w:hAnsi="Verdana"/>
          <w:sz w:val="24"/>
          <w:szCs w:val="24"/>
          <w:lang w:val="en-GB"/>
        </w:rPr>
        <w:t>Mavri, M. and Ioannou, G. (2008)</w:t>
      </w:r>
      <w:r w:rsidR="00CA605E" w:rsidRPr="001E7395">
        <w:rPr>
          <w:rFonts w:ascii="Verdana" w:hAnsi="Verdana"/>
          <w:sz w:val="24"/>
          <w:szCs w:val="24"/>
          <w:lang w:val="en-GB"/>
        </w:rPr>
        <w:t>,</w:t>
      </w:r>
      <w:r w:rsidRPr="001E7395">
        <w:rPr>
          <w:rFonts w:ascii="Verdana" w:hAnsi="Verdana"/>
          <w:sz w:val="24"/>
          <w:szCs w:val="24"/>
          <w:lang w:val="en-GB"/>
        </w:rPr>
        <w:t xml:space="preserve"> </w:t>
      </w:r>
      <w:r w:rsidR="00CA605E" w:rsidRPr="001E7395">
        <w:rPr>
          <w:rFonts w:ascii="Verdana" w:hAnsi="Verdana"/>
          <w:sz w:val="24"/>
          <w:szCs w:val="24"/>
          <w:lang w:val="en-GB"/>
        </w:rPr>
        <w:t>“</w:t>
      </w:r>
      <w:r w:rsidRPr="001E7395">
        <w:rPr>
          <w:rFonts w:ascii="Verdana" w:hAnsi="Verdana"/>
          <w:sz w:val="24"/>
          <w:szCs w:val="24"/>
          <w:lang w:val="en-GB"/>
        </w:rPr>
        <w:t>Customer switching behaviour in Greek banking services using survival analysis</w:t>
      </w:r>
      <w:r w:rsidR="00CA605E"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Managerial Finance</w:t>
      </w:r>
      <w:r w:rsidR="00CA605E" w:rsidRPr="001E7395">
        <w:rPr>
          <w:rFonts w:ascii="Verdana" w:hAnsi="Verdana"/>
          <w:sz w:val="24"/>
          <w:szCs w:val="24"/>
          <w:lang w:val="en-GB"/>
        </w:rPr>
        <w:t>, v</w:t>
      </w:r>
      <w:r w:rsidRPr="001E7395">
        <w:rPr>
          <w:rFonts w:ascii="Verdana" w:hAnsi="Verdana"/>
          <w:sz w:val="24"/>
          <w:szCs w:val="24"/>
          <w:lang w:val="en-GB"/>
        </w:rPr>
        <w:t>ol. 34 No. 3, pp. 186-197</w:t>
      </w:r>
      <w:r w:rsidR="000F136F" w:rsidRPr="001E7395">
        <w:rPr>
          <w:rFonts w:ascii="Verdana" w:hAnsi="Verdana"/>
          <w:sz w:val="24"/>
          <w:szCs w:val="24"/>
          <w:lang w:val="en-GB"/>
        </w:rPr>
        <w:t>.</w:t>
      </w:r>
    </w:p>
    <w:p w14:paraId="4D03804D" w14:textId="72797DC6" w:rsidR="004E3E4C" w:rsidRPr="002353FE" w:rsidRDefault="004E3E4C"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Miller</w:t>
      </w:r>
      <w:r w:rsidR="006B300B" w:rsidRPr="002353FE">
        <w:rPr>
          <w:rFonts w:ascii="Verdana" w:hAnsi="Verdana"/>
          <w:sz w:val="24"/>
          <w:szCs w:val="24"/>
          <w:lang w:val="en-GB"/>
        </w:rPr>
        <w:t>,</w:t>
      </w:r>
      <w:r w:rsidRPr="002353FE">
        <w:rPr>
          <w:rFonts w:ascii="Verdana" w:hAnsi="Verdana"/>
          <w:sz w:val="24"/>
          <w:szCs w:val="24"/>
          <w:lang w:val="en-GB"/>
        </w:rPr>
        <w:t xml:space="preserve"> M</w:t>
      </w:r>
      <w:r w:rsidR="006B300B" w:rsidRPr="002353FE">
        <w:rPr>
          <w:rFonts w:ascii="Verdana" w:hAnsi="Verdana"/>
          <w:sz w:val="24"/>
          <w:szCs w:val="24"/>
          <w:lang w:val="en-GB"/>
        </w:rPr>
        <w:t>.</w:t>
      </w:r>
      <w:r w:rsidR="00AE6F59" w:rsidRPr="002353FE">
        <w:rPr>
          <w:rFonts w:ascii="Verdana" w:hAnsi="Verdana"/>
          <w:sz w:val="24"/>
          <w:szCs w:val="24"/>
          <w:lang w:val="en-GB"/>
        </w:rPr>
        <w:t>, Reichelstein</w:t>
      </w:r>
      <w:r w:rsidR="00625CBB" w:rsidRPr="002353FE">
        <w:rPr>
          <w:rFonts w:ascii="Verdana" w:hAnsi="Verdana"/>
          <w:sz w:val="24"/>
          <w:szCs w:val="24"/>
          <w:lang w:val="en-GB"/>
        </w:rPr>
        <w:t>,</w:t>
      </w:r>
      <w:r w:rsidR="008D4CA3" w:rsidRPr="002353FE">
        <w:rPr>
          <w:rFonts w:ascii="Verdana" w:hAnsi="Verdana"/>
          <w:sz w:val="24"/>
          <w:szCs w:val="24"/>
          <w:lang w:val="en-GB"/>
        </w:rPr>
        <w:t xml:space="preserve"> J.</w:t>
      </w:r>
      <w:r w:rsidR="00AE6F59" w:rsidRPr="002353FE">
        <w:rPr>
          <w:rFonts w:ascii="Verdana" w:hAnsi="Verdana"/>
          <w:sz w:val="24"/>
          <w:szCs w:val="24"/>
          <w:lang w:val="en-GB"/>
        </w:rPr>
        <w:t xml:space="preserve"> and</w:t>
      </w:r>
      <w:r w:rsidR="00985A02" w:rsidRPr="002353FE">
        <w:rPr>
          <w:rFonts w:ascii="Verdana" w:hAnsi="Verdana"/>
          <w:sz w:val="24"/>
          <w:szCs w:val="24"/>
          <w:lang w:val="en-GB"/>
        </w:rPr>
        <w:t xml:space="preserve"> </w:t>
      </w:r>
      <w:r w:rsidR="00AE6F59" w:rsidRPr="002353FE">
        <w:rPr>
          <w:rFonts w:ascii="Verdana" w:hAnsi="Verdana"/>
          <w:sz w:val="24"/>
          <w:szCs w:val="24"/>
          <w:lang w:val="en-GB"/>
        </w:rPr>
        <w:t>Zia</w:t>
      </w:r>
      <w:r w:rsidR="008D4CA3" w:rsidRPr="002353FE">
        <w:rPr>
          <w:rFonts w:ascii="Verdana" w:hAnsi="Verdana"/>
          <w:sz w:val="24"/>
          <w:szCs w:val="24"/>
          <w:lang w:val="en-GB"/>
        </w:rPr>
        <w:t>, B</w:t>
      </w:r>
      <w:r w:rsidR="00AE6F59" w:rsidRPr="002353FE">
        <w:rPr>
          <w:rFonts w:ascii="Verdana" w:hAnsi="Verdana"/>
          <w:sz w:val="24"/>
          <w:szCs w:val="24"/>
          <w:lang w:val="en-GB"/>
        </w:rPr>
        <w:t xml:space="preserve">. </w:t>
      </w:r>
      <w:r w:rsidR="008D4CA3" w:rsidRPr="002353FE">
        <w:rPr>
          <w:rFonts w:ascii="Verdana" w:hAnsi="Verdana"/>
          <w:sz w:val="24"/>
          <w:szCs w:val="24"/>
          <w:lang w:val="en-GB"/>
        </w:rPr>
        <w:t>(</w:t>
      </w:r>
      <w:r w:rsidRPr="002353FE">
        <w:rPr>
          <w:rFonts w:ascii="Verdana" w:hAnsi="Verdana"/>
          <w:sz w:val="24"/>
          <w:szCs w:val="24"/>
          <w:lang w:val="en-GB"/>
        </w:rPr>
        <w:t>2015</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“Can you Help Some</w:t>
      </w:r>
      <w:r w:rsidR="006B300B" w:rsidRPr="002353FE">
        <w:rPr>
          <w:rFonts w:ascii="Verdana" w:hAnsi="Verdana"/>
          <w:sz w:val="24"/>
          <w:szCs w:val="24"/>
          <w:lang w:val="en-GB"/>
        </w:rPr>
        <w:t>one</w:t>
      </w:r>
      <w:r w:rsidRPr="002353FE">
        <w:rPr>
          <w:rFonts w:ascii="Verdana" w:hAnsi="Verdana"/>
          <w:sz w:val="24"/>
          <w:szCs w:val="24"/>
          <w:lang w:val="en-GB"/>
        </w:rPr>
        <w:t xml:space="preserve"> Become Financial Capable? A Meta An</w:t>
      </w:r>
      <w:r w:rsidR="00AE6F59" w:rsidRPr="002353FE">
        <w:rPr>
          <w:rFonts w:ascii="Verdana" w:hAnsi="Verdana"/>
          <w:sz w:val="24"/>
          <w:szCs w:val="24"/>
          <w:lang w:val="en-GB"/>
        </w:rPr>
        <w:t>a</w:t>
      </w:r>
      <w:r w:rsidRPr="002353FE">
        <w:rPr>
          <w:rFonts w:ascii="Verdana" w:hAnsi="Verdana"/>
          <w:sz w:val="24"/>
          <w:szCs w:val="24"/>
          <w:lang w:val="en-GB"/>
        </w:rPr>
        <w:t>lysis of the Literature”</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The World Bank Research Observer</w:t>
      </w:r>
      <w:r w:rsidR="008D4CA3" w:rsidRPr="002353FE">
        <w:rPr>
          <w:rFonts w:ascii="Verdana" w:hAnsi="Verdana"/>
          <w:sz w:val="24"/>
          <w:szCs w:val="24"/>
          <w:lang w:val="en-GB"/>
        </w:rPr>
        <w:t xml:space="preserve">, vol. </w:t>
      </w:r>
      <w:r w:rsidRPr="002353FE">
        <w:rPr>
          <w:rFonts w:ascii="Verdana" w:hAnsi="Verdana"/>
          <w:sz w:val="24"/>
          <w:szCs w:val="24"/>
          <w:lang w:val="en-GB"/>
        </w:rPr>
        <w:t>30</w:t>
      </w:r>
      <w:r w:rsidR="008D4CA3" w:rsidRPr="002353FE">
        <w:rPr>
          <w:rFonts w:ascii="Verdana" w:hAnsi="Verdana"/>
          <w:sz w:val="24"/>
          <w:szCs w:val="24"/>
          <w:lang w:val="en-GB"/>
        </w:rPr>
        <w:t>, pp.</w:t>
      </w:r>
      <w:r w:rsidRPr="002353FE">
        <w:rPr>
          <w:rFonts w:ascii="Verdana" w:hAnsi="Verdana"/>
          <w:sz w:val="24"/>
          <w:szCs w:val="24"/>
          <w:lang w:val="en-GB"/>
        </w:rPr>
        <w:t xml:space="preserve"> 220-246.  </w:t>
      </w:r>
    </w:p>
    <w:p w14:paraId="6686FA2F" w14:textId="4CAD37D5" w:rsidR="006C307B" w:rsidRPr="002353FE" w:rsidRDefault="006C307B" w:rsidP="001E7395">
      <w:pPr>
        <w:spacing w:after="120" w:line="360" w:lineRule="auto"/>
        <w:ind w:left="142"/>
        <w:jc w:val="both"/>
        <w:rPr>
          <w:rFonts w:ascii="Verdana" w:hAnsi="Verdana"/>
          <w:sz w:val="24"/>
          <w:szCs w:val="24"/>
          <w:lang w:val="en-GB"/>
        </w:rPr>
      </w:pPr>
      <w:r w:rsidRPr="001E7395">
        <w:rPr>
          <w:rFonts w:ascii="Verdana" w:hAnsi="Verdana"/>
          <w:sz w:val="24"/>
          <w:szCs w:val="24"/>
          <w:lang w:val="en-GB"/>
        </w:rPr>
        <w:lastRenderedPageBreak/>
        <w:t>Ngau, M. C., Zins, A. H. and Rengasamy D. (2023)</w:t>
      </w:r>
      <w:r w:rsidR="000F136F" w:rsidRPr="001E7395">
        <w:rPr>
          <w:rFonts w:ascii="Verdana" w:hAnsi="Verdana"/>
          <w:sz w:val="24"/>
          <w:szCs w:val="24"/>
          <w:lang w:val="en-GB"/>
        </w:rPr>
        <w:t>,</w:t>
      </w:r>
      <w:r w:rsidRPr="001E7395">
        <w:rPr>
          <w:rFonts w:ascii="Verdana" w:hAnsi="Verdana"/>
          <w:sz w:val="24"/>
          <w:szCs w:val="24"/>
          <w:lang w:val="en-GB"/>
        </w:rPr>
        <w:t xml:space="preserve"> </w:t>
      </w:r>
      <w:r w:rsidR="000F136F" w:rsidRPr="001E7395">
        <w:rPr>
          <w:rFonts w:ascii="Verdana" w:hAnsi="Verdana"/>
          <w:sz w:val="24"/>
          <w:szCs w:val="24"/>
          <w:lang w:val="en-GB"/>
        </w:rPr>
        <w:t>“</w:t>
      </w:r>
      <w:r w:rsidRPr="001E7395">
        <w:rPr>
          <w:rFonts w:ascii="Verdana" w:hAnsi="Verdana"/>
          <w:sz w:val="24"/>
          <w:szCs w:val="24"/>
          <w:lang w:val="en-GB"/>
        </w:rPr>
        <w:t>Why do bank customers switch? A systematic literature review</w:t>
      </w:r>
      <w:r w:rsidR="000F136F" w:rsidRPr="001E7395">
        <w:rPr>
          <w:rFonts w:ascii="Verdana" w:hAnsi="Verdana"/>
          <w:sz w:val="24"/>
          <w:szCs w:val="24"/>
          <w:lang w:val="en-GB"/>
        </w:rPr>
        <w:t>”</w:t>
      </w:r>
      <w:r w:rsidRPr="001E7395">
        <w:rPr>
          <w:rFonts w:ascii="Verdana" w:hAnsi="Verdana"/>
          <w:sz w:val="24"/>
          <w:szCs w:val="24"/>
          <w:lang w:val="en-GB"/>
        </w:rPr>
        <w:t xml:space="preserve">, </w:t>
      </w:r>
      <w:r w:rsidRPr="001E7395">
        <w:rPr>
          <w:rFonts w:ascii="Verdana" w:hAnsi="Verdana"/>
          <w:i/>
          <w:iCs/>
          <w:sz w:val="24"/>
          <w:szCs w:val="24"/>
          <w:lang w:val="en-GB"/>
        </w:rPr>
        <w:t>International Journal of Bank Marketing</w:t>
      </w:r>
      <w:r w:rsidRPr="001E7395">
        <w:rPr>
          <w:rFonts w:ascii="Verdana" w:hAnsi="Verdana"/>
          <w:sz w:val="24"/>
          <w:szCs w:val="24"/>
          <w:lang w:val="en-GB"/>
        </w:rPr>
        <w:t>, DOI 10.1108/IJBM-10-2021-0475.</w:t>
      </w:r>
    </w:p>
    <w:p w14:paraId="1A5DEA09" w14:textId="500EC765" w:rsidR="0067071E" w:rsidRPr="002353FE" w:rsidRDefault="0067071E"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t>Pasiouras</w:t>
      </w:r>
      <w:r w:rsidR="00AE6F59" w:rsidRPr="002353FE">
        <w:rPr>
          <w:rFonts w:ascii="Verdana" w:hAnsi="Verdana"/>
          <w:sz w:val="24"/>
          <w:szCs w:val="24"/>
          <w:lang w:val="en-GB"/>
        </w:rPr>
        <w:t>, F.</w:t>
      </w:r>
      <w:r w:rsidRPr="002353FE">
        <w:rPr>
          <w:rFonts w:ascii="Verdana" w:hAnsi="Verdana"/>
          <w:sz w:val="24"/>
          <w:szCs w:val="24"/>
          <w:lang w:val="en-GB"/>
        </w:rPr>
        <w:t xml:space="preserve"> </w:t>
      </w:r>
      <w:r w:rsidR="008D4CA3" w:rsidRPr="002353FE">
        <w:rPr>
          <w:rFonts w:ascii="Verdana" w:hAnsi="Verdana"/>
          <w:sz w:val="24"/>
          <w:szCs w:val="24"/>
          <w:lang w:val="en-GB"/>
        </w:rPr>
        <w:t>(</w:t>
      </w:r>
      <w:r w:rsidR="002E6D0B" w:rsidRPr="002353FE">
        <w:rPr>
          <w:rFonts w:ascii="Verdana" w:hAnsi="Verdana"/>
          <w:sz w:val="24"/>
          <w:szCs w:val="24"/>
          <w:lang w:val="en-GB"/>
        </w:rPr>
        <w:t>2018</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“Financial Consumer Protection and the Cost of Financial Intermediation: Evidence from Advanced and Developing Economies</w:t>
      </w:r>
      <w:r w:rsidR="00625CBB" w:rsidRPr="002353FE">
        <w:rPr>
          <w:rFonts w:ascii="Verdana" w:hAnsi="Verdana"/>
          <w:sz w:val="24"/>
          <w:szCs w:val="24"/>
          <w:lang w:val="en-GB"/>
        </w:rPr>
        <w:t>”</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Management Science</w:t>
      </w:r>
      <w:r w:rsidR="008D4CA3" w:rsidRPr="002353FE">
        <w:rPr>
          <w:rFonts w:ascii="Verdana" w:hAnsi="Verdana"/>
          <w:iCs/>
          <w:sz w:val="24"/>
          <w:szCs w:val="24"/>
          <w:lang w:val="en-GB"/>
        </w:rPr>
        <w:t>, vol.</w:t>
      </w:r>
      <w:r w:rsidR="002E6D0B" w:rsidRPr="002353FE">
        <w:rPr>
          <w:rFonts w:ascii="Verdana" w:hAnsi="Verdana"/>
          <w:i/>
          <w:sz w:val="24"/>
          <w:szCs w:val="24"/>
          <w:lang w:val="en-GB"/>
        </w:rPr>
        <w:t xml:space="preserve"> </w:t>
      </w:r>
      <w:r w:rsidR="002E6D0B" w:rsidRPr="002353FE">
        <w:rPr>
          <w:rFonts w:ascii="Verdana" w:hAnsi="Verdana"/>
          <w:sz w:val="24"/>
          <w:szCs w:val="24"/>
          <w:lang w:val="en-GB"/>
        </w:rPr>
        <w:t>64</w:t>
      </w:r>
      <w:r w:rsidR="008D4CA3" w:rsidRPr="002353FE">
        <w:rPr>
          <w:rFonts w:ascii="Verdana" w:hAnsi="Verdana"/>
          <w:sz w:val="24"/>
          <w:szCs w:val="24"/>
          <w:lang w:val="en-GB"/>
        </w:rPr>
        <w:t xml:space="preserve"> No </w:t>
      </w:r>
      <w:r w:rsidR="002E6D0B" w:rsidRPr="002353FE">
        <w:rPr>
          <w:rFonts w:ascii="Verdana" w:hAnsi="Verdana"/>
          <w:sz w:val="24"/>
          <w:szCs w:val="24"/>
          <w:lang w:val="en-GB"/>
        </w:rPr>
        <w:t>2</w:t>
      </w:r>
      <w:r w:rsidR="008D4CA3" w:rsidRPr="002353FE">
        <w:rPr>
          <w:rFonts w:ascii="Verdana" w:hAnsi="Verdana"/>
          <w:sz w:val="24"/>
          <w:szCs w:val="24"/>
          <w:lang w:val="en-GB"/>
        </w:rPr>
        <w:t>, pp.</w:t>
      </w:r>
      <w:r w:rsidR="002E6D0B" w:rsidRPr="002353FE">
        <w:rPr>
          <w:rFonts w:ascii="Verdana" w:hAnsi="Verdana"/>
          <w:sz w:val="24"/>
          <w:szCs w:val="24"/>
          <w:lang w:val="en-GB"/>
        </w:rPr>
        <w:t xml:space="preserve"> 902-924.</w:t>
      </w:r>
    </w:p>
    <w:p w14:paraId="2F160CB9" w14:textId="5789D17A" w:rsidR="00430ED7" w:rsidRPr="002353FE" w:rsidRDefault="00430ED7"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 xml:space="preserve">Sharpe, S.A. </w:t>
      </w:r>
      <w:r w:rsidR="008D4CA3" w:rsidRPr="002353FE">
        <w:rPr>
          <w:rFonts w:ascii="Verdana" w:hAnsi="Verdana"/>
          <w:sz w:val="24"/>
          <w:szCs w:val="24"/>
          <w:lang w:val="en-GB"/>
        </w:rPr>
        <w:t>(</w:t>
      </w:r>
      <w:r w:rsidRPr="002353FE">
        <w:rPr>
          <w:rFonts w:ascii="Verdana" w:hAnsi="Verdana"/>
          <w:sz w:val="24"/>
          <w:szCs w:val="24"/>
          <w:lang w:val="en-GB"/>
        </w:rPr>
        <w:t>1997</w:t>
      </w:r>
      <w:r w:rsidR="008D4CA3"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“The effect of consumer switching costs on prices: A theory and its applicat</w:t>
      </w:r>
      <w:r w:rsidR="00625CBB" w:rsidRPr="002353FE">
        <w:rPr>
          <w:rFonts w:ascii="Verdana" w:hAnsi="Verdana"/>
          <w:sz w:val="24"/>
          <w:szCs w:val="24"/>
          <w:lang w:val="en-GB"/>
        </w:rPr>
        <w:t>ion to the bank deposit market”</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Review of Industrial Organization</w:t>
      </w:r>
      <w:r w:rsidR="00A33698" w:rsidRPr="002353FE">
        <w:rPr>
          <w:rFonts w:ascii="Verdana" w:hAnsi="Verdana"/>
          <w:iCs/>
          <w:sz w:val="24"/>
          <w:szCs w:val="24"/>
          <w:lang w:val="en-GB"/>
        </w:rPr>
        <w:t>, vol.</w:t>
      </w:r>
      <w:r w:rsidR="00625CBB" w:rsidRPr="002353FE">
        <w:rPr>
          <w:rFonts w:ascii="Verdana" w:hAnsi="Verdana"/>
          <w:sz w:val="24"/>
          <w:szCs w:val="24"/>
          <w:lang w:val="en-GB"/>
        </w:rPr>
        <w:t xml:space="preserve"> 12</w:t>
      </w:r>
      <w:r w:rsidR="00A33698" w:rsidRPr="002353FE">
        <w:rPr>
          <w:rFonts w:ascii="Verdana" w:hAnsi="Verdana"/>
          <w:sz w:val="24"/>
          <w:szCs w:val="24"/>
          <w:lang w:val="en-GB"/>
        </w:rPr>
        <w:t>, pp.</w:t>
      </w:r>
      <w:r w:rsidRPr="002353FE">
        <w:rPr>
          <w:rFonts w:ascii="Verdana" w:hAnsi="Verdana"/>
          <w:sz w:val="24"/>
          <w:szCs w:val="24"/>
          <w:lang w:val="en-GB"/>
        </w:rPr>
        <w:t xml:space="preserve"> 79-94.</w:t>
      </w:r>
    </w:p>
    <w:p w14:paraId="77B0711E" w14:textId="7E85E2D7" w:rsidR="00E3168D" w:rsidRPr="002353FE" w:rsidRDefault="00E3168D" w:rsidP="001E7395">
      <w:pPr>
        <w:spacing w:after="120" w:line="360" w:lineRule="auto"/>
        <w:ind w:left="142"/>
        <w:jc w:val="both"/>
        <w:rPr>
          <w:rFonts w:ascii="Verdana" w:hAnsi="Verdana"/>
          <w:b/>
          <w:bCs/>
          <w:sz w:val="24"/>
          <w:szCs w:val="24"/>
          <w:lang w:val="en-US"/>
        </w:rPr>
      </w:pPr>
      <w:r w:rsidRPr="002353FE">
        <w:rPr>
          <w:rFonts w:ascii="Verdana" w:hAnsi="Verdana"/>
          <w:sz w:val="24"/>
          <w:szCs w:val="24"/>
          <w:lang w:val="en-US"/>
        </w:rPr>
        <w:t>Shi, H. Y., Jing, F. J., Yang, Y. and Nguyen</w:t>
      </w:r>
      <w:r w:rsidR="0008320E" w:rsidRPr="002353FE">
        <w:rPr>
          <w:rFonts w:ascii="Verdana" w:hAnsi="Verdana"/>
          <w:sz w:val="24"/>
          <w:szCs w:val="24"/>
          <w:lang w:val="en-US"/>
        </w:rPr>
        <w:t>, B</w:t>
      </w:r>
      <w:r w:rsidR="000B7037" w:rsidRPr="002353FE">
        <w:rPr>
          <w:rFonts w:ascii="Verdana" w:hAnsi="Verdana"/>
          <w:sz w:val="24"/>
          <w:szCs w:val="24"/>
          <w:lang w:val="en-US"/>
        </w:rPr>
        <w:t>.</w:t>
      </w:r>
      <w:r w:rsidRPr="002353FE">
        <w:rPr>
          <w:rFonts w:ascii="Verdana" w:hAnsi="Verdana"/>
          <w:sz w:val="24"/>
          <w:szCs w:val="24"/>
          <w:lang w:val="en-US"/>
        </w:rPr>
        <w:t xml:space="preserve"> </w:t>
      </w:r>
      <w:r w:rsidR="0008320E" w:rsidRPr="002353FE">
        <w:rPr>
          <w:rFonts w:ascii="Verdana" w:hAnsi="Verdana"/>
          <w:sz w:val="24"/>
          <w:szCs w:val="24"/>
          <w:lang w:val="en-US"/>
        </w:rPr>
        <w:t>(</w:t>
      </w:r>
      <w:r w:rsidRPr="002353FE">
        <w:rPr>
          <w:rFonts w:ascii="Verdana" w:hAnsi="Verdana"/>
          <w:sz w:val="24"/>
          <w:szCs w:val="24"/>
          <w:lang w:val="en-US"/>
        </w:rPr>
        <w:t>2017</w:t>
      </w:r>
      <w:r w:rsidR="0008320E" w:rsidRPr="002353FE">
        <w:rPr>
          <w:rFonts w:ascii="Verdana" w:hAnsi="Verdana"/>
          <w:sz w:val="24"/>
          <w:szCs w:val="24"/>
          <w:lang w:val="en-US"/>
        </w:rPr>
        <w:t>)</w:t>
      </w:r>
      <w:r w:rsidR="003F180B" w:rsidRPr="002353FE">
        <w:rPr>
          <w:rFonts w:ascii="Verdana" w:hAnsi="Verdana"/>
          <w:sz w:val="24"/>
          <w:szCs w:val="24"/>
          <w:lang w:val="en-US"/>
        </w:rPr>
        <w:t>,</w:t>
      </w:r>
      <w:r w:rsidRPr="002353FE">
        <w:rPr>
          <w:rFonts w:ascii="Verdana" w:hAnsi="Verdana"/>
          <w:sz w:val="24"/>
          <w:szCs w:val="24"/>
          <w:lang w:val="en-US"/>
        </w:rPr>
        <w:t xml:space="preserve"> “The concept of consumer vulnerability: Scale development and validation”</w:t>
      </w:r>
      <w:r w:rsidR="00F63D9F" w:rsidRPr="002353FE">
        <w:rPr>
          <w:rFonts w:ascii="Verdana" w:hAnsi="Verdana"/>
          <w:sz w:val="24"/>
          <w:szCs w:val="24"/>
          <w:lang w:val="en-US"/>
        </w:rPr>
        <w:t>,</w:t>
      </w:r>
      <w:r w:rsidRPr="002353FE">
        <w:rPr>
          <w:rFonts w:ascii="Verdana" w:hAnsi="Verdana"/>
          <w:sz w:val="24"/>
          <w:szCs w:val="24"/>
          <w:lang w:val="en-US"/>
        </w:rPr>
        <w:t xml:space="preserve"> </w:t>
      </w:r>
      <w:r w:rsidRPr="002353FE">
        <w:rPr>
          <w:rFonts w:ascii="Verdana" w:hAnsi="Verdana"/>
          <w:i/>
          <w:sz w:val="24"/>
          <w:szCs w:val="24"/>
          <w:lang w:val="en-US"/>
        </w:rPr>
        <w:t>International Journal of Consumer Studies</w:t>
      </w:r>
      <w:r w:rsidR="0008320E" w:rsidRPr="002353FE">
        <w:rPr>
          <w:rFonts w:ascii="Verdana" w:hAnsi="Verdana"/>
          <w:iCs/>
          <w:sz w:val="24"/>
          <w:szCs w:val="24"/>
          <w:lang w:val="en-US"/>
        </w:rPr>
        <w:t>, vol.</w:t>
      </w:r>
      <w:r w:rsidRPr="002353FE">
        <w:rPr>
          <w:rFonts w:ascii="Verdana" w:hAnsi="Verdana"/>
          <w:sz w:val="24"/>
          <w:szCs w:val="24"/>
          <w:lang w:val="en-US"/>
        </w:rPr>
        <w:t xml:space="preserve"> 41</w:t>
      </w:r>
      <w:r w:rsidR="0008320E" w:rsidRPr="002353FE">
        <w:rPr>
          <w:rFonts w:ascii="Verdana" w:hAnsi="Verdana"/>
          <w:sz w:val="24"/>
          <w:szCs w:val="24"/>
          <w:lang w:val="en-US"/>
        </w:rPr>
        <w:t xml:space="preserve"> No </w:t>
      </w:r>
      <w:r w:rsidRPr="002353FE">
        <w:rPr>
          <w:rFonts w:ascii="Verdana" w:hAnsi="Verdana"/>
          <w:sz w:val="24"/>
          <w:szCs w:val="24"/>
          <w:lang w:val="en-US"/>
        </w:rPr>
        <w:t>6</w:t>
      </w:r>
      <w:r w:rsidR="0008320E" w:rsidRPr="002353FE">
        <w:rPr>
          <w:rFonts w:ascii="Verdana" w:hAnsi="Verdana"/>
          <w:sz w:val="24"/>
          <w:szCs w:val="24"/>
          <w:lang w:val="en-US"/>
        </w:rPr>
        <w:t xml:space="preserve">, pp. </w:t>
      </w:r>
      <w:r w:rsidRPr="002353FE">
        <w:rPr>
          <w:rFonts w:ascii="Verdana" w:hAnsi="Verdana"/>
          <w:sz w:val="24"/>
          <w:szCs w:val="24"/>
          <w:lang w:val="en-US"/>
        </w:rPr>
        <w:t>769-777.</w:t>
      </w:r>
    </w:p>
    <w:p w14:paraId="7BF2E5E7" w14:textId="7A5EDA04" w:rsidR="00430ED7" w:rsidRPr="002353FE" w:rsidRDefault="00430ED7"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 xml:space="preserve">Shy, O. </w:t>
      </w:r>
      <w:r w:rsidR="0008320E" w:rsidRPr="002353FE">
        <w:rPr>
          <w:rFonts w:ascii="Verdana" w:hAnsi="Verdana"/>
          <w:sz w:val="24"/>
          <w:szCs w:val="24"/>
          <w:lang w:val="en-GB"/>
        </w:rPr>
        <w:t>(</w:t>
      </w:r>
      <w:r w:rsidRPr="002353FE">
        <w:rPr>
          <w:rFonts w:ascii="Verdana" w:hAnsi="Verdana"/>
          <w:sz w:val="24"/>
          <w:szCs w:val="24"/>
          <w:lang w:val="en-GB"/>
        </w:rPr>
        <w:t>2002</w:t>
      </w:r>
      <w:r w:rsidR="0008320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“A quick-and-easy method for estimating switching costs”</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International Journal of Industrial Organization</w:t>
      </w:r>
      <w:r w:rsidR="0008320E" w:rsidRPr="002353FE">
        <w:rPr>
          <w:rFonts w:ascii="Verdana" w:hAnsi="Verdana"/>
          <w:iCs/>
          <w:sz w:val="24"/>
          <w:szCs w:val="24"/>
          <w:lang w:val="en-GB"/>
        </w:rPr>
        <w:t>, vol.</w:t>
      </w:r>
      <w:r w:rsidR="00625CBB" w:rsidRPr="002353FE">
        <w:rPr>
          <w:rFonts w:ascii="Verdana" w:hAnsi="Verdana"/>
          <w:sz w:val="24"/>
          <w:szCs w:val="24"/>
          <w:lang w:val="en-GB"/>
        </w:rPr>
        <w:t xml:space="preserve"> 20</w:t>
      </w:r>
      <w:r w:rsidR="0008320E" w:rsidRPr="002353FE">
        <w:rPr>
          <w:rFonts w:ascii="Verdana" w:hAnsi="Verdana"/>
          <w:sz w:val="24"/>
          <w:szCs w:val="24"/>
          <w:lang w:val="en-GB"/>
        </w:rPr>
        <w:t>, pp.</w:t>
      </w:r>
      <w:r w:rsidRPr="002353FE">
        <w:rPr>
          <w:rFonts w:ascii="Verdana" w:hAnsi="Verdana"/>
          <w:sz w:val="24"/>
          <w:szCs w:val="24"/>
          <w:lang w:val="en-GB"/>
        </w:rPr>
        <w:t xml:space="preserve"> 71-87.</w:t>
      </w:r>
    </w:p>
    <w:p w14:paraId="65E7D059" w14:textId="3576FAEF" w:rsidR="006675CB" w:rsidRPr="002353FE" w:rsidRDefault="00430ED7"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 xml:space="preserve">Stango, V. </w:t>
      </w:r>
      <w:r w:rsidR="0008320E" w:rsidRPr="002353FE">
        <w:rPr>
          <w:rFonts w:ascii="Verdana" w:hAnsi="Verdana"/>
          <w:sz w:val="24"/>
          <w:szCs w:val="24"/>
          <w:lang w:val="en-GB"/>
        </w:rPr>
        <w:t>(</w:t>
      </w:r>
      <w:r w:rsidRPr="002353FE">
        <w:rPr>
          <w:rFonts w:ascii="Verdana" w:hAnsi="Verdana"/>
          <w:sz w:val="24"/>
          <w:szCs w:val="24"/>
          <w:lang w:val="en-GB"/>
        </w:rPr>
        <w:t>2002</w:t>
      </w:r>
      <w:r w:rsidR="0008320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“Pricing with consumer switching costs: Eviden</w:t>
      </w:r>
      <w:r w:rsidR="00625CBB" w:rsidRPr="002353FE">
        <w:rPr>
          <w:rFonts w:ascii="Verdana" w:hAnsi="Verdana"/>
          <w:sz w:val="24"/>
          <w:szCs w:val="24"/>
          <w:lang w:val="en-GB"/>
        </w:rPr>
        <w:t>ce from the credit card market”</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Journal of Industrial Economics</w:t>
      </w:r>
      <w:r w:rsidR="0008320E" w:rsidRPr="002353FE">
        <w:rPr>
          <w:rFonts w:ascii="Verdana" w:hAnsi="Verdana"/>
          <w:iCs/>
          <w:sz w:val="24"/>
          <w:szCs w:val="24"/>
          <w:lang w:val="en-GB"/>
        </w:rPr>
        <w:t>, vol.</w:t>
      </w:r>
      <w:r w:rsidR="00625CBB" w:rsidRPr="002353FE">
        <w:rPr>
          <w:rFonts w:ascii="Verdana" w:hAnsi="Verdana"/>
          <w:sz w:val="24"/>
          <w:szCs w:val="24"/>
          <w:lang w:val="en-GB"/>
        </w:rPr>
        <w:t xml:space="preserve"> 50</w:t>
      </w:r>
      <w:r w:rsidR="0008320E" w:rsidRPr="002353FE">
        <w:rPr>
          <w:rFonts w:ascii="Verdana" w:hAnsi="Verdana"/>
          <w:sz w:val="24"/>
          <w:szCs w:val="24"/>
          <w:lang w:val="en-GB"/>
        </w:rPr>
        <w:t>, pp.</w:t>
      </w:r>
      <w:r w:rsidRPr="002353FE">
        <w:rPr>
          <w:rFonts w:ascii="Verdana" w:hAnsi="Verdana"/>
          <w:sz w:val="24"/>
          <w:szCs w:val="24"/>
          <w:lang w:val="en-GB"/>
        </w:rPr>
        <w:t xml:space="preserve"> 475-492.</w:t>
      </w:r>
    </w:p>
    <w:p w14:paraId="5DA9314E" w14:textId="0AEFC43D" w:rsidR="00406EE1" w:rsidRPr="002353FE" w:rsidRDefault="00406EE1" w:rsidP="001E7395">
      <w:pPr>
        <w:spacing w:after="120" w:line="360" w:lineRule="auto"/>
        <w:ind w:left="142"/>
        <w:jc w:val="both"/>
        <w:rPr>
          <w:rFonts w:ascii="Verdana" w:hAnsi="Verdana"/>
          <w:sz w:val="24"/>
          <w:szCs w:val="24"/>
          <w:lang w:val="en-US"/>
        </w:rPr>
      </w:pPr>
      <w:r w:rsidRPr="002353FE">
        <w:rPr>
          <w:rFonts w:ascii="Verdana" w:hAnsi="Verdana"/>
          <w:sz w:val="24"/>
          <w:szCs w:val="24"/>
          <w:lang w:val="en-US"/>
        </w:rPr>
        <w:t>Van der Cruijsen, C. and Diepstraten, M. (2017)</w:t>
      </w:r>
      <w:r w:rsidR="003F180B" w:rsidRPr="002353FE">
        <w:rPr>
          <w:rFonts w:ascii="Verdana" w:hAnsi="Verdana"/>
          <w:sz w:val="24"/>
          <w:szCs w:val="24"/>
          <w:lang w:val="en-US"/>
        </w:rPr>
        <w:t>,</w:t>
      </w:r>
      <w:r w:rsidRPr="002353FE">
        <w:rPr>
          <w:rFonts w:ascii="Verdana" w:hAnsi="Verdana"/>
          <w:sz w:val="24"/>
          <w:szCs w:val="24"/>
          <w:lang w:val="en-US"/>
        </w:rPr>
        <w:t xml:space="preserve"> “Banking Products: You Can Take Them With You, So Why Don’t You?”, </w:t>
      </w:r>
      <w:r w:rsidRPr="002353FE">
        <w:rPr>
          <w:rFonts w:ascii="Verdana" w:hAnsi="Verdana"/>
          <w:i/>
          <w:sz w:val="24"/>
          <w:szCs w:val="24"/>
          <w:lang w:val="en-US"/>
        </w:rPr>
        <w:t>Journal of Financial Services Research</w:t>
      </w:r>
      <w:r w:rsidRPr="002353FE">
        <w:rPr>
          <w:rFonts w:ascii="Verdana" w:hAnsi="Verdana"/>
          <w:sz w:val="24"/>
          <w:szCs w:val="24"/>
          <w:lang w:val="en-US"/>
        </w:rPr>
        <w:t>, vol. 52 No 1, pp. 123-154.</w:t>
      </w:r>
    </w:p>
    <w:p w14:paraId="51124492" w14:textId="77777777" w:rsidR="00DB38DC" w:rsidRPr="001E7395" w:rsidRDefault="00DB38DC" w:rsidP="001E7395">
      <w:pPr>
        <w:ind w:left="142"/>
        <w:jc w:val="both"/>
        <w:rPr>
          <w:rFonts w:ascii="Verdana" w:hAnsi="Verdana" w:cs="Helvetica"/>
          <w:sz w:val="24"/>
          <w:szCs w:val="24"/>
          <w:lang w:val="en-GB"/>
        </w:rPr>
      </w:pPr>
      <w:r w:rsidRPr="001E7395">
        <w:rPr>
          <w:rFonts w:ascii="Verdana" w:hAnsi="Verdana" w:cs="Helvetica"/>
          <w:sz w:val="24"/>
          <w:szCs w:val="24"/>
          <w:lang w:val="en-GB"/>
        </w:rPr>
        <w:t>Van Trijp, H. C. M., Wayne D., Hoyer, W. D., and Inman, J. J. (1996), “</w:t>
      </w:r>
      <w:r w:rsidRPr="001E7395">
        <w:rPr>
          <w:rFonts w:ascii="Verdana" w:hAnsi="Verdana" w:cs="Helvetica-Bold"/>
          <w:sz w:val="24"/>
          <w:szCs w:val="24"/>
          <w:lang w:val="en-GB"/>
        </w:rPr>
        <w:t xml:space="preserve">Why Switch? Product Category-Level Explanations for True Variety-Seeking Behavior”, </w:t>
      </w:r>
      <w:r w:rsidRPr="001E7395">
        <w:rPr>
          <w:rFonts w:ascii="Verdana" w:hAnsi="Verdana" w:cs="Times-Italic"/>
          <w:i/>
          <w:iCs/>
          <w:sz w:val="24"/>
          <w:szCs w:val="24"/>
          <w:lang w:val="en-GB"/>
        </w:rPr>
        <w:t>Journal of Marketing Research</w:t>
      </w:r>
      <w:r w:rsidRPr="001E7395">
        <w:rPr>
          <w:rFonts w:ascii="Verdana" w:hAnsi="Verdana" w:cs="Times-Italic"/>
          <w:sz w:val="24"/>
          <w:szCs w:val="24"/>
          <w:lang w:val="en-GB"/>
        </w:rPr>
        <w:t>, vol.33,</w:t>
      </w:r>
      <w:r w:rsidRPr="001E7395">
        <w:rPr>
          <w:rFonts w:ascii="Verdana" w:hAnsi="Verdana" w:cs="Helvetica"/>
          <w:sz w:val="24"/>
          <w:szCs w:val="24"/>
          <w:lang w:val="en-GB"/>
        </w:rPr>
        <w:t xml:space="preserve"> pp. 281-292.</w:t>
      </w:r>
    </w:p>
    <w:p w14:paraId="759583DD" w14:textId="66A1343D" w:rsidR="00CA605E" w:rsidRPr="002353FE" w:rsidRDefault="00CA605E" w:rsidP="001E7395">
      <w:pPr>
        <w:widowControl w:val="0"/>
        <w:autoSpaceDE w:val="0"/>
        <w:autoSpaceDN w:val="0"/>
        <w:adjustRightInd w:val="0"/>
        <w:spacing w:after="120" w:line="360" w:lineRule="auto"/>
        <w:ind w:left="142"/>
        <w:jc w:val="both"/>
        <w:rPr>
          <w:rFonts w:ascii="Verdana" w:hAnsi="Verdana"/>
          <w:sz w:val="24"/>
          <w:szCs w:val="24"/>
          <w:lang w:val="en-GB"/>
        </w:rPr>
      </w:pPr>
      <w:r w:rsidRPr="001E7395">
        <w:rPr>
          <w:rFonts w:ascii="Verdana" w:hAnsi="Verdana"/>
          <w:sz w:val="24"/>
          <w:szCs w:val="24"/>
          <w:lang w:val="en-GB"/>
        </w:rPr>
        <w:t xml:space="preserve">Vyas, V. and Raitani, S. (2014), “Drivers of customers’ switching behaviour in Indian banking industry”, </w:t>
      </w:r>
      <w:r w:rsidRPr="001E7395">
        <w:rPr>
          <w:rFonts w:ascii="Verdana" w:hAnsi="Verdana"/>
          <w:i/>
          <w:iCs/>
          <w:sz w:val="24"/>
          <w:szCs w:val="24"/>
          <w:lang w:val="en-GB"/>
        </w:rPr>
        <w:t>International Journal of Bank Marketing</w:t>
      </w:r>
      <w:r w:rsidRPr="001E7395">
        <w:rPr>
          <w:rFonts w:ascii="Verdana" w:hAnsi="Verdana"/>
          <w:sz w:val="24"/>
          <w:szCs w:val="24"/>
          <w:lang w:val="en-GB"/>
        </w:rPr>
        <w:t>, Vol. 32 No. 4, pp. 321-342.</w:t>
      </w:r>
    </w:p>
    <w:p w14:paraId="5A1C4DCD" w14:textId="03C876DA" w:rsidR="00095193" w:rsidRPr="002353FE" w:rsidRDefault="00095193"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GB"/>
        </w:rPr>
        <w:t>Waddams Price, C. and Zhu</w:t>
      </w:r>
      <w:r w:rsidR="0008320E" w:rsidRPr="002353FE">
        <w:rPr>
          <w:rFonts w:ascii="Verdana" w:hAnsi="Verdana"/>
          <w:sz w:val="24"/>
          <w:szCs w:val="24"/>
          <w:lang w:val="en-GB"/>
        </w:rPr>
        <w:t>, M</w:t>
      </w:r>
      <w:r w:rsidR="00AE6F59" w:rsidRPr="002353FE">
        <w:rPr>
          <w:rFonts w:ascii="Verdana" w:hAnsi="Verdana"/>
          <w:sz w:val="24"/>
          <w:szCs w:val="24"/>
          <w:lang w:val="en-GB"/>
        </w:rPr>
        <w:t>.</w:t>
      </w:r>
      <w:r w:rsidRPr="002353FE">
        <w:rPr>
          <w:rFonts w:ascii="Verdana" w:hAnsi="Verdana"/>
          <w:sz w:val="24"/>
          <w:szCs w:val="24"/>
          <w:lang w:val="en-GB"/>
        </w:rPr>
        <w:t xml:space="preserve"> </w:t>
      </w:r>
      <w:r w:rsidR="0008320E" w:rsidRPr="002353FE">
        <w:rPr>
          <w:rFonts w:ascii="Verdana" w:hAnsi="Verdana"/>
          <w:sz w:val="24"/>
          <w:szCs w:val="24"/>
          <w:lang w:val="en-GB"/>
        </w:rPr>
        <w:t>(</w:t>
      </w:r>
      <w:r w:rsidRPr="002353FE">
        <w:rPr>
          <w:rFonts w:ascii="Verdana" w:hAnsi="Verdana"/>
          <w:sz w:val="24"/>
          <w:szCs w:val="24"/>
          <w:lang w:val="en-GB"/>
        </w:rPr>
        <w:t>2016</w:t>
      </w:r>
      <w:r w:rsidR="0008320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00625CBB" w:rsidRPr="002353FE">
        <w:rPr>
          <w:rFonts w:ascii="Verdana" w:hAnsi="Verdana"/>
          <w:sz w:val="24"/>
          <w:szCs w:val="24"/>
          <w:lang w:val="en-GB"/>
        </w:rPr>
        <w:t>“</w:t>
      </w:r>
      <w:r w:rsidRPr="002353FE">
        <w:rPr>
          <w:rFonts w:ascii="Verdana" w:hAnsi="Verdana"/>
          <w:sz w:val="24"/>
          <w:szCs w:val="24"/>
          <w:lang w:val="en-GB"/>
        </w:rPr>
        <w:t xml:space="preserve">Empirical Evidence of Consumer Response </w:t>
      </w:r>
      <w:r w:rsidR="00AE6F59" w:rsidRPr="002353FE">
        <w:rPr>
          <w:rFonts w:ascii="Verdana" w:hAnsi="Verdana"/>
          <w:sz w:val="24"/>
          <w:szCs w:val="24"/>
          <w:lang w:val="en-GB"/>
        </w:rPr>
        <w:t>in</w:t>
      </w:r>
      <w:r w:rsidR="00625CBB" w:rsidRPr="002353FE">
        <w:rPr>
          <w:rFonts w:ascii="Verdana" w:hAnsi="Verdana"/>
          <w:sz w:val="24"/>
          <w:szCs w:val="24"/>
          <w:lang w:val="en-GB"/>
        </w:rPr>
        <w:t xml:space="preserve"> Regulated Markets”</w:t>
      </w:r>
      <w:r w:rsidR="00F63D9F"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Journal of Competition Law and Economics</w:t>
      </w:r>
      <w:r w:rsidR="0008320E" w:rsidRPr="002353FE">
        <w:rPr>
          <w:rFonts w:ascii="Verdana" w:hAnsi="Verdana"/>
          <w:iCs/>
          <w:sz w:val="24"/>
          <w:szCs w:val="24"/>
          <w:lang w:val="en-GB"/>
        </w:rPr>
        <w:t>, vol.</w:t>
      </w:r>
      <w:r w:rsidR="00430ED7" w:rsidRPr="002353FE">
        <w:rPr>
          <w:rFonts w:ascii="Verdana" w:hAnsi="Verdana"/>
          <w:sz w:val="24"/>
          <w:szCs w:val="24"/>
          <w:lang w:val="en-GB"/>
        </w:rPr>
        <w:t xml:space="preserve"> </w:t>
      </w:r>
      <w:r w:rsidRPr="002353FE">
        <w:rPr>
          <w:rFonts w:ascii="Verdana" w:hAnsi="Verdana"/>
          <w:sz w:val="24"/>
          <w:szCs w:val="24"/>
          <w:lang w:val="en-GB"/>
        </w:rPr>
        <w:t>12</w:t>
      </w:r>
      <w:r w:rsidR="0008320E" w:rsidRPr="002353FE">
        <w:rPr>
          <w:rFonts w:ascii="Verdana" w:hAnsi="Verdana"/>
          <w:sz w:val="24"/>
          <w:szCs w:val="24"/>
          <w:lang w:val="en-GB"/>
        </w:rPr>
        <w:t xml:space="preserve"> No </w:t>
      </w:r>
      <w:r w:rsidRPr="002353FE">
        <w:rPr>
          <w:rFonts w:ascii="Verdana" w:hAnsi="Verdana"/>
          <w:sz w:val="24"/>
          <w:szCs w:val="24"/>
          <w:lang w:val="en-GB"/>
        </w:rPr>
        <w:t>1</w:t>
      </w:r>
      <w:r w:rsidR="0008320E" w:rsidRPr="002353FE">
        <w:rPr>
          <w:rFonts w:ascii="Verdana" w:hAnsi="Verdana"/>
          <w:sz w:val="24"/>
          <w:szCs w:val="24"/>
          <w:lang w:val="en-GB"/>
        </w:rPr>
        <w:t xml:space="preserve">, pp. </w:t>
      </w:r>
      <w:r w:rsidRPr="002353FE">
        <w:rPr>
          <w:rFonts w:ascii="Verdana" w:hAnsi="Verdana"/>
          <w:sz w:val="24"/>
          <w:szCs w:val="24"/>
          <w:lang w:val="en-GB"/>
        </w:rPr>
        <w:t xml:space="preserve">113-149. </w:t>
      </w:r>
    </w:p>
    <w:p w14:paraId="0AE19475" w14:textId="4FE734C3" w:rsidR="007B3BAD" w:rsidRPr="002353FE" w:rsidRDefault="007B3BAD" w:rsidP="001E7395">
      <w:pPr>
        <w:spacing w:after="120" w:line="360" w:lineRule="auto"/>
        <w:ind w:left="142"/>
        <w:jc w:val="both"/>
        <w:rPr>
          <w:rFonts w:ascii="Verdana" w:hAnsi="Verdana"/>
          <w:sz w:val="24"/>
          <w:szCs w:val="24"/>
          <w:lang w:val="en-GB"/>
        </w:rPr>
      </w:pPr>
      <w:r w:rsidRPr="002353FE">
        <w:rPr>
          <w:rFonts w:ascii="Verdana" w:hAnsi="Verdana"/>
          <w:sz w:val="24"/>
          <w:szCs w:val="24"/>
          <w:lang w:val="en-GB"/>
        </w:rPr>
        <w:lastRenderedPageBreak/>
        <w:t xml:space="preserve">World Bank </w:t>
      </w:r>
      <w:r w:rsidR="0008320E" w:rsidRPr="002353FE">
        <w:rPr>
          <w:rFonts w:ascii="Verdana" w:hAnsi="Verdana"/>
          <w:sz w:val="24"/>
          <w:szCs w:val="24"/>
          <w:lang w:val="en-GB"/>
        </w:rPr>
        <w:t>(</w:t>
      </w:r>
      <w:r w:rsidRPr="002353FE">
        <w:rPr>
          <w:rFonts w:ascii="Verdana" w:hAnsi="Verdana"/>
          <w:sz w:val="24"/>
          <w:szCs w:val="24"/>
          <w:lang w:val="en-GB"/>
        </w:rPr>
        <w:t>2014</w:t>
      </w:r>
      <w:r w:rsidR="0008320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Global Survey on Consumer Protection and Financial Literacy: Oversight Frameworks and Practices in 114 Economies</w:t>
      </w:r>
      <w:r w:rsidRPr="002353FE">
        <w:rPr>
          <w:rFonts w:ascii="Verdana" w:hAnsi="Verdana"/>
          <w:sz w:val="24"/>
          <w:szCs w:val="24"/>
          <w:lang w:val="en-GB"/>
        </w:rPr>
        <w:t>. World Bank</w:t>
      </w:r>
      <w:r w:rsidR="00F63D9F" w:rsidRPr="002353FE">
        <w:rPr>
          <w:rFonts w:ascii="Verdana" w:hAnsi="Verdana"/>
          <w:sz w:val="24"/>
          <w:szCs w:val="24"/>
          <w:lang w:val="en-GB"/>
        </w:rPr>
        <w:t>, Washington DC</w:t>
      </w:r>
      <w:r w:rsidRPr="002353FE">
        <w:rPr>
          <w:rFonts w:ascii="Verdana" w:hAnsi="Verdana"/>
          <w:sz w:val="24"/>
          <w:szCs w:val="24"/>
          <w:lang w:val="en-GB"/>
        </w:rPr>
        <w:t>.</w:t>
      </w:r>
    </w:p>
    <w:p w14:paraId="7E021BCA" w14:textId="1A913692" w:rsidR="00824823" w:rsidRPr="002353FE" w:rsidRDefault="00824823" w:rsidP="001E7395">
      <w:pPr>
        <w:spacing w:after="120" w:line="360" w:lineRule="auto"/>
        <w:ind w:left="142"/>
        <w:jc w:val="both"/>
        <w:rPr>
          <w:rFonts w:ascii="Verdana" w:hAnsi="Verdana"/>
          <w:sz w:val="24"/>
          <w:szCs w:val="24"/>
          <w:lang w:val="en-US"/>
        </w:rPr>
      </w:pPr>
      <w:r w:rsidRPr="002353FE">
        <w:rPr>
          <w:rFonts w:ascii="Verdana" w:hAnsi="Verdana"/>
          <w:sz w:val="24"/>
          <w:szCs w:val="24"/>
          <w:lang w:val="en-GB"/>
        </w:rPr>
        <w:t xml:space="preserve">World Bank </w:t>
      </w:r>
      <w:r w:rsidR="0008320E" w:rsidRPr="002353FE">
        <w:rPr>
          <w:rFonts w:ascii="Verdana" w:hAnsi="Verdana"/>
          <w:sz w:val="24"/>
          <w:szCs w:val="24"/>
          <w:lang w:val="en-GB"/>
        </w:rPr>
        <w:t>(</w:t>
      </w:r>
      <w:r w:rsidRPr="002353FE">
        <w:rPr>
          <w:rFonts w:ascii="Verdana" w:hAnsi="Verdana"/>
          <w:sz w:val="24"/>
          <w:szCs w:val="24"/>
          <w:lang w:val="en-GB"/>
        </w:rPr>
        <w:t>2017</w:t>
      </w:r>
      <w:r w:rsidR="0008320E" w:rsidRPr="002353FE">
        <w:rPr>
          <w:rFonts w:ascii="Verdana" w:hAnsi="Verdana"/>
          <w:sz w:val="24"/>
          <w:szCs w:val="24"/>
          <w:lang w:val="en-GB"/>
        </w:rPr>
        <w:t>)</w:t>
      </w:r>
      <w:r w:rsidR="003F180B" w:rsidRPr="002353FE">
        <w:rPr>
          <w:rFonts w:ascii="Verdana" w:hAnsi="Verdana"/>
          <w:sz w:val="24"/>
          <w:szCs w:val="24"/>
          <w:lang w:val="en-GB"/>
        </w:rPr>
        <w:t>,</w:t>
      </w:r>
      <w:r w:rsidRPr="002353FE">
        <w:rPr>
          <w:rFonts w:ascii="Verdana" w:hAnsi="Verdana"/>
          <w:sz w:val="24"/>
          <w:szCs w:val="24"/>
          <w:lang w:val="en-GB"/>
        </w:rPr>
        <w:t xml:space="preserve"> </w:t>
      </w:r>
      <w:r w:rsidRPr="002353FE">
        <w:rPr>
          <w:rFonts w:ascii="Verdana" w:hAnsi="Verdana"/>
          <w:i/>
          <w:sz w:val="24"/>
          <w:szCs w:val="24"/>
          <w:lang w:val="en-GB"/>
        </w:rPr>
        <w:t>Global Financial Development Database</w:t>
      </w:r>
      <w:r w:rsidRPr="002353FE">
        <w:rPr>
          <w:rFonts w:ascii="Verdana" w:hAnsi="Verdana"/>
          <w:sz w:val="24"/>
          <w:szCs w:val="24"/>
          <w:lang w:val="en-GB"/>
        </w:rPr>
        <w:t xml:space="preserve">. </w:t>
      </w:r>
      <w:hyperlink r:id="rId20" w:history="1">
        <w:r w:rsidRPr="002353FE">
          <w:rPr>
            <w:rStyle w:val="Hyperlink"/>
            <w:rFonts w:ascii="Verdana" w:hAnsi="Verdana"/>
            <w:sz w:val="24"/>
            <w:szCs w:val="24"/>
            <w:lang w:val="en-US"/>
          </w:rPr>
          <w:t>https://data.worldbank.org/data-catalog/global-financial-development</w:t>
        </w:r>
      </w:hyperlink>
      <w:r w:rsidRPr="002353FE">
        <w:rPr>
          <w:rFonts w:ascii="Verdana" w:hAnsi="Verdana"/>
          <w:sz w:val="24"/>
          <w:szCs w:val="24"/>
          <w:lang w:val="en-US"/>
        </w:rPr>
        <w:t>.</w:t>
      </w:r>
    </w:p>
    <w:p w14:paraId="1C8513BC" w14:textId="32F921C4" w:rsidR="00DD7845" w:rsidRPr="002353FE" w:rsidRDefault="00E3168D" w:rsidP="001E7395">
      <w:pPr>
        <w:widowControl w:val="0"/>
        <w:autoSpaceDE w:val="0"/>
        <w:autoSpaceDN w:val="0"/>
        <w:adjustRightInd w:val="0"/>
        <w:spacing w:after="120" w:line="360" w:lineRule="auto"/>
        <w:ind w:left="142"/>
        <w:jc w:val="both"/>
        <w:rPr>
          <w:rFonts w:ascii="Verdana" w:hAnsi="Verdana"/>
          <w:sz w:val="24"/>
          <w:szCs w:val="24"/>
          <w:lang w:val="en-GB"/>
        </w:rPr>
      </w:pPr>
      <w:r w:rsidRPr="002353FE">
        <w:rPr>
          <w:rFonts w:ascii="Verdana" w:hAnsi="Verdana"/>
          <w:sz w:val="24"/>
          <w:szCs w:val="24"/>
          <w:lang w:val="en-US"/>
        </w:rPr>
        <w:t xml:space="preserve">Xiao, J. J. </w:t>
      </w:r>
      <w:r w:rsidR="000B7037" w:rsidRPr="002353FE">
        <w:rPr>
          <w:rFonts w:ascii="Verdana" w:hAnsi="Verdana"/>
          <w:sz w:val="24"/>
          <w:szCs w:val="24"/>
          <w:lang w:val="en-US"/>
        </w:rPr>
        <w:t xml:space="preserve">and </w:t>
      </w:r>
      <w:r w:rsidRPr="002353FE">
        <w:rPr>
          <w:rFonts w:ascii="Verdana" w:hAnsi="Verdana"/>
          <w:sz w:val="24"/>
          <w:szCs w:val="24"/>
          <w:lang w:val="en-US"/>
        </w:rPr>
        <w:t>O’Neill</w:t>
      </w:r>
      <w:r w:rsidR="0008320E" w:rsidRPr="002353FE">
        <w:rPr>
          <w:rFonts w:ascii="Verdana" w:hAnsi="Verdana"/>
          <w:sz w:val="24"/>
          <w:szCs w:val="24"/>
          <w:lang w:val="en-US"/>
        </w:rPr>
        <w:t>, B.</w:t>
      </w:r>
      <w:r w:rsidRPr="002353FE">
        <w:rPr>
          <w:rFonts w:ascii="Verdana" w:hAnsi="Verdana"/>
          <w:sz w:val="24"/>
          <w:szCs w:val="24"/>
          <w:lang w:val="en-US"/>
        </w:rPr>
        <w:t xml:space="preserve"> </w:t>
      </w:r>
      <w:r w:rsidR="0008320E" w:rsidRPr="002353FE">
        <w:rPr>
          <w:rFonts w:ascii="Verdana" w:hAnsi="Verdana"/>
          <w:sz w:val="24"/>
          <w:szCs w:val="24"/>
          <w:lang w:val="en-US"/>
        </w:rPr>
        <w:t>(</w:t>
      </w:r>
      <w:r w:rsidRPr="002353FE">
        <w:rPr>
          <w:rFonts w:ascii="Verdana" w:hAnsi="Verdana"/>
          <w:sz w:val="24"/>
          <w:szCs w:val="24"/>
          <w:lang w:val="en-US"/>
        </w:rPr>
        <w:t>2018</w:t>
      </w:r>
      <w:r w:rsidR="0008320E" w:rsidRPr="002353FE">
        <w:rPr>
          <w:rFonts w:ascii="Verdana" w:hAnsi="Verdana"/>
          <w:sz w:val="24"/>
          <w:szCs w:val="24"/>
          <w:lang w:val="en-US"/>
        </w:rPr>
        <w:t>)</w:t>
      </w:r>
      <w:r w:rsidR="003F180B" w:rsidRPr="002353FE">
        <w:rPr>
          <w:rFonts w:ascii="Verdana" w:hAnsi="Verdana"/>
          <w:sz w:val="24"/>
          <w:szCs w:val="24"/>
          <w:lang w:val="en-US"/>
        </w:rPr>
        <w:t>,</w:t>
      </w:r>
      <w:r w:rsidRPr="002353FE">
        <w:rPr>
          <w:rFonts w:ascii="Verdana" w:hAnsi="Verdana"/>
          <w:sz w:val="24"/>
          <w:szCs w:val="24"/>
          <w:lang w:val="en-US"/>
        </w:rPr>
        <w:t xml:space="preserve"> “Propensity to plan, financial capability, and financial satisfaction”</w:t>
      </w:r>
      <w:r w:rsidR="00F63D9F" w:rsidRPr="002353FE">
        <w:rPr>
          <w:rFonts w:ascii="Verdana" w:hAnsi="Verdana"/>
          <w:sz w:val="24"/>
          <w:szCs w:val="24"/>
          <w:lang w:val="en-US"/>
        </w:rPr>
        <w:t>,</w:t>
      </w:r>
      <w:r w:rsidRPr="002353FE">
        <w:rPr>
          <w:rFonts w:ascii="Verdana" w:hAnsi="Verdana"/>
          <w:sz w:val="24"/>
          <w:szCs w:val="24"/>
          <w:lang w:val="en-US"/>
        </w:rPr>
        <w:t xml:space="preserve"> </w:t>
      </w:r>
      <w:r w:rsidRPr="002353FE">
        <w:rPr>
          <w:rFonts w:ascii="Verdana" w:hAnsi="Verdana"/>
          <w:i/>
          <w:sz w:val="24"/>
          <w:szCs w:val="24"/>
          <w:lang w:val="en-GB"/>
        </w:rPr>
        <w:t>International Journal of Consumer Studies</w:t>
      </w:r>
      <w:r w:rsidR="0008320E" w:rsidRPr="002353FE">
        <w:rPr>
          <w:rFonts w:ascii="Verdana" w:hAnsi="Verdana"/>
          <w:iCs/>
          <w:sz w:val="24"/>
          <w:szCs w:val="24"/>
          <w:lang w:val="en-GB"/>
        </w:rPr>
        <w:t>, vol.</w:t>
      </w:r>
      <w:r w:rsidRPr="002353FE">
        <w:rPr>
          <w:rFonts w:ascii="Verdana" w:hAnsi="Verdana"/>
          <w:sz w:val="24"/>
          <w:szCs w:val="24"/>
          <w:lang w:val="en-GB"/>
        </w:rPr>
        <w:t xml:space="preserve"> 42</w:t>
      </w:r>
      <w:r w:rsidR="0008320E" w:rsidRPr="002353FE">
        <w:rPr>
          <w:rFonts w:ascii="Verdana" w:hAnsi="Verdana"/>
          <w:sz w:val="24"/>
          <w:szCs w:val="24"/>
          <w:lang w:val="en-GB"/>
        </w:rPr>
        <w:t xml:space="preserve"> No </w:t>
      </w:r>
      <w:r w:rsidRPr="002353FE">
        <w:rPr>
          <w:rFonts w:ascii="Verdana" w:hAnsi="Verdana"/>
          <w:sz w:val="24"/>
          <w:szCs w:val="24"/>
          <w:lang w:val="en-GB"/>
        </w:rPr>
        <w:t>5</w:t>
      </w:r>
      <w:r w:rsidR="0008320E" w:rsidRPr="002353FE">
        <w:rPr>
          <w:rFonts w:ascii="Verdana" w:hAnsi="Verdana"/>
          <w:sz w:val="24"/>
          <w:szCs w:val="24"/>
          <w:lang w:val="en-GB"/>
        </w:rPr>
        <w:t>, pp.</w:t>
      </w:r>
      <w:r w:rsidRPr="002353FE">
        <w:rPr>
          <w:rFonts w:ascii="Verdana" w:hAnsi="Verdana"/>
          <w:sz w:val="24"/>
          <w:szCs w:val="24"/>
          <w:lang w:val="en-GB"/>
        </w:rPr>
        <w:t xml:space="preserve"> 501-512.</w:t>
      </w:r>
    </w:p>
    <w:p w14:paraId="08B14D22" w14:textId="66FC5CC7" w:rsidR="009F316E" w:rsidRPr="001E7395" w:rsidRDefault="009F316E" w:rsidP="001E7395">
      <w:pPr>
        <w:autoSpaceDE w:val="0"/>
        <w:autoSpaceDN w:val="0"/>
        <w:adjustRightInd w:val="0"/>
        <w:spacing w:after="0" w:line="360" w:lineRule="auto"/>
        <w:ind w:left="142"/>
        <w:jc w:val="both"/>
        <w:rPr>
          <w:rFonts w:ascii="Verdana" w:hAnsi="Verdana" w:cs="AdvOT8cb2ddbd"/>
          <w:sz w:val="24"/>
          <w:szCs w:val="24"/>
          <w:lang w:val="en-GB"/>
        </w:rPr>
      </w:pPr>
      <w:r w:rsidRPr="001E7395">
        <w:rPr>
          <w:rFonts w:ascii="Verdana" w:hAnsi="Verdana" w:cs="AdvOT8cb2ddbd"/>
          <w:sz w:val="24"/>
          <w:szCs w:val="24"/>
          <w:lang w:val="en-GB"/>
        </w:rPr>
        <w:t>Zhao, C., Noman, A. F. N., and Hassan M. K. (2023), “</w:t>
      </w:r>
      <w:r w:rsidRPr="001E7395">
        <w:rPr>
          <w:rFonts w:ascii="Verdana" w:hAnsi="Verdana" w:cs="AdvOT323a8e6c.B"/>
          <w:sz w:val="24"/>
          <w:szCs w:val="24"/>
          <w:lang w:val="en-GB"/>
        </w:rPr>
        <w:t>Bank</w:t>
      </w:r>
      <w:r w:rsidRPr="001E7395">
        <w:rPr>
          <w:rFonts w:ascii="Verdana" w:hAnsi="Verdana" w:cs="AdvOT323a8e6c.B+20"/>
          <w:sz w:val="24"/>
          <w:szCs w:val="24"/>
          <w:lang w:val="en-GB"/>
        </w:rPr>
        <w:t>’</w:t>
      </w:r>
      <w:r w:rsidRPr="001E7395">
        <w:rPr>
          <w:rFonts w:ascii="Verdana" w:hAnsi="Verdana" w:cs="AdvOT323a8e6c.B"/>
          <w:sz w:val="24"/>
          <w:szCs w:val="24"/>
          <w:lang w:val="en-GB"/>
        </w:rPr>
        <w:t>s service failures and bank customers</w:t>
      </w:r>
      <w:r w:rsidRPr="001E7395">
        <w:rPr>
          <w:rFonts w:ascii="Verdana" w:hAnsi="Verdana" w:cs="AdvOT323a8e6c.B+20"/>
          <w:sz w:val="24"/>
          <w:szCs w:val="24"/>
          <w:lang w:val="en-GB"/>
        </w:rPr>
        <w:t xml:space="preserve">’ </w:t>
      </w:r>
      <w:r w:rsidRPr="001E7395">
        <w:rPr>
          <w:rFonts w:ascii="Verdana" w:hAnsi="Verdana" w:cs="AdvOT323a8e6c.B"/>
          <w:sz w:val="24"/>
          <w:szCs w:val="24"/>
          <w:lang w:val="en-GB"/>
        </w:rPr>
        <w:t xml:space="preserve">switching behavior: does bank reputation matter?”, </w:t>
      </w:r>
      <w:r w:rsidRPr="001E7395">
        <w:rPr>
          <w:rFonts w:ascii="Verdana" w:hAnsi="Verdana" w:cs="AdvOT8cb2ddbd"/>
          <w:i/>
          <w:iCs/>
          <w:sz w:val="24"/>
          <w:szCs w:val="24"/>
          <w:lang w:val="en-GB"/>
        </w:rPr>
        <w:t>International Journal of Bank Marketing</w:t>
      </w:r>
      <w:r w:rsidRPr="001E7395">
        <w:rPr>
          <w:rFonts w:ascii="Verdana" w:hAnsi="Verdana" w:cs="AdvOT8cb2ddbd"/>
          <w:sz w:val="24"/>
          <w:szCs w:val="24"/>
          <w:lang w:val="en-GB"/>
        </w:rPr>
        <w:t xml:space="preserve">, </w:t>
      </w:r>
      <w:r w:rsidR="009440ED" w:rsidRPr="001E7395">
        <w:rPr>
          <w:rFonts w:ascii="Verdana" w:hAnsi="Verdana" w:cs="AdvOT8cb2ddbd"/>
          <w:sz w:val="24"/>
          <w:szCs w:val="24"/>
          <w:lang w:val="en-GB"/>
        </w:rPr>
        <w:t>v</w:t>
      </w:r>
      <w:r w:rsidRPr="001E7395">
        <w:rPr>
          <w:rFonts w:ascii="Verdana" w:hAnsi="Verdana" w:cs="AdvOT8cb2ddbd"/>
          <w:sz w:val="24"/>
          <w:szCs w:val="24"/>
          <w:lang w:val="en-GB"/>
        </w:rPr>
        <w:t xml:space="preserve">ol. 41, No 3, pp.550-571. </w:t>
      </w:r>
    </w:p>
    <w:p w14:paraId="11C94D4D" w14:textId="77777777" w:rsidR="009F316E" w:rsidRPr="002353FE" w:rsidRDefault="009F316E" w:rsidP="001E7395">
      <w:pPr>
        <w:widowControl w:val="0"/>
        <w:autoSpaceDE w:val="0"/>
        <w:autoSpaceDN w:val="0"/>
        <w:adjustRightInd w:val="0"/>
        <w:spacing w:after="120" w:line="360" w:lineRule="auto"/>
        <w:ind w:left="142"/>
        <w:jc w:val="both"/>
        <w:rPr>
          <w:rFonts w:ascii="Verdana" w:hAnsi="Verdana"/>
          <w:sz w:val="24"/>
          <w:szCs w:val="24"/>
          <w:lang w:val="en-GB"/>
        </w:rPr>
      </w:pPr>
    </w:p>
    <w:p w14:paraId="79B42FB1" w14:textId="77777777" w:rsidR="00161495" w:rsidRPr="002353FE" w:rsidRDefault="00161495" w:rsidP="001E7395">
      <w:pPr>
        <w:widowControl w:val="0"/>
        <w:autoSpaceDE w:val="0"/>
        <w:autoSpaceDN w:val="0"/>
        <w:adjustRightInd w:val="0"/>
        <w:spacing w:after="120" w:line="360" w:lineRule="auto"/>
        <w:ind w:left="142"/>
        <w:jc w:val="both"/>
        <w:rPr>
          <w:rFonts w:ascii="Verdana" w:hAnsi="Verdana"/>
          <w:sz w:val="24"/>
          <w:szCs w:val="24"/>
          <w:lang w:val="en-GB"/>
        </w:rPr>
      </w:pPr>
    </w:p>
    <w:p w14:paraId="6EE70C63" w14:textId="643D5531" w:rsidR="004D1438" w:rsidRDefault="004D1438">
      <w:pPr>
        <w:spacing w:after="0" w:line="240" w:lineRule="auto"/>
        <w:rPr>
          <w:rFonts w:ascii="Verdana" w:hAnsi="Verdana"/>
          <w:sz w:val="24"/>
          <w:szCs w:val="24"/>
          <w:lang w:val="en-GB"/>
        </w:rPr>
      </w:pPr>
      <w:r>
        <w:rPr>
          <w:rFonts w:ascii="Verdana" w:hAnsi="Verdana"/>
          <w:sz w:val="24"/>
          <w:szCs w:val="24"/>
          <w:lang w:val="en-GB"/>
        </w:rPr>
        <w:br w:type="page"/>
      </w:r>
    </w:p>
    <w:p w14:paraId="615AC4AF" w14:textId="77777777" w:rsidR="004D1438" w:rsidRPr="00F949C8" w:rsidRDefault="004D1438" w:rsidP="004D1438">
      <w:pPr>
        <w:spacing w:after="0" w:line="240" w:lineRule="auto"/>
        <w:rPr>
          <w:rFonts w:ascii="Verdana" w:hAnsi="Verdana"/>
          <w:b/>
          <w:sz w:val="24"/>
          <w:szCs w:val="24"/>
          <w:lang w:val="en-US"/>
        </w:rPr>
      </w:pPr>
      <w:r w:rsidRPr="00F949C8">
        <w:rPr>
          <w:rFonts w:ascii="Verdana" w:hAnsi="Verdana"/>
          <w:b/>
          <w:sz w:val="24"/>
          <w:szCs w:val="24"/>
          <w:lang w:val="en-US"/>
        </w:rPr>
        <w:lastRenderedPageBreak/>
        <w:t xml:space="preserve">Table </w:t>
      </w:r>
      <w:r>
        <w:rPr>
          <w:rFonts w:ascii="Verdana" w:hAnsi="Verdana"/>
          <w:b/>
          <w:sz w:val="24"/>
          <w:szCs w:val="24"/>
          <w:lang w:val="en-US"/>
        </w:rPr>
        <w:t>I</w:t>
      </w:r>
      <w:r w:rsidRPr="00F949C8">
        <w:rPr>
          <w:rFonts w:ascii="Verdana" w:hAnsi="Verdana"/>
          <w:b/>
          <w:sz w:val="24"/>
          <w:szCs w:val="24"/>
          <w:lang w:val="en-US"/>
        </w:rPr>
        <w:t>: Variables and Data source</w:t>
      </w:r>
    </w:p>
    <w:tbl>
      <w:tblPr>
        <w:tblStyle w:val="TableGrid"/>
        <w:tblW w:w="9214" w:type="dxa"/>
        <w:tblBorders>
          <w:top w:val="thinThickSmallGap" w:sz="24" w:space="0" w:color="auto"/>
          <w:left w:val="none" w:sz="0" w:space="0" w:color="auto"/>
          <w:bottom w:val="thickThinSmallGap" w:sz="24" w:space="0" w:color="auto"/>
          <w:right w:val="none" w:sz="0" w:space="0" w:color="auto"/>
        </w:tblBorders>
        <w:tblLayout w:type="fixed"/>
        <w:tblLook w:val="04A0" w:firstRow="1" w:lastRow="0" w:firstColumn="1" w:lastColumn="0" w:noHBand="0" w:noVBand="1"/>
      </w:tblPr>
      <w:tblGrid>
        <w:gridCol w:w="3119"/>
        <w:gridCol w:w="3935"/>
        <w:gridCol w:w="2160"/>
      </w:tblGrid>
      <w:tr w:rsidR="004D1438" w:rsidRPr="002B018A" w14:paraId="1698DB38" w14:textId="77777777" w:rsidTr="00BC71BA">
        <w:trPr>
          <w:trHeight w:val="288"/>
        </w:trPr>
        <w:tc>
          <w:tcPr>
            <w:tcW w:w="3119" w:type="dxa"/>
          </w:tcPr>
          <w:p w14:paraId="72385D11"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Dimension</w:t>
            </w:r>
          </w:p>
        </w:tc>
        <w:tc>
          <w:tcPr>
            <w:tcW w:w="3935" w:type="dxa"/>
          </w:tcPr>
          <w:p w14:paraId="775739CD"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Variable labels</w:t>
            </w:r>
          </w:p>
        </w:tc>
        <w:tc>
          <w:tcPr>
            <w:tcW w:w="2160" w:type="dxa"/>
          </w:tcPr>
          <w:p w14:paraId="68516B93"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Data source</w:t>
            </w:r>
          </w:p>
        </w:tc>
      </w:tr>
      <w:tr w:rsidR="004D1438" w:rsidRPr="002B018A" w14:paraId="1BC435D0" w14:textId="77777777" w:rsidTr="00BC71BA">
        <w:trPr>
          <w:trHeight w:val="288"/>
        </w:trPr>
        <w:tc>
          <w:tcPr>
            <w:tcW w:w="7054" w:type="dxa"/>
            <w:gridSpan w:val="2"/>
          </w:tcPr>
          <w:p w14:paraId="011EADA4" w14:textId="77777777" w:rsidR="004D1438" w:rsidRPr="00BB035C" w:rsidRDefault="004D1438" w:rsidP="00BC71BA">
            <w:pPr>
              <w:widowControl w:val="0"/>
              <w:spacing w:after="0" w:line="240" w:lineRule="auto"/>
              <w:jc w:val="both"/>
              <w:rPr>
                <w:rFonts w:ascii="Verdana" w:hAnsi="Verdana"/>
                <w:b/>
                <w:lang w:val="en-GB"/>
              </w:rPr>
            </w:pPr>
            <w:r w:rsidRPr="00BB035C">
              <w:rPr>
                <w:rFonts w:ascii="Verdana" w:hAnsi="Verdana"/>
                <w:b/>
                <w:lang w:val="en-GB"/>
              </w:rPr>
              <w:t>DEPENDENT VARIABLE</w:t>
            </w:r>
          </w:p>
        </w:tc>
        <w:tc>
          <w:tcPr>
            <w:tcW w:w="2160" w:type="dxa"/>
          </w:tcPr>
          <w:p w14:paraId="10F82C32"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257F0EFA" w14:textId="77777777" w:rsidTr="00BC71BA">
        <w:trPr>
          <w:trHeight w:val="561"/>
        </w:trPr>
        <w:tc>
          <w:tcPr>
            <w:tcW w:w="3119" w:type="dxa"/>
          </w:tcPr>
          <w:p w14:paraId="51511BA7"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S</w:t>
            </w:r>
            <w:r w:rsidRPr="002B018A">
              <w:rPr>
                <w:rFonts w:ascii="Verdana" w:hAnsi="Verdana"/>
                <w:lang w:val="en-GB"/>
              </w:rPr>
              <w:t>witch</w:t>
            </w:r>
            <w:r>
              <w:rPr>
                <w:rFonts w:ascii="Verdana" w:hAnsi="Verdana"/>
                <w:lang w:val="en-GB"/>
              </w:rPr>
              <w:t>ing</w:t>
            </w:r>
            <w:r w:rsidRPr="002B018A">
              <w:rPr>
                <w:rFonts w:ascii="Verdana" w:hAnsi="Verdana"/>
                <w:lang w:val="en-GB"/>
              </w:rPr>
              <w:t xml:space="preserve"> Personal Current Account </w:t>
            </w:r>
          </w:p>
        </w:tc>
        <w:tc>
          <w:tcPr>
            <w:tcW w:w="3935" w:type="dxa"/>
          </w:tcPr>
          <w:p w14:paraId="2F9EC8DF" w14:textId="77777777" w:rsidR="004D1438" w:rsidRPr="00067AC7" w:rsidRDefault="004D1438" w:rsidP="00BC71BA">
            <w:pPr>
              <w:widowControl w:val="0"/>
              <w:spacing w:after="0" w:line="240" w:lineRule="auto"/>
              <w:jc w:val="both"/>
              <w:rPr>
                <w:rFonts w:ascii="Verdana" w:hAnsi="Verdana"/>
                <w:lang w:val="en-GB"/>
              </w:rPr>
            </w:pPr>
            <w:r w:rsidRPr="00067AC7">
              <w:rPr>
                <w:rFonts w:ascii="Verdana" w:hAnsi="Verdana" w:cs="Tahoma"/>
                <w:i/>
                <w:szCs w:val="24"/>
                <w:lang w:val="en-GB"/>
              </w:rPr>
              <w:t xml:space="preserve">‘In the last 5 years have you changed provider of these products and services?’ </w:t>
            </w:r>
          </w:p>
        </w:tc>
        <w:tc>
          <w:tcPr>
            <w:tcW w:w="2160" w:type="dxa"/>
            <w:vMerge w:val="restart"/>
          </w:tcPr>
          <w:p w14:paraId="798CE415"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Special Eurobarometer on Financial Products and Services</w:t>
            </w:r>
            <w:r>
              <w:rPr>
                <w:rFonts w:ascii="Verdana" w:hAnsi="Verdana"/>
                <w:lang w:val="en-GB"/>
              </w:rPr>
              <w:t>.</w:t>
            </w:r>
            <w:r w:rsidRPr="002B018A">
              <w:rPr>
                <w:rFonts w:ascii="Verdana" w:hAnsi="Verdana"/>
                <w:lang w:val="en-GB"/>
              </w:rPr>
              <w:t xml:space="preserve"> </w:t>
            </w:r>
          </w:p>
          <w:p w14:paraId="2D16E800" w14:textId="77777777" w:rsidR="004D1438" w:rsidRDefault="004D1438" w:rsidP="00BC71BA">
            <w:pPr>
              <w:widowControl w:val="0"/>
              <w:spacing w:after="0" w:line="240" w:lineRule="auto"/>
              <w:jc w:val="both"/>
              <w:rPr>
                <w:rFonts w:ascii="Verdana" w:hAnsi="Verdana"/>
                <w:lang w:val="en-GB"/>
              </w:rPr>
            </w:pPr>
            <w:r w:rsidRPr="002B018A">
              <w:rPr>
                <w:rFonts w:ascii="Verdana" w:hAnsi="Verdana"/>
                <w:lang w:val="en-GB"/>
              </w:rPr>
              <w:t>European Commission</w:t>
            </w:r>
            <w:r>
              <w:rPr>
                <w:rFonts w:ascii="Verdana" w:hAnsi="Verdana"/>
                <w:lang w:val="en-GB"/>
              </w:rPr>
              <w:t xml:space="preserve"> (EC)</w:t>
            </w:r>
            <w:r w:rsidRPr="002B018A">
              <w:rPr>
                <w:rFonts w:ascii="Verdana" w:hAnsi="Verdana"/>
                <w:lang w:val="en-GB"/>
              </w:rPr>
              <w:t xml:space="preserve"> and European Parliament </w:t>
            </w:r>
            <w:r>
              <w:rPr>
                <w:rFonts w:ascii="Verdana" w:hAnsi="Verdana"/>
                <w:lang w:val="en-GB"/>
              </w:rPr>
              <w:t>(EP) (2016)</w:t>
            </w:r>
          </w:p>
          <w:p w14:paraId="62CF10E7" w14:textId="77777777" w:rsidR="004D1438" w:rsidRDefault="004D1438" w:rsidP="00BC71BA">
            <w:pPr>
              <w:widowControl w:val="0"/>
              <w:spacing w:after="0" w:line="240" w:lineRule="auto"/>
              <w:jc w:val="both"/>
              <w:rPr>
                <w:rFonts w:ascii="Verdana" w:hAnsi="Verdana"/>
                <w:lang w:val="en-GB"/>
              </w:rPr>
            </w:pPr>
          </w:p>
          <w:p w14:paraId="3CC86401" w14:textId="77777777" w:rsidR="004D1438" w:rsidRDefault="004D1438" w:rsidP="00BC71BA">
            <w:pPr>
              <w:widowControl w:val="0"/>
              <w:spacing w:after="0" w:line="240" w:lineRule="auto"/>
              <w:jc w:val="both"/>
              <w:rPr>
                <w:rFonts w:ascii="Verdana" w:hAnsi="Verdana"/>
                <w:lang w:val="en-GB"/>
              </w:rPr>
            </w:pPr>
          </w:p>
          <w:p w14:paraId="6EB15E64" w14:textId="77777777" w:rsidR="004D1438" w:rsidRPr="002B018A" w:rsidRDefault="004D1438" w:rsidP="00BC71BA">
            <w:pPr>
              <w:widowControl w:val="0"/>
              <w:spacing w:after="0" w:line="240" w:lineRule="auto"/>
              <w:jc w:val="both"/>
              <w:rPr>
                <w:rFonts w:ascii="Verdana" w:hAnsi="Verdana"/>
                <w:lang w:val="en-GB"/>
              </w:rPr>
            </w:pPr>
          </w:p>
        </w:tc>
      </w:tr>
      <w:tr w:rsidR="004D1438" w:rsidRPr="002B018A" w14:paraId="3A7A371E" w14:textId="77777777" w:rsidTr="00BC71BA">
        <w:trPr>
          <w:trHeight w:val="277"/>
        </w:trPr>
        <w:tc>
          <w:tcPr>
            <w:tcW w:w="7054" w:type="dxa"/>
            <w:gridSpan w:val="2"/>
          </w:tcPr>
          <w:p w14:paraId="166E4EFC" w14:textId="77777777" w:rsidR="004D1438" w:rsidRPr="00BB035C" w:rsidRDefault="004D1438" w:rsidP="00BC71BA">
            <w:pPr>
              <w:widowControl w:val="0"/>
              <w:spacing w:after="0" w:line="240" w:lineRule="auto"/>
              <w:jc w:val="both"/>
              <w:rPr>
                <w:rFonts w:ascii="Verdana" w:hAnsi="Verdana"/>
                <w:b/>
                <w:lang w:val="en-GB"/>
              </w:rPr>
            </w:pPr>
            <w:r w:rsidRPr="00BB035C">
              <w:rPr>
                <w:rFonts w:ascii="Verdana" w:hAnsi="Verdana"/>
                <w:b/>
                <w:lang w:val="en-GB"/>
              </w:rPr>
              <w:t>IND</w:t>
            </w:r>
            <w:r>
              <w:rPr>
                <w:rFonts w:ascii="Verdana" w:hAnsi="Verdana"/>
                <w:b/>
                <w:lang w:val="en-GB"/>
              </w:rPr>
              <w:t>IVIDUAL</w:t>
            </w:r>
            <w:r w:rsidRPr="00BB035C">
              <w:rPr>
                <w:rFonts w:ascii="Verdana" w:hAnsi="Verdana"/>
                <w:b/>
                <w:lang w:val="en-GB"/>
              </w:rPr>
              <w:t xml:space="preserve"> CHARACTERISTICS</w:t>
            </w:r>
          </w:p>
        </w:tc>
        <w:tc>
          <w:tcPr>
            <w:tcW w:w="2160" w:type="dxa"/>
            <w:vMerge/>
          </w:tcPr>
          <w:p w14:paraId="20D8DBF0" w14:textId="77777777" w:rsidR="004D1438" w:rsidRPr="002B018A" w:rsidRDefault="004D1438" w:rsidP="00BC71BA">
            <w:pPr>
              <w:widowControl w:val="0"/>
              <w:spacing w:after="0" w:line="240" w:lineRule="auto"/>
              <w:jc w:val="both"/>
              <w:rPr>
                <w:rFonts w:ascii="Verdana" w:hAnsi="Verdana"/>
                <w:lang w:val="en-GB"/>
              </w:rPr>
            </w:pPr>
          </w:p>
        </w:tc>
      </w:tr>
      <w:tr w:rsidR="004D1438" w:rsidRPr="002B018A" w14:paraId="24370DD0" w14:textId="77777777" w:rsidTr="00BC71BA">
        <w:trPr>
          <w:trHeight w:val="561"/>
        </w:trPr>
        <w:tc>
          <w:tcPr>
            <w:tcW w:w="3119" w:type="dxa"/>
          </w:tcPr>
          <w:p w14:paraId="7DA144D3" w14:textId="77777777" w:rsidR="004D1438"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Age </w:t>
            </w:r>
          </w:p>
        </w:tc>
        <w:tc>
          <w:tcPr>
            <w:tcW w:w="3935" w:type="dxa"/>
          </w:tcPr>
          <w:p w14:paraId="2EDA4512"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15-24, 25-34, 35-44, 45-54, 55-64, &gt;64</w:t>
            </w:r>
          </w:p>
        </w:tc>
        <w:tc>
          <w:tcPr>
            <w:tcW w:w="2160" w:type="dxa"/>
            <w:vMerge/>
          </w:tcPr>
          <w:p w14:paraId="0698851B"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36B4EA05" w14:textId="77777777" w:rsidTr="00BC71BA">
        <w:trPr>
          <w:trHeight w:val="561"/>
        </w:trPr>
        <w:tc>
          <w:tcPr>
            <w:tcW w:w="3119" w:type="dxa"/>
          </w:tcPr>
          <w:p w14:paraId="6F19B675"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Educational Attainment</w:t>
            </w:r>
          </w:p>
        </w:tc>
        <w:tc>
          <w:tcPr>
            <w:tcW w:w="3935" w:type="dxa"/>
          </w:tcPr>
          <w:p w14:paraId="487994CC"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Basic education</w:t>
            </w:r>
          </w:p>
          <w:p w14:paraId="7B4E3E55"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Secondary education</w:t>
            </w:r>
          </w:p>
          <w:p w14:paraId="03BA361F"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Higher Education</w:t>
            </w:r>
          </w:p>
        </w:tc>
        <w:tc>
          <w:tcPr>
            <w:tcW w:w="2160" w:type="dxa"/>
            <w:vMerge/>
          </w:tcPr>
          <w:p w14:paraId="19BB04D4"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59345063" w14:textId="77777777" w:rsidTr="00BC71BA">
        <w:trPr>
          <w:trHeight w:val="561"/>
        </w:trPr>
        <w:tc>
          <w:tcPr>
            <w:tcW w:w="3119" w:type="dxa"/>
          </w:tcPr>
          <w:p w14:paraId="558293B6"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Nationality</w:t>
            </w:r>
          </w:p>
        </w:tc>
        <w:tc>
          <w:tcPr>
            <w:tcW w:w="3935" w:type="dxa"/>
          </w:tcPr>
          <w:p w14:paraId="0D699B6A" w14:textId="77777777" w:rsidR="004D1438" w:rsidRPr="002B018A" w:rsidRDefault="004D1438" w:rsidP="00BC71BA">
            <w:pPr>
              <w:widowControl w:val="0"/>
              <w:spacing w:after="0" w:line="240" w:lineRule="auto"/>
              <w:jc w:val="both"/>
              <w:rPr>
                <w:rFonts w:ascii="Verdana" w:hAnsi="Verdana"/>
                <w:lang w:val="en-GB"/>
              </w:rPr>
            </w:pPr>
            <w:r>
              <w:rPr>
                <w:rFonts w:ascii="Verdana" w:hAnsi="Verdana" w:cs="Tahoma"/>
                <w:szCs w:val="24"/>
                <w:lang w:val="en-GB"/>
              </w:rPr>
              <w:t>P</w:t>
            </w:r>
            <w:r w:rsidRPr="005F7250">
              <w:rPr>
                <w:rFonts w:ascii="Verdana" w:hAnsi="Verdana" w:cs="Tahoma"/>
                <w:szCs w:val="24"/>
                <w:lang w:val="en-GB"/>
              </w:rPr>
              <w:t>o</w:t>
            </w:r>
            <w:r>
              <w:rPr>
                <w:rFonts w:ascii="Verdana" w:hAnsi="Verdana" w:cs="Tahoma"/>
                <w:szCs w:val="24"/>
                <w:lang w:val="en-GB"/>
              </w:rPr>
              <w:t>ss</w:t>
            </w:r>
            <w:r w:rsidRPr="005F7250">
              <w:rPr>
                <w:rFonts w:ascii="Verdana" w:hAnsi="Verdana" w:cs="Tahoma"/>
                <w:szCs w:val="24"/>
                <w:lang w:val="en-GB"/>
              </w:rPr>
              <w:t>es</w:t>
            </w:r>
            <w:r>
              <w:rPr>
                <w:rFonts w:ascii="Verdana" w:hAnsi="Verdana" w:cs="Tahoma"/>
                <w:szCs w:val="24"/>
                <w:lang w:val="en-GB"/>
              </w:rPr>
              <w:t>s</w:t>
            </w:r>
            <w:r w:rsidRPr="005F7250">
              <w:rPr>
                <w:rFonts w:ascii="Verdana" w:hAnsi="Verdana" w:cs="Tahoma"/>
                <w:szCs w:val="24"/>
                <w:lang w:val="en-GB"/>
              </w:rPr>
              <w:t xml:space="preserve"> the nationality of his/her country of residence or not</w:t>
            </w:r>
          </w:p>
        </w:tc>
        <w:tc>
          <w:tcPr>
            <w:tcW w:w="2160" w:type="dxa"/>
            <w:vMerge/>
          </w:tcPr>
          <w:p w14:paraId="277BF35F" w14:textId="77777777" w:rsidR="004D1438" w:rsidRPr="002B018A" w:rsidRDefault="004D1438" w:rsidP="00BC71BA">
            <w:pPr>
              <w:widowControl w:val="0"/>
              <w:spacing w:after="0" w:line="240" w:lineRule="auto"/>
              <w:jc w:val="both"/>
              <w:rPr>
                <w:rFonts w:ascii="Verdana" w:hAnsi="Verdana"/>
                <w:lang w:val="en-GB"/>
              </w:rPr>
            </w:pPr>
          </w:p>
        </w:tc>
      </w:tr>
      <w:tr w:rsidR="004D1438" w:rsidRPr="002220B7" w14:paraId="5332306A" w14:textId="77777777" w:rsidTr="00BC71BA">
        <w:trPr>
          <w:trHeight w:val="227"/>
        </w:trPr>
        <w:tc>
          <w:tcPr>
            <w:tcW w:w="3119" w:type="dxa"/>
          </w:tcPr>
          <w:p w14:paraId="46FCCDBE"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Gender </w:t>
            </w:r>
          </w:p>
        </w:tc>
        <w:tc>
          <w:tcPr>
            <w:tcW w:w="3935" w:type="dxa"/>
          </w:tcPr>
          <w:p w14:paraId="6B6DBB73"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Woman or otherwise</w:t>
            </w:r>
          </w:p>
        </w:tc>
        <w:tc>
          <w:tcPr>
            <w:tcW w:w="2160" w:type="dxa"/>
            <w:vMerge/>
          </w:tcPr>
          <w:p w14:paraId="6BBD2B47"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242D4693" w14:textId="77777777" w:rsidTr="00BC71BA">
        <w:trPr>
          <w:trHeight w:val="273"/>
        </w:trPr>
        <w:tc>
          <w:tcPr>
            <w:tcW w:w="3119" w:type="dxa"/>
          </w:tcPr>
          <w:p w14:paraId="47782275"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Employment status </w:t>
            </w:r>
          </w:p>
        </w:tc>
        <w:tc>
          <w:tcPr>
            <w:tcW w:w="3935" w:type="dxa"/>
          </w:tcPr>
          <w:p w14:paraId="66CEB513" w14:textId="77777777" w:rsidR="004D1438" w:rsidRPr="005F7250" w:rsidRDefault="004D1438" w:rsidP="00BC71BA">
            <w:pPr>
              <w:widowControl w:val="0"/>
              <w:spacing w:after="0" w:line="240" w:lineRule="auto"/>
              <w:jc w:val="both"/>
              <w:rPr>
                <w:rFonts w:ascii="Verdana" w:hAnsi="Verdana"/>
                <w:lang w:val="en-GB"/>
              </w:rPr>
            </w:pPr>
            <w:r>
              <w:rPr>
                <w:rFonts w:ascii="Verdana" w:hAnsi="Verdana"/>
                <w:lang w:val="en-GB"/>
              </w:rPr>
              <w:t>Self Employed, Employed (vs others)</w:t>
            </w:r>
          </w:p>
        </w:tc>
        <w:tc>
          <w:tcPr>
            <w:tcW w:w="2160" w:type="dxa"/>
            <w:vMerge/>
          </w:tcPr>
          <w:p w14:paraId="23057A30"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05EBDD9A" w14:textId="77777777" w:rsidTr="00BC71BA">
        <w:trPr>
          <w:trHeight w:val="193"/>
        </w:trPr>
        <w:tc>
          <w:tcPr>
            <w:tcW w:w="3119" w:type="dxa"/>
          </w:tcPr>
          <w:p w14:paraId="77F945A6"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Occupation </w:t>
            </w:r>
          </w:p>
        </w:tc>
        <w:tc>
          <w:tcPr>
            <w:tcW w:w="3935" w:type="dxa"/>
          </w:tcPr>
          <w:p w14:paraId="30F1DFC0"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Manager, White collar, Manual worker</w:t>
            </w:r>
          </w:p>
        </w:tc>
        <w:tc>
          <w:tcPr>
            <w:tcW w:w="2160" w:type="dxa"/>
            <w:vMerge/>
          </w:tcPr>
          <w:p w14:paraId="4A2198B3"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36CDDF39" w14:textId="77777777" w:rsidTr="00BC71BA">
        <w:trPr>
          <w:trHeight w:val="273"/>
        </w:trPr>
        <w:tc>
          <w:tcPr>
            <w:tcW w:w="3119" w:type="dxa"/>
          </w:tcPr>
          <w:p w14:paraId="44A116DD"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Marital Status </w:t>
            </w:r>
          </w:p>
        </w:tc>
        <w:tc>
          <w:tcPr>
            <w:tcW w:w="3935" w:type="dxa"/>
          </w:tcPr>
          <w:p w14:paraId="72F705C8"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Single adult (single, divorced or widowed) or married or otherwise</w:t>
            </w:r>
          </w:p>
        </w:tc>
        <w:tc>
          <w:tcPr>
            <w:tcW w:w="2160" w:type="dxa"/>
            <w:vMerge/>
          </w:tcPr>
          <w:p w14:paraId="09A5C045"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6F1CC905" w14:textId="77777777" w:rsidTr="00BC71BA">
        <w:trPr>
          <w:trHeight w:val="288"/>
        </w:trPr>
        <w:tc>
          <w:tcPr>
            <w:tcW w:w="3119" w:type="dxa"/>
          </w:tcPr>
          <w:p w14:paraId="12F9647A"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Household Size </w:t>
            </w:r>
            <w:r>
              <w:rPr>
                <w:rFonts w:ascii="Verdana" w:hAnsi="Verdana"/>
                <w:lang w:val="en-GB"/>
              </w:rPr>
              <w:t>and Household size ^2</w:t>
            </w:r>
          </w:p>
        </w:tc>
        <w:tc>
          <w:tcPr>
            <w:tcW w:w="3935" w:type="dxa"/>
          </w:tcPr>
          <w:p w14:paraId="04905CD6"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Number of household members and this value squared</w:t>
            </w:r>
          </w:p>
        </w:tc>
        <w:tc>
          <w:tcPr>
            <w:tcW w:w="2160" w:type="dxa"/>
            <w:vMerge/>
          </w:tcPr>
          <w:p w14:paraId="31464048"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686401F9" w14:textId="77777777" w:rsidTr="00BC71BA">
        <w:trPr>
          <w:trHeight w:val="273"/>
        </w:trPr>
        <w:tc>
          <w:tcPr>
            <w:tcW w:w="3119" w:type="dxa"/>
          </w:tcPr>
          <w:p w14:paraId="3E58ADDE"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House Ownership </w:t>
            </w:r>
          </w:p>
        </w:tc>
        <w:tc>
          <w:tcPr>
            <w:tcW w:w="3935" w:type="dxa"/>
          </w:tcPr>
          <w:p w14:paraId="6B12EA99"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House owner, Mortgage (vs others)</w:t>
            </w:r>
          </w:p>
        </w:tc>
        <w:tc>
          <w:tcPr>
            <w:tcW w:w="2160" w:type="dxa"/>
            <w:vMerge/>
          </w:tcPr>
          <w:p w14:paraId="4FBEDE53" w14:textId="77777777" w:rsidR="004D1438" w:rsidRPr="002B018A" w:rsidRDefault="004D1438" w:rsidP="00BC71BA">
            <w:pPr>
              <w:widowControl w:val="0"/>
              <w:spacing w:after="0" w:line="240" w:lineRule="auto"/>
              <w:jc w:val="both"/>
              <w:rPr>
                <w:rFonts w:ascii="Verdana" w:hAnsi="Verdana"/>
                <w:lang w:val="en-GB"/>
              </w:rPr>
            </w:pPr>
          </w:p>
        </w:tc>
      </w:tr>
      <w:tr w:rsidR="004D1438" w:rsidRPr="004D1438" w14:paraId="7AFFC70F" w14:textId="77777777" w:rsidTr="00BC71BA">
        <w:trPr>
          <w:trHeight w:val="185"/>
        </w:trPr>
        <w:tc>
          <w:tcPr>
            <w:tcW w:w="9214" w:type="dxa"/>
            <w:gridSpan w:val="3"/>
          </w:tcPr>
          <w:p w14:paraId="5FAC95E8" w14:textId="77777777" w:rsidR="004D1438" w:rsidRPr="00BB035C" w:rsidRDefault="004D1438" w:rsidP="00BC71BA">
            <w:pPr>
              <w:widowControl w:val="0"/>
              <w:spacing w:after="0" w:line="240" w:lineRule="auto"/>
              <w:jc w:val="both"/>
              <w:rPr>
                <w:rFonts w:ascii="Verdana" w:hAnsi="Verdana"/>
                <w:b/>
                <w:lang w:val="en-GB"/>
              </w:rPr>
            </w:pPr>
            <w:r w:rsidRPr="00BB035C">
              <w:rPr>
                <w:rFonts w:ascii="Verdana" w:hAnsi="Verdana"/>
                <w:b/>
                <w:lang w:val="en-GB"/>
              </w:rPr>
              <w:t>CHARACTERISTICS OF THE PLACE OF RESIDENCE</w:t>
            </w:r>
          </w:p>
        </w:tc>
      </w:tr>
      <w:tr w:rsidR="004D1438" w:rsidRPr="004D1438" w14:paraId="4CE45CC9" w14:textId="77777777" w:rsidTr="00BC71BA">
        <w:trPr>
          <w:trHeight w:val="288"/>
        </w:trPr>
        <w:tc>
          <w:tcPr>
            <w:tcW w:w="3119" w:type="dxa"/>
          </w:tcPr>
          <w:p w14:paraId="41848C3A"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Size of Community</w:t>
            </w:r>
          </w:p>
        </w:tc>
        <w:tc>
          <w:tcPr>
            <w:tcW w:w="3935" w:type="dxa"/>
          </w:tcPr>
          <w:p w14:paraId="150457A0"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Rural, Town and City</w:t>
            </w:r>
          </w:p>
        </w:tc>
        <w:tc>
          <w:tcPr>
            <w:tcW w:w="2160" w:type="dxa"/>
            <w:vMerge w:val="restart"/>
          </w:tcPr>
          <w:p w14:paraId="62A264B2"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EUROSTAT </w:t>
            </w:r>
            <w:r>
              <w:rPr>
                <w:rFonts w:ascii="Verdana" w:hAnsi="Verdana"/>
                <w:lang w:val="en-GB"/>
              </w:rPr>
              <w:t>(</w:t>
            </w:r>
            <w:r w:rsidRPr="002B018A">
              <w:rPr>
                <w:rFonts w:ascii="Verdana" w:hAnsi="Verdana"/>
                <w:lang w:val="en-GB"/>
              </w:rPr>
              <w:t>2017a</w:t>
            </w:r>
            <w:r>
              <w:rPr>
                <w:rFonts w:ascii="Verdana" w:hAnsi="Verdana"/>
                <w:lang w:val="en-GB"/>
              </w:rPr>
              <w:t xml:space="preserve"> and 2017b), </w:t>
            </w:r>
            <w:r>
              <w:rPr>
                <w:rFonts w:ascii="Verdana" w:hAnsi="Verdana" w:cs="Tahoma"/>
                <w:szCs w:val="24"/>
                <w:lang w:val="en-GB"/>
              </w:rPr>
              <w:t>combined with EC and EP (2016)</w:t>
            </w:r>
            <w:r>
              <w:rPr>
                <w:rFonts w:ascii="Verdana" w:hAnsi="Verdana"/>
                <w:lang w:val="en-GB"/>
              </w:rPr>
              <w:t xml:space="preserve"> </w:t>
            </w:r>
            <w:r w:rsidRPr="002B018A">
              <w:rPr>
                <w:rFonts w:ascii="Verdana" w:hAnsi="Verdana"/>
                <w:lang w:val="en-GB"/>
              </w:rPr>
              <w:t xml:space="preserve"> </w:t>
            </w:r>
          </w:p>
          <w:p w14:paraId="0AFDFD20" w14:textId="77777777" w:rsidR="004D1438" w:rsidRPr="002B018A" w:rsidRDefault="004D1438" w:rsidP="00BC71BA">
            <w:pPr>
              <w:widowControl w:val="0"/>
              <w:spacing w:after="0" w:line="240" w:lineRule="auto"/>
              <w:jc w:val="both"/>
              <w:rPr>
                <w:rFonts w:ascii="Verdana" w:hAnsi="Verdana"/>
                <w:lang w:val="en-GB"/>
              </w:rPr>
            </w:pPr>
          </w:p>
        </w:tc>
      </w:tr>
      <w:tr w:rsidR="004D1438" w:rsidRPr="00CB6A0B" w14:paraId="4D2DA9DB" w14:textId="77777777" w:rsidTr="00BC71BA">
        <w:trPr>
          <w:trHeight w:val="288"/>
        </w:trPr>
        <w:tc>
          <w:tcPr>
            <w:tcW w:w="3119" w:type="dxa"/>
          </w:tcPr>
          <w:p w14:paraId="6FC872A5"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Concentration of population in the </w:t>
            </w:r>
            <w:r>
              <w:rPr>
                <w:rFonts w:ascii="Verdana" w:hAnsi="Verdana"/>
                <w:lang w:val="en-GB"/>
              </w:rPr>
              <w:t>region</w:t>
            </w:r>
            <w:r w:rsidRPr="002B018A">
              <w:rPr>
                <w:rFonts w:ascii="Verdana" w:hAnsi="Verdana"/>
                <w:lang w:val="en-GB"/>
              </w:rPr>
              <w:t xml:space="preserve"> of residence </w:t>
            </w:r>
            <w:r>
              <w:rPr>
                <w:rFonts w:ascii="Verdana" w:hAnsi="Verdana"/>
                <w:lang w:val="en-GB"/>
              </w:rPr>
              <w:t>(</w:t>
            </w:r>
            <w:r w:rsidRPr="00067AC7">
              <w:rPr>
                <w:rFonts w:ascii="Verdana" w:hAnsi="Verdana" w:cs="Tahoma"/>
                <w:szCs w:val="24"/>
                <w:lang w:val="en-GB"/>
              </w:rPr>
              <w:t>inhabitants per square kilometre</w:t>
            </w:r>
            <w:r>
              <w:rPr>
                <w:rFonts w:ascii="Verdana" w:hAnsi="Verdana" w:cs="Tahoma"/>
                <w:szCs w:val="24"/>
                <w:lang w:val="en-GB"/>
              </w:rPr>
              <w:t>)</w:t>
            </w:r>
          </w:p>
        </w:tc>
        <w:tc>
          <w:tcPr>
            <w:tcW w:w="3935" w:type="dxa"/>
          </w:tcPr>
          <w:p w14:paraId="77E305CB"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 xml:space="preserve">&lt;50, 50-75, 75–100, 100-200, </w:t>
            </w:r>
          </w:p>
          <w:p w14:paraId="5B6245A4"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200-500, &gt;500</w:t>
            </w:r>
          </w:p>
        </w:tc>
        <w:tc>
          <w:tcPr>
            <w:tcW w:w="2160" w:type="dxa"/>
            <w:vMerge/>
          </w:tcPr>
          <w:p w14:paraId="64167905" w14:textId="77777777" w:rsidR="004D1438" w:rsidRPr="002B018A" w:rsidRDefault="004D1438" w:rsidP="00BC71BA">
            <w:pPr>
              <w:widowControl w:val="0"/>
              <w:spacing w:after="0" w:line="240" w:lineRule="auto"/>
              <w:jc w:val="both"/>
              <w:rPr>
                <w:rFonts w:ascii="Verdana" w:hAnsi="Verdana"/>
                <w:lang w:val="en-GB"/>
              </w:rPr>
            </w:pPr>
          </w:p>
        </w:tc>
      </w:tr>
      <w:tr w:rsidR="004D1438" w:rsidRPr="002220B7" w14:paraId="45FCC0CD" w14:textId="77777777" w:rsidTr="00BC71BA">
        <w:trPr>
          <w:trHeight w:val="267"/>
        </w:trPr>
        <w:tc>
          <w:tcPr>
            <w:tcW w:w="3119" w:type="dxa"/>
          </w:tcPr>
          <w:p w14:paraId="6BDA05C1"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GDP per capita</w:t>
            </w:r>
            <w:r>
              <w:rPr>
                <w:rFonts w:ascii="Verdana" w:hAnsi="Verdana"/>
                <w:lang w:val="en-GB"/>
              </w:rPr>
              <w:t xml:space="preserve"> in the region of residence (€000’s per inhabitant)</w:t>
            </w:r>
          </w:p>
        </w:tc>
        <w:tc>
          <w:tcPr>
            <w:tcW w:w="3935" w:type="dxa"/>
          </w:tcPr>
          <w:p w14:paraId="261BBD18"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&lt;10, 10-20, 20-30, 30-40, &gt;40.</w:t>
            </w:r>
          </w:p>
        </w:tc>
        <w:tc>
          <w:tcPr>
            <w:tcW w:w="2160" w:type="dxa"/>
            <w:vMerge/>
          </w:tcPr>
          <w:p w14:paraId="1131FE7D" w14:textId="77777777" w:rsidR="004D1438" w:rsidRPr="002B018A" w:rsidRDefault="004D1438" w:rsidP="00BC71BA">
            <w:pPr>
              <w:widowControl w:val="0"/>
              <w:spacing w:after="0" w:line="240" w:lineRule="auto"/>
              <w:jc w:val="both"/>
              <w:rPr>
                <w:rFonts w:ascii="Verdana" w:hAnsi="Verdana" w:cs="Tahoma"/>
                <w:szCs w:val="24"/>
                <w:lang w:val="en-GB"/>
              </w:rPr>
            </w:pPr>
          </w:p>
        </w:tc>
      </w:tr>
      <w:tr w:rsidR="004D1438" w:rsidRPr="004D1438" w14:paraId="3CE2EEB8" w14:textId="77777777" w:rsidTr="00BC71BA">
        <w:trPr>
          <w:trHeight w:val="273"/>
        </w:trPr>
        <w:tc>
          <w:tcPr>
            <w:tcW w:w="9214" w:type="dxa"/>
            <w:gridSpan w:val="3"/>
          </w:tcPr>
          <w:p w14:paraId="0C7D4594" w14:textId="77777777" w:rsidR="004D1438" w:rsidRPr="00BB035C" w:rsidRDefault="004D1438" w:rsidP="00BC71BA">
            <w:pPr>
              <w:widowControl w:val="0"/>
              <w:spacing w:after="0" w:line="240" w:lineRule="auto"/>
              <w:jc w:val="both"/>
              <w:rPr>
                <w:rFonts w:ascii="Verdana" w:hAnsi="Verdana"/>
                <w:b/>
                <w:lang w:val="en-GB"/>
              </w:rPr>
            </w:pPr>
            <w:r w:rsidRPr="00BB035C">
              <w:rPr>
                <w:rFonts w:ascii="Verdana" w:hAnsi="Verdana" w:cs="Tahoma"/>
                <w:b/>
                <w:lang w:val="en-GB"/>
              </w:rPr>
              <w:t>CHARACTERISTICS OF THE COUNTRY OF RESIDENCE</w:t>
            </w:r>
          </w:p>
        </w:tc>
      </w:tr>
      <w:tr w:rsidR="004D1438" w:rsidRPr="001226FB" w14:paraId="244B7AF9" w14:textId="77777777" w:rsidTr="00BC71BA">
        <w:trPr>
          <w:trHeight w:val="273"/>
        </w:trPr>
        <w:tc>
          <w:tcPr>
            <w:tcW w:w="3119" w:type="dxa"/>
          </w:tcPr>
          <w:p w14:paraId="68ECEC45"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GDP growth %</w:t>
            </w:r>
          </w:p>
        </w:tc>
        <w:tc>
          <w:tcPr>
            <w:tcW w:w="3935" w:type="dxa"/>
          </w:tcPr>
          <w:p w14:paraId="643114B1" w14:textId="77777777" w:rsidR="004D1438" w:rsidRDefault="004D1438" w:rsidP="00BC71BA">
            <w:pPr>
              <w:widowControl w:val="0"/>
              <w:spacing w:after="0" w:line="240" w:lineRule="auto"/>
              <w:jc w:val="both"/>
              <w:rPr>
                <w:rFonts w:ascii="Verdana" w:hAnsi="Verdana" w:cs="Tahoma"/>
                <w:szCs w:val="24"/>
                <w:lang w:val="en-GB"/>
              </w:rPr>
            </w:pPr>
            <w:r>
              <w:rPr>
                <w:rFonts w:ascii="Verdana" w:hAnsi="Verdana" w:cs="Tahoma"/>
                <w:lang w:val="en-GB"/>
              </w:rPr>
              <w:t>A</w:t>
            </w:r>
            <w:r w:rsidRPr="00175811">
              <w:rPr>
                <w:rFonts w:ascii="Verdana" w:hAnsi="Verdana" w:cs="Tahoma"/>
                <w:lang w:val="en-GB"/>
              </w:rPr>
              <w:t>verage rate of GDP change in the period 2011-2015</w:t>
            </w:r>
          </w:p>
        </w:tc>
        <w:tc>
          <w:tcPr>
            <w:tcW w:w="2160" w:type="dxa"/>
          </w:tcPr>
          <w:p w14:paraId="49F3AD48"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EUROSTAT (2017b)</w:t>
            </w:r>
          </w:p>
        </w:tc>
      </w:tr>
      <w:tr w:rsidR="004D1438" w:rsidRPr="001226FB" w14:paraId="75AEFCA8" w14:textId="77777777" w:rsidTr="00BC71BA">
        <w:trPr>
          <w:trHeight w:val="273"/>
        </w:trPr>
        <w:tc>
          <w:tcPr>
            <w:tcW w:w="3119" w:type="dxa"/>
          </w:tcPr>
          <w:p w14:paraId="7EB977CC"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Inflation %</w:t>
            </w:r>
          </w:p>
        </w:tc>
        <w:tc>
          <w:tcPr>
            <w:tcW w:w="3935" w:type="dxa"/>
          </w:tcPr>
          <w:p w14:paraId="2C35C90B" w14:textId="77777777" w:rsidR="004D1438" w:rsidRPr="002B018A" w:rsidRDefault="004D1438" w:rsidP="00BC71BA">
            <w:pPr>
              <w:widowControl w:val="0"/>
              <w:spacing w:after="0" w:line="240" w:lineRule="auto"/>
              <w:jc w:val="both"/>
              <w:rPr>
                <w:rFonts w:ascii="Verdana" w:hAnsi="Verdana"/>
                <w:lang w:val="en-GB"/>
              </w:rPr>
            </w:pPr>
            <w:r>
              <w:rPr>
                <w:rFonts w:ascii="Verdana" w:hAnsi="Verdana" w:cs="Tahoma"/>
                <w:szCs w:val="24"/>
                <w:lang w:val="en-GB"/>
              </w:rPr>
              <w:t>A</w:t>
            </w:r>
            <w:r w:rsidRPr="00175811">
              <w:rPr>
                <w:rFonts w:ascii="Verdana" w:hAnsi="Verdana" w:cs="Tahoma"/>
                <w:szCs w:val="24"/>
                <w:lang w:val="en-GB"/>
              </w:rPr>
              <w:t>verage annual growth of the consumer price index in the period 2011-2015</w:t>
            </w:r>
          </w:p>
        </w:tc>
        <w:tc>
          <w:tcPr>
            <w:tcW w:w="2160" w:type="dxa"/>
          </w:tcPr>
          <w:p w14:paraId="266E6F42"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EUROSTAT (2017c)</w:t>
            </w:r>
          </w:p>
        </w:tc>
      </w:tr>
      <w:tr w:rsidR="004D1438" w:rsidRPr="00CB6A0B" w14:paraId="35E93BF5" w14:textId="77777777" w:rsidTr="00BC71BA">
        <w:trPr>
          <w:trHeight w:val="273"/>
        </w:trPr>
        <w:tc>
          <w:tcPr>
            <w:tcW w:w="3119" w:type="dxa"/>
          </w:tcPr>
          <w:p w14:paraId="551FB663" w14:textId="77777777" w:rsidR="004D1438" w:rsidRDefault="004D1438" w:rsidP="00BC71BA">
            <w:pPr>
              <w:widowControl w:val="0"/>
              <w:spacing w:after="0" w:line="240" w:lineRule="auto"/>
              <w:jc w:val="both"/>
              <w:rPr>
                <w:rFonts w:ascii="Verdana" w:hAnsi="Verdana"/>
                <w:lang w:val="en-GB"/>
              </w:rPr>
            </w:pPr>
            <w:r>
              <w:rPr>
                <w:rFonts w:ascii="Verdana" w:hAnsi="Verdana"/>
                <w:lang w:val="en-GB"/>
              </w:rPr>
              <w:t>Interest rate</w:t>
            </w:r>
            <w:r w:rsidRPr="002B018A">
              <w:rPr>
                <w:rFonts w:ascii="Verdana" w:hAnsi="Verdana"/>
                <w:lang w:val="en-GB"/>
              </w:rPr>
              <w:t xml:space="preserve"> </w:t>
            </w:r>
            <w:r>
              <w:rPr>
                <w:rFonts w:ascii="Verdana" w:hAnsi="Verdana"/>
                <w:lang w:val="en-GB"/>
              </w:rPr>
              <w:t>%</w:t>
            </w:r>
          </w:p>
        </w:tc>
        <w:tc>
          <w:tcPr>
            <w:tcW w:w="3935" w:type="dxa"/>
          </w:tcPr>
          <w:p w14:paraId="3CA4C975" w14:textId="77777777" w:rsidR="004D1438" w:rsidRPr="00175811" w:rsidRDefault="004D1438" w:rsidP="00BC71BA">
            <w:pPr>
              <w:widowControl w:val="0"/>
              <w:spacing w:after="0" w:line="240" w:lineRule="auto"/>
              <w:jc w:val="both"/>
              <w:rPr>
                <w:rFonts w:ascii="Verdana" w:hAnsi="Verdana"/>
                <w:lang w:val="en-GB"/>
              </w:rPr>
            </w:pPr>
            <w:r>
              <w:rPr>
                <w:rFonts w:ascii="Verdana" w:hAnsi="Verdana" w:cs="Tahoma"/>
                <w:szCs w:val="24"/>
                <w:lang w:val="en-GB"/>
              </w:rPr>
              <w:t>M</w:t>
            </w:r>
            <w:r w:rsidRPr="00175811">
              <w:rPr>
                <w:rFonts w:ascii="Verdana" w:hAnsi="Verdana" w:cs="Tahoma"/>
                <w:szCs w:val="24"/>
                <w:lang w:val="en-GB"/>
              </w:rPr>
              <w:t>oney market interest rates at 6 months</w:t>
            </w:r>
            <w:r>
              <w:rPr>
                <w:rFonts w:ascii="Verdana" w:hAnsi="Verdana" w:cs="Tahoma"/>
                <w:szCs w:val="24"/>
                <w:lang w:val="en-GB"/>
              </w:rPr>
              <w:t>, average 2011-2014</w:t>
            </w:r>
            <w:r w:rsidRPr="00175811">
              <w:rPr>
                <w:rFonts w:ascii="Verdana" w:hAnsi="Verdana" w:cs="Tahoma"/>
                <w:szCs w:val="24"/>
                <w:lang w:val="en-GB"/>
              </w:rPr>
              <w:t xml:space="preserve"> </w:t>
            </w:r>
          </w:p>
        </w:tc>
        <w:tc>
          <w:tcPr>
            <w:tcW w:w="2160" w:type="dxa"/>
          </w:tcPr>
          <w:p w14:paraId="18D17103"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EUROSTAT (2017d)</w:t>
            </w:r>
          </w:p>
        </w:tc>
      </w:tr>
      <w:tr w:rsidR="004D1438" w:rsidRPr="002B018A" w14:paraId="3074F868" w14:textId="77777777" w:rsidTr="00BC71BA">
        <w:trPr>
          <w:trHeight w:val="273"/>
        </w:trPr>
        <w:tc>
          <w:tcPr>
            <w:tcW w:w="3119" w:type="dxa"/>
          </w:tcPr>
          <w:p w14:paraId="4FAE04DD"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Boone indicator of competition</w:t>
            </w:r>
          </w:p>
        </w:tc>
        <w:tc>
          <w:tcPr>
            <w:tcW w:w="3935" w:type="dxa"/>
          </w:tcPr>
          <w:p w14:paraId="61FD6A79" w14:textId="77777777" w:rsidR="004D1438" w:rsidRPr="00175811" w:rsidRDefault="004D1438" w:rsidP="00BC71BA">
            <w:pPr>
              <w:widowControl w:val="0"/>
              <w:spacing w:after="0" w:line="240" w:lineRule="auto"/>
              <w:jc w:val="both"/>
              <w:rPr>
                <w:rFonts w:ascii="Verdana" w:hAnsi="Verdana"/>
                <w:lang w:val="en-GB"/>
              </w:rPr>
            </w:pPr>
            <w:r>
              <w:rPr>
                <w:rFonts w:ascii="Verdana" w:hAnsi="Verdana" w:cs="Tahoma"/>
                <w:lang w:val="en-GB"/>
              </w:rPr>
              <w:t>Elasticity of profits to marginal costs, average 2011-2015</w:t>
            </w:r>
          </w:p>
        </w:tc>
        <w:tc>
          <w:tcPr>
            <w:tcW w:w="2160" w:type="dxa"/>
          </w:tcPr>
          <w:p w14:paraId="51EA9C24"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World Bank (2017)</w:t>
            </w:r>
          </w:p>
        </w:tc>
      </w:tr>
      <w:tr w:rsidR="004D1438" w:rsidRPr="004D1438" w14:paraId="54BF0FB9" w14:textId="77777777" w:rsidTr="00BC71BA">
        <w:trPr>
          <w:trHeight w:val="561"/>
        </w:trPr>
        <w:tc>
          <w:tcPr>
            <w:tcW w:w="3119" w:type="dxa"/>
          </w:tcPr>
          <w:p w14:paraId="126A73C4"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Market size of the country </w:t>
            </w:r>
          </w:p>
        </w:tc>
        <w:tc>
          <w:tcPr>
            <w:tcW w:w="3935" w:type="dxa"/>
          </w:tcPr>
          <w:p w14:paraId="18E7F2B5" w14:textId="77777777" w:rsidR="004D1438" w:rsidRPr="00175811" w:rsidRDefault="004D1438" w:rsidP="00BC71BA">
            <w:pPr>
              <w:widowControl w:val="0"/>
              <w:spacing w:after="0" w:line="240" w:lineRule="auto"/>
              <w:jc w:val="both"/>
              <w:rPr>
                <w:rFonts w:ascii="Verdana" w:hAnsi="Verdana"/>
                <w:lang w:val="en-GB"/>
              </w:rPr>
            </w:pPr>
            <w:r>
              <w:rPr>
                <w:rFonts w:ascii="Verdana" w:hAnsi="Verdana" w:cs="Tahoma"/>
                <w:lang w:val="en-GB"/>
              </w:rPr>
              <w:t>T</w:t>
            </w:r>
            <w:r w:rsidRPr="00175811">
              <w:rPr>
                <w:rFonts w:ascii="Verdana" w:hAnsi="Verdana" w:cs="Tahoma"/>
                <w:lang w:val="en-GB"/>
              </w:rPr>
              <w:t xml:space="preserve">he percentage of adult population using any banking service </w:t>
            </w:r>
            <w:r>
              <w:rPr>
                <w:rFonts w:ascii="Verdana" w:hAnsi="Verdana" w:cs="Tahoma"/>
                <w:lang w:val="en-GB"/>
              </w:rPr>
              <w:t>/</w:t>
            </w:r>
            <w:r w:rsidRPr="00175811">
              <w:rPr>
                <w:rFonts w:ascii="Verdana" w:hAnsi="Verdana" w:cs="Tahoma"/>
                <w:lang w:val="en-GB"/>
              </w:rPr>
              <w:t xml:space="preserve"> the number of adult inhabitants in each country </w:t>
            </w:r>
          </w:p>
        </w:tc>
        <w:tc>
          <w:tcPr>
            <w:tcW w:w="2160" w:type="dxa"/>
          </w:tcPr>
          <w:p w14:paraId="1556CEB1" w14:textId="77777777" w:rsidR="004D1438" w:rsidRPr="00175811" w:rsidRDefault="004D1438" w:rsidP="00BC71BA">
            <w:pPr>
              <w:widowControl w:val="0"/>
              <w:spacing w:after="0" w:line="240" w:lineRule="auto"/>
              <w:jc w:val="both"/>
              <w:rPr>
                <w:rFonts w:ascii="Verdana" w:hAnsi="Verdana" w:cs="Tahoma"/>
                <w:lang w:val="en-GB"/>
              </w:rPr>
            </w:pPr>
            <w:r w:rsidRPr="00175811">
              <w:rPr>
                <w:rFonts w:ascii="Verdana" w:hAnsi="Verdana" w:cs="Tahoma"/>
                <w:lang w:val="en-GB"/>
              </w:rPr>
              <w:t>E</w:t>
            </w:r>
            <w:r>
              <w:rPr>
                <w:rFonts w:ascii="Verdana" w:hAnsi="Verdana" w:cs="Tahoma"/>
                <w:lang w:val="en-GB"/>
              </w:rPr>
              <w:t>C and EP (2016),</w:t>
            </w:r>
          </w:p>
          <w:p w14:paraId="3E4413F9" w14:textId="77777777" w:rsidR="004D1438" w:rsidRPr="00175811" w:rsidRDefault="004D1438" w:rsidP="00BC71BA">
            <w:pPr>
              <w:widowControl w:val="0"/>
              <w:spacing w:after="0" w:line="240" w:lineRule="auto"/>
              <w:jc w:val="both"/>
              <w:rPr>
                <w:rFonts w:ascii="Verdana" w:hAnsi="Verdana"/>
                <w:lang w:val="en-GB"/>
              </w:rPr>
            </w:pPr>
            <w:r w:rsidRPr="00175811">
              <w:rPr>
                <w:rFonts w:ascii="Verdana" w:hAnsi="Verdana"/>
                <w:lang w:val="en-GB"/>
              </w:rPr>
              <w:t>EUROSTAT</w:t>
            </w:r>
            <w:r>
              <w:rPr>
                <w:rFonts w:ascii="Verdana" w:hAnsi="Verdana"/>
                <w:lang w:val="en-GB"/>
              </w:rPr>
              <w:t xml:space="preserve"> (</w:t>
            </w:r>
            <w:r w:rsidRPr="00175811">
              <w:rPr>
                <w:rFonts w:ascii="Verdana" w:hAnsi="Verdana"/>
                <w:lang w:val="en-GB"/>
              </w:rPr>
              <w:t>2017</w:t>
            </w:r>
            <w:r>
              <w:rPr>
                <w:rFonts w:ascii="Verdana" w:hAnsi="Verdana"/>
                <w:lang w:val="en-GB"/>
              </w:rPr>
              <w:t>e)</w:t>
            </w:r>
          </w:p>
        </w:tc>
      </w:tr>
      <w:tr w:rsidR="004D1438" w:rsidRPr="001226FB" w14:paraId="14955700" w14:textId="77777777" w:rsidTr="00BC71BA">
        <w:trPr>
          <w:trHeight w:val="273"/>
        </w:trPr>
        <w:tc>
          <w:tcPr>
            <w:tcW w:w="3119" w:type="dxa"/>
          </w:tcPr>
          <w:p w14:paraId="40CB04FF" w14:textId="77777777" w:rsidR="004D1438" w:rsidRPr="002B018A" w:rsidRDefault="004D1438" w:rsidP="00BC71BA">
            <w:pPr>
              <w:widowControl w:val="0"/>
              <w:spacing w:after="0" w:line="240" w:lineRule="auto"/>
              <w:jc w:val="both"/>
              <w:rPr>
                <w:rFonts w:ascii="Verdana" w:hAnsi="Verdana"/>
                <w:lang w:val="en-GB"/>
              </w:rPr>
            </w:pPr>
            <w:r w:rsidRPr="002B018A">
              <w:rPr>
                <w:rFonts w:ascii="Verdana" w:hAnsi="Verdana"/>
                <w:lang w:val="en-GB"/>
              </w:rPr>
              <w:t xml:space="preserve">Consumer financial education policies </w:t>
            </w:r>
          </w:p>
        </w:tc>
        <w:tc>
          <w:tcPr>
            <w:tcW w:w="3935" w:type="dxa"/>
          </w:tcPr>
          <w:p w14:paraId="478B8DD7" w14:textId="77777777" w:rsidR="004D1438" w:rsidRPr="00175811" w:rsidRDefault="004D1438" w:rsidP="00BC71BA">
            <w:pPr>
              <w:widowControl w:val="0"/>
              <w:spacing w:after="0" w:line="240" w:lineRule="auto"/>
              <w:jc w:val="both"/>
              <w:rPr>
                <w:rFonts w:ascii="Verdana" w:hAnsi="Verdana"/>
                <w:lang w:val="en-GB"/>
              </w:rPr>
            </w:pPr>
            <w:r>
              <w:rPr>
                <w:rFonts w:ascii="Verdana" w:hAnsi="Verdana" w:cs="Tahoma"/>
                <w:lang w:val="en-GB"/>
              </w:rPr>
              <w:t>C</w:t>
            </w:r>
            <w:r w:rsidRPr="00067AC7">
              <w:rPr>
                <w:rFonts w:ascii="Verdana" w:hAnsi="Verdana" w:cs="Tahoma"/>
                <w:lang w:val="en-GB"/>
              </w:rPr>
              <w:t xml:space="preserve">omposite indicator from information on consumer financial </w:t>
            </w:r>
            <w:r w:rsidRPr="00067AC7">
              <w:rPr>
                <w:rFonts w:ascii="Verdana" w:hAnsi="Verdana" w:cs="Tahoma"/>
                <w:lang w:val="en-GB"/>
              </w:rPr>
              <w:lastRenderedPageBreak/>
              <w:t>education policies</w:t>
            </w:r>
          </w:p>
        </w:tc>
        <w:tc>
          <w:tcPr>
            <w:tcW w:w="2160" w:type="dxa"/>
          </w:tcPr>
          <w:p w14:paraId="4FCD5DD3" w14:textId="77777777" w:rsidR="004D1438" w:rsidRPr="00175811" w:rsidRDefault="004D1438" w:rsidP="00BC71BA">
            <w:pPr>
              <w:widowControl w:val="0"/>
              <w:spacing w:after="0" w:line="240" w:lineRule="auto"/>
              <w:jc w:val="both"/>
              <w:rPr>
                <w:rFonts w:ascii="Verdana" w:hAnsi="Verdana"/>
                <w:lang w:val="en-GB"/>
              </w:rPr>
            </w:pPr>
            <w:r w:rsidRPr="002B018A">
              <w:rPr>
                <w:rFonts w:ascii="Verdana" w:hAnsi="Verdana"/>
                <w:lang w:val="en-GB"/>
              </w:rPr>
              <w:lastRenderedPageBreak/>
              <w:t>World Bank</w:t>
            </w:r>
            <w:r>
              <w:rPr>
                <w:rFonts w:ascii="Verdana" w:hAnsi="Verdana"/>
                <w:lang w:val="en-GB"/>
              </w:rPr>
              <w:t xml:space="preserve"> (</w:t>
            </w:r>
            <w:r w:rsidRPr="002B018A">
              <w:rPr>
                <w:rFonts w:ascii="Verdana" w:hAnsi="Verdana"/>
                <w:lang w:val="en-GB"/>
              </w:rPr>
              <w:t>2014</w:t>
            </w:r>
            <w:r>
              <w:rPr>
                <w:rFonts w:ascii="Verdana" w:hAnsi="Verdana"/>
                <w:lang w:val="en-GB"/>
              </w:rPr>
              <w:t>)</w:t>
            </w:r>
          </w:p>
        </w:tc>
      </w:tr>
      <w:tr w:rsidR="004D1438" w:rsidRPr="000A0350" w14:paraId="2899EB78" w14:textId="77777777" w:rsidTr="00BC71BA">
        <w:trPr>
          <w:trHeight w:val="273"/>
        </w:trPr>
        <w:tc>
          <w:tcPr>
            <w:tcW w:w="3119" w:type="dxa"/>
          </w:tcPr>
          <w:p w14:paraId="40374B54"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Disclosure practices affecting bank accounts</w:t>
            </w:r>
          </w:p>
        </w:tc>
        <w:tc>
          <w:tcPr>
            <w:tcW w:w="3935" w:type="dxa"/>
          </w:tcPr>
          <w:p w14:paraId="2451B56D" w14:textId="77777777" w:rsidR="004D1438" w:rsidRPr="00067AC7" w:rsidRDefault="004D1438" w:rsidP="00BC71BA">
            <w:pPr>
              <w:widowControl w:val="0"/>
              <w:spacing w:after="0" w:line="240" w:lineRule="auto"/>
              <w:jc w:val="both"/>
              <w:rPr>
                <w:rFonts w:ascii="Verdana" w:hAnsi="Verdana"/>
                <w:lang w:val="en-GB"/>
              </w:rPr>
            </w:pPr>
            <w:r>
              <w:rPr>
                <w:rFonts w:ascii="Verdana" w:hAnsi="Verdana"/>
                <w:lang w:val="en-GB"/>
              </w:rPr>
              <w:t>Composite indicator from information on disclosure practices affecting bank accounts</w:t>
            </w:r>
          </w:p>
        </w:tc>
        <w:tc>
          <w:tcPr>
            <w:tcW w:w="2160" w:type="dxa"/>
          </w:tcPr>
          <w:p w14:paraId="6DA9DD41" w14:textId="77777777" w:rsidR="004D1438" w:rsidRPr="002B018A" w:rsidRDefault="004D1438" w:rsidP="00BC71BA">
            <w:pPr>
              <w:widowControl w:val="0"/>
              <w:spacing w:after="0" w:line="240" w:lineRule="auto"/>
              <w:jc w:val="both"/>
              <w:rPr>
                <w:rFonts w:ascii="Verdana" w:hAnsi="Verdana"/>
                <w:lang w:val="en-GB"/>
              </w:rPr>
            </w:pPr>
            <w:r>
              <w:rPr>
                <w:rFonts w:ascii="Verdana" w:hAnsi="Verdana"/>
                <w:lang w:val="en-GB"/>
              </w:rPr>
              <w:t>World Bank (2014)</w:t>
            </w:r>
          </w:p>
        </w:tc>
      </w:tr>
    </w:tbl>
    <w:p w14:paraId="33EB20F4" w14:textId="77777777" w:rsidR="004D1438" w:rsidRDefault="004D1438" w:rsidP="004D1438"/>
    <w:p w14:paraId="6E156CF8" w14:textId="77777777" w:rsidR="004D1438" w:rsidRDefault="004D1438">
      <w:pPr>
        <w:spacing w:after="0" w:line="240" w:lineRule="auto"/>
        <w:rPr>
          <w:rFonts w:ascii="Verdana" w:hAnsi="Verdana"/>
          <w:sz w:val="24"/>
          <w:szCs w:val="24"/>
          <w:lang w:val="en-GB"/>
        </w:rPr>
        <w:sectPr w:rsidR="004D1438" w:rsidSect="000F7922">
          <w:footerReference w:type="default" r:id="rId21"/>
          <w:pgSz w:w="11906" w:h="16838"/>
          <w:pgMar w:top="1418" w:right="1418" w:bottom="1418" w:left="1418" w:header="709" w:footer="709" w:gutter="0"/>
          <w:cols w:space="708"/>
          <w:docGrid w:linePitch="360"/>
        </w:sectPr>
      </w:pPr>
      <w:r>
        <w:rPr>
          <w:rFonts w:ascii="Verdana" w:hAnsi="Verdana"/>
          <w:sz w:val="24"/>
          <w:szCs w:val="24"/>
          <w:lang w:val="en-GB"/>
        </w:rPr>
        <w:br w:type="page"/>
      </w:r>
    </w:p>
    <w:p w14:paraId="0081E840" w14:textId="77777777" w:rsidR="004D1438" w:rsidRDefault="004D1438" w:rsidP="004D1438">
      <w:pPr>
        <w:tabs>
          <w:tab w:val="left" w:pos="2520"/>
        </w:tabs>
        <w:spacing w:after="0" w:line="240" w:lineRule="auto"/>
        <w:rPr>
          <w:rFonts w:ascii="Tahoma" w:hAnsi="Tahoma" w:cs="Tahoma"/>
          <w:b/>
          <w:lang w:val="en-GB"/>
        </w:rPr>
      </w:pPr>
      <w:r>
        <w:rPr>
          <w:rFonts w:ascii="Tahoma" w:hAnsi="Tahoma" w:cs="Tahoma"/>
          <w:b/>
          <w:lang w:val="en-GB"/>
        </w:rPr>
        <w:lastRenderedPageBreak/>
        <w:t xml:space="preserve">        </w:t>
      </w:r>
      <w:r w:rsidRPr="00E9789E">
        <w:rPr>
          <w:rFonts w:ascii="Tahoma" w:hAnsi="Tahoma" w:cs="Tahoma"/>
          <w:b/>
          <w:lang w:val="en-GB"/>
        </w:rPr>
        <w:t xml:space="preserve">Table </w:t>
      </w:r>
      <w:r>
        <w:rPr>
          <w:rFonts w:ascii="Tahoma" w:hAnsi="Tahoma" w:cs="Tahoma"/>
          <w:b/>
          <w:lang w:val="en-GB"/>
        </w:rPr>
        <w:t>II. Sample composition and average switching rates, by country and by socio-economic characteristic</w:t>
      </w:r>
      <w:r w:rsidRPr="00E9789E">
        <w:rPr>
          <w:rFonts w:ascii="Tahoma" w:hAnsi="Tahoma" w:cs="Tahoma"/>
          <w:b/>
          <w:lang w:val="en-GB"/>
        </w:rPr>
        <w:t xml:space="preserve"> </w:t>
      </w:r>
    </w:p>
    <w:p w14:paraId="12B79BCC" w14:textId="77777777" w:rsidR="004D1438" w:rsidRDefault="004D1438" w:rsidP="004D1438">
      <w:pPr>
        <w:tabs>
          <w:tab w:val="left" w:pos="2520"/>
        </w:tabs>
        <w:spacing w:after="0" w:line="240" w:lineRule="auto"/>
        <w:rPr>
          <w:rFonts w:ascii="Tahoma" w:hAnsi="Tahoma" w:cs="Tahoma"/>
          <w:lang w:val="en-GB"/>
        </w:rPr>
      </w:pPr>
      <w:r>
        <w:rPr>
          <w:rFonts w:ascii="Tahoma" w:hAnsi="Tahoma" w:cs="Tahoma"/>
          <w:lang w:val="en-GB"/>
        </w:rPr>
        <w:t xml:space="preserve"> </w:t>
      </w:r>
    </w:p>
    <w:tbl>
      <w:tblPr>
        <w:tblW w:w="13467" w:type="dxa"/>
        <w:jc w:val="center"/>
        <w:tblBorders>
          <w:top w:val="thinThickSmallGap" w:sz="24" w:space="0" w:color="auto"/>
          <w:bottom w:val="thickThinSmallGap" w:sz="24" w:space="0" w:color="auto"/>
          <w:insideH w:val="single" w:sz="4" w:space="0" w:color="auto"/>
          <w:insideV w:val="single" w:sz="4" w:space="0" w:color="auto"/>
        </w:tblBorders>
        <w:tblLook w:val="04A0" w:firstRow="1" w:lastRow="0" w:firstColumn="1" w:lastColumn="0" w:noHBand="0" w:noVBand="1"/>
      </w:tblPr>
      <w:tblGrid>
        <w:gridCol w:w="1843"/>
        <w:gridCol w:w="851"/>
        <w:gridCol w:w="1417"/>
        <w:gridCol w:w="2126"/>
        <w:gridCol w:w="709"/>
        <w:gridCol w:w="1418"/>
        <w:gridCol w:w="2976"/>
        <w:gridCol w:w="709"/>
        <w:gridCol w:w="1418"/>
      </w:tblGrid>
      <w:tr w:rsidR="004D1438" w:rsidRPr="00596228" w14:paraId="2D6EACF4" w14:textId="77777777" w:rsidTr="00BC71BA">
        <w:trPr>
          <w:trHeight w:val="220"/>
          <w:jc w:val="center"/>
        </w:trPr>
        <w:tc>
          <w:tcPr>
            <w:tcW w:w="1843" w:type="dxa"/>
            <w:shd w:val="clear" w:color="auto" w:fill="auto"/>
            <w:noWrap/>
            <w:vAlign w:val="bottom"/>
            <w:hideMark/>
          </w:tcPr>
          <w:p w14:paraId="28E08B99"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Country</w:t>
            </w:r>
          </w:p>
        </w:tc>
        <w:tc>
          <w:tcPr>
            <w:tcW w:w="851" w:type="dxa"/>
            <w:shd w:val="clear" w:color="auto" w:fill="auto"/>
            <w:noWrap/>
            <w:vAlign w:val="bottom"/>
            <w:hideMark/>
          </w:tcPr>
          <w:p w14:paraId="49582B2F"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 xml:space="preserve">%                         </w:t>
            </w:r>
          </w:p>
        </w:tc>
        <w:tc>
          <w:tcPr>
            <w:tcW w:w="1417" w:type="dxa"/>
            <w:tcBorders>
              <w:right w:val="thinThickThinSmallGap" w:sz="24" w:space="0" w:color="auto"/>
            </w:tcBorders>
            <w:shd w:val="clear" w:color="auto" w:fill="auto"/>
            <w:noWrap/>
            <w:vAlign w:val="bottom"/>
            <w:hideMark/>
          </w:tcPr>
          <w:p w14:paraId="567D8DEA"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 xml:space="preserve">Switching *                          </w:t>
            </w:r>
          </w:p>
        </w:tc>
        <w:tc>
          <w:tcPr>
            <w:tcW w:w="2126" w:type="dxa"/>
            <w:tcBorders>
              <w:top w:val="thinThickSmallGap" w:sz="24" w:space="0" w:color="auto"/>
              <w:left w:val="thinThickThinSmallGap" w:sz="24" w:space="0" w:color="auto"/>
              <w:bottom w:val="single" w:sz="4" w:space="0" w:color="auto"/>
            </w:tcBorders>
            <w:shd w:val="clear" w:color="auto" w:fill="auto"/>
            <w:noWrap/>
            <w:vAlign w:val="bottom"/>
            <w:hideMark/>
          </w:tcPr>
          <w:p w14:paraId="29BA3874"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Age</w:t>
            </w:r>
          </w:p>
        </w:tc>
        <w:tc>
          <w:tcPr>
            <w:tcW w:w="709" w:type="dxa"/>
            <w:tcBorders>
              <w:top w:val="thinThickSmallGap" w:sz="24" w:space="0" w:color="auto"/>
              <w:bottom w:val="single" w:sz="4" w:space="0" w:color="auto"/>
            </w:tcBorders>
            <w:shd w:val="clear" w:color="auto" w:fill="auto"/>
            <w:noWrap/>
            <w:vAlign w:val="bottom"/>
            <w:hideMark/>
          </w:tcPr>
          <w:p w14:paraId="681489F0"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 xml:space="preserve">%                         </w:t>
            </w:r>
          </w:p>
        </w:tc>
        <w:tc>
          <w:tcPr>
            <w:tcW w:w="1418" w:type="dxa"/>
            <w:tcBorders>
              <w:top w:val="thinThickSmallGap" w:sz="24" w:space="0" w:color="auto"/>
              <w:bottom w:val="single" w:sz="4" w:space="0" w:color="auto"/>
              <w:right w:val="thinThickThinSmallGap" w:sz="24" w:space="0" w:color="auto"/>
            </w:tcBorders>
            <w:shd w:val="clear" w:color="auto" w:fill="auto"/>
            <w:noWrap/>
            <w:vAlign w:val="bottom"/>
            <w:hideMark/>
          </w:tcPr>
          <w:p w14:paraId="76FCA72F"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 xml:space="preserve">Switching *                     </w:t>
            </w:r>
          </w:p>
        </w:tc>
        <w:tc>
          <w:tcPr>
            <w:tcW w:w="2976" w:type="dxa"/>
            <w:tcBorders>
              <w:top w:val="thinThickSmallGap" w:sz="24" w:space="0" w:color="auto"/>
              <w:left w:val="thinThickThinSmallGap" w:sz="24" w:space="0" w:color="auto"/>
              <w:bottom w:val="single" w:sz="4" w:space="0" w:color="auto"/>
              <w:right w:val="single" w:sz="4" w:space="0" w:color="auto"/>
            </w:tcBorders>
            <w:shd w:val="clear" w:color="auto" w:fill="auto"/>
            <w:noWrap/>
            <w:vAlign w:val="bottom"/>
            <w:hideMark/>
          </w:tcPr>
          <w:p w14:paraId="55A69E99"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Marital status</w:t>
            </w:r>
          </w:p>
        </w:tc>
        <w:tc>
          <w:tcPr>
            <w:tcW w:w="709" w:type="dxa"/>
            <w:tcBorders>
              <w:left w:val="single" w:sz="4" w:space="0" w:color="auto"/>
            </w:tcBorders>
            <w:shd w:val="clear" w:color="auto" w:fill="auto"/>
            <w:vAlign w:val="bottom"/>
          </w:tcPr>
          <w:p w14:paraId="741F3C67"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 xml:space="preserve">%                         </w:t>
            </w:r>
          </w:p>
        </w:tc>
        <w:tc>
          <w:tcPr>
            <w:tcW w:w="1418" w:type="dxa"/>
            <w:shd w:val="clear" w:color="auto" w:fill="auto"/>
            <w:noWrap/>
            <w:vAlign w:val="bottom"/>
            <w:hideMark/>
          </w:tcPr>
          <w:p w14:paraId="6D5D400A" w14:textId="77777777" w:rsidR="004D1438" w:rsidRPr="002A637B" w:rsidRDefault="004D1438" w:rsidP="00BC71BA">
            <w:pPr>
              <w:spacing w:after="0" w:line="240" w:lineRule="auto"/>
              <w:rPr>
                <w:rFonts w:eastAsia="Times New Roman"/>
                <w:b/>
                <w:color w:val="000000"/>
                <w:lang w:val="en-GB" w:eastAsia="en-GB"/>
              </w:rPr>
            </w:pPr>
            <w:r w:rsidRPr="002A637B">
              <w:rPr>
                <w:rFonts w:eastAsia="Times New Roman"/>
                <w:b/>
                <w:color w:val="000000"/>
                <w:lang w:val="en-GB" w:eastAsia="en-GB"/>
              </w:rPr>
              <w:t xml:space="preserve">Switching *                          </w:t>
            </w:r>
          </w:p>
        </w:tc>
      </w:tr>
      <w:tr w:rsidR="004D1438" w:rsidRPr="00596228" w14:paraId="0D884A8B" w14:textId="77777777" w:rsidTr="00BC71BA">
        <w:trPr>
          <w:trHeight w:val="220"/>
          <w:jc w:val="center"/>
        </w:trPr>
        <w:tc>
          <w:tcPr>
            <w:tcW w:w="1843" w:type="dxa"/>
            <w:shd w:val="clear" w:color="auto" w:fill="auto"/>
            <w:noWrap/>
            <w:vAlign w:val="bottom"/>
            <w:hideMark/>
          </w:tcPr>
          <w:p w14:paraId="09EDE715"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Austria</w:t>
            </w:r>
          </w:p>
        </w:tc>
        <w:tc>
          <w:tcPr>
            <w:tcW w:w="851" w:type="dxa"/>
            <w:shd w:val="clear" w:color="auto" w:fill="auto"/>
            <w:noWrap/>
            <w:vAlign w:val="bottom"/>
            <w:hideMark/>
          </w:tcPr>
          <w:p w14:paraId="06C6CD53"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2.1</w:t>
            </w:r>
          </w:p>
        </w:tc>
        <w:tc>
          <w:tcPr>
            <w:tcW w:w="1417" w:type="dxa"/>
            <w:tcBorders>
              <w:right w:val="thinThickThinSmallGap" w:sz="24" w:space="0" w:color="auto"/>
            </w:tcBorders>
            <w:shd w:val="clear" w:color="auto" w:fill="auto"/>
            <w:noWrap/>
            <w:vAlign w:val="bottom"/>
            <w:hideMark/>
          </w:tcPr>
          <w:p w14:paraId="13BFA194"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8.81</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39A655A0"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15-24</w:t>
            </w:r>
          </w:p>
        </w:tc>
        <w:tc>
          <w:tcPr>
            <w:tcW w:w="709" w:type="dxa"/>
            <w:tcBorders>
              <w:top w:val="single" w:sz="4" w:space="0" w:color="auto"/>
              <w:bottom w:val="single" w:sz="4" w:space="0" w:color="auto"/>
            </w:tcBorders>
            <w:shd w:val="clear" w:color="auto" w:fill="auto"/>
            <w:noWrap/>
            <w:vAlign w:val="bottom"/>
            <w:hideMark/>
          </w:tcPr>
          <w:p w14:paraId="3D2FB111"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10.6</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69A8C020"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10.17</w:t>
            </w:r>
          </w:p>
        </w:tc>
        <w:tc>
          <w:tcPr>
            <w:tcW w:w="2976" w:type="dxa"/>
            <w:tcBorders>
              <w:top w:val="single" w:sz="4" w:space="0" w:color="auto"/>
              <w:left w:val="thinThickThinSmallGap" w:sz="24" w:space="0" w:color="auto"/>
            </w:tcBorders>
            <w:shd w:val="clear" w:color="auto" w:fill="auto"/>
            <w:noWrap/>
            <w:vAlign w:val="bottom"/>
            <w:hideMark/>
          </w:tcPr>
          <w:p w14:paraId="09DF7B7F" w14:textId="77777777" w:rsidR="004D1438" w:rsidRPr="00596228" w:rsidRDefault="004D1438" w:rsidP="00BC71BA">
            <w:pPr>
              <w:spacing w:after="0" w:line="240" w:lineRule="auto"/>
              <w:rPr>
                <w:rFonts w:eastAsia="Times New Roman"/>
                <w:color w:val="000000"/>
                <w:lang w:val="en-GB" w:eastAsia="en-GB"/>
              </w:rPr>
            </w:pPr>
            <w:r>
              <w:rPr>
                <w:rFonts w:eastAsia="Times New Roman"/>
                <w:color w:val="000000"/>
                <w:lang w:val="en-GB" w:eastAsia="en-GB"/>
              </w:rPr>
              <w:t xml:space="preserve">Single, </w:t>
            </w:r>
            <w:r w:rsidRPr="00596228">
              <w:rPr>
                <w:rFonts w:eastAsia="Times New Roman"/>
                <w:color w:val="000000"/>
                <w:lang w:val="en-GB" w:eastAsia="en-GB"/>
              </w:rPr>
              <w:t>Divorced or Widowed</w:t>
            </w:r>
          </w:p>
        </w:tc>
        <w:tc>
          <w:tcPr>
            <w:tcW w:w="709" w:type="dxa"/>
            <w:tcBorders>
              <w:bottom w:val="single" w:sz="4" w:space="0" w:color="auto"/>
            </w:tcBorders>
            <w:shd w:val="clear" w:color="auto" w:fill="auto"/>
            <w:noWrap/>
            <w:vAlign w:val="bottom"/>
            <w:hideMark/>
          </w:tcPr>
          <w:p w14:paraId="5D9171E1" w14:textId="77777777" w:rsidR="004D1438" w:rsidRPr="00F55B10"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33.3</w:t>
            </w:r>
          </w:p>
        </w:tc>
        <w:tc>
          <w:tcPr>
            <w:tcW w:w="1418" w:type="dxa"/>
            <w:shd w:val="clear" w:color="auto" w:fill="auto"/>
            <w:noWrap/>
            <w:vAlign w:val="bottom"/>
            <w:hideMark/>
          </w:tcPr>
          <w:p w14:paraId="2FCAAE2A" w14:textId="77777777" w:rsidR="004D1438" w:rsidRPr="00F55B10"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8.44</w:t>
            </w:r>
          </w:p>
        </w:tc>
      </w:tr>
      <w:tr w:rsidR="004D1438" w:rsidRPr="00596228" w14:paraId="768D8CBB" w14:textId="77777777" w:rsidTr="00BC71BA">
        <w:trPr>
          <w:trHeight w:val="97"/>
          <w:jc w:val="center"/>
        </w:trPr>
        <w:tc>
          <w:tcPr>
            <w:tcW w:w="1843" w:type="dxa"/>
            <w:shd w:val="clear" w:color="auto" w:fill="auto"/>
            <w:noWrap/>
            <w:vAlign w:val="bottom"/>
            <w:hideMark/>
          </w:tcPr>
          <w:p w14:paraId="40A05C56"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Belgium</w:t>
            </w:r>
          </w:p>
        </w:tc>
        <w:tc>
          <w:tcPr>
            <w:tcW w:w="851" w:type="dxa"/>
            <w:shd w:val="clear" w:color="auto" w:fill="auto"/>
            <w:noWrap/>
            <w:vAlign w:val="bottom"/>
            <w:hideMark/>
          </w:tcPr>
          <w:p w14:paraId="63031EAA"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3.0</w:t>
            </w:r>
          </w:p>
        </w:tc>
        <w:tc>
          <w:tcPr>
            <w:tcW w:w="1417" w:type="dxa"/>
            <w:tcBorders>
              <w:right w:val="thinThickThinSmallGap" w:sz="24" w:space="0" w:color="auto"/>
            </w:tcBorders>
            <w:shd w:val="clear" w:color="auto" w:fill="auto"/>
            <w:noWrap/>
            <w:vAlign w:val="bottom"/>
            <w:hideMark/>
          </w:tcPr>
          <w:p w14:paraId="09BC4E48"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8.88</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1813D090"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25-34</w:t>
            </w:r>
          </w:p>
        </w:tc>
        <w:tc>
          <w:tcPr>
            <w:tcW w:w="709" w:type="dxa"/>
            <w:tcBorders>
              <w:top w:val="single" w:sz="4" w:space="0" w:color="auto"/>
              <w:bottom w:val="single" w:sz="4" w:space="0" w:color="auto"/>
            </w:tcBorders>
            <w:shd w:val="clear" w:color="auto" w:fill="auto"/>
            <w:noWrap/>
            <w:vAlign w:val="bottom"/>
            <w:hideMark/>
          </w:tcPr>
          <w:p w14:paraId="4B34E4D3"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14.5</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473B5B8D"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12.05</w:t>
            </w:r>
          </w:p>
        </w:tc>
        <w:tc>
          <w:tcPr>
            <w:tcW w:w="2976" w:type="dxa"/>
            <w:tcBorders>
              <w:left w:val="thinThickThinSmallGap" w:sz="24" w:space="0" w:color="auto"/>
              <w:bottom w:val="double" w:sz="4" w:space="0" w:color="auto"/>
              <w:right w:val="single" w:sz="4" w:space="0" w:color="auto"/>
            </w:tcBorders>
            <w:shd w:val="clear" w:color="auto" w:fill="auto"/>
            <w:noWrap/>
            <w:vAlign w:val="bottom"/>
          </w:tcPr>
          <w:p w14:paraId="4B341573"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 xml:space="preserve">Married </w:t>
            </w:r>
            <w:r>
              <w:rPr>
                <w:rFonts w:eastAsia="Times New Roman"/>
                <w:color w:val="000000"/>
                <w:lang w:val="en-GB" w:eastAsia="en-GB"/>
              </w:rPr>
              <w:t>and</w:t>
            </w:r>
            <w:r w:rsidRPr="00596228">
              <w:rPr>
                <w:rFonts w:eastAsia="Times New Roman"/>
                <w:color w:val="000000"/>
                <w:lang w:val="en-GB" w:eastAsia="en-GB"/>
              </w:rPr>
              <w:t xml:space="preserve"> other</w:t>
            </w:r>
          </w:p>
        </w:tc>
        <w:tc>
          <w:tcPr>
            <w:tcW w:w="709" w:type="dxa"/>
            <w:tcBorders>
              <w:top w:val="single" w:sz="4" w:space="0" w:color="auto"/>
              <w:left w:val="single" w:sz="4" w:space="0" w:color="auto"/>
              <w:bottom w:val="double" w:sz="4" w:space="0" w:color="auto"/>
              <w:right w:val="single" w:sz="4" w:space="0" w:color="auto"/>
            </w:tcBorders>
            <w:shd w:val="clear" w:color="auto" w:fill="auto"/>
            <w:vAlign w:val="bottom"/>
          </w:tcPr>
          <w:p w14:paraId="2827C5D4" w14:textId="77777777" w:rsidR="004D1438" w:rsidRPr="00F55B10"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65.4</w:t>
            </w:r>
          </w:p>
        </w:tc>
        <w:tc>
          <w:tcPr>
            <w:tcW w:w="1418" w:type="dxa"/>
            <w:tcBorders>
              <w:left w:val="single" w:sz="4" w:space="0" w:color="auto"/>
              <w:bottom w:val="double" w:sz="4" w:space="0" w:color="auto"/>
            </w:tcBorders>
            <w:shd w:val="clear" w:color="auto" w:fill="auto"/>
            <w:vAlign w:val="bottom"/>
          </w:tcPr>
          <w:p w14:paraId="18DD22D2" w14:textId="77777777" w:rsidR="004D1438" w:rsidRPr="00F55B10"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8.05</w:t>
            </w:r>
            <w:r w:rsidRPr="00F55B10">
              <w:rPr>
                <w:rFonts w:eastAsia="Times New Roman"/>
                <w:color w:val="000000"/>
                <w:lang w:val="en-GB" w:eastAsia="en-GB"/>
              </w:rPr>
              <w:t xml:space="preserve"> </w:t>
            </w:r>
          </w:p>
        </w:tc>
      </w:tr>
      <w:tr w:rsidR="004D1438" w:rsidRPr="00596228" w14:paraId="310C6F99" w14:textId="77777777" w:rsidTr="00BC71BA">
        <w:trPr>
          <w:trHeight w:val="70"/>
          <w:jc w:val="center"/>
        </w:trPr>
        <w:tc>
          <w:tcPr>
            <w:tcW w:w="1843" w:type="dxa"/>
            <w:shd w:val="clear" w:color="auto" w:fill="auto"/>
            <w:noWrap/>
            <w:vAlign w:val="bottom"/>
            <w:hideMark/>
          </w:tcPr>
          <w:p w14:paraId="2F5CD5D9"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Bulgaria</w:t>
            </w:r>
          </w:p>
        </w:tc>
        <w:tc>
          <w:tcPr>
            <w:tcW w:w="851" w:type="dxa"/>
            <w:shd w:val="clear" w:color="auto" w:fill="auto"/>
            <w:noWrap/>
            <w:vAlign w:val="bottom"/>
            <w:hideMark/>
          </w:tcPr>
          <w:p w14:paraId="1784BFAD"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1.1</w:t>
            </w:r>
          </w:p>
        </w:tc>
        <w:tc>
          <w:tcPr>
            <w:tcW w:w="1417" w:type="dxa"/>
            <w:tcBorders>
              <w:right w:val="thinThickThinSmallGap" w:sz="24" w:space="0" w:color="auto"/>
            </w:tcBorders>
            <w:shd w:val="clear" w:color="auto" w:fill="auto"/>
            <w:noWrap/>
            <w:vAlign w:val="bottom"/>
            <w:hideMark/>
          </w:tcPr>
          <w:p w14:paraId="5AB9FB28"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6.7</w:t>
            </w:r>
            <w:r>
              <w:rPr>
                <w:rFonts w:eastAsia="Times New Roman"/>
                <w:color w:val="000000"/>
                <w:lang w:val="en-GB" w:eastAsia="en-GB"/>
              </w:rPr>
              <w:t>0</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2BE506EC"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35-44</w:t>
            </w:r>
          </w:p>
        </w:tc>
        <w:tc>
          <w:tcPr>
            <w:tcW w:w="709" w:type="dxa"/>
            <w:tcBorders>
              <w:top w:val="single" w:sz="4" w:space="0" w:color="auto"/>
              <w:bottom w:val="single" w:sz="4" w:space="0" w:color="auto"/>
            </w:tcBorders>
            <w:shd w:val="clear" w:color="auto" w:fill="auto"/>
            <w:noWrap/>
            <w:vAlign w:val="bottom"/>
            <w:hideMark/>
          </w:tcPr>
          <w:p w14:paraId="0C4759F7"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17.6</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2852FE1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11.5</w:t>
            </w:r>
            <w:r w:rsidRPr="00596228">
              <w:rPr>
                <w:rFonts w:eastAsia="Times New Roman"/>
                <w:color w:val="000000"/>
                <w:lang w:val="en-GB" w:eastAsia="en-GB"/>
              </w:rPr>
              <w:t>9</w:t>
            </w:r>
          </w:p>
        </w:tc>
        <w:tc>
          <w:tcPr>
            <w:tcW w:w="2976" w:type="dxa"/>
            <w:tcBorders>
              <w:top w:val="double" w:sz="4" w:space="0" w:color="auto"/>
              <w:left w:val="thinThickThinSmallGap" w:sz="24" w:space="0" w:color="auto"/>
              <w:bottom w:val="single" w:sz="4" w:space="0" w:color="auto"/>
              <w:right w:val="single" w:sz="4" w:space="0" w:color="auto"/>
            </w:tcBorders>
            <w:shd w:val="clear" w:color="auto" w:fill="auto"/>
            <w:noWrap/>
            <w:vAlign w:val="bottom"/>
          </w:tcPr>
          <w:p w14:paraId="12EBB73E" w14:textId="77777777" w:rsidR="004D1438" w:rsidRPr="00596228" w:rsidRDefault="004D1438" w:rsidP="00BC71BA">
            <w:pPr>
              <w:spacing w:after="0" w:line="240" w:lineRule="auto"/>
              <w:rPr>
                <w:rFonts w:eastAsia="Times New Roman"/>
                <w:color w:val="000000"/>
                <w:lang w:val="en-GB" w:eastAsia="en-GB"/>
              </w:rPr>
            </w:pPr>
          </w:p>
        </w:tc>
        <w:tc>
          <w:tcPr>
            <w:tcW w:w="709" w:type="dxa"/>
            <w:tcBorders>
              <w:top w:val="double" w:sz="4" w:space="0" w:color="auto"/>
              <w:left w:val="single" w:sz="4" w:space="0" w:color="auto"/>
              <w:bottom w:val="single" w:sz="4" w:space="0" w:color="auto"/>
            </w:tcBorders>
            <w:shd w:val="clear" w:color="auto" w:fill="auto"/>
            <w:vAlign w:val="bottom"/>
          </w:tcPr>
          <w:p w14:paraId="77E1800A" w14:textId="77777777" w:rsidR="004D1438" w:rsidRPr="00E9789E" w:rsidRDefault="004D1438" w:rsidP="00BC71BA">
            <w:pPr>
              <w:spacing w:after="0" w:line="240" w:lineRule="auto"/>
              <w:rPr>
                <w:rFonts w:eastAsia="Times New Roman"/>
                <w:color w:val="FF0000"/>
                <w:lang w:val="en-GB" w:eastAsia="en-GB"/>
              </w:rPr>
            </w:pPr>
          </w:p>
        </w:tc>
        <w:tc>
          <w:tcPr>
            <w:tcW w:w="1418" w:type="dxa"/>
            <w:tcBorders>
              <w:top w:val="double" w:sz="4" w:space="0" w:color="auto"/>
              <w:bottom w:val="single" w:sz="4" w:space="0" w:color="auto"/>
            </w:tcBorders>
            <w:shd w:val="clear" w:color="auto" w:fill="auto"/>
            <w:noWrap/>
            <w:vAlign w:val="bottom"/>
          </w:tcPr>
          <w:p w14:paraId="20F9FA84" w14:textId="77777777" w:rsidR="004D1438" w:rsidRPr="00E9789E" w:rsidRDefault="004D1438" w:rsidP="00BC71BA">
            <w:pPr>
              <w:spacing w:after="0" w:line="240" w:lineRule="auto"/>
              <w:rPr>
                <w:rFonts w:eastAsia="Times New Roman"/>
                <w:color w:val="FF0000"/>
                <w:lang w:val="en-GB" w:eastAsia="en-GB"/>
              </w:rPr>
            </w:pPr>
          </w:p>
        </w:tc>
      </w:tr>
      <w:tr w:rsidR="004D1438" w:rsidRPr="00596228" w14:paraId="16F501C2" w14:textId="77777777" w:rsidTr="00BC71BA">
        <w:trPr>
          <w:trHeight w:val="90"/>
          <w:jc w:val="center"/>
        </w:trPr>
        <w:tc>
          <w:tcPr>
            <w:tcW w:w="1843" w:type="dxa"/>
            <w:shd w:val="clear" w:color="auto" w:fill="auto"/>
            <w:noWrap/>
            <w:vAlign w:val="bottom"/>
            <w:hideMark/>
          </w:tcPr>
          <w:p w14:paraId="45220BA9"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Croatia</w:t>
            </w:r>
          </w:p>
        </w:tc>
        <w:tc>
          <w:tcPr>
            <w:tcW w:w="851" w:type="dxa"/>
            <w:shd w:val="clear" w:color="auto" w:fill="auto"/>
            <w:noWrap/>
            <w:vAlign w:val="bottom"/>
            <w:hideMark/>
          </w:tcPr>
          <w:p w14:paraId="46262C62"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w:t>
            </w:r>
            <w:r>
              <w:rPr>
                <w:rFonts w:eastAsia="Times New Roman"/>
                <w:color w:val="000000"/>
                <w:lang w:val="en-GB" w:eastAsia="en-GB"/>
              </w:rPr>
              <w:t>.0</w:t>
            </w:r>
          </w:p>
        </w:tc>
        <w:tc>
          <w:tcPr>
            <w:tcW w:w="1417" w:type="dxa"/>
            <w:tcBorders>
              <w:right w:val="thinThickThinSmallGap" w:sz="24" w:space="0" w:color="auto"/>
            </w:tcBorders>
            <w:shd w:val="clear" w:color="auto" w:fill="auto"/>
            <w:noWrap/>
            <w:vAlign w:val="bottom"/>
            <w:hideMark/>
          </w:tcPr>
          <w:p w14:paraId="41818B36"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7.04</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21C667C4"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45-54</w:t>
            </w:r>
          </w:p>
        </w:tc>
        <w:tc>
          <w:tcPr>
            <w:tcW w:w="709" w:type="dxa"/>
            <w:tcBorders>
              <w:top w:val="single" w:sz="4" w:space="0" w:color="auto"/>
              <w:bottom w:val="single" w:sz="4" w:space="0" w:color="auto"/>
            </w:tcBorders>
            <w:shd w:val="clear" w:color="auto" w:fill="auto"/>
            <w:noWrap/>
            <w:vAlign w:val="bottom"/>
            <w:hideMark/>
          </w:tcPr>
          <w:p w14:paraId="5387992D"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18.8</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140C3E6C"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7.86</w:t>
            </w:r>
          </w:p>
        </w:tc>
        <w:tc>
          <w:tcPr>
            <w:tcW w:w="2976" w:type="dxa"/>
            <w:tcBorders>
              <w:top w:val="single" w:sz="4" w:space="0" w:color="auto"/>
              <w:left w:val="thinThickThinSmallGap" w:sz="24" w:space="0" w:color="auto"/>
              <w:bottom w:val="single" w:sz="4" w:space="0" w:color="auto"/>
              <w:right w:val="single" w:sz="4" w:space="0" w:color="auto"/>
            </w:tcBorders>
            <w:shd w:val="clear" w:color="auto" w:fill="auto"/>
            <w:noWrap/>
            <w:vAlign w:val="bottom"/>
          </w:tcPr>
          <w:p w14:paraId="34C37E5E" w14:textId="77777777" w:rsidR="004D1438" w:rsidRPr="00596228" w:rsidRDefault="004D1438" w:rsidP="00BC71BA">
            <w:pPr>
              <w:spacing w:after="0" w:line="240" w:lineRule="auto"/>
              <w:rPr>
                <w:rFonts w:eastAsia="Times New Roman"/>
                <w:color w:val="00000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AD39A6A" w14:textId="77777777" w:rsidR="004D1438" w:rsidRPr="00596228" w:rsidRDefault="004D1438" w:rsidP="00BC71BA">
            <w:pPr>
              <w:spacing w:after="0" w:line="240" w:lineRule="auto"/>
              <w:jc w:val="right"/>
              <w:rPr>
                <w:rFonts w:eastAsia="Times New Roman"/>
                <w:color w:val="000000"/>
                <w:lang w:val="en-GB" w:eastAsia="en-GB"/>
              </w:rPr>
            </w:pPr>
          </w:p>
        </w:tc>
        <w:tc>
          <w:tcPr>
            <w:tcW w:w="1418" w:type="dxa"/>
            <w:tcBorders>
              <w:top w:val="single" w:sz="4" w:space="0" w:color="auto"/>
              <w:left w:val="single" w:sz="4" w:space="0" w:color="auto"/>
              <w:bottom w:val="single" w:sz="4" w:space="0" w:color="auto"/>
            </w:tcBorders>
            <w:shd w:val="clear" w:color="auto" w:fill="auto"/>
            <w:vAlign w:val="bottom"/>
          </w:tcPr>
          <w:p w14:paraId="32D7AC2D" w14:textId="77777777" w:rsidR="004D1438" w:rsidRPr="00596228" w:rsidRDefault="004D1438" w:rsidP="00BC71BA">
            <w:pPr>
              <w:spacing w:after="0" w:line="240" w:lineRule="auto"/>
              <w:jc w:val="right"/>
              <w:rPr>
                <w:rFonts w:eastAsia="Times New Roman"/>
                <w:color w:val="000000"/>
                <w:lang w:val="en-GB" w:eastAsia="en-GB"/>
              </w:rPr>
            </w:pPr>
          </w:p>
        </w:tc>
      </w:tr>
      <w:tr w:rsidR="004D1438" w:rsidRPr="00596228" w14:paraId="549B8A01" w14:textId="77777777" w:rsidTr="00BC71BA">
        <w:trPr>
          <w:trHeight w:val="70"/>
          <w:jc w:val="center"/>
        </w:trPr>
        <w:tc>
          <w:tcPr>
            <w:tcW w:w="1843" w:type="dxa"/>
            <w:shd w:val="clear" w:color="auto" w:fill="auto"/>
            <w:noWrap/>
            <w:vAlign w:val="bottom"/>
            <w:hideMark/>
          </w:tcPr>
          <w:p w14:paraId="505126EC"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Czech</w:t>
            </w:r>
            <w:r>
              <w:rPr>
                <w:rFonts w:eastAsia="Times New Roman"/>
                <w:color w:val="000000"/>
                <w:lang w:val="en-GB" w:eastAsia="en-GB"/>
              </w:rPr>
              <w:t>ia</w:t>
            </w:r>
          </w:p>
        </w:tc>
        <w:tc>
          <w:tcPr>
            <w:tcW w:w="851" w:type="dxa"/>
            <w:shd w:val="clear" w:color="auto" w:fill="auto"/>
            <w:noWrap/>
            <w:vAlign w:val="bottom"/>
            <w:hideMark/>
          </w:tcPr>
          <w:p w14:paraId="544F1575"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2.6</w:t>
            </w:r>
          </w:p>
        </w:tc>
        <w:tc>
          <w:tcPr>
            <w:tcW w:w="1417" w:type="dxa"/>
            <w:tcBorders>
              <w:right w:val="thinThickThinSmallGap" w:sz="24" w:space="0" w:color="auto"/>
            </w:tcBorders>
            <w:shd w:val="clear" w:color="auto" w:fill="auto"/>
            <w:noWrap/>
            <w:vAlign w:val="bottom"/>
            <w:hideMark/>
          </w:tcPr>
          <w:p w14:paraId="78F70EA7"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15.29</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38FA251D"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55-64</w:t>
            </w:r>
          </w:p>
        </w:tc>
        <w:tc>
          <w:tcPr>
            <w:tcW w:w="709" w:type="dxa"/>
            <w:tcBorders>
              <w:top w:val="single" w:sz="4" w:space="0" w:color="auto"/>
              <w:bottom w:val="single" w:sz="4" w:space="0" w:color="auto"/>
            </w:tcBorders>
            <w:shd w:val="clear" w:color="auto" w:fill="auto"/>
            <w:noWrap/>
            <w:vAlign w:val="bottom"/>
            <w:hideMark/>
          </w:tcPr>
          <w:p w14:paraId="6F6E9A88"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15.0</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012B3AD0"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6.70</w:t>
            </w:r>
          </w:p>
        </w:tc>
        <w:tc>
          <w:tcPr>
            <w:tcW w:w="2976" w:type="dxa"/>
            <w:tcBorders>
              <w:left w:val="thinThickThinSmallGap" w:sz="24" w:space="0" w:color="auto"/>
              <w:bottom w:val="double" w:sz="4" w:space="0" w:color="auto"/>
            </w:tcBorders>
            <w:shd w:val="clear" w:color="auto" w:fill="auto"/>
            <w:noWrap/>
            <w:vAlign w:val="bottom"/>
          </w:tcPr>
          <w:p w14:paraId="727BE426" w14:textId="77777777" w:rsidR="004D1438" w:rsidRPr="00596228" w:rsidRDefault="004D1438" w:rsidP="00BC71BA">
            <w:pPr>
              <w:spacing w:after="0" w:line="240" w:lineRule="auto"/>
              <w:rPr>
                <w:rFonts w:eastAsia="Times New Roman"/>
                <w:color w:val="000000"/>
                <w:lang w:val="en-GB" w:eastAsia="en-GB"/>
              </w:rPr>
            </w:pPr>
          </w:p>
        </w:tc>
        <w:tc>
          <w:tcPr>
            <w:tcW w:w="709" w:type="dxa"/>
            <w:tcBorders>
              <w:bottom w:val="double" w:sz="4" w:space="0" w:color="auto"/>
            </w:tcBorders>
            <w:shd w:val="clear" w:color="auto" w:fill="auto"/>
            <w:noWrap/>
            <w:vAlign w:val="bottom"/>
          </w:tcPr>
          <w:p w14:paraId="15EC748E" w14:textId="77777777" w:rsidR="004D1438" w:rsidRPr="00596228" w:rsidRDefault="004D1438" w:rsidP="00BC71BA">
            <w:pPr>
              <w:spacing w:after="0" w:line="240" w:lineRule="auto"/>
              <w:jc w:val="right"/>
              <w:rPr>
                <w:rFonts w:eastAsia="Times New Roman"/>
                <w:color w:val="000000"/>
                <w:lang w:val="en-GB" w:eastAsia="en-GB"/>
              </w:rPr>
            </w:pPr>
          </w:p>
        </w:tc>
        <w:tc>
          <w:tcPr>
            <w:tcW w:w="1418" w:type="dxa"/>
            <w:tcBorders>
              <w:top w:val="single" w:sz="4" w:space="0" w:color="auto"/>
              <w:bottom w:val="double" w:sz="4" w:space="0" w:color="auto"/>
            </w:tcBorders>
            <w:shd w:val="clear" w:color="auto" w:fill="auto"/>
            <w:noWrap/>
            <w:vAlign w:val="bottom"/>
          </w:tcPr>
          <w:p w14:paraId="2B401612" w14:textId="77777777" w:rsidR="004D1438" w:rsidRPr="00596228" w:rsidRDefault="004D1438" w:rsidP="00BC71BA">
            <w:pPr>
              <w:spacing w:after="0" w:line="240" w:lineRule="auto"/>
              <w:jc w:val="right"/>
              <w:rPr>
                <w:rFonts w:eastAsia="Times New Roman"/>
                <w:color w:val="000000"/>
                <w:lang w:val="en-GB" w:eastAsia="en-GB"/>
              </w:rPr>
            </w:pPr>
          </w:p>
        </w:tc>
      </w:tr>
      <w:tr w:rsidR="004D1438" w:rsidRPr="00596228" w14:paraId="71606297" w14:textId="77777777" w:rsidTr="00BC71BA">
        <w:trPr>
          <w:trHeight w:val="70"/>
          <w:jc w:val="center"/>
        </w:trPr>
        <w:tc>
          <w:tcPr>
            <w:tcW w:w="1843" w:type="dxa"/>
            <w:shd w:val="clear" w:color="auto" w:fill="auto"/>
            <w:noWrap/>
            <w:vAlign w:val="bottom"/>
            <w:hideMark/>
          </w:tcPr>
          <w:p w14:paraId="6E0A1D8E"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Denmark</w:t>
            </w:r>
          </w:p>
        </w:tc>
        <w:tc>
          <w:tcPr>
            <w:tcW w:w="851" w:type="dxa"/>
            <w:shd w:val="clear" w:color="auto" w:fill="auto"/>
            <w:noWrap/>
            <w:vAlign w:val="bottom"/>
            <w:hideMark/>
          </w:tcPr>
          <w:p w14:paraId="151CBE95"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1.6</w:t>
            </w:r>
          </w:p>
        </w:tc>
        <w:tc>
          <w:tcPr>
            <w:tcW w:w="1417" w:type="dxa"/>
            <w:tcBorders>
              <w:right w:val="thinThickThinSmallGap" w:sz="24" w:space="0" w:color="auto"/>
            </w:tcBorders>
            <w:shd w:val="clear" w:color="auto" w:fill="auto"/>
            <w:noWrap/>
            <w:vAlign w:val="bottom"/>
            <w:hideMark/>
          </w:tcPr>
          <w:p w14:paraId="0AC8267C"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18.2</w:t>
            </w:r>
            <w:r>
              <w:rPr>
                <w:rFonts w:eastAsia="Times New Roman"/>
                <w:color w:val="000000"/>
                <w:lang w:val="en-GB" w:eastAsia="en-GB"/>
              </w:rPr>
              <w:t>0</w:t>
            </w:r>
          </w:p>
        </w:tc>
        <w:tc>
          <w:tcPr>
            <w:tcW w:w="2126" w:type="dxa"/>
            <w:tcBorders>
              <w:top w:val="single" w:sz="4" w:space="0" w:color="auto"/>
              <w:left w:val="thinThickThinSmallGap" w:sz="24" w:space="0" w:color="auto"/>
              <w:bottom w:val="double" w:sz="4" w:space="0" w:color="auto"/>
            </w:tcBorders>
            <w:shd w:val="clear" w:color="auto" w:fill="auto"/>
            <w:noWrap/>
            <w:vAlign w:val="bottom"/>
            <w:hideMark/>
          </w:tcPr>
          <w:p w14:paraId="3B791A0B"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&gt;64</w:t>
            </w:r>
          </w:p>
        </w:tc>
        <w:tc>
          <w:tcPr>
            <w:tcW w:w="709" w:type="dxa"/>
            <w:tcBorders>
              <w:top w:val="single" w:sz="4" w:space="0" w:color="auto"/>
              <w:bottom w:val="double" w:sz="4" w:space="0" w:color="auto"/>
            </w:tcBorders>
            <w:shd w:val="clear" w:color="auto" w:fill="auto"/>
            <w:noWrap/>
            <w:vAlign w:val="bottom"/>
            <w:hideMark/>
          </w:tcPr>
          <w:p w14:paraId="2FE8FE4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23.4</w:t>
            </w:r>
          </w:p>
        </w:tc>
        <w:tc>
          <w:tcPr>
            <w:tcW w:w="1418" w:type="dxa"/>
            <w:tcBorders>
              <w:top w:val="single" w:sz="4" w:space="0" w:color="auto"/>
              <w:bottom w:val="double" w:sz="4" w:space="0" w:color="auto"/>
              <w:right w:val="thinThickThinSmallGap" w:sz="24" w:space="0" w:color="auto"/>
            </w:tcBorders>
            <w:shd w:val="clear" w:color="auto" w:fill="auto"/>
            <w:noWrap/>
            <w:vAlign w:val="bottom"/>
            <w:hideMark/>
          </w:tcPr>
          <w:p w14:paraId="186F9AF3"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3.66</w:t>
            </w:r>
          </w:p>
        </w:tc>
        <w:tc>
          <w:tcPr>
            <w:tcW w:w="2976" w:type="dxa"/>
            <w:tcBorders>
              <w:top w:val="double" w:sz="4" w:space="0" w:color="auto"/>
              <w:left w:val="thinThickThinSmallGap" w:sz="24" w:space="0" w:color="auto"/>
              <w:bottom w:val="single" w:sz="4" w:space="0" w:color="auto"/>
            </w:tcBorders>
            <w:shd w:val="clear" w:color="auto" w:fill="auto"/>
            <w:noWrap/>
            <w:vAlign w:val="bottom"/>
          </w:tcPr>
          <w:p w14:paraId="0C9815C0" w14:textId="77777777" w:rsidR="004D1438" w:rsidRPr="00596228" w:rsidRDefault="004D1438" w:rsidP="00BC71BA">
            <w:pPr>
              <w:spacing w:after="0" w:line="240" w:lineRule="auto"/>
              <w:rPr>
                <w:rFonts w:eastAsia="Times New Roman"/>
                <w:color w:val="000000"/>
                <w:lang w:val="en-GB" w:eastAsia="en-GB"/>
              </w:rPr>
            </w:pPr>
            <w:r w:rsidRPr="00452445">
              <w:rPr>
                <w:rFonts w:eastAsia="Times New Roman"/>
                <w:b/>
                <w:color w:val="000000"/>
                <w:lang w:val="en-GB" w:eastAsia="en-GB"/>
              </w:rPr>
              <w:t>House ownership</w:t>
            </w:r>
          </w:p>
        </w:tc>
        <w:tc>
          <w:tcPr>
            <w:tcW w:w="709" w:type="dxa"/>
            <w:tcBorders>
              <w:top w:val="double" w:sz="4" w:space="0" w:color="auto"/>
              <w:bottom w:val="single" w:sz="4" w:space="0" w:color="auto"/>
            </w:tcBorders>
            <w:shd w:val="clear" w:color="auto" w:fill="auto"/>
            <w:noWrap/>
            <w:vAlign w:val="bottom"/>
          </w:tcPr>
          <w:p w14:paraId="41872670" w14:textId="77777777" w:rsidR="004D1438" w:rsidRPr="00596228" w:rsidRDefault="004D1438" w:rsidP="00BC71BA">
            <w:pPr>
              <w:spacing w:after="0" w:line="240" w:lineRule="auto"/>
              <w:jc w:val="right"/>
              <w:rPr>
                <w:rFonts w:eastAsia="Times New Roman"/>
                <w:color w:val="000000"/>
                <w:lang w:val="en-GB" w:eastAsia="en-GB"/>
              </w:rPr>
            </w:pPr>
          </w:p>
        </w:tc>
        <w:tc>
          <w:tcPr>
            <w:tcW w:w="1418" w:type="dxa"/>
            <w:tcBorders>
              <w:top w:val="double" w:sz="4" w:space="0" w:color="auto"/>
              <w:bottom w:val="single" w:sz="4" w:space="0" w:color="auto"/>
            </w:tcBorders>
            <w:shd w:val="clear" w:color="auto" w:fill="auto"/>
            <w:noWrap/>
            <w:vAlign w:val="bottom"/>
          </w:tcPr>
          <w:p w14:paraId="78DA7FA9" w14:textId="77777777" w:rsidR="004D1438" w:rsidRPr="00596228" w:rsidRDefault="004D1438" w:rsidP="00BC71BA">
            <w:pPr>
              <w:spacing w:after="0" w:line="240" w:lineRule="auto"/>
              <w:jc w:val="right"/>
              <w:rPr>
                <w:rFonts w:eastAsia="Times New Roman"/>
                <w:color w:val="000000"/>
                <w:lang w:val="en-GB" w:eastAsia="en-GB"/>
              </w:rPr>
            </w:pPr>
          </w:p>
        </w:tc>
      </w:tr>
      <w:tr w:rsidR="004D1438" w:rsidRPr="00596228" w14:paraId="742886C7" w14:textId="77777777" w:rsidTr="00BC71BA">
        <w:trPr>
          <w:trHeight w:val="70"/>
          <w:jc w:val="center"/>
        </w:trPr>
        <w:tc>
          <w:tcPr>
            <w:tcW w:w="1843" w:type="dxa"/>
            <w:shd w:val="clear" w:color="auto" w:fill="auto"/>
            <w:noWrap/>
            <w:vAlign w:val="bottom"/>
            <w:hideMark/>
          </w:tcPr>
          <w:p w14:paraId="19B31FC9"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Estonia</w:t>
            </w:r>
          </w:p>
        </w:tc>
        <w:tc>
          <w:tcPr>
            <w:tcW w:w="851" w:type="dxa"/>
            <w:shd w:val="clear" w:color="auto" w:fill="auto"/>
            <w:noWrap/>
            <w:vAlign w:val="bottom"/>
            <w:hideMark/>
          </w:tcPr>
          <w:p w14:paraId="07D72F4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0.4</w:t>
            </w:r>
          </w:p>
        </w:tc>
        <w:tc>
          <w:tcPr>
            <w:tcW w:w="1417" w:type="dxa"/>
            <w:tcBorders>
              <w:right w:val="thinThickThinSmallGap" w:sz="24" w:space="0" w:color="auto"/>
            </w:tcBorders>
            <w:shd w:val="clear" w:color="auto" w:fill="auto"/>
            <w:noWrap/>
            <w:vAlign w:val="bottom"/>
            <w:hideMark/>
          </w:tcPr>
          <w:p w14:paraId="653D4E52"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7.02</w:t>
            </w:r>
          </w:p>
        </w:tc>
        <w:tc>
          <w:tcPr>
            <w:tcW w:w="4253" w:type="dxa"/>
            <w:gridSpan w:val="3"/>
            <w:tcBorders>
              <w:top w:val="double" w:sz="4" w:space="0" w:color="auto"/>
              <w:left w:val="thinThickThinSmallGap" w:sz="24" w:space="0" w:color="auto"/>
              <w:bottom w:val="single" w:sz="4" w:space="0" w:color="auto"/>
              <w:right w:val="thinThickThinSmallGap" w:sz="24" w:space="0" w:color="auto"/>
            </w:tcBorders>
            <w:shd w:val="clear" w:color="auto" w:fill="auto"/>
            <w:noWrap/>
            <w:vAlign w:val="bottom"/>
            <w:hideMark/>
          </w:tcPr>
          <w:p w14:paraId="7BF27AF9" w14:textId="77777777" w:rsidR="004D1438" w:rsidRPr="00596228" w:rsidRDefault="004D1438" w:rsidP="00BC71BA">
            <w:pPr>
              <w:spacing w:after="0" w:line="240" w:lineRule="auto"/>
              <w:rPr>
                <w:rFonts w:eastAsia="Times New Roman"/>
                <w:color w:val="000000"/>
                <w:lang w:val="en-GB" w:eastAsia="en-GB"/>
              </w:rPr>
            </w:pPr>
            <w:r w:rsidRPr="00E9789E">
              <w:rPr>
                <w:rFonts w:eastAsia="Times New Roman"/>
                <w:b/>
                <w:color w:val="000000"/>
                <w:lang w:val="en-GB" w:eastAsia="en-GB"/>
              </w:rPr>
              <w:t>Education</w:t>
            </w:r>
          </w:p>
        </w:tc>
        <w:tc>
          <w:tcPr>
            <w:tcW w:w="2976" w:type="dxa"/>
            <w:tcBorders>
              <w:top w:val="single" w:sz="4" w:space="0" w:color="auto"/>
              <w:left w:val="thinThickThinSmallGap" w:sz="24" w:space="0" w:color="auto"/>
              <w:bottom w:val="single" w:sz="4" w:space="0" w:color="auto"/>
              <w:right w:val="single" w:sz="4" w:space="0" w:color="auto"/>
            </w:tcBorders>
            <w:shd w:val="clear" w:color="auto" w:fill="auto"/>
            <w:noWrap/>
            <w:vAlign w:val="bottom"/>
          </w:tcPr>
          <w:p w14:paraId="2064A4D6"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Owner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0145B51"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38</w:t>
            </w:r>
            <w:r w:rsidRPr="00596228">
              <w:rPr>
                <w:rFonts w:eastAsia="Times New Roman"/>
                <w:color w:val="000000"/>
                <w:lang w:val="en-GB" w:eastAsia="en-GB"/>
              </w:rPr>
              <w:t>.7</w:t>
            </w:r>
          </w:p>
        </w:tc>
        <w:tc>
          <w:tcPr>
            <w:tcW w:w="1418" w:type="dxa"/>
            <w:tcBorders>
              <w:top w:val="single" w:sz="4" w:space="0" w:color="auto"/>
              <w:left w:val="single" w:sz="4" w:space="0" w:color="auto"/>
              <w:bottom w:val="single" w:sz="4" w:space="0" w:color="auto"/>
            </w:tcBorders>
            <w:shd w:val="clear" w:color="auto" w:fill="auto"/>
            <w:vAlign w:val="bottom"/>
          </w:tcPr>
          <w:p w14:paraId="38000765"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5.52</w:t>
            </w:r>
          </w:p>
        </w:tc>
      </w:tr>
      <w:tr w:rsidR="004D1438" w:rsidRPr="00596228" w14:paraId="295EFECF" w14:textId="77777777" w:rsidTr="00BC71BA">
        <w:trPr>
          <w:trHeight w:val="70"/>
          <w:jc w:val="center"/>
        </w:trPr>
        <w:tc>
          <w:tcPr>
            <w:tcW w:w="1843" w:type="dxa"/>
            <w:shd w:val="clear" w:color="auto" w:fill="auto"/>
            <w:noWrap/>
            <w:vAlign w:val="bottom"/>
            <w:hideMark/>
          </w:tcPr>
          <w:p w14:paraId="51C77F5F"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Finland</w:t>
            </w:r>
          </w:p>
        </w:tc>
        <w:tc>
          <w:tcPr>
            <w:tcW w:w="851" w:type="dxa"/>
            <w:shd w:val="clear" w:color="auto" w:fill="auto"/>
            <w:noWrap/>
            <w:vAlign w:val="bottom"/>
            <w:hideMark/>
          </w:tcPr>
          <w:p w14:paraId="6D6E3BB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1.5</w:t>
            </w:r>
          </w:p>
        </w:tc>
        <w:tc>
          <w:tcPr>
            <w:tcW w:w="1417" w:type="dxa"/>
            <w:tcBorders>
              <w:right w:val="thinThickThinSmallGap" w:sz="24" w:space="0" w:color="auto"/>
            </w:tcBorders>
            <w:shd w:val="clear" w:color="auto" w:fill="auto"/>
            <w:noWrap/>
            <w:vAlign w:val="bottom"/>
            <w:hideMark/>
          </w:tcPr>
          <w:p w14:paraId="38F6FF3B"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8.59</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76AA4330"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Basic education</w:t>
            </w:r>
          </w:p>
        </w:tc>
        <w:tc>
          <w:tcPr>
            <w:tcW w:w="709" w:type="dxa"/>
            <w:tcBorders>
              <w:top w:val="single" w:sz="4" w:space="0" w:color="auto"/>
              <w:bottom w:val="single" w:sz="4" w:space="0" w:color="auto"/>
            </w:tcBorders>
            <w:shd w:val="clear" w:color="auto" w:fill="auto"/>
            <w:noWrap/>
            <w:vAlign w:val="bottom"/>
            <w:hideMark/>
          </w:tcPr>
          <w:p w14:paraId="7CE0709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21.5</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494C16EA"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5.37</w:t>
            </w:r>
          </w:p>
        </w:tc>
        <w:tc>
          <w:tcPr>
            <w:tcW w:w="2976" w:type="dxa"/>
            <w:tcBorders>
              <w:top w:val="single" w:sz="4" w:space="0" w:color="auto"/>
              <w:left w:val="thinThickThinSmallGap" w:sz="24" w:space="0" w:color="auto"/>
              <w:bottom w:val="single" w:sz="4" w:space="0" w:color="auto"/>
            </w:tcBorders>
            <w:shd w:val="clear" w:color="auto" w:fill="auto"/>
            <w:noWrap/>
            <w:vAlign w:val="bottom"/>
          </w:tcPr>
          <w:p w14:paraId="0717E28F"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Mortgager</w:t>
            </w:r>
          </w:p>
        </w:tc>
        <w:tc>
          <w:tcPr>
            <w:tcW w:w="709" w:type="dxa"/>
            <w:tcBorders>
              <w:top w:val="single" w:sz="4" w:space="0" w:color="auto"/>
              <w:bottom w:val="single" w:sz="4" w:space="0" w:color="auto"/>
            </w:tcBorders>
            <w:shd w:val="clear" w:color="auto" w:fill="auto"/>
            <w:noWrap/>
            <w:vAlign w:val="bottom"/>
          </w:tcPr>
          <w:p w14:paraId="3A5B295E"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27.4</w:t>
            </w:r>
          </w:p>
        </w:tc>
        <w:tc>
          <w:tcPr>
            <w:tcW w:w="1418" w:type="dxa"/>
            <w:tcBorders>
              <w:top w:val="single" w:sz="4" w:space="0" w:color="auto"/>
              <w:bottom w:val="single" w:sz="4" w:space="0" w:color="auto"/>
            </w:tcBorders>
            <w:shd w:val="clear" w:color="auto" w:fill="auto"/>
            <w:noWrap/>
            <w:vAlign w:val="bottom"/>
          </w:tcPr>
          <w:p w14:paraId="564ED570"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10.09</w:t>
            </w:r>
          </w:p>
        </w:tc>
      </w:tr>
      <w:tr w:rsidR="004D1438" w:rsidRPr="00596228" w14:paraId="7879FAD1" w14:textId="77777777" w:rsidTr="00BC71BA">
        <w:trPr>
          <w:trHeight w:val="70"/>
          <w:jc w:val="center"/>
        </w:trPr>
        <w:tc>
          <w:tcPr>
            <w:tcW w:w="1843" w:type="dxa"/>
            <w:shd w:val="clear" w:color="auto" w:fill="auto"/>
            <w:noWrap/>
            <w:vAlign w:val="bottom"/>
            <w:hideMark/>
          </w:tcPr>
          <w:p w14:paraId="3C620BDD"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France</w:t>
            </w:r>
          </w:p>
        </w:tc>
        <w:tc>
          <w:tcPr>
            <w:tcW w:w="851" w:type="dxa"/>
            <w:shd w:val="clear" w:color="auto" w:fill="auto"/>
            <w:noWrap/>
            <w:vAlign w:val="bottom"/>
            <w:hideMark/>
          </w:tcPr>
          <w:p w14:paraId="186DEDC3"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16.2</w:t>
            </w:r>
          </w:p>
        </w:tc>
        <w:tc>
          <w:tcPr>
            <w:tcW w:w="1417" w:type="dxa"/>
            <w:tcBorders>
              <w:right w:val="thinThickThinSmallGap" w:sz="24" w:space="0" w:color="auto"/>
            </w:tcBorders>
            <w:shd w:val="clear" w:color="auto" w:fill="auto"/>
            <w:noWrap/>
            <w:vAlign w:val="bottom"/>
            <w:hideMark/>
          </w:tcPr>
          <w:p w14:paraId="4C470876"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9.85</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5C1C80AA"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Secondary education</w:t>
            </w:r>
          </w:p>
        </w:tc>
        <w:tc>
          <w:tcPr>
            <w:tcW w:w="709" w:type="dxa"/>
            <w:tcBorders>
              <w:top w:val="single" w:sz="4" w:space="0" w:color="auto"/>
              <w:bottom w:val="single" w:sz="4" w:space="0" w:color="auto"/>
            </w:tcBorders>
            <w:shd w:val="clear" w:color="auto" w:fill="auto"/>
            <w:noWrap/>
            <w:vAlign w:val="bottom"/>
            <w:hideMark/>
          </w:tcPr>
          <w:p w14:paraId="4C80E5E1"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48</w:t>
            </w:r>
            <w:r>
              <w:rPr>
                <w:rFonts w:eastAsia="Times New Roman"/>
                <w:color w:val="000000"/>
                <w:lang w:val="en-GB" w:eastAsia="en-GB"/>
              </w:rPr>
              <w:t>.1</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07FFC6B4"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7.51</w:t>
            </w:r>
          </w:p>
        </w:tc>
        <w:tc>
          <w:tcPr>
            <w:tcW w:w="2976" w:type="dxa"/>
            <w:tcBorders>
              <w:top w:val="single" w:sz="4" w:space="0" w:color="auto"/>
              <w:left w:val="thinThickThinSmallGap" w:sz="24" w:space="0" w:color="auto"/>
              <w:bottom w:val="double" w:sz="4" w:space="0" w:color="auto"/>
            </w:tcBorders>
            <w:shd w:val="clear" w:color="auto" w:fill="auto"/>
            <w:noWrap/>
            <w:vAlign w:val="bottom"/>
          </w:tcPr>
          <w:p w14:paraId="7A769252"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Other</w:t>
            </w:r>
          </w:p>
        </w:tc>
        <w:tc>
          <w:tcPr>
            <w:tcW w:w="709" w:type="dxa"/>
            <w:tcBorders>
              <w:top w:val="single" w:sz="4" w:space="0" w:color="auto"/>
              <w:bottom w:val="double" w:sz="4" w:space="0" w:color="auto"/>
            </w:tcBorders>
            <w:shd w:val="clear" w:color="auto" w:fill="auto"/>
            <w:noWrap/>
            <w:vAlign w:val="bottom"/>
          </w:tcPr>
          <w:p w14:paraId="31D85711"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33.9</w:t>
            </w:r>
          </w:p>
        </w:tc>
        <w:tc>
          <w:tcPr>
            <w:tcW w:w="1418" w:type="dxa"/>
            <w:tcBorders>
              <w:top w:val="single" w:sz="4" w:space="0" w:color="auto"/>
              <w:bottom w:val="double" w:sz="4" w:space="0" w:color="auto"/>
            </w:tcBorders>
            <w:shd w:val="clear" w:color="auto" w:fill="auto"/>
            <w:noWrap/>
            <w:vAlign w:val="bottom"/>
          </w:tcPr>
          <w:p w14:paraId="5390E3A4"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9.77</w:t>
            </w:r>
          </w:p>
        </w:tc>
      </w:tr>
      <w:tr w:rsidR="004D1438" w:rsidRPr="00596228" w14:paraId="0FE28639" w14:textId="77777777" w:rsidTr="00BC71BA">
        <w:trPr>
          <w:trHeight w:val="70"/>
          <w:jc w:val="center"/>
        </w:trPr>
        <w:tc>
          <w:tcPr>
            <w:tcW w:w="1843" w:type="dxa"/>
            <w:shd w:val="clear" w:color="auto" w:fill="auto"/>
            <w:noWrap/>
            <w:vAlign w:val="bottom"/>
            <w:hideMark/>
          </w:tcPr>
          <w:p w14:paraId="7A9827DF"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Germany</w:t>
            </w:r>
          </w:p>
        </w:tc>
        <w:tc>
          <w:tcPr>
            <w:tcW w:w="851" w:type="dxa"/>
            <w:shd w:val="clear" w:color="auto" w:fill="auto"/>
            <w:noWrap/>
            <w:vAlign w:val="bottom"/>
            <w:hideMark/>
          </w:tcPr>
          <w:p w14:paraId="3A3E9145"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20.5</w:t>
            </w:r>
          </w:p>
        </w:tc>
        <w:tc>
          <w:tcPr>
            <w:tcW w:w="1417" w:type="dxa"/>
            <w:tcBorders>
              <w:right w:val="thinThickThinSmallGap" w:sz="24" w:space="0" w:color="auto"/>
            </w:tcBorders>
            <w:shd w:val="clear" w:color="auto" w:fill="auto"/>
            <w:noWrap/>
            <w:vAlign w:val="bottom"/>
            <w:hideMark/>
          </w:tcPr>
          <w:p w14:paraId="0D57D644"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6.05</w:t>
            </w:r>
          </w:p>
        </w:tc>
        <w:tc>
          <w:tcPr>
            <w:tcW w:w="2126" w:type="dxa"/>
            <w:tcBorders>
              <w:top w:val="single" w:sz="4" w:space="0" w:color="auto"/>
              <w:left w:val="thinThickThinSmallGap" w:sz="24" w:space="0" w:color="auto"/>
              <w:bottom w:val="double" w:sz="4" w:space="0" w:color="auto"/>
            </w:tcBorders>
            <w:shd w:val="clear" w:color="auto" w:fill="auto"/>
            <w:noWrap/>
            <w:vAlign w:val="bottom"/>
            <w:hideMark/>
          </w:tcPr>
          <w:p w14:paraId="7DC3AC24"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Higher education</w:t>
            </w:r>
          </w:p>
        </w:tc>
        <w:tc>
          <w:tcPr>
            <w:tcW w:w="709" w:type="dxa"/>
            <w:tcBorders>
              <w:top w:val="single" w:sz="4" w:space="0" w:color="auto"/>
              <w:bottom w:val="double" w:sz="4" w:space="0" w:color="auto"/>
            </w:tcBorders>
            <w:shd w:val="clear" w:color="auto" w:fill="auto"/>
            <w:noWrap/>
            <w:vAlign w:val="bottom"/>
            <w:hideMark/>
          </w:tcPr>
          <w:p w14:paraId="56AFDF2E"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29.7</w:t>
            </w:r>
          </w:p>
        </w:tc>
        <w:tc>
          <w:tcPr>
            <w:tcW w:w="1418" w:type="dxa"/>
            <w:tcBorders>
              <w:top w:val="single" w:sz="4" w:space="0" w:color="auto"/>
              <w:bottom w:val="double" w:sz="4" w:space="0" w:color="auto"/>
              <w:right w:val="thinThickThinSmallGap" w:sz="24" w:space="0" w:color="auto"/>
            </w:tcBorders>
            <w:shd w:val="clear" w:color="auto" w:fill="auto"/>
            <w:noWrap/>
            <w:vAlign w:val="bottom"/>
            <w:hideMark/>
          </w:tcPr>
          <w:p w14:paraId="3411DC8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11.30</w:t>
            </w:r>
          </w:p>
        </w:tc>
        <w:tc>
          <w:tcPr>
            <w:tcW w:w="5103" w:type="dxa"/>
            <w:gridSpan w:val="3"/>
            <w:tcBorders>
              <w:top w:val="double" w:sz="4" w:space="0" w:color="auto"/>
              <w:left w:val="thinThickThinSmallGap" w:sz="24" w:space="0" w:color="auto"/>
              <w:bottom w:val="single" w:sz="4" w:space="0" w:color="auto"/>
            </w:tcBorders>
            <w:shd w:val="clear" w:color="auto" w:fill="auto"/>
            <w:noWrap/>
            <w:vAlign w:val="bottom"/>
          </w:tcPr>
          <w:p w14:paraId="2C45E157" w14:textId="77777777" w:rsidR="004D1438" w:rsidRPr="00596228" w:rsidRDefault="004D1438" w:rsidP="00BC71BA">
            <w:pPr>
              <w:spacing w:after="0" w:line="240" w:lineRule="auto"/>
              <w:rPr>
                <w:rFonts w:eastAsia="Times New Roman"/>
                <w:color w:val="000000"/>
                <w:lang w:val="en-GB" w:eastAsia="en-GB"/>
              </w:rPr>
            </w:pPr>
            <w:r w:rsidRPr="00452445">
              <w:rPr>
                <w:rFonts w:eastAsia="Times New Roman"/>
                <w:b/>
                <w:color w:val="000000"/>
                <w:lang w:val="en-GB" w:eastAsia="en-GB"/>
              </w:rPr>
              <w:t>Size of community</w:t>
            </w:r>
          </w:p>
        </w:tc>
      </w:tr>
      <w:tr w:rsidR="004D1438" w:rsidRPr="00596228" w14:paraId="623335E0" w14:textId="77777777" w:rsidTr="00BC71BA">
        <w:trPr>
          <w:trHeight w:val="117"/>
          <w:jc w:val="center"/>
        </w:trPr>
        <w:tc>
          <w:tcPr>
            <w:tcW w:w="1843" w:type="dxa"/>
            <w:shd w:val="clear" w:color="auto" w:fill="auto"/>
            <w:noWrap/>
            <w:vAlign w:val="bottom"/>
            <w:hideMark/>
          </w:tcPr>
          <w:p w14:paraId="0043F45B"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Greece</w:t>
            </w:r>
          </w:p>
        </w:tc>
        <w:tc>
          <w:tcPr>
            <w:tcW w:w="851" w:type="dxa"/>
            <w:shd w:val="clear" w:color="auto" w:fill="auto"/>
            <w:noWrap/>
            <w:vAlign w:val="bottom"/>
            <w:hideMark/>
          </w:tcPr>
          <w:p w14:paraId="4A01EAA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0.7</w:t>
            </w:r>
          </w:p>
        </w:tc>
        <w:tc>
          <w:tcPr>
            <w:tcW w:w="1417" w:type="dxa"/>
            <w:tcBorders>
              <w:right w:val="thinThickThinSmallGap" w:sz="24" w:space="0" w:color="auto"/>
            </w:tcBorders>
            <w:shd w:val="clear" w:color="auto" w:fill="auto"/>
            <w:noWrap/>
            <w:vAlign w:val="bottom"/>
            <w:hideMark/>
          </w:tcPr>
          <w:p w14:paraId="4693C6DC"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2.3</w:t>
            </w:r>
            <w:r>
              <w:rPr>
                <w:rFonts w:eastAsia="Times New Roman"/>
                <w:color w:val="000000"/>
                <w:lang w:val="en-GB" w:eastAsia="en-GB"/>
              </w:rPr>
              <w:t>0</w:t>
            </w:r>
          </w:p>
        </w:tc>
        <w:tc>
          <w:tcPr>
            <w:tcW w:w="4253" w:type="dxa"/>
            <w:gridSpan w:val="3"/>
            <w:tcBorders>
              <w:top w:val="double" w:sz="4" w:space="0" w:color="auto"/>
              <w:left w:val="thinThickThinSmallGap" w:sz="24" w:space="0" w:color="auto"/>
              <w:bottom w:val="single" w:sz="4" w:space="0" w:color="auto"/>
              <w:right w:val="thinThickThinSmallGap" w:sz="24" w:space="0" w:color="auto"/>
            </w:tcBorders>
            <w:shd w:val="clear" w:color="auto" w:fill="auto"/>
            <w:noWrap/>
            <w:vAlign w:val="bottom"/>
            <w:hideMark/>
          </w:tcPr>
          <w:p w14:paraId="2E40C502" w14:textId="77777777" w:rsidR="004D1438" w:rsidRPr="00596228" w:rsidRDefault="004D1438" w:rsidP="00BC71BA">
            <w:pPr>
              <w:spacing w:after="0" w:line="240" w:lineRule="auto"/>
              <w:rPr>
                <w:rFonts w:eastAsia="Times New Roman"/>
                <w:color w:val="000000"/>
                <w:lang w:val="en-GB" w:eastAsia="en-GB"/>
              </w:rPr>
            </w:pPr>
            <w:r w:rsidRPr="00EA717C">
              <w:rPr>
                <w:rFonts w:eastAsia="Times New Roman"/>
                <w:b/>
                <w:color w:val="000000"/>
                <w:lang w:val="en-GB" w:eastAsia="en-GB"/>
              </w:rPr>
              <w:t>Nationality</w:t>
            </w:r>
          </w:p>
        </w:tc>
        <w:tc>
          <w:tcPr>
            <w:tcW w:w="2976" w:type="dxa"/>
            <w:tcBorders>
              <w:top w:val="single" w:sz="4" w:space="0" w:color="auto"/>
              <w:left w:val="thinThickThinSmallGap" w:sz="24" w:space="0" w:color="auto"/>
              <w:bottom w:val="single" w:sz="4" w:space="0" w:color="auto"/>
              <w:right w:val="single" w:sz="4" w:space="0" w:color="auto"/>
            </w:tcBorders>
            <w:shd w:val="clear" w:color="auto" w:fill="auto"/>
            <w:noWrap/>
            <w:vAlign w:val="bottom"/>
          </w:tcPr>
          <w:p w14:paraId="05D2A476"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Rural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CFC0853"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26</w:t>
            </w:r>
            <w:r w:rsidRPr="00596228">
              <w:rPr>
                <w:rFonts w:eastAsia="Times New Roman"/>
                <w:color w:val="000000"/>
                <w:lang w:val="en-GB" w:eastAsia="en-GB"/>
              </w:rPr>
              <w:t>.5</w:t>
            </w:r>
          </w:p>
        </w:tc>
        <w:tc>
          <w:tcPr>
            <w:tcW w:w="1418" w:type="dxa"/>
            <w:tcBorders>
              <w:top w:val="single" w:sz="4" w:space="0" w:color="auto"/>
              <w:left w:val="single" w:sz="4" w:space="0" w:color="auto"/>
              <w:bottom w:val="single" w:sz="4" w:space="0" w:color="auto"/>
            </w:tcBorders>
            <w:shd w:val="clear" w:color="auto" w:fill="auto"/>
            <w:vAlign w:val="bottom"/>
          </w:tcPr>
          <w:p w14:paraId="6BD8409A"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7.83</w:t>
            </w:r>
          </w:p>
        </w:tc>
      </w:tr>
      <w:tr w:rsidR="004D1438" w:rsidRPr="00596228" w14:paraId="47698E96" w14:textId="77777777" w:rsidTr="00BC71BA">
        <w:trPr>
          <w:trHeight w:val="135"/>
          <w:jc w:val="center"/>
        </w:trPr>
        <w:tc>
          <w:tcPr>
            <w:tcW w:w="1843" w:type="dxa"/>
            <w:shd w:val="clear" w:color="auto" w:fill="auto"/>
            <w:noWrap/>
            <w:vAlign w:val="bottom"/>
            <w:hideMark/>
          </w:tcPr>
          <w:p w14:paraId="61A6BBCC"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Hungary</w:t>
            </w:r>
          </w:p>
        </w:tc>
        <w:tc>
          <w:tcPr>
            <w:tcW w:w="851" w:type="dxa"/>
            <w:shd w:val="clear" w:color="auto" w:fill="auto"/>
            <w:noWrap/>
            <w:vAlign w:val="bottom"/>
            <w:hideMark/>
          </w:tcPr>
          <w:p w14:paraId="547F70C0"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2.0</w:t>
            </w:r>
          </w:p>
        </w:tc>
        <w:tc>
          <w:tcPr>
            <w:tcW w:w="1417" w:type="dxa"/>
            <w:tcBorders>
              <w:right w:val="thinThickThinSmallGap" w:sz="24" w:space="0" w:color="auto"/>
            </w:tcBorders>
            <w:shd w:val="clear" w:color="auto" w:fill="auto"/>
            <w:noWrap/>
            <w:vAlign w:val="bottom"/>
            <w:hideMark/>
          </w:tcPr>
          <w:p w14:paraId="38156851"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8.52</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284FBADA"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National</w:t>
            </w:r>
          </w:p>
        </w:tc>
        <w:tc>
          <w:tcPr>
            <w:tcW w:w="709" w:type="dxa"/>
            <w:tcBorders>
              <w:top w:val="single" w:sz="4" w:space="0" w:color="auto"/>
              <w:bottom w:val="single" w:sz="4" w:space="0" w:color="auto"/>
            </w:tcBorders>
            <w:shd w:val="clear" w:color="auto" w:fill="auto"/>
            <w:noWrap/>
            <w:vAlign w:val="bottom"/>
            <w:hideMark/>
          </w:tcPr>
          <w:p w14:paraId="15C0055B"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96.8</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029A2477"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8.05</w:t>
            </w:r>
          </w:p>
        </w:tc>
        <w:tc>
          <w:tcPr>
            <w:tcW w:w="2976" w:type="dxa"/>
            <w:tcBorders>
              <w:top w:val="single" w:sz="4" w:space="0" w:color="auto"/>
              <w:left w:val="thinThickThinSmallGap" w:sz="24" w:space="0" w:color="auto"/>
              <w:bottom w:val="single" w:sz="4" w:space="0" w:color="auto"/>
            </w:tcBorders>
            <w:shd w:val="clear" w:color="auto" w:fill="auto"/>
            <w:noWrap/>
            <w:vAlign w:val="bottom"/>
          </w:tcPr>
          <w:p w14:paraId="6E75A9BE"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Town</w:t>
            </w:r>
          </w:p>
        </w:tc>
        <w:tc>
          <w:tcPr>
            <w:tcW w:w="709" w:type="dxa"/>
            <w:tcBorders>
              <w:top w:val="single" w:sz="4" w:space="0" w:color="auto"/>
              <w:bottom w:val="single" w:sz="4" w:space="0" w:color="auto"/>
            </w:tcBorders>
            <w:shd w:val="clear" w:color="auto" w:fill="auto"/>
            <w:noWrap/>
            <w:vAlign w:val="bottom"/>
          </w:tcPr>
          <w:p w14:paraId="32FDC6ED"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38.1</w:t>
            </w:r>
          </w:p>
        </w:tc>
        <w:tc>
          <w:tcPr>
            <w:tcW w:w="1418" w:type="dxa"/>
            <w:tcBorders>
              <w:top w:val="single" w:sz="4" w:space="0" w:color="auto"/>
              <w:bottom w:val="single" w:sz="4" w:space="0" w:color="auto"/>
            </w:tcBorders>
            <w:shd w:val="clear" w:color="auto" w:fill="auto"/>
            <w:noWrap/>
            <w:vAlign w:val="bottom"/>
          </w:tcPr>
          <w:p w14:paraId="4CC5480A"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7.31</w:t>
            </w:r>
          </w:p>
        </w:tc>
      </w:tr>
      <w:tr w:rsidR="004D1438" w:rsidRPr="00596228" w14:paraId="77C1188A" w14:textId="77777777" w:rsidTr="00BC71BA">
        <w:trPr>
          <w:trHeight w:val="139"/>
          <w:jc w:val="center"/>
        </w:trPr>
        <w:tc>
          <w:tcPr>
            <w:tcW w:w="1843" w:type="dxa"/>
            <w:shd w:val="clear" w:color="auto" w:fill="auto"/>
            <w:noWrap/>
            <w:vAlign w:val="bottom"/>
            <w:hideMark/>
          </w:tcPr>
          <w:p w14:paraId="378FD9FF"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Ireland</w:t>
            </w:r>
          </w:p>
        </w:tc>
        <w:tc>
          <w:tcPr>
            <w:tcW w:w="851" w:type="dxa"/>
            <w:shd w:val="clear" w:color="auto" w:fill="auto"/>
            <w:noWrap/>
            <w:vAlign w:val="bottom"/>
            <w:hideMark/>
          </w:tcPr>
          <w:p w14:paraId="24AAECB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0.9</w:t>
            </w:r>
          </w:p>
        </w:tc>
        <w:tc>
          <w:tcPr>
            <w:tcW w:w="1417" w:type="dxa"/>
            <w:tcBorders>
              <w:right w:val="thinThickThinSmallGap" w:sz="24" w:space="0" w:color="auto"/>
            </w:tcBorders>
            <w:shd w:val="clear" w:color="auto" w:fill="auto"/>
            <w:noWrap/>
            <w:vAlign w:val="bottom"/>
            <w:hideMark/>
          </w:tcPr>
          <w:p w14:paraId="4C491E72"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5.44</w:t>
            </w:r>
          </w:p>
        </w:tc>
        <w:tc>
          <w:tcPr>
            <w:tcW w:w="2126" w:type="dxa"/>
            <w:tcBorders>
              <w:top w:val="single" w:sz="4" w:space="0" w:color="auto"/>
              <w:left w:val="thinThickThinSmallGap" w:sz="24" w:space="0" w:color="auto"/>
              <w:bottom w:val="double" w:sz="4" w:space="0" w:color="auto"/>
            </w:tcBorders>
            <w:shd w:val="clear" w:color="auto" w:fill="auto"/>
            <w:noWrap/>
            <w:vAlign w:val="bottom"/>
            <w:hideMark/>
          </w:tcPr>
          <w:p w14:paraId="2C21EB0F"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Foreigner</w:t>
            </w:r>
          </w:p>
        </w:tc>
        <w:tc>
          <w:tcPr>
            <w:tcW w:w="709" w:type="dxa"/>
            <w:tcBorders>
              <w:top w:val="single" w:sz="4" w:space="0" w:color="auto"/>
              <w:bottom w:val="double" w:sz="4" w:space="0" w:color="auto"/>
            </w:tcBorders>
            <w:shd w:val="clear" w:color="auto" w:fill="auto"/>
            <w:noWrap/>
            <w:vAlign w:val="bottom"/>
            <w:hideMark/>
          </w:tcPr>
          <w:p w14:paraId="2C436AA7"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3.2</w:t>
            </w:r>
          </w:p>
        </w:tc>
        <w:tc>
          <w:tcPr>
            <w:tcW w:w="1418" w:type="dxa"/>
            <w:tcBorders>
              <w:top w:val="single" w:sz="4" w:space="0" w:color="auto"/>
              <w:bottom w:val="double" w:sz="4" w:space="0" w:color="auto"/>
              <w:right w:val="thinThickThinSmallGap" w:sz="24" w:space="0" w:color="auto"/>
            </w:tcBorders>
            <w:shd w:val="clear" w:color="auto" w:fill="auto"/>
            <w:noWrap/>
            <w:vAlign w:val="bottom"/>
            <w:hideMark/>
          </w:tcPr>
          <w:p w14:paraId="315F5818"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13.36</w:t>
            </w:r>
          </w:p>
        </w:tc>
        <w:tc>
          <w:tcPr>
            <w:tcW w:w="2976" w:type="dxa"/>
            <w:tcBorders>
              <w:top w:val="single" w:sz="4" w:space="0" w:color="auto"/>
              <w:left w:val="thinThickThinSmallGap" w:sz="24" w:space="0" w:color="auto"/>
              <w:bottom w:val="double" w:sz="4" w:space="0" w:color="auto"/>
            </w:tcBorders>
            <w:shd w:val="clear" w:color="auto" w:fill="auto"/>
            <w:noWrap/>
            <w:vAlign w:val="bottom"/>
          </w:tcPr>
          <w:p w14:paraId="31C358E0"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City</w:t>
            </w:r>
          </w:p>
        </w:tc>
        <w:tc>
          <w:tcPr>
            <w:tcW w:w="709" w:type="dxa"/>
            <w:tcBorders>
              <w:top w:val="single" w:sz="4" w:space="0" w:color="auto"/>
              <w:bottom w:val="double" w:sz="4" w:space="0" w:color="auto"/>
            </w:tcBorders>
            <w:shd w:val="clear" w:color="auto" w:fill="auto"/>
            <w:noWrap/>
            <w:vAlign w:val="bottom"/>
          </w:tcPr>
          <w:p w14:paraId="2E356025"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35.4</w:t>
            </w:r>
          </w:p>
        </w:tc>
        <w:tc>
          <w:tcPr>
            <w:tcW w:w="1418" w:type="dxa"/>
            <w:tcBorders>
              <w:top w:val="single" w:sz="4" w:space="0" w:color="auto"/>
              <w:bottom w:val="double" w:sz="4" w:space="0" w:color="auto"/>
            </w:tcBorders>
            <w:shd w:val="clear" w:color="auto" w:fill="auto"/>
            <w:noWrap/>
            <w:vAlign w:val="bottom"/>
          </w:tcPr>
          <w:p w14:paraId="50B62BF4"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9.47</w:t>
            </w:r>
          </w:p>
        </w:tc>
      </w:tr>
      <w:tr w:rsidR="004D1438" w:rsidRPr="00596228" w14:paraId="2CC06F74" w14:textId="77777777" w:rsidTr="00BC71BA">
        <w:trPr>
          <w:trHeight w:val="70"/>
          <w:jc w:val="center"/>
        </w:trPr>
        <w:tc>
          <w:tcPr>
            <w:tcW w:w="1843" w:type="dxa"/>
            <w:shd w:val="clear" w:color="auto" w:fill="auto"/>
            <w:noWrap/>
            <w:vAlign w:val="bottom"/>
            <w:hideMark/>
          </w:tcPr>
          <w:p w14:paraId="45D74B5C"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Italy</w:t>
            </w:r>
          </w:p>
        </w:tc>
        <w:tc>
          <w:tcPr>
            <w:tcW w:w="851" w:type="dxa"/>
            <w:shd w:val="clear" w:color="auto" w:fill="auto"/>
            <w:noWrap/>
            <w:vAlign w:val="bottom"/>
            <w:hideMark/>
          </w:tcPr>
          <w:p w14:paraId="6F72F18B"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11.4</w:t>
            </w:r>
          </w:p>
        </w:tc>
        <w:tc>
          <w:tcPr>
            <w:tcW w:w="1417" w:type="dxa"/>
            <w:tcBorders>
              <w:right w:val="thinThickThinSmallGap" w:sz="24" w:space="0" w:color="auto"/>
            </w:tcBorders>
            <w:shd w:val="clear" w:color="auto" w:fill="auto"/>
            <w:noWrap/>
            <w:vAlign w:val="bottom"/>
            <w:hideMark/>
          </w:tcPr>
          <w:p w14:paraId="27A95BA2"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5.27</w:t>
            </w:r>
          </w:p>
        </w:tc>
        <w:tc>
          <w:tcPr>
            <w:tcW w:w="4253" w:type="dxa"/>
            <w:gridSpan w:val="3"/>
            <w:tcBorders>
              <w:top w:val="double" w:sz="4" w:space="0" w:color="auto"/>
              <w:left w:val="thinThickThinSmallGap" w:sz="24" w:space="0" w:color="auto"/>
              <w:bottom w:val="single" w:sz="4" w:space="0" w:color="auto"/>
              <w:right w:val="thinThickThinSmallGap" w:sz="24" w:space="0" w:color="auto"/>
            </w:tcBorders>
            <w:shd w:val="clear" w:color="auto" w:fill="auto"/>
            <w:noWrap/>
            <w:vAlign w:val="bottom"/>
            <w:hideMark/>
          </w:tcPr>
          <w:p w14:paraId="272D0C54" w14:textId="77777777" w:rsidR="004D1438" w:rsidRPr="00596228" w:rsidRDefault="004D1438" w:rsidP="00BC71BA">
            <w:pPr>
              <w:spacing w:after="0" w:line="240" w:lineRule="auto"/>
              <w:rPr>
                <w:rFonts w:ascii="Times New Roman" w:eastAsia="Times New Roman" w:hAnsi="Times New Roman"/>
                <w:sz w:val="20"/>
                <w:szCs w:val="20"/>
                <w:lang w:val="en-GB" w:eastAsia="en-GB"/>
              </w:rPr>
            </w:pPr>
            <w:r w:rsidRPr="00EA717C">
              <w:rPr>
                <w:rFonts w:eastAsia="Times New Roman"/>
                <w:b/>
                <w:color w:val="000000"/>
                <w:lang w:val="en-GB" w:eastAsia="en-GB"/>
              </w:rPr>
              <w:t>Gender</w:t>
            </w:r>
          </w:p>
        </w:tc>
        <w:tc>
          <w:tcPr>
            <w:tcW w:w="5103" w:type="dxa"/>
            <w:gridSpan w:val="3"/>
            <w:tcBorders>
              <w:top w:val="double" w:sz="4" w:space="0" w:color="auto"/>
              <w:left w:val="thinThickThinSmallGap" w:sz="24" w:space="0" w:color="auto"/>
              <w:bottom w:val="single" w:sz="4" w:space="0" w:color="auto"/>
            </w:tcBorders>
            <w:shd w:val="clear" w:color="auto" w:fill="auto"/>
            <w:noWrap/>
            <w:vAlign w:val="bottom"/>
          </w:tcPr>
          <w:p w14:paraId="063EA805" w14:textId="77777777" w:rsidR="004D1438" w:rsidRPr="00596228" w:rsidRDefault="004D1438" w:rsidP="00BC71BA">
            <w:pPr>
              <w:spacing w:after="0" w:line="240" w:lineRule="auto"/>
              <w:rPr>
                <w:rFonts w:eastAsia="Times New Roman"/>
                <w:color w:val="000000"/>
                <w:lang w:val="en-GB" w:eastAsia="en-GB"/>
              </w:rPr>
            </w:pPr>
            <w:r w:rsidRPr="00452445">
              <w:rPr>
                <w:rFonts w:eastAsia="Times New Roman"/>
                <w:b/>
                <w:color w:val="000000"/>
                <w:lang w:val="en-GB" w:eastAsia="en-GB"/>
              </w:rPr>
              <w:t>Regional population density</w:t>
            </w:r>
          </w:p>
        </w:tc>
      </w:tr>
      <w:tr w:rsidR="004D1438" w:rsidRPr="00596228" w14:paraId="52998BB4" w14:textId="77777777" w:rsidTr="00BC71BA">
        <w:trPr>
          <w:trHeight w:val="70"/>
          <w:jc w:val="center"/>
        </w:trPr>
        <w:tc>
          <w:tcPr>
            <w:tcW w:w="1843" w:type="dxa"/>
            <w:tcBorders>
              <w:top w:val="single" w:sz="4" w:space="0" w:color="auto"/>
            </w:tcBorders>
            <w:shd w:val="clear" w:color="auto" w:fill="auto"/>
            <w:noWrap/>
            <w:vAlign w:val="bottom"/>
            <w:hideMark/>
          </w:tcPr>
          <w:p w14:paraId="6D809259"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Latvia</w:t>
            </w:r>
          </w:p>
        </w:tc>
        <w:tc>
          <w:tcPr>
            <w:tcW w:w="851" w:type="dxa"/>
            <w:tcBorders>
              <w:top w:val="single" w:sz="4" w:space="0" w:color="auto"/>
            </w:tcBorders>
            <w:shd w:val="clear" w:color="auto" w:fill="auto"/>
            <w:noWrap/>
            <w:vAlign w:val="bottom"/>
            <w:hideMark/>
          </w:tcPr>
          <w:p w14:paraId="787B5F08"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0.5</w:t>
            </w:r>
          </w:p>
        </w:tc>
        <w:tc>
          <w:tcPr>
            <w:tcW w:w="1417" w:type="dxa"/>
            <w:tcBorders>
              <w:top w:val="single" w:sz="4" w:space="0" w:color="auto"/>
              <w:right w:val="thinThickThinSmallGap" w:sz="24" w:space="0" w:color="auto"/>
            </w:tcBorders>
            <w:shd w:val="clear" w:color="auto" w:fill="auto"/>
            <w:noWrap/>
            <w:vAlign w:val="bottom"/>
            <w:hideMark/>
          </w:tcPr>
          <w:p w14:paraId="2FF9BC1B"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10.25</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1AB21793"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Man</w:t>
            </w:r>
          </w:p>
        </w:tc>
        <w:tc>
          <w:tcPr>
            <w:tcW w:w="709" w:type="dxa"/>
            <w:tcBorders>
              <w:top w:val="single" w:sz="4" w:space="0" w:color="auto"/>
              <w:bottom w:val="single" w:sz="4" w:space="0" w:color="auto"/>
            </w:tcBorders>
            <w:shd w:val="clear" w:color="auto" w:fill="auto"/>
            <w:noWrap/>
            <w:vAlign w:val="bottom"/>
            <w:hideMark/>
          </w:tcPr>
          <w:p w14:paraId="3D3F2BFC"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47.6</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3B872442"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8.74</w:t>
            </w:r>
          </w:p>
        </w:tc>
        <w:tc>
          <w:tcPr>
            <w:tcW w:w="2976" w:type="dxa"/>
            <w:tcBorders>
              <w:top w:val="single" w:sz="4" w:space="0" w:color="auto"/>
              <w:left w:val="thinThickThinSmallGap" w:sz="24" w:space="0" w:color="auto"/>
              <w:bottom w:val="single" w:sz="4" w:space="0" w:color="auto"/>
              <w:right w:val="single" w:sz="4" w:space="0" w:color="auto"/>
            </w:tcBorders>
            <w:shd w:val="clear" w:color="auto" w:fill="auto"/>
            <w:noWrap/>
            <w:vAlign w:val="bottom"/>
          </w:tcPr>
          <w:p w14:paraId="4A86DD47" w14:textId="77777777" w:rsidR="004D1438" w:rsidRPr="00651676" w:rsidRDefault="004D1438" w:rsidP="00BC71BA">
            <w:pPr>
              <w:spacing w:after="0" w:line="240" w:lineRule="auto"/>
              <w:rPr>
                <w:rFonts w:eastAsia="Times New Roman"/>
                <w:b/>
                <w:color w:val="000000"/>
                <w:lang w:val="en-GB" w:eastAsia="en-GB"/>
              </w:rPr>
            </w:pPr>
            <w:r w:rsidRPr="00596228">
              <w:rPr>
                <w:rFonts w:eastAsia="Times New Roman"/>
                <w:color w:val="000000"/>
                <w:lang w:val="en-GB" w:eastAsia="en-GB"/>
              </w:rPr>
              <w:t>&gt;500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2E3DCD0" w14:textId="77777777" w:rsidR="004D1438" w:rsidRPr="00651676" w:rsidRDefault="004D1438" w:rsidP="00BC71BA">
            <w:pPr>
              <w:spacing w:after="0" w:line="240" w:lineRule="auto"/>
              <w:jc w:val="right"/>
              <w:rPr>
                <w:rFonts w:eastAsia="Times New Roman"/>
                <w:b/>
                <w:color w:val="000000"/>
                <w:lang w:val="en-GB" w:eastAsia="en-GB"/>
              </w:rPr>
            </w:pPr>
            <w:r>
              <w:rPr>
                <w:rFonts w:eastAsia="Times New Roman"/>
                <w:color w:val="000000"/>
                <w:lang w:val="en-GB" w:eastAsia="en-GB"/>
              </w:rPr>
              <w:t>20.0</w:t>
            </w:r>
          </w:p>
        </w:tc>
        <w:tc>
          <w:tcPr>
            <w:tcW w:w="1418" w:type="dxa"/>
            <w:tcBorders>
              <w:top w:val="single" w:sz="4" w:space="0" w:color="auto"/>
              <w:left w:val="single" w:sz="4" w:space="0" w:color="auto"/>
              <w:bottom w:val="single" w:sz="4" w:space="0" w:color="auto"/>
            </w:tcBorders>
            <w:shd w:val="clear" w:color="auto" w:fill="auto"/>
            <w:vAlign w:val="bottom"/>
          </w:tcPr>
          <w:p w14:paraId="6A9AE03E" w14:textId="77777777" w:rsidR="004D1438" w:rsidRPr="00EA717C" w:rsidRDefault="004D1438" w:rsidP="00BC71BA">
            <w:pPr>
              <w:spacing w:after="0" w:line="240" w:lineRule="auto"/>
              <w:jc w:val="right"/>
              <w:rPr>
                <w:rFonts w:eastAsia="Times New Roman"/>
                <w:b/>
                <w:color w:val="000000"/>
                <w:lang w:val="en-GB" w:eastAsia="en-GB"/>
              </w:rPr>
            </w:pPr>
            <w:r w:rsidRPr="00596228">
              <w:rPr>
                <w:rFonts w:eastAsia="Times New Roman"/>
                <w:color w:val="000000"/>
                <w:lang w:val="en-GB" w:eastAsia="en-GB"/>
              </w:rPr>
              <w:t>8.25</w:t>
            </w:r>
          </w:p>
        </w:tc>
      </w:tr>
      <w:tr w:rsidR="004D1438" w:rsidRPr="00596228" w14:paraId="66ABC25D" w14:textId="77777777" w:rsidTr="00BC71BA">
        <w:trPr>
          <w:trHeight w:val="70"/>
          <w:jc w:val="center"/>
        </w:trPr>
        <w:tc>
          <w:tcPr>
            <w:tcW w:w="1843" w:type="dxa"/>
            <w:shd w:val="clear" w:color="auto" w:fill="auto"/>
            <w:noWrap/>
            <w:vAlign w:val="bottom"/>
            <w:hideMark/>
          </w:tcPr>
          <w:p w14:paraId="679168C8"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Lithuania</w:t>
            </w:r>
          </w:p>
        </w:tc>
        <w:tc>
          <w:tcPr>
            <w:tcW w:w="851" w:type="dxa"/>
            <w:shd w:val="clear" w:color="auto" w:fill="auto"/>
            <w:noWrap/>
            <w:vAlign w:val="bottom"/>
            <w:hideMark/>
          </w:tcPr>
          <w:p w14:paraId="506DAC2D"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0.6</w:t>
            </w:r>
          </w:p>
        </w:tc>
        <w:tc>
          <w:tcPr>
            <w:tcW w:w="1417" w:type="dxa"/>
            <w:tcBorders>
              <w:right w:val="thinThickThinSmallGap" w:sz="24" w:space="0" w:color="auto"/>
            </w:tcBorders>
            <w:shd w:val="clear" w:color="auto" w:fill="auto"/>
            <w:noWrap/>
            <w:vAlign w:val="bottom"/>
            <w:hideMark/>
          </w:tcPr>
          <w:p w14:paraId="1A732D4A"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9.65</w:t>
            </w:r>
          </w:p>
        </w:tc>
        <w:tc>
          <w:tcPr>
            <w:tcW w:w="2126" w:type="dxa"/>
            <w:tcBorders>
              <w:top w:val="single" w:sz="4" w:space="0" w:color="auto"/>
              <w:left w:val="thinThickThinSmallGap" w:sz="24" w:space="0" w:color="auto"/>
              <w:bottom w:val="double" w:sz="4" w:space="0" w:color="auto"/>
            </w:tcBorders>
            <w:shd w:val="clear" w:color="auto" w:fill="auto"/>
            <w:noWrap/>
            <w:vAlign w:val="bottom"/>
            <w:hideMark/>
          </w:tcPr>
          <w:p w14:paraId="4F9D3BC9"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Woman</w:t>
            </w:r>
          </w:p>
        </w:tc>
        <w:tc>
          <w:tcPr>
            <w:tcW w:w="709" w:type="dxa"/>
            <w:tcBorders>
              <w:top w:val="single" w:sz="4" w:space="0" w:color="auto"/>
              <w:bottom w:val="double" w:sz="4" w:space="0" w:color="auto"/>
            </w:tcBorders>
            <w:shd w:val="clear" w:color="auto" w:fill="auto"/>
            <w:noWrap/>
            <w:vAlign w:val="bottom"/>
            <w:hideMark/>
          </w:tcPr>
          <w:p w14:paraId="5E0B67EF"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52.4</w:t>
            </w:r>
          </w:p>
        </w:tc>
        <w:tc>
          <w:tcPr>
            <w:tcW w:w="1418" w:type="dxa"/>
            <w:tcBorders>
              <w:top w:val="single" w:sz="4" w:space="0" w:color="auto"/>
              <w:bottom w:val="double" w:sz="4" w:space="0" w:color="auto"/>
              <w:right w:val="thinThickThinSmallGap" w:sz="24" w:space="0" w:color="auto"/>
            </w:tcBorders>
            <w:shd w:val="clear" w:color="auto" w:fill="auto"/>
            <w:noWrap/>
            <w:vAlign w:val="bottom"/>
            <w:hideMark/>
          </w:tcPr>
          <w:p w14:paraId="769F147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7.73</w:t>
            </w:r>
          </w:p>
        </w:tc>
        <w:tc>
          <w:tcPr>
            <w:tcW w:w="2976" w:type="dxa"/>
            <w:tcBorders>
              <w:top w:val="single" w:sz="4" w:space="0" w:color="auto"/>
              <w:left w:val="thinThickThinSmallGap" w:sz="24" w:space="0" w:color="auto"/>
              <w:bottom w:val="single" w:sz="4" w:space="0" w:color="auto"/>
            </w:tcBorders>
            <w:shd w:val="clear" w:color="auto" w:fill="auto"/>
            <w:noWrap/>
            <w:vAlign w:val="bottom"/>
          </w:tcPr>
          <w:p w14:paraId="4FE0EE80"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200-500</w:t>
            </w:r>
          </w:p>
        </w:tc>
        <w:tc>
          <w:tcPr>
            <w:tcW w:w="709" w:type="dxa"/>
            <w:tcBorders>
              <w:top w:val="single" w:sz="4" w:space="0" w:color="auto"/>
              <w:bottom w:val="single" w:sz="4" w:space="0" w:color="auto"/>
            </w:tcBorders>
            <w:shd w:val="clear" w:color="auto" w:fill="auto"/>
            <w:noWrap/>
            <w:vAlign w:val="bottom"/>
          </w:tcPr>
          <w:p w14:paraId="032A7341"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29</w:t>
            </w:r>
            <w:r>
              <w:rPr>
                <w:rFonts w:eastAsia="Times New Roman"/>
                <w:color w:val="000000"/>
                <w:lang w:val="en-GB" w:eastAsia="en-GB"/>
              </w:rPr>
              <w:t>.8</w:t>
            </w:r>
          </w:p>
        </w:tc>
        <w:tc>
          <w:tcPr>
            <w:tcW w:w="1418" w:type="dxa"/>
            <w:tcBorders>
              <w:top w:val="single" w:sz="4" w:space="0" w:color="auto"/>
              <w:bottom w:val="single" w:sz="4" w:space="0" w:color="auto"/>
            </w:tcBorders>
            <w:shd w:val="clear" w:color="auto" w:fill="auto"/>
            <w:noWrap/>
            <w:vAlign w:val="bottom"/>
          </w:tcPr>
          <w:p w14:paraId="0E94346C"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7.3</w:t>
            </w:r>
            <w:r w:rsidRPr="00596228">
              <w:rPr>
                <w:rFonts w:eastAsia="Times New Roman"/>
                <w:color w:val="000000"/>
                <w:lang w:val="en-GB" w:eastAsia="en-GB"/>
              </w:rPr>
              <w:t>2</w:t>
            </w:r>
          </w:p>
        </w:tc>
      </w:tr>
      <w:tr w:rsidR="004D1438" w:rsidRPr="00596228" w14:paraId="0DC29C15" w14:textId="77777777" w:rsidTr="00BC71BA">
        <w:trPr>
          <w:trHeight w:val="70"/>
          <w:jc w:val="center"/>
        </w:trPr>
        <w:tc>
          <w:tcPr>
            <w:tcW w:w="1843" w:type="dxa"/>
            <w:shd w:val="clear" w:color="auto" w:fill="auto"/>
            <w:noWrap/>
            <w:vAlign w:val="bottom"/>
            <w:hideMark/>
          </w:tcPr>
          <w:p w14:paraId="664C644A"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Luxembourg</w:t>
            </w:r>
          </w:p>
        </w:tc>
        <w:tc>
          <w:tcPr>
            <w:tcW w:w="851" w:type="dxa"/>
            <w:shd w:val="clear" w:color="auto" w:fill="auto"/>
            <w:noWrap/>
            <w:vAlign w:val="bottom"/>
            <w:hideMark/>
          </w:tcPr>
          <w:p w14:paraId="1BB06A6A"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0.1</w:t>
            </w:r>
          </w:p>
        </w:tc>
        <w:tc>
          <w:tcPr>
            <w:tcW w:w="1417" w:type="dxa"/>
            <w:tcBorders>
              <w:right w:val="thinThickThinSmallGap" w:sz="24" w:space="0" w:color="auto"/>
            </w:tcBorders>
            <w:shd w:val="clear" w:color="auto" w:fill="auto"/>
            <w:noWrap/>
            <w:vAlign w:val="bottom"/>
            <w:hideMark/>
          </w:tcPr>
          <w:p w14:paraId="59EF1DD4"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10.27</w:t>
            </w:r>
          </w:p>
        </w:tc>
        <w:tc>
          <w:tcPr>
            <w:tcW w:w="4253" w:type="dxa"/>
            <w:gridSpan w:val="3"/>
            <w:tcBorders>
              <w:top w:val="double" w:sz="4" w:space="0" w:color="auto"/>
              <w:left w:val="thinThickThinSmallGap" w:sz="24" w:space="0" w:color="auto"/>
              <w:bottom w:val="single" w:sz="4" w:space="0" w:color="auto"/>
              <w:right w:val="thinThickThinSmallGap" w:sz="24" w:space="0" w:color="auto"/>
            </w:tcBorders>
            <w:shd w:val="clear" w:color="auto" w:fill="auto"/>
            <w:noWrap/>
            <w:vAlign w:val="bottom"/>
            <w:hideMark/>
          </w:tcPr>
          <w:p w14:paraId="45582622" w14:textId="77777777" w:rsidR="004D1438" w:rsidRPr="00596228" w:rsidRDefault="004D1438" w:rsidP="00BC71BA">
            <w:pPr>
              <w:spacing w:after="0" w:line="240" w:lineRule="auto"/>
              <w:rPr>
                <w:rFonts w:eastAsia="Times New Roman"/>
                <w:color w:val="000000"/>
                <w:lang w:val="en-GB" w:eastAsia="en-GB"/>
              </w:rPr>
            </w:pPr>
            <w:r w:rsidRPr="00EA717C">
              <w:rPr>
                <w:rFonts w:eastAsia="Times New Roman"/>
                <w:b/>
                <w:color w:val="000000"/>
                <w:lang w:val="en-GB" w:eastAsia="en-GB"/>
              </w:rPr>
              <w:t>Employment status</w:t>
            </w:r>
          </w:p>
        </w:tc>
        <w:tc>
          <w:tcPr>
            <w:tcW w:w="2976" w:type="dxa"/>
            <w:tcBorders>
              <w:top w:val="single" w:sz="4" w:space="0" w:color="auto"/>
              <w:left w:val="thinThickThinSmallGap" w:sz="24" w:space="0" w:color="auto"/>
              <w:bottom w:val="single" w:sz="4" w:space="0" w:color="auto"/>
            </w:tcBorders>
            <w:shd w:val="clear" w:color="auto" w:fill="auto"/>
            <w:noWrap/>
            <w:vAlign w:val="bottom"/>
          </w:tcPr>
          <w:p w14:paraId="61BBB134"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100-200</w:t>
            </w:r>
          </w:p>
        </w:tc>
        <w:tc>
          <w:tcPr>
            <w:tcW w:w="709" w:type="dxa"/>
            <w:tcBorders>
              <w:top w:val="single" w:sz="4" w:space="0" w:color="auto"/>
              <w:bottom w:val="single" w:sz="4" w:space="0" w:color="auto"/>
            </w:tcBorders>
            <w:shd w:val="clear" w:color="auto" w:fill="auto"/>
            <w:noWrap/>
            <w:vAlign w:val="bottom"/>
          </w:tcPr>
          <w:p w14:paraId="788A035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25.4</w:t>
            </w:r>
          </w:p>
        </w:tc>
        <w:tc>
          <w:tcPr>
            <w:tcW w:w="1418" w:type="dxa"/>
            <w:tcBorders>
              <w:top w:val="single" w:sz="4" w:space="0" w:color="auto"/>
              <w:bottom w:val="single" w:sz="4" w:space="0" w:color="auto"/>
            </w:tcBorders>
            <w:shd w:val="clear" w:color="auto" w:fill="auto"/>
            <w:noWrap/>
            <w:vAlign w:val="bottom"/>
          </w:tcPr>
          <w:p w14:paraId="61AEE63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8.40</w:t>
            </w:r>
          </w:p>
        </w:tc>
      </w:tr>
      <w:tr w:rsidR="004D1438" w:rsidRPr="00596228" w14:paraId="3A91DDD6" w14:textId="77777777" w:rsidTr="00BC71BA">
        <w:trPr>
          <w:trHeight w:val="70"/>
          <w:jc w:val="center"/>
        </w:trPr>
        <w:tc>
          <w:tcPr>
            <w:tcW w:w="1843" w:type="dxa"/>
            <w:shd w:val="clear" w:color="auto" w:fill="auto"/>
            <w:noWrap/>
            <w:vAlign w:val="bottom"/>
            <w:hideMark/>
          </w:tcPr>
          <w:p w14:paraId="7DEA8BC5"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Netherlands</w:t>
            </w:r>
          </w:p>
        </w:tc>
        <w:tc>
          <w:tcPr>
            <w:tcW w:w="851" w:type="dxa"/>
            <w:shd w:val="clear" w:color="auto" w:fill="auto"/>
            <w:noWrap/>
            <w:vAlign w:val="bottom"/>
            <w:hideMark/>
          </w:tcPr>
          <w:p w14:paraId="2A0102F9"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4.5</w:t>
            </w:r>
          </w:p>
        </w:tc>
        <w:tc>
          <w:tcPr>
            <w:tcW w:w="1417" w:type="dxa"/>
            <w:tcBorders>
              <w:right w:val="thinThickThinSmallGap" w:sz="24" w:space="0" w:color="auto"/>
            </w:tcBorders>
            <w:shd w:val="clear" w:color="auto" w:fill="auto"/>
            <w:noWrap/>
            <w:vAlign w:val="bottom"/>
            <w:hideMark/>
          </w:tcPr>
          <w:p w14:paraId="03DBCE6C"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5.77</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228AAF0C"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Self-employed</w:t>
            </w:r>
          </w:p>
        </w:tc>
        <w:tc>
          <w:tcPr>
            <w:tcW w:w="709" w:type="dxa"/>
            <w:tcBorders>
              <w:top w:val="single" w:sz="4" w:space="0" w:color="auto"/>
              <w:bottom w:val="single" w:sz="4" w:space="0" w:color="auto"/>
            </w:tcBorders>
            <w:shd w:val="clear" w:color="auto" w:fill="auto"/>
            <w:noWrap/>
            <w:vAlign w:val="bottom"/>
            <w:hideMark/>
          </w:tcPr>
          <w:p w14:paraId="3D6A2079"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7.6</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2B6C95E1"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11.72</w:t>
            </w:r>
          </w:p>
        </w:tc>
        <w:tc>
          <w:tcPr>
            <w:tcW w:w="2976" w:type="dxa"/>
            <w:tcBorders>
              <w:top w:val="single" w:sz="4" w:space="0" w:color="auto"/>
              <w:left w:val="thinThickThinSmallGap" w:sz="24" w:space="0" w:color="auto"/>
              <w:bottom w:val="single" w:sz="4" w:space="0" w:color="auto"/>
            </w:tcBorders>
            <w:shd w:val="clear" w:color="auto" w:fill="auto"/>
            <w:noWrap/>
            <w:vAlign w:val="bottom"/>
          </w:tcPr>
          <w:p w14:paraId="7FBE9CFF"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75-100</w:t>
            </w:r>
          </w:p>
        </w:tc>
        <w:tc>
          <w:tcPr>
            <w:tcW w:w="709" w:type="dxa"/>
            <w:tcBorders>
              <w:top w:val="single" w:sz="4" w:space="0" w:color="auto"/>
              <w:bottom w:val="single" w:sz="4" w:space="0" w:color="auto"/>
            </w:tcBorders>
            <w:shd w:val="clear" w:color="auto" w:fill="auto"/>
            <w:noWrap/>
            <w:vAlign w:val="bottom"/>
          </w:tcPr>
          <w:p w14:paraId="4E99CEAF"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12</w:t>
            </w:r>
            <w:r>
              <w:rPr>
                <w:rFonts w:eastAsia="Times New Roman"/>
                <w:color w:val="000000"/>
                <w:lang w:val="en-GB" w:eastAsia="en-GB"/>
              </w:rPr>
              <w:t>.0</w:t>
            </w:r>
          </w:p>
        </w:tc>
        <w:tc>
          <w:tcPr>
            <w:tcW w:w="1418" w:type="dxa"/>
            <w:tcBorders>
              <w:top w:val="single" w:sz="4" w:space="0" w:color="auto"/>
              <w:bottom w:val="single" w:sz="4" w:space="0" w:color="auto"/>
            </w:tcBorders>
            <w:shd w:val="clear" w:color="auto" w:fill="auto"/>
            <w:noWrap/>
            <w:vAlign w:val="bottom"/>
          </w:tcPr>
          <w:p w14:paraId="7D9AE6B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7.89</w:t>
            </w:r>
          </w:p>
        </w:tc>
      </w:tr>
      <w:tr w:rsidR="004D1438" w:rsidRPr="00596228" w14:paraId="37DDF733" w14:textId="77777777" w:rsidTr="00BC71BA">
        <w:trPr>
          <w:trHeight w:val="70"/>
          <w:jc w:val="center"/>
        </w:trPr>
        <w:tc>
          <w:tcPr>
            <w:tcW w:w="1843" w:type="dxa"/>
            <w:shd w:val="clear" w:color="auto" w:fill="auto"/>
            <w:noWrap/>
            <w:vAlign w:val="bottom"/>
            <w:hideMark/>
          </w:tcPr>
          <w:p w14:paraId="08F82F31"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Portugal</w:t>
            </w:r>
          </w:p>
        </w:tc>
        <w:tc>
          <w:tcPr>
            <w:tcW w:w="851" w:type="dxa"/>
            <w:shd w:val="clear" w:color="auto" w:fill="auto"/>
            <w:noWrap/>
            <w:vAlign w:val="bottom"/>
            <w:hideMark/>
          </w:tcPr>
          <w:p w14:paraId="3437131D"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2</w:t>
            </w:r>
            <w:r>
              <w:rPr>
                <w:rFonts w:eastAsia="Times New Roman"/>
                <w:color w:val="000000"/>
                <w:lang w:val="en-GB" w:eastAsia="en-GB"/>
              </w:rPr>
              <w:t>.2</w:t>
            </w:r>
          </w:p>
        </w:tc>
        <w:tc>
          <w:tcPr>
            <w:tcW w:w="1417" w:type="dxa"/>
            <w:tcBorders>
              <w:right w:val="thinThickThinSmallGap" w:sz="24" w:space="0" w:color="auto"/>
            </w:tcBorders>
            <w:shd w:val="clear" w:color="auto" w:fill="auto"/>
            <w:noWrap/>
            <w:vAlign w:val="bottom"/>
            <w:hideMark/>
          </w:tcPr>
          <w:p w14:paraId="3FE50EBC"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3.96</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51731BE9"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Employed</w:t>
            </w:r>
          </w:p>
        </w:tc>
        <w:tc>
          <w:tcPr>
            <w:tcW w:w="709" w:type="dxa"/>
            <w:tcBorders>
              <w:top w:val="single" w:sz="4" w:space="0" w:color="auto"/>
              <w:bottom w:val="single" w:sz="4" w:space="0" w:color="auto"/>
            </w:tcBorders>
            <w:shd w:val="clear" w:color="auto" w:fill="auto"/>
            <w:noWrap/>
            <w:vAlign w:val="bottom"/>
            <w:hideMark/>
          </w:tcPr>
          <w:p w14:paraId="48029CC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45.9</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27453DA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9.72</w:t>
            </w:r>
          </w:p>
        </w:tc>
        <w:tc>
          <w:tcPr>
            <w:tcW w:w="2976" w:type="dxa"/>
            <w:tcBorders>
              <w:top w:val="single" w:sz="4" w:space="0" w:color="auto"/>
              <w:left w:val="thinThickThinSmallGap" w:sz="24" w:space="0" w:color="auto"/>
              <w:bottom w:val="single" w:sz="4" w:space="0" w:color="auto"/>
            </w:tcBorders>
            <w:shd w:val="clear" w:color="auto" w:fill="auto"/>
            <w:noWrap/>
            <w:vAlign w:val="bottom"/>
          </w:tcPr>
          <w:p w14:paraId="265C2FAD"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eastAsia="en-GB"/>
              </w:rPr>
              <w:t>50-75</w:t>
            </w:r>
          </w:p>
        </w:tc>
        <w:tc>
          <w:tcPr>
            <w:tcW w:w="709" w:type="dxa"/>
            <w:tcBorders>
              <w:top w:val="single" w:sz="4" w:space="0" w:color="auto"/>
              <w:bottom w:val="single" w:sz="4" w:space="0" w:color="auto"/>
            </w:tcBorders>
            <w:shd w:val="clear" w:color="auto" w:fill="auto"/>
            <w:noWrap/>
            <w:vAlign w:val="bottom"/>
          </w:tcPr>
          <w:p w14:paraId="399DD62A"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eastAsia="en-GB"/>
              </w:rPr>
              <w:t>8.3</w:t>
            </w:r>
          </w:p>
        </w:tc>
        <w:tc>
          <w:tcPr>
            <w:tcW w:w="1418" w:type="dxa"/>
            <w:tcBorders>
              <w:top w:val="single" w:sz="4" w:space="0" w:color="auto"/>
              <w:bottom w:val="single" w:sz="4" w:space="0" w:color="auto"/>
            </w:tcBorders>
            <w:shd w:val="clear" w:color="auto" w:fill="auto"/>
            <w:noWrap/>
            <w:vAlign w:val="bottom"/>
          </w:tcPr>
          <w:p w14:paraId="772DECA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eastAsia="en-GB"/>
              </w:rPr>
              <w:t>11.48</w:t>
            </w:r>
          </w:p>
        </w:tc>
      </w:tr>
      <w:tr w:rsidR="004D1438" w:rsidRPr="00596228" w14:paraId="294D4EAD" w14:textId="77777777" w:rsidTr="00BC71BA">
        <w:trPr>
          <w:trHeight w:val="70"/>
          <w:jc w:val="center"/>
        </w:trPr>
        <w:tc>
          <w:tcPr>
            <w:tcW w:w="1843" w:type="dxa"/>
            <w:shd w:val="clear" w:color="auto" w:fill="auto"/>
            <w:noWrap/>
            <w:vAlign w:val="bottom"/>
            <w:hideMark/>
          </w:tcPr>
          <w:p w14:paraId="596142A8"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Romania</w:t>
            </w:r>
          </w:p>
        </w:tc>
        <w:tc>
          <w:tcPr>
            <w:tcW w:w="851" w:type="dxa"/>
            <w:shd w:val="clear" w:color="auto" w:fill="auto"/>
            <w:noWrap/>
            <w:vAlign w:val="bottom"/>
            <w:hideMark/>
          </w:tcPr>
          <w:p w14:paraId="03470CCA"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1.7</w:t>
            </w:r>
          </w:p>
        </w:tc>
        <w:tc>
          <w:tcPr>
            <w:tcW w:w="1417" w:type="dxa"/>
            <w:tcBorders>
              <w:right w:val="thinThickThinSmallGap" w:sz="24" w:space="0" w:color="auto"/>
            </w:tcBorders>
            <w:shd w:val="clear" w:color="auto" w:fill="auto"/>
            <w:noWrap/>
            <w:vAlign w:val="bottom"/>
            <w:hideMark/>
          </w:tcPr>
          <w:p w14:paraId="57C2481F"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12.5</w:t>
            </w:r>
            <w:r>
              <w:rPr>
                <w:rFonts w:eastAsia="Times New Roman"/>
                <w:color w:val="000000"/>
                <w:lang w:val="en-GB" w:eastAsia="en-GB"/>
              </w:rPr>
              <w:t>0</w:t>
            </w:r>
          </w:p>
        </w:tc>
        <w:tc>
          <w:tcPr>
            <w:tcW w:w="2126" w:type="dxa"/>
            <w:tcBorders>
              <w:top w:val="single" w:sz="4" w:space="0" w:color="auto"/>
              <w:left w:val="thinThickThinSmallGap" w:sz="24" w:space="0" w:color="auto"/>
              <w:bottom w:val="double" w:sz="4" w:space="0" w:color="auto"/>
            </w:tcBorders>
            <w:shd w:val="clear" w:color="auto" w:fill="auto"/>
            <w:noWrap/>
            <w:vAlign w:val="bottom"/>
            <w:hideMark/>
          </w:tcPr>
          <w:p w14:paraId="5355A395"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Not working</w:t>
            </w:r>
          </w:p>
        </w:tc>
        <w:tc>
          <w:tcPr>
            <w:tcW w:w="709" w:type="dxa"/>
            <w:tcBorders>
              <w:top w:val="single" w:sz="4" w:space="0" w:color="auto"/>
              <w:bottom w:val="double" w:sz="4" w:space="0" w:color="auto"/>
            </w:tcBorders>
            <w:shd w:val="clear" w:color="auto" w:fill="auto"/>
            <w:noWrap/>
            <w:vAlign w:val="bottom"/>
            <w:hideMark/>
          </w:tcPr>
          <w:p w14:paraId="17715F34"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46.5</w:t>
            </w:r>
          </w:p>
        </w:tc>
        <w:tc>
          <w:tcPr>
            <w:tcW w:w="1418" w:type="dxa"/>
            <w:tcBorders>
              <w:top w:val="single" w:sz="4" w:space="0" w:color="auto"/>
              <w:bottom w:val="double" w:sz="4" w:space="0" w:color="auto"/>
              <w:right w:val="thinThickThinSmallGap" w:sz="24" w:space="0" w:color="auto"/>
            </w:tcBorders>
            <w:shd w:val="clear" w:color="auto" w:fill="auto"/>
            <w:noWrap/>
            <w:vAlign w:val="bottom"/>
            <w:hideMark/>
          </w:tcPr>
          <w:p w14:paraId="735DF9B9"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6.15</w:t>
            </w:r>
          </w:p>
        </w:tc>
        <w:tc>
          <w:tcPr>
            <w:tcW w:w="2976" w:type="dxa"/>
            <w:tcBorders>
              <w:top w:val="single" w:sz="4" w:space="0" w:color="auto"/>
              <w:left w:val="thinThickThinSmallGap" w:sz="24" w:space="0" w:color="auto"/>
              <w:bottom w:val="double" w:sz="4" w:space="0" w:color="auto"/>
            </w:tcBorders>
            <w:shd w:val="clear" w:color="auto" w:fill="auto"/>
            <w:noWrap/>
            <w:vAlign w:val="bottom"/>
          </w:tcPr>
          <w:p w14:paraId="77421202"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eastAsia="en-GB"/>
              </w:rPr>
              <w:t>&lt;50</w:t>
            </w:r>
          </w:p>
        </w:tc>
        <w:tc>
          <w:tcPr>
            <w:tcW w:w="709" w:type="dxa"/>
            <w:tcBorders>
              <w:top w:val="single" w:sz="4" w:space="0" w:color="auto"/>
              <w:bottom w:val="double" w:sz="4" w:space="0" w:color="auto"/>
            </w:tcBorders>
            <w:shd w:val="clear" w:color="auto" w:fill="auto"/>
            <w:noWrap/>
            <w:vAlign w:val="bottom"/>
          </w:tcPr>
          <w:p w14:paraId="3CB9D4D5"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eastAsia="en-GB"/>
              </w:rPr>
              <w:t>4.5</w:t>
            </w:r>
          </w:p>
        </w:tc>
        <w:tc>
          <w:tcPr>
            <w:tcW w:w="1418" w:type="dxa"/>
            <w:tcBorders>
              <w:top w:val="single" w:sz="4" w:space="0" w:color="auto"/>
              <w:bottom w:val="double" w:sz="4" w:space="0" w:color="auto"/>
            </w:tcBorders>
            <w:shd w:val="clear" w:color="auto" w:fill="auto"/>
            <w:noWrap/>
            <w:vAlign w:val="bottom"/>
          </w:tcPr>
          <w:p w14:paraId="4026BDD4"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eastAsia="en-GB"/>
              </w:rPr>
              <w:t>7.73</w:t>
            </w:r>
          </w:p>
        </w:tc>
      </w:tr>
      <w:tr w:rsidR="004D1438" w:rsidRPr="00596228" w14:paraId="17E84AB1" w14:textId="77777777" w:rsidTr="00BC71BA">
        <w:trPr>
          <w:trHeight w:val="70"/>
          <w:jc w:val="center"/>
        </w:trPr>
        <w:tc>
          <w:tcPr>
            <w:tcW w:w="1843" w:type="dxa"/>
            <w:tcBorders>
              <w:top w:val="single" w:sz="4" w:space="0" w:color="auto"/>
            </w:tcBorders>
            <w:shd w:val="clear" w:color="auto" w:fill="auto"/>
            <w:noWrap/>
            <w:vAlign w:val="bottom"/>
            <w:hideMark/>
          </w:tcPr>
          <w:p w14:paraId="15D00277"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Slovakia</w:t>
            </w:r>
          </w:p>
        </w:tc>
        <w:tc>
          <w:tcPr>
            <w:tcW w:w="851" w:type="dxa"/>
            <w:tcBorders>
              <w:top w:val="single" w:sz="4" w:space="0" w:color="auto"/>
            </w:tcBorders>
            <w:shd w:val="clear" w:color="auto" w:fill="auto"/>
            <w:noWrap/>
            <w:vAlign w:val="bottom"/>
            <w:hideMark/>
          </w:tcPr>
          <w:p w14:paraId="67FB4AD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1.2</w:t>
            </w:r>
          </w:p>
        </w:tc>
        <w:tc>
          <w:tcPr>
            <w:tcW w:w="1417" w:type="dxa"/>
            <w:tcBorders>
              <w:top w:val="single" w:sz="4" w:space="0" w:color="auto"/>
              <w:right w:val="thinThickThinSmallGap" w:sz="24" w:space="0" w:color="auto"/>
            </w:tcBorders>
            <w:shd w:val="clear" w:color="auto" w:fill="auto"/>
            <w:noWrap/>
            <w:vAlign w:val="bottom"/>
            <w:hideMark/>
          </w:tcPr>
          <w:p w14:paraId="2E743D55"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8.62</w:t>
            </w:r>
          </w:p>
        </w:tc>
        <w:tc>
          <w:tcPr>
            <w:tcW w:w="4253" w:type="dxa"/>
            <w:gridSpan w:val="3"/>
            <w:tcBorders>
              <w:top w:val="double" w:sz="4" w:space="0" w:color="auto"/>
              <w:left w:val="thinThickThinSmallGap" w:sz="24" w:space="0" w:color="auto"/>
              <w:bottom w:val="single" w:sz="4" w:space="0" w:color="auto"/>
              <w:right w:val="thinThickThinSmallGap" w:sz="24" w:space="0" w:color="auto"/>
            </w:tcBorders>
            <w:shd w:val="clear" w:color="auto" w:fill="auto"/>
            <w:noWrap/>
            <w:vAlign w:val="bottom"/>
            <w:hideMark/>
          </w:tcPr>
          <w:p w14:paraId="3C61A412" w14:textId="77777777" w:rsidR="004D1438" w:rsidRPr="00596228" w:rsidRDefault="004D1438" w:rsidP="00BC71BA">
            <w:pPr>
              <w:spacing w:after="0" w:line="240" w:lineRule="auto"/>
              <w:rPr>
                <w:rFonts w:eastAsia="Times New Roman"/>
                <w:color w:val="000000"/>
                <w:lang w:val="en-GB" w:eastAsia="en-GB"/>
              </w:rPr>
            </w:pPr>
            <w:r w:rsidRPr="00EA717C">
              <w:rPr>
                <w:rFonts w:eastAsia="Times New Roman"/>
                <w:b/>
                <w:color w:val="000000"/>
                <w:lang w:val="en-GB" w:eastAsia="en-GB"/>
              </w:rPr>
              <w:t>Occupation</w:t>
            </w:r>
          </w:p>
        </w:tc>
        <w:tc>
          <w:tcPr>
            <w:tcW w:w="5103" w:type="dxa"/>
            <w:gridSpan w:val="3"/>
            <w:tcBorders>
              <w:top w:val="double" w:sz="4" w:space="0" w:color="auto"/>
              <w:left w:val="thinThickThinSmallGap" w:sz="24" w:space="0" w:color="auto"/>
              <w:bottom w:val="single" w:sz="4" w:space="0" w:color="auto"/>
            </w:tcBorders>
            <w:shd w:val="clear" w:color="auto" w:fill="auto"/>
            <w:noWrap/>
            <w:vAlign w:val="bottom"/>
          </w:tcPr>
          <w:p w14:paraId="08E0173E" w14:textId="77777777" w:rsidR="004D1438" w:rsidRPr="00596228" w:rsidRDefault="004D1438" w:rsidP="00BC71BA">
            <w:pPr>
              <w:spacing w:after="0" w:line="240" w:lineRule="auto"/>
              <w:rPr>
                <w:rFonts w:eastAsia="Times New Roman"/>
                <w:color w:val="000000"/>
                <w:lang w:val="en-GB" w:eastAsia="en-GB"/>
              </w:rPr>
            </w:pPr>
            <w:r w:rsidRPr="00452445">
              <w:rPr>
                <w:rFonts w:eastAsia="Times New Roman"/>
                <w:b/>
                <w:color w:val="000000"/>
                <w:lang w:val="en-GB" w:eastAsia="en-GB"/>
              </w:rPr>
              <w:t>Regional GDP per capita</w:t>
            </w:r>
          </w:p>
        </w:tc>
      </w:tr>
      <w:tr w:rsidR="004D1438" w:rsidRPr="00596228" w14:paraId="501B7AAA" w14:textId="77777777" w:rsidTr="00BC71BA">
        <w:trPr>
          <w:trHeight w:val="70"/>
          <w:jc w:val="center"/>
        </w:trPr>
        <w:tc>
          <w:tcPr>
            <w:tcW w:w="1843" w:type="dxa"/>
            <w:tcBorders>
              <w:top w:val="single" w:sz="4" w:space="0" w:color="auto"/>
            </w:tcBorders>
            <w:shd w:val="clear" w:color="auto" w:fill="auto"/>
            <w:noWrap/>
            <w:vAlign w:val="bottom"/>
            <w:hideMark/>
          </w:tcPr>
          <w:p w14:paraId="45861F60"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Slovenia</w:t>
            </w:r>
          </w:p>
        </w:tc>
        <w:tc>
          <w:tcPr>
            <w:tcW w:w="851" w:type="dxa"/>
            <w:tcBorders>
              <w:top w:val="single" w:sz="4" w:space="0" w:color="auto"/>
            </w:tcBorders>
            <w:shd w:val="clear" w:color="auto" w:fill="auto"/>
            <w:noWrap/>
            <w:vAlign w:val="bottom"/>
            <w:hideMark/>
          </w:tcPr>
          <w:p w14:paraId="456E6CC2"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0.5</w:t>
            </w:r>
          </w:p>
        </w:tc>
        <w:tc>
          <w:tcPr>
            <w:tcW w:w="1417" w:type="dxa"/>
            <w:tcBorders>
              <w:top w:val="single" w:sz="4" w:space="0" w:color="auto"/>
              <w:right w:val="thinThickThinSmallGap" w:sz="24" w:space="0" w:color="auto"/>
            </w:tcBorders>
            <w:shd w:val="clear" w:color="auto" w:fill="auto"/>
            <w:noWrap/>
            <w:vAlign w:val="bottom"/>
            <w:hideMark/>
          </w:tcPr>
          <w:p w14:paraId="384F21DF"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11.95</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4ED34838"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Manager</w:t>
            </w:r>
          </w:p>
        </w:tc>
        <w:tc>
          <w:tcPr>
            <w:tcW w:w="709" w:type="dxa"/>
            <w:tcBorders>
              <w:top w:val="single" w:sz="4" w:space="0" w:color="auto"/>
              <w:bottom w:val="single" w:sz="4" w:space="0" w:color="auto"/>
            </w:tcBorders>
            <w:shd w:val="clear" w:color="auto" w:fill="auto"/>
            <w:noWrap/>
            <w:vAlign w:val="bottom"/>
            <w:hideMark/>
          </w:tcPr>
          <w:p w14:paraId="1A866EE1"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20.2</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32585BB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9.65</w:t>
            </w:r>
          </w:p>
        </w:tc>
        <w:tc>
          <w:tcPr>
            <w:tcW w:w="2976" w:type="dxa"/>
            <w:tcBorders>
              <w:top w:val="single" w:sz="4" w:space="0" w:color="auto"/>
              <w:left w:val="thinThickThinSmallGap" w:sz="24" w:space="0" w:color="auto"/>
              <w:right w:val="single" w:sz="4" w:space="0" w:color="auto"/>
            </w:tcBorders>
            <w:shd w:val="clear" w:color="auto" w:fill="auto"/>
            <w:noWrap/>
            <w:vAlign w:val="bottom"/>
          </w:tcPr>
          <w:p w14:paraId="02C47619" w14:textId="77777777" w:rsidR="004D1438" w:rsidRPr="00651676" w:rsidRDefault="004D1438" w:rsidP="00BC71BA">
            <w:pPr>
              <w:spacing w:after="0" w:line="240" w:lineRule="auto"/>
              <w:rPr>
                <w:rFonts w:eastAsia="Times New Roman"/>
                <w:b/>
                <w:color w:val="000000"/>
                <w:lang w:val="en-GB" w:eastAsia="en-GB"/>
              </w:rPr>
            </w:pPr>
            <w:r w:rsidRPr="00596228">
              <w:rPr>
                <w:rFonts w:eastAsia="Times New Roman"/>
                <w:color w:val="000000"/>
                <w:lang w:val="en-GB" w:eastAsia="en-GB"/>
              </w:rPr>
              <w:t>&gt;40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5F34A0A" w14:textId="77777777" w:rsidR="004D1438" w:rsidRPr="00651676" w:rsidRDefault="004D1438" w:rsidP="00BC71BA">
            <w:pPr>
              <w:spacing w:after="0" w:line="240" w:lineRule="auto"/>
              <w:jc w:val="right"/>
              <w:rPr>
                <w:rFonts w:eastAsia="Times New Roman"/>
                <w:b/>
                <w:color w:val="000000"/>
                <w:lang w:val="en-GB" w:eastAsia="en-GB"/>
              </w:rPr>
            </w:pPr>
            <w:r>
              <w:rPr>
                <w:rFonts w:eastAsia="Times New Roman"/>
                <w:color w:val="000000"/>
                <w:lang w:val="en-GB" w:eastAsia="en-GB"/>
              </w:rPr>
              <w:t>21.1</w:t>
            </w:r>
          </w:p>
        </w:tc>
        <w:tc>
          <w:tcPr>
            <w:tcW w:w="1418" w:type="dxa"/>
            <w:tcBorders>
              <w:top w:val="single" w:sz="4" w:space="0" w:color="auto"/>
              <w:left w:val="single" w:sz="4" w:space="0" w:color="auto"/>
            </w:tcBorders>
            <w:shd w:val="clear" w:color="auto" w:fill="auto"/>
            <w:vAlign w:val="bottom"/>
          </w:tcPr>
          <w:p w14:paraId="216C3AE0" w14:textId="77777777" w:rsidR="004D1438" w:rsidRPr="00EA717C" w:rsidRDefault="004D1438" w:rsidP="00BC71BA">
            <w:pPr>
              <w:spacing w:after="0" w:line="240" w:lineRule="auto"/>
              <w:jc w:val="right"/>
              <w:rPr>
                <w:rFonts w:eastAsia="Times New Roman"/>
                <w:b/>
                <w:color w:val="000000"/>
                <w:lang w:val="en-GB" w:eastAsia="en-GB"/>
              </w:rPr>
            </w:pPr>
            <w:r w:rsidRPr="00596228">
              <w:rPr>
                <w:rFonts w:eastAsia="Times New Roman"/>
                <w:color w:val="000000"/>
                <w:lang w:val="en-GB" w:eastAsia="en-GB"/>
              </w:rPr>
              <w:t>8.67</w:t>
            </w:r>
          </w:p>
        </w:tc>
      </w:tr>
      <w:tr w:rsidR="004D1438" w:rsidRPr="00596228" w14:paraId="449B0930" w14:textId="77777777" w:rsidTr="00BC71BA">
        <w:trPr>
          <w:trHeight w:val="70"/>
          <w:jc w:val="center"/>
        </w:trPr>
        <w:tc>
          <w:tcPr>
            <w:tcW w:w="1843" w:type="dxa"/>
            <w:shd w:val="clear" w:color="auto" w:fill="auto"/>
            <w:noWrap/>
            <w:vAlign w:val="bottom"/>
            <w:hideMark/>
          </w:tcPr>
          <w:p w14:paraId="493DBD0D"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Spain</w:t>
            </w:r>
          </w:p>
        </w:tc>
        <w:tc>
          <w:tcPr>
            <w:tcW w:w="851" w:type="dxa"/>
            <w:shd w:val="clear" w:color="auto" w:fill="auto"/>
            <w:noWrap/>
            <w:vAlign w:val="bottom"/>
            <w:hideMark/>
          </w:tcPr>
          <w:p w14:paraId="608A67C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9.0</w:t>
            </w:r>
          </w:p>
        </w:tc>
        <w:tc>
          <w:tcPr>
            <w:tcW w:w="1417" w:type="dxa"/>
            <w:tcBorders>
              <w:right w:val="thinThickThinSmallGap" w:sz="24" w:space="0" w:color="auto"/>
            </w:tcBorders>
            <w:shd w:val="clear" w:color="auto" w:fill="auto"/>
            <w:noWrap/>
            <w:vAlign w:val="bottom"/>
            <w:hideMark/>
          </w:tcPr>
          <w:p w14:paraId="38BBFEC8"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8.3</w:t>
            </w:r>
            <w:r>
              <w:rPr>
                <w:rFonts w:eastAsia="Times New Roman"/>
                <w:color w:val="000000"/>
                <w:lang w:val="en-GB" w:eastAsia="en-GB"/>
              </w:rPr>
              <w:t>0</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1F2A0F0E"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Other white collar</w:t>
            </w:r>
          </w:p>
        </w:tc>
        <w:tc>
          <w:tcPr>
            <w:tcW w:w="709" w:type="dxa"/>
            <w:tcBorders>
              <w:top w:val="single" w:sz="4" w:space="0" w:color="auto"/>
              <w:bottom w:val="single" w:sz="4" w:space="0" w:color="auto"/>
            </w:tcBorders>
            <w:shd w:val="clear" w:color="auto" w:fill="auto"/>
            <w:noWrap/>
            <w:vAlign w:val="bottom"/>
            <w:hideMark/>
          </w:tcPr>
          <w:p w14:paraId="2B90621B"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20.5</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5D106D5D"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8.41</w:t>
            </w:r>
          </w:p>
        </w:tc>
        <w:tc>
          <w:tcPr>
            <w:tcW w:w="2976" w:type="dxa"/>
            <w:tcBorders>
              <w:top w:val="single" w:sz="4" w:space="0" w:color="auto"/>
              <w:left w:val="thinThickThinSmallGap" w:sz="24" w:space="0" w:color="auto"/>
            </w:tcBorders>
            <w:shd w:val="clear" w:color="auto" w:fill="auto"/>
            <w:noWrap/>
            <w:vAlign w:val="bottom"/>
          </w:tcPr>
          <w:p w14:paraId="5A407488"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 xml:space="preserve">30-40 </w:t>
            </w:r>
          </w:p>
        </w:tc>
        <w:tc>
          <w:tcPr>
            <w:tcW w:w="709" w:type="dxa"/>
            <w:tcBorders>
              <w:top w:val="single" w:sz="4" w:space="0" w:color="auto"/>
            </w:tcBorders>
            <w:shd w:val="clear" w:color="auto" w:fill="auto"/>
            <w:noWrap/>
            <w:vAlign w:val="bottom"/>
          </w:tcPr>
          <w:p w14:paraId="75C366E3"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35.9</w:t>
            </w:r>
          </w:p>
        </w:tc>
        <w:tc>
          <w:tcPr>
            <w:tcW w:w="1418" w:type="dxa"/>
            <w:shd w:val="clear" w:color="auto" w:fill="auto"/>
            <w:noWrap/>
            <w:vAlign w:val="bottom"/>
          </w:tcPr>
          <w:p w14:paraId="644EF85E"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7.59</w:t>
            </w:r>
          </w:p>
        </w:tc>
      </w:tr>
      <w:tr w:rsidR="004D1438" w:rsidRPr="00596228" w14:paraId="0440EBC3" w14:textId="77777777" w:rsidTr="00BC71BA">
        <w:trPr>
          <w:trHeight w:val="70"/>
          <w:jc w:val="center"/>
        </w:trPr>
        <w:tc>
          <w:tcPr>
            <w:tcW w:w="1843" w:type="dxa"/>
            <w:tcBorders>
              <w:bottom w:val="single" w:sz="4" w:space="0" w:color="auto"/>
            </w:tcBorders>
            <w:shd w:val="clear" w:color="auto" w:fill="auto"/>
            <w:noWrap/>
            <w:vAlign w:val="bottom"/>
            <w:hideMark/>
          </w:tcPr>
          <w:p w14:paraId="0ABC4484"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UK</w:t>
            </w:r>
          </w:p>
        </w:tc>
        <w:tc>
          <w:tcPr>
            <w:tcW w:w="851" w:type="dxa"/>
            <w:tcBorders>
              <w:bottom w:val="single" w:sz="4" w:space="0" w:color="auto"/>
            </w:tcBorders>
            <w:shd w:val="clear" w:color="auto" w:fill="auto"/>
            <w:noWrap/>
            <w:vAlign w:val="bottom"/>
            <w:hideMark/>
          </w:tcPr>
          <w:p w14:paraId="739D39C4"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14.8</w:t>
            </w:r>
          </w:p>
        </w:tc>
        <w:tc>
          <w:tcPr>
            <w:tcW w:w="1417" w:type="dxa"/>
            <w:tcBorders>
              <w:bottom w:val="single" w:sz="4" w:space="0" w:color="auto"/>
              <w:right w:val="thinThickThinSmallGap" w:sz="24" w:space="0" w:color="auto"/>
            </w:tcBorders>
            <w:shd w:val="clear" w:color="auto" w:fill="auto"/>
            <w:noWrap/>
            <w:vAlign w:val="bottom"/>
            <w:hideMark/>
          </w:tcPr>
          <w:p w14:paraId="71BE0EC8"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10.34</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234A1528"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Manual worker</w:t>
            </w:r>
          </w:p>
        </w:tc>
        <w:tc>
          <w:tcPr>
            <w:tcW w:w="709" w:type="dxa"/>
            <w:tcBorders>
              <w:top w:val="single" w:sz="4" w:space="0" w:color="auto"/>
              <w:bottom w:val="single" w:sz="4" w:space="0" w:color="auto"/>
            </w:tcBorders>
            <w:shd w:val="clear" w:color="auto" w:fill="auto"/>
            <w:noWrap/>
            <w:vAlign w:val="bottom"/>
            <w:hideMark/>
          </w:tcPr>
          <w:p w14:paraId="6C1A54CE"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40.9</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4934424B"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7.20</w:t>
            </w:r>
          </w:p>
        </w:tc>
        <w:tc>
          <w:tcPr>
            <w:tcW w:w="2976" w:type="dxa"/>
            <w:tcBorders>
              <w:left w:val="thinThickThinSmallGap" w:sz="24" w:space="0" w:color="auto"/>
            </w:tcBorders>
            <w:shd w:val="clear" w:color="auto" w:fill="auto"/>
            <w:noWrap/>
            <w:vAlign w:val="bottom"/>
          </w:tcPr>
          <w:p w14:paraId="74E020F8"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20-30</w:t>
            </w:r>
          </w:p>
        </w:tc>
        <w:tc>
          <w:tcPr>
            <w:tcW w:w="709" w:type="dxa"/>
            <w:shd w:val="clear" w:color="auto" w:fill="auto"/>
            <w:noWrap/>
            <w:vAlign w:val="bottom"/>
          </w:tcPr>
          <w:p w14:paraId="555DAF3F"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24.3</w:t>
            </w:r>
          </w:p>
        </w:tc>
        <w:tc>
          <w:tcPr>
            <w:tcW w:w="1418" w:type="dxa"/>
            <w:shd w:val="clear" w:color="auto" w:fill="auto"/>
            <w:noWrap/>
            <w:vAlign w:val="bottom"/>
          </w:tcPr>
          <w:p w14:paraId="0618E61F" w14:textId="77777777" w:rsidR="004D1438" w:rsidRPr="00596228" w:rsidRDefault="004D1438" w:rsidP="00BC71BA">
            <w:pPr>
              <w:spacing w:after="0" w:line="240" w:lineRule="auto"/>
              <w:jc w:val="right"/>
              <w:rPr>
                <w:rFonts w:eastAsia="Times New Roman"/>
                <w:color w:val="000000"/>
                <w:lang w:val="en-GB" w:eastAsia="en-GB"/>
              </w:rPr>
            </w:pPr>
            <w:r w:rsidRPr="00596228">
              <w:rPr>
                <w:rFonts w:eastAsia="Times New Roman"/>
                <w:color w:val="000000"/>
                <w:lang w:val="en-GB" w:eastAsia="en-GB"/>
              </w:rPr>
              <w:t>9.2</w:t>
            </w:r>
            <w:r>
              <w:rPr>
                <w:rFonts w:eastAsia="Times New Roman"/>
                <w:color w:val="000000"/>
                <w:lang w:val="en-GB" w:eastAsia="en-GB"/>
              </w:rPr>
              <w:t>0</w:t>
            </w:r>
          </w:p>
        </w:tc>
      </w:tr>
      <w:tr w:rsidR="004D1438" w:rsidRPr="00596228" w14:paraId="13EFB7C6" w14:textId="77777777" w:rsidTr="00BC71BA">
        <w:trPr>
          <w:trHeight w:val="70"/>
          <w:jc w:val="center"/>
        </w:trPr>
        <w:tc>
          <w:tcPr>
            <w:tcW w:w="1843" w:type="dxa"/>
            <w:tcBorders>
              <w:top w:val="single" w:sz="4" w:space="0" w:color="auto"/>
              <w:bottom w:val="thickThinSmallGap" w:sz="24" w:space="0" w:color="auto"/>
            </w:tcBorders>
            <w:shd w:val="clear" w:color="auto" w:fill="auto"/>
            <w:noWrap/>
            <w:vAlign w:val="bottom"/>
            <w:hideMark/>
          </w:tcPr>
          <w:p w14:paraId="49A149AB" w14:textId="77777777" w:rsidR="004D1438" w:rsidRPr="00596228" w:rsidRDefault="004D1438" w:rsidP="00BC71BA">
            <w:pPr>
              <w:spacing w:after="0" w:line="240" w:lineRule="auto"/>
              <w:rPr>
                <w:rFonts w:eastAsia="Times New Roman"/>
                <w:color w:val="000000"/>
                <w:lang w:val="en-GB" w:eastAsia="en-GB"/>
              </w:rPr>
            </w:pPr>
            <w:r w:rsidRPr="002A637B">
              <w:rPr>
                <w:rFonts w:eastAsia="Times New Roman"/>
                <w:b/>
                <w:color w:val="000000"/>
                <w:lang w:val="en-GB" w:eastAsia="en-GB"/>
              </w:rPr>
              <w:t>N</w:t>
            </w:r>
          </w:p>
        </w:tc>
        <w:tc>
          <w:tcPr>
            <w:tcW w:w="851" w:type="dxa"/>
            <w:tcBorders>
              <w:top w:val="single" w:sz="4" w:space="0" w:color="auto"/>
              <w:bottom w:val="thickThinSmallGap" w:sz="24" w:space="0" w:color="auto"/>
            </w:tcBorders>
            <w:shd w:val="clear" w:color="auto" w:fill="auto"/>
            <w:noWrap/>
            <w:vAlign w:val="bottom"/>
            <w:hideMark/>
          </w:tcPr>
          <w:p w14:paraId="4B93F6F1"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b/>
                <w:color w:val="000000"/>
                <w:lang w:val="en-GB" w:eastAsia="en-GB"/>
              </w:rPr>
              <w:t>19,159</w:t>
            </w:r>
          </w:p>
        </w:tc>
        <w:tc>
          <w:tcPr>
            <w:tcW w:w="1417" w:type="dxa"/>
            <w:tcBorders>
              <w:top w:val="single" w:sz="4" w:space="0" w:color="auto"/>
              <w:bottom w:val="thickThinSmallGap" w:sz="24" w:space="0" w:color="auto"/>
              <w:right w:val="thinThickThinSmallGap" w:sz="24" w:space="0" w:color="auto"/>
            </w:tcBorders>
            <w:shd w:val="clear" w:color="auto" w:fill="auto"/>
            <w:noWrap/>
            <w:vAlign w:val="bottom"/>
            <w:hideMark/>
          </w:tcPr>
          <w:p w14:paraId="067562E1"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b/>
                <w:color w:val="000000"/>
                <w:lang w:val="en-GB" w:eastAsia="en-GB"/>
              </w:rPr>
              <w:t>8.21</w:t>
            </w:r>
          </w:p>
        </w:tc>
        <w:tc>
          <w:tcPr>
            <w:tcW w:w="2126" w:type="dxa"/>
            <w:tcBorders>
              <w:top w:val="single" w:sz="4" w:space="0" w:color="auto"/>
              <w:left w:val="thinThickThinSmallGap" w:sz="24" w:space="0" w:color="auto"/>
              <w:bottom w:val="single" w:sz="4" w:space="0" w:color="auto"/>
            </w:tcBorders>
            <w:shd w:val="clear" w:color="auto" w:fill="auto"/>
            <w:noWrap/>
            <w:vAlign w:val="bottom"/>
            <w:hideMark/>
          </w:tcPr>
          <w:p w14:paraId="605F17B8"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Other</w:t>
            </w:r>
          </w:p>
        </w:tc>
        <w:tc>
          <w:tcPr>
            <w:tcW w:w="709" w:type="dxa"/>
            <w:tcBorders>
              <w:top w:val="single" w:sz="4" w:space="0" w:color="auto"/>
              <w:bottom w:val="single" w:sz="4" w:space="0" w:color="auto"/>
            </w:tcBorders>
            <w:shd w:val="clear" w:color="auto" w:fill="auto"/>
            <w:noWrap/>
            <w:vAlign w:val="bottom"/>
            <w:hideMark/>
          </w:tcPr>
          <w:p w14:paraId="3B1DE0B6"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18.4</w:t>
            </w:r>
          </w:p>
        </w:tc>
        <w:tc>
          <w:tcPr>
            <w:tcW w:w="1418" w:type="dxa"/>
            <w:tcBorders>
              <w:top w:val="single" w:sz="4" w:space="0" w:color="auto"/>
              <w:bottom w:val="single" w:sz="4" w:space="0" w:color="auto"/>
              <w:right w:val="thinThickThinSmallGap" w:sz="24" w:space="0" w:color="auto"/>
            </w:tcBorders>
            <w:shd w:val="clear" w:color="auto" w:fill="auto"/>
            <w:noWrap/>
            <w:vAlign w:val="bottom"/>
            <w:hideMark/>
          </w:tcPr>
          <w:p w14:paraId="04426B0E"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8.6</w:t>
            </w:r>
            <w:r w:rsidRPr="00596228">
              <w:rPr>
                <w:rFonts w:eastAsia="Times New Roman"/>
                <w:color w:val="000000"/>
                <w:lang w:val="en-GB" w:eastAsia="en-GB"/>
              </w:rPr>
              <w:t>7</w:t>
            </w:r>
          </w:p>
        </w:tc>
        <w:tc>
          <w:tcPr>
            <w:tcW w:w="2976" w:type="dxa"/>
            <w:tcBorders>
              <w:left w:val="thinThickThinSmallGap" w:sz="24" w:space="0" w:color="auto"/>
              <w:bottom w:val="single" w:sz="4" w:space="0" w:color="auto"/>
            </w:tcBorders>
            <w:shd w:val="clear" w:color="auto" w:fill="auto"/>
            <w:noWrap/>
            <w:vAlign w:val="bottom"/>
          </w:tcPr>
          <w:p w14:paraId="0311AFC3" w14:textId="77777777" w:rsidR="004D1438" w:rsidRPr="00596228" w:rsidRDefault="004D1438" w:rsidP="00BC71BA">
            <w:pPr>
              <w:spacing w:after="0" w:line="240" w:lineRule="auto"/>
              <w:rPr>
                <w:rFonts w:eastAsia="Times New Roman"/>
                <w:color w:val="000000"/>
                <w:lang w:val="en-GB" w:eastAsia="en-GB"/>
              </w:rPr>
            </w:pPr>
            <w:r>
              <w:rPr>
                <w:rFonts w:eastAsia="Times New Roman"/>
                <w:color w:val="000000"/>
                <w:lang w:val="en-GB" w:eastAsia="en-GB"/>
              </w:rPr>
              <w:t>10-20</w:t>
            </w:r>
          </w:p>
        </w:tc>
        <w:tc>
          <w:tcPr>
            <w:tcW w:w="709" w:type="dxa"/>
            <w:tcBorders>
              <w:bottom w:val="single" w:sz="4" w:space="0" w:color="auto"/>
            </w:tcBorders>
            <w:shd w:val="clear" w:color="auto" w:fill="auto"/>
            <w:noWrap/>
            <w:vAlign w:val="bottom"/>
          </w:tcPr>
          <w:p w14:paraId="58907DBE"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15.1</w:t>
            </w:r>
          </w:p>
        </w:tc>
        <w:tc>
          <w:tcPr>
            <w:tcW w:w="1418" w:type="dxa"/>
            <w:tcBorders>
              <w:bottom w:val="single" w:sz="4" w:space="0" w:color="auto"/>
            </w:tcBorders>
            <w:shd w:val="clear" w:color="auto" w:fill="auto"/>
            <w:noWrap/>
            <w:vAlign w:val="bottom"/>
          </w:tcPr>
          <w:p w14:paraId="3A34BAD1"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7.28</w:t>
            </w:r>
          </w:p>
        </w:tc>
      </w:tr>
      <w:tr w:rsidR="004D1438" w:rsidRPr="00596228" w14:paraId="2714A703" w14:textId="77777777" w:rsidTr="00BC71BA">
        <w:trPr>
          <w:trHeight w:val="70"/>
          <w:jc w:val="center"/>
        </w:trPr>
        <w:tc>
          <w:tcPr>
            <w:tcW w:w="1843" w:type="dxa"/>
            <w:tcBorders>
              <w:top w:val="single" w:sz="4" w:space="0" w:color="auto"/>
              <w:bottom w:val="thickThinSmallGap" w:sz="24" w:space="0" w:color="auto"/>
            </w:tcBorders>
            <w:shd w:val="clear" w:color="auto" w:fill="auto"/>
            <w:noWrap/>
            <w:vAlign w:val="bottom"/>
          </w:tcPr>
          <w:p w14:paraId="6E69E438" w14:textId="77777777" w:rsidR="004D1438" w:rsidRPr="002A637B" w:rsidRDefault="004D1438" w:rsidP="00BC71BA">
            <w:pPr>
              <w:spacing w:after="0" w:line="240" w:lineRule="auto"/>
              <w:rPr>
                <w:rFonts w:eastAsia="Times New Roman"/>
                <w:b/>
                <w:color w:val="000000"/>
                <w:lang w:val="en-GB" w:eastAsia="en-GB"/>
              </w:rPr>
            </w:pPr>
          </w:p>
        </w:tc>
        <w:tc>
          <w:tcPr>
            <w:tcW w:w="851" w:type="dxa"/>
            <w:tcBorders>
              <w:top w:val="single" w:sz="4" w:space="0" w:color="auto"/>
              <w:bottom w:val="thickThinSmallGap" w:sz="24" w:space="0" w:color="auto"/>
            </w:tcBorders>
            <w:shd w:val="clear" w:color="auto" w:fill="auto"/>
            <w:noWrap/>
            <w:vAlign w:val="bottom"/>
          </w:tcPr>
          <w:p w14:paraId="6F652882" w14:textId="77777777" w:rsidR="004D1438" w:rsidRPr="002A637B" w:rsidRDefault="004D1438" w:rsidP="00BC71BA">
            <w:pPr>
              <w:spacing w:after="0" w:line="240" w:lineRule="auto"/>
              <w:jc w:val="right"/>
              <w:rPr>
                <w:rFonts w:eastAsia="Times New Roman"/>
                <w:b/>
                <w:color w:val="000000"/>
                <w:lang w:val="en-GB" w:eastAsia="en-GB"/>
              </w:rPr>
            </w:pPr>
          </w:p>
        </w:tc>
        <w:tc>
          <w:tcPr>
            <w:tcW w:w="1417" w:type="dxa"/>
            <w:tcBorders>
              <w:top w:val="single" w:sz="4" w:space="0" w:color="auto"/>
              <w:bottom w:val="thickThinSmallGap" w:sz="24" w:space="0" w:color="auto"/>
              <w:right w:val="thinThickThinSmallGap" w:sz="24" w:space="0" w:color="auto"/>
            </w:tcBorders>
            <w:shd w:val="clear" w:color="auto" w:fill="auto"/>
            <w:noWrap/>
            <w:vAlign w:val="bottom"/>
          </w:tcPr>
          <w:p w14:paraId="16D00049" w14:textId="77777777" w:rsidR="004D1438" w:rsidRPr="002A637B" w:rsidRDefault="004D1438" w:rsidP="00BC71BA">
            <w:pPr>
              <w:spacing w:after="0" w:line="240" w:lineRule="auto"/>
              <w:jc w:val="right"/>
              <w:rPr>
                <w:rFonts w:eastAsia="Times New Roman"/>
                <w:b/>
                <w:color w:val="000000"/>
                <w:lang w:val="en-GB" w:eastAsia="en-GB"/>
              </w:rPr>
            </w:pPr>
          </w:p>
        </w:tc>
        <w:tc>
          <w:tcPr>
            <w:tcW w:w="4253" w:type="dxa"/>
            <w:gridSpan w:val="3"/>
            <w:tcBorders>
              <w:top w:val="single" w:sz="4" w:space="0" w:color="auto"/>
              <w:left w:val="thinThickThinSmallGap" w:sz="24" w:space="0" w:color="auto"/>
              <w:bottom w:val="thickThinSmallGap" w:sz="24" w:space="0" w:color="auto"/>
              <w:right w:val="thinThickThinSmallGap" w:sz="24" w:space="0" w:color="auto"/>
            </w:tcBorders>
            <w:shd w:val="clear" w:color="auto" w:fill="auto"/>
            <w:noWrap/>
            <w:vAlign w:val="bottom"/>
            <w:hideMark/>
          </w:tcPr>
          <w:p w14:paraId="44A7AA24" w14:textId="77777777" w:rsidR="004D1438" w:rsidRPr="002A637B" w:rsidRDefault="004D1438" w:rsidP="00BC71BA">
            <w:pPr>
              <w:spacing w:after="0" w:line="240" w:lineRule="auto"/>
              <w:rPr>
                <w:rFonts w:ascii="Times New Roman" w:eastAsia="Times New Roman" w:hAnsi="Times New Roman"/>
                <w:b/>
                <w:sz w:val="20"/>
                <w:szCs w:val="20"/>
                <w:lang w:val="en-GB" w:eastAsia="en-GB"/>
              </w:rPr>
            </w:pPr>
            <w:r w:rsidRPr="002A637B">
              <w:rPr>
                <w:rFonts w:ascii="Tahoma" w:eastAsia="Times New Roman" w:hAnsi="Tahoma" w:cs="Tahoma"/>
                <w:b/>
                <w:sz w:val="20"/>
                <w:szCs w:val="20"/>
                <w:lang w:val="en-GB" w:eastAsia="en-GB"/>
              </w:rPr>
              <w:t>*  (% - in the last 5 years – weighted)</w:t>
            </w:r>
          </w:p>
        </w:tc>
        <w:tc>
          <w:tcPr>
            <w:tcW w:w="2976" w:type="dxa"/>
            <w:tcBorders>
              <w:top w:val="single" w:sz="4" w:space="0" w:color="auto"/>
              <w:left w:val="thinThickThinSmallGap" w:sz="24" w:space="0" w:color="auto"/>
              <w:bottom w:val="thickThinSmallGap" w:sz="24" w:space="0" w:color="auto"/>
            </w:tcBorders>
            <w:shd w:val="clear" w:color="auto" w:fill="auto"/>
            <w:noWrap/>
            <w:vAlign w:val="bottom"/>
          </w:tcPr>
          <w:p w14:paraId="6F36F4B4" w14:textId="77777777" w:rsidR="004D1438" w:rsidRPr="00596228" w:rsidRDefault="004D1438" w:rsidP="00BC71BA">
            <w:pPr>
              <w:spacing w:after="0" w:line="240" w:lineRule="auto"/>
              <w:rPr>
                <w:rFonts w:eastAsia="Times New Roman"/>
                <w:color w:val="000000"/>
                <w:lang w:val="en-GB" w:eastAsia="en-GB"/>
              </w:rPr>
            </w:pPr>
            <w:r w:rsidRPr="00596228">
              <w:rPr>
                <w:rFonts w:eastAsia="Times New Roman"/>
                <w:color w:val="000000"/>
                <w:lang w:val="en-GB" w:eastAsia="en-GB"/>
              </w:rPr>
              <w:t>&lt;10</w:t>
            </w:r>
          </w:p>
        </w:tc>
        <w:tc>
          <w:tcPr>
            <w:tcW w:w="709" w:type="dxa"/>
            <w:tcBorders>
              <w:top w:val="single" w:sz="4" w:space="0" w:color="auto"/>
              <w:bottom w:val="thickThinSmallGap" w:sz="24" w:space="0" w:color="auto"/>
            </w:tcBorders>
            <w:shd w:val="clear" w:color="auto" w:fill="auto"/>
            <w:noWrap/>
            <w:vAlign w:val="bottom"/>
          </w:tcPr>
          <w:p w14:paraId="2A567E20"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3.5</w:t>
            </w:r>
          </w:p>
        </w:tc>
        <w:tc>
          <w:tcPr>
            <w:tcW w:w="1418" w:type="dxa"/>
            <w:tcBorders>
              <w:top w:val="single" w:sz="4" w:space="0" w:color="auto"/>
              <w:bottom w:val="thickThinSmallGap" w:sz="24" w:space="0" w:color="auto"/>
            </w:tcBorders>
            <w:shd w:val="clear" w:color="auto" w:fill="auto"/>
            <w:noWrap/>
            <w:vAlign w:val="bottom"/>
          </w:tcPr>
          <w:p w14:paraId="53315848" w14:textId="77777777" w:rsidR="004D1438" w:rsidRPr="00596228" w:rsidRDefault="004D1438" w:rsidP="00BC71BA">
            <w:pPr>
              <w:spacing w:after="0" w:line="240" w:lineRule="auto"/>
              <w:jc w:val="right"/>
              <w:rPr>
                <w:rFonts w:eastAsia="Times New Roman"/>
                <w:color w:val="000000"/>
                <w:lang w:val="en-GB" w:eastAsia="en-GB"/>
              </w:rPr>
            </w:pPr>
            <w:r>
              <w:rPr>
                <w:rFonts w:eastAsia="Times New Roman"/>
                <w:color w:val="000000"/>
                <w:lang w:val="en-GB" w:eastAsia="en-GB"/>
              </w:rPr>
              <w:t>8.97</w:t>
            </w:r>
          </w:p>
        </w:tc>
      </w:tr>
    </w:tbl>
    <w:p w14:paraId="0D4D2072" w14:textId="77777777" w:rsidR="004D1438" w:rsidRDefault="004D1438" w:rsidP="004D1438">
      <w:pPr>
        <w:sectPr w:rsidR="004D1438" w:rsidSect="004D1438">
          <w:pgSz w:w="16838" w:h="11906" w:orient="landscape"/>
          <w:pgMar w:top="1418" w:right="1418" w:bottom="1418" w:left="1418" w:header="709" w:footer="709" w:gutter="0"/>
          <w:cols w:space="708"/>
          <w:docGrid w:linePitch="360"/>
        </w:sectPr>
      </w:pPr>
    </w:p>
    <w:p w14:paraId="5ED84A9C" w14:textId="77777777" w:rsidR="004D1438" w:rsidRPr="002414C5" w:rsidRDefault="004D1438" w:rsidP="004D1438">
      <w:pPr>
        <w:spacing w:after="0" w:line="240" w:lineRule="auto"/>
        <w:rPr>
          <w:rFonts w:ascii="Tahoma" w:hAnsi="Tahoma" w:cs="Tahoma"/>
          <w:lang w:val="en-GB"/>
        </w:rPr>
      </w:pPr>
      <w:r w:rsidRPr="002414C5">
        <w:rPr>
          <w:rFonts w:ascii="Tahoma" w:hAnsi="Tahoma" w:cs="Tahoma"/>
          <w:b/>
          <w:lang w:val="en-GB"/>
        </w:rPr>
        <w:lastRenderedPageBreak/>
        <w:t xml:space="preserve">Table </w:t>
      </w:r>
      <w:r>
        <w:rPr>
          <w:rFonts w:ascii="Tahoma" w:hAnsi="Tahoma" w:cs="Tahoma"/>
          <w:b/>
          <w:lang w:val="en-GB"/>
        </w:rPr>
        <w:t>III</w:t>
      </w:r>
      <w:r w:rsidRPr="002414C5">
        <w:rPr>
          <w:rFonts w:ascii="Tahoma" w:hAnsi="Tahoma" w:cs="Tahoma"/>
          <w:b/>
          <w:lang w:val="en-GB"/>
        </w:rPr>
        <w:t>. Marginal effects estimated on the probability of switching</w:t>
      </w:r>
      <w:r>
        <w:rPr>
          <w:rFonts w:ascii="Tahoma" w:hAnsi="Tahoma" w:cs="Tahoma"/>
          <w:b/>
          <w:lang w:val="en-GB"/>
        </w:rPr>
        <w:t xml:space="preserve"> current bank account.</w:t>
      </w:r>
    </w:p>
    <w:tbl>
      <w:tblPr>
        <w:tblW w:w="9322" w:type="dxa"/>
        <w:tblBorders>
          <w:top w:val="thinThickSmallGap" w:sz="24" w:space="0" w:color="auto"/>
          <w:bottom w:val="thickThinSmallGap" w:sz="24" w:space="0" w:color="auto"/>
          <w:insideH w:val="single" w:sz="6" w:space="0" w:color="auto"/>
          <w:insideV w:val="single" w:sz="6" w:space="0" w:color="auto"/>
        </w:tblBorders>
        <w:tblLook w:val="04A0" w:firstRow="1" w:lastRow="0" w:firstColumn="1" w:lastColumn="0" w:noHBand="0" w:noVBand="1"/>
      </w:tblPr>
      <w:tblGrid>
        <w:gridCol w:w="2410"/>
        <w:gridCol w:w="1951"/>
        <w:gridCol w:w="1276"/>
        <w:gridCol w:w="1134"/>
        <w:gridCol w:w="1275"/>
        <w:gridCol w:w="1276"/>
      </w:tblGrid>
      <w:tr w:rsidR="004D1438" w:rsidRPr="002414C5" w14:paraId="37E40D86" w14:textId="77777777" w:rsidTr="00BC71BA">
        <w:trPr>
          <w:trHeight w:val="220"/>
        </w:trPr>
        <w:tc>
          <w:tcPr>
            <w:tcW w:w="2410" w:type="dxa"/>
            <w:vMerge w:val="restart"/>
            <w:shd w:val="clear" w:color="auto" w:fill="auto"/>
            <w:noWrap/>
            <w:vAlign w:val="bottom"/>
            <w:hideMark/>
          </w:tcPr>
          <w:p w14:paraId="2AB32D39" w14:textId="77777777" w:rsidR="004D1438" w:rsidRPr="00427A30" w:rsidRDefault="004D1438" w:rsidP="00BC71BA">
            <w:pPr>
              <w:spacing w:after="0" w:line="240" w:lineRule="auto"/>
              <w:rPr>
                <w:rFonts w:ascii="Verdana" w:eastAsia="Times New Roman" w:hAnsi="Verdana"/>
                <w:sz w:val="18"/>
                <w:szCs w:val="20"/>
                <w:lang w:val="en-GB" w:eastAsia="en-GB"/>
              </w:rPr>
            </w:pPr>
          </w:p>
        </w:tc>
        <w:tc>
          <w:tcPr>
            <w:tcW w:w="1951" w:type="dxa"/>
            <w:shd w:val="clear" w:color="auto" w:fill="auto"/>
            <w:noWrap/>
            <w:vAlign w:val="bottom"/>
          </w:tcPr>
          <w:p w14:paraId="36DAA26C" w14:textId="77777777" w:rsidR="004D1438" w:rsidRPr="00427A30" w:rsidRDefault="004D1438" w:rsidP="00BC71BA">
            <w:pPr>
              <w:spacing w:after="0" w:line="240" w:lineRule="auto"/>
              <w:rPr>
                <w:rFonts w:ascii="Verdana" w:eastAsia="Times New Roman" w:hAnsi="Verdana"/>
                <w:color w:val="000000"/>
                <w:sz w:val="18"/>
                <w:lang w:val="en-GB" w:eastAsia="en-GB"/>
              </w:rPr>
            </w:pPr>
          </w:p>
        </w:tc>
        <w:tc>
          <w:tcPr>
            <w:tcW w:w="1276" w:type="dxa"/>
            <w:shd w:val="clear" w:color="auto" w:fill="auto"/>
            <w:noWrap/>
            <w:vAlign w:val="bottom"/>
            <w:hideMark/>
          </w:tcPr>
          <w:p w14:paraId="7C95E458" w14:textId="77777777" w:rsidR="004D1438" w:rsidRPr="00427A30" w:rsidRDefault="004D1438" w:rsidP="00BC71BA">
            <w:pPr>
              <w:spacing w:after="0" w:line="240" w:lineRule="auto"/>
              <w:rPr>
                <w:rFonts w:ascii="Verdana" w:eastAsia="Times New Roman" w:hAnsi="Verdana"/>
                <w:color w:val="000000"/>
                <w:sz w:val="18"/>
                <w:lang w:val="en-GB" w:eastAsia="en-GB"/>
              </w:rPr>
            </w:pPr>
            <w:r w:rsidRPr="00427A30">
              <w:rPr>
                <w:rFonts w:ascii="Verdana" w:eastAsia="Times New Roman" w:hAnsi="Verdana"/>
                <w:color w:val="000000"/>
                <w:sz w:val="18"/>
                <w:lang w:val="en-GB" w:eastAsia="en-GB"/>
              </w:rPr>
              <w:t>Model 1</w:t>
            </w:r>
          </w:p>
        </w:tc>
        <w:tc>
          <w:tcPr>
            <w:tcW w:w="1134" w:type="dxa"/>
            <w:shd w:val="clear" w:color="auto" w:fill="auto"/>
            <w:noWrap/>
            <w:vAlign w:val="bottom"/>
            <w:hideMark/>
          </w:tcPr>
          <w:p w14:paraId="1D65FF61" w14:textId="77777777" w:rsidR="004D1438" w:rsidRPr="00427A30" w:rsidRDefault="004D1438" w:rsidP="00BC71BA">
            <w:pPr>
              <w:spacing w:after="0" w:line="240" w:lineRule="auto"/>
              <w:rPr>
                <w:rFonts w:ascii="Verdana" w:eastAsia="Times New Roman" w:hAnsi="Verdana"/>
                <w:color w:val="000000"/>
                <w:sz w:val="18"/>
                <w:lang w:val="en-GB" w:eastAsia="en-GB"/>
              </w:rPr>
            </w:pPr>
          </w:p>
        </w:tc>
        <w:tc>
          <w:tcPr>
            <w:tcW w:w="1275" w:type="dxa"/>
            <w:shd w:val="clear" w:color="auto" w:fill="auto"/>
            <w:noWrap/>
            <w:vAlign w:val="bottom"/>
            <w:hideMark/>
          </w:tcPr>
          <w:p w14:paraId="6D02E601" w14:textId="77777777" w:rsidR="004D1438" w:rsidRPr="00427A30" w:rsidRDefault="004D1438" w:rsidP="00BC71BA">
            <w:pPr>
              <w:spacing w:after="0" w:line="240" w:lineRule="auto"/>
              <w:rPr>
                <w:rFonts w:ascii="Verdana" w:eastAsia="Times New Roman" w:hAnsi="Verdana"/>
                <w:color w:val="000000"/>
                <w:sz w:val="18"/>
                <w:lang w:val="en-GB" w:eastAsia="en-GB"/>
              </w:rPr>
            </w:pPr>
            <w:r w:rsidRPr="00427A30">
              <w:rPr>
                <w:rFonts w:ascii="Verdana" w:eastAsia="Times New Roman" w:hAnsi="Verdana"/>
                <w:color w:val="000000"/>
                <w:sz w:val="18"/>
                <w:lang w:val="en-GB" w:eastAsia="en-GB"/>
              </w:rPr>
              <w:t>Model 2</w:t>
            </w:r>
          </w:p>
        </w:tc>
        <w:tc>
          <w:tcPr>
            <w:tcW w:w="1276" w:type="dxa"/>
            <w:shd w:val="clear" w:color="auto" w:fill="auto"/>
            <w:noWrap/>
            <w:vAlign w:val="bottom"/>
            <w:hideMark/>
          </w:tcPr>
          <w:p w14:paraId="233EB64B" w14:textId="77777777" w:rsidR="004D1438" w:rsidRPr="00427A30" w:rsidRDefault="004D1438" w:rsidP="00BC71BA">
            <w:pPr>
              <w:spacing w:after="0" w:line="240" w:lineRule="auto"/>
              <w:rPr>
                <w:rFonts w:ascii="Verdana" w:eastAsia="Times New Roman" w:hAnsi="Verdana"/>
                <w:color w:val="000000"/>
                <w:sz w:val="18"/>
                <w:lang w:val="en-GB" w:eastAsia="en-GB"/>
              </w:rPr>
            </w:pPr>
          </w:p>
        </w:tc>
      </w:tr>
      <w:tr w:rsidR="004D1438" w:rsidRPr="002414C5" w14:paraId="1CB5AAD0" w14:textId="77777777" w:rsidTr="00BC71BA">
        <w:trPr>
          <w:trHeight w:val="187"/>
        </w:trPr>
        <w:tc>
          <w:tcPr>
            <w:tcW w:w="2410" w:type="dxa"/>
            <w:vMerge/>
            <w:shd w:val="clear" w:color="auto" w:fill="auto"/>
            <w:noWrap/>
            <w:vAlign w:val="bottom"/>
          </w:tcPr>
          <w:p w14:paraId="42E7A2F3"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4B6312E0"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 Variable</w:t>
            </w:r>
          </w:p>
        </w:tc>
        <w:tc>
          <w:tcPr>
            <w:tcW w:w="1276" w:type="dxa"/>
            <w:shd w:val="clear" w:color="auto" w:fill="auto"/>
            <w:noWrap/>
            <w:vAlign w:val="bottom"/>
          </w:tcPr>
          <w:p w14:paraId="32D809F8" w14:textId="77777777" w:rsidR="004D1438" w:rsidRPr="00872CDA" w:rsidRDefault="004D1438" w:rsidP="00BC71BA">
            <w:pPr>
              <w:spacing w:after="0" w:line="240" w:lineRule="auto"/>
              <w:rPr>
                <w:rFonts w:ascii="Verdana" w:eastAsia="Times New Roman" w:hAnsi="Verdana"/>
                <w:color w:val="000000"/>
                <w:sz w:val="18"/>
                <w:lang w:val="en-GB" w:eastAsia="en-GB"/>
              </w:rPr>
            </w:pPr>
            <w:r>
              <w:rPr>
                <w:rFonts w:ascii="Verdana" w:eastAsia="Times New Roman" w:hAnsi="Verdana"/>
                <w:color w:val="000000"/>
                <w:sz w:val="18"/>
                <w:lang w:val="en-GB" w:eastAsia="en-GB"/>
              </w:rPr>
              <w:t>Marginal effect</w:t>
            </w:r>
          </w:p>
        </w:tc>
        <w:tc>
          <w:tcPr>
            <w:tcW w:w="1134" w:type="dxa"/>
            <w:shd w:val="clear" w:color="auto" w:fill="auto"/>
            <w:noWrap/>
            <w:vAlign w:val="bottom"/>
          </w:tcPr>
          <w:p w14:paraId="25034CD5"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S</w:t>
            </w:r>
            <w:r>
              <w:rPr>
                <w:rFonts w:ascii="Verdana" w:eastAsia="Times New Roman" w:hAnsi="Verdana"/>
                <w:color w:val="000000"/>
                <w:sz w:val="18"/>
                <w:lang w:val="en-GB" w:eastAsia="en-GB"/>
              </w:rPr>
              <w:t>tandard error</w:t>
            </w:r>
          </w:p>
        </w:tc>
        <w:tc>
          <w:tcPr>
            <w:tcW w:w="1275" w:type="dxa"/>
            <w:shd w:val="clear" w:color="auto" w:fill="auto"/>
            <w:noWrap/>
            <w:vAlign w:val="bottom"/>
          </w:tcPr>
          <w:p w14:paraId="0AA743C6" w14:textId="77777777" w:rsidR="004D1438" w:rsidRPr="00872CDA" w:rsidRDefault="004D1438" w:rsidP="00BC71BA">
            <w:pPr>
              <w:spacing w:after="0" w:line="240" w:lineRule="auto"/>
              <w:rPr>
                <w:rFonts w:ascii="Verdana" w:eastAsia="Times New Roman" w:hAnsi="Verdana"/>
                <w:color w:val="000000"/>
                <w:sz w:val="18"/>
                <w:lang w:val="en-GB" w:eastAsia="en-GB"/>
              </w:rPr>
            </w:pPr>
            <w:r>
              <w:rPr>
                <w:rFonts w:ascii="Verdana" w:eastAsia="Times New Roman" w:hAnsi="Verdana"/>
                <w:color w:val="000000"/>
                <w:sz w:val="18"/>
                <w:lang w:val="en-GB" w:eastAsia="en-GB"/>
              </w:rPr>
              <w:t>Marginal effect</w:t>
            </w:r>
          </w:p>
        </w:tc>
        <w:tc>
          <w:tcPr>
            <w:tcW w:w="1276" w:type="dxa"/>
            <w:shd w:val="clear" w:color="auto" w:fill="auto"/>
            <w:noWrap/>
            <w:vAlign w:val="bottom"/>
          </w:tcPr>
          <w:p w14:paraId="4DDFC5D7"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S</w:t>
            </w:r>
            <w:r>
              <w:rPr>
                <w:rFonts w:ascii="Verdana" w:eastAsia="Times New Roman" w:hAnsi="Verdana"/>
                <w:color w:val="000000"/>
                <w:sz w:val="18"/>
                <w:lang w:val="en-GB" w:eastAsia="en-GB"/>
              </w:rPr>
              <w:t>tandard error</w:t>
            </w:r>
          </w:p>
        </w:tc>
      </w:tr>
      <w:tr w:rsidR="004D1438" w:rsidRPr="002414C5" w14:paraId="1F7F15AD" w14:textId="77777777" w:rsidTr="00BC71BA">
        <w:trPr>
          <w:trHeight w:val="149"/>
        </w:trPr>
        <w:tc>
          <w:tcPr>
            <w:tcW w:w="2410" w:type="dxa"/>
            <w:vMerge w:val="restart"/>
            <w:shd w:val="clear" w:color="auto" w:fill="auto"/>
            <w:noWrap/>
            <w:vAlign w:val="bottom"/>
            <w:hideMark/>
          </w:tcPr>
          <w:p w14:paraId="0066C203" w14:textId="77777777" w:rsidR="004D1438" w:rsidRPr="00427A30" w:rsidRDefault="004D1438" w:rsidP="00BC71BA">
            <w:pPr>
              <w:spacing w:after="0" w:line="240" w:lineRule="auto"/>
              <w:rPr>
                <w:rFonts w:ascii="Verdana" w:eastAsia="Times New Roman" w:hAnsi="Verdana"/>
                <w:color w:val="000000"/>
                <w:sz w:val="18"/>
                <w:lang w:val="en-GB" w:eastAsia="en-GB"/>
              </w:rPr>
            </w:pPr>
            <w:r w:rsidRPr="00427A30">
              <w:rPr>
                <w:rFonts w:ascii="Verdana" w:eastAsia="Times New Roman" w:hAnsi="Verdana"/>
                <w:color w:val="000000"/>
                <w:sz w:val="18"/>
                <w:lang w:val="en-GB" w:eastAsia="en-GB"/>
              </w:rPr>
              <w:t>Age</w:t>
            </w:r>
          </w:p>
        </w:tc>
        <w:tc>
          <w:tcPr>
            <w:tcW w:w="1951" w:type="dxa"/>
            <w:shd w:val="clear" w:color="auto" w:fill="auto"/>
            <w:noWrap/>
            <w:vAlign w:val="bottom"/>
            <w:hideMark/>
          </w:tcPr>
          <w:p w14:paraId="012D9568" w14:textId="77777777" w:rsidR="004D1438" w:rsidRPr="00427A30" w:rsidRDefault="004D1438" w:rsidP="00BC71BA">
            <w:pPr>
              <w:spacing w:after="0" w:line="240" w:lineRule="auto"/>
              <w:rPr>
                <w:rFonts w:ascii="Verdana" w:eastAsia="Times New Roman" w:hAnsi="Verdana"/>
                <w:color w:val="000000"/>
                <w:sz w:val="18"/>
                <w:lang w:val="en-GB" w:eastAsia="en-GB"/>
              </w:rPr>
            </w:pPr>
            <w:r w:rsidRPr="00427A30">
              <w:rPr>
                <w:rFonts w:ascii="Verdana" w:eastAsia="Times New Roman" w:hAnsi="Verdana"/>
                <w:color w:val="000000"/>
                <w:sz w:val="18"/>
                <w:lang w:val="en-GB" w:eastAsia="en-GB"/>
              </w:rPr>
              <w:t>Age</w:t>
            </w:r>
            <w:r>
              <w:rPr>
                <w:rFonts w:ascii="Verdana" w:eastAsia="Times New Roman" w:hAnsi="Verdana"/>
                <w:color w:val="000000"/>
                <w:sz w:val="18"/>
                <w:lang w:val="en-GB" w:eastAsia="en-GB"/>
              </w:rPr>
              <w:t xml:space="preserve"> </w:t>
            </w:r>
            <w:r w:rsidRPr="00427A30">
              <w:rPr>
                <w:rFonts w:ascii="Verdana" w:eastAsia="Times New Roman" w:hAnsi="Verdana"/>
                <w:color w:val="000000"/>
                <w:sz w:val="18"/>
                <w:lang w:val="en-GB" w:eastAsia="en-GB"/>
              </w:rPr>
              <w:t>15 to 24</w:t>
            </w:r>
          </w:p>
        </w:tc>
        <w:tc>
          <w:tcPr>
            <w:tcW w:w="1276" w:type="dxa"/>
            <w:shd w:val="clear" w:color="auto" w:fill="auto"/>
            <w:noWrap/>
            <w:vAlign w:val="bottom"/>
            <w:hideMark/>
          </w:tcPr>
          <w:p w14:paraId="4CC95F9E"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-0.000</w:t>
            </w:r>
          </w:p>
        </w:tc>
        <w:tc>
          <w:tcPr>
            <w:tcW w:w="1134" w:type="dxa"/>
            <w:shd w:val="clear" w:color="auto" w:fill="auto"/>
            <w:noWrap/>
            <w:vAlign w:val="bottom"/>
            <w:hideMark/>
          </w:tcPr>
          <w:p w14:paraId="64661862"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427A30">
              <w:rPr>
                <w:rFonts w:ascii="Verdana" w:eastAsia="Times New Roman" w:hAnsi="Verdana"/>
                <w:color w:val="000000"/>
                <w:sz w:val="18"/>
                <w:lang w:val="en-GB" w:eastAsia="en-GB"/>
              </w:rPr>
              <w:t>0.01</w:t>
            </w:r>
            <w:r>
              <w:rPr>
                <w:rFonts w:ascii="Verdana" w:eastAsia="Times New Roman" w:hAnsi="Verdana"/>
                <w:color w:val="000000"/>
                <w:sz w:val="18"/>
                <w:lang w:val="en-GB" w:eastAsia="en-GB"/>
              </w:rPr>
              <w:t>0</w:t>
            </w:r>
            <w:r w:rsidRPr="00427A30">
              <w:rPr>
                <w:rFonts w:ascii="Verdana" w:eastAsia="Times New Roman" w:hAnsi="Verdana"/>
                <w:color w:val="000000"/>
                <w:sz w:val="18"/>
                <w:lang w:val="en-GB" w:eastAsia="en-GB"/>
              </w:rPr>
              <w:t>)</w:t>
            </w:r>
          </w:p>
        </w:tc>
        <w:tc>
          <w:tcPr>
            <w:tcW w:w="1275" w:type="dxa"/>
            <w:shd w:val="clear" w:color="auto" w:fill="auto"/>
            <w:noWrap/>
            <w:vAlign w:val="bottom"/>
            <w:hideMark/>
          </w:tcPr>
          <w:p w14:paraId="3BC260E9"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0.001</w:t>
            </w:r>
          </w:p>
        </w:tc>
        <w:tc>
          <w:tcPr>
            <w:tcW w:w="1276" w:type="dxa"/>
            <w:shd w:val="clear" w:color="auto" w:fill="auto"/>
            <w:noWrap/>
            <w:vAlign w:val="bottom"/>
            <w:hideMark/>
          </w:tcPr>
          <w:p w14:paraId="2B0CA768"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427A30">
              <w:rPr>
                <w:rFonts w:ascii="Verdana" w:eastAsia="Times New Roman" w:hAnsi="Verdana"/>
                <w:color w:val="000000"/>
                <w:sz w:val="18"/>
                <w:lang w:val="en-GB" w:eastAsia="en-GB"/>
              </w:rPr>
              <w:t>0.011)</w:t>
            </w:r>
          </w:p>
        </w:tc>
      </w:tr>
      <w:tr w:rsidR="004D1438" w:rsidRPr="002414C5" w14:paraId="1BA278EF" w14:textId="77777777" w:rsidTr="00BC71BA">
        <w:trPr>
          <w:trHeight w:val="125"/>
        </w:trPr>
        <w:tc>
          <w:tcPr>
            <w:tcW w:w="2410" w:type="dxa"/>
            <w:vMerge/>
            <w:shd w:val="clear" w:color="auto" w:fill="auto"/>
            <w:noWrap/>
            <w:vAlign w:val="bottom"/>
            <w:hideMark/>
          </w:tcPr>
          <w:p w14:paraId="696F5FF8"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70C189ED" w14:textId="77777777" w:rsidR="004D1438" w:rsidRPr="00500508"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Age</w:t>
            </w:r>
            <w:r>
              <w:rPr>
                <w:rFonts w:ascii="Verdana" w:eastAsia="Times New Roman" w:hAnsi="Verdana"/>
                <w:color w:val="000000"/>
                <w:sz w:val="18"/>
                <w:lang w:val="en-GB" w:eastAsia="en-GB"/>
              </w:rPr>
              <w:t xml:space="preserve"> </w:t>
            </w:r>
            <w:r w:rsidRPr="00500508">
              <w:rPr>
                <w:rFonts w:ascii="Verdana" w:eastAsia="Times New Roman" w:hAnsi="Verdana"/>
                <w:color w:val="000000"/>
                <w:sz w:val="18"/>
                <w:lang w:val="en-GB" w:eastAsia="en-GB"/>
              </w:rPr>
              <w:t>25 to 34</w:t>
            </w:r>
          </w:p>
        </w:tc>
        <w:tc>
          <w:tcPr>
            <w:tcW w:w="1276" w:type="dxa"/>
            <w:shd w:val="clear" w:color="auto" w:fill="auto"/>
            <w:noWrap/>
            <w:vAlign w:val="bottom"/>
            <w:hideMark/>
          </w:tcPr>
          <w:p w14:paraId="4BD54B53"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0.002</w:t>
            </w:r>
          </w:p>
        </w:tc>
        <w:tc>
          <w:tcPr>
            <w:tcW w:w="1134" w:type="dxa"/>
            <w:shd w:val="clear" w:color="auto" w:fill="auto"/>
            <w:noWrap/>
            <w:vAlign w:val="bottom"/>
            <w:hideMark/>
          </w:tcPr>
          <w:p w14:paraId="50B77D4D"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sidRPr="00500508">
              <w:rPr>
                <w:rFonts w:ascii="Verdana" w:eastAsia="Times New Roman" w:hAnsi="Verdana"/>
                <w:color w:val="000000"/>
                <w:sz w:val="18"/>
                <w:lang w:val="en-GB" w:eastAsia="en-GB"/>
              </w:rPr>
              <w:t>(0.01</w:t>
            </w:r>
            <w:r>
              <w:rPr>
                <w:rFonts w:ascii="Verdana" w:eastAsia="Times New Roman" w:hAnsi="Verdana"/>
                <w:color w:val="000000"/>
                <w:sz w:val="18"/>
                <w:lang w:val="en-GB" w:eastAsia="en-GB"/>
              </w:rPr>
              <w:t>0</w:t>
            </w:r>
            <w:r w:rsidRPr="00500508">
              <w:rPr>
                <w:rFonts w:ascii="Verdana" w:eastAsia="Times New Roman" w:hAnsi="Verdana"/>
                <w:color w:val="000000"/>
                <w:sz w:val="18"/>
                <w:lang w:val="en-GB" w:eastAsia="en-GB"/>
              </w:rPr>
              <w:t>)</w:t>
            </w:r>
          </w:p>
        </w:tc>
        <w:tc>
          <w:tcPr>
            <w:tcW w:w="1275" w:type="dxa"/>
            <w:shd w:val="clear" w:color="auto" w:fill="auto"/>
            <w:noWrap/>
            <w:vAlign w:val="bottom"/>
            <w:hideMark/>
          </w:tcPr>
          <w:p w14:paraId="2A4EDE1F"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0.003</w:t>
            </w:r>
          </w:p>
        </w:tc>
        <w:tc>
          <w:tcPr>
            <w:tcW w:w="1276" w:type="dxa"/>
            <w:shd w:val="clear" w:color="auto" w:fill="auto"/>
            <w:noWrap/>
            <w:vAlign w:val="bottom"/>
            <w:hideMark/>
          </w:tcPr>
          <w:p w14:paraId="2EAC1B5D"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500508">
              <w:rPr>
                <w:rFonts w:ascii="Verdana" w:eastAsia="Times New Roman" w:hAnsi="Verdana"/>
                <w:color w:val="000000"/>
                <w:sz w:val="18"/>
                <w:lang w:val="en-GB" w:eastAsia="en-GB"/>
              </w:rPr>
              <w:t>0.01</w:t>
            </w:r>
            <w:r>
              <w:rPr>
                <w:rFonts w:ascii="Verdana" w:eastAsia="Times New Roman" w:hAnsi="Verdana"/>
                <w:color w:val="000000"/>
                <w:sz w:val="18"/>
                <w:lang w:val="en-GB" w:eastAsia="en-GB"/>
              </w:rPr>
              <w:t>1</w:t>
            </w:r>
            <w:r w:rsidRPr="00500508">
              <w:rPr>
                <w:rFonts w:ascii="Verdana" w:eastAsia="Times New Roman" w:hAnsi="Verdana"/>
                <w:color w:val="000000"/>
                <w:sz w:val="18"/>
                <w:lang w:val="en-GB" w:eastAsia="en-GB"/>
              </w:rPr>
              <w:t>)</w:t>
            </w:r>
          </w:p>
        </w:tc>
      </w:tr>
      <w:tr w:rsidR="004D1438" w:rsidRPr="002414C5" w14:paraId="0BB76C3E" w14:textId="77777777" w:rsidTr="00BC71BA">
        <w:trPr>
          <w:trHeight w:val="228"/>
        </w:trPr>
        <w:tc>
          <w:tcPr>
            <w:tcW w:w="2410" w:type="dxa"/>
            <w:vMerge/>
            <w:shd w:val="clear" w:color="auto" w:fill="auto"/>
            <w:noWrap/>
            <w:vAlign w:val="bottom"/>
            <w:hideMark/>
          </w:tcPr>
          <w:p w14:paraId="43061A80"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5C338ABF" w14:textId="77777777" w:rsidR="004D1438" w:rsidRPr="00500508"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Age</w:t>
            </w:r>
            <w:r>
              <w:rPr>
                <w:rFonts w:ascii="Verdana" w:eastAsia="Times New Roman" w:hAnsi="Verdana"/>
                <w:color w:val="000000"/>
                <w:sz w:val="18"/>
                <w:lang w:val="en-GB" w:eastAsia="en-GB"/>
              </w:rPr>
              <w:t xml:space="preserve"> </w:t>
            </w:r>
            <w:r w:rsidRPr="00500508">
              <w:rPr>
                <w:rFonts w:ascii="Verdana" w:eastAsia="Times New Roman" w:hAnsi="Verdana"/>
                <w:color w:val="000000"/>
                <w:sz w:val="18"/>
                <w:lang w:val="en-GB" w:eastAsia="en-GB"/>
              </w:rPr>
              <w:t>35 to 44</w:t>
            </w:r>
          </w:p>
        </w:tc>
        <w:tc>
          <w:tcPr>
            <w:tcW w:w="4961" w:type="dxa"/>
            <w:gridSpan w:val="4"/>
            <w:shd w:val="clear" w:color="auto" w:fill="auto"/>
            <w:vAlign w:val="bottom"/>
          </w:tcPr>
          <w:p w14:paraId="405EB0F5" w14:textId="77777777" w:rsidR="004D1438" w:rsidRPr="00500508" w:rsidRDefault="004D1438" w:rsidP="00BC71BA">
            <w:pPr>
              <w:spacing w:after="0" w:line="240" w:lineRule="auto"/>
              <w:jc w:val="center"/>
              <w:rPr>
                <w:rFonts w:ascii="Verdana" w:eastAsia="Times New Roman" w:hAnsi="Verdana"/>
                <w:sz w:val="18"/>
                <w:szCs w:val="20"/>
                <w:lang w:val="en-GB" w:eastAsia="en-GB"/>
              </w:rPr>
            </w:pPr>
            <w:r>
              <w:rPr>
                <w:rFonts w:ascii="Verdana" w:eastAsia="Times New Roman" w:hAnsi="Verdana"/>
                <w:sz w:val="18"/>
                <w:szCs w:val="20"/>
                <w:lang w:val="en-GB" w:eastAsia="en-GB"/>
              </w:rPr>
              <w:t>reference category</w:t>
            </w:r>
          </w:p>
        </w:tc>
      </w:tr>
      <w:tr w:rsidR="004D1438" w:rsidRPr="002414C5" w14:paraId="52E9A545" w14:textId="77777777" w:rsidTr="00BC71BA">
        <w:trPr>
          <w:trHeight w:val="204"/>
        </w:trPr>
        <w:tc>
          <w:tcPr>
            <w:tcW w:w="2410" w:type="dxa"/>
            <w:vMerge/>
            <w:shd w:val="clear" w:color="auto" w:fill="auto"/>
            <w:noWrap/>
            <w:vAlign w:val="bottom"/>
            <w:hideMark/>
          </w:tcPr>
          <w:p w14:paraId="16C033B5" w14:textId="77777777" w:rsidR="004D1438" w:rsidRPr="00872CDA" w:rsidRDefault="004D1438" w:rsidP="00BC71BA">
            <w:pPr>
              <w:spacing w:after="0" w:line="240" w:lineRule="auto"/>
              <w:rPr>
                <w:rFonts w:ascii="Verdana" w:eastAsia="Times New Roman" w:hAnsi="Verdana"/>
                <w:sz w:val="18"/>
                <w:szCs w:val="20"/>
                <w:lang w:val="en-GB" w:eastAsia="en-GB"/>
              </w:rPr>
            </w:pPr>
          </w:p>
        </w:tc>
        <w:tc>
          <w:tcPr>
            <w:tcW w:w="1951" w:type="dxa"/>
            <w:shd w:val="clear" w:color="auto" w:fill="auto"/>
            <w:noWrap/>
            <w:vAlign w:val="bottom"/>
            <w:hideMark/>
          </w:tcPr>
          <w:p w14:paraId="668C6E88" w14:textId="77777777" w:rsidR="004D1438" w:rsidRPr="00500508"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Age</w:t>
            </w:r>
            <w:r>
              <w:rPr>
                <w:rFonts w:ascii="Verdana" w:eastAsia="Times New Roman" w:hAnsi="Verdana"/>
                <w:color w:val="000000"/>
                <w:sz w:val="18"/>
                <w:lang w:val="en-GB" w:eastAsia="en-GB"/>
              </w:rPr>
              <w:t xml:space="preserve"> </w:t>
            </w:r>
            <w:r w:rsidRPr="00500508">
              <w:rPr>
                <w:rFonts w:ascii="Verdana" w:eastAsia="Times New Roman" w:hAnsi="Verdana"/>
                <w:color w:val="000000"/>
                <w:sz w:val="18"/>
                <w:lang w:val="en-GB" w:eastAsia="en-GB"/>
              </w:rPr>
              <w:t>45 to 54</w:t>
            </w:r>
          </w:p>
        </w:tc>
        <w:tc>
          <w:tcPr>
            <w:tcW w:w="1276" w:type="dxa"/>
            <w:shd w:val="clear" w:color="auto" w:fill="auto"/>
            <w:noWrap/>
            <w:vAlign w:val="bottom"/>
            <w:hideMark/>
          </w:tcPr>
          <w:p w14:paraId="3479580F"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-0.023</w:t>
            </w:r>
            <w:r w:rsidRPr="00500508">
              <w:rPr>
                <w:rFonts w:ascii="Verdana" w:eastAsia="Times New Roman" w:hAnsi="Verdana"/>
                <w:color w:val="000000"/>
                <w:sz w:val="18"/>
                <w:lang w:val="en-GB" w:eastAsia="en-GB"/>
              </w:rPr>
              <w:t>*</w:t>
            </w:r>
          </w:p>
        </w:tc>
        <w:tc>
          <w:tcPr>
            <w:tcW w:w="1134" w:type="dxa"/>
            <w:shd w:val="clear" w:color="auto" w:fill="auto"/>
            <w:noWrap/>
            <w:vAlign w:val="bottom"/>
            <w:hideMark/>
          </w:tcPr>
          <w:p w14:paraId="2E340C92"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(0.014</w:t>
            </w:r>
            <w:r w:rsidRPr="00500508">
              <w:rPr>
                <w:rFonts w:ascii="Verdana" w:eastAsia="Times New Roman" w:hAnsi="Verdana"/>
                <w:color w:val="000000"/>
                <w:sz w:val="18"/>
                <w:lang w:val="en-GB" w:eastAsia="en-GB"/>
              </w:rPr>
              <w:t>)</w:t>
            </w:r>
          </w:p>
        </w:tc>
        <w:tc>
          <w:tcPr>
            <w:tcW w:w="1275" w:type="dxa"/>
            <w:shd w:val="clear" w:color="auto" w:fill="auto"/>
            <w:noWrap/>
            <w:vAlign w:val="bottom"/>
            <w:hideMark/>
          </w:tcPr>
          <w:p w14:paraId="1DD2FDB4"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-0.025</w:t>
            </w:r>
          </w:p>
        </w:tc>
        <w:tc>
          <w:tcPr>
            <w:tcW w:w="1276" w:type="dxa"/>
            <w:shd w:val="clear" w:color="auto" w:fill="auto"/>
            <w:noWrap/>
            <w:vAlign w:val="bottom"/>
            <w:hideMark/>
          </w:tcPr>
          <w:p w14:paraId="425BB2DD"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(0.015</w:t>
            </w:r>
            <w:r w:rsidRPr="00500508">
              <w:rPr>
                <w:rFonts w:ascii="Verdana" w:eastAsia="Times New Roman" w:hAnsi="Verdana"/>
                <w:color w:val="000000"/>
                <w:sz w:val="18"/>
                <w:lang w:val="en-GB" w:eastAsia="en-GB"/>
              </w:rPr>
              <w:t>)</w:t>
            </w:r>
          </w:p>
        </w:tc>
      </w:tr>
      <w:tr w:rsidR="004D1438" w:rsidRPr="002414C5" w14:paraId="40B4B8CD" w14:textId="77777777" w:rsidTr="00BC71BA">
        <w:trPr>
          <w:trHeight w:val="166"/>
        </w:trPr>
        <w:tc>
          <w:tcPr>
            <w:tcW w:w="2410" w:type="dxa"/>
            <w:vMerge/>
            <w:shd w:val="clear" w:color="auto" w:fill="auto"/>
            <w:noWrap/>
            <w:vAlign w:val="bottom"/>
            <w:hideMark/>
          </w:tcPr>
          <w:p w14:paraId="687631DD"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1963D769" w14:textId="77777777" w:rsidR="004D1438" w:rsidRPr="00500508"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Age</w:t>
            </w:r>
            <w:r>
              <w:rPr>
                <w:rFonts w:ascii="Verdana" w:eastAsia="Times New Roman" w:hAnsi="Verdana"/>
                <w:color w:val="000000"/>
                <w:sz w:val="18"/>
                <w:lang w:val="en-GB" w:eastAsia="en-GB"/>
              </w:rPr>
              <w:t xml:space="preserve"> </w:t>
            </w:r>
            <w:r w:rsidRPr="00500508">
              <w:rPr>
                <w:rFonts w:ascii="Verdana" w:eastAsia="Times New Roman" w:hAnsi="Verdana"/>
                <w:color w:val="000000"/>
                <w:sz w:val="18"/>
                <w:lang w:val="en-GB" w:eastAsia="en-GB"/>
              </w:rPr>
              <w:t>55 to 64</w:t>
            </w:r>
          </w:p>
        </w:tc>
        <w:tc>
          <w:tcPr>
            <w:tcW w:w="1276" w:type="dxa"/>
            <w:shd w:val="clear" w:color="auto" w:fill="auto"/>
            <w:noWrap/>
            <w:vAlign w:val="bottom"/>
            <w:hideMark/>
          </w:tcPr>
          <w:p w14:paraId="264B8EBE"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-0.033</w:t>
            </w:r>
            <w:r w:rsidRPr="00500508">
              <w:rPr>
                <w:rFonts w:ascii="Verdana" w:eastAsia="Times New Roman" w:hAnsi="Verdana"/>
                <w:color w:val="000000"/>
                <w:sz w:val="18"/>
                <w:lang w:val="en-GB" w:eastAsia="en-GB"/>
              </w:rPr>
              <w:t>**</w:t>
            </w:r>
          </w:p>
        </w:tc>
        <w:tc>
          <w:tcPr>
            <w:tcW w:w="1134" w:type="dxa"/>
            <w:shd w:val="clear" w:color="auto" w:fill="auto"/>
            <w:noWrap/>
            <w:vAlign w:val="bottom"/>
            <w:hideMark/>
          </w:tcPr>
          <w:p w14:paraId="3BAFE052"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500508">
              <w:rPr>
                <w:rFonts w:ascii="Verdana" w:eastAsia="Times New Roman" w:hAnsi="Verdana"/>
                <w:color w:val="000000"/>
                <w:sz w:val="18"/>
                <w:lang w:val="en-GB" w:eastAsia="en-GB"/>
              </w:rPr>
              <w:t>0.014)</w:t>
            </w:r>
          </w:p>
        </w:tc>
        <w:tc>
          <w:tcPr>
            <w:tcW w:w="1275" w:type="dxa"/>
            <w:shd w:val="clear" w:color="auto" w:fill="auto"/>
            <w:noWrap/>
            <w:vAlign w:val="bottom"/>
            <w:hideMark/>
          </w:tcPr>
          <w:p w14:paraId="653D86B3"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-0.034</w:t>
            </w:r>
            <w:r w:rsidRPr="00500508">
              <w:rPr>
                <w:rFonts w:ascii="Verdana" w:eastAsia="Times New Roman" w:hAnsi="Verdana"/>
                <w:color w:val="000000"/>
                <w:sz w:val="18"/>
                <w:lang w:val="en-GB" w:eastAsia="en-GB"/>
              </w:rPr>
              <w:t>**</w:t>
            </w:r>
          </w:p>
        </w:tc>
        <w:tc>
          <w:tcPr>
            <w:tcW w:w="1276" w:type="dxa"/>
            <w:shd w:val="clear" w:color="auto" w:fill="auto"/>
            <w:noWrap/>
            <w:vAlign w:val="bottom"/>
            <w:hideMark/>
          </w:tcPr>
          <w:p w14:paraId="046563DD"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500508">
              <w:rPr>
                <w:rFonts w:ascii="Verdana" w:eastAsia="Times New Roman" w:hAnsi="Verdana"/>
                <w:color w:val="000000"/>
                <w:sz w:val="18"/>
                <w:lang w:val="en-GB" w:eastAsia="en-GB"/>
              </w:rPr>
              <w:t>0.014)</w:t>
            </w:r>
          </w:p>
        </w:tc>
      </w:tr>
      <w:tr w:rsidR="004D1438" w:rsidRPr="002414C5" w14:paraId="1E8001BA" w14:textId="77777777" w:rsidTr="00BC71BA">
        <w:trPr>
          <w:trHeight w:val="142"/>
        </w:trPr>
        <w:tc>
          <w:tcPr>
            <w:tcW w:w="2410" w:type="dxa"/>
            <w:vMerge/>
            <w:shd w:val="clear" w:color="auto" w:fill="auto"/>
            <w:noWrap/>
            <w:vAlign w:val="bottom"/>
            <w:hideMark/>
          </w:tcPr>
          <w:p w14:paraId="70226E0E"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73E50A44"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Age &gt; 64</w:t>
            </w:r>
          </w:p>
        </w:tc>
        <w:tc>
          <w:tcPr>
            <w:tcW w:w="1276" w:type="dxa"/>
            <w:shd w:val="clear" w:color="auto" w:fill="auto"/>
            <w:noWrap/>
            <w:vAlign w:val="bottom"/>
            <w:hideMark/>
          </w:tcPr>
          <w:p w14:paraId="34C7C438"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-0.068***</w:t>
            </w:r>
          </w:p>
        </w:tc>
        <w:tc>
          <w:tcPr>
            <w:tcW w:w="1134" w:type="dxa"/>
            <w:shd w:val="clear" w:color="auto" w:fill="auto"/>
            <w:noWrap/>
            <w:vAlign w:val="bottom"/>
            <w:hideMark/>
          </w:tcPr>
          <w:p w14:paraId="6EBF7960"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020496">
              <w:rPr>
                <w:rFonts w:ascii="Verdana" w:eastAsia="Times New Roman" w:hAnsi="Verdana"/>
                <w:color w:val="000000"/>
                <w:sz w:val="18"/>
                <w:lang w:val="en-GB" w:eastAsia="en-GB"/>
              </w:rPr>
              <w:t>0.008)</w:t>
            </w:r>
          </w:p>
        </w:tc>
        <w:tc>
          <w:tcPr>
            <w:tcW w:w="1275" w:type="dxa"/>
            <w:shd w:val="clear" w:color="auto" w:fill="auto"/>
            <w:noWrap/>
            <w:vAlign w:val="bottom"/>
            <w:hideMark/>
          </w:tcPr>
          <w:p w14:paraId="42A03A55"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-0.069</w:t>
            </w:r>
            <w:r w:rsidRPr="00500508">
              <w:rPr>
                <w:rFonts w:ascii="Verdana" w:eastAsia="Times New Roman" w:hAnsi="Verdana"/>
                <w:color w:val="000000"/>
                <w:sz w:val="18"/>
                <w:lang w:val="en-GB" w:eastAsia="en-GB"/>
              </w:rPr>
              <w:t>***</w:t>
            </w:r>
          </w:p>
        </w:tc>
        <w:tc>
          <w:tcPr>
            <w:tcW w:w="1276" w:type="dxa"/>
            <w:shd w:val="clear" w:color="auto" w:fill="auto"/>
            <w:noWrap/>
            <w:vAlign w:val="bottom"/>
            <w:hideMark/>
          </w:tcPr>
          <w:p w14:paraId="17EA9C6F"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(0.009</w:t>
            </w:r>
            <w:r w:rsidRPr="00500508">
              <w:rPr>
                <w:rFonts w:ascii="Verdana" w:eastAsia="Times New Roman" w:hAnsi="Verdana"/>
                <w:color w:val="000000"/>
                <w:sz w:val="18"/>
                <w:lang w:val="en-GB" w:eastAsia="en-GB"/>
              </w:rPr>
              <w:t>)</w:t>
            </w:r>
          </w:p>
        </w:tc>
      </w:tr>
      <w:tr w:rsidR="004D1438" w:rsidRPr="002414C5" w14:paraId="4B6EE94C" w14:textId="77777777" w:rsidTr="00BC71BA">
        <w:trPr>
          <w:trHeight w:val="246"/>
        </w:trPr>
        <w:tc>
          <w:tcPr>
            <w:tcW w:w="2410" w:type="dxa"/>
            <w:vMerge w:val="restart"/>
            <w:shd w:val="clear" w:color="auto" w:fill="auto"/>
            <w:noWrap/>
            <w:vAlign w:val="bottom"/>
          </w:tcPr>
          <w:p w14:paraId="2FCF0746"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Educational attainment</w:t>
            </w:r>
          </w:p>
        </w:tc>
        <w:tc>
          <w:tcPr>
            <w:tcW w:w="1951" w:type="dxa"/>
            <w:shd w:val="clear" w:color="auto" w:fill="auto"/>
            <w:noWrap/>
            <w:vAlign w:val="bottom"/>
          </w:tcPr>
          <w:p w14:paraId="3456E5F1" w14:textId="77777777" w:rsidR="004D1438" w:rsidRPr="00427A30"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Basic</w:t>
            </w:r>
            <w:r w:rsidRPr="002414C5">
              <w:rPr>
                <w:rFonts w:ascii="Verdana" w:eastAsia="Times New Roman" w:hAnsi="Verdana"/>
                <w:color w:val="000000"/>
                <w:sz w:val="18"/>
                <w:lang w:val="en-GB" w:eastAsia="en-GB"/>
              </w:rPr>
              <w:t xml:space="preserve"> </w:t>
            </w:r>
            <w:r w:rsidRPr="00427A30">
              <w:rPr>
                <w:rFonts w:ascii="Verdana" w:eastAsia="Times New Roman" w:hAnsi="Verdana"/>
                <w:color w:val="000000"/>
                <w:sz w:val="18"/>
                <w:lang w:val="en-GB" w:eastAsia="en-GB"/>
              </w:rPr>
              <w:t>ed</w:t>
            </w:r>
            <w:r w:rsidRPr="002414C5">
              <w:rPr>
                <w:rFonts w:ascii="Verdana" w:eastAsia="Times New Roman" w:hAnsi="Verdana"/>
                <w:color w:val="000000"/>
                <w:sz w:val="18"/>
                <w:lang w:val="en-GB" w:eastAsia="en-GB"/>
              </w:rPr>
              <w:t>ucation</w:t>
            </w:r>
          </w:p>
        </w:tc>
        <w:tc>
          <w:tcPr>
            <w:tcW w:w="1276" w:type="dxa"/>
            <w:shd w:val="clear" w:color="auto" w:fill="auto"/>
            <w:noWrap/>
            <w:vAlign w:val="bottom"/>
          </w:tcPr>
          <w:p w14:paraId="04C01C68"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sidRPr="00427A30">
              <w:rPr>
                <w:rFonts w:ascii="Verdana" w:eastAsia="Times New Roman" w:hAnsi="Verdana"/>
                <w:color w:val="000000"/>
                <w:sz w:val="18"/>
                <w:lang w:val="en-GB" w:eastAsia="en-GB"/>
              </w:rPr>
              <w:t>-0.020*</w:t>
            </w:r>
          </w:p>
        </w:tc>
        <w:tc>
          <w:tcPr>
            <w:tcW w:w="1134" w:type="dxa"/>
            <w:shd w:val="clear" w:color="auto" w:fill="auto"/>
            <w:noWrap/>
            <w:vAlign w:val="bottom"/>
          </w:tcPr>
          <w:p w14:paraId="590E6AB1"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427A30">
              <w:rPr>
                <w:rFonts w:ascii="Verdana" w:eastAsia="Times New Roman" w:hAnsi="Verdana"/>
                <w:color w:val="000000"/>
                <w:sz w:val="18"/>
                <w:lang w:val="en-GB" w:eastAsia="en-GB"/>
              </w:rPr>
              <w:t>0.011)</w:t>
            </w:r>
          </w:p>
        </w:tc>
        <w:tc>
          <w:tcPr>
            <w:tcW w:w="1275" w:type="dxa"/>
            <w:shd w:val="clear" w:color="auto" w:fill="auto"/>
            <w:noWrap/>
            <w:vAlign w:val="bottom"/>
          </w:tcPr>
          <w:p w14:paraId="191FE8E3"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-0.023</w:t>
            </w:r>
            <w:r w:rsidRPr="00427A30">
              <w:rPr>
                <w:rFonts w:ascii="Verdana" w:eastAsia="Times New Roman" w:hAnsi="Verdana"/>
                <w:color w:val="000000"/>
                <w:sz w:val="18"/>
                <w:lang w:val="en-GB" w:eastAsia="en-GB"/>
              </w:rPr>
              <w:t>**</w:t>
            </w:r>
          </w:p>
        </w:tc>
        <w:tc>
          <w:tcPr>
            <w:tcW w:w="1276" w:type="dxa"/>
            <w:shd w:val="clear" w:color="auto" w:fill="auto"/>
            <w:noWrap/>
            <w:vAlign w:val="bottom"/>
          </w:tcPr>
          <w:p w14:paraId="7836051C" w14:textId="77777777" w:rsidR="004D1438" w:rsidRPr="00427A30"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427A30">
              <w:rPr>
                <w:rFonts w:ascii="Verdana" w:eastAsia="Times New Roman" w:hAnsi="Verdana"/>
                <w:color w:val="000000"/>
                <w:sz w:val="18"/>
                <w:lang w:val="en-GB" w:eastAsia="en-GB"/>
              </w:rPr>
              <w:t>0.011)</w:t>
            </w:r>
          </w:p>
        </w:tc>
      </w:tr>
      <w:tr w:rsidR="004D1438" w:rsidRPr="009B048F" w14:paraId="198E6E5F" w14:textId="77777777" w:rsidTr="00BC71BA">
        <w:trPr>
          <w:trHeight w:val="209"/>
        </w:trPr>
        <w:tc>
          <w:tcPr>
            <w:tcW w:w="2410" w:type="dxa"/>
            <w:vMerge/>
            <w:shd w:val="clear" w:color="auto" w:fill="auto"/>
            <w:noWrap/>
            <w:vAlign w:val="bottom"/>
          </w:tcPr>
          <w:p w14:paraId="78F8F8A0"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0267012C"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Sec</w:t>
            </w:r>
            <w:r w:rsidRPr="002414C5">
              <w:rPr>
                <w:rFonts w:ascii="Verdana" w:eastAsia="Times New Roman" w:hAnsi="Verdana"/>
                <w:color w:val="000000"/>
                <w:sz w:val="18"/>
                <w:lang w:val="en-GB" w:eastAsia="en-GB"/>
              </w:rPr>
              <w:t>ond</w:t>
            </w:r>
            <w:r>
              <w:rPr>
                <w:rFonts w:ascii="Verdana" w:eastAsia="Times New Roman" w:hAnsi="Verdana"/>
                <w:color w:val="000000"/>
                <w:sz w:val="18"/>
                <w:lang w:val="en-GB" w:eastAsia="en-GB"/>
              </w:rPr>
              <w:t>.</w:t>
            </w:r>
            <w:r w:rsidRPr="002414C5">
              <w:rPr>
                <w:rFonts w:ascii="Verdana" w:eastAsia="Times New Roman" w:hAnsi="Verdana"/>
                <w:color w:val="000000"/>
                <w:sz w:val="18"/>
                <w:lang w:val="en-GB" w:eastAsia="en-GB"/>
              </w:rPr>
              <w:t xml:space="preserve"> </w:t>
            </w:r>
            <w:r w:rsidRPr="00197F84">
              <w:rPr>
                <w:rFonts w:ascii="Verdana" w:eastAsia="Times New Roman" w:hAnsi="Verdana"/>
                <w:color w:val="000000"/>
                <w:sz w:val="18"/>
                <w:lang w:val="en-GB" w:eastAsia="en-GB"/>
              </w:rPr>
              <w:t>ed</w:t>
            </w:r>
            <w:r w:rsidRPr="002414C5">
              <w:rPr>
                <w:rFonts w:ascii="Verdana" w:eastAsia="Times New Roman" w:hAnsi="Verdana"/>
                <w:color w:val="000000"/>
                <w:sz w:val="18"/>
                <w:lang w:val="en-GB" w:eastAsia="en-GB"/>
              </w:rPr>
              <w:t>ucation</w:t>
            </w:r>
          </w:p>
        </w:tc>
        <w:tc>
          <w:tcPr>
            <w:tcW w:w="1276" w:type="dxa"/>
            <w:shd w:val="clear" w:color="auto" w:fill="auto"/>
            <w:noWrap/>
            <w:vAlign w:val="bottom"/>
          </w:tcPr>
          <w:p w14:paraId="44A4AFF4"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-0.02</w:t>
            </w:r>
            <w:r>
              <w:rPr>
                <w:rFonts w:ascii="Verdana" w:eastAsia="Times New Roman" w:hAnsi="Verdana"/>
                <w:color w:val="000000"/>
                <w:sz w:val="18"/>
                <w:lang w:val="en-GB" w:eastAsia="en-GB"/>
              </w:rPr>
              <w:t>3</w:t>
            </w:r>
            <w:r w:rsidRPr="00197F84">
              <w:rPr>
                <w:rFonts w:ascii="Verdana" w:eastAsia="Times New Roman" w:hAnsi="Verdana"/>
                <w:color w:val="000000"/>
                <w:sz w:val="18"/>
                <w:lang w:val="en-GB" w:eastAsia="en-GB"/>
              </w:rPr>
              <w:t>***</w:t>
            </w:r>
          </w:p>
        </w:tc>
        <w:tc>
          <w:tcPr>
            <w:tcW w:w="1134" w:type="dxa"/>
            <w:shd w:val="clear" w:color="auto" w:fill="auto"/>
            <w:noWrap/>
            <w:vAlign w:val="bottom"/>
          </w:tcPr>
          <w:p w14:paraId="7CFEFB9B"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0.005)</w:t>
            </w:r>
          </w:p>
        </w:tc>
        <w:tc>
          <w:tcPr>
            <w:tcW w:w="1275" w:type="dxa"/>
            <w:shd w:val="clear" w:color="auto" w:fill="auto"/>
            <w:noWrap/>
            <w:vAlign w:val="bottom"/>
          </w:tcPr>
          <w:p w14:paraId="5D076397"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-0.024*</w:t>
            </w:r>
            <w:r w:rsidRPr="00197F84">
              <w:rPr>
                <w:rFonts w:ascii="Verdana" w:eastAsia="Times New Roman" w:hAnsi="Verdana"/>
                <w:color w:val="000000"/>
                <w:sz w:val="18"/>
                <w:lang w:val="en-GB" w:eastAsia="en-GB"/>
              </w:rPr>
              <w:t>**</w:t>
            </w:r>
          </w:p>
        </w:tc>
        <w:tc>
          <w:tcPr>
            <w:tcW w:w="1276" w:type="dxa"/>
            <w:shd w:val="clear" w:color="auto" w:fill="auto"/>
            <w:noWrap/>
            <w:vAlign w:val="bottom"/>
          </w:tcPr>
          <w:p w14:paraId="7F84827A"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0.00</w:t>
            </w:r>
            <w:r>
              <w:rPr>
                <w:rFonts w:ascii="Verdana" w:eastAsia="Times New Roman" w:hAnsi="Verdana"/>
                <w:color w:val="000000"/>
                <w:sz w:val="18"/>
                <w:lang w:val="en-GB" w:eastAsia="en-GB"/>
              </w:rPr>
              <w:t>5</w:t>
            </w:r>
            <w:r w:rsidRPr="00197F84">
              <w:rPr>
                <w:rFonts w:ascii="Verdana" w:eastAsia="Times New Roman" w:hAnsi="Verdana"/>
                <w:color w:val="000000"/>
                <w:sz w:val="18"/>
                <w:lang w:val="en-GB" w:eastAsia="en-GB"/>
              </w:rPr>
              <w:t>)</w:t>
            </w:r>
          </w:p>
        </w:tc>
      </w:tr>
      <w:tr w:rsidR="004D1438" w:rsidRPr="009B048F" w14:paraId="07871A3F" w14:textId="77777777" w:rsidTr="00BC71BA">
        <w:trPr>
          <w:trHeight w:val="184"/>
        </w:trPr>
        <w:tc>
          <w:tcPr>
            <w:tcW w:w="2410" w:type="dxa"/>
            <w:vMerge/>
            <w:shd w:val="clear" w:color="auto" w:fill="auto"/>
            <w:noWrap/>
            <w:vAlign w:val="bottom"/>
          </w:tcPr>
          <w:p w14:paraId="082CE34B"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3D18713D"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Higher</w:t>
            </w:r>
            <w:r w:rsidRPr="002414C5">
              <w:rPr>
                <w:rFonts w:ascii="Verdana" w:eastAsia="Times New Roman" w:hAnsi="Verdana"/>
                <w:color w:val="000000"/>
                <w:sz w:val="18"/>
                <w:lang w:val="en-GB" w:eastAsia="en-GB"/>
              </w:rPr>
              <w:t xml:space="preserve"> </w:t>
            </w:r>
            <w:r w:rsidRPr="00197F84">
              <w:rPr>
                <w:rFonts w:ascii="Verdana" w:eastAsia="Times New Roman" w:hAnsi="Verdana"/>
                <w:color w:val="000000"/>
                <w:sz w:val="18"/>
                <w:lang w:val="en-GB" w:eastAsia="en-GB"/>
              </w:rPr>
              <w:t>ed</w:t>
            </w:r>
            <w:r w:rsidRPr="002414C5">
              <w:rPr>
                <w:rFonts w:ascii="Verdana" w:eastAsia="Times New Roman" w:hAnsi="Verdana"/>
                <w:color w:val="000000"/>
                <w:sz w:val="18"/>
                <w:lang w:val="en-GB" w:eastAsia="en-GB"/>
              </w:rPr>
              <w:t>ucation</w:t>
            </w:r>
          </w:p>
        </w:tc>
        <w:tc>
          <w:tcPr>
            <w:tcW w:w="4961" w:type="dxa"/>
            <w:gridSpan w:val="4"/>
            <w:shd w:val="clear" w:color="auto" w:fill="auto"/>
            <w:noWrap/>
            <w:vAlign w:val="bottom"/>
          </w:tcPr>
          <w:p w14:paraId="6DBD0574"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sidRPr="009B048F">
              <w:rPr>
                <w:rFonts w:ascii="Verdana" w:hAnsi="Verdana"/>
                <w:color w:val="000000"/>
                <w:sz w:val="18"/>
                <w:lang w:val="en-US"/>
              </w:rPr>
              <w:t>reference category</w:t>
            </w:r>
          </w:p>
        </w:tc>
      </w:tr>
      <w:tr w:rsidR="004D1438" w:rsidRPr="002414C5" w14:paraId="3B5C4263" w14:textId="77777777" w:rsidTr="00BC71BA">
        <w:trPr>
          <w:trHeight w:val="65"/>
        </w:trPr>
        <w:tc>
          <w:tcPr>
            <w:tcW w:w="2410" w:type="dxa"/>
            <w:shd w:val="clear" w:color="auto" w:fill="auto"/>
            <w:noWrap/>
            <w:vAlign w:val="bottom"/>
          </w:tcPr>
          <w:p w14:paraId="650693F6"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Nationality</w:t>
            </w:r>
          </w:p>
        </w:tc>
        <w:tc>
          <w:tcPr>
            <w:tcW w:w="1951" w:type="dxa"/>
            <w:shd w:val="clear" w:color="auto" w:fill="auto"/>
            <w:noWrap/>
            <w:vAlign w:val="bottom"/>
          </w:tcPr>
          <w:p w14:paraId="48674398"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Non-national</w:t>
            </w:r>
          </w:p>
        </w:tc>
        <w:tc>
          <w:tcPr>
            <w:tcW w:w="1276" w:type="dxa"/>
            <w:shd w:val="clear" w:color="auto" w:fill="auto"/>
            <w:vAlign w:val="bottom"/>
          </w:tcPr>
          <w:p w14:paraId="3C990865" w14:textId="77777777" w:rsidR="004D1438" w:rsidRPr="009B048F" w:rsidRDefault="004D1438" w:rsidP="00BC71BA">
            <w:pPr>
              <w:spacing w:after="0" w:line="240" w:lineRule="auto"/>
              <w:jc w:val="center"/>
              <w:rPr>
                <w:rFonts w:ascii="Verdana" w:hAnsi="Verdana"/>
                <w:color w:val="000000"/>
                <w:sz w:val="18"/>
                <w:lang w:val="en-US"/>
              </w:rPr>
            </w:pPr>
            <w:r>
              <w:rPr>
                <w:rFonts w:ascii="Verdana" w:eastAsia="Times New Roman" w:hAnsi="Verdana"/>
                <w:color w:val="000000"/>
                <w:sz w:val="18"/>
                <w:lang w:val="en-GB" w:eastAsia="en-GB"/>
              </w:rPr>
              <w:t>0.021</w:t>
            </w:r>
            <w:r w:rsidRPr="00197F84">
              <w:rPr>
                <w:rFonts w:ascii="Verdana" w:eastAsia="Times New Roman" w:hAnsi="Verdana"/>
                <w:color w:val="000000"/>
                <w:sz w:val="18"/>
                <w:lang w:val="en-GB" w:eastAsia="en-GB"/>
              </w:rPr>
              <w:t>*</w:t>
            </w:r>
          </w:p>
        </w:tc>
        <w:tc>
          <w:tcPr>
            <w:tcW w:w="1134" w:type="dxa"/>
            <w:shd w:val="clear" w:color="auto" w:fill="auto"/>
            <w:vAlign w:val="bottom"/>
          </w:tcPr>
          <w:p w14:paraId="55E3CCED" w14:textId="77777777" w:rsidR="004D1438" w:rsidRPr="009B048F" w:rsidRDefault="004D1438" w:rsidP="00BC71BA">
            <w:pPr>
              <w:spacing w:after="0" w:line="240" w:lineRule="auto"/>
              <w:jc w:val="center"/>
              <w:rPr>
                <w:rFonts w:ascii="Verdana" w:hAnsi="Verdana"/>
                <w:color w:val="000000"/>
                <w:sz w:val="18"/>
                <w:lang w:val="en-US"/>
              </w:rPr>
            </w:pPr>
            <w:r>
              <w:rPr>
                <w:rFonts w:ascii="Verdana" w:eastAsia="Times New Roman" w:hAnsi="Verdana"/>
                <w:color w:val="000000"/>
                <w:sz w:val="18"/>
                <w:lang w:val="en-GB" w:eastAsia="en-GB"/>
              </w:rPr>
              <w:t>(0.012</w:t>
            </w:r>
            <w:r w:rsidRPr="00197F84">
              <w:rPr>
                <w:rFonts w:ascii="Verdana" w:eastAsia="Times New Roman" w:hAnsi="Verdana"/>
                <w:color w:val="000000"/>
                <w:sz w:val="18"/>
                <w:lang w:val="en-GB" w:eastAsia="en-GB"/>
              </w:rPr>
              <w:t>)</w:t>
            </w:r>
          </w:p>
        </w:tc>
        <w:tc>
          <w:tcPr>
            <w:tcW w:w="1275" w:type="dxa"/>
            <w:shd w:val="clear" w:color="auto" w:fill="auto"/>
            <w:vAlign w:val="bottom"/>
          </w:tcPr>
          <w:p w14:paraId="1F398FD1" w14:textId="77777777" w:rsidR="004D1438" w:rsidRPr="009B048F" w:rsidRDefault="004D1438" w:rsidP="00BC71BA">
            <w:pPr>
              <w:spacing w:after="0" w:line="240" w:lineRule="auto"/>
              <w:jc w:val="center"/>
              <w:rPr>
                <w:rFonts w:ascii="Verdana" w:hAnsi="Verdana"/>
                <w:color w:val="000000"/>
                <w:sz w:val="18"/>
                <w:lang w:val="en-US"/>
              </w:rPr>
            </w:pPr>
            <w:r>
              <w:rPr>
                <w:rFonts w:ascii="Verdana" w:eastAsia="Times New Roman" w:hAnsi="Verdana"/>
                <w:color w:val="000000"/>
                <w:sz w:val="18"/>
                <w:lang w:val="en-GB" w:eastAsia="en-GB"/>
              </w:rPr>
              <w:t>0.021</w:t>
            </w:r>
            <w:r w:rsidRPr="00197F84">
              <w:rPr>
                <w:rFonts w:ascii="Verdana" w:eastAsia="Times New Roman" w:hAnsi="Verdana"/>
                <w:color w:val="000000"/>
                <w:sz w:val="18"/>
                <w:lang w:val="en-GB" w:eastAsia="en-GB"/>
              </w:rPr>
              <w:t>*</w:t>
            </w:r>
          </w:p>
        </w:tc>
        <w:tc>
          <w:tcPr>
            <w:tcW w:w="1276" w:type="dxa"/>
            <w:shd w:val="clear" w:color="auto" w:fill="auto"/>
            <w:vAlign w:val="bottom"/>
          </w:tcPr>
          <w:p w14:paraId="7E4F1818"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(0.012</w:t>
            </w:r>
            <w:r w:rsidRPr="00197F84">
              <w:rPr>
                <w:rFonts w:ascii="Verdana" w:eastAsia="Times New Roman" w:hAnsi="Verdana"/>
                <w:color w:val="000000"/>
                <w:sz w:val="18"/>
                <w:lang w:val="en-GB" w:eastAsia="en-GB"/>
              </w:rPr>
              <w:t>)</w:t>
            </w:r>
          </w:p>
        </w:tc>
      </w:tr>
      <w:tr w:rsidR="004D1438" w:rsidRPr="002414C5" w14:paraId="10B239B6" w14:textId="77777777" w:rsidTr="00BC71BA">
        <w:trPr>
          <w:trHeight w:val="122"/>
        </w:trPr>
        <w:tc>
          <w:tcPr>
            <w:tcW w:w="2410" w:type="dxa"/>
            <w:shd w:val="clear" w:color="auto" w:fill="auto"/>
            <w:noWrap/>
            <w:vAlign w:val="bottom"/>
          </w:tcPr>
          <w:p w14:paraId="5D6B9892"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Gender</w:t>
            </w:r>
          </w:p>
        </w:tc>
        <w:tc>
          <w:tcPr>
            <w:tcW w:w="1951" w:type="dxa"/>
            <w:shd w:val="clear" w:color="auto" w:fill="auto"/>
            <w:noWrap/>
            <w:vAlign w:val="bottom"/>
          </w:tcPr>
          <w:p w14:paraId="03C8F342"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Woman</w:t>
            </w:r>
          </w:p>
        </w:tc>
        <w:tc>
          <w:tcPr>
            <w:tcW w:w="1276" w:type="dxa"/>
            <w:shd w:val="clear" w:color="auto" w:fill="auto"/>
            <w:vAlign w:val="bottom"/>
          </w:tcPr>
          <w:p w14:paraId="4F28D2C3"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-0.006</w:t>
            </w:r>
          </w:p>
        </w:tc>
        <w:tc>
          <w:tcPr>
            <w:tcW w:w="1134" w:type="dxa"/>
            <w:shd w:val="clear" w:color="auto" w:fill="auto"/>
            <w:vAlign w:val="bottom"/>
          </w:tcPr>
          <w:p w14:paraId="6C2A6DFC"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0.005)</w:t>
            </w:r>
          </w:p>
        </w:tc>
        <w:tc>
          <w:tcPr>
            <w:tcW w:w="1275" w:type="dxa"/>
            <w:shd w:val="clear" w:color="auto" w:fill="auto"/>
            <w:vAlign w:val="bottom"/>
          </w:tcPr>
          <w:p w14:paraId="32CA5302"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-0.006</w:t>
            </w:r>
          </w:p>
        </w:tc>
        <w:tc>
          <w:tcPr>
            <w:tcW w:w="1276" w:type="dxa"/>
            <w:shd w:val="clear" w:color="auto" w:fill="auto"/>
            <w:vAlign w:val="bottom"/>
          </w:tcPr>
          <w:p w14:paraId="16DF5450"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0.005)</w:t>
            </w:r>
          </w:p>
        </w:tc>
      </w:tr>
      <w:tr w:rsidR="004D1438" w:rsidRPr="002414C5" w14:paraId="50FEAE92" w14:textId="77777777" w:rsidTr="00BC71BA">
        <w:trPr>
          <w:trHeight w:val="226"/>
        </w:trPr>
        <w:tc>
          <w:tcPr>
            <w:tcW w:w="2410" w:type="dxa"/>
            <w:vMerge w:val="restart"/>
            <w:shd w:val="clear" w:color="auto" w:fill="auto"/>
            <w:noWrap/>
            <w:vAlign w:val="bottom"/>
          </w:tcPr>
          <w:p w14:paraId="205CBAE2"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Employment status</w:t>
            </w:r>
          </w:p>
        </w:tc>
        <w:tc>
          <w:tcPr>
            <w:tcW w:w="1951" w:type="dxa"/>
            <w:shd w:val="clear" w:color="auto" w:fill="auto"/>
            <w:noWrap/>
            <w:vAlign w:val="bottom"/>
          </w:tcPr>
          <w:p w14:paraId="207A39AF"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Self Employed</w:t>
            </w:r>
          </w:p>
        </w:tc>
        <w:tc>
          <w:tcPr>
            <w:tcW w:w="1276" w:type="dxa"/>
            <w:shd w:val="clear" w:color="auto" w:fill="auto"/>
            <w:vAlign w:val="bottom"/>
          </w:tcPr>
          <w:p w14:paraId="0C03B04A"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0.033</w:t>
            </w:r>
          </w:p>
        </w:tc>
        <w:tc>
          <w:tcPr>
            <w:tcW w:w="1134" w:type="dxa"/>
            <w:shd w:val="clear" w:color="auto" w:fill="auto"/>
            <w:vAlign w:val="bottom"/>
          </w:tcPr>
          <w:p w14:paraId="048EC5D4"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(0.024</w:t>
            </w:r>
            <w:r w:rsidRPr="00197F84">
              <w:rPr>
                <w:rFonts w:ascii="Verdana" w:eastAsia="Times New Roman" w:hAnsi="Verdana"/>
                <w:color w:val="000000"/>
                <w:sz w:val="18"/>
                <w:lang w:val="en-GB" w:eastAsia="en-GB"/>
              </w:rPr>
              <w:t>)</w:t>
            </w:r>
          </w:p>
        </w:tc>
        <w:tc>
          <w:tcPr>
            <w:tcW w:w="1275" w:type="dxa"/>
            <w:shd w:val="clear" w:color="auto" w:fill="auto"/>
            <w:vAlign w:val="bottom"/>
          </w:tcPr>
          <w:p w14:paraId="7447F94E"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0.032</w:t>
            </w:r>
          </w:p>
        </w:tc>
        <w:tc>
          <w:tcPr>
            <w:tcW w:w="1276" w:type="dxa"/>
            <w:shd w:val="clear" w:color="auto" w:fill="auto"/>
            <w:vAlign w:val="bottom"/>
          </w:tcPr>
          <w:p w14:paraId="08341462"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(0.024</w:t>
            </w:r>
            <w:r w:rsidRPr="00197F84">
              <w:rPr>
                <w:rFonts w:ascii="Verdana" w:eastAsia="Times New Roman" w:hAnsi="Verdana"/>
                <w:color w:val="000000"/>
                <w:sz w:val="18"/>
                <w:lang w:val="en-GB" w:eastAsia="en-GB"/>
              </w:rPr>
              <w:t>)</w:t>
            </w:r>
          </w:p>
        </w:tc>
      </w:tr>
      <w:tr w:rsidR="004D1438" w:rsidRPr="002414C5" w14:paraId="24829A5C" w14:textId="77777777" w:rsidTr="00BC71BA">
        <w:trPr>
          <w:trHeight w:val="202"/>
        </w:trPr>
        <w:tc>
          <w:tcPr>
            <w:tcW w:w="2410" w:type="dxa"/>
            <w:vMerge/>
            <w:shd w:val="clear" w:color="auto" w:fill="auto"/>
            <w:noWrap/>
            <w:vAlign w:val="bottom"/>
          </w:tcPr>
          <w:p w14:paraId="557BEF01"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0E8CDCA6"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Employed</w:t>
            </w:r>
          </w:p>
        </w:tc>
        <w:tc>
          <w:tcPr>
            <w:tcW w:w="1276" w:type="dxa"/>
            <w:shd w:val="clear" w:color="auto" w:fill="auto"/>
            <w:vAlign w:val="bottom"/>
          </w:tcPr>
          <w:p w14:paraId="4CF97344" w14:textId="77777777" w:rsidR="004D1438" w:rsidRPr="00872CDA" w:rsidRDefault="004D1438" w:rsidP="00BC71BA">
            <w:pPr>
              <w:spacing w:after="0" w:line="240" w:lineRule="auto"/>
              <w:jc w:val="center"/>
              <w:rPr>
                <w:rFonts w:ascii="Verdana" w:hAnsi="Verdana"/>
                <w:color w:val="000000"/>
                <w:sz w:val="18"/>
              </w:rPr>
            </w:pPr>
            <w:r w:rsidRPr="00872CDA">
              <w:rPr>
                <w:rFonts w:ascii="Verdana" w:eastAsia="Times New Roman" w:hAnsi="Verdana"/>
                <w:color w:val="000000"/>
                <w:sz w:val="18"/>
                <w:lang w:val="en-GB" w:eastAsia="en-GB"/>
              </w:rPr>
              <w:t>0.001</w:t>
            </w:r>
          </w:p>
        </w:tc>
        <w:tc>
          <w:tcPr>
            <w:tcW w:w="1134" w:type="dxa"/>
            <w:shd w:val="clear" w:color="auto" w:fill="auto"/>
            <w:vAlign w:val="bottom"/>
          </w:tcPr>
          <w:p w14:paraId="18C7E2EE" w14:textId="77777777" w:rsidR="004D1438" w:rsidRPr="00020496"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020496">
              <w:rPr>
                <w:rFonts w:ascii="Verdana" w:eastAsia="Times New Roman" w:hAnsi="Verdana"/>
                <w:color w:val="000000"/>
                <w:sz w:val="18"/>
                <w:lang w:val="en-GB" w:eastAsia="en-GB"/>
              </w:rPr>
              <w:t>0.010)</w:t>
            </w:r>
          </w:p>
        </w:tc>
        <w:tc>
          <w:tcPr>
            <w:tcW w:w="1275" w:type="dxa"/>
            <w:shd w:val="clear" w:color="auto" w:fill="auto"/>
            <w:vAlign w:val="bottom"/>
          </w:tcPr>
          <w:p w14:paraId="4759752A" w14:textId="77777777" w:rsidR="004D1438" w:rsidRPr="00500508"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0.000</w:t>
            </w:r>
          </w:p>
        </w:tc>
        <w:tc>
          <w:tcPr>
            <w:tcW w:w="1276" w:type="dxa"/>
            <w:shd w:val="clear" w:color="auto" w:fill="auto"/>
            <w:vAlign w:val="bottom"/>
          </w:tcPr>
          <w:p w14:paraId="4DF0A8A5" w14:textId="77777777" w:rsidR="004D1438" w:rsidRPr="00500508"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(0.010</w:t>
            </w:r>
            <w:r w:rsidRPr="00500508">
              <w:rPr>
                <w:rFonts w:ascii="Verdana" w:eastAsia="Times New Roman" w:hAnsi="Verdana"/>
                <w:color w:val="000000"/>
                <w:sz w:val="18"/>
                <w:lang w:val="en-GB" w:eastAsia="en-GB"/>
              </w:rPr>
              <w:t>)</w:t>
            </w:r>
          </w:p>
        </w:tc>
      </w:tr>
      <w:tr w:rsidR="004D1438" w:rsidRPr="002414C5" w14:paraId="008FD747" w14:textId="77777777" w:rsidTr="00BC71BA">
        <w:trPr>
          <w:trHeight w:val="65"/>
        </w:trPr>
        <w:tc>
          <w:tcPr>
            <w:tcW w:w="2410" w:type="dxa"/>
            <w:vMerge w:val="restart"/>
            <w:shd w:val="clear" w:color="auto" w:fill="auto"/>
            <w:noWrap/>
            <w:vAlign w:val="bottom"/>
          </w:tcPr>
          <w:p w14:paraId="41687BC9"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Occupation</w:t>
            </w:r>
          </w:p>
        </w:tc>
        <w:tc>
          <w:tcPr>
            <w:tcW w:w="1951" w:type="dxa"/>
            <w:shd w:val="clear" w:color="auto" w:fill="auto"/>
            <w:noWrap/>
            <w:vAlign w:val="bottom"/>
          </w:tcPr>
          <w:p w14:paraId="6061A8FB"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Manager</w:t>
            </w:r>
          </w:p>
        </w:tc>
        <w:tc>
          <w:tcPr>
            <w:tcW w:w="1276" w:type="dxa"/>
            <w:shd w:val="clear" w:color="auto" w:fill="auto"/>
            <w:vAlign w:val="bottom"/>
          </w:tcPr>
          <w:p w14:paraId="1D9C92A8"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0.018</w:t>
            </w:r>
          </w:p>
        </w:tc>
        <w:tc>
          <w:tcPr>
            <w:tcW w:w="1134" w:type="dxa"/>
            <w:shd w:val="clear" w:color="auto" w:fill="auto"/>
            <w:vAlign w:val="bottom"/>
          </w:tcPr>
          <w:p w14:paraId="1AB2F8F9"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(0.020</w:t>
            </w:r>
            <w:r w:rsidRPr="00197F84">
              <w:rPr>
                <w:rFonts w:ascii="Verdana" w:eastAsia="Times New Roman" w:hAnsi="Verdana"/>
                <w:color w:val="000000"/>
                <w:sz w:val="18"/>
                <w:lang w:val="en-GB" w:eastAsia="en-GB"/>
              </w:rPr>
              <w:t>)</w:t>
            </w:r>
          </w:p>
        </w:tc>
        <w:tc>
          <w:tcPr>
            <w:tcW w:w="1275" w:type="dxa"/>
            <w:shd w:val="clear" w:color="auto" w:fill="auto"/>
            <w:vAlign w:val="bottom"/>
          </w:tcPr>
          <w:p w14:paraId="5F0615F0"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0.02</w:t>
            </w:r>
            <w:r>
              <w:rPr>
                <w:rFonts w:ascii="Verdana" w:eastAsia="Times New Roman" w:hAnsi="Verdana"/>
                <w:color w:val="000000"/>
                <w:sz w:val="18"/>
                <w:lang w:val="en-GB" w:eastAsia="en-GB"/>
              </w:rPr>
              <w:t>0</w:t>
            </w:r>
          </w:p>
        </w:tc>
        <w:tc>
          <w:tcPr>
            <w:tcW w:w="1276" w:type="dxa"/>
            <w:shd w:val="clear" w:color="auto" w:fill="auto"/>
            <w:vAlign w:val="bottom"/>
          </w:tcPr>
          <w:p w14:paraId="07847BD9"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(0.021</w:t>
            </w:r>
            <w:r w:rsidRPr="00197F84">
              <w:rPr>
                <w:rFonts w:ascii="Verdana" w:eastAsia="Times New Roman" w:hAnsi="Verdana"/>
                <w:color w:val="000000"/>
                <w:sz w:val="18"/>
                <w:lang w:val="en-GB" w:eastAsia="en-GB"/>
              </w:rPr>
              <w:t>)</w:t>
            </w:r>
          </w:p>
        </w:tc>
      </w:tr>
      <w:tr w:rsidR="004D1438" w:rsidRPr="002414C5" w14:paraId="189C45A9" w14:textId="77777777" w:rsidTr="00BC71BA">
        <w:trPr>
          <w:trHeight w:val="140"/>
        </w:trPr>
        <w:tc>
          <w:tcPr>
            <w:tcW w:w="2410" w:type="dxa"/>
            <w:vMerge/>
            <w:shd w:val="clear" w:color="auto" w:fill="auto"/>
            <w:noWrap/>
            <w:vAlign w:val="bottom"/>
          </w:tcPr>
          <w:p w14:paraId="29426F0C"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74AAF84C"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White-Collar</w:t>
            </w:r>
          </w:p>
        </w:tc>
        <w:tc>
          <w:tcPr>
            <w:tcW w:w="1276" w:type="dxa"/>
            <w:shd w:val="clear" w:color="auto" w:fill="auto"/>
            <w:vAlign w:val="bottom"/>
          </w:tcPr>
          <w:p w14:paraId="5E047840" w14:textId="77777777" w:rsidR="004D1438" w:rsidRPr="00872CDA" w:rsidRDefault="004D1438" w:rsidP="00BC71BA">
            <w:pPr>
              <w:spacing w:after="0" w:line="240" w:lineRule="auto"/>
              <w:jc w:val="center"/>
              <w:rPr>
                <w:rFonts w:ascii="Verdana" w:hAnsi="Verdana"/>
                <w:color w:val="000000"/>
                <w:sz w:val="18"/>
              </w:rPr>
            </w:pPr>
            <w:r w:rsidRPr="00872CDA">
              <w:rPr>
                <w:rFonts w:ascii="Verdana" w:eastAsia="Times New Roman" w:hAnsi="Verdana"/>
                <w:color w:val="000000"/>
                <w:sz w:val="18"/>
                <w:lang w:val="en-GB" w:eastAsia="en-GB"/>
              </w:rPr>
              <w:t>0</w:t>
            </w:r>
            <w:r>
              <w:rPr>
                <w:rFonts w:ascii="Verdana" w:eastAsia="Times New Roman" w:hAnsi="Verdana"/>
                <w:color w:val="000000"/>
                <w:sz w:val="18"/>
                <w:lang w:val="en-GB" w:eastAsia="en-GB"/>
              </w:rPr>
              <w:t>.006</w:t>
            </w:r>
          </w:p>
        </w:tc>
        <w:tc>
          <w:tcPr>
            <w:tcW w:w="1134" w:type="dxa"/>
            <w:shd w:val="clear" w:color="auto" w:fill="auto"/>
            <w:vAlign w:val="bottom"/>
          </w:tcPr>
          <w:p w14:paraId="6C86226A" w14:textId="77777777" w:rsidR="004D1438" w:rsidRPr="00020496"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020496">
              <w:rPr>
                <w:rFonts w:ascii="Verdana" w:eastAsia="Times New Roman" w:hAnsi="Verdana"/>
                <w:color w:val="000000"/>
                <w:sz w:val="18"/>
                <w:lang w:val="en-GB" w:eastAsia="en-GB"/>
              </w:rPr>
              <w:t>0.02</w:t>
            </w:r>
            <w:r>
              <w:rPr>
                <w:rFonts w:ascii="Verdana" w:eastAsia="Times New Roman" w:hAnsi="Verdana"/>
                <w:color w:val="000000"/>
                <w:sz w:val="18"/>
                <w:lang w:val="en-GB" w:eastAsia="en-GB"/>
              </w:rPr>
              <w:t>1</w:t>
            </w:r>
            <w:r w:rsidRPr="00020496">
              <w:rPr>
                <w:rFonts w:ascii="Verdana" w:eastAsia="Times New Roman" w:hAnsi="Verdana"/>
                <w:color w:val="000000"/>
                <w:sz w:val="18"/>
                <w:lang w:val="en-GB" w:eastAsia="en-GB"/>
              </w:rPr>
              <w:t>)</w:t>
            </w:r>
          </w:p>
        </w:tc>
        <w:tc>
          <w:tcPr>
            <w:tcW w:w="1275" w:type="dxa"/>
            <w:shd w:val="clear" w:color="auto" w:fill="auto"/>
            <w:vAlign w:val="bottom"/>
          </w:tcPr>
          <w:p w14:paraId="70E31D50" w14:textId="77777777" w:rsidR="004D1438" w:rsidRPr="00020496"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0.008</w:t>
            </w:r>
          </w:p>
        </w:tc>
        <w:tc>
          <w:tcPr>
            <w:tcW w:w="1276" w:type="dxa"/>
            <w:shd w:val="clear" w:color="auto" w:fill="auto"/>
            <w:vAlign w:val="bottom"/>
          </w:tcPr>
          <w:p w14:paraId="53E879FA" w14:textId="77777777" w:rsidR="004D1438" w:rsidRPr="00020496"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020496">
              <w:rPr>
                <w:rFonts w:ascii="Verdana" w:eastAsia="Times New Roman" w:hAnsi="Verdana"/>
                <w:color w:val="000000"/>
                <w:sz w:val="18"/>
                <w:lang w:val="en-GB" w:eastAsia="en-GB"/>
              </w:rPr>
              <w:t>0.02</w:t>
            </w:r>
            <w:r>
              <w:rPr>
                <w:rFonts w:ascii="Verdana" w:eastAsia="Times New Roman" w:hAnsi="Verdana"/>
                <w:color w:val="000000"/>
                <w:sz w:val="18"/>
                <w:lang w:val="en-GB" w:eastAsia="en-GB"/>
              </w:rPr>
              <w:t>1</w:t>
            </w:r>
            <w:r w:rsidRPr="00020496">
              <w:rPr>
                <w:rFonts w:ascii="Verdana" w:eastAsia="Times New Roman" w:hAnsi="Verdana"/>
                <w:color w:val="000000"/>
                <w:sz w:val="18"/>
                <w:lang w:val="en-GB" w:eastAsia="en-GB"/>
              </w:rPr>
              <w:t>)</w:t>
            </w:r>
          </w:p>
        </w:tc>
      </w:tr>
      <w:tr w:rsidR="004D1438" w:rsidRPr="002414C5" w14:paraId="7DC6CB02" w14:textId="77777777" w:rsidTr="00BC71BA">
        <w:trPr>
          <w:trHeight w:val="244"/>
        </w:trPr>
        <w:tc>
          <w:tcPr>
            <w:tcW w:w="2410" w:type="dxa"/>
            <w:vMerge/>
            <w:shd w:val="clear" w:color="auto" w:fill="auto"/>
            <w:noWrap/>
            <w:vAlign w:val="bottom"/>
          </w:tcPr>
          <w:p w14:paraId="3E293611"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4E0C0391"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Manual Worker</w:t>
            </w:r>
          </w:p>
        </w:tc>
        <w:tc>
          <w:tcPr>
            <w:tcW w:w="1276" w:type="dxa"/>
            <w:shd w:val="clear" w:color="auto" w:fill="auto"/>
            <w:vAlign w:val="bottom"/>
          </w:tcPr>
          <w:p w14:paraId="3DF19FE7" w14:textId="77777777" w:rsidR="004D1438" w:rsidRPr="00872CDA"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-0.004</w:t>
            </w:r>
          </w:p>
        </w:tc>
        <w:tc>
          <w:tcPr>
            <w:tcW w:w="1134" w:type="dxa"/>
            <w:shd w:val="clear" w:color="auto" w:fill="auto"/>
            <w:vAlign w:val="bottom"/>
          </w:tcPr>
          <w:p w14:paraId="79902CAB" w14:textId="77777777" w:rsidR="004D1438" w:rsidRPr="00872CDA"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(0.024</w:t>
            </w:r>
            <w:r w:rsidRPr="00872CDA">
              <w:rPr>
                <w:rFonts w:ascii="Verdana" w:eastAsia="Times New Roman" w:hAnsi="Verdana"/>
                <w:color w:val="000000"/>
                <w:sz w:val="18"/>
                <w:lang w:val="en-GB" w:eastAsia="en-GB"/>
              </w:rPr>
              <w:t>)</w:t>
            </w:r>
          </w:p>
        </w:tc>
        <w:tc>
          <w:tcPr>
            <w:tcW w:w="1275" w:type="dxa"/>
            <w:shd w:val="clear" w:color="auto" w:fill="auto"/>
            <w:vAlign w:val="bottom"/>
          </w:tcPr>
          <w:p w14:paraId="2B0E8E77" w14:textId="77777777" w:rsidR="004D1438" w:rsidRPr="00500508"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-0.001</w:t>
            </w:r>
          </w:p>
        </w:tc>
        <w:tc>
          <w:tcPr>
            <w:tcW w:w="1276" w:type="dxa"/>
            <w:shd w:val="clear" w:color="auto" w:fill="auto"/>
            <w:vAlign w:val="bottom"/>
          </w:tcPr>
          <w:p w14:paraId="687C25E6" w14:textId="77777777" w:rsidR="004D1438" w:rsidRPr="00500508"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(0.024</w:t>
            </w:r>
            <w:r w:rsidRPr="00500508">
              <w:rPr>
                <w:rFonts w:ascii="Verdana" w:eastAsia="Times New Roman" w:hAnsi="Verdana"/>
                <w:color w:val="000000"/>
                <w:sz w:val="18"/>
                <w:lang w:val="en-GB" w:eastAsia="en-GB"/>
              </w:rPr>
              <w:t>)</w:t>
            </w:r>
          </w:p>
        </w:tc>
      </w:tr>
      <w:tr w:rsidR="004D1438" w:rsidRPr="002414C5" w14:paraId="612C3BC1" w14:textId="77777777" w:rsidTr="00BC71BA">
        <w:trPr>
          <w:trHeight w:val="79"/>
        </w:trPr>
        <w:tc>
          <w:tcPr>
            <w:tcW w:w="2410" w:type="dxa"/>
            <w:shd w:val="clear" w:color="auto" w:fill="auto"/>
            <w:noWrap/>
            <w:vAlign w:val="bottom"/>
          </w:tcPr>
          <w:p w14:paraId="4E66FF7D"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Marital status</w:t>
            </w:r>
          </w:p>
        </w:tc>
        <w:tc>
          <w:tcPr>
            <w:tcW w:w="1951" w:type="dxa"/>
            <w:shd w:val="clear" w:color="auto" w:fill="auto"/>
            <w:noWrap/>
            <w:vAlign w:val="bottom"/>
          </w:tcPr>
          <w:p w14:paraId="606450AD"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Single Adult</w:t>
            </w:r>
          </w:p>
        </w:tc>
        <w:tc>
          <w:tcPr>
            <w:tcW w:w="1276" w:type="dxa"/>
            <w:shd w:val="clear" w:color="auto" w:fill="auto"/>
            <w:vAlign w:val="bottom"/>
          </w:tcPr>
          <w:p w14:paraId="0377D6C4"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-0.001</w:t>
            </w:r>
          </w:p>
        </w:tc>
        <w:tc>
          <w:tcPr>
            <w:tcW w:w="1134" w:type="dxa"/>
            <w:shd w:val="clear" w:color="auto" w:fill="auto"/>
            <w:vAlign w:val="bottom"/>
          </w:tcPr>
          <w:p w14:paraId="2776CF7B"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(0.004)</w:t>
            </w:r>
          </w:p>
        </w:tc>
        <w:tc>
          <w:tcPr>
            <w:tcW w:w="1275" w:type="dxa"/>
            <w:shd w:val="clear" w:color="auto" w:fill="auto"/>
            <w:vAlign w:val="bottom"/>
          </w:tcPr>
          <w:p w14:paraId="140276F4"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0.001</w:t>
            </w:r>
          </w:p>
        </w:tc>
        <w:tc>
          <w:tcPr>
            <w:tcW w:w="1276" w:type="dxa"/>
            <w:shd w:val="clear" w:color="auto" w:fill="auto"/>
            <w:vAlign w:val="bottom"/>
          </w:tcPr>
          <w:p w14:paraId="3D9A3D3E"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0.004)</w:t>
            </w:r>
          </w:p>
        </w:tc>
      </w:tr>
      <w:tr w:rsidR="004D1438" w:rsidRPr="002414C5" w14:paraId="145CFEC7" w14:textId="77777777" w:rsidTr="00BC71BA">
        <w:trPr>
          <w:trHeight w:val="182"/>
        </w:trPr>
        <w:tc>
          <w:tcPr>
            <w:tcW w:w="2410" w:type="dxa"/>
            <w:vMerge w:val="restart"/>
            <w:shd w:val="clear" w:color="auto" w:fill="auto"/>
            <w:noWrap/>
            <w:vAlign w:val="bottom"/>
          </w:tcPr>
          <w:p w14:paraId="78FD38D8"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Household size</w:t>
            </w:r>
          </w:p>
        </w:tc>
        <w:tc>
          <w:tcPr>
            <w:tcW w:w="1951" w:type="dxa"/>
            <w:shd w:val="clear" w:color="auto" w:fill="auto"/>
            <w:noWrap/>
            <w:vAlign w:val="bottom"/>
          </w:tcPr>
          <w:p w14:paraId="257ABF97"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H</w:t>
            </w:r>
            <w:r w:rsidRPr="002414C5">
              <w:rPr>
                <w:rFonts w:ascii="Verdana" w:eastAsia="Times New Roman" w:hAnsi="Verdana"/>
                <w:color w:val="000000"/>
                <w:sz w:val="18"/>
                <w:lang w:val="en-GB" w:eastAsia="en-GB"/>
              </w:rPr>
              <w:t>ouse</w:t>
            </w:r>
            <w:r w:rsidRPr="00197F84">
              <w:rPr>
                <w:rFonts w:ascii="Verdana" w:eastAsia="Times New Roman" w:hAnsi="Verdana"/>
                <w:color w:val="000000"/>
                <w:sz w:val="18"/>
                <w:lang w:val="en-GB" w:eastAsia="en-GB"/>
              </w:rPr>
              <w:t>hold size</w:t>
            </w:r>
          </w:p>
        </w:tc>
        <w:tc>
          <w:tcPr>
            <w:tcW w:w="1276" w:type="dxa"/>
            <w:shd w:val="clear" w:color="auto" w:fill="auto"/>
            <w:vAlign w:val="bottom"/>
          </w:tcPr>
          <w:p w14:paraId="7114C6EA"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-0.006</w:t>
            </w:r>
          </w:p>
        </w:tc>
        <w:tc>
          <w:tcPr>
            <w:tcW w:w="1134" w:type="dxa"/>
            <w:shd w:val="clear" w:color="auto" w:fill="auto"/>
            <w:vAlign w:val="bottom"/>
          </w:tcPr>
          <w:p w14:paraId="451FEEA7"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(0.009)</w:t>
            </w:r>
          </w:p>
        </w:tc>
        <w:tc>
          <w:tcPr>
            <w:tcW w:w="1275" w:type="dxa"/>
            <w:shd w:val="clear" w:color="auto" w:fill="auto"/>
            <w:vAlign w:val="bottom"/>
          </w:tcPr>
          <w:p w14:paraId="75134904"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-0.007</w:t>
            </w:r>
          </w:p>
        </w:tc>
        <w:tc>
          <w:tcPr>
            <w:tcW w:w="1276" w:type="dxa"/>
            <w:shd w:val="clear" w:color="auto" w:fill="auto"/>
            <w:vAlign w:val="bottom"/>
          </w:tcPr>
          <w:p w14:paraId="7FE5222C"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(0.013</w:t>
            </w:r>
            <w:r w:rsidRPr="00197F84">
              <w:rPr>
                <w:rFonts w:ascii="Verdana" w:eastAsia="Times New Roman" w:hAnsi="Verdana"/>
                <w:color w:val="000000"/>
                <w:sz w:val="18"/>
                <w:lang w:val="en-GB" w:eastAsia="en-GB"/>
              </w:rPr>
              <w:t>)</w:t>
            </w:r>
          </w:p>
        </w:tc>
      </w:tr>
      <w:tr w:rsidR="004D1438" w:rsidRPr="002414C5" w14:paraId="3CF766C8" w14:textId="77777777" w:rsidTr="00BC71BA">
        <w:trPr>
          <w:trHeight w:val="87"/>
        </w:trPr>
        <w:tc>
          <w:tcPr>
            <w:tcW w:w="2410" w:type="dxa"/>
            <w:vMerge/>
            <w:shd w:val="clear" w:color="auto" w:fill="auto"/>
            <w:noWrap/>
            <w:vAlign w:val="bottom"/>
          </w:tcPr>
          <w:p w14:paraId="4EA6D775"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71A48210"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2414C5">
              <w:rPr>
                <w:rFonts w:ascii="Verdana" w:eastAsia="Times New Roman" w:hAnsi="Verdana"/>
                <w:color w:val="000000"/>
                <w:sz w:val="18"/>
                <w:lang w:val="en-GB" w:eastAsia="en-GB"/>
              </w:rPr>
              <w:t>Household</w:t>
            </w:r>
            <w:r w:rsidRPr="002414C5" w:rsidDel="002414C5">
              <w:rPr>
                <w:rFonts w:ascii="Verdana" w:eastAsia="Times New Roman" w:hAnsi="Verdana"/>
                <w:color w:val="000000"/>
                <w:sz w:val="18"/>
                <w:lang w:val="en-GB" w:eastAsia="en-GB"/>
              </w:rPr>
              <w:t xml:space="preserve"> </w:t>
            </w:r>
            <w:r w:rsidRPr="00197F84">
              <w:rPr>
                <w:rFonts w:ascii="Verdana" w:eastAsia="Times New Roman" w:hAnsi="Verdana"/>
                <w:color w:val="000000"/>
                <w:sz w:val="18"/>
                <w:lang w:val="en-GB" w:eastAsia="en-GB"/>
              </w:rPr>
              <w:t>size^2</w:t>
            </w:r>
          </w:p>
        </w:tc>
        <w:tc>
          <w:tcPr>
            <w:tcW w:w="1276" w:type="dxa"/>
            <w:shd w:val="clear" w:color="auto" w:fill="auto"/>
            <w:vAlign w:val="bottom"/>
          </w:tcPr>
          <w:p w14:paraId="4F1E827E"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0.001</w:t>
            </w:r>
          </w:p>
        </w:tc>
        <w:tc>
          <w:tcPr>
            <w:tcW w:w="1134" w:type="dxa"/>
            <w:shd w:val="clear" w:color="auto" w:fill="auto"/>
            <w:vAlign w:val="bottom"/>
          </w:tcPr>
          <w:p w14:paraId="6080FE27"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(0.001)</w:t>
            </w:r>
          </w:p>
        </w:tc>
        <w:tc>
          <w:tcPr>
            <w:tcW w:w="1275" w:type="dxa"/>
            <w:shd w:val="clear" w:color="auto" w:fill="auto"/>
            <w:vAlign w:val="bottom"/>
          </w:tcPr>
          <w:p w14:paraId="4FA30AF7" w14:textId="77777777" w:rsidR="004D1438" w:rsidRPr="00197F84" w:rsidRDefault="004D1438" w:rsidP="00BC71BA">
            <w:pPr>
              <w:spacing w:after="0" w:line="240" w:lineRule="auto"/>
              <w:jc w:val="center"/>
              <w:rPr>
                <w:rFonts w:ascii="Verdana" w:hAnsi="Verdana"/>
                <w:color w:val="000000"/>
                <w:sz w:val="18"/>
              </w:rPr>
            </w:pPr>
            <w:r w:rsidRPr="00197F84">
              <w:rPr>
                <w:rFonts w:ascii="Verdana" w:eastAsia="Times New Roman" w:hAnsi="Verdana"/>
                <w:color w:val="000000"/>
                <w:sz w:val="18"/>
                <w:lang w:val="en-GB" w:eastAsia="en-GB"/>
              </w:rPr>
              <w:t>0.001</w:t>
            </w:r>
          </w:p>
        </w:tc>
        <w:tc>
          <w:tcPr>
            <w:tcW w:w="1276" w:type="dxa"/>
            <w:shd w:val="clear" w:color="auto" w:fill="auto"/>
            <w:vAlign w:val="bottom"/>
          </w:tcPr>
          <w:p w14:paraId="3CE875AE"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0.001)</w:t>
            </w:r>
          </w:p>
        </w:tc>
      </w:tr>
      <w:tr w:rsidR="004D1438" w:rsidRPr="002414C5" w14:paraId="6313C1E0" w14:textId="77777777" w:rsidTr="00BC71BA">
        <w:trPr>
          <w:trHeight w:val="120"/>
        </w:trPr>
        <w:tc>
          <w:tcPr>
            <w:tcW w:w="2410" w:type="dxa"/>
            <w:vMerge w:val="restart"/>
            <w:shd w:val="clear" w:color="auto" w:fill="auto"/>
            <w:noWrap/>
            <w:vAlign w:val="bottom"/>
          </w:tcPr>
          <w:p w14:paraId="7A2EE6F0"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House ownership</w:t>
            </w:r>
          </w:p>
        </w:tc>
        <w:tc>
          <w:tcPr>
            <w:tcW w:w="1951" w:type="dxa"/>
            <w:shd w:val="clear" w:color="auto" w:fill="auto"/>
            <w:noWrap/>
            <w:vAlign w:val="bottom"/>
          </w:tcPr>
          <w:p w14:paraId="745E6EAF"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House ownership</w:t>
            </w:r>
          </w:p>
        </w:tc>
        <w:tc>
          <w:tcPr>
            <w:tcW w:w="1276" w:type="dxa"/>
            <w:shd w:val="clear" w:color="auto" w:fill="auto"/>
            <w:vAlign w:val="bottom"/>
          </w:tcPr>
          <w:p w14:paraId="65C9262F"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-0.029</w:t>
            </w:r>
            <w:r w:rsidRPr="00197F84">
              <w:rPr>
                <w:rFonts w:ascii="Verdana" w:eastAsia="Times New Roman" w:hAnsi="Verdana"/>
                <w:color w:val="000000"/>
                <w:sz w:val="18"/>
                <w:lang w:val="en-GB" w:eastAsia="en-GB"/>
              </w:rPr>
              <w:t>***</w:t>
            </w:r>
          </w:p>
        </w:tc>
        <w:tc>
          <w:tcPr>
            <w:tcW w:w="1134" w:type="dxa"/>
            <w:shd w:val="clear" w:color="auto" w:fill="auto"/>
            <w:vAlign w:val="bottom"/>
          </w:tcPr>
          <w:p w14:paraId="70CAC797"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(0.006</w:t>
            </w:r>
            <w:r w:rsidRPr="00197F84">
              <w:rPr>
                <w:rFonts w:ascii="Verdana" w:eastAsia="Times New Roman" w:hAnsi="Verdana"/>
                <w:color w:val="000000"/>
                <w:sz w:val="18"/>
                <w:lang w:val="en-GB" w:eastAsia="en-GB"/>
              </w:rPr>
              <w:t>)</w:t>
            </w:r>
          </w:p>
        </w:tc>
        <w:tc>
          <w:tcPr>
            <w:tcW w:w="1275" w:type="dxa"/>
            <w:shd w:val="clear" w:color="auto" w:fill="auto"/>
            <w:vAlign w:val="bottom"/>
          </w:tcPr>
          <w:p w14:paraId="2E57E8FD"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-0.027</w:t>
            </w:r>
            <w:r w:rsidRPr="00197F84">
              <w:rPr>
                <w:rFonts w:ascii="Verdana" w:eastAsia="Times New Roman" w:hAnsi="Verdana"/>
                <w:color w:val="000000"/>
                <w:sz w:val="18"/>
                <w:lang w:val="en-GB" w:eastAsia="en-GB"/>
              </w:rPr>
              <w:t>***</w:t>
            </w:r>
          </w:p>
        </w:tc>
        <w:tc>
          <w:tcPr>
            <w:tcW w:w="1276" w:type="dxa"/>
            <w:shd w:val="clear" w:color="auto" w:fill="auto"/>
            <w:vAlign w:val="bottom"/>
          </w:tcPr>
          <w:p w14:paraId="7D91F292"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(0.007</w:t>
            </w:r>
            <w:r w:rsidRPr="00197F84">
              <w:rPr>
                <w:rFonts w:ascii="Verdana" w:eastAsia="Times New Roman" w:hAnsi="Verdana"/>
                <w:color w:val="000000"/>
                <w:sz w:val="18"/>
                <w:lang w:val="en-GB" w:eastAsia="en-GB"/>
              </w:rPr>
              <w:t>)</w:t>
            </w:r>
          </w:p>
        </w:tc>
      </w:tr>
      <w:tr w:rsidR="004D1438" w:rsidRPr="002414C5" w14:paraId="72CA0C69" w14:textId="77777777" w:rsidTr="00BC71BA">
        <w:trPr>
          <w:trHeight w:val="224"/>
        </w:trPr>
        <w:tc>
          <w:tcPr>
            <w:tcW w:w="2410" w:type="dxa"/>
            <w:vMerge/>
            <w:shd w:val="clear" w:color="auto" w:fill="auto"/>
            <w:noWrap/>
            <w:vAlign w:val="bottom"/>
          </w:tcPr>
          <w:p w14:paraId="08018B84"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3E51F1F6"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House</w:t>
            </w:r>
            <w:r>
              <w:rPr>
                <w:rFonts w:ascii="Verdana" w:eastAsia="Times New Roman" w:hAnsi="Verdana"/>
                <w:color w:val="000000"/>
                <w:sz w:val="18"/>
                <w:lang w:val="en-GB" w:eastAsia="en-GB"/>
              </w:rPr>
              <w:t xml:space="preserve"> </w:t>
            </w:r>
            <w:r w:rsidRPr="00197F84">
              <w:rPr>
                <w:rFonts w:ascii="Verdana" w:eastAsia="Times New Roman" w:hAnsi="Verdana"/>
                <w:color w:val="000000"/>
                <w:sz w:val="18"/>
                <w:lang w:val="en-GB" w:eastAsia="en-GB"/>
              </w:rPr>
              <w:t>mortgage</w:t>
            </w:r>
          </w:p>
        </w:tc>
        <w:tc>
          <w:tcPr>
            <w:tcW w:w="1276" w:type="dxa"/>
            <w:shd w:val="clear" w:color="auto" w:fill="auto"/>
            <w:vAlign w:val="bottom"/>
          </w:tcPr>
          <w:p w14:paraId="68BC4E3F"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-0.006</w:t>
            </w:r>
          </w:p>
        </w:tc>
        <w:tc>
          <w:tcPr>
            <w:tcW w:w="1134" w:type="dxa"/>
            <w:shd w:val="clear" w:color="auto" w:fill="auto"/>
            <w:vAlign w:val="bottom"/>
          </w:tcPr>
          <w:p w14:paraId="1B12A599"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(0.013</w:t>
            </w:r>
            <w:r w:rsidRPr="00197F84">
              <w:rPr>
                <w:rFonts w:ascii="Verdana" w:eastAsia="Times New Roman" w:hAnsi="Verdana"/>
                <w:color w:val="000000"/>
                <w:sz w:val="18"/>
                <w:lang w:val="en-GB" w:eastAsia="en-GB"/>
              </w:rPr>
              <w:t>)</w:t>
            </w:r>
          </w:p>
        </w:tc>
        <w:tc>
          <w:tcPr>
            <w:tcW w:w="1275" w:type="dxa"/>
            <w:shd w:val="clear" w:color="auto" w:fill="auto"/>
            <w:vAlign w:val="bottom"/>
          </w:tcPr>
          <w:p w14:paraId="3567A8D6"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-0.007</w:t>
            </w:r>
          </w:p>
        </w:tc>
        <w:tc>
          <w:tcPr>
            <w:tcW w:w="1276" w:type="dxa"/>
            <w:shd w:val="clear" w:color="auto" w:fill="auto"/>
            <w:vAlign w:val="bottom"/>
          </w:tcPr>
          <w:p w14:paraId="64C4F3CE" w14:textId="77777777" w:rsidR="004D1438" w:rsidRPr="00197F84" w:rsidRDefault="004D1438" w:rsidP="00BC71BA">
            <w:pPr>
              <w:spacing w:after="0" w:line="240" w:lineRule="auto"/>
              <w:jc w:val="center"/>
              <w:rPr>
                <w:rFonts w:ascii="Verdana" w:hAnsi="Verdana"/>
                <w:color w:val="000000"/>
                <w:sz w:val="18"/>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0.013)</w:t>
            </w:r>
          </w:p>
        </w:tc>
      </w:tr>
      <w:tr w:rsidR="004D1438" w:rsidRPr="002414C5" w14:paraId="733068D1" w14:textId="77777777" w:rsidTr="00BC71BA">
        <w:trPr>
          <w:trHeight w:val="200"/>
        </w:trPr>
        <w:tc>
          <w:tcPr>
            <w:tcW w:w="2410" w:type="dxa"/>
            <w:vMerge w:val="restart"/>
            <w:shd w:val="clear" w:color="auto" w:fill="auto"/>
            <w:noWrap/>
            <w:vAlign w:val="bottom"/>
          </w:tcPr>
          <w:p w14:paraId="4C4B0B89"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Size of community</w:t>
            </w:r>
          </w:p>
        </w:tc>
        <w:tc>
          <w:tcPr>
            <w:tcW w:w="1951" w:type="dxa"/>
            <w:shd w:val="clear" w:color="auto" w:fill="auto"/>
            <w:noWrap/>
            <w:vAlign w:val="bottom"/>
          </w:tcPr>
          <w:p w14:paraId="7606561E"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Rural</w:t>
            </w:r>
          </w:p>
        </w:tc>
        <w:tc>
          <w:tcPr>
            <w:tcW w:w="1276" w:type="dxa"/>
            <w:shd w:val="clear" w:color="auto" w:fill="auto"/>
            <w:vAlign w:val="bottom"/>
          </w:tcPr>
          <w:p w14:paraId="6C22A472"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-0.015</w:t>
            </w:r>
          </w:p>
        </w:tc>
        <w:tc>
          <w:tcPr>
            <w:tcW w:w="1134" w:type="dxa"/>
            <w:shd w:val="clear" w:color="auto" w:fill="auto"/>
            <w:vAlign w:val="bottom"/>
          </w:tcPr>
          <w:p w14:paraId="080BAAD2"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(0.012</w:t>
            </w:r>
            <w:r w:rsidRPr="00197F84">
              <w:rPr>
                <w:rFonts w:ascii="Verdana" w:eastAsia="Times New Roman" w:hAnsi="Verdana"/>
                <w:color w:val="000000"/>
                <w:sz w:val="18"/>
                <w:lang w:val="en-GB" w:eastAsia="en-GB"/>
              </w:rPr>
              <w:t>)</w:t>
            </w:r>
          </w:p>
        </w:tc>
        <w:tc>
          <w:tcPr>
            <w:tcW w:w="1275" w:type="dxa"/>
            <w:shd w:val="clear" w:color="auto" w:fill="auto"/>
            <w:vAlign w:val="bottom"/>
          </w:tcPr>
          <w:p w14:paraId="42A4E213"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-0.014</w:t>
            </w:r>
          </w:p>
        </w:tc>
        <w:tc>
          <w:tcPr>
            <w:tcW w:w="1276" w:type="dxa"/>
            <w:shd w:val="clear" w:color="auto" w:fill="auto"/>
            <w:vAlign w:val="bottom"/>
          </w:tcPr>
          <w:p w14:paraId="4A81DE0D"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197F84">
              <w:rPr>
                <w:rFonts w:ascii="Verdana" w:eastAsia="Times New Roman" w:hAnsi="Verdana"/>
                <w:color w:val="000000"/>
                <w:sz w:val="18"/>
                <w:lang w:val="en-GB" w:eastAsia="en-GB"/>
              </w:rPr>
              <w:t>0.01</w:t>
            </w:r>
            <w:r>
              <w:rPr>
                <w:rFonts w:ascii="Verdana" w:eastAsia="Times New Roman" w:hAnsi="Verdana"/>
                <w:color w:val="000000"/>
                <w:sz w:val="18"/>
                <w:lang w:val="en-GB" w:eastAsia="en-GB"/>
              </w:rPr>
              <w:t>1</w:t>
            </w:r>
            <w:r w:rsidRPr="00197F84">
              <w:rPr>
                <w:rFonts w:ascii="Verdana" w:eastAsia="Times New Roman" w:hAnsi="Verdana"/>
                <w:color w:val="000000"/>
                <w:sz w:val="18"/>
                <w:lang w:val="en-GB" w:eastAsia="en-GB"/>
              </w:rPr>
              <w:t>)</w:t>
            </w:r>
          </w:p>
        </w:tc>
      </w:tr>
      <w:tr w:rsidR="004D1438" w:rsidRPr="002414C5" w14:paraId="68949D1A" w14:textId="77777777" w:rsidTr="00BC71BA">
        <w:trPr>
          <w:trHeight w:val="162"/>
        </w:trPr>
        <w:tc>
          <w:tcPr>
            <w:tcW w:w="2410" w:type="dxa"/>
            <w:vMerge/>
            <w:shd w:val="clear" w:color="auto" w:fill="auto"/>
            <w:noWrap/>
            <w:vAlign w:val="bottom"/>
          </w:tcPr>
          <w:p w14:paraId="233220CC"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55210A26"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Town</w:t>
            </w:r>
          </w:p>
        </w:tc>
        <w:tc>
          <w:tcPr>
            <w:tcW w:w="1276" w:type="dxa"/>
            <w:shd w:val="clear" w:color="auto" w:fill="auto"/>
            <w:vAlign w:val="bottom"/>
          </w:tcPr>
          <w:p w14:paraId="6F8F3E0D"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-0.015</w:t>
            </w:r>
          </w:p>
        </w:tc>
        <w:tc>
          <w:tcPr>
            <w:tcW w:w="1134" w:type="dxa"/>
            <w:shd w:val="clear" w:color="auto" w:fill="auto"/>
            <w:vAlign w:val="bottom"/>
          </w:tcPr>
          <w:p w14:paraId="654C684A"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(0.01</w:t>
            </w:r>
            <w:r>
              <w:rPr>
                <w:rFonts w:ascii="Verdana" w:eastAsia="Times New Roman" w:hAnsi="Verdana"/>
                <w:color w:val="000000"/>
                <w:sz w:val="18"/>
                <w:lang w:val="en-GB" w:eastAsia="en-GB"/>
              </w:rPr>
              <w:t>1</w:t>
            </w:r>
            <w:r w:rsidRPr="00872CDA">
              <w:rPr>
                <w:rFonts w:ascii="Verdana" w:eastAsia="Times New Roman" w:hAnsi="Verdana"/>
                <w:color w:val="000000"/>
                <w:sz w:val="18"/>
                <w:lang w:val="en-GB" w:eastAsia="en-GB"/>
              </w:rPr>
              <w:t>)</w:t>
            </w:r>
          </w:p>
        </w:tc>
        <w:tc>
          <w:tcPr>
            <w:tcW w:w="1275" w:type="dxa"/>
            <w:shd w:val="clear" w:color="auto" w:fill="auto"/>
            <w:vAlign w:val="bottom"/>
          </w:tcPr>
          <w:p w14:paraId="3F49CA8E"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-0.016</w:t>
            </w:r>
          </w:p>
        </w:tc>
        <w:tc>
          <w:tcPr>
            <w:tcW w:w="1276" w:type="dxa"/>
            <w:shd w:val="clear" w:color="auto" w:fill="auto"/>
            <w:vAlign w:val="bottom"/>
          </w:tcPr>
          <w:p w14:paraId="0CEC841A"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(0.010</w:t>
            </w:r>
            <w:r w:rsidRPr="00020496">
              <w:rPr>
                <w:rFonts w:ascii="Verdana" w:eastAsia="Times New Roman" w:hAnsi="Verdana"/>
                <w:color w:val="000000"/>
                <w:sz w:val="18"/>
                <w:lang w:val="en-GB" w:eastAsia="en-GB"/>
              </w:rPr>
              <w:t>)</w:t>
            </w:r>
          </w:p>
        </w:tc>
      </w:tr>
      <w:tr w:rsidR="004D1438" w:rsidRPr="002414C5" w14:paraId="11840713" w14:textId="77777777" w:rsidTr="00BC71BA">
        <w:trPr>
          <w:trHeight w:val="96"/>
        </w:trPr>
        <w:tc>
          <w:tcPr>
            <w:tcW w:w="2410" w:type="dxa"/>
            <w:vMerge/>
            <w:shd w:val="clear" w:color="auto" w:fill="auto"/>
            <w:noWrap/>
            <w:vAlign w:val="bottom"/>
          </w:tcPr>
          <w:p w14:paraId="285BEF79"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tcPr>
          <w:p w14:paraId="69FEC68D"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City</w:t>
            </w:r>
          </w:p>
        </w:tc>
        <w:tc>
          <w:tcPr>
            <w:tcW w:w="4961" w:type="dxa"/>
            <w:gridSpan w:val="4"/>
            <w:shd w:val="clear" w:color="auto" w:fill="auto"/>
            <w:vAlign w:val="bottom"/>
          </w:tcPr>
          <w:p w14:paraId="6E140801"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sidRPr="00872CDA">
              <w:rPr>
                <w:rFonts w:ascii="Verdana" w:hAnsi="Verdana"/>
                <w:color w:val="000000"/>
                <w:sz w:val="18"/>
              </w:rPr>
              <w:t>reference category</w:t>
            </w:r>
          </w:p>
        </w:tc>
      </w:tr>
      <w:tr w:rsidR="004D1438" w:rsidRPr="002414C5" w14:paraId="058CA1F9" w14:textId="77777777" w:rsidTr="00BC71BA">
        <w:trPr>
          <w:trHeight w:val="73"/>
        </w:trPr>
        <w:tc>
          <w:tcPr>
            <w:tcW w:w="2410" w:type="dxa"/>
            <w:vMerge w:val="restart"/>
            <w:shd w:val="clear" w:color="auto" w:fill="auto"/>
            <w:noWrap/>
            <w:vAlign w:val="bottom"/>
            <w:hideMark/>
          </w:tcPr>
          <w:p w14:paraId="11102F5C"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 xml:space="preserve">Regional Population </w:t>
            </w:r>
          </w:p>
          <w:p w14:paraId="34F58C87"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Density</w:t>
            </w:r>
          </w:p>
        </w:tc>
        <w:tc>
          <w:tcPr>
            <w:tcW w:w="1951" w:type="dxa"/>
            <w:shd w:val="clear" w:color="auto" w:fill="auto"/>
            <w:noWrap/>
            <w:vAlign w:val="bottom"/>
            <w:hideMark/>
          </w:tcPr>
          <w:p w14:paraId="4B1CE20C"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Rpd &gt; 500</w:t>
            </w:r>
          </w:p>
        </w:tc>
        <w:tc>
          <w:tcPr>
            <w:tcW w:w="4961" w:type="dxa"/>
            <w:gridSpan w:val="4"/>
            <w:shd w:val="clear" w:color="auto" w:fill="auto"/>
            <w:vAlign w:val="bottom"/>
          </w:tcPr>
          <w:p w14:paraId="2E18B962" w14:textId="77777777" w:rsidR="004D1438" w:rsidRPr="00197F84" w:rsidRDefault="004D1438" w:rsidP="00BC71BA">
            <w:pPr>
              <w:spacing w:after="0" w:line="240" w:lineRule="auto"/>
              <w:jc w:val="center"/>
              <w:rPr>
                <w:rFonts w:ascii="Verdana" w:eastAsia="Times New Roman" w:hAnsi="Verdana"/>
                <w:sz w:val="18"/>
                <w:szCs w:val="20"/>
                <w:lang w:val="en-GB" w:eastAsia="en-GB"/>
              </w:rPr>
            </w:pPr>
            <w:r w:rsidRPr="00197F84">
              <w:rPr>
                <w:rFonts w:ascii="Verdana" w:hAnsi="Verdana"/>
                <w:color w:val="000000"/>
                <w:sz w:val="18"/>
              </w:rPr>
              <w:t>reference category</w:t>
            </w:r>
          </w:p>
        </w:tc>
      </w:tr>
      <w:tr w:rsidR="004D1438" w:rsidRPr="002414C5" w14:paraId="2A1CD46B" w14:textId="77777777" w:rsidTr="00BC71BA">
        <w:trPr>
          <w:trHeight w:val="176"/>
        </w:trPr>
        <w:tc>
          <w:tcPr>
            <w:tcW w:w="2410" w:type="dxa"/>
            <w:vMerge/>
            <w:shd w:val="clear" w:color="auto" w:fill="auto"/>
            <w:noWrap/>
            <w:vAlign w:val="bottom"/>
            <w:hideMark/>
          </w:tcPr>
          <w:p w14:paraId="7F2E77DD"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hideMark/>
          </w:tcPr>
          <w:p w14:paraId="34B95225"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Rpd 200 to 500</w:t>
            </w:r>
          </w:p>
        </w:tc>
        <w:tc>
          <w:tcPr>
            <w:tcW w:w="1276" w:type="dxa"/>
            <w:shd w:val="clear" w:color="auto" w:fill="auto"/>
            <w:noWrap/>
            <w:vAlign w:val="bottom"/>
            <w:hideMark/>
          </w:tcPr>
          <w:p w14:paraId="44912ED5"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0.001</w:t>
            </w:r>
          </w:p>
        </w:tc>
        <w:tc>
          <w:tcPr>
            <w:tcW w:w="1134" w:type="dxa"/>
            <w:shd w:val="clear" w:color="auto" w:fill="auto"/>
            <w:noWrap/>
            <w:vAlign w:val="bottom"/>
            <w:hideMark/>
          </w:tcPr>
          <w:p w14:paraId="10BE6F9B"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(0.015)</w:t>
            </w:r>
          </w:p>
        </w:tc>
        <w:tc>
          <w:tcPr>
            <w:tcW w:w="1275" w:type="dxa"/>
            <w:shd w:val="clear" w:color="auto" w:fill="auto"/>
            <w:noWrap/>
            <w:vAlign w:val="bottom"/>
            <w:hideMark/>
          </w:tcPr>
          <w:p w14:paraId="74CC590F"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0.002</w:t>
            </w:r>
          </w:p>
        </w:tc>
        <w:tc>
          <w:tcPr>
            <w:tcW w:w="1276" w:type="dxa"/>
            <w:shd w:val="clear" w:color="auto" w:fill="auto"/>
            <w:noWrap/>
            <w:vAlign w:val="bottom"/>
            <w:hideMark/>
          </w:tcPr>
          <w:p w14:paraId="5E8186CA"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500508">
              <w:rPr>
                <w:rFonts w:ascii="Verdana" w:eastAsia="Times New Roman" w:hAnsi="Verdana"/>
                <w:color w:val="000000"/>
                <w:sz w:val="18"/>
                <w:lang w:val="en-GB" w:eastAsia="en-GB"/>
              </w:rPr>
              <w:t>0.014)</w:t>
            </w:r>
          </w:p>
        </w:tc>
      </w:tr>
      <w:tr w:rsidR="004D1438" w:rsidRPr="002414C5" w14:paraId="150272B4" w14:textId="77777777" w:rsidTr="00BC71BA">
        <w:trPr>
          <w:trHeight w:val="153"/>
        </w:trPr>
        <w:tc>
          <w:tcPr>
            <w:tcW w:w="2410" w:type="dxa"/>
            <w:vMerge/>
            <w:shd w:val="clear" w:color="auto" w:fill="auto"/>
            <w:noWrap/>
            <w:vAlign w:val="bottom"/>
            <w:hideMark/>
          </w:tcPr>
          <w:p w14:paraId="2F0DC8F7"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3EE37922"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Rpd 100 to 200</w:t>
            </w:r>
          </w:p>
        </w:tc>
        <w:tc>
          <w:tcPr>
            <w:tcW w:w="1276" w:type="dxa"/>
            <w:shd w:val="clear" w:color="auto" w:fill="auto"/>
            <w:noWrap/>
            <w:vAlign w:val="bottom"/>
            <w:hideMark/>
          </w:tcPr>
          <w:p w14:paraId="37AAD92E"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0.026</w:t>
            </w:r>
          </w:p>
        </w:tc>
        <w:tc>
          <w:tcPr>
            <w:tcW w:w="1134" w:type="dxa"/>
            <w:shd w:val="clear" w:color="auto" w:fill="auto"/>
            <w:noWrap/>
            <w:vAlign w:val="bottom"/>
            <w:hideMark/>
          </w:tcPr>
          <w:p w14:paraId="305A8CA8"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(0.020</w:t>
            </w:r>
            <w:r w:rsidRPr="00872CDA">
              <w:rPr>
                <w:rFonts w:ascii="Verdana" w:eastAsia="Times New Roman" w:hAnsi="Verdana"/>
                <w:color w:val="000000"/>
                <w:sz w:val="18"/>
                <w:lang w:val="en-GB" w:eastAsia="en-GB"/>
              </w:rPr>
              <w:t>)</w:t>
            </w:r>
          </w:p>
        </w:tc>
        <w:tc>
          <w:tcPr>
            <w:tcW w:w="1275" w:type="dxa"/>
            <w:shd w:val="clear" w:color="auto" w:fill="auto"/>
            <w:noWrap/>
            <w:vAlign w:val="bottom"/>
            <w:hideMark/>
          </w:tcPr>
          <w:p w14:paraId="1CD2E5CC"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0.030*</w:t>
            </w:r>
          </w:p>
        </w:tc>
        <w:tc>
          <w:tcPr>
            <w:tcW w:w="1276" w:type="dxa"/>
            <w:shd w:val="clear" w:color="auto" w:fill="auto"/>
            <w:noWrap/>
            <w:vAlign w:val="bottom"/>
            <w:hideMark/>
          </w:tcPr>
          <w:p w14:paraId="61C671A3"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(0.018</w:t>
            </w:r>
            <w:r w:rsidRPr="00500508">
              <w:rPr>
                <w:rFonts w:ascii="Verdana" w:eastAsia="Times New Roman" w:hAnsi="Verdana"/>
                <w:color w:val="000000"/>
                <w:sz w:val="18"/>
                <w:lang w:val="en-GB" w:eastAsia="en-GB"/>
              </w:rPr>
              <w:t>)</w:t>
            </w:r>
          </w:p>
        </w:tc>
      </w:tr>
      <w:tr w:rsidR="004D1438" w:rsidRPr="002414C5" w14:paraId="7C1CAA1A" w14:textId="77777777" w:rsidTr="00BC71BA">
        <w:trPr>
          <w:trHeight w:val="114"/>
        </w:trPr>
        <w:tc>
          <w:tcPr>
            <w:tcW w:w="2410" w:type="dxa"/>
            <w:vMerge/>
            <w:shd w:val="clear" w:color="auto" w:fill="auto"/>
            <w:noWrap/>
            <w:vAlign w:val="bottom"/>
            <w:hideMark/>
          </w:tcPr>
          <w:p w14:paraId="19F719DE"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37A80F26"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Rpd 75 to 100</w:t>
            </w:r>
          </w:p>
        </w:tc>
        <w:tc>
          <w:tcPr>
            <w:tcW w:w="1276" w:type="dxa"/>
            <w:shd w:val="clear" w:color="auto" w:fill="auto"/>
            <w:noWrap/>
            <w:vAlign w:val="bottom"/>
            <w:hideMark/>
          </w:tcPr>
          <w:p w14:paraId="4559F2CE"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0.011</w:t>
            </w:r>
          </w:p>
        </w:tc>
        <w:tc>
          <w:tcPr>
            <w:tcW w:w="1134" w:type="dxa"/>
            <w:shd w:val="clear" w:color="auto" w:fill="auto"/>
            <w:noWrap/>
            <w:vAlign w:val="bottom"/>
            <w:hideMark/>
          </w:tcPr>
          <w:p w14:paraId="26C4A60C"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(0.015)</w:t>
            </w:r>
          </w:p>
        </w:tc>
        <w:tc>
          <w:tcPr>
            <w:tcW w:w="1275" w:type="dxa"/>
            <w:shd w:val="clear" w:color="auto" w:fill="auto"/>
            <w:noWrap/>
            <w:vAlign w:val="bottom"/>
            <w:hideMark/>
          </w:tcPr>
          <w:p w14:paraId="6122F2B3"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0.015</w:t>
            </w:r>
          </w:p>
        </w:tc>
        <w:tc>
          <w:tcPr>
            <w:tcW w:w="1276" w:type="dxa"/>
            <w:shd w:val="clear" w:color="auto" w:fill="auto"/>
            <w:noWrap/>
            <w:vAlign w:val="bottom"/>
            <w:hideMark/>
          </w:tcPr>
          <w:p w14:paraId="14C59CCA"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500508">
              <w:rPr>
                <w:rFonts w:ascii="Verdana" w:eastAsia="Times New Roman" w:hAnsi="Verdana"/>
                <w:color w:val="000000"/>
                <w:sz w:val="18"/>
                <w:lang w:val="en-GB" w:eastAsia="en-GB"/>
              </w:rPr>
              <w:t>0.016)</w:t>
            </w:r>
          </w:p>
        </w:tc>
      </w:tr>
      <w:tr w:rsidR="004D1438" w:rsidRPr="002414C5" w14:paraId="16169763" w14:textId="77777777" w:rsidTr="00BC71BA">
        <w:trPr>
          <w:trHeight w:val="90"/>
        </w:trPr>
        <w:tc>
          <w:tcPr>
            <w:tcW w:w="2410" w:type="dxa"/>
            <w:vMerge/>
            <w:shd w:val="clear" w:color="auto" w:fill="auto"/>
            <w:noWrap/>
            <w:vAlign w:val="bottom"/>
            <w:hideMark/>
          </w:tcPr>
          <w:p w14:paraId="72B6948A"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616D5DF4"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Rpd 50 to 75</w:t>
            </w:r>
          </w:p>
        </w:tc>
        <w:tc>
          <w:tcPr>
            <w:tcW w:w="1276" w:type="dxa"/>
            <w:shd w:val="clear" w:color="auto" w:fill="auto"/>
            <w:noWrap/>
            <w:vAlign w:val="bottom"/>
            <w:hideMark/>
          </w:tcPr>
          <w:p w14:paraId="3BBA422B"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0.036</w:t>
            </w:r>
            <w:r w:rsidRPr="00872CDA">
              <w:rPr>
                <w:rFonts w:ascii="Verdana" w:eastAsia="Times New Roman" w:hAnsi="Verdana"/>
                <w:color w:val="000000"/>
                <w:sz w:val="18"/>
                <w:lang w:val="en-GB" w:eastAsia="en-GB"/>
              </w:rPr>
              <w:t>*</w:t>
            </w:r>
          </w:p>
        </w:tc>
        <w:tc>
          <w:tcPr>
            <w:tcW w:w="1134" w:type="dxa"/>
            <w:shd w:val="clear" w:color="auto" w:fill="auto"/>
            <w:noWrap/>
            <w:vAlign w:val="bottom"/>
            <w:hideMark/>
          </w:tcPr>
          <w:p w14:paraId="73892E01"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(0.020</w:t>
            </w:r>
            <w:r w:rsidRPr="00872CDA">
              <w:rPr>
                <w:rFonts w:ascii="Verdana" w:eastAsia="Times New Roman" w:hAnsi="Verdana"/>
                <w:color w:val="000000"/>
                <w:sz w:val="18"/>
                <w:lang w:val="en-GB" w:eastAsia="en-GB"/>
              </w:rPr>
              <w:t>)</w:t>
            </w:r>
          </w:p>
        </w:tc>
        <w:tc>
          <w:tcPr>
            <w:tcW w:w="1275" w:type="dxa"/>
            <w:shd w:val="clear" w:color="auto" w:fill="auto"/>
            <w:noWrap/>
            <w:vAlign w:val="bottom"/>
            <w:hideMark/>
          </w:tcPr>
          <w:p w14:paraId="70B6DA04"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0.045</w:t>
            </w:r>
            <w:r w:rsidRPr="00500508">
              <w:rPr>
                <w:rFonts w:ascii="Verdana" w:eastAsia="Times New Roman" w:hAnsi="Verdana"/>
                <w:color w:val="000000"/>
                <w:sz w:val="18"/>
                <w:lang w:val="en-GB" w:eastAsia="en-GB"/>
              </w:rPr>
              <w:t>**</w:t>
            </w:r>
          </w:p>
        </w:tc>
        <w:tc>
          <w:tcPr>
            <w:tcW w:w="1276" w:type="dxa"/>
            <w:shd w:val="clear" w:color="auto" w:fill="auto"/>
            <w:noWrap/>
            <w:vAlign w:val="bottom"/>
            <w:hideMark/>
          </w:tcPr>
          <w:p w14:paraId="31D6BCD2"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(0.020</w:t>
            </w:r>
            <w:r w:rsidRPr="00500508">
              <w:rPr>
                <w:rFonts w:ascii="Verdana" w:eastAsia="Times New Roman" w:hAnsi="Verdana"/>
                <w:color w:val="000000"/>
                <w:sz w:val="18"/>
                <w:lang w:val="en-GB" w:eastAsia="en-GB"/>
              </w:rPr>
              <w:t>)</w:t>
            </w:r>
          </w:p>
        </w:tc>
      </w:tr>
      <w:tr w:rsidR="004D1438" w:rsidRPr="002414C5" w14:paraId="21356168" w14:textId="77777777" w:rsidTr="00BC71BA">
        <w:trPr>
          <w:trHeight w:val="65"/>
        </w:trPr>
        <w:tc>
          <w:tcPr>
            <w:tcW w:w="2410" w:type="dxa"/>
            <w:vMerge/>
            <w:shd w:val="clear" w:color="auto" w:fill="auto"/>
            <w:noWrap/>
            <w:vAlign w:val="bottom"/>
            <w:hideMark/>
          </w:tcPr>
          <w:p w14:paraId="7BBA754C"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3B32D7A0"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Rpd &lt; 50</w:t>
            </w:r>
          </w:p>
        </w:tc>
        <w:tc>
          <w:tcPr>
            <w:tcW w:w="1276" w:type="dxa"/>
            <w:shd w:val="clear" w:color="auto" w:fill="auto"/>
            <w:noWrap/>
            <w:vAlign w:val="bottom"/>
            <w:hideMark/>
          </w:tcPr>
          <w:p w14:paraId="2886E813"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0.016</w:t>
            </w:r>
          </w:p>
        </w:tc>
        <w:tc>
          <w:tcPr>
            <w:tcW w:w="1134" w:type="dxa"/>
            <w:shd w:val="clear" w:color="auto" w:fill="auto"/>
            <w:noWrap/>
            <w:vAlign w:val="bottom"/>
            <w:hideMark/>
          </w:tcPr>
          <w:p w14:paraId="5A81D74D"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(0.022</w:t>
            </w:r>
            <w:r w:rsidRPr="00872CDA">
              <w:rPr>
                <w:rFonts w:ascii="Verdana" w:eastAsia="Times New Roman" w:hAnsi="Verdana"/>
                <w:color w:val="000000"/>
                <w:sz w:val="18"/>
                <w:lang w:val="en-GB" w:eastAsia="en-GB"/>
              </w:rPr>
              <w:t>)</w:t>
            </w:r>
          </w:p>
        </w:tc>
        <w:tc>
          <w:tcPr>
            <w:tcW w:w="1275" w:type="dxa"/>
            <w:shd w:val="clear" w:color="auto" w:fill="auto"/>
            <w:noWrap/>
            <w:vAlign w:val="bottom"/>
            <w:hideMark/>
          </w:tcPr>
          <w:p w14:paraId="422D79DE"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0.003</w:t>
            </w:r>
          </w:p>
        </w:tc>
        <w:tc>
          <w:tcPr>
            <w:tcW w:w="1276" w:type="dxa"/>
            <w:shd w:val="clear" w:color="auto" w:fill="auto"/>
            <w:noWrap/>
            <w:vAlign w:val="bottom"/>
            <w:hideMark/>
          </w:tcPr>
          <w:p w14:paraId="65A90BC5"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(0.023</w:t>
            </w:r>
            <w:r w:rsidRPr="00500508">
              <w:rPr>
                <w:rFonts w:ascii="Verdana" w:eastAsia="Times New Roman" w:hAnsi="Verdana"/>
                <w:color w:val="000000"/>
                <w:sz w:val="18"/>
                <w:lang w:val="en-GB" w:eastAsia="en-GB"/>
              </w:rPr>
              <w:t>)</w:t>
            </w:r>
          </w:p>
        </w:tc>
      </w:tr>
      <w:tr w:rsidR="004D1438" w:rsidRPr="002414C5" w14:paraId="0003E05F" w14:textId="77777777" w:rsidTr="00BC71BA">
        <w:trPr>
          <w:trHeight w:val="170"/>
        </w:trPr>
        <w:tc>
          <w:tcPr>
            <w:tcW w:w="2410" w:type="dxa"/>
            <w:vMerge w:val="restart"/>
            <w:shd w:val="clear" w:color="auto" w:fill="auto"/>
            <w:noWrap/>
            <w:vAlign w:val="bottom"/>
            <w:hideMark/>
          </w:tcPr>
          <w:p w14:paraId="17E68848"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Regional GDP per Capita</w:t>
            </w:r>
          </w:p>
        </w:tc>
        <w:tc>
          <w:tcPr>
            <w:tcW w:w="1951" w:type="dxa"/>
            <w:shd w:val="clear" w:color="auto" w:fill="auto"/>
            <w:noWrap/>
            <w:vAlign w:val="bottom"/>
            <w:hideMark/>
          </w:tcPr>
          <w:p w14:paraId="02070029"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Rgdp &gt; 40</w:t>
            </w:r>
          </w:p>
        </w:tc>
        <w:tc>
          <w:tcPr>
            <w:tcW w:w="4961" w:type="dxa"/>
            <w:gridSpan w:val="4"/>
            <w:shd w:val="clear" w:color="auto" w:fill="auto"/>
            <w:vAlign w:val="bottom"/>
          </w:tcPr>
          <w:p w14:paraId="619DDBBE" w14:textId="77777777" w:rsidR="004D1438" w:rsidRPr="00197F84" w:rsidRDefault="004D1438" w:rsidP="00BC71BA">
            <w:pPr>
              <w:spacing w:after="0" w:line="240" w:lineRule="auto"/>
              <w:jc w:val="center"/>
              <w:rPr>
                <w:rFonts w:ascii="Verdana" w:eastAsia="Times New Roman" w:hAnsi="Verdana"/>
                <w:sz w:val="18"/>
                <w:szCs w:val="20"/>
                <w:lang w:val="en-GB" w:eastAsia="en-GB"/>
              </w:rPr>
            </w:pPr>
            <w:r w:rsidRPr="00197F84">
              <w:rPr>
                <w:rFonts w:ascii="Verdana" w:hAnsi="Verdana"/>
                <w:color w:val="000000"/>
                <w:sz w:val="18"/>
              </w:rPr>
              <w:t>reference category</w:t>
            </w:r>
          </w:p>
        </w:tc>
      </w:tr>
      <w:tr w:rsidR="004D1438" w:rsidRPr="002414C5" w14:paraId="25AF342D" w14:textId="77777777" w:rsidTr="00BC71BA">
        <w:trPr>
          <w:trHeight w:val="132"/>
        </w:trPr>
        <w:tc>
          <w:tcPr>
            <w:tcW w:w="2410" w:type="dxa"/>
            <w:vMerge/>
            <w:shd w:val="clear" w:color="auto" w:fill="auto"/>
            <w:noWrap/>
            <w:vAlign w:val="bottom"/>
            <w:hideMark/>
          </w:tcPr>
          <w:p w14:paraId="2FC3468C" w14:textId="77777777" w:rsidR="004D1438" w:rsidRPr="00872CDA" w:rsidRDefault="004D1438" w:rsidP="00BC71BA">
            <w:pPr>
              <w:spacing w:after="0" w:line="240" w:lineRule="auto"/>
              <w:rPr>
                <w:rFonts w:ascii="Verdana" w:eastAsia="Times New Roman" w:hAnsi="Verdana"/>
                <w:color w:val="000000"/>
                <w:sz w:val="18"/>
                <w:lang w:val="en-GB" w:eastAsia="en-GB"/>
              </w:rPr>
            </w:pPr>
          </w:p>
        </w:tc>
        <w:tc>
          <w:tcPr>
            <w:tcW w:w="1951" w:type="dxa"/>
            <w:shd w:val="clear" w:color="auto" w:fill="auto"/>
            <w:noWrap/>
            <w:vAlign w:val="bottom"/>
            <w:hideMark/>
          </w:tcPr>
          <w:p w14:paraId="71763EE0" w14:textId="77777777" w:rsidR="004D1438" w:rsidRPr="00500508"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Rgdp</w:t>
            </w:r>
            <w:r>
              <w:rPr>
                <w:rFonts w:ascii="Verdana" w:eastAsia="Times New Roman" w:hAnsi="Verdana"/>
                <w:color w:val="000000"/>
                <w:sz w:val="18"/>
                <w:lang w:val="en-GB" w:eastAsia="en-GB"/>
              </w:rPr>
              <w:t xml:space="preserve"> </w:t>
            </w:r>
            <w:r w:rsidRPr="00500508">
              <w:rPr>
                <w:rFonts w:ascii="Verdana" w:eastAsia="Times New Roman" w:hAnsi="Verdana"/>
                <w:color w:val="000000"/>
                <w:sz w:val="18"/>
                <w:lang w:val="en-GB" w:eastAsia="en-GB"/>
              </w:rPr>
              <w:t>30 to 40</w:t>
            </w:r>
          </w:p>
        </w:tc>
        <w:tc>
          <w:tcPr>
            <w:tcW w:w="1276" w:type="dxa"/>
            <w:shd w:val="clear" w:color="auto" w:fill="auto"/>
            <w:noWrap/>
            <w:vAlign w:val="bottom"/>
            <w:hideMark/>
          </w:tcPr>
          <w:p w14:paraId="6057131E"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-0.008</w:t>
            </w:r>
          </w:p>
        </w:tc>
        <w:tc>
          <w:tcPr>
            <w:tcW w:w="1134" w:type="dxa"/>
            <w:shd w:val="clear" w:color="auto" w:fill="auto"/>
            <w:noWrap/>
            <w:vAlign w:val="bottom"/>
            <w:hideMark/>
          </w:tcPr>
          <w:p w14:paraId="0785522C"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sidRPr="00500508">
              <w:rPr>
                <w:rFonts w:ascii="Verdana" w:eastAsia="Times New Roman" w:hAnsi="Verdana"/>
                <w:color w:val="000000"/>
                <w:sz w:val="18"/>
                <w:lang w:val="en-GB" w:eastAsia="en-GB"/>
              </w:rPr>
              <w:t>(0.005)</w:t>
            </w:r>
          </w:p>
        </w:tc>
        <w:tc>
          <w:tcPr>
            <w:tcW w:w="1275" w:type="dxa"/>
            <w:shd w:val="clear" w:color="auto" w:fill="auto"/>
            <w:noWrap/>
            <w:vAlign w:val="bottom"/>
            <w:hideMark/>
          </w:tcPr>
          <w:p w14:paraId="20AE2785"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-0.006</w:t>
            </w:r>
          </w:p>
        </w:tc>
        <w:tc>
          <w:tcPr>
            <w:tcW w:w="1276" w:type="dxa"/>
            <w:shd w:val="clear" w:color="auto" w:fill="auto"/>
            <w:noWrap/>
            <w:vAlign w:val="bottom"/>
            <w:hideMark/>
          </w:tcPr>
          <w:p w14:paraId="542EE25F"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(0.007</w:t>
            </w:r>
            <w:r w:rsidRPr="00500508">
              <w:rPr>
                <w:rFonts w:ascii="Verdana" w:eastAsia="Times New Roman" w:hAnsi="Verdana"/>
                <w:color w:val="000000"/>
                <w:sz w:val="18"/>
                <w:lang w:val="en-GB" w:eastAsia="en-GB"/>
              </w:rPr>
              <w:t>)</w:t>
            </w:r>
          </w:p>
        </w:tc>
      </w:tr>
      <w:tr w:rsidR="004D1438" w:rsidRPr="002414C5" w14:paraId="0C5A5DDF" w14:textId="77777777" w:rsidTr="00BC71BA">
        <w:trPr>
          <w:trHeight w:val="108"/>
        </w:trPr>
        <w:tc>
          <w:tcPr>
            <w:tcW w:w="2410" w:type="dxa"/>
            <w:vMerge/>
            <w:shd w:val="clear" w:color="auto" w:fill="auto"/>
            <w:noWrap/>
            <w:vAlign w:val="bottom"/>
            <w:hideMark/>
          </w:tcPr>
          <w:p w14:paraId="4D7157C5"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10410DF7" w14:textId="77777777" w:rsidR="004D1438" w:rsidRPr="00500508"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Rgdp</w:t>
            </w:r>
            <w:r>
              <w:rPr>
                <w:rFonts w:ascii="Verdana" w:eastAsia="Times New Roman" w:hAnsi="Verdana"/>
                <w:color w:val="000000"/>
                <w:sz w:val="18"/>
                <w:lang w:val="en-GB" w:eastAsia="en-GB"/>
              </w:rPr>
              <w:t xml:space="preserve"> </w:t>
            </w:r>
            <w:r w:rsidRPr="00500508">
              <w:rPr>
                <w:rFonts w:ascii="Verdana" w:eastAsia="Times New Roman" w:hAnsi="Verdana"/>
                <w:color w:val="000000"/>
                <w:sz w:val="18"/>
                <w:lang w:val="en-GB" w:eastAsia="en-GB"/>
              </w:rPr>
              <w:t>20 to 30</w:t>
            </w:r>
          </w:p>
        </w:tc>
        <w:tc>
          <w:tcPr>
            <w:tcW w:w="1276" w:type="dxa"/>
            <w:shd w:val="clear" w:color="auto" w:fill="auto"/>
            <w:noWrap/>
            <w:vAlign w:val="bottom"/>
            <w:hideMark/>
          </w:tcPr>
          <w:p w14:paraId="2AC177B3"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0.004</w:t>
            </w:r>
          </w:p>
        </w:tc>
        <w:tc>
          <w:tcPr>
            <w:tcW w:w="1134" w:type="dxa"/>
            <w:shd w:val="clear" w:color="auto" w:fill="auto"/>
            <w:noWrap/>
            <w:vAlign w:val="bottom"/>
            <w:hideMark/>
          </w:tcPr>
          <w:p w14:paraId="5B19E5FE"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(0.012</w:t>
            </w:r>
            <w:r w:rsidRPr="00500508">
              <w:rPr>
                <w:rFonts w:ascii="Verdana" w:eastAsia="Times New Roman" w:hAnsi="Verdana"/>
                <w:color w:val="000000"/>
                <w:sz w:val="18"/>
                <w:lang w:val="en-GB" w:eastAsia="en-GB"/>
              </w:rPr>
              <w:t>)</w:t>
            </w:r>
          </w:p>
        </w:tc>
        <w:tc>
          <w:tcPr>
            <w:tcW w:w="1275" w:type="dxa"/>
            <w:shd w:val="clear" w:color="auto" w:fill="auto"/>
            <w:noWrap/>
            <w:vAlign w:val="bottom"/>
            <w:hideMark/>
          </w:tcPr>
          <w:p w14:paraId="0B99248F"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0.012</w:t>
            </w:r>
          </w:p>
        </w:tc>
        <w:tc>
          <w:tcPr>
            <w:tcW w:w="1276" w:type="dxa"/>
            <w:shd w:val="clear" w:color="auto" w:fill="auto"/>
            <w:noWrap/>
            <w:vAlign w:val="bottom"/>
            <w:hideMark/>
          </w:tcPr>
          <w:p w14:paraId="0D1C28EA"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(0.012</w:t>
            </w:r>
            <w:r w:rsidRPr="00500508">
              <w:rPr>
                <w:rFonts w:ascii="Verdana" w:eastAsia="Times New Roman" w:hAnsi="Verdana"/>
                <w:color w:val="000000"/>
                <w:sz w:val="18"/>
                <w:lang w:val="en-GB" w:eastAsia="en-GB"/>
              </w:rPr>
              <w:t>)</w:t>
            </w:r>
          </w:p>
        </w:tc>
      </w:tr>
      <w:tr w:rsidR="004D1438" w:rsidRPr="002414C5" w14:paraId="2C3B4FA4" w14:textId="77777777" w:rsidTr="00BC71BA">
        <w:trPr>
          <w:trHeight w:val="213"/>
        </w:trPr>
        <w:tc>
          <w:tcPr>
            <w:tcW w:w="2410" w:type="dxa"/>
            <w:vMerge/>
            <w:shd w:val="clear" w:color="auto" w:fill="auto"/>
            <w:noWrap/>
            <w:vAlign w:val="bottom"/>
            <w:hideMark/>
          </w:tcPr>
          <w:p w14:paraId="01CFE4B8"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1F861CDF" w14:textId="77777777" w:rsidR="004D1438" w:rsidRPr="00500508"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Rgdp</w:t>
            </w:r>
            <w:r>
              <w:rPr>
                <w:rFonts w:ascii="Verdana" w:eastAsia="Times New Roman" w:hAnsi="Verdana"/>
                <w:color w:val="000000"/>
                <w:sz w:val="18"/>
                <w:lang w:val="en-GB" w:eastAsia="en-GB"/>
              </w:rPr>
              <w:t xml:space="preserve"> </w:t>
            </w:r>
            <w:r w:rsidRPr="00500508">
              <w:rPr>
                <w:rFonts w:ascii="Verdana" w:eastAsia="Times New Roman" w:hAnsi="Verdana"/>
                <w:color w:val="000000"/>
                <w:sz w:val="18"/>
                <w:lang w:val="en-GB" w:eastAsia="en-GB"/>
              </w:rPr>
              <w:t>10 to 20</w:t>
            </w:r>
          </w:p>
        </w:tc>
        <w:tc>
          <w:tcPr>
            <w:tcW w:w="1276" w:type="dxa"/>
            <w:shd w:val="clear" w:color="auto" w:fill="auto"/>
            <w:noWrap/>
            <w:vAlign w:val="bottom"/>
            <w:hideMark/>
          </w:tcPr>
          <w:p w14:paraId="770E4910"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-0.050</w:t>
            </w:r>
            <w:r w:rsidRPr="00500508">
              <w:rPr>
                <w:rFonts w:ascii="Verdana" w:eastAsia="Times New Roman" w:hAnsi="Verdana"/>
                <w:color w:val="000000"/>
                <w:sz w:val="18"/>
                <w:lang w:val="en-GB" w:eastAsia="en-GB"/>
              </w:rPr>
              <w:t>**</w:t>
            </w:r>
          </w:p>
        </w:tc>
        <w:tc>
          <w:tcPr>
            <w:tcW w:w="1134" w:type="dxa"/>
            <w:shd w:val="clear" w:color="auto" w:fill="auto"/>
            <w:noWrap/>
            <w:vAlign w:val="bottom"/>
            <w:hideMark/>
          </w:tcPr>
          <w:p w14:paraId="7A15E88A"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(0.022</w:t>
            </w:r>
            <w:r w:rsidRPr="00500508">
              <w:rPr>
                <w:rFonts w:ascii="Verdana" w:eastAsia="Times New Roman" w:hAnsi="Verdana"/>
                <w:color w:val="000000"/>
                <w:sz w:val="18"/>
                <w:lang w:val="en-GB" w:eastAsia="en-GB"/>
              </w:rPr>
              <w:t>)</w:t>
            </w:r>
          </w:p>
        </w:tc>
        <w:tc>
          <w:tcPr>
            <w:tcW w:w="1275" w:type="dxa"/>
            <w:shd w:val="clear" w:color="auto" w:fill="auto"/>
            <w:noWrap/>
            <w:vAlign w:val="bottom"/>
            <w:hideMark/>
          </w:tcPr>
          <w:p w14:paraId="3586EE8B"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-0.029</w:t>
            </w:r>
          </w:p>
        </w:tc>
        <w:tc>
          <w:tcPr>
            <w:tcW w:w="1276" w:type="dxa"/>
            <w:shd w:val="clear" w:color="auto" w:fill="auto"/>
            <w:noWrap/>
            <w:vAlign w:val="bottom"/>
            <w:hideMark/>
          </w:tcPr>
          <w:p w14:paraId="147A2071"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(0.020</w:t>
            </w:r>
            <w:r w:rsidRPr="00500508">
              <w:rPr>
                <w:rFonts w:ascii="Verdana" w:eastAsia="Times New Roman" w:hAnsi="Verdana"/>
                <w:color w:val="000000"/>
                <w:sz w:val="18"/>
                <w:lang w:val="en-GB" w:eastAsia="en-GB"/>
              </w:rPr>
              <w:t>)</w:t>
            </w:r>
          </w:p>
        </w:tc>
      </w:tr>
      <w:tr w:rsidR="004D1438" w:rsidRPr="002414C5" w14:paraId="79D7D139" w14:textId="77777777" w:rsidTr="00BC71BA">
        <w:trPr>
          <w:trHeight w:val="65"/>
        </w:trPr>
        <w:tc>
          <w:tcPr>
            <w:tcW w:w="2410" w:type="dxa"/>
            <w:vMerge/>
            <w:shd w:val="clear" w:color="auto" w:fill="auto"/>
            <w:noWrap/>
            <w:vAlign w:val="bottom"/>
            <w:hideMark/>
          </w:tcPr>
          <w:p w14:paraId="7A6B1014"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7854D6BC"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Rgdp &lt; 10</w:t>
            </w:r>
          </w:p>
        </w:tc>
        <w:tc>
          <w:tcPr>
            <w:tcW w:w="1276" w:type="dxa"/>
            <w:shd w:val="clear" w:color="auto" w:fill="auto"/>
            <w:noWrap/>
            <w:vAlign w:val="bottom"/>
            <w:hideMark/>
          </w:tcPr>
          <w:p w14:paraId="69BED3B8"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-0.089</w:t>
            </w:r>
            <w:r w:rsidRPr="00872CDA">
              <w:rPr>
                <w:rFonts w:ascii="Verdana" w:eastAsia="Times New Roman" w:hAnsi="Verdana"/>
                <w:color w:val="000000"/>
                <w:sz w:val="18"/>
                <w:lang w:val="en-GB" w:eastAsia="en-GB"/>
              </w:rPr>
              <w:t>***</w:t>
            </w:r>
          </w:p>
        </w:tc>
        <w:tc>
          <w:tcPr>
            <w:tcW w:w="1134" w:type="dxa"/>
            <w:shd w:val="clear" w:color="auto" w:fill="auto"/>
            <w:noWrap/>
            <w:vAlign w:val="bottom"/>
            <w:hideMark/>
          </w:tcPr>
          <w:p w14:paraId="58CD2990"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(0.026</w:t>
            </w:r>
            <w:r w:rsidRPr="00020496">
              <w:rPr>
                <w:rFonts w:ascii="Verdana" w:eastAsia="Times New Roman" w:hAnsi="Verdana"/>
                <w:color w:val="000000"/>
                <w:sz w:val="18"/>
                <w:lang w:val="en-GB" w:eastAsia="en-GB"/>
              </w:rPr>
              <w:t>)</w:t>
            </w:r>
          </w:p>
        </w:tc>
        <w:tc>
          <w:tcPr>
            <w:tcW w:w="1275" w:type="dxa"/>
            <w:shd w:val="clear" w:color="auto" w:fill="auto"/>
            <w:noWrap/>
            <w:vAlign w:val="bottom"/>
            <w:hideMark/>
          </w:tcPr>
          <w:p w14:paraId="51C04C7B"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-0.055</w:t>
            </w:r>
            <w:r w:rsidRPr="00500508">
              <w:rPr>
                <w:rFonts w:ascii="Verdana" w:eastAsia="Times New Roman" w:hAnsi="Verdana"/>
                <w:color w:val="000000"/>
                <w:sz w:val="18"/>
                <w:lang w:val="en-GB" w:eastAsia="en-GB"/>
              </w:rPr>
              <w:t>**</w:t>
            </w:r>
          </w:p>
        </w:tc>
        <w:tc>
          <w:tcPr>
            <w:tcW w:w="1276" w:type="dxa"/>
            <w:shd w:val="clear" w:color="auto" w:fill="auto"/>
            <w:noWrap/>
            <w:vAlign w:val="bottom"/>
            <w:hideMark/>
          </w:tcPr>
          <w:p w14:paraId="5942FC59"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(0.024</w:t>
            </w:r>
            <w:r w:rsidRPr="00500508">
              <w:rPr>
                <w:rFonts w:ascii="Verdana" w:eastAsia="Times New Roman" w:hAnsi="Verdana"/>
                <w:color w:val="000000"/>
                <w:sz w:val="18"/>
                <w:lang w:val="en-GB" w:eastAsia="en-GB"/>
              </w:rPr>
              <w:t>)</w:t>
            </w:r>
          </w:p>
        </w:tc>
      </w:tr>
      <w:tr w:rsidR="004D1438" w:rsidRPr="002414C5" w14:paraId="3A4F4350" w14:textId="77777777" w:rsidTr="00BC71BA">
        <w:trPr>
          <w:trHeight w:val="151"/>
        </w:trPr>
        <w:tc>
          <w:tcPr>
            <w:tcW w:w="2410" w:type="dxa"/>
            <w:vMerge w:val="restart"/>
            <w:shd w:val="clear" w:color="auto" w:fill="auto"/>
            <w:noWrap/>
            <w:vAlign w:val="bottom"/>
            <w:hideMark/>
          </w:tcPr>
          <w:p w14:paraId="67827150"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Country Level Variables</w:t>
            </w:r>
          </w:p>
        </w:tc>
        <w:tc>
          <w:tcPr>
            <w:tcW w:w="1951" w:type="dxa"/>
            <w:shd w:val="clear" w:color="auto" w:fill="auto"/>
            <w:noWrap/>
            <w:vAlign w:val="bottom"/>
            <w:hideMark/>
          </w:tcPr>
          <w:p w14:paraId="124202C6"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Gdp growth</w:t>
            </w:r>
          </w:p>
        </w:tc>
        <w:tc>
          <w:tcPr>
            <w:tcW w:w="1276" w:type="dxa"/>
            <w:shd w:val="clear" w:color="auto" w:fill="auto"/>
            <w:vAlign w:val="bottom"/>
          </w:tcPr>
          <w:p w14:paraId="09713150"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p>
        </w:tc>
        <w:tc>
          <w:tcPr>
            <w:tcW w:w="1134" w:type="dxa"/>
            <w:shd w:val="clear" w:color="auto" w:fill="auto"/>
            <w:noWrap/>
            <w:vAlign w:val="bottom"/>
            <w:hideMark/>
          </w:tcPr>
          <w:p w14:paraId="567D7332"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p>
        </w:tc>
        <w:tc>
          <w:tcPr>
            <w:tcW w:w="1275" w:type="dxa"/>
            <w:shd w:val="clear" w:color="auto" w:fill="auto"/>
            <w:noWrap/>
            <w:vAlign w:val="bottom"/>
            <w:hideMark/>
          </w:tcPr>
          <w:p w14:paraId="25B93AA7"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0.004</w:t>
            </w:r>
          </w:p>
        </w:tc>
        <w:tc>
          <w:tcPr>
            <w:tcW w:w="1276" w:type="dxa"/>
            <w:shd w:val="clear" w:color="auto" w:fill="auto"/>
            <w:noWrap/>
            <w:vAlign w:val="bottom"/>
            <w:hideMark/>
          </w:tcPr>
          <w:p w14:paraId="4E0BEB50"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(0.005</w:t>
            </w:r>
            <w:r w:rsidRPr="00197F84">
              <w:rPr>
                <w:rFonts w:ascii="Verdana" w:eastAsia="Times New Roman" w:hAnsi="Verdana"/>
                <w:color w:val="000000"/>
                <w:sz w:val="18"/>
                <w:lang w:val="en-GB" w:eastAsia="en-GB"/>
              </w:rPr>
              <w:t>)</w:t>
            </w:r>
          </w:p>
        </w:tc>
      </w:tr>
      <w:tr w:rsidR="004D1438" w:rsidRPr="002414C5" w14:paraId="741A85D5" w14:textId="77777777" w:rsidTr="00BC71BA">
        <w:trPr>
          <w:trHeight w:val="112"/>
        </w:trPr>
        <w:tc>
          <w:tcPr>
            <w:tcW w:w="2410" w:type="dxa"/>
            <w:vMerge/>
            <w:shd w:val="clear" w:color="auto" w:fill="auto"/>
            <w:noWrap/>
            <w:vAlign w:val="bottom"/>
            <w:hideMark/>
          </w:tcPr>
          <w:p w14:paraId="0DD63972" w14:textId="77777777" w:rsidR="004D1438" w:rsidRPr="00872CDA" w:rsidRDefault="004D1438" w:rsidP="00BC71BA">
            <w:pPr>
              <w:spacing w:after="0" w:line="240" w:lineRule="auto"/>
              <w:rPr>
                <w:rFonts w:ascii="Verdana" w:eastAsia="Times New Roman" w:hAnsi="Verdana"/>
                <w:sz w:val="18"/>
                <w:szCs w:val="20"/>
                <w:lang w:val="en-GB" w:eastAsia="en-GB"/>
              </w:rPr>
            </w:pPr>
          </w:p>
        </w:tc>
        <w:tc>
          <w:tcPr>
            <w:tcW w:w="1951" w:type="dxa"/>
            <w:shd w:val="clear" w:color="auto" w:fill="auto"/>
            <w:noWrap/>
            <w:vAlign w:val="bottom"/>
            <w:hideMark/>
          </w:tcPr>
          <w:p w14:paraId="6E6674AC"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Inflation</w:t>
            </w:r>
          </w:p>
        </w:tc>
        <w:tc>
          <w:tcPr>
            <w:tcW w:w="1276" w:type="dxa"/>
            <w:shd w:val="clear" w:color="auto" w:fill="auto"/>
            <w:vAlign w:val="bottom"/>
          </w:tcPr>
          <w:p w14:paraId="6B96D568"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p>
        </w:tc>
        <w:tc>
          <w:tcPr>
            <w:tcW w:w="1134" w:type="dxa"/>
            <w:shd w:val="clear" w:color="auto" w:fill="auto"/>
            <w:noWrap/>
            <w:vAlign w:val="bottom"/>
            <w:hideMark/>
          </w:tcPr>
          <w:p w14:paraId="1485D86A"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p>
        </w:tc>
        <w:tc>
          <w:tcPr>
            <w:tcW w:w="1275" w:type="dxa"/>
            <w:shd w:val="clear" w:color="auto" w:fill="auto"/>
            <w:noWrap/>
            <w:vAlign w:val="bottom"/>
            <w:hideMark/>
          </w:tcPr>
          <w:p w14:paraId="6DCC280E"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0.002</w:t>
            </w:r>
          </w:p>
        </w:tc>
        <w:tc>
          <w:tcPr>
            <w:tcW w:w="1276" w:type="dxa"/>
            <w:shd w:val="clear" w:color="auto" w:fill="auto"/>
            <w:noWrap/>
            <w:vAlign w:val="bottom"/>
            <w:hideMark/>
          </w:tcPr>
          <w:p w14:paraId="4C29A137"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(0.014</w:t>
            </w:r>
            <w:r w:rsidRPr="00500508">
              <w:rPr>
                <w:rFonts w:ascii="Verdana" w:eastAsia="Times New Roman" w:hAnsi="Verdana"/>
                <w:color w:val="000000"/>
                <w:sz w:val="18"/>
                <w:lang w:val="en-GB" w:eastAsia="en-GB"/>
              </w:rPr>
              <w:t>)</w:t>
            </w:r>
          </w:p>
        </w:tc>
      </w:tr>
      <w:tr w:rsidR="004D1438" w:rsidRPr="002414C5" w14:paraId="0B989DD4" w14:textId="77777777" w:rsidTr="00BC71BA">
        <w:trPr>
          <w:trHeight w:val="65"/>
        </w:trPr>
        <w:tc>
          <w:tcPr>
            <w:tcW w:w="2410" w:type="dxa"/>
            <w:vMerge/>
            <w:shd w:val="clear" w:color="auto" w:fill="auto"/>
            <w:noWrap/>
            <w:vAlign w:val="bottom"/>
            <w:hideMark/>
          </w:tcPr>
          <w:p w14:paraId="388D27D4"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1A3DB5C7"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Interest</w:t>
            </w:r>
          </w:p>
        </w:tc>
        <w:tc>
          <w:tcPr>
            <w:tcW w:w="1276" w:type="dxa"/>
            <w:shd w:val="clear" w:color="auto" w:fill="auto"/>
            <w:noWrap/>
            <w:vAlign w:val="bottom"/>
            <w:hideMark/>
          </w:tcPr>
          <w:p w14:paraId="4C734AE4"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p>
        </w:tc>
        <w:tc>
          <w:tcPr>
            <w:tcW w:w="1134" w:type="dxa"/>
            <w:shd w:val="clear" w:color="auto" w:fill="auto"/>
            <w:noWrap/>
            <w:vAlign w:val="bottom"/>
            <w:hideMark/>
          </w:tcPr>
          <w:p w14:paraId="7E0CDE1F" w14:textId="77777777" w:rsidR="004D1438" w:rsidRPr="00872CDA" w:rsidRDefault="004D1438" w:rsidP="00BC71BA">
            <w:pPr>
              <w:spacing w:after="0" w:line="240" w:lineRule="auto"/>
              <w:jc w:val="center"/>
              <w:rPr>
                <w:rFonts w:ascii="Verdana" w:eastAsia="Times New Roman" w:hAnsi="Verdana"/>
                <w:sz w:val="18"/>
                <w:szCs w:val="20"/>
                <w:lang w:val="en-GB" w:eastAsia="en-GB"/>
              </w:rPr>
            </w:pPr>
          </w:p>
        </w:tc>
        <w:tc>
          <w:tcPr>
            <w:tcW w:w="1275" w:type="dxa"/>
            <w:shd w:val="clear" w:color="auto" w:fill="auto"/>
            <w:noWrap/>
            <w:vAlign w:val="bottom"/>
            <w:hideMark/>
          </w:tcPr>
          <w:p w14:paraId="4EB24E89"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0.007</w:t>
            </w:r>
          </w:p>
        </w:tc>
        <w:tc>
          <w:tcPr>
            <w:tcW w:w="1276" w:type="dxa"/>
            <w:shd w:val="clear" w:color="auto" w:fill="auto"/>
            <w:noWrap/>
            <w:vAlign w:val="bottom"/>
            <w:hideMark/>
          </w:tcPr>
          <w:p w14:paraId="297BC09A" w14:textId="77777777" w:rsidR="004D1438" w:rsidRPr="0050050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500508">
              <w:rPr>
                <w:rFonts w:ascii="Verdana" w:eastAsia="Times New Roman" w:hAnsi="Verdana"/>
                <w:color w:val="000000"/>
                <w:sz w:val="18"/>
                <w:lang w:val="en-GB" w:eastAsia="en-GB"/>
              </w:rPr>
              <w:t>0.005)</w:t>
            </w:r>
          </w:p>
        </w:tc>
      </w:tr>
      <w:tr w:rsidR="004D1438" w:rsidRPr="002414C5" w14:paraId="0FDEA538" w14:textId="77777777" w:rsidTr="00BC71BA">
        <w:trPr>
          <w:trHeight w:val="65"/>
        </w:trPr>
        <w:tc>
          <w:tcPr>
            <w:tcW w:w="2410" w:type="dxa"/>
            <w:vMerge/>
            <w:shd w:val="clear" w:color="auto" w:fill="auto"/>
            <w:noWrap/>
            <w:vAlign w:val="bottom"/>
            <w:hideMark/>
          </w:tcPr>
          <w:p w14:paraId="78EB853C"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7E6349FA" w14:textId="77777777" w:rsidR="004D1438" w:rsidRPr="00020496" w:rsidRDefault="004D1438" w:rsidP="00BC71BA">
            <w:pPr>
              <w:spacing w:after="0" w:line="240" w:lineRule="auto"/>
              <w:rPr>
                <w:rFonts w:ascii="Verdana" w:eastAsia="Times New Roman" w:hAnsi="Verdana"/>
                <w:color w:val="000000"/>
                <w:sz w:val="18"/>
                <w:lang w:val="en-GB" w:eastAsia="en-GB"/>
              </w:rPr>
            </w:pPr>
            <w:r>
              <w:rPr>
                <w:rFonts w:ascii="Verdana" w:eastAsia="Times New Roman" w:hAnsi="Verdana"/>
                <w:color w:val="000000"/>
                <w:sz w:val="18"/>
                <w:lang w:val="en-GB" w:eastAsia="en-GB"/>
              </w:rPr>
              <w:t>Booneind</w:t>
            </w:r>
          </w:p>
        </w:tc>
        <w:tc>
          <w:tcPr>
            <w:tcW w:w="1276" w:type="dxa"/>
            <w:shd w:val="clear" w:color="auto" w:fill="auto"/>
            <w:vAlign w:val="bottom"/>
          </w:tcPr>
          <w:p w14:paraId="4219ED56"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p>
        </w:tc>
        <w:tc>
          <w:tcPr>
            <w:tcW w:w="1134" w:type="dxa"/>
            <w:shd w:val="clear" w:color="auto" w:fill="auto"/>
            <w:noWrap/>
            <w:vAlign w:val="bottom"/>
            <w:hideMark/>
          </w:tcPr>
          <w:p w14:paraId="77B2DD45"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p>
        </w:tc>
        <w:tc>
          <w:tcPr>
            <w:tcW w:w="1275" w:type="dxa"/>
            <w:shd w:val="clear" w:color="auto" w:fill="auto"/>
            <w:noWrap/>
            <w:vAlign w:val="bottom"/>
            <w:hideMark/>
          </w:tcPr>
          <w:p w14:paraId="23DFA8E3"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r w:rsidRPr="00020496">
              <w:rPr>
                <w:rFonts w:ascii="Verdana" w:eastAsia="Times New Roman" w:hAnsi="Verdana"/>
                <w:color w:val="000000"/>
                <w:sz w:val="18"/>
                <w:lang w:val="en-GB" w:eastAsia="en-GB"/>
              </w:rPr>
              <w:t>-0.1</w:t>
            </w:r>
            <w:r>
              <w:rPr>
                <w:rFonts w:ascii="Verdana" w:eastAsia="Times New Roman" w:hAnsi="Verdana"/>
                <w:color w:val="000000"/>
                <w:sz w:val="18"/>
                <w:lang w:val="en-GB" w:eastAsia="en-GB"/>
              </w:rPr>
              <w:t>09</w:t>
            </w:r>
          </w:p>
        </w:tc>
        <w:tc>
          <w:tcPr>
            <w:tcW w:w="1276" w:type="dxa"/>
            <w:shd w:val="clear" w:color="auto" w:fill="auto"/>
            <w:noWrap/>
            <w:vAlign w:val="bottom"/>
            <w:hideMark/>
          </w:tcPr>
          <w:p w14:paraId="565EDA04"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w:t>
            </w:r>
            <w:r w:rsidRPr="00020496">
              <w:rPr>
                <w:rFonts w:ascii="Verdana" w:eastAsia="Times New Roman" w:hAnsi="Verdana"/>
                <w:color w:val="000000"/>
                <w:sz w:val="18"/>
                <w:lang w:val="en-GB" w:eastAsia="en-GB"/>
              </w:rPr>
              <w:t>0.</w:t>
            </w:r>
            <w:r>
              <w:rPr>
                <w:rFonts w:ascii="Verdana" w:eastAsia="Times New Roman" w:hAnsi="Verdana"/>
                <w:color w:val="000000"/>
                <w:sz w:val="18"/>
                <w:lang w:val="en-GB" w:eastAsia="en-GB"/>
              </w:rPr>
              <w:t>084</w:t>
            </w:r>
            <w:r w:rsidRPr="00020496">
              <w:rPr>
                <w:rFonts w:ascii="Verdana" w:eastAsia="Times New Roman" w:hAnsi="Verdana"/>
                <w:color w:val="000000"/>
                <w:sz w:val="18"/>
                <w:lang w:val="en-GB" w:eastAsia="en-GB"/>
              </w:rPr>
              <w:t>)</w:t>
            </w:r>
          </w:p>
        </w:tc>
      </w:tr>
      <w:tr w:rsidR="004D1438" w:rsidRPr="002414C5" w14:paraId="39A91482" w14:textId="77777777" w:rsidTr="00BC71BA">
        <w:trPr>
          <w:trHeight w:val="168"/>
        </w:trPr>
        <w:tc>
          <w:tcPr>
            <w:tcW w:w="2410" w:type="dxa"/>
            <w:vMerge/>
            <w:shd w:val="clear" w:color="auto" w:fill="auto"/>
            <w:noWrap/>
            <w:vAlign w:val="bottom"/>
            <w:hideMark/>
          </w:tcPr>
          <w:p w14:paraId="6B75200C" w14:textId="77777777" w:rsidR="004D1438" w:rsidRPr="00872CDA" w:rsidRDefault="004D1438" w:rsidP="00BC71BA">
            <w:pPr>
              <w:spacing w:after="0" w:line="240" w:lineRule="auto"/>
              <w:jc w:val="right"/>
              <w:rPr>
                <w:rFonts w:ascii="Verdana" w:eastAsia="Times New Roman" w:hAnsi="Verdana"/>
                <w:color w:val="000000"/>
                <w:sz w:val="18"/>
                <w:lang w:val="en-GB" w:eastAsia="en-GB"/>
              </w:rPr>
            </w:pPr>
          </w:p>
        </w:tc>
        <w:tc>
          <w:tcPr>
            <w:tcW w:w="1951" w:type="dxa"/>
            <w:shd w:val="clear" w:color="auto" w:fill="auto"/>
            <w:noWrap/>
            <w:vAlign w:val="bottom"/>
            <w:hideMark/>
          </w:tcPr>
          <w:p w14:paraId="075B49E0" w14:textId="77777777" w:rsidR="004D1438" w:rsidRPr="00872CDA" w:rsidRDefault="004D1438" w:rsidP="00BC71BA">
            <w:pPr>
              <w:spacing w:after="0" w:line="240" w:lineRule="auto"/>
              <w:rPr>
                <w:rFonts w:ascii="Verdana" w:eastAsia="Times New Roman" w:hAnsi="Verdana"/>
                <w:color w:val="000000"/>
                <w:sz w:val="18"/>
                <w:lang w:val="en-GB" w:eastAsia="en-GB"/>
              </w:rPr>
            </w:pPr>
            <w:r w:rsidRPr="00872CDA">
              <w:rPr>
                <w:rFonts w:ascii="Verdana" w:eastAsia="Times New Roman" w:hAnsi="Verdana"/>
                <w:color w:val="000000"/>
                <w:sz w:val="18"/>
                <w:lang w:val="en-GB" w:eastAsia="en-GB"/>
              </w:rPr>
              <w:t>Marketsize</w:t>
            </w:r>
          </w:p>
        </w:tc>
        <w:tc>
          <w:tcPr>
            <w:tcW w:w="1276" w:type="dxa"/>
            <w:shd w:val="clear" w:color="auto" w:fill="auto"/>
            <w:vAlign w:val="bottom"/>
          </w:tcPr>
          <w:p w14:paraId="542DBDDC"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p>
        </w:tc>
        <w:tc>
          <w:tcPr>
            <w:tcW w:w="1134" w:type="dxa"/>
            <w:shd w:val="clear" w:color="auto" w:fill="auto"/>
            <w:noWrap/>
            <w:vAlign w:val="bottom"/>
            <w:hideMark/>
          </w:tcPr>
          <w:p w14:paraId="79D9968E" w14:textId="77777777" w:rsidR="004D1438" w:rsidRPr="00872CDA" w:rsidRDefault="004D1438" w:rsidP="00BC71BA">
            <w:pPr>
              <w:spacing w:after="0" w:line="240" w:lineRule="auto"/>
              <w:jc w:val="center"/>
              <w:rPr>
                <w:rFonts w:ascii="Verdana" w:eastAsia="Times New Roman" w:hAnsi="Verdana"/>
                <w:color w:val="000000"/>
                <w:sz w:val="18"/>
                <w:lang w:val="en-GB" w:eastAsia="en-GB"/>
              </w:rPr>
            </w:pPr>
          </w:p>
        </w:tc>
        <w:tc>
          <w:tcPr>
            <w:tcW w:w="1275" w:type="dxa"/>
            <w:shd w:val="clear" w:color="auto" w:fill="auto"/>
            <w:noWrap/>
            <w:vAlign w:val="bottom"/>
            <w:hideMark/>
          </w:tcPr>
          <w:p w14:paraId="2B71CC89"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-0.002</w:t>
            </w:r>
          </w:p>
        </w:tc>
        <w:tc>
          <w:tcPr>
            <w:tcW w:w="1276" w:type="dxa"/>
            <w:shd w:val="clear" w:color="auto" w:fill="auto"/>
            <w:noWrap/>
            <w:vAlign w:val="bottom"/>
            <w:hideMark/>
          </w:tcPr>
          <w:p w14:paraId="47C05C7D" w14:textId="77777777" w:rsidR="004D1438" w:rsidRPr="00020496"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(0.003</w:t>
            </w:r>
            <w:r w:rsidRPr="00020496">
              <w:rPr>
                <w:rFonts w:ascii="Verdana" w:eastAsia="Times New Roman" w:hAnsi="Verdana"/>
                <w:color w:val="000000"/>
                <w:sz w:val="18"/>
                <w:lang w:val="en-GB" w:eastAsia="en-GB"/>
              </w:rPr>
              <w:t>)</w:t>
            </w:r>
          </w:p>
        </w:tc>
      </w:tr>
      <w:tr w:rsidR="004D1438" w:rsidRPr="002414C5" w14:paraId="76ECA0E4" w14:textId="77777777" w:rsidTr="00BC71BA">
        <w:trPr>
          <w:trHeight w:val="130"/>
        </w:trPr>
        <w:tc>
          <w:tcPr>
            <w:tcW w:w="2410" w:type="dxa"/>
            <w:shd w:val="clear" w:color="auto" w:fill="auto"/>
            <w:noWrap/>
            <w:vAlign w:val="bottom"/>
          </w:tcPr>
          <w:p w14:paraId="268484B0" w14:textId="77777777" w:rsidR="004D1438" w:rsidRPr="00197F84" w:rsidRDefault="004D1438" w:rsidP="00BC71BA">
            <w:pPr>
              <w:spacing w:after="0" w:line="240" w:lineRule="auto"/>
              <w:rPr>
                <w:rFonts w:ascii="Verdana" w:eastAsia="Times New Roman" w:hAnsi="Verdana"/>
                <w:color w:val="000000"/>
                <w:sz w:val="18"/>
                <w:lang w:val="en-GB" w:eastAsia="en-GB"/>
              </w:rPr>
            </w:pPr>
            <w:r>
              <w:rPr>
                <w:rFonts w:ascii="Verdana" w:eastAsia="Times New Roman" w:hAnsi="Verdana"/>
                <w:color w:val="000000"/>
                <w:sz w:val="18"/>
                <w:lang w:val="en-GB" w:eastAsia="en-GB"/>
              </w:rPr>
              <w:t>Disclosure practices</w:t>
            </w:r>
          </w:p>
        </w:tc>
        <w:tc>
          <w:tcPr>
            <w:tcW w:w="1951" w:type="dxa"/>
            <w:shd w:val="clear" w:color="auto" w:fill="auto"/>
            <w:noWrap/>
            <w:vAlign w:val="bottom"/>
          </w:tcPr>
          <w:p w14:paraId="44E31606" w14:textId="77777777" w:rsidR="004D1438" w:rsidRPr="00197F84" w:rsidRDefault="004D1438" w:rsidP="00BC71BA">
            <w:pPr>
              <w:spacing w:after="0" w:line="240" w:lineRule="auto"/>
              <w:rPr>
                <w:rFonts w:ascii="Verdana" w:eastAsia="Times New Roman" w:hAnsi="Verdana"/>
                <w:color w:val="000000"/>
                <w:sz w:val="18"/>
                <w:lang w:val="en-GB" w:eastAsia="en-GB"/>
              </w:rPr>
            </w:pPr>
            <w:r>
              <w:rPr>
                <w:rFonts w:ascii="Verdana" w:eastAsia="Times New Roman" w:hAnsi="Verdana"/>
                <w:color w:val="000000"/>
                <w:sz w:val="18"/>
                <w:lang w:val="en-GB" w:eastAsia="en-GB"/>
              </w:rPr>
              <w:t>Disclosprac</w:t>
            </w:r>
          </w:p>
        </w:tc>
        <w:tc>
          <w:tcPr>
            <w:tcW w:w="1276" w:type="dxa"/>
            <w:shd w:val="clear" w:color="auto" w:fill="auto"/>
            <w:vAlign w:val="bottom"/>
          </w:tcPr>
          <w:p w14:paraId="56D0C5F6"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p>
        </w:tc>
        <w:tc>
          <w:tcPr>
            <w:tcW w:w="1134" w:type="dxa"/>
            <w:shd w:val="clear" w:color="auto" w:fill="auto"/>
            <w:noWrap/>
            <w:vAlign w:val="bottom"/>
          </w:tcPr>
          <w:p w14:paraId="224749C8"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p>
        </w:tc>
        <w:tc>
          <w:tcPr>
            <w:tcW w:w="1275" w:type="dxa"/>
            <w:shd w:val="clear" w:color="auto" w:fill="auto"/>
            <w:noWrap/>
            <w:vAlign w:val="bottom"/>
          </w:tcPr>
          <w:p w14:paraId="23E64836" w14:textId="77777777" w:rsidR="004D143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-0.033</w:t>
            </w:r>
          </w:p>
        </w:tc>
        <w:tc>
          <w:tcPr>
            <w:tcW w:w="1276" w:type="dxa"/>
            <w:shd w:val="clear" w:color="auto" w:fill="auto"/>
            <w:noWrap/>
            <w:vAlign w:val="bottom"/>
          </w:tcPr>
          <w:p w14:paraId="546D0F31" w14:textId="77777777" w:rsidR="004D1438"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(0.031)</w:t>
            </w:r>
          </w:p>
        </w:tc>
      </w:tr>
      <w:tr w:rsidR="004D1438" w:rsidRPr="002414C5" w14:paraId="1905AC47" w14:textId="77777777" w:rsidTr="00BC71BA">
        <w:trPr>
          <w:trHeight w:val="130"/>
        </w:trPr>
        <w:tc>
          <w:tcPr>
            <w:tcW w:w="2410" w:type="dxa"/>
            <w:shd w:val="clear" w:color="auto" w:fill="auto"/>
            <w:noWrap/>
            <w:vAlign w:val="bottom"/>
            <w:hideMark/>
          </w:tcPr>
          <w:p w14:paraId="6EE53FB7"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Financial education</w:t>
            </w:r>
          </w:p>
        </w:tc>
        <w:tc>
          <w:tcPr>
            <w:tcW w:w="1951" w:type="dxa"/>
            <w:shd w:val="clear" w:color="auto" w:fill="auto"/>
            <w:noWrap/>
            <w:vAlign w:val="bottom"/>
            <w:hideMark/>
          </w:tcPr>
          <w:p w14:paraId="6BCA371B"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Financialeduc</w:t>
            </w:r>
          </w:p>
        </w:tc>
        <w:tc>
          <w:tcPr>
            <w:tcW w:w="1276" w:type="dxa"/>
            <w:shd w:val="clear" w:color="auto" w:fill="auto"/>
            <w:vAlign w:val="bottom"/>
          </w:tcPr>
          <w:p w14:paraId="47B0E8BD"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p>
        </w:tc>
        <w:tc>
          <w:tcPr>
            <w:tcW w:w="1134" w:type="dxa"/>
            <w:shd w:val="clear" w:color="auto" w:fill="auto"/>
            <w:noWrap/>
            <w:vAlign w:val="bottom"/>
            <w:hideMark/>
          </w:tcPr>
          <w:p w14:paraId="68DD8415"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p>
        </w:tc>
        <w:tc>
          <w:tcPr>
            <w:tcW w:w="1275" w:type="dxa"/>
            <w:shd w:val="clear" w:color="auto" w:fill="auto"/>
            <w:noWrap/>
            <w:vAlign w:val="bottom"/>
            <w:hideMark/>
          </w:tcPr>
          <w:p w14:paraId="15210946"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0.021</w:t>
            </w:r>
          </w:p>
        </w:tc>
        <w:tc>
          <w:tcPr>
            <w:tcW w:w="1276" w:type="dxa"/>
            <w:shd w:val="clear" w:color="auto" w:fill="auto"/>
            <w:noWrap/>
            <w:vAlign w:val="bottom"/>
            <w:hideMark/>
          </w:tcPr>
          <w:p w14:paraId="2F6D8EA2"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(0.017</w:t>
            </w:r>
            <w:r w:rsidRPr="00197F84">
              <w:rPr>
                <w:rFonts w:ascii="Verdana" w:eastAsia="Times New Roman" w:hAnsi="Verdana"/>
                <w:color w:val="000000"/>
                <w:sz w:val="18"/>
                <w:lang w:val="en-GB" w:eastAsia="en-GB"/>
              </w:rPr>
              <w:t>)</w:t>
            </w:r>
          </w:p>
        </w:tc>
      </w:tr>
      <w:tr w:rsidR="004D1438" w:rsidRPr="002414C5" w14:paraId="07CABBEA" w14:textId="77777777" w:rsidTr="00BC71BA">
        <w:trPr>
          <w:trHeight w:val="106"/>
        </w:trPr>
        <w:tc>
          <w:tcPr>
            <w:tcW w:w="4361" w:type="dxa"/>
            <w:gridSpan w:val="2"/>
            <w:shd w:val="clear" w:color="auto" w:fill="auto"/>
            <w:noWrap/>
            <w:vAlign w:val="bottom"/>
          </w:tcPr>
          <w:p w14:paraId="09AEE7F4" w14:textId="77777777" w:rsidR="004D1438" w:rsidRPr="00197F84" w:rsidRDefault="004D1438" w:rsidP="00BC71BA">
            <w:pPr>
              <w:spacing w:after="0" w:line="240" w:lineRule="auto"/>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Country binary variables</w:t>
            </w:r>
          </w:p>
        </w:tc>
        <w:tc>
          <w:tcPr>
            <w:tcW w:w="2410" w:type="dxa"/>
            <w:gridSpan w:val="2"/>
            <w:shd w:val="clear" w:color="auto" w:fill="auto"/>
            <w:vAlign w:val="bottom"/>
          </w:tcPr>
          <w:p w14:paraId="16052C0C"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Yes</w:t>
            </w:r>
          </w:p>
        </w:tc>
        <w:tc>
          <w:tcPr>
            <w:tcW w:w="2551" w:type="dxa"/>
            <w:gridSpan w:val="2"/>
            <w:shd w:val="clear" w:color="auto" w:fill="auto"/>
            <w:noWrap/>
            <w:vAlign w:val="bottom"/>
          </w:tcPr>
          <w:p w14:paraId="5F7788DF"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sidRPr="00197F84">
              <w:rPr>
                <w:rFonts w:ascii="Verdana" w:eastAsia="Times New Roman" w:hAnsi="Verdana"/>
                <w:color w:val="000000"/>
                <w:sz w:val="18"/>
                <w:lang w:val="en-GB" w:eastAsia="en-GB"/>
              </w:rPr>
              <w:t>No</w:t>
            </w:r>
          </w:p>
        </w:tc>
      </w:tr>
      <w:tr w:rsidR="004D1438" w:rsidRPr="002414C5" w14:paraId="34E03BD8" w14:textId="77777777" w:rsidTr="00BC71BA">
        <w:trPr>
          <w:trHeight w:val="106"/>
        </w:trPr>
        <w:tc>
          <w:tcPr>
            <w:tcW w:w="4361" w:type="dxa"/>
            <w:gridSpan w:val="2"/>
            <w:shd w:val="clear" w:color="auto" w:fill="auto"/>
            <w:noWrap/>
            <w:vAlign w:val="bottom"/>
          </w:tcPr>
          <w:p w14:paraId="0797BEE0" w14:textId="77777777" w:rsidR="004D1438" w:rsidRPr="00197F84" w:rsidRDefault="004D1438" w:rsidP="00BC71BA">
            <w:pPr>
              <w:spacing w:after="0" w:line="240" w:lineRule="auto"/>
              <w:rPr>
                <w:rFonts w:ascii="Verdana" w:eastAsia="Times New Roman" w:hAnsi="Verdana"/>
                <w:color w:val="000000"/>
                <w:sz w:val="18"/>
                <w:lang w:val="en-GB" w:eastAsia="en-GB"/>
              </w:rPr>
            </w:pPr>
            <w:r>
              <w:rPr>
                <w:rFonts w:ascii="Verdana" w:eastAsia="Times New Roman" w:hAnsi="Verdana"/>
                <w:color w:val="000000"/>
                <w:sz w:val="18"/>
                <w:lang w:val="en-GB" w:eastAsia="en-GB"/>
              </w:rPr>
              <w:t>N</w:t>
            </w:r>
          </w:p>
        </w:tc>
        <w:tc>
          <w:tcPr>
            <w:tcW w:w="2410" w:type="dxa"/>
            <w:gridSpan w:val="2"/>
            <w:shd w:val="clear" w:color="auto" w:fill="auto"/>
            <w:vAlign w:val="bottom"/>
          </w:tcPr>
          <w:p w14:paraId="63825A0F"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19,159</w:t>
            </w:r>
          </w:p>
        </w:tc>
        <w:tc>
          <w:tcPr>
            <w:tcW w:w="2551" w:type="dxa"/>
            <w:gridSpan w:val="2"/>
            <w:shd w:val="clear" w:color="auto" w:fill="auto"/>
            <w:noWrap/>
            <w:vAlign w:val="bottom"/>
          </w:tcPr>
          <w:p w14:paraId="1AC5E49E" w14:textId="77777777" w:rsidR="004D1438" w:rsidRPr="00197F84" w:rsidRDefault="004D1438" w:rsidP="00BC71BA">
            <w:pPr>
              <w:spacing w:after="0" w:line="240" w:lineRule="auto"/>
              <w:jc w:val="center"/>
              <w:rPr>
                <w:rFonts w:ascii="Verdana" w:eastAsia="Times New Roman" w:hAnsi="Verdana"/>
                <w:color w:val="000000"/>
                <w:sz w:val="18"/>
                <w:lang w:val="en-GB" w:eastAsia="en-GB"/>
              </w:rPr>
            </w:pPr>
            <w:r>
              <w:rPr>
                <w:rFonts w:ascii="Verdana" w:eastAsia="Times New Roman" w:hAnsi="Verdana"/>
                <w:color w:val="000000"/>
                <w:sz w:val="18"/>
                <w:lang w:val="en-GB" w:eastAsia="en-GB"/>
              </w:rPr>
              <w:t>19,159</w:t>
            </w:r>
          </w:p>
        </w:tc>
      </w:tr>
    </w:tbl>
    <w:p w14:paraId="19649B06" w14:textId="77777777" w:rsidR="004D1438" w:rsidRPr="00792481" w:rsidRDefault="004D1438" w:rsidP="004D1438">
      <w:pPr>
        <w:spacing w:before="120" w:after="120"/>
        <w:rPr>
          <w:sz w:val="20"/>
          <w:lang w:val="en-GB"/>
        </w:rPr>
      </w:pPr>
      <w:r w:rsidRPr="00792481">
        <w:rPr>
          <w:sz w:val="20"/>
          <w:lang w:val="en-GB"/>
        </w:rPr>
        <w:t xml:space="preserve">Statistical significance at: *, 10%; **, 5%; ***, 1%. Robust standard errors </w:t>
      </w:r>
      <w:r>
        <w:rPr>
          <w:sz w:val="20"/>
          <w:lang w:val="en-GB"/>
        </w:rPr>
        <w:t xml:space="preserve">clustered by country </w:t>
      </w:r>
      <w:r w:rsidRPr="00792481">
        <w:rPr>
          <w:sz w:val="20"/>
          <w:lang w:val="en-GB"/>
        </w:rPr>
        <w:t>in parenthesis.</w:t>
      </w:r>
    </w:p>
    <w:p w14:paraId="439BE895" w14:textId="77777777" w:rsidR="004D1438" w:rsidRPr="001E7395" w:rsidRDefault="004D1438" w:rsidP="004D1438">
      <w:pPr>
        <w:rPr>
          <w:lang w:val="en-GB"/>
        </w:rPr>
      </w:pPr>
    </w:p>
    <w:p w14:paraId="3E4FAF12" w14:textId="4F3666D5" w:rsidR="004D1438" w:rsidRDefault="004D1438">
      <w:pPr>
        <w:spacing w:after="0" w:line="240" w:lineRule="auto"/>
        <w:rPr>
          <w:lang w:val="en-GB"/>
        </w:rPr>
      </w:pPr>
      <w:r>
        <w:rPr>
          <w:lang w:val="en-GB"/>
        </w:rPr>
        <w:br w:type="page"/>
      </w:r>
    </w:p>
    <w:p w14:paraId="6175BC7E" w14:textId="77777777" w:rsidR="004D1438" w:rsidRPr="005B474D" w:rsidRDefault="004D1438" w:rsidP="004D1438">
      <w:pPr>
        <w:spacing w:before="240" w:after="120" w:line="360" w:lineRule="auto"/>
        <w:ind w:left="284"/>
        <w:jc w:val="both"/>
        <w:rPr>
          <w:rFonts w:ascii="Verdana" w:hAnsi="Verdana" w:cs="Tahoma"/>
          <w:sz w:val="24"/>
          <w:szCs w:val="24"/>
          <w:lang w:val="en-GB"/>
        </w:rPr>
      </w:pPr>
      <w:r w:rsidRPr="00E3168D">
        <w:rPr>
          <w:rFonts w:ascii="Verdana" w:hAnsi="Verdana" w:cs="Tahoma"/>
          <w:b/>
          <w:lang w:val="en-US"/>
        </w:rPr>
        <w:lastRenderedPageBreak/>
        <w:t xml:space="preserve">Annex. </w:t>
      </w:r>
      <w:r w:rsidRPr="005B474D">
        <w:rPr>
          <w:rFonts w:ascii="Verdana" w:hAnsi="Verdana" w:cs="Tahoma"/>
          <w:b/>
          <w:lang w:val="en-GB"/>
        </w:rPr>
        <w:t xml:space="preserve">Summary </w:t>
      </w:r>
      <w:r>
        <w:rPr>
          <w:rFonts w:ascii="Verdana" w:hAnsi="Verdana" w:cs="Tahoma"/>
          <w:b/>
          <w:lang w:val="en-GB"/>
        </w:rPr>
        <w:t xml:space="preserve">of </w:t>
      </w:r>
      <w:r w:rsidRPr="005B474D">
        <w:rPr>
          <w:rFonts w:ascii="Verdana" w:hAnsi="Verdana" w:cs="Tahoma"/>
          <w:b/>
          <w:lang w:val="en-GB"/>
        </w:rPr>
        <w:t xml:space="preserve">variables at the country level </w:t>
      </w:r>
    </w:p>
    <w:tbl>
      <w:tblPr>
        <w:tblW w:w="9876" w:type="dxa"/>
        <w:jc w:val="center"/>
        <w:tblBorders>
          <w:top w:val="thinThickSmallGap" w:sz="24" w:space="0" w:color="auto"/>
          <w:bottom w:val="thinThickSmallGap" w:sz="2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1200"/>
        <w:gridCol w:w="1200"/>
        <w:gridCol w:w="1200"/>
        <w:gridCol w:w="1200"/>
        <w:gridCol w:w="1200"/>
        <w:gridCol w:w="1210"/>
        <w:gridCol w:w="1210"/>
      </w:tblGrid>
      <w:tr w:rsidR="004D1438" w:rsidRPr="005B474D" w14:paraId="25AB4A58" w14:textId="77777777" w:rsidTr="00BC71BA">
        <w:trPr>
          <w:trHeight w:val="300"/>
          <w:jc w:val="center"/>
        </w:trPr>
        <w:tc>
          <w:tcPr>
            <w:tcW w:w="1456" w:type="dxa"/>
            <w:shd w:val="clear" w:color="auto" w:fill="auto"/>
            <w:noWrap/>
            <w:vAlign w:val="bottom"/>
            <w:hideMark/>
          </w:tcPr>
          <w:p w14:paraId="7CCD1BB1" w14:textId="77777777" w:rsidR="004D1438" w:rsidRPr="007C0DEC" w:rsidRDefault="004D1438" w:rsidP="00BC71BA">
            <w:pPr>
              <w:spacing w:after="0" w:line="360" w:lineRule="auto"/>
              <w:rPr>
                <w:rFonts w:ascii="Verdana" w:eastAsia="Times New Roman" w:hAnsi="Verdana" w:cs="Calibri"/>
                <w:color w:val="000000"/>
                <w:sz w:val="18"/>
                <w:szCs w:val="18"/>
                <w:lang w:val="en-US" w:eastAsia="es-ES"/>
              </w:rPr>
            </w:pPr>
            <w:r w:rsidRPr="007C0DEC">
              <w:rPr>
                <w:rFonts w:ascii="Verdana" w:eastAsia="Times New Roman" w:hAnsi="Verdana" w:cs="Calibri"/>
                <w:color w:val="000000"/>
                <w:sz w:val="18"/>
                <w:szCs w:val="18"/>
                <w:lang w:val="en-US" w:eastAsia="es-ES"/>
              </w:rPr>
              <w:t> </w:t>
            </w:r>
          </w:p>
        </w:tc>
        <w:tc>
          <w:tcPr>
            <w:tcW w:w="1200" w:type="dxa"/>
            <w:shd w:val="clear" w:color="auto" w:fill="auto"/>
            <w:noWrap/>
            <w:vAlign w:val="bottom"/>
            <w:hideMark/>
          </w:tcPr>
          <w:p w14:paraId="63AC410C" w14:textId="77777777" w:rsidR="004D1438" w:rsidRPr="007C0DEC" w:rsidRDefault="004D1438" w:rsidP="00BC71BA">
            <w:pPr>
              <w:spacing w:after="0" w:line="360" w:lineRule="auto"/>
              <w:jc w:val="center"/>
              <w:rPr>
                <w:rFonts w:ascii="Verdana" w:eastAsia="Times New Roman" w:hAnsi="Verdana" w:cs="Calibri"/>
                <w:b/>
                <w:color w:val="000000"/>
                <w:sz w:val="18"/>
                <w:szCs w:val="18"/>
                <w:lang w:eastAsia="es-ES"/>
              </w:rPr>
            </w:pPr>
            <w:r w:rsidRPr="007C0DEC">
              <w:rPr>
                <w:rFonts w:ascii="Verdana" w:eastAsia="Times New Roman" w:hAnsi="Verdana" w:cs="Calibri"/>
                <w:b/>
                <w:color w:val="000000"/>
                <w:sz w:val="18"/>
                <w:szCs w:val="18"/>
                <w:lang w:eastAsia="es-ES"/>
              </w:rPr>
              <w:t>GDP growth (av</w:t>
            </w:r>
            <w:r w:rsidRPr="005B474D">
              <w:rPr>
                <w:rFonts w:ascii="Verdana" w:eastAsia="Times New Roman" w:hAnsi="Verdana" w:cs="Calibri"/>
                <w:b/>
                <w:color w:val="000000"/>
                <w:sz w:val="18"/>
                <w:szCs w:val="18"/>
                <w:lang w:eastAsia="es-ES"/>
              </w:rPr>
              <w:t>erage</w:t>
            </w:r>
            <w:r w:rsidRPr="007C0DEC">
              <w:rPr>
                <w:rFonts w:ascii="Verdana" w:eastAsia="Times New Roman" w:hAnsi="Verdana" w:cs="Calibri"/>
                <w:b/>
                <w:color w:val="000000"/>
                <w:sz w:val="18"/>
                <w:szCs w:val="18"/>
                <w:lang w:eastAsia="es-ES"/>
              </w:rPr>
              <w:t xml:space="preserve"> 2011-2015)</w:t>
            </w:r>
          </w:p>
        </w:tc>
        <w:tc>
          <w:tcPr>
            <w:tcW w:w="1200" w:type="dxa"/>
            <w:shd w:val="clear" w:color="auto" w:fill="auto"/>
            <w:noWrap/>
            <w:vAlign w:val="bottom"/>
            <w:hideMark/>
          </w:tcPr>
          <w:p w14:paraId="62484AFD" w14:textId="77777777" w:rsidR="004D1438" w:rsidRPr="007C0DEC" w:rsidRDefault="004D1438" w:rsidP="00BC71BA">
            <w:pPr>
              <w:spacing w:after="0" w:line="360" w:lineRule="auto"/>
              <w:jc w:val="center"/>
              <w:rPr>
                <w:rFonts w:ascii="Verdana" w:eastAsia="Times New Roman" w:hAnsi="Verdana" w:cs="Calibri"/>
                <w:b/>
                <w:color w:val="000000"/>
                <w:sz w:val="18"/>
                <w:szCs w:val="18"/>
                <w:lang w:eastAsia="es-ES"/>
              </w:rPr>
            </w:pPr>
            <w:r w:rsidRPr="007C0DEC">
              <w:rPr>
                <w:rFonts w:ascii="Verdana" w:eastAsia="Times New Roman" w:hAnsi="Verdana" w:cs="Calibri"/>
                <w:b/>
                <w:color w:val="000000"/>
                <w:sz w:val="18"/>
                <w:szCs w:val="18"/>
                <w:lang w:eastAsia="es-ES"/>
              </w:rPr>
              <w:t>Inflation (av</w:t>
            </w:r>
            <w:r w:rsidRPr="005B474D">
              <w:rPr>
                <w:rFonts w:ascii="Verdana" w:eastAsia="Times New Roman" w:hAnsi="Verdana" w:cs="Calibri"/>
                <w:b/>
                <w:color w:val="000000"/>
                <w:sz w:val="18"/>
                <w:szCs w:val="18"/>
                <w:lang w:eastAsia="es-ES"/>
              </w:rPr>
              <w:t>erage</w:t>
            </w:r>
            <w:r w:rsidRPr="007C0DEC">
              <w:rPr>
                <w:rFonts w:ascii="Verdana" w:eastAsia="Times New Roman" w:hAnsi="Verdana" w:cs="Calibri"/>
                <w:b/>
                <w:color w:val="000000"/>
                <w:sz w:val="18"/>
                <w:szCs w:val="18"/>
                <w:lang w:eastAsia="es-ES"/>
              </w:rPr>
              <w:t xml:space="preserve"> 2011-2015)</w:t>
            </w:r>
          </w:p>
        </w:tc>
        <w:tc>
          <w:tcPr>
            <w:tcW w:w="1200" w:type="dxa"/>
            <w:shd w:val="clear" w:color="auto" w:fill="auto"/>
            <w:noWrap/>
            <w:vAlign w:val="bottom"/>
            <w:hideMark/>
          </w:tcPr>
          <w:p w14:paraId="0A71BFC1" w14:textId="77777777" w:rsidR="004D1438" w:rsidRPr="007C0DEC" w:rsidRDefault="004D1438" w:rsidP="00BC71BA">
            <w:pPr>
              <w:spacing w:after="0" w:line="360" w:lineRule="auto"/>
              <w:jc w:val="center"/>
              <w:rPr>
                <w:rFonts w:ascii="Verdana" w:eastAsia="Times New Roman" w:hAnsi="Verdana" w:cs="Calibri"/>
                <w:b/>
                <w:color w:val="000000"/>
                <w:sz w:val="18"/>
                <w:szCs w:val="18"/>
                <w:lang w:eastAsia="es-ES"/>
              </w:rPr>
            </w:pPr>
            <w:r w:rsidRPr="005B474D">
              <w:rPr>
                <w:rFonts w:ascii="Verdana" w:eastAsia="Times New Roman" w:hAnsi="Verdana" w:cs="Calibri"/>
                <w:b/>
                <w:color w:val="000000"/>
                <w:sz w:val="18"/>
                <w:szCs w:val="18"/>
                <w:lang w:eastAsia="es-ES"/>
              </w:rPr>
              <w:t xml:space="preserve">Interest rate </w:t>
            </w:r>
            <w:r w:rsidRPr="007C0DEC">
              <w:rPr>
                <w:rFonts w:ascii="Verdana" w:eastAsia="Times New Roman" w:hAnsi="Verdana" w:cs="Calibri"/>
                <w:b/>
                <w:color w:val="000000"/>
                <w:sz w:val="18"/>
                <w:szCs w:val="18"/>
                <w:lang w:eastAsia="es-ES"/>
              </w:rPr>
              <w:t>(av</w:t>
            </w:r>
            <w:r w:rsidRPr="005B474D">
              <w:rPr>
                <w:rFonts w:ascii="Verdana" w:eastAsia="Times New Roman" w:hAnsi="Verdana" w:cs="Calibri"/>
                <w:b/>
                <w:color w:val="000000"/>
                <w:sz w:val="18"/>
                <w:szCs w:val="18"/>
                <w:lang w:eastAsia="es-ES"/>
              </w:rPr>
              <w:t>erage</w:t>
            </w:r>
            <w:r w:rsidRPr="007C0DEC">
              <w:rPr>
                <w:rFonts w:ascii="Verdana" w:eastAsia="Times New Roman" w:hAnsi="Verdana" w:cs="Calibri"/>
                <w:b/>
                <w:color w:val="000000"/>
                <w:sz w:val="18"/>
                <w:szCs w:val="18"/>
                <w:lang w:eastAsia="es-ES"/>
              </w:rPr>
              <w:t xml:space="preserve"> 2011-2014)</w:t>
            </w:r>
          </w:p>
        </w:tc>
        <w:tc>
          <w:tcPr>
            <w:tcW w:w="1200" w:type="dxa"/>
            <w:vAlign w:val="bottom"/>
          </w:tcPr>
          <w:p w14:paraId="48D5FB8C" w14:textId="77777777" w:rsidR="004D1438" w:rsidRPr="005B474D" w:rsidRDefault="004D1438" w:rsidP="00BC71BA">
            <w:pPr>
              <w:spacing w:after="0" w:line="360" w:lineRule="auto"/>
              <w:jc w:val="center"/>
              <w:rPr>
                <w:rFonts w:ascii="Verdana" w:eastAsia="Times New Roman" w:hAnsi="Verdana" w:cs="Calibri"/>
                <w:b/>
                <w:color w:val="000000"/>
                <w:sz w:val="18"/>
                <w:szCs w:val="18"/>
                <w:lang w:val="en-US" w:eastAsia="es-ES"/>
              </w:rPr>
            </w:pPr>
            <w:r w:rsidRPr="007C0DEC">
              <w:rPr>
                <w:rFonts w:ascii="Verdana" w:eastAsia="Times New Roman" w:hAnsi="Verdana" w:cs="Calibri"/>
                <w:b/>
                <w:color w:val="000000"/>
                <w:sz w:val="18"/>
                <w:szCs w:val="18"/>
                <w:lang w:val="en-US" w:eastAsia="es-ES"/>
              </w:rPr>
              <w:t>Boone indicator (a</w:t>
            </w:r>
            <w:r w:rsidRPr="005B474D">
              <w:rPr>
                <w:rFonts w:ascii="Verdana" w:eastAsia="Times New Roman" w:hAnsi="Verdana" w:cs="Calibri"/>
                <w:b/>
                <w:color w:val="000000"/>
                <w:sz w:val="18"/>
                <w:szCs w:val="18"/>
                <w:lang w:val="en-US" w:eastAsia="es-ES"/>
              </w:rPr>
              <w:t>verage 2011-2015</w:t>
            </w:r>
            <w:r w:rsidRPr="007C0DEC">
              <w:rPr>
                <w:rFonts w:ascii="Verdana" w:eastAsia="Times New Roman" w:hAnsi="Verdana" w:cs="Calibri"/>
                <w:b/>
                <w:color w:val="000000"/>
                <w:sz w:val="18"/>
                <w:szCs w:val="18"/>
                <w:lang w:val="en-US" w:eastAsia="es-ES"/>
              </w:rPr>
              <w:t>)</w:t>
            </w:r>
          </w:p>
        </w:tc>
        <w:tc>
          <w:tcPr>
            <w:tcW w:w="1200" w:type="dxa"/>
            <w:shd w:val="clear" w:color="auto" w:fill="auto"/>
            <w:noWrap/>
            <w:vAlign w:val="bottom"/>
            <w:hideMark/>
          </w:tcPr>
          <w:p w14:paraId="541FF8AF" w14:textId="77777777" w:rsidR="004D1438" w:rsidRPr="00D810BC" w:rsidRDefault="004D1438" w:rsidP="00BC71BA">
            <w:pPr>
              <w:spacing w:after="0" w:line="360" w:lineRule="auto"/>
              <w:jc w:val="center"/>
              <w:rPr>
                <w:rFonts w:ascii="Verdana" w:eastAsia="Times New Roman" w:hAnsi="Verdana" w:cs="Calibri"/>
                <w:b/>
                <w:color w:val="000000"/>
                <w:sz w:val="18"/>
                <w:szCs w:val="18"/>
                <w:lang w:val="en-US" w:eastAsia="es-ES"/>
              </w:rPr>
            </w:pPr>
            <w:r w:rsidRPr="00D810BC">
              <w:rPr>
                <w:rFonts w:ascii="Verdana" w:eastAsia="Times New Roman" w:hAnsi="Verdana" w:cs="Calibri"/>
                <w:b/>
                <w:color w:val="000000"/>
                <w:sz w:val="18"/>
                <w:szCs w:val="18"/>
                <w:lang w:val="en-US" w:eastAsia="es-ES"/>
              </w:rPr>
              <w:t>Market size, tens of million users (2016)</w:t>
            </w:r>
          </w:p>
        </w:tc>
        <w:tc>
          <w:tcPr>
            <w:tcW w:w="1210" w:type="dxa"/>
            <w:shd w:val="clear" w:color="auto" w:fill="auto"/>
            <w:noWrap/>
            <w:vAlign w:val="bottom"/>
            <w:hideMark/>
          </w:tcPr>
          <w:p w14:paraId="69942EB5" w14:textId="77777777" w:rsidR="004D1438" w:rsidRPr="005B474D" w:rsidRDefault="004D1438" w:rsidP="00BC71BA">
            <w:pPr>
              <w:spacing w:after="0" w:line="360" w:lineRule="auto"/>
              <w:jc w:val="center"/>
              <w:rPr>
                <w:rFonts w:ascii="Verdana" w:eastAsia="Times New Roman" w:hAnsi="Verdana" w:cs="Calibri"/>
                <w:b/>
                <w:color w:val="000000"/>
                <w:sz w:val="18"/>
                <w:szCs w:val="18"/>
                <w:lang w:eastAsia="es-ES"/>
              </w:rPr>
            </w:pPr>
            <w:r w:rsidRPr="007C0DEC">
              <w:rPr>
                <w:rFonts w:ascii="Verdana" w:eastAsia="Times New Roman" w:hAnsi="Verdana" w:cs="Calibri"/>
                <w:b/>
                <w:color w:val="000000"/>
                <w:sz w:val="18"/>
                <w:szCs w:val="18"/>
                <w:lang w:eastAsia="es-ES"/>
              </w:rPr>
              <w:t xml:space="preserve">Financial </w:t>
            </w:r>
            <w:r w:rsidRPr="005B474D">
              <w:rPr>
                <w:rFonts w:ascii="Verdana" w:eastAsia="Times New Roman" w:hAnsi="Verdana" w:cs="Calibri"/>
                <w:b/>
                <w:color w:val="000000"/>
                <w:sz w:val="18"/>
                <w:szCs w:val="18"/>
                <w:lang w:eastAsia="es-ES"/>
              </w:rPr>
              <w:t>education policies</w:t>
            </w:r>
            <w:r w:rsidRPr="007C0DEC">
              <w:rPr>
                <w:rFonts w:ascii="Verdana" w:eastAsia="Times New Roman" w:hAnsi="Verdana" w:cs="Calibri"/>
                <w:b/>
                <w:color w:val="000000"/>
                <w:sz w:val="18"/>
                <w:szCs w:val="18"/>
                <w:lang w:eastAsia="es-ES"/>
              </w:rPr>
              <w:t xml:space="preserve"> </w:t>
            </w:r>
          </w:p>
          <w:p w14:paraId="74D0CD7D" w14:textId="77777777" w:rsidR="004D1438" w:rsidRPr="007C0DEC" w:rsidRDefault="004D1438" w:rsidP="00BC71BA">
            <w:pPr>
              <w:spacing w:after="0" w:line="360" w:lineRule="auto"/>
              <w:jc w:val="center"/>
              <w:rPr>
                <w:rFonts w:ascii="Verdana" w:eastAsia="Times New Roman" w:hAnsi="Verdana" w:cs="Calibri"/>
                <w:b/>
                <w:color w:val="000000"/>
                <w:sz w:val="18"/>
                <w:szCs w:val="18"/>
                <w:lang w:eastAsia="es-ES"/>
              </w:rPr>
            </w:pPr>
            <w:r w:rsidRPr="007C0DEC">
              <w:rPr>
                <w:rFonts w:ascii="Verdana" w:eastAsia="Times New Roman" w:hAnsi="Verdana" w:cs="Calibri"/>
                <w:b/>
                <w:color w:val="000000"/>
                <w:sz w:val="18"/>
                <w:szCs w:val="18"/>
                <w:lang w:eastAsia="es-ES"/>
              </w:rPr>
              <w:t>(0</w:t>
            </w:r>
            <w:r>
              <w:rPr>
                <w:rFonts w:ascii="Verdana" w:eastAsia="Times New Roman" w:hAnsi="Verdana" w:cs="Calibri"/>
                <w:b/>
                <w:color w:val="000000"/>
                <w:sz w:val="18"/>
                <w:szCs w:val="18"/>
                <w:lang w:eastAsia="es-ES"/>
              </w:rPr>
              <w:t>-</w:t>
            </w:r>
            <w:r w:rsidRPr="007C0DEC">
              <w:rPr>
                <w:rFonts w:ascii="Verdana" w:eastAsia="Times New Roman" w:hAnsi="Verdana" w:cs="Calibri"/>
                <w:b/>
                <w:color w:val="000000"/>
                <w:sz w:val="18"/>
                <w:szCs w:val="18"/>
                <w:lang w:eastAsia="es-ES"/>
              </w:rPr>
              <w:t>1)</w:t>
            </w:r>
          </w:p>
        </w:tc>
        <w:tc>
          <w:tcPr>
            <w:tcW w:w="1210" w:type="dxa"/>
            <w:shd w:val="clear" w:color="auto" w:fill="auto"/>
            <w:noWrap/>
            <w:vAlign w:val="bottom"/>
            <w:hideMark/>
          </w:tcPr>
          <w:p w14:paraId="0968184B" w14:textId="77777777" w:rsidR="004D1438" w:rsidRPr="005B474D" w:rsidRDefault="004D1438" w:rsidP="00BC71BA">
            <w:pPr>
              <w:spacing w:after="0" w:line="360" w:lineRule="auto"/>
              <w:jc w:val="center"/>
              <w:rPr>
                <w:rFonts w:ascii="Verdana" w:eastAsia="Times New Roman" w:hAnsi="Verdana" w:cs="Calibri"/>
                <w:b/>
                <w:color w:val="000000"/>
                <w:sz w:val="18"/>
                <w:szCs w:val="18"/>
                <w:lang w:val="en-US" w:eastAsia="es-ES"/>
              </w:rPr>
            </w:pPr>
            <w:r w:rsidRPr="007C0DEC">
              <w:rPr>
                <w:rFonts w:ascii="Verdana" w:eastAsia="Times New Roman" w:hAnsi="Verdana" w:cs="Calibri"/>
                <w:b/>
                <w:color w:val="000000"/>
                <w:sz w:val="18"/>
                <w:szCs w:val="18"/>
                <w:lang w:val="en-US" w:eastAsia="es-ES"/>
              </w:rPr>
              <w:t xml:space="preserve">Disclosure </w:t>
            </w:r>
            <w:r w:rsidRPr="005B474D">
              <w:rPr>
                <w:rFonts w:ascii="Verdana" w:eastAsia="Times New Roman" w:hAnsi="Verdana" w:cs="Calibri"/>
                <w:b/>
                <w:color w:val="000000"/>
                <w:sz w:val="18"/>
                <w:szCs w:val="18"/>
                <w:lang w:val="en-US" w:eastAsia="es-ES"/>
              </w:rPr>
              <w:t xml:space="preserve">practices </w:t>
            </w:r>
          </w:p>
          <w:p w14:paraId="7978ADAA" w14:textId="77777777" w:rsidR="004D1438" w:rsidRPr="007C0DEC" w:rsidRDefault="004D1438" w:rsidP="00BC71BA">
            <w:pPr>
              <w:spacing w:after="0" w:line="360" w:lineRule="auto"/>
              <w:jc w:val="center"/>
              <w:rPr>
                <w:rFonts w:ascii="Verdana" w:eastAsia="Times New Roman" w:hAnsi="Verdana" w:cs="Calibri"/>
                <w:b/>
                <w:color w:val="000000"/>
                <w:sz w:val="18"/>
                <w:szCs w:val="18"/>
                <w:lang w:val="en-US" w:eastAsia="es-ES"/>
              </w:rPr>
            </w:pPr>
            <w:r w:rsidRPr="005B474D">
              <w:rPr>
                <w:rFonts w:ascii="Verdana" w:eastAsia="Times New Roman" w:hAnsi="Verdana" w:cs="Calibri"/>
                <w:b/>
                <w:color w:val="000000"/>
                <w:sz w:val="18"/>
                <w:szCs w:val="18"/>
                <w:lang w:val="en-US" w:eastAsia="es-ES"/>
              </w:rPr>
              <w:t>(</w:t>
            </w:r>
            <w:r w:rsidRPr="007C0DEC">
              <w:rPr>
                <w:rFonts w:ascii="Verdana" w:eastAsia="Times New Roman" w:hAnsi="Verdana" w:cs="Calibri"/>
                <w:b/>
                <w:color w:val="000000"/>
                <w:sz w:val="18"/>
                <w:szCs w:val="18"/>
                <w:lang w:val="en-US" w:eastAsia="es-ES"/>
              </w:rPr>
              <w:t>0</w:t>
            </w:r>
            <w:r>
              <w:rPr>
                <w:rFonts w:ascii="Verdana" w:eastAsia="Times New Roman" w:hAnsi="Verdana" w:cs="Calibri"/>
                <w:b/>
                <w:color w:val="000000"/>
                <w:sz w:val="18"/>
                <w:szCs w:val="18"/>
                <w:lang w:val="en-US" w:eastAsia="es-ES"/>
              </w:rPr>
              <w:t>-</w:t>
            </w:r>
            <w:r w:rsidRPr="007C0DEC">
              <w:rPr>
                <w:rFonts w:ascii="Verdana" w:eastAsia="Times New Roman" w:hAnsi="Verdana" w:cs="Calibri"/>
                <w:b/>
                <w:color w:val="000000"/>
                <w:sz w:val="18"/>
                <w:szCs w:val="18"/>
                <w:lang w:val="en-US" w:eastAsia="es-ES"/>
              </w:rPr>
              <w:t>1)</w:t>
            </w:r>
          </w:p>
        </w:tc>
      </w:tr>
      <w:tr w:rsidR="004D1438" w:rsidRPr="005B474D" w14:paraId="3F5D0C1F" w14:textId="77777777" w:rsidTr="00BC71BA">
        <w:trPr>
          <w:trHeight w:val="240"/>
          <w:jc w:val="center"/>
        </w:trPr>
        <w:tc>
          <w:tcPr>
            <w:tcW w:w="1456" w:type="dxa"/>
            <w:shd w:val="clear" w:color="000000" w:fill="FFFFFF"/>
            <w:vAlign w:val="center"/>
            <w:hideMark/>
          </w:tcPr>
          <w:p w14:paraId="374FE7EA"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Belgium</w:t>
            </w:r>
          </w:p>
        </w:tc>
        <w:tc>
          <w:tcPr>
            <w:tcW w:w="1200" w:type="dxa"/>
            <w:shd w:val="clear" w:color="auto" w:fill="auto"/>
            <w:noWrap/>
            <w:vAlign w:val="bottom"/>
            <w:hideMark/>
          </w:tcPr>
          <w:p w14:paraId="0F80BC9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w:t>
            </w:r>
          </w:p>
        </w:tc>
        <w:tc>
          <w:tcPr>
            <w:tcW w:w="1200" w:type="dxa"/>
            <w:shd w:val="clear" w:color="auto" w:fill="auto"/>
            <w:noWrap/>
            <w:vAlign w:val="bottom"/>
            <w:hideMark/>
          </w:tcPr>
          <w:p w14:paraId="58D00316"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w:t>
            </w:r>
          </w:p>
        </w:tc>
        <w:tc>
          <w:tcPr>
            <w:tcW w:w="1200" w:type="dxa"/>
            <w:shd w:val="clear" w:color="auto" w:fill="auto"/>
            <w:noWrap/>
            <w:vAlign w:val="bottom"/>
            <w:hideMark/>
          </w:tcPr>
          <w:p w14:paraId="3F13441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61285C81"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026</w:t>
            </w:r>
          </w:p>
        </w:tc>
        <w:tc>
          <w:tcPr>
            <w:tcW w:w="1200" w:type="dxa"/>
            <w:shd w:val="clear" w:color="auto" w:fill="auto"/>
            <w:noWrap/>
            <w:vAlign w:val="bottom"/>
            <w:hideMark/>
          </w:tcPr>
          <w:p w14:paraId="6471B081"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916</w:t>
            </w:r>
          </w:p>
        </w:tc>
        <w:tc>
          <w:tcPr>
            <w:tcW w:w="1210" w:type="dxa"/>
            <w:shd w:val="clear" w:color="auto" w:fill="auto"/>
            <w:noWrap/>
            <w:vAlign w:val="bottom"/>
            <w:hideMark/>
          </w:tcPr>
          <w:p w14:paraId="788D376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0.667</w:t>
            </w:r>
          </w:p>
        </w:tc>
        <w:tc>
          <w:tcPr>
            <w:tcW w:w="1210" w:type="dxa"/>
            <w:shd w:val="clear" w:color="auto" w:fill="auto"/>
            <w:noWrap/>
            <w:vAlign w:val="bottom"/>
            <w:hideMark/>
          </w:tcPr>
          <w:p w14:paraId="5C94466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r>
      <w:tr w:rsidR="004D1438" w:rsidRPr="005B474D" w14:paraId="57BECC40" w14:textId="77777777" w:rsidTr="00BC71BA">
        <w:trPr>
          <w:trHeight w:val="240"/>
          <w:jc w:val="center"/>
        </w:trPr>
        <w:tc>
          <w:tcPr>
            <w:tcW w:w="1456" w:type="dxa"/>
            <w:shd w:val="clear" w:color="000000" w:fill="FFFFFF"/>
            <w:vAlign w:val="center"/>
            <w:hideMark/>
          </w:tcPr>
          <w:p w14:paraId="6FA6D807"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Denmark</w:t>
            </w:r>
          </w:p>
        </w:tc>
        <w:tc>
          <w:tcPr>
            <w:tcW w:w="1200" w:type="dxa"/>
            <w:shd w:val="clear" w:color="auto" w:fill="auto"/>
            <w:noWrap/>
            <w:vAlign w:val="bottom"/>
            <w:hideMark/>
          </w:tcPr>
          <w:p w14:paraId="6EBA6B6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1</w:t>
            </w:r>
          </w:p>
        </w:tc>
        <w:tc>
          <w:tcPr>
            <w:tcW w:w="1200" w:type="dxa"/>
            <w:shd w:val="clear" w:color="auto" w:fill="auto"/>
            <w:noWrap/>
            <w:vAlign w:val="bottom"/>
            <w:hideMark/>
          </w:tcPr>
          <w:p w14:paraId="00B7D0D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2</w:t>
            </w:r>
          </w:p>
        </w:tc>
        <w:tc>
          <w:tcPr>
            <w:tcW w:w="1200" w:type="dxa"/>
            <w:shd w:val="clear" w:color="auto" w:fill="auto"/>
            <w:noWrap/>
            <w:vAlign w:val="bottom"/>
            <w:hideMark/>
          </w:tcPr>
          <w:p w14:paraId="26D3DAB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87</w:t>
            </w:r>
          </w:p>
        </w:tc>
        <w:tc>
          <w:tcPr>
            <w:tcW w:w="1200" w:type="dxa"/>
            <w:vAlign w:val="bottom"/>
          </w:tcPr>
          <w:p w14:paraId="287B708F"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062</w:t>
            </w:r>
          </w:p>
        </w:tc>
        <w:tc>
          <w:tcPr>
            <w:tcW w:w="1200" w:type="dxa"/>
            <w:shd w:val="clear" w:color="auto" w:fill="auto"/>
            <w:noWrap/>
            <w:vAlign w:val="bottom"/>
            <w:hideMark/>
          </w:tcPr>
          <w:p w14:paraId="2299F28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470</w:t>
            </w:r>
          </w:p>
        </w:tc>
        <w:tc>
          <w:tcPr>
            <w:tcW w:w="1210" w:type="dxa"/>
            <w:shd w:val="clear" w:color="auto" w:fill="auto"/>
            <w:noWrap/>
            <w:vAlign w:val="bottom"/>
            <w:hideMark/>
          </w:tcPr>
          <w:p w14:paraId="06F92B2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0.667</w:t>
            </w:r>
          </w:p>
        </w:tc>
        <w:tc>
          <w:tcPr>
            <w:tcW w:w="1210" w:type="dxa"/>
            <w:shd w:val="clear" w:color="auto" w:fill="auto"/>
            <w:noWrap/>
            <w:vAlign w:val="bottom"/>
            <w:hideMark/>
          </w:tcPr>
          <w:p w14:paraId="1FFA1330"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62CDC488" w14:textId="77777777" w:rsidTr="00BC71BA">
        <w:trPr>
          <w:trHeight w:val="240"/>
          <w:jc w:val="center"/>
        </w:trPr>
        <w:tc>
          <w:tcPr>
            <w:tcW w:w="1456" w:type="dxa"/>
            <w:shd w:val="clear" w:color="000000" w:fill="FFFFFF"/>
            <w:vAlign w:val="center"/>
            <w:hideMark/>
          </w:tcPr>
          <w:p w14:paraId="4DAE9119"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Germany</w:t>
            </w:r>
          </w:p>
        </w:tc>
        <w:tc>
          <w:tcPr>
            <w:tcW w:w="1200" w:type="dxa"/>
            <w:shd w:val="clear" w:color="auto" w:fill="auto"/>
            <w:noWrap/>
            <w:vAlign w:val="bottom"/>
            <w:hideMark/>
          </w:tcPr>
          <w:p w14:paraId="3D01462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74ECE00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4</w:t>
            </w:r>
          </w:p>
        </w:tc>
        <w:tc>
          <w:tcPr>
            <w:tcW w:w="1200" w:type="dxa"/>
            <w:shd w:val="clear" w:color="auto" w:fill="auto"/>
            <w:noWrap/>
            <w:vAlign w:val="bottom"/>
            <w:hideMark/>
          </w:tcPr>
          <w:p w14:paraId="3E5AECD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413CE9D1"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026</w:t>
            </w:r>
          </w:p>
        </w:tc>
        <w:tc>
          <w:tcPr>
            <w:tcW w:w="1200" w:type="dxa"/>
            <w:shd w:val="clear" w:color="auto" w:fill="auto"/>
            <w:noWrap/>
            <w:vAlign w:val="bottom"/>
            <w:hideMark/>
          </w:tcPr>
          <w:p w14:paraId="58E2DE7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6</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608</w:t>
            </w:r>
          </w:p>
        </w:tc>
        <w:tc>
          <w:tcPr>
            <w:tcW w:w="1210" w:type="dxa"/>
            <w:shd w:val="clear" w:color="auto" w:fill="auto"/>
            <w:noWrap/>
            <w:vAlign w:val="bottom"/>
            <w:hideMark/>
          </w:tcPr>
          <w:p w14:paraId="127DC936"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7E9CDCC1"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r>
      <w:tr w:rsidR="004D1438" w:rsidRPr="005B474D" w14:paraId="308AE84C" w14:textId="77777777" w:rsidTr="00BC71BA">
        <w:trPr>
          <w:trHeight w:val="240"/>
          <w:jc w:val="center"/>
        </w:trPr>
        <w:tc>
          <w:tcPr>
            <w:tcW w:w="1456" w:type="dxa"/>
            <w:shd w:val="clear" w:color="000000" w:fill="FFFFFF"/>
            <w:vAlign w:val="center"/>
            <w:hideMark/>
          </w:tcPr>
          <w:p w14:paraId="0AF98F51"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Greece</w:t>
            </w:r>
          </w:p>
        </w:tc>
        <w:tc>
          <w:tcPr>
            <w:tcW w:w="1200" w:type="dxa"/>
            <w:shd w:val="clear" w:color="auto" w:fill="auto"/>
            <w:noWrap/>
            <w:vAlign w:val="bottom"/>
            <w:hideMark/>
          </w:tcPr>
          <w:p w14:paraId="22FBDE36"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-3</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9</w:t>
            </w:r>
          </w:p>
        </w:tc>
        <w:tc>
          <w:tcPr>
            <w:tcW w:w="1200" w:type="dxa"/>
            <w:shd w:val="clear" w:color="auto" w:fill="auto"/>
            <w:noWrap/>
            <w:vAlign w:val="bottom"/>
            <w:hideMark/>
          </w:tcPr>
          <w:p w14:paraId="3388718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1</w:t>
            </w:r>
          </w:p>
        </w:tc>
        <w:tc>
          <w:tcPr>
            <w:tcW w:w="1200" w:type="dxa"/>
            <w:shd w:val="clear" w:color="auto" w:fill="auto"/>
            <w:noWrap/>
            <w:vAlign w:val="bottom"/>
            <w:hideMark/>
          </w:tcPr>
          <w:p w14:paraId="1478B69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76028C0F"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052</w:t>
            </w:r>
          </w:p>
        </w:tc>
        <w:tc>
          <w:tcPr>
            <w:tcW w:w="1200" w:type="dxa"/>
            <w:shd w:val="clear" w:color="auto" w:fill="auto"/>
            <w:noWrap/>
            <w:vAlign w:val="bottom"/>
            <w:hideMark/>
          </w:tcPr>
          <w:p w14:paraId="5AC4124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833</w:t>
            </w:r>
          </w:p>
        </w:tc>
        <w:tc>
          <w:tcPr>
            <w:tcW w:w="1210" w:type="dxa"/>
            <w:shd w:val="clear" w:color="auto" w:fill="auto"/>
            <w:noWrap/>
            <w:vAlign w:val="bottom"/>
            <w:hideMark/>
          </w:tcPr>
          <w:p w14:paraId="2EFE57A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6E759967"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r>
      <w:tr w:rsidR="004D1438" w:rsidRPr="005B474D" w14:paraId="23A3F868" w14:textId="77777777" w:rsidTr="00BC71BA">
        <w:trPr>
          <w:trHeight w:val="240"/>
          <w:jc w:val="center"/>
        </w:trPr>
        <w:tc>
          <w:tcPr>
            <w:tcW w:w="1456" w:type="dxa"/>
            <w:shd w:val="clear" w:color="000000" w:fill="FFFFFF"/>
            <w:vAlign w:val="center"/>
            <w:hideMark/>
          </w:tcPr>
          <w:p w14:paraId="5BFE8A64"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Spain</w:t>
            </w:r>
          </w:p>
        </w:tc>
        <w:tc>
          <w:tcPr>
            <w:tcW w:w="1200" w:type="dxa"/>
            <w:shd w:val="clear" w:color="auto" w:fill="auto"/>
            <w:noWrap/>
            <w:vAlign w:val="bottom"/>
            <w:hideMark/>
          </w:tcPr>
          <w:p w14:paraId="4F1015E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2</w:t>
            </w:r>
          </w:p>
        </w:tc>
        <w:tc>
          <w:tcPr>
            <w:tcW w:w="1200" w:type="dxa"/>
            <w:shd w:val="clear" w:color="auto" w:fill="auto"/>
            <w:noWrap/>
            <w:vAlign w:val="bottom"/>
            <w:hideMark/>
          </w:tcPr>
          <w:p w14:paraId="372587F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2</w:t>
            </w:r>
          </w:p>
        </w:tc>
        <w:tc>
          <w:tcPr>
            <w:tcW w:w="1200" w:type="dxa"/>
            <w:shd w:val="clear" w:color="auto" w:fill="auto"/>
            <w:noWrap/>
            <w:vAlign w:val="bottom"/>
            <w:hideMark/>
          </w:tcPr>
          <w:p w14:paraId="35DD5C3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08280CF1"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370</w:t>
            </w:r>
          </w:p>
        </w:tc>
        <w:tc>
          <w:tcPr>
            <w:tcW w:w="1200" w:type="dxa"/>
            <w:shd w:val="clear" w:color="auto" w:fill="auto"/>
            <w:noWrap/>
            <w:vAlign w:val="bottom"/>
            <w:hideMark/>
          </w:tcPr>
          <w:p w14:paraId="0385344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3</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570</w:t>
            </w:r>
          </w:p>
        </w:tc>
        <w:tc>
          <w:tcPr>
            <w:tcW w:w="1210" w:type="dxa"/>
            <w:shd w:val="clear" w:color="auto" w:fill="auto"/>
            <w:noWrap/>
            <w:vAlign w:val="bottom"/>
            <w:hideMark/>
          </w:tcPr>
          <w:p w14:paraId="28340AA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33</w:t>
            </w:r>
            <w:r>
              <w:rPr>
                <w:rFonts w:ascii="Verdana" w:eastAsia="Times New Roman" w:hAnsi="Verdana" w:cs="Calibri"/>
                <w:color w:val="000000"/>
                <w:sz w:val="18"/>
                <w:szCs w:val="18"/>
                <w:lang w:eastAsia="es-ES"/>
              </w:rPr>
              <w:t>3</w:t>
            </w:r>
          </w:p>
        </w:tc>
        <w:tc>
          <w:tcPr>
            <w:tcW w:w="1210" w:type="dxa"/>
            <w:shd w:val="clear" w:color="auto" w:fill="auto"/>
            <w:noWrap/>
            <w:vAlign w:val="bottom"/>
            <w:hideMark/>
          </w:tcPr>
          <w:p w14:paraId="6F8A31C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0.375</w:t>
            </w:r>
          </w:p>
        </w:tc>
      </w:tr>
      <w:tr w:rsidR="004D1438" w:rsidRPr="005B474D" w14:paraId="509E5752" w14:textId="77777777" w:rsidTr="00BC71BA">
        <w:trPr>
          <w:trHeight w:val="240"/>
          <w:jc w:val="center"/>
        </w:trPr>
        <w:tc>
          <w:tcPr>
            <w:tcW w:w="1456" w:type="dxa"/>
            <w:shd w:val="clear" w:color="000000" w:fill="FFFFFF"/>
            <w:vAlign w:val="center"/>
            <w:hideMark/>
          </w:tcPr>
          <w:p w14:paraId="647D7D47"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Finland</w:t>
            </w:r>
          </w:p>
        </w:tc>
        <w:tc>
          <w:tcPr>
            <w:tcW w:w="1200" w:type="dxa"/>
            <w:shd w:val="clear" w:color="auto" w:fill="auto"/>
            <w:noWrap/>
            <w:vAlign w:val="bottom"/>
            <w:hideMark/>
          </w:tcPr>
          <w:p w14:paraId="3D3C024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w:t>
            </w:r>
          </w:p>
        </w:tc>
        <w:tc>
          <w:tcPr>
            <w:tcW w:w="1200" w:type="dxa"/>
            <w:shd w:val="clear" w:color="auto" w:fill="auto"/>
            <w:noWrap/>
            <w:vAlign w:val="bottom"/>
            <w:hideMark/>
          </w:tcPr>
          <w:p w14:paraId="423056C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9</w:t>
            </w:r>
          </w:p>
        </w:tc>
        <w:tc>
          <w:tcPr>
            <w:tcW w:w="1200" w:type="dxa"/>
            <w:shd w:val="clear" w:color="auto" w:fill="auto"/>
            <w:noWrap/>
            <w:vAlign w:val="bottom"/>
            <w:hideMark/>
          </w:tcPr>
          <w:p w14:paraId="537EDDB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450CE796"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082</w:t>
            </w:r>
          </w:p>
        </w:tc>
        <w:tc>
          <w:tcPr>
            <w:tcW w:w="1200" w:type="dxa"/>
            <w:shd w:val="clear" w:color="auto" w:fill="auto"/>
            <w:noWrap/>
            <w:vAlign w:val="bottom"/>
            <w:hideMark/>
          </w:tcPr>
          <w:p w14:paraId="1B1D361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446</w:t>
            </w:r>
          </w:p>
        </w:tc>
        <w:tc>
          <w:tcPr>
            <w:tcW w:w="1210" w:type="dxa"/>
            <w:shd w:val="clear" w:color="auto" w:fill="auto"/>
            <w:noWrap/>
            <w:vAlign w:val="bottom"/>
            <w:hideMark/>
          </w:tcPr>
          <w:p w14:paraId="4AB1E17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25232710"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0.875</w:t>
            </w:r>
          </w:p>
        </w:tc>
      </w:tr>
      <w:tr w:rsidR="004D1438" w:rsidRPr="005B474D" w14:paraId="38B47D90" w14:textId="77777777" w:rsidTr="00BC71BA">
        <w:trPr>
          <w:trHeight w:val="240"/>
          <w:jc w:val="center"/>
        </w:trPr>
        <w:tc>
          <w:tcPr>
            <w:tcW w:w="1456" w:type="dxa"/>
            <w:shd w:val="clear" w:color="000000" w:fill="FFFFFF"/>
            <w:vAlign w:val="center"/>
            <w:hideMark/>
          </w:tcPr>
          <w:p w14:paraId="6588BBB4"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France</w:t>
            </w:r>
          </w:p>
        </w:tc>
        <w:tc>
          <w:tcPr>
            <w:tcW w:w="1200" w:type="dxa"/>
            <w:shd w:val="clear" w:color="auto" w:fill="auto"/>
            <w:noWrap/>
            <w:vAlign w:val="bottom"/>
            <w:hideMark/>
          </w:tcPr>
          <w:p w14:paraId="4995DD3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w:t>
            </w:r>
          </w:p>
        </w:tc>
        <w:tc>
          <w:tcPr>
            <w:tcW w:w="1200" w:type="dxa"/>
            <w:shd w:val="clear" w:color="auto" w:fill="auto"/>
            <w:noWrap/>
            <w:vAlign w:val="bottom"/>
            <w:hideMark/>
          </w:tcPr>
          <w:p w14:paraId="1553F48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2</w:t>
            </w:r>
          </w:p>
        </w:tc>
        <w:tc>
          <w:tcPr>
            <w:tcW w:w="1200" w:type="dxa"/>
            <w:shd w:val="clear" w:color="auto" w:fill="auto"/>
            <w:noWrap/>
            <w:vAlign w:val="bottom"/>
            <w:hideMark/>
          </w:tcPr>
          <w:p w14:paraId="50D984D6"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43C9E7C0"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006</w:t>
            </w:r>
          </w:p>
        </w:tc>
        <w:tc>
          <w:tcPr>
            <w:tcW w:w="1200" w:type="dxa"/>
            <w:shd w:val="clear" w:color="auto" w:fill="auto"/>
            <w:noWrap/>
            <w:vAlign w:val="bottom"/>
            <w:hideMark/>
          </w:tcPr>
          <w:p w14:paraId="33CC7AB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5</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124</w:t>
            </w:r>
          </w:p>
        </w:tc>
        <w:tc>
          <w:tcPr>
            <w:tcW w:w="1210" w:type="dxa"/>
            <w:shd w:val="clear" w:color="auto" w:fill="auto"/>
            <w:noWrap/>
            <w:vAlign w:val="bottom"/>
            <w:hideMark/>
          </w:tcPr>
          <w:p w14:paraId="468C2FF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0.167</w:t>
            </w:r>
          </w:p>
        </w:tc>
        <w:tc>
          <w:tcPr>
            <w:tcW w:w="1210" w:type="dxa"/>
            <w:shd w:val="clear" w:color="auto" w:fill="auto"/>
            <w:noWrap/>
            <w:vAlign w:val="bottom"/>
            <w:hideMark/>
          </w:tcPr>
          <w:p w14:paraId="0B18279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r>
      <w:tr w:rsidR="004D1438" w:rsidRPr="005B474D" w14:paraId="111F928F" w14:textId="77777777" w:rsidTr="00BC71BA">
        <w:trPr>
          <w:trHeight w:val="240"/>
          <w:jc w:val="center"/>
        </w:trPr>
        <w:tc>
          <w:tcPr>
            <w:tcW w:w="1456" w:type="dxa"/>
            <w:shd w:val="clear" w:color="000000" w:fill="FFFFFF"/>
            <w:vAlign w:val="center"/>
            <w:hideMark/>
          </w:tcPr>
          <w:p w14:paraId="7F41DABF"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Ireland</w:t>
            </w:r>
          </w:p>
        </w:tc>
        <w:tc>
          <w:tcPr>
            <w:tcW w:w="1200" w:type="dxa"/>
            <w:shd w:val="clear" w:color="auto" w:fill="auto"/>
            <w:noWrap/>
            <w:vAlign w:val="bottom"/>
            <w:hideMark/>
          </w:tcPr>
          <w:p w14:paraId="1C71BEA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7</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w:t>
            </w:r>
          </w:p>
        </w:tc>
        <w:tc>
          <w:tcPr>
            <w:tcW w:w="1200" w:type="dxa"/>
            <w:shd w:val="clear" w:color="auto" w:fill="auto"/>
            <w:noWrap/>
            <w:vAlign w:val="bottom"/>
            <w:hideMark/>
          </w:tcPr>
          <w:p w14:paraId="52AB206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w:t>
            </w:r>
          </w:p>
        </w:tc>
        <w:tc>
          <w:tcPr>
            <w:tcW w:w="1200" w:type="dxa"/>
            <w:shd w:val="clear" w:color="auto" w:fill="auto"/>
            <w:noWrap/>
            <w:vAlign w:val="bottom"/>
            <w:hideMark/>
          </w:tcPr>
          <w:p w14:paraId="0A06B0D7"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3DBADC08"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062</w:t>
            </w:r>
          </w:p>
        </w:tc>
        <w:tc>
          <w:tcPr>
            <w:tcW w:w="1200" w:type="dxa"/>
            <w:shd w:val="clear" w:color="auto" w:fill="auto"/>
            <w:noWrap/>
            <w:vAlign w:val="bottom"/>
            <w:hideMark/>
          </w:tcPr>
          <w:p w14:paraId="4497F406"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330</w:t>
            </w:r>
          </w:p>
        </w:tc>
        <w:tc>
          <w:tcPr>
            <w:tcW w:w="1210" w:type="dxa"/>
            <w:shd w:val="clear" w:color="auto" w:fill="auto"/>
            <w:noWrap/>
            <w:vAlign w:val="bottom"/>
            <w:hideMark/>
          </w:tcPr>
          <w:p w14:paraId="14797136"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11F8CEB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0.625</w:t>
            </w:r>
          </w:p>
        </w:tc>
      </w:tr>
      <w:tr w:rsidR="004D1438" w:rsidRPr="005B474D" w14:paraId="722F4EF8" w14:textId="77777777" w:rsidTr="00BC71BA">
        <w:trPr>
          <w:trHeight w:val="240"/>
          <w:jc w:val="center"/>
        </w:trPr>
        <w:tc>
          <w:tcPr>
            <w:tcW w:w="1456" w:type="dxa"/>
            <w:shd w:val="clear" w:color="000000" w:fill="FFFFFF"/>
            <w:vAlign w:val="center"/>
            <w:hideMark/>
          </w:tcPr>
          <w:p w14:paraId="03463B64"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Italy</w:t>
            </w:r>
          </w:p>
        </w:tc>
        <w:tc>
          <w:tcPr>
            <w:tcW w:w="1200" w:type="dxa"/>
            <w:shd w:val="clear" w:color="auto" w:fill="auto"/>
            <w:noWrap/>
            <w:vAlign w:val="bottom"/>
            <w:hideMark/>
          </w:tcPr>
          <w:p w14:paraId="38610AB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7DE5392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w:t>
            </w:r>
          </w:p>
        </w:tc>
        <w:tc>
          <w:tcPr>
            <w:tcW w:w="1200" w:type="dxa"/>
            <w:shd w:val="clear" w:color="auto" w:fill="auto"/>
            <w:noWrap/>
            <w:vAlign w:val="bottom"/>
            <w:hideMark/>
          </w:tcPr>
          <w:p w14:paraId="5DCF0EE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6B7C4794"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008</w:t>
            </w:r>
          </w:p>
        </w:tc>
        <w:tc>
          <w:tcPr>
            <w:tcW w:w="1200" w:type="dxa"/>
            <w:shd w:val="clear" w:color="auto" w:fill="auto"/>
            <w:noWrap/>
            <w:vAlign w:val="bottom"/>
            <w:hideMark/>
          </w:tcPr>
          <w:p w14:paraId="19D2DC6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3</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818</w:t>
            </w:r>
          </w:p>
        </w:tc>
        <w:tc>
          <w:tcPr>
            <w:tcW w:w="1210" w:type="dxa"/>
            <w:shd w:val="clear" w:color="auto" w:fill="auto"/>
            <w:noWrap/>
            <w:vAlign w:val="bottom"/>
            <w:hideMark/>
          </w:tcPr>
          <w:p w14:paraId="495EE530"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588B46F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4F6DF834" w14:textId="77777777" w:rsidTr="00BC71BA">
        <w:trPr>
          <w:trHeight w:val="240"/>
          <w:jc w:val="center"/>
        </w:trPr>
        <w:tc>
          <w:tcPr>
            <w:tcW w:w="1456" w:type="dxa"/>
            <w:shd w:val="clear" w:color="000000" w:fill="FFFFFF"/>
            <w:vAlign w:val="center"/>
            <w:hideMark/>
          </w:tcPr>
          <w:p w14:paraId="1BF571FD"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7C0DEC">
              <w:rPr>
                <w:rFonts w:ascii="Verdana" w:eastAsia="Times New Roman" w:hAnsi="Verdana" w:cs="Arial"/>
                <w:color w:val="000000"/>
                <w:sz w:val="18"/>
                <w:szCs w:val="18"/>
                <w:lang w:eastAsia="es-ES"/>
              </w:rPr>
              <w:t>L</w:t>
            </w:r>
            <w:r w:rsidRPr="005B474D">
              <w:rPr>
                <w:rFonts w:ascii="Verdana" w:eastAsia="Times New Roman" w:hAnsi="Verdana" w:cs="Arial"/>
                <w:color w:val="000000"/>
                <w:sz w:val="18"/>
                <w:szCs w:val="18"/>
                <w:lang w:eastAsia="es-ES"/>
              </w:rPr>
              <w:t>uxembourg</w:t>
            </w:r>
          </w:p>
        </w:tc>
        <w:tc>
          <w:tcPr>
            <w:tcW w:w="1200" w:type="dxa"/>
            <w:shd w:val="clear" w:color="auto" w:fill="auto"/>
            <w:noWrap/>
            <w:vAlign w:val="bottom"/>
            <w:hideMark/>
          </w:tcPr>
          <w:p w14:paraId="3222ADF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3</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1</w:t>
            </w:r>
          </w:p>
        </w:tc>
        <w:tc>
          <w:tcPr>
            <w:tcW w:w="1200" w:type="dxa"/>
            <w:shd w:val="clear" w:color="auto" w:fill="auto"/>
            <w:noWrap/>
            <w:vAlign w:val="bottom"/>
            <w:hideMark/>
          </w:tcPr>
          <w:p w14:paraId="7779636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w:t>
            </w:r>
          </w:p>
        </w:tc>
        <w:tc>
          <w:tcPr>
            <w:tcW w:w="1200" w:type="dxa"/>
            <w:shd w:val="clear" w:color="auto" w:fill="auto"/>
            <w:noWrap/>
            <w:vAlign w:val="bottom"/>
            <w:hideMark/>
          </w:tcPr>
          <w:p w14:paraId="06E8465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17DFF158"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270</w:t>
            </w:r>
          </w:p>
        </w:tc>
        <w:tc>
          <w:tcPr>
            <w:tcW w:w="1200" w:type="dxa"/>
            <w:shd w:val="clear" w:color="auto" w:fill="auto"/>
            <w:noWrap/>
            <w:vAlign w:val="bottom"/>
            <w:hideMark/>
          </w:tcPr>
          <w:p w14:paraId="053A801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45</w:t>
            </w:r>
          </w:p>
        </w:tc>
        <w:tc>
          <w:tcPr>
            <w:tcW w:w="1210" w:type="dxa"/>
            <w:shd w:val="clear" w:color="auto" w:fill="auto"/>
            <w:noWrap/>
            <w:vAlign w:val="bottom"/>
            <w:hideMark/>
          </w:tcPr>
          <w:p w14:paraId="30515C0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3C45738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r>
      <w:tr w:rsidR="004D1438" w:rsidRPr="005B474D" w14:paraId="5212CDBB" w14:textId="77777777" w:rsidTr="00BC71BA">
        <w:trPr>
          <w:trHeight w:val="240"/>
          <w:jc w:val="center"/>
        </w:trPr>
        <w:tc>
          <w:tcPr>
            <w:tcW w:w="1456" w:type="dxa"/>
            <w:shd w:val="clear" w:color="000000" w:fill="FFFFFF"/>
            <w:vAlign w:val="center"/>
            <w:hideMark/>
          </w:tcPr>
          <w:p w14:paraId="48D7CDE3"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7C0DEC">
              <w:rPr>
                <w:rFonts w:ascii="Verdana" w:eastAsia="Times New Roman" w:hAnsi="Verdana" w:cs="Arial"/>
                <w:color w:val="000000"/>
                <w:sz w:val="18"/>
                <w:szCs w:val="18"/>
                <w:lang w:eastAsia="es-ES"/>
              </w:rPr>
              <w:t>N</w:t>
            </w:r>
            <w:r w:rsidRPr="005B474D">
              <w:rPr>
                <w:rFonts w:ascii="Verdana" w:eastAsia="Times New Roman" w:hAnsi="Verdana" w:cs="Arial"/>
                <w:color w:val="000000"/>
                <w:sz w:val="18"/>
                <w:szCs w:val="18"/>
                <w:lang w:eastAsia="es-ES"/>
              </w:rPr>
              <w:t>etherlands</w:t>
            </w:r>
          </w:p>
        </w:tc>
        <w:tc>
          <w:tcPr>
            <w:tcW w:w="1200" w:type="dxa"/>
            <w:shd w:val="clear" w:color="auto" w:fill="auto"/>
            <w:noWrap/>
            <w:vAlign w:val="bottom"/>
            <w:hideMark/>
          </w:tcPr>
          <w:p w14:paraId="1A0265F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w:t>
            </w:r>
          </w:p>
        </w:tc>
        <w:tc>
          <w:tcPr>
            <w:tcW w:w="1200" w:type="dxa"/>
            <w:shd w:val="clear" w:color="auto" w:fill="auto"/>
            <w:noWrap/>
            <w:vAlign w:val="bottom"/>
            <w:hideMark/>
          </w:tcPr>
          <w:p w14:paraId="690F83A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w:t>
            </w:r>
          </w:p>
        </w:tc>
        <w:tc>
          <w:tcPr>
            <w:tcW w:w="1200" w:type="dxa"/>
            <w:shd w:val="clear" w:color="auto" w:fill="auto"/>
            <w:noWrap/>
            <w:vAlign w:val="bottom"/>
            <w:hideMark/>
          </w:tcPr>
          <w:p w14:paraId="133AC1B0"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502547DD"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028</w:t>
            </w:r>
          </w:p>
        </w:tc>
        <w:tc>
          <w:tcPr>
            <w:tcW w:w="1200" w:type="dxa"/>
            <w:shd w:val="clear" w:color="auto" w:fill="auto"/>
            <w:noWrap/>
            <w:vAlign w:val="bottom"/>
            <w:hideMark/>
          </w:tcPr>
          <w:p w14:paraId="4142DBB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404</w:t>
            </w:r>
          </w:p>
        </w:tc>
        <w:tc>
          <w:tcPr>
            <w:tcW w:w="1210" w:type="dxa"/>
            <w:shd w:val="clear" w:color="auto" w:fill="auto"/>
            <w:noWrap/>
            <w:vAlign w:val="bottom"/>
            <w:hideMark/>
          </w:tcPr>
          <w:p w14:paraId="3CF349E1"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83</w:t>
            </w:r>
            <w:r>
              <w:rPr>
                <w:rFonts w:ascii="Verdana" w:eastAsia="Times New Roman" w:hAnsi="Verdana" w:cs="Calibri"/>
                <w:color w:val="000000"/>
                <w:sz w:val="18"/>
                <w:szCs w:val="18"/>
                <w:lang w:eastAsia="es-ES"/>
              </w:rPr>
              <w:t>3</w:t>
            </w:r>
          </w:p>
        </w:tc>
        <w:tc>
          <w:tcPr>
            <w:tcW w:w="1210" w:type="dxa"/>
            <w:shd w:val="clear" w:color="auto" w:fill="auto"/>
            <w:noWrap/>
            <w:vAlign w:val="bottom"/>
            <w:hideMark/>
          </w:tcPr>
          <w:p w14:paraId="5C660D2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128E1AB7" w14:textId="77777777" w:rsidTr="00BC71BA">
        <w:trPr>
          <w:trHeight w:val="240"/>
          <w:jc w:val="center"/>
        </w:trPr>
        <w:tc>
          <w:tcPr>
            <w:tcW w:w="1456" w:type="dxa"/>
            <w:shd w:val="clear" w:color="000000" w:fill="FFFFFF"/>
            <w:vAlign w:val="center"/>
            <w:hideMark/>
          </w:tcPr>
          <w:p w14:paraId="366B6CDB"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Austria</w:t>
            </w:r>
          </w:p>
        </w:tc>
        <w:tc>
          <w:tcPr>
            <w:tcW w:w="1200" w:type="dxa"/>
            <w:shd w:val="clear" w:color="auto" w:fill="auto"/>
            <w:noWrap/>
            <w:vAlign w:val="bottom"/>
            <w:hideMark/>
          </w:tcPr>
          <w:p w14:paraId="523BD2F1"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w:t>
            </w:r>
          </w:p>
        </w:tc>
        <w:tc>
          <w:tcPr>
            <w:tcW w:w="1200" w:type="dxa"/>
            <w:shd w:val="clear" w:color="auto" w:fill="auto"/>
            <w:noWrap/>
            <w:vAlign w:val="bottom"/>
            <w:hideMark/>
          </w:tcPr>
          <w:p w14:paraId="5C18490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1</w:t>
            </w:r>
          </w:p>
        </w:tc>
        <w:tc>
          <w:tcPr>
            <w:tcW w:w="1200" w:type="dxa"/>
            <w:shd w:val="clear" w:color="auto" w:fill="auto"/>
            <w:noWrap/>
            <w:vAlign w:val="bottom"/>
            <w:hideMark/>
          </w:tcPr>
          <w:p w14:paraId="2AB69DC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3AD0E93D"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002</w:t>
            </w:r>
          </w:p>
        </w:tc>
        <w:tc>
          <w:tcPr>
            <w:tcW w:w="1200" w:type="dxa"/>
            <w:shd w:val="clear" w:color="auto" w:fill="auto"/>
            <w:noWrap/>
            <w:vAlign w:val="bottom"/>
            <w:hideMark/>
          </w:tcPr>
          <w:p w14:paraId="7B90973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650</w:t>
            </w:r>
          </w:p>
        </w:tc>
        <w:tc>
          <w:tcPr>
            <w:tcW w:w="1210" w:type="dxa"/>
            <w:shd w:val="clear" w:color="auto" w:fill="auto"/>
            <w:noWrap/>
            <w:vAlign w:val="bottom"/>
            <w:hideMark/>
          </w:tcPr>
          <w:p w14:paraId="7506BCF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0.167</w:t>
            </w:r>
          </w:p>
        </w:tc>
        <w:tc>
          <w:tcPr>
            <w:tcW w:w="1210" w:type="dxa"/>
            <w:shd w:val="clear" w:color="auto" w:fill="auto"/>
            <w:noWrap/>
            <w:vAlign w:val="bottom"/>
            <w:hideMark/>
          </w:tcPr>
          <w:p w14:paraId="1E8C971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0.375</w:t>
            </w:r>
          </w:p>
        </w:tc>
      </w:tr>
      <w:tr w:rsidR="004D1438" w:rsidRPr="005B474D" w14:paraId="07B957F1" w14:textId="77777777" w:rsidTr="00BC71BA">
        <w:trPr>
          <w:trHeight w:val="240"/>
          <w:jc w:val="center"/>
        </w:trPr>
        <w:tc>
          <w:tcPr>
            <w:tcW w:w="1456" w:type="dxa"/>
            <w:shd w:val="clear" w:color="000000" w:fill="FFFFFF"/>
            <w:vAlign w:val="center"/>
            <w:hideMark/>
          </w:tcPr>
          <w:p w14:paraId="70A39686"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7C0DEC">
              <w:rPr>
                <w:rFonts w:ascii="Verdana" w:eastAsia="Times New Roman" w:hAnsi="Verdana" w:cs="Arial"/>
                <w:color w:val="000000"/>
                <w:sz w:val="18"/>
                <w:szCs w:val="18"/>
                <w:lang w:eastAsia="es-ES"/>
              </w:rPr>
              <w:t>P</w:t>
            </w:r>
            <w:r w:rsidRPr="005B474D">
              <w:rPr>
                <w:rFonts w:ascii="Verdana" w:eastAsia="Times New Roman" w:hAnsi="Verdana" w:cs="Arial"/>
                <w:color w:val="000000"/>
                <w:sz w:val="18"/>
                <w:szCs w:val="18"/>
                <w:lang w:eastAsia="es-ES"/>
              </w:rPr>
              <w:t>ortugal</w:t>
            </w:r>
          </w:p>
        </w:tc>
        <w:tc>
          <w:tcPr>
            <w:tcW w:w="1200" w:type="dxa"/>
            <w:shd w:val="clear" w:color="auto" w:fill="auto"/>
            <w:noWrap/>
            <w:vAlign w:val="bottom"/>
            <w:hideMark/>
          </w:tcPr>
          <w:p w14:paraId="4ED28DC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9</w:t>
            </w:r>
          </w:p>
        </w:tc>
        <w:tc>
          <w:tcPr>
            <w:tcW w:w="1200" w:type="dxa"/>
            <w:shd w:val="clear" w:color="auto" w:fill="auto"/>
            <w:noWrap/>
            <w:vAlign w:val="bottom"/>
            <w:hideMark/>
          </w:tcPr>
          <w:p w14:paraId="7E9642A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4</w:t>
            </w:r>
          </w:p>
        </w:tc>
        <w:tc>
          <w:tcPr>
            <w:tcW w:w="1200" w:type="dxa"/>
            <w:shd w:val="clear" w:color="auto" w:fill="auto"/>
            <w:noWrap/>
            <w:vAlign w:val="bottom"/>
            <w:hideMark/>
          </w:tcPr>
          <w:p w14:paraId="6587799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1951C645"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034</w:t>
            </w:r>
          </w:p>
        </w:tc>
        <w:tc>
          <w:tcPr>
            <w:tcW w:w="1200" w:type="dxa"/>
            <w:shd w:val="clear" w:color="auto" w:fill="auto"/>
            <w:noWrap/>
            <w:vAlign w:val="bottom"/>
            <w:hideMark/>
          </w:tcPr>
          <w:p w14:paraId="7130020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737</w:t>
            </w:r>
          </w:p>
        </w:tc>
        <w:tc>
          <w:tcPr>
            <w:tcW w:w="1210" w:type="dxa"/>
            <w:shd w:val="clear" w:color="auto" w:fill="auto"/>
            <w:noWrap/>
            <w:vAlign w:val="bottom"/>
            <w:hideMark/>
          </w:tcPr>
          <w:p w14:paraId="59CBCDB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7AA0D93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0.875</w:t>
            </w:r>
          </w:p>
        </w:tc>
      </w:tr>
      <w:tr w:rsidR="004D1438" w:rsidRPr="005B474D" w14:paraId="0B7B6317" w14:textId="77777777" w:rsidTr="00BC71BA">
        <w:trPr>
          <w:trHeight w:val="240"/>
          <w:jc w:val="center"/>
        </w:trPr>
        <w:tc>
          <w:tcPr>
            <w:tcW w:w="1456" w:type="dxa"/>
            <w:shd w:val="clear" w:color="000000" w:fill="FFFFFF"/>
            <w:vAlign w:val="center"/>
            <w:hideMark/>
          </w:tcPr>
          <w:p w14:paraId="6C6F66EE"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7C0DEC">
              <w:rPr>
                <w:rFonts w:ascii="Verdana" w:eastAsia="Times New Roman" w:hAnsi="Verdana" w:cs="Arial"/>
                <w:color w:val="000000"/>
                <w:sz w:val="18"/>
                <w:szCs w:val="18"/>
                <w:lang w:eastAsia="es-ES"/>
              </w:rPr>
              <w:t>UK</w:t>
            </w:r>
          </w:p>
        </w:tc>
        <w:tc>
          <w:tcPr>
            <w:tcW w:w="1200" w:type="dxa"/>
            <w:shd w:val="clear" w:color="auto" w:fill="auto"/>
            <w:noWrap/>
            <w:vAlign w:val="bottom"/>
            <w:hideMark/>
          </w:tcPr>
          <w:p w14:paraId="08CCA30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w:t>
            </w:r>
          </w:p>
        </w:tc>
        <w:tc>
          <w:tcPr>
            <w:tcW w:w="1200" w:type="dxa"/>
            <w:shd w:val="clear" w:color="auto" w:fill="auto"/>
            <w:noWrap/>
            <w:vAlign w:val="bottom"/>
            <w:hideMark/>
          </w:tcPr>
          <w:p w14:paraId="2D9668F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3</w:t>
            </w:r>
          </w:p>
        </w:tc>
        <w:tc>
          <w:tcPr>
            <w:tcW w:w="1200" w:type="dxa"/>
            <w:shd w:val="clear" w:color="auto" w:fill="auto"/>
            <w:noWrap/>
            <w:vAlign w:val="bottom"/>
            <w:hideMark/>
          </w:tcPr>
          <w:p w14:paraId="7E4541B0"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88</w:t>
            </w:r>
          </w:p>
        </w:tc>
        <w:tc>
          <w:tcPr>
            <w:tcW w:w="1200" w:type="dxa"/>
            <w:vAlign w:val="bottom"/>
          </w:tcPr>
          <w:p w14:paraId="41F5F01A"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014</w:t>
            </w:r>
          </w:p>
        </w:tc>
        <w:tc>
          <w:tcPr>
            <w:tcW w:w="1200" w:type="dxa"/>
            <w:shd w:val="clear" w:color="auto" w:fill="auto"/>
            <w:noWrap/>
            <w:vAlign w:val="bottom"/>
            <w:hideMark/>
          </w:tcPr>
          <w:p w14:paraId="1308F65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4</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758</w:t>
            </w:r>
          </w:p>
        </w:tc>
        <w:tc>
          <w:tcPr>
            <w:tcW w:w="1210" w:type="dxa"/>
            <w:shd w:val="clear" w:color="auto" w:fill="auto"/>
            <w:noWrap/>
            <w:vAlign w:val="bottom"/>
            <w:hideMark/>
          </w:tcPr>
          <w:p w14:paraId="59DEC90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52D333E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2230F896" w14:textId="77777777" w:rsidTr="00BC71BA">
        <w:trPr>
          <w:trHeight w:val="240"/>
          <w:jc w:val="center"/>
        </w:trPr>
        <w:tc>
          <w:tcPr>
            <w:tcW w:w="1456" w:type="dxa"/>
            <w:shd w:val="clear" w:color="000000" w:fill="FFFFFF"/>
            <w:vAlign w:val="center"/>
            <w:hideMark/>
          </w:tcPr>
          <w:p w14:paraId="17951CFC"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Bulgaria</w:t>
            </w:r>
          </w:p>
        </w:tc>
        <w:tc>
          <w:tcPr>
            <w:tcW w:w="1200" w:type="dxa"/>
            <w:shd w:val="clear" w:color="auto" w:fill="auto"/>
            <w:noWrap/>
            <w:vAlign w:val="bottom"/>
            <w:hideMark/>
          </w:tcPr>
          <w:p w14:paraId="4E85A8C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w:t>
            </w:r>
          </w:p>
        </w:tc>
        <w:tc>
          <w:tcPr>
            <w:tcW w:w="1200" w:type="dxa"/>
            <w:shd w:val="clear" w:color="auto" w:fill="auto"/>
            <w:noWrap/>
            <w:vAlign w:val="bottom"/>
            <w:hideMark/>
          </w:tcPr>
          <w:p w14:paraId="78A944E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w:t>
            </w:r>
          </w:p>
        </w:tc>
        <w:tc>
          <w:tcPr>
            <w:tcW w:w="1200" w:type="dxa"/>
            <w:shd w:val="clear" w:color="auto" w:fill="auto"/>
            <w:noWrap/>
            <w:vAlign w:val="bottom"/>
            <w:hideMark/>
          </w:tcPr>
          <w:p w14:paraId="10C4D42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87</w:t>
            </w:r>
          </w:p>
        </w:tc>
        <w:tc>
          <w:tcPr>
            <w:tcW w:w="1200" w:type="dxa"/>
            <w:vAlign w:val="bottom"/>
          </w:tcPr>
          <w:p w14:paraId="6A0C3A7A"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024</w:t>
            </w:r>
          </w:p>
        </w:tc>
        <w:tc>
          <w:tcPr>
            <w:tcW w:w="1200" w:type="dxa"/>
            <w:shd w:val="clear" w:color="auto" w:fill="auto"/>
            <w:noWrap/>
            <w:vAlign w:val="bottom"/>
            <w:hideMark/>
          </w:tcPr>
          <w:p w14:paraId="722C57B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393</w:t>
            </w:r>
          </w:p>
        </w:tc>
        <w:tc>
          <w:tcPr>
            <w:tcW w:w="1210" w:type="dxa"/>
            <w:shd w:val="clear" w:color="auto" w:fill="auto"/>
            <w:noWrap/>
            <w:vAlign w:val="bottom"/>
            <w:hideMark/>
          </w:tcPr>
          <w:p w14:paraId="2A2F3D2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0.167</w:t>
            </w:r>
          </w:p>
        </w:tc>
        <w:tc>
          <w:tcPr>
            <w:tcW w:w="1210" w:type="dxa"/>
            <w:shd w:val="clear" w:color="auto" w:fill="auto"/>
            <w:noWrap/>
            <w:vAlign w:val="bottom"/>
            <w:hideMark/>
          </w:tcPr>
          <w:p w14:paraId="7149403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099F95D8" w14:textId="77777777" w:rsidTr="00BC71BA">
        <w:trPr>
          <w:trHeight w:val="240"/>
          <w:jc w:val="center"/>
        </w:trPr>
        <w:tc>
          <w:tcPr>
            <w:tcW w:w="1456" w:type="dxa"/>
            <w:shd w:val="clear" w:color="000000" w:fill="FFFFFF"/>
            <w:vAlign w:val="center"/>
            <w:hideMark/>
          </w:tcPr>
          <w:p w14:paraId="4BBD6955"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Czech</w:t>
            </w:r>
            <w:r>
              <w:rPr>
                <w:rFonts w:ascii="Verdana" w:eastAsia="Times New Roman" w:hAnsi="Verdana" w:cs="Arial"/>
                <w:color w:val="000000"/>
                <w:sz w:val="18"/>
                <w:szCs w:val="18"/>
                <w:lang w:eastAsia="es-ES"/>
              </w:rPr>
              <w:t>ia</w:t>
            </w:r>
          </w:p>
        </w:tc>
        <w:tc>
          <w:tcPr>
            <w:tcW w:w="1200" w:type="dxa"/>
            <w:shd w:val="clear" w:color="auto" w:fill="auto"/>
            <w:noWrap/>
            <w:vAlign w:val="bottom"/>
            <w:hideMark/>
          </w:tcPr>
          <w:p w14:paraId="3C7ECFB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67F3D0F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0FA53927"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95</w:t>
            </w:r>
          </w:p>
        </w:tc>
        <w:tc>
          <w:tcPr>
            <w:tcW w:w="1200" w:type="dxa"/>
            <w:vAlign w:val="bottom"/>
          </w:tcPr>
          <w:p w14:paraId="508E4C55"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044</w:t>
            </w:r>
          </w:p>
        </w:tc>
        <w:tc>
          <w:tcPr>
            <w:tcW w:w="1200" w:type="dxa"/>
            <w:shd w:val="clear" w:color="auto" w:fill="auto"/>
            <w:noWrap/>
            <w:vAlign w:val="bottom"/>
            <w:hideMark/>
          </w:tcPr>
          <w:p w14:paraId="7E13376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782</w:t>
            </w:r>
          </w:p>
        </w:tc>
        <w:tc>
          <w:tcPr>
            <w:tcW w:w="1210" w:type="dxa"/>
            <w:shd w:val="clear" w:color="auto" w:fill="auto"/>
            <w:noWrap/>
            <w:vAlign w:val="bottom"/>
            <w:hideMark/>
          </w:tcPr>
          <w:p w14:paraId="4242A65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83</w:t>
            </w:r>
            <w:r>
              <w:rPr>
                <w:rFonts w:ascii="Verdana" w:eastAsia="Times New Roman" w:hAnsi="Verdana" w:cs="Calibri"/>
                <w:color w:val="000000"/>
                <w:sz w:val="18"/>
                <w:szCs w:val="18"/>
                <w:lang w:eastAsia="es-ES"/>
              </w:rPr>
              <w:t>3</w:t>
            </w:r>
          </w:p>
        </w:tc>
        <w:tc>
          <w:tcPr>
            <w:tcW w:w="1210" w:type="dxa"/>
            <w:shd w:val="clear" w:color="auto" w:fill="auto"/>
            <w:noWrap/>
            <w:vAlign w:val="bottom"/>
            <w:hideMark/>
          </w:tcPr>
          <w:p w14:paraId="11F5468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2229612E" w14:textId="77777777" w:rsidTr="00BC71BA">
        <w:trPr>
          <w:trHeight w:val="240"/>
          <w:jc w:val="center"/>
        </w:trPr>
        <w:tc>
          <w:tcPr>
            <w:tcW w:w="1456" w:type="dxa"/>
            <w:shd w:val="clear" w:color="000000" w:fill="FFFFFF"/>
            <w:vAlign w:val="center"/>
            <w:hideMark/>
          </w:tcPr>
          <w:p w14:paraId="4A44290E"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Estonia</w:t>
            </w:r>
          </w:p>
        </w:tc>
        <w:tc>
          <w:tcPr>
            <w:tcW w:w="1200" w:type="dxa"/>
            <w:shd w:val="clear" w:color="auto" w:fill="auto"/>
            <w:noWrap/>
            <w:vAlign w:val="bottom"/>
            <w:hideMark/>
          </w:tcPr>
          <w:p w14:paraId="33E7D0A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3</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w:t>
            </w:r>
          </w:p>
        </w:tc>
        <w:tc>
          <w:tcPr>
            <w:tcW w:w="1200" w:type="dxa"/>
            <w:shd w:val="clear" w:color="auto" w:fill="auto"/>
            <w:noWrap/>
            <w:vAlign w:val="bottom"/>
            <w:hideMark/>
          </w:tcPr>
          <w:p w14:paraId="5F3C9D50"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336BEF90"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4ED2378F"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076</w:t>
            </w:r>
          </w:p>
        </w:tc>
        <w:tc>
          <w:tcPr>
            <w:tcW w:w="1200" w:type="dxa"/>
            <w:shd w:val="clear" w:color="auto" w:fill="auto"/>
            <w:noWrap/>
            <w:vAlign w:val="bottom"/>
            <w:hideMark/>
          </w:tcPr>
          <w:p w14:paraId="71AA576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105</w:t>
            </w:r>
          </w:p>
        </w:tc>
        <w:tc>
          <w:tcPr>
            <w:tcW w:w="1210" w:type="dxa"/>
            <w:shd w:val="clear" w:color="auto" w:fill="auto"/>
            <w:noWrap/>
            <w:vAlign w:val="bottom"/>
            <w:hideMark/>
          </w:tcPr>
          <w:p w14:paraId="2EE78D7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042BDF7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25</w:t>
            </w:r>
            <w:r>
              <w:rPr>
                <w:rFonts w:ascii="Verdana" w:eastAsia="Times New Roman" w:hAnsi="Verdana" w:cs="Calibri"/>
                <w:color w:val="000000"/>
                <w:sz w:val="18"/>
                <w:szCs w:val="18"/>
                <w:lang w:eastAsia="es-ES"/>
              </w:rPr>
              <w:t>0</w:t>
            </w:r>
          </w:p>
        </w:tc>
      </w:tr>
      <w:tr w:rsidR="004D1438" w:rsidRPr="005B474D" w14:paraId="15839A81" w14:textId="77777777" w:rsidTr="00BC71BA">
        <w:trPr>
          <w:trHeight w:val="240"/>
          <w:jc w:val="center"/>
        </w:trPr>
        <w:tc>
          <w:tcPr>
            <w:tcW w:w="1456" w:type="dxa"/>
            <w:shd w:val="clear" w:color="000000" w:fill="FFFFFF"/>
            <w:vAlign w:val="center"/>
            <w:hideMark/>
          </w:tcPr>
          <w:p w14:paraId="2881DFFA"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Hungary</w:t>
            </w:r>
          </w:p>
        </w:tc>
        <w:tc>
          <w:tcPr>
            <w:tcW w:w="1200" w:type="dxa"/>
            <w:shd w:val="clear" w:color="auto" w:fill="auto"/>
            <w:noWrap/>
            <w:vAlign w:val="bottom"/>
            <w:hideMark/>
          </w:tcPr>
          <w:p w14:paraId="197A517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9</w:t>
            </w:r>
          </w:p>
        </w:tc>
        <w:tc>
          <w:tcPr>
            <w:tcW w:w="1200" w:type="dxa"/>
            <w:shd w:val="clear" w:color="auto" w:fill="auto"/>
            <w:noWrap/>
            <w:vAlign w:val="bottom"/>
            <w:hideMark/>
          </w:tcPr>
          <w:p w14:paraId="0494EFD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3</w:t>
            </w:r>
          </w:p>
        </w:tc>
        <w:tc>
          <w:tcPr>
            <w:tcW w:w="1200" w:type="dxa"/>
            <w:shd w:val="clear" w:color="auto" w:fill="auto"/>
            <w:noWrap/>
            <w:vAlign w:val="bottom"/>
            <w:hideMark/>
          </w:tcPr>
          <w:p w14:paraId="60C102B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5</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47</w:t>
            </w:r>
          </w:p>
        </w:tc>
        <w:tc>
          <w:tcPr>
            <w:tcW w:w="1200" w:type="dxa"/>
            <w:vAlign w:val="bottom"/>
          </w:tcPr>
          <w:p w14:paraId="6792D005"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092</w:t>
            </w:r>
          </w:p>
        </w:tc>
        <w:tc>
          <w:tcPr>
            <w:tcW w:w="1200" w:type="dxa"/>
            <w:shd w:val="clear" w:color="auto" w:fill="auto"/>
            <w:noWrap/>
            <w:vAlign w:val="bottom"/>
            <w:hideMark/>
          </w:tcPr>
          <w:p w14:paraId="064334F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593</w:t>
            </w:r>
          </w:p>
        </w:tc>
        <w:tc>
          <w:tcPr>
            <w:tcW w:w="1210" w:type="dxa"/>
            <w:shd w:val="clear" w:color="auto" w:fill="auto"/>
            <w:noWrap/>
            <w:vAlign w:val="bottom"/>
            <w:hideMark/>
          </w:tcPr>
          <w:p w14:paraId="5B53F02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0.667</w:t>
            </w:r>
          </w:p>
        </w:tc>
        <w:tc>
          <w:tcPr>
            <w:tcW w:w="1210" w:type="dxa"/>
            <w:shd w:val="clear" w:color="auto" w:fill="auto"/>
            <w:noWrap/>
            <w:vAlign w:val="bottom"/>
            <w:hideMark/>
          </w:tcPr>
          <w:p w14:paraId="3E31BF4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0.625</w:t>
            </w:r>
          </w:p>
        </w:tc>
      </w:tr>
      <w:tr w:rsidR="004D1438" w:rsidRPr="005B474D" w14:paraId="0ECA56F3" w14:textId="77777777" w:rsidTr="00BC71BA">
        <w:trPr>
          <w:trHeight w:val="240"/>
          <w:jc w:val="center"/>
        </w:trPr>
        <w:tc>
          <w:tcPr>
            <w:tcW w:w="1456" w:type="dxa"/>
            <w:shd w:val="clear" w:color="000000" w:fill="FFFFFF"/>
            <w:vAlign w:val="center"/>
            <w:hideMark/>
          </w:tcPr>
          <w:p w14:paraId="74CAF192"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Latvia</w:t>
            </w:r>
          </w:p>
        </w:tc>
        <w:tc>
          <w:tcPr>
            <w:tcW w:w="1200" w:type="dxa"/>
            <w:shd w:val="clear" w:color="auto" w:fill="auto"/>
            <w:noWrap/>
            <w:vAlign w:val="bottom"/>
            <w:hideMark/>
          </w:tcPr>
          <w:p w14:paraId="28A25C6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3</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77BFF10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w:t>
            </w:r>
          </w:p>
        </w:tc>
        <w:tc>
          <w:tcPr>
            <w:tcW w:w="1200" w:type="dxa"/>
            <w:shd w:val="clear" w:color="auto" w:fill="auto"/>
            <w:noWrap/>
            <w:vAlign w:val="bottom"/>
            <w:hideMark/>
          </w:tcPr>
          <w:p w14:paraId="198F4F7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96</w:t>
            </w:r>
          </w:p>
        </w:tc>
        <w:tc>
          <w:tcPr>
            <w:tcW w:w="1200" w:type="dxa"/>
            <w:vAlign w:val="bottom"/>
          </w:tcPr>
          <w:p w14:paraId="29E7AC72"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586</w:t>
            </w:r>
          </w:p>
        </w:tc>
        <w:tc>
          <w:tcPr>
            <w:tcW w:w="1200" w:type="dxa"/>
            <w:shd w:val="clear" w:color="auto" w:fill="auto"/>
            <w:noWrap/>
            <w:vAlign w:val="bottom"/>
            <w:hideMark/>
          </w:tcPr>
          <w:p w14:paraId="37CF57B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148</w:t>
            </w:r>
          </w:p>
        </w:tc>
        <w:tc>
          <w:tcPr>
            <w:tcW w:w="1210" w:type="dxa"/>
            <w:shd w:val="clear" w:color="auto" w:fill="auto"/>
            <w:noWrap/>
            <w:vAlign w:val="bottom"/>
            <w:hideMark/>
          </w:tcPr>
          <w:p w14:paraId="2864300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83</w:t>
            </w:r>
            <w:r>
              <w:rPr>
                <w:rFonts w:ascii="Verdana" w:eastAsia="Times New Roman" w:hAnsi="Verdana" w:cs="Calibri"/>
                <w:color w:val="000000"/>
                <w:sz w:val="18"/>
                <w:szCs w:val="18"/>
                <w:lang w:eastAsia="es-ES"/>
              </w:rPr>
              <w:t>3</w:t>
            </w:r>
          </w:p>
        </w:tc>
        <w:tc>
          <w:tcPr>
            <w:tcW w:w="1210" w:type="dxa"/>
            <w:shd w:val="clear" w:color="auto" w:fill="auto"/>
            <w:noWrap/>
            <w:vAlign w:val="bottom"/>
            <w:hideMark/>
          </w:tcPr>
          <w:p w14:paraId="2693CA7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0.125</w:t>
            </w:r>
          </w:p>
        </w:tc>
      </w:tr>
      <w:tr w:rsidR="004D1438" w:rsidRPr="005B474D" w14:paraId="1A8AEDF4" w14:textId="77777777" w:rsidTr="00BC71BA">
        <w:trPr>
          <w:trHeight w:val="240"/>
          <w:jc w:val="center"/>
        </w:trPr>
        <w:tc>
          <w:tcPr>
            <w:tcW w:w="1456" w:type="dxa"/>
            <w:shd w:val="clear" w:color="000000" w:fill="FFFFFF"/>
            <w:vAlign w:val="center"/>
            <w:hideMark/>
          </w:tcPr>
          <w:p w14:paraId="03767276"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7C0DEC">
              <w:rPr>
                <w:rFonts w:ascii="Verdana" w:eastAsia="Times New Roman" w:hAnsi="Verdana" w:cs="Arial"/>
                <w:color w:val="000000"/>
                <w:sz w:val="18"/>
                <w:szCs w:val="18"/>
                <w:lang w:eastAsia="es-ES"/>
              </w:rPr>
              <w:t>L</w:t>
            </w:r>
            <w:r w:rsidRPr="005B474D">
              <w:rPr>
                <w:rFonts w:ascii="Verdana" w:eastAsia="Times New Roman" w:hAnsi="Verdana" w:cs="Arial"/>
                <w:color w:val="000000"/>
                <w:sz w:val="18"/>
                <w:szCs w:val="18"/>
                <w:lang w:eastAsia="es-ES"/>
              </w:rPr>
              <w:t>ithuania</w:t>
            </w:r>
          </w:p>
        </w:tc>
        <w:tc>
          <w:tcPr>
            <w:tcW w:w="1200" w:type="dxa"/>
            <w:shd w:val="clear" w:color="auto" w:fill="auto"/>
            <w:noWrap/>
            <w:vAlign w:val="bottom"/>
            <w:hideMark/>
          </w:tcPr>
          <w:p w14:paraId="7211C59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3</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w:t>
            </w:r>
          </w:p>
        </w:tc>
        <w:tc>
          <w:tcPr>
            <w:tcW w:w="1200" w:type="dxa"/>
            <w:shd w:val="clear" w:color="auto" w:fill="auto"/>
            <w:noWrap/>
            <w:vAlign w:val="bottom"/>
            <w:hideMark/>
          </w:tcPr>
          <w:p w14:paraId="2ED6694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7291BBC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12</w:t>
            </w:r>
          </w:p>
        </w:tc>
        <w:tc>
          <w:tcPr>
            <w:tcW w:w="1200" w:type="dxa"/>
            <w:vAlign w:val="bottom"/>
          </w:tcPr>
          <w:p w14:paraId="5BDEC712"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008</w:t>
            </w:r>
          </w:p>
        </w:tc>
        <w:tc>
          <w:tcPr>
            <w:tcW w:w="1200" w:type="dxa"/>
            <w:shd w:val="clear" w:color="auto" w:fill="auto"/>
            <w:noWrap/>
            <w:vAlign w:val="bottom"/>
            <w:hideMark/>
          </w:tcPr>
          <w:p w14:paraId="0C87D37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205</w:t>
            </w:r>
          </w:p>
        </w:tc>
        <w:tc>
          <w:tcPr>
            <w:tcW w:w="1210" w:type="dxa"/>
            <w:shd w:val="clear" w:color="auto" w:fill="auto"/>
            <w:noWrap/>
            <w:vAlign w:val="bottom"/>
            <w:hideMark/>
          </w:tcPr>
          <w:p w14:paraId="51C8FCA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2690C2B9"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16F65A3E" w14:textId="77777777" w:rsidTr="00BC71BA">
        <w:trPr>
          <w:trHeight w:val="240"/>
          <w:jc w:val="center"/>
        </w:trPr>
        <w:tc>
          <w:tcPr>
            <w:tcW w:w="1456" w:type="dxa"/>
            <w:shd w:val="clear" w:color="000000" w:fill="FFFFFF"/>
            <w:vAlign w:val="center"/>
            <w:hideMark/>
          </w:tcPr>
          <w:p w14:paraId="5ED76CB3"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Romania</w:t>
            </w:r>
          </w:p>
        </w:tc>
        <w:tc>
          <w:tcPr>
            <w:tcW w:w="1200" w:type="dxa"/>
            <w:shd w:val="clear" w:color="auto" w:fill="auto"/>
            <w:noWrap/>
            <w:vAlign w:val="bottom"/>
            <w:hideMark/>
          </w:tcPr>
          <w:p w14:paraId="0971FEA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4</w:t>
            </w:r>
          </w:p>
        </w:tc>
        <w:tc>
          <w:tcPr>
            <w:tcW w:w="1200" w:type="dxa"/>
            <w:shd w:val="clear" w:color="auto" w:fill="auto"/>
            <w:noWrap/>
            <w:vAlign w:val="bottom"/>
            <w:hideMark/>
          </w:tcPr>
          <w:p w14:paraId="7543D8A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w:t>
            </w:r>
          </w:p>
        </w:tc>
        <w:tc>
          <w:tcPr>
            <w:tcW w:w="1200" w:type="dxa"/>
            <w:shd w:val="clear" w:color="auto" w:fill="auto"/>
            <w:noWrap/>
            <w:vAlign w:val="bottom"/>
            <w:hideMark/>
          </w:tcPr>
          <w:p w14:paraId="46DCA75D"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4</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56</w:t>
            </w:r>
          </w:p>
        </w:tc>
        <w:tc>
          <w:tcPr>
            <w:tcW w:w="1200" w:type="dxa"/>
            <w:vAlign w:val="bottom"/>
          </w:tcPr>
          <w:p w14:paraId="1A0D62F2"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036</w:t>
            </w:r>
          </w:p>
        </w:tc>
        <w:tc>
          <w:tcPr>
            <w:tcW w:w="1200" w:type="dxa"/>
            <w:shd w:val="clear" w:color="auto" w:fill="auto"/>
            <w:noWrap/>
            <w:vAlign w:val="bottom"/>
            <w:hideMark/>
          </w:tcPr>
          <w:p w14:paraId="0E998E5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808</w:t>
            </w:r>
          </w:p>
        </w:tc>
        <w:tc>
          <w:tcPr>
            <w:tcW w:w="1210" w:type="dxa"/>
            <w:shd w:val="clear" w:color="auto" w:fill="auto"/>
            <w:noWrap/>
            <w:vAlign w:val="bottom"/>
            <w:hideMark/>
          </w:tcPr>
          <w:p w14:paraId="33F5A04E"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33</w:t>
            </w:r>
            <w:r>
              <w:rPr>
                <w:rFonts w:ascii="Verdana" w:eastAsia="Times New Roman" w:hAnsi="Verdana" w:cs="Calibri"/>
                <w:color w:val="000000"/>
                <w:sz w:val="18"/>
                <w:szCs w:val="18"/>
                <w:lang w:eastAsia="es-ES"/>
              </w:rPr>
              <w:t>3</w:t>
            </w:r>
          </w:p>
        </w:tc>
        <w:tc>
          <w:tcPr>
            <w:tcW w:w="1210" w:type="dxa"/>
            <w:shd w:val="clear" w:color="auto" w:fill="auto"/>
            <w:noWrap/>
            <w:vAlign w:val="bottom"/>
            <w:hideMark/>
          </w:tcPr>
          <w:p w14:paraId="711392D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0.125</w:t>
            </w:r>
          </w:p>
        </w:tc>
      </w:tr>
      <w:tr w:rsidR="004D1438" w:rsidRPr="005B474D" w14:paraId="737D66F6" w14:textId="77777777" w:rsidTr="00BC71BA">
        <w:trPr>
          <w:trHeight w:val="240"/>
          <w:jc w:val="center"/>
        </w:trPr>
        <w:tc>
          <w:tcPr>
            <w:tcW w:w="1456" w:type="dxa"/>
            <w:shd w:val="clear" w:color="000000" w:fill="FFFFFF"/>
            <w:vAlign w:val="center"/>
            <w:hideMark/>
          </w:tcPr>
          <w:p w14:paraId="03F0BF4A"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Slovakia</w:t>
            </w:r>
          </w:p>
        </w:tc>
        <w:tc>
          <w:tcPr>
            <w:tcW w:w="1200" w:type="dxa"/>
            <w:shd w:val="clear" w:color="auto" w:fill="auto"/>
            <w:noWrap/>
            <w:vAlign w:val="bottom"/>
            <w:hideMark/>
          </w:tcPr>
          <w:p w14:paraId="45E7274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2</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w:t>
            </w:r>
          </w:p>
        </w:tc>
        <w:tc>
          <w:tcPr>
            <w:tcW w:w="1200" w:type="dxa"/>
            <w:shd w:val="clear" w:color="auto" w:fill="auto"/>
            <w:noWrap/>
            <w:vAlign w:val="bottom"/>
            <w:hideMark/>
          </w:tcPr>
          <w:p w14:paraId="4FDB1E9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8</w:t>
            </w:r>
          </w:p>
        </w:tc>
        <w:tc>
          <w:tcPr>
            <w:tcW w:w="1200" w:type="dxa"/>
            <w:shd w:val="clear" w:color="auto" w:fill="auto"/>
            <w:noWrap/>
            <w:vAlign w:val="bottom"/>
            <w:hideMark/>
          </w:tcPr>
          <w:p w14:paraId="243094F7"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76CF9DF8"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018</w:t>
            </w:r>
          </w:p>
        </w:tc>
        <w:tc>
          <w:tcPr>
            <w:tcW w:w="1200" w:type="dxa"/>
            <w:shd w:val="clear" w:color="auto" w:fill="auto"/>
            <w:noWrap/>
            <w:vAlign w:val="bottom"/>
            <w:hideMark/>
          </w:tcPr>
          <w:p w14:paraId="15EC35E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375</w:t>
            </w:r>
          </w:p>
        </w:tc>
        <w:tc>
          <w:tcPr>
            <w:tcW w:w="1210" w:type="dxa"/>
            <w:shd w:val="clear" w:color="auto" w:fill="auto"/>
            <w:noWrap/>
            <w:vAlign w:val="bottom"/>
            <w:hideMark/>
          </w:tcPr>
          <w:p w14:paraId="21DD57E8"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50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43822976"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0.375</w:t>
            </w:r>
          </w:p>
        </w:tc>
      </w:tr>
      <w:tr w:rsidR="004D1438" w:rsidRPr="005B474D" w14:paraId="2A07E54F" w14:textId="77777777" w:rsidTr="00BC71BA">
        <w:trPr>
          <w:trHeight w:val="240"/>
          <w:jc w:val="center"/>
        </w:trPr>
        <w:tc>
          <w:tcPr>
            <w:tcW w:w="1456" w:type="dxa"/>
            <w:shd w:val="clear" w:color="000000" w:fill="FFFFFF"/>
            <w:vAlign w:val="center"/>
            <w:hideMark/>
          </w:tcPr>
          <w:p w14:paraId="2CE3D611"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Slovenia</w:t>
            </w:r>
          </w:p>
        </w:tc>
        <w:tc>
          <w:tcPr>
            <w:tcW w:w="1200" w:type="dxa"/>
            <w:shd w:val="clear" w:color="auto" w:fill="auto"/>
            <w:noWrap/>
            <w:vAlign w:val="bottom"/>
            <w:hideMark/>
          </w:tcPr>
          <w:p w14:paraId="3B9816D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4</w:t>
            </w:r>
          </w:p>
        </w:tc>
        <w:tc>
          <w:tcPr>
            <w:tcW w:w="1200" w:type="dxa"/>
            <w:shd w:val="clear" w:color="auto" w:fill="auto"/>
            <w:noWrap/>
            <w:vAlign w:val="bottom"/>
            <w:hideMark/>
          </w:tcPr>
          <w:p w14:paraId="54B095E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3</w:t>
            </w:r>
          </w:p>
        </w:tc>
        <w:tc>
          <w:tcPr>
            <w:tcW w:w="1200" w:type="dxa"/>
            <w:shd w:val="clear" w:color="auto" w:fill="auto"/>
            <w:noWrap/>
            <w:vAlign w:val="bottom"/>
            <w:hideMark/>
          </w:tcPr>
          <w:p w14:paraId="1572FB43"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78</w:t>
            </w:r>
          </w:p>
        </w:tc>
        <w:tc>
          <w:tcPr>
            <w:tcW w:w="1200" w:type="dxa"/>
            <w:vAlign w:val="bottom"/>
          </w:tcPr>
          <w:p w14:paraId="771DEBFD"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132</w:t>
            </w:r>
          </w:p>
        </w:tc>
        <w:tc>
          <w:tcPr>
            <w:tcW w:w="1200" w:type="dxa"/>
            <w:shd w:val="clear" w:color="auto" w:fill="auto"/>
            <w:noWrap/>
            <w:vAlign w:val="bottom"/>
            <w:hideMark/>
          </w:tcPr>
          <w:p w14:paraId="51F3410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157</w:t>
            </w:r>
          </w:p>
        </w:tc>
        <w:tc>
          <w:tcPr>
            <w:tcW w:w="1210" w:type="dxa"/>
            <w:shd w:val="clear" w:color="auto" w:fill="auto"/>
            <w:noWrap/>
            <w:vAlign w:val="bottom"/>
            <w:hideMark/>
          </w:tcPr>
          <w:p w14:paraId="7C123D3F"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62C4915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75</w:t>
            </w:r>
            <w:r>
              <w:rPr>
                <w:rFonts w:ascii="Verdana" w:eastAsia="Times New Roman" w:hAnsi="Verdana" w:cs="Calibri"/>
                <w:color w:val="000000"/>
                <w:sz w:val="18"/>
                <w:szCs w:val="18"/>
                <w:lang w:eastAsia="es-ES"/>
              </w:rPr>
              <w:t>0</w:t>
            </w:r>
          </w:p>
        </w:tc>
      </w:tr>
      <w:tr w:rsidR="004D1438" w:rsidRPr="005B474D" w14:paraId="49725581" w14:textId="77777777" w:rsidTr="00BC71BA">
        <w:trPr>
          <w:trHeight w:val="240"/>
          <w:jc w:val="center"/>
        </w:trPr>
        <w:tc>
          <w:tcPr>
            <w:tcW w:w="1456" w:type="dxa"/>
            <w:shd w:val="clear" w:color="000000" w:fill="FFFFFF"/>
            <w:vAlign w:val="center"/>
            <w:hideMark/>
          </w:tcPr>
          <w:p w14:paraId="0BF4DE78" w14:textId="77777777" w:rsidR="004D1438" w:rsidRPr="007C0DEC" w:rsidRDefault="004D1438" w:rsidP="00BC71BA">
            <w:pPr>
              <w:spacing w:after="0" w:line="360" w:lineRule="auto"/>
              <w:rPr>
                <w:rFonts w:ascii="Verdana" w:eastAsia="Times New Roman" w:hAnsi="Verdana" w:cs="Arial"/>
                <w:color w:val="000000"/>
                <w:sz w:val="18"/>
                <w:szCs w:val="18"/>
                <w:lang w:eastAsia="es-ES"/>
              </w:rPr>
            </w:pPr>
            <w:r w:rsidRPr="005B474D">
              <w:rPr>
                <w:rFonts w:ascii="Verdana" w:eastAsia="Times New Roman" w:hAnsi="Verdana" w:cs="Arial"/>
                <w:color w:val="000000"/>
                <w:sz w:val="18"/>
                <w:szCs w:val="18"/>
                <w:lang w:eastAsia="es-ES"/>
              </w:rPr>
              <w:t>Croatia</w:t>
            </w:r>
          </w:p>
        </w:tc>
        <w:tc>
          <w:tcPr>
            <w:tcW w:w="1200" w:type="dxa"/>
            <w:shd w:val="clear" w:color="auto" w:fill="auto"/>
            <w:noWrap/>
            <w:vAlign w:val="bottom"/>
            <w:hideMark/>
          </w:tcPr>
          <w:p w14:paraId="4C07621B"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4</w:t>
            </w:r>
          </w:p>
        </w:tc>
        <w:tc>
          <w:tcPr>
            <w:tcW w:w="1200" w:type="dxa"/>
            <w:shd w:val="clear" w:color="auto" w:fill="auto"/>
            <w:noWrap/>
            <w:vAlign w:val="bottom"/>
            <w:hideMark/>
          </w:tcPr>
          <w:p w14:paraId="524B8EB5"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6</w:t>
            </w:r>
          </w:p>
        </w:tc>
        <w:tc>
          <w:tcPr>
            <w:tcW w:w="1200" w:type="dxa"/>
            <w:shd w:val="clear" w:color="auto" w:fill="auto"/>
            <w:noWrap/>
            <w:vAlign w:val="bottom"/>
            <w:hideMark/>
          </w:tcPr>
          <w:p w14:paraId="37AE9AFC"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1</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32</w:t>
            </w:r>
            <w:r>
              <w:rPr>
                <w:rFonts w:ascii="Verdana" w:eastAsia="Times New Roman" w:hAnsi="Verdana" w:cs="Calibri"/>
                <w:color w:val="000000"/>
                <w:sz w:val="18"/>
                <w:szCs w:val="18"/>
                <w:lang w:eastAsia="es-ES"/>
              </w:rPr>
              <w:t xml:space="preserve"> (1)</w:t>
            </w:r>
          </w:p>
        </w:tc>
        <w:tc>
          <w:tcPr>
            <w:tcW w:w="1200" w:type="dxa"/>
            <w:vAlign w:val="bottom"/>
          </w:tcPr>
          <w:p w14:paraId="407C783C" w14:textId="77777777" w:rsidR="004D1438" w:rsidRPr="005B474D"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054</w:t>
            </w:r>
          </w:p>
        </w:tc>
        <w:tc>
          <w:tcPr>
            <w:tcW w:w="1200" w:type="dxa"/>
            <w:shd w:val="clear" w:color="auto" w:fill="auto"/>
            <w:noWrap/>
            <w:vAlign w:val="bottom"/>
            <w:hideMark/>
          </w:tcPr>
          <w:p w14:paraId="021D629A"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w:t>
            </w:r>
            <w:r w:rsidRPr="007C0DEC">
              <w:rPr>
                <w:rFonts w:ascii="Verdana" w:eastAsia="Times New Roman" w:hAnsi="Verdana" w:cs="Calibri"/>
                <w:color w:val="000000"/>
                <w:sz w:val="18"/>
                <w:szCs w:val="18"/>
                <w:lang w:eastAsia="es-ES"/>
              </w:rPr>
              <w:t>303</w:t>
            </w:r>
          </w:p>
        </w:tc>
        <w:tc>
          <w:tcPr>
            <w:tcW w:w="1210" w:type="dxa"/>
            <w:shd w:val="clear" w:color="auto" w:fill="auto"/>
            <w:noWrap/>
            <w:vAlign w:val="bottom"/>
            <w:hideMark/>
          </w:tcPr>
          <w:p w14:paraId="3C5C6864"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sidRPr="007C0DEC">
              <w:rPr>
                <w:rFonts w:ascii="Verdana" w:eastAsia="Times New Roman" w:hAnsi="Verdana" w:cs="Calibri"/>
                <w:color w:val="000000"/>
                <w:sz w:val="18"/>
                <w:szCs w:val="18"/>
                <w:lang w:eastAsia="es-ES"/>
              </w:rPr>
              <w:t>0</w:t>
            </w:r>
            <w:r>
              <w:rPr>
                <w:rFonts w:ascii="Verdana" w:eastAsia="Times New Roman" w:hAnsi="Verdana" w:cs="Calibri"/>
                <w:color w:val="000000"/>
                <w:sz w:val="18"/>
                <w:szCs w:val="18"/>
                <w:lang w:eastAsia="es-ES"/>
              </w:rPr>
              <w:t>.</w:t>
            </w:r>
            <w:r w:rsidRPr="007C0DEC">
              <w:rPr>
                <w:rFonts w:ascii="Verdana" w:eastAsia="Times New Roman" w:hAnsi="Verdana" w:cs="Calibri"/>
                <w:color w:val="000000"/>
                <w:sz w:val="18"/>
                <w:szCs w:val="18"/>
                <w:lang w:eastAsia="es-ES"/>
              </w:rPr>
              <w:t>00</w:t>
            </w:r>
            <w:r>
              <w:rPr>
                <w:rFonts w:ascii="Verdana" w:eastAsia="Times New Roman" w:hAnsi="Verdana" w:cs="Calibri"/>
                <w:color w:val="000000"/>
                <w:sz w:val="18"/>
                <w:szCs w:val="18"/>
                <w:lang w:eastAsia="es-ES"/>
              </w:rPr>
              <w:t>0</w:t>
            </w:r>
          </w:p>
        </w:tc>
        <w:tc>
          <w:tcPr>
            <w:tcW w:w="1210" w:type="dxa"/>
            <w:shd w:val="clear" w:color="auto" w:fill="auto"/>
            <w:noWrap/>
            <w:vAlign w:val="bottom"/>
            <w:hideMark/>
          </w:tcPr>
          <w:p w14:paraId="401D91E2" w14:textId="77777777" w:rsidR="004D1438" w:rsidRPr="007C0DEC" w:rsidRDefault="004D1438" w:rsidP="00BC71BA">
            <w:pPr>
              <w:spacing w:after="0" w:line="360" w:lineRule="auto"/>
              <w:jc w:val="center"/>
              <w:rPr>
                <w:rFonts w:ascii="Verdana" w:eastAsia="Times New Roman" w:hAnsi="Verdana" w:cs="Calibri"/>
                <w:color w:val="000000"/>
                <w:sz w:val="18"/>
                <w:szCs w:val="18"/>
                <w:lang w:eastAsia="es-ES"/>
              </w:rPr>
            </w:pPr>
            <w:r>
              <w:rPr>
                <w:rFonts w:ascii="Verdana" w:eastAsia="Times New Roman" w:hAnsi="Verdana" w:cs="Calibri"/>
                <w:color w:val="000000"/>
                <w:sz w:val="18"/>
                <w:szCs w:val="18"/>
                <w:lang w:eastAsia="es-ES"/>
              </w:rPr>
              <w:t>0.625</w:t>
            </w:r>
          </w:p>
        </w:tc>
      </w:tr>
    </w:tbl>
    <w:p w14:paraId="42471DDD" w14:textId="77777777" w:rsidR="004D1438" w:rsidRPr="005B474D" w:rsidRDefault="004D1438" w:rsidP="0027345A">
      <w:pPr>
        <w:pStyle w:val="ListParagraph"/>
        <w:widowControl w:val="0"/>
        <w:numPr>
          <w:ilvl w:val="0"/>
          <w:numId w:val="43"/>
        </w:numPr>
        <w:autoSpaceDE w:val="0"/>
        <w:autoSpaceDN w:val="0"/>
        <w:adjustRightInd w:val="0"/>
        <w:spacing w:after="120" w:line="360" w:lineRule="auto"/>
        <w:ind w:left="284"/>
        <w:jc w:val="both"/>
        <w:rPr>
          <w:rFonts w:ascii="Verdana" w:hAnsi="Verdana" w:cs="Tahoma"/>
          <w:sz w:val="18"/>
          <w:lang w:val="en-GB"/>
        </w:rPr>
      </w:pPr>
      <w:r w:rsidRPr="00AA6E6C">
        <w:rPr>
          <w:rFonts w:ascii="Verdana" w:hAnsi="Verdana" w:cs="Tahoma"/>
          <w:sz w:val="18"/>
          <w:lang w:val="en-GB"/>
        </w:rPr>
        <w:t xml:space="preserve">Data corresponding to 2014. </w:t>
      </w:r>
    </w:p>
    <w:sectPr w:rsidR="004D1438" w:rsidRPr="005B474D" w:rsidSect="001E739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8D90" w14:textId="77777777" w:rsidR="002C32F3" w:rsidRDefault="002C32F3" w:rsidP="00724EEC">
      <w:pPr>
        <w:spacing w:after="0" w:line="240" w:lineRule="auto"/>
      </w:pPr>
      <w:r>
        <w:separator/>
      </w:r>
    </w:p>
  </w:endnote>
  <w:endnote w:type="continuationSeparator" w:id="0">
    <w:p w14:paraId="3A4D765E" w14:textId="77777777" w:rsidR="002C32F3" w:rsidRDefault="002C32F3" w:rsidP="0072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cr10">
    <w:panose1 w:val="00000000000000000000"/>
    <w:charset w:val="00"/>
    <w:family w:val="auto"/>
    <w:notTrueType/>
    <w:pitch w:val="default"/>
    <w:sig w:usb0="00000003" w:usb1="00000000" w:usb2="00000000" w:usb3="00000000" w:csb0="00000001" w:csb1="00000000"/>
  </w:font>
  <w:font w:name="AdvTT5843c571">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AdvOT323a8e6c.B">
    <w:altName w:val="Cambria"/>
    <w:panose1 w:val="00000000000000000000"/>
    <w:charset w:val="00"/>
    <w:family w:val="roman"/>
    <w:notTrueType/>
    <w:pitch w:val="default"/>
    <w:sig w:usb0="00000003" w:usb1="00000000" w:usb2="00000000" w:usb3="00000000" w:csb0="00000001" w:csb1="00000000"/>
  </w:font>
  <w:font w:name="AdvOT323a8e6c.B+2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356955"/>
      <w:docPartObj>
        <w:docPartGallery w:val="Page Numbers (Bottom of Page)"/>
        <w:docPartUnique/>
      </w:docPartObj>
    </w:sdtPr>
    <w:sdtEndPr>
      <w:rPr>
        <w:noProof/>
      </w:rPr>
    </w:sdtEndPr>
    <w:sdtContent>
      <w:p w14:paraId="3C4FE4E0" w14:textId="3294C7A9" w:rsidR="00894185" w:rsidRDefault="0089418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0C479B" w14:textId="77777777" w:rsidR="00894185" w:rsidRDefault="00894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EA68" w14:textId="77777777" w:rsidR="002C32F3" w:rsidRDefault="002C32F3" w:rsidP="00724EEC">
      <w:pPr>
        <w:spacing w:after="0" w:line="240" w:lineRule="auto"/>
      </w:pPr>
      <w:r>
        <w:separator/>
      </w:r>
    </w:p>
  </w:footnote>
  <w:footnote w:type="continuationSeparator" w:id="0">
    <w:p w14:paraId="10EABBCE" w14:textId="77777777" w:rsidR="002C32F3" w:rsidRDefault="002C32F3" w:rsidP="00724EEC">
      <w:pPr>
        <w:spacing w:after="0" w:line="240" w:lineRule="auto"/>
      </w:pPr>
      <w:r>
        <w:continuationSeparator/>
      </w:r>
    </w:p>
  </w:footnote>
  <w:footnote w:id="1">
    <w:p w14:paraId="5C67B88E" w14:textId="77777777" w:rsidR="007170AE" w:rsidRPr="007F3F99" w:rsidRDefault="007170AE" w:rsidP="007170AE">
      <w:pPr>
        <w:pStyle w:val="FootnoteText"/>
        <w:jc w:val="both"/>
        <w:rPr>
          <w:rFonts w:ascii="Verdana" w:hAnsi="Verdana" w:cs="Tahoma"/>
          <w:lang w:val="en-GB"/>
        </w:rPr>
      </w:pPr>
      <w:r w:rsidRPr="007F3F99">
        <w:rPr>
          <w:rStyle w:val="FootnoteReference"/>
          <w:rFonts w:ascii="Verdana" w:hAnsi="Verdana" w:cs="Tahoma"/>
        </w:rPr>
        <w:footnoteRef/>
      </w:r>
      <w:r w:rsidRPr="007F3F99">
        <w:rPr>
          <w:rFonts w:ascii="Verdana" w:hAnsi="Verdana" w:cs="Tahoma"/>
          <w:lang w:val="en-US"/>
        </w:rPr>
        <w:t xml:space="preserve"> The NUTS (in French, </w:t>
      </w:r>
      <w:r w:rsidRPr="007F3F99">
        <w:rPr>
          <w:rFonts w:ascii="Verdana" w:hAnsi="Verdana" w:cs="Tahoma"/>
          <w:i/>
          <w:lang w:val="en-US"/>
        </w:rPr>
        <w:t xml:space="preserve">Nomenclature des Unités Territoriales Statistiques </w:t>
      </w:r>
      <w:r w:rsidRPr="007F3F99">
        <w:rPr>
          <w:rFonts w:ascii="Verdana" w:hAnsi="Verdana" w:cs="Tahoma"/>
          <w:lang w:val="en-US"/>
        </w:rPr>
        <w:t>–</w:t>
      </w:r>
      <w:r>
        <w:rPr>
          <w:rFonts w:ascii="Verdana" w:hAnsi="Verdana" w:cs="Tahoma"/>
          <w:lang w:val="en-US"/>
        </w:rPr>
        <w:t xml:space="preserve"> </w:t>
      </w:r>
      <w:r w:rsidRPr="007F3F99">
        <w:rPr>
          <w:rFonts w:ascii="Verdana" w:hAnsi="Verdana" w:cs="Tahoma"/>
          <w:lang w:val="en-US"/>
        </w:rPr>
        <w:t xml:space="preserve">Nomenclature of territorial units for statistics- </w:t>
      </w:r>
      <w:r>
        <w:rPr>
          <w:rFonts w:ascii="Verdana" w:hAnsi="Verdana" w:cs="Tahoma"/>
          <w:lang w:val="en-US"/>
        </w:rPr>
        <w:t>c</w:t>
      </w:r>
      <w:r w:rsidRPr="007F3F99">
        <w:rPr>
          <w:rFonts w:ascii="Verdana" w:hAnsi="Verdana" w:cs="Tahoma"/>
          <w:lang w:val="en-US"/>
        </w:rPr>
        <w:t xml:space="preserve">lassification is a hierarchical system for dividing the territory of the EU in regions. </w:t>
      </w:r>
      <w:r>
        <w:rPr>
          <w:rFonts w:ascii="Verdana" w:hAnsi="Verdana" w:cs="Tahoma"/>
          <w:lang w:val="en-US"/>
        </w:rPr>
        <w:t xml:space="preserve">The NUTS-2013 classification, considered in this analysis, </w:t>
      </w:r>
      <w:r w:rsidRPr="007F3F99">
        <w:rPr>
          <w:rFonts w:ascii="Verdana" w:hAnsi="Verdana" w:cs="Tahoma"/>
          <w:lang w:val="en-US"/>
        </w:rPr>
        <w:t>divide</w:t>
      </w:r>
      <w:r>
        <w:rPr>
          <w:rFonts w:ascii="Verdana" w:hAnsi="Verdana" w:cs="Tahoma"/>
          <w:lang w:val="en-US"/>
        </w:rPr>
        <w:t>d</w:t>
      </w:r>
      <w:r w:rsidRPr="007F3F99">
        <w:rPr>
          <w:rFonts w:ascii="Verdana" w:hAnsi="Verdana" w:cs="Tahoma"/>
          <w:lang w:val="en-US"/>
        </w:rPr>
        <w:t xml:space="preserve"> the EU in 98 major socio-economic regions</w:t>
      </w:r>
      <w:r>
        <w:rPr>
          <w:rFonts w:ascii="Verdana" w:hAnsi="Verdana" w:cs="Tahoma"/>
          <w:lang w:val="en-US"/>
        </w:rPr>
        <w:t xml:space="preserve"> (NUTS1) and</w:t>
      </w:r>
      <w:r w:rsidRPr="007F3F99">
        <w:rPr>
          <w:rFonts w:ascii="Verdana" w:hAnsi="Verdana" w:cs="Tahoma"/>
          <w:lang w:val="en-US"/>
        </w:rPr>
        <w:t xml:space="preserve"> 276 basic regions</w:t>
      </w:r>
      <w:r>
        <w:rPr>
          <w:rFonts w:ascii="Verdana" w:hAnsi="Verdana" w:cs="Tahoma"/>
          <w:lang w:val="en-US"/>
        </w:rPr>
        <w:t xml:space="preserve"> (NUTS2)</w:t>
      </w:r>
      <w:r w:rsidRPr="007F3F99">
        <w:rPr>
          <w:rFonts w:ascii="Verdana" w:hAnsi="Verdana" w:cs="Tahoma"/>
          <w:lang w:val="en-US"/>
        </w:rPr>
        <w:t xml:space="preserve"> (EUROSTAT 201</w:t>
      </w:r>
      <w:r>
        <w:rPr>
          <w:rFonts w:ascii="Verdana" w:hAnsi="Verdana" w:cs="Tahoma"/>
          <w:lang w:val="en-US"/>
        </w:rPr>
        <w:t>5</w:t>
      </w:r>
      <w:r w:rsidRPr="007F3F99">
        <w:rPr>
          <w:rFonts w:ascii="Verdana" w:hAnsi="Verdana" w:cs="Tahoma"/>
          <w:lang w:val="en-US"/>
        </w:rPr>
        <w:t xml:space="preserve">). </w:t>
      </w:r>
    </w:p>
  </w:footnote>
  <w:footnote w:id="2">
    <w:p w14:paraId="37EC269F" w14:textId="784C28CD" w:rsidR="00894185" w:rsidRPr="0033405D" w:rsidRDefault="00894185" w:rsidP="007F3F99">
      <w:pPr>
        <w:pStyle w:val="FootnoteText"/>
        <w:jc w:val="both"/>
        <w:rPr>
          <w:rFonts w:ascii="Verdana" w:hAnsi="Verdana" w:cs="Tahoma"/>
          <w:lang w:val="en-US"/>
        </w:rPr>
      </w:pPr>
      <w:r w:rsidRPr="007F3F99">
        <w:rPr>
          <w:rStyle w:val="FootnoteReference"/>
          <w:rFonts w:ascii="Verdana" w:hAnsi="Verdana"/>
        </w:rPr>
        <w:footnoteRef/>
      </w:r>
      <w:r w:rsidRPr="007F3F99">
        <w:rPr>
          <w:rFonts w:ascii="Verdana" w:hAnsi="Verdana"/>
          <w:lang w:val="en-US"/>
        </w:rPr>
        <w:t xml:space="preserve"> </w:t>
      </w:r>
      <w:r w:rsidRPr="007F3F99">
        <w:rPr>
          <w:rFonts w:ascii="Verdana" w:hAnsi="Verdana" w:cs="Tahoma"/>
          <w:lang w:val="en-US"/>
        </w:rPr>
        <w:t>Information of GDP per capita for the Irish regions corresponds to 2014, due to unavailability of more recent data at the time of data collection.</w:t>
      </w:r>
    </w:p>
  </w:footnote>
  <w:footnote w:id="3">
    <w:p w14:paraId="6CD8C91B" w14:textId="0A0255BA" w:rsidR="00894185" w:rsidRPr="00F949C8" w:rsidRDefault="00894185" w:rsidP="00361915">
      <w:pPr>
        <w:pStyle w:val="FootnoteText"/>
        <w:jc w:val="both"/>
        <w:rPr>
          <w:rStyle w:val="FootnoteReference"/>
          <w:rFonts w:ascii="Verdana" w:hAnsi="Verdana"/>
          <w:lang w:val="en-US"/>
        </w:rPr>
      </w:pPr>
      <w:r w:rsidRPr="001E496F">
        <w:rPr>
          <w:rStyle w:val="FootnoteReference"/>
          <w:rFonts w:ascii="Verdana" w:hAnsi="Verdana"/>
        </w:rPr>
        <w:footnoteRef/>
      </w:r>
      <w:r w:rsidRPr="00F949C8">
        <w:rPr>
          <w:rStyle w:val="FootnoteReference"/>
          <w:rFonts w:ascii="Verdana" w:hAnsi="Verdana"/>
          <w:lang w:val="en-US"/>
        </w:rPr>
        <w:t xml:space="preserve"> </w:t>
      </w:r>
      <w:r w:rsidRPr="001E496F">
        <w:rPr>
          <w:rStyle w:val="tgc"/>
          <w:rFonts w:ascii="Verdana" w:hAnsi="Verdana"/>
          <w:lang w:val="en-GB"/>
        </w:rPr>
        <w:t xml:space="preserve">For Croatia, as previous data </w:t>
      </w:r>
      <w:r>
        <w:rPr>
          <w:rStyle w:val="tgc"/>
          <w:rFonts w:ascii="Verdana" w:hAnsi="Verdana"/>
          <w:lang w:val="en-GB"/>
        </w:rPr>
        <w:t>we</w:t>
      </w:r>
      <w:r w:rsidRPr="001E496F">
        <w:rPr>
          <w:rStyle w:val="tgc"/>
          <w:rFonts w:ascii="Verdana" w:hAnsi="Verdana"/>
          <w:lang w:val="en-GB"/>
        </w:rPr>
        <w:t>re not available, information on the interest rate corresponds to 2014</w:t>
      </w:r>
      <w:r>
        <w:rPr>
          <w:rStyle w:val="tgc"/>
          <w:rFonts w:ascii="Verdana" w:hAnsi="Verdana"/>
          <w:lang w:val="en-GB"/>
        </w:rPr>
        <w:t>.</w:t>
      </w:r>
    </w:p>
    <w:p w14:paraId="53A7F13E" w14:textId="77777777" w:rsidR="00894185" w:rsidRPr="00F55981" w:rsidRDefault="00894185" w:rsidP="0036191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B70"/>
    <w:multiLevelType w:val="hybridMultilevel"/>
    <w:tmpl w:val="0356733E"/>
    <w:lvl w:ilvl="0" w:tplc="0C0A0001">
      <w:start w:val="1"/>
      <w:numFmt w:val="bullet"/>
      <w:lvlText w:val=""/>
      <w:lvlJc w:val="left"/>
      <w:pPr>
        <w:ind w:left="9793" w:hanging="360"/>
      </w:pPr>
      <w:rPr>
        <w:rFonts w:ascii="Symbol" w:hAnsi="Symbol" w:hint="default"/>
      </w:rPr>
    </w:lvl>
    <w:lvl w:ilvl="1" w:tplc="0C0A0003" w:tentative="1">
      <w:start w:val="1"/>
      <w:numFmt w:val="bullet"/>
      <w:lvlText w:val="o"/>
      <w:lvlJc w:val="left"/>
      <w:pPr>
        <w:ind w:left="10513" w:hanging="360"/>
      </w:pPr>
      <w:rPr>
        <w:rFonts w:ascii="Courier New" w:hAnsi="Courier New" w:cs="Courier New" w:hint="default"/>
      </w:rPr>
    </w:lvl>
    <w:lvl w:ilvl="2" w:tplc="0C0A0005" w:tentative="1">
      <w:start w:val="1"/>
      <w:numFmt w:val="bullet"/>
      <w:lvlText w:val=""/>
      <w:lvlJc w:val="left"/>
      <w:pPr>
        <w:ind w:left="11233" w:hanging="360"/>
      </w:pPr>
      <w:rPr>
        <w:rFonts w:ascii="Wingdings" w:hAnsi="Wingdings" w:hint="default"/>
      </w:rPr>
    </w:lvl>
    <w:lvl w:ilvl="3" w:tplc="0C0A0001" w:tentative="1">
      <w:start w:val="1"/>
      <w:numFmt w:val="bullet"/>
      <w:lvlText w:val=""/>
      <w:lvlJc w:val="left"/>
      <w:pPr>
        <w:ind w:left="11953" w:hanging="360"/>
      </w:pPr>
      <w:rPr>
        <w:rFonts w:ascii="Symbol" w:hAnsi="Symbol" w:hint="default"/>
      </w:rPr>
    </w:lvl>
    <w:lvl w:ilvl="4" w:tplc="0C0A0003" w:tentative="1">
      <w:start w:val="1"/>
      <w:numFmt w:val="bullet"/>
      <w:lvlText w:val="o"/>
      <w:lvlJc w:val="left"/>
      <w:pPr>
        <w:ind w:left="12673" w:hanging="360"/>
      </w:pPr>
      <w:rPr>
        <w:rFonts w:ascii="Courier New" w:hAnsi="Courier New" w:cs="Courier New" w:hint="default"/>
      </w:rPr>
    </w:lvl>
    <w:lvl w:ilvl="5" w:tplc="0C0A0005" w:tentative="1">
      <w:start w:val="1"/>
      <w:numFmt w:val="bullet"/>
      <w:lvlText w:val=""/>
      <w:lvlJc w:val="left"/>
      <w:pPr>
        <w:ind w:left="13393" w:hanging="360"/>
      </w:pPr>
      <w:rPr>
        <w:rFonts w:ascii="Wingdings" w:hAnsi="Wingdings" w:hint="default"/>
      </w:rPr>
    </w:lvl>
    <w:lvl w:ilvl="6" w:tplc="0C0A0001" w:tentative="1">
      <w:start w:val="1"/>
      <w:numFmt w:val="bullet"/>
      <w:lvlText w:val=""/>
      <w:lvlJc w:val="left"/>
      <w:pPr>
        <w:ind w:left="14113" w:hanging="360"/>
      </w:pPr>
      <w:rPr>
        <w:rFonts w:ascii="Symbol" w:hAnsi="Symbol" w:hint="default"/>
      </w:rPr>
    </w:lvl>
    <w:lvl w:ilvl="7" w:tplc="0C0A0003" w:tentative="1">
      <w:start w:val="1"/>
      <w:numFmt w:val="bullet"/>
      <w:lvlText w:val="o"/>
      <w:lvlJc w:val="left"/>
      <w:pPr>
        <w:ind w:left="14833" w:hanging="360"/>
      </w:pPr>
      <w:rPr>
        <w:rFonts w:ascii="Courier New" w:hAnsi="Courier New" w:cs="Courier New" w:hint="default"/>
      </w:rPr>
    </w:lvl>
    <w:lvl w:ilvl="8" w:tplc="0C0A0005" w:tentative="1">
      <w:start w:val="1"/>
      <w:numFmt w:val="bullet"/>
      <w:lvlText w:val=""/>
      <w:lvlJc w:val="left"/>
      <w:pPr>
        <w:ind w:left="15553" w:hanging="360"/>
      </w:pPr>
      <w:rPr>
        <w:rFonts w:ascii="Wingdings" w:hAnsi="Wingdings" w:hint="default"/>
      </w:rPr>
    </w:lvl>
  </w:abstractNum>
  <w:abstractNum w:abstractNumId="1" w15:restartNumberingAfterBreak="0">
    <w:nsid w:val="07741203"/>
    <w:multiLevelType w:val="hybridMultilevel"/>
    <w:tmpl w:val="45A2A7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C50E06"/>
    <w:multiLevelType w:val="hybridMultilevel"/>
    <w:tmpl w:val="C720D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E34688"/>
    <w:multiLevelType w:val="hybridMultilevel"/>
    <w:tmpl w:val="B8681BF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F2B1C"/>
    <w:multiLevelType w:val="hybridMultilevel"/>
    <w:tmpl w:val="7C9847FA"/>
    <w:lvl w:ilvl="0" w:tplc="253611E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E1528B"/>
    <w:multiLevelType w:val="hybridMultilevel"/>
    <w:tmpl w:val="4CDE3A92"/>
    <w:lvl w:ilvl="0" w:tplc="37C2952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352C85"/>
    <w:multiLevelType w:val="hybridMultilevel"/>
    <w:tmpl w:val="385A639E"/>
    <w:lvl w:ilvl="0" w:tplc="FB5C9330">
      <w:start w:val="9"/>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E1272C"/>
    <w:multiLevelType w:val="hybridMultilevel"/>
    <w:tmpl w:val="2D521D16"/>
    <w:lvl w:ilvl="0" w:tplc="B3A8BB26">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5B0080"/>
    <w:multiLevelType w:val="hybridMultilevel"/>
    <w:tmpl w:val="87542ADC"/>
    <w:lvl w:ilvl="0" w:tplc="271224D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2A5DD9"/>
    <w:multiLevelType w:val="hybridMultilevel"/>
    <w:tmpl w:val="79285968"/>
    <w:lvl w:ilvl="0" w:tplc="4C0E13B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5FA3247"/>
    <w:multiLevelType w:val="hybridMultilevel"/>
    <w:tmpl w:val="7640EC84"/>
    <w:lvl w:ilvl="0" w:tplc="05F01956">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4B7CFA"/>
    <w:multiLevelType w:val="hybridMultilevel"/>
    <w:tmpl w:val="F1305C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D2597"/>
    <w:multiLevelType w:val="hybridMultilevel"/>
    <w:tmpl w:val="74AA3C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B11DDB"/>
    <w:multiLevelType w:val="hybridMultilevel"/>
    <w:tmpl w:val="2D94DD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3193039B"/>
    <w:multiLevelType w:val="hybridMultilevel"/>
    <w:tmpl w:val="1D78C6B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15:restartNumberingAfterBreak="0">
    <w:nsid w:val="32E824A4"/>
    <w:multiLevelType w:val="hybridMultilevel"/>
    <w:tmpl w:val="04907E64"/>
    <w:lvl w:ilvl="0" w:tplc="2EB8ADCC">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42E185D"/>
    <w:multiLevelType w:val="hybridMultilevel"/>
    <w:tmpl w:val="CE623FF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4A560AE"/>
    <w:multiLevelType w:val="hybridMultilevel"/>
    <w:tmpl w:val="77161A2A"/>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37451DA2"/>
    <w:multiLevelType w:val="hybridMultilevel"/>
    <w:tmpl w:val="16D2DF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946EC6"/>
    <w:multiLevelType w:val="multilevel"/>
    <w:tmpl w:val="4BE035A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A3F3113"/>
    <w:multiLevelType w:val="hybridMultilevel"/>
    <w:tmpl w:val="C142A39A"/>
    <w:lvl w:ilvl="0" w:tplc="11681480">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1" w15:restartNumberingAfterBreak="0">
    <w:nsid w:val="3C194CCD"/>
    <w:multiLevelType w:val="hybridMultilevel"/>
    <w:tmpl w:val="15D6F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8E5B6A"/>
    <w:multiLevelType w:val="hybridMultilevel"/>
    <w:tmpl w:val="D7EE87D4"/>
    <w:lvl w:ilvl="0" w:tplc="55786C6C">
      <w:start w:val="2"/>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53690D"/>
    <w:multiLevelType w:val="hybridMultilevel"/>
    <w:tmpl w:val="CBF8A3CC"/>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F13429D"/>
    <w:multiLevelType w:val="hybridMultilevel"/>
    <w:tmpl w:val="81CAB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6F2CF1"/>
    <w:multiLevelType w:val="hybridMultilevel"/>
    <w:tmpl w:val="6C186DC0"/>
    <w:lvl w:ilvl="0" w:tplc="549406A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53C91F99"/>
    <w:multiLevelType w:val="hybridMultilevel"/>
    <w:tmpl w:val="C0EA4D9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557C3385"/>
    <w:multiLevelType w:val="hybridMultilevel"/>
    <w:tmpl w:val="7AC4275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6195785"/>
    <w:multiLevelType w:val="hybridMultilevel"/>
    <w:tmpl w:val="3C6679A0"/>
    <w:lvl w:ilvl="0" w:tplc="A35C8002">
      <w:numFmt w:val="bullet"/>
      <w:lvlText w:val="-"/>
      <w:lvlJc w:val="left"/>
      <w:pPr>
        <w:ind w:left="1113" w:hanging="360"/>
      </w:pPr>
      <w:rPr>
        <w:rFonts w:ascii="Calibri" w:eastAsia="Calibri" w:hAnsi="Calibri" w:cs="Times New Roman"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9" w15:restartNumberingAfterBreak="0">
    <w:nsid w:val="585B593B"/>
    <w:multiLevelType w:val="hybridMultilevel"/>
    <w:tmpl w:val="C376167A"/>
    <w:lvl w:ilvl="0" w:tplc="0809000F">
      <w:start w:val="1"/>
      <w:numFmt w:val="decimal"/>
      <w:lvlText w:val="%1."/>
      <w:lvlJc w:val="left"/>
      <w:pPr>
        <w:ind w:left="947" w:hanging="720"/>
      </w:pPr>
    </w:lvl>
    <w:lvl w:ilvl="1" w:tplc="08090019">
      <w:start w:val="1"/>
      <w:numFmt w:val="lowerLetter"/>
      <w:lvlText w:val="%2."/>
      <w:lvlJc w:val="left"/>
      <w:pPr>
        <w:ind w:left="1307" w:hanging="360"/>
      </w:pPr>
    </w:lvl>
    <w:lvl w:ilvl="2" w:tplc="0809001B">
      <w:start w:val="1"/>
      <w:numFmt w:val="lowerRoman"/>
      <w:lvlText w:val="%3."/>
      <w:lvlJc w:val="right"/>
      <w:pPr>
        <w:ind w:left="2027" w:hanging="180"/>
      </w:pPr>
    </w:lvl>
    <w:lvl w:ilvl="3" w:tplc="0809000F">
      <w:start w:val="1"/>
      <w:numFmt w:val="decimal"/>
      <w:lvlText w:val="%4."/>
      <w:lvlJc w:val="left"/>
      <w:pPr>
        <w:ind w:left="2747" w:hanging="360"/>
      </w:pPr>
    </w:lvl>
    <w:lvl w:ilvl="4" w:tplc="08090019">
      <w:start w:val="1"/>
      <w:numFmt w:val="lowerLetter"/>
      <w:lvlText w:val="%5."/>
      <w:lvlJc w:val="left"/>
      <w:pPr>
        <w:ind w:left="3467" w:hanging="360"/>
      </w:pPr>
    </w:lvl>
    <w:lvl w:ilvl="5" w:tplc="0809001B">
      <w:start w:val="1"/>
      <w:numFmt w:val="lowerRoman"/>
      <w:lvlText w:val="%6."/>
      <w:lvlJc w:val="right"/>
      <w:pPr>
        <w:ind w:left="4187" w:hanging="180"/>
      </w:pPr>
    </w:lvl>
    <w:lvl w:ilvl="6" w:tplc="0809000F">
      <w:start w:val="1"/>
      <w:numFmt w:val="decimal"/>
      <w:lvlText w:val="%7."/>
      <w:lvlJc w:val="left"/>
      <w:pPr>
        <w:ind w:left="4907" w:hanging="360"/>
      </w:pPr>
    </w:lvl>
    <w:lvl w:ilvl="7" w:tplc="08090019">
      <w:start w:val="1"/>
      <w:numFmt w:val="lowerLetter"/>
      <w:lvlText w:val="%8."/>
      <w:lvlJc w:val="left"/>
      <w:pPr>
        <w:ind w:left="5627" w:hanging="360"/>
      </w:pPr>
    </w:lvl>
    <w:lvl w:ilvl="8" w:tplc="0809001B">
      <w:start w:val="1"/>
      <w:numFmt w:val="lowerRoman"/>
      <w:lvlText w:val="%9."/>
      <w:lvlJc w:val="right"/>
      <w:pPr>
        <w:ind w:left="6347" w:hanging="180"/>
      </w:pPr>
    </w:lvl>
  </w:abstractNum>
  <w:abstractNum w:abstractNumId="30" w15:restartNumberingAfterBreak="0">
    <w:nsid w:val="5B7A30AF"/>
    <w:multiLevelType w:val="hybridMultilevel"/>
    <w:tmpl w:val="AE70848C"/>
    <w:lvl w:ilvl="0" w:tplc="54187D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A341E4"/>
    <w:multiLevelType w:val="hybridMultilevel"/>
    <w:tmpl w:val="1DEC5C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671E21"/>
    <w:multiLevelType w:val="hybridMultilevel"/>
    <w:tmpl w:val="2F02D91C"/>
    <w:lvl w:ilvl="0" w:tplc="9296FFB4">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3" w15:restartNumberingAfterBreak="0">
    <w:nsid w:val="659B3BBA"/>
    <w:multiLevelType w:val="hybridMultilevel"/>
    <w:tmpl w:val="F8DCD37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B49158B"/>
    <w:multiLevelType w:val="hybridMultilevel"/>
    <w:tmpl w:val="857675BC"/>
    <w:lvl w:ilvl="0" w:tplc="0C0A0001">
      <w:start w:val="1"/>
      <w:numFmt w:val="bullet"/>
      <w:lvlText w:val=""/>
      <w:lvlJc w:val="left"/>
      <w:pPr>
        <w:ind w:left="1431" w:hanging="360"/>
      </w:pPr>
      <w:rPr>
        <w:rFonts w:ascii="Symbol" w:hAnsi="Symbol" w:hint="default"/>
      </w:rPr>
    </w:lvl>
    <w:lvl w:ilvl="1" w:tplc="0C0A0003">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35" w15:restartNumberingAfterBreak="0">
    <w:nsid w:val="6BBD7A51"/>
    <w:multiLevelType w:val="hybridMultilevel"/>
    <w:tmpl w:val="096604D6"/>
    <w:lvl w:ilvl="0" w:tplc="4D2A9790">
      <w:start w:val="9"/>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EF0CFE"/>
    <w:multiLevelType w:val="hybridMultilevel"/>
    <w:tmpl w:val="A99A16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719B1843"/>
    <w:multiLevelType w:val="hybridMultilevel"/>
    <w:tmpl w:val="18FE3636"/>
    <w:lvl w:ilvl="0" w:tplc="28F822DE">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65D3001"/>
    <w:multiLevelType w:val="hybridMultilevel"/>
    <w:tmpl w:val="D1D0D9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FB316B"/>
    <w:multiLevelType w:val="hybridMultilevel"/>
    <w:tmpl w:val="05FE46B2"/>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99B0510"/>
    <w:multiLevelType w:val="multilevel"/>
    <w:tmpl w:val="4BE035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C7970C7"/>
    <w:multiLevelType w:val="hybridMultilevel"/>
    <w:tmpl w:val="9EEC3C16"/>
    <w:lvl w:ilvl="0" w:tplc="AF86440A">
      <w:numFmt w:val="bullet"/>
      <w:lvlText w:val="-"/>
      <w:lvlJc w:val="left"/>
      <w:pPr>
        <w:ind w:left="360" w:hanging="360"/>
      </w:pPr>
      <w:rPr>
        <w:rFonts w:ascii="Calibri" w:eastAsiaTheme="minorHAnsi" w:hAnsi="Calibri"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E3C084B"/>
    <w:multiLevelType w:val="hybridMultilevel"/>
    <w:tmpl w:val="8A7889D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71900483">
    <w:abstractNumId w:val="34"/>
  </w:num>
  <w:num w:numId="2" w16cid:durableId="2016567026">
    <w:abstractNumId w:val="0"/>
  </w:num>
  <w:num w:numId="3" w16cid:durableId="450057401">
    <w:abstractNumId w:val="27"/>
  </w:num>
  <w:num w:numId="4" w16cid:durableId="1133904349">
    <w:abstractNumId w:val="22"/>
  </w:num>
  <w:num w:numId="5" w16cid:durableId="1977681715">
    <w:abstractNumId w:val="35"/>
  </w:num>
  <w:num w:numId="6" w16cid:durableId="2099986409">
    <w:abstractNumId w:val="6"/>
  </w:num>
  <w:num w:numId="7" w16cid:durableId="896085290">
    <w:abstractNumId w:val="21"/>
  </w:num>
  <w:num w:numId="8" w16cid:durableId="436868221">
    <w:abstractNumId w:val="2"/>
  </w:num>
  <w:num w:numId="9" w16cid:durableId="92286193">
    <w:abstractNumId w:val="24"/>
  </w:num>
  <w:num w:numId="10" w16cid:durableId="2065904084">
    <w:abstractNumId w:val="42"/>
  </w:num>
  <w:num w:numId="11" w16cid:durableId="2076538235">
    <w:abstractNumId w:val="1"/>
  </w:num>
  <w:num w:numId="12" w16cid:durableId="1368214175">
    <w:abstractNumId w:val="17"/>
  </w:num>
  <w:num w:numId="13" w16cid:durableId="1857957891">
    <w:abstractNumId w:val="26"/>
  </w:num>
  <w:num w:numId="14" w16cid:durableId="1589653035">
    <w:abstractNumId w:val="12"/>
  </w:num>
  <w:num w:numId="15" w16cid:durableId="1773284502">
    <w:abstractNumId w:val="38"/>
  </w:num>
  <w:num w:numId="16" w16cid:durableId="1640838574">
    <w:abstractNumId w:val="33"/>
  </w:num>
  <w:num w:numId="17" w16cid:durableId="1877112210">
    <w:abstractNumId w:val="31"/>
  </w:num>
  <w:num w:numId="18" w16cid:durableId="1311331138">
    <w:abstractNumId w:val="9"/>
  </w:num>
  <w:num w:numId="19" w16cid:durableId="286816589">
    <w:abstractNumId w:val="8"/>
  </w:num>
  <w:num w:numId="20" w16cid:durableId="1979260053">
    <w:abstractNumId w:val="13"/>
  </w:num>
  <w:num w:numId="21" w16cid:durableId="1910384347">
    <w:abstractNumId w:val="5"/>
  </w:num>
  <w:num w:numId="22" w16cid:durableId="31611809">
    <w:abstractNumId w:val="16"/>
  </w:num>
  <w:num w:numId="23" w16cid:durableId="1614903471">
    <w:abstractNumId w:val="36"/>
  </w:num>
  <w:num w:numId="24" w16cid:durableId="1789546913">
    <w:abstractNumId w:val="19"/>
  </w:num>
  <w:num w:numId="25" w16cid:durableId="732654777">
    <w:abstractNumId w:val="10"/>
  </w:num>
  <w:num w:numId="26" w16cid:durableId="1727073226">
    <w:abstractNumId w:val="39"/>
  </w:num>
  <w:num w:numId="27" w16cid:durableId="2058318182">
    <w:abstractNumId w:val="23"/>
  </w:num>
  <w:num w:numId="28" w16cid:durableId="1879901271">
    <w:abstractNumId w:val="15"/>
  </w:num>
  <w:num w:numId="29" w16cid:durableId="1158956229">
    <w:abstractNumId w:val="14"/>
  </w:num>
  <w:num w:numId="30" w16cid:durableId="907032974">
    <w:abstractNumId w:val="40"/>
  </w:num>
  <w:num w:numId="31" w16cid:durableId="1572039934">
    <w:abstractNumId w:val="32"/>
  </w:num>
  <w:num w:numId="32" w16cid:durableId="499925947">
    <w:abstractNumId w:val="11"/>
  </w:num>
  <w:num w:numId="33" w16cid:durableId="748968349">
    <w:abstractNumId w:val="18"/>
  </w:num>
  <w:num w:numId="34" w16cid:durableId="1988895513">
    <w:abstractNumId w:val="37"/>
  </w:num>
  <w:num w:numId="35" w16cid:durableId="518475186">
    <w:abstractNumId w:val="41"/>
  </w:num>
  <w:num w:numId="36" w16cid:durableId="1060518916">
    <w:abstractNumId w:val="4"/>
  </w:num>
  <w:num w:numId="37" w16cid:durableId="2114861631">
    <w:abstractNumId w:val="25"/>
  </w:num>
  <w:num w:numId="38" w16cid:durableId="1861819166">
    <w:abstractNumId w:val="28"/>
  </w:num>
  <w:num w:numId="39" w16cid:durableId="1102919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55716">
    <w:abstractNumId w:val="3"/>
  </w:num>
  <w:num w:numId="41" w16cid:durableId="1896042287">
    <w:abstractNumId w:val="20"/>
  </w:num>
  <w:num w:numId="42" w16cid:durableId="1324774193">
    <w:abstractNumId w:val="7"/>
  </w:num>
  <w:num w:numId="43" w16cid:durableId="315355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3C"/>
    <w:rsid w:val="00000D8A"/>
    <w:rsid w:val="00002D96"/>
    <w:rsid w:val="00002DDB"/>
    <w:rsid w:val="0000329B"/>
    <w:rsid w:val="000038A7"/>
    <w:rsid w:val="000039CA"/>
    <w:rsid w:val="00005D37"/>
    <w:rsid w:val="0000626F"/>
    <w:rsid w:val="000104E7"/>
    <w:rsid w:val="00010745"/>
    <w:rsid w:val="00010A75"/>
    <w:rsid w:val="00011316"/>
    <w:rsid w:val="000113CB"/>
    <w:rsid w:val="0001294F"/>
    <w:rsid w:val="000137C8"/>
    <w:rsid w:val="00013E7A"/>
    <w:rsid w:val="000141A6"/>
    <w:rsid w:val="000149E3"/>
    <w:rsid w:val="00015571"/>
    <w:rsid w:val="00015CDE"/>
    <w:rsid w:val="0001603E"/>
    <w:rsid w:val="00020496"/>
    <w:rsid w:val="00021360"/>
    <w:rsid w:val="00021C44"/>
    <w:rsid w:val="00023D11"/>
    <w:rsid w:val="00025745"/>
    <w:rsid w:val="00025973"/>
    <w:rsid w:val="00026467"/>
    <w:rsid w:val="000273FA"/>
    <w:rsid w:val="000274A9"/>
    <w:rsid w:val="0003182A"/>
    <w:rsid w:val="00031AE1"/>
    <w:rsid w:val="000339F7"/>
    <w:rsid w:val="00033E29"/>
    <w:rsid w:val="000357B8"/>
    <w:rsid w:val="00036F24"/>
    <w:rsid w:val="00036F88"/>
    <w:rsid w:val="0003716E"/>
    <w:rsid w:val="00037C08"/>
    <w:rsid w:val="000402A2"/>
    <w:rsid w:val="000402DA"/>
    <w:rsid w:val="00040BF8"/>
    <w:rsid w:val="00040C26"/>
    <w:rsid w:val="000410D7"/>
    <w:rsid w:val="0004257A"/>
    <w:rsid w:val="000430AB"/>
    <w:rsid w:val="00043282"/>
    <w:rsid w:val="0004370A"/>
    <w:rsid w:val="000439F0"/>
    <w:rsid w:val="00045BAE"/>
    <w:rsid w:val="000465D3"/>
    <w:rsid w:val="0004702F"/>
    <w:rsid w:val="00050030"/>
    <w:rsid w:val="000508B7"/>
    <w:rsid w:val="00050C9F"/>
    <w:rsid w:val="0005220F"/>
    <w:rsid w:val="00052989"/>
    <w:rsid w:val="00052F13"/>
    <w:rsid w:val="00053B7F"/>
    <w:rsid w:val="00053F5A"/>
    <w:rsid w:val="000549C7"/>
    <w:rsid w:val="00054C55"/>
    <w:rsid w:val="00054DD0"/>
    <w:rsid w:val="000631A2"/>
    <w:rsid w:val="00063A10"/>
    <w:rsid w:val="0006484E"/>
    <w:rsid w:val="000648AB"/>
    <w:rsid w:val="000653EB"/>
    <w:rsid w:val="00065CFC"/>
    <w:rsid w:val="00066295"/>
    <w:rsid w:val="00067AC7"/>
    <w:rsid w:val="00071999"/>
    <w:rsid w:val="00071BD4"/>
    <w:rsid w:val="000721C3"/>
    <w:rsid w:val="00073736"/>
    <w:rsid w:val="00073BFC"/>
    <w:rsid w:val="00074A6F"/>
    <w:rsid w:val="0007581F"/>
    <w:rsid w:val="00076230"/>
    <w:rsid w:val="0007718F"/>
    <w:rsid w:val="00077453"/>
    <w:rsid w:val="00077543"/>
    <w:rsid w:val="00077B11"/>
    <w:rsid w:val="00081040"/>
    <w:rsid w:val="00081E02"/>
    <w:rsid w:val="000830D8"/>
    <w:rsid w:val="0008320E"/>
    <w:rsid w:val="00084C5E"/>
    <w:rsid w:val="00084DBE"/>
    <w:rsid w:val="00085D45"/>
    <w:rsid w:val="0008609B"/>
    <w:rsid w:val="00086130"/>
    <w:rsid w:val="000865A8"/>
    <w:rsid w:val="00086927"/>
    <w:rsid w:val="000874F6"/>
    <w:rsid w:val="00090872"/>
    <w:rsid w:val="000944BF"/>
    <w:rsid w:val="000948BA"/>
    <w:rsid w:val="00095193"/>
    <w:rsid w:val="000A0350"/>
    <w:rsid w:val="000A1D07"/>
    <w:rsid w:val="000A1D6A"/>
    <w:rsid w:val="000A2A1F"/>
    <w:rsid w:val="000A2FA2"/>
    <w:rsid w:val="000A38C8"/>
    <w:rsid w:val="000A3E82"/>
    <w:rsid w:val="000A55EA"/>
    <w:rsid w:val="000A6DAB"/>
    <w:rsid w:val="000B1ECB"/>
    <w:rsid w:val="000B1F27"/>
    <w:rsid w:val="000B38DB"/>
    <w:rsid w:val="000B3E34"/>
    <w:rsid w:val="000B42D2"/>
    <w:rsid w:val="000B576D"/>
    <w:rsid w:val="000B6E4D"/>
    <w:rsid w:val="000B7037"/>
    <w:rsid w:val="000C0B55"/>
    <w:rsid w:val="000C0D9D"/>
    <w:rsid w:val="000C14DD"/>
    <w:rsid w:val="000C19DD"/>
    <w:rsid w:val="000C31AB"/>
    <w:rsid w:val="000C3BFE"/>
    <w:rsid w:val="000C42B8"/>
    <w:rsid w:val="000C4342"/>
    <w:rsid w:val="000C5728"/>
    <w:rsid w:val="000C57EE"/>
    <w:rsid w:val="000C6AEF"/>
    <w:rsid w:val="000C795F"/>
    <w:rsid w:val="000D04C2"/>
    <w:rsid w:val="000D0C1F"/>
    <w:rsid w:val="000D1026"/>
    <w:rsid w:val="000D16BF"/>
    <w:rsid w:val="000D1DC6"/>
    <w:rsid w:val="000D21C4"/>
    <w:rsid w:val="000D37C6"/>
    <w:rsid w:val="000D41B6"/>
    <w:rsid w:val="000D4DCA"/>
    <w:rsid w:val="000D57B4"/>
    <w:rsid w:val="000D5808"/>
    <w:rsid w:val="000D5BB7"/>
    <w:rsid w:val="000D769C"/>
    <w:rsid w:val="000D7984"/>
    <w:rsid w:val="000E02EA"/>
    <w:rsid w:val="000E1474"/>
    <w:rsid w:val="000E195A"/>
    <w:rsid w:val="000E2838"/>
    <w:rsid w:val="000E3AC4"/>
    <w:rsid w:val="000E3BDD"/>
    <w:rsid w:val="000E41B9"/>
    <w:rsid w:val="000E4AD3"/>
    <w:rsid w:val="000E5184"/>
    <w:rsid w:val="000E653A"/>
    <w:rsid w:val="000E7514"/>
    <w:rsid w:val="000F0550"/>
    <w:rsid w:val="000F136F"/>
    <w:rsid w:val="000F23A6"/>
    <w:rsid w:val="000F3614"/>
    <w:rsid w:val="000F4096"/>
    <w:rsid w:val="000F4A24"/>
    <w:rsid w:val="000F4B05"/>
    <w:rsid w:val="000F50DA"/>
    <w:rsid w:val="000F6F9C"/>
    <w:rsid w:val="000F7922"/>
    <w:rsid w:val="000F7CD3"/>
    <w:rsid w:val="00100305"/>
    <w:rsid w:val="00101B83"/>
    <w:rsid w:val="00102A7D"/>
    <w:rsid w:val="00102F94"/>
    <w:rsid w:val="00103194"/>
    <w:rsid w:val="00105670"/>
    <w:rsid w:val="0010682E"/>
    <w:rsid w:val="001074DE"/>
    <w:rsid w:val="00107679"/>
    <w:rsid w:val="00111C65"/>
    <w:rsid w:val="0011310D"/>
    <w:rsid w:val="00113259"/>
    <w:rsid w:val="00113E2A"/>
    <w:rsid w:val="00114A10"/>
    <w:rsid w:val="00115144"/>
    <w:rsid w:val="00117A30"/>
    <w:rsid w:val="0012166B"/>
    <w:rsid w:val="00121F6E"/>
    <w:rsid w:val="0012228F"/>
    <w:rsid w:val="001226FB"/>
    <w:rsid w:val="00124864"/>
    <w:rsid w:val="0012536E"/>
    <w:rsid w:val="001254D7"/>
    <w:rsid w:val="00125755"/>
    <w:rsid w:val="00127F6D"/>
    <w:rsid w:val="0013106B"/>
    <w:rsid w:val="0013300A"/>
    <w:rsid w:val="00133721"/>
    <w:rsid w:val="001346C7"/>
    <w:rsid w:val="00135605"/>
    <w:rsid w:val="001370A2"/>
    <w:rsid w:val="00137647"/>
    <w:rsid w:val="001400D8"/>
    <w:rsid w:val="00140D13"/>
    <w:rsid w:val="00141A5B"/>
    <w:rsid w:val="00141A98"/>
    <w:rsid w:val="001433E2"/>
    <w:rsid w:val="001435AB"/>
    <w:rsid w:val="0014430A"/>
    <w:rsid w:val="00146FF6"/>
    <w:rsid w:val="00147352"/>
    <w:rsid w:val="001514ED"/>
    <w:rsid w:val="00151567"/>
    <w:rsid w:val="001519D2"/>
    <w:rsid w:val="00151D44"/>
    <w:rsid w:val="00152F7F"/>
    <w:rsid w:val="0015456F"/>
    <w:rsid w:val="001547EA"/>
    <w:rsid w:val="0015538D"/>
    <w:rsid w:val="001553AC"/>
    <w:rsid w:val="00155751"/>
    <w:rsid w:val="00155B94"/>
    <w:rsid w:val="00155FAB"/>
    <w:rsid w:val="001570A7"/>
    <w:rsid w:val="00160BC6"/>
    <w:rsid w:val="00161495"/>
    <w:rsid w:val="0016154D"/>
    <w:rsid w:val="0016183E"/>
    <w:rsid w:val="0016190C"/>
    <w:rsid w:val="00162A9D"/>
    <w:rsid w:val="00162B22"/>
    <w:rsid w:val="0016708D"/>
    <w:rsid w:val="001701B0"/>
    <w:rsid w:val="001703AB"/>
    <w:rsid w:val="0017100D"/>
    <w:rsid w:val="00171068"/>
    <w:rsid w:val="0017206D"/>
    <w:rsid w:val="00175709"/>
    <w:rsid w:val="00175811"/>
    <w:rsid w:val="001759F3"/>
    <w:rsid w:val="00177A09"/>
    <w:rsid w:val="0018098C"/>
    <w:rsid w:val="00183B33"/>
    <w:rsid w:val="00185642"/>
    <w:rsid w:val="0018652A"/>
    <w:rsid w:val="00186718"/>
    <w:rsid w:val="00190249"/>
    <w:rsid w:val="00191E88"/>
    <w:rsid w:val="00192ACA"/>
    <w:rsid w:val="0019478C"/>
    <w:rsid w:val="0019497C"/>
    <w:rsid w:val="0019633F"/>
    <w:rsid w:val="0019677D"/>
    <w:rsid w:val="0019678C"/>
    <w:rsid w:val="00197F84"/>
    <w:rsid w:val="001A121A"/>
    <w:rsid w:val="001A1802"/>
    <w:rsid w:val="001A18FD"/>
    <w:rsid w:val="001A287A"/>
    <w:rsid w:val="001A43A6"/>
    <w:rsid w:val="001A55D1"/>
    <w:rsid w:val="001B10E3"/>
    <w:rsid w:val="001B16F5"/>
    <w:rsid w:val="001B2168"/>
    <w:rsid w:val="001B4057"/>
    <w:rsid w:val="001B4CE6"/>
    <w:rsid w:val="001B7B99"/>
    <w:rsid w:val="001B7E2D"/>
    <w:rsid w:val="001C16CA"/>
    <w:rsid w:val="001C1954"/>
    <w:rsid w:val="001C242A"/>
    <w:rsid w:val="001C253F"/>
    <w:rsid w:val="001C383B"/>
    <w:rsid w:val="001C5F6D"/>
    <w:rsid w:val="001C6B59"/>
    <w:rsid w:val="001C7DA3"/>
    <w:rsid w:val="001D0137"/>
    <w:rsid w:val="001D1E3C"/>
    <w:rsid w:val="001D3BBE"/>
    <w:rsid w:val="001D695F"/>
    <w:rsid w:val="001E0005"/>
    <w:rsid w:val="001E08CA"/>
    <w:rsid w:val="001E08F5"/>
    <w:rsid w:val="001E0A62"/>
    <w:rsid w:val="001E1A8F"/>
    <w:rsid w:val="001E2293"/>
    <w:rsid w:val="001E496F"/>
    <w:rsid w:val="001E50E1"/>
    <w:rsid w:val="001E6D84"/>
    <w:rsid w:val="001E7395"/>
    <w:rsid w:val="001E7BAC"/>
    <w:rsid w:val="001F0037"/>
    <w:rsid w:val="001F0247"/>
    <w:rsid w:val="001F02BB"/>
    <w:rsid w:val="001F0624"/>
    <w:rsid w:val="001F14C5"/>
    <w:rsid w:val="001F2B46"/>
    <w:rsid w:val="001F30D7"/>
    <w:rsid w:val="001F3E69"/>
    <w:rsid w:val="001F4B9E"/>
    <w:rsid w:val="001F4BD6"/>
    <w:rsid w:val="001F5753"/>
    <w:rsid w:val="001F5823"/>
    <w:rsid w:val="001F59E1"/>
    <w:rsid w:val="001F7575"/>
    <w:rsid w:val="00201184"/>
    <w:rsid w:val="002018E1"/>
    <w:rsid w:val="00204E0E"/>
    <w:rsid w:val="00205B43"/>
    <w:rsid w:val="0020682B"/>
    <w:rsid w:val="00206984"/>
    <w:rsid w:val="00207D86"/>
    <w:rsid w:val="00207DEF"/>
    <w:rsid w:val="00210EC4"/>
    <w:rsid w:val="002114D2"/>
    <w:rsid w:val="002120EF"/>
    <w:rsid w:val="0021389D"/>
    <w:rsid w:val="00213CA5"/>
    <w:rsid w:val="00214521"/>
    <w:rsid w:val="002166D9"/>
    <w:rsid w:val="00216D2E"/>
    <w:rsid w:val="00217780"/>
    <w:rsid w:val="00217E15"/>
    <w:rsid w:val="00217E36"/>
    <w:rsid w:val="00220D69"/>
    <w:rsid w:val="002215C6"/>
    <w:rsid w:val="00221B30"/>
    <w:rsid w:val="002220B7"/>
    <w:rsid w:val="00223C0E"/>
    <w:rsid w:val="00223E29"/>
    <w:rsid w:val="00230ED0"/>
    <w:rsid w:val="0023132A"/>
    <w:rsid w:val="002316B5"/>
    <w:rsid w:val="00231EE9"/>
    <w:rsid w:val="00232FA4"/>
    <w:rsid w:val="00233836"/>
    <w:rsid w:val="00233CC3"/>
    <w:rsid w:val="002353FE"/>
    <w:rsid w:val="00235E0F"/>
    <w:rsid w:val="00237154"/>
    <w:rsid w:val="00237178"/>
    <w:rsid w:val="00240A5B"/>
    <w:rsid w:val="00240D46"/>
    <w:rsid w:val="002414C5"/>
    <w:rsid w:val="00241F07"/>
    <w:rsid w:val="002428B8"/>
    <w:rsid w:val="00242946"/>
    <w:rsid w:val="00245DC9"/>
    <w:rsid w:val="0024674F"/>
    <w:rsid w:val="00247497"/>
    <w:rsid w:val="002477CB"/>
    <w:rsid w:val="00250A76"/>
    <w:rsid w:val="00250D0A"/>
    <w:rsid w:val="00250F82"/>
    <w:rsid w:val="00253752"/>
    <w:rsid w:val="00254D15"/>
    <w:rsid w:val="0025515D"/>
    <w:rsid w:val="00257EFF"/>
    <w:rsid w:val="0026298D"/>
    <w:rsid w:val="00263516"/>
    <w:rsid w:val="002649B4"/>
    <w:rsid w:val="00270790"/>
    <w:rsid w:val="00270A29"/>
    <w:rsid w:val="00270FEC"/>
    <w:rsid w:val="00271604"/>
    <w:rsid w:val="00273147"/>
    <w:rsid w:val="00273559"/>
    <w:rsid w:val="00275161"/>
    <w:rsid w:val="00275424"/>
    <w:rsid w:val="00275F83"/>
    <w:rsid w:val="002768D0"/>
    <w:rsid w:val="00276E23"/>
    <w:rsid w:val="00277841"/>
    <w:rsid w:val="0028127C"/>
    <w:rsid w:val="00282873"/>
    <w:rsid w:val="0028291A"/>
    <w:rsid w:val="002837F4"/>
    <w:rsid w:val="00284079"/>
    <w:rsid w:val="002850D4"/>
    <w:rsid w:val="00285B4E"/>
    <w:rsid w:val="00287314"/>
    <w:rsid w:val="002911D9"/>
    <w:rsid w:val="00291247"/>
    <w:rsid w:val="00291814"/>
    <w:rsid w:val="00292D32"/>
    <w:rsid w:val="002930E7"/>
    <w:rsid w:val="00293E9B"/>
    <w:rsid w:val="00294440"/>
    <w:rsid w:val="00294AB8"/>
    <w:rsid w:val="00294EAA"/>
    <w:rsid w:val="00295F2B"/>
    <w:rsid w:val="00296367"/>
    <w:rsid w:val="0029637E"/>
    <w:rsid w:val="0029707D"/>
    <w:rsid w:val="0029731B"/>
    <w:rsid w:val="00297B10"/>
    <w:rsid w:val="00297B68"/>
    <w:rsid w:val="002A2EE5"/>
    <w:rsid w:val="002A362E"/>
    <w:rsid w:val="002A4B1B"/>
    <w:rsid w:val="002A4B20"/>
    <w:rsid w:val="002A5A3B"/>
    <w:rsid w:val="002A6236"/>
    <w:rsid w:val="002A637B"/>
    <w:rsid w:val="002A691C"/>
    <w:rsid w:val="002A7855"/>
    <w:rsid w:val="002B0022"/>
    <w:rsid w:val="002B018A"/>
    <w:rsid w:val="002B031E"/>
    <w:rsid w:val="002B060E"/>
    <w:rsid w:val="002B0B76"/>
    <w:rsid w:val="002B193E"/>
    <w:rsid w:val="002B311B"/>
    <w:rsid w:val="002B5849"/>
    <w:rsid w:val="002B5E8E"/>
    <w:rsid w:val="002B6713"/>
    <w:rsid w:val="002B7513"/>
    <w:rsid w:val="002B79FF"/>
    <w:rsid w:val="002B7A76"/>
    <w:rsid w:val="002B7CD0"/>
    <w:rsid w:val="002C1D92"/>
    <w:rsid w:val="002C29A0"/>
    <w:rsid w:val="002C323A"/>
    <w:rsid w:val="002C32F3"/>
    <w:rsid w:val="002C34D5"/>
    <w:rsid w:val="002C67CE"/>
    <w:rsid w:val="002C715A"/>
    <w:rsid w:val="002D08D0"/>
    <w:rsid w:val="002D1093"/>
    <w:rsid w:val="002D1167"/>
    <w:rsid w:val="002D1A44"/>
    <w:rsid w:val="002D1F40"/>
    <w:rsid w:val="002D31EF"/>
    <w:rsid w:val="002D54A8"/>
    <w:rsid w:val="002D59FA"/>
    <w:rsid w:val="002D72DF"/>
    <w:rsid w:val="002D7847"/>
    <w:rsid w:val="002D7C2D"/>
    <w:rsid w:val="002E0818"/>
    <w:rsid w:val="002E128C"/>
    <w:rsid w:val="002E3C5B"/>
    <w:rsid w:val="002E454E"/>
    <w:rsid w:val="002E6234"/>
    <w:rsid w:val="002E6A1D"/>
    <w:rsid w:val="002E6D0B"/>
    <w:rsid w:val="002E7532"/>
    <w:rsid w:val="002E75E0"/>
    <w:rsid w:val="002F0704"/>
    <w:rsid w:val="002F1AF7"/>
    <w:rsid w:val="002F33AA"/>
    <w:rsid w:val="002F358D"/>
    <w:rsid w:val="002F3C27"/>
    <w:rsid w:val="002F6180"/>
    <w:rsid w:val="002F61C6"/>
    <w:rsid w:val="002F69D5"/>
    <w:rsid w:val="00301E99"/>
    <w:rsid w:val="00304AE7"/>
    <w:rsid w:val="00304D1F"/>
    <w:rsid w:val="003052E6"/>
    <w:rsid w:val="003067D3"/>
    <w:rsid w:val="0030796E"/>
    <w:rsid w:val="00310953"/>
    <w:rsid w:val="00310A18"/>
    <w:rsid w:val="00310E24"/>
    <w:rsid w:val="003119F0"/>
    <w:rsid w:val="003122F1"/>
    <w:rsid w:val="0031245C"/>
    <w:rsid w:val="00312D3E"/>
    <w:rsid w:val="003148C6"/>
    <w:rsid w:val="00314958"/>
    <w:rsid w:val="0031534F"/>
    <w:rsid w:val="00315C82"/>
    <w:rsid w:val="0031695B"/>
    <w:rsid w:val="00316BAC"/>
    <w:rsid w:val="003170BA"/>
    <w:rsid w:val="00317853"/>
    <w:rsid w:val="0031797E"/>
    <w:rsid w:val="00317DDA"/>
    <w:rsid w:val="003214DF"/>
    <w:rsid w:val="00321FF3"/>
    <w:rsid w:val="00323D53"/>
    <w:rsid w:val="00323D6E"/>
    <w:rsid w:val="00324E39"/>
    <w:rsid w:val="00325963"/>
    <w:rsid w:val="00330497"/>
    <w:rsid w:val="0033077A"/>
    <w:rsid w:val="00330E69"/>
    <w:rsid w:val="00332D96"/>
    <w:rsid w:val="00333AB1"/>
    <w:rsid w:val="0033405D"/>
    <w:rsid w:val="00335899"/>
    <w:rsid w:val="003362AE"/>
    <w:rsid w:val="00336527"/>
    <w:rsid w:val="00337660"/>
    <w:rsid w:val="00337805"/>
    <w:rsid w:val="00337F68"/>
    <w:rsid w:val="00340B20"/>
    <w:rsid w:val="00340CC8"/>
    <w:rsid w:val="00341A79"/>
    <w:rsid w:val="00342DA2"/>
    <w:rsid w:val="00343525"/>
    <w:rsid w:val="003435B3"/>
    <w:rsid w:val="0034426E"/>
    <w:rsid w:val="0034443D"/>
    <w:rsid w:val="00345D02"/>
    <w:rsid w:val="00345F4E"/>
    <w:rsid w:val="00347D7D"/>
    <w:rsid w:val="003503B5"/>
    <w:rsid w:val="003517BF"/>
    <w:rsid w:val="00351CAB"/>
    <w:rsid w:val="00351FFC"/>
    <w:rsid w:val="003524D9"/>
    <w:rsid w:val="0035332E"/>
    <w:rsid w:val="003539AC"/>
    <w:rsid w:val="00355025"/>
    <w:rsid w:val="003556FA"/>
    <w:rsid w:val="00355ECF"/>
    <w:rsid w:val="0035670D"/>
    <w:rsid w:val="00356DA1"/>
    <w:rsid w:val="00356F4F"/>
    <w:rsid w:val="00357688"/>
    <w:rsid w:val="00361915"/>
    <w:rsid w:val="00361E63"/>
    <w:rsid w:val="003622D9"/>
    <w:rsid w:val="00364A26"/>
    <w:rsid w:val="00364E58"/>
    <w:rsid w:val="00367E30"/>
    <w:rsid w:val="00370A8C"/>
    <w:rsid w:val="00372D1C"/>
    <w:rsid w:val="00373037"/>
    <w:rsid w:val="00373A0A"/>
    <w:rsid w:val="00373A7A"/>
    <w:rsid w:val="003764EE"/>
    <w:rsid w:val="003826EB"/>
    <w:rsid w:val="0038398E"/>
    <w:rsid w:val="00384DDA"/>
    <w:rsid w:val="00385B2A"/>
    <w:rsid w:val="00386B8E"/>
    <w:rsid w:val="00386CF2"/>
    <w:rsid w:val="00386DCC"/>
    <w:rsid w:val="00386F3F"/>
    <w:rsid w:val="00387FCB"/>
    <w:rsid w:val="0039098C"/>
    <w:rsid w:val="003920CA"/>
    <w:rsid w:val="003936A1"/>
    <w:rsid w:val="00393DFD"/>
    <w:rsid w:val="00394181"/>
    <w:rsid w:val="0039599A"/>
    <w:rsid w:val="00396242"/>
    <w:rsid w:val="003979A4"/>
    <w:rsid w:val="003A0B91"/>
    <w:rsid w:val="003A0D45"/>
    <w:rsid w:val="003A2089"/>
    <w:rsid w:val="003A3952"/>
    <w:rsid w:val="003A3C0D"/>
    <w:rsid w:val="003A47A6"/>
    <w:rsid w:val="003A53C2"/>
    <w:rsid w:val="003A6582"/>
    <w:rsid w:val="003B066E"/>
    <w:rsid w:val="003B2721"/>
    <w:rsid w:val="003B4B7D"/>
    <w:rsid w:val="003B558B"/>
    <w:rsid w:val="003B7024"/>
    <w:rsid w:val="003C0AFC"/>
    <w:rsid w:val="003C1CCE"/>
    <w:rsid w:val="003C2BA5"/>
    <w:rsid w:val="003C59E9"/>
    <w:rsid w:val="003C5CAD"/>
    <w:rsid w:val="003C6589"/>
    <w:rsid w:val="003C6995"/>
    <w:rsid w:val="003D0113"/>
    <w:rsid w:val="003D0218"/>
    <w:rsid w:val="003D036C"/>
    <w:rsid w:val="003D1278"/>
    <w:rsid w:val="003D130C"/>
    <w:rsid w:val="003D1751"/>
    <w:rsid w:val="003D187F"/>
    <w:rsid w:val="003D2276"/>
    <w:rsid w:val="003D2684"/>
    <w:rsid w:val="003D277A"/>
    <w:rsid w:val="003D2B9C"/>
    <w:rsid w:val="003D341C"/>
    <w:rsid w:val="003D3728"/>
    <w:rsid w:val="003D4A4B"/>
    <w:rsid w:val="003D5028"/>
    <w:rsid w:val="003D5647"/>
    <w:rsid w:val="003D5C99"/>
    <w:rsid w:val="003D603A"/>
    <w:rsid w:val="003D66A7"/>
    <w:rsid w:val="003D6972"/>
    <w:rsid w:val="003D6BFA"/>
    <w:rsid w:val="003D6D1E"/>
    <w:rsid w:val="003E073A"/>
    <w:rsid w:val="003E1BD4"/>
    <w:rsid w:val="003E1E00"/>
    <w:rsid w:val="003E4EEE"/>
    <w:rsid w:val="003E4EF3"/>
    <w:rsid w:val="003E7052"/>
    <w:rsid w:val="003E745D"/>
    <w:rsid w:val="003F180B"/>
    <w:rsid w:val="003F37C7"/>
    <w:rsid w:val="003F3E9E"/>
    <w:rsid w:val="003F5A72"/>
    <w:rsid w:val="003F67C9"/>
    <w:rsid w:val="003F6AE0"/>
    <w:rsid w:val="003F6F89"/>
    <w:rsid w:val="00400A53"/>
    <w:rsid w:val="004013D6"/>
    <w:rsid w:val="00402F00"/>
    <w:rsid w:val="004040BE"/>
    <w:rsid w:val="004041EC"/>
    <w:rsid w:val="00405109"/>
    <w:rsid w:val="0040514D"/>
    <w:rsid w:val="00406E02"/>
    <w:rsid w:val="00406EE1"/>
    <w:rsid w:val="00407764"/>
    <w:rsid w:val="00410452"/>
    <w:rsid w:val="00411724"/>
    <w:rsid w:val="00412067"/>
    <w:rsid w:val="0041239F"/>
    <w:rsid w:val="00412C32"/>
    <w:rsid w:val="004134C8"/>
    <w:rsid w:val="00415693"/>
    <w:rsid w:val="00415D71"/>
    <w:rsid w:val="00416B48"/>
    <w:rsid w:val="00417F95"/>
    <w:rsid w:val="00420760"/>
    <w:rsid w:val="004207DD"/>
    <w:rsid w:val="004208EB"/>
    <w:rsid w:val="00421384"/>
    <w:rsid w:val="00421C64"/>
    <w:rsid w:val="00422194"/>
    <w:rsid w:val="004237F8"/>
    <w:rsid w:val="004255E3"/>
    <w:rsid w:val="004258F0"/>
    <w:rsid w:val="00426A31"/>
    <w:rsid w:val="00427A30"/>
    <w:rsid w:val="00430ED7"/>
    <w:rsid w:val="00431D65"/>
    <w:rsid w:val="0043227E"/>
    <w:rsid w:val="00432626"/>
    <w:rsid w:val="00432BEE"/>
    <w:rsid w:val="00433449"/>
    <w:rsid w:val="0043472F"/>
    <w:rsid w:val="004360DB"/>
    <w:rsid w:val="00440180"/>
    <w:rsid w:val="004426D0"/>
    <w:rsid w:val="00442AB7"/>
    <w:rsid w:val="00443168"/>
    <w:rsid w:val="004452E7"/>
    <w:rsid w:val="0044537F"/>
    <w:rsid w:val="004461B3"/>
    <w:rsid w:val="004461C0"/>
    <w:rsid w:val="004469D7"/>
    <w:rsid w:val="00446A3D"/>
    <w:rsid w:val="00447808"/>
    <w:rsid w:val="00447C07"/>
    <w:rsid w:val="004505DD"/>
    <w:rsid w:val="0045118E"/>
    <w:rsid w:val="00452532"/>
    <w:rsid w:val="00452617"/>
    <w:rsid w:val="00453D37"/>
    <w:rsid w:val="00454DC9"/>
    <w:rsid w:val="004553C7"/>
    <w:rsid w:val="00455497"/>
    <w:rsid w:val="00455643"/>
    <w:rsid w:val="00456686"/>
    <w:rsid w:val="00456F16"/>
    <w:rsid w:val="00460BD4"/>
    <w:rsid w:val="00461DEB"/>
    <w:rsid w:val="00462315"/>
    <w:rsid w:val="00462BF2"/>
    <w:rsid w:val="00466028"/>
    <w:rsid w:val="004662B5"/>
    <w:rsid w:val="0046640B"/>
    <w:rsid w:val="004679F3"/>
    <w:rsid w:val="004715D9"/>
    <w:rsid w:val="004722BB"/>
    <w:rsid w:val="004737DD"/>
    <w:rsid w:val="00475C0F"/>
    <w:rsid w:val="00477252"/>
    <w:rsid w:val="00477424"/>
    <w:rsid w:val="0048069F"/>
    <w:rsid w:val="00481055"/>
    <w:rsid w:val="00482585"/>
    <w:rsid w:val="00484258"/>
    <w:rsid w:val="004848F8"/>
    <w:rsid w:val="004856BC"/>
    <w:rsid w:val="0049070D"/>
    <w:rsid w:val="00490A94"/>
    <w:rsid w:val="00490D55"/>
    <w:rsid w:val="0049109E"/>
    <w:rsid w:val="004916A3"/>
    <w:rsid w:val="004924FC"/>
    <w:rsid w:val="0049386A"/>
    <w:rsid w:val="00493A5D"/>
    <w:rsid w:val="004941D3"/>
    <w:rsid w:val="00494229"/>
    <w:rsid w:val="0049510D"/>
    <w:rsid w:val="0049545C"/>
    <w:rsid w:val="004A06E5"/>
    <w:rsid w:val="004A1AAC"/>
    <w:rsid w:val="004A26E8"/>
    <w:rsid w:val="004A3637"/>
    <w:rsid w:val="004A3738"/>
    <w:rsid w:val="004A4774"/>
    <w:rsid w:val="004A5642"/>
    <w:rsid w:val="004B0901"/>
    <w:rsid w:val="004B197C"/>
    <w:rsid w:val="004B1AC6"/>
    <w:rsid w:val="004B227E"/>
    <w:rsid w:val="004B24D8"/>
    <w:rsid w:val="004B49A9"/>
    <w:rsid w:val="004B4A1C"/>
    <w:rsid w:val="004B4CA8"/>
    <w:rsid w:val="004B66C0"/>
    <w:rsid w:val="004B67CD"/>
    <w:rsid w:val="004B6F0C"/>
    <w:rsid w:val="004B70D3"/>
    <w:rsid w:val="004C037A"/>
    <w:rsid w:val="004C1360"/>
    <w:rsid w:val="004C22AF"/>
    <w:rsid w:val="004C2B64"/>
    <w:rsid w:val="004C2BC6"/>
    <w:rsid w:val="004C3B49"/>
    <w:rsid w:val="004C3B7A"/>
    <w:rsid w:val="004C3EB9"/>
    <w:rsid w:val="004C4537"/>
    <w:rsid w:val="004C4E2D"/>
    <w:rsid w:val="004C57FB"/>
    <w:rsid w:val="004C58FF"/>
    <w:rsid w:val="004C5A60"/>
    <w:rsid w:val="004C630B"/>
    <w:rsid w:val="004D0118"/>
    <w:rsid w:val="004D1438"/>
    <w:rsid w:val="004D495F"/>
    <w:rsid w:val="004D5E92"/>
    <w:rsid w:val="004D5EC8"/>
    <w:rsid w:val="004D6BB2"/>
    <w:rsid w:val="004D73A6"/>
    <w:rsid w:val="004E06F8"/>
    <w:rsid w:val="004E0991"/>
    <w:rsid w:val="004E1C0D"/>
    <w:rsid w:val="004E1E2E"/>
    <w:rsid w:val="004E20A7"/>
    <w:rsid w:val="004E3E4C"/>
    <w:rsid w:val="004E3F99"/>
    <w:rsid w:val="004E55B9"/>
    <w:rsid w:val="004E5966"/>
    <w:rsid w:val="004E6E5E"/>
    <w:rsid w:val="004F0743"/>
    <w:rsid w:val="004F11A5"/>
    <w:rsid w:val="004F309D"/>
    <w:rsid w:val="004F38D7"/>
    <w:rsid w:val="004F4498"/>
    <w:rsid w:val="004F482A"/>
    <w:rsid w:val="004F54EF"/>
    <w:rsid w:val="004F5B0B"/>
    <w:rsid w:val="004F6893"/>
    <w:rsid w:val="004F7BE3"/>
    <w:rsid w:val="005000D8"/>
    <w:rsid w:val="005003F9"/>
    <w:rsid w:val="00500508"/>
    <w:rsid w:val="00500A25"/>
    <w:rsid w:val="00501267"/>
    <w:rsid w:val="0050134F"/>
    <w:rsid w:val="005020B1"/>
    <w:rsid w:val="00502394"/>
    <w:rsid w:val="00502E31"/>
    <w:rsid w:val="00503056"/>
    <w:rsid w:val="00503C5A"/>
    <w:rsid w:val="00504AEF"/>
    <w:rsid w:val="00504D38"/>
    <w:rsid w:val="00504DD2"/>
    <w:rsid w:val="0050569D"/>
    <w:rsid w:val="00507469"/>
    <w:rsid w:val="0051006B"/>
    <w:rsid w:val="00511AF1"/>
    <w:rsid w:val="00511E59"/>
    <w:rsid w:val="0051227D"/>
    <w:rsid w:val="00512878"/>
    <w:rsid w:val="0051358A"/>
    <w:rsid w:val="005138EF"/>
    <w:rsid w:val="005149EF"/>
    <w:rsid w:val="00514EE1"/>
    <w:rsid w:val="005150E1"/>
    <w:rsid w:val="005159BA"/>
    <w:rsid w:val="00515A2E"/>
    <w:rsid w:val="005164C0"/>
    <w:rsid w:val="005176A5"/>
    <w:rsid w:val="00520D3A"/>
    <w:rsid w:val="0052176E"/>
    <w:rsid w:val="0052297C"/>
    <w:rsid w:val="00522DA7"/>
    <w:rsid w:val="00523B38"/>
    <w:rsid w:val="005248AA"/>
    <w:rsid w:val="00524C7C"/>
    <w:rsid w:val="005261E4"/>
    <w:rsid w:val="00527B22"/>
    <w:rsid w:val="00527E65"/>
    <w:rsid w:val="00530332"/>
    <w:rsid w:val="00532C5D"/>
    <w:rsid w:val="00533176"/>
    <w:rsid w:val="00534DB3"/>
    <w:rsid w:val="00534DED"/>
    <w:rsid w:val="0053717B"/>
    <w:rsid w:val="00537AA2"/>
    <w:rsid w:val="0054259A"/>
    <w:rsid w:val="00542FEE"/>
    <w:rsid w:val="00543287"/>
    <w:rsid w:val="00543848"/>
    <w:rsid w:val="0054401A"/>
    <w:rsid w:val="005448C8"/>
    <w:rsid w:val="00544C4D"/>
    <w:rsid w:val="005457F9"/>
    <w:rsid w:val="005461E7"/>
    <w:rsid w:val="00546235"/>
    <w:rsid w:val="0054650A"/>
    <w:rsid w:val="0054694D"/>
    <w:rsid w:val="00546D19"/>
    <w:rsid w:val="0054725D"/>
    <w:rsid w:val="005475C6"/>
    <w:rsid w:val="005477A1"/>
    <w:rsid w:val="00547A98"/>
    <w:rsid w:val="005517F2"/>
    <w:rsid w:val="0055266A"/>
    <w:rsid w:val="0055406E"/>
    <w:rsid w:val="0055428A"/>
    <w:rsid w:val="00556E92"/>
    <w:rsid w:val="00562EFB"/>
    <w:rsid w:val="0056312B"/>
    <w:rsid w:val="005632AE"/>
    <w:rsid w:val="00563667"/>
    <w:rsid w:val="00563ABF"/>
    <w:rsid w:val="00563F09"/>
    <w:rsid w:val="00564EF1"/>
    <w:rsid w:val="00565F49"/>
    <w:rsid w:val="00567482"/>
    <w:rsid w:val="005677E7"/>
    <w:rsid w:val="00567F8C"/>
    <w:rsid w:val="00570240"/>
    <w:rsid w:val="00571FF1"/>
    <w:rsid w:val="00572108"/>
    <w:rsid w:val="00572B98"/>
    <w:rsid w:val="0057333A"/>
    <w:rsid w:val="0058026B"/>
    <w:rsid w:val="00580A4C"/>
    <w:rsid w:val="00582162"/>
    <w:rsid w:val="005839AC"/>
    <w:rsid w:val="00583AB2"/>
    <w:rsid w:val="00585318"/>
    <w:rsid w:val="00590D1D"/>
    <w:rsid w:val="005919A4"/>
    <w:rsid w:val="00592938"/>
    <w:rsid w:val="005953B8"/>
    <w:rsid w:val="00596228"/>
    <w:rsid w:val="005A055F"/>
    <w:rsid w:val="005A0B90"/>
    <w:rsid w:val="005A15EE"/>
    <w:rsid w:val="005A18E6"/>
    <w:rsid w:val="005A21C6"/>
    <w:rsid w:val="005A24F1"/>
    <w:rsid w:val="005A29CE"/>
    <w:rsid w:val="005A3AE4"/>
    <w:rsid w:val="005A44BE"/>
    <w:rsid w:val="005A4E1C"/>
    <w:rsid w:val="005A4EC3"/>
    <w:rsid w:val="005A5E72"/>
    <w:rsid w:val="005A5EB9"/>
    <w:rsid w:val="005A650F"/>
    <w:rsid w:val="005A663D"/>
    <w:rsid w:val="005B054F"/>
    <w:rsid w:val="005B1917"/>
    <w:rsid w:val="005B2C82"/>
    <w:rsid w:val="005B474D"/>
    <w:rsid w:val="005B5735"/>
    <w:rsid w:val="005B647B"/>
    <w:rsid w:val="005B78FE"/>
    <w:rsid w:val="005C06AF"/>
    <w:rsid w:val="005C1742"/>
    <w:rsid w:val="005C35E2"/>
    <w:rsid w:val="005C46F6"/>
    <w:rsid w:val="005C5169"/>
    <w:rsid w:val="005C5677"/>
    <w:rsid w:val="005C5E3B"/>
    <w:rsid w:val="005C64F8"/>
    <w:rsid w:val="005D03A4"/>
    <w:rsid w:val="005D0C7D"/>
    <w:rsid w:val="005D3945"/>
    <w:rsid w:val="005E0204"/>
    <w:rsid w:val="005E1164"/>
    <w:rsid w:val="005E1B82"/>
    <w:rsid w:val="005E2315"/>
    <w:rsid w:val="005E2BD0"/>
    <w:rsid w:val="005E345D"/>
    <w:rsid w:val="005E441C"/>
    <w:rsid w:val="005E4753"/>
    <w:rsid w:val="005E63D4"/>
    <w:rsid w:val="005E68A5"/>
    <w:rsid w:val="005E68FC"/>
    <w:rsid w:val="005F1A92"/>
    <w:rsid w:val="005F1C7B"/>
    <w:rsid w:val="005F1E59"/>
    <w:rsid w:val="005F1E7A"/>
    <w:rsid w:val="005F22BC"/>
    <w:rsid w:val="005F27D6"/>
    <w:rsid w:val="005F3EAE"/>
    <w:rsid w:val="005F4343"/>
    <w:rsid w:val="005F5DB2"/>
    <w:rsid w:val="005F7144"/>
    <w:rsid w:val="005F7250"/>
    <w:rsid w:val="005F7275"/>
    <w:rsid w:val="00600B6D"/>
    <w:rsid w:val="00601B56"/>
    <w:rsid w:val="00602B62"/>
    <w:rsid w:val="0060329F"/>
    <w:rsid w:val="00603330"/>
    <w:rsid w:val="006038A8"/>
    <w:rsid w:val="006051ED"/>
    <w:rsid w:val="00605DCB"/>
    <w:rsid w:val="00610FB6"/>
    <w:rsid w:val="00613903"/>
    <w:rsid w:val="0061439A"/>
    <w:rsid w:val="00614DA9"/>
    <w:rsid w:val="006152AF"/>
    <w:rsid w:val="00615F06"/>
    <w:rsid w:val="00620494"/>
    <w:rsid w:val="00620E6E"/>
    <w:rsid w:val="006211E3"/>
    <w:rsid w:val="00622465"/>
    <w:rsid w:val="00624047"/>
    <w:rsid w:val="0062414E"/>
    <w:rsid w:val="00624193"/>
    <w:rsid w:val="00624FB5"/>
    <w:rsid w:val="00625CBB"/>
    <w:rsid w:val="00626DFB"/>
    <w:rsid w:val="006274C1"/>
    <w:rsid w:val="00631C72"/>
    <w:rsid w:val="00633CA7"/>
    <w:rsid w:val="00634A5E"/>
    <w:rsid w:val="00634E4A"/>
    <w:rsid w:val="006405E7"/>
    <w:rsid w:val="0064103A"/>
    <w:rsid w:val="0064192A"/>
    <w:rsid w:val="006420CD"/>
    <w:rsid w:val="00642F01"/>
    <w:rsid w:val="006437BB"/>
    <w:rsid w:val="00643D03"/>
    <w:rsid w:val="00644941"/>
    <w:rsid w:val="00645CED"/>
    <w:rsid w:val="00645E70"/>
    <w:rsid w:val="006462DB"/>
    <w:rsid w:val="00650260"/>
    <w:rsid w:val="00651676"/>
    <w:rsid w:val="00651DF0"/>
    <w:rsid w:val="00651E0C"/>
    <w:rsid w:val="006526BD"/>
    <w:rsid w:val="00653393"/>
    <w:rsid w:val="00654766"/>
    <w:rsid w:val="0065677C"/>
    <w:rsid w:val="006607DF"/>
    <w:rsid w:val="00660AF5"/>
    <w:rsid w:val="0066192C"/>
    <w:rsid w:val="006646F1"/>
    <w:rsid w:val="006675CB"/>
    <w:rsid w:val="0067060F"/>
    <w:rsid w:val="0067071E"/>
    <w:rsid w:val="00670EC9"/>
    <w:rsid w:val="00670F91"/>
    <w:rsid w:val="006711B9"/>
    <w:rsid w:val="00674692"/>
    <w:rsid w:val="00674889"/>
    <w:rsid w:val="00675724"/>
    <w:rsid w:val="006757BC"/>
    <w:rsid w:val="006771CC"/>
    <w:rsid w:val="0067751D"/>
    <w:rsid w:val="006807C2"/>
    <w:rsid w:val="00681CF0"/>
    <w:rsid w:val="0068307C"/>
    <w:rsid w:val="006838E1"/>
    <w:rsid w:val="00683EC4"/>
    <w:rsid w:val="0068439C"/>
    <w:rsid w:val="0068517D"/>
    <w:rsid w:val="00686CB6"/>
    <w:rsid w:val="00690380"/>
    <w:rsid w:val="00691E91"/>
    <w:rsid w:val="006925AE"/>
    <w:rsid w:val="006929DA"/>
    <w:rsid w:val="00693548"/>
    <w:rsid w:val="00693A59"/>
    <w:rsid w:val="00693BB0"/>
    <w:rsid w:val="00696344"/>
    <w:rsid w:val="006979EB"/>
    <w:rsid w:val="00697E63"/>
    <w:rsid w:val="00697E65"/>
    <w:rsid w:val="006A0569"/>
    <w:rsid w:val="006A117C"/>
    <w:rsid w:val="006A1DC2"/>
    <w:rsid w:val="006A237B"/>
    <w:rsid w:val="006A4275"/>
    <w:rsid w:val="006A4DEC"/>
    <w:rsid w:val="006A6F15"/>
    <w:rsid w:val="006B0C03"/>
    <w:rsid w:val="006B0E27"/>
    <w:rsid w:val="006B2659"/>
    <w:rsid w:val="006B2973"/>
    <w:rsid w:val="006B300B"/>
    <w:rsid w:val="006B3560"/>
    <w:rsid w:val="006B53F9"/>
    <w:rsid w:val="006B7A78"/>
    <w:rsid w:val="006C225B"/>
    <w:rsid w:val="006C25EB"/>
    <w:rsid w:val="006C307B"/>
    <w:rsid w:val="006C41B2"/>
    <w:rsid w:val="006C5640"/>
    <w:rsid w:val="006C7558"/>
    <w:rsid w:val="006C75A7"/>
    <w:rsid w:val="006D12EE"/>
    <w:rsid w:val="006D1C78"/>
    <w:rsid w:val="006D320B"/>
    <w:rsid w:val="006D35B7"/>
    <w:rsid w:val="006D4863"/>
    <w:rsid w:val="006D4ADA"/>
    <w:rsid w:val="006D6C8D"/>
    <w:rsid w:val="006E0755"/>
    <w:rsid w:val="006E13BA"/>
    <w:rsid w:val="006E2EE2"/>
    <w:rsid w:val="006E53C4"/>
    <w:rsid w:val="006E5E1B"/>
    <w:rsid w:val="006E5FCF"/>
    <w:rsid w:val="006E7780"/>
    <w:rsid w:val="006E7F0F"/>
    <w:rsid w:val="006F0B8E"/>
    <w:rsid w:val="006F145B"/>
    <w:rsid w:val="006F278B"/>
    <w:rsid w:val="006F4F24"/>
    <w:rsid w:val="006F5129"/>
    <w:rsid w:val="006F60E7"/>
    <w:rsid w:val="006F6170"/>
    <w:rsid w:val="006F6C15"/>
    <w:rsid w:val="007002AC"/>
    <w:rsid w:val="00700AF7"/>
    <w:rsid w:val="007022EB"/>
    <w:rsid w:val="00702425"/>
    <w:rsid w:val="0070286E"/>
    <w:rsid w:val="007037D3"/>
    <w:rsid w:val="007059CA"/>
    <w:rsid w:val="00707000"/>
    <w:rsid w:val="0070765E"/>
    <w:rsid w:val="00707B58"/>
    <w:rsid w:val="00707D90"/>
    <w:rsid w:val="00710272"/>
    <w:rsid w:val="00710FC1"/>
    <w:rsid w:val="007110EE"/>
    <w:rsid w:val="00712C1D"/>
    <w:rsid w:val="007130B5"/>
    <w:rsid w:val="0071425F"/>
    <w:rsid w:val="007159E6"/>
    <w:rsid w:val="007161EE"/>
    <w:rsid w:val="0071623F"/>
    <w:rsid w:val="0071682E"/>
    <w:rsid w:val="007169B1"/>
    <w:rsid w:val="00716AB2"/>
    <w:rsid w:val="007170AE"/>
    <w:rsid w:val="00717401"/>
    <w:rsid w:val="00717976"/>
    <w:rsid w:val="0072061C"/>
    <w:rsid w:val="007208E8"/>
    <w:rsid w:val="00720AB6"/>
    <w:rsid w:val="00721DAB"/>
    <w:rsid w:val="0072277F"/>
    <w:rsid w:val="00723000"/>
    <w:rsid w:val="007233E5"/>
    <w:rsid w:val="0072434C"/>
    <w:rsid w:val="00724EEC"/>
    <w:rsid w:val="00724F44"/>
    <w:rsid w:val="0072641D"/>
    <w:rsid w:val="00727F9B"/>
    <w:rsid w:val="0073132E"/>
    <w:rsid w:val="00733982"/>
    <w:rsid w:val="00734721"/>
    <w:rsid w:val="007349CF"/>
    <w:rsid w:val="00735649"/>
    <w:rsid w:val="007366E6"/>
    <w:rsid w:val="00736D37"/>
    <w:rsid w:val="007379B4"/>
    <w:rsid w:val="0074001D"/>
    <w:rsid w:val="00740AF8"/>
    <w:rsid w:val="007412B0"/>
    <w:rsid w:val="0074230A"/>
    <w:rsid w:val="007467E5"/>
    <w:rsid w:val="007468EB"/>
    <w:rsid w:val="00747442"/>
    <w:rsid w:val="007503A1"/>
    <w:rsid w:val="0075126B"/>
    <w:rsid w:val="00751887"/>
    <w:rsid w:val="00751BFD"/>
    <w:rsid w:val="00751D30"/>
    <w:rsid w:val="00752B69"/>
    <w:rsid w:val="00753E8B"/>
    <w:rsid w:val="0075440D"/>
    <w:rsid w:val="00754B68"/>
    <w:rsid w:val="007553DA"/>
    <w:rsid w:val="007553E4"/>
    <w:rsid w:val="00755A16"/>
    <w:rsid w:val="00755ECF"/>
    <w:rsid w:val="00757150"/>
    <w:rsid w:val="007579C3"/>
    <w:rsid w:val="00760D76"/>
    <w:rsid w:val="00760F48"/>
    <w:rsid w:val="00762B94"/>
    <w:rsid w:val="00763215"/>
    <w:rsid w:val="0076589D"/>
    <w:rsid w:val="00765F73"/>
    <w:rsid w:val="007660A0"/>
    <w:rsid w:val="00770101"/>
    <w:rsid w:val="0077024B"/>
    <w:rsid w:val="00773A34"/>
    <w:rsid w:val="00775C86"/>
    <w:rsid w:val="00776048"/>
    <w:rsid w:val="007764A6"/>
    <w:rsid w:val="00776B7F"/>
    <w:rsid w:val="0078034A"/>
    <w:rsid w:val="00780BEC"/>
    <w:rsid w:val="0078168B"/>
    <w:rsid w:val="00781743"/>
    <w:rsid w:val="0078204B"/>
    <w:rsid w:val="00782DA0"/>
    <w:rsid w:val="00782DDC"/>
    <w:rsid w:val="00782FC3"/>
    <w:rsid w:val="00783F57"/>
    <w:rsid w:val="00786948"/>
    <w:rsid w:val="00786F2B"/>
    <w:rsid w:val="00790FDF"/>
    <w:rsid w:val="00790FF7"/>
    <w:rsid w:val="007914F3"/>
    <w:rsid w:val="00791918"/>
    <w:rsid w:val="00792481"/>
    <w:rsid w:val="007931EB"/>
    <w:rsid w:val="00793DD4"/>
    <w:rsid w:val="00794986"/>
    <w:rsid w:val="00795B3D"/>
    <w:rsid w:val="007968B7"/>
    <w:rsid w:val="00797B00"/>
    <w:rsid w:val="007A0160"/>
    <w:rsid w:val="007A077D"/>
    <w:rsid w:val="007A16B4"/>
    <w:rsid w:val="007A1A6B"/>
    <w:rsid w:val="007A2688"/>
    <w:rsid w:val="007A31D4"/>
    <w:rsid w:val="007A5118"/>
    <w:rsid w:val="007A5971"/>
    <w:rsid w:val="007A605A"/>
    <w:rsid w:val="007A7700"/>
    <w:rsid w:val="007B056E"/>
    <w:rsid w:val="007B0EAE"/>
    <w:rsid w:val="007B1CA5"/>
    <w:rsid w:val="007B37BB"/>
    <w:rsid w:val="007B3BAD"/>
    <w:rsid w:val="007B43F8"/>
    <w:rsid w:val="007B573D"/>
    <w:rsid w:val="007B7138"/>
    <w:rsid w:val="007B7DD7"/>
    <w:rsid w:val="007C02CB"/>
    <w:rsid w:val="007C0DEC"/>
    <w:rsid w:val="007C283A"/>
    <w:rsid w:val="007C5ACC"/>
    <w:rsid w:val="007C6655"/>
    <w:rsid w:val="007D09C2"/>
    <w:rsid w:val="007D1E5A"/>
    <w:rsid w:val="007D39C1"/>
    <w:rsid w:val="007D4704"/>
    <w:rsid w:val="007E0E38"/>
    <w:rsid w:val="007E0F93"/>
    <w:rsid w:val="007E14BD"/>
    <w:rsid w:val="007E185F"/>
    <w:rsid w:val="007E205F"/>
    <w:rsid w:val="007E342D"/>
    <w:rsid w:val="007E3DBC"/>
    <w:rsid w:val="007E42C5"/>
    <w:rsid w:val="007E502F"/>
    <w:rsid w:val="007E54DD"/>
    <w:rsid w:val="007E5BF3"/>
    <w:rsid w:val="007E7079"/>
    <w:rsid w:val="007E7622"/>
    <w:rsid w:val="007F158B"/>
    <w:rsid w:val="007F158D"/>
    <w:rsid w:val="007F2340"/>
    <w:rsid w:val="007F2F01"/>
    <w:rsid w:val="007F3F99"/>
    <w:rsid w:val="007F6547"/>
    <w:rsid w:val="007F66D3"/>
    <w:rsid w:val="007F6ADB"/>
    <w:rsid w:val="007F75FB"/>
    <w:rsid w:val="007F7921"/>
    <w:rsid w:val="007F7AB0"/>
    <w:rsid w:val="007F7EED"/>
    <w:rsid w:val="0080046F"/>
    <w:rsid w:val="00800A3B"/>
    <w:rsid w:val="00800AFD"/>
    <w:rsid w:val="00800D9E"/>
    <w:rsid w:val="008035F6"/>
    <w:rsid w:val="00803764"/>
    <w:rsid w:val="008037F6"/>
    <w:rsid w:val="0080400F"/>
    <w:rsid w:val="00804771"/>
    <w:rsid w:val="00805092"/>
    <w:rsid w:val="00805514"/>
    <w:rsid w:val="00805B13"/>
    <w:rsid w:val="00807912"/>
    <w:rsid w:val="008101FB"/>
    <w:rsid w:val="00810A33"/>
    <w:rsid w:val="00812064"/>
    <w:rsid w:val="00814086"/>
    <w:rsid w:val="008159C9"/>
    <w:rsid w:val="00815E35"/>
    <w:rsid w:val="00816179"/>
    <w:rsid w:val="00816232"/>
    <w:rsid w:val="00816F58"/>
    <w:rsid w:val="00820073"/>
    <w:rsid w:val="00820142"/>
    <w:rsid w:val="008231C3"/>
    <w:rsid w:val="00824706"/>
    <w:rsid w:val="00824823"/>
    <w:rsid w:val="00824AE2"/>
    <w:rsid w:val="00824FDA"/>
    <w:rsid w:val="00826E1A"/>
    <w:rsid w:val="00827199"/>
    <w:rsid w:val="00827688"/>
    <w:rsid w:val="008309E2"/>
    <w:rsid w:val="00830AE6"/>
    <w:rsid w:val="0083232D"/>
    <w:rsid w:val="00833E20"/>
    <w:rsid w:val="008346EE"/>
    <w:rsid w:val="008367E2"/>
    <w:rsid w:val="00841319"/>
    <w:rsid w:val="008425F4"/>
    <w:rsid w:val="00842609"/>
    <w:rsid w:val="00843BFF"/>
    <w:rsid w:val="00844F1F"/>
    <w:rsid w:val="00844F25"/>
    <w:rsid w:val="00847911"/>
    <w:rsid w:val="00850659"/>
    <w:rsid w:val="00851CAE"/>
    <w:rsid w:val="0085314B"/>
    <w:rsid w:val="008543CD"/>
    <w:rsid w:val="0085540C"/>
    <w:rsid w:val="00855D55"/>
    <w:rsid w:val="00855E1B"/>
    <w:rsid w:val="0085634E"/>
    <w:rsid w:val="008565EA"/>
    <w:rsid w:val="00860E38"/>
    <w:rsid w:val="00863208"/>
    <w:rsid w:val="008660E4"/>
    <w:rsid w:val="00866BC1"/>
    <w:rsid w:val="00867158"/>
    <w:rsid w:val="0086717E"/>
    <w:rsid w:val="00872BC5"/>
    <w:rsid w:val="00873B26"/>
    <w:rsid w:val="0087426F"/>
    <w:rsid w:val="00874593"/>
    <w:rsid w:val="00874D9F"/>
    <w:rsid w:val="008758E9"/>
    <w:rsid w:val="008803F2"/>
    <w:rsid w:val="00883464"/>
    <w:rsid w:val="00883F96"/>
    <w:rsid w:val="00885C09"/>
    <w:rsid w:val="00886325"/>
    <w:rsid w:val="00886447"/>
    <w:rsid w:val="008874FA"/>
    <w:rsid w:val="00890590"/>
    <w:rsid w:val="0089322B"/>
    <w:rsid w:val="0089371E"/>
    <w:rsid w:val="0089374F"/>
    <w:rsid w:val="00894185"/>
    <w:rsid w:val="0089428B"/>
    <w:rsid w:val="00895ABF"/>
    <w:rsid w:val="00895F94"/>
    <w:rsid w:val="00897FA4"/>
    <w:rsid w:val="008A0A71"/>
    <w:rsid w:val="008A0F12"/>
    <w:rsid w:val="008A18BA"/>
    <w:rsid w:val="008A18F9"/>
    <w:rsid w:val="008A1BDE"/>
    <w:rsid w:val="008A1CB3"/>
    <w:rsid w:val="008A505D"/>
    <w:rsid w:val="008A60C3"/>
    <w:rsid w:val="008A6CCF"/>
    <w:rsid w:val="008A791E"/>
    <w:rsid w:val="008A7AB1"/>
    <w:rsid w:val="008B044C"/>
    <w:rsid w:val="008B0927"/>
    <w:rsid w:val="008B16B1"/>
    <w:rsid w:val="008B29BD"/>
    <w:rsid w:val="008B3586"/>
    <w:rsid w:val="008B3B56"/>
    <w:rsid w:val="008B4942"/>
    <w:rsid w:val="008B4990"/>
    <w:rsid w:val="008B4E69"/>
    <w:rsid w:val="008B5863"/>
    <w:rsid w:val="008B6164"/>
    <w:rsid w:val="008B697C"/>
    <w:rsid w:val="008B7114"/>
    <w:rsid w:val="008B74F7"/>
    <w:rsid w:val="008B79AA"/>
    <w:rsid w:val="008C04EE"/>
    <w:rsid w:val="008C332F"/>
    <w:rsid w:val="008C452D"/>
    <w:rsid w:val="008C78CD"/>
    <w:rsid w:val="008D106E"/>
    <w:rsid w:val="008D2316"/>
    <w:rsid w:val="008D31AC"/>
    <w:rsid w:val="008D3B42"/>
    <w:rsid w:val="008D4056"/>
    <w:rsid w:val="008D4CA3"/>
    <w:rsid w:val="008D666A"/>
    <w:rsid w:val="008D7422"/>
    <w:rsid w:val="008D75E9"/>
    <w:rsid w:val="008E0320"/>
    <w:rsid w:val="008E0A2A"/>
    <w:rsid w:val="008E2366"/>
    <w:rsid w:val="008E328F"/>
    <w:rsid w:val="008E45DB"/>
    <w:rsid w:val="008E4A39"/>
    <w:rsid w:val="008E4ECC"/>
    <w:rsid w:val="008E56B9"/>
    <w:rsid w:val="008E5902"/>
    <w:rsid w:val="008E5970"/>
    <w:rsid w:val="008E7264"/>
    <w:rsid w:val="008F007C"/>
    <w:rsid w:val="008F1D57"/>
    <w:rsid w:val="008F1DCD"/>
    <w:rsid w:val="008F2229"/>
    <w:rsid w:val="008F2412"/>
    <w:rsid w:val="008F2E24"/>
    <w:rsid w:val="008F3548"/>
    <w:rsid w:val="008F3895"/>
    <w:rsid w:val="008F5860"/>
    <w:rsid w:val="008F5B5F"/>
    <w:rsid w:val="008F69B5"/>
    <w:rsid w:val="008F6DBB"/>
    <w:rsid w:val="008F6E8C"/>
    <w:rsid w:val="009004CC"/>
    <w:rsid w:val="00901247"/>
    <w:rsid w:val="009016AB"/>
    <w:rsid w:val="00902058"/>
    <w:rsid w:val="00903D32"/>
    <w:rsid w:val="0090418A"/>
    <w:rsid w:val="00904536"/>
    <w:rsid w:val="009045FF"/>
    <w:rsid w:val="009046A6"/>
    <w:rsid w:val="00904888"/>
    <w:rsid w:val="00906E63"/>
    <w:rsid w:val="0090736F"/>
    <w:rsid w:val="00907A68"/>
    <w:rsid w:val="009102D5"/>
    <w:rsid w:val="00910D29"/>
    <w:rsid w:val="0091165D"/>
    <w:rsid w:val="009129E9"/>
    <w:rsid w:val="009131BC"/>
    <w:rsid w:val="00913C33"/>
    <w:rsid w:val="009140B8"/>
    <w:rsid w:val="00914599"/>
    <w:rsid w:val="00915714"/>
    <w:rsid w:val="0091750C"/>
    <w:rsid w:val="00920486"/>
    <w:rsid w:val="009210A0"/>
    <w:rsid w:val="00921ED4"/>
    <w:rsid w:val="00922A10"/>
    <w:rsid w:val="00922DD5"/>
    <w:rsid w:val="009236AC"/>
    <w:rsid w:val="00924446"/>
    <w:rsid w:val="00926407"/>
    <w:rsid w:val="00927711"/>
    <w:rsid w:val="0093070F"/>
    <w:rsid w:val="009309A8"/>
    <w:rsid w:val="0093184A"/>
    <w:rsid w:val="00932E59"/>
    <w:rsid w:val="0093362F"/>
    <w:rsid w:val="0093385D"/>
    <w:rsid w:val="00934484"/>
    <w:rsid w:val="0093782B"/>
    <w:rsid w:val="00937939"/>
    <w:rsid w:val="00940111"/>
    <w:rsid w:val="00940768"/>
    <w:rsid w:val="0094165C"/>
    <w:rsid w:val="00941A22"/>
    <w:rsid w:val="00941CD4"/>
    <w:rsid w:val="00943329"/>
    <w:rsid w:val="009434E4"/>
    <w:rsid w:val="00943C6F"/>
    <w:rsid w:val="009440ED"/>
    <w:rsid w:val="00944119"/>
    <w:rsid w:val="0094446A"/>
    <w:rsid w:val="00944E8B"/>
    <w:rsid w:val="00945207"/>
    <w:rsid w:val="00945951"/>
    <w:rsid w:val="00945E5B"/>
    <w:rsid w:val="00946BBA"/>
    <w:rsid w:val="009475B5"/>
    <w:rsid w:val="00951E3C"/>
    <w:rsid w:val="00952506"/>
    <w:rsid w:val="00956DE9"/>
    <w:rsid w:val="00957F3D"/>
    <w:rsid w:val="00960758"/>
    <w:rsid w:val="009609FF"/>
    <w:rsid w:val="00960C04"/>
    <w:rsid w:val="009610FE"/>
    <w:rsid w:val="00962BEE"/>
    <w:rsid w:val="00962D37"/>
    <w:rsid w:val="009647C6"/>
    <w:rsid w:val="00964C13"/>
    <w:rsid w:val="00965F9E"/>
    <w:rsid w:val="009669F5"/>
    <w:rsid w:val="00966CC2"/>
    <w:rsid w:val="00970556"/>
    <w:rsid w:val="00970FE6"/>
    <w:rsid w:val="009711B2"/>
    <w:rsid w:val="009726E6"/>
    <w:rsid w:val="00973B87"/>
    <w:rsid w:val="009758EB"/>
    <w:rsid w:val="009759E9"/>
    <w:rsid w:val="0098025D"/>
    <w:rsid w:val="00981210"/>
    <w:rsid w:val="00981453"/>
    <w:rsid w:val="00982512"/>
    <w:rsid w:val="009830FF"/>
    <w:rsid w:val="00983223"/>
    <w:rsid w:val="0098426B"/>
    <w:rsid w:val="00985A02"/>
    <w:rsid w:val="009900CA"/>
    <w:rsid w:val="009909EB"/>
    <w:rsid w:val="00991884"/>
    <w:rsid w:val="00992DBD"/>
    <w:rsid w:val="00995C33"/>
    <w:rsid w:val="00996345"/>
    <w:rsid w:val="009970A3"/>
    <w:rsid w:val="0099725E"/>
    <w:rsid w:val="00997D5A"/>
    <w:rsid w:val="009A013C"/>
    <w:rsid w:val="009A03B5"/>
    <w:rsid w:val="009A0C5E"/>
    <w:rsid w:val="009A0E62"/>
    <w:rsid w:val="009A101C"/>
    <w:rsid w:val="009A2FD0"/>
    <w:rsid w:val="009A47BE"/>
    <w:rsid w:val="009A4925"/>
    <w:rsid w:val="009A5912"/>
    <w:rsid w:val="009A5934"/>
    <w:rsid w:val="009A7E6F"/>
    <w:rsid w:val="009B048F"/>
    <w:rsid w:val="009B1972"/>
    <w:rsid w:val="009B2878"/>
    <w:rsid w:val="009B2923"/>
    <w:rsid w:val="009B3A1A"/>
    <w:rsid w:val="009B3D0F"/>
    <w:rsid w:val="009B4A44"/>
    <w:rsid w:val="009B53D0"/>
    <w:rsid w:val="009B60D3"/>
    <w:rsid w:val="009B7BA2"/>
    <w:rsid w:val="009C2B2A"/>
    <w:rsid w:val="009C3ECC"/>
    <w:rsid w:val="009C447F"/>
    <w:rsid w:val="009C5A66"/>
    <w:rsid w:val="009C63E1"/>
    <w:rsid w:val="009C642F"/>
    <w:rsid w:val="009C69A3"/>
    <w:rsid w:val="009D078F"/>
    <w:rsid w:val="009D10E5"/>
    <w:rsid w:val="009D1E16"/>
    <w:rsid w:val="009D2025"/>
    <w:rsid w:val="009D22F0"/>
    <w:rsid w:val="009D2386"/>
    <w:rsid w:val="009D3A9E"/>
    <w:rsid w:val="009D45A5"/>
    <w:rsid w:val="009D4B45"/>
    <w:rsid w:val="009D54B1"/>
    <w:rsid w:val="009D6A81"/>
    <w:rsid w:val="009D7F0F"/>
    <w:rsid w:val="009E0D49"/>
    <w:rsid w:val="009E1B4E"/>
    <w:rsid w:val="009E1EEC"/>
    <w:rsid w:val="009E1F09"/>
    <w:rsid w:val="009E2692"/>
    <w:rsid w:val="009E2D36"/>
    <w:rsid w:val="009E3479"/>
    <w:rsid w:val="009E3AC2"/>
    <w:rsid w:val="009E3B0B"/>
    <w:rsid w:val="009E4D4D"/>
    <w:rsid w:val="009E502D"/>
    <w:rsid w:val="009E5D42"/>
    <w:rsid w:val="009F02FE"/>
    <w:rsid w:val="009F1196"/>
    <w:rsid w:val="009F1E00"/>
    <w:rsid w:val="009F290D"/>
    <w:rsid w:val="009F3020"/>
    <w:rsid w:val="009F3149"/>
    <w:rsid w:val="009F316E"/>
    <w:rsid w:val="009F3B8D"/>
    <w:rsid w:val="009F418C"/>
    <w:rsid w:val="009F4EC7"/>
    <w:rsid w:val="009F59E5"/>
    <w:rsid w:val="009F6111"/>
    <w:rsid w:val="009F6539"/>
    <w:rsid w:val="009F7D70"/>
    <w:rsid w:val="00A00ABE"/>
    <w:rsid w:val="00A00EBF"/>
    <w:rsid w:val="00A01429"/>
    <w:rsid w:val="00A014B7"/>
    <w:rsid w:val="00A02604"/>
    <w:rsid w:val="00A02DA2"/>
    <w:rsid w:val="00A03008"/>
    <w:rsid w:val="00A0533F"/>
    <w:rsid w:val="00A05765"/>
    <w:rsid w:val="00A066B9"/>
    <w:rsid w:val="00A07068"/>
    <w:rsid w:val="00A0719B"/>
    <w:rsid w:val="00A071CB"/>
    <w:rsid w:val="00A11F32"/>
    <w:rsid w:val="00A12549"/>
    <w:rsid w:val="00A139FC"/>
    <w:rsid w:val="00A14CF3"/>
    <w:rsid w:val="00A154B9"/>
    <w:rsid w:val="00A16485"/>
    <w:rsid w:val="00A16BA5"/>
    <w:rsid w:val="00A17487"/>
    <w:rsid w:val="00A17909"/>
    <w:rsid w:val="00A2048F"/>
    <w:rsid w:val="00A21356"/>
    <w:rsid w:val="00A24A51"/>
    <w:rsid w:val="00A250F5"/>
    <w:rsid w:val="00A31672"/>
    <w:rsid w:val="00A317A5"/>
    <w:rsid w:val="00A31AC2"/>
    <w:rsid w:val="00A324A4"/>
    <w:rsid w:val="00A329DC"/>
    <w:rsid w:val="00A33698"/>
    <w:rsid w:val="00A33A97"/>
    <w:rsid w:val="00A343AB"/>
    <w:rsid w:val="00A34596"/>
    <w:rsid w:val="00A34FEF"/>
    <w:rsid w:val="00A3558F"/>
    <w:rsid w:val="00A35E89"/>
    <w:rsid w:val="00A4105C"/>
    <w:rsid w:val="00A4332D"/>
    <w:rsid w:val="00A45F08"/>
    <w:rsid w:val="00A46662"/>
    <w:rsid w:val="00A47737"/>
    <w:rsid w:val="00A51505"/>
    <w:rsid w:val="00A51885"/>
    <w:rsid w:val="00A518D1"/>
    <w:rsid w:val="00A53FE7"/>
    <w:rsid w:val="00A545D5"/>
    <w:rsid w:val="00A54C42"/>
    <w:rsid w:val="00A558A6"/>
    <w:rsid w:val="00A602D2"/>
    <w:rsid w:val="00A60C09"/>
    <w:rsid w:val="00A617A2"/>
    <w:rsid w:val="00A64CFA"/>
    <w:rsid w:val="00A6683D"/>
    <w:rsid w:val="00A678EF"/>
    <w:rsid w:val="00A7002C"/>
    <w:rsid w:val="00A7107C"/>
    <w:rsid w:val="00A711C3"/>
    <w:rsid w:val="00A737A2"/>
    <w:rsid w:val="00A73973"/>
    <w:rsid w:val="00A73CD1"/>
    <w:rsid w:val="00A75695"/>
    <w:rsid w:val="00A75EE6"/>
    <w:rsid w:val="00A77439"/>
    <w:rsid w:val="00A77CED"/>
    <w:rsid w:val="00A808A8"/>
    <w:rsid w:val="00A80C85"/>
    <w:rsid w:val="00A821EC"/>
    <w:rsid w:val="00A83D3C"/>
    <w:rsid w:val="00A83F5E"/>
    <w:rsid w:val="00A84048"/>
    <w:rsid w:val="00A85302"/>
    <w:rsid w:val="00A8620D"/>
    <w:rsid w:val="00A90F43"/>
    <w:rsid w:val="00A918A2"/>
    <w:rsid w:val="00A92CC7"/>
    <w:rsid w:val="00A9304E"/>
    <w:rsid w:val="00A93089"/>
    <w:rsid w:val="00A9514D"/>
    <w:rsid w:val="00A96A08"/>
    <w:rsid w:val="00AA18C4"/>
    <w:rsid w:val="00AA1AD7"/>
    <w:rsid w:val="00AA1E78"/>
    <w:rsid w:val="00AA5814"/>
    <w:rsid w:val="00AA5A00"/>
    <w:rsid w:val="00AA672E"/>
    <w:rsid w:val="00AA6C55"/>
    <w:rsid w:val="00AA6E6C"/>
    <w:rsid w:val="00AA711D"/>
    <w:rsid w:val="00AA78BA"/>
    <w:rsid w:val="00AB0782"/>
    <w:rsid w:val="00AB0FBC"/>
    <w:rsid w:val="00AB1003"/>
    <w:rsid w:val="00AB1654"/>
    <w:rsid w:val="00AB2DE1"/>
    <w:rsid w:val="00AB3020"/>
    <w:rsid w:val="00AB3991"/>
    <w:rsid w:val="00AB56B8"/>
    <w:rsid w:val="00AB5819"/>
    <w:rsid w:val="00AB5A34"/>
    <w:rsid w:val="00AB707E"/>
    <w:rsid w:val="00AC024A"/>
    <w:rsid w:val="00AC06B9"/>
    <w:rsid w:val="00AC25FD"/>
    <w:rsid w:val="00AC2708"/>
    <w:rsid w:val="00AC2CFA"/>
    <w:rsid w:val="00AC61F5"/>
    <w:rsid w:val="00AC70A3"/>
    <w:rsid w:val="00AC75C8"/>
    <w:rsid w:val="00AC7714"/>
    <w:rsid w:val="00AD0728"/>
    <w:rsid w:val="00AD1871"/>
    <w:rsid w:val="00AD1B4F"/>
    <w:rsid w:val="00AD2B51"/>
    <w:rsid w:val="00AD2FDF"/>
    <w:rsid w:val="00AD30A6"/>
    <w:rsid w:val="00AD729E"/>
    <w:rsid w:val="00AE090E"/>
    <w:rsid w:val="00AE1A27"/>
    <w:rsid w:val="00AE1CDD"/>
    <w:rsid w:val="00AE24F7"/>
    <w:rsid w:val="00AE2C91"/>
    <w:rsid w:val="00AE616B"/>
    <w:rsid w:val="00AE6D10"/>
    <w:rsid w:val="00AE6F59"/>
    <w:rsid w:val="00AE79ED"/>
    <w:rsid w:val="00AF1679"/>
    <w:rsid w:val="00AF1C16"/>
    <w:rsid w:val="00AF275A"/>
    <w:rsid w:val="00AF2DF3"/>
    <w:rsid w:val="00AF4F63"/>
    <w:rsid w:val="00AF5D5C"/>
    <w:rsid w:val="00AF743B"/>
    <w:rsid w:val="00B0002A"/>
    <w:rsid w:val="00B00807"/>
    <w:rsid w:val="00B00A0B"/>
    <w:rsid w:val="00B00B0D"/>
    <w:rsid w:val="00B01924"/>
    <w:rsid w:val="00B02AB9"/>
    <w:rsid w:val="00B07750"/>
    <w:rsid w:val="00B1061F"/>
    <w:rsid w:val="00B125D4"/>
    <w:rsid w:val="00B136FC"/>
    <w:rsid w:val="00B150F1"/>
    <w:rsid w:val="00B1620A"/>
    <w:rsid w:val="00B17051"/>
    <w:rsid w:val="00B17761"/>
    <w:rsid w:val="00B17DE2"/>
    <w:rsid w:val="00B20AB3"/>
    <w:rsid w:val="00B22E2D"/>
    <w:rsid w:val="00B23AD6"/>
    <w:rsid w:val="00B23F2E"/>
    <w:rsid w:val="00B240E6"/>
    <w:rsid w:val="00B253B8"/>
    <w:rsid w:val="00B26545"/>
    <w:rsid w:val="00B26575"/>
    <w:rsid w:val="00B2667A"/>
    <w:rsid w:val="00B266A5"/>
    <w:rsid w:val="00B3093D"/>
    <w:rsid w:val="00B31B85"/>
    <w:rsid w:val="00B32043"/>
    <w:rsid w:val="00B327FE"/>
    <w:rsid w:val="00B33EE0"/>
    <w:rsid w:val="00B342B4"/>
    <w:rsid w:val="00B343F2"/>
    <w:rsid w:val="00B35617"/>
    <w:rsid w:val="00B3641E"/>
    <w:rsid w:val="00B370FA"/>
    <w:rsid w:val="00B402A9"/>
    <w:rsid w:val="00B402BD"/>
    <w:rsid w:val="00B40B98"/>
    <w:rsid w:val="00B4404B"/>
    <w:rsid w:val="00B44784"/>
    <w:rsid w:val="00B465D8"/>
    <w:rsid w:val="00B470D4"/>
    <w:rsid w:val="00B50074"/>
    <w:rsid w:val="00B52D83"/>
    <w:rsid w:val="00B52E13"/>
    <w:rsid w:val="00B54BD0"/>
    <w:rsid w:val="00B551C2"/>
    <w:rsid w:val="00B5623D"/>
    <w:rsid w:val="00B57D24"/>
    <w:rsid w:val="00B639D3"/>
    <w:rsid w:val="00B643FA"/>
    <w:rsid w:val="00B6755E"/>
    <w:rsid w:val="00B70DB0"/>
    <w:rsid w:val="00B70FBF"/>
    <w:rsid w:val="00B71C7C"/>
    <w:rsid w:val="00B72816"/>
    <w:rsid w:val="00B7588D"/>
    <w:rsid w:val="00B761AB"/>
    <w:rsid w:val="00B7647F"/>
    <w:rsid w:val="00B7696A"/>
    <w:rsid w:val="00B77985"/>
    <w:rsid w:val="00B80A60"/>
    <w:rsid w:val="00B812D6"/>
    <w:rsid w:val="00B8246F"/>
    <w:rsid w:val="00B82C01"/>
    <w:rsid w:val="00B8543A"/>
    <w:rsid w:val="00B85C25"/>
    <w:rsid w:val="00B85F01"/>
    <w:rsid w:val="00B86884"/>
    <w:rsid w:val="00B86A60"/>
    <w:rsid w:val="00B86FC5"/>
    <w:rsid w:val="00B91CC3"/>
    <w:rsid w:val="00B9295C"/>
    <w:rsid w:val="00B93240"/>
    <w:rsid w:val="00B9468E"/>
    <w:rsid w:val="00B950FD"/>
    <w:rsid w:val="00B97569"/>
    <w:rsid w:val="00BA0947"/>
    <w:rsid w:val="00BA1B26"/>
    <w:rsid w:val="00BA309E"/>
    <w:rsid w:val="00BA358C"/>
    <w:rsid w:val="00BA3BC9"/>
    <w:rsid w:val="00BA3FB8"/>
    <w:rsid w:val="00BA46E5"/>
    <w:rsid w:val="00BA53E3"/>
    <w:rsid w:val="00BB0005"/>
    <w:rsid w:val="00BB035C"/>
    <w:rsid w:val="00BB340E"/>
    <w:rsid w:val="00BB470A"/>
    <w:rsid w:val="00BB4DAA"/>
    <w:rsid w:val="00BB4E38"/>
    <w:rsid w:val="00BB5C14"/>
    <w:rsid w:val="00BB62D4"/>
    <w:rsid w:val="00BB6B29"/>
    <w:rsid w:val="00BB713A"/>
    <w:rsid w:val="00BB7500"/>
    <w:rsid w:val="00BB77EB"/>
    <w:rsid w:val="00BB78DB"/>
    <w:rsid w:val="00BC0805"/>
    <w:rsid w:val="00BC1348"/>
    <w:rsid w:val="00BC171F"/>
    <w:rsid w:val="00BC365D"/>
    <w:rsid w:val="00BC3A99"/>
    <w:rsid w:val="00BC459B"/>
    <w:rsid w:val="00BC583E"/>
    <w:rsid w:val="00BC6C4D"/>
    <w:rsid w:val="00BC7A79"/>
    <w:rsid w:val="00BD0402"/>
    <w:rsid w:val="00BD1778"/>
    <w:rsid w:val="00BD2C5D"/>
    <w:rsid w:val="00BD2E3B"/>
    <w:rsid w:val="00BD38C5"/>
    <w:rsid w:val="00BD3AB7"/>
    <w:rsid w:val="00BD3C0B"/>
    <w:rsid w:val="00BD41B1"/>
    <w:rsid w:val="00BD5AD5"/>
    <w:rsid w:val="00BD760D"/>
    <w:rsid w:val="00BD7B1D"/>
    <w:rsid w:val="00BD7E57"/>
    <w:rsid w:val="00BE08B7"/>
    <w:rsid w:val="00BE090E"/>
    <w:rsid w:val="00BE0CEB"/>
    <w:rsid w:val="00BE1767"/>
    <w:rsid w:val="00BE18F6"/>
    <w:rsid w:val="00BE220A"/>
    <w:rsid w:val="00BE301D"/>
    <w:rsid w:val="00BE342D"/>
    <w:rsid w:val="00BE38E0"/>
    <w:rsid w:val="00BE409C"/>
    <w:rsid w:val="00BE4E47"/>
    <w:rsid w:val="00BE56D7"/>
    <w:rsid w:val="00BE679E"/>
    <w:rsid w:val="00BE7137"/>
    <w:rsid w:val="00BF047F"/>
    <w:rsid w:val="00BF076B"/>
    <w:rsid w:val="00BF0B08"/>
    <w:rsid w:val="00BF0E36"/>
    <w:rsid w:val="00BF170B"/>
    <w:rsid w:val="00BF205D"/>
    <w:rsid w:val="00BF5125"/>
    <w:rsid w:val="00BF58DE"/>
    <w:rsid w:val="00BF5E73"/>
    <w:rsid w:val="00BF607F"/>
    <w:rsid w:val="00BF60DF"/>
    <w:rsid w:val="00C00021"/>
    <w:rsid w:val="00C005FD"/>
    <w:rsid w:val="00C02629"/>
    <w:rsid w:val="00C043B5"/>
    <w:rsid w:val="00C05E02"/>
    <w:rsid w:val="00C06BF5"/>
    <w:rsid w:val="00C06FA3"/>
    <w:rsid w:val="00C07022"/>
    <w:rsid w:val="00C072ED"/>
    <w:rsid w:val="00C10C3B"/>
    <w:rsid w:val="00C11319"/>
    <w:rsid w:val="00C1307A"/>
    <w:rsid w:val="00C133A3"/>
    <w:rsid w:val="00C14A98"/>
    <w:rsid w:val="00C159BA"/>
    <w:rsid w:val="00C160DF"/>
    <w:rsid w:val="00C16A59"/>
    <w:rsid w:val="00C17251"/>
    <w:rsid w:val="00C1728A"/>
    <w:rsid w:val="00C178C3"/>
    <w:rsid w:val="00C1791E"/>
    <w:rsid w:val="00C217C2"/>
    <w:rsid w:val="00C21DC1"/>
    <w:rsid w:val="00C2211D"/>
    <w:rsid w:val="00C247D8"/>
    <w:rsid w:val="00C24DEE"/>
    <w:rsid w:val="00C2599A"/>
    <w:rsid w:val="00C269C5"/>
    <w:rsid w:val="00C26A4F"/>
    <w:rsid w:val="00C27B76"/>
    <w:rsid w:val="00C30FA5"/>
    <w:rsid w:val="00C33E74"/>
    <w:rsid w:val="00C34EFB"/>
    <w:rsid w:val="00C34F75"/>
    <w:rsid w:val="00C35DD2"/>
    <w:rsid w:val="00C3667E"/>
    <w:rsid w:val="00C368C0"/>
    <w:rsid w:val="00C41135"/>
    <w:rsid w:val="00C4224E"/>
    <w:rsid w:val="00C42994"/>
    <w:rsid w:val="00C4464C"/>
    <w:rsid w:val="00C4479D"/>
    <w:rsid w:val="00C45D4C"/>
    <w:rsid w:val="00C478E3"/>
    <w:rsid w:val="00C508D6"/>
    <w:rsid w:val="00C50A45"/>
    <w:rsid w:val="00C52AB6"/>
    <w:rsid w:val="00C53941"/>
    <w:rsid w:val="00C53E23"/>
    <w:rsid w:val="00C54037"/>
    <w:rsid w:val="00C5581E"/>
    <w:rsid w:val="00C56513"/>
    <w:rsid w:val="00C57089"/>
    <w:rsid w:val="00C571D1"/>
    <w:rsid w:val="00C572F5"/>
    <w:rsid w:val="00C57FB3"/>
    <w:rsid w:val="00C610B7"/>
    <w:rsid w:val="00C61D50"/>
    <w:rsid w:val="00C62024"/>
    <w:rsid w:val="00C63C56"/>
    <w:rsid w:val="00C70769"/>
    <w:rsid w:val="00C7134F"/>
    <w:rsid w:val="00C715FF"/>
    <w:rsid w:val="00C7559A"/>
    <w:rsid w:val="00C765D8"/>
    <w:rsid w:val="00C767D5"/>
    <w:rsid w:val="00C774B3"/>
    <w:rsid w:val="00C77FDB"/>
    <w:rsid w:val="00C8025A"/>
    <w:rsid w:val="00C802F8"/>
    <w:rsid w:val="00C80A7E"/>
    <w:rsid w:val="00C81D2D"/>
    <w:rsid w:val="00C81EAD"/>
    <w:rsid w:val="00C82F0B"/>
    <w:rsid w:val="00C8362E"/>
    <w:rsid w:val="00C84807"/>
    <w:rsid w:val="00C84882"/>
    <w:rsid w:val="00C84D14"/>
    <w:rsid w:val="00C84DBE"/>
    <w:rsid w:val="00C85D10"/>
    <w:rsid w:val="00C863A8"/>
    <w:rsid w:val="00C86A06"/>
    <w:rsid w:val="00C86A3F"/>
    <w:rsid w:val="00C86C33"/>
    <w:rsid w:val="00C90D39"/>
    <w:rsid w:val="00C921A2"/>
    <w:rsid w:val="00C9295D"/>
    <w:rsid w:val="00C93BA3"/>
    <w:rsid w:val="00C964B0"/>
    <w:rsid w:val="00C969DC"/>
    <w:rsid w:val="00C97151"/>
    <w:rsid w:val="00C978EF"/>
    <w:rsid w:val="00C97BE8"/>
    <w:rsid w:val="00CA0330"/>
    <w:rsid w:val="00CA05D4"/>
    <w:rsid w:val="00CA131B"/>
    <w:rsid w:val="00CA191D"/>
    <w:rsid w:val="00CA1D20"/>
    <w:rsid w:val="00CA2CD0"/>
    <w:rsid w:val="00CA4CD5"/>
    <w:rsid w:val="00CA605E"/>
    <w:rsid w:val="00CB08BC"/>
    <w:rsid w:val="00CB15B9"/>
    <w:rsid w:val="00CB2163"/>
    <w:rsid w:val="00CB286E"/>
    <w:rsid w:val="00CB5519"/>
    <w:rsid w:val="00CB59B6"/>
    <w:rsid w:val="00CB627B"/>
    <w:rsid w:val="00CB6A0B"/>
    <w:rsid w:val="00CB77FF"/>
    <w:rsid w:val="00CC0AEB"/>
    <w:rsid w:val="00CC1148"/>
    <w:rsid w:val="00CC1A16"/>
    <w:rsid w:val="00CC1B26"/>
    <w:rsid w:val="00CC2230"/>
    <w:rsid w:val="00CC2951"/>
    <w:rsid w:val="00CC3689"/>
    <w:rsid w:val="00CC40DC"/>
    <w:rsid w:val="00CC49C3"/>
    <w:rsid w:val="00CC6583"/>
    <w:rsid w:val="00CC7638"/>
    <w:rsid w:val="00CD0302"/>
    <w:rsid w:val="00CD0D69"/>
    <w:rsid w:val="00CD2AF2"/>
    <w:rsid w:val="00CD591C"/>
    <w:rsid w:val="00CD5A63"/>
    <w:rsid w:val="00CD63A4"/>
    <w:rsid w:val="00CE17BD"/>
    <w:rsid w:val="00CE191C"/>
    <w:rsid w:val="00CE55DE"/>
    <w:rsid w:val="00CE5832"/>
    <w:rsid w:val="00CE5F7B"/>
    <w:rsid w:val="00CE62CC"/>
    <w:rsid w:val="00CE62F1"/>
    <w:rsid w:val="00CE6373"/>
    <w:rsid w:val="00CE7326"/>
    <w:rsid w:val="00CE76C8"/>
    <w:rsid w:val="00CF0955"/>
    <w:rsid w:val="00CF0D29"/>
    <w:rsid w:val="00CF1089"/>
    <w:rsid w:val="00CF1832"/>
    <w:rsid w:val="00CF1F39"/>
    <w:rsid w:val="00CF1FBC"/>
    <w:rsid w:val="00CF2D51"/>
    <w:rsid w:val="00CF4F79"/>
    <w:rsid w:val="00CF55CE"/>
    <w:rsid w:val="00D02242"/>
    <w:rsid w:val="00D0471B"/>
    <w:rsid w:val="00D04B8A"/>
    <w:rsid w:val="00D054B6"/>
    <w:rsid w:val="00D063BA"/>
    <w:rsid w:val="00D06D99"/>
    <w:rsid w:val="00D070ED"/>
    <w:rsid w:val="00D0796A"/>
    <w:rsid w:val="00D1207C"/>
    <w:rsid w:val="00D132EE"/>
    <w:rsid w:val="00D134A4"/>
    <w:rsid w:val="00D1356A"/>
    <w:rsid w:val="00D137FB"/>
    <w:rsid w:val="00D13C15"/>
    <w:rsid w:val="00D156A0"/>
    <w:rsid w:val="00D160C6"/>
    <w:rsid w:val="00D163BF"/>
    <w:rsid w:val="00D16551"/>
    <w:rsid w:val="00D16C63"/>
    <w:rsid w:val="00D20B31"/>
    <w:rsid w:val="00D21A47"/>
    <w:rsid w:val="00D21FCD"/>
    <w:rsid w:val="00D2253A"/>
    <w:rsid w:val="00D22A6E"/>
    <w:rsid w:val="00D24121"/>
    <w:rsid w:val="00D244DB"/>
    <w:rsid w:val="00D24EF3"/>
    <w:rsid w:val="00D26034"/>
    <w:rsid w:val="00D27849"/>
    <w:rsid w:val="00D30F49"/>
    <w:rsid w:val="00D31AC8"/>
    <w:rsid w:val="00D324FD"/>
    <w:rsid w:val="00D328F2"/>
    <w:rsid w:val="00D3297D"/>
    <w:rsid w:val="00D33374"/>
    <w:rsid w:val="00D33BAF"/>
    <w:rsid w:val="00D33D69"/>
    <w:rsid w:val="00D3661E"/>
    <w:rsid w:val="00D3698A"/>
    <w:rsid w:val="00D37CB6"/>
    <w:rsid w:val="00D37DC8"/>
    <w:rsid w:val="00D40521"/>
    <w:rsid w:val="00D405F5"/>
    <w:rsid w:val="00D4075A"/>
    <w:rsid w:val="00D4146B"/>
    <w:rsid w:val="00D43742"/>
    <w:rsid w:val="00D44739"/>
    <w:rsid w:val="00D45E1A"/>
    <w:rsid w:val="00D45F78"/>
    <w:rsid w:val="00D46011"/>
    <w:rsid w:val="00D478AC"/>
    <w:rsid w:val="00D478D5"/>
    <w:rsid w:val="00D51575"/>
    <w:rsid w:val="00D523A1"/>
    <w:rsid w:val="00D53407"/>
    <w:rsid w:val="00D54952"/>
    <w:rsid w:val="00D55F6C"/>
    <w:rsid w:val="00D561FC"/>
    <w:rsid w:val="00D57325"/>
    <w:rsid w:val="00D57B4C"/>
    <w:rsid w:val="00D60E2E"/>
    <w:rsid w:val="00D61330"/>
    <w:rsid w:val="00D62761"/>
    <w:rsid w:val="00D627B4"/>
    <w:rsid w:val="00D63F47"/>
    <w:rsid w:val="00D65087"/>
    <w:rsid w:val="00D65C5C"/>
    <w:rsid w:val="00D672C2"/>
    <w:rsid w:val="00D676C2"/>
    <w:rsid w:val="00D7064E"/>
    <w:rsid w:val="00D70FFB"/>
    <w:rsid w:val="00D7141F"/>
    <w:rsid w:val="00D724C0"/>
    <w:rsid w:val="00D72A62"/>
    <w:rsid w:val="00D72E41"/>
    <w:rsid w:val="00D731FE"/>
    <w:rsid w:val="00D734C7"/>
    <w:rsid w:val="00D73D59"/>
    <w:rsid w:val="00D74B3D"/>
    <w:rsid w:val="00D76690"/>
    <w:rsid w:val="00D80D72"/>
    <w:rsid w:val="00D810BC"/>
    <w:rsid w:val="00D81B67"/>
    <w:rsid w:val="00D822FF"/>
    <w:rsid w:val="00D8232D"/>
    <w:rsid w:val="00D84155"/>
    <w:rsid w:val="00D848D4"/>
    <w:rsid w:val="00D8607E"/>
    <w:rsid w:val="00D860B1"/>
    <w:rsid w:val="00D86336"/>
    <w:rsid w:val="00D86EDD"/>
    <w:rsid w:val="00D90DDA"/>
    <w:rsid w:val="00D949E0"/>
    <w:rsid w:val="00D94FE1"/>
    <w:rsid w:val="00D953B9"/>
    <w:rsid w:val="00D95E9C"/>
    <w:rsid w:val="00D9660E"/>
    <w:rsid w:val="00D96B1B"/>
    <w:rsid w:val="00DA2251"/>
    <w:rsid w:val="00DA2584"/>
    <w:rsid w:val="00DA434E"/>
    <w:rsid w:val="00DA4756"/>
    <w:rsid w:val="00DA49F9"/>
    <w:rsid w:val="00DA51F0"/>
    <w:rsid w:val="00DA53F8"/>
    <w:rsid w:val="00DA599A"/>
    <w:rsid w:val="00DA5A4A"/>
    <w:rsid w:val="00DA792E"/>
    <w:rsid w:val="00DB1C1A"/>
    <w:rsid w:val="00DB1C29"/>
    <w:rsid w:val="00DB2A67"/>
    <w:rsid w:val="00DB38DC"/>
    <w:rsid w:val="00DB3DBF"/>
    <w:rsid w:val="00DB4B29"/>
    <w:rsid w:val="00DB52BD"/>
    <w:rsid w:val="00DB56BD"/>
    <w:rsid w:val="00DB5847"/>
    <w:rsid w:val="00DB5B2C"/>
    <w:rsid w:val="00DB5CB7"/>
    <w:rsid w:val="00DC007F"/>
    <w:rsid w:val="00DC1DBA"/>
    <w:rsid w:val="00DC4A89"/>
    <w:rsid w:val="00DC4DDB"/>
    <w:rsid w:val="00DC551D"/>
    <w:rsid w:val="00DC58FC"/>
    <w:rsid w:val="00DC7E82"/>
    <w:rsid w:val="00DD0231"/>
    <w:rsid w:val="00DD0A45"/>
    <w:rsid w:val="00DD11C9"/>
    <w:rsid w:val="00DD1500"/>
    <w:rsid w:val="00DD1527"/>
    <w:rsid w:val="00DD1616"/>
    <w:rsid w:val="00DD31FD"/>
    <w:rsid w:val="00DD5763"/>
    <w:rsid w:val="00DD6245"/>
    <w:rsid w:val="00DD6EF2"/>
    <w:rsid w:val="00DD700E"/>
    <w:rsid w:val="00DD7579"/>
    <w:rsid w:val="00DD7750"/>
    <w:rsid w:val="00DD7845"/>
    <w:rsid w:val="00DE0418"/>
    <w:rsid w:val="00DE1133"/>
    <w:rsid w:val="00DE1A2C"/>
    <w:rsid w:val="00DE20E3"/>
    <w:rsid w:val="00DE2767"/>
    <w:rsid w:val="00DE328A"/>
    <w:rsid w:val="00DE3C4C"/>
    <w:rsid w:val="00DE4D09"/>
    <w:rsid w:val="00DE5032"/>
    <w:rsid w:val="00DE608D"/>
    <w:rsid w:val="00DE7F29"/>
    <w:rsid w:val="00DF1011"/>
    <w:rsid w:val="00DF12CC"/>
    <w:rsid w:val="00DF2374"/>
    <w:rsid w:val="00DF646B"/>
    <w:rsid w:val="00DF7196"/>
    <w:rsid w:val="00DF769B"/>
    <w:rsid w:val="00DF7FCF"/>
    <w:rsid w:val="00E00A23"/>
    <w:rsid w:val="00E026BB"/>
    <w:rsid w:val="00E02894"/>
    <w:rsid w:val="00E02C3A"/>
    <w:rsid w:val="00E0336A"/>
    <w:rsid w:val="00E03A7D"/>
    <w:rsid w:val="00E04E64"/>
    <w:rsid w:val="00E07AF8"/>
    <w:rsid w:val="00E07C82"/>
    <w:rsid w:val="00E14CE3"/>
    <w:rsid w:val="00E161EC"/>
    <w:rsid w:val="00E17088"/>
    <w:rsid w:val="00E17D39"/>
    <w:rsid w:val="00E23CDE"/>
    <w:rsid w:val="00E25313"/>
    <w:rsid w:val="00E25C8E"/>
    <w:rsid w:val="00E27101"/>
    <w:rsid w:val="00E27985"/>
    <w:rsid w:val="00E3021C"/>
    <w:rsid w:val="00E31433"/>
    <w:rsid w:val="00E3168D"/>
    <w:rsid w:val="00E31D20"/>
    <w:rsid w:val="00E33A8B"/>
    <w:rsid w:val="00E34A0C"/>
    <w:rsid w:val="00E35977"/>
    <w:rsid w:val="00E35DEE"/>
    <w:rsid w:val="00E36B16"/>
    <w:rsid w:val="00E36DE7"/>
    <w:rsid w:val="00E37664"/>
    <w:rsid w:val="00E37E18"/>
    <w:rsid w:val="00E402BF"/>
    <w:rsid w:val="00E40D3F"/>
    <w:rsid w:val="00E41477"/>
    <w:rsid w:val="00E41B28"/>
    <w:rsid w:val="00E43C86"/>
    <w:rsid w:val="00E43E20"/>
    <w:rsid w:val="00E4495D"/>
    <w:rsid w:val="00E45220"/>
    <w:rsid w:val="00E453A4"/>
    <w:rsid w:val="00E45B6E"/>
    <w:rsid w:val="00E47008"/>
    <w:rsid w:val="00E47438"/>
    <w:rsid w:val="00E474C3"/>
    <w:rsid w:val="00E4755F"/>
    <w:rsid w:val="00E47A27"/>
    <w:rsid w:val="00E47D46"/>
    <w:rsid w:val="00E52258"/>
    <w:rsid w:val="00E52BF9"/>
    <w:rsid w:val="00E52DA0"/>
    <w:rsid w:val="00E5365F"/>
    <w:rsid w:val="00E53CA8"/>
    <w:rsid w:val="00E54038"/>
    <w:rsid w:val="00E54950"/>
    <w:rsid w:val="00E54A47"/>
    <w:rsid w:val="00E578A8"/>
    <w:rsid w:val="00E60434"/>
    <w:rsid w:val="00E61105"/>
    <w:rsid w:val="00E616DA"/>
    <w:rsid w:val="00E61C55"/>
    <w:rsid w:val="00E64DBC"/>
    <w:rsid w:val="00E6534F"/>
    <w:rsid w:val="00E655DE"/>
    <w:rsid w:val="00E6678C"/>
    <w:rsid w:val="00E67132"/>
    <w:rsid w:val="00E67F42"/>
    <w:rsid w:val="00E7369B"/>
    <w:rsid w:val="00E749D3"/>
    <w:rsid w:val="00E752CF"/>
    <w:rsid w:val="00E7566A"/>
    <w:rsid w:val="00E77F25"/>
    <w:rsid w:val="00E77F62"/>
    <w:rsid w:val="00E839E8"/>
    <w:rsid w:val="00E83BF8"/>
    <w:rsid w:val="00E849B4"/>
    <w:rsid w:val="00E85C72"/>
    <w:rsid w:val="00E864FE"/>
    <w:rsid w:val="00E86B49"/>
    <w:rsid w:val="00E909EA"/>
    <w:rsid w:val="00E919B3"/>
    <w:rsid w:val="00E91D60"/>
    <w:rsid w:val="00E9789E"/>
    <w:rsid w:val="00E97D1E"/>
    <w:rsid w:val="00EA00BD"/>
    <w:rsid w:val="00EA01EF"/>
    <w:rsid w:val="00EA0835"/>
    <w:rsid w:val="00EA0C5B"/>
    <w:rsid w:val="00EA161B"/>
    <w:rsid w:val="00EA26D5"/>
    <w:rsid w:val="00EA2920"/>
    <w:rsid w:val="00EA29F6"/>
    <w:rsid w:val="00EA38E4"/>
    <w:rsid w:val="00EA507C"/>
    <w:rsid w:val="00EA52B3"/>
    <w:rsid w:val="00EA545C"/>
    <w:rsid w:val="00EA5E39"/>
    <w:rsid w:val="00EA717C"/>
    <w:rsid w:val="00EB05F2"/>
    <w:rsid w:val="00EB080C"/>
    <w:rsid w:val="00EB238E"/>
    <w:rsid w:val="00EB5E24"/>
    <w:rsid w:val="00EB6C30"/>
    <w:rsid w:val="00EB7A24"/>
    <w:rsid w:val="00EB7E65"/>
    <w:rsid w:val="00EC04B9"/>
    <w:rsid w:val="00EC0930"/>
    <w:rsid w:val="00EC124F"/>
    <w:rsid w:val="00EC2B39"/>
    <w:rsid w:val="00EC3A9C"/>
    <w:rsid w:val="00EC4AC2"/>
    <w:rsid w:val="00EC5F2C"/>
    <w:rsid w:val="00EC622B"/>
    <w:rsid w:val="00EC7840"/>
    <w:rsid w:val="00EC7C3F"/>
    <w:rsid w:val="00ED020C"/>
    <w:rsid w:val="00ED0D2E"/>
    <w:rsid w:val="00ED40B3"/>
    <w:rsid w:val="00ED5171"/>
    <w:rsid w:val="00ED64DB"/>
    <w:rsid w:val="00ED6E23"/>
    <w:rsid w:val="00ED7515"/>
    <w:rsid w:val="00EE0A11"/>
    <w:rsid w:val="00EE110B"/>
    <w:rsid w:val="00EE1EFF"/>
    <w:rsid w:val="00EE30CA"/>
    <w:rsid w:val="00EE3E3B"/>
    <w:rsid w:val="00EE4846"/>
    <w:rsid w:val="00EE4EBF"/>
    <w:rsid w:val="00EE5115"/>
    <w:rsid w:val="00EE60CC"/>
    <w:rsid w:val="00EF0ADF"/>
    <w:rsid w:val="00EF1632"/>
    <w:rsid w:val="00EF2270"/>
    <w:rsid w:val="00EF2A8F"/>
    <w:rsid w:val="00EF4EBD"/>
    <w:rsid w:val="00EF501C"/>
    <w:rsid w:val="00EF543C"/>
    <w:rsid w:val="00F01394"/>
    <w:rsid w:val="00F02B67"/>
    <w:rsid w:val="00F03089"/>
    <w:rsid w:val="00F044F5"/>
    <w:rsid w:val="00F04F3B"/>
    <w:rsid w:val="00F05E03"/>
    <w:rsid w:val="00F06133"/>
    <w:rsid w:val="00F06650"/>
    <w:rsid w:val="00F06B52"/>
    <w:rsid w:val="00F07AB4"/>
    <w:rsid w:val="00F07FF3"/>
    <w:rsid w:val="00F1052C"/>
    <w:rsid w:val="00F10790"/>
    <w:rsid w:val="00F112E3"/>
    <w:rsid w:val="00F179B4"/>
    <w:rsid w:val="00F17A99"/>
    <w:rsid w:val="00F17ABE"/>
    <w:rsid w:val="00F2074B"/>
    <w:rsid w:val="00F20F8A"/>
    <w:rsid w:val="00F215A3"/>
    <w:rsid w:val="00F21A8D"/>
    <w:rsid w:val="00F22FFA"/>
    <w:rsid w:val="00F23058"/>
    <w:rsid w:val="00F2308E"/>
    <w:rsid w:val="00F2376C"/>
    <w:rsid w:val="00F23BA8"/>
    <w:rsid w:val="00F25112"/>
    <w:rsid w:val="00F2579A"/>
    <w:rsid w:val="00F266C0"/>
    <w:rsid w:val="00F3040B"/>
    <w:rsid w:val="00F322C8"/>
    <w:rsid w:val="00F32DA2"/>
    <w:rsid w:val="00F33417"/>
    <w:rsid w:val="00F34752"/>
    <w:rsid w:val="00F35D70"/>
    <w:rsid w:val="00F4056F"/>
    <w:rsid w:val="00F40B80"/>
    <w:rsid w:val="00F4198A"/>
    <w:rsid w:val="00F43B5D"/>
    <w:rsid w:val="00F4462E"/>
    <w:rsid w:val="00F4468D"/>
    <w:rsid w:val="00F447C2"/>
    <w:rsid w:val="00F45177"/>
    <w:rsid w:val="00F451F0"/>
    <w:rsid w:val="00F45F6E"/>
    <w:rsid w:val="00F469E3"/>
    <w:rsid w:val="00F46EBF"/>
    <w:rsid w:val="00F474A9"/>
    <w:rsid w:val="00F52BBF"/>
    <w:rsid w:val="00F52C7F"/>
    <w:rsid w:val="00F548A1"/>
    <w:rsid w:val="00F55981"/>
    <w:rsid w:val="00F55B10"/>
    <w:rsid w:val="00F565BF"/>
    <w:rsid w:val="00F578F7"/>
    <w:rsid w:val="00F608E1"/>
    <w:rsid w:val="00F63D9F"/>
    <w:rsid w:val="00F63F5D"/>
    <w:rsid w:val="00F641D3"/>
    <w:rsid w:val="00F64ED8"/>
    <w:rsid w:val="00F6528C"/>
    <w:rsid w:val="00F70455"/>
    <w:rsid w:val="00F711D6"/>
    <w:rsid w:val="00F722D3"/>
    <w:rsid w:val="00F75011"/>
    <w:rsid w:val="00F778FF"/>
    <w:rsid w:val="00F818C0"/>
    <w:rsid w:val="00F819E4"/>
    <w:rsid w:val="00F81C13"/>
    <w:rsid w:val="00F83E4E"/>
    <w:rsid w:val="00F83F09"/>
    <w:rsid w:val="00F841EF"/>
    <w:rsid w:val="00F85BA1"/>
    <w:rsid w:val="00F86762"/>
    <w:rsid w:val="00F910B2"/>
    <w:rsid w:val="00F91439"/>
    <w:rsid w:val="00F9296E"/>
    <w:rsid w:val="00F92C9E"/>
    <w:rsid w:val="00F93165"/>
    <w:rsid w:val="00F93188"/>
    <w:rsid w:val="00F9379F"/>
    <w:rsid w:val="00F93B75"/>
    <w:rsid w:val="00F9474B"/>
    <w:rsid w:val="00F949C8"/>
    <w:rsid w:val="00F94ED2"/>
    <w:rsid w:val="00F94F98"/>
    <w:rsid w:val="00F9618D"/>
    <w:rsid w:val="00FA08F5"/>
    <w:rsid w:val="00FA0B50"/>
    <w:rsid w:val="00FA3A9C"/>
    <w:rsid w:val="00FA5878"/>
    <w:rsid w:val="00FA5F83"/>
    <w:rsid w:val="00FA6730"/>
    <w:rsid w:val="00FA6960"/>
    <w:rsid w:val="00FA7793"/>
    <w:rsid w:val="00FB10C0"/>
    <w:rsid w:val="00FB2925"/>
    <w:rsid w:val="00FB46CD"/>
    <w:rsid w:val="00FB6017"/>
    <w:rsid w:val="00FB61CC"/>
    <w:rsid w:val="00FB7213"/>
    <w:rsid w:val="00FB7CAF"/>
    <w:rsid w:val="00FC4518"/>
    <w:rsid w:val="00FC579C"/>
    <w:rsid w:val="00FC63DB"/>
    <w:rsid w:val="00FC79CD"/>
    <w:rsid w:val="00FD0A88"/>
    <w:rsid w:val="00FD11AC"/>
    <w:rsid w:val="00FD27EF"/>
    <w:rsid w:val="00FD2C91"/>
    <w:rsid w:val="00FD338C"/>
    <w:rsid w:val="00FD351E"/>
    <w:rsid w:val="00FD3699"/>
    <w:rsid w:val="00FD424F"/>
    <w:rsid w:val="00FD5B35"/>
    <w:rsid w:val="00FD5C2A"/>
    <w:rsid w:val="00FD6C9E"/>
    <w:rsid w:val="00FD6F8B"/>
    <w:rsid w:val="00FD77EF"/>
    <w:rsid w:val="00FD786F"/>
    <w:rsid w:val="00FE0AD0"/>
    <w:rsid w:val="00FE14AC"/>
    <w:rsid w:val="00FE29A0"/>
    <w:rsid w:val="00FE2CA5"/>
    <w:rsid w:val="00FE3DEF"/>
    <w:rsid w:val="00FE416D"/>
    <w:rsid w:val="00FE4891"/>
    <w:rsid w:val="00FE5B09"/>
    <w:rsid w:val="00FE63E0"/>
    <w:rsid w:val="00FE78F1"/>
    <w:rsid w:val="00FE7F11"/>
    <w:rsid w:val="00FF007C"/>
    <w:rsid w:val="00FF2A9E"/>
    <w:rsid w:val="00FF32A5"/>
    <w:rsid w:val="00FF3797"/>
    <w:rsid w:val="00FF3D56"/>
    <w:rsid w:val="00FF5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E4D4"/>
  <w15:docId w15:val="{6FBBBDE0-B278-435F-B04C-CAD2BF8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D3C"/>
    <w:pPr>
      <w:ind w:left="720"/>
      <w:contextualSpacing/>
    </w:pPr>
  </w:style>
  <w:style w:type="table" w:styleId="TableGrid">
    <w:name w:val="Table Grid"/>
    <w:basedOn w:val="TableNormal"/>
    <w:uiPriority w:val="39"/>
    <w:rsid w:val="00C7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608E1"/>
    <w:rPr>
      <w:color w:val="0000FF"/>
      <w:u w:val="single"/>
    </w:rPr>
  </w:style>
  <w:style w:type="paragraph" w:styleId="BalloonText">
    <w:name w:val="Balloon Text"/>
    <w:basedOn w:val="Normal"/>
    <w:link w:val="BalloonTextChar"/>
    <w:uiPriority w:val="99"/>
    <w:semiHidden/>
    <w:unhideWhenUsed/>
    <w:rsid w:val="004B0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01"/>
    <w:rPr>
      <w:rFonts w:ascii="Segoe UI" w:hAnsi="Segoe UI" w:cs="Segoe UI"/>
      <w:sz w:val="18"/>
      <w:szCs w:val="18"/>
      <w:lang w:eastAsia="en-US"/>
    </w:rPr>
  </w:style>
  <w:style w:type="paragraph" w:styleId="FootnoteText">
    <w:name w:val="footnote text"/>
    <w:basedOn w:val="Normal"/>
    <w:link w:val="FootnoteTextChar"/>
    <w:semiHidden/>
    <w:unhideWhenUsed/>
    <w:rsid w:val="00724EEC"/>
    <w:pPr>
      <w:spacing w:after="0" w:line="240" w:lineRule="auto"/>
    </w:pPr>
    <w:rPr>
      <w:sz w:val="20"/>
      <w:szCs w:val="20"/>
    </w:rPr>
  </w:style>
  <w:style w:type="character" w:customStyle="1" w:styleId="FootnoteTextChar">
    <w:name w:val="Footnote Text Char"/>
    <w:basedOn w:val="DefaultParagraphFont"/>
    <w:link w:val="FootnoteText"/>
    <w:semiHidden/>
    <w:rsid w:val="00724EEC"/>
    <w:rPr>
      <w:lang w:eastAsia="en-US"/>
    </w:rPr>
  </w:style>
  <w:style w:type="character" w:styleId="FootnoteReference">
    <w:name w:val="footnote reference"/>
    <w:basedOn w:val="DefaultParagraphFont"/>
    <w:semiHidden/>
    <w:unhideWhenUsed/>
    <w:rsid w:val="00724EEC"/>
    <w:rPr>
      <w:vertAlign w:val="superscript"/>
    </w:rPr>
  </w:style>
  <w:style w:type="paragraph" w:customStyle="1" w:styleId="Reference">
    <w:name w:val="Reference"/>
    <w:basedOn w:val="BodyText"/>
    <w:link w:val="ReferenceChar"/>
    <w:rsid w:val="00A071CB"/>
    <w:pPr>
      <w:widowControl w:val="0"/>
      <w:spacing w:before="120" w:after="0" w:line="320" w:lineRule="atLeast"/>
      <w:ind w:left="340" w:hanging="340"/>
      <w:jc w:val="both"/>
    </w:pPr>
    <w:rPr>
      <w:rFonts w:ascii="Times New Roman" w:eastAsia="Times New Roman" w:hAnsi="Times New Roman"/>
      <w:color w:val="000000"/>
      <w:sz w:val="26"/>
      <w:szCs w:val="20"/>
      <w:lang w:val="en-AU"/>
    </w:rPr>
  </w:style>
  <w:style w:type="character" w:customStyle="1" w:styleId="ReferenceChar">
    <w:name w:val="Reference Char"/>
    <w:link w:val="Reference"/>
    <w:rsid w:val="00A071CB"/>
    <w:rPr>
      <w:rFonts w:ascii="Times New Roman" w:eastAsia="Times New Roman" w:hAnsi="Times New Roman"/>
      <w:color w:val="000000"/>
      <w:sz w:val="26"/>
      <w:lang w:val="en-AU" w:eastAsia="en-US"/>
    </w:rPr>
  </w:style>
  <w:style w:type="paragraph" w:styleId="BodyText">
    <w:name w:val="Body Text"/>
    <w:basedOn w:val="Normal"/>
    <w:link w:val="BodyTextChar"/>
    <w:uiPriority w:val="99"/>
    <w:semiHidden/>
    <w:unhideWhenUsed/>
    <w:rsid w:val="00A071CB"/>
    <w:pPr>
      <w:spacing w:after="120"/>
    </w:pPr>
  </w:style>
  <w:style w:type="character" w:customStyle="1" w:styleId="BodyTextChar">
    <w:name w:val="Body Text Char"/>
    <w:basedOn w:val="DefaultParagraphFont"/>
    <w:link w:val="BodyText"/>
    <w:uiPriority w:val="99"/>
    <w:semiHidden/>
    <w:rsid w:val="00A071CB"/>
    <w:rPr>
      <w:sz w:val="22"/>
      <w:szCs w:val="22"/>
      <w:lang w:eastAsia="en-US"/>
    </w:rPr>
  </w:style>
  <w:style w:type="character" w:styleId="Emphasis">
    <w:name w:val="Emphasis"/>
    <w:basedOn w:val="DefaultParagraphFont"/>
    <w:uiPriority w:val="20"/>
    <w:qFormat/>
    <w:rsid w:val="00AC61F5"/>
    <w:rPr>
      <w:i/>
      <w:iCs/>
    </w:rPr>
  </w:style>
  <w:style w:type="character" w:styleId="Strong">
    <w:name w:val="Strong"/>
    <w:basedOn w:val="DefaultParagraphFont"/>
    <w:uiPriority w:val="22"/>
    <w:qFormat/>
    <w:rsid w:val="00751887"/>
    <w:rPr>
      <w:b/>
      <w:bCs/>
    </w:rPr>
  </w:style>
  <w:style w:type="paragraph" w:customStyle="1" w:styleId="Paragraphstyle">
    <w:name w:val="Paragraph style"/>
    <w:basedOn w:val="Normal"/>
    <w:rsid w:val="00A9514D"/>
    <w:pPr>
      <w:suppressAutoHyphens/>
      <w:spacing w:before="60" w:after="60" w:line="360" w:lineRule="auto"/>
      <w:ind w:firstLine="567"/>
      <w:jc w:val="both"/>
    </w:pPr>
    <w:rPr>
      <w:rFonts w:ascii="Times New Roman" w:eastAsia="Times New Roman" w:hAnsi="Times New Roman"/>
      <w:kern w:val="1"/>
      <w:szCs w:val="24"/>
      <w:lang w:eastAsia="ar-SA"/>
    </w:rPr>
  </w:style>
  <w:style w:type="character" w:styleId="CommentReference">
    <w:name w:val="annotation reference"/>
    <w:basedOn w:val="DefaultParagraphFont"/>
    <w:uiPriority w:val="99"/>
    <w:semiHidden/>
    <w:unhideWhenUsed/>
    <w:rsid w:val="005E1B82"/>
    <w:rPr>
      <w:sz w:val="16"/>
      <w:szCs w:val="16"/>
    </w:rPr>
  </w:style>
  <w:style w:type="paragraph" w:styleId="CommentText">
    <w:name w:val="annotation text"/>
    <w:basedOn w:val="Normal"/>
    <w:link w:val="CommentTextChar"/>
    <w:uiPriority w:val="99"/>
    <w:semiHidden/>
    <w:unhideWhenUsed/>
    <w:rsid w:val="005E1B82"/>
    <w:pPr>
      <w:spacing w:line="240" w:lineRule="auto"/>
    </w:pPr>
    <w:rPr>
      <w:sz w:val="20"/>
      <w:szCs w:val="20"/>
    </w:rPr>
  </w:style>
  <w:style w:type="character" w:customStyle="1" w:styleId="CommentTextChar">
    <w:name w:val="Comment Text Char"/>
    <w:basedOn w:val="DefaultParagraphFont"/>
    <w:link w:val="CommentText"/>
    <w:uiPriority w:val="99"/>
    <w:semiHidden/>
    <w:rsid w:val="005E1B82"/>
    <w:rPr>
      <w:lang w:eastAsia="en-US"/>
    </w:rPr>
  </w:style>
  <w:style w:type="paragraph" w:styleId="CommentSubject">
    <w:name w:val="annotation subject"/>
    <w:basedOn w:val="CommentText"/>
    <w:next w:val="CommentText"/>
    <w:link w:val="CommentSubjectChar"/>
    <w:uiPriority w:val="99"/>
    <w:semiHidden/>
    <w:unhideWhenUsed/>
    <w:rsid w:val="005E1B82"/>
    <w:rPr>
      <w:b/>
      <w:bCs/>
    </w:rPr>
  </w:style>
  <w:style w:type="character" w:customStyle="1" w:styleId="CommentSubjectChar">
    <w:name w:val="Comment Subject Char"/>
    <w:basedOn w:val="CommentTextChar"/>
    <w:link w:val="CommentSubject"/>
    <w:uiPriority w:val="99"/>
    <w:semiHidden/>
    <w:rsid w:val="005E1B82"/>
    <w:rPr>
      <w:b/>
      <w:bCs/>
      <w:lang w:eastAsia="en-US"/>
    </w:rPr>
  </w:style>
  <w:style w:type="paragraph" w:styleId="Header">
    <w:name w:val="header"/>
    <w:basedOn w:val="Normal"/>
    <w:link w:val="HeaderChar"/>
    <w:uiPriority w:val="99"/>
    <w:unhideWhenUsed/>
    <w:rsid w:val="00462315"/>
    <w:pPr>
      <w:tabs>
        <w:tab w:val="center" w:pos="4252"/>
        <w:tab w:val="right" w:pos="8504"/>
      </w:tabs>
      <w:spacing w:after="0" w:line="240" w:lineRule="auto"/>
    </w:pPr>
  </w:style>
  <w:style w:type="character" w:customStyle="1" w:styleId="HeaderChar">
    <w:name w:val="Header Char"/>
    <w:basedOn w:val="DefaultParagraphFont"/>
    <w:link w:val="Header"/>
    <w:uiPriority w:val="99"/>
    <w:rsid w:val="00462315"/>
    <w:rPr>
      <w:sz w:val="22"/>
      <w:szCs w:val="22"/>
      <w:lang w:eastAsia="en-US"/>
    </w:rPr>
  </w:style>
  <w:style w:type="paragraph" w:styleId="Footer">
    <w:name w:val="footer"/>
    <w:basedOn w:val="Normal"/>
    <w:link w:val="FooterChar"/>
    <w:uiPriority w:val="99"/>
    <w:unhideWhenUsed/>
    <w:rsid w:val="00462315"/>
    <w:pPr>
      <w:tabs>
        <w:tab w:val="center" w:pos="4252"/>
        <w:tab w:val="right" w:pos="8504"/>
      </w:tabs>
      <w:spacing w:after="0" w:line="240" w:lineRule="auto"/>
    </w:pPr>
  </w:style>
  <w:style w:type="character" w:customStyle="1" w:styleId="FooterChar">
    <w:name w:val="Footer Char"/>
    <w:basedOn w:val="DefaultParagraphFont"/>
    <w:link w:val="Footer"/>
    <w:uiPriority w:val="99"/>
    <w:rsid w:val="00462315"/>
    <w:rPr>
      <w:sz w:val="22"/>
      <w:szCs w:val="22"/>
      <w:lang w:eastAsia="en-US"/>
    </w:rPr>
  </w:style>
  <w:style w:type="character" w:customStyle="1" w:styleId="tgc">
    <w:name w:val="_tgc"/>
    <w:basedOn w:val="DefaultParagraphFont"/>
    <w:rsid w:val="002D54A8"/>
  </w:style>
  <w:style w:type="paragraph" w:styleId="Title">
    <w:name w:val="Title"/>
    <w:basedOn w:val="Normal"/>
    <w:link w:val="TitleChar"/>
    <w:uiPriority w:val="99"/>
    <w:qFormat/>
    <w:rsid w:val="00DA599A"/>
    <w:pPr>
      <w:spacing w:after="0" w:line="240" w:lineRule="auto"/>
      <w:jc w:val="center"/>
    </w:pPr>
    <w:rPr>
      <w:rFonts w:eastAsiaTheme="minorEastAsia" w:cs="Calibri"/>
      <w:b/>
      <w:bCs/>
      <w:spacing w:val="30"/>
      <w:sz w:val="24"/>
      <w:szCs w:val="24"/>
      <w:lang w:val="en-US" w:eastAsia="en-GB"/>
    </w:rPr>
  </w:style>
  <w:style w:type="character" w:customStyle="1" w:styleId="TitleChar">
    <w:name w:val="Title Char"/>
    <w:basedOn w:val="DefaultParagraphFont"/>
    <w:link w:val="Title"/>
    <w:uiPriority w:val="99"/>
    <w:rsid w:val="00DA599A"/>
    <w:rPr>
      <w:rFonts w:eastAsiaTheme="minorEastAsia" w:cs="Calibri"/>
      <w:b/>
      <w:bCs/>
      <w:spacing w:val="30"/>
      <w:sz w:val="24"/>
      <w:szCs w:val="24"/>
      <w:lang w:val="en-US" w:eastAsia="en-GB"/>
    </w:rPr>
  </w:style>
  <w:style w:type="paragraph" w:styleId="Revision">
    <w:name w:val="Revision"/>
    <w:hidden/>
    <w:uiPriority w:val="99"/>
    <w:semiHidden/>
    <w:rsid w:val="00634E4A"/>
    <w:rPr>
      <w:sz w:val="22"/>
      <w:szCs w:val="22"/>
      <w:lang w:eastAsia="en-US"/>
    </w:rPr>
  </w:style>
  <w:style w:type="character" w:styleId="PlaceholderText">
    <w:name w:val="Placeholder Text"/>
    <w:basedOn w:val="DefaultParagraphFont"/>
    <w:uiPriority w:val="99"/>
    <w:semiHidden/>
    <w:rsid w:val="007F6ADB"/>
    <w:rPr>
      <w:color w:val="808080"/>
    </w:rPr>
  </w:style>
  <w:style w:type="character" w:customStyle="1" w:styleId="nlmstring-name">
    <w:name w:val="nlm_string-name"/>
    <w:basedOn w:val="DefaultParagraphFont"/>
    <w:rsid w:val="00D478AC"/>
  </w:style>
  <w:style w:type="character" w:customStyle="1" w:styleId="journalname">
    <w:name w:val="journalname"/>
    <w:basedOn w:val="DefaultParagraphFont"/>
    <w:rsid w:val="00D478AC"/>
  </w:style>
  <w:style w:type="character" w:customStyle="1" w:styleId="volume">
    <w:name w:val="volume"/>
    <w:basedOn w:val="DefaultParagraphFont"/>
    <w:rsid w:val="00D478AC"/>
  </w:style>
  <w:style w:type="character" w:customStyle="1" w:styleId="issue">
    <w:name w:val="issue"/>
    <w:basedOn w:val="DefaultParagraphFont"/>
    <w:rsid w:val="00D478AC"/>
  </w:style>
  <w:style w:type="character" w:customStyle="1" w:styleId="page">
    <w:name w:val="page"/>
    <w:basedOn w:val="DefaultParagraphFont"/>
    <w:rsid w:val="00D4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438">
      <w:bodyDiv w:val="1"/>
      <w:marLeft w:val="0"/>
      <w:marRight w:val="0"/>
      <w:marTop w:val="0"/>
      <w:marBottom w:val="0"/>
      <w:divBdr>
        <w:top w:val="none" w:sz="0" w:space="0" w:color="auto"/>
        <w:left w:val="none" w:sz="0" w:space="0" w:color="auto"/>
        <w:bottom w:val="none" w:sz="0" w:space="0" w:color="auto"/>
        <w:right w:val="none" w:sz="0" w:space="0" w:color="auto"/>
      </w:divBdr>
    </w:div>
    <w:div w:id="352003452">
      <w:bodyDiv w:val="1"/>
      <w:marLeft w:val="0"/>
      <w:marRight w:val="0"/>
      <w:marTop w:val="0"/>
      <w:marBottom w:val="0"/>
      <w:divBdr>
        <w:top w:val="none" w:sz="0" w:space="0" w:color="auto"/>
        <w:left w:val="none" w:sz="0" w:space="0" w:color="auto"/>
        <w:bottom w:val="none" w:sz="0" w:space="0" w:color="auto"/>
        <w:right w:val="none" w:sz="0" w:space="0" w:color="auto"/>
      </w:divBdr>
    </w:div>
    <w:div w:id="369450907">
      <w:bodyDiv w:val="1"/>
      <w:marLeft w:val="0"/>
      <w:marRight w:val="0"/>
      <w:marTop w:val="0"/>
      <w:marBottom w:val="0"/>
      <w:divBdr>
        <w:top w:val="none" w:sz="0" w:space="0" w:color="auto"/>
        <w:left w:val="none" w:sz="0" w:space="0" w:color="auto"/>
        <w:bottom w:val="none" w:sz="0" w:space="0" w:color="auto"/>
        <w:right w:val="none" w:sz="0" w:space="0" w:color="auto"/>
      </w:divBdr>
    </w:div>
    <w:div w:id="388071384">
      <w:bodyDiv w:val="1"/>
      <w:marLeft w:val="0"/>
      <w:marRight w:val="0"/>
      <w:marTop w:val="0"/>
      <w:marBottom w:val="0"/>
      <w:divBdr>
        <w:top w:val="none" w:sz="0" w:space="0" w:color="auto"/>
        <w:left w:val="none" w:sz="0" w:space="0" w:color="auto"/>
        <w:bottom w:val="none" w:sz="0" w:space="0" w:color="auto"/>
        <w:right w:val="none" w:sz="0" w:space="0" w:color="auto"/>
      </w:divBdr>
    </w:div>
    <w:div w:id="426268477">
      <w:bodyDiv w:val="1"/>
      <w:marLeft w:val="0"/>
      <w:marRight w:val="0"/>
      <w:marTop w:val="0"/>
      <w:marBottom w:val="0"/>
      <w:divBdr>
        <w:top w:val="none" w:sz="0" w:space="0" w:color="auto"/>
        <w:left w:val="none" w:sz="0" w:space="0" w:color="auto"/>
        <w:bottom w:val="none" w:sz="0" w:space="0" w:color="auto"/>
        <w:right w:val="none" w:sz="0" w:space="0" w:color="auto"/>
      </w:divBdr>
      <w:divsChild>
        <w:div w:id="627666989">
          <w:marLeft w:val="0"/>
          <w:marRight w:val="0"/>
          <w:marTop w:val="0"/>
          <w:marBottom w:val="0"/>
          <w:divBdr>
            <w:top w:val="none" w:sz="0" w:space="0" w:color="auto"/>
            <w:left w:val="none" w:sz="0" w:space="0" w:color="auto"/>
            <w:bottom w:val="none" w:sz="0" w:space="0" w:color="auto"/>
            <w:right w:val="none" w:sz="0" w:space="0" w:color="auto"/>
          </w:divBdr>
        </w:div>
        <w:div w:id="455683015">
          <w:marLeft w:val="0"/>
          <w:marRight w:val="0"/>
          <w:marTop w:val="0"/>
          <w:marBottom w:val="0"/>
          <w:divBdr>
            <w:top w:val="none" w:sz="0" w:space="0" w:color="auto"/>
            <w:left w:val="none" w:sz="0" w:space="0" w:color="auto"/>
            <w:bottom w:val="none" w:sz="0" w:space="0" w:color="auto"/>
            <w:right w:val="none" w:sz="0" w:space="0" w:color="auto"/>
          </w:divBdr>
        </w:div>
      </w:divsChild>
    </w:div>
    <w:div w:id="494612912">
      <w:bodyDiv w:val="1"/>
      <w:marLeft w:val="0"/>
      <w:marRight w:val="0"/>
      <w:marTop w:val="0"/>
      <w:marBottom w:val="0"/>
      <w:divBdr>
        <w:top w:val="none" w:sz="0" w:space="0" w:color="auto"/>
        <w:left w:val="none" w:sz="0" w:space="0" w:color="auto"/>
        <w:bottom w:val="none" w:sz="0" w:space="0" w:color="auto"/>
        <w:right w:val="none" w:sz="0" w:space="0" w:color="auto"/>
      </w:divBdr>
    </w:div>
    <w:div w:id="536821869">
      <w:bodyDiv w:val="1"/>
      <w:marLeft w:val="0"/>
      <w:marRight w:val="0"/>
      <w:marTop w:val="0"/>
      <w:marBottom w:val="0"/>
      <w:divBdr>
        <w:top w:val="none" w:sz="0" w:space="0" w:color="auto"/>
        <w:left w:val="none" w:sz="0" w:space="0" w:color="auto"/>
        <w:bottom w:val="none" w:sz="0" w:space="0" w:color="auto"/>
        <w:right w:val="none" w:sz="0" w:space="0" w:color="auto"/>
      </w:divBdr>
    </w:div>
    <w:div w:id="547105916">
      <w:bodyDiv w:val="1"/>
      <w:marLeft w:val="0"/>
      <w:marRight w:val="0"/>
      <w:marTop w:val="0"/>
      <w:marBottom w:val="0"/>
      <w:divBdr>
        <w:top w:val="none" w:sz="0" w:space="0" w:color="auto"/>
        <w:left w:val="none" w:sz="0" w:space="0" w:color="auto"/>
        <w:bottom w:val="none" w:sz="0" w:space="0" w:color="auto"/>
        <w:right w:val="none" w:sz="0" w:space="0" w:color="auto"/>
      </w:divBdr>
    </w:div>
    <w:div w:id="553784549">
      <w:bodyDiv w:val="1"/>
      <w:marLeft w:val="0"/>
      <w:marRight w:val="0"/>
      <w:marTop w:val="0"/>
      <w:marBottom w:val="0"/>
      <w:divBdr>
        <w:top w:val="none" w:sz="0" w:space="0" w:color="auto"/>
        <w:left w:val="none" w:sz="0" w:space="0" w:color="auto"/>
        <w:bottom w:val="none" w:sz="0" w:space="0" w:color="auto"/>
        <w:right w:val="none" w:sz="0" w:space="0" w:color="auto"/>
      </w:divBdr>
    </w:div>
    <w:div w:id="627904741">
      <w:bodyDiv w:val="1"/>
      <w:marLeft w:val="0"/>
      <w:marRight w:val="0"/>
      <w:marTop w:val="0"/>
      <w:marBottom w:val="0"/>
      <w:divBdr>
        <w:top w:val="none" w:sz="0" w:space="0" w:color="auto"/>
        <w:left w:val="none" w:sz="0" w:space="0" w:color="auto"/>
        <w:bottom w:val="none" w:sz="0" w:space="0" w:color="auto"/>
        <w:right w:val="none" w:sz="0" w:space="0" w:color="auto"/>
      </w:divBdr>
    </w:div>
    <w:div w:id="897788880">
      <w:bodyDiv w:val="1"/>
      <w:marLeft w:val="0"/>
      <w:marRight w:val="0"/>
      <w:marTop w:val="0"/>
      <w:marBottom w:val="0"/>
      <w:divBdr>
        <w:top w:val="none" w:sz="0" w:space="0" w:color="auto"/>
        <w:left w:val="none" w:sz="0" w:space="0" w:color="auto"/>
        <w:bottom w:val="none" w:sz="0" w:space="0" w:color="auto"/>
        <w:right w:val="none" w:sz="0" w:space="0" w:color="auto"/>
      </w:divBdr>
    </w:div>
    <w:div w:id="900675484">
      <w:bodyDiv w:val="1"/>
      <w:marLeft w:val="0"/>
      <w:marRight w:val="0"/>
      <w:marTop w:val="0"/>
      <w:marBottom w:val="0"/>
      <w:divBdr>
        <w:top w:val="none" w:sz="0" w:space="0" w:color="auto"/>
        <w:left w:val="none" w:sz="0" w:space="0" w:color="auto"/>
        <w:bottom w:val="none" w:sz="0" w:space="0" w:color="auto"/>
        <w:right w:val="none" w:sz="0" w:space="0" w:color="auto"/>
      </w:divBdr>
    </w:div>
    <w:div w:id="901520494">
      <w:bodyDiv w:val="1"/>
      <w:marLeft w:val="0"/>
      <w:marRight w:val="0"/>
      <w:marTop w:val="0"/>
      <w:marBottom w:val="0"/>
      <w:divBdr>
        <w:top w:val="none" w:sz="0" w:space="0" w:color="auto"/>
        <w:left w:val="none" w:sz="0" w:space="0" w:color="auto"/>
        <w:bottom w:val="none" w:sz="0" w:space="0" w:color="auto"/>
        <w:right w:val="none" w:sz="0" w:space="0" w:color="auto"/>
      </w:divBdr>
    </w:div>
    <w:div w:id="982539762">
      <w:bodyDiv w:val="1"/>
      <w:marLeft w:val="0"/>
      <w:marRight w:val="0"/>
      <w:marTop w:val="0"/>
      <w:marBottom w:val="0"/>
      <w:divBdr>
        <w:top w:val="none" w:sz="0" w:space="0" w:color="auto"/>
        <w:left w:val="none" w:sz="0" w:space="0" w:color="auto"/>
        <w:bottom w:val="none" w:sz="0" w:space="0" w:color="auto"/>
        <w:right w:val="none" w:sz="0" w:space="0" w:color="auto"/>
      </w:divBdr>
    </w:div>
    <w:div w:id="1040132997">
      <w:bodyDiv w:val="1"/>
      <w:marLeft w:val="0"/>
      <w:marRight w:val="0"/>
      <w:marTop w:val="0"/>
      <w:marBottom w:val="0"/>
      <w:divBdr>
        <w:top w:val="none" w:sz="0" w:space="0" w:color="auto"/>
        <w:left w:val="none" w:sz="0" w:space="0" w:color="auto"/>
        <w:bottom w:val="none" w:sz="0" w:space="0" w:color="auto"/>
        <w:right w:val="none" w:sz="0" w:space="0" w:color="auto"/>
      </w:divBdr>
    </w:div>
    <w:div w:id="1180699457">
      <w:bodyDiv w:val="1"/>
      <w:marLeft w:val="0"/>
      <w:marRight w:val="0"/>
      <w:marTop w:val="0"/>
      <w:marBottom w:val="0"/>
      <w:divBdr>
        <w:top w:val="none" w:sz="0" w:space="0" w:color="auto"/>
        <w:left w:val="none" w:sz="0" w:space="0" w:color="auto"/>
        <w:bottom w:val="none" w:sz="0" w:space="0" w:color="auto"/>
        <w:right w:val="none" w:sz="0" w:space="0" w:color="auto"/>
      </w:divBdr>
    </w:div>
    <w:div w:id="1186866920">
      <w:bodyDiv w:val="1"/>
      <w:marLeft w:val="0"/>
      <w:marRight w:val="0"/>
      <w:marTop w:val="0"/>
      <w:marBottom w:val="0"/>
      <w:divBdr>
        <w:top w:val="none" w:sz="0" w:space="0" w:color="auto"/>
        <w:left w:val="none" w:sz="0" w:space="0" w:color="auto"/>
        <w:bottom w:val="none" w:sz="0" w:space="0" w:color="auto"/>
        <w:right w:val="none" w:sz="0" w:space="0" w:color="auto"/>
      </w:divBdr>
    </w:div>
    <w:div w:id="1340741639">
      <w:bodyDiv w:val="1"/>
      <w:marLeft w:val="0"/>
      <w:marRight w:val="0"/>
      <w:marTop w:val="0"/>
      <w:marBottom w:val="0"/>
      <w:divBdr>
        <w:top w:val="none" w:sz="0" w:space="0" w:color="auto"/>
        <w:left w:val="none" w:sz="0" w:space="0" w:color="auto"/>
        <w:bottom w:val="none" w:sz="0" w:space="0" w:color="auto"/>
        <w:right w:val="none" w:sz="0" w:space="0" w:color="auto"/>
      </w:divBdr>
    </w:div>
    <w:div w:id="1432093759">
      <w:bodyDiv w:val="1"/>
      <w:marLeft w:val="0"/>
      <w:marRight w:val="0"/>
      <w:marTop w:val="0"/>
      <w:marBottom w:val="0"/>
      <w:divBdr>
        <w:top w:val="none" w:sz="0" w:space="0" w:color="auto"/>
        <w:left w:val="none" w:sz="0" w:space="0" w:color="auto"/>
        <w:bottom w:val="none" w:sz="0" w:space="0" w:color="auto"/>
        <w:right w:val="none" w:sz="0" w:space="0" w:color="auto"/>
      </w:divBdr>
    </w:div>
    <w:div w:id="1481651272">
      <w:bodyDiv w:val="1"/>
      <w:marLeft w:val="0"/>
      <w:marRight w:val="0"/>
      <w:marTop w:val="0"/>
      <w:marBottom w:val="0"/>
      <w:divBdr>
        <w:top w:val="none" w:sz="0" w:space="0" w:color="auto"/>
        <w:left w:val="none" w:sz="0" w:space="0" w:color="auto"/>
        <w:bottom w:val="none" w:sz="0" w:space="0" w:color="auto"/>
        <w:right w:val="none" w:sz="0" w:space="0" w:color="auto"/>
      </w:divBdr>
    </w:div>
    <w:div w:id="1486117744">
      <w:bodyDiv w:val="1"/>
      <w:marLeft w:val="0"/>
      <w:marRight w:val="0"/>
      <w:marTop w:val="0"/>
      <w:marBottom w:val="0"/>
      <w:divBdr>
        <w:top w:val="none" w:sz="0" w:space="0" w:color="auto"/>
        <w:left w:val="none" w:sz="0" w:space="0" w:color="auto"/>
        <w:bottom w:val="none" w:sz="0" w:space="0" w:color="auto"/>
        <w:right w:val="none" w:sz="0" w:space="0" w:color="auto"/>
      </w:divBdr>
    </w:div>
    <w:div w:id="1693608078">
      <w:bodyDiv w:val="1"/>
      <w:marLeft w:val="0"/>
      <w:marRight w:val="0"/>
      <w:marTop w:val="0"/>
      <w:marBottom w:val="0"/>
      <w:divBdr>
        <w:top w:val="none" w:sz="0" w:space="0" w:color="auto"/>
        <w:left w:val="none" w:sz="0" w:space="0" w:color="auto"/>
        <w:bottom w:val="none" w:sz="0" w:space="0" w:color="auto"/>
        <w:right w:val="none" w:sz="0" w:space="0" w:color="auto"/>
      </w:divBdr>
    </w:div>
    <w:div w:id="1811821840">
      <w:bodyDiv w:val="1"/>
      <w:marLeft w:val="0"/>
      <w:marRight w:val="0"/>
      <w:marTop w:val="0"/>
      <w:marBottom w:val="0"/>
      <w:divBdr>
        <w:top w:val="none" w:sz="0" w:space="0" w:color="auto"/>
        <w:left w:val="none" w:sz="0" w:space="0" w:color="auto"/>
        <w:bottom w:val="none" w:sz="0" w:space="0" w:color="auto"/>
        <w:right w:val="none" w:sz="0" w:space="0" w:color="auto"/>
      </w:divBdr>
    </w:div>
    <w:div w:id="1911960591">
      <w:bodyDiv w:val="1"/>
      <w:marLeft w:val="0"/>
      <w:marRight w:val="0"/>
      <w:marTop w:val="0"/>
      <w:marBottom w:val="0"/>
      <w:divBdr>
        <w:top w:val="none" w:sz="0" w:space="0" w:color="auto"/>
        <w:left w:val="none" w:sz="0" w:space="0" w:color="auto"/>
        <w:bottom w:val="none" w:sz="0" w:space="0" w:color="auto"/>
        <w:right w:val="none" w:sz="0" w:space="0" w:color="auto"/>
      </w:divBdr>
    </w:div>
    <w:div w:id="1949388422">
      <w:bodyDiv w:val="1"/>
      <w:marLeft w:val="0"/>
      <w:marRight w:val="0"/>
      <w:marTop w:val="0"/>
      <w:marBottom w:val="0"/>
      <w:divBdr>
        <w:top w:val="none" w:sz="0" w:space="0" w:color="auto"/>
        <w:left w:val="none" w:sz="0" w:space="0" w:color="auto"/>
        <w:bottom w:val="none" w:sz="0" w:space="0" w:color="auto"/>
        <w:right w:val="none" w:sz="0" w:space="0" w:color="auto"/>
      </w:divBdr>
    </w:div>
    <w:div w:id="21276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bruceicarlin/Complexity.pdf?attredirects=0" TargetMode="External"/><Relationship Id="rId13" Type="http://schemas.openxmlformats.org/officeDocument/2006/relationships/hyperlink" Target="https://www.emerald.com/insight/publication/issn/0265-2323" TargetMode="External"/><Relationship Id="rId18" Type="http://schemas.openxmlformats.org/officeDocument/2006/relationships/hyperlink" Target="http://ec.europa.eu/eurostat/data/databas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merald.com/insight/search?q=Juandiego%20Paredes-Gazquez" TargetMode="External"/><Relationship Id="rId17" Type="http://schemas.openxmlformats.org/officeDocument/2006/relationships/hyperlink" Target="http://ec.europa.eu/eurostat/data/database" TargetMode="External"/><Relationship Id="rId2" Type="http://schemas.openxmlformats.org/officeDocument/2006/relationships/numbering" Target="numbering.xml"/><Relationship Id="rId16" Type="http://schemas.openxmlformats.org/officeDocument/2006/relationships/hyperlink" Target="http://ec.europa.eu/eurostat/data/database" TargetMode="External"/><Relationship Id="rId20" Type="http://schemas.openxmlformats.org/officeDocument/2006/relationships/hyperlink" Target="https://data.worldbank.org/data-catalog/global-financial-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Isabel%20Orenes-Casanova" TargetMode="External"/><Relationship Id="rId5" Type="http://schemas.openxmlformats.org/officeDocument/2006/relationships/webSettings" Target="webSettings.xml"/><Relationship Id="rId15" Type="http://schemas.openxmlformats.org/officeDocument/2006/relationships/hyperlink" Target="http://ec.europa.eu/eurostat/data/database" TargetMode="External"/><Relationship Id="rId23" Type="http://schemas.openxmlformats.org/officeDocument/2006/relationships/theme" Target="theme/theme1.xml"/><Relationship Id="rId10" Type="http://schemas.openxmlformats.org/officeDocument/2006/relationships/hyperlink" Target="https://www.emerald.com/insight/search?q=Beatriz%20Fernandez-Olit" TargetMode="External"/><Relationship Id="rId19" Type="http://schemas.openxmlformats.org/officeDocument/2006/relationships/hyperlink" Target="http://ec.europa.eu/eurostat/data/database" TargetMode="External"/><Relationship Id="rId4" Type="http://schemas.openxmlformats.org/officeDocument/2006/relationships/settings" Target="settings.xml"/><Relationship Id="rId9" Type="http://schemas.openxmlformats.org/officeDocument/2006/relationships/hyperlink" Target="https://www.emerald.com/insight/search?q=Marta%20de%20la%20Cuesta-Gonz%C3%A1lez" TargetMode="External"/><Relationship Id="rId14" Type="http://schemas.openxmlformats.org/officeDocument/2006/relationships/hyperlink" Target="http://ec.europa.eu/eurostat/web/nut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16922-6ECC-472F-84AD-BBD1B905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42</Pages>
  <Words>9621</Words>
  <Characters>54845</Characters>
  <Application>Microsoft Office Word</Application>
  <DocSecurity>0</DocSecurity>
  <Lines>457</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John Ashton</cp:lastModifiedBy>
  <cp:revision>3</cp:revision>
  <cp:lastPrinted>2023-02-21T16:28:00Z</cp:lastPrinted>
  <dcterms:created xsi:type="dcterms:W3CDTF">2023-10-10T15:47:00Z</dcterms:created>
  <dcterms:modified xsi:type="dcterms:W3CDTF">2023-10-10T15:49:00Z</dcterms:modified>
</cp:coreProperties>
</file>