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C620" w14:textId="72E5C82D" w:rsidR="006E2F52" w:rsidRDefault="002978F4" w:rsidP="00256065">
      <w:pPr>
        <w:jc w:val="center"/>
        <w:rPr>
          <w:b/>
          <w:bCs/>
        </w:rPr>
      </w:pPr>
      <w:r>
        <w:rPr>
          <w:b/>
          <w:bCs/>
        </w:rPr>
        <w:t>‘</w:t>
      </w:r>
      <w:r w:rsidRPr="002978F4">
        <w:rPr>
          <w:b/>
          <w:bCs/>
        </w:rPr>
        <w:t xml:space="preserve">Divers voyages into </w:t>
      </w:r>
      <w:proofErr w:type="spellStart"/>
      <w:r w:rsidRPr="002978F4">
        <w:rPr>
          <w:b/>
          <w:bCs/>
        </w:rPr>
        <w:t>farre</w:t>
      </w:r>
      <w:proofErr w:type="spellEnd"/>
      <w:r w:rsidRPr="002978F4">
        <w:rPr>
          <w:b/>
          <w:bCs/>
        </w:rPr>
        <w:t xml:space="preserve"> countries’: </w:t>
      </w:r>
      <w:r w:rsidR="00794A6F">
        <w:rPr>
          <w:b/>
          <w:bCs/>
        </w:rPr>
        <w:t>Agency in</w:t>
      </w:r>
      <w:r w:rsidR="00211B5B">
        <w:rPr>
          <w:b/>
          <w:bCs/>
        </w:rPr>
        <w:t xml:space="preserve"> Rose Throckmorton</w:t>
      </w:r>
      <w:r w:rsidR="00794A6F">
        <w:rPr>
          <w:b/>
          <w:bCs/>
        </w:rPr>
        <w:t>’s Diary</w:t>
      </w:r>
    </w:p>
    <w:p w14:paraId="11277B18" w14:textId="77777777" w:rsidR="002978F4" w:rsidRPr="00A5090F" w:rsidRDefault="002978F4" w:rsidP="00256065">
      <w:pPr>
        <w:rPr>
          <w:b/>
          <w:bCs/>
        </w:rPr>
      </w:pPr>
    </w:p>
    <w:p w14:paraId="2D1E1329" w14:textId="4338B8C9" w:rsidR="008A2570" w:rsidRPr="00A5090F" w:rsidRDefault="008A2570" w:rsidP="00256065">
      <w:pPr>
        <w:pStyle w:val="Heading1"/>
        <w:rPr>
          <w:b/>
          <w:bCs/>
        </w:rPr>
      </w:pPr>
      <w:r w:rsidRPr="00A5090F">
        <w:rPr>
          <w:b/>
          <w:bCs/>
        </w:rPr>
        <w:t>Abstract</w:t>
      </w:r>
    </w:p>
    <w:p w14:paraId="75D1CD74" w14:textId="77777777" w:rsidR="008A2570" w:rsidRPr="00A5090F" w:rsidRDefault="008A2570" w:rsidP="00256065"/>
    <w:p w14:paraId="0CC3D8E0" w14:textId="526C13F0" w:rsidR="008A2570" w:rsidRPr="00A5090F" w:rsidRDefault="008A2570" w:rsidP="00256065">
      <w:pPr>
        <w:ind w:left="720" w:hanging="720"/>
      </w:pPr>
      <w:r w:rsidRPr="00A5090F">
        <w:t xml:space="preserve">Women played a vital role within mercantile communities in sixteenth century London </w:t>
      </w:r>
      <w:r w:rsidR="00576DAD">
        <w:t>as</w:t>
      </w:r>
      <w:r w:rsidR="00B664C2">
        <w:t xml:space="preserve"> </w:t>
      </w:r>
      <w:r w:rsidR="00576DAD">
        <w:t xml:space="preserve">social, </w:t>
      </w:r>
      <w:proofErr w:type="gramStart"/>
      <w:r w:rsidR="00576DAD">
        <w:t>cultural</w:t>
      </w:r>
      <w:proofErr w:type="gramEnd"/>
      <w:r w:rsidR="00576DAD">
        <w:t xml:space="preserve"> and economic agents</w:t>
      </w:r>
      <w:r w:rsidR="00327E73">
        <w:t>, but there is comparatively little archival material relating to these activities in comparison to their male counterparts</w:t>
      </w:r>
      <w:r w:rsidR="00391D5C">
        <w:t>, and as they were seldom able to actively participate in trade, the nuances of their activity are easily overlooked. Using the 1610 diary of Rose Lok Hickman Throckmorton as a case study, this article will examine her role within her community and the ways in which she both exerted and subverted agency, interrogating</w:t>
      </w:r>
      <w:r w:rsidR="00327E73">
        <w:t xml:space="preserve"> the </w:t>
      </w:r>
      <w:r w:rsidRPr="00A5090F">
        <w:t xml:space="preserve">text’s preoccupations with questions of </w:t>
      </w:r>
      <w:r w:rsidR="008B40A4">
        <w:t>trade</w:t>
      </w:r>
      <w:r w:rsidRPr="00A5090F">
        <w:t xml:space="preserve">, </w:t>
      </w:r>
      <w:r w:rsidR="008B40A4">
        <w:t xml:space="preserve">faith, </w:t>
      </w:r>
      <w:r w:rsidRPr="00A5090F">
        <w:t>and gender</w:t>
      </w:r>
      <w:r w:rsidR="00391D5C">
        <w:t>.</w:t>
      </w:r>
    </w:p>
    <w:p w14:paraId="38C6AA4A" w14:textId="3D8F846B" w:rsidR="008A2570" w:rsidRPr="00A5090F" w:rsidRDefault="008A2570" w:rsidP="00256065"/>
    <w:p w14:paraId="1285DA60" w14:textId="6B1A55D6" w:rsidR="008A2570" w:rsidRDefault="00E1227A" w:rsidP="00256065">
      <w:pPr>
        <w:pStyle w:val="Heading1"/>
        <w:jc w:val="center"/>
      </w:pPr>
      <w:r>
        <w:t>***</w:t>
      </w:r>
    </w:p>
    <w:p w14:paraId="70F7D2AD" w14:textId="18D9CDA3" w:rsidR="0093153B" w:rsidRDefault="00771DF9" w:rsidP="00256065">
      <w:r>
        <w:t xml:space="preserve">The year was around 1557, and Rose Hickman was lying on a ‘large </w:t>
      </w:r>
      <w:proofErr w:type="spellStart"/>
      <w:r>
        <w:t>featherebed</w:t>
      </w:r>
      <w:proofErr w:type="spellEnd"/>
      <w:r>
        <w:t xml:space="preserve">’ in the bottom of an ‘old hulk’ </w:t>
      </w:r>
      <w:r w:rsidR="00E826FC">
        <w:t xml:space="preserve">making </w:t>
      </w:r>
      <w:r>
        <w:t>its way from England to Antwerp.</w:t>
      </w:r>
      <w:r w:rsidR="00D200BB">
        <w:rPr>
          <w:rStyle w:val="FootnoteReference"/>
        </w:rPr>
        <w:footnoteReference w:id="1"/>
      </w:r>
      <w:r>
        <w:t xml:space="preserve"> The voyage </w:t>
      </w:r>
      <w:r w:rsidR="00E16465">
        <w:t>took</w:t>
      </w:r>
      <w:r>
        <w:t xml:space="preserve"> five days and nights in </w:t>
      </w:r>
      <w:r w:rsidR="004C07B9">
        <w:t xml:space="preserve">stormy and tempestuous weather, </w:t>
      </w:r>
      <w:r>
        <w:t xml:space="preserve">and by the end of the journey the ship was in bad enough condition to be retired, ‘never [to] go to sea </w:t>
      </w:r>
      <w:proofErr w:type="spellStart"/>
      <w:r>
        <w:t>againe</w:t>
      </w:r>
      <w:proofErr w:type="spellEnd"/>
      <w:r>
        <w:t>’.</w:t>
      </w:r>
      <w:r>
        <w:rPr>
          <w:rStyle w:val="FootnoteReference"/>
        </w:rPr>
        <w:footnoteReference w:id="2"/>
      </w:r>
      <w:r>
        <w:t xml:space="preserve"> </w:t>
      </w:r>
      <w:r w:rsidR="00C50170">
        <w:t xml:space="preserve">Rose </w:t>
      </w:r>
      <w:r>
        <w:t xml:space="preserve">brought nothing else with her, all her ‘household </w:t>
      </w:r>
      <w:proofErr w:type="spellStart"/>
      <w:r>
        <w:t>stuffe</w:t>
      </w:r>
      <w:proofErr w:type="spellEnd"/>
      <w:r>
        <w:t>’ stored in friends’ houses in England while she travelled to reunite with her exiled husband. Fifty-three years later</w:t>
      </w:r>
      <w:r w:rsidR="00020A0D">
        <w:t>,</w:t>
      </w:r>
      <w:r>
        <w:t xml:space="preserve"> </w:t>
      </w:r>
      <w:r w:rsidR="003043FB">
        <w:t>Rose</w:t>
      </w:r>
      <w:r w:rsidR="001307E0">
        <w:t xml:space="preserve"> </w:t>
      </w:r>
      <w:r w:rsidR="00B016A9">
        <w:t xml:space="preserve">Hickman </w:t>
      </w:r>
      <w:r w:rsidR="00973BA6">
        <w:t xml:space="preserve">Throckmorton </w:t>
      </w:r>
      <w:r w:rsidR="00020A0D">
        <w:t>was sitting</w:t>
      </w:r>
      <w:r>
        <w:t xml:space="preserve"> in </w:t>
      </w:r>
      <w:r w:rsidR="00A16F22">
        <w:t>Gainsborough Old Hall</w:t>
      </w:r>
      <w:r w:rsidR="004C07B9">
        <w:t xml:space="preserve"> in Lincolnshire</w:t>
      </w:r>
      <w:r w:rsidR="00020A0D">
        <w:t>, a house</w:t>
      </w:r>
      <w:r w:rsidR="00A16F22">
        <w:t xml:space="preserve"> </w:t>
      </w:r>
      <w:r>
        <w:t xml:space="preserve">owned by </w:t>
      </w:r>
      <w:r w:rsidR="006E4D1B">
        <w:t>her eldest surviving son</w:t>
      </w:r>
      <w:r w:rsidR="001D576A">
        <w:t xml:space="preserve"> William</w:t>
      </w:r>
      <w:r w:rsidR="00973BA6">
        <w:t xml:space="preserve"> Hickman</w:t>
      </w:r>
      <w:r>
        <w:t xml:space="preserve">, writing an account of </w:t>
      </w:r>
      <w:r w:rsidR="00020A0D">
        <w:t>those</w:t>
      </w:r>
      <w:r>
        <w:t xml:space="preserve"> experiences</w:t>
      </w:r>
      <w:r w:rsidR="004C07B9">
        <w:t>.</w:t>
      </w:r>
      <w:r w:rsidR="00973BA6">
        <w:rPr>
          <w:rStyle w:val="FootnoteReference"/>
        </w:rPr>
        <w:footnoteReference w:id="3"/>
      </w:r>
      <w:r w:rsidR="004C07B9">
        <w:t xml:space="preserve"> </w:t>
      </w:r>
      <w:r>
        <w:t xml:space="preserve">The house </w:t>
      </w:r>
      <w:r w:rsidR="00A51903">
        <w:t>she</w:t>
      </w:r>
      <w:r w:rsidR="001D576A">
        <w:t xml:space="preserve"> was</w:t>
      </w:r>
      <w:r w:rsidR="00A51903">
        <w:t xml:space="preserve"> </w:t>
      </w:r>
      <w:r w:rsidR="001D576A">
        <w:t>sitting</w:t>
      </w:r>
      <w:r w:rsidR="00A51903">
        <w:t xml:space="preserve"> in</w:t>
      </w:r>
      <w:r w:rsidR="001D576A">
        <w:t xml:space="preserve"> </w:t>
      </w:r>
      <w:r w:rsidR="0024613D">
        <w:t xml:space="preserve">while she wrote her </w:t>
      </w:r>
      <w:r w:rsidR="001D576A">
        <w:t>account</w:t>
      </w:r>
      <w:r w:rsidR="00A51903">
        <w:t xml:space="preserve"> was testament to her family’s </w:t>
      </w:r>
      <w:r w:rsidR="0022132E">
        <w:t>economic and social</w:t>
      </w:r>
      <w:r w:rsidR="00A51903">
        <w:t xml:space="preserve"> success</w:t>
      </w:r>
      <w:r w:rsidR="00C852DE">
        <w:t xml:space="preserve"> following their</w:t>
      </w:r>
      <w:r w:rsidR="0024613D">
        <w:t xml:space="preserve"> period in</w:t>
      </w:r>
      <w:r w:rsidR="00C852DE">
        <w:t xml:space="preserve"> exile. B</w:t>
      </w:r>
      <w:r w:rsidR="00A51903">
        <w:t xml:space="preserve">ought by William in 1596, </w:t>
      </w:r>
      <w:r w:rsidR="0024613D">
        <w:t xml:space="preserve">Gainsborough Old Hall </w:t>
      </w:r>
      <w:r>
        <w:t xml:space="preserve">had been fashionably </w:t>
      </w:r>
      <w:r w:rsidR="0022132E">
        <w:t>and expensively r</w:t>
      </w:r>
      <w:r>
        <w:t xml:space="preserve">edecorated </w:t>
      </w:r>
      <w:r w:rsidR="0022132E">
        <w:t xml:space="preserve">by him </w:t>
      </w:r>
      <w:r>
        <w:t>with oak panelling, tapestries, rich furniture and painted walls ‘</w:t>
      </w:r>
      <w:r w:rsidRPr="00771DF9">
        <w:t xml:space="preserve">with intricate foliage </w:t>
      </w:r>
      <w:proofErr w:type="gramStart"/>
      <w:r w:rsidRPr="00771DF9">
        <w:t>patterns</w:t>
      </w:r>
      <w:r>
        <w:t>’</w:t>
      </w:r>
      <w:proofErr w:type="gramEnd"/>
      <w:r>
        <w:t>.</w:t>
      </w:r>
      <w:r>
        <w:rPr>
          <w:rStyle w:val="FootnoteReference"/>
        </w:rPr>
        <w:footnoteReference w:id="4"/>
      </w:r>
      <w:r>
        <w:t xml:space="preserve"> </w:t>
      </w:r>
      <w:r w:rsidR="00020A0D">
        <w:t xml:space="preserve">No one who saw it could be in any doubt that the Hickman family, despite those difficult years, had </w:t>
      </w:r>
      <w:r w:rsidR="00C40CC9">
        <w:t xml:space="preserve">since </w:t>
      </w:r>
      <w:r w:rsidR="00973BA6">
        <w:t xml:space="preserve">prospered. </w:t>
      </w:r>
      <w:r w:rsidR="00D569C7">
        <w:t>Rose’s</w:t>
      </w:r>
      <w:r w:rsidR="0024613D">
        <w:t xml:space="preserve"> autobiography was part of this project, and she titled it</w:t>
      </w:r>
      <w:r>
        <w:t xml:space="preserve"> ‘</w:t>
      </w:r>
      <w:proofErr w:type="spellStart"/>
      <w:r w:rsidRPr="00771DF9">
        <w:t>Certaine</w:t>
      </w:r>
      <w:proofErr w:type="spellEnd"/>
      <w:r w:rsidRPr="00771DF9">
        <w:t xml:space="preserve"> old stories recorded by an aged</w:t>
      </w:r>
      <w:r>
        <w:t xml:space="preserve"> </w:t>
      </w:r>
      <w:r w:rsidRPr="00771DF9">
        <w:t>gentlewoman a time</w:t>
      </w:r>
      <w:r>
        <w:t xml:space="preserve"> </w:t>
      </w:r>
      <w:r w:rsidRPr="00771DF9">
        <w:t>before her death</w:t>
      </w:r>
      <w:r>
        <w:t xml:space="preserve"> </w:t>
      </w:r>
      <w:r w:rsidRPr="00771DF9">
        <w:t xml:space="preserve">to be </w:t>
      </w:r>
      <w:r w:rsidR="004E53C9">
        <w:t>perused</w:t>
      </w:r>
      <w:r w:rsidRPr="00771DF9">
        <w:t xml:space="preserve"> by her</w:t>
      </w:r>
      <w:r>
        <w:t xml:space="preserve"> </w:t>
      </w:r>
      <w:r w:rsidRPr="00771DF9">
        <w:t>children and posterity</w:t>
      </w:r>
      <w:r>
        <w:t>’</w:t>
      </w:r>
      <w:r w:rsidR="0024613D">
        <w:t xml:space="preserve">. The autobiography was wide ranging: it </w:t>
      </w:r>
      <w:r w:rsidR="00C40CC9">
        <w:t xml:space="preserve">began by recounting a selection of childhood memories, before describing the years spent </w:t>
      </w:r>
      <w:r w:rsidR="0024613D">
        <w:t>in London</w:t>
      </w:r>
      <w:r w:rsidR="00C40CC9">
        <w:t xml:space="preserve"> and in exile</w:t>
      </w:r>
      <w:r w:rsidR="0024613D">
        <w:t xml:space="preserve"> in Antwerp</w:t>
      </w:r>
      <w:r w:rsidR="00C40CC9">
        <w:t xml:space="preserve"> under the Marian regime, ending with a section briefly describing William’s travels during 1567-8. </w:t>
      </w:r>
      <w:r w:rsidR="0024613D">
        <w:t xml:space="preserve">It is unusual in its </w:t>
      </w:r>
      <w:r w:rsidR="007A0138">
        <w:t>comprehensiveness and</w:t>
      </w:r>
      <w:r w:rsidR="0024613D">
        <w:t xml:space="preserve"> offers </w:t>
      </w:r>
      <w:r>
        <w:t xml:space="preserve">an </w:t>
      </w:r>
      <w:r w:rsidR="001176CE">
        <w:t xml:space="preserve">invaluable view of </w:t>
      </w:r>
      <w:r w:rsidR="000D2E1D">
        <w:t>the ways through which</w:t>
      </w:r>
      <w:r w:rsidR="001176CE">
        <w:t xml:space="preserve"> women could exert agency without directly engaging in trade, as well </w:t>
      </w:r>
      <w:r w:rsidR="000D2E1D">
        <w:t>as how</w:t>
      </w:r>
      <w:r w:rsidR="001176CE">
        <w:t xml:space="preserve"> this agency </w:t>
      </w:r>
      <w:r w:rsidR="000D2E1D">
        <w:t>could be both</w:t>
      </w:r>
      <w:r w:rsidR="001176CE">
        <w:t xml:space="preserve"> limited </w:t>
      </w:r>
      <w:r w:rsidR="005F1D0F">
        <w:t>and</w:t>
      </w:r>
      <w:r w:rsidR="000D2E1D">
        <w:t xml:space="preserve"> enabled</w:t>
      </w:r>
      <w:r w:rsidR="001176CE">
        <w:t xml:space="preserve"> by female sociability. </w:t>
      </w:r>
      <w:r w:rsidR="0024613D">
        <w:t xml:space="preserve">This article will </w:t>
      </w:r>
      <w:r w:rsidR="00360146">
        <w:t>use</w:t>
      </w:r>
      <w:r w:rsidR="0024613D">
        <w:t xml:space="preserve"> </w:t>
      </w:r>
      <w:r w:rsidR="005F1D0F">
        <w:t>Rose’s</w:t>
      </w:r>
      <w:r w:rsidR="00D569C7">
        <w:t xml:space="preserve"> </w:t>
      </w:r>
      <w:r w:rsidR="0024613D">
        <w:t xml:space="preserve">autography as a case study through which to interrogate the role sixteenth century women played as economic, </w:t>
      </w:r>
      <w:r w:rsidR="00F261B1">
        <w:t>religious</w:t>
      </w:r>
      <w:r w:rsidR="00F02228">
        <w:t>,</w:t>
      </w:r>
      <w:r w:rsidR="0024613D">
        <w:t xml:space="preserve"> and transcultural agents</w:t>
      </w:r>
      <w:r w:rsidR="0093153B">
        <w:t xml:space="preserve">, as well as examining how specific forms of </w:t>
      </w:r>
      <w:r w:rsidR="000D2E1D">
        <w:t>female agency</w:t>
      </w:r>
      <w:r w:rsidR="0093153B">
        <w:t xml:space="preserve"> could be used to enable dissent.</w:t>
      </w:r>
      <w:r w:rsidR="005F1D0F">
        <w:t xml:space="preserve"> </w:t>
      </w:r>
    </w:p>
    <w:p w14:paraId="6B33671C" w14:textId="47636938" w:rsidR="00435F9B" w:rsidRDefault="00824024" w:rsidP="00256065">
      <w:pPr>
        <w:ind w:firstLine="720"/>
      </w:pPr>
      <w:r>
        <w:t>Rose</w:t>
      </w:r>
      <w:r w:rsidR="00E629FF">
        <w:t xml:space="preserve"> Lok Hickman Throckmorton</w:t>
      </w:r>
      <w:r>
        <w:t xml:space="preserve"> lived during a period of rapid English mercantile expansion, and her family were at the heart of this </w:t>
      </w:r>
      <w:r w:rsidR="009A1DCC">
        <w:t>progress</w:t>
      </w:r>
      <w:r>
        <w:t xml:space="preserve">. Her father was </w:t>
      </w:r>
      <w:r w:rsidR="003043FB">
        <w:t>a</w:t>
      </w:r>
      <w:r>
        <w:t xml:space="preserve"> Merchant Adventurer and appears to have been active in the wine or currant trade as well as the export of beer.</w:t>
      </w:r>
      <w:r>
        <w:rPr>
          <w:rStyle w:val="FootnoteReference"/>
        </w:rPr>
        <w:footnoteReference w:id="5"/>
      </w:r>
      <w:r>
        <w:t xml:space="preserve"> Her brother Michael was similarly instrumental in driving the expansion of English </w:t>
      </w:r>
      <w:r>
        <w:lastRenderedPageBreak/>
        <w:t>trade markets in the 1550s as part of the Merchant Adventurers, and later in the 1570s as part of the Muscovy Company.</w:t>
      </w:r>
      <w:r>
        <w:rPr>
          <w:rStyle w:val="FootnoteReference"/>
        </w:rPr>
        <w:footnoteReference w:id="6"/>
      </w:r>
      <w:r>
        <w:t xml:space="preserve"> </w:t>
      </w:r>
      <w:r w:rsidR="00014BF1">
        <w:t xml:space="preserve">The Merchant Adventurers </w:t>
      </w:r>
      <w:r w:rsidR="00014BF1" w:rsidRPr="00A5090F">
        <w:rPr>
          <w:rFonts w:eastAsiaTheme="minorHAnsi"/>
          <w:lang w:eastAsia="en-US"/>
        </w:rPr>
        <w:t>oversaw the trade of English woollen cloth to</w:t>
      </w:r>
      <w:r w:rsidR="0024613D">
        <w:rPr>
          <w:rFonts w:eastAsiaTheme="minorHAnsi"/>
          <w:lang w:eastAsia="en-US"/>
        </w:rPr>
        <w:t xml:space="preserve"> </w:t>
      </w:r>
      <w:r w:rsidR="00014BF1" w:rsidRPr="00A5090F">
        <w:rPr>
          <w:rFonts w:eastAsiaTheme="minorHAnsi"/>
          <w:lang w:eastAsia="en-US"/>
        </w:rPr>
        <w:t>northern Europe</w:t>
      </w:r>
      <w:r w:rsidR="00014BF1">
        <w:t xml:space="preserve">, and as such were an immensely important mercantile </w:t>
      </w:r>
      <w:r w:rsidR="009A1DCC">
        <w:t>body</w:t>
      </w:r>
      <w:r w:rsidR="00014BF1">
        <w:t>.</w:t>
      </w:r>
      <w:r w:rsidR="00014BF1">
        <w:rPr>
          <w:rStyle w:val="FootnoteReference"/>
        </w:rPr>
        <w:footnoteReference w:id="7"/>
      </w:r>
      <w:r w:rsidR="009A1DCC">
        <w:t xml:space="preserve"> The Lok family’s connection to them helped to cement both their wealth and their social status, especially in </w:t>
      </w:r>
      <w:r w:rsidR="0008471F">
        <w:t>the latter half of the century</w:t>
      </w:r>
      <w:r w:rsidR="009A1DCC">
        <w:t xml:space="preserve"> as the number of trading companies </w:t>
      </w:r>
      <w:r w:rsidR="0008471F">
        <w:t>began to increase</w:t>
      </w:r>
      <w:r w:rsidR="009A1DCC">
        <w:t xml:space="preserve"> rapidly</w:t>
      </w:r>
      <w:r w:rsidR="0008471F">
        <w:t xml:space="preserve"> with increased English travel</w:t>
      </w:r>
      <w:r w:rsidR="009A1DCC">
        <w:t>.</w:t>
      </w:r>
      <w:r w:rsidR="00014BF1">
        <w:t xml:space="preserve"> </w:t>
      </w:r>
      <w:r>
        <w:t>In the century following</w:t>
      </w:r>
      <w:r w:rsidR="00E914B7">
        <w:t xml:space="preserve"> the</w:t>
      </w:r>
      <w:r>
        <w:t xml:space="preserve"> 1550</w:t>
      </w:r>
      <w:r w:rsidR="00E914B7">
        <w:t>s</w:t>
      </w:r>
      <w:r>
        <w:t xml:space="preserve">, the decade </w:t>
      </w:r>
      <w:r w:rsidR="006759E1">
        <w:t xml:space="preserve">the main part of </w:t>
      </w:r>
      <w:r w:rsidR="00D569C7">
        <w:t xml:space="preserve">Rose’s </w:t>
      </w:r>
      <w:r>
        <w:t xml:space="preserve">autobiography </w:t>
      </w:r>
      <w:r w:rsidR="006759E1">
        <w:t>covers</w:t>
      </w:r>
      <w:r>
        <w:t xml:space="preserve">, thousands of English merchants would launch and participate in </w:t>
      </w:r>
      <w:r w:rsidR="003043FB">
        <w:t xml:space="preserve">similar </w:t>
      </w:r>
      <w:r>
        <w:t>ventures across the globe.</w:t>
      </w:r>
      <w:r>
        <w:rPr>
          <w:rStyle w:val="FootnoteReference"/>
        </w:rPr>
        <w:footnoteReference w:id="8"/>
      </w:r>
      <w:r>
        <w:t xml:space="preserve"> </w:t>
      </w:r>
      <w:r w:rsidR="00925088">
        <w:t xml:space="preserve">The economic and commercial development their trade drove was also a cultural and social phenomenon. </w:t>
      </w:r>
      <w:r w:rsidR="006759E1">
        <w:t>The</w:t>
      </w:r>
      <w:r w:rsidR="00925088">
        <w:t>se merchants</w:t>
      </w:r>
      <w:r w:rsidR="006759E1">
        <w:t xml:space="preserve"> </w:t>
      </w:r>
      <w:r w:rsidR="00925088">
        <w:t>formed</w:t>
      </w:r>
      <w:r w:rsidR="006759E1">
        <w:t xml:space="preserve"> a closely knit community</w:t>
      </w:r>
      <w:r w:rsidR="00CD38A6">
        <w:t xml:space="preserve"> knitted together by </w:t>
      </w:r>
      <w:r w:rsidR="00435F9B">
        <w:t xml:space="preserve">both </w:t>
      </w:r>
      <w:r w:rsidR="00CD38A6">
        <w:t>custom and capital</w:t>
      </w:r>
      <w:r w:rsidR="006759E1">
        <w:t>: mercantile work</w:t>
      </w:r>
      <w:r>
        <w:t xml:space="preserve"> depend</w:t>
      </w:r>
      <w:r w:rsidR="003043FB">
        <w:t>ed</w:t>
      </w:r>
      <w:r>
        <w:t xml:space="preserve"> on the establishment of common values and practices, while social and familial connections </w:t>
      </w:r>
      <w:r w:rsidR="00435F9B">
        <w:t xml:space="preserve">aided the expansion and consolidation of </w:t>
      </w:r>
      <w:r>
        <w:t>both influence and wealth.</w:t>
      </w:r>
      <w:r>
        <w:rPr>
          <w:rStyle w:val="FootnoteReference"/>
        </w:rPr>
        <w:footnoteReference w:id="9"/>
      </w:r>
      <w:r w:rsidR="006759E1">
        <w:t xml:space="preserve"> </w:t>
      </w:r>
    </w:p>
    <w:p w14:paraId="05E39906" w14:textId="77777777" w:rsidR="00813501" w:rsidRDefault="00824024" w:rsidP="00256065">
      <w:r>
        <w:t xml:space="preserve">Great attention has been paid within scholarship to the lives of these male merchants, with the vast quantity of letters and </w:t>
      </w:r>
      <w:r w:rsidR="006759E1">
        <w:t>logbooks</w:t>
      </w:r>
      <w:r>
        <w:t xml:space="preserve"> they produced providing detailed insights into their social dynamics</w:t>
      </w:r>
      <w:r w:rsidR="006759E1">
        <w:t xml:space="preserve"> and practices</w:t>
      </w:r>
      <w:r>
        <w:t xml:space="preserve">. </w:t>
      </w:r>
    </w:p>
    <w:p w14:paraId="384F7269" w14:textId="19DF116A" w:rsidR="00BD79AD" w:rsidRDefault="00824024" w:rsidP="00256065">
      <w:pPr>
        <w:ind w:firstLine="720"/>
      </w:pPr>
      <w:r>
        <w:t xml:space="preserve">Women </w:t>
      </w:r>
      <w:r w:rsidR="006759E1">
        <w:t xml:space="preserve">played vital roles within these </w:t>
      </w:r>
      <w:r w:rsidR="00FD475A">
        <w:t>communities</w:t>
      </w:r>
      <w:r w:rsidR="006759E1">
        <w:t xml:space="preserve">, </w:t>
      </w:r>
      <w:r w:rsidR="006759E1" w:rsidRPr="006759E1">
        <w:t>both socially</w:t>
      </w:r>
      <w:r w:rsidR="00925088">
        <w:t xml:space="preserve"> in</w:t>
      </w:r>
      <w:r w:rsidR="006759E1" w:rsidRPr="006759E1">
        <w:t xml:space="preserve"> connecting disparate communities through marriage, practically as record keepers through modes of literary production, and economically through their material engagement.</w:t>
      </w:r>
      <w:r w:rsidR="006759E1">
        <w:t xml:space="preserve"> In </w:t>
      </w:r>
      <w:r w:rsidR="00925088">
        <w:t>these</w:t>
      </w:r>
      <w:r w:rsidR="006759E1">
        <w:t xml:space="preserve"> role</w:t>
      </w:r>
      <w:r w:rsidR="00925088">
        <w:t>s, and particularly in their work</w:t>
      </w:r>
      <w:r w:rsidR="006759E1">
        <w:t xml:space="preserve"> drawing </w:t>
      </w:r>
      <w:r>
        <w:t>disparate parts of the</w:t>
      </w:r>
      <w:r w:rsidR="00925088">
        <w:t>se</w:t>
      </w:r>
      <w:r>
        <w:t xml:space="preserve"> </w:t>
      </w:r>
      <w:r w:rsidR="00925088">
        <w:t xml:space="preserve">networks </w:t>
      </w:r>
      <w:r>
        <w:t>together through marriage</w:t>
      </w:r>
      <w:r w:rsidR="00925088">
        <w:t>,</w:t>
      </w:r>
      <w:r>
        <w:t xml:space="preserve"> </w:t>
      </w:r>
      <w:r w:rsidR="006759E1">
        <w:t xml:space="preserve">they </w:t>
      </w:r>
      <w:r w:rsidR="00925088">
        <w:t>acted as</w:t>
      </w:r>
      <w:r>
        <w:t xml:space="preserve"> ‘go-betweens’, a role which </w:t>
      </w:r>
      <w:r w:rsidR="003043FB">
        <w:t xml:space="preserve">early modern </w:t>
      </w:r>
      <w:r>
        <w:t>women often played unofficially in matters of social networking.</w:t>
      </w:r>
      <w:r>
        <w:rPr>
          <w:rStyle w:val="FootnoteReference"/>
        </w:rPr>
        <w:footnoteReference w:id="10"/>
      </w:r>
      <w:r>
        <w:t xml:space="preserve"> </w:t>
      </w:r>
      <w:r w:rsidR="006759E1" w:rsidRPr="006759E1">
        <w:t xml:space="preserve">Scholarship which </w:t>
      </w:r>
      <w:r w:rsidR="00925088">
        <w:t>has examined</w:t>
      </w:r>
      <w:r w:rsidR="006759E1" w:rsidRPr="006759E1">
        <w:t xml:space="preserve"> the lives of sixteenth century merchant women has tended to </w:t>
      </w:r>
      <w:r w:rsidR="006759E1">
        <w:t>place them within wider analytical frames</w:t>
      </w:r>
      <w:r w:rsidR="00925088">
        <w:t>, using their lives as a means through which to examine</w:t>
      </w:r>
      <w:r w:rsidR="006759E1">
        <w:t xml:space="preserve"> concepts</w:t>
      </w:r>
      <w:r w:rsidR="00FD475A">
        <w:t xml:space="preserve"> such as privacy or the development of mercantile capitalism</w:t>
      </w:r>
      <w:r w:rsidR="00A571EF">
        <w:t>.</w:t>
      </w:r>
      <w:r w:rsidR="00FD475A">
        <w:rPr>
          <w:rStyle w:val="FootnoteReference"/>
        </w:rPr>
        <w:footnoteReference w:id="11"/>
      </w:r>
      <w:r w:rsidR="00A571EF">
        <w:t xml:space="preserve"> W</w:t>
      </w:r>
      <w:r w:rsidR="00925088">
        <w:t>ork</w:t>
      </w:r>
      <w:r w:rsidR="006759E1">
        <w:t xml:space="preserve"> which</w:t>
      </w:r>
      <w:r w:rsidR="006759E1" w:rsidRPr="006759E1">
        <w:t xml:space="preserve"> does </w:t>
      </w:r>
      <w:r w:rsidR="00925088">
        <w:t xml:space="preserve">specifically </w:t>
      </w:r>
      <w:r w:rsidR="006759E1" w:rsidRPr="006759E1">
        <w:t xml:space="preserve">examine women’s </w:t>
      </w:r>
      <w:r w:rsidR="000A5D33">
        <w:t xml:space="preserve">economic </w:t>
      </w:r>
      <w:r w:rsidR="006759E1" w:rsidRPr="006759E1">
        <w:t xml:space="preserve">roles within mercantile communities has focused on </w:t>
      </w:r>
      <w:r w:rsidR="00E914B7">
        <w:t xml:space="preserve">their roles as investors in </w:t>
      </w:r>
      <w:r w:rsidR="006759E1" w:rsidRPr="006759E1">
        <w:t>the</w:t>
      </w:r>
      <w:r w:rsidR="00FD475A">
        <w:t xml:space="preserve"> later</w:t>
      </w:r>
      <w:r w:rsidR="006759E1" w:rsidRPr="006759E1">
        <w:t xml:space="preserve"> seventeenth century, </w:t>
      </w:r>
      <w:r w:rsidR="00FD475A">
        <w:t>when</w:t>
      </w:r>
      <w:r w:rsidR="00FD475A" w:rsidRPr="006759E1">
        <w:t xml:space="preserve"> </w:t>
      </w:r>
      <w:r w:rsidR="006759E1">
        <w:t>trading</w:t>
      </w:r>
      <w:r w:rsidR="006759E1" w:rsidRPr="006759E1">
        <w:t xml:space="preserve"> companies were better established</w:t>
      </w:r>
      <w:r w:rsidR="006759E1">
        <w:t>.</w:t>
      </w:r>
      <w:r w:rsidR="006759E1">
        <w:rPr>
          <w:rStyle w:val="FootnoteReference"/>
        </w:rPr>
        <w:footnoteReference w:id="12"/>
      </w:r>
      <w:r w:rsidR="006759E1">
        <w:t xml:space="preserve"> </w:t>
      </w:r>
      <w:r w:rsidR="00A571EF">
        <w:t>The role</w:t>
      </w:r>
      <w:r w:rsidR="00BD79AD">
        <w:t xml:space="preserve">s </w:t>
      </w:r>
      <w:r w:rsidR="00A571EF">
        <w:t>sixteenth century</w:t>
      </w:r>
      <w:r w:rsidR="00E914B7">
        <w:t xml:space="preserve"> women </w:t>
      </w:r>
      <w:r w:rsidR="00BD79AD">
        <w:t xml:space="preserve">played </w:t>
      </w:r>
      <w:r w:rsidR="00E914B7">
        <w:t>within mercantile communities</w:t>
      </w:r>
      <w:r w:rsidR="00BD79AD">
        <w:t xml:space="preserve"> have received less attention, but</w:t>
      </w:r>
      <w:r w:rsidRPr="00A5090F">
        <w:t xml:space="preserve"> </w:t>
      </w:r>
      <w:r w:rsidR="00BD79AD">
        <w:t>are</w:t>
      </w:r>
      <w:r w:rsidR="00BD79AD" w:rsidRPr="00A5090F">
        <w:t xml:space="preserve"> </w:t>
      </w:r>
      <w:r w:rsidRPr="00A5090F">
        <w:t xml:space="preserve">vital </w:t>
      </w:r>
      <w:r w:rsidR="00BD79AD">
        <w:t>for</w:t>
      </w:r>
      <w:r w:rsidR="00BD79AD" w:rsidRPr="00A5090F">
        <w:t xml:space="preserve"> </w:t>
      </w:r>
      <w:r w:rsidRPr="00A5090F">
        <w:t xml:space="preserve">understanding the </w:t>
      </w:r>
      <w:r>
        <w:t xml:space="preserve">development of </w:t>
      </w:r>
      <w:r w:rsidR="006759E1">
        <w:t>England’s mercantile community during its most rapid period of expansion.</w:t>
      </w:r>
      <w:r>
        <w:t xml:space="preserve"> </w:t>
      </w:r>
    </w:p>
    <w:p w14:paraId="74439F00" w14:textId="4C8434CC" w:rsidR="000A5D33" w:rsidRDefault="00BD79AD" w:rsidP="00256065">
      <w:pPr>
        <w:ind w:firstLine="720"/>
      </w:pPr>
      <w:r>
        <w:t>It is important here to clarify the remit of these roles</w:t>
      </w:r>
      <w:r w:rsidR="000A5D33">
        <w:t xml:space="preserve">. Owing to the patriarchal nature of trading companies, women — other than Royal women — were rarely named on charters in the </w:t>
      </w:r>
      <w:r w:rsidR="00E422E4">
        <w:t>period and</w:t>
      </w:r>
      <w:r w:rsidR="000A5D33">
        <w:t xml:space="preserve"> did not </w:t>
      </w:r>
      <w:r w:rsidR="00C21A8B">
        <w:t xml:space="preserve">necessarily </w:t>
      </w:r>
      <w:r w:rsidR="000A5D33">
        <w:t>act as merchants in the same way that men did, actively engaging in travel and attending Company meetings. Instead, the term ‘mercantile agents’ is here intended to reflect the wide span of activities within such a community, which both enabled and developed on traditionally ‘male’ activities.</w:t>
      </w:r>
      <w:r>
        <w:t xml:space="preserve"> </w:t>
      </w:r>
      <w:r w:rsidR="000A5D33">
        <w:t xml:space="preserve">Rather than exploring the limitations </w:t>
      </w:r>
      <w:r w:rsidR="00E422E4">
        <w:t>such</w:t>
      </w:r>
      <w:r w:rsidR="000A5D33">
        <w:t xml:space="preserve"> women faced, this article </w:t>
      </w:r>
      <w:r w:rsidR="00A7104C">
        <w:t xml:space="preserve">intends </w:t>
      </w:r>
      <w:r w:rsidR="000A5D33">
        <w:t>instead to use Rose’s autobiography as a</w:t>
      </w:r>
      <w:r w:rsidR="00EB4088">
        <w:t xml:space="preserve">n example of </w:t>
      </w:r>
      <w:r w:rsidR="000A5D33">
        <w:lastRenderedPageBreak/>
        <w:t xml:space="preserve">how women could utilise </w:t>
      </w:r>
      <w:r w:rsidR="00A7104C">
        <w:t>mercantile connections</w:t>
      </w:r>
      <w:r w:rsidR="000A5D33">
        <w:t xml:space="preserve"> within the community</w:t>
      </w:r>
      <w:r w:rsidR="00A7104C">
        <w:t xml:space="preserve">, </w:t>
      </w:r>
      <w:r w:rsidR="000A5D33">
        <w:t>despite its patriarchal structure, to exert a specific form of agency. In this</w:t>
      </w:r>
      <w:r w:rsidR="00C21A8B">
        <w:t>,</w:t>
      </w:r>
      <w:r w:rsidR="000A5D33">
        <w:t xml:space="preserve"> I am drawing </w:t>
      </w:r>
      <w:r w:rsidR="0083005D">
        <w:t>on</w:t>
      </w:r>
      <w:r w:rsidR="000A5D33">
        <w:t xml:space="preserve"> Alex Shepard’s conception of contemporary attitudes to work</w:t>
      </w:r>
      <w:r w:rsidR="00EB4088">
        <w:t xml:space="preserve">. </w:t>
      </w:r>
      <w:r w:rsidR="00A7104C">
        <w:t>Her study of the early modern English economy highlights how</w:t>
      </w:r>
      <w:r w:rsidR="000A5D33">
        <w:t xml:space="preserve"> </w:t>
      </w:r>
      <w:r w:rsidR="00A7104C">
        <w:t>it</w:t>
      </w:r>
      <w:r>
        <w:t xml:space="preserve"> relied on both financial and social</w:t>
      </w:r>
      <w:r w:rsidR="00EB4088">
        <w:t xml:space="preserve"> credit</w:t>
      </w:r>
      <w:r>
        <w:t xml:space="preserve"> to function</w:t>
      </w:r>
      <w:r w:rsidR="00841A9C">
        <w:t xml:space="preserve">: in her words, </w:t>
      </w:r>
      <w:r>
        <w:t>‘e</w:t>
      </w:r>
      <w:r w:rsidRPr="00BD79AD">
        <w:t>conomic lives were only partially differentiated from social lives</w:t>
      </w:r>
      <w:r>
        <w:t>’</w:t>
      </w:r>
      <w:r w:rsidR="00EB4088">
        <w:t xml:space="preserve"> </w:t>
      </w:r>
      <w:r>
        <w:t xml:space="preserve">in large part </w:t>
      </w:r>
      <w:r w:rsidR="000A5D33">
        <w:t xml:space="preserve">because the early modern conception of work was of </w:t>
      </w:r>
      <w:r w:rsidR="000A5D33" w:rsidRPr="00807E21">
        <w:t>having</w:t>
      </w:r>
      <w:r w:rsidR="000A5D33">
        <w:t xml:space="preserve"> a living rather than getting one</w:t>
      </w:r>
      <w:r>
        <w:t>, associating wealth with the possession of goods rather than income.</w:t>
      </w:r>
      <w:r>
        <w:rPr>
          <w:rStyle w:val="FootnoteReference"/>
        </w:rPr>
        <w:footnoteReference w:id="13"/>
      </w:r>
      <w:r>
        <w:t xml:space="preserve"> </w:t>
      </w:r>
      <w:r w:rsidR="00EB4088">
        <w:t xml:space="preserve">The connections needed to source and manage these goods were therefore a vital part of the economy. </w:t>
      </w:r>
      <w:r w:rsidR="000206C7">
        <w:t xml:space="preserve">The role women </w:t>
      </w:r>
      <w:r w:rsidR="00EB4088">
        <w:t xml:space="preserve">played </w:t>
      </w:r>
      <w:r w:rsidR="000206C7">
        <w:t>within mercantile communities as</w:t>
      </w:r>
      <w:r w:rsidR="00EB4088">
        <w:t xml:space="preserve"> </w:t>
      </w:r>
      <w:r w:rsidR="000206C7">
        <w:t xml:space="preserve">asset managers and </w:t>
      </w:r>
      <w:r w:rsidR="000A5D33">
        <w:t xml:space="preserve">developers of social credit </w:t>
      </w:r>
      <w:r w:rsidR="001A1B31">
        <w:t xml:space="preserve">thus </w:t>
      </w:r>
      <w:r w:rsidR="000A5D33">
        <w:t xml:space="preserve">makes it vital to </w:t>
      </w:r>
      <w:r w:rsidR="0022359A">
        <w:t xml:space="preserve">incorporate these activities to </w:t>
      </w:r>
      <w:r w:rsidR="000A5D33">
        <w:t xml:space="preserve">expand our understanding of what ‘mercantile agency’ was: not just direct involvement in trade, but also the wider social practices and wealth management that made this activity possible. </w:t>
      </w:r>
      <w:r w:rsidR="0022359A">
        <w:t>In some ways Rose is an exception — she was extremely well connected and unusually chose to preserve her account — but repeated references to other women suggests she was not alone in her approach</w:t>
      </w:r>
      <w:r w:rsidR="00741822">
        <w:t>, and she was certainly not the only female traveller in the period</w:t>
      </w:r>
      <w:r w:rsidR="0022359A">
        <w:t>.</w:t>
      </w:r>
      <w:r w:rsidR="00F05ED5">
        <w:rPr>
          <w:rStyle w:val="FootnoteReference"/>
        </w:rPr>
        <w:footnoteReference w:id="14"/>
      </w:r>
    </w:p>
    <w:p w14:paraId="2299A682" w14:textId="60731CF1" w:rsidR="004F781E" w:rsidRDefault="00741822" w:rsidP="00256065">
      <w:pPr>
        <w:ind w:firstLine="720"/>
      </w:pPr>
      <w:r>
        <w:t>Her</w:t>
      </w:r>
      <w:r w:rsidR="004F781E">
        <w:t xml:space="preserve"> autobiography</w:t>
      </w:r>
      <w:r>
        <w:t>, however,</w:t>
      </w:r>
      <w:r w:rsidR="004F781E">
        <w:t xml:space="preserve"> has been the focus of limited study to date. It was used as the key source of information for the </w:t>
      </w:r>
      <w:r w:rsidR="004F781E" w:rsidRPr="00645342">
        <w:rPr>
          <w:i/>
          <w:iCs/>
        </w:rPr>
        <w:t>Oxford Dictionary of National Biography</w:t>
      </w:r>
      <w:r w:rsidR="004F781E">
        <w:t xml:space="preserve"> entry </w:t>
      </w:r>
      <w:r w:rsidR="0075524B">
        <w:t>for</w:t>
      </w:r>
      <w:r w:rsidR="004F781E">
        <w:t xml:space="preserve"> </w:t>
      </w:r>
      <w:r w:rsidR="00D569C7">
        <w:t>Rose</w:t>
      </w:r>
      <w:r w:rsidR="004F781E">
        <w:t>,</w:t>
      </w:r>
      <w:r w:rsidR="0075524B">
        <w:t xml:space="preserve"> and </w:t>
      </w:r>
      <w:r w:rsidR="004F781E">
        <w:t xml:space="preserve">has been the focus of two articles: Maria Dowling and Joy Shakespeare’s </w:t>
      </w:r>
      <w:r w:rsidR="004F781E" w:rsidRPr="00A5090F">
        <w:t>‘Religion and Politics in Mid Tudor England through the Eyes of an English Protestant Woman: The Recollections of Rose Hickman’</w:t>
      </w:r>
      <w:r w:rsidR="004F781E">
        <w:t xml:space="preserve"> (1982) and Jennifer </w:t>
      </w:r>
      <w:r w:rsidR="004F781E" w:rsidRPr="00A5090F">
        <w:t>Higginbotham</w:t>
      </w:r>
      <w:r w:rsidR="004F781E">
        <w:t xml:space="preserve">’s </w:t>
      </w:r>
      <w:r w:rsidR="004F781E" w:rsidRPr="00A5090F">
        <w:t>‘The Exile of Rose Hickman Throckmorton’</w:t>
      </w:r>
      <w:r w:rsidR="004F781E">
        <w:t xml:space="preserve"> (2010).</w:t>
      </w:r>
      <w:r w:rsidR="004F781E">
        <w:rPr>
          <w:rStyle w:val="FootnoteReference"/>
        </w:rPr>
        <w:footnoteReference w:id="15"/>
      </w:r>
      <w:r w:rsidR="004F781E">
        <w:t xml:space="preserve"> In their article, </w:t>
      </w:r>
      <w:r w:rsidR="004F781E" w:rsidRPr="00A5090F">
        <w:t xml:space="preserve">Dowling and Shakespeare used the manuscript as a way to examine religious concerns and everyday practices, </w:t>
      </w:r>
      <w:r w:rsidR="004F781E">
        <w:t xml:space="preserve">while </w:t>
      </w:r>
      <w:r w:rsidR="004F781E" w:rsidRPr="00A5090F">
        <w:t>Higginbotham</w:t>
      </w:r>
      <w:r w:rsidR="004F781E">
        <w:t xml:space="preserve"> examined how it ‘</w:t>
      </w:r>
      <w:r w:rsidR="004F781E" w:rsidRPr="00A5090F">
        <w:t xml:space="preserve">recast[s] history through the lens of the family rather than the state […] </w:t>
      </w:r>
      <w:r w:rsidR="004F781E">
        <w:t>[using]</w:t>
      </w:r>
      <w:r w:rsidR="004F781E" w:rsidRPr="00A5090F">
        <w:t xml:space="preserve"> family history to imagine a Protestant future for those who survived the Reformation’.</w:t>
      </w:r>
      <w:r w:rsidR="004F781E">
        <w:rPr>
          <w:rStyle w:val="FootnoteReference"/>
        </w:rPr>
        <w:footnoteReference w:id="16"/>
      </w:r>
      <w:r w:rsidR="004F781E">
        <w:t xml:space="preserve"> She argues that </w:t>
      </w:r>
      <w:r w:rsidR="00D569C7">
        <w:t xml:space="preserve">Rose’s </w:t>
      </w:r>
      <w:r w:rsidR="004F781E">
        <w:t xml:space="preserve">manuscript </w:t>
      </w:r>
      <w:r w:rsidR="004F781E" w:rsidRPr="00A5090F">
        <w:t>‘highlights domestic affective relationships rather than mercantile and exploratory concerns’,</w:t>
      </w:r>
      <w:r w:rsidR="004F781E">
        <w:t xml:space="preserve"> but </w:t>
      </w:r>
      <w:r w:rsidR="007B2DCA">
        <w:t xml:space="preserve">as stated above, </w:t>
      </w:r>
      <w:r w:rsidR="004F781E">
        <w:t>recent scholarship on</w:t>
      </w:r>
      <w:r w:rsidR="007B2DCA">
        <w:t xml:space="preserve"> economic and social history </w:t>
      </w:r>
      <w:r w:rsidR="003B6AF1">
        <w:t>suggests</w:t>
      </w:r>
      <w:r w:rsidR="00FE362A">
        <w:t xml:space="preserve"> that</w:t>
      </w:r>
      <w:r w:rsidR="004F781E">
        <w:t xml:space="preserve"> these were inextricable. </w:t>
      </w:r>
      <w:r w:rsidR="007B2DCA">
        <w:t xml:space="preserve">How Rose experienced and expressed those domestic affective relationships, I argue, is therefore directly relevant to her and her family’s mercantile and religious concerns. </w:t>
      </w:r>
      <w:r w:rsidR="000554B9">
        <w:t>culturally through their participation in specifically female communities and practices.</w:t>
      </w:r>
    </w:p>
    <w:p w14:paraId="48AA08BA" w14:textId="77777777" w:rsidR="00256065" w:rsidRDefault="00256065" w:rsidP="00256065">
      <w:pPr>
        <w:ind w:firstLine="720"/>
      </w:pPr>
    </w:p>
    <w:p w14:paraId="325B0EAB" w14:textId="4169E8B7" w:rsidR="00A1366F" w:rsidRDefault="00A1366F" w:rsidP="00256065">
      <w:pPr>
        <w:pStyle w:val="Heading1"/>
        <w:jc w:val="center"/>
      </w:pPr>
      <w:r>
        <w:t>***</w:t>
      </w:r>
    </w:p>
    <w:p w14:paraId="0F3C680C" w14:textId="77777777" w:rsidR="00256065" w:rsidRDefault="00256065" w:rsidP="00256065"/>
    <w:p w14:paraId="4B94D812" w14:textId="3E1D907A" w:rsidR="004F781E" w:rsidRDefault="00C772F5" w:rsidP="00256065">
      <w:r>
        <w:t xml:space="preserve">The autobiographical account is currently preserved in two manuscripts held at the British Library: </w:t>
      </w:r>
      <w:r w:rsidRPr="00CB468A">
        <w:rPr>
          <w:rFonts w:eastAsiaTheme="majorEastAsia"/>
        </w:rPr>
        <w:t>Add</w:t>
      </w:r>
      <w:r w:rsidRPr="00A5090F">
        <w:t xml:space="preserve"> </w:t>
      </w:r>
      <w:r w:rsidRPr="00CB468A">
        <w:rPr>
          <w:rFonts w:eastAsiaTheme="majorEastAsia"/>
        </w:rPr>
        <w:t>MS</w:t>
      </w:r>
      <w:r w:rsidRPr="00A5090F">
        <w:t xml:space="preserve"> </w:t>
      </w:r>
      <w:r w:rsidRPr="00CB468A">
        <w:rPr>
          <w:rFonts w:eastAsiaTheme="majorEastAsia"/>
        </w:rPr>
        <w:t>43827</w:t>
      </w:r>
      <w:r w:rsidRPr="00A5090F">
        <w:t xml:space="preserve"> A</w:t>
      </w:r>
      <w:r>
        <w:t xml:space="preserve"> and </w:t>
      </w:r>
      <w:proofErr w:type="gramStart"/>
      <w:r w:rsidRPr="00A5090F">
        <w:t>B</w:t>
      </w:r>
      <w:r>
        <w:t>, and</w:t>
      </w:r>
      <w:proofErr w:type="gramEnd"/>
      <w:r w:rsidRPr="00DC2FAD">
        <w:t xml:space="preserve"> </w:t>
      </w:r>
      <w:r w:rsidRPr="00A5090F">
        <w:t>Add MS 45027</w:t>
      </w:r>
      <w:r>
        <w:t xml:space="preserve">. </w:t>
      </w:r>
      <w:r w:rsidRPr="00ED633D">
        <w:rPr>
          <w:rFonts w:eastAsiaTheme="majorEastAsia"/>
        </w:rPr>
        <w:t>Add</w:t>
      </w:r>
      <w:r w:rsidRPr="00A5090F">
        <w:t xml:space="preserve"> </w:t>
      </w:r>
      <w:r w:rsidRPr="00ED633D">
        <w:rPr>
          <w:rFonts w:eastAsiaTheme="majorEastAsia"/>
        </w:rPr>
        <w:t>MS</w:t>
      </w:r>
      <w:r w:rsidRPr="00A5090F">
        <w:t xml:space="preserve"> </w:t>
      </w:r>
      <w:r w:rsidRPr="00ED633D">
        <w:rPr>
          <w:rFonts w:eastAsiaTheme="majorEastAsia"/>
        </w:rPr>
        <w:t>43827</w:t>
      </w:r>
      <w:r w:rsidRPr="00A5090F">
        <w:t xml:space="preserve"> </w:t>
      </w:r>
      <w:r>
        <w:t xml:space="preserve">is in two parts: </w:t>
      </w:r>
      <w:r w:rsidRPr="00A5090F">
        <w:t>A</w:t>
      </w:r>
      <w:r>
        <w:t xml:space="preserve"> </w:t>
      </w:r>
      <w:r w:rsidRPr="00A5090F">
        <w:t>is the original</w:t>
      </w:r>
      <w:r>
        <w:t xml:space="preserve"> written by Rose,</w:t>
      </w:r>
      <w:r w:rsidRPr="00A5090F">
        <w:t xml:space="preserve"> </w:t>
      </w:r>
      <w:r>
        <w:rPr>
          <w:rFonts w:eastAsiaTheme="majorEastAsia"/>
        </w:rPr>
        <w:t>and</w:t>
      </w:r>
      <w:r w:rsidRPr="00A5090F">
        <w:t xml:space="preserve"> </w:t>
      </w:r>
      <w:r>
        <w:t xml:space="preserve">B is a copy written by a descendent, Elizabeth Hickman </w:t>
      </w:r>
      <w:r w:rsidR="005637D5">
        <w:t xml:space="preserve">in </w:t>
      </w:r>
      <w:r>
        <w:t>around 1677</w:t>
      </w:r>
      <w:r w:rsidR="005637D5">
        <w:t>.</w:t>
      </w:r>
      <w:r>
        <w:t xml:space="preserve"> </w:t>
      </w:r>
      <w:r w:rsidRPr="00A5090F">
        <w:t xml:space="preserve">Add MS 45027 </w:t>
      </w:r>
      <w:r>
        <w:t>is another copy</w:t>
      </w:r>
      <w:r w:rsidRPr="00A5090F">
        <w:t xml:space="preserve"> </w:t>
      </w:r>
      <w:r>
        <w:t>made after 1637 which excludes large sections of the original.</w:t>
      </w:r>
      <w:r>
        <w:rPr>
          <w:rStyle w:val="FootnoteReference"/>
        </w:rPr>
        <w:footnoteReference w:id="17"/>
      </w:r>
      <w:r>
        <w:t xml:space="preserve"> </w:t>
      </w:r>
      <w:r w:rsidRPr="00ED633D">
        <w:rPr>
          <w:rFonts w:eastAsiaTheme="majorEastAsia"/>
        </w:rPr>
        <w:t>Add</w:t>
      </w:r>
      <w:r w:rsidRPr="00A5090F">
        <w:t xml:space="preserve"> </w:t>
      </w:r>
      <w:r w:rsidRPr="00ED633D">
        <w:rPr>
          <w:rFonts w:eastAsiaTheme="majorEastAsia"/>
        </w:rPr>
        <w:t>MS</w:t>
      </w:r>
      <w:r w:rsidRPr="00A5090F">
        <w:t xml:space="preserve"> 45027</w:t>
      </w:r>
      <w:r>
        <w:t xml:space="preserve"> and </w:t>
      </w:r>
      <w:r w:rsidRPr="00ED633D">
        <w:rPr>
          <w:rFonts w:eastAsiaTheme="majorEastAsia"/>
        </w:rPr>
        <w:t>43827</w:t>
      </w:r>
      <w:r w:rsidRPr="00A5090F">
        <w:t xml:space="preserve"> </w:t>
      </w:r>
      <w:r>
        <w:t xml:space="preserve">B are incomplete and omit parts of the original narrative, but </w:t>
      </w:r>
      <w:r>
        <w:rPr>
          <w:rFonts w:eastAsiaTheme="majorEastAsia"/>
        </w:rPr>
        <w:t xml:space="preserve">the former </w:t>
      </w:r>
      <w:r>
        <w:t xml:space="preserve">does </w:t>
      </w:r>
      <w:r w:rsidRPr="00A5090F">
        <w:t>include a</w:t>
      </w:r>
      <w:r>
        <w:t>n additional</w:t>
      </w:r>
      <w:r w:rsidRPr="00A64167">
        <w:t xml:space="preserve"> verse</w:t>
      </w:r>
      <w:r>
        <w:t xml:space="preserve"> titled</w:t>
      </w:r>
      <w:r w:rsidRPr="00A64167">
        <w:t xml:space="preserve"> </w:t>
      </w:r>
      <w:r w:rsidR="00A87372">
        <w:t>‘</w:t>
      </w:r>
      <w:r w:rsidRPr="00A64167">
        <w:t>Epitaph upon the death of this old Gentlewoman</w:t>
      </w:r>
      <w:r w:rsidR="00A87372">
        <w:t>’</w:t>
      </w:r>
      <w:r w:rsidRPr="00A5090F">
        <w:t xml:space="preserve">, </w:t>
      </w:r>
      <w:r>
        <w:t xml:space="preserve">which gives Rose’s death date as 21 November 1613, as well as </w:t>
      </w:r>
      <w:r w:rsidRPr="00A5090F">
        <w:t xml:space="preserve">an account of her children titled </w:t>
      </w:r>
      <w:r w:rsidR="001816D4">
        <w:t>‘</w:t>
      </w:r>
      <w:r w:rsidRPr="00A64167">
        <w:t>The Of</w:t>
      </w:r>
      <w:r>
        <w:t>[f]</w:t>
      </w:r>
      <w:r w:rsidRPr="00A64167">
        <w:t xml:space="preserve">spring of this old Gentlewoman this present year </w:t>
      </w:r>
      <w:r w:rsidRPr="00A64167">
        <w:lastRenderedPageBreak/>
        <w:t>1637</w:t>
      </w:r>
      <w:r w:rsidR="001816D4">
        <w:t>’</w:t>
      </w:r>
      <w:r>
        <w:t>.</w:t>
      </w:r>
      <w:r>
        <w:rPr>
          <w:rStyle w:val="FootnoteReference"/>
        </w:rPr>
        <w:footnoteReference w:id="18"/>
      </w:r>
      <w:r>
        <w:t xml:space="preserve"> Though its transcription of the original account is incomplete, it does therefore offer useful information regarding the late family, as well as an insight into how Rose was memorialised. As the original text, and the one with the most material written by Rose, this article will </w:t>
      </w:r>
      <w:r w:rsidRPr="00A5090F">
        <w:t xml:space="preserve">primarily </w:t>
      </w:r>
      <w:r>
        <w:t>examine</w:t>
      </w:r>
      <w:r w:rsidRPr="00A5090F">
        <w:t xml:space="preserve"> </w:t>
      </w:r>
      <w:r>
        <w:t xml:space="preserve">the text of </w:t>
      </w:r>
      <w:r w:rsidRPr="00A5090F">
        <w:rPr>
          <w:rFonts w:eastAsiaTheme="majorEastAsia"/>
        </w:rPr>
        <w:t>Add</w:t>
      </w:r>
      <w:r w:rsidRPr="00A5090F">
        <w:t xml:space="preserve"> </w:t>
      </w:r>
      <w:r w:rsidRPr="00A5090F">
        <w:rPr>
          <w:rFonts w:eastAsiaTheme="majorEastAsia"/>
        </w:rPr>
        <w:t>MS</w:t>
      </w:r>
      <w:r w:rsidRPr="00A5090F">
        <w:t xml:space="preserve"> </w:t>
      </w:r>
      <w:r w:rsidRPr="00A5090F">
        <w:rPr>
          <w:rFonts w:eastAsiaTheme="majorEastAsia"/>
        </w:rPr>
        <w:t>43827</w:t>
      </w:r>
      <w:r w:rsidRPr="00A5090F">
        <w:t xml:space="preserve"> A, the 1610 account</w:t>
      </w:r>
      <w:r>
        <w:t xml:space="preserve">, with </w:t>
      </w:r>
      <w:r w:rsidRPr="00A5090F">
        <w:t>Add MS 45027</w:t>
      </w:r>
      <w:r>
        <w:t xml:space="preserve"> used to clarify certain details and for later biographical information. This is occasionally necessary as the pages of </w:t>
      </w:r>
      <w:r>
        <w:rPr>
          <w:rFonts w:eastAsiaTheme="majorEastAsia"/>
        </w:rPr>
        <w:t xml:space="preserve">the original have been damaged, meaning that on some folios </w:t>
      </w:r>
      <w:r w:rsidRPr="00A5090F">
        <w:t xml:space="preserve">the edge of the text is </w:t>
      </w:r>
      <w:r w:rsidR="00D451FD" w:rsidRPr="00A5090F">
        <w:t>missing,</w:t>
      </w:r>
      <w:r w:rsidRPr="00A5090F">
        <w:t xml:space="preserve"> and a few words are unclear</w:t>
      </w:r>
      <w:r>
        <w:t xml:space="preserve">. As well as this damage, other evidence suggests that later readers consulting the original manuscript also required clarification on certain points. For example, near the start of the text, </w:t>
      </w:r>
      <w:r w:rsidRPr="00A5090F">
        <w:t xml:space="preserve">Rose </w:t>
      </w:r>
      <w:r>
        <w:t xml:space="preserve">wrote that </w:t>
      </w:r>
      <w:r w:rsidRPr="00A5090F">
        <w:t xml:space="preserve">her father </w:t>
      </w:r>
      <w:r>
        <w:t xml:space="preserve">was </w:t>
      </w:r>
      <w:r w:rsidRPr="00A5090F">
        <w:t>‘</w:t>
      </w:r>
      <w:r w:rsidRPr="00A5090F">
        <w:rPr>
          <w:rFonts w:eastAsiaTheme="minorHAnsi"/>
          <w:lang w:eastAsia="en-US"/>
        </w:rPr>
        <w:t>knighted although he was</w:t>
      </w:r>
      <w:r w:rsidRPr="00A5090F">
        <w:t xml:space="preserve"> </w:t>
      </w:r>
      <w:r w:rsidRPr="00A5090F">
        <w:rPr>
          <w:rFonts w:eastAsiaTheme="minorHAnsi"/>
        </w:rPr>
        <w:t xml:space="preserve">never </w:t>
      </w:r>
      <w:proofErr w:type="spellStart"/>
      <w:r w:rsidRPr="00A5090F">
        <w:rPr>
          <w:rFonts w:eastAsiaTheme="minorHAnsi"/>
        </w:rPr>
        <w:t>maior</w:t>
      </w:r>
      <w:proofErr w:type="spellEnd"/>
      <w:r w:rsidRPr="00A5090F">
        <w:rPr>
          <w:rFonts w:eastAsiaTheme="minorHAnsi"/>
        </w:rPr>
        <w:t xml:space="preserve"> but </w:t>
      </w:r>
      <w:proofErr w:type="spellStart"/>
      <w:r w:rsidRPr="00A5090F">
        <w:rPr>
          <w:rFonts w:eastAsiaTheme="minorHAnsi"/>
        </w:rPr>
        <w:t>onelye</w:t>
      </w:r>
      <w:proofErr w:type="spellEnd"/>
      <w:r w:rsidRPr="00A5090F">
        <w:t xml:space="preserve"> </w:t>
      </w:r>
      <w:proofErr w:type="spellStart"/>
      <w:r w:rsidRPr="00A5090F">
        <w:rPr>
          <w:rFonts w:eastAsiaTheme="minorHAnsi"/>
        </w:rPr>
        <w:t>sherief</w:t>
      </w:r>
      <w:proofErr w:type="spellEnd"/>
      <w:r w:rsidRPr="00A5090F">
        <w:rPr>
          <w:rFonts w:eastAsiaTheme="minorHAnsi"/>
        </w:rPr>
        <w:t xml:space="preserve"> of </w:t>
      </w:r>
      <w:proofErr w:type="spellStart"/>
      <w:r w:rsidRPr="00A5090F">
        <w:rPr>
          <w:rFonts w:eastAsiaTheme="minorHAnsi"/>
        </w:rPr>
        <w:t>Londo</w:t>
      </w:r>
      <w:proofErr w:type="spellEnd"/>
      <w:r w:rsidRPr="00A5090F">
        <w:rPr>
          <w:rFonts w:eastAsiaTheme="minorHAnsi"/>
        </w:rPr>
        <w:t>[n], and so was</w:t>
      </w:r>
      <w:r w:rsidRPr="00A5090F">
        <w:t xml:space="preserve"> </w:t>
      </w:r>
      <w:r w:rsidRPr="00A5090F">
        <w:rPr>
          <w:rFonts w:eastAsiaTheme="minorHAnsi"/>
        </w:rPr>
        <w:t xml:space="preserve">never any </w:t>
      </w:r>
      <w:proofErr w:type="spellStart"/>
      <w:r w:rsidRPr="00A5090F">
        <w:rPr>
          <w:rFonts w:eastAsiaTheme="minorHAnsi"/>
        </w:rPr>
        <w:t>Londo</w:t>
      </w:r>
      <w:proofErr w:type="spellEnd"/>
      <w:r w:rsidRPr="00A5090F">
        <w:rPr>
          <w:rFonts w:eastAsiaTheme="minorHAnsi"/>
        </w:rPr>
        <w:t>[n] before</w:t>
      </w:r>
      <w:r w:rsidRPr="00A5090F">
        <w:t xml:space="preserve"> </w:t>
      </w:r>
      <w:r>
        <w:rPr>
          <w:rFonts w:eastAsiaTheme="minorHAnsi"/>
        </w:rPr>
        <w:t>him’.</w:t>
      </w:r>
      <w:r>
        <w:rPr>
          <w:rStyle w:val="FootnoteReference"/>
          <w:rFonts w:eastAsiaTheme="minorHAnsi"/>
        </w:rPr>
        <w:footnoteReference w:id="19"/>
      </w:r>
      <w:r w:rsidRPr="00A5090F">
        <w:t xml:space="preserve"> </w:t>
      </w:r>
      <w:r>
        <w:t>The meaning of this is unclear, and i</w:t>
      </w:r>
      <w:r w:rsidRPr="00A5090F">
        <w:t xml:space="preserve">n the later </w:t>
      </w:r>
      <w:r>
        <w:t>copy</w:t>
      </w:r>
      <w:r w:rsidRPr="00A5090F">
        <w:t xml:space="preserve"> </w:t>
      </w:r>
      <w:r>
        <w:t xml:space="preserve">the sentence is clarified to explain that </w:t>
      </w:r>
      <w:r>
        <w:rPr>
          <w:rFonts w:eastAsiaTheme="minorHAnsi"/>
        </w:rPr>
        <w:t>her father</w:t>
      </w:r>
      <w:r w:rsidRPr="00A5090F">
        <w:rPr>
          <w:rFonts w:eastAsiaTheme="minorHAnsi"/>
        </w:rPr>
        <w:t xml:space="preserve"> was made a knight, which was an honour </w:t>
      </w:r>
      <w:r>
        <w:rPr>
          <w:rFonts w:eastAsiaTheme="minorHAnsi"/>
        </w:rPr>
        <w:t>that</w:t>
      </w:r>
      <w:r w:rsidRPr="00A5090F">
        <w:rPr>
          <w:rFonts w:eastAsiaTheme="minorHAnsi"/>
        </w:rPr>
        <w:t xml:space="preserve"> hadn’t been given to any </w:t>
      </w:r>
      <w:r>
        <w:rPr>
          <w:rFonts w:eastAsiaTheme="minorHAnsi"/>
        </w:rPr>
        <w:t xml:space="preserve">men </w:t>
      </w:r>
      <w:r w:rsidRPr="00A5090F">
        <w:rPr>
          <w:rFonts w:eastAsiaTheme="minorHAnsi"/>
        </w:rPr>
        <w:t xml:space="preserve">who </w:t>
      </w:r>
      <w:r w:rsidR="002A5452">
        <w:rPr>
          <w:rFonts w:eastAsiaTheme="minorHAnsi"/>
        </w:rPr>
        <w:t>had</w:t>
      </w:r>
      <w:r w:rsidR="00C06934">
        <w:rPr>
          <w:rFonts w:eastAsiaTheme="minorHAnsi"/>
        </w:rPr>
        <w:t xml:space="preserve"> been Sheriff but not</w:t>
      </w:r>
      <w:r w:rsidRPr="00A5090F">
        <w:rPr>
          <w:rFonts w:eastAsiaTheme="minorHAnsi"/>
        </w:rPr>
        <w:t xml:space="preserve"> </w:t>
      </w:r>
      <w:r>
        <w:rPr>
          <w:rFonts w:eastAsiaTheme="minorHAnsi"/>
        </w:rPr>
        <w:t>M</w:t>
      </w:r>
      <w:r w:rsidRPr="00A5090F">
        <w:rPr>
          <w:rFonts w:eastAsiaTheme="minorHAnsi"/>
        </w:rPr>
        <w:t>ayor of London before it was given to him</w:t>
      </w:r>
      <w:r>
        <w:t>.</w:t>
      </w:r>
      <w:r>
        <w:rPr>
          <w:rStyle w:val="FootnoteReference"/>
        </w:rPr>
        <w:footnoteReference w:id="20"/>
      </w:r>
      <w:r>
        <w:t xml:space="preserve"> This process of clarification and the existence of multiple seventeenth century copies suggests that the account was well-read by the family: all three manuscripts stayed within the Hickman family until the twentieth century, when they were presented to the British Library by </w:t>
      </w:r>
      <w:r w:rsidRPr="00A5090F">
        <w:t>Sir Hickman Beckett Bacon</w:t>
      </w:r>
      <w:r>
        <w:t xml:space="preserve"> in the 1930s. Rose’s hope that her autobiography would be ‘</w:t>
      </w:r>
      <w:r w:rsidRPr="003214C0">
        <w:t>Perused by her Children and Posterity</w:t>
      </w:r>
      <w:r>
        <w:t>’ certainly appears to have been successful.</w:t>
      </w:r>
    </w:p>
    <w:p w14:paraId="417C29B7" w14:textId="674CF13A" w:rsidR="00A73F4C" w:rsidRDefault="00BC7EA6" w:rsidP="00256065">
      <w:pPr>
        <w:ind w:firstLine="360"/>
      </w:pPr>
      <w:r>
        <w:t>Rose Lok was born in 1526, the daughter of Sir William Lok, London mercer, sheriff, alderman and gentleman usher of the chamber to Henry VIII</w:t>
      </w:r>
      <w:r w:rsidR="000206C7">
        <w:t xml:space="preserve">, and the subject of the autobiography’s opening </w:t>
      </w:r>
      <w:r w:rsidR="00C06934">
        <w:t>section, titled</w:t>
      </w:r>
      <w:r w:rsidR="000206C7">
        <w:t xml:space="preserve"> ‘of my father’.</w:t>
      </w:r>
      <w:r>
        <w:rPr>
          <w:rStyle w:val="FootnoteReference"/>
        </w:rPr>
        <w:footnoteReference w:id="21"/>
      </w:r>
      <w:r>
        <w:t xml:space="preserve"> </w:t>
      </w:r>
      <w:r w:rsidR="0033098A">
        <w:t xml:space="preserve">Her mother is not named, but appears to have been Lok’s second wife Katherine Cooke: the account is clear that her mother, a Protestant woman who used to ‘read to [Rose] out of the […] good books’ became scared to do so after Robert </w:t>
      </w:r>
      <w:proofErr w:type="spellStart"/>
      <w:r w:rsidR="0033098A">
        <w:t>Packington</w:t>
      </w:r>
      <w:proofErr w:type="spellEnd"/>
      <w:r w:rsidR="0033098A">
        <w:t>, a mercer who ‘</w:t>
      </w:r>
      <w:r w:rsidR="0033098A" w:rsidRPr="0033098A">
        <w:t>who used to bring</w:t>
      </w:r>
      <w:r w:rsidR="0033098A">
        <w:t xml:space="preserve"> </w:t>
      </w:r>
      <w:proofErr w:type="spellStart"/>
      <w:r w:rsidR="0033098A" w:rsidRPr="0033098A">
        <w:t>english</w:t>
      </w:r>
      <w:proofErr w:type="spellEnd"/>
      <w:r w:rsidR="0033098A" w:rsidRPr="0033098A">
        <w:t xml:space="preserve"> </w:t>
      </w:r>
      <w:proofErr w:type="spellStart"/>
      <w:r w:rsidR="0033098A" w:rsidRPr="0033098A">
        <w:t>bybles</w:t>
      </w:r>
      <w:proofErr w:type="spellEnd"/>
      <w:r w:rsidR="0033098A" w:rsidRPr="0033098A">
        <w:t xml:space="preserve"> </w:t>
      </w:r>
      <w:proofErr w:type="spellStart"/>
      <w:r w:rsidR="0033098A" w:rsidRPr="0033098A">
        <w:t>fro</w:t>
      </w:r>
      <w:proofErr w:type="spellEnd"/>
      <w:r w:rsidR="0033098A" w:rsidRPr="0033098A">
        <w:t>[m] beyond</w:t>
      </w:r>
      <w:r w:rsidR="0033098A">
        <w:t xml:space="preserve"> </w:t>
      </w:r>
      <w:r w:rsidR="0033098A" w:rsidRPr="0033098A">
        <w:t xml:space="preserve">sea was </w:t>
      </w:r>
      <w:proofErr w:type="spellStart"/>
      <w:r w:rsidR="0033098A" w:rsidRPr="0033098A">
        <w:t>slaine</w:t>
      </w:r>
      <w:proofErr w:type="spellEnd"/>
      <w:r w:rsidR="0033098A" w:rsidRPr="0033098A">
        <w:t xml:space="preserve"> w</w:t>
      </w:r>
      <w:r w:rsidR="0033098A">
        <w:t>[</w:t>
      </w:r>
      <w:proofErr w:type="spellStart"/>
      <w:r w:rsidR="0033098A">
        <w:t>i</w:t>
      </w:r>
      <w:proofErr w:type="spellEnd"/>
      <w:r w:rsidR="0033098A">
        <w:t>]</w:t>
      </w:r>
      <w:proofErr w:type="spellStart"/>
      <w:r w:rsidR="0033098A" w:rsidRPr="0033098A">
        <w:t>th</w:t>
      </w:r>
      <w:proofErr w:type="spellEnd"/>
      <w:r w:rsidR="0033098A" w:rsidRPr="0033098A">
        <w:t xml:space="preserve"> a gun</w:t>
      </w:r>
      <w:r w:rsidR="0033098A">
        <w:t xml:space="preserve"> </w:t>
      </w:r>
      <w:r w:rsidR="0033098A" w:rsidRPr="0033098A">
        <w:t xml:space="preserve">as he went in the </w:t>
      </w:r>
      <w:proofErr w:type="spellStart"/>
      <w:r w:rsidR="0033098A" w:rsidRPr="0033098A">
        <w:t>streete</w:t>
      </w:r>
      <w:proofErr w:type="spellEnd"/>
      <w:r w:rsidR="0033098A">
        <w:t>’ in 1536.</w:t>
      </w:r>
      <w:r w:rsidR="0033098A">
        <w:rPr>
          <w:rStyle w:val="FootnoteReference"/>
        </w:rPr>
        <w:footnoteReference w:id="22"/>
      </w:r>
      <w:r w:rsidR="0033098A">
        <w:t xml:space="preserve"> Rose’s account proceeds to describe the death of her mother in childbirth, making the Katherine Lok who died in 1537 most likely her mother</w:t>
      </w:r>
      <w:r>
        <w:t>.</w:t>
      </w:r>
      <w:r>
        <w:rPr>
          <w:rStyle w:val="FootnoteReference"/>
        </w:rPr>
        <w:footnoteReference w:id="23"/>
      </w:r>
      <w:r w:rsidR="0089586C">
        <w:t xml:space="preserve"> </w:t>
      </w:r>
      <w:r w:rsidR="00146E59">
        <w:t>In</w:t>
      </w:r>
      <w:r w:rsidR="0089586C">
        <w:t xml:space="preserve"> 1543 when </w:t>
      </w:r>
      <w:r w:rsidR="00AC2787">
        <w:t>Rose</w:t>
      </w:r>
      <w:r w:rsidR="0089586C">
        <w:t xml:space="preserve"> was around </w:t>
      </w:r>
      <w:r w:rsidR="00166B49">
        <w:t>seventeen</w:t>
      </w:r>
      <w:r w:rsidR="00374B61">
        <w:t>,</w:t>
      </w:r>
      <w:r w:rsidR="00734308">
        <w:t xml:space="preserve"> </w:t>
      </w:r>
      <w:r w:rsidR="0089586C">
        <w:t>she married Anthony Hickman, a London merchant like her father.</w:t>
      </w:r>
      <w:r w:rsidR="0089586C">
        <w:rPr>
          <w:rStyle w:val="FootnoteReference"/>
        </w:rPr>
        <w:footnoteReference w:id="24"/>
      </w:r>
      <w:r w:rsidR="0089586C">
        <w:t xml:space="preserve"> </w:t>
      </w:r>
      <w:r w:rsidR="000A1099" w:rsidRPr="000A1099">
        <w:t xml:space="preserve">Marrying within the community was standard practice, not least because other mercantile families formed their primary social circle. Rose notes with some pride that ‘My husband before he did marry me was found to be worth 100 li by his books of </w:t>
      </w:r>
      <w:proofErr w:type="spellStart"/>
      <w:r w:rsidR="000A1099" w:rsidRPr="000A1099">
        <w:t>acco</w:t>
      </w:r>
      <w:proofErr w:type="spellEnd"/>
      <w:r w:rsidR="000A1099" w:rsidRPr="000A1099">
        <w:t>[m]</w:t>
      </w:r>
      <w:proofErr w:type="spellStart"/>
      <w:r w:rsidR="000A1099" w:rsidRPr="000A1099">
        <w:t>pt</w:t>
      </w:r>
      <w:proofErr w:type="spellEnd"/>
      <w:r w:rsidR="000A1099" w:rsidRPr="000A1099">
        <w:t xml:space="preserve"> </w:t>
      </w:r>
      <w:proofErr w:type="spellStart"/>
      <w:r w:rsidR="000A1099" w:rsidRPr="000A1099">
        <w:t>yt</w:t>
      </w:r>
      <w:proofErr w:type="spellEnd"/>
      <w:r w:rsidR="000A1099" w:rsidRPr="000A1099">
        <w:t xml:space="preserve"> were </w:t>
      </w:r>
      <w:proofErr w:type="spellStart"/>
      <w:r w:rsidR="000A1099" w:rsidRPr="000A1099">
        <w:t>exa</w:t>
      </w:r>
      <w:proofErr w:type="spellEnd"/>
      <w:r w:rsidR="000A1099" w:rsidRPr="000A1099">
        <w:t>[m]</w:t>
      </w:r>
      <w:proofErr w:type="spellStart"/>
      <w:r w:rsidR="000A1099" w:rsidRPr="000A1099">
        <w:t>ined</w:t>
      </w:r>
      <w:proofErr w:type="spellEnd"/>
      <w:r w:rsidR="000A1099" w:rsidRPr="000A1099">
        <w:t xml:space="preserve"> by my </w:t>
      </w:r>
      <w:proofErr w:type="spellStart"/>
      <w:r w:rsidR="000A1099" w:rsidRPr="000A1099">
        <w:t>fathers</w:t>
      </w:r>
      <w:proofErr w:type="spellEnd"/>
      <w:r w:rsidR="000A1099" w:rsidRPr="000A1099">
        <w:t xml:space="preserve"> </w:t>
      </w:r>
      <w:proofErr w:type="spellStart"/>
      <w:r w:rsidR="000A1099" w:rsidRPr="000A1099">
        <w:t>appointement</w:t>
      </w:r>
      <w:proofErr w:type="spellEnd"/>
      <w:r w:rsidR="000A1099" w:rsidRPr="000A1099">
        <w:t>’.</w:t>
      </w:r>
      <w:r w:rsidR="000A1099" w:rsidRPr="000A1099">
        <w:rPr>
          <w:vertAlign w:val="superscript"/>
        </w:rPr>
        <w:footnoteReference w:id="25"/>
      </w:r>
      <w:r w:rsidR="000A1099" w:rsidRPr="000A1099">
        <w:t xml:space="preserve"> Her marriage appears to have been dependent on this condition, an intriguing reversal of normal dowry practices. </w:t>
      </w:r>
      <w:r w:rsidR="0089586C">
        <w:t xml:space="preserve">They </w:t>
      </w:r>
      <w:r w:rsidR="00A73F4C">
        <w:t xml:space="preserve">would have </w:t>
      </w:r>
      <w:r w:rsidR="00536C11">
        <w:t>at least</w:t>
      </w:r>
      <w:r w:rsidR="0089586C">
        <w:t xml:space="preserve"> </w:t>
      </w:r>
      <w:r w:rsidR="00675F5D">
        <w:t>seven</w:t>
      </w:r>
      <w:r w:rsidR="0089586C">
        <w:t xml:space="preserve"> children</w:t>
      </w:r>
      <w:r w:rsidR="00536C11">
        <w:t xml:space="preserve"> who survived to adulthood:</w:t>
      </w:r>
      <w:r w:rsidR="00675F5D">
        <w:t xml:space="preserve"> six sons and a daughter</w:t>
      </w:r>
      <w:r w:rsidR="00536C11">
        <w:t>, born between 1547 and 1563</w:t>
      </w:r>
      <w:r w:rsidR="0089586C">
        <w:t>.</w:t>
      </w:r>
      <w:r w:rsidR="00675F5D">
        <w:rPr>
          <w:rStyle w:val="FootnoteReference"/>
        </w:rPr>
        <w:footnoteReference w:id="26"/>
      </w:r>
      <w:r w:rsidR="0089586C">
        <w:t xml:space="preserve"> </w:t>
      </w:r>
    </w:p>
    <w:p w14:paraId="03667495" w14:textId="32958D4B" w:rsidR="00A73F4C" w:rsidRDefault="00A73F4C" w:rsidP="00256065">
      <w:pPr>
        <w:ind w:firstLine="720"/>
      </w:pPr>
      <w:r>
        <w:t>The main portion of the autobiography describes her life during the reign of Mary I, titled ‘</w:t>
      </w:r>
      <w:r w:rsidRPr="006E4D1B">
        <w:t xml:space="preserve">How my </w:t>
      </w:r>
      <w:r>
        <w:t xml:space="preserve">husband </w:t>
      </w:r>
      <w:r w:rsidRPr="006E4D1B">
        <w:t xml:space="preserve">and I spent o[r] time in </w:t>
      </w:r>
      <w:r>
        <w:t>t</w:t>
      </w:r>
      <w:r w:rsidRPr="006E4D1B">
        <w:t xml:space="preserve">he </w:t>
      </w:r>
      <w:proofErr w:type="spellStart"/>
      <w:r w:rsidRPr="006E4D1B">
        <w:t>rayne</w:t>
      </w:r>
      <w:proofErr w:type="spellEnd"/>
      <w:r w:rsidRPr="006E4D1B">
        <w:t xml:space="preserve"> of </w:t>
      </w:r>
      <w:proofErr w:type="spellStart"/>
      <w:r w:rsidRPr="006E4D1B">
        <w:t>Queene</w:t>
      </w:r>
      <w:proofErr w:type="spellEnd"/>
      <w:r>
        <w:t xml:space="preserve"> </w:t>
      </w:r>
      <w:r w:rsidRPr="006E4D1B">
        <w:t>Mary</w:t>
      </w:r>
      <w:r>
        <w:t xml:space="preserve">’, and </w:t>
      </w:r>
      <w:r w:rsidR="00C06934">
        <w:t xml:space="preserve">is </w:t>
      </w:r>
      <w:r>
        <w:t xml:space="preserve">prefaced by Rose emphasising how often she </w:t>
      </w:r>
      <w:r w:rsidRPr="00A5090F">
        <w:t>meditates on the ‘</w:t>
      </w:r>
      <w:proofErr w:type="spellStart"/>
      <w:r w:rsidRPr="00A5090F">
        <w:t>mercifull</w:t>
      </w:r>
      <w:proofErr w:type="spellEnd"/>
      <w:r w:rsidRPr="00A5090F">
        <w:t xml:space="preserve"> deliverance’ God gave her </w:t>
      </w:r>
      <w:r w:rsidRPr="00A5090F">
        <w:lastRenderedPageBreak/>
        <w:t>and h</w:t>
      </w:r>
      <w:r>
        <w:t>e</w:t>
      </w:r>
      <w:r w:rsidRPr="00A5090F">
        <w:t>r first husband</w:t>
      </w:r>
      <w:r>
        <w:t xml:space="preserve"> in the </w:t>
      </w:r>
      <w:r w:rsidRPr="00A5090F">
        <w:t>‘</w:t>
      </w:r>
      <w:proofErr w:type="spellStart"/>
      <w:r w:rsidRPr="00A5090F">
        <w:rPr>
          <w:rFonts w:eastAsiaTheme="minorHAnsi"/>
          <w:lang w:eastAsia="en-US"/>
        </w:rPr>
        <w:t>dayes</w:t>
      </w:r>
      <w:proofErr w:type="spellEnd"/>
      <w:r w:rsidRPr="00A5090F">
        <w:rPr>
          <w:rFonts w:eastAsiaTheme="minorHAnsi"/>
          <w:lang w:eastAsia="en-US"/>
        </w:rPr>
        <w:t xml:space="preserve"> of </w:t>
      </w:r>
      <w:proofErr w:type="spellStart"/>
      <w:r w:rsidRPr="00A5090F">
        <w:rPr>
          <w:rFonts w:eastAsiaTheme="minorHAnsi"/>
          <w:lang w:eastAsia="en-US"/>
        </w:rPr>
        <w:t>Queene</w:t>
      </w:r>
      <w:proofErr w:type="spellEnd"/>
      <w:r w:rsidRPr="00A5090F">
        <w:rPr>
          <w:rFonts w:eastAsiaTheme="minorHAnsi"/>
          <w:lang w:eastAsia="en-US"/>
        </w:rPr>
        <w:t xml:space="preserve"> Mary when the</w:t>
      </w:r>
      <w:r w:rsidRPr="00A5090F">
        <w:t xml:space="preserve"> </w:t>
      </w:r>
      <w:proofErr w:type="spellStart"/>
      <w:r w:rsidRPr="00A5090F">
        <w:rPr>
          <w:rFonts w:eastAsiaTheme="minorHAnsi"/>
        </w:rPr>
        <w:t>cruell</w:t>
      </w:r>
      <w:proofErr w:type="spellEnd"/>
      <w:r w:rsidRPr="00A5090F">
        <w:rPr>
          <w:rFonts w:eastAsiaTheme="minorHAnsi"/>
        </w:rPr>
        <w:t xml:space="preserve"> papists p[er]</w:t>
      </w:r>
      <w:proofErr w:type="spellStart"/>
      <w:r w:rsidRPr="00A5090F">
        <w:rPr>
          <w:rFonts w:eastAsiaTheme="minorHAnsi"/>
        </w:rPr>
        <w:t>secuted</w:t>
      </w:r>
      <w:proofErr w:type="spellEnd"/>
      <w:r w:rsidRPr="00A5090F">
        <w:rPr>
          <w:rFonts w:eastAsiaTheme="minorHAnsi"/>
        </w:rPr>
        <w:t xml:space="preserve"> the people</w:t>
      </w:r>
      <w:r w:rsidRPr="00A5090F">
        <w:t xml:space="preserve"> of god’</w:t>
      </w:r>
      <w:r>
        <w:t>.</w:t>
      </w:r>
      <w:r>
        <w:rPr>
          <w:rStyle w:val="FootnoteReference"/>
        </w:rPr>
        <w:footnoteReference w:id="27"/>
      </w:r>
      <w:r>
        <w:t xml:space="preserve"> Following Mary’s accession to the throne, her husband assisted the Protestant community along with one of her brothers, and as a result both were imprisoned in the Fleet Prison. Rose purchased their freedom with </w:t>
      </w:r>
      <w:r w:rsidRPr="00A5090F">
        <w:t>‘c</w:t>
      </w:r>
      <w:r w:rsidRPr="006E39B0">
        <w:t>hests of sugar</w:t>
      </w:r>
      <w:r w:rsidRPr="00A5090F">
        <w:t xml:space="preserve"> </w:t>
      </w:r>
      <w:r w:rsidRPr="006E39B0">
        <w:t xml:space="preserve">and </w:t>
      </w:r>
      <w:proofErr w:type="spellStart"/>
      <w:r w:rsidRPr="006E39B0">
        <w:t>peeces</w:t>
      </w:r>
      <w:proofErr w:type="spellEnd"/>
      <w:r w:rsidRPr="006E39B0">
        <w:t xml:space="preserve"> of velvet to the value</w:t>
      </w:r>
      <w:r w:rsidRPr="00A5090F">
        <w:t xml:space="preserve"> </w:t>
      </w:r>
      <w:r w:rsidRPr="006E39B0">
        <w:t>of 200 li of thereabouts</w:t>
      </w:r>
      <w:r w:rsidRPr="00A5090F">
        <w:t>’</w:t>
      </w:r>
      <w:r>
        <w:t>, at which point Anthony travelled to Antwerp — according to Rose, ‘</w:t>
      </w:r>
      <w:r w:rsidRPr="003F0570">
        <w:t xml:space="preserve">to drive away the wicked </w:t>
      </w:r>
      <w:proofErr w:type="spellStart"/>
      <w:r w:rsidRPr="003F0570">
        <w:t>dayes</w:t>
      </w:r>
      <w:proofErr w:type="spellEnd"/>
      <w:r>
        <w:t>’.</w:t>
      </w:r>
      <w:r>
        <w:rPr>
          <w:rStyle w:val="FootnoteReference"/>
        </w:rPr>
        <w:footnoteReference w:id="28"/>
      </w:r>
      <w:r>
        <w:t xml:space="preserve"> </w:t>
      </w:r>
    </w:p>
    <w:p w14:paraId="0C93173A" w14:textId="40D1B86E" w:rsidR="00A73F4C" w:rsidRPr="00A5090F" w:rsidRDefault="00A73F4C" w:rsidP="00256065">
      <w:pPr>
        <w:ind w:firstLine="720"/>
      </w:pPr>
      <w:r w:rsidRPr="00A5090F">
        <w:t xml:space="preserve">Rose, who was pregnant, went to Oxford to stay in a house </w:t>
      </w:r>
      <w:r>
        <w:t>near the city. After giving birth she asked for advice from Cranmer, Ridley, and Latimer, imprisoned in Oxford at the time, and after receiving condemnation from them for not travelling out of England while she could, consented to her child being baptised ‘by a popish priest’. To ‘</w:t>
      </w:r>
      <w:proofErr w:type="spellStart"/>
      <w:r>
        <w:t>avoide</w:t>
      </w:r>
      <w:proofErr w:type="spellEnd"/>
      <w:r>
        <w:t xml:space="preserve"> the popish stuff’ as far as possible, she secretly exchanged the salt intended for use in a Catholic baptism with sugar. Following this, she moved to Antwerp in the bottom of a hulk on a featherbed. Rose’s following brief account of life in Antwerp offers particularly details on her navigation of religious and social practices surrounding the practicing of her faith in another country. This section of the manuscript concludes with her discovery of Mary’s death and her return to England, ending on a triumphant note with her assertion that ‘</w:t>
      </w:r>
      <w:r w:rsidRPr="006E4D1B">
        <w:t xml:space="preserve">In all </w:t>
      </w:r>
      <w:proofErr w:type="spellStart"/>
      <w:r w:rsidRPr="006E4D1B">
        <w:t>wch</w:t>
      </w:r>
      <w:proofErr w:type="spellEnd"/>
      <w:r w:rsidRPr="006E4D1B">
        <w:t xml:space="preserve"> time I never</w:t>
      </w:r>
      <w:r>
        <w:t xml:space="preserve"> </w:t>
      </w:r>
      <w:r w:rsidRPr="006E4D1B">
        <w:t>was present at any of the popish masses, or any other</w:t>
      </w:r>
      <w:r>
        <w:t xml:space="preserve"> </w:t>
      </w:r>
      <w:r w:rsidRPr="006E4D1B">
        <w:t>of their idolatrous service</w:t>
      </w:r>
      <w:r>
        <w:t>[s]’.</w:t>
      </w:r>
    </w:p>
    <w:p w14:paraId="0EC6CD77" w14:textId="3091AE4B" w:rsidR="00A73F4C" w:rsidRDefault="00A73F4C" w:rsidP="00256065">
      <w:pPr>
        <w:ind w:firstLine="720"/>
        <w:rPr>
          <w:rFonts w:eastAsiaTheme="minorHAnsi"/>
          <w:lang w:eastAsia="en-US"/>
        </w:rPr>
      </w:pPr>
      <w:r>
        <w:t xml:space="preserve">The original manuscript also contains a description of her son William’s travels and his own miraculous ‘deliverances’. Rose begins this section by recounting various childhood incidents, including a bout of food poisoning and an incident where he fell off a roof, before detailing the dangers he faced as an adult. When he was eighteen or nineteen, she wrote, </w:t>
      </w:r>
      <w:r w:rsidRPr="005114EE">
        <w:rPr>
          <w:rFonts w:eastAsiaTheme="minorHAnsi"/>
          <w:lang w:eastAsia="en-US"/>
        </w:rPr>
        <w:t xml:space="preserve">‘old Mr </w:t>
      </w:r>
      <w:proofErr w:type="spellStart"/>
      <w:r w:rsidRPr="005114EE">
        <w:rPr>
          <w:rFonts w:eastAsiaTheme="minorHAnsi"/>
          <w:lang w:eastAsia="en-US"/>
        </w:rPr>
        <w:t>Randoll</w:t>
      </w:r>
      <w:proofErr w:type="spellEnd"/>
      <w:r w:rsidRPr="005114EE">
        <w:rPr>
          <w:rFonts w:eastAsiaTheme="minorHAnsi"/>
          <w:lang w:eastAsia="en-US"/>
        </w:rPr>
        <w:t xml:space="preserve"> </w:t>
      </w:r>
      <w:r>
        <w:rPr>
          <w:rFonts w:eastAsiaTheme="minorHAnsi"/>
          <w:lang w:eastAsia="en-US"/>
        </w:rPr>
        <w:t xml:space="preserve">[Thomas Randolph] </w:t>
      </w:r>
      <w:r w:rsidRPr="005114EE">
        <w:rPr>
          <w:rFonts w:eastAsiaTheme="minorHAnsi"/>
          <w:lang w:eastAsia="en-US"/>
        </w:rPr>
        <w:t xml:space="preserve">a good friend of his fathers was to go as Lord </w:t>
      </w:r>
      <w:proofErr w:type="spellStart"/>
      <w:r w:rsidRPr="005114EE">
        <w:rPr>
          <w:rFonts w:eastAsiaTheme="minorHAnsi"/>
          <w:lang w:eastAsia="en-US"/>
        </w:rPr>
        <w:t>Embassador</w:t>
      </w:r>
      <w:proofErr w:type="spellEnd"/>
      <w:r w:rsidRPr="005114EE">
        <w:rPr>
          <w:rFonts w:eastAsiaTheme="minorHAnsi"/>
          <w:lang w:eastAsia="en-US"/>
        </w:rPr>
        <w:t xml:space="preserve"> from or late Queene Elizabeth to the </w:t>
      </w:r>
      <w:proofErr w:type="spellStart"/>
      <w:r w:rsidRPr="005114EE">
        <w:rPr>
          <w:rFonts w:eastAsiaTheme="minorHAnsi"/>
          <w:lang w:eastAsia="en-US"/>
        </w:rPr>
        <w:t>Empror</w:t>
      </w:r>
      <w:proofErr w:type="spellEnd"/>
      <w:r w:rsidRPr="005114EE">
        <w:rPr>
          <w:rFonts w:eastAsiaTheme="minorHAnsi"/>
          <w:lang w:eastAsia="en-US"/>
        </w:rPr>
        <w:t xml:space="preserve"> of Russia’</w:t>
      </w:r>
      <w:r>
        <w:rPr>
          <w:rFonts w:eastAsiaTheme="minorHAnsi"/>
          <w:lang w:eastAsia="en-US"/>
        </w:rPr>
        <w:t>.</w:t>
      </w:r>
      <w:r>
        <w:rPr>
          <w:rStyle w:val="FootnoteReference"/>
          <w:rFonts w:eastAsiaTheme="minorHAnsi"/>
          <w:lang w:eastAsia="en-US"/>
        </w:rPr>
        <w:footnoteReference w:id="29"/>
      </w:r>
      <w:r>
        <w:rPr>
          <w:rFonts w:eastAsiaTheme="minorHAnsi"/>
          <w:lang w:eastAsia="en-US"/>
        </w:rPr>
        <w:t xml:space="preserve"> Randolph, like the Hickmans, had been a Marian exile. Anthony Hickman, using this connection,</w:t>
      </w:r>
      <w:r w:rsidRPr="005114EE">
        <w:rPr>
          <w:rFonts w:eastAsiaTheme="minorHAnsi"/>
          <w:lang w:eastAsia="en-US"/>
        </w:rPr>
        <w:t xml:space="preserve"> sent their son with him </w:t>
      </w:r>
      <w:r>
        <w:rPr>
          <w:rFonts w:eastAsiaTheme="minorHAnsi"/>
          <w:lang w:eastAsia="en-US"/>
        </w:rPr>
        <w:t xml:space="preserve">on the 1568-9 embassy </w:t>
      </w:r>
      <w:r w:rsidRPr="005114EE">
        <w:rPr>
          <w:rFonts w:eastAsiaTheme="minorHAnsi"/>
          <w:lang w:eastAsia="en-US"/>
        </w:rPr>
        <w:t xml:space="preserve">so that ‘he might see some fashions in the </w:t>
      </w:r>
      <w:proofErr w:type="spellStart"/>
      <w:r w:rsidRPr="005114EE">
        <w:rPr>
          <w:rFonts w:eastAsiaTheme="minorHAnsi"/>
          <w:lang w:eastAsia="en-US"/>
        </w:rPr>
        <w:t>worlde</w:t>
      </w:r>
      <w:proofErr w:type="spellEnd"/>
      <w:r w:rsidRPr="005114EE">
        <w:rPr>
          <w:rFonts w:eastAsiaTheme="minorHAnsi"/>
          <w:lang w:eastAsia="en-US"/>
        </w:rPr>
        <w:t>’.</w:t>
      </w:r>
      <w:r>
        <w:rPr>
          <w:rFonts w:eastAsiaTheme="minorHAnsi"/>
          <w:lang w:eastAsia="en-US"/>
        </w:rPr>
        <w:t xml:space="preserve"> After the ship had departed, the crew stopped off at the coast to walk before returning to the ship, and in the process accidentally left William behind</w:t>
      </w:r>
      <w:r w:rsidRPr="005114EE">
        <w:rPr>
          <w:rFonts w:eastAsiaTheme="minorHAnsi"/>
          <w:lang w:eastAsia="en-US"/>
        </w:rPr>
        <w:t>.</w:t>
      </w:r>
      <w:r>
        <w:rPr>
          <w:rFonts w:eastAsiaTheme="minorHAnsi"/>
          <w:lang w:eastAsia="en-US"/>
        </w:rPr>
        <w:t xml:space="preserve"> He walked along the coastline to catch up with them, and once he had returned to the </w:t>
      </w:r>
      <w:proofErr w:type="gramStart"/>
      <w:r>
        <w:rPr>
          <w:rFonts w:eastAsiaTheme="minorHAnsi"/>
          <w:lang w:eastAsia="en-US"/>
        </w:rPr>
        <w:t>ship</w:t>
      </w:r>
      <w:proofErr w:type="gramEnd"/>
      <w:r>
        <w:rPr>
          <w:rFonts w:eastAsiaTheme="minorHAnsi"/>
          <w:lang w:eastAsia="en-US"/>
        </w:rPr>
        <w:t xml:space="preserve"> they hired some ‘</w:t>
      </w:r>
      <w:proofErr w:type="spellStart"/>
      <w:r w:rsidRPr="005114EE">
        <w:rPr>
          <w:rFonts w:eastAsiaTheme="minorHAnsi"/>
          <w:lang w:eastAsia="en-US"/>
        </w:rPr>
        <w:t>cuntrye</w:t>
      </w:r>
      <w:proofErr w:type="spellEnd"/>
      <w:r w:rsidRPr="005114EE">
        <w:rPr>
          <w:rFonts w:eastAsiaTheme="minorHAnsi"/>
          <w:lang w:eastAsia="en-US"/>
        </w:rPr>
        <w:t xml:space="preserve"> mares’ to ride to Moscow</w:t>
      </w:r>
      <w:r>
        <w:rPr>
          <w:rFonts w:eastAsiaTheme="minorHAnsi"/>
          <w:lang w:eastAsia="en-US"/>
        </w:rPr>
        <w:t>, whereupon everyone except William became ill — an occasion Rose interprets as a sign of divine favour. On this, the autobiography abruptly ends.</w:t>
      </w:r>
    </w:p>
    <w:p w14:paraId="42E5B238" w14:textId="7396A613" w:rsidR="00A73F4C" w:rsidRDefault="00A73F4C" w:rsidP="00256065">
      <w:r>
        <w:rPr>
          <w:rFonts w:eastAsiaTheme="minorHAnsi"/>
          <w:lang w:eastAsia="en-US"/>
        </w:rPr>
        <w:tab/>
        <w:t>Five years later</w:t>
      </w:r>
      <w:r w:rsidR="00C06934">
        <w:rPr>
          <w:rFonts w:eastAsiaTheme="minorHAnsi"/>
          <w:lang w:eastAsia="en-US"/>
        </w:rPr>
        <w:t xml:space="preserve">, </w:t>
      </w:r>
      <w:r>
        <w:rPr>
          <w:rFonts w:eastAsiaTheme="minorHAnsi"/>
          <w:lang w:eastAsia="en-US"/>
        </w:rPr>
        <w:t xml:space="preserve">Antony Hickman </w:t>
      </w:r>
      <w:proofErr w:type="gramStart"/>
      <w:r>
        <w:rPr>
          <w:rFonts w:eastAsiaTheme="minorHAnsi"/>
          <w:lang w:eastAsia="en-US"/>
        </w:rPr>
        <w:t>died</w:t>
      </w:r>
      <w:proofErr w:type="gramEnd"/>
      <w:r>
        <w:rPr>
          <w:rFonts w:eastAsiaTheme="minorHAnsi"/>
          <w:lang w:eastAsia="en-US"/>
        </w:rPr>
        <w:t xml:space="preserve"> and </w:t>
      </w:r>
      <w:r w:rsidR="0089586C">
        <w:t>Rose remarried Simon Throckmorton, who died in 1585.</w:t>
      </w:r>
      <w:r w:rsidR="005024F9">
        <w:t xml:space="preserve"> </w:t>
      </w:r>
      <w:r w:rsidR="00AC2787">
        <w:t>Her</w:t>
      </w:r>
      <w:r w:rsidR="0089586C">
        <w:t xml:space="preserve"> second husband makes little appearance in </w:t>
      </w:r>
      <w:r w:rsidR="00AC2787">
        <w:t>the</w:t>
      </w:r>
      <w:r w:rsidR="0089586C">
        <w:t xml:space="preserve"> </w:t>
      </w:r>
      <w:r w:rsidR="00A16F22">
        <w:t>autobiography</w:t>
      </w:r>
      <w:r w:rsidR="0089586C">
        <w:t>: though she refers to herself as ‘</w:t>
      </w:r>
      <w:r w:rsidR="008D335D" w:rsidRPr="00A5090F">
        <w:t xml:space="preserve">Rose Throckmorton widow late wife of Simon Throckmorton Esq and first ye wife of Anthony </w:t>
      </w:r>
      <w:proofErr w:type="spellStart"/>
      <w:r w:rsidR="008D335D" w:rsidRPr="00A5090F">
        <w:t>Hickma</w:t>
      </w:r>
      <w:proofErr w:type="spellEnd"/>
      <w:r w:rsidR="008D335D" w:rsidRPr="00A5090F">
        <w:t xml:space="preserve">[n] a </w:t>
      </w:r>
      <w:proofErr w:type="spellStart"/>
      <w:r w:rsidR="008D335D" w:rsidRPr="00A5090F">
        <w:t>mercn</w:t>
      </w:r>
      <w:proofErr w:type="spellEnd"/>
      <w:r w:rsidR="008D335D" w:rsidRPr="00A5090F">
        <w:t xml:space="preserve">[t] of London’ in the opening, after this </w:t>
      </w:r>
      <w:r w:rsidR="0089586C">
        <w:t>she makes</w:t>
      </w:r>
      <w:r w:rsidR="008D335D" w:rsidRPr="00A5090F">
        <w:t xml:space="preserve"> no reference to her second husband.</w:t>
      </w:r>
      <w:r w:rsidR="0089586C">
        <w:rPr>
          <w:rStyle w:val="FootnoteReference"/>
        </w:rPr>
        <w:footnoteReference w:id="30"/>
      </w:r>
      <w:r w:rsidR="0089586C">
        <w:t xml:space="preserve"> This is partly explained by </w:t>
      </w:r>
      <w:r w:rsidR="00A16F22">
        <w:t xml:space="preserve">its temporal setting, </w:t>
      </w:r>
      <w:r w:rsidR="00536C11">
        <w:t xml:space="preserve">which only covers the </w:t>
      </w:r>
      <w:r w:rsidR="000A1099">
        <w:t>years of her first marriage</w:t>
      </w:r>
      <w:r w:rsidR="00374B61">
        <w:t>,</w:t>
      </w:r>
      <w:r w:rsidR="00536C11">
        <w:t xml:space="preserve"> </w:t>
      </w:r>
      <w:r w:rsidR="0089586C">
        <w:t xml:space="preserve">but other evidence suggests that this </w:t>
      </w:r>
      <w:r w:rsidR="00A16F22">
        <w:t xml:space="preserve">failure to </w:t>
      </w:r>
      <w:r w:rsidR="00C772F5">
        <w:t xml:space="preserve">reference </w:t>
      </w:r>
      <w:r w:rsidR="00A16F22">
        <w:t>her second marriage</w:t>
      </w:r>
      <w:r w:rsidR="0089586C">
        <w:t xml:space="preserve"> held greater significance. There is a portrait of Rose currently held at Gainsborough Old Hall, dated December 27</w:t>
      </w:r>
      <w:proofErr w:type="gramStart"/>
      <w:r w:rsidR="0089586C">
        <w:t xml:space="preserve"> 1596</w:t>
      </w:r>
      <w:proofErr w:type="gramEnd"/>
      <w:r w:rsidR="00CB468A">
        <w:t xml:space="preserve">: she was 70 when </w:t>
      </w:r>
      <w:r w:rsidR="006842F9">
        <w:t>it</w:t>
      </w:r>
      <w:r w:rsidR="00CB468A">
        <w:t xml:space="preserve"> was painted, and it is the only known extant contemporary image of her</w:t>
      </w:r>
      <w:r w:rsidR="0089586C">
        <w:t>.</w:t>
      </w:r>
      <w:r w:rsidR="0089586C">
        <w:rPr>
          <w:rStyle w:val="FootnoteReference"/>
        </w:rPr>
        <w:footnoteReference w:id="31"/>
      </w:r>
      <w:r w:rsidR="0089586C">
        <w:t xml:space="preserve"> The painting depicts Rose </w:t>
      </w:r>
      <w:r w:rsidR="00C65A8E">
        <w:t>in</w:t>
      </w:r>
      <w:r w:rsidR="0089586C">
        <w:t xml:space="preserve"> a stark black outfit, with the exception of a well starched white ruff, and </w:t>
      </w:r>
      <w:r w:rsidR="00C65A8E">
        <w:t>completely free of jewellery</w:t>
      </w:r>
      <w:r w:rsidR="00AC2787">
        <w:t xml:space="preserve"> or other ornamentation</w:t>
      </w:r>
      <w:r w:rsidR="0089586C">
        <w:t>.</w:t>
      </w:r>
      <w:r w:rsidR="00734B1A">
        <w:t xml:space="preserve"> Though clearly wealthy</w:t>
      </w:r>
      <w:r w:rsidR="006842F9">
        <w:t xml:space="preserve">, her choice of dress and its simplicity </w:t>
      </w:r>
      <w:r w:rsidR="00734B1A">
        <w:t>exemplifies her strict Protestant faith.</w:t>
      </w:r>
      <w:r w:rsidR="0089586C">
        <w:t xml:space="preserve"> </w:t>
      </w:r>
    </w:p>
    <w:p w14:paraId="56603561" w14:textId="201E821B" w:rsidR="00824024" w:rsidRDefault="006842F9" w:rsidP="00256065">
      <w:pPr>
        <w:ind w:firstLine="720"/>
      </w:pPr>
      <w:r>
        <w:t>There are three textual annotations on the paintin</w:t>
      </w:r>
      <w:r w:rsidR="00C65A8E">
        <w:t>g</w:t>
      </w:r>
      <w:r w:rsidR="00AC2787">
        <w:t xml:space="preserve">, all made </w:t>
      </w:r>
      <w:r w:rsidR="002A5452">
        <w:t>at</w:t>
      </w:r>
      <w:r w:rsidR="00AC2787">
        <w:t xml:space="preserve"> different perio</w:t>
      </w:r>
      <w:r w:rsidR="00C772F5">
        <w:t>ds</w:t>
      </w:r>
      <w:r w:rsidR="00A73F4C">
        <w:t xml:space="preserve"> and </w:t>
      </w:r>
      <w:r w:rsidR="002A5452">
        <w:t xml:space="preserve">each of </w:t>
      </w:r>
      <w:r w:rsidR="00A73F4C">
        <w:t>which signal</w:t>
      </w:r>
      <w:r w:rsidR="002A5452">
        <w:t>s</w:t>
      </w:r>
      <w:r w:rsidR="00A73F4C">
        <w:t xml:space="preserve"> </w:t>
      </w:r>
      <w:r w:rsidR="002A5452">
        <w:t>the portrait’s</w:t>
      </w:r>
      <w:r w:rsidR="00A73F4C">
        <w:t xml:space="preserve"> </w:t>
      </w:r>
      <w:r w:rsidR="002A5452">
        <w:t>shifting role</w:t>
      </w:r>
      <w:r w:rsidR="00A73F4C">
        <w:t xml:space="preserve"> within a wider bo</w:t>
      </w:r>
      <w:r w:rsidR="002A5452">
        <w:t>d</w:t>
      </w:r>
      <w:r w:rsidR="00A73F4C">
        <w:t>y of family material</w:t>
      </w:r>
      <w:r w:rsidR="00C772F5">
        <w:t xml:space="preserve">. </w:t>
      </w:r>
      <w:r w:rsidR="00C65A8E">
        <w:t>T</w:t>
      </w:r>
      <w:r>
        <w:t xml:space="preserve">he </w:t>
      </w:r>
      <w:r>
        <w:lastRenderedPageBreak/>
        <w:t>first</w:t>
      </w:r>
      <w:r w:rsidR="00C65A8E">
        <w:t>,</w:t>
      </w:r>
      <w:r>
        <w:t xml:space="preserve"> at the top</w:t>
      </w:r>
      <w:r w:rsidR="00C65A8E">
        <w:t>,</w:t>
      </w:r>
      <w:r>
        <w:t xml:space="preserve"> gives Rose’s age and</w:t>
      </w:r>
      <w:r w:rsidR="00C65A8E">
        <w:t xml:space="preserve"> </w:t>
      </w:r>
      <w:r w:rsidR="00C772F5">
        <w:t>the</w:t>
      </w:r>
      <w:r w:rsidR="00C65A8E">
        <w:t xml:space="preserve"> date </w:t>
      </w:r>
      <w:r w:rsidR="00C772F5">
        <w:t xml:space="preserve">of </w:t>
      </w:r>
      <w:r w:rsidR="00C65A8E">
        <w:t>the portrait’s completion</w:t>
      </w:r>
      <w:r>
        <w:t>; the second by her face appears to be slightly later</w:t>
      </w:r>
      <w:r w:rsidR="00FD01C3">
        <w:t xml:space="preserve"> and adds context reading </w:t>
      </w:r>
      <w:r>
        <w:t>‘</w:t>
      </w:r>
      <w:r w:rsidRPr="00A5090F">
        <w:t>Rose Daughter to Sr W[</w:t>
      </w:r>
      <w:proofErr w:type="spellStart"/>
      <w:r w:rsidRPr="00A5090F">
        <w:t>illia</w:t>
      </w:r>
      <w:proofErr w:type="spellEnd"/>
      <w:r w:rsidRPr="00A5090F">
        <w:t>]m Lock K[nigh]t. Married to Ant</w:t>
      </w:r>
      <w:r>
        <w:t>h</w:t>
      </w:r>
      <w:r w:rsidRPr="00A5090F">
        <w:t>ony Hickman’</w:t>
      </w:r>
      <w:r>
        <w:t xml:space="preserve">, and the third at the bottom repeats this identification with the abbreviations expanded. </w:t>
      </w:r>
      <w:r w:rsidR="0089586C">
        <w:t xml:space="preserve">There is no reference </w:t>
      </w:r>
      <w:r>
        <w:t>in any of these captions</w:t>
      </w:r>
      <w:r w:rsidR="0089586C">
        <w:t xml:space="preserve"> to her second husband, </w:t>
      </w:r>
      <w:r>
        <w:t xml:space="preserve">likely </w:t>
      </w:r>
      <w:r w:rsidR="00C772F5">
        <w:t>as the portrait was intended as part of a Hickman family set</w:t>
      </w:r>
      <w:r w:rsidR="00FD01C3">
        <w:t>: i</w:t>
      </w:r>
      <w:r>
        <w:t xml:space="preserve">t was painted around the same time that William bought Gainsborough Old </w:t>
      </w:r>
      <w:r w:rsidR="00D75FFE">
        <w:t>Hall and</w:t>
      </w:r>
      <w:r>
        <w:t xml:space="preserve"> </w:t>
      </w:r>
      <w:r w:rsidR="006C6FFA">
        <w:t xml:space="preserve">matched </w:t>
      </w:r>
      <w:r>
        <w:t xml:space="preserve">a similar portrait of </w:t>
      </w:r>
      <w:r w:rsidR="006C6FFA">
        <w:t xml:space="preserve">him </w:t>
      </w:r>
      <w:r w:rsidR="00374B61">
        <w:t>made</w:t>
      </w:r>
      <w:r>
        <w:t xml:space="preserve"> earlier that year. Both portraits hang together in the Hall today, along with later ones of the Hickman family</w:t>
      </w:r>
      <w:r w:rsidR="00374B61">
        <w:t>. The</w:t>
      </w:r>
      <w:r>
        <w:t xml:space="preserve"> </w:t>
      </w:r>
      <w:r w:rsidR="00B431AA">
        <w:t xml:space="preserve">annotations on William’s portrait show that </w:t>
      </w:r>
      <w:r w:rsidR="00EC375E">
        <w:t xml:space="preserve">the </w:t>
      </w:r>
      <w:r>
        <w:t xml:space="preserve">family were invested in cementing themselves as wealthy and titled landowners: the caption </w:t>
      </w:r>
      <w:r w:rsidR="00682E07">
        <w:t>re</w:t>
      </w:r>
      <w:r w:rsidR="00D75FFE">
        <w:t xml:space="preserve">ads </w:t>
      </w:r>
      <w:r>
        <w:t>‘S[</w:t>
      </w:r>
      <w:proofErr w:type="spellStart"/>
      <w:r>
        <w:t>ir</w:t>
      </w:r>
      <w:proofErr w:type="spellEnd"/>
      <w:r>
        <w:t>] W[</w:t>
      </w:r>
      <w:proofErr w:type="spellStart"/>
      <w:r>
        <w:t>illia</w:t>
      </w:r>
      <w:proofErr w:type="spellEnd"/>
      <w:r>
        <w:t>]m Hickman K[nigh]t’, and the family coat of arms</w:t>
      </w:r>
      <w:r w:rsidR="00682E07">
        <w:t xml:space="preserve"> is </w:t>
      </w:r>
      <w:r w:rsidR="00542AAB">
        <w:t>depicted</w:t>
      </w:r>
      <w:r w:rsidR="00C772F5">
        <w:t xml:space="preserve"> behind him</w:t>
      </w:r>
      <w:r>
        <w:t>.</w:t>
      </w:r>
      <w:r>
        <w:rPr>
          <w:rStyle w:val="FootnoteReference"/>
        </w:rPr>
        <w:footnoteReference w:id="32"/>
      </w:r>
      <w:r>
        <w:t xml:space="preserve"> </w:t>
      </w:r>
      <w:r w:rsidR="00DF12D0">
        <w:t>The</w:t>
      </w:r>
      <w:r w:rsidR="00FD01C3">
        <w:t xml:space="preserve"> later annotations on the portrait of Rose </w:t>
      </w:r>
      <w:r w:rsidR="00DF12D0">
        <w:t xml:space="preserve">similarly </w:t>
      </w:r>
      <w:r w:rsidR="00FD01C3">
        <w:t xml:space="preserve">show her place within family history, with her role as the family’s originating matriarch constantly being re-inscribed for </w:t>
      </w:r>
      <w:r w:rsidR="00DF12D0">
        <w:t>new</w:t>
      </w:r>
      <w:r w:rsidR="00FD01C3">
        <w:t xml:space="preserve"> audiences. </w:t>
      </w:r>
      <w:r w:rsidR="00682E07">
        <w:t>Her autobiography, like the portraits, is therefore part of a wider project of familial legacy building, with Rose using her authorial agency to cement her place in family history for ‘posterity’.</w:t>
      </w:r>
    </w:p>
    <w:p w14:paraId="3F079CD3" w14:textId="77777777" w:rsidR="00256065" w:rsidRDefault="00256065" w:rsidP="00256065">
      <w:pPr>
        <w:ind w:firstLine="720"/>
      </w:pPr>
    </w:p>
    <w:p w14:paraId="2ED9C1F9" w14:textId="43256E9A" w:rsidR="00733101" w:rsidRPr="00733101" w:rsidRDefault="00771DF9" w:rsidP="00256065">
      <w:pPr>
        <w:pStyle w:val="Heading1"/>
        <w:jc w:val="center"/>
      </w:pPr>
      <w:r w:rsidRPr="00870927">
        <w:t>**</w:t>
      </w:r>
      <w:r w:rsidR="006E4D1B" w:rsidRPr="00870927">
        <w:t>*</w:t>
      </w:r>
    </w:p>
    <w:p w14:paraId="4ECBA237" w14:textId="77777777" w:rsidR="00C61059" w:rsidRPr="00C61059" w:rsidRDefault="00C61059" w:rsidP="00256065"/>
    <w:p w14:paraId="16F4C238" w14:textId="019BAAE3" w:rsidR="00AE3E3A" w:rsidRDefault="00CE61E7" w:rsidP="00256065">
      <w:r>
        <w:t>Rose’s autobiography</w:t>
      </w:r>
      <w:r w:rsidR="009D35AA">
        <w:t xml:space="preserve"> </w:t>
      </w:r>
      <w:r w:rsidR="0080043C">
        <w:t>documents</w:t>
      </w:r>
      <w:r w:rsidR="003B4576">
        <w:t xml:space="preserve"> a dramatic </w:t>
      </w:r>
      <w:r w:rsidR="0080043C">
        <w:t>period in her life</w:t>
      </w:r>
      <w:r w:rsidR="003B4576">
        <w:t xml:space="preserve">. </w:t>
      </w:r>
      <w:r w:rsidR="00E95A7C">
        <w:t xml:space="preserve">It covers over thirty years of family history and </w:t>
      </w:r>
      <w:r w:rsidR="0080043C">
        <w:t xml:space="preserve">in its comprehensiveness </w:t>
      </w:r>
      <w:r w:rsidR="00E95A7C">
        <w:t xml:space="preserve">provides a level of </w:t>
      </w:r>
      <w:r w:rsidR="00870927">
        <w:t xml:space="preserve">personal </w:t>
      </w:r>
      <w:r w:rsidR="00E95A7C">
        <w:t>detail that would not have otherwise been preserved</w:t>
      </w:r>
      <w:r w:rsidR="0080043C">
        <w:t xml:space="preserve">, making it an invaluable source for scholarship. Her focus throughout </w:t>
      </w:r>
      <w:r w:rsidR="00374D4E">
        <w:t xml:space="preserve">remains centred </w:t>
      </w:r>
      <w:r w:rsidR="0080043C">
        <w:t xml:space="preserve">on the survival of her family, and their wealth — both spiritual and </w:t>
      </w:r>
      <w:r w:rsidR="00371C11">
        <w:t>economic</w:t>
      </w:r>
      <w:r w:rsidR="0080043C">
        <w:t xml:space="preserve"> — is the factor </w:t>
      </w:r>
      <w:r w:rsidR="00374D4E">
        <w:t>consistently</w:t>
      </w:r>
      <w:r w:rsidR="0080043C">
        <w:t xml:space="preserve"> shown as having enabled this survival.</w:t>
      </w:r>
      <w:r w:rsidR="00084FB9">
        <w:t xml:space="preserve"> Though the manuscript begins by establishing her father’s connections and her husband plays a significant role throughout, the primary actions </w:t>
      </w:r>
      <w:r w:rsidR="00C65E9B">
        <w:t>of the text</w:t>
      </w:r>
      <w:r w:rsidR="00084FB9">
        <w:t xml:space="preserve"> were all </w:t>
      </w:r>
      <w:r w:rsidR="00371C11">
        <w:t>under</w:t>
      </w:r>
      <w:r w:rsidR="00084FB9">
        <w:t xml:space="preserve">taken by Rose. Her own agency as a </w:t>
      </w:r>
      <w:r w:rsidR="00AE3E3A">
        <w:t xml:space="preserve">participant in economic, crypto-Protestant, and female networks, as well as her role as the text’s creator, is thus </w:t>
      </w:r>
      <w:r w:rsidR="00170B3C">
        <w:t>at the heart of the action.</w:t>
      </w:r>
    </w:p>
    <w:p w14:paraId="3AF07EDA" w14:textId="1AD943F5" w:rsidR="00E628F9" w:rsidRDefault="00AE3E3A" w:rsidP="00256065">
      <w:pPr>
        <w:ind w:firstLine="720"/>
      </w:pPr>
      <w:r>
        <w:t>Rose Lok’s</w:t>
      </w:r>
      <w:r w:rsidR="00170B3C">
        <w:t xml:space="preserve"> value as an economic agent was clearly recognised by her contemporaries, and her autobiography gives a fascinating and useful account of how </w:t>
      </w:r>
      <w:r w:rsidR="00072E7C">
        <w:t>mercantile</w:t>
      </w:r>
      <w:r w:rsidR="00170B3C">
        <w:t xml:space="preserve"> communities contracted </w:t>
      </w:r>
      <w:r w:rsidR="00072E7C">
        <w:t xml:space="preserve">and negotiated </w:t>
      </w:r>
      <w:r w:rsidR="00170B3C">
        <w:t>their</w:t>
      </w:r>
      <w:r w:rsidR="00072E7C">
        <w:t xml:space="preserve"> personal</w:t>
      </w:r>
      <w:r w:rsidR="00170B3C">
        <w:t xml:space="preserve"> relationships</w:t>
      </w:r>
      <w:r w:rsidR="00072E7C">
        <w:t>.</w:t>
      </w:r>
      <w:r>
        <w:t xml:space="preserve"> As mentioned above, her description of her engagement to Anthony Hickman makes it clear that her father was involved in checking his books before the marriage, apparently to ensure that h</w:t>
      </w:r>
      <w:r w:rsidRPr="00943BBC">
        <w:t xml:space="preserve">e </w:t>
      </w:r>
      <w:r w:rsidR="00943BBC">
        <w:rPr>
          <w:rFonts w:eastAsiaTheme="minorHAnsi"/>
        </w:rPr>
        <w:t xml:space="preserve">was financially stable enough to join </w:t>
      </w:r>
      <w:r w:rsidR="00170B3C" w:rsidRPr="00AE3E3A">
        <w:rPr>
          <w:rFonts w:eastAsiaTheme="minorHAnsi"/>
        </w:rPr>
        <w:t xml:space="preserve">the mercantile heavyweights </w:t>
      </w:r>
      <w:r w:rsidR="00C92280" w:rsidRPr="00AE3E3A">
        <w:rPr>
          <w:rFonts w:eastAsiaTheme="minorHAnsi"/>
        </w:rPr>
        <w:t>of</w:t>
      </w:r>
      <w:r w:rsidR="00170B3C" w:rsidRPr="00AE3E3A">
        <w:rPr>
          <w:rFonts w:eastAsiaTheme="minorHAnsi"/>
        </w:rPr>
        <w:t xml:space="preserve"> the Lok family. Once </w:t>
      </w:r>
      <w:r w:rsidR="00C92280" w:rsidRPr="00AE3E3A">
        <w:rPr>
          <w:rFonts w:eastAsiaTheme="minorHAnsi"/>
        </w:rPr>
        <w:t xml:space="preserve">this </w:t>
      </w:r>
      <w:r w:rsidR="003D592E" w:rsidRPr="00AE3E3A">
        <w:rPr>
          <w:rFonts w:eastAsiaTheme="minorHAnsi"/>
        </w:rPr>
        <w:t>was confirmed</w:t>
      </w:r>
      <w:r w:rsidR="00F57B04" w:rsidRPr="00AE3E3A">
        <w:rPr>
          <w:rFonts w:eastAsiaTheme="minorHAnsi"/>
        </w:rPr>
        <w:t xml:space="preserve"> </w:t>
      </w:r>
      <w:r w:rsidR="003D592E" w:rsidRPr="00AE3E3A">
        <w:rPr>
          <w:rFonts w:eastAsiaTheme="minorHAnsi"/>
        </w:rPr>
        <w:t xml:space="preserve">and the pair were </w:t>
      </w:r>
      <w:r w:rsidR="00170B3C" w:rsidRPr="00AE3E3A">
        <w:rPr>
          <w:rFonts w:eastAsiaTheme="minorHAnsi"/>
        </w:rPr>
        <w:t>married, her husband’s wealth enabled him to join the</w:t>
      </w:r>
      <w:r w:rsidR="00F57B04" w:rsidRPr="00AE3E3A">
        <w:rPr>
          <w:rFonts w:eastAsiaTheme="minorHAnsi"/>
        </w:rPr>
        <w:t xml:space="preserve">m </w:t>
      </w:r>
      <w:r w:rsidR="00ED2487" w:rsidRPr="00AE3E3A">
        <w:rPr>
          <w:rFonts w:eastAsiaTheme="minorHAnsi"/>
        </w:rPr>
        <w:t>both socially and</w:t>
      </w:r>
      <w:r w:rsidR="00170B3C" w:rsidRPr="00AE3E3A">
        <w:rPr>
          <w:rFonts w:eastAsiaTheme="minorHAnsi"/>
        </w:rPr>
        <w:t xml:space="preserve"> in their trade as a ‘</w:t>
      </w:r>
      <w:r w:rsidR="00170B3C" w:rsidRPr="00AE3E3A">
        <w:rPr>
          <w:rFonts w:eastAsiaTheme="minorHAnsi"/>
          <w:lang w:eastAsia="en-US"/>
        </w:rPr>
        <w:t>great</w:t>
      </w:r>
      <w:r w:rsidR="00170B3C" w:rsidRPr="00AE3E3A">
        <w:t xml:space="preserve"> </w:t>
      </w:r>
      <w:r w:rsidR="00170B3C" w:rsidRPr="00AE3E3A">
        <w:rPr>
          <w:rFonts w:eastAsiaTheme="minorHAnsi"/>
        </w:rPr>
        <w:t>dealer in the trade of a</w:t>
      </w:r>
      <w:r w:rsidR="00170B3C" w:rsidRPr="00AE3E3A">
        <w:t xml:space="preserve"> </w:t>
      </w:r>
      <w:r w:rsidR="00170B3C" w:rsidRPr="00AE3E3A">
        <w:rPr>
          <w:rFonts w:eastAsiaTheme="minorHAnsi"/>
        </w:rPr>
        <w:t>merch</w:t>
      </w:r>
      <w:r w:rsidR="006939F3" w:rsidRPr="00AE3E3A">
        <w:rPr>
          <w:rFonts w:eastAsiaTheme="minorHAnsi"/>
        </w:rPr>
        <w:t>[an]</w:t>
      </w:r>
      <w:r w:rsidR="00170B3C" w:rsidRPr="00AE3E3A">
        <w:rPr>
          <w:rFonts w:eastAsiaTheme="minorHAnsi"/>
        </w:rPr>
        <w:t xml:space="preserve">t </w:t>
      </w:r>
      <w:proofErr w:type="spellStart"/>
      <w:r w:rsidR="00170B3C" w:rsidRPr="00AE3E3A">
        <w:rPr>
          <w:rFonts w:eastAsiaTheme="minorHAnsi"/>
        </w:rPr>
        <w:t>ventourr</w:t>
      </w:r>
      <w:proofErr w:type="spellEnd"/>
      <w:r w:rsidR="00170B3C" w:rsidRPr="00AE3E3A">
        <w:rPr>
          <w:rFonts w:eastAsiaTheme="minorHAnsi"/>
        </w:rPr>
        <w:t>’.</w:t>
      </w:r>
      <w:r w:rsidR="00170B3C" w:rsidRPr="00AE3E3A">
        <w:rPr>
          <w:rStyle w:val="FootnoteReference"/>
          <w:rFonts w:eastAsiaTheme="minorHAnsi"/>
        </w:rPr>
        <w:footnoteReference w:id="33"/>
      </w:r>
      <w:r w:rsidR="00170B3C">
        <w:rPr>
          <w:rFonts w:eastAsiaTheme="minorHAnsi"/>
        </w:rPr>
        <w:t xml:space="preserve"> Anthony became a joint partner with her eldest brother Thomas, and they made their familial links an integral part of their </w:t>
      </w:r>
      <w:r w:rsidR="00ED2487">
        <w:rPr>
          <w:rFonts w:eastAsiaTheme="minorHAnsi"/>
        </w:rPr>
        <w:t>economic</w:t>
      </w:r>
      <w:r w:rsidR="00170B3C">
        <w:rPr>
          <w:rFonts w:eastAsiaTheme="minorHAnsi"/>
        </w:rPr>
        <w:t xml:space="preserve"> practice</w:t>
      </w:r>
      <w:r w:rsidR="00ED2487">
        <w:rPr>
          <w:rFonts w:eastAsiaTheme="minorHAnsi"/>
        </w:rPr>
        <w:t>s</w:t>
      </w:r>
      <w:r w:rsidR="00170B3C">
        <w:rPr>
          <w:rFonts w:eastAsiaTheme="minorHAnsi"/>
        </w:rPr>
        <w:t>, building a ‘goodly ship’ at the</w:t>
      </w:r>
      <w:r w:rsidR="00ED2487">
        <w:rPr>
          <w:rFonts w:eastAsiaTheme="minorHAnsi"/>
        </w:rPr>
        <w:t>ir</w:t>
      </w:r>
      <w:r w:rsidR="00170B3C">
        <w:rPr>
          <w:rFonts w:eastAsiaTheme="minorHAnsi"/>
        </w:rPr>
        <w:t xml:space="preserve"> own cost and naming it ‘</w:t>
      </w:r>
      <w:r w:rsidR="00170B3C" w:rsidRPr="00A5090F">
        <w:t>the Mary Rose being the names of us their</w:t>
      </w:r>
      <w:r w:rsidR="00170B3C">
        <w:t xml:space="preserve"> wives’.</w:t>
      </w:r>
      <w:r w:rsidR="00170B3C">
        <w:rPr>
          <w:rStyle w:val="FootnoteReference"/>
        </w:rPr>
        <w:footnoteReference w:id="34"/>
      </w:r>
      <w:r w:rsidR="00170B3C">
        <w:t xml:space="preserve"> </w:t>
      </w:r>
      <w:r w:rsidR="00A60E7E">
        <w:t xml:space="preserve">Though not active as merchants themselves, the naming of the ship links the economic practices of the husbands with the social credit of their wives. </w:t>
      </w:r>
      <w:r w:rsidR="00E628F9">
        <w:t>A</w:t>
      </w:r>
      <w:r w:rsidR="00A60E7E">
        <w:t xml:space="preserve">round ninety percent of transactions </w:t>
      </w:r>
      <w:r w:rsidR="00E628F9">
        <w:t xml:space="preserve">were </w:t>
      </w:r>
      <w:r w:rsidR="00A60E7E">
        <w:t>carried out on credit in the period</w:t>
      </w:r>
      <w:r w:rsidR="00E628F9">
        <w:t>, and with goods functioning as ‘</w:t>
      </w:r>
      <w:r w:rsidR="00E628F9" w:rsidRPr="00A60E7E">
        <w:t>cash equivalents, repositories of wealth, and the security for credit</w:t>
      </w:r>
      <w:r w:rsidR="00E628F9">
        <w:t>’, a vital aspect of women’s work was asset management.</w:t>
      </w:r>
      <w:r w:rsidR="00E628F9">
        <w:rPr>
          <w:rStyle w:val="FootnoteReference"/>
        </w:rPr>
        <w:footnoteReference w:id="35"/>
      </w:r>
      <w:r w:rsidR="00E628F9">
        <w:t xml:space="preserve"> Ships, as both moveable property in themselves and the containers for further items, may appear to lie solely within the remit of male mercantile activity, but the dual naming of the Hickman-Lok ship reflects the economic role their wives played in managing their wealth, as </w:t>
      </w:r>
      <w:r w:rsidR="00E628F9">
        <w:lastRenderedPageBreak/>
        <w:t xml:space="preserve">well as emphasising </w:t>
      </w:r>
      <w:r w:rsidR="00C06934">
        <w:t>the</w:t>
      </w:r>
      <w:r w:rsidR="00E628F9">
        <w:t xml:space="preserve"> familial links to the wider </w:t>
      </w:r>
      <w:r w:rsidR="00C06934">
        <w:t xml:space="preserve">social </w:t>
      </w:r>
      <w:r w:rsidR="00E628F9">
        <w:t>network</w:t>
      </w:r>
      <w:r w:rsidR="00C06934">
        <w:t xml:space="preserve"> gained through their marriages.</w:t>
      </w:r>
    </w:p>
    <w:p w14:paraId="2C78A500" w14:textId="2397A3F7" w:rsidR="0005348B" w:rsidRDefault="00E628F9" w:rsidP="00256065">
      <w:pPr>
        <w:ind w:firstLine="720"/>
        <w:rPr>
          <w:rFonts w:eastAsiaTheme="minorHAnsi"/>
        </w:rPr>
      </w:pPr>
      <w:r>
        <w:t xml:space="preserve">The vital role that Rose played as an asset manager becomes evident when she describes the years during her husband’s imprisonment in London under the Marian regime when their community and its social practices were disrupted. During this </w:t>
      </w:r>
      <w:proofErr w:type="gramStart"/>
      <w:r>
        <w:t>period</w:t>
      </w:r>
      <w:proofErr w:type="gramEnd"/>
      <w:r>
        <w:t xml:space="preserve"> s</w:t>
      </w:r>
      <w:r w:rsidR="00556CD7">
        <w:t>he use</w:t>
      </w:r>
      <w:r w:rsidR="00F57B04">
        <w:t>d</w:t>
      </w:r>
      <w:r w:rsidR="00556CD7">
        <w:t xml:space="preserve"> </w:t>
      </w:r>
      <w:r w:rsidR="00F57B04">
        <w:t>her family’s</w:t>
      </w:r>
      <w:r w:rsidR="00556CD7">
        <w:t xml:space="preserve"> wealth, gained </w:t>
      </w:r>
      <w:r w:rsidR="00F57B04">
        <w:t xml:space="preserve">partly </w:t>
      </w:r>
      <w:r w:rsidR="00556CD7">
        <w:t xml:space="preserve">through </w:t>
      </w:r>
      <w:r w:rsidR="00F57B04">
        <w:t xml:space="preserve">those </w:t>
      </w:r>
      <w:r w:rsidR="00556CD7">
        <w:t>journeys on the Mary Rose,</w:t>
      </w:r>
      <w:r w:rsidR="00245E6B">
        <w:t xml:space="preserve"> to purchase her husband’s freedom. Using his connections to a ‘Lord of Barrowe’ from the ‘</w:t>
      </w:r>
      <w:proofErr w:type="spellStart"/>
      <w:r w:rsidR="00245E6B">
        <w:t>lowe</w:t>
      </w:r>
      <w:proofErr w:type="spellEnd"/>
      <w:r w:rsidR="00245E6B">
        <w:t xml:space="preserve"> countries’ who was a ‘great </w:t>
      </w:r>
      <w:proofErr w:type="spellStart"/>
      <w:r w:rsidR="00245E6B">
        <w:t>sutor</w:t>
      </w:r>
      <w:proofErr w:type="spellEnd"/>
      <w:r w:rsidR="00245E6B">
        <w:t xml:space="preserve">’ to her husband </w:t>
      </w:r>
      <w:r w:rsidR="006B7E11">
        <w:t>for his trade</w:t>
      </w:r>
      <w:r w:rsidR="00245E6B">
        <w:t>, as well as the ‘</w:t>
      </w:r>
      <w:r w:rsidR="00245E6B" w:rsidRPr="00A5090F">
        <w:rPr>
          <w:rFonts w:eastAsiaTheme="minorHAnsi"/>
        </w:rPr>
        <w:t xml:space="preserve">lord </w:t>
      </w:r>
      <w:proofErr w:type="spellStart"/>
      <w:r w:rsidR="00245E6B" w:rsidRPr="00A5090F">
        <w:rPr>
          <w:rFonts w:eastAsiaTheme="minorHAnsi"/>
        </w:rPr>
        <w:t>treasurors</w:t>
      </w:r>
      <w:proofErr w:type="spellEnd"/>
      <w:r w:rsidR="00245E6B" w:rsidRPr="00A5090F">
        <w:rPr>
          <w:rFonts w:eastAsiaTheme="minorHAnsi"/>
        </w:rPr>
        <w:t xml:space="preserve"> </w:t>
      </w:r>
      <w:proofErr w:type="spellStart"/>
      <w:r w:rsidR="00245E6B" w:rsidRPr="00A5090F">
        <w:rPr>
          <w:rFonts w:eastAsiaTheme="minorHAnsi"/>
        </w:rPr>
        <w:t>favor</w:t>
      </w:r>
      <w:proofErr w:type="spellEnd"/>
      <w:r w:rsidR="00245E6B">
        <w:rPr>
          <w:rFonts w:eastAsiaTheme="minorHAnsi"/>
        </w:rPr>
        <w:t>’, she ensured Anthony and her brother Thomas’s release</w:t>
      </w:r>
      <w:r w:rsidR="00556CD7">
        <w:rPr>
          <w:rFonts w:eastAsiaTheme="minorHAnsi"/>
        </w:rPr>
        <w:t xml:space="preserve"> from the Fleet prison after ‘long imprisonment’</w:t>
      </w:r>
      <w:r w:rsidR="00245E6B">
        <w:rPr>
          <w:rFonts w:eastAsiaTheme="minorHAnsi"/>
        </w:rPr>
        <w:t>.</w:t>
      </w:r>
      <w:r w:rsidR="00245E6B">
        <w:rPr>
          <w:rStyle w:val="FootnoteReference"/>
          <w:rFonts w:eastAsiaTheme="minorHAnsi"/>
        </w:rPr>
        <w:footnoteReference w:id="36"/>
      </w:r>
      <w:r w:rsidR="00245E6B">
        <w:rPr>
          <w:rFonts w:eastAsiaTheme="minorHAnsi"/>
        </w:rPr>
        <w:t xml:space="preserve"> The Lord Treasurer’s favour, she notes, ‘we purchased with c</w:t>
      </w:r>
      <w:r w:rsidR="00245E6B" w:rsidRPr="00A5090F">
        <w:rPr>
          <w:rFonts w:eastAsiaTheme="minorHAnsi"/>
        </w:rPr>
        <w:t>hests of sugar</w:t>
      </w:r>
      <w:r w:rsidR="00245E6B" w:rsidRPr="00A5090F">
        <w:t xml:space="preserve"> </w:t>
      </w:r>
      <w:r w:rsidR="00245E6B" w:rsidRPr="00A5090F">
        <w:rPr>
          <w:rFonts w:eastAsiaTheme="minorHAnsi"/>
        </w:rPr>
        <w:t xml:space="preserve">and </w:t>
      </w:r>
      <w:proofErr w:type="spellStart"/>
      <w:r w:rsidR="00245E6B" w:rsidRPr="00A5090F">
        <w:rPr>
          <w:rFonts w:eastAsiaTheme="minorHAnsi"/>
        </w:rPr>
        <w:t>peeces</w:t>
      </w:r>
      <w:proofErr w:type="spellEnd"/>
      <w:r w:rsidR="00245E6B" w:rsidRPr="00A5090F">
        <w:rPr>
          <w:rFonts w:eastAsiaTheme="minorHAnsi"/>
        </w:rPr>
        <w:t xml:space="preserve"> of velvet to the value</w:t>
      </w:r>
      <w:r w:rsidR="00245E6B" w:rsidRPr="00A5090F">
        <w:t xml:space="preserve"> </w:t>
      </w:r>
      <w:r w:rsidR="00245E6B" w:rsidRPr="00A5090F">
        <w:rPr>
          <w:rFonts w:eastAsiaTheme="minorHAnsi"/>
        </w:rPr>
        <w:t>of 200 li of thereabouts</w:t>
      </w:r>
      <w:r w:rsidR="00245E6B">
        <w:rPr>
          <w:rFonts w:eastAsiaTheme="minorHAnsi"/>
        </w:rPr>
        <w:t>’.</w:t>
      </w:r>
      <w:r w:rsidR="00A35EDE">
        <w:rPr>
          <w:rFonts w:eastAsiaTheme="minorHAnsi"/>
        </w:rPr>
        <w:t xml:space="preserve"> Her partner in this activity may have been one of her older brothers — </w:t>
      </w:r>
      <w:r w:rsidR="00556CD7">
        <w:rPr>
          <w:rFonts w:eastAsiaTheme="minorHAnsi"/>
        </w:rPr>
        <w:t>possibly</w:t>
      </w:r>
      <w:r w:rsidR="00245E6B">
        <w:rPr>
          <w:rFonts w:eastAsiaTheme="minorHAnsi"/>
        </w:rPr>
        <w:t xml:space="preserve"> Henry, as Michael was travelling abroad during Mary’s reign — or it may have been her sister-in-law</w:t>
      </w:r>
      <w:r w:rsidR="00A35EDE">
        <w:rPr>
          <w:rFonts w:eastAsiaTheme="minorHAnsi"/>
        </w:rPr>
        <w:t xml:space="preserve"> and fellow ship-dedicatee</w:t>
      </w:r>
      <w:r w:rsidR="00245E6B">
        <w:rPr>
          <w:rFonts w:eastAsiaTheme="minorHAnsi"/>
        </w:rPr>
        <w:t>, Thomas’s wife Mary</w:t>
      </w:r>
      <w:r w:rsidR="0058222E">
        <w:rPr>
          <w:rFonts w:eastAsiaTheme="minorHAnsi"/>
        </w:rPr>
        <w:t xml:space="preserve">, keen to ensure her own husband’s release. </w:t>
      </w:r>
      <w:r w:rsidR="00E47848">
        <w:rPr>
          <w:rFonts w:eastAsiaTheme="minorHAnsi"/>
        </w:rPr>
        <w:t xml:space="preserve">It is clear though that whoever the partner, Rose was the primary instigator, using her husband’s connections and leveraging their living — the luxury goods gained through those </w:t>
      </w:r>
      <w:r w:rsidR="00F24C55">
        <w:rPr>
          <w:rFonts w:eastAsiaTheme="minorHAnsi"/>
        </w:rPr>
        <w:t>relationships</w:t>
      </w:r>
      <w:r w:rsidR="00E47848">
        <w:rPr>
          <w:rFonts w:eastAsiaTheme="minorHAnsi"/>
        </w:rPr>
        <w:t xml:space="preserve"> — to buy his freedom while promising </w:t>
      </w:r>
      <w:r w:rsidR="002B60D2">
        <w:rPr>
          <w:rFonts w:eastAsiaTheme="minorHAnsi"/>
        </w:rPr>
        <w:t>further trade to the Low Countries</w:t>
      </w:r>
      <w:r w:rsidR="00E47848">
        <w:rPr>
          <w:rFonts w:eastAsiaTheme="minorHAnsi"/>
        </w:rPr>
        <w:t xml:space="preserve">. </w:t>
      </w:r>
      <w:r w:rsidR="0058222E">
        <w:rPr>
          <w:rFonts w:eastAsiaTheme="minorHAnsi"/>
        </w:rPr>
        <w:t xml:space="preserve">This is not the only occasion within </w:t>
      </w:r>
      <w:r w:rsidR="00A35EDE">
        <w:rPr>
          <w:rFonts w:eastAsiaTheme="minorHAnsi"/>
        </w:rPr>
        <w:t xml:space="preserve">Rose’s </w:t>
      </w:r>
      <w:r w:rsidR="0058222E">
        <w:rPr>
          <w:rFonts w:eastAsiaTheme="minorHAnsi"/>
        </w:rPr>
        <w:t xml:space="preserve">text when </w:t>
      </w:r>
      <w:r w:rsidR="00E47848">
        <w:rPr>
          <w:rFonts w:eastAsiaTheme="minorHAnsi"/>
        </w:rPr>
        <w:t xml:space="preserve">she used </w:t>
      </w:r>
      <w:r w:rsidR="0058222E">
        <w:rPr>
          <w:rFonts w:eastAsiaTheme="minorHAnsi"/>
        </w:rPr>
        <w:t xml:space="preserve">wealthy goods for </w:t>
      </w:r>
      <w:r w:rsidR="002B60D2">
        <w:rPr>
          <w:rFonts w:eastAsiaTheme="minorHAnsi"/>
        </w:rPr>
        <w:t>such a</w:t>
      </w:r>
      <w:r w:rsidR="0058222E">
        <w:rPr>
          <w:rFonts w:eastAsiaTheme="minorHAnsi"/>
        </w:rPr>
        <w:t xml:space="preserve"> purpose. As well as ensuring her brother and Anthony’s release and the latter’s escape to Antwerp, Rose </w:t>
      </w:r>
      <w:r w:rsidR="000544BD">
        <w:rPr>
          <w:rFonts w:eastAsiaTheme="minorHAnsi"/>
        </w:rPr>
        <w:t>would also</w:t>
      </w:r>
      <w:r w:rsidR="0058222E">
        <w:rPr>
          <w:rFonts w:eastAsiaTheme="minorHAnsi"/>
        </w:rPr>
        <w:t xml:space="preserve"> </w:t>
      </w:r>
      <w:r w:rsidR="000544BD">
        <w:rPr>
          <w:rFonts w:eastAsiaTheme="minorHAnsi"/>
        </w:rPr>
        <w:t>use</w:t>
      </w:r>
      <w:r w:rsidR="0058222E">
        <w:rPr>
          <w:rFonts w:eastAsiaTheme="minorHAnsi"/>
        </w:rPr>
        <w:t xml:space="preserve"> sugar </w:t>
      </w:r>
      <w:r w:rsidR="00245E6B">
        <w:rPr>
          <w:rFonts w:eastAsiaTheme="minorHAnsi"/>
        </w:rPr>
        <w:t>as a substitute for salt when forced to baptise her child in the Catholic rite in Oxford</w:t>
      </w:r>
      <w:r w:rsidR="00A35EDE">
        <w:rPr>
          <w:rFonts w:eastAsiaTheme="minorHAnsi"/>
        </w:rPr>
        <w:t>, this time using her family’s tradeable goods to purchase spiritual, rather than physical freedom</w:t>
      </w:r>
      <w:r w:rsidR="00245E6B">
        <w:rPr>
          <w:rFonts w:eastAsiaTheme="minorHAnsi"/>
        </w:rPr>
        <w:t>.</w:t>
      </w:r>
      <w:r w:rsidR="00245E6B">
        <w:rPr>
          <w:rStyle w:val="FootnoteReference"/>
          <w:rFonts w:eastAsiaTheme="minorHAnsi"/>
        </w:rPr>
        <w:footnoteReference w:id="37"/>
      </w:r>
      <w:r w:rsidR="00245E6B">
        <w:rPr>
          <w:rFonts w:eastAsiaTheme="minorHAnsi"/>
        </w:rPr>
        <w:t xml:space="preserve"> </w:t>
      </w:r>
      <w:r w:rsidR="00A35EDE">
        <w:rPr>
          <w:rFonts w:eastAsiaTheme="minorHAnsi"/>
        </w:rPr>
        <w:t>While the traditionally male side of the family’s economic activity was curtailed, Rose was still able to bargain with the movable goods that formed their livelihood, demonstrating the importance of her agency as an economic actor.</w:t>
      </w:r>
    </w:p>
    <w:p w14:paraId="19E6350B" w14:textId="3CAA416F" w:rsidR="0005348B" w:rsidRPr="0005348B" w:rsidRDefault="00E4363D" w:rsidP="00256065">
      <w:pPr>
        <w:ind w:firstLine="720"/>
        <w:rPr>
          <w:rFonts w:eastAsiaTheme="minorHAnsi"/>
        </w:rPr>
      </w:pPr>
      <w:r>
        <w:t>As well as possessing a significant degree of economic influence, t</w:t>
      </w:r>
      <w:r w:rsidR="00014BF1">
        <w:t xml:space="preserve">he Hickmans’ </w:t>
      </w:r>
      <w:r w:rsidR="00A35EDE">
        <w:t xml:space="preserve">position </w:t>
      </w:r>
      <w:r w:rsidR="00014BF1">
        <w:t>within the</w:t>
      </w:r>
      <w:r>
        <w:t>ir</w:t>
      </w:r>
      <w:r w:rsidR="00014BF1">
        <w:t xml:space="preserve"> community was closely connected to their faith. </w:t>
      </w:r>
      <w:r w:rsidR="0058222E">
        <w:t>On each occasion</w:t>
      </w:r>
      <w:r w:rsidR="000A21F0">
        <w:t xml:space="preserve"> that Rose </w:t>
      </w:r>
      <w:r w:rsidR="007116D5">
        <w:t>made</w:t>
      </w:r>
      <w:r w:rsidR="000A21F0">
        <w:t xml:space="preserve"> a reference to their economic wealth </w:t>
      </w:r>
      <w:r w:rsidR="007116D5">
        <w:t xml:space="preserve">in her text </w:t>
      </w:r>
      <w:r w:rsidR="000A21F0">
        <w:t xml:space="preserve">she </w:t>
      </w:r>
      <w:r w:rsidR="007116D5">
        <w:t>was</w:t>
      </w:r>
      <w:r w:rsidR="000A21F0">
        <w:t xml:space="preserve"> careful to </w:t>
      </w:r>
      <w:r w:rsidR="00C92280">
        <w:t xml:space="preserve">balance it by </w:t>
      </w:r>
      <w:r w:rsidR="000A21F0">
        <w:t>emphasis</w:t>
      </w:r>
      <w:r w:rsidR="00C92280">
        <w:t>ing</w:t>
      </w:r>
      <w:r w:rsidR="000A21F0">
        <w:t xml:space="preserve"> that their spiritual salvation was of higher value. </w:t>
      </w:r>
      <w:r w:rsidR="007116D5">
        <w:t>When</w:t>
      </w:r>
      <w:r w:rsidR="00D85410">
        <w:t xml:space="preserve"> describing her husband’s ship</w:t>
      </w:r>
      <w:r w:rsidR="007116D5">
        <w:t xml:space="preserve"> </w:t>
      </w:r>
      <w:r w:rsidR="00F57B04">
        <w:t>the ‘Mary Rose’</w:t>
      </w:r>
      <w:r w:rsidR="007116D5">
        <w:t xml:space="preserve">, for example, </w:t>
      </w:r>
      <w:r w:rsidR="00D85410">
        <w:t xml:space="preserve">she </w:t>
      </w:r>
      <w:r w:rsidR="007116D5">
        <w:t>wrote</w:t>
      </w:r>
      <w:r w:rsidR="00D85410">
        <w:t xml:space="preserve"> that though </w:t>
      </w:r>
      <w:r w:rsidR="00CC70BF">
        <w:t xml:space="preserve">it </w:t>
      </w:r>
      <w:r w:rsidR="00D85410">
        <w:t>‘</w:t>
      </w:r>
      <w:proofErr w:type="spellStart"/>
      <w:r w:rsidR="00D85410" w:rsidRPr="00D85410">
        <w:t>plesaed</w:t>
      </w:r>
      <w:proofErr w:type="spellEnd"/>
      <w:r w:rsidR="00D85410" w:rsidRPr="00D85410">
        <w:t xml:space="preserve"> </w:t>
      </w:r>
      <w:r w:rsidR="00CC70BF">
        <w:t>G</w:t>
      </w:r>
      <w:r w:rsidR="00D85410" w:rsidRPr="00D85410">
        <w:t xml:space="preserve">od to </w:t>
      </w:r>
      <w:proofErr w:type="spellStart"/>
      <w:r w:rsidR="00D85410" w:rsidRPr="00D85410">
        <w:t>blese</w:t>
      </w:r>
      <w:proofErr w:type="spellEnd"/>
      <w:r w:rsidR="00D85410" w:rsidRPr="00D85410">
        <w:t xml:space="preserve"> &amp;</w:t>
      </w:r>
      <w:r w:rsidR="00D85410">
        <w:t xml:space="preserve"> </w:t>
      </w:r>
      <w:r w:rsidR="00D85410" w:rsidRPr="00D85410">
        <w:t>prosper well their adventures</w:t>
      </w:r>
      <w:r w:rsidR="00D85410">
        <w:t xml:space="preserve"> </w:t>
      </w:r>
      <w:r w:rsidR="00D85410" w:rsidRPr="00D85410">
        <w:t>and though thereby their</w:t>
      </w:r>
      <w:r w:rsidR="00D85410">
        <w:t xml:space="preserve"> </w:t>
      </w:r>
      <w:r w:rsidR="00D85410" w:rsidRPr="00D85410">
        <w:t xml:space="preserve">riches did increase </w:t>
      </w:r>
      <w:r w:rsidR="00D85410">
        <w:t xml:space="preserve">[…] </w:t>
      </w:r>
      <w:r w:rsidR="00EC7E01">
        <w:t>[they]</w:t>
      </w:r>
      <w:r w:rsidR="00D85410" w:rsidRPr="00D85410">
        <w:t xml:space="preserve"> learned not to trust</w:t>
      </w:r>
      <w:r w:rsidR="00D85410">
        <w:t xml:space="preserve"> </w:t>
      </w:r>
      <w:r w:rsidR="00D85410" w:rsidRPr="00D85410">
        <w:t xml:space="preserve">in </w:t>
      </w:r>
      <w:proofErr w:type="spellStart"/>
      <w:r w:rsidR="00D85410" w:rsidRPr="00D85410">
        <w:t>uncertaine</w:t>
      </w:r>
      <w:proofErr w:type="spellEnd"/>
      <w:r w:rsidR="00D85410" w:rsidRPr="00D85410">
        <w:t xml:space="preserve"> riches but</w:t>
      </w:r>
      <w:r w:rsidR="00D85410">
        <w:t xml:space="preserve"> </w:t>
      </w:r>
      <w:r w:rsidR="00D85410" w:rsidRPr="00D85410">
        <w:t>in the living lord who</w:t>
      </w:r>
      <w:r w:rsidR="00D85410">
        <w:t xml:space="preserve"> </w:t>
      </w:r>
      <w:r w:rsidR="00D85410" w:rsidRPr="00D85410">
        <w:t>giveth abundantly</w:t>
      </w:r>
      <w:r w:rsidR="00D85410">
        <w:t>’.</w:t>
      </w:r>
      <w:r w:rsidR="00D85410">
        <w:rPr>
          <w:rStyle w:val="FootnoteReference"/>
        </w:rPr>
        <w:footnoteReference w:id="38"/>
      </w:r>
      <w:r w:rsidR="007116D5">
        <w:t xml:space="preserve"> </w:t>
      </w:r>
      <w:r w:rsidR="00EC7E01">
        <w:t xml:space="preserve">As members of a Protestant family who used their mercantile wealth to escape the Catholic Marian regime, for the Hickmans faith was </w:t>
      </w:r>
      <w:r w:rsidR="00C92280">
        <w:t xml:space="preserve">an </w:t>
      </w:r>
      <w:r w:rsidR="00EC7E01">
        <w:t>inextricable</w:t>
      </w:r>
      <w:r w:rsidR="00C92280">
        <w:t xml:space="preserve"> of daily life</w:t>
      </w:r>
      <w:r w:rsidR="00E8539C">
        <w:t xml:space="preserve">. </w:t>
      </w:r>
      <w:r w:rsidR="0015439E">
        <w:t>Rose’s faith</w:t>
      </w:r>
      <w:r w:rsidR="00A97DD5">
        <w:t xml:space="preserve"> link</w:t>
      </w:r>
      <w:r w:rsidR="002738BA">
        <w:t>ed</w:t>
      </w:r>
      <w:r w:rsidR="00A97DD5">
        <w:t xml:space="preserve"> her economic and social roles within the </w:t>
      </w:r>
      <w:r w:rsidR="002738BA">
        <w:t>community and</w:t>
      </w:r>
      <w:r w:rsidR="00A97DD5">
        <w:t xml:space="preserve"> was a key motivation for writing the autobiography</w:t>
      </w:r>
      <w:r w:rsidR="002738BA">
        <w:t xml:space="preserve">. </w:t>
      </w:r>
      <w:r w:rsidR="00A67A49">
        <w:t>She</w:t>
      </w:r>
      <w:r w:rsidR="002738BA">
        <w:t xml:space="preserve"> made a point of emphasising her family’s </w:t>
      </w:r>
      <w:r w:rsidR="00B27974">
        <w:t xml:space="preserve">place in </w:t>
      </w:r>
      <w:r w:rsidR="002738BA">
        <w:t xml:space="preserve">Protestant history, </w:t>
      </w:r>
      <w:r w:rsidR="004441F5">
        <w:t xml:space="preserve">framing her </w:t>
      </w:r>
      <w:r w:rsidR="005F4D9D">
        <w:t>writing</w:t>
      </w:r>
      <w:r w:rsidR="004441F5">
        <w:t xml:space="preserve"> as a means through which this history would be preserved and herself as the only person able to preserve it. </w:t>
      </w:r>
      <w:r w:rsidR="0018274C">
        <w:t xml:space="preserve">She </w:t>
      </w:r>
      <w:r w:rsidR="004441F5">
        <w:t>began</w:t>
      </w:r>
      <w:r w:rsidR="0018274C">
        <w:t xml:space="preserve"> the manuscript by recounting a story taken from ‘</w:t>
      </w:r>
      <w:proofErr w:type="spellStart"/>
      <w:r w:rsidR="0018274C">
        <w:t>Hollinshed</w:t>
      </w:r>
      <w:proofErr w:type="spellEnd"/>
      <w:r w:rsidR="0018274C">
        <w:t>[</w:t>
      </w:r>
      <w:r w:rsidR="00C92280">
        <w:t>’</w:t>
      </w:r>
      <w:r w:rsidR="0018274C">
        <w:t xml:space="preserve">]s chronicle’ which describes her father intervening to take down a ‘curse […] set up in the town of </w:t>
      </w:r>
      <w:proofErr w:type="spellStart"/>
      <w:r w:rsidR="0018274C">
        <w:t>Dunkirke</w:t>
      </w:r>
      <w:proofErr w:type="spellEnd"/>
      <w:r w:rsidR="0018274C">
        <w:t xml:space="preserve">’ sent by the pope </w:t>
      </w:r>
      <w:r w:rsidR="00734308">
        <w:t>at</w:t>
      </w:r>
      <w:r w:rsidR="0018274C">
        <w:t xml:space="preserve"> ‘the </w:t>
      </w:r>
      <w:proofErr w:type="spellStart"/>
      <w:r w:rsidR="0018274C">
        <w:t>su</w:t>
      </w:r>
      <w:proofErr w:type="spellEnd"/>
      <w:r w:rsidR="0018274C">
        <w:t>[</w:t>
      </w:r>
      <w:proofErr w:type="spellStart"/>
      <w:r w:rsidR="0018274C">
        <w:t>i</w:t>
      </w:r>
      <w:proofErr w:type="spellEnd"/>
      <w:r w:rsidR="0018274C">
        <w:t>]</w:t>
      </w:r>
      <w:proofErr w:type="spellStart"/>
      <w:r w:rsidR="0018274C">
        <w:t>te</w:t>
      </w:r>
      <w:proofErr w:type="spellEnd"/>
      <w:r w:rsidR="0018274C">
        <w:t xml:space="preserve"> of the </w:t>
      </w:r>
      <w:proofErr w:type="spellStart"/>
      <w:r w:rsidR="0018274C">
        <w:t>ladye</w:t>
      </w:r>
      <w:proofErr w:type="spellEnd"/>
      <w:r w:rsidR="0018274C">
        <w:t xml:space="preserve"> Katherine dowager’.</w:t>
      </w:r>
      <w:r w:rsidR="0018274C">
        <w:rPr>
          <w:rStyle w:val="FootnoteReference"/>
        </w:rPr>
        <w:footnoteReference w:id="39"/>
      </w:r>
      <w:r w:rsidR="0018274C">
        <w:t xml:space="preserve"> </w:t>
      </w:r>
      <w:r w:rsidR="00AB6F2A">
        <w:t>Her choice to begin</w:t>
      </w:r>
      <w:r w:rsidR="0018008F">
        <w:t xml:space="preserve"> the autobiography</w:t>
      </w:r>
      <w:r w:rsidR="004C1198">
        <w:t xml:space="preserve"> </w:t>
      </w:r>
      <w:r w:rsidR="0018274C">
        <w:t>with an account that predates her own birth</w:t>
      </w:r>
      <w:r w:rsidR="004C1198">
        <w:t xml:space="preserve"> </w:t>
      </w:r>
      <w:r w:rsidR="009751AF">
        <w:t>serves to establish</w:t>
      </w:r>
      <w:r w:rsidR="0018274C">
        <w:t xml:space="preserve"> her family’s place within not just English Protestant history, but recorded and printed history. </w:t>
      </w:r>
      <w:r w:rsidR="00A67A49">
        <w:t xml:space="preserve">It is also notable that it was her father’s trading practices that enabled him to prove his adherence to the true faith and set a model for his children, while her mother similarly had English copies of the Gospel ‘sent privately to her </w:t>
      </w:r>
      <w:r w:rsidR="00A67A49" w:rsidRPr="00A67A49">
        <w:t xml:space="preserve">by my </w:t>
      </w:r>
      <w:proofErr w:type="gramStart"/>
      <w:r w:rsidR="00A67A49" w:rsidRPr="00A67A49">
        <w:t>father</w:t>
      </w:r>
      <w:r w:rsidR="005F4D9D">
        <w:t>[</w:t>
      </w:r>
      <w:proofErr w:type="gramEnd"/>
      <w:r w:rsidR="005F4D9D">
        <w:t>’]</w:t>
      </w:r>
      <w:r w:rsidR="00A67A49" w:rsidRPr="00A67A49">
        <w:t xml:space="preserve">s facto[r] </w:t>
      </w:r>
      <w:proofErr w:type="spellStart"/>
      <w:r w:rsidR="00A67A49" w:rsidRPr="00A67A49">
        <w:t>fro</w:t>
      </w:r>
      <w:proofErr w:type="spellEnd"/>
      <w:r w:rsidR="00A67A49" w:rsidRPr="00A67A49">
        <w:t>[m]</w:t>
      </w:r>
      <w:r w:rsidR="00A67A49">
        <w:t xml:space="preserve"> </w:t>
      </w:r>
      <w:r w:rsidR="00A67A49" w:rsidRPr="00A67A49">
        <w:t>beyond seas</w:t>
      </w:r>
      <w:r w:rsidR="00A67A49">
        <w:t>’, enacting the same process within the home.</w:t>
      </w:r>
      <w:r w:rsidR="00A67A49">
        <w:rPr>
          <w:rStyle w:val="FootnoteReference"/>
        </w:rPr>
        <w:footnoteReference w:id="40"/>
      </w:r>
    </w:p>
    <w:p w14:paraId="507D6A05" w14:textId="08C80C2B" w:rsidR="004C1198" w:rsidRDefault="00367888" w:rsidP="00256065">
      <w:pPr>
        <w:ind w:firstLine="720"/>
      </w:pPr>
      <w:r>
        <w:lastRenderedPageBreak/>
        <w:t xml:space="preserve">The Holinshed </w:t>
      </w:r>
      <w:r w:rsidR="005C5C71">
        <w:t xml:space="preserve">record was framed </w:t>
      </w:r>
      <w:r>
        <w:t xml:space="preserve">by Rose as a </w:t>
      </w:r>
      <w:r w:rsidR="00734308">
        <w:t>as</w:t>
      </w:r>
      <w:r w:rsidR="005C5C71">
        <w:t xml:space="preserve"> </w:t>
      </w:r>
      <w:r>
        <w:t xml:space="preserve">significant </w:t>
      </w:r>
      <w:r w:rsidR="005C5C71">
        <w:t>impetus for her autobiograph</w:t>
      </w:r>
      <w:r w:rsidR="004C1198">
        <w:t xml:space="preserve">ical </w:t>
      </w:r>
      <w:r w:rsidR="00EB0D11">
        <w:t xml:space="preserve">recording: she followed the reference by writing that </w:t>
      </w:r>
      <w:r w:rsidR="0018274C">
        <w:t xml:space="preserve">‘reading this of my father </w:t>
      </w:r>
      <w:r w:rsidR="00C31B08">
        <w:t xml:space="preserve">[I] have thought [it] good </w:t>
      </w:r>
      <w:r w:rsidR="0018274C">
        <w:t>to leave to my children this addition to it’.</w:t>
      </w:r>
      <w:r w:rsidR="0018274C">
        <w:rPr>
          <w:rStyle w:val="FootnoteReference"/>
        </w:rPr>
        <w:footnoteReference w:id="41"/>
      </w:r>
      <w:r w:rsidR="0018274C">
        <w:t xml:space="preserve"> In </w:t>
      </w:r>
      <w:r w:rsidR="00892A11">
        <w:t>composing</w:t>
      </w:r>
      <w:r w:rsidR="0018274C">
        <w:t xml:space="preserve"> </w:t>
      </w:r>
      <w:r w:rsidR="00892A11">
        <w:t>her</w:t>
      </w:r>
      <w:r w:rsidR="0018274C">
        <w:t xml:space="preserve"> account and preserving her own memories, </w:t>
      </w:r>
      <w:r w:rsidR="00892A11">
        <w:t>Rose</w:t>
      </w:r>
      <w:r w:rsidR="0018274C">
        <w:t xml:space="preserve"> </w:t>
      </w:r>
      <w:r w:rsidR="00892A11">
        <w:t>was</w:t>
      </w:r>
      <w:r w:rsidR="0018274C">
        <w:t xml:space="preserve"> consciously adding to an existing record, layering her own experiences and interpretations onto recorded</w:t>
      </w:r>
      <w:r w:rsidR="00892A11">
        <w:t xml:space="preserve"> —</w:t>
      </w:r>
      <w:r w:rsidR="005C5C71">
        <w:t xml:space="preserve"> </w:t>
      </w:r>
      <w:r w:rsidR="0018274C">
        <w:t xml:space="preserve">and male authored </w:t>
      </w:r>
      <w:r w:rsidR="00892A11">
        <w:t>—</w:t>
      </w:r>
      <w:r w:rsidR="0018274C">
        <w:t xml:space="preserve"> history. </w:t>
      </w:r>
      <w:r w:rsidR="000341CB">
        <w:t xml:space="preserve">This process of layering </w:t>
      </w:r>
      <w:r w:rsidR="005F6F77">
        <w:t xml:space="preserve">is </w:t>
      </w:r>
      <w:r w:rsidR="00892A11">
        <w:t>demonstrated</w:t>
      </w:r>
      <w:r w:rsidR="000341CB">
        <w:t xml:space="preserve"> again </w:t>
      </w:r>
      <w:r w:rsidR="00F14425">
        <w:t>o</w:t>
      </w:r>
      <w:r w:rsidR="005F6F77">
        <w:t xml:space="preserve">n </w:t>
      </w:r>
      <w:r w:rsidR="000341CB">
        <w:t xml:space="preserve">the following </w:t>
      </w:r>
      <w:r w:rsidR="00F14425">
        <w:t>page</w:t>
      </w:r>
      <w:r w:rsidR="000341CB">
        <w:t xml:space="preserve">, where Rose continued that </w:t>
      </w:r>
      <w:r w:rsidR="00C31B08">
        <w:t xml:space="preserve">‘I remember I have heard my father say that […] </w:t>
      </w:r>
      <w:proofErr w:type="spellStart"/>
      <w:r w:rsidR="0018274C" w:rsidRPr="00A5090F">
        <w:t>Queene</w:t>
      </w:r>
      <w:proofErr w:type="spellEnd"/>
      <w:r w:rsidR="0018274C" w:rsidRPr="00A5090F">
        <w:t xml:space="preserve"> Anne </w:t>
      </w:r>
      <w:proofErr w:type="spellStart"/>
      <w:r w:rsidR="0018274C" w:rsidRPr="00A5090F">
        <w:t>Boloin</w:t>
      </w:r>
      <w:proofErr w:type="spellEnd"/>
      <w:r w:rsidR="0018274C" w:rsidRPr="00A5090F">
        <w:t xml:space="preserve"> </w:t>
      </w:r>
      <w:proofErr w:type="spellStart"/>
      <w:r w:rsidR="0018274C" w:rsidRPr="00A5090F">
        <w:t>yt</w:t>
      </w:r>
      <w:proofErr w:type="spellEnd"/>
      <w:r w:rsidR="0018274C" w:rsidRPr="00A5090F">
        <w:t xml:space="preserve"> was mother to o[r] late Queene Elizabeth caused </w:t>
      </w:r>
      <w:r w:rsidR="00C31B08">
        <w:t xml:space="preserve">him </w:t>
      </w:r>
      <w:r w:rsidR="0018274C" w:rsidRPr="00A5090F">
        <w:t>to get her ye gospels and epistles written in p[</w:t>
      </w:r>
      <w:proofErr w:type="spellStart"/>
      <w:r w:rsidR="0018274C" w:rsidRPr="00A5090F">
        <w:t>ar</w:t>
      </w:r>
      <w:proofErr w:type="spellEnd"/>
      <w:r w:rsidR="0018274C" w:rsidRPr="00A5090F">
        <w:t>]chm[</w:t>
      </w:r>
      <w:proofErr w:type="spellStart"/>
      <w:r w:rsidR="0018274C" w:rsidRPr="00A5090F">
        <w:t>ent</w:t>
      </w:r>
      <w:proofErr w:type="spellEnd"/>
      <w:r w:rsidR="0018274C" w:rsidRPr="00A5090F">
        <w:t>] in French together with the psalms</w:t>
      </w:r>
      <w:r w:rsidR="0018274C">
        <w:t>’.</w:t>
      </w:r>
      <w:r w:rsidR="0018274C">
        <w:rPr>
          <w:rStyle w:val="FootnoteReference"/>
        </w:rPr>
        <w:footnoteReference w:id="42"/>
      </w:r>
      <w:r w:rsidR="004C1198">
        <w:t xml:space="preserve"> </w:t>
      </w:r>
      <w:r w:rsidR="005F6F77">
        <w:t xml:space="preserve">With this anecdote Rose </w:t>
      </w:r>
      <w:r w:rsidR="00A67A49">
        <w:t>placed</w:t>
      </w:r>
      <w:r w:rsidR="004C1198">
        <w:t xml:space="preserve"> her father at the heart of the English </w:t>
      </w:r>
      <w:r w:rsidR="00892A11">
        <w:t>R</w:t>
      </w:r>
      <w:r w:rsidR="004C1198">
        <w:t xml:space="preserve">eformation, connecting him to </w:t>
      </w:r>
      <w:r w:rsidR="005F6F77">
        <w:t xml:space="preserve">two </w:t>
      </w:r>
      <w:r w:rsidR="004C1198">
        <w:t>of its most important figures</w:t>
      </w:r>
      <w:r w:rsidR="005F6F77">
        <w:t xml:space="preserve">. </w:t>
      </w:r>
      <w:r w:rsidR="004C1198">
        <w:t xml:space="preserve">The Lok/Hickman family </w:t>
      </w:r>
      <w:r w:rsidR="00CC600D">
        <w:t xml:space="preserve">are therefore positioned </w:t>
      </w:r>
      <w:r w:rsidR="00892A11">
        <w:t>through Rose’s memor</w:t>
      </w:r>
      <w:r w:rsidR="00693D8D">
        <w:t>ials</w:t>
      </w:r>
      <w:r w:rsidR="00892A11">
        <w:t xml:space="preserve"> </w:t>
      </w:r>
      <w:r w:rsidR="00CC600D">
        <w:t>as pivotal agents in English religious history</w:t>
      </w:r>
      <w:r w:rsidR="00892A11">
        <w:t xml:space="preserve"> and </w:t>
      </w:r>
      <w:r w:rsidR="00CC600D">
        <w:t xml:space="preserve">Rose, as the one </w:t>
      </w:r>
      <w:r w:rsidR="00892A11">
        <w:t>who</w:t>
      </w:r>
      <w:r w:rsidR="00CC600D">
        <w:t xml:space="preserve"> the story depends on, becomes the most important figure in the historical chain, solely responsible for the preservation of this history. </w:t>
      </w:r>
    </w:p>
    <w:p w14:paraId="22BCF8B5" w14:textId="6D2593E8" w:rsidR="00B27974" w:rsidRDefault="00F26045" w:rsidP="00256065">
      <w:r>
        <w:tab/>
        <w:t xml:space="preserve">These references to printed works frame the autobiography as an addition to ‘established’ history, placing it within a wider history of Protestant </w:t>
      </w:r>
      <w:r w:rsidR="00693D8D">
        <w:t>material</w:t>
      </w:r>
      <w:r>
        <w:t>. They also signal the autobiography’s existence as a work within its own genre</w:t>
      </w:r>
      <w:r w:rsidR="00936D54">
        <w:t xml:space="preserve"> —</w:t>
      </w:r>
      <w:r>
        <w:t xml:space="preserve"> in this case, life-writing. The autobiography is unusual within its genre</w:t>
      </w:r>
      <w:r w:rsidR="00936D54">
        <w:t>:</w:t>
      </w:r>
      <w:r>
        <w:t xml:space="preserve"> Sarah Ross, in her analysis of the influence of reading on early modern women’s life writing, considered that it ‘</w:t>
      </w:r>
      <w:r w:rsidRPr="005C33E6">
        <w:t>almost always eludes the category of autobiography</w:t>
      </w:r>
      <w:r>
        <w:t xml:space="preserve">’, which was a later genre defined by </w:t>
      </w:r>
      <w:r w:rsidRPr="005C33E6">
        <w:t>‘the narrative creation of a unified personality’</w:t>
      </w:r>
      <w:r>
        <w:t>.</w:t>
      </w:r>
      <w:r>
        <w:rPr>
          <w:rStyle w:val="FootnoteReference"/>
        </w:rPr>
        <w:footnoteReference w:id="43"/>
      </w:r>
      <w:r>
        <w:t xml:space="preserve"> Rose’s account, which expresses a very well-defined unified personality, is clearly an exception. In other ways though, the account </w:t>
      </w:r>
      <w:r w:rsidR="00BB5482">
        <w:t xml:space="preserve">more </w:t>
      </w:r>
      <w:r>
        <w:t>clearly conforms to expectations of ‘self-writing’ as a generically fluid form emerging from ‘</w:t>
      </w:r>
      <w:r w:rsidRPr="005C33E6">
        <w:t>intersect[ion] and engage[</w:t>
      </w:r>
      <w:proofErr w:type="spellStart"/>
      <w:r w:rsidRPr="005C33E6">
        <w:t>ment</w:t>
      </w:r>
      <w:proofErr w:type="spellEnd"/>
      <w:r w:rsidRPr="005C33E6">
        <w:t xml:space="preserve">] with </w:t>
      </w:r>
      <w:r w:rsidRPr="005C33E6">
        <w:rPr>
          <w:i/>
          <w:iCs/>
        </w:rPr>
        <w:t>other</w:t>
      </w:r>
      <w:r w:rsidRPr="005C33E6">
        <w:t xml:space="preserve"> genres</w:t>
      </w:r>
      <w:r>
        <w:t>’, where the author uses these formal and generic structures to constitute a version of ‘herself’.</w:t>
      </w:r>
      <w:r>
        <w:rPr>
          <w:rStyle w:val="FootnoteReference"/>
        </w:rPr>
        <w:footnoteReference w:id="44"/>
      </w:r>
      <w:r>
        <w:t xml:space="preserve"> Rose was working within a growing movement of sixteenth and later seventeenth century Englishwomen producing and circulating such life writings. These texts took many forms, including the explicitly autobiographical and the less obvious</w:t>
      </w:r>
      <w:r w:rsidR="00936D54">
        <w:t>ly so,</w:t>
      </w:r>
      <w:r>
        <w:t xml:space="preserve"> such as cookbooks and religious treatises, but all played an important role in women’s understanding and articulation of female identity.</w:t>
      </w:r>
      <w:r>
        <w:rPr>
          <w:rStyle w:val="FootnoteReference"/>
        </w:rPr>
        <w:footnoteReference w:id="45"/>
      </w:r>
      <w:r>
        <w:t xml:space="preserve"> Though these texts may seem self-concerned, as </w:t>
      </w:r>
      <w:r w:rsidRPr="005B740D">
        <w:t xml:space="preserve">Michelle Dowd and Julie </w:t>
      </w:r>
      <w:proofErr w:type="spellStart"/>
      <w:r w:rsidRPr="005B740D">
        <w:t>Eckerle</w:t>
      </w:r>
      <w:proofErr w:type="spellEnd"/>
      <w:r>
        <w:t xml:space="preserve"> have argued their experimentation with genre </w:t>
      </w:r>
      <w:r w:rsidR="00936D54">
        <w:t xml:space="preserve">in fact </w:t>
      </w:r>
      <w:r>
        <w:t>represents both their connections to the larger textual world and the place of women within these networks.</w:t>
      </w:r>
      <w:r>
        <w:rPr>
          <w:rStyle w:val="FootnoteReference"/>
        </w:rPr>
        <w:footnoteReference w:id="46"/>
      </w:r>
      <w:r>
        <w:t xml:space="preserve"> </w:t>
      </w:r>
      <w:r w:rsidR="00646D4B">
        <w:t xml:space="preserve">Similar examples to Rose’s autobiography </w:t>
      </w:r>
      <w:r w:rsidR="0066092F">
        <w:t>include</w:t>
      </w:r>
      <w:r w:rsidR="00646D4B">
        <w:t xml:space="preserve"> the Diary of Alice Thornton, </w:t>
      </w:r>
      <w:r w:rsidR="0066092F">
        <w:t xml:space="preserve">which contains more quotidian detail but </w:t>
      </w:r>
      <w:r w:rsidR="003638C8">
        <w:t>is generically similar:</w:t>
      </w:r>
      <w:r w:rsidR="0066092F">
        <w:t xml:space="preserve"> a ‘</w:t>
      </w:r>
      <w:r w:rsidR="0066092F" w:rsidRPr="0066092F">
        <w:t>deliverance memoir</w:t>
      </w:r>
      <w:r w:rsidR="0066092F">
        <w:t>’</w:t>
      </w:r>
      <w:r w:rsidR="003638C8">
        <w:t xml:space="preserve">, it reflects </w:t>
      </w:r>
      <w:r w:rsidR="0066092F">
        <w:t>the ‘</w:t>
      </w:r>
      <w:r w:rsidR="0066092F" w:rsidRPr="0066092F">
        <w:t>spiritual and domestic life of an early modern woman</w:t>
      </w:r>
      <w:r w:rsidR="0066092F">
        <w:t>’.</w:t>
      </w:r>
      <w:r w:rsidR="0066092F">
        <w:rPr>
          <w:rStyle w:val="FootnoteReference"/>
        </w:rPr>
        <w:footnoteReference w:id="47"/>
      </w:r>
      <w:r w:rsidR="00711454">
        <w:t xml:space="preserve"> Anne Clifford </w:t>
      </w:r>
      <w:r w:rsidR="00076A81">
        <w:t xml:space="preserve">took a similar approach in her diary, </w:t>
      </w:r>
      <w:r w:rsidR="003638C8">
        <w:t>which placed her within a wider familial dynasty while demonstrating a keen awareness of capital.</w:t>
      </w:r>
      <w:r w:rsidR="00076A81">
        <w:rPr>
          <w:rStyle w:val="FootnoteReference"/>
        </w:rPr>
        <w:footnoteReference w:id="48"/>
      </w:r>
      <w:r w:rsidR="003638C8">
        <w:t xml:space="preserve"> Both Thornton and Clifford, like Rose, used their narratives of life-writing to offer an insight into family dynamics and priorities, centering their perspective as matriarchal figures. Unlike their</w:t>
      </w:r>
      <w:r w:rsidR="00BB5482">
        <w:t>s</w:t>
      </w:r>
      <w:r w:rsidR="003638C8">
        <w:t xml:space="preserve">, however, Rose’s autobiography was written long after the events with no indication that she </w:t>
      </w:r>
      <w:r w:rsidR="003638C8">
        <w:lastRenderedPageBreak/>
        <w:t>was referring to an earlier diary, and it focuses on a period of exile and its author’s time as a cultural agent within a foreign, rather than solely domestic space.</w:t>
      </w:r>
    </w:p>
    <w:p w14:paraId="76DE2BA6" w14:textId="31B4564D" w:rsidR="00AE5ED6" w:rsidRDefault="00F26045" w:rsidP="00256065">
      <w:r>
        <w:tab/>
      </w:r>
      <w:r w:rsidR="00465C7B">
        <w:t>Having meditated</w:t>
      </w:r>
      <w:r>
        <w:t xml:space="preserve"> often on her family’s salvation</w:t>
      </w:r>
      <w:r w:rsidR="00465C7B">
        <w:t>, Rose wrote that she hoped</w:t>
      </w:r>
      <w:r>
        <w:t xml:space="preserve"> by recording their history she would enable future generations to do the same. </w:t>
      </w:r>
      <w:r w:rsidR="009613AD">
        <w:t>Religion</w:t>
      </w:r>
      <w:r w:rsidR="00AB2F6E">
        <w:t xml:space="preserve"> w</w:t>
      </w:r>
      <w:r w:rsidR="005D7CC2">
        <w:t>as</w:t>
      </w:r>
      <w:r w:rsidR="00AB2F6E">
        <w:t xml:space="preserve"> an important part of Rose’s social position and agency throughout her life.</w:t>
      </w:r>
      <w:r w:rsidR="00B27974">
        <w:t xml:space="preserve"> As detailed above, she used the family’s earlier connections to Protestant figures to situate herself as an author and life-writer, ‘making history’. The references also served to place her family within contemporary networks, foregrounding her personal connections to some of the most well-known early modern English Protestants </w:t>
      </w:r>
      <w:r w:rsidR="00AB2F6E">
        <w:t>—</w:t>
      </w:r>
      <w:r w:rsidR="003C2168">
        <w:t xml:space="preserve"> and, often, their indebtedness to her. </w:t>
      </w:r>
      <w:r w:rsidR="00480188">
        <w:t>While describing events during</w:t>
      </w:r>
      <w:r w:rsidR="003C2168">
        <w:t xml:space="preserve"> the beginning of Mary’s reign, </w:t>
      </w:r>
      <w:r w:rsidR="00AE075C">
        <w:t xml:space="preserve">Rose </w:t>
      </w:r>
      <w:r w:rsidR="001838EA">
        <w:t>recounts</w:t>
      </w:r>
      <w:r w:rsidR="003C2168">
        <w:t xml:space="preserve"> </w:t>
      </w:r>
      <w:r w:rsidR="00F16AB7">
        <w:t xml:space="preserve">occasions where </w:t>
      </w:r>
      <w:r w:rsidR="003C2168">
        <w:t>‘</w:t>
      </w:r>
      <w:proofErr w:type="spellStart"/>
      <w:r w:rsidR="003C2168" w:rsidRPr="00A5090F">
        <w:rPr>
          <w:rFonts w:eastAsiaTheme="minorHAnsi"/>
          <w:lang w:eastAsia="en-US"/>
        </w:rPr>
        <w:t>Byshop</w:t>
      </w:r>
      <w:proofErr w:type="spellEnd"/>
      <w:r w:rsidR="003C2168" w:rsidRPr="00A5090F">
        <w:rPr>
          <w:rFonts w:eastAsiaTheme="minorHAnsi"/>
          <w:lang w:eastAsia="en-US"/>
        </w:rPr>
        <w:t xml:space="preserve"> Hooper</w:t>
      </w:r>
      <w:r w:rsidR="003C2168" w:rsidRPr="00A5090F">
        <w:t xml:space="preserve">, </w:t>
      </w:r>
      <w:proofErr w:type="spellStart"/>
      <w:r w:rsidR="003C2168" w:rsidRPr="00A5090F">
        <w:rPr>
          <w:rFonts w:eastAsiaTheme="minorHAnsi"/>
        </w:rPr>
        <w:t>mr</w:t>
      </w:r>
      <w:proofErr w:type="spellEnd"/>
      <w:r w:rsidR="003C2168" w:rsidRPr="00A5090F">
        <w:rPr>
          <w:rFonts w:eastAsiaTheme="minorHAnsi"/>
        </w:rPr>
        <w:t xml:space="preserve"> Foxe Mr </w:t>
      </w:r>
      <w:proofErr w:type="spellStart"/>
      <w:r w:rsidR="003C2168" w:rsidRPr="00A5090F">
        <w:rPr>
          <w:rFonts w:eastAsiaTheme="minorHAnsi"/>
        </w:rPr>
        <w:t>Knoxe</w:t>
      </w:r>
      <w:proofErr w:type="spellEnd"/>
      <w:r w:rsidR="003C2168" w:rsidRPr="00A5090F">
        <w:rPr>
          <w:rFonts w:eastAsiaTheme="minorHAnsi"/>
        </w:rPr>
        <w:t xml:space="preserve"> and divers</w:t>
      </w:r>
      <w:r w:rsidR="003C2168" w:rsidRPr="00A5090F">
        <w:t xml:space="preserve"> other godly preachers</w:t>
      </w:r>
      <w:r w:rsidR="003C2168">
        <w:t xml:space="preserve">’ </w:t>
      </w:r>
      <w:r w:rsidR="00F16AB7">
        <w:t>were</w:t>
      </w:r>
      <w:r w:rsidR="003C2168">
        <w:t xml:space="preserve"> given entertainment by her husband and brother.</w:t>
      </w:r>
      <w:r w:rsidR="003C2168">
        <w:rPr>
          <w:rStyle w:val="FootnoteReference"/>
        </w:rPr>
        <w:footnoteReference w:id="49"/>
      </w:r>
      <w:r w:rsidR="003C2168">
        <w:t xml:space="preserve"> Though she writes that </w:t>
      </w:r>
      <w:r w:rsidR="004F3670">
        <w:t>her husband and brother</w:t>
      </w:r>
      <w:r w:rsidR="003C2168">
        <w:t xml:space="preserve"> did so ‘</w:t>
      </w:r>
      <w:r w:rsidR="003C2168" w:rsidRPr="003C2168">
        <w:t xml:space="preserve">to use and </w:t>
      </w:r>
      <w:proofErr w:type="spellStart"/>
      <w:r w:rsidR="003C2168" w:rsidRPr="003C2168">
        <w:t>imploy</w:t>
      </w:r>
      <w:proofErr w:type="spellEnd"/>
      <w:r w:rsidR="003C2168" w:rsidRPr="003C2168">
        <w:t xml:space="preserve"> their</w:t>
      </w:r>
      <w:r w:rsidR="003C2168">
        <w:t xml:space="preserve"> </w:t>
      </w:r>
      <w:r w:rsidR="003C2168" w:rsidRPr="003C2168">
        <w:t xml:space="preserve">substance </w:t>
      </w:r>
      <w:r w:rsidR="003C2168">
        <w:t xml:space="preserve">[gained through trade] </w:t>
      </w:r>
      <w:r w:rsidR="003C2168" w:rsidRPr="003C2168">
        <w:t>to the glory</w:t>
      </w:r>
      <w:r w:rsidR="003C2168">
        <w:t xml:space="preserve"> o</w:t>
      </w:r>
      <w:r w:rsidR="003C2168" w:rsidRPr="003C2168">
        <w:t>f god and good of his</w:t>
      </w:r>
      <w:r w:rsidR="003C2168">
        <w:t xml:space="preserve"> </w:t>
      </w:r>
      <w:r w:rsidR="003C2168" w:rsidRPr="003C2168">
        <w:t>church</w:t>
      </w:r>
      <w:r w:rsidR="003C2168">
        <w:t xml:space="preserve">’, she also </w:t>
      </w:r>
      <w:r w:rsidR="004F3670">
        <w:t xml:space="preserve">notes that ‘if [the preachers] were living on earth [they] […] would not forget to </w:t>
      </w:r>
      <w:r w:rsidR="004F3670" w:rsidRPr="004F3670">
        <w:t>declare what kind usage</w:t>
      </w:r>
      <w:r w:rsidR="004F3670">
        <w:t xml:space="preserve"> </w:t>
      </w:r>
      <w:r w:rsidR="004F3670" w:rsidRPr="004F3670">
        <w:t>and bounty they have found</w:t>
      </w:r>
      <w:r w:rsidR="004F3670">
        <w:t xml:space="preserve"> </w:t>
      </w:r>
      <w:r w:rsidR="004F3670" w:rsidRPr="004F3670">
        <w:t>at the hands of my good</w:t>
      </w:r>
      <w:r w:rsidR="004F3670">
        <w:t xml:space="preserve"> </w:t>
      </w:r>
      <w:r w:rsidR="004F3670" w:rsidRPr="004F3670">
        <w:t>husband</w:t>
      </w:r>
      <w:r w:rsidR="004F3670">
        <w:t>’.</w:t>
      </w:r>
      <w:r w:rsidR="004F3670">
        <w:rPr>
          <w:rStyle w:val="FootnoteReference"/>
        </w:rPr>
        <w:footnoteReference w:id="50"/>
      </w:r>
      <w:r w:rsidR="004F3670">
        <w:t xml:space="preserve"> Her reference to ‘</w:t>
      </w:r>
      <w:proofErr w:type="spellStart"/>
      <w:r w:rsidR="004F3670">
        <w:t>mr</w:t>
      </w:r>
      <w:proofErr w:type="spellEnd"/>
      <w:r w:rsidR="004F3670">
        <w:t xml:space="preserve"> Foxe’ </w:t>
      </w:r>
      <w:r w:rsidR="00FB23E3">
        <w:t xml:space="preserve"> in particular —</w:t>
      </w:r>
      <w:r w:rsidR="004F3670">
        <w:t xml:space="preserve"> assumedly John Foxe, author of </w:t>
      </w:r>
      <w:r w:rsidR="004F3670">
        <w:rPr>
          <w:i/>
        </w:rPr>
        <w:t xml:space="preserve">Actes and Monuments </w:t>
      </w:r>
      <w:r w:rsidR="004F3670">
        <w:t>(</w:t>
      </w:r>
      <w:r w:rsidR="00B8317E">
        <w:t>London, first edition 1563</w:t>
      </w:r>
      <w:r w:rsidR="004F3670">
        <w:t xml:space="preserve">) </w:t>
      </w:r>
      <w:r w:rsidR="00FB23E3">
        <w:t xml:space="preserve">— </w:t>
      </w:r>
      <w:r w:rsidR="004F3670">
        <w:t xml:space="preserve">is another textual link to printed Protestant history, and again one reliant on Rose’s own memory rather than external validation. </w:t>
      </w:r>
      <w:r w:rsidR="007B23DD">
        <w:t>This serves a similar purpose to the</w:t>
      </w:r>
      <w:r w:rsidR="00C46C45">
        <w:t xml:space="preserve"> reference to Holinshed, as examined above, </w:t>
      </w:r>
      <w:r w:rsidR="007B23DD">
        <w:t xml:space="preserve">which </w:t>
      </w:r>
      <w:r w:rsidR="00C46C45">
        <w:t>enabled Rose to frame her memories within a printed record</w:t>
      </w:r>
      <w:r w:rsidR="007B23DD">
        <w:t xml:space="preserve"> and increase </w:t>
      </w:r>
      <w:r w:rsidR="00C46C45">
        <w:t>their authority by proxy</w:t>
      </w:r>
    </w:p>
    <w:p w14:paraId="42EF4825" w14:textId="50C9FD12" w:rsidR="00037756" w:rsidRPr="004F3670" w:rsidRDefault="00911EAA" w:rsidP="00256065">
      <w:pPr>
        <w:ind w:firstLine="720"/>
      </w:pPr>
      <w:r>
        <w:t>Further on in the text</w:t>
      </w:r>
      <w:r w:rsidR="004F3670">
        <w:t xml:space="preserve">, after having given birth near Oxford, Rose </w:t>
      </w:r>
      <w:r w:rsidR="008B4FB4">
        <w:t>records speaking</w:t>
      </w:r>
      <w:r w:rsidR="004F3670">
        <w:t xml:space="preserve"> with three of the most important figures in Anglican historiography and martyrology: Cranmer, Ridley</w:t>
      </w:r>
      <w:r w:rsidR="00037756">
        <w:t>,</w:t>
      </w:r>
      <w:r w:rsidR="004F3670">
        <w:t xml:space="preserve"> and Latimer. In the original manuscript they are specified only as ‘ye </w:t>
      </w:r>
      <w:proofErr w:type="spellStart"/>
      <w:r w:rsidR="004F3670">
        <w:t>byshops</w:t>
      </w:r>
      <w:proofErr w:type="spellEnd"/>
      <w:r w:rsidR="004F3670">
        <w:t xml:space="preserve"> (who were then and there in prison [in Oxford] and did afterwards suffer </w:t>
      </w:r>
      <w:proofErr w:type="spellStart"/>
      <w:r w:rsidR="004F3670">
        <w:t>martirdome</w:t>
      </w:r>
      <w:proofErr w:type="spellEnd"/>
      <w:r w:rsidR="004F3670">
        <w:t xml:space="preserve"> there)’.</w:t>
      </w:r>
      <w:r w:rsidR="004F3670">
        <w:rPr>
          <w:rStyle w:val="FootnoteReference"/>
        </w:rPr>
        <w:footnoteReference w:id="51"/>
      </w:r>
      <w:r w:rsidR="004F3670">
        <w:t xml:space="preserve"> In the later copy of the manuscript this was expanded to </w:t>
      </w:r>
      <w:r w:rsidR="008B4FB4">
        <w:t>include</w:t>
      </w:r>
      <w:r w:rsidR="004F3670">
        <w:t xml:space="preserve"> their names, suggesting that later family members were keen to make this connection explicit.</w:t>
      </w:r>
      <w:r w:rsidR="005F6F2B">
        <w:t xml:space="preserve"> Though </w:t>
      </w:r>
      <w:r w:rsidR="008B4FB4">
        <w:t>Rose</w:t>
      </w:r>
      <w:r w:rsidR="005F6F2B">
        <w:t xml:space="preserve"> doesn’t state it explicitly, her stay near Oxford is another example of her place within </w:t>
      </w:r>
      <w:r w:rsidR="008B4FB4">
        <w:t xml:space="preserve">the social network of English </w:t>
      </w:r>
      <w:r w:rsidR="005F6F2B">
        <w:t>Protestan</w:t>
      </w:r>
      <w:r w:rsidR="008B4FB4">
        <w:t>ts</w:t>
      </w:r>
      <w:r w:rsidR="005F6F2B">
        <w:t xml:space="preserve">. </w:t>
      </w:r>
      <w:r w:rsidR="002E1635">
        <w:t>She writes that she stayed in a ‘</w:t>
      </w:r>
      <w:proofErr w:type="spellStart"/>
      <w:r w:rsidR="002E1635">
        <w:t>gentlemans</w:t>
      </w:r>
      <w:proofErr w:type="spellEnd"/>
      <w:r w:rsidR="002E1635">
        <w:t xml:space="preserve"> house </w:t>
      </w:r>
      <w:proofErr w:type="spellStart"/>
      <w:r w:rsidR="002E1635">
        <w:t>yt</w:t>
      </w:r>
      <w:proofErr w:type="spellEnd"/>
      <w:r w:rsidR="002E1635">
        <w:t xml:space="preserve"> was a lodge and stood </w:t>
      </w:r>
      <w:proofErr w:type="spellStart"/>
      <w:r w:rsidR="002E1635">
        <w:t>farre</w:t>
      </w:r>
      <w:proofErr w:type="spellEnd"/>
      <w:r w:rsidR="002E1635">
        <w:t xml:space="preserve"> of[f] from any church or </w:t>
      </w:r>
      <w:proofErr w:type="spellStart"/>
      <w:r w:rsidR="002E1635">
        <w:t>towne</w:t>
      </w:r>
      <w:proofErr w:type="spellEnd"/>
      <w:r w:rsidR="002E1635">
        <w:t xml:space="preserve"> (the name whereof was </w:t>
      </w:r>
      <w:proofErr w:type="spellStart"/>
      <w:r w:rsidR="002E1635">
        <w:t>Chilswelll</w:t>
      </w:r>
      <w:proofErr w:type="spellEnd"/>
      <w:r w:rsidR="002E1635">
        <w:t>)’.</w:t>
      </w:r>
      <w:r w:rsidR="002E1635">
        <w:rPr>
          <w:rStyle w:val="FootnoteReference"/>
        </w:rPr>
        <w:footnoteReference w:id="52"/>
      </w:r>
      <w:r w:rsidR="002100D7">
        <w:t xml:space="preserve"> </w:t>
      </w:r>
      <w:proofErr w:type="spellStart"/>
      <w:r w:rsidR="002100D7">
        <w:t>Chilswell</w:t>
      </w:r>
      <w:proofErr w:type="spellEnd"/>
      <w:r w:rsidR="00037756">
        <w:t xml:space="preserve"> Valley,</w:t>
      </w:r>
      <w:r w:rsidR="002100D7">
        <w:t xml:space="preserve"> near modern-day Botley on the outskirts of Oxford, was at the time home to a manor owned by Henry Norris.</w:t>
      </w:r>
      <w:r w:rsidR="002100D7">
        <w:rPr>
          <w:rStyle w:val="FootnoteReference"/>
        </w:rPr>
        <w:footnoteReference w:id="53"/>
      </w:r>
      <w:r w:rsidR="002100D7">
        <w:t xml:space="preserve"> Norris’s father had been executed after being accused of adultery with Anne Boleyn, and had </w:t>
      </w:r>
      <w:r w:rsidR="001C2CB6">
        <w:t>placed his son with a refugee evangelical teacher as a child, so they would have been sympathetic to Rose’s plight</w:t>
      </w:r>
      <w:r w:rsidR="002100D7">
        <w:t>.</w:t>
      </w:r>
      <w:r w:rsidR="002100D7">
        <w:rPr>
          <w:rStyle w:val="FootnoteReference"/>
        </w:rPr>
        <w:footnoteReference w:id="54"/>
      </w:r>
      <w:r w:rsidR="00037756">
        <w:t xml:space="preserve"> Though Rose doesn’t include his name, Norris’s is the most likely house she would have stayed in.</w:t>
      </w:r>
    </w:p>
    <w:p w14:paraId="3948119D" w14:textId="55A80DE3" w:rsidR="00022059" w:rsidRDefault="008D3E4A" w:rsidP="00256065">
      <w:r>
        <w:tab/>
        <w:t xml:space="preserve">As well as these personal </w:t>
      </w:r>
      <w:r w:rsidR="00D65998">
        <w:t>connections, Rose’s</w:t>
      </w:r>
      <w:r w:rsidR="00B02771">
        <w:t xml:space="preserve"> </w:t>
      </w:r>
      <w:r w:rsidR="0027693F">
        <w:t>maternal</w:t>
      </w:r>
      <w:r w:rsidR="00B02771">
        <w:t xml:space="preserve"> </w:t>
      </w:r>
      <w:r w:rsidR="00D65998">
        <w:t xml:space="preserve">family were </w:t>
      </w:r>
      <w:r w:rsidR="00B02771">
        <w:t xml:space="preserve">also </w:t>
      </w:r>
      <w:r w:rsidR="0027693F">
        <w:t xml:space="preserve">connected to </w:t>
      </w:r>
      <w:r w:rsidR="00B02771">
        <w:t>important figures</w:t>
      </w:r>
      <w:r w:rsidR="00D65998">
        <w:t xml:space="preserve"> within Protestant networks.</w:t>
      </w:r>
      <w:r w:rsidR="00022059">
        <w:t xml:space="preserve"> As well as making references to her family’s links to Holinshed, Rose is keen to make her reader aware of their link to another English history: </w:t>
      </w:r>
      <w:r w:rsidR="00022059">
        <w:rPr>
          <w:i/>
        </w:rPr>
        <w:t xml:space="preserve">Principal Navigations. Principal Navigations </w:t>
      </w:r>
      <w:r w:rsidR="00022059">
        <w:t xml:space="preserve">is extremely comprehensive — the second edition totalled three volumes and more than 1.75 million words — and it offers an </w:t>
      </w:r>
      <w:r w:rsidR="00022059">
        <w:lastRenderedPageBreak/>
        <w:t xml:space="preserve">unrivalled history of English trade and travel at the end of the sixteenth century. Its editor Richard Hakluyt was a preacher in the Church of England as well as a geographer, holding positions throughout his life across England and, for a period in the 1580s, in Paris. Hakluyt was close to the Lok family and Rose’s brother Michael in particular: the latter assisted Hakluyt with the preparation of his first printed work </w:t>
      </w:r>
      <w:r w:rsidR="00022059">
        <w:rPr>
          <w:i/>
        </w:rPr>
        <w:t xml:space="preserve">Divers Voyages </w:t>
      </w:r>
      <w:r w:rsidR="00022059">
        <w:t>(1581) and Hakluyt referred to him as ‘</w:t>
      </w:r>
      <w:r w:rsidR="00022059" w:rsidRPr="00597A14">
        <w:t xml:space="preserve">a man for his knowledge in divers languages &amp; especially in </w:t>
      </w:r>
      <w:proofErr w:type="spellStart"/>
      <w:r w:rsidR="00022059" w:rsidRPr="00597A14">
        <w:t>Cosmographie</w:t>
      </w:r>
      <w:proofErr w:type="spellEnd"/>
      <w:r w:rsidR="00022059" w:rsidRPr="00597A14">
        <w:t xml:space="preserve">, able to </w:t>
      </w:r>
      <w:proofErr w:type="spellStart"/>
      <w:r w:rsidR="00022059" w:rsidRPr="00597A14">
        <w:t>doe</w:t>
      </w:r>
      <w:proofErr w:type="spellEnd"/>
      <w:r w:rsidR="00022059" w:rsidRPr="00597A14">
        <w:t xml:space="preserve"> his country good</w:t>
      </w:r>
      <w:r w:rsidR="00022059">
        <w:t>’.</w:t>
      </w:r>
      <w:r w:rsidR="00022059">
        <w:rPr>
          <w:rStyle w:val="FootnoteReference"/>
        </w:rPr>
        <w:footnoteReference w:id="55"/>
      </w:r>
      <w:r w:rsidR="00022059">
        <w:t xml:space="preserve"> When Rose referenced Hakluyt in her own work it was in the context of this familial relationship, proudly noting that her brother and Anthony</w:t>
      </w:r>
      <w:r w:rsidR="00936D54">
        <w:t>:</w:t>
      </w:r>
      <w:r w:rsidR="00022059">
        <w:t xml:space="preserve"> </w:t>
      </w:r>
    </w:p>
    <w:p w14:paraId="156A6E5C" w14:textId="77777777" w:rsidR="00256065" w:rsidRDefault="00256065" w:rsidP="00256065"/>
    <w:p w14:paraId="1CD884E3" w14:textId="77777777" w:rsidR="00022059" w:rsidRDefault="00022059" w:rsidP="00256065">
      <w:pPr>
        <w:ind w:left="720"/>
      </w:pPr>
      <w:r w:rsidRPr="00597A14">
        <w:t>had some</w:t>
      </w:r>
      <w:r>
        <w:t xml:space="preserve"> </w:t>
      </w:r>
      <w:r w:rsidRPr="00597A14">
        <w:t xml:space="preserve">ships of their </w:t>
      </w:r>
      <w:proofErr w:type="spellStart"/>
      <w:r w:rsidRPr="00597A14">
        <w:t>owne</w:t>
      </w:r>
      <w:proofErr w:type="spellEnd"/>
      <w:r w:rsidRPr="00597A14">
        <w:t xml:space="preserve"> and</w:t>
      </w:r>
      <w:r>
        <w:t xml:space="preserve"> </w:t>
      </w:r>
      <w:r w:rsidRPr="00597A14">
        <w:t>did make divers voyages</w:t>
      </w:r>
      <w:r>
        <w:t xml:space="preserve"> </w:t>
      </w:r>
      <w:r w:rsidRPr="00597A14">
        <w:t xml:space="preserve">into </w:t>
      </w:r>
      <w:proofErr w:type="spellStart"/>
      <w:r w:rsidRPr="00597A14">
        <w:t>farre</w:t>
      </w:r>
      <w:proofErr w:type="spellEnd"/>
      <w:r w:rsidRPr="00597A14">
        <w:t xml:space="preserve"> countries: some</w:t>
      </w:r>
      <w:r>
        <w:t xml:space="preserve"> </w:t>
      </w:r>
      <w:r w:rsidRPr="00597A14">
        <w:t>of which voyages were of</w:t>
      </w:r>
      <w:r>
        <w:t xml:space="preserve"> </w:t>
      </w:r>
      <w:r w:rsidRPr="00597A14">
        <w:t>such note and fame as they</w:t>
      </w:r>
      <w:r>
        <w:t xml:space="preserve"> </w:t>
      </w:r>
      <w:r w:rsidRPr="00597A14">
        <w:t xml:space="preserve">are </w:t>
      </w:r>
      <w:proofErr w:type="spellStart"/>
      <w:r w:rsidRPr="00597A14">
        <w:t>spetially</w:t>
      </w:r>
      <w:proofErr w:type="spellEnd"/>
      <w:r w:rsidRPr="00597A14">
        <w:t xml:space="preserve"> recorded by</w:t>
      </w:r>
      <w:r>
        <w:t xml:space="preserve"> </w:t>
      </w:r>
      <w:proofErr w:type="spellStart"/>
      <w:r w:rsidRPr="00597A14">
        <w:t>mr</w:t>
      </w:r>
      <w:proofErr w:type="spellEnd"/>
      <w:r w:rsidRPr="00597A14">
        <w:t xml:space="preserve"> Richard </w:t>
      </w:r>
      <w:proofErr w:type="spellStart"/>
      <w:r w:rsidRPr="00597A14">
        <w:t>Hackliut</w:t>
      </w:r>
      <w:proofErr w:type="spellEnd"/>
      <w:r>
        <w:t xml:space="preserve"> </w:t>
      </w:r>
      <w:r w:rsidRPr="00597A14">
        <w:t>in his second printed</w:t>
      </w:r>
      <w:r>
        <w:t xml:space="preserve"> </w:t>
      </w:r>
      <w:r w:rsidRPr="00597A14">
        <w:t>volume of English voyages</w:t>
      </w:r>
      <w:r>
        <w:t xml:space="preserve"> </w:t>
      </w:r>
      <w:r w:rsidRPr="00597A14">
        <w:t>to the south and southeast</w:t>
      </w:r>
      <w:r>
        <w:t xml:space="preserve"> </w:t>
      </w:r>
      <w:r w:rsidRPr="00597A14">
        <w:t>p[</w:t>
      </w:r>
      <w:proofErr w:type="spellStart"/>
      <w:r w:rsidRPr="00597A14">
        <w:t>ar</w:t>
      </w:r>
      <w:proofErr w:type="spellEnd"/>
      <w:r w:rsidRPr="00597A14">
        <w:t>]</w:t>
      </w:r>
      <w:proofErr w:type="spellStart"/>
      <w:r w:rsidRPr="00597A14">
        <w:t>ts</w:t>
      </w:r>
      <w:proofErr w:type="spellEnd"/>
      <w:r w:rsidRPr="00597A14">
        <w:t xml:space="preserve"> of the world</w:t>
      </w:r>
      <w:r>
        <w:t>. (</w:t>
      </w:r>
      <w:r w:rsidRPr="00DF6784">
        <w:t>Add MS 43827 A</w:t>
      </w:r>
      <w:r>
        <w:t xml:space="preserve">, </w:t>
      </w:r>
      <w:proofErr w:type="spellStart"/>
      <w:r>
        <w:t>fols</w:t>
      </w:r>
      <w:proofErr w:type="spellEnd"/>
      <w:r>
        <w:t>. 6v-7r)</w:t>
      </w:r>
    </w:p>
    <w:p w14:paraId="396EAB91" w14:textId="77777777" w:rsidR="00022059" w:rsidRDefault="00022059" w:rsidP="00256065">
      <w:pPr>
        <w:ind w:left="720"/>
      </w:pPr>
    </w:p>
    <w:p w14:paraId="65B8AEDE" w14:textId="58B9ED63" w:rsidR="00022059" w:rsidRDefault="00022059" w:rsidP="00256065">
      <w:r>
        <w:t xml:space="preserve">Unlike her earlier reference to Holinshed, Rose specifically differentiated this reference by writing ‘Richard </w:t>
      </w:r>
      <w:proofErr w:type="spellStart"/>
      <w:r>
        <w:t>Hackluit</w:t>
      </w:r>
      <w:proofErr w:type="spellEnd"/>
      <w:r>
        <w:t xml:space="preserve">’ in a different hand to the rest of the manuscript. This is the only occasion where she did so, creating a formal difference which deliberately highlights the connection. Hakluyt’s work would become a key </w:t>
      </w:r>
      <w:r w:rsidR="00A63E6D">
        <w:t>part</w:t>
      </w:r>
      <w:r>
        <w:t xml:space="preserve"> </w:t>
      </w:r>
      <w:r w:rsidR="00A63E6D">
        <w:t>of</w:t>
      </w:r>
      <w:r>
        <w:t xml:space="preserve"> British imperial historiography</w:t>
      </w:r>
      <w:r w:rsidR="000D6940">
        <w:t>, and</w:t>
      </w:r>
      <w:r>
        <w:t xml:space="preserve"> Rose’s foregrounding of her family’s link to the history of English travel </w:t>
      </w:r>
      <w:r w:rsidR="000D6940">
        <w:t>would further</w:t>
      </w:r>
      <w:r>
        <w:t xml:space="preserve"> serve to </w:t>
      </w:r>
      <w:r w:rsidR="00D4109E">
        <w:t>situate</w:t>
      </w:r>
      <w:r>
        <w:t xml:space="preserve"> </w:t>
      </w:r>
      <w:r w:rsidR="00D4109E">
        <w:t>their lives</w:t>
      </w:r>
      <w:r>
        <w:t xml:space="preserve"> within </w:t>
      </w:r>
      <w:r w:rsidR="00D4109E">
        <w:t>this</w:t>
      </w:r>
      <w:r>
        <w:t xml:space="preserve"> history, while emphasising their experience and expertise.</w:t>
      </w:r>
    </w:p>
    <w:p w14:paraId="491B0F03" w14:textId="1C0AC0EA" w:rsidR="00022059" w:rsidRDefault="004C35D7" w:rsidP="00256065">
      <w:r>
        <w:tab/>
        <w:t xml:space="preserve">As well as these male relationships, the women of her maternal family were also connected to Protestant </w:t>
      </w:r>
      <w:proofErr w:type="gramStart"/>
      <w:r>
        <w:t>figures in their own right</w:t>
      </w:r>
      <w:proofErr w:type="gramEnd"/>
      <w:r>
        <w:t xml:space="preserve">. </w:t>
      </w:r>
      <w:r w:rsidR="00D65998">
        <w:t xml:space="preserve">The most </w:t>
      </w:r>
      <w:r w:rsidR="00B02771">
        <w:t>well-known</w:t>
      </w:r>
      <w:r w:rsidR="00D65998">
        <w:t xml:space="preserve"> example is her </w:t>
      </w:r>
      <w:r w:rsidR="00B02771">
        <w:t>sister-in-law</w:t>
      </w:r>
      <w:r w:rsidR="00D65998">
        <w:t xml:space="preserve">, Anne </w:t>
      </w:r>
      <w:r w:rsidR="00B02771">
        <w:t xml:space="preserve">Vaughan </w:t>
      </w:r>
      <w:r w:rsidR="00D65998">
        <w:t>Lok. The daughter of a Merchant Adventurer herself, Anne married within the community to Rose’s brother Henry, her father’s neighbour in Cheapside.</w:t>
      </w:r>
      <w:r w:rsidR="00D65998">
        <w:rPr>
          <w:rStyle w:val="FootnoteReference"/>
        </w:rPr>
        <w:footnoteReference w:id="56"/>
      </w:r>
      <w:r w:rsidR="00D65998">
        <w:t xml:space="preserve"> Like Rose, she was also a committed Protestant from a young age following the example of her </w:t>
      </w:r>
      <w:r w:rsidR="001C0D50">
        <w:t xml:space="preserve">parents. In late 1552 she was first connected to John Knox, the Scottish reformer, and they </w:t>
      </w:r>
      <w:r w:rsidR="00B02771">
        <w:t>began a</w:t>
      </w:r>
      <w:r w:rsidR="001C0D50">
        <w:t xml:space="preserve"> correspondence </w:t>
      </w:r>
      <w:r w:rsidR="00B02771">
        <w:t xml:space="preserve">which continued </w:t>
      </w:r>
      <w:r w:rsidR="001C0D50">
        <w:t xml:space="preserve">throughout the decade. In 1557 she even joined him in exile in Geneva, </w:t>
      </w:r>
      <w:r w:rsidR="003C32CC">
        <w:t xml:space="preserve">with </w:t>
      </w:r>
      <w:r w:rsidR="001C0D50">
        <w:t xml:space="preserve">her husband </w:t>
      </w:r>
      <w:r w:rsidR="00B02771">
        <w:t xml:space="preserve">remaining </w:t>
      </w:r>
      <w:r w:rsidR="001C0D50">
        <w:t>in London.</w:t>
      </w:r>
      <w:r w:rsidR="001C0D50">
        <w:rPr>
          <w:rStyle w:val="FootnoteReference"/>
        </w:rPr>
        <w:footnoteReference w:id="57"/>
      </w:r>
      <w:r w:rsidR="001C0D50">
        <w:t xml:space="preserve"> Rose was also connected to Knox</w:t>
      </w:r>
      <w:r w:rsidR="00297801">
        <w:t>: t</w:t>
      </w:r>
      <w:r w:rsidR="001C0D50">
        <w:t xml:space="preserve">he </w:t>
      </w:r>
      <w:r w:rsidR="00297801">
        <w:t>earliest</w:t>
      </w:r>
      <w:r w:rsidR="001C0D50">
        <w:t xml:space="preserve"> of his </w:t>
      </w:r>
      <w:r w:rsidR="00297801">
        <w:t xml:space="preserve">known </w:t>
      </w:r>
      <w:r w:rsidR="001C0D50">
        <w:t xml:space="preserve">surviving letters to Anne </w:t>
      </w:r>
      <w:r w:rsidR="00297801">
        <w:t xml:space="preserve">in 1556 </w:t>
      </w:r>
      <w:r w:rsidR="001C0D50">
        <w:t>was also addressed to her</w:t>
      </w:r>
      <w:r w:rsidR="00297801">
        <w:t>, referring to them as ‘</w:t>
      </w:r>
      <w:proofErr w:type="spellStart"/>
      <w:r w:rsidR="00297801">
        <w:t>dearlie</w:t>
      </w:r>
      <w:proofErr w:type="spellEnd"/>
      <w:r w:rsidR="00297801">
        <w:t xml:space="preserve"> </w:t>
      </w:r>
      <w:proofErr w:type="spellStart"/>
      <w:r w:rsidR="00297801">
        <w:t>belovit</w:t>
      </w:r>
      <w:proofErr w:type="spellEnd"/>
      <w:r w:rsidR="00297801">
        <w:t xml:space="preserve"> </w:t>
      </w:r>
      <w:proofErr w:type="spellStart"/>
      <w:r w:rsidR="00297801">
        <w:t>sistersis</w:t>
      </w:r>
      <w:proofErr w:type="spellEnd"/>
      <w:r w:rsidR="00297801">
        <w:t xml:space="preserve"> in our Saviour Jesus </w:t>
      </w:r>
      <w:proofErr w:type="spellStart"/>
      <w:r w:rsidR="00297801">
        <w:t>Chryst</w:t>
      </w:r>
      <w:proofErr w:type="spellEnd"/>
      <w:r w:rsidR="00297801">
        <w:t>’ and thanking them for their ‘</w:t>
      </w:r>
      <w:proofErr w:type="spellStart"/>
      <w:r w:rsidR="00297801">
        <w:t>speciall</w:t>
      </w:r>
      <w:proofErr w:type="spellEnd"/>
      <w:r w:rsidR="00297801">
        <w:t xml:space="preserve"> care over me, as the mother </w:t>
      </w:r>
      <w:proofErr w:type="spellStart"/>
      <w:r w:rsidR="00297801">
        <w:t>useth</w:t>
      </w:r>
      <w:proofErr w:type="spellEnd"/>
      <w:r w:rsidR="00297801">
        <w:t xml:space="preserve"> </w:t>
      </w:r>
      <w:r w:rsidR="00B02771">
        <w:t>[…]</w:t>
      </w:r>
      <w:r w:rsidR="00297801">
        <w:t xml:space="preserve"> over hir natural </w:t>
      </w:r>
      <w:proofErr w:type="spellStart"/>
      <w:r w:rsidR="00297801">
        <w:t>chyld</w:t>
      </w:r>
      <w:proofErr w:type="spellEnd"/>
      <w:r w:rsidR="00297801">
        <w:t>’.</w:t>
      </w:r>
      <w:r w:rsidR="00297801">
        <w:rPr>
          <w:rStyle w:val="FootnoteReference"/>
        </w:rPr>
        <w:footnoteReference w:id="58"/>
      </w:r>
      <w:r w:rsidR="006B777E">
        <w:t xml:space="preserve"> Though Rose does not appear again in Knox’s letters and Anne’s replies have been lost</w:t>
      </w:r>
      <w:r w:rsidR="002F25E9">
        <w:t xml:space="preserve">, </w:t>
      </w:r>
      <w:r w:rsidR="006B777E">
        <w:t>the connection clearly continued, as her son Eleazer Hickman born in 1562 appears to have been named after Knox’s eldest son.</w:t>
      </w:r>
      <w:r w:rsidR="006B777E">
        <w:rPr>
          <w:rStyle w:val="FootnoteReference"/>
        </w:rPr>
        <w:footnoteReference w:id="59"/>
      </w:r>
    </w:p>
    <w:p w14:paraId="2FD4794E" w14:textId="656AFC63" w:rsidR="00C47088" w:rsidRDefault="004C35D7" w:rsidP="00256065">
      <w:r>
        <w:tab/>
      </w:r>
      <w:r w:rsidR="006F31FE">
        <w:t>Rose’s</w:t>
      </w:r>
      <w:r>
        <w:t xml:space="preserve"> connection to this community continued during her exile in Antwerp. It also created difficulties for </w:t>
      </w:r>
      <w:r w:rsidR="00820C43">
        <w:t xml:space="preserve">the Hickmans as a Protestant couple within a Catholic space: </w:t>
      </w:r>
      <w:r>
        <w:t>Rose</w:t>
      </w:r>
      <w:r w:rsidR="006C3E85">
        <w:t xml:space="preserve"> writes of her husband’s moral struggles upon being compelled to attend the ‘chapel for the English merchants’ on solemn feast days, though she herself </w:t>
      </w:r>
      <w:r w:rsidR="00820C43">
        <w:t>avoided</w:t>
      </w:r>
      <w:r w:rsidR="006C3E85">
        <w:t xml:space="preserve"> attending</w:t>
      </w:r>
      <w:r w:rsidR="00EB1099">
        <w:t xml:space="preserve"> and Governor, though a ‘papist […] </w:t>
      </w:r>
      <w:r w:rsidR="00EB1099" w:rsidRPr="00771CF6">
        <w:t>was no persecutor</w:t>
      </w:r>
      <w:r w:rsidR="00EB1099">
        <w:t xml:space="preserve"> </w:t>
      </w:r>
      <w:r w:rsidR="00EB1099" w:rsidRPr="00771CF6">
        <w:t xml:space="preserve">nor </w:t>
      </w:r>
      <w:proofErr w:type="spellStart"/>
      <w:r w:rsidR="00EB1099" w:rsidRPr="00771CF6">
        <w:t>cruell</w:t>
      </w:r>
      <w:proofErr w:type="spellEnd"/>
      <w:r w:rsidR="00EB1099" w:rsidRPr="00771CF6">
        <w:t xml:space="preserve"> papist</w:t>
      </w:r>
      <w:r w:rsidR="00EB1099">
        <w:t xml:space="preserve">’, </w:t>
      </w:r>
      <w:r w:rsidR="00066F20">
        <w:t xml:space="preserve">and </w:t>
      </w:r>
      <w:r w:rsidR="00EB1099">
        <w:t>granted him as much leeway as possible.</w:t>
      </w:r>
      <w:r w:rsidR="00EB1099">
        <w:rPr>
          <w:rStyle w:val="FootnoteReference"/>
        </w:rPr>
        <w:footnoteReference w:id="60"/>
      </w:r>
      <w:r w:rsidR="006C3E85">
        <w:t xml:space="preserve"> Her real test came when she gave birth. B</w:t>
      </w:r>
      <w:r w:rsidR="006C3E85" w:rsidRPr="00A5090F">
        <w:t xml:space="preserve">ecause of the ‘hatred that the inhabitants there do </w:t>
      </w:r>
      <w:proofErr w:type="spellStart"/>
      <w:r w:rsidR="006C3E85" w:rsidRPr="00A5090F">
        <w:t>beare</w:t>
      </w:r>
      <w:proofErr w:type="spellEnd"/>
      <w:r w:rsidR="006C3E85" w:rsidRPr="00A5090F">
        <w:t xml:space="preserve"> to the anabaptises’</w:t>
      </w:r>
      <w:r w:rsidR="006C3E85">
        <w:t xml:space="preserve">, the magistrates customarily </w:t>
      </w:r>
      <w:r w:rsidR="006C3E85" w:rsidRPr="00A5090F">
        <w:t>‘enter</w:t>
      </w:r>
      <w:r w:rsidR="006C3E85">
        <w:t>[ed]</w:t>
      </w:r>
      <w:r w:rsidR="006C3E85" w:rsidRPr="00A5090F">
        <w:t xml:space="preserve"> </w:t>
      </w:r>
      <w:r w:rsidR="006C3E85" w:rsidRPr="00A5090F">
        <w:lastRenderedPageBreak/>
        <w:t xml:space="preserve">at midnight into houses where any children were suspected to be kept unbaptised, and if </w:t>
      </w:r>
      <w:r w:rsidR="006C3E85">
        <w:t>[they]</w:t>
      </w:r>
      <w:r w:rsidR="006C3E85" w:rsidRPr="00A5090F">
        <w:t xml:space="preserve"> found any such […] put </w:t>
      </w:r>
      <w:proofErr w:type="spellStart"/>
      <w:r w:rsidR="006C3E85" w:rsidRPr="00A5090F">
        <w:t>ym</w:t>
      </w:r>
      <w:proofErr w:type="spellEnd"/>
      <w:r w:rsidR="006C3E85" w:rsidRPr="00A5090F">
        <w:t xml:space="preserve"> in a sack, and cast them into the water and so drown</w:t>
      </w:r>
      <w:r w:rsidR="00441FEC">
        <w:t>[ed]</w:t>
      </w:r>
      <w:r w:rsidR="006C3E85" w:rsidRPr="00A5090F">
        <w:t xml:space="preserve"> </w:t>
      </w:r>
      <w:proofErr w:type="spellStart"/>
      <w:r w:rsidR="006C3E85" w:rsidRPr="00A5090F">
        <w:t>ym</w:t>
      </w:r>
      <w:proofErr w:type="spellEnd"/>
      <w:r w:rsidR="006C3E85" w:rsidRPr="00A5090F">
        <w:t>’.</w:t>
      </w:r>
      <w:r w:rsidR="00194D6E">
        <w:rPr>
          <w:rStyle w:val="FootnoteReference"/>
        </w:rPr>
        <w:footnoteReference w:id="61"/>
      </w:r>
      <w:r w:rsidR="00194D6E">
        <w:t xml:space="preserve"> To avoid her child meeting this fate without being forced to resort to a second Catholic baptism, Rose used her knowledge of local customs to play a trick on her neighbours. She </w:t>
      </w:r>
      <w:r w:rsidR="00767794">
        <w:t>described this in her autobiography, noting that</w:t>
      </w:r>
      <w:r w:rsidR="00194D6E">
        <w:t xml:space="preserve"> ‘</w:t>
      </w:r>
      <w:r w:rsidR="00194D6E" w:rsidRPr="00194D6E">
        <w:t>it is the</w:t>
      </w:r>
      <w:r w:rsidR="00194D6E">
        <w:t xml:space="preserve"> </w:t>
      </w:r>
      <w:r w:rsidR="00194D6E" w:rsidRPr="00194D6E">
        <w:t>custom there to hang at</w:t>
      </w:r>
      <w:r w:rsidR="00194D6E">
        <w:t xml:space="preserve"> </w:t>
      </w:r>
      <w:r w:rsidR="00194D6E" w:rsidRPr="00194D6E">
        <w:t xml:space="preserve">the </w:t>
      </w:r>
      <w:proofErr w:type="spellStart"/>
      <w:r w:rsidR="00194D6E" w:rsidRPr="00194D6E">
        <w:t>streete</w:t>
      </w:r>
      <w:proofErr w:type="spellEnd"/>
      <w:r w:rsidR="00194D6E" w:rsidRPr="00194D6E">
        <w:t xml:space="preserve"> </w:t>
      </w:r>
      <w:proofErr w:type="spellStart"/>
      <w:r w:rsidR="00194D6E" w:rsidRPr="00194D6E">
        <w:t>doore</w:t>
      </w:r>
      <w:proofErr w:type="spellEnd"/>
      <w:r w:rsidR="00194D6E" w:rsidRPr="00194D6E">
        <w:t xml:space="preserve"> where a woman </w:t>
      </w:r>
      <w:proofErr w:type="spellStart"/>
      <w:r w:rsidR="00194D6E" w:rsidRPr="00194D6E">
        <w:t>lyest</w:t>
      </w:r>
      <w:proofErr w:type="spellEnd"/>
      <w:r w:rsidR="00194D6E" w:rsidRPr="00194D6E">
        <w:t xml:space="preserve"> in a little </w:t>
      </w:r>
      <w:proofErr w:type="spellStart"/>
      <w:r w:rsidR="00194D6E" w:rsidRPr="00194D6E">
        <w:t>peece</w:t>
      </w:r>
      <w:proofErr w:type="spellEnd"/>
      <w:r w:rsidR="00194D6E">
        <w:t xml:space="preserve"> </w:t>
      </w:r>
      <w:r w:rsidR="00194D6E" w:rsidRPr="00194D6E">
        <w:t>of lawn</w:t>
      </w:r>
      <w:r w:rsidR="00194D6E">
        <w:t>’</w:t>
      </w:r>
      <w:r w:rsidR="00BB5482">
        <w:t>.</w:t>
      </w:r>
      <w:r w:rsidR="00BB5482" w:rsidRPr="00BB5482">
        <w:rPr>
          <w:rStyle w:val="FootnoteReference"/>
        </w:rPr>
        <w:t xml:space="preserve"> </w:t>
      </w:r>
      <w:r w:rsidR="00BB5482">
        <w:rPr>
          <w:rStyle w:val="FootnoteReference"/>
        </w:rPr>
        <w:footnoteReference w:id="62"/>
      </w:r>
      <w:r w:rsidR="00BB5482">
        <w:t xml:space="preserve"> A</w:t>
      </w:r>
      <w:r w:rsidR="00194D6E">
        <w:t>s their house opened into two streets, she simply hung a piece of lawn from either side so that the neighbours on either side would assume, having not seen the child leave for baptism, that it had been taken out from the other side.</w:t>
      </w:r>
      <w:r w:rsidR="00BB5482">
        <w:rPr>
          <w:rStyle w:val="FootnoteReference"/>
        </w:rPr>
        <w:footnoteReference w:id="63"/>
      </w:r>
      <w:r w:rsidR="00194D6E">
        <w:t xml:space="preserve"> She then, ‘by ye </w:t>
      </w:r>
      <w:proofErr w:type="spellStart"/>
      <w:r w:rsidR="00194D6E">
        <w:t>helpe</w:t>
      </w:r>
      <w:proofErr w:type="spellEnd"/>
      <w:r w:rsidR="00194D6E">
        <w:t xml:space="preserve"> of some goodly </w:t>
      </w:r>
      <w:proofErr w:type="spellStart"/>
      <w:r w:rsidR="00194D6E">
        <w:t>weomen</w:t>
      </w:r>
      <w:proofErr w:type="spellEnd"/>
      <w:r w:rsidR="00194D6E">
        <w:t xml:space="preserve">’ procured a secret Protestant baptism. </w:t>
      </w:r>
      <w:r w:rsidR="00582E21">
        <w:t>Her subterfuge represents a specifically female form of agency. Just as merchants were incorporated into one body corporate, the ‘</w:t>
      </w:r>
      <w:r w:rsidR="00582E21" w:rsidRPr="00582E21">
        <w:t>rituals of childbirth gathered together assemblies of women with membership in a d</w:t>
      </w:r>
      <w:r w:rsidR="00582E21">
        <w:t>iff</w:t>
      </w:r>
      <w:r w:rsidR="00582E21" w:rsidRPr="00582E21">
        <w:t>erent kind of community</w:t>
      </w:r>
      <w:r w:rsidR="00582E21">
        <w:t>’</w:t>
      </w:r>
      <w:r w:rsidR="00C47088">
        <w:t>, with the significance of the birth extending beyond the bounds of the household.</w:t>
      </w:r>
      <w:r w:rsidR="00582E21">
        <w:rPr>
          <w:rStyle w:val="FootnoteReference"/>
        </w:rPr>
        <w:footnoteReference w:id="64"/>
      </w:r>
      <w:r w:rsidR="00582E21">
        <w:t xml:space="preserve"> </w:t>
      </w:r>
      <w:r w:rsidR="00C47088">
        <w:t>Assumedly she had been assisted during the birth by midwives and other local women, but when it came to the religious element of these rituals she used her knowledge of local practices to enable her dissent, relying on their belief in turn that she was a law abiding and respectable member of the community of women. As shown in Eleanor Hubbard’s study of early modern women and childbirth in London, it was a female domain which ‘</w:t>
      </w:r>
      <w:r w:rsidR="00C47088" w:rsidRPr="00C47088">
        <w:t>took precedence over the usual household hierarchy</w:t>
      </w:r>
      <w:r w:rsidR="00C47088">
        <w:t xml:space="preserve">’: </w:t>
      </w:r>
      <w:r w:rsidR="00B71DD8">
        <w:t>accordingly,</w:t>
      </w:r>
      <w:r w:rsidR="00C47088">
        <w:t xml:space="preserve"> it was Rose who took the initiative to hang the fabric from both windows and, in so doing, hide a break </w:t>
      </w:r>
      <w:r w:rsidR="004E2D89">
        <w:t>with</w:t>
      </w:r>
      <w:r w:rsidR="00C47088">
        <w:t xml:space="preserve"> the social contract.</w:t>
      </w:r>
      <w:r w:rsidR="00C47088">
        <w:rPr>
          <w:rStyle w:val="FootnoteReference"/>
        </w:rPr>
        <w:footnoteReference w:id="65"/>
      </w:r>
    </w:p>
    <w:p w14:paraId="24CA01DC" w14:textId="54615355" w:rsidR="00031D2B" w:rsidRDefault="00DD647B" w:rsidP="00256065">
      <w:pPr>
        <w:ind w:firstLine="720"/>
      </w:pPr>
      <w:r>
        <w:t xml:space="preserve">This approach to </w:t>
      </w:r>
      <w:r w:rsidR="00470EF5">
        <w:t>occupying transnational positions within foreign countries when faced with religious danger was not solely restricted to Protestant women</w:t>
      </w:r>
      <w:r w:rsidR="003524D6">
        <w:t xml:space="preserve"> contemporarily</w:t>
      </w:r>
      <w:r>
        <w:t>.</w:t>
      </w:r>
      <w:r w:rsidR="00E8205B">
        <w:t xml:space="preserve"> Sixty years later</w:t>
      </w:r>
      <w:r w:rsidR="00862DE3">
        <w:t>,</w:t>
      </w:r>
      <w:r w:rsidR="00E8205B">
        <w:t xml:space="preserve"> the Spanish Catholic Luisa de Carvajal y Mendoza travelled to London in the wake of the Gunpowder Plot as part of an evangelical </w:t>
      </w:r>
      <w:proofErr w:type="spellStart"/>
      <w:r w:rsidR="00E8205B" w:rsidRPr="00E8205B">
        <w:rPr>
          <w:i/>
        </w:rPr>
        <w:t>misión</w:t>
      </w:r>
      <w:proofErr w:type="spellEnd"/>
      <w:r w:rsidR="00E8205B" w:rsidRPr="00E8205B">
        <w:rPr>
          <w:i/>
        </w:rPr>
        <w:t xml:space="preserve"> de </w:t>
      </w:r>
      <w:proofErr w:type="spellStart"/>
      <w:r w:rsidR="00E8205B" w:rsidRPr="00E8205B">
        <w:rPr>
          <w:i/>
        </w:rPr>
        <w:t>Inglaterra</w:t>
      </w:r>
      <w:proofErr w:type="spellEnd"/>
      <w:r w:rsidR="008F52A5">
        <w:rPr>
          <w:i/>
        </w:rPr>
        <w:t xml:space="preserve"> </w:t>
      </w:r>
      <w:r w:rsidR="008F52A5">
        <w:t>(English Mission)</w:t>
      </w:r>
      <w:r w:rsidR="00E8205B">
        <w:t>. When in London, she attempted to ‘pass as an Englishwoman’, learning English from two English women who did not speak Spanish, and wearing English fashions.</w:t>
      </w:r>
      <w:r w:rsidR="00E8205B">
        <w:rPr>
          <w:rStyle w:val="FootnoteReference"/>
        </w:rPr>
        <w:footnoteReference w:id="66"/>
      </w:r>
      <w:r w:rsidR="00E8205B">
        <w:t xml:space="preserve"> Only once she felt comfortable passing as an English woman</w:t>
      </w:r>
      <w:r w:rsidR="00862DE3">
        <w:t xml:space="preserve"> </w:t>
      </w:r>
      <w:r w:rsidR="00E8205B">
        <w:t xml:space="preserve">did Carvajal pursue her </w:t>
      </w:r>
      <w:r w:rsidR="008F52A5">
        <w:t>mission proper, establishing a religious order in Spitalfields where ‘</w:t>
      </w:r>
      <w:r w:rsidR="008F52A5" w:rsidRPr="008F52A5">
        <w:rPr>
          <w:i/>
        </w:rPr>
        <w:t>soldados doncellas</w:t>
      </w:r>
      <w:r w:rsidR="008F52A5" w:rsidRPr="008F52A5">
        <w:t xml:space="preserve"> (warrior maidens) provided spiritual and logistical support to the</w:t>
      </w:r>
      <w:r w:rsidR="008F52A5">
        <w:t xml:space="preserve"> </w:t>
      </w:r>
      <w:r w:rsidR="008F52A5" w:rsidRPr="008F52A5">
        <w:t>members of underground Catholic networks</w:t>
      </w:r>
      <w:r w:rsidR="008F52A5">
        <w:t>’.</w:t>
      </w:r>
      <w:r w:rsidR="008F52A5">
        <w:rPr>
          <w:rStyle w:val="FootnoteReference"/>
        </w:rPr>
        <w:footnoteReference w:id="67"/>
      </w:r>
      <w:r w:rsidR="008F52A5">
        <w:t xml:space="preserve"> Both Rose and Carvajal</w:t>
      </w:r>
      <w:r w:rsidR="00862DE3">
        <w:t>, in their approaches to negotiating transcultural positions while staying true to their faith, demonstrate the</w:t>
      </w:r>
      <w:r w:rsidR="008F52A5">
        <w:t xml:space="preserve"> </w:t>
      </w:r>
      <w:r w:rsidR="00791476">
        <w:t>possibilities of</w:t>
      </w:r>
      <w:r w:rsidR="008F52A5">
        <w:t xml:space="preserve"> </w:t>
      </w:r>
      <w:r w:rsidR="00791476">
        <w:t xml:space="preserve">subversively operating </w:t>
      </w:r>
      <w:r w:rsidR="008F52A5">
        <w:t>outside and around prescribed social, gender and national boundaries</w:t>
      </w:r>
      <w:r w:rsidR="00791476">
        <w:t>.</w:t>
      </w:r>
      <w:r w:rsidR="00B71DD8">
        <w:rPr>
          <w:rStyle w:val="FootnoteReference"/>
        </w:rPr>
        <w:footnoteReference w:id="68"/>
      </w:r>
    </w:p>
    <w:p w14:paraId="5676B3C7" w14:textId="06FF41AF" w:rsidR="00B27974" w:rsidRPr="004E2D89" w:rsidRDefault="00135C19" w:rsidP="00256065">
      <w:pPr>
        <w:ind w:firstLine="720"/>
      </w:pPr>
      <w:r>
        <w:t>Foreign spaces thus pose as much of a threat to the English figures in the autobiography as they provide possibilities for trade and discovery. There is a specific textual formula, used throughout the first half of the autobiography, which recognises this tension: ‘beyond sea’. It</w:t>
      </w:r>
      <w:r w:rsidR="0084345D">
        <w:t xml:space="preserve"> first </w:t>
      </w:r>
      <w:r w:rsidR="00F26045">
        <w:t xml:space="preserve">appears </w:t>
      </w:r>
      <w:r w:rsidR="0084345D">
        <w:t xml:space="preserve">when </w:t>
      </w:r>
      <w:r w:rsidR="00F26045">
        <w:t>Rose</w:t>
      </w:r>
      <w:r w:rsidR="0084345D">
        <w:t xml:space="preserve"> describes her father travelling to fetch Anne Boleyn prayer books, ‘</w:t>
      </w:r>
      <w:r w:rsidR="0084345D" w:rsidRPr="000C6F42">
        <w:t>when he was a young m[er</w:t>
      </w:r>
      <w:r w:rsidR="0084345D">
        <w:t>]</w:t>
      </w:r>
      <w:r w:rsidR="0084345D" w:rsidRPr="000C6F42">
        <w:t>chant and used to go be</w:t>
      </w:r>
      <w:r w:rsidR="0084345D">
        <w:t xml:space="preserve">yond </w:t>
      </w:r>
      <w:r w:rsidR="0084345D" w:rsidRPr="000C6F42">
        <w:t>sea</w:t>
      </w:r>
      <w:r w:rsidR="0084345D">
        <w:t>’.</w:t>
      </w:r>
      <w:r w:rsidR="0084345D">
        <w:rPr>
          <w:rStyle w:val="FootnoteReference"/>
        </w:rPr>
        <w:footnoteReference w:id="69"/>
      </w:r>
      <w:r w:rsidR="0084345D">
        <w:t xml:space="preserve"> It </w:t>
      </w:r>
      <w:r w:rsidR="00F26045">
        <w:t xml:space="preserve">then </w:t>
      </w:r>
      <w:r w:rsidR="0084345D">
        <w:t xml:space="preserve">recurs throughout the text at points where travel is religiously motivated: for example, when her </w:t>
      </w:r>
      <w:r w:rsidR="0084345D">
        <w:lastRenderedPageBreak/>
        <w:t>father’s factor brought back prayer books for her mother ‘</w:t>
      </w:r>
      <w:proofErr w:type="spellStart"/>
      <w:r w:rsidR="0084345D">
        <w:t>fro</w:t>
      </w:r>
      <w:proofErr w:type="spellEnd"/>
      <w:r w:rsidR="0084345D">
        <w:t>[m] beyond seas’, when describing the merchant ‘</w:t>
      </w:r>
      <w:proofErr w:type="spellStart"/>
      <w:r w:rsidR="0084345D" w:rsidRPr="000C6F42">
        <w:t>Paginton</w:t>
      </w:r>
      <w:proofErr w:type="spellEnd"/>
      <w:r w:rsidR="0084345D" w:rsidRPr="000C6F42">
        <w:t xml:space="preserve"> who used to bring </w:t>
      </w:r>
      <w:proofErr w:type="spellStart"/>
      <w:r w:rsidR="0084345D" w:rsidRPr="000C6F42">
        <w:t>english</w:t>
      </w:r>
      <w:proofErr w:type="spellEnd"/>
      <w:r w:rsidR="0084345D" w:rsidRPr="000C6F42">
        <w:t xml:space="preserve"> </w:t>
      </w:r>
      <w:proofErr w:type="spellStart"/>
      <w:r w:rsidR="0084345D" w:rsidRPr="000C6F42">
        <w:t>bybles</w:t>
      </w:r>
      <w:proofErr w:type="spellEnd"/>
      <w:r w:rsidR="0084345D" w:rsidRPr="000C6F42">
        <w:t xml:space="preserve"> </w:t>
      </w:r>
      <w:proofErr w:type="spellStart"/>
      <w:r w:rsidR="0084345D" w:rsidRPr="000C6F42">
        <w:t>fro</w:t>
      </w:r>
      <w:proofErr w:type="spellEnd"/>
      <w:r w:rsidR="0084345D" w:rsidRPr="000C6F42">
        <w:t>[m] beyond</w:t>
      </w:r>
      <w:r w:rsidR="0084345D">
        <w:t xml:space="preserve"> </w:t>
      </w:r>
      <w:r w:rsidR="0084345D" w:rsidRPr="000C6F42">
        <w:t>sea</w:t>
      </w:r>
      <w:r w:rsidR="0084345D">
        <w:t>’, and when her husband, during Mary’s reign, assisted ‘</w:t>
      </w:r>
      <w:r w:rsidR="0084345D" w:rsidRPr="000C6F42">
        <w:t>preachers</w:t>
      </w:r>
      <w:r w:rsidR="0084345D">
        <w:t xml:space="preserve"> </w:t>
      </w:r>
      <w:r w:rsidR="0084345D" w:rsidRPr="000C6F42">
        <w:t xml:space="preserve">[and] other good </w:t>
      </w:r>
      <w:proofErr w:type="spellStart"/>
      <w:r w:rsidR="0084345D" w:rsidRPr="000C6F42">
        <w:t>christia</w:t>
      </w:r>
      <w:r w:rsidR="00D3557A">
        <w:t>n</w:t>
      </w:r>
      <w:r w:rsidR="0084345D" w:rsidRPr="000C6F42">
        <w:t>s</w:t>
      </w:r>
      <w:proofErr w:type="spellEnd"/>
      <w:r w:rsidR="0084345D" w:rsidRPr="000C6F42">
        <w:t xml:space="preserve"> (that</w:t>
      </w:r>
      <w:r w:rsidR="0084345D">
        <w:t xml:space="preserve"> </w:t>
      </w:r>
      <w:r w:rsidR="0084345D" w:rsidRPr="000C6F42">
        <w:t xml:space="preserve">were </w:t>
      </w:r>
      <w:r w:rsidR="0084345D">
        <w:t>[…]</w:t>
      </w:r>
      <w:r w:rsidR="0084345D" w:rsidRPr="000C6F42">
        <w:t xml:space="preserve"> beyond</w:t>
      </w:r>
      <w:r w:rsidR="0084345D">
        <w:t xml:space="preserve"> seas)’.</w:t>
      </w:r>
      <w:r w:rsidR="0084345D">
        <w:rPr>
          <w:rStyle w:val="FootnoteReference"/>
        </w:rPr>
        <w:footnoteReference w:id="70"/>
      </w:r>
      <w:r w:rsidR="0084345D">
        <w:t xml:space="preserve"> As a textual formula which implies the existence of a space ‘beyond [the] sea’, it connects the text’s concerns with religion and geographic movement, framing the space ‘beyond seas’ as one which provides salvation and succour – either spiritually, in the case of the Bibles and prayer books, or physically, in the case of the Christians in exile.</w:t>
      </w:r>
      <w:r w:rsidR="00D3557A">
        <w:t xml:space="preserve"> </w:t>
      </w:r>
      <w:r w:rsidR="004E2D89">
        <w:t xml:space="preserve">It is also the space where the economic connections made in London came to fruition, with goods being brought back to be managed and add to the family’s wealth. </w:t>
      </w:r>
      <w:r w:rsidR="00D3557A">
        <w:t xml:space="preserve">The sea makes its final appearance as the ‘stormy and </w:t>
      </w:r>
      <w:proofErr w:type="spellStart"/>
      <w:r w:rsidR="00D3557A" w:rsidRPr="000C6F42">
        <w:t>tempesatous</w:t>
      </w:r>
      <w:proofErr w:type="spellEnd"/>
      <w:r w:rsidR="004E2D89">
        <w:t xml:space="preserve"> [sic]</w:t>
      </w:r>
      <w:r w:rsidR="00D3557A">
        <w:t>’ trial which Rose undergoes to reach Antwerp, and then is not referenced again as b</w:t>
      </w:r>
      <w:r w:rsidR="0084345D">
        <w:t xml:space="preserve">y moving to Antwerp, Rose </w:t>
      </w:r>
      <w:r w:rsidR="00B714A5">
        <w:t>had</w:t>
      </w:r>
      <w:r w:rsidR="00D3557A">
        <w:t xml:space="preserve"> herself moved to occupy a</w:t>
      </w:r>
      <w:r w:rsidR="0084345D">
        <w:t xml:space="preserve"> space</w:t>
      </w:r>
      <w:r w:rsidR="00D3557A">
        <w:t xml:space="preserve"> </w:t>
      </w:r>
      <w:r w:rsidR="0084345D">
        <w:t>‘beyond seas’</w:t>
      </w:r>
      <w:r w:rsidR="00CA1FF9">
        <w:t>.</w:t>
      </w:r>
      <w:r w:rsidR="00B714A5">
        <w:t xml:space="preserve"> </w:t>
      </w:r>
      <w:r w:rsidR="004E2D89">
        <w:t xml:space="preserve">With this movement she takes the place of these goods, transported in a ship to reach a space providing limited religious succour. </w:t>
      </w:r>
      <w:r w:rsidR="00B714A5">
        <w:t xml:space="preserve">In the later section of the original manuscript where </w:t>
      </w:r>
      <w:r w:rsidR="004E2D89">
        <w:t>Rose</w:t>
      </w:r>
      <w:r w:rsidR="00B714A5">
        <w:t xml:space="preserve"> described her son’s travels, he would also be faced with similar trials. His accidental abandonment on the </w:t>
      </w:r>
      <w:r w:rsidR="004E2D89">
        <w:t>coastline</w:t>
      </w:r>
      <w:r w:rsidR="00B714A5">
        <w:t xml:space="preserve"> of Russia became a semi-spiritual journey, with him </w:t>
      </w:r>
      <w:r w:rsidR="00B714A5">
        <w:rPr>
          <w:rFonts w:eastAsiaTheme="minorHAnsi"/>
          <w:lang w:eastAsia="en-US"/>
        </w:rPr>
        <w:t xml:space="preserve">walking </w:t>
      </w:r>
      <w:r w:rsidR="00B714A5" w:rsidRPr="005114EE">
        <w:rPr>
          <w:rFonts w:eastAsiaTheme="minorHAnsi"/>
          <w:lang w:eastAsia="en-US"/>
        </w:rPr>
        <w:t>‘15 miles in the desert’</w:t>
      </w:r>
      <w:r w:rsidR="00B714A5">
        <w:rPr>
          <w:rFonts w:eastAsiaTheme="minorHAnsi"/>
          <w:lang w:eastAsia="en-US"/>
        </w:rPr>
        <w:t xml:space="preserve"> to re-join the crew, meeting an </w:t>
      </w:r>
      <w:r w:rsidR="00B714A5" w:rsidRPr="005114EE">
        <w:rPr>
          <w:rFonts w:eastAsiaTheme="minorHAnsi"/>
          <w:lang w:eastAsia="en-US"/>
        </w:rPr>
        <w:t>old man (a ‘stranger’) along the way who had given him directions ‘by making figures’</w:t>
      </w:r>
      <w:r w:rsidR="00B714A5">
        <w:rPr>
          <w:rFonts w:eastAsiaTheme="minorHAnsi"/>
          <w:lang w:eastAsia="en-US"/>
        </w:rPr>
        <w:t>. The family’s spiritual ordeals may not have been over after their return from Antwerp, but if their faith continued, Rose implied, they would continue to be saved.</w:t>
      </w:r>
    </w:p>
    <w:p w14:paraId="5D3E10C6" w14:textId="2D7528A4" w:rsidR="00B27974" w:rsidRDefault="00B27974" w:rsidP="00256065">
      <w:pPr>
        <w:ind w:firstLine="720"/>
      </w:pPr>
      <w:r>
        <w:t xml:space="preserve">Rose’s autobiography does not only reflect a strong and unified sense of self, but also records a detailed and personal history of her immediate family. In creating this record, Rose thus ensured the survival of her own positionality within her familial network both past and present. The later manuscript copy of the autobiography, for example, demonstrates how quickly family history could pass out of memory. In the later list of what happened to her children after her death, written in 1637, when detailing the life of Rose’s only surviving daughter Mary it lists her first husband as ‘— </w:t>
      </w:r>
      <w:proofErr w:type="spellStart"/>
      <w:r>
        <w:t>Agmonsham</w:t>
      </w:r>
      <w:proofErr w:type="spellEnd"/>
      <w:r>
        <w:t>’.</w:t>
      </w:r>
      <w:r>
        <w:rPr>
          <w:rStyle w:val="FootnoteReference"/>
        </w:rPr>
        <w:footnoteReference w:id="71"/>
      </w:r>
      <w:r>
        <w:t xml:space="preserve"> According to their marriage record his first name was John, and his surname was properly spelt </w:t>
      </w:r>
      <w:proofErr w:type="spellStart"/>
      <w:r>
        <w:t>Amondsham</w:t>
      </w:r>
      <w:proofErr w:type="spellEnd"/>
      <w:r>
        <w:t>.</w:t>
      </w:r>
      <w:r>
        <w:rPr>
          <w:rStyle w:val="FootnoteReference"/>
        </w:rPr>
        <w:footnoteReference w:id="72"/>
      </w:r>
      <w:r>
        <w:t xml:space="preserve"> This typographical error suggests that his surname had been passed down through oral memory, and that in the process his first name had been forgotten. </w:t>
      </w:r>
      <w:r w:rsidR="00BF28D8">
        <w:t>As Mary and</w:t>
      </w:r>
      <w:r>
        <w:t xml:space="preserve"> </w:t>
      </w:r>
      <w:proofErr w:type="gramStart"/>
      <w:r>
        <w:t>all of</w:t>
      </w:r>
      <w:proofErr w:type="gramEnd"/>
      <w:r>
        <w:t xml:space="preserve"> her siblings were dead by 1637, the marriage had been childless, and </w:t>
      </w:r>
      <w:r w:rsidR="00BF28D8">
        <w:t>she</w:t>
      </w:r>
      <w:r>
        <w:t xml:space="preserve"> had remarried after his death, there was no one alive within the Hickman family who would have remembered from first-hand experience.</w:t>
      </w:r>
    </w:p>
    <w:p w14:paraId="3CD45CC4" w14:textId="53271F36" w:rsidR="00B27974" w:rsidRDefault="00B27974" w:rsidP="00256065">
      <w:pPr>
        <w:ind w:firstLine="720"/>
      </w:pPr>
      <w:r>
        <w:t xml:space="preserve">Similarly, during the period covered by Rose’s autobiography, she records that she gave birth to two children, but none of the children recorded in the 1637 list were born during this period. The corresponding gap in extant baptismal records between Walter in 1552 and Anthony in 1560 can be accounted for by the fact that children born in this period would have been baptised in Oxford and Antwerp respectively, but that there is no record in the family history even of their existence is surprising. There is also no obvious record of their burial. There is a record of an Anthony Hickman whose father was Anthony Hickman being buried at St </w:t>
      </w:r>
      <w:proofErr w:type="spellStart"/>
      <w:r>
        <w:t>Olave’s</w:t>
      </w:r>
      <w:proofErr w:type="spellEnd"/>
      <w:r>
        <w:t xml:space="preserve"> — the same church where the other Hickman children were baptised — but this was in 1556, by which time Rose was either in Oxford or Antwerp, and her autobiography makes no record of a trip to London.</w:t>
      </w:r>
      <w:r>
        <w:rPr>
          <w:rStyle w:val="FootnoteReference"/>
        </w:rPr>
        <w:footnoteReference w:id="73"/>
      </w:r>
      <w:r>
        <w:t xml:space="preserve"> </w:t>
      </w:r>
      <w:r w:rsidR="00BF28D8">
        <w:t xml:space="preserve">Either the stories of these births and baptisms were fictional, or the children died before they reached adulthood, and so were not included in the 1637 list. It seems unlikely, considering the seriousness with which she took her faith, that Rose would lie about something as significant as baptism, but </w:t>
      </w:r>
      <w:r w:rsidR="00925EE8">
        <w:t xml:space="preserve">her elder children — William, </w:t>
      </w:r>
      <w:r w:rsidR="00925EE8">
        <w:lastRenderedPageBreak/>
        <w:t xml:space="preserve">Henry, and Anthony — are notably also missing from the autobiography. </w:t>
      </w:r>
      <w:r>
        <w:t xml:space="preserve">Rose was deliberately crafting her narrative to create both a deliberate affective response and a narrative of divine salvation: whenever the family is threatened, it is usually either Rose’s intelligence or their capital which ensures salvation, both of which are continually attributed to God. </w:t>
      </w:r>
      <w:r w:rsidR="00925EE8">
        <w:t>T</w:t>
      </w:r>
      <w:r>
        <w:t xml:space="preserve">hough deaths of her two children would not have been as straightforwardly exemplary of triumph as Rose’s rescue of her husband and escape from England, they would have fit into a narrative of salvation. </w:t>
      </w:r>
      <w:r w:rsidR="00925EE8">
        <w:t xml:space="preserve">It may be that the deaths of these children were too painful to recount and so Rose omitted them so as not to relive them: it may also be that the autobiography’s primary focus was intended to rest on her and her husband, and so they were omitted to keep the narrative focused. </w:t>
      </w:r>
      <w:r>
        <w:t>In either case, the omission demonstrates another form of authorial agency on her part: the ability to decide what was not recorded, as well as what was.</w:t>
      </w:r>
      <w:r w:rsidR="00925EE8">
        <w:t xml:space="preserve"> Though the autobiography may appear comprehensive in its detail, it is a constructed text and the degree of its fictionality cannot easily be ascertained.</w:t>
      </w:r>
    </w:p>
    <w:p w14:paraId="6D096417" w14:textId="77777777" w:rsidR="00256065" w:rsidRPr="00C762A2" w:rsidRDefault="00256065" w:rsidP="00256065">
      <w:pPr>
        <w:ind w:firstLine="720"/>
      </w:pPr>
    </w:p>
    <w:p w14:paraId="2CF2370B" w14:textId="5FB864C5" w:rsidR="00F26045" w:rsidRDefault="00E542BA" w:rsidP="00256065">
      <w:pPr>
        <w:jc w:val="center"/>
        <w:rPr>
          <w:rFonts w:eastAsiaTheme="minorHAnsi"/>
          <w:lang w:eastAsia="en-US"/>
        </w:rPr>
      </w:pPr>
      <w:r>
        <w:rPr>
          <w:rFonts w:eastAsiaTheme="minorHAnsi"/>
          <w:lang w:eastAsia="en-US"/>
        </w:rPr>
        <w:t>***</w:t>
      </w:r>
    </w:p>
    <w:p w14:paraId="04CBA0D0" w14:textId="77777777" w:rsidR="00256065" w:rsidRPr="00324403" w:rsidRDefault="00256065" w:rsidP="00256065">
      <w:pPr>
        <w:ind w:firstLine="720"/>
        <w:jc w:val="center"/>
        <w:rPr>
          <w:rFonts w:eastAsiaTheme="minorHAnsi"/>
          <w:lang w:eastAsia="en-US"/>
        </w:rPr>
      </w:pPr>
    </w:p>
    <w:p w14:paraId="6976EAF4" w14:textId="667879F7" w:rsidR="00C35921" w:rsidRDefault="00CA1FF9" w:rsidP="00256065">
      <w:r>
        <w:t>Rose Lok Hickman Throckmorton</w:t>
      </w:r>
      <w:r w:rsidR="00CA5D8C">
        <w:t>’s autobiography</w:t>
      </w:r>
      <w:r>
        <w:t xml:space="preserve"> is an invaluable source for historians of early modern mercantile communities, as well as </w:t>
      </w:r>
      <w:r w:rsidR="00CA5D8C">
        <w:t xml:space="preserve">scholars of life-writing and autobiography. The </w:t>
      </w:r>
      <w:r w:rsidR="00703F97">
        <w:t>text</w:t>
      </w:r>
      <w:r w:rsidR="00CA5D8C">
        <w:t xml:space="preserve"> clearly demonstrates Rose’s importance within </w:t>
      </w:r>
      <w:r w:rsidR="0005348B">
        <w:t>her</w:t>
      </w:r>
      <w:r w:rsidR="00324403">
        <w:t xml:space="preserve"> contemporary </w:t>
      </w:r>
      <w:r w:rsidR="0005348B">
        <w:t>social network</w:t>
      </w:r>
      <w:r w:rsidR="00CA5D8C">
        <w:t>, both culturally and economically</w:t>
      </w:r>
      <w:r w:rsidR="00324403">
        <w:t xml:space="preserve">, and </w:t>
      </w:r>
      <w:r w:rsidR="00703F97">
        <w:t xml:space="preserve">in its retelling of history and references to significant contemporary figures connects her family to wider English history to position them as pivotal figures in the nation’s history. </w:t>
      </w:r>
      <w:r w:rsidR="001046F2">
        <w:t xml:space="preserve">By creating </w:t>
      </w:r>
      <w:r w:rsidR="00703F97">
        <w:t>the autobiography</w:t>
      </w:r>
      <w:r w:rsidR="001046F2">
        <w:t>, preserving her memories</w:t>
      </w:r>
      <w:r w:rsidR="00BA265F">
        <w:t>,</w:t>
      </w:r>
      <w:r w:rsidR="001046F2">
        <w:t xml:space="preserve"> and connecting them to printed history through t</w:t>
      </w:r>
      <w:r w:rsidR="00703F97">
        <w:t>hese t</w:t>
      </w:r>
      <w:r w:rsidR="001046F2">
        <w:t>extual refere</w:t>
      </w:r>
      <w:r w:rsidR="00F51530">
        <w:t>nces</w:t>
      </w:r>
      <w:r w:rsidR="007C3C73">
        <w:t xml:space="preserve">, </w:t>
      </w:r>
      <w:r w:rsidR="00703F97">
        <w:t>Rose</w:t>
      </w:r>
      <w:r w:rsidR="007C3C73">
        <w:t xml:space="preserve"> ensured that her influence </w:t>
      </w:r>
      <w:r w:rsidR="00BA265F">
        <w:t>and</w:t>
      </w:r>
      <w:r w:rsidR="007C3C73">
        <w:t xml:space="preserve"> legacy would persist even after her death.</w:t>
      </w:r>
      <w:r w:rsidR="00324403">
        <w:t xml:space="preserve"> Though the autobiography is unusually singular and consistent in its narratorial voice, it also demonstrates the ways in which ‘self-writing’ could be a generically fluid form emerging from engagement with multiple genres. In Rose’s case, her autobiography draws from religious meditations, geographical writings, </w:t>
      </w:r>
      <w:r w:rsidR="00FD31BA">
        <w:t>and h</w:t>
      </w:r>
      <w:r w:rsidR="00324403">
        <w:t>istorical chronicles</w:t>
      </w:r>
      <w:r w:rsidR="00FD31BA">
        <w:t>, bringing</w:t>
      </w:r>
      <w:r w:rsidR="00324403">
        <w:t xml:space="preserve"> these disparate influences together just as Rose herself moved within different </w:t>
      </w:r>
      <w:r w:rsidR="00703F97">
        <w:t>spaces and networks</w:t>
      </w:r>
      <w:r w:rsidR="00364BC5">
        <w:t>, an agent in her own right.</w:t>
      </w:r>
    </w:p>
    <w:p w14:paraId="7A4A1E9D" w14:textId="77777777" w:rsidR="00A5090F" w:rsidRPr="00A5090F" w:rsidRDefault="00A5090F" w:rsidP="00256065">
      <w:pPr>
        <w:pStyle w:val="ListParagraph"/>
      </w:pPr>
    </w:p>
    <w:sectPr w:rsidR="00A5090F" w:rsidRPr="00A5090F" w:rsidSect="00D87756">
      <w:headerReference w:type="even" r:id="rId7"/>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26B9" w14:textId="77777777" w:rsidR="002835CE" w:rsidRDefault="002835CE" w:rsidP="00BC7EA6">
      <w:r>
        <w:separator/>
      </w:r>
    </w:p>
  </w:endnote>
  <w:endnote w:type="continuationSeparator" w:id="0">
    <w:p w14:paraId="64BB82FA" w14:textId="77777777" w:rsidR="002835CE" w:rsidRDefault="002835CE" w:rsidP="00B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imes New Roman (Body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267B" w14:textId="77777777" w:rsidR="002835CE" w:rsidRDefault="002835CE" w:rsidP="00BC7EA6">
      <w:r>
        <w:separator/>
      </w:r>
    </w:p>
  </w:footnote>
  <w:footnote w:type="continuationSeparator" w:id="0">
    <w:p w14:paraId="3E00320F" w14:textId="77777777" w:rsidR="002835CE" w:rsidRDefault="002835CE" w:rsidP="00BC7EA6">
      <w:r>
        <w:continuationSeparator/>
      </w:r>
    </w:p>
  </w:footnote>
  <w:footnote w:id="1">
    <w:p w14:paraId="50009904" w14:textId="47BF3AFE" w:rsidR="00E8205B" w:rsidRDefault="00E8205B">
      <w:pPr>
        <w:pStyle w:val="FootnoteText"/>
      </w:pPr>
      <w:r>
        <w:rPr>
          <w:rStyle w:val="FootnoteReference"/>
        </w:rPr>
        <w:footnoteRef/>
      </w:r>
      <w:r>
        <w:t xml:space="preserve"> </w:t>
      </w:r>
      <w:r w:rsidR="00B10235">
        <w:t xml:space="preserve">London, </w:t>
      </w:r>
      <w:r>
        <w:t xml:space="preserve">British Library (BL), </w:t>
      </w:r>
      <w:r w:rsidRPr="00A5090F">
        <w:rPr>
          <w:rFonts w:eastAsiaTheme="majorEastAsia"/>
        </w:rPr>
        <w:t>Add</w:t>
      </w:r>
      <w:r w:rsidRPr="00A5090F">
        <w:t xml:space="preserve"> </w:t>
      </w:r>
      <w:r w:rsidRPr="00A5090F">
        <w:rPr>
          <w:rFonts w:eastAsiaTheme="majorEastAsia"/>
        </w:rPr>
        <w:t>MS</w:t>
      </w:r>
      <w:r w:rsidRPr="00A5090F">
        <w:t xml:space="preserve"> </w:t>
      </w:r>
      <w:r w:rsidRPr="00A5090F">
        <w:rPr>
          <w:rFonts w:eastAsiaTheme="majorEastAsia"/>
        </w:rPr>
        <w:t>43827</w:t>
      </w:r>
      <w:r w:rsidRPr="00A5090F">
        <w:t xml:space="preserve"> A, </w:t>
      </w:r>
      <w:proofErr w:type="spellStart"/>
      <w:r>
        <w:t>fols</w:t>
      </w:r>
      <w:proofErr w:type="spellEnd"/>
      <w:r>
        <w:t>. 15r-15v.</w:t>
      </w:r>
    </w:p>
  </w:footnote>
  <w:footnote w:id="2">
    <w:p w14:paraId="3B843123" w14:textId="7DCACA8D" w:rsidR="00E8205B" w:rsidRDefault="00E8205B">
      <w:pPr>
        <w:pStyle w:val="FootnoteText"/>
      </w:pPr>
      <w:r>
        <w:rPr>
          <w:rStyle w:val="FootnoteReference"/>
        </w:rPr>
        <w:footnoteRef/>
      </w:r>
      <w:r>
        <w:t xml:space="preserve"> </w:t>
      </w:r>
      <w:r>
        <w:rPr>
          <w:rFonts w:eastAsiaTheme="majorEastAsia"/>
        </w:rPr>
        <w:t>Ibid.</w:t>
      </w:r>
    </w:p>
  </w:footnote>
  <w:footnote w:id="3">
    <w:p w14:paraId="6DEF0611" w14:textId="044ECE23" w:rsidR="00973BA6" w:rsidRDefault="00973BA6">
      <w:pPr>
        <w:pStyle w:val="FootnoteText"/>
      </w:pPr>
      <w:r>
        <w:rPr>
          <w:rStyle w:val="FootnoteReference"/>
        </w:rPr>
        <w:footnoteRef/>
      </w:r>
      <w:r>
        <w:t xml:space="preserve"> Rose had remarried since and was known from then on as Rose Throckmorton. Because this article examines both periods, she will be referred to as ‘</w:t>
      </w:r>
      <w:r w:rsidR="00D569C7">
        <w:t>Rose’ throughout.</w:t>
      </w:r>
    </w:p>
  </w:footnote>
  <w:footnote w:id="4">
    <w:p w14:paraId="2E63E520" w14:textId="2145E883" w:rsidR="00E8205B" w:rsidRPr="00C852DE" w:rsidRDefault="00E8205B">
      <w:pPr>
        <w:pStyle w:val="FootnoteText"/>
        <w:rPr>
          <w:highlight w:val="yellow"/>
        </w:rPr>
      </w:pPr>
      <w:r w:rsidRPr="00C852DE">
        <w:rPr>
          <w:rStyle w:val="FootnoteReference"/>
        </w:rPr>
        <w:footnoteRef/>
      </w:r>
      <w:r w:rsidRPr="00C852DE">
        <w:t xml:space="preserve"> </w:t>
      </w:r>
      <w:r w:rsidR="00C852DE" w:rsidRPr="00C852DE">
        <w:t xml:space="preserve">Phillip G. Lindley, </w:t>
      </w:r>
      <w:r w:rsidR="00C852DE" w:rsidRPr="00C852DE">
        <w:rPr>
          <w:i/>
          <w:iCs/>
        </w:rPr>
        <w:t>Gainsborough Old Hall</w:t>
      </w:r>
      <w:r w:rsidR="00C852DE" w:rsidRPr="00C852DE">
        <w:t>, Occasional Papers in Lincolnshire History and Archaeology, 8 (Lincoln: Society of Lincolnshire History and Archaeology, 1991), p. 8.</w:t>
      </w:r>
    </w:p>
  </w:footnote>
  <w:footnote w:id="5">
    <w:p w14:paraId="60083A25" w14:textId="1273D8F8" w:rsidR="00E8205B" w:rsidRDefault="00E8205B">
      <w:pPr>
        <w:pStyle w:val="FootnoteText"/>
      </w:pPr>
      <w:r>
        <w:rPr>
          <w:rStyle w:val="FootnoteReference"/>
        </w:rPr>
        <w:footnoteRef/>
      </w:r>
      <w:r>
        <w:t xml:space="preserve"> James McDermott, ‘Lok, Sir William (1480–1550)’, </w:t>
      </w:r>
      <w:r>
        <w:rPr>
          <w:i/>
          <w:iCs/>
        </w:rPr>
        <w:t>Oxford Dictionary of National Biography</w:t>
      </w:r>
      <w:r>
        <w:t xml:space="preserve"> </w:t>
      </w:r>
      <w:r w:rsidR="00E540F1">
        <w:t>[</w:t>
      </w:r>
      <w:r w:rsidR="00E540F1" w:rsidRPr="00E540F1">
        <w:rPr>
          <w:i/>
          <w:iCs/>
        </w:rPr>
        <w:t>ODNB</w:t>
      </w:r>
      <w:r w:rsidR="00E540F1">
        <w:t xml:space="preserve">] </w:t>
      </w:r>
      <w:r>
        <w:t>(Oxford: Oxford University Press, 2008) &lt;</w:t>
      </w:r>
      <w:hyperlink r:id="rId1" w:history="1">
        <w:r>
          <w:rPr>
            <w:rStyle w:val="Hyperlink"/>
          </w:rPr>
          <w:t>https://doi.org/10.1093/ref:odnb/16951</w:t>
        </w:r>
      </w:hyperlink>
      <w:r>
        <w:t>&gt;.</w:t>
      </w:r>
    </w:p>
  </w:footnote>
  <w:footnote w:id="6">
    <w:p w14:paraId="00645B7E" w14:textId="02D50A6D" w:rsidR="00E8205B" w:rsidRDefault="00E8205B" w:rsidP="00824024">
      <w:pPr>
        <w:pStyle w:val="FootnoteText"/>
      </w:pPr>
      <w:r>
        <w:rPr>
          <w:rStyle w:val="FootnoteReference"/>
        </w:rPr>
        <w:footnoteRef/>
      </w:r>
      <w:r>
        <w:t xml:space="preserve"> </w:t>
      </w:r>
      <w:r w:rsidR="00CD38A6">
        <w:t xml:space="preserve">James </w:t>
      </w:r>
      <w:r>
        <w:t xml:space="preserve">McDermott, ‘Lok, Michael (c. 1532–1620x22)’, </w:t>
      </w:r>
      <w:r w:rsidR="00E540F1" w:rsidRPr="00E540F1">
        <w:rPr>
          <w:i/>
          <w:iCs/>
        </w:rPr>
        <w:t>ODNB</w:t>
      </w:r>
      <w:r w:rsidR="00E540F1">
        <w:t xml:space="preserve"> </w:t>
      </w:r>
      <w:r>
        <w:t>(Oxford: Oxford University Press, 2008) &lt;</w:t>
      </w:r>
      <w:hyperlink r:id="rId2" w:history="1">
        <w:r>
          <w:rPr>
            <w:rStyle w:val="Hyperlink"/>
          </w:rPr>
          <w:t>https://doi.org/10.1093/ref:odnb/16950</w:t>
        </w:r>
      </w:hyperlink>
      <w:r>
        <w:t>&gt;.</w:t>
      </w:r>
    </w:p>
  </w:footnote>
  <w:footnote w:id="7">
    <w:p w14:paraId="549C096B" w14:textId="3322FA30" w:rsidR="00014BF1" w:rsidRDefault="00014BF1">
      <w:pPr>
        <w:pStyle w:val="FootnoteText"/>
      </w:pPr>
      <w:r>
        <w:rPr>
          <w:rStyle w:val="FootnoteReference"/>
        </w:rPr>
        <w:footnoteRef/>
      </w:r>
      <w:r>
        <w:t xml:space="preserve"> </w:t>
      </w:r>
      <w:r w:rsidR="008C595D" w:rsidRPr="008C595D">
        <w:t xml:space="preserve">Edmond Smith, </w:t>
      </w:r>
      <w:r w:rsidR="008C595D" w:rsidRPr="008C595D">
        <w:rPr>
          <w:i/>
          <w:iCs/>
        </w:rPr>
        <w:t>Merchants: The Community That Shaped England’s Trade and Empire, 1550-1650</w:t>
      </w:r>
      <w:r w:rsidR="008C595D" w:rsidRPr="008C595D">
        <w:t xml:space="preserve"> (London: Yale University Press, 2021</w:t>
      </w:r>
      <w:r w:rsidR="008C595D">
        <w:t xml:space="preserve">), </w:t>
      </w:r>
      <w:r>
        <w:t>p.</w:t>
      </w:r>
      <w:r w:rsidR="00163176">
        <w:t xml:space="preserve"> </w:t>
      </w:r>
      <w:r>
        <w:t>8</w:t>
      </w:r>
      <w:r w:rsidR="00163176">
        <w:t>.</w:t>
      </w:r>
    </w:p>
  </w:footnote>
  <w:footnote w:id="8">
    <w:p w14:paraId="25169411" w14:textId="75CA0B8C" w:rsidR="00E8205B" w:rsidRDefault="00E8205B" w:rsidP="00824024">
      <w:pPr>
        <w:pStyle w:val="FootnoteText"/>
      </w:pPr>
      <w:r>
        <w:rPr>
          <w:rStyle w:val="FootnoteReference"/>
        </w:rPr>
        <w:footnoteRef/>
      </w:r>
      <w:r>
        <w:t xml:space="preserve"> </w:t>
      </w:r>
      <w:r w:rsidR="00163176">
        <w:t>Ibid.,</w:t>
      </w:r>
      <w:r>
        <w:t xml:space="preserve"> p. 3.</w:t>
      </w:r>
    </w:p>
  </w:footnote>
  <w:footnote w:id="9">
    <w:p w14:paraId="6E3B18DB" w14:textId="1D1E6325" w:rsidR="00E8205B" w:rsidRDefault="00E8205B" w:rsidP="00824024">
      <w:pPr>
        <w:pStyle w:val="FootnoteText"/>
      </w:pPr>
      <w:r>
        <w:rPr>
          <w:rStyle w:val="FootnoteReference"/>
        </w:rPr>
        <w:footnoteRef/>
      </w:r>
      <w:r>
        <w:t xml:space="preserve"> </w:t>
      </w:r>
      <w:r w:rsidR="00163176">
        <w:t xml:space="preserve">Ibid., </w:t>
      </w:r>
      <w:r>
        <w:t>p. 4.</w:t>
      </w:r>
    </w:p>
  </w:footnote>
  <w:footnote w:id="10">
    <w:p w14:paraId="5A74AC4C" w14:textId="4CA4C895" w:rsidR="00E8205B" w:rsidRDefault="00E8205B" w:rsidP="00824024">
      <w:pPr>
        <w:pStyle w:val="FootnoteText"/>
      </w:pPr>
      <w:r>
        <w:rPr>
          <w:rStyle w:val="FootnoteReference"/>
        </w:rPr>
        <w:footnoteRef/>
      </w:r>
      <w:r>
        <w:t xml:space="preserve"> </w:t>
      </w:r>
      <w:r w:rsidRPr="00240122">
        <w:t xml:space="preserve">Nandini Das and others, ‘Broker’, in </w:t>
      </w:r>
      <w:r w:rsidRPr="00240122">
        <w:rPr>
          <w:i/>
          <w:iCs/>
        </w:rPr>
        <w:t>Keywords of Identity, Race, and Human Mobility in Early Modern England</w:t>
      </w:r>
      <w:r w:rsidRPr="00240122">
        <w:t xml:space="preserve"> (Amsterdam: Amsterdam University Press, 2021), pp. 51–56</w:t>
      </w:r>
      <w:r>
        <w:t xml:space="preserve"> (p. 55).</w:t>
      </w:r>
      <w:r w:rsidR="009600E8">
        <w:t xml:space="preserve"> </w:t>
      </w:r>
    </w:p>
  </w:footnote>
  <w:footnote w:id="11">
    <w:p w14:paraId="301B5ADC" w14:textId="4E6C65D5" w:rsidR="00FD475A" w:rsidRDefault="00FD475A">
      <w:pPr>
        <w:pStyle w:val="FootnoteText"/>
      </w:pPr>
      <w:r>
        <w:rPr>
          <w:rStyle w:val="FootnoteReference"/>
        </w:rPr>
        <w:footnoteRef/>
      </w:r>
      <w:r>
        <w:t xml:space="preserve"> For example, </w:t>
      </w:r>
      <w:r w:rsidRPr="006759E1">
        <w:t xml:space="preserve">Lena Cowen Orlin, </w:t>
      </w:r>
      <w:r w:rsidRPr="006759E1">
        <w:rPr>
          <w:i/>
          <w:iCs/>
        </w:rPr>
        <w:t>Locating Privacy in Tudor London</w:t>
      </w:r>
      <w:r w:rsidRPr="006759E1">
        <w:t xml:space="preserve"> (Oxford: Oxford University Press, 2008)</w:t>
      </w:r>
      <w:r>
        <w:t xml:space="preserve"> and </w:t>
      </w:r>
      <w:r w:rsidRPr="006759E1">
        <w:t xml:space="preserve">Martha Howell, ‘Gender in the Transition to Merchant Capitalism’, in </w:t>
      </w:r>
      <w:r w:rsidRPr="006759E1">
        <w:rPr>
          <w:i/>
          <w:iCs/>
        </w:rPr>
        <w:t>The Oxford Handbook of Women and Gender in Medieval Europe</w:t>
      </w:r>
      <w:r w:rsidRPr="006759E1">
        <w:t xml:space="preserve">, </w:t>
      </w:r>
      <w:r>
        <w:t xml:space="preserve">(Oxford: Oxford University Press, </w:t>
      </w:r>
      <w:r w:rsidRPr="006759E1">
        <w:t>2013</w:t>
      </w:r>
      <w:r>
        <w:t>).</w:t>
      </w:r>
      <w:r w:rsidR="009600E8">
        <w:t xml:space="preserve"> See also, within this collection, Wiesner Hanks’ discussion of critical attitudes towards women’s work.</w:t>
      </w:r>
    </w:p>
  </w:footnote>
  <w:footnote w:id="12">
    <w:p w14:paraId="0B028A52" w14:textId="15A34851" w:rsidR="006759E1" w:rsidRDefault="006759E1">
      <w:pPr>
        <w:pStyle w:val="FootnoteText"/>
      </w:pPr>
      <w:r>
        <w:rPr>
          <w:rStyle w:val="FootnoteReference"/>
        </w:rPr>
        <w:footnoteRef/>
      </w:r>
      <w:r>
        <w:t xml:space="preserve"> </w:t>
      </w:r>
      <w:r w:rsidR="00FD475A">
        <w:t xml:space="preserve">For example, </w:t>
      </w:r>
      <w:r w:rsidRPr="006759E1">
        <w:t xml:space="preserve">Misha Ewen, ‘Women Investors and the Virginia Company in the Early Seventeenth Century’, </w:t>
      </w:r>
      <w:r w:rsidRPr="006759E1">
        <w:rPr>
          <w:i/>
          <w:iCs/>
        </w:rPr>
        <w:t>The Historical Journal</w:t>
      </w:r>
      <w:r w:rsidRPr="006759E1">
        <w:t>, 2019, 1–22</w:t>
      </w:r>
      <w:r>
        <w:t xml:space="preserve"> and </w:t>
      </w:r>
      <w:r w:rsidRPr="006759E1">
        <w:t xml:space="preserve">Aske </w:t>
      </w:r>
      <w:proofErr w:type="spellStart"/>
      <w:r w:rsidRPr="006759E1">
        <w:t>Laursen</w:t>
      </w:r>
      <w:proofErr w:type="spellEnd"/>
      <w:r w:rsidRPr="006759E1">
        <w:t xml:space="preserve"> Brock and Misha Ewen, ‘Women’s Public Lives: Navigating the East India Company, Parliament and Courts in Early Modern England’, </w:t>
      </w:r>
      <w:r w:rsidRPr="006759E1">
        <w:rPr>
          <w:i/>
          <w:iCs/>
        </w:rPr>
        <w:t>Gender &amp; History</w:t>
      </w:r>
      <w:r w:rsidRPr="006759E1">
        <w:t>, 33.1 (2021), 3–23</w:t>
      </w:r>
      <w:r>
        <w:t>.</w:t>
      </w:r>
    </w:p>
  </w:footnote>
  <w:footnote w:id="13">
    <w:p w14:paraId="7A7A4584" w14:textId="4F327C36" w:rsidR="00BD79AD" w:rsidRDefault="00BD79AD" w:rsidP="00BD79AD">
      <w:pPr>
        <w:pStyle w:val="FootnoteText"/>
      </w:pPr>
      <w:r>
        <w:rPr>
          <w:rStyle w:val="FootnoteReference"/>
        </w:rPr>
        <w:footnoteRef/>
      </w:r>
      <w:r>
        <w:t xml:space="preserve"> </w:t>
      </w:r>
      <w:r w:rsidRPr="00BD79AD">
        <w:t xml:space="preserve">A. Shepard, ‘Crediting Women in the Early Modern English Economy’, </w:t>
      </w:r>
      <w:r w:rsidRPr="00BD79AD">
        <w:rPr>
          <w:i/>
          <w:iCs/>
        </w:rPr>
        <w:t>History Workshop Journal</w:t>
      </w:r>
      <w:r w:rsidRPr="00BD79AD">
        <w:t xml:space="preserve">, 79.1 (2015), 1–24 </w:t>
      </w:r>
      <w:r>
        <w:t>(p. 6, 15).</w:t>
      </w:r>
    </w:p>
  </w:footnote>
  <w:footnote w:id="14">
    <w:p w14:paraId="7144E694" w14:textId="05C3C9B1" w:rsidR="00F05ED5" w:rsidRDefault="00F05ED5">
      <w:pPr>
        <w:pStyle w:val="FootnoteText"/>
      </w:pPr>
      <w:r>
        <w:rPr>
          <w:rStyle w:val="FootnoteReference"/>
        </w:rPr>
        <w:footnoteRef/>
      </w:r>
      <w:r>
        <w:t xml:space="preserve"> For more information on women’s travelling practices in the period, see Higgins in this collection on the nature and variety of female travel.</w:t>
      </w:r>
    </w:p>
  </w:footnote>
  <w:footnote w:id="15">
    <w:p w14:paraId="2692ABD8" w14:textId="77777777" w:rsidR="004F781E" w:rsidRDefault="004F781E" w:rsidP="004F781E">
      <w:pPr>
        <w:pStyle w:val="FootnoteText"/>
      </w:pPr>
      <w:r>
        <w:rPr>
          <w:rStyle w:val="FootnoteReference"/>
        </w:rPr>
        <w:footnoteRef/>
      </w:r>
      <w:r>
        <w:t xml:space="preserve"> </w:t>
      </w:r>
      <w:r w:rsidRPr="00734308">
        <w:t xml:space="preserve">Maria Dowling and Joy Shakespeare, ‘Religion and Politics in Mid Tudor England through the Eyes of an English Protestant Woman: The Recollections of Rose Hickman’, </w:t>
      </w:r>
      <w:r w:rsidRPr="00734308">
        <w:rPr>
          <w:i/>
          <w:iCs/>
        </w:rPr>
        <w:t>Historical Research</w:t>
      </w:r>
      <w:r w:rsidRPr="00734308">
        <w:t xml:space="preserve">, 55.131 (1982), 94–102; Jennifer Higginbotham, ‘The Exile of Rose Hickman Throckmorton’, </w:t>
      </w:r>
      <w:r w:rsidRPr="00734308">
        <w:rPr>
          <w:i/>
          <w:iCs/>
        </w:rPr>
        <w:t>Reformation</w:t>
      </w:r>
      <w:r w:rsidRPr="00734308">
        <w:t>, 15.1 (2010), 99–114</w:t>
      </w:r>
      <w:r>
        <w:t>.</w:t>
      </w:r>
    </w:p>
  </w:footnote>
  <w:footnote w:id="16">
    <w:p w14:paraId="63D7343D" w14:textId="2BD80E70" w:rsidR="004F781E" w:rsidRDefault="004F781E" w:rsidP="004F781E">
      <w:pPr>
        <w:pStyle w:val="FootnoteText"/>
      </w:pPr>
      <w:r>
        <w:rPr>
          <w:rStyle w:val="FootnoteReference"/>
        </w:rPr>
        <w:footnoteRef/>
      </w:r>
      <w:r>
        <w:t xml:space="preserve"> </w:t>
      </w:r>
      <w:r w:rsidR="009C4382" w:rsidRPr="00734308">
        <w:t>Higginbotham</w:t>
      </w:r>
      <w:r w:rsidR="009F326E">
        <w:t>,</w:t>
      </w:r>
      <w:r w:rsidR="009C4382">
        <w:t xml:space="preserve"> p. 99.</w:t>
      </w:r>
    </w:p>
  </w:footnote>
  <w:footnote w:id="17">
    <w:p w14:paraId="707463E2" w14:textId="77777777" w:rsidR="00C772F5" w:rsidRDefault="00C772F5" w:rsidP="00C772F5">
      <w:pPr>
        <w:pStyle w:val="FootnoteText"/>
      </w:pPr>
      <w:r>
        <w:rPr>
          <w:rStyle w:val="FootnoteReference"/>
        </w:rPr>
        <w:footnoteRef/>
      </w:r>
      <w:r>
        <w:t xml:space="preserve"> </w:t>
      </w:r>
      <w:r w:rsidRPr="00264712">
        <w:t xml:space="preserve">Dowling and Shakespeare, </w:t>
      </w:r>
      <w:r>
        <w:t>p. 94.</w:t>
      </w:r>
    </w:p>
  </w:footnote>
  <w:footnote w:id="18">
    <w:p w14:paraId="3C28BCBA" w14:textId="70FE3916" w:rsidR="00C772F5" w:rsidRDefault="00C772F5" w:rsidP="00C772F5">
      <w:pPr>
        <w:pStyle w:val="FootnoteText"/>
      </w:pPr>
      <w:r>
        <w:rPr>
          <w:rStyle w:val="FootnoteReference"/>
        </w:rPr>
        <w:footnoteRef/>
      </w:r>
      <w:r>
        <w:t xml:space="preserve"> </w:t>
      </w:r>
      <w:r w:rsidR="00961E01">
        <w:t xml:space="preserve">BL, </w:t>
      </w:r>
      <w:r w:rsidRPr="00A5090F">
        <w:t>Add MS 45027</w:t>
      </w:r>
      <w:r>
        <w:t xml:space="preserve">, </w:t>
      </w:r>
      <w:proofErr w:type="spellStart"/>
      <w:r>
        <w:t>fols</w:t>
      </w:r>
      <w:proofErr w:type="spellEnd"/>
      <w:r>
        <w:t>. 7r-8v.</w:t>
      </w:r>
    </w:p>
  </w:footnote>
  <w:footnote w:id="19">
    <w:p w14:paraId="01DD0D81" w14:textId="77777777" w:rsidR="00C772F5" w:rsidRDefault="00C772F5" w:rsidP="00C772F5">
      <w:pPr>
        <w:pStyle w:val="FootnoteText"/>
      </w:pPr>
      <w:r>
        <w:rPr>
          <w:rStyle w:val="FootnoteReference"/>
        </w:rPr>
        <w:footnoteRef/>
      </w:r>
      <w:r>
        <w:t xml:space="preserve"> </w:t>
      </w:r>
      <w:r w:rsidRPr="00A5090F">
        <w:rPr>
          <w:rFonts w:eastAsiaTheme="majorEastAsia"/>
        </w:rPr>
        <w:t>Add</w:t>
      </w:r>
      <w:r w:rsidRPr="00A5090F">
        <w:t xml:space="preserve"> </w:t>
      </w:r>
      <w:r w:rsidRPr="00A5090F">
        <w:rPr>
          <w:rFonts w:eastAsiaTheme="majorEastAsia"/>
        </w:rPr>
        <w:t>MS</w:t>
      </w:r>
      <w:r w:rsidRPr="00A5090F">
        <w:t xml:space="preserve"> </w:t>
      </w:r>
      <w:r w:rsidRPr="00A5090F">
        <w:rPr>
          <w:rFonts w:eastAsiaTheme="majorEastAsia"/>
        </w:rPr>
        <w:t>43827</w:t>
      </w:r>
      <w:r w:rsidRPr="00A5090F">
        <w:t xml:space="preserve"> </w:t>
      </w:r>
      <w:r>
        <w:t xml:space="preserve">A, </w:t>
      </w:r>
      <w:r w:rsidRPr="00ED633D">
        <w:t>f</w:t>
      </w:r>
      <w:r>
        <w:t>ol</w:t>
      </w:r>
      <w:r w:rsidRPr="00ED633D">
        <w:t>. 3r.</w:t>
      </w:r>
    </w:p>
  </w:footnote>
  <w:footnote w:id="20">
    <w:p w14:paraId="185BD0DA" w14:textId="1BD84B51" w:rsidR="00C772F5" w:rsidRDefault="00C772F5" w:rsidP="00C772F5">
      <w:pPr>
        <w:pStyle w:val="FootnoteText"/>
      </w:pPr>
      <w:r>
        <w:rPr>
          <w:rStyle w:val="FootnoteReference"/>
        </w:rPr>
        <w:footnoteRef/>
      </w:r>
      <w:r>
        <w:t xml:space="preserve"> </w:t>
      </w:r>
      <w:r w:rsidR="003B24DF" w:rsidRPr="00A5090F">
        <w:t>Add MS 45027</w:t>
      </w:r>
      <w:r>
        <w:rPr>
          <w:rFonts w:eastAsiaTheme="majorEastAsia"/>
        </w:rPr>
        <w:t>.</w:t>
      </w:r>
      <w:r>
        <w:t>, fol. 2r.</w:t>
      </w:r>
    </w:p>
  </w:footnote>
  <w:footnote w:id="21">
    <w:p w14:paraId="30E8FABB" w14:textId="159A727F" w:rsidR="00E8205B" w:rsidRDefault="00E8205B">
      <w:pPr>
        <w:pStyle w:val="FootnoteText"/>
      </w:pPr>
      <w:r>
        <w:rPr>
          <w:rStyle w:val="FootnoteReference"/>
        </w:rPr>
        <w:footnoteRef/>
      </w:r>
      <w:r>
        <w:t xml:space="preserve"> </w:t>
      </w:r>
      <w:r w:rsidR="00166B49">
        <w:t>Ben Lowe</w:t>
      </w:r>
      <w:r>
        <w:t xml:space="preserve">, ‘Throckmorton [Née Lok; Other Married Name Hickman], Rose (1526–1613)’, </w:t>
      </w:r>
      <w:r w:rsidR="00B068CF" w:rsidRPr="00E540F1">
        <w:rPr>
          <w:i/>
          <w:iCs/>
        </w:rPr>
        <w:t>ODNB</w:t>
      </w:r>
      <w:r w:rsidR="00B068CF">
        <w:t xml:space="preserve"> </w:t>
      </w:r>
      <w:r>
        <w:t>(Oxford: Oxford University Press, 2006) &lt;</w:t>
      </w:r>
      <w:hyperlink r:id="rId3" w:history="1">
        <w:r>
          <w:rPr>
            <w:rStyle w:val="Hyperlink"/>
          </w:rPr>
          <w:t>https://doi.org/10.1093/ref:odnb/67979</w:t>
        </w:r>
      </w:hyperlink>
      <w:r>
        <w:t>&gt;</w:t>
      </w:r>
      <w:r w:rsidR="000206C7">
        <w:t xml:space="preserve">; </w:t>
      </w:r>
      <w:r w:rsidR="00C06934" w:rsidRPr="00A5090F">
        <w:rPr>
          <w:rFonts w:eastAsiaTheme="majorEastAsia"/>
        </w:rPr>
        <w:t>Add</w:t>
      </w:r>
      <w:r w:rsidR="00C06934" w:rsidRPr="00A5090F">
        <w:t xml:space="preserve"> </w:t>
      </w:r>
      <w:r w:rsidR="00C06934" w:rsidRPr="00A5090F">
        <w:rPr>
          <w:rFonts w:eastAsiaTheme="majorEastAsia"/>
        </w:rPr>
        <w:t>MS</w:t>
      </w:r>
      <w:r w:rsidR="00C06934" w:rsidRPr="00A5090F">
        <w:t xml:space="preserve"> </w:t>
      </w:r>
      <w:r w:rsidR="00C06934" w:rsidRPr="00A5090F">
        <w:rPr>
          <w:rFonts w:eastAsiaTheme="majorEastAsia"/>
        </w:rPr>
        <w:t>43827</w:t>
      </w:r>
      <w:r w:rsidR="00C06934" w:rsidRPr="00A5090F">
        <w:t xml:space="preserve"> </w:t>
      </w:r>
      <w:r w:rsidR="00C06934">
        <w:t>A</w:t>
      </w:r>
      <w:r w:rsidR="000206C7" w:rsidRPr="000206C7">
        <w:rPr>
          <w:bCs/>
        </w:rPr>
        <w:t>, fol</w:t>
      </w:r>
      <w:r w:rsidR="000206C7">
        <w:rPr>
          <w:bCs/>
        </w:rPr>
        <w:t>. 2r.</w:t>
      </w:r>
    </w:p>
  </w:footnote>
  <w:footnote w:id="22">
    <w:p w14:paraId="73BFEADB" w14:textId="7FF5D363" w:rsidR="0033098A" w:rsidRDefault="0033098A">
      <w:pPr>
        <w:pStyle w:val="FootnoteText"/>
      </w:pPr>
      <w:r>
        <w:rPr>
          <w:rStyle w:val="FootnoteReference"/>
        </w:rPr>
        <w:footnoteRef/>
      </w:r>
      <w:r>
        <w:t xml:space="preserve"> Ibid., fol. 3r.</w:t>
      </w:r>
    </w:p>
  </w:footnote>
  <w:footnote w:id="23">
    <w:p w14:paraId="6FE5BD2B" w14:textId="2011D584" w:rsidR="00E8205B" w:rsidRDefault="00E8205B">
      <w:pPr>
        <w:pStyle w:val="FootnoteText"/>
      </w:pPr>
      <w:r>
        <w:rPr>
          <w:rStyle w:val="FootnoteReference"/>
        </w:rPr>
        <w:footnoteRef/>
      </w:r>
      <w:r>
        <w:t xml:space="preserve"> ‘Catharine Cooke Locke (Unknown-1537)’, </w:t>
      </w:r>
      <w:r>
        <w:rPr>
          <w:i/>
          <w:iCs/>
        </w:rPr>
        <w:t>Find a Grave</w:t>
      </w:r>
      <w:r>
        <w:t>, 2014 &lt;</w:t>
      </w:r>
      <w:hyperlink r:id="rId4" w:history="1">
        <w:r>
          <w:rPr>
            <w:rStyle w:val="Hyperlink"/>
          </w:rPr>
          <w:t>https://www.findagrave.com/memorial/138594481/catharine-locke</w:t>
        </w:r>
      </w:hyperlink>
      <w:r>
        <w:t xml:space="preserve">&gt; [accessed </w:t>
      </w:r>
      <w:r w:rsidR="00166B49">
        <w:t>8</w:t>
      </w:r>
      <w:r>
        <w:t xml:space="preserve"> June 2022]</w:t>
      </w:r>
      <w:r w:rsidR="0033098A">
        <w:t>.</w:t>
      </w:r>
      <w:r>
        <w:t xml:space="preserve"> </w:t>
      </w:r>
    </w:p>
  </w:footnote>
  <w:footnote w:id="24">
    <w:p w14:paraId="2AAABFE6" w14:textId="082219DA" w:rsidR="00E8205B" w:rsidRPr="00146E59" w:rsidRDefault="00E8205B">
      <w:pPr>
        <w:pStyle w:val="FootnoteText"/>
      </w:pPr>
      <w:r>
        <w:rPr>
          <w:rStyle w:val="FootnoteReference"/>
        </w:rPr>
        <w:footnoteRef/>
      </w:r>
      <w:r>
        <w:t xml:space="preserve"> </w:t>
      </w:r>
      <w:r>
        <w:rPr>
          <w:rStyle w:val="Emphasis"/>
          <w:i w:val="0"/>
        </w:rPr>
        <w:t>There are two records of a marriage between Rose Lock and Anthony Hickman for 1543; one puts their wedding in August (</w:t>
      </w:r>
      <w:r w:rsidR="00166B49">
        <w:rPr>
          <w:rStyle w:val="Emphasis"/>
          <w:i w:val="0"/>
        </w:rPr>
        <w:t xml:space="preserve">London, </w:t>
      </w:r>
      <w:r>
        <w:t xml:space="preserve">London Metropolitan Archives (LMA), </w:t>
      </w:r>
      <w:r w:rsidRPr="00146E59">
        <w:rPr>
          <w:rStyle w:val="Emphasis"/>
          <w:i w:val="0"/>
        </w:rPr>
        <w:t>P69/MRY7/A/002/MS04997</w:t>
      </w:r>
      <w:r>
        <w:rPr>
          <w:rStyle w:val="Emphasis"/>
          <w:i w:val="0"/>
        </w:rPr>
        <w:t xml:space="preserve">), and the other </w:t>
      </w:r>
      <w:r w:rsidR="00961E01">
        <w:rPr>
          <w:rStyle w:val="Emphasis"/>
          <w:i w:val="0"/>
        </w:rPr>
        <w:t xml:space="preserve">in </w:t>
      </w:r>
      <w:r>
        <w:rPr>
          <w:rStyle w:val="Emphasis"/>
          <w:i w:val="0"/>
        </w:rPr>
        <w:t>November (LMA</w:t>
      </w:r>
      <w:r w:rsidR="00166B49">
        <w:rPr>
          <w:rStyle w:val="Emphasis"/>
          <w:i w:val="0"/>
        </w:rPr>
        <w:t>,</w:t>
      </w:r>
      <w:r>
        <w:rPr>
          <w:rStyle w:val="Emphasis"/>
          <w:i w:val="0"/>
        </w:rPr>
        <w:t xml:space="preserve"> </w:t>
      </w:r>
      <w:r w:rsidRPr="00146E59">
        <w:rPr>
          <w:rStyle w:val="Emphasis"/>
          <w:i w:val="0"/>
        </w:rPr>
        <w:t>P69/MRY7/A/001/MS04996</w:t>
      </w:r>
      <w:r>
        <w:rPr>
          <w:rStyle w:val="Emphasis"/>
          <w:i w:val="0"/>
        </w:rPr>
        <w:t>).</w:t>
      </w:r>
    </w:p>
  </w:footnote>
  <w:footnote w:id="25">
    <w:p w14:paraId="5EF419F3" w14:textId="328628D6" w:rsidR="000A1099" w:rsidRDefault="000A1099" w:rsidP="000A1099">
      <w:pPr>
        <w:pStyle w:val="FootnoteText"/>
      </w:pPr>
      <w:r>
        <w:rPr>
          <w:rStyle w:val="FootnoteReference"/>
        </w:rPr>
        <w:footnoteRef/>
      </w:r>
      <w:r>
        <w:t xml:space="preserve"> </w:t>
      </w:r>
      <w:r w:rsidR="00961E01" w:rsidRPr="00A5090F">
        <w:rPr>
          <w:rFonts w:eastAsiaTheme="majorEastAsia"/>
        </w:rPr>
        <w:t>Add</w:t>
      </w:r>
      <w:r w:rsidR="00961E01" w:rsidRPr="00A5090F">
        <w:t xml:space="preserve"> </w:t>
      </w:r>
      <w:r w:rsidR="00961E01" w:rsidRPr="00A5090F">
        <w:rPr>
          <w:rFonts w:eastAsiaTheme="majorEastAsia"/>
        </w:rPr>
        <w:t>MS</w:t>
      </w:r>
      <w:r w:rsidR="00961E01" w:rsidRPr="00A5090F">
        <w:t xml:space="preserve"> </w:t>
      </w:r>
      <w:r w:rsidR="00961E01" w:rsidRPr="00A5090F">
        <w:rPr>
          <w:rFonts w:eastAsiaTheme="majorEastAsia"/>
        </w:rPr>
        <w:t>43827</w:t>
      </w:r>
      <w:r w:rsidR="00961E01" w:rsidRPr="00A5090F">
        <w:t xml:space="preserve"> </w:t>
      </w:r>
      <w:r w:rsidR="00961E01">
        <w:t>A</w:t>
      </w:r>
      <w:r>
        <w:t xml:space="preserve">., </w:t>
      </w:r>
      <w:r w:rsidRPr="00245E6B">
        <w:t>fol. 6v</w:t>
      </w:r>
      <w:r>
        <w:t>.</w:t>
      </w:r>
    </w:p>
  </w:footnote>
  <w:footnote w:id="26">
    <w:p w14:paraId="626FBDB8" w14:textId="5FD9554F" w:rsidR="00E8205B" w:rsidRDefault="00E8205B">
      <w:pPr>
        <w:pStyle w:val="FootnoteText"/>
      </w:pPr>
      <w:r>
        <w:rPr>
          <w:rStyle w:val="FootnoteReference"/>
        </w:rPr>
        <w:footnoteRef/>
      </w:r>
      <w:r>
        <w:t xml:space="preserve"> The full list is offered i</w:t>
      </w:r>
      <w:r w:rsidRPr="00536C11">
        <w:t xml:space="preserve">n </w:t>
      </w:r>
      <w:r w:rsidRPr="00536C11">
        <w:rPr>
          <w:bCs/>
        </w:rPr>
        <w:t xml:space="preserve">Add MS 45027, </w:t>
      </w:r>
      <w:proofErr w:type="spellStart"/>
      <w:r w:rsidRPr="00536C11">
        <w:rPr>
          <w:bCs/>
        </w:rPr>
        <w:t>f</w:t>
      </w:r>
      <w:r>
        <w:rPr>
          <w:bCs/>
        </w:rPr>
        <w:t>ols</w:t>
      </w:r>
      <w:proofErr w:type="spellEnd"/>
      <w:r w:rsidRPr="00536C11">
        <w:rPr>
          <w:bCs/>
        </w:rPr>
        <w:t>. 7</w:t>
      </w:r>
      <w:r w:rsidR="0077645F">
        <w:rPr>
          <w:bCs/>
        </w:rPr>
        <w:t>v</w:t>
      </w:r>
      <w:r w:rsidRPr="00536C11">
        <w:rPr>
          <w:bCs/>
        </w:rPr>
        <w:t>-8</w:t>
      </w:r>
      <w:r w:rsidR="0077645F">
        <w:rPr>
          <w:bCs/>
        </w:rPr>
        <w:t>r</w:t>
      </w:r>
      <w:r w:rsidRPr="00536C11">
        <w:rPr>
          <w:bCs/>
        </w:rPr>
        <w:t>.</w:t>
      </w:r>
    </w:p>
  </w:footnote>
  <w:footnote w:id="27">
    <w:p w14:paraId="4167B650" w14:textId="2FAAA10D" w:rsidR="00A73F4C" w:rsidRDefault="00A73F4C" w:rsidP="00A73F4C">
      <w:pPr>
        <w:pStyle w:val="FootnoteText"/>
      </w:pPr>
      <w:r>
        <w:rPr>
          <w:rStyle w:val="FootnoteReference"/>
        </w:rPr>
        <w:footnoteRef/>
      </w:r>
      <w:r>
        <w:t xml:space="preserve"> </w:t>
      </w:r>
      <w:r w:rsidR="00C40371" w:rsidRPr="00A5090F">
        <w:rPr>
          <w:rFonts w:eastAsiaTheme="majorEastAsia"/>
        </w:rPr>
        <w:t>Add</w:t>
      </w:r>
      <w:r w:rsidR="00C40371" w:rsidRPr="00A5090F">
        <w:t xml:space="preserve"> </w:t>
      </w:r>
      <w:r w:rsidR="00C40371" w:rsidRPr="00A5090F">
        <w:rPr>
          <w:rFonts w:eastAsiaTheme="majorEastAsia"/>
        </w:rPr>
        <w:t>MS</w:t>
      </w:r>
      <w:r w:rsidR="00C40371" w:rsidRPr="00A5090F">
        <w:t xml:space="preserve"> </w:t>
      </w:r>
      <w:r w:rsidR="00C40371" w:rsidRPr="00A5090F">
        <w:rPr>
          <w:rFonts w:eastAsiaTheme="majorEastAsia"/>
        </w:rPr>
        <w:t>43827</w:t>
      </w:r>
      <w:r w:rsidR="00C40371" w:rsidRPr="00A5090F">
        <w:t xml:space="preserve"> </w:t>
      </w:r>
      <w:r w:rsidR="00C40371">
        <w:t>A</w:t>
      </w:r>
      <w:r>
        <w:rPr>
          <w:rFonts w:eastAsiaTheme="majorEastAsia"/>
        </w:rPr>
        <w:t>.</w:t>
      </w:r>
      <w:r>
        <w:t xml:space="preserve">, fol. </w:t>
      </w:r>
      <w:r w:rsidRPr="006E4D1B">
        <w:t>6r</w:t>
      </w:r>
      <w:r>
        <w:t>.</w:t>
      </w:r>
    </w:p>
  </w:footnote>
  <w:footnote w:id="28">
    <w:p w14:paraId="42C9F67A" w14:textId="77777777" w:rsidR="00A73F4C" w:rsidRDefault="00A73F4C" w:rsidP="00A73F4C">
      <w:pPr>
        <w:pStyle w:val="FootnoteText"/>
      </w:pPr>
      <w:r>
        <w:rPr>
          <w:rStyle w:val="FootnoteReference"/>
        </w:rPr>
        <w:footnoteRef/>
      </w:r>
      <w:r>
        <w:t xml:space="preserve"> </w:t>
      </w:r>
      <w:r>
        <w:rPr>
          <w:rFonts w:eastAsiaTheme="majorEastAsia"/>
        </w:rPr>
        <w:t>Ibid.</w:t>
      </w:r>
      <w:r>
        <w:t xml:space="preserve">, </w:t>
      </w:r>
      <w:r w:rsidRPr="00A5090F">
        <w:t>fol. 13v</w:t>
      </w:r>
      <w:r>
        <w:t>.</w:t>
      </w:r>
    </w:p>
  </w:footnote>
  <w:footnote w:id="29">
    <w:p w14:paraId="590187E0" w14:textId="77777777" w:rsidR="00A73F4C" w:rsidRDefault="00A73F4C" w:rsidP="00A73F4C">
      <w:pPr>
        <w:pStyle w:val="FootnoteText"/>
      </w:pPr>
      <w:r>
        <w:rPr>
          <w:rStyle w:val="FootnoteReference"/>
        </w:rPr>
        <w:footnoteRef/>
      </w:r>
      <w:r>
        <w:t xml:space="preserve"> </w:t>
      </w:r>
      <w:r>
        <w:rPr>
          <w:rFonts w:eastAsiaTheme="majorEastAsia"/>
        </w:rPr>
        <w:t>Ibid.</w:t>
      </w:r>
      <w:r>
        <w:t xml:space="preserve">, </w:t>
      </w:r>
      <w:proofErr w:type="spellStart"/>
      <w:r>
        <w:t>fols</w:t>
      </w:r>
      <w:proofErr w:type="spellEnd"/>
      <w:r>
        <w:t>. 21r-22v.</w:t>
      </w:r>
    </w:p>
  </w:footnote>
  <w:footnote w:id="30">
    <w:p w14:paraId="18740F65" w14:textId="29928DE5" w:rsidR="00E8205B" w:rsidRDefault="00E8205B">
      <w:pPr>
        <w:pStyle w:val="FootnoteText"/>
      </w:pPr>
      <w:r w:rsidRPr="00166B49">
        <w:rPr>
          <w:rStyle w:val="FootnoteReference"/>
        </w:rPr>
        <w:footnoteRef/>
      </w:r>
      <w:r w:rsidRPr="00166B49">
        <w:t xml:space="preserve"> </w:t>
      </w:r>
      <w:r w:rsidR="00166B49" w:rsidRPr="00166B49">
        <w:rPr>
          <w:rFonts w:eastAsiaTheme="majorEastAsia"/>
        </w:rPr>
        <w:t>Ibid</w:t>
      </w:r>
      <w:r w:rsidR="00166B49">
        <w:rPr>
          <w:rFonts w:eastAsiaTheme="majorEastAsia"/>
        </w:rPr>
        <w:t>., fol. 2v.</w:t>
      </w:r>
    </w:p>
  </w:footnote>
  <w:footnote w:id="31">
    <w:p w14:paraId="6F5BF436" w14:textId="76A34E1A" w:rsidR="00E8205B" w:rsidRDefault="00E8205B">
      <w:pPr>
        <w:pStyle w:val="FootnoteText"/>
      </w:pPr>
      <w:r>
        <w:rPr>
          <w:rStyle w:val="FootnoteReference"/>
        </w:rPr>
        <w:footnoteRef/>
      </w:r>
      <w:r>
        <w:t xml:space="preserve"> Unknown, </w:t>
      </w:r>
      <w:r>
        <w:rPr>
          <w:i/>
          <w:iCs/>
        </w:rPr>
        <w:t>Rose Hickman (1526–1596), Daughter of Sir William Lock, Wife of Anthony Hickman</w:t>
      </w:r>
      <w:r>
        <w:t>, 1596, Gainsborough Old Hall.</w:t>
      </w:r>
    </w:p>
  </w:footnote>
  <w:footnote w:id="32">
    <w:p w14:paraId="254C6C6D" w14:textId="2FBA0682" w:rsidR="00E8205B" w:rsidRDefault="00E8205B">
      <w:pPr>
        <w:pStyle w:val="FootnoteText"/>
      </w:pPr>
      <w:r>
        <w:rPr>
          <w:rStyle w:val="FootnoteReference"/>
        </w:rPr>
        <w:footnoteRef/>
      </w:r>
      <w:r>
        <w:t xml:space="preserve"> Unknown, </w:t>
      </w:r>
      <w:r>
        <w:rPr>
          <w:i/>
          <w:iCs/>
        </w:rPr>
        <w:t>Sir William Hickman (d.1625), Kt</w:t>
      </w:r>
      <w:r>
        <w:t>, 1596, Gainsborough Old Hall.</w:t>
      </w:r>
    </w:p>
  </w:footnote>
  <w:footnote w:id="33">
    <w:p w14:paraId="76052AF1" w14:textId="3FF13209" w:rsidR="00170B3C" w:rsidRDefault="00170B3C" w:rsidP="00170B3C">
      <w:pPr>
        <w:pStyle w:val="FootnoteText"/>
      </w:pPr>
      <w:r>
        <w:rPr>
          <w:rStyle w:val="FootnoteReference"/>
        </w:rPr>
        <w:footnoteRef/>
      </w:r>
      <w:r>
        <w:t xml:space="preserve"> </w:t>
      </w:r>
      <w:r w:rsidR="000C4FB4" w:rsidRPr="00A5090F">
        <w:rPr>
          <w:rFonts w:eastAsiaTheme="majorEastAsia"/>
        </w:rPr>
        <w:t>Add</w:t>
      </w:r>
      <w:r w:rsidR="000C4FB4" w:rsidRPr="00A5090F">
        <w:t xml:space="preserve"> </w:t>
      </w:r>
      <w:r w:rsidR="000C4FB4" w:rsidRPr="00A5090F">
        <w:rPr>
          <w:rFonts w:eastAsiaTheme="majorEastAsia"/>
        </w:rPr>
        <w:t>MS</w:t>
      </w:r>
      <w:r w:rsidR="000C4FB4" w:rsidRPr="00A5090F">
        <w:t xml:space="preserve"> </w:t>
      </w:r>
      <w:r w:rsidR="000C4FB4" w:rsidRPr="00A5090F">
        <w:rPr>
          <w:rFonts w:eastAsiaTheme="majorEastAsia"/>
        </w:rPr>
        <w:t>43827</w:t>
      </w:r>
      <w:r w:rsidR="000C4FB4" w:rsidRPr="00A5090F">
        <w:t xml:space="preserve"> </w:t>
      </w:r>
      <w:r w:rsidR="000C4FB4">
        <w:t>A</w:t>
      </w:r>
      <w:r>
        <w:t xml:space="preserve">., </w:t>
      </w:r>
      <w:r w:rsidRPr="00245E6B">
        <w:t>fol</w:t>
      </w:r>
      <w:r>
        <w:t>. 6v.</w:t>
      </w:r>
    </w:p>
  </w:footnote>
  <w:footnote w:id="34">
    <w:p w14:paraId="3F4D6287" w14:textId="77777777" w:rsidR="00170B3C" w:rsidRDefault="00170B3C" w:rsidP="00170B3C">
      <w:pPr>
        <w:pStyle w:val="FootnoteText"/>
      </w:pPr>
      <w:r>
        <w:rPr>
          <w:rStyle w:val="FootnoteReference"/>
        </w:rPr>
        <w:footnoteRef/>
      </w:r>
      <w:r>
        <w:t xml:space="preserve"> Ibid., </w:t>
      </w:r>
      <w:r w:rsidRPr="00245E6B">
        <w:t>fol</w:t>
      </w:r>
      <w:r>
        <w:t>. 7r.</w:t>
      </w:r>
    </w:p>
  </w:footnote>
  <w:footnote w:id="35">
    <w:p w14:paraId="50715CDD" w14:textId="7BC75588" w:rsidR="00E628F9" w:rsidRPr="00C762A2" w:rsidRDefault="00E628F9">
      <w:pPr>
        <w:pStyle w:val="FootnoteText"/>
        <w:rPr>
          <w:i/>
          <w:iCs/>
        </w:rPr>
      </w:pPr>
      <w:r>
        <w:rPr>
          <w:rStyle w:val="FootnoteReference"/>
        </w:rPr>
        <w:footnoteRef/>
      </w:r>
      <w:r>
        <w:t xml:space="preserve"> </w:t>
      </w:r>
      <w:r w:rsidR="000C4FB4">
        <w:t>Shepard, ‘Crediting’, p. 19.</w:t>
      </w:r>
    </w:p>
  </w:footnote>
  <w:footnote w:id="36">
    <w:p w14:paraId="30926138" w14:textId="29294D8D" w:rsidR="00245E6B" w:rsidRDefault="00245E6B">
      <w:pPr>
        <w:pStyle w:val="FootnoteText"/>
      </w:pPr>
      <w:r>
        <w:rPr>
          <w:rStyle w:val="FootnoteReference"/>
        </w:rPr>
        <w:footnoteRef/>
      </w:r>
      <w:r>
        <w:t xml:space="preserve"> </w:t>
      </w:r>
      <w:r w:rsidR="0037224D" w:rsidRPr="00A5090F">
        <w:rPr>
          <w:rFonts w:eastAsiaTheme="majorEastAsia"/>
        </w:rPr>
        <w:t>Add</w:t>
      </w:r>
      <w:r w:rsidR="0037224D" w:rsidRPr="00A5090F">
        <w:t xml:space="preserve"> </w:t>
      </w:r>
      <w:r w:rsidR="0037224D" w:rsidRPr="00A5090F">
        <w:rPr>
          <w:rFonts w:eastAsiaTheme="majorEastAsia"/>
        </w:rPr>
        <w:t>MS</w:t>
      </w:r>
      <w:r w:rsidR="0037224D" w:rsidRPr="00A5090F">
        <w:t xml:space="preserve"> </w:t>
      </w:r>
      <w:r w:rsidR="0037224D" w:rsidRPr="00A5090F">
        <w:rPr>
          <w:rFonts w:eastAsiaTheme="majorEastAsia"/>
        </w:rPr>
        <w:t>43827</w:t>
      </w:r>
      <w:r w:rsidR="0037224D" w:rsidRPr="00A5090F">
        <w:t xml:space="preserve"> </w:t>
      </w:r>
      <w:r w:rsidR="0037224D">
        <w:t>A</w:t>
      </w:r>
      <w:r w:rsidR="009540D7">
        <w:t xml:space="preserve">., </w:t>
      </w:r>
      <w:proofErr w:type="spellStart"/>
      <w:r w:rsidR="009540D7">
        <w:t>fols</w:t>
      </w:r>
      <w:proofErr w:type="spellEnd"/>
      <w:r w:rsidR="009540D7">
        <w:t>.</w:t>
      </w:r>
      <w:r>
        <w:t xml:space="preserve"> 13r-</w:t>
      </w:r>
      <w:r w:rsidR="009540D7">
        <w:t>13</w:t>
      </w:r>
      <w:r>
        <w:t>v.</w:t>
      </w:r>
    </w:p>
  </w:footnote>
  <w:footnote w:id="37">
    <w:p w14:paraId="4E5CA1CB" w14:textId="7B52DE1C" w:rsidR="00245E6B" w:rsidRDefault="00245E6B">
      <w:pPr>
        <w:pStyle w:val="FootnoteText"/>
      </w:pPr>
      <w:r>
        <w:rPr>
          <w:rStyle w:val="FootnoteReference"/>
        </w:rPr>
        <w:footnoteRef/>
      </w:r>
      <w:r>
        <w:t xml:space="preserve"> </w:t>
      </w:r>
      <w:r w:rsidR="009540D7">
        <w:t>Ibid., fol.</w:t>
      </w:r>
      <w:r w:rsidR="00DC3947">
        <w:t xml:space="preserve"> </w:t>
      </w:r>
      <w:r w:rsidR="009540D7">
        <w:t>14r.</w:t>
      </w:r>
    </w:p>
  </w:footnote>
  <w:footnote w:id="38">
    <w:p w14:paraId="175684B9" w14:textId="6D50954A" w:rsidR="00D85410" w:rsidRDefault="00D85410">
      <w:pPr>
        <w:pStyle w:val="FootnoteText"/>
      </w:pPr>
      <w:r>
        <w:rPr>
          <w:rStyle w:val="FootnoteReference"/>
        </w:rPr>
        <w:footnoteRef/>
      </w:r>
      <w:r>
        <w:t xml:space="preserve"> Ibid., fol. 7r.</w:t>
      </w:r>
    </w:p>
  </w:footnote>
  <w:footnote w:id="39">
    <w:p w14:paraId="316F6495" w14:textId="603BFE0E" w:rsidR="00E8205B" w:rsidRDefault="00E8205B">
      <w:pPr>
        <w:pStyle w:val="FootnoteText"/>
      </w:pPr>
      <w:r>
        <w:rPr>
          <w:rStyle w:val="FootnoteReference"/>
        </w:rPr>
        <w:footnoteRef/>
      </w:r>
      <w:r w:rsidR="0037224D" w:rsidRPr="0037224D">
        <w:t xml:space="preserve"> </w:t>
      </w:r>
      <w:r w:rsidR="0037224D">
        <w:t>Ibid.,</w:t>
      </w:r>
      <w:r w:rsidR="00C512BE">
        <w:t xml:space="preserve"> </w:t>
      </w:r>
      <w:proofErr w:type="spellStart"/>
      <w:r w:rsidR="00DC3947">
        <w:t>f</w:t>
      </w:r>
      <w:r>
        <w:t>ol</w:t>
      </w:r>
      <w:proofErr w:type="spellEnd"/>
      <w:r>
        <w:t xml:space="preserve"> 2r.</w:t>
      </w:r>
    </w:p>
  </w:footnote>
  <w:footnote w:id="40">
    <w:p w14:paraId="0D907397" w14:textId="20333C6E" w:rsidR="00A67A49" w:rsidRDefault="00A67A49">
      <w:pPr>
        <w:pStyle w:val="FootnoteText"/>
      </w:pPr>
      <w:r>
        <w:rPr>
          <w:rStyle w:val="FootnoteReference"/>
        </w:rPr>
        <w:footnoteRef/>
      </w:r>
      <w:r>
        <w:t xml:space="preserve"> Ibid., </w:t>
      </w:r>
      <w:proofErr w:type="spellStart"/>
      <w:r>
        <w:t>fols</w:t>
      </w:r>
      <w:proofErr w:type="spellEnd"/>
      <w:r>
        <w:t>. 3v-4r.</w:t>
      </w:r>
    </w:p>
  </w:footnote>
  <w:footnote w:id="41">
    <w:p w14:paraId="3737BD12" w14:textId="47BFBC4B" w:rsidR="00E8205B" w:rsidRDefault="00E8205B">
      <w:pPr>
        <w:pStyle w:val="FootnoteText"/>
      </w:pPr>
      <w:r>
        <w:rPr>
          <w:rStyle w:val="FootnoteReference"/>
        </w:rPr>
        <w:footnoteRef/>
      </w:r>
      <w:r w:rsidR="00DC3947">
        <w:t xml:space="preserve"> Ibid., </w:t>
      </w:r>
      <w:r w:rsidR="00245E6B" w:rsidRPr="00245E6B">
        <w:t>fol</w:t>
      </w:r>
      <w:r w:rsidR="002E17BC">
        <w:t>.</w:t>
      </w:r>
      <w:r w:rsidR="00DC3947">
        <w:t xml:space="preserve"> </w:t>
      </w:r>
      <w:r>
        <w:t>2v</w:t>
      </w:r>
      <w:r w:rsidR="00DC3947">
        <w:t>.</w:t>
      </w:r>
    </w:p>
  </w:footnote>
  <w:footnote w:id="42">
    <w:p w14:paraId="5B3D2AFC" w14:textId="1004E0BD" w:rsidR="00E8205B" w:rsidRDefault="00E8205B">
      <w:pPr>
        <w:pStyle w:val="FootnoteText"/>
      </w:pPr>
      <w:r>
        <w:rPr>
          <w:rStyle w:val="FootnoteReference"/>
        </w:rPr>
        <w:footnoteRef/>
      </w:r>
      <w:r>
        <w:t xml:space="preserve"> </w:t>
      </w:r>
      <w:r w:rsidR="00C512BE">
        <w:rPr>
          <w:rFonts w:eastAsiaTheme="majorEastAsia"/>
        </w:rPr>
        <w:t>Ibid.</w:t>
      </w:r>
      <w:r w:rsidR="00C512BE">
        <w:t xml:space="preserve">, </w:t>
      </w:r>
      <w:proofErr w:type="spellStart"/>
      <w:r w:rsidRPr="00A5090F">
        <w:t>fol</w:t>
      </w:r>
      <w:r w:rsidR="00DC3947">
        <w:t>s</w:t>
      </w:r>
      <w:proofErr w:type="spellEnd"/>
      <w:r w:rsidRPr="00A5090F">
        <w:t>. 3r-</w:t>
      </w:r>
      <w:r w:rsidR="00DC3947">
        <w:t>3</w:t>
      </w:r>
      <w:r w:rsidRPr="00A5090F">
        <w:t>v.</w:t>
      </w:r>
    </w:p>
  </w:footnote>
  <w:footnote w:id="43">
    <w:p w14:paraId="092DFC5C" w14:textId="77777777" w:rsidR="00F26045" w:rsidRDefault="00F26045" w:rsidP="00F26045">
      <w:pPr>
        <w:pStyle w:val="FootnoteText"/>
      </w:pPr>
      <w:r>
        <w:rPr>
          <w:rStyle w:val="FootnoteReference"/>
        </w:rPr>
        <w:footnoteRef/>
      </w:r>
      <w:r>
        <w:t xml:space="preserve"> </w:t>
      </w:r>
      <w:r w:rsidRPr="005C33E6">
        <w:t xml:space="preserve">Sarah C. E. Ross, ‘“Like Penelope, Always Employed”: Reading, Life-Writing, and the Early Modern Female Self in Katherine Austen’s Book M’, </w:t>
      </w:r>
      <w:r w:rsidRPr="005C33E6">
        <w:rPr>
          <w:i/>
          <w:iCs/>
        </w:rPr>
        <w:t>Literature Compass</w:t>
      </w:r>
      <w:r w:rsidRPr="005C33E6">
        <w:t xml:space="preserve">, 9.4 (2012), 306–16 </w:t>
      </w:r>
      <w:r>
        <w:t>(p. 306).</w:t>
      </w:r>
    </w:p>
  </w:footnote>
  <w:footnote w:id="44">
    <w:p w14:paraId="44370B85" w14:textId="77777777" w:rsidR="00F26045" w:rsidRDefault="00F26045" w:rsidP="00F26045">
      <w:pPr>
        <w:pStyle w:val="FootnoteText"/>
      </w:pPr>
      <w:r>
        <w:rPr>
          <w:rStyle w:val="FootnoteReference"/>
        </w:rPr>
        <w:footnoteRef/>
      </w:r>
      <w:r>
        <w:t xml:space="preserve"> </w:t>
      </w:r>
      <w:r w:rsidRPr="005B740D">
        <w:t xml:space="preserve">Michelle M. Dowd and Julie A. </w:t>
      </w:r>
      <w:proofErr w:type="spellStart"/>
      <w:r w:rsidRPr="005B740D">
        <w:t>Eckerle</w:t>
      </w:r>
      <w:proofErr w:type="spellEnd"/>
      <w:r w:rsidRPr="005B740D">
        <w:t xml:space="preserve">, ‘Introduction’, in </w:t>
      </w:r>
      <w:r w:rsidRPr="005B740D">
        <w:rPr>
          <w:i/>
          <w:iCs/>
        </w:rPr>
        <w:t>Genre and Women’s Life Writing in Early Modern England</w:t>
      </w:r>
      <w:r w:rsidRPr="005B740D">
        <w:t xml:space="preserve"> (Routledge, 2016), pp. 1–15</w:t>
      </w:r>
      <w:r>
        <w:t xml:space="preserve"> (pp. 1-3).</w:t>
      </w:r>
    </w:p>
  </w:footnote>
  <w:footnote w:id="45">
    <w:p w14:paraId="0EC1CCB4" w14:textId="77777777" w:rsidR="00F26045" w:rsidRDefault="00F26045" w:rsidP="00F26045">
      <w:pPr>
        <w:pStyle w:val="FootnoteText"/>
      </w:pPr>
      <w:r>
        <w:rPr>
          <w:rStyle w:val="FootnoteReference"/>
        </w:rPr>
        <w:footnoteRef/>
      </w:r>
      <w:r>
        <w:t xml:space="preserve"> Ibid., p. 1.</w:t>
      </w:r>
    </w:p>
  </w:footnote>
  <w:footnote w:id="46">
    <w:p w14:paraId="3BD6D1A2" w14:textId="77777777" w:rsidR="00F26045" w:rsidRDefault="00F26045" w:rsidP="00F26045">
      <w:pPr>
        <w:pStyle w:val="FootnoteText"/>
      </w:pPr>
      <w:r>
        <w:rPr>
          <w:rStyle w:val="FootnoteReference"/>
        </w:rPr>
        <w:footnoteRef/>
      </w:r>
      <w:r>
        <w:t xml:space="preserve"> Ibid., pp. 10-11.</w:t>
      </w:r>
    </w:p>
  </w:footnote>
  <w:footnote w:id="47">
    <w:p w14:paraId="57FD91D0" w14:textId="411AB80F" w:rsidR="0066092F" w:rsidRDefault="0066092F">
      <w:pPr>
        <w:pStyle w:val="FootnoteText"/>
      </w:pPr>
      <w:r>
        <w:rPr>
          <w:rStyle w:val="FootnoteReference"/>
        </w:rPr>
        <w:footnoteRef/>
      </w:r>
      <w:r>
        <w:t xml:space="preserve"> </w:t>
      </w:r>
      <w:r w:rsidRPr="0066092F">
        <w:t xml:space="preserve">Alice Thornton, </w:t>
      </w:r>
      <w:r w:rsidRPr="0066092F">
        <w:rPr>
          <w:i/>
          <w:iCs/>
        </w:rPr>
        <w:t xml:space="preserve">My First </w:t>
      </w:r>
      <w:proofErr w:type="spellStart"/>
      <w:r w:rsidRPr="0066092F">
        <w:rPr>
          <w:i/>
          <w:iCs/>
        </w:rPr>
        <w:t>Booke</w:t>
      </w:r>
      <w:proofErr w:type="spellEnd"/>
      <w:r w:rsidRPr="0066092F">
        <w:rPr>
          <w:i/>
          <w:iCs/>
        </w:rPr>
        <w:t xml:space="preserve"> of My Life</w:t>
      </w:r>
      <w:r w:rsidRPr="0066092F">
        <w:t xml:space="preserve">, ed. by Raymond A. </w:t>
      </w:r>
      <w:proofErr w:type="spellStart"/>
      <w:r w:rsidRPr="0066092F">
        <w:t>Anselment</w:t>
      </w:r>
      <w:proofErr w:type="spellEnd"/>
      <w:r w:rsidRPr="0066092F">
        <w:t xml:space="preserve"> (Lincoln: University of Nebraska Press, 2014)</w:t>
      </w:r>
      <w:r>
        <w:t>, p. 17.</w:t>
      </w:r>
    </w:p>
  </w:footnote>
  <w:footnote w:id="48">
    <w:p w14:paraId="23F3CEFD" w14:textId="1FD0DC84" w:rsidR="00076A81" w:rsidRDefault="00076A81">
      <w:pPr>
        <w:pStyle w:val="FootnoteText"/>
      </w:pPr>
      <w:r>
        <w:rPr>
          <w:rStyle w:val="FootnoteReference"/>
        </w:rPr>
        <w:footnoteRef/>
      </w:r>
      <w:r>
        <w:t xml:space="preserve"> </w:t>
      </w:r>
      <w:r w:rsidRPr="00076A81">
        <w:t xml:space="preserve">Anne Clifford, </w:t>
      </w:r>
      <w:r w:rsidRPr="00076A81">
        <w:rPr>
          <w:i/>
          <w:iCs/>
        </w:rPr>
        <w:t>Anne Clifford’s Autobiographical Writing, 1590-1676</w:t>
      </w:r>
      <w:r w:rsidRPr="00076A81">
        <w:t>, ed. by Jessica L. Malay (Manchester: Manchester University Press, 2018)</w:t>
      </w:r>
      <w:r w:rsidR="003638C8">
        <w:t>, p. 10.</w:t>
      </w:r>
    </w:p>
  </w:footnote>
  <w:footnote w:id="49">
    <w:p w14:paraId="1A4157C2" w14:textId="788E4031" w:rsidR="00E8205B" w:rsidRDefault="00E8205B">
      <w:pPr>
        <w:pStyle w:val="FootnoteText"/>
      </w:pPr>
      <w:r>
        <w:rPr>
          <w:rStyle w:val="FootnoteReference"/>
        </w:rPr>
        <w:footnoteRef/>
      </w:r>
      <w:r>
        <w:t xml:space="preserve"> </w:t>
      </w:r>
      <w:r w:rsidR="0037224D" w:rsidRPr="00A5090F">
        <w:rPr>
          <w:rFonts w:eastAsiaTheme="majorEastAsia"/>
        </w:rPr>
        <w:t>Add</w:t>
      </w:r>
      <w:r w:rsidR="0037224D" w:rsidRPr="00A5090F">
        <w:t xml:space="preserve"> </w:t>
      </w:r>
      <w:r w:rsidR="0037224D" w:rsidRPr="00A5090F">
        <w:rPr>
          <w:rFonts w:eastAsiaTheme="majorEastAsia"/>
        </w:rPr>
        <w:t>MS</w:t>
      </w:r>
      <w:r w:rsidR="0037224D" w:rsidRPr="00A5090F">
        <w:t xml:space="preserve"> </w:t>
      </w:r>
      <w:r w:rsidR="0037224D" w:rsidRPr="00A5090F">
        <w:rPr>
          <w:rFonts w:eastAsiaTheme="majorEastAsia"/>
        </w:rPr>
        <w:t>43827</w:t>
      </w:r>
      <w:r w:rsidR="0037224D" w:rsidRPr="00A5090F">
        <w:t xml:space="preserve"> </w:t>
      </w:r>
      <w:r w:rsidR="0037224D">
        <w:t>A</w:t>
      </w:r>
      <w:r w:rsidR="00C512BE">
        <w:rPr>
          <w:rFonts w:eastAsiaTheme="majorEastAsia"/>
        </w:rPr>
        <w:t>.</w:t>
      </w:r>
      <w:r w:rsidR="00C512BE">
        <w:t xml:space="preserve">, </w:t>
      </w:r>
      <w:proofErr w:type="spellStart"/>
      <w:r w:rsidR="00DC3947">
        <w:t>f</w:t>
      </w:r>
      <w:r>
        <w:t>ol</w:t>
      </w:r>
      <w:proofErr w:type="spellEnd"/>
      <w:r>
        <w:t xml:space="preserve"> 8r.</w:t>
      </w:r>
    </w:p>
  </w:footnote>
  <w:footnote w:id="50">
    <w:p w14:paraId="134A8756" w14:textId="21A76A0E" w:rsidR="00E8205B" w:rsidRDefault="00E8205B">
      <w:pPr>
        <w:pStyle w:val="FootnoteText"/>
      </w:pPr>
      <w:r>
        <w:rPr>
          <w:rStyle w:val="FootnoteReference"/>
        </w:rPr>
        <w:footnoteRef/>
      </w:r>
      <w:r>
        <w:t xml:space="preserve"> </w:t>
      </w:r>
      <w:r w:rsidR="00C512BE">
        <w:rPr>
          <w:rFonts w:eastAsiaTheme="majorEastAsia"/>
        </w:rPr>
        <w:t>Ibid.</w:t>
      </w:r>
      <w:r w:rsidR="00C512BE">
        <w:t xml:space="preserve">, </w:t>
      </w:r>
      <w:proofErr w:type="spellStart"/>
      <w:r w:rsidR="00DC3947">
        <w:t>f</w:t>
      </w:r>
      <w:r>
        <w:t>ol</w:t>
      </w:r>
      <w:r w:rsidR="00DC3947">
        <w:t>s</w:t>
      </w:r>
      <w:proofErr w:type="spellEnd"/>
      <w:r w:rsidR="00DC3947">
        <w:t>.</w:t>
      </w:r>
      <w:r>
        <w:t xml:space="preserve"> 8r-8v</w:t>
      </w:r>
      <w:r w:rsidR="002E17BC">
        <w:t>.</w:t>
      </w:r>
    </w:p>
  </w:footnote>
  <w:footnote w:id="51">
    <w:p w14:paraId="40DFF7D9" w14:textId="76A3D450" w:rsidR="00E8205B" w:rsidRDefault="00E8205B">
      <w:pPr>
        <w:pStyle w:val="FootnoteText"/>
      </w:pPr>
      <w:r>
        <w:rPr>
          <w:rStyle w:val="FootnoteReference"/>
        </w:rPr>
        <w:footnoteRef/>
      </w:r>
      <w:r>
        <w:t xml:space="preserve"> </w:t>
      </w:r>
      <w:r w:rsidR="0037224D">
        <w:rPr>
          <w:rFonts w:eastAsiaTheme="majorEastAsia"/>
        </w:rPr>
        <w:t>Ibid</w:t>
      </w:r>
      <w:r w:rsidR="0037224D">
        <w:t>.</w:t>
      </w:r>
      <w:r w:rsidR="009B0831">
        <w:t xml:space="preserve">, </w:t>
      </w:r>
      <w:proofErr w:type="spellStart"/>
      <w:r w:rsidR="00DC3947">
        <w:t>f</w:t>
      </w:r>
      <w:r>
        <w:t>ol</w:t>
      </w:r>
      <w:r w:rsidR="00DC3947">
        <w:t>s</w:t>
      </w:r>
      <w:proofErr w:type="spellEnd"/>
      <w:r w:rsidR="00EA5A13">
        <w:t>.</w:t>
      </w:r>
      <w:r>
        <w:t xml:space="preserve"> 13v-14r.</w:t>
      </w:r>
    </w:p>
  </w:footnote>
  <w:footnote w:id="52">
    <w:p w14:paraId="3DF5C4F8" w14:textId="548F75EF" w:rsidR="00E8205B" w:rsidRDefault="00E8205B">
      <w:pPr>
        <w:pStyle w:val="FootnoteText"/>
      </w:pPr>
      <w:r>
        <w:rPr>
          <w:rStyle w:val="FootnoteReference"/>
        </w:rPr>
        <w:footnoteRef/>
      </w:r>
      <w:r>
        <w:t xml:space="preserve"> </w:t>
      </w:r>
      <w:r w:rsidR="00C512BE">
        <w:rPr>
          <w:rFonts w:eastAsiaTheme="majorEastAsia"/>
        </w:rPr>
        <w:t>Ibid.</w:t>
      </w:r>
      <w:r w:rsidR="00C512BE">
        <w:t xml:space="preserve">, </w:t>
      </w:r>
      <w:r w:rsidR="00DC3947">
        <w:t>f</w:t>
      </w:r>
      <w:r>
        <w:t>ol. 13v</w:t>
      </w:r>
      <w:r w:rsidR="00DC3947">
        <w:t>.</w:t>
      </w:r>
    </w:p>
  </w:footnote>
  <w:footnote w:id="53">
    <w:p w14:paraId="5C3A4D1D" w14:textId="004054AB" w:rsidR="00E8205B" w:rsidRDefault="00E8205B" w:rsidP="002100D7">
      <w:pPr>
        <w:pStyle w:val="FootnoteText"/>
      </w:pPr>
      <w:r>
        <w:rPr>
          <w:rStyle w:val="FootnoteReference"/>
        </w:rPr>
        <w:footnoteRef/>
      </w:r>
      <w:r>
        <w:t xml:space="preserve"> </w:t>
      </w:r>
      <w:r w:rsidR="00DC3947">
        <w:t xml:space="preserve">Kew, </w:t>
      </w:r>
      <w:r>
        <w:t xml:space="preserve">The National Archives of the UK (TNA), </w:t>
      </w:r>
      <w:r w:rsidRPr="00E8344C">
        <w:t>‘C 3/133/22</w:t>
      </w:r>
      <w:r>
        <w:t xml:space="preserve">, </w:t>
      </w:r>
      <w:r w:rsidRPr="00E8344C">
        <w:t xml:space="preserve">Short Title: </w:t>
      </w:r>
      <w:proofErr w:type="spellStart"/>
      <w:r w:rsidRPr="00E8344C">
        <w:t>Norreys</w:t>
      </w:r>
      <w:proofErr w:type="spellEnd"/>
      <w:r w:rsidRPr="00E8344C">
        <w:t xml:space="preserve"> v </w:t>
      </w:r>
      <w:proofErr w:type="spellStart"/>
      <w:r w:rsidRPr="00E8344C">
        <w:t>Druerye</w:t>
      </w:r>
      <w:proofErr w:type="spellEnd"/>
      <w:r w:rsidRPr="00E8344C">
        <w:t>’, 155</w:t>
      </w:r>
      <w:r>
        <w:t>8;</w:t>
      </w:r>
    </w:p>
    <w:p w14:paraId="206C82F8" w14:textId="0CAF0E57" w:rsidR="00E8205B" w:rsidRDefault="00E8205B" w:rsidP="002100D7">
      <w:pPr>
        <w:pStyle w:val="FootnoteText"/>
      </w:pPr>
      <w:r>
        <w:t xml:space="preserve">TNA, ‘D/EX 212/T/1, </w:t>
      </w:r>
      <w:proofErr w:type="spellStart"/>
      <w:r w:rsidRPr="00E8344C">
        <w:t>Yattendon</w:t>
      </w:r>
      <w:proofErr w:type="spellEnd"/>
      <w:r w:rsidRPr="00E8344C">
        <w:t xml:space="preserve">, Cumnor, </w:t>
      </w:r>
      <w:proofErr w:type="spellStart"/>
      <w:r w:rsidRPr="00E8344C">
        <w:t>Midgham</w:t>
      </w:r>
      <w:proofErr w:type="spellEnd"/>
      <w:r w:rsidRPr="00E8344C">
        <w:t xml:space="preserve">, Ufton </w:t>
      </w:r>
      <w:proofErr w:type="spellStart"/>
      <w:r w:rsidRPr="00E8344C">
        <w:t>Nervet</w:t>
      </w:r>
      <w:proofErr w:type="spellEnd"/>
      <w:r w:rsidRPr="00E8344C">
        <w:t>, and Weston-on-the-Green (Co. Oxon.)</w:t>
      </w:r>
      <w:r>
        <w:t>’, 1613.</w:t>
      </w:r>
    </w:p>
  </w:footnote>
  <w:footnote w:id="54">
    <w:p w14:paraId="7CFC1F29" w14:textId="2EA563C3" w:rsidR="00E8205B" w:rsidRDefault="00E8205B">
      <w:pPr>
        <w:pStyle w:val="FootnoteText"/>
      </w:pPr>
      <w:r>
        <w:rPr>
          <w:rStyle w:val="FootnoteReference"/>
        </w:rPr>
        <w:footnoteRef/>
      </w:r>
      <w:r>
        <w:t xml:space="preserve"> </w:t>
      </w:r>
      <w:r w:rsidRPr="001C2CB6">
        <w:t>‘Norris [</w:t>
      </w:r>
      <w:proofErr w:type="spellStart"/>
      <w:r w:rsidRPr="001C2CB6">
        <w:t>Norreys</w:t>
      </w:r>
      <w:proofErr w:type="spellEnd"/>
      <w:r w:rsidRPr="001C2CB6">
        <w:t xml:space="preserve">], Henry, First Baron Norris (c. 1525–1601)’, </w:t>
      </w:r>
      <w:r w:rsidR="002E17BC" w:rsidRPr="00E540F1">
        <w:rPr>
          <w:i/>
          <w:iCs/>
        </w:rPr>
        <w:t>ODNB</w:t>
      </w:r>
      <w:r w:rsidR="002E17BC" w:rsidRPr="001C2CB6">
        <w:t xml:space="preserve"> </w:t>
      </w:r>
      <w:r w:rsidRPr="001C2CB6">
        <w:t>Oxford: Oxford University Press, 2021) &lt;</w:t>
      </w:r>
      <w:hyperlink r:id="rId5" w:history="1">
        <w:r w:rsidRPr="001C2CB6">
          <w:rPr>
            <w:rStyle w:val="Hyperlink"/>
          </w:rPr>
          <w:t>https://doi.org/10.1093/ref:odnb/20272</w:t>
        </w:r>
      </w:hyperlink>
      <w:r w:rsidRPr="001C2CB6">
        <w:t xml:space="preserve">&gt;; E. W. Ives, ‘Norris, Henry (b. before 1500, d. 1536)’, </w:t>
      </w:r>
      <w:r w:rsidR="002E17BC" w:rsidRPr="00E540F1">
        <w:rPr>
          <w:i/>
          <w:iCs/>
        </w:rPr>
        <w:t>ODNB</w:t>
      </w:r>
      <w:r w:rsidR="002E17BC" w:rsidRPr="001C2CB6">
        <w:rPr>
          <w:i/>
          <w:iCs/>
        </w:rPr>
        <w:t xml:space="preserve"> </w:t>
      </w:r>
      <w:r w:rsidRPr="001C2CB6">
        <w:rPr>
          <w:i/>
          <w:iCs/>
        </w:rPr>
        <w:t>Biography</w:t>
      </w:r>
      <w:r w:rsidRPr="001C2CB6">
        <w:t xml:space="preserve"> (Oxford: Oxford University Press, 2009) &lt;</w:t>
      </w:r>
      <w:hyperlink r:id="rId6" w:history="1">
        <w:r w:rsidRPr="001C2CB6">
          <w:rPr>
            <w:rStyle w:val="Hyperlink"/>
          </w:rPr>
          <w:t>https://doi.org/10.1093/ref:odnb/20271</w:t>
        </w:r>
      </w:hyperlink>
      <w:r w:rsidRPr="001C2CB6">
        <w:t>&gt;.</w:t>
      </w:r>
    </w:p>
  </w:footnote>
  <w:footnote w:id="55">
    <w:p w14:paraId="791968A4" w14:textId="77777777" w:rsidR="00022059" w:rsidRDefault="00022059" w:rsidP="00022059">
      <w:pPr>
        <w:pStyle w:val="FootnoteText"/>
      </w:pPr>
      <w:r>
        <w:rPr>
          <w:rStyle w:val="FootnoteReference"/>
        </w:rPr>
        <w:footnoteRef/>
      </w:r>
      <w:r>
        <w:t xml:space="preserve"> </w:t>
      </w:r>
      <w:r w:rsidRPr="009E2AAC">
        <w:t xml:space="preserve">Richard Hakluyt, </w:t>
      </w:r>
      <w:r w:rsidRPr="009E2AAC">
        <w:rPr>
          <w:i/>
          <w:iCs/>
        </w:rPr>
        <w:t>Divers Voyages Touching the Discovery of America and the Islands Adjacent</w:t>
      </w:r>
      <w:r w:rsidRPr="009E2AAC">
        <w:t>, ed. by John Winter Jones (London: Printed for the Hakluyt Society, 1850)</w:t>
      </w:r>
      <w:r>
        <w:t>, p. 18.</w:t>
      </w:r>
    </w:p>
  </w:footnote>
  <w:footnote w:id="56">
    <w:p w14:paraId="7F1EBAC0" w14:textId="7EFA0EA1" w:rsidR="00E8205B" w:rsidRDefault="00E8205B">
      <w:pPr>
        <w:pStyle w:val="FootnoteText"/>
      </w:pPr>
      <w:r>
        <w:rPr>
          <w:rStyle w:val="FootnoteReference"/>
        </w:rPr>
        <w:footnoteRef/>
      </w:r>
      <w:r>
        <w:t xml:space="preserve"> </w:t>
      </w:r>
      <w:r w:rsidRPr="001C0D50">
        <w:t xml:space="preserve">Patrick Collinson, ‘Locke [Née Vaughan; Other Married Names Dering, Prowse], Anne (c. 1530–1590x1607)’, </w:t>
      </w:r>
      <w:r w:rsidR="002E17BC" w:rsidRPr="00E540F1">
        <w:rPr>
          <w:i/>
          <w:iCs/>
        </w:rPr>
        <w:t>ODNB</w:t>
      </w:r>
      <w:r w:rsidR="002E17BC" w:rsidRPr="001C0D50">
        <w:t xml:space="preserve"> </w:t>
      </w:r>
      <w:r w:rsidRPr="001C0D50">
        <w:t>(Oxford: Oxford University Press, 2004) &lt;</w:t>
      </w:r>
      <w:hyperlink r:id="rId7" w:history="1">
        <w:r w:rsidRPr="001C0D50">
          <w:rPr>
            <w:rStyle w:val="Hyperlink"/>
          </w:rPr>
          <w:t>https://doi.org/10.1093/ref:odnb/69054</w:t>
        </w:r>
      </w:hyperlink>
      <w:r w:rsidRPr="001C0D50">
        <w:t>&gt;.</w:t>
      </w:r>
    </w:p>
  </w:footnote>
  <w:footnote w:id="57">
    <w:p w14:paraId="356D581B" w14:textId="0614FBE0" w:rsidR="00E8205B" w:rsidRDefault="00E8205B">
      <w:pPr>
        <w:pStyle w:val="FootnoteText"/>
      </w:pPr>
      <w:r>
        <w:rPr>
          <w:rStyle w:val="FootnoteReference"/>
        </w:rPr>
        <w:footnoteRef/>
      </w:r>
      <w:r>
        <w:t xml:space="preserve"> </w:t>
      </w:r>
      <w:r w:rsidR="00DE2D8A">
        <w:t>Ibid</w:t>
      </w:r>
      <w:r>
        <w:t>.</w:t>
      </w:r>
    </w:p>
  </w:footnote>
  <w:footnote w:id="58">
    <w:p w14:paraId="418038E1" w14:textId="60BF8D30" w:rsidR="00E8205B" w:rsidRDefault="00E8205B">
      <w:pPr>
        <w:pStyle w:val="FootnoteText"/>
      </w:pPr>
      <w:r>
        <w:rPr>
          <w:rStyle w:val="FootnoteReference"/>
        </w:rPr>
        <w:footnoteRef/>
      </w:r>
      <w:r>
        <w:t xml:space="preserve"> </w:t>
      </w:r>
      <w:r w:rsidRPr="00297801">
        <w:t xml:space="preserve">John Knox, ‘XXIX. TO MISTRESS LOCKE AND MISTRESS HICKMAN, MERCHANDIS WYFFIS IN LONDOUN.’, in </w:t>
      </w:r>
      <w:r w:rsidRPr="00297801">
        <w:rPr>
          <w:i/>
          <w:iCs/>
        </w:rPr>
        <w:t>The Works of John Knox</w:t>
      </w:r>
      <w:r w:rsidRPr="00297801">
        <w:t>, ed. by David Laing, 6 vols (</w:t>
      </w:r>
      <w:r>
        <w:t>Edinburgh: J. Thin, 1895</w:t>
      </w:r>
      <w:r w:rsidRPr="00297801">
        <w:t>), iv, 219–22</w:t>
      </w:r>
      <w:r>
        <w:t>.</w:t>
      </w:r>
    </w:p>
  </w:footnote>
  <w:footnote w:id="59">
    <w:p w14:paraId="7B0C962B" w14:textId="74857CE6" w:rsidR="00E8205B" w:rsidRDefault="00E8205B">
      <w:pPr>
        <w:pStyle w:val="FootnoteText"/>
      </w:pPr>
      <w:r>
        <w:rPr>
          <w:rStyle w:val="FootnoteReference"/>
        </w:rPr>
        <w:footnoteRef/>
      </w:r>
      <w:r>
        <w:t xml:space="preserve"> LMA,</w:t>
      </w:r>
      <w:r w:rsidRPr="006B777E">
        <w:t xml:space="preserve"> </w:t>
      </w:r>
      <w:r w:rsidRPr="006B777E">
        <w:rPr>
          <w:iCs/>
        </w:rPr>
        <w:t>P69/OLA2/A/002/MS04400/001</w:t>
      </w:r>
      <w:r>
        <w:rPr>
          <w:iCs/>
        </w:rPr>
        <w:t>.</w:t>
      </w:r>
    </w:p>
  </w:footnote>
  <w:footnote w:id="60">
    <w:p w14:paraId="371CD4CE" w14:textId="3036632D" w:rsidR="00EB1099" w:rsidRDefault="00EB1099" w:rsidP="00EB1099">
      <w:pPr>
        <w:pStyle w:val="FootnoteText"/>
      </w:pPr>
      <w:r>
        <w:rPr>
          <w:rStyle w:val="FootnoteReference"/>
        </w:rPr>
        <w:footnoteRef/>
      </w:r>
      <w:r>
        <w:t xml:space="preserve"> </w:t>
      </w:r>
      <w:r w:rsidR="008069FF" w:rsidRPr="00A5090F">
        <w:rPr>
          <w:rFonts w:eastAsiaTheme="majorEastAsia"/>
        </w:rPr>
        <w:t>Add</w:t>
      </w:r>
      <w:r w:rsidR="008069FF" w:rsidRPr="00A5090F">
        <w:t xml:space="preserve"> </w:t>
      </w:r>
      <w:r w:rsidR="008069FF" w:rsidRPr="00A5090F">
        <w:rPr>
          <w:rFonts w:eastAsiaTheme="majorEastAsia"/>
        </w:rPr>
        <w:t>MS</w:t>
      </w:r>
      <w:r w:rsidR="008069FF" w:rsidRPr="00A5090F">
        <w:t xml:space="preserve"> </w:t>
      </w:r>
      <w:r w:rsidR="008069FF" w:rsidRPr="00A5090F">
        <w:rPr>
          <w:rFonts w:eastAsiaTheme="majorEastAsia"/>
        </w:rPr>
        <w:t>43827</w:t>
      </w:r>
      <w:r w:rsidR="008069FF" w:rsidRPr="00A5090F">
        <w:t xml:space="preserve"> </w:t>
      </w:r>
      <w:r w:rsidR="008069FF">
        <w:t>A</w:t>
      </w:r>
      <w:r>
        <w:t xml:space="preserve">. </w:t>
      </w:r>
      <w:proofErr w:type="spellStart"/>
      <w:r>
        <w:t>fols</w:t>
      </w:r>
      <w:proofErr w:type="spellEnd"/>
      <w:r>
        <w:t>. 16r-17r.</w:t>
      </w:r>
    </w:p>
  </w:footnote>
  <w:footnote w:id="61">
    <w:p w14:paraId="2C79BE76" w14:textId="46B45418" w:rsidR="00E8205B" w:rsidRDefault="00E8205B">
      <w:pPr>
        <w:pStyle w:val="FootnoteText"/>
      </w:pPr>
      <w:r>
        <w:rPr>
          <w:rStyle w:val="FootnoteReference"/>
        </w:rPr>
        <w:footnoteRef/>
      </w:r>
      <w:r>
        <w:t xml:space="preserve"> </w:t>
      </w:r>
      <w:r w:rsidR="00C512BE">
        <w:rPr>
          <w:rFonts w:eastAsiaTheme="majorEastAsia"/>
        </w:rPr>
        <w:t>Ibid.</w:t>
      </w:r>
      <w:r w:rsidR="00C512BE">
        <w:t xml:space="preserve">, </w:t>
      </w:r>
      <w:r w:rsidR="009E2AAC">
        <w:t xml:space="preserve">fol. </w:t>
      </w:r>
      <w:r>
        <w:t>17r</w:t>
      </w:r>
      <w:r w:rsidR="009E2AAC">
        <w:t>.</w:t>
      </w:r>
    </w:p>
  </w:footnote>
  <w:footnote w:id="62">
    <w:p w14:paraId="64855D88" w14:textId="77777777" w:rsidR="00BB5482" w:rsidRDefault="00BB5482" w:rsidP="00BB5482">
      <w:pPr>
        <w:pStyle w:val="FootnoteText"/>
      </w:pPr>
      <w:r>
        <w:rPr>
          <w:rStyle w:val="FootnoteReference"/>
        </w:rPr>
        <w:footnoteRef/>
      </w:r>
      <w:r>
        <w:t xml:space="preserve"> </w:t>
      </w:r>
      <w:r>
        <w:rPr>
          <w:rFonts w:eastAsiaTheme="majorEastAsia"/>
        </w:rPr>
        <w:t>Ibid.</w:t>
      </w:r>
      <w:r>
        <w:t xml:space="preserve">, </w:t>
      </w:r>
      <w:proofErr w:type="spellStart"/>
      <w:r>
        <w:t>fols</w:t>
      </w:r>
      <w:proofErr w:type="spellEnd"/>
      <w:r>
        <w:t>. 17r-17v.</w:t>
      </w:r>
    </w:p>
  </w:footnote>
  <w:footnote w:id="63">
    <w:p w14:paraId="6E2BC706" w14:textId="03494D35" w:rsidR="00BB5482" w:rsidRDefault="00BB5482">
      <w:pPr>
        <w:pStyle w:val="FootnoteText"/>
      </w:pPr>
      <w:r>
        <w:rPr>
          <w:rStyle w:val="FootnoteReference"/>
        </w:rPr>
        <w:footnoteRef/>
      </w:r>
      <w:r>
        <w:t xml:space="preserve"> Ibid.</w:t>
      </w:r>
    </w:p>
  </w:footnote>
  <w:footnote w:id="64">
    <w:p w14:paraId="18E0628E" w14:textId="7117CD28" w:rsidR="00582E21" w:rsidRDefault="00582E21">
      <w:pPr>
        <w:pStyle w:val="FootnoteText"/>
      </w:pPr>
      <w:r>
        <w:rPr>
          <w:rStyle w:val="FootnoteReference"/>
        </w:rPr>
        <w:footnoteRef/>
      </w:r>
      <w:r>
        <w:t xml:space="preserve"> </w:t>
      </w:r>
      <w:r w:rsidRPr="00582E21">
        <w:t xml:space="preserve">Eleanor Hubbard, </w:t>
      </w:r>
      <w:r w:rsidRPr="00582E21">
        <w:rPr>
          <w:i/>
          <w:iCs/>
        </w:rPr>
        <w:t>City Women: Money, Sex, and the Social Order in Early Modern London</w:t>
      </w:r>
      <w:r w:rsidRPr="00582E21">
        <w:t xml:space="preserve"> (Oxford: Oxford University Press, 2012)</w:t>
      </w:r>
      <w:r>
        <w:t>, pp. 157-8.</w:t>
      </w:r>
    </w:p>
  </w:footnote>
  <w:footnote w:id="65">
    <w:p w14:paraId="477FEC4F" w14:textId="2434E7F0" w:rsidR="00C47088" w:rsidRDefault="00C47088">
      <w:pPr>
        <w:pStyle w:val="FootnoteText"/>
      </w:pPr>
      <w:r>
        <w:rPr>
          <w:rStyle w:val="FootnoteReference"/>
        </w:rPr>
        <w:footnoteRef/>
      </w:r>
      <w:r>
        <w:t xml:space="preserve"> Ibid., p. 162.</w:t>
      </w:r>
    </w:p>
  </w:footnote>
  <w:footnote w:id="66">
    <w:p w14:paraId="00DEBF51" w14:textId="1495C483" w:rsidR="00E8205B" w:rsidRDefault="00E8205B">
      <w:pPr>
        <w:pStyle w:val="FootnoteText"/>
      </w:pPr>
      <w:r>
        <w:rPr>
          <w:rStyle w:val="FootnoteReference"/>
        </w:rPr>
        <w:footnoteRef/>
      </w:r>
      <w:r>
        <w:t xml:space="preserve"> </w:t>
      </w:r>
      <w:r w:rsidRPr="00E8205B">
        <w:t xml:space="preserve">João Vicente Melo, ‘Luisa De Carvajal y Mendoza (1566–1614)’, in </w:t>
      </w:r>
      <w:r w:rsidRPr="00E8205B">
        <w:rPr>
          <w:i/>
          <w:iCs/>
        </w:rPr>
        <w:t>Lives in Transit in Early Modern England: Identity and Belonging</w:t>
      </w:r>
      <w:r w:rsidRPr="00E8205B">
        <w:t>, ed. by Nandini Das (Amsterdam: Amsterdam University Press, 2022), pp. 128–33</w:t>
      </w:r>
      <w:r>
        <w:t xml:space="preserve"> (pp. 130-1).</w:t>
      </w:r>
    </w:p>
  </w:footnote>
  <w:footnote w:id="67">
    <w:p w14:paraId="33FD3DD6" w14:textId="659B56BE" w:rsidR="008F52A5" w:rsidRDefault="008F52A5">
      <w:pPr>
        <w:pStyle w:val="FootnoteText"/>
      </w:pPr>
      <w:r>
        <w:rPr>
          <w:rStyle w:val="FootnoteReference"/>
        </w:rPr>
        <w:footnoteRef/>
      </w:r>
      <w:r>
        <w:t xml:space="preserve"> Ibid., p. 132</w:t>
      </w:r>
      <w:r w:rsidR="009E2AAC">
        <w:t>.</w:t>
      </w:r>
    </w:p>
  </w:footnote>
  <w:footnote w:id="68">
    <w:p w14:paraId="34C6B6E7" w14:textId="4BA44B1E" w:rsidR="00B71DD8" w:rsidRDefault="00B71DD8">
      <w:pPr>
        <w:pStyle w:val="FootnoteText"/>
      </w:pPr>
      <w:r>
        <w:rPr>
          <w:rStyle w:val="FootnoteReference"/>
        </w:rPr>
        <w:footnoteRef/>
      </w:r>
      <w:r>
        <w:t xml:space="preserve"> The </w:t>
      </w:r>
      <w:r w:rsidR="009C3B6C">
        <w:t>navigation</w:t>
      </w:r>
      <w:r>
        <w:t xml:space="preserve"> of faith around transnational boundaries was not limited to Christian women: for discussion of the difficulties that Muslim women faced when making similar journeys, see Andrea’s article in this collection.</w:t>
      </w:r>
    </w:p>
  </w:footnote>
  <w:footnote w:id="69">
    <w:p w14:paraId="7F2F7EC2" w14:textId="6CF610F5" w:rsidR="0084345D" w:rsidRDefault="0084345D" w:rsidP="0084345D">
      <w:pPr>
        <w:pStyle w:val="FootnoteText"/>
      </w:pPr>
      <w:r>
        <w:rPr>
          <w:rStyle w:val="FootnoteReference"/>
        </w:rPr>
        <w:footnoteRef/>
      </w:r>
      <w:r>
        <w:t xml:space="preserve"> </w:t>
      </w:r>
      <w:r w:rsidR="003F7596" w:rsidRPr="00A5090F">
        <w:rPr>
          <w:rFonts w:eastAsiaTheme="majorEastAsia"/>
        </w:rPr>
        <w:t>Add</w:t>
      </w:r>
      <w:r w:rsidR="003F7596" w:rsidRPr="00A5090F">
        <w:t xml:space="preserve"> </w:t>
      </w:r>
      <w:r w:rsidR="003F7596" w:rsidRPr="00A5090F">
        <w:rPr>
          <w:rFonts w:eastAsiaTheme="majorEastAsia"/>
        </w:rPr>
        <w:t>MS</w:t>
      </w:r>
      <w:r w:rsidR="003F7596" w:rsidRPr="00A5090F">
        <w:t xml:space="preserve"> </w:t>
      </w:r>
      <w:r w:rsidR="003F7596" w:rsidRPr="00A5090F">
        <w:rPr>
          <w:rFonts w:eastAsiaTheme="majorEastAsia"/>
        </w:rPr>
        <w:t>43827</w:t>
      </w:r>
      <w:r w:rsidR="003F7596" w:rsidRPr="00A5090F">
        <w:t xml:space="preserve"> </w:t>
      </w:r>
      <w:r w:rsidR="003F7596">
        <w:t xml:space="preserve">A, </w:t>
      </w:r>
      <w:r w:rsidRPr="00536C11">
        <w:rPr>
          <w:bCs/>
        </w:rPr>
        <w:t>f</w:t>
      </w:r>
      <w:r>
        <w:rPr>
          <w:bCs/>
        </w:rPr>
        <w:t>ol</w:t>
      </w:r>
      <w:r>
        <w:t>. 3r.</w:t>
      </w:r>
    </w:p>
  </w:footnote>
  <w:footnote w:id="70">
    <w:p w14:paraId="5C1ECD70" w14:textId="77777777" w:rsidR="0084345D" w:rsidRDefault="0084345D" w:rsidP="0084345D">
      <w:pPr>
        <w:pStyle w:val="FootnoteText"/>
      </w:pPr>
      <w:r>
        <w:rPr>
          <w:rStyle w:val="FootnoteReference"/>
        </w:rPr>
        <w:footnoteRef/>
      </w:r>
      <w:r>
        <w:t xml:space="preserve"> Ibid., </w:t>
      </w:r>
      <w:proofErr w:type="spellStart"/>
      <w:r>
        <w:t>fols</w:t>
      </w:r>
      <w:proofErr w:type="spellEnd"/>
      <w:r>
        <w:t>. 4r, 9v.</w:t>
      </w:r>
    </w:p>
  </w:footnote>
  <w:footnote w:id="71">
    <w:p w14:paraId="43E79594" w14:textId="196F3D5F" w:rsidR="00B27974" w:rsidRDefault="00B27974" w:rsidP="00B27974">
      <w:pPr>
        <w:pStyle w:val="FootnoteText"/>
      </w:pPr>
      <w:r>
        <w:rPr>
          <w:rStyle w:val="FootnoteReference"/>
        </w:rPr>
        <w:footnoteRef/>
      </w:r>
      <w:r>
        <w:t xml:space="preserve"> </w:t>
      </w:r>
      <w:r w:rsidR="00DE2D8A">
        <w:rPr>
          <w:bCs/>
        </w:rPr>
        <w:t>Ibid.,</w:t>
      </w:r>
      <w:r w:rsidRPr="00536C11">
        <w:rPr>
          <w:bCs/>
        </w:rPr>
        <w:t xml:space="preserve"> f</w:t>
      </w:r>
      <w:r>
        <w:rPr>
          <w:bCs/>
        </w:rPr>
        <w:t xml:space="preserve">ol. </w:t>
      </w:r>
      <w:r w:rsidRPr="00536C11">
        <w:rPr>
          <w:bCs/>
        </w:rPr>
        <w:t>8</w:t>
      </w:r>
      <w:r>
        <w:rPr>
          <w:bCs/>
        </w:rPr>
        <w:t>v</w:t>
      </w:r>
      <w:r w:rsidRPr="00536C11">
        <w:rPr>
          <w:bCs/>
        </w:rPr>
        <w:t>.</w:t>
      </w:r>
    </w:p>
  </w:footnote>
  <w:footnote w:id="72">
    <w:p w14:paraId="26623040" w14:textId="77777777" w:rsidR="00B27974" w:rsidRDefault="00B27974" w:rsidP="00B27974">
      <w:pPr>
        <w:pStyle w:val="FootnoteText"/>
      </w:pPr>
      <w:r>
        <w:rPr>
          <w:rStyle w:val="FootnoteReference"/>
        </w:rPr>
        <w:footnoteRef/>
      </w:r>
      <w:r>
        <w:t xml:space="preserve"> LMA, </w:t>
      </w:r>
      <w:r w:rsidRPr="00D76618">
        <w:t>P69/OLA2/A/002/MS04400/001.</w:t>
      </w:r>
    </w:p>
  </w:footnote>
  <w:footnote w:id="73">
    <w:p w14:paraId="1FE1C6CB" w14:textId="77777777" w:rsidR="00B27974" w:rsidRDefault="00B27974" w:rsidP="00B27974">
      <w:pPr>
        <w:pStyle w:val="FootnoteText"/>
      </w:pPr>
      <w:r>
        <w:rPr>
          <w:rStyle w:val="FootnoteReference"/>
        </w:rPr>
        <w:footnoteRef/>
      </w:r>
      <w:r>
        <w:t xml:space="preserve"> LMA, </w:t>
      </w:r>
      <w:r w:rsidRPr="00D76618">
        <w:t>P69/OLA2/A/002/MS04400/001.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5520984"/>
      <w:docPartObj>
        <w:docPartGallery w:val="Page Numbers (Top of Page)"/>
        <w:docPartUnique/>
      </w:docPartObj>
    </w:sdtPr>
    <w:sdtContent>
      <w:p w14:paraId="52DBC223" w14:textId="2C6BB35A" w:rsidR="0058236E" w:rsidRDefault="0058236E" w:rsidP="003A59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C454F" w14:textId="77777777" w:rsidR="0058236E" w:rsidRDefault="0058236E" w:rsidP="005823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811427"/>
      <w:docPartObj>
        <w:docPartGallery w:val="Page Numbers (Top of Page)"/>
        <w:docPartUnique/>
      </w:docPartObj>
    </w:sdtPr>
    <w:sdtContent>
      <w:p w14:paraId="2C1A3CF2" w14:textId="70DECA9D" w:rsidR="0058236E" w:rsidRDefault="0058236E" w:rsidP="003A59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4D64A0" w14:textId="77777777" w:rsidR="0058236E" w:rsidRDefault="0058236E" w:rsidP="005823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5D"/>
    <w:multiLevelType w:val="hybridMultilevel"/>
    <w:tmpl w:val="236EBB9A"/>
    <w:lvl w:ilvl="0" w:tplc="CA7C90EA">
      <w:start w:val="1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E7860"/>
    <w:multiLevelType w:val="hybridMultilevel"/>
    <w:tmpl w:val="51E08DA0"/>
    <w:lvl w:ilvl="0" w:tplc="5AF27A18">
      <w:start w:val="1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60CE0"/>
    <w:multiLevelType w:val="hybridMultilevel"/>
    <w:tmpl w:val="E99ED798"/>
    <w:lvl w:ilvl="0" w:tplc="17AC91A4">
      <w:numFmt w:val="bullet"/>
      <w:lvlText w:val="-"/>
      <w:lvlJc w:val="left"/>
      <w:pPr>
        <w:ind w:left="720" w:hanging="360"/>
      </w:pPr>
      <w:rPr>
        <w:rFonts w:ascii="Garamond" w:eastAsiaTheme="minorHAnsi" w:hAnsi="Garamond"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2485E"/>
    <w:multiLevelType w:val="hybridMultilevel"/>
    <w:tmpl w:val="2A9AC388"/>
    <w:lvl w:ilvl="0" w:tplc="9634AF0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E00B0"/>
    <w:multiLevelType w:val="hybridMultilevel"/>
    <w:tmpl w:val="7A045384"/>
    <w:lvl w:ilvl="0" w:tplc="67A8FA8C">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6463523">
    <w:abstractNumId w:val="0"/>
  </w:num>
  <w:num w:numId="2" w16cid:durableId="1299913877">
    <w:abstractNumId w:val="1"/>
  </w:num>
  <w:num w:numId="3" w16cid:durableId="20740992">
    <w:abstractNumId w:val="2"/>
  </w:num>
  <w:num w:numId="4" w16cid:durableId="1701591824">
    <w:abstractNumId w:val="3"/>
  </w:num>
  <w:num w:numId="5" w16cid:durableId="1129664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70"/>
    <w:rsid w:val="00000B8C"/>
    <w:rsid w:val="000017B8"/>
    <w:rsid w:val="000049B9"/>
    <w:rsid w:val="000077C1"/>
    <w:rsid w:val="000127B7"/>
    <w:rsid w:val="000128C6"/>
    <w:rsid w:val="00014BF1"/>
    <w:rsid w:val="000206C7"/>
    <w:rsid w:val="00020A0D"/>
    <w:rsid w:val="00022059"/>
    <w:rsid w:val="00022238"/>
    <w:rsid w:val="000222A1"/>
    <w:rsid w:val="00030A47"/>
    <w:rsid w:val="00030D5C"/>
    <w:rsid w:val="00031D2B"/>
    <w:rsid w:val="000341CB"/>
    <w:rsid w:val="000354EC"/>
    <w:rsid w:val="00035D34"/>
    <w:rsid w:val="0003705B"/>
    <w:rsid w:val="00037756"/>
    <w:rsid w:val="0004191E"/>
    <w:rsid w:val="00043B40"/>
    <w:rsid w:val="00047403"/>
    <w:rsid w:val="00050622"/>
    <w:rsid w:val="0005348B"/>
    <w:rsid w:val="000544BD"/>
    <w:rsid w:val="000554B9"/>
    <w:rsid w:val="000612B7"/>
    <w:rsid w:val="00066F20"/>
    <w:rsid w:val="00072E7C"/>
    <w:rsid w:val="00073244"/>
    <w:rsid w:val="00076A81"/>
    <w:rsid w:val="0008471F"/>
    <w:rsid w:val="00084FB9"/>
    <w:rsid w:val="0008682D"/>
    <w:rsid w:val="000953DA"/>
    <w:rsid w:val="000A1099"/>
    <w:rsid w:val="000A21F0"/>
    <w:rsid w:val="000A29B1"/>
    <w:rsid w:val="000A5D33"/>
    <w:rsid w:val="000B1CD8"/>
    <w:rsid w:val="000B46FB"/>
    <w:rsid w:val="000B7539"/>
    <w:rsid w:val="000C1C16"/>
    <w:rsid w:val="000C2DD0"/>
    <w:rsid w:val="000C4FB4"/>
    <w:rsid w:val="000C6F42"/>
    <w:rsid w:val="000C7CC1"/>
    <w:rsid w:val="000D2E1D"/>
    <w:rsid w:val="000D6940"/>
    <w:rsid w:val="000F180E"/>
    <w:rsid w:val="00102571"/>
    <w:rsid w:val="001046F2"/>
    <w:rsid w:val="0011531D"/>
    <w:rsid w:val="00116721"/>
    <w:rsid w:val="001176CE"/>
    <w:rsid w:val="00126079"/>
    <w:rsid w:val="00130088"/>
    <w:rsid w:val="001307E0"/>
    <w:rsid w:val="00134F1B"/>
    <w:rsid w:val="00135C19"/>
    <w:rsid w:val="0014574B"/>
    <w:rsid w:val="00146E59"/>
    <w:rsid w:val="00153B27"/>
    <w:rsid w:val="0015439E"/>
    <w:rsid w:val="00163176"/>
    <w:rsid w:val="00166B49"/>
    <w:rsid w:val="00170B3C"/>
    <w:rsid w:val="00176801"/>
    <w:rsid w:val="0018008F"/>
    <w:rsid w:val="001816D4"/>
    <w:rsid w:val="0018274C"/>
    <w:rsid w:val="001838EA"/>
    <w:rsid w:val="00190916"/>
    <w:rsid w:val="00194D6E"/>
    <w:rsid w:val="00197A7F"/>
    <w:rsid w:val="001A1B31"/>
    <w:rsid w:val="001A1B89"/>
    <w:rsid w:val="001A2C2E"/>
    <w:rsid w:val="001B74AD"/>
    <w:rsid w:val="001C0D50"/>
    <w:rsid w:val="001C2CB6"/>
    <w:rsid w:val="001C4925"/>
    <w:rsid w:val="001D576A"/>
    <w:rsid w:val="001E3BF6"/>
    <w:rsid w:val="001E7B88"/>
    <w:rsid w:val="001F5DA0"/>
    <w:rsid w:val="001F6F56"/>
    <w:rsid w:val="00203CD6"/>
    <w:rsid w:val="002074B7"/>
    <w:rsid w:val="002100D7"/>
    <w:rsid w:val="00211B5B"/>
    <w:rsid w:val="00215A46"/>
    <w:rsid w:val="00217D0B"/>
    <w:rsid w:val="0022132E"/>
    <w:rsid w:val="0022359A"/>
    <w:rsid w:val="0022371C"/>
    <w:rsid w:val="00232F54"/>
    <w:rsid w:val="002346A7"/>
    <w:rsid w:val="00237A46"/>
    <w:rsid w:val="00240122"/>
    <w:rsid w:val="00245E6B"/>
    <w:rsid w:val="0024613D"/>
    <w:rsid w:val="002510E6"/>
    <w:rsid w:val="00256065"/>
    <w:rsid w:val="00257A82"/>
    <w:rsid w:val="0026205E"/>
    <w:rsid w:val="00264712"/>
    <w:rsid w:val="00264E6D"/>
    <w:rsid w:val="002738BA"/>
    <w:rsid w:val="00274A3D"/>
    <w:rsid w:val="0027693F"/>
    <w:rsid w:val="0027793A"/>
    <w:rsid w:val="00280B44"/>
    <w:rsid w:val="002835CE"/>
    <w:rsid w:val="002976AD"/>
    <w:rsid w:val="00297801"/>
    <w:rsid w:val="002978F4"/>
    <w:rsid w:val="002A4A67"/>
    <w:rsid w:val="002A5452"/>
    <w:rsid w:val="002B2058"/>
    <w:rsid w:val="002B2CA2"/>
    <w:rsid w:val="002B5DA8"/>
    <w:rsid w:val="002B60D2"/>
    <w:rsid w:val="002C28C6"/>
    <w:rsid w:val="002C3E7B"/>
    <w:rsid w:val="002C5C61"/>
    <w:rsid w:val="002D1C04"/>
    <w:rsid w:val="002D6F5B"/>
    <w:rsid w:val="002D7DD9"/>
    <w:rsid w:val="002E1635"/>
    <w:rsid w:val="002E17BC"/>
    <w:rsid w:val="002F25E9"/>
    <w:rsid w:val="002F27E0"/>
    <w:rsid w:val="002F2BE2"/>
    <w:rsid w:val="002F35F8"/>
    <w:rsid w:val="00300A36"/>
    <w:rsid w:val="003043FB"/>
    <w:rsid w:val="00306755"/>
    <w:rsid w:val="00307413"/>
    <w:rsid w:val="003214C0"/>
    <w:rsid w:val="00324403"/>
    <w:rsid w:val="00324FF0"/>
    <w:rsid w:val="0032768E"/>
    <w:rsid w:val="00327E73"/>
    <w:rsid w:val="00330201"/>
    <w:rsid w:val="00330299"/>
    <w:rsid w:val="0033098A"/>
    <w:rsid w:val="00337D38"/>
    <w:rsid w:val="00344754"/>
    <w:rsid w:val="00346332"/>
    <w:rsid w:val="00350E8F"/>
    <w:rsid w:val="003524D6"/>
    <w:rsid w:val="00360146"/>
    <w:rsid w:val="003611B7"/>
    <w:rsid w:val="00361F49"/>
    <w:rsid w:val="00362289"/>
    <w:rsid w:val="003638C8"/>
    <w:rsid w:val="00364BC5"/>
    <w:rsid w:val="00366584"/>
    <w:rsid w:val="00367888"/>
    <w:rsid w:val="0037040F"/>
    <w:rsid w:val="0037112E"/>
    <w:rsid w:val="00371225"/>
    <w:rsid w:val="00371C11"/>
    <w:rsid w:val="00371E3B"/>
    <w:rsid w:val="0037224D"/>
    <w:rsid w:val="00374420"/>
    <w:rsid w:val="00374B61"/>
    <w:rsid w:val="00374D4E"/>
    <w:rsid w:val="00387C1B"/>
    <w:rsid w:val="00391D5C"/>
    <w:rsid w:val="00392723"/>
    <w:rsid w:val="00394468"/>
    <w:rsid w:val="003A11D8"/>
    <w:rsid w:val="003B24DF"/>
    <w:rsid w:val="003B4576"/>
    <w:rsid w:val="003B5BFA"/>
    <w:rsid w:val="003B6AF1"/>
    <w:rsid w:val="003C2168"/>
    <w:rsid w:val="003C32CC"/>
    <w:rsid w:val="003D3CF3"/>
    <w:rsid w:val="003D467F"/>
    <w:rsid w:val="003D592E"/>
    <w:rsid w:val="003D59FD"/>
    <w:rsid w:val="003E40A3"/>
    <w:rsid w:val="003E6891"/>
    <w:rsid w:val="003E74BE"/>
    <w:rsid w:val="003F0570"/>
    <w:rsid w:val="003F7596"/>
    <w:rsid w:val="0040094C"/>
    <w:rsid w:val="00411264"/>
    <w:rsid w:val="0042777C"/>
    <w:rsid w:val="00431501"/>
    <w:rsid w:val="00435F9B"/>
    <w:rsid w:val="00441FEC"/>
    <w:rsid w:val="004441F5"/>
    <w:rsid w:val="0044430D"/>
    <w:rsid w:val="004443E1"/>
    <w:rsid w:val="00453472"/>
    <w:rsid w:val="00465C7B"/>
    <w:rsid w:val="00470EF5"/>
    <w:rsid w:val="004779B8"/>
    <w:rsid w:val="00480188"/>
    <w:rsid w:val="00481AFD"/>
    <w:rsid w:val="00482BB7"/>
    <w:rsid w:val="004864C2"/>
    <w:rsid w:val="00496C02"/>
    <w:rsid w:val="004C07B9"/>
    <w:rsid w:val="004C1198"/>
    <w:rsid w:val="004C2111"/>
    <w:rsid w:val="004C3168"/>
    <w:rsid w:val="004C35D7"/>
    <w:rsid w:val="004C3EC2"/>
    <w:rsid w:val="004C75BD"/>
    <w:rsid w:val="004D3C6E"/>
    <w:rsid w:val="004E2D89"/>
    <w:rsid w:val="004E415C"/>
    <w:rsid w:val="004E53C9"/>
    <w:rsid w:val="004F3670"/>
    <w:rsid w:val="004F781E"/>
    <w:rsid w:val="005024F9"/>
    <w:rsid w:val="00507CC2"/>
    <w:rsid w:val="005114EE"/>
    <w:rsid w:val="00527075"/>
    <w:rsid w:val="0053177B"/>
    <w:rsid w:val="00536C11"/>
    <w:rsid w:val="00541CBD"/>
    <w:rsid w:val="005424BB"/>
    <w:rsid w:val="00542AAB"/>
    <w:rsid w:val="005469AF"/>
    <w:rsid w:val="0055327F"/>
    <w:rsid w:val="00555967"/>
    <w:rsid w:val="0055604D"/>
    <w:rsid w:val="00556CD7"/>
    <w:rsid w:val="00560B5B"/>
    <w:rsid w:val="00561D87"/>
    <w:rsid w:val="005637D5"/>
    <w:rsid w:val="00566F51"/>
    <w:rsid w:val="00567B74"/>
    <w:rsid w:val="00570AA2"/>
    <w:rsid w:val="00573E73"/>
    <w:rsid w:val="00576DAD"/>
    <w:rsid w:val="0058222E"/>
    <w:rsid w:val="0058236E"/>
    <w:rsid w:val="00582E21"/>
    <w:rsid w:val="005847B2"/>
    <w:rsid w:val="005850D0"/>
    <w:rsid w:val="00597A14"/>
    <w:rsid w:val="005A3810"/>
    <w:rsid w:val="005A4A7C"/>
    <w:rsid w:val="005B740D"/>
    <w:rsid w:val="005B7C19"/>
    <w:rsid w:val="005C25CF"/>
    <w:rsid w:val="005C2FEB"/>
    <w:rsid w:val="005C3031"/>
    <w:rsid w:val="005C33E6"/>
    <w:rsid w:val="005C5C71"/>
    <w:rsid w:val="005C6FE9"/>
    <w:rsid w:val="005D6EC0"/>
    <w:rsid w:val="005D7CC2"/>
    <w:rsid w:val="005F1D0F"/>
    <w:rsid w:val="005F4D9D"/>
    <w:rsid w:val="005F4E35"/>
    <w:rsid w:val="005F5EA1"/>
    <w:rsid w:val="005F6F2B"/>
    <w:rsid w:val="005F6F77"/>
    <w:rsid w:val="00605B5D"/>
    <w:rsid w:val="00612FE3"/>
    <w:rsid w:val="00625B91"/>
    <w:rsid w:val="006311B1"/>
    <w:rsid w:val="00636874"/>
    <w:rsid w:val="006415B0"/>
    <w:rsid w:val="00642C3C"/>
    <w:rsid w:val="00645342"/>
    <w:rsid w:val="00646D4B"/>
    <w:rsid w:val="0064780A"/>
    <w:rsid w:val="00652468"/>
    <w:rsid w:val="0066092F"/>
    <w:rsid w:val="006759E1"/>
    <w:rsid w:val="00675F5D"/>
    <w:rsid w:val="006773D8"/>
    <w:rsid w:val="00682E07"/>
    <w:rsid w:val="006842F9"/>
    <w:rsid w:val="00684778"/>
    <w:rsid w:val="006868AF"/>
    <w:rsid w:val="006914B0"/>
    <w:rsid w:val="006939F3"/>
    <w:rsid w:val="00693D8D"/>
    <w:rsid w:val="006944C1"/>
    <w:rsid w:val="006A7756"/>
    <w:rsid w:val="006B777E"/>
    <w:rsid w:val="006B7E11"/>
    <w:rsid w:val="006C2D79"/>
    <w:rsid w:val="006C35F0"/>
    <w:rsid w:val="006C3E85"/>
    <w:rsid w:val="006C6FFA"/>
    <w:rsid w:val="006D66E0"/>
    <w:rsid w:val="006D6FDC"/>
    <w:rsid w:val="006E2F52"/>
    <w:rsid w:val="006E39B0"/>
    <w:rsid w:val="006E4D1B"/>
    <w:rsid w:val="006F08D6"/>
    <w:rsid w:val="006F2D02"/>
    <w:rsid w:val="006F31FE"/>
    <w:rsid w:val="006F3463"/>
    <w:rsid w:val="006F5CDB"/>
    <w:rsid w:val="00703F97"/>
    <w:rsid w:val="00710111"/>
    <w:rsid w:val="00711454"/>
    <w:rsid w:val="007116D5"/>
    <w:rsid w:val="0071214C"/>
    <w:rsid w:val="0071698C"/>
    <w:rsid w:val="007301B1"/>
    <w:rsid w:val="00733101"/>
    <w:rsid w:val="00734308"/>
    <w:rsid w:val="00734B1A"/>
    <w:rsid w:val="00741822"/>
    <w:rsid w:val="00746F28"/>
    <w:rsid w:val="0074715C"/>
    <w:rsid w:val="0075524B"/>
    <w:rsid w:val="00765BD8"/>
    <w:rsid w:val="00765CCC"/>
    <w:rsid w:val="00767794"/>
    <w:rsid w:val="00771CF6"/>
    <w:rsid w:val="00771DF9"/>
    <w:rsid w:val="00772D9C"/>
    <w:rsid w:val="00773DBA"/>
    <w:rsid w:val="0077645F"/>
    <w:rsid w:val="00786E60"/>
    <w:rsid w:val="00791476"/>
    <w:rsid w:val="00791701"/>
    <w:rsid w:val="00794A6F"/>
    <w:rsid w:val="00797CF5"/>
    <w:rsid w:val="007A0138"/>
    <w:rsid w:val="007A01F7"/>
    <w:rsid w:val="007A618E"/>
    <w:rsid w:val="007A6310"/>
    <w:rsid w:val="007B23DD"/>
    <w:rsid w:val="007B27C2"/>
    <w:rsid w:val="007B2DCA"/>
    <w:rsid w:val="007C1DF4"/>
    <w:rsid w:val="007C1EB9"/>
    <w:rsid w:val="007C3C73"/>
    <w:rsid w:val="007D0470"/>
    <w:rsid w:val="007D62C2"/>
    <w:rsid w:val="007D6A7E"/>
    <w:rsid w:val="007F0576"/>
    <w:rsid w:val="0080043C"/>
    <w:rsid w:val="00802A4C"/>
    <w:rsid w:val="008069FF"/>
    <w:rsid w:val="00807E21"/>
    <w:rsid w:val="00810CC2"/>
    <w:rsid w:val="00813501"/>
    <w:rsid w:val="00820C43"/>
    <w:rsid w:val="0082149C"/>
    <w:rsid w:val="00824024"/>
    <w:rsid w:val="0083005D"/>
    <w:rsid w:val="0083166D"/>
    <w:rsid w:val="00832E83"/>
    <w:rsid w:val="0083564D"/>
    <w:rsid w:val="00840E4E"/>
    <w:rsid w:val="0084190B"/>
    <w:rsid w:val="00841A9C"/>
    <w:rsid w:val="008422FC"/>
    <w:rsid w:val="00842971"/>
    <w:rsid w:val="0084345D"/>
    <w:rsid w:val="00843CAE"/>
    <w:rsid w:val="008535C6"/>
    <w:rsid w:val="00857227"/>
    <w:rsid w:val="00861646"/>
    <w:rsid w:val="00862DE3"/>
    <w:rsid w:val="00870927"/>
    <w:rsid w:val="00871E93"/>
    <w:rsid w:val="00875E1C"/>
    <w:rsid w:val="008775AF"/>
    <w:rsid w:val="0088285B"/>
    <w:rsid w:val="00890442"/>
    <w:rsid w:val="008914EF"/>
    <w:rsid w:val="00892A11"/>
    <w:rsid w:val="00893FA0"/>
    <w:rsid w:val="0089586C"/>
    <w:rsid w:val="00896A6B"/>
    <w:rsid w:val="008A23F8"/>
    <w:rsid w:val="008A2570"/>
    <w:rsid w:val="008A3F55"/>
    <w:rsid w:val="008B40A4"/>
    <w:rsid w:val="008B4FB4"/>
    <w:rsid w:val="008C595D"/>
    <w:rsid w:val="008C5AC0"/>
    <w:rsid w:val="008D335D"/>
    <w:rsid w:val="008D3E4A"/>
    <w:rsid w:val="008D4994"/>
    <w:rsid w:val="008E5490"/>
    <w:rsid w:val="008F52A5"/>
    <w:rsid w:val="008F6DA6"/>
    <w:rsid w:val="008F798B"/>
    <w:rsid w:val="00904BEC"/>
    <w:rsid w:val="00911EAA"/>
    <w:rsid w:val="00913AEB"/>
    <w:rsid w:val="00925088"/>
    <w:rsid w:val="00925EE8"/>
    <w:rsid w:val="00930E43"/>
    <w:rsid w:val="0093153B"/>
    <w:rsid w:val="00936D54"/>
    <w:rsid w:val="00940049"/>
    <w:rsid w:val="00940F87"/>
    <w:rsid w:val="00943BBC"/>
    <w:rsid w:val="00944F21"/>
    <w:rsid w:val="00953E6C"/>
    <w:rsid w:val="009540D7"/>
    <w:rsid w:val="009600E8"/>
    <w:rsid w:val="009613AD"/>
    <w:rsid w:val="00961E01"/>
    <w:rsid w:val="009705A1"/>
    <w:rsid w:val="009720A4"/>
    <w:rsid w:val="00973BA6"/>
    <w:rsid w:val="00973C30"/>
    <w:rsid w:val="0097438C"/>
    <w:rsid w:val="009751AF"/>
    <w:rsid w:val="00975A35"/>
    <w:rsid w:val="0099114A"/>
    <w:rsid w:val="009955AF"/>
    <w:rsid w:val="00996F35"/>
    <w:rsid w:val="009A112B"/>
    <w:rsid w:val="009A1DCC"/>
    <w:rsid w:val="009A2389"/>
    <w:rsid w:val="009A2DD0"/>
    <w:rsid w:val="009A56AF"/>
    <w:rsid w:val="009B0831"/>
    <w:rsid w:val="009B340F"/>
    <w:rsid w:val="009B6B83"/>
    <w:rsid w:val="009C0E76"/>
    <w:rsid w:val="009C3B6C"/>
    <w:rsid w:val="009C4382"/>
    <w:rsid w:val="009D0A65"/>
    <w:rsid w:val="009D35AA"/>
    <w:rsid w:val="009D58AB"/>
    <w:rsid w:val="009E2AAC"/>
    <w:rsid w:val="009E453A"/>
    <w:rsid w:val="009F326E"/>
    <w:rsid w:val="009F7086"/>
    <w:rsid w:val="009F7E01"/>
    <w:rsid w:val="00A04BED"/>
    <w:rsid w:val="00A065B8"/>
    <w:rsid w:val="00A1366F"/>
    <w:rsid w:val="00A136F3"/>
    <w:rsid w:val="00A16F22"/>
    <w:rsid w:val="00A23C20"/>
    <w:rsid w:val="00A27081"/>
    <w:rsid w:val="00A27BC9"/>
    <w:rsid w:val="00A35EDE"/>
    <w:rsid w:val="00A37658"/>
    <w:rsid w:val="00A47530"/>
    <w:rsid w:val="00A5090F"/>
    <w:rsid w:val="00A50CB9"/>
    <w:rsid w:val="00A51903"/>
    <w:rsid w:val="00A535B7"/>
    <w:rsid w:val="00A55E7B"/>
    <w:rsid w:val="00A571EF"/>
    <w:rsid w:val="00A60E7E"/>
    <w:rsid w:val="00A612DF"/>
    <w:rsid w:val="00A63E6D"/>
    <w:rsid w:val="00A64167"/>
    <w:rsid w:val="00A666E9"/>
    <w:rsid w:val="00A67A49"/>
    <w:rsid w:val="00A7104C"/>
    <w:rsid w:val="00A73F4C"/>
    <w:rsid w:val="00A7412B"/>
    <w:rsid w:val="00A86BC4"/>
    <w:rsid w:val="00A87372"/>
    <w:rsid w:val="00A92D53"/>
    <w:rsid w:val="00A94E4B"/>
    <w:rsid w:val="00A97D25"/>
    <w:rsid w:val="00A97DD5"/>
    <w:rsid w:val="00AA17B3"/>
    <w:rsid w:val="00AA240A"/>
    <w:rsid w:val="00AB044E"/>
    <w:rsid w:val="00AB1327"/>
    <w:rsid w:val="00AB2F6E"/>
    <w:rsid w:val="00AB3C62"/>
    <w:rsid w:val="00AB6F2A"/>
    <w:rsid w:val="00AC0F88"/>
    <w:rsid w:val="00AC2787"/>
    <w:rsid w:val="00AD077F"/>
    <w:rsid w:val="00AD1C89"/>
    <w:rsid w:val="00AD3D2D"/>
    <w:rsid w:val="00AD75C8"/>
    <w:rsid w:val="00AE075C"/>
    <w:rsid w:val="00AE3E3A"/>
    <w:rsid w:val="00AE42F3"/>
    <w:rsid w:val="00AE5ED6"/>
    <w:rsid w:val="00AF2ABA"/>
    <w:rsid w:val="00AF76F4"/>
    <w:rsid w:val="00B016A9"/>
    <w:rsid w:val="00B01E4F"/>
    <w:rsid w:val="00B02771"/>
    <w:rsid w:val="00B055C6"/>
    <w:rsid w:val="00B068CF"/>
    <w:rsid w:val="00B06F0D"/>
    <w:rsid w:val="00B10235"/>
    <w:rsid w:val="00B10C0F"/>
    <w:rsid w:val="00B17A9E"/>
    <w:rsid w:val="00B22812"/>
    <w:rsid w:val="00B27631"/>
    <w:rsid w:val="00B27974"/>
    <w:rsid w:val="00B34E33"/>
    <w:rsid w:val="00B42A1F"/>
    <w:rsid w:val="00B431AA"/>
    <w:rsid w:val="00B436BC"/>
    <w:rsid w:val="00B449AC"/>
    <w:rsid w:val="00B53782"/>
    <w:rsid w:val="00B5651C"/>
    <w:rsid w:val="00B57A23"/>
    <w:rsid w:val="00B60D08"/>
    <w:rsid w:val="00B664C2"/>
    <w:rsid w:val="00B67C55"/>
    <w:rsid w:val="00B67F83"/>
    <w:rsid w:val="00B70707"/>
    <w:rsid w:val="00B714A5"/>
    <w:rsid w:val="00B71DD8"/>
    <w:rsid w:val="00B751E6"/>
    <w:rsid w:val="00B8317E"/>
    <w:rsid w:val="00B96EBC"/>
    <w:rsid w:val="00BA04B7"/>
    <w:rsid w:val="00BA265F"/>
    <w:rsid w:val="00BA4416"/>
    <w:rsid w:val="00BB5482"/>
    <w:rsid w:val="00BC5D76"/>
    <w:rsid w:val="00BC7EA6"/>
    <w:rsid w:val="00BD79AD"/>
    <w:rsid w:val="00BE4C3B"/>
    <w:rsid w:val="00BF1EAE"/>
    <w:rsid w:val="00BF28D8"/>
    <w:rsid w:val="00C00D4B"/>
    <w:rsid w:val="00C06934"/>
    <w:rsid w:val="00C10438"/>
    <w:rsid w:val="00C10CE3"/>
    <w:rsid w:val="00C149D9"/>
    <w:rsid w:val="00C21A8B"/>
    <w:rsid w:val="00C237AE"/>
    <w:rsid w:val="00C2419B"/>
    <w:rsid w:val="00C25DEC"/>
    <w:rsid w:val="00C31B08"/>
    <w:rsid w:val="00C35921"/>
    <w:rsid w:val="00C40371"/>
    <w:rsid w:val="00C40CC9"/>
    <w:rsid w:val="00C4190D"/>
    <w:rsid w:val="00C42ECE"/>
    <w:rsid w:val="00C46C45"/>
    <w:rsid w:val="00C47088"/>
    <w:rsid w:val="00C50170"/>
    <w:rsid w:val="00C50F28"/>
    <w:rsid w:val="00C512BE"/>
    <w:rsid w:val="00C61059"/>
    <w:rsid w:val="00C656A4"/>
    <w:rsid w:val="00C65A8E"/>
    <w:rsid w:val="00C65E9B"/>
    <w:rsid w:val="00C762A2"/>
    <w:rsid w:val="00C772F5"/>
    <w:rsid w:val="00C852DE"/>
    <w:rsid w:val="00C92280"/>
    <w:rsid w:val="00C92D94"/>
    <w:rsid w:val="00C943E8"/>
    <w:rsid w:val="00CA1FF9"/>
    <w:rsid w:val="00CA5D8C"/>
    <w:rsid w:val="00CA6075"/>
    <w:rsid w:val="00CB468A"/>
    <w:rsid w:val="00CC19CC"/>
    <w:rsid w:val="00CC3F7F"/>
    <w:rsid w:val="00CC600D"/>
    <w:rsid w:val="00CC70BF"/>
    <w:rsid w:val="00CD38A6"/>
    <w:rsid w:val="00CD6597"/>
    <w:rsid w:val="00CD744B"/>
    <w:rsid w:val="00CE61E7"/>
    <w:rsid w:val="00CF34E9"/>
    <w:rsid w:val="00CF5816"/>
    <w:rsid w:val="00CF7BDA"/>
    <w:rsid w:val="00D06773"/>
    <w:rsid w:val="00D06A17"/>
    <w:rsid w:val="00D11CC1"/>
    <w:rsid w:val="00D200BB"/>
    <w:rsid w:val="00D20120"/>
    <w:rsid w:val="00D206EB"/>
    <w:rsid w:val="00D2263B"/>
    <w:rsid w:val="00D229C6"/>
    <w:rsid w:val="00D23984"/>
    <w:rsid w:val="00D270FC"/>
    <w:rsid w:val="00D34D13"/>
    <w:rsid w:val="00D3557A"/>
    <w:rsid w:val="00D367DB"/>
    <w:rsid w:val="00D4109E"/>
    <w:rsid w:val="00D414C9"/>
    <w:rsid w:val="00D451FD"/>
    <w:rsid w:val="00D569C7"/>
    <w:rsid w:val="00D61012"/>
    <w:rsid w:val="00D65998"/>
    <w:rsid w:val="00D6697F"/>
    <w:rsid w:val="00D67B46"/>
    <w:rsid w:val="00D73FBB"/>
    <w:rsid w:val="00D75325"/>
    <w:rsid w:val="00D75454"/>
    <w:rsid w:val="00D755BA"/>
    <w:rsid w:val="00D75FFE"/>
    <w:rsid w:val="00D76618"/>
    <w:rsid w:val="00D77C80"/>
    <w:rsid w:val="00D85288"/>
    <w:rsid w:val="00D85410"/>
    <w:rsid w:val="00D85F42"/>
    <w:rsid w:val="00D87756"/>
    <w:rsid w:val="00D93A2C"/>
    <w:rsid w:val="00D96F96"/>
    <w:rsid w:val="00DA5BA9"/>
    <w:rsid w:val="00DC2FAD"/>
    <w:rsid w:val="00DC3947"/>
    <w:rsid w:val="00DC6C1C"/>
    <w:rsid w:val="00DC774F"/>
    <w:rsid w:val="00DD647B"/>
    <w:rsid w:val="00DE2D8A"/>
    <w:rsid w:val="00DF12D0"/>
    <w:rsid w:val="00DF12E0"/>
    <w:rsid w:val="00DF6784"/>
    <w:rsid w:val="00E03495"/>
    <w:rsid w:val="00E042ED"/>
    <w:rsid w:val="00E1227A"/>
    <w:rsid w:val="00E16465"/>
    <w:rsid w:val="00E2233D"/>
    <w:rsid w:val="00E257B1"/>
    <w:rsid w:val="00E3392F"/>
    <w:rsid w:val="00E34265"/>
    <w:rsid w:val="00E34508"/>
    <w:rsid w:val="00E371DE"/>
    <w:rsid w:val="00E417E9"/>
    <w:rsid w:val="00E422E4"/>
    <w:rsid w:val="00E42305"/>
    <w:rsid w:val="00E4363D"/>
    <w:rsid w:val="00E46285"/>
    <w:rsid w:val="00E47848"/>
    <w:rsid w:val="00E540F1"/>
    <w:rsid w:val="00E542BA"/>
    <w:rsid w:val="00E54B07"/>
    <w:rsid w:val="00E5616B"/>
    <w:rsid w:val="00E573FF"/>
    <w:rsid w:val="00E628F9"/>
    <w:rsid w:val="00E629FF"/>
    <w:rsid w:val="00E62CD1"/>
    <w:rsid w:val="00E72480"/>
    <w:rsid w:val="00E72F36"/>
    <w:rsid w:val="00E757A8"/>
    <w:rsid w:val="00E80FCE"/>
    <w:rsid w:val="00E81888"/>
    <w:rsid w:val="00E818F2"/>
    <w:rsid w:val="00E8205B"/>
    <w:rsid w:val="00E826FC"/>
    <w:rsid w:val="00E8344C"/>
    <w:rsid w:val="00E8539C"/>
    <w:rsid w:val="00E914B7"/>
    <w:rsid w:val="00E93043"/>
    <w:rsid w:val="00E95A7C"/>
    <w:rsid w:val="00EA0183"/>
    <w:rsid w:val="00EA469B"/>
    <w:rsid w:val="00EA5A13"/>
    <w:rsid w:val="00EB0D11"/>
    <w:rsid w:val="00EB1099"/>
    <w:rsid w:val="00EB2B4E"/>
    <w:rsid w:val="00EB33C5"/>
    <w:rsid w:val="00EB4088"/>
    <w:rsid w:val="00EB498F"/>
    <w:rsid w:val="00EB4BCC"/>
    <w:rsid w:val="00EC375E"/>
    <w:rsid w:val="00EC7E01"/>
    <w:rsid w:val="00ED1464"/>
    <w:rsid w:val="00ED2487"/>
    <w:rsid w:val="00ED2AE3"/>
    <w:rsid w:val="00ED633D"/>
    <w:rsid w:val="00F02228"/>
    <w:rsid w:val="00F02CCD"/>
    <w:rsid w:val="00F02DEE"/>
    <w:rsid w:val="00F05ED5"/>
    <w:rsid w:val="00F109EE"/>
    <w:rsid w:val="00F14425"/>
    <w:rsid w:val="00F16AB7"/>
    <w:rsid w:val="00F24C55"/>
    <w:rsid w:val="00F26045"/>
    <w:rsid w:val="00F261B1"/>
    <w:rsid w:val="00F34E04"/>
    <w:rsid w:val="00F44841"/>
    <w:rsid w:val="00F45832"/>
    <w:rsid w:val="00F505C1"/>
    <w:rsid w:val="00F51530"/>
    <w:rsid w:val="00F54B9A"/>
    <w:rsid w:val="00F57653"/>
    <w:rsid w:val="00F57B04"/>
    <w:rsid w:val="00F66BFC"/>
    <w:rsid w:val="00F71A00"/>
    <w:rsid w:val="00F735E7"/>
    <w:rsid w:val="00F83190"/>
    <w:rsid w:val="00F85D74"/>
    <w:rsid w:val="00F96365"/>
    <w:rsid w:val="00FA6D25"/>
    <w:rsid w:val="00FB23E3"/>
    <w:rsid w:val="00FB24A9"/>
    <w:rsid w:val="00FB4D5D"/>
    <w:rsid w:val="00FB752C"/>
    <w:rsid w:val="00FC5813"/>
    <w:rsid w:val="00FD01C3"/>
    <w:rsid w:val="00FD31BA"/>
    <w:rsid w:val="00FD3BFA"/>
    <w:rsid w:val="00FD475A"/>
    <w:rsid w:val="00FD6941"/>
    <w:rsid w:val="00FE362A"/>
    <w:rsid w:val="00FE4799"/>
    <w:rsid w:val="00FF38D9"/>
    <w:rsid w:val="00FF3A58"/>
    <w:rsid w:val="00FF6199"/>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6664"/>
  <w14:defaultImageDpi w14:val="32767"/>
  <w15:chartTrackingRefBased/>
  <w15:docId w15:val="{9AFED574-74C0-9F40-92BD-AA9CC160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317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3177B"/>
    <w:pPr>
      <w:outlineLvl w:val="0"/>
    </w:pPr>
  </w:style>
  <w:style w:type="paragraph" w:styleId="Heading2">
    <w:name w:val="heading 2"/>
    <w:basedOn w:val="Normal"/>
    <w:next w:val="Normal"/>
    <w:link w:val="Heading2Char"/>
    <w:uiPriority w:val="9"/>
    <w:unhideWhenUsed/>
    <w:qFormat/>
    <w:rsid w:val="00870927"/>
    <w:pPr>
      <w:spacing w:line="480" w:lineRule="auto"/>
      <w:ind w:firstLine="720"/>
      <w:outlineLvl w:val="1"/>
    </w:pPr>
  </w:style>
  <w:style w:type="paragraph" w:styleId="Heading3">
    <w:name w:val="heading 3"/>
    <w:basedOn w:val="Normal"/>
    <w:next w:val="Normal"/>
    <w:link w:val="Heading3Char"/>
    <w:autoRedefine/>
    <w:uiPriority w:val="9"/>
    <w:semiHidden/>
    <w:unhideWhenUsed/>
    <w:qFormat/>
    <w:rsid w:val="006944C1"/>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77B"/>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6944C1"/>
    <w:pPr>
      <w:contextualSpacing/>
    </w:pPr>
    <w:rPr>
      <w:rFonts w:eastAsiaTheme="majorEastAsia" w:cstheme="majorBidi"/>
      <w:b/>
      <w:color w:val="000000" w:themeColor="text1"/>
      <w:spacing w:val="-10"/>
      <w:kern w:val="28"/>
      <w:sz w:val="28"/>
      <w:szCs w:val="56"/>
      <w:u w:val="single"/>
    </w:rPr>
  </w:style>
  <w:style w:type="character" w:customStyle="1" w:styleId="TitleChar">
    <w:name w:val="Title Char"/>
    <w:basedOn w:val="DefaultParagraphFont"/>
    <w:link w:val="Title"/>
    <w:uiPriority w:val="10"/>
    <w:rsid w:val="006944C1"/>
    <w:rPr>
      <w:rFonts w:eastAsiaTheme="majorEastAsia" w:cstheme="majorBidi"/>
      <w:b/>
      <w:color w:val="000000" w:themeColor="text1"/>
      <w:spacing w:val="-10"/>
      <w:kern w:val="28"/>
      <w:sz w:val="28"/>
      <w:szCs w:val="56"/>
      <w:u w:val="single"/>
    </w:rPr>
  </w:style>
  <w:style w:type="character" w:customStyle="1" w:styleId="Heading3Char">
    <w:name w:val="Heading 3 Char"/>
    <w:basedOn w:val="DefaultParagraphFont"/>
    <w:link w:val="Heading3"/>
    <w:uiPriority w:val="9"/>
    <w:semiHidden/>
    <w:rsid w:val="006944C1"/>
    <w:rPr>
      <w:rFonts w:eastAsiaTheme="majorEastAsia" w:cstheme="majorBidi"/>
      <w:b/>
      <w:i/>
    </w:rPr>
  </w:style>
  <w:style w:type="paragraph" w:styleId="ListParagraph">
    <w:name w:val="List Paragraph"/>
    <w:basedOn w:val="Normal"/>
    <w:uiPriority w:val="34"/>
    <w:qFormat/>
    <w:rsid w:val="008A2570"/>
    <w:pPr>
      <w:ind w:left="720"/>
      <w:contextualSpacing/>
    </w:pPr>
  </w:style>
  <w:style w:type="character" w:styleId="Hyperlink">
    <w:name w:val="Hyperlink"/>
    <w:basedOn w:val="DefaultParagraphFont"/>
    <w:uiPriority w:val="99"/>
    <w:unhideWhenUsed/>
    <w:rsid w:val="008A2570"/>
    <w:rPr>
      <w:color w:val="0563C1" w:themeColor="hyperlink"/>
      <w:u w:val="single"/>
    </w:rPr>
  </w:style>
  <w:style w:type="character" w:styleId="UnresolvedMention">
    <w:name w:val="Unresolved Mention"/>
    <w:basedOn w:val="DefaultParagraphFont"/>
    <w:uiPriority w:val="99"/>
    <w:rsid w:val="008A2570"/>
    <w:rPr>
      <w:color w:val="605E5C"/>
      <w:shd w:val="clear" w:color="auto" w:fill="E1DFDD"/>
    </w:rPr>
  </w:style>
  <w:style w:type="character" w:customStyle="1" w:styleId="ency">
    <w:name w:val="ency"/>
    <w:basedOn w:val="DefaultParagraphFont"/>
    <w:rsid w:val="00904BEC"/>
  </w:style>
  <w:style w:type="character" w:customStyle="1" w:styleId="Date1">
    <w:name w:val="Date1"/>
    <w:basedOn w:val="DefaultParagraphFont"/>
    <w:rsid w:val="00904BEC"/>
  </w:style>
  <w:style w:type="character" w:customStyle="1" w:styleId="Heading2Char">
    <w:name w:val="Heading 2 Char"/>
    <w:basedOn w:val="DefaultParagraphFont"/>
    <w:link w:val="Heading2"/>
    <w:uiPriority w:val="9"/>
    <w:rsid w:val="00870927"/>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27631"/>
    <w:rPr>
      <w:sz w:val="16"/>
      <w:szCs w:val="16"/>
    </w:rPr>
  </w:style>
  <w:style w:type="paragraph" w:styleId="CommentText">
    <w:name w:val="annotation text"/>
    <w:basedOn w:val="Normal"/>
    <w:link w:val="CommentTextChar"/>
    <w:uiPriority w:val="99"/>
    <w:semiHidden/>
    <w:unhideWhenUsed/>
    <w:rsid w:val="00B27631"/>
    <w:rPr>
      <w:rFonts w:ascii="Garamond" w:eastAsiaTheme="minorHAnsi" w:hAnsi="Garamond" w:cs="Times New Roman (Body CS)"/>
      <w:sz w:val="20"/>
      <w:szCs w:val="20"/>
      <w:lang w:eastAsia="en-US"/>
    </w:rPr>
  </w:style>
  <w:style w:type="character" w:customStyle="1" w:styleId="CommentTextChar">
    <w:name w:val="Comment Text Char"/>
    <w:basedOn w:val="DefaultParagraphFont"/>
    <w:link w:val="CommentText"/>
    <w:uiPriority w:val="99"/>
    <w:semiHidden/>
    <w:rsid w:val="00B27631"/>
    <w:rPr>
      <w:sz w:val="20"/>
      <w:szCs w:val="20"/>
    </w:rPr>
  </w:style>
  <w:style w:type="paragraph" w:styleId="FootnoteText">
    <w:name w:val="footnote text"/>
    <w:basedOn w:val="Normal"/>
    <w:link w:val="FootnoteTextChar"/>
    <w:uiPriority w:val="99"/>
    <w:unhideWhenUsed/>
    <w:rsid w:val="00BC7EA6"/>
    <w:rPr>
      <w:sz w:val="20"/>
      <w:szCs w:val="20"/>
    </w:rPr>
  </w:style>
  <w:style w:type="character" w:customStyle="1" w:styleId="FootnoteTextChar">
    <w:name w:val="Footnote Text Char"/>
    <w:basedOn w:val="DefaultParagraphFont"/>
    <w:link w:val="FootnoteText"/>
    <w:uiPriority w:val="99"/>
    <w:rsid w:val="00BC7EA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C7EA6"/>
    <w:rPr>
      <w:vertAlign w:val="superscript"/>
    </w:rPr>
  </w:style>
  <w:style w:type="paragraph" w:styleId="CommentSubject">
    <w:name w:val="annotation subject"/>
    <w:basedOn w:val="CommentText"/>
    <w:next w:val="CommentText"/>
    <w:link w:val="CommentSubjectChar"/>
    <w:uiPriority w:val="99"/>
    <w:semiHidden/>
    <w:unhideWhenUsed/>
    <w:rsid w:val="0064780A"/>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64780A"/>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B46FB"/>
    <w:rPr>
      <w:color w:val="954F72" w:themeColor="followedHyperlink"/>
      <w:u w:val="single"/>
    </w:rPr>
  </w:style>
  <w:style w:type="character" w:styleId="Emphasis">
    <w:name w:val="Emphasis"/>
    <w:basedOn w:val="DefaultParagraphFont"/>
    <w:uiPriority w:val="20"/>
    <w:qFormat/>
    <w:rsid w:val="00146E59"/>
    <w:rPr>
      <w:i/>
      <w:iCs/>
    </w:rPr>
  </w:style>
  <w:style w:type="paragraph" w:styleId="Header">
    <w:name w:val="header"/>
    <w:basedOn w:val="Normal"/>
    <w:link w:val="HeaderChar"/>
    <w:uiPriority w:val="99"/>
    <w:unhideWhenUsed/>
    <w:rsid w:val="0058236E"/>
    <w:pPr>
      <w:tabs>
        <w:tab w:val="center" w:pos="4680"/>
        <w:tab w:val="right" w:pos="9360"/>
      </w:tabs>
    </w:pPr>
  </w:style>
  <w:style w:type="character" w:customStyle="1" w:styleId="HeaderChar">
    <w:name w:val="Header Char"/>
    <w:basedOn w:val="DefaultParagraphFont"/>
    <w:link w:val="Header"/>
    <w:uiPriority w:val="99"/>
    <w:rsid w:val="0058236E"/>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8236E"/>
  </w:style>
  <w:style w:type="paragraph" w:styleId="BalloonText">
    <w:name w:val="Balloon Text"/>
    <w:basedOn w:val="Normal"/>
    <w:link w:val="BalloonTextChar"/>
    <w:uiPriority w:val="99"/>
    <w:semiHidden/>
    <w:unhideWhenUsed/>
    <w:rsid w:val="00B01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A9"/>
    <w:rPr>
      <w:rFonts w:ascii="Segoe UI" w:eastAsia="Times New Roman" w:hAnsi="Segoe UI" w:cs="Segoe UI"/>
      <w:sz w:val="18"/>
      <w:szCs w:val="18"/>
      <w:lang w:eastAsia="en-GB"/>
    </w:rPr>
  </w:style>
  <w:style w:type="paragraph" w:styleId="Footer">
    <w:name w:val="footer"/>
    <w:basedOn w:val="Normal"/>
    <w:link w:val="FooterChar"/>
    <w:uiPriority w:val="99"/>
    <w:unhideWhenUsed/>
    <w:rsid w:val="00B431AA"/>
    <w:pPr>
      <w:tabs>
        <w:tab w:val="center" w:pos="4513"/>
        <w:tab w:val="right" w:pos="9026"/>
      </w:tabs>
    </w:pPr>
  </w:style>
  <w:style w:type="character" w:customStyle="1" w:styleId="FooterChar">
    <w:name w:val="Footer Char"/>
    <w:basedOn w:val="DefaultParagraphFont"/>
    <w:link w:val="Footer"/>
    <w:uiPriority w:val="99"/>
    <w:rsid w:val="00B431AA"/>
    <w:rPr>
      <w:rFonts w:ascii="Times New Roman" w:eastAsia="Times New Roman" w:hAnsi="Times New Roman" w:cs="Times New Roman"/>
      <w:lang w:eastAsia="en-GB"/>
    </w:rPr>
  </w:style>
  <w:style w:type="paragraph" w:styleId="Revision">
    <w:name w:val="Revision"/>
    <w:hidden/>
    <w:uiPriority w:val="99"/>
    <w:semiHidden/>
    <w:rsid w:val="009A238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5562">
      <w:bodyDiv w:val="1"/>
      <w:marLeft w:val="0"/>
      <w:marRight w:val="0"/>
      <w:marTop w:val="0"/>
      <w:marBottom w:val="0"/>
      <w:divBdr>
        <w:top w:val="none" w:sz="0" w:space="0" w:color="auto"/>
        <w:left w:val="none" w:sz="0" w:space="0" w:color="auto"/>
        <w:bottom w:val="none" w:sz="0" w:space="0" w:color="auto"/>
        <w:right w:val="none" w:sz="0" w:space="0" w:color="auto"/>
      </w:divBdr>
    </w:div>
    <w:div w:id="114495162">
      <w:bodyDiv w:val="1"/>
      <w:marLeft w:val="0"/>
      <w:marRight w:val="0"/>
      <w:marTop w:val="0"/>
      <w:marBottom w:val="0"/>
      <w:divBdr>
        <w:top w:val="none" w:sz="0" w:space="0" w:color="auto"/>
        <w:left w:val="none" w:sz="0" w:space="0" w:color="auto"/>
        <w:bottom w:val="none" w:sz="0" w:space="0" w:color="auto"/>
        <w:right w:val="none" w:sz="0" w:space="0" w:color="auto"/>
      </w:divBdr>
    </w:div>
    <w:div w:id="120733457">
      <w:bodyDiv w:val="1"/>
      <w:marLeft w:val="0"/>
      <w:marRight w:val="0"/>
      <w:marTop w:val="0"/>
      <w:marBottom w:val="0"/>
      <w:divBdr>
        <w:top w:val="none" w:sz="0" w:space="0" w:color="auto"/>
        <w:left w:val="none" w:sz="0" w:space="0" w:color="auto"/>
        <w:bottom w:val="none" w:sz="0" w:space="0" w:color="auto"/>
        <w:right w:val="none" w:sz="0" w:space="0" w:color="auto"/>
      </w:divBdr>
    </w:div>
    <w:div w:id="153648553">
      <w:bodyDiv w:val="1"/>
      <w:marLeft w:val="0"/>
      <w:marRight w:val="0"/>
      <w:marTop w:val="0"/>
      <w:marBottom w:val="0"/>
      <w:divBdr>
        <w:top w:val="none" w:sz="0" w:space="0" w:color="auto"/>
        <w:left w:val="none" w:sz="0" w:space="0" w:color="auto"/>
        <w:bottom w:val="none" w:sz="0" w:space="0" w:color="auto"/>
        <w:right w:val="none" w:sz="0" w:space="0" w:color="auto"/>
      </w:divBdr>
    </w:div>
    <w:div w:id="204566625">
      <w:bodyDiv w:val="1"/>
      <w:marLeft w:val="0"/>
      <w:marRight w:val="0"/>
      <w:marTop w:val="0"/>
      <w:marBottom w:val="0"/>
      <w:divBdr>
        <w:top w:val="none" w:sz="0" w:space="0" w:color="auto"/>
        <w:left w:val="none" w:sz="0" w:space="0" w:color="auto"/>
        <w:bottom w:val="none" w:sz="0" w:space="0" w:color="auto"/>
        <w:right w:val="none" w:sz="0" w:space="0" w:color="auto"/>
      </w:divBdr>
    </w:div>
    <w:div w:id="236481936">
      <w:bodyDiv w:val="1"/>
      <w:marLeft w:val="0"/>
      <w:marRight w:val="0"/>
      <w:marTop w:val="0"/>
      <w:marBottom w:val="0"/>
      <w:divBdr>
        <w:top w:val="none" w:sz="0" w:space="0" w:color="auto"/>
        <w:left w:val="none" w:sz="0" w:space="0" w:color="auto"/>
        <w:bottom w:val="none" w:sz="0" w:space="0" w:color="auto"/>
        <w:right w:val="none" w:sz="0" w:space="0" w:color="auto"/>
      </w:divBdr>
    </w:div>
    <w:div w:id="336733365">
      <w:bodyDiv w:val="1"/>
      <w:marLeft w:val="0"/>
      <w:marRight w:val="0"/>
      <w:marTop w:val="0"/>
      <w:marBottom w:val="0"/>
      <w:divBdr>
        <w:top w:val="none" w:sz="0" w:space="0" w:color="auto"/>
        <w:left w:val="none" w:sz="0" w:space="0" w:color="auto"/>
        <w:bottom w:val="none" w:sz="0" w:space="0" w:color="auto"/>
        <w:right w:val="none" w:sz="0" w:space="0" w:color="auto"/>
      </w:divBdr>
    </w:div>
    <w:div w:id="388386636">
      <w:bodyDiv w:val="1"/>
      <w:marLeft w:val="0"/>
      <w:marRight w:val="0"/>
      <w:marTop w:val="0"/>
      <w:marBottom w:val="0"/>
      <w:divBdr>
        <w:top w:val="none" w:sz="0" w:space="0" w:color="auto"/>
        <w:left w:val="none" w:sz="0" w:space="0" w:color="auto"/>
        <w:bottom w:val="none" w:sz="0" w:space="0" w:color="auto"/>
        <w:right w:val="none" w:sz="0" w:space="0" w:color="auto"/>
      </w:divBdr>
    </w:div>
    <w:div w:id="427508628">
      <w:bodyDiv w:val="1"/>
      <w:marLeft w:val="0"/>
      <w:marRight w:val="0"/>
      <w:marTop w:val="0"/>
      <w:marBottom w:val="0"/>
      <w:divBdr>
        <w:top w:val="none" w:sz="0" w:space="0" w:color="auto"/>
        <w:left w:val="none" w:sz="0" w:space="0" w:color="auto"/>
        <w:bottom w:val="none" w:sz="0" w:space="0" w:color="auto"/>
        <w:right w:val="none" w:sz="0" w:space="0" w:color="auto"/>
      </w:divBdr>
    </w:div>
    <w:div w:id="457920728">
      <w:bodyDiv w:val="1"/>
      <w:marLeft w:val="0"/>
      <w:marRight w:val="0"/>
      <w:marTop w:val="0"/>
      <w:marBottom w:val="0"/>
      <w:divBdr>
        <w:top w:val="none" w:sz="0" w:space="0" w:color="auto"/>
        <w:left w:val="none" w:sz="0" w:space="0" w:color="auto"/>
        <w:bottom w:val="none" w:sz="0" w:space="0" w:color="auto"/>
        <w:right w:val="none" w:sz="0" w:space="0" w:color="auto"/>
      </w:divBdr>
    </w:div>
    <w:div w:id="484051288">
      <w:bodyDiv w:val="1"/>
      <w:marLeft w:val="0"/>
      <w:marRight w:val="0"/>
      <w:marTop w:val="0"/>
      <w:marBottom w:val="0"/>
      <w:divBdr>
        <w:top w:val="none" w:sz="0" w:space="0" w:color="auto"/>
        <w:left w:val="none" w:sz="0" w:space="0" w:color="auto"/>
        <w:bottom w:val="none" w:sz="0" w:space="0" w:color="auto"/>
        <w:right w:val="none" w:sz="0" w:space="0" w:color="auto"/>
      </w:divBdr>
    </w:div>
    <w:div w:id="501360126">
      <w:bodyDiv w:val="1"/>
      <w:marLeft w:val="0"/>
      <w:marRight w:val="0"/>
      <w:marTop w:val="0"/>
      <w:marBottom w:val="0"/>
      <w:divBdr>
        <w:top w:val="none" w:sz="0" w:space="0" w:color="auto"/>
        <w:left w:val="none" w:sz="0" w:space="0" w:color="auto"/>
        <w:bottom w:val="none" w:sz="0" w:space="0" w:color="auto"/>
        <w:right w:val="none" w:sz="0" w:space="0" w:color="auto"/>
      </w:divBdr>
    </w:div>
    <w:div w:id="548616209">
      <w:bodyDiv w:val="1"/>
      <w:marLeft w:val="0"/>
      <w:marRight w:val="0"/>
      <w:marTop w:val="0"/>
      <w:marBottom w:val="0"/>
      <w:divBdr>
        <w:top w:val="none" w:sz="0" w:space="0" w:color="auto"/>
        <w:left w:val="none" w:sz="0" w:space="0" w:color="auto"/>
        <w:bottom w:val="none" w:sz="0" w:space="0" w:color="auto"/>
        <w:right w:val="none" w:sz="0" w:space="0" w:color="auto"/>
      </w:divBdr>
    </w:div>
    <w:div w:id="573778920">
      <w:bodyDiv w:val="1"/>
      <w:marLeft w:val="0"/>
      <w:marRight w:val="0"/>
      <w:marTop w:val="0"/>
      <w:marBottom w:val="0"/>
      <w:divBdr>
        <w:top w:val="none" w:sz="0" w:space="0" w:color="auto"/>
        <w:left w:val="none" w:sz="0" w:space="0" w:color="auto"/>
        <w:bottom w:val="none" w:sz="0" w:space="0" w:color="auto"/>
        <w:right w:val="none" w:sz="0" w:space="0" w:color="auto"/>
      </w:divBdr>
      <w:divsChild>
        <w:div w:id="1511025522">
          <w:marLeft w:val="480"/>
          <w:marRight w:val="0"/>
          <w:marTop w:val="0"/>
          <w:marBottom w:val="0"/>
          <w:divBdr>
            <w:top w:val="none" w:sz="0" w:space="0" w:color="auto"/>
            <w:left w:val="none" w:sz="0" w:space="0" w:color="auto"/>
            <w:bottom w:val="none" w:sz="0" w:space="0" w:color="auto"/>
            <w:right w:val="none" w:sz="0" w:space="0" w:color="auto"/>
          </w:divBdr>
          <w:divsChild>
            <w:div w:id="1797025217">
              <w:marLeft w:val="0"/>
              <w:marRight w:val="0"/>
              <w:marTop w:val="0"/>
              <w:marBottom w:val="240"/>
              <w:divBdr>
                <w:top w:val="none" w:sz="0" w:space="0" w:color="auto"/>
                <w:left w:val="none" w:sz="0" w:space="0" w:color="auto"/>
                <w:bottom w:val="none" w:sz="0" w:space="0" w:color="auto"/>
                <w:right w:val="none" w:sz="0" w:space="0" w:color="auto"/>
              </w:divBdr>
            </w:div>
            <w:div w:id="8069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730">
      <w:bodyDiv w:val="1"/>
      <w:marLeft w:val="0"/>
      <w:marRight w:val="0"/>
      <w:marTop w:val="0"/>
      <w:marBottom w:val="0"/>
      <w:divBdr>
        <w:top w:val="none" w:sz="0" w:space="0" w:color="auto"/>
        <w:left w:val="none" w:sz="0" w:space="0" w:color="auto"/>
        <w:bottom w:val="none" w:sz="0" w:space="0" w:color="auto"/>
        <w:right w:val="none" w:sz="0" w:space="0" w:color="auto"/>
      </w:divBdr>
    </w:div>
    <w:div w:id="687439854">
      <w:bodyDiv w:val="1"/>
      <w:marLeft w:val="0"/>
      <w:marRight w:val="0"/>
      <w:marTop w:val="0"/>
      <w:marBottom w:val="0"/>
      <w:divBdr>
        <w:top w:val="none" w:sz="0" w:space="0" w:color="auto"/>
        <w:left w:val="none" w:sz="0" w:space="0" w:color="auto"/>
        <w:bottom w:val="none" w:sz="0" w:space="0" w:color="auto"/>
        <w:right w:val="none" w:sz="0" w:space="0" w:color="auto"/>
      </w:divBdr>
    </w:div>
    <w:div w:id="743454869">
      <w:bodyDiv w:val="1"/>
      <w:marLeft w:val="0"/>
      <w:marRight w:val="0"/>
      <w:marTop w:val="0"/>
      <w:marBottom w:val="0"/>
      <w:divBdr>
        <w:top w:val="none" w:sz="0" w:space="0" w:color="auto"/>
        <w:left w:val="none" w:sz="0" w:space="0" w:color="auto"/>
        <w:bottom w:val="none" w:sz="0" w:space="0" w:color="auto"/>
        <w:right w:val="none" w:sz="0" w:space="0" w:color="auto"/>
      </w:divBdr>
    </w:div>
    <w:div w:id="809598030">
      <w:bodyDiv w:val="1"/>
      <w:marLeft w:val="0"/>
      <w:marRight w:val="0"/>
      <w:marTop w:val="0"/>
      <w:marBottom w:val="0"/>
      <w:divBdr>
        <w:top w:val="none" w:sz="0" w:space="0" w:color="auto"/>
        <w:left w:val="none" w:sz="0" w:space="0" w:color="auto"/>
        <w:bottom w:val="none" w:sz="0" w:space="0" w:color="auto"/>
        <w:right w:val="none" w:sz="0" w:space="0" w:color="auto"/>
      </w:divBdr>
    </w:div>
    <w:div w:id="948240537">
      <w:bodyDiv w:val="1"/>
      <w:marLeft w:val="0"/>
      <w:marRight w:val="0"/>
      <w:marTop w:val="0"/>
      <w:marBottom w:val="0"/>
      <w:divBdr>
        <w:top w:val="none" w:sz="0" w:space="0" w:color="auto"/>
        <w:left w:val="none" w:sz="0" w:space="0" w:color="auto"/>
        <w:bottom w:val="none" w:sz="0" w:space="0" w:color="auto"/>
        <w:right w:val="none" w:sz="0" w:space="0" w:color="auto"/>
      </w:divBdr>
    </w:div>
    <w:div w:id="1014764760">
      <w:bodyDiv w:val="1"/>
      <w:marLeft w:val="0"/>
      <w:marRight w:val="0"/>
      <w:marTop w:val="0"/>
      <w:marBottom w:val="0"/>
      <w:divBdr>
        <w:top w:val="none" w:sz="0" w:space="0" w:color="auto"/>
        <w:left w:val="none" w:sz="0" w:space="0" w:color="auto"/>
        <w:bottom w:val="none" w:sz="0" w:space="0" w:color="auto"/>
        <w:right w:val="none" w:sz="0" w:space="0" w:color="auto"/>
      </w:divBdr>
    </w:div>
    <w:div w:id="1113205933">
      <w:bodyDiv w:val="1"/>
      <w:marLeft w:val="0"/>
      <w:marRight w:val="0"/>
      <w:marTop w:val="0"/>
      <w:marBottom w:val="0"/>
      <w:divBdr>
        <w:top w:val="none" w:sz="0" w:space="0" w:color="auto"/>
        <w:left w:val="none" w:sz="0" w:space="0" w:color="auto"/>
        <w:bottom w:val="none" w:sz="0" w:space="0" w:color="auto"/>
        <w:right w:val="none" w:sz="0" w:space="0" w:color="auto"/>
      </w:divBdr>
    </w:div>
    <w:div w:id="1133717242">
      <w:bodyDiv w:val="1"/>
      <w:marLeft w:val="0"/>
      <w:marRight w:val="0"/>
      <w:marTop w:val="0"/>
      <w:marBottom w:val="0"/>
      <w:divBdr>
        <w:top w:val="none" w:sz="0" w:space="0" w:color="auto"/>
        <w:left w:val="none" w:sz="0" w:space="0" w:color="auto"/>
        <w:bottom w:val="none" w:sz="0" w:space="0" w:color="auto"/>
        <w:right w:val="none" w:sz="0" w:space="0" w:color="auto"/>
      </w:divBdr>
    </w:div>
    <w:div w:id="1185678836">
      <w:bodyDiv w:val="1"/>
      <w:marLeft w:val="0"/>
      <w:marRight w:val="0"/>
      <w:marTop w:val="0"/>
      <w:marBottom w:val="0"/>
      <w:divBdr>
        <w:top w:val="none" w:sz="0" w:space="0" w:color="auto"/>
        <w:left w:val="none" w:sz="0" w:space="0" w:color="auto"/>
        <w:bottom w:val="none" w:sz="0" w:space="0" w:color="auto"/>
        <w:right w:val="none" w:sz="0" w:space="0" w:color="auto"/>
      </w:divBdr>
    </w:div>
    <w:div w:id="1200357752">
      <w:bodyDiv w:val="1"/>
      <w:marLeft w:val="0"/>
      <w:marRight w:val="0"/>
      <w:marTop w:val="0"/>
      <w:marBottom w:val="0"/>
      <w:divBdr>
        <w:top w:val="none" w:sz="0" w:space="0" w:color="auto"/>
        <w:left w:val="none" w:sz="0" w:space="0" w:color="auto"/>
        <w:bottom w:val="none" w:sz="0" w:space="0" w:color="auto"/>
        <w:right w:val="none" w:sz="0" w:space="0" w:color="auto"/>
      </w:divBdr>
    </w:div>
    <w:div w:id="1281301726">
      <w:bodyDiv w:val="1"/>
      <w:marLeft w:val="0"/>
      <w:marRight w:val="0"/>
      <w:marTop w:val="0"/>
      <w:marBottom w:val="0"/>
      <w:divBdr>
        <w:top w:val="none" w:sz="0" w:space="0" w:color="auto"/>
        <w:left w:val="none" w:sz="0" w:space="0" w:color="auto"/>
        <w:bottom w:val="none" w:sz="0" w:space="0" w:color="auto"/>
        <w:right w:val="none" w:sz="0" w:space="0" w:color="auto"/>
      </w:divBdr>
    </w:div>
    <w:div w:id="1303197587">
      <w:bodyDiv w:val="1"/>
      <w:marLeft w:val="0"/>
      <w:marRight w:val="0"/>
      <w:marTop w:val="0"/>
      <w:marBottom w:val="0"/>
      <w:divBdr>
        <w:top w:val="none" w:sz="0" w:space="0" w:color="auto"/>
        <w:left w:val="none" w:sz="0" w:space="0" w:color="auto"/>
        <w:bottom w:val="none" w:sz="0" w:space="0" w:color="auto"/>
        <w:right w:val="none" w:sz="0" w:space="0" w:color="auto"/>
      </w:divBdr>
    </w:div>
    <w:div w:id="1399935542">
      <w:bodyDiv w:val="1"/>
      <w:marLeft w:val="0"/>
      <w:marRight w:val="0"/>
      <w:marTop w:val="0"/>
      <w:marBottom w:val="0"/>
      <w:divBdr>
        <w:top w:val="none" w:sz="0" w:space="0" w:color="auto"/>
        <w:left w:val="none" w:sz="0" w:space="0" w:color="auto"/>
        <w:bottom w:val="none" w:sz="0" w:space="0" w:color="auto"/>
        <w:right w:val="none" w:sz="0" w:space="0" w:color="auto"/>
      </w:divBdr>
    </w:div>
    <w:div w:id="1408652805">
      <w:bodyDiv w:val="1"/>
      <w:marLeft w:val="0"/>
      <w:marRight w:val="0"/>
      <w:marTop w:val="0"/>
      <w:marBottom w:val="0"/>
      <w:divBdr>
        <w:top w:val="none" w:sz="0" w:space="0" w:color="auto"/>
        <w:left w:val="none" w:sz="0" w:space="0" w:color="auto"/>
        <w:bottom w:val="none" w:sz="0" w:space="0" w:color="auto"/>
        <w:right w:val="none" w:sz="0" w:space="0" w:color="auto"/>
      </w:divBdr>
    </w:div>
    <w:div w:id="1573346984">
      <w:bodyDiv w:val="1"/>
      <w:marLeft w:val="0"/>
      <w:marRight w:val="0"/>
      <w:marTop w:val="0"/>
      <w:marBottom w:val="0"/>
      <w:divBdr>
        <w:top w:val="none" w:sz="0" w:space="0" w:color="auto"/>
        <w:left w:val="none" w:sz="0" w:space="0" w:color="auto"/>
        <w:bottom w:val="none" w:sz="0" w:space="0" w:color="auto"/>
        <w:right w:val="none" w:sz="0" w:space="0" w:color="auto"/>
      </w:divBdr>
    </w:div>
    <w:div w:id="1581213092">
      <w:bodyDiv w:val="1"/>
      <w:marLeft w:val="0"/>
      <w:marRight w:val="0"/>
      <w:marTop w:val="0"/>
      <w:marBottom w:val="0"/>
      <w:divBdr>
        <w:top w:val="none" w:sz="0" w:space="0" w:color="auto"/>
        <w:left w:val="none" w:sz="0" w:space="0" w:color="auto"/>
        <w:bottom w:val="none" w:sz="0" w:space="0" w:color="auto"/>
        <w:right w:val="none" w:sz="0" w:space="0" w:color="auto"/>
      </w:divBdr>
    </w:div>
    <w:div w:id="1665546495">
      <w:bodyDiv w:val="1"/>
      <w:marLeft w:val="0"/>
      <w:marRight w:val="0"/>
      <w:marTop w:val="0"/>
      <w:marBottom w:val="0"/>
      <w:divBdr>
        <w:top w:val="none" w:sz="0" w:space="0" w:color="auto"/>
        <w:left w:val="none" w:sz="0" w:space="0" w:color="auto"/>
        <w:bottom w:val="none" w:sz="0" w:space="0" w:color="auto"/>
        <w:right w:val="none" w:sz="0" w:space="0" w:color="auto"/>
      </w:divBdr>
    </w:div>
    <w:div w:id="1774668156">
      <w:bodyDiv w:val="1"/>
      <w:marLeft w:val="0"/>
      <w:marRight w:val="0"/>
      <w:marTop w:val="0"/>
      <w:marBottom w:val="0"/>
      <w:divBdr>
        <w:top w:val="none" w:sz="0" w:space="0" w:color="auto"/>
        <w:left w:val="none" w:sz="0" w:space="0" w:color="auto"/>
        <w:bottom w:val="none" w:sz="0" w:space="0" w:color="auto"/>
        <w:right w:val="none" w:sz="0" w:space="0" w:color="auto"/>
      </w:divBdr>
    </w:div>
    <w:div w:id="1829832085">
      <w:bodyDiv w:val="1"/>
      <w:marLeft w:val="0"/>
      <w:marRight w:val="0"/>
      <w:marTop w:val="0"/>
      <w:marBottom w:val="0"/>
      <w:divBdr>
        <w:top w:val="none" w:sz="0" w:space="0" w:color="auto"/>
        <w:left w:val="none" w:sz="0" w:space="0" w:color="auto"/>
        <w:bottom w:val="none" w:sz="0" w:space="0" w:color="auto"/>
        <w:right w:val="none" w:sz="0" w:space="0" w:color="auto"/>
      </w:divBdr>
    </w:div>
    <w:div w:id="1832867201">
      <w:bodyDiv w:val="1"/>
      <w:marLeft w:val="0"/>
      <w:marRight w:val="0"/>
      <w:marTop w:val="0"/>
      <w:marBottom w:val="0"/>
      <w:divBdr>
        <w:top w:val="none" w:sz="0" w:space="0" w:color="auto"/>
        <w:left w:val="none" w:sz="0" w:space="0" w:color="auto"/>
        <w:bottom w:val="none" w:sz="0" w:space="0" w:color="auto"/>
        <w:right w:val="none" w:sz="0" w:space="0" w:color="auto"/>
      </w:divBdr>
    </w:div>
    <w:div w:id="1836065347">
      <w:bodyDiv w:val="1"/>
      <w:marLeft w:val="0"/>
      <w:marRight w:val="0"/>
      <w:marTop w:val="0"/>
      <w:marBottom w:val="0"/>
      <w:divBdr>
        <w:top w:val="none" w:sz="0" w:space="0" w:color="auto"/>
        <w:left w:val="none" w:sz="0" w:space="0" w:color="auto"/>
        <w:bottom w:val="none" w:sz="0" w:space="0" w:color="auto"/>
        <w:right w:val="none" w:sz="0" w:space="0" w:color="auto"/>
      </w:divBdr>
    </w:div>
    <w:div w:id="1860772163">
      <w:bodyDiv w:val="1"/>
      <w:marLeft w:val="0"/>
      <w:marRight w:val="0"/>
      <w:marTop w:val="0"/>
      <w:marBottom w:val="0"/>
      <w:divBdr>
        <w:top w:val="none" w:sz="0" w:space="0" w:color="auto"/>
        <w:left w:val="none" w:sz="0" w:space="0" w:color="auto"/>
        <w:bottom w:val="none" w:sz="0" w:space="0" w:color="auto"/>
        <w:right w:val="none" w:sz="0" w:space="0" w:color="auto"/>
      </w:divBdr>
    </w:div>
    <w:div w:id="1936017882">
      <w:bodyDiv w:val="1"/>
      <w:marLeft w:val="0"/>
      <w:marRight w:val="0"/>
      <w:marTop w:val="0"/>
      <w:marBottom w:val="0"/>
      <w:divBdr>
        <w:top w:val="none" w:sz="0" w:space="0" w:color="auto"/>
        <w:left w:val="none" w:sz="0" w:space="0" w:color="auto"/>
        <w:bottom w:val="none" w:sz="0" w:space="0" w:color="auto"/>
        <w:right w:val="none" w:sz="0" w:space="0" w:color="auto"/>
      </w:divBdr>
    </w:div>
    <w:div w:id="1991397559">
      <w:bodyDiv w:val="1"/>
      <w:marLeft w:val="0"/>
      <w:marRight w:val="0"/>
      <w:marTop w:val="0"/>
      <w:marBottom w:val="0"/>
      <w:divBdr>
        <w:top w:val="none" w:sz="0" w:space="0" w:color="auto"/>
        <w:left w:val="none" w:sz="0" w:space="0" w:color="auto"/>
        <w:bottom w:val="none" w:sz="0" w:space="0" w:color="auto"/>
        <w:right w:val="none" w:sz="0" w:space="0" w:color="auto"/>
      </w:divBdr>
    </w:div>
    <w:div w:id="2006129831">
      <w:bodyDiv w:val="1"/>
      <w:marLeft w:val="0"/>
      <w:marRight w:val="0"/>
      <w:marTop w:val="0"/>
      <w:marBottom w:val="0"/>
      <w:divBdr>
        <w:top w:val="none" w:sz="0" w:space="0" w:color="auto"/>
        <w:left w:val="none" w:sz="0" w:space="0" w:color="auto"/>
        <w:bottom w:val="none" w:sz="0" w:space="0" w:color="auto"/>
        <w:right w:val="none" w:sz="0" w:space="0" w:color="auto"/>
      </w:divBdr>
    </w:div>
    <w:div w:id="2043091723">
      <w:bodyDiv w:val="1"/>
      <w:marLeft w:val="0"/>
      <w:marRight w:val="0"/>
      <w:marTop w:val="0"/>
      <w:marBottom w:val="0"/>
      <w:divBdr>
        <w:top w:val="none" w:sz="0" w:space="0" w:color="auto"/>
        <w:left w:val="none" w:sz="0" w:space="0" w:color="auto"/>
        <w:bottom w:val="none" w:sz="0" w:space="0" w:color="auto"/>
        <w:right w:val="none" w:sz="0" w:space="0" w:color="auto"/>
      </w:divBdr>
    </w:div>
    <w:div w:id="2109767021">
      <w:bodyDiv w:val="1"/>
      <w:marLeft w:val="0"/>
      <w:marRight w:val="0"/>
      <w:marTop w:val="0"/>
      <w:marBottom w:val="0"/>
      <w:divBdr>
        <w:top w:val="none" w:sz="0" w:space="0" w:color="auto"/>
        <w:left w:val="none" w:sz="0" w:space="0" w:color="auto"/>
        <w:bottom w:val="none" w:sz="0" w:space="0" w:color="auto"/>
        <w:right w:val="none" w:sz="0" w:space="0" w:color="auto"/>
      </w:divBdr>
      <w:divsChild>
        <w:div w:id="83946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93/ref:odnb/67979" TargetMode="External"/><Relationship Id="rId7" Type="http://schemas.openxmlformats.org/officeDocument/2006/relationships/hyperlink" Target="https://doi.org/10.1093/ref:odnb/69054" TargetMode="External"/><Relationship Id="rId2" Type="http://schemas.openxmlformats.org/officeDocument/2006/relationships/hyperlink" Target="https://doi.org/10.1093/ref:odnb/16950" TargetMode="External"/><Relationship Id="rId1" Type="http://schemas.openxmlformats.org/officeDocument/2006/relationships/hyperlink" Target="https://doi.org/10.1093/ref:odnb/16951" TargetMode="External"/><Relationship Id="rId6" Type="http://schemas.openxmlformats.org/officeDocument/2006/relationships/hyperlink" Target="https://doi.org/10.1093/ref:odnb/20271" TargetMode="External"/><Relationship Id="rId5" Type="http://schemas.openxmlformats.org/officeDocument/2006/relationships/hyperlink" Target="https://doi.org/10.1093/ref:odnb/20272" TargetMode="External"/><Relationship Id="rId4" Type="http://schemas.openxmlformats.org/officeDocument/2006/relationships/hyperlink" Target="https://www.findagrave.com/memorial/138594481/catharine-lo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7071</Words>
  <Characters>37406</Characters>
  <Application>Microsoft Office Word</Application>
  <DocSecurity>0</DocSecurity>
  <Lines>1100</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Stevenson</dc:creator>
  <cp:keywords/>
  <dc:description/>
  <cp:lastModifiedBy>Emily Stevenson</cp:lastModifiedBy>
  <cp:revision>2</cp:revision>
  <cp:lastPrinted>2023-01-05T10:03:00Z</cp:lastPrinted>
  <dcterms:created xsi:type="dcterms:W3CDTF">2023-10-12T17:10:00Z</dcterms:created>
  <dcterms:modified xsi:type="dcterms:W3CDTF">2023-10-12T17:10:00Z</dcterms:modified>
  <cp:category/>
</cp:coreProperties>
</file>