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E1029F" w14:textId="77777777" w:rsidR="009246AD" w:rsidRDefault="009246AD">
      <w:pPr>
        <w:pStyle w:val="BodyText"/>
        <w:rPr>
          <w:sz w:val="36"/>
        </w:rPr>
      </w:pPr>
      <w:r>
        <w:rPr>
          <w:sz w:val="36"/>
        </w:rPr>
        <w:t>Template for Submission of Manuscripts to American Chemical Society Journals</w:t>
      </w:r>
    </w:p>
    <w:p w14:paraId="1B2E7B62" w14:textId="77777777" w:rsidR="009246AD" w:rsidRDefault="003664E9">
      <w:pPr>
        <w:jc w:val="center"/>
      </w:pPr>
      <w:r>
        <w:rPr>
          <w:b/>
        </w:rPr>
        <w:t>Word 2010</w:t>
      </w:r>
      <w:r w:rsidR="009246AD">
        <w:rPr>
          <w:b/>
        </w:rPr>
        <w:t xml:space="preserve">, </w:t>
      </w:r>
      <w:r w:rsidR="00A20EB5">
        <w:rPr>
          <w:b/>
        </w:rPr>
        <w:t>si</w:t>
      </w:r>
      <w:r w:rsidR="001A7A90">
        <w:rPr>
          <w:b/>
        </w:rPr>
        <w:t>ngle-column, double-spaced (2013</w:t>
      </w:r>
      <w:r w:rsidR="009246AD">
        <w:rPr>
          <w:b/>
        </w:rPr>
        <w:t>)</w:t>
      </w:r>
    </w:p>
    <w:p w14:paraId="61402E79" w14:textId="77777777" w:rsidR="00A20EB5" w:rsidRPr="00AB34C5" w:rsidRDefault="00A20EB5" w:rsidP="00A20EB5">
      <w:pPr>
        <w:rPr>
          <w:sz w:val="21"/>
          <w:szCs w:val="21"/>
        </w:rPr>
      </w:pPr>
      <w:r w:rsidRPr="00AB34C5">
        <w:rPr>
          <w:sz w:val="21"/>
          <w:szCs w:val="21"/>
        </w:rPr>
        <w:t xml:space="preserve">This template is a guide to be used to prepare manuscripts for submission. Please consult the Instructions to Authors or a recent issue of the journal for detailed guidelines and procedures for submission. This template is intended to benefit to the author in that the entire manuscript (text, tables, and graphics) may be submitted in one file. Inserting graphics and tables close to the point at which they are discussed in the text of the manuscript can also be a benefit for the reviewer. </w:t>
      </w:r>
    </w:p>
    <w:p w14:paraId="7643C9EC" w14:textId="77777777" w:rsidR="00A20EB5" w:rsidRPr="00AB34C5" w:rsidRDefault="00A20EB5" w:rsidP="00A20EB5">
      <w:pPr>
        <w:rPr>
          <w:sz w:val="21"/>
          <w:szCs w:val="21"/>
        </w:rPr>
      </w:pPr>
      <w:r w:rsidRPr="00AB34C5">
        <w:rPr>
          <w:sz w:val="21"/>
          <w:szCs w:val="21"/>
        </w:rPr>
        <w:t>When you submit a manuscript using this template, you will not actually see the page formatting that appears in the printed journal. This will occur as part of the editorial production process. Abbreviated instructions for using the template follow. Consult the documentation for your specific application and version for more information. Additional instructions can be found in the readme file at the web page where you downloaded this template.</w:t>
      </w:r>
    </w:p>
    <w:p w14:paraId="21A64724" w14:textId="77777777" w:rsidR="00A20EB5" w:rsidRPr="00AB34C5" w:rsidRDefault="00A20EB5" w:rsidP="00A20EB5">
      <w:pPr>
        <w:rPr>
          <w:b/>
          <w:sz w:val="21"/>
          <w:szCs w:val="21"/>
        </w:rPr>
      </w:pPr>
      <w:r w:rsidRPr="00AB34C5">
        <w:rPr>
          <w:b/>
          <w:sz w:val="21"/>
          <w:szCs w:val="21"/>
        </w:rPr>
        <w:t>Using the template</w:t>
      </w:r>
    </w:p>
    <w:p w14:paraId="0303F2D8" w14:textId="77777777" w:rsidR="00A20EB5" w:rsidRPr="00AB34C5" w:rsidRDefault="00A20EB5" w:rsidP="00A20EB5">
      <w:pPr>
        <w:rPr>
          <w:sz w:val="21"/>
          <w:szCs w:val="21"/>
        </w:rPr>
      </w:pPr>
      <w:r w:rsidRPr="00AB34C5">
        <w:rPr>
          <w:sz w:val="21"/>
          <w:szCs w:val="21"/>
        </w:rPr>
        <w:t>In ACS publications there are many different components of a manuscript (i.e., title, abstract, main text, figure captions, etc.) that are represented in the template.  See the Guide, Notes, Notice, or Instructions for Authors on the journal’s homepage to determine which parts should be included for the manuscript that you are preparing</w:t>
      </w:r>
    </w:p>
    <w:p w14:paraId="4987F5E0" w14:textId="77777777" w:rsidR="00A20EB5" w:rsidRPr="00AB34C5" w:rsidRDefault="00A20EB5" w:rsidP="00A20EB5">
      <w:pPr>
        <w:numPr>
          <w:ilvl w:val="0"/>
          <w:numId w:val="5"/>
        </w:numPr>
        <w:spacing w:after="100"/>
        <w:rPr>
          <w:sz w:val="21"/>
          <w:szCs w:val="21"/>
        </w:rPr>
      </w:pPr>
      <w:r w:rsidRPr="00AB34C5">
        <w:rPr>
          <w:sz w:val="21"/>
          <w:szCs w:val="21"/>
        </w:rPr>
        <w:t>If typing your manuscript directly into the template, select (highlight) the text of the template that you want to replace and begin typing your manuscript (i.e., select the Title section for typing in your title).</w:t>
      </w:r>
    </w:p>
    <w:p w14:paraId="7FF06F0F" w14:textId="77777777" w:rsidR="00A20EB5" w:rsidRPr="00AB34C5" w:rsidRDefault="00A20EB5" w:rsidP="00A20EB5">
      <w:pPr>
        <w:numPr>
          <w:ilvl w:val="0"/>
          <w:numId w:val="5"/>
        </w:numPr>
        <w:spacing w:after="100"/>
        <w:rPr>
          <w:sz w:val="21"/>
          <w:szCs w:val="21"/>
        </w:rPr>
      </w:pPr>
      <w:r w:rsidRPr="00AB34C5">
        <w:rPr>
          <w:sz w:val="21"/>
          <w:szCs w:val="21"/>
        </w:rPr>
        <w:t>If you have already prepared your document in a Word file, you will need to attach the template to your working document in order to apply the Word Style tags. Further instructions can be found in the readme file at the web page where you downloaded this template.</w:t>
      </w:r>
    </w:p>
    <w:p w14:paraId="45E19DBE" w14:textId="77777777" w:rsidR="00A20EB5" w:rsidRPr="00AB34C5" w:rsidRDefault="00A20EB5" w:rsidP="00A20EB5">
      <w:pPr>
        <w:numPr>
          <w:ilvl w:val="0"/>
          <w:numId w:val="6"/>
        </w:numPr>
        <w:spacing w:after="100"/>
        <w:rPr>
          <w:sz w:val="21"/>
          <w:szCs w:val="21"/>
        </w:rPr>
      </w:pPr>
      <w:r w:rsidRPr="00AB34C5">
        <w:rPr>
          <w:sz w:val="21"/>
          <w:szCs w:val="21"/>
        </w:rPr>
        <w:t xml:space="preserve">Go to the </w:t>
      </w:r>
      <w:r w:rsidR="00912169">
        <w:rPr>
          <w:sz w:val="21"/>
          <w:szCs w:val="21"/>
        </w:rPr>
        <w:t>Add-Ins tab</w:t>
      </w:r>
      <w:r w:rsidRPr="00AB34C5">
        <w:rPr>
          <w:sz w:val="21"/>
          <w:szCs w:val="21"/>
        </w:rPr>
        <w:t xml:space="preserve"> and you will see all the Word Styles from the template that has now been imported into the current document. A Styles toolbar has been generated that will display the different Styles for you to choose from. If this is not present, </w:t>
      </w:r>
      <w:r w:rsidR="00912169">
        <w:rPr>
          <w:sz w:val="21"/>
          <w:szCs w:val="21"/>
        </w:rPr>
        <w:t xml:space="preserve">type in the following command (Alt+Ctrl+Shift+S) </w:t>
      </w:r>
      <w:r w:rsidRPr="00AB34C5">
        <w:rPr>
          <w:sz w:val="21"/>
          <w:szCs w:val="21"/>
        </w:rPr>
        <w:t>and it should appear. You can close this at any time and then reopen it when needed.</w:t>
      </w:r>
    </w:p>
    <w:p w14:paraId="7B6D4F45" w14:textId="77777777" w:rsidR="00A20EB5" w:rsidRPr="00AB34C5" w:rsidRDefault="00A20EB5" w:rsidP="00A20EB5">
      <w:pPr>
        <w:numPr>
          <w:ilvl w:val="0"/>
          <w:numId w:val="6"/>
        </w:numPr>
        <w:spacing w:after="100"/>
        <w:rPr>
          <w:sz w:val="21"/>
          <w:szCs w:val="21"/>
        </w:rPr>
      </w:pPr>
      <w:r w:rsidRPr="00AB34C5">
        <w:rPr>
          <w:sz w:val="21"/>
          <w:szCs w:val="21"/>
        </w:rPr>
        <w:t xml:space="preserve">Click in the sentence or paragraph and then go to the </w:t>
      </w:r>
      <w:r w:rsidR="00912169">
        <w:rPr>
          <w:sz w:val="21"/>
          <w:szCs w:val="21"/>
        </w:rPr>
        <w:t>Add-Ins tab</w:t>
      </w:r>
      <w:r w:rsidRPr="00AB34C5">
        <w:rPr>
          <w:sz w:val="21"/>
          <w:szCs w:val="21"/>
        </w:rPr>
        <w:t xml:space="preserve"> and select the relevant Word Style.  This will apply the Word Style to the entire text (sentence or paragraph). Do this for all sections of the manuscript.</w:t>
      </w:r>
    </w:p>
    <w:p w14:paraId="2B8714AF" w14:textId="77777777" w:rsidR="00A20EB5" w:rsidRPr="00AB34C5" w:rsidRDefault="00A20EB5" w:rsidP="00A20EB5">
      <w:pPr>
        <w:numPr>
          <w:ilvl w:val="0"/>
          <w:numId w:val="5"/>
        </w:numPr>
        <w:spacing w:after="100"/>
        <w:rPr>
          <w:sz w:val="21"/>
          <w:szCs w:val="21"/>
        </w:rPr>
      </w:pPr>
      <w:r w:rsidRPr="00AB34C5">
        <w:rPr>
          <w:sz w:val="21"/>
          <w:szCs w:val="21"/>
        </w:rPr>
        <w:t xml:space="preserve">To insert graphics within the text or as a figure, chart, scheme, or table, create a new line and insert the graphic where desired. If your graphic is not visible, ensure that the Word Style is “Normal” with an automatic height adjustment. If the size of the artwork needs to be adjusted, re-size the artwork in your graphics program and re-paste the artwork into the template (maximum width for single-column artwork, 3.3 in. (8.5 cm); maximum width for double-column artwork, 7 in. (17.8 cm)). </w:t>
      </w:r>
      <w:r w:rsidRPr="00AB34C5">
        <w:rPr>
          <w:b/>
          <w:sz w:val="21"/>
          <w:szCs w:val="21"/>
        </w:rPr>
        <w:t>NOTE</w:t>
      </w:r>
      <w:r w:rsidRPr="00AB34C5">
        <w:rPr>
          <w:sz w:val="21"/>
          <w:szCs w:val="21"/>
        </w:rPr>
        <w:t>: If you are submitting a Table of Contents graphic, please insert the graphic at the end of the file.</w:t>
      </w:r>
    </w:p>
    <w:p w14:paraId="783158E9" w14:textId="77777777" w:rsidR="00A20EB5" w:rsidRPr="00AB34C5" w:rsidRDefault="00A20EB5" w:rsidP="00A20EB5">
      <w:pPr>
        <w:numPr>
          <w:ilvl w:val="0"/>
          <w:numId w:val="5"/>
        </w:numPr>
        <w:spacing w:after="100"/>
        <w:rPr>
          <w:sz w:val="21"/>
          <w:szCs w:val="21"/>
        </w:rPr>
      </w:pPr>
      <w:r w:rsidRPr="00AB34C5">
        <w:rPr>
          <w:sz w:val="21"/>
          <w:szCs w:val="21"/>
        </w:rPr>
        <w:t>Ensure that page numbers are present on all pages before submitting your manuscript.</w:t>
      </w:r>
    </w:p>
    <w:p w14:paraId="182CCC99" w14:textId="77777777" w:rsidR="00A20EB5" w:rsidRPr="00AB34C5" w:rsidRDefault="00A20EB5" w:rsidP="00A20EB5">
      <w:pPr>
        <w:numPr>
          <w:ilvl w:val="0"/>
          <w:numId w:val="5"/>
        </w:numPr>
        <w:spacing w:after="100"/>
        <w:rPr>
          <w:sz w:val="21"/>
          <w:szCs w:val="21"/>
        </w:rPr>
      </w:pPr>
      <w:r w:rsidRPr="00AB34C5">
        <w:rPr>
          <w:sz w:val="21"/>
          <w:szCs w:val="21"/>
        </w:rPr>
        <w:t>Delete these instructions and any sections that are not needed.</w:t>
      </w:r>
    </w:p>
    <w:p w14:paraId="09B1B711" w14:textId="77777777" w:rsidR="00A20EB5" w:rsidRPr="00AB34C5" w:rsidRDefault="00A20EB5" w:rsidP="00A20EB5">
      <w:pPr>
        <w:numPr>
          <w:ilvl w:val="0"/>
          <w:numId w:val="5"/>
        </w:numPr>
        <w:spacing w:after="100"/>
        <w:rPr>
          <w:sz w:val="21"/>
          <w:szCs w:val="21"/>
        </w:rPr>
      </w:pPr>
      <w:r w:rsidRPr="00AB34C5">
        <w:rPr>
          <w:sz w:val="21"/>
          <w:szCs w:val="21"/>
        </w:rPr>
        <w:t xml:space="preserve">Save the file with the graphics in place: select </w:t>
      </w:r>
      <w:r w:rsidRPr="00AB34C5">
        <w:rPr>
          <w:b/>
          <w:sz w:val="21"/>
          <w:szCs w:val="21"/>
        </w:rPr>
        <w:t>Save As</w:t>
      </w:r>
      <w:r w:rsidRPr="00AB34C5">
        <w:rPr>
          <w:sz w:val="21"/>
          <w:szCs w:val="21"/>
        </w:rPr>
        <w:t xml:space="preserve"> (</w:t>
      </w:r>
      <w:r w:rsidRPr="00AB34C5">
        <w:rPr>
          <w:b/>
          <w:sz w:val="21"/>
          <w:szCs w:val="21"/>
        </w:rPr>
        <w:t>File</w:t>
      </w:r>
      <w:r w:rsidRPr="00AB34C5">
        <w:rPr>
          <w:sz w:val="21"/>
          <w:szCs w:val="21"/>
        </w:rPr>
        <w:t xml:space="preserve"> menu) and save it as a document file (not a .dot template file).</w:t>
      </w:r>
    </w:p>
    <w:p w14:paraId="01C8C479" w14:textId="77777777" w:rsidR="00A20EB5" w:rsidRPr="00A20EB5" w:rsidRDefault="00A20EB5" w:rsidP="00A20EB5">
      <w:pPr>
        <w:numPr>
          <w:ilvl w:val="0"/>
          <w:numId w:val="5"/>
        </w:numPr>
        <w:spacing w:after="100"/>
        <w:rPr>
          <w:sz w:val="22"/>
          <w:szCs w:val="22"/>
        </w:rPr>
      </w:pPr>
      <w:r w:rsidRPr="00A20EB5">
        <w:rPr>
          <w:sz w:val="22"/>
          <w:szCs w:val="22"/>
        </w:rPr>
        <w:t>Proof the manuscript to ensure that all parts of the manuscript are present and clearly legible.</w:t>
      </w:r>
    </w:p>
    <w:p w14:paraId="0E25F967" w14:textId="4DB4D16A" w:rsidR="009246AD" w:rsidRDefault="009246AD" w:rsidP="00E4237C">
      <w:pPr>
        <w:pStyle w:val="BATitle"/>
        <w:jc w:val="both"/>
      </w:pPr>
      <w:r>
        <w:br w:type="page"/>
      </w:r>
      <w:r w:rsidR="005A23E7" w:rsidRPr="005A23E7">
        <w:lastRenderedPageBreak/>
        <w:t xml:space="preserve">Organosolv Pretreatment of Cocoa Pod Husks: Isolation, Analysis and </w:t>
      </w:r>
      <w:r w:rsidR="004A7821">
        <w:t>Use</w:t>
      </w:r>
      <w:r w:rsidR="004A7821" w:rsidRPr="005A23E7">
        <w:t xml:space="preserve"> </w:t>
      </w:r>
      <w:r w:rsidR="005A23E7" w:rsidRPr="005A23E7">
        <w:t>of Lignin from an Abundant Waste Product</w:t>
      </w:r>
    </w:p>
    <w:p w14:paraId="53E658CB" w14:textId="77777777" w:rsidR="00143BD5" w:rsidRDefault="003F7C41" w:rsidP="00E4237C">
      <w:pPr>
        <w:pStyle w:val="BCAuthorAddress"/>
        <w:jc w:val="both"/>
      </w:pPr>
      <w:r w:rsidRPr="003F7C41">
        <w:t>Daniel J. Davidson,</w:t>
      </w:r>
      <w:r w:rsidRPr="003F7C41">
        <w:rPr>
          <w:vertAlign w:val="superscript"/>
        </w:rPr>
        <w:t>a</w:t>
      </w:r>
      <w:r w:rsidRPr="003F7C41">
        <w:t xml:space="preserve"> Fei Lu,</w:t>
      </w:r>
      <w:r w:rsidRPr="003F7C41">
        <w:rPr>
          <w:vertAlign w:val="superscript"/>
        </w:rPr>
        <w:t>b</w:t>
      </w:r>
      <w:r w:rsidRPr="003F7C41">
        <w:t xml:space="preserve"> Laura Faas,</w:t>
      </w:r>
      <w:r w:rsidRPr="003F7C41">
        <w:rPr>
          <w:vertAlign w:val="superscript"/>
        </w:rPr>
        <w:t>c</w:t>
      </w:r>
      <w:r w:rsidRPr="003F7C41">
        <w:t xml:space="preserve"> Daniel M. Dawson,</w:t>
      </w:r>
      <w:r w:rsidRPr="003F7C41">
        <w:rPr>
          <w:vertAlign w:val="superscript"/>
        </w:rPr>
        <w:t>a</w:t>
      </w:r>
      <w:r w:rsidRPr="003F7C41">
        <w:t xml:space="preserve"> Geoffrey P. Warren,</w:t>
      </w:r>
      <w:r w:rsidRPr="003F7C41">
        <w:rPr>
          <w:vertAlign w:val="superscript"/>
        </w:rPr>
        <w:t>d</w:t>
      </w:r>
      <w:r w:rsidRPr="003F7C41">
        <w:t xml:space="preserve"> Isabella Panovic,</w:t>
      </w:r>
      <w:r w:rsidRPr="003F7C41">
        <w:rPr>
          <w:vertAlign w:val="superscript"/>
        </w:rPr>
        <w:t>a</w:t>
      </w:r>
      <w:r w:rsidRPr="003F7C41">
        <w:t xml:space="preserve"> James R.D. Montgomery,</w:t>
      </w:r>
      <w:r w:rsidRPr="003F7C41">
        <w:rPr>
          <w:vertAlign w:val="superscript"/>
        </w:rPr>
        <w:t>a</w:t>
      </w:r>
      <w:r w:rsidRPr="003F7C41">
        <w:t xml:space="preserve"> Xiaoyan Ma,</w:t>
      </w:r>
      <w:r w:rsidRPr="003F7C41">
        <w:rPr>
          <w:vertAlign w:val="superscript"/>
        </w:rPr>
        <w:t>a</w:t>
      </w:r>
      <w:r w:rsidRPr="003F7C41">
        <w:t xml:space="preserve"> Boris Bosilkov,</w:t>
      </w:r>
      <w:r w:rsidRPr="003F7C41">
        <w:rPr>
          <w:vertAlign w:val="superscript"/>
        </w:rPr>
        <w:t>a</w:t>
      </w:r>
      <w:r w:rsidRPr="003F7C41">
        <w:t xml:space="preserve"> Alexandra M.Z. Slawin,</w:t>
      </w:r>
      <w:r w:rsidRPr="003F7C41">
        <w:rPr>
          <w:vertAlign w:val="superscript"/>
        </w:rPr>
        <w:t>a</w:t>
      </w:r>
      <w:r w:rsidRPr="003F7C41">
        <w:t xml:space="preserve"> Tomas Lebl,</w:t>
      </w:r>
      <w:r w:rsidRPr="003F7C41">
        <w:rPr>
          <w:vertAlign w:val="superscript"/>
        </w:rPr>
        <w:t>a</w:t>
      </w:r>
      <w:r w:rsidRPr="003F7C41">
        <w:t xml:space="preserve"> Afroditi Chatzifragkou,</w:t>
      </w:r>
      <w:r w:rsidRPr="003F7C41">
        <w:rPr>
          <w:vertAlign w:val="superscript"/>
        </w:rPr>
        <w:t>b</w:t>
      </w:r>
      <w:r w:rsidRPr="003F7C41">
        <w:t xml:space="preserve"> J. Steve Robinson,</w:t>
      </w:r>
      <w:r w:rsidRPr="003F7C41">
        <w:rPr>
          <w:vertAlign w:val="superscript"/>
        </w:rPr>
        <w:t>d</w:t>
      </w:r>
      <w:r w:rsidRPr="003F7C41">
        <w:t xml:space="preserve"> Sharon E.M. Ashbrook,</w:t>
      </w:r>
      <w:r w:rsidRPr="003F7C41">
        <w:rPr>
          <w:vertAlign w:val="superscript"/>
        </w:rPr>
        <w:t>a</w:t>
      </w:r>
      <w:r w:rsidRPr="003F7C41">
        <w:t xml:space="preserve"> Liz J. Shaw,</w:t>
      </w:r>
      <w:r w:rsidRPr="003F7C41">
        <w:rPr>
          <w:vertAlign w:val="superscript"/>
        </w:rPr>
        <w:t>d</w:t>
      </w:r>
      <w:r w:rsidRPr="003F7C41">
        <w:t xml:space="preserve"> Smilja Lambert,</w:t>
      </w:r>
      <w:r w:rsidRPr="003F7C41">
        <w:rPr>
          <w:vertAlign w:val="superscript"/>
        </w:rPr>
        <w:t>e</w:t>
      </w:r>
      <w:r w:rsidRPr="003F7C41">
        <w:t xml:space="preserve"> Isabella Van Damme,</w:t>
      </w:r>
      <w:r w:rsidRPr="003F7C41">
        <w:rPr>
          <w:vertAlign w:val="superscript"/>
        </w:rPr>
        <w:t>e</w:t>
      </w:r>
      <w:r w:rsidRPr="003F7C41">
        <w:t xml:space="preserve"> Leonardo D. Gomez,</w:t>
      </w:r>
      <w:r w:rsidRPr="003F7C41">
        <w:rPr>
          <w:vertAlign w:val="superscript"/>
        </w:rPr>
        <w:t>c</w:t>
      </w:r>
      <w:r w:rsidRPr="003F7C41">
        <w:t xml:space="preserve"> Dimitris Charalampopoulos,</w:t>
      </w:r>
      <w:r w:rsidRPr="003F7C41">
        <w:rPr>
          <w:vertAlign w:val="superscript"/>
        </w:rPr>
        <w:t>b</w:t>
      </w:r>
      <w:r w:rsidRPr="003F7C41">
        <w:t xml:space="preserve"> Nicholas J. Westwood</w:t>
      </w:r>
      <w:r w:rsidRPr="003F7C41">
        <w:rPr>
          <w:vertAlign w:val="superscript"/>
        </w:rPr>
        <w:t>a</w:t>
      </w:r>
      <w:r w:rsidRPr="003F7C41">
        <w:t>*</w:t>
      </w:r>
    </w:p>
    <w:p w14:paraId="2BE4FA79" w14:textId="4FA04E3D" w:rsidR="003F7C41" w:rsidRDefault="003F7C41" w:rsidP="00E4237C">
      <w:pPr>
        <w:pStyle w:val="BCAuthorAddress"/>
        <w:jc w:val="both"/>
      </w:pPr>
      <w:r w:rsidRPr="003F7C41">
        <w:rPr>
          <w:vertAlign w:val="superscript"/>
        </w:rPr>
        <w:t>a</w:t>
      </w:r>
      <w:r>
        <w:t>School of Chemistry and Biomedical Sciences Research Complex, University of St Andrews and EaStCHEM, North Haugh, St Andrews, Fife</w:t>
      </w:r>
      <w:r w:rsidR="0090533C">
        <w:t>,</w:t>
      </w:r>
      <w:r>
        <w:t xml:space="preserve"> KY16 9ST</w:t>
      </w:r>
      <w:r w:rsidR="0090533C">
        <w:t xml:space="preserve">, </w:t>
      </w:r>
      <w:r>
        <w:t>UK.</w:t>
      </w:r>
    </w:p>
    <w:p w14:paraId="0A69B2C0" w14:textId="509879AD" w:rsidR="003F7C41" w:rsidRDefault="003F7C41" w:rsidP="0090533C">
      <w:pPr>
        <w:pStyle w:val="BCAuthorAddress"/>
        <w:jc w:val="both"/>
      </w:pPr>
      <w:r w:rsidRPr="003F7C41">
        <w:rPr>
          <w:vertAlign w:val="superscript"/>
        </w:rPr>
        <w:t>b</w:t>
      </w:r>
      <w:r>
        <w:t xml:space="preserve">Department of Food and Nutritional Sciences, University of Reading, </w:t>
      </w:r>
      <w:r w:rsidR="0090533C">
        <w:t xml:space="preserve">Reading, Berkshire, RG6 6AP, </w:t>
      </w:r>
      <w:r>
        <w:t>UK.</w:t>
      </w:r>
    </w:p>
    <w:p w14:paraId="13FB2B79" w14:textId="2F40399F" w:rsidR="003F7C41" w:rsidRDefault="003F7C41" w:rsidP="00E4237C">
      <w:pPr>
        <w:pStyle w:val="BCAuthorAddress"/>
        <w:jc w:val="both"/>
      </w:pPr>
      <w:r w:rsidRPr="003F7C41">
        <w:rPr>
          <w:vertAlign w:val="superscript"/>
        </w:rPr>
        <w:t>c</w:t>
      </w:r>
      <w:r>
        <w:t>Centre for Novel Agricultural Products, Department of Biology, University of York, York</w:t>
      </w:r>
      <w:r w:rsidR="0090533C">
        <w:t>,</w:t>
      </w:r>
      <w:r>
        <w:t xml:space="preserve"> </w:t>
      </w:r>
      <w:r w:rsidR="0090533C">
        <w:t xml:space="preserve">North Yorkshire, </w:t>
      </w:r>
      <w:r>
        <w:t>YO10 5DD, UK.</w:t>
      </w:r>
    </w:p>
    <w:p w14:paraId="25BF6B85" w14:textId="38157F0D" w:rsidR="003F7C41" w:rsidRDefault="003F7C41" w:rsidP="00E4237C">
      <w:pPr>
        <w:pStyle w:val="BCAuthorAddress"/>
        <w:jc w:val="both"/>
      </w:pPr>
      <w:r w:rsidRPr="003F7C41">
        <w:rPr>
          <w:vertAlign w:val="superscript"/>
        </w:rPr>
        <w:t>d</w:t>
      </w:r>
      <w:r>
        <w:t>Soil Research Centre, Department of Geography and Environmental Sciences, University of Reading, Reading</w:t>
      </w:r>
      <w:r w:rsidR="00171799">
        <w:t>, Berkshire,</w:t>
      </w:r>
      <w:r>
        <w:t xml:space="preserve"> RG6 6AB, UK</w:t>
      </w:r>
    </w:p>
    <w:p w14:paraId="0C9D7A6E" w14:textId="4A4461B4" w:rsidR="009246AD" w:rsidRDefault="003F7C41" w:rsidP="00E4237C">
      <w:pPr>
        <w:pStyle w:val="BCAuthorAddress"/>
        <w:jc w:val="both"/>
      </w:pPr>
      <w:r w:rsidRPr="003F7C41">
        <w:rPr>
          <w:vertAlign w:val="superscript"/>
        </w:rPr>
        <w:t>e</w:t>
      </w:r>
      <w:r>
        <w:t xml:space="preserve">Mars Wrigley Confectionery UK Ltd, Slough, Berkshire, </w:t>
      </w:r>
      <w:r w:rsidR="00171799" w:rsidRPr="00171799">
        <w:t>SL1 4LG</w:t>
      </w:r>
      <w:r w:rsidR="00171799">
        <w:t xml:space="preserve">, </w:t>
      </w:r>
      <w:r>
        <w:t>UK</w:t>
      </w:r>
    </w:p>
    <w:p w14:paraId="106E8FAD" w14:textId="5E8C65B3" w:rsidR="00683131" w:rsidRPr="00A764EF" w:rsidRDefault="003F7C41" w:rsidP="00E4237C">
      <w:pPr>
        <w:pStyle w:val="FACorrespondingAuthorFootnote"/>
        <w:spacing w:after="0"/>
      </w:pPr>
      <w:r w:rsidRPr="003F7C41">
        <w:lastRenderedPageBreak/>
        <w:t xml:space="preserve">Cocoa pod husk, biorefinery, waste product, organosolv, lignin, flame-retardant, </w:t>
      </w:r>
      <w:r w:rsidR="0022744C">
        <w:t>organophosphorus</w:t>
      </w:r>
      <w:r w:rsidRPr="003F7C41">
        <w:t>, acetylation</w:t>
      </w:r>
      <w:r w:rsidR="00683131">
        <w:t xml:space="preserve"> </w:t>
      </w:r>
    </w:p>
    <w:p w14:paraId="7C8A9EC9" w14:textId="77777777" w:rsidR="000C05CC" w:rsidRPr="00A764EF" w:rsidRDefault="000C05CC" w:rsidP="00E4237C">
      <w:pPr>
        <w:pStyle w:val="FACorrespondingAuthorFootnote"/>
        <w:spacing w:after="240"/>
      </w:pPr>
    </w:p>
    <w:p w14:paraId="5F68C963" w14:textId="4325E94F" w:rsidR="00AB34C5" w:rsidRDefault="003F7C41" w:rsidP="00E4237C">
      <w:pPr>
        <w:pStyle w:val="BDAbstract"/>
      </w:pPr>
      <w:r w:rsidRPr="003F7C41">
        <w:t>Cocoa pod husks (CPHs) represent an under-utilised component of the choco</w:t>
      </w:r>
      <w:r w:rsidR="00BA528B">
        <w:t xml:space="preserve">late manufacturing process. Whilst industry’s current focus is </w:t>
      </w:r>
      <w:r w:rsidR="00DC2268">
        <w:t xml:space="preserve">understandably </w:t>
      </w:r>
      <w:r w:rsidR="00BA528B">
        <w:t>on the cocoa beans, the husks</w:t>
      </w:r>
      <w:r w:rsidRPr="003F7C41">
        <w:t xml:space="preserve"> make up </w:t>
      </w:r>
      <w:r w:rsidR="00CC078B">
        <w:t xml:space="preserve">to </w:t>
      </w:r>
      <w:r w:rsidR="00BA528B">
        <w:t>75</w:t>
      </w:r>
      <w:r w:rsidRPr="003F7C41">
        <w:t xml:space="preserve"> weight percent of the fruit. </w:t>
      </w:r>
      <w:r w:rsidR="00DC2268">
        <w:t>P</w:t>
      </w:r>
      <w:r w:rsidR="00E16732">
        <w:t xml:space="preserve">revious </w:t>
      </w:r>
      <w:r w:rsidRPr="003F7C41">
        <w:t xml:space="preserve">studies have </w:t>
      </w:r>
      <w:r w:rsidR="00BA528B">
        <w:t>been dominated by</w:t>
      </w:r>
      <w:r w:rsidRPr="003F7C41">
        <w:t xml:space="preserve"> the carbohydrate polymers</w:t>
      </w:r>
      <w:r w:rsidR="006F7C8F">
        <w:t xml:space="preserve"> present in CPHs</w:t>
      </w:r>
      <w:r w:rsidRPr="003F7C41">
        <w:t xml:space="preserve">, </w:t>
      </w:r>
      <w:r w:rsidR="00DC2268">
        <w:t xml:space="preserve">but </w:t>
      </w:r>
      <w:r w:rsidRPr="003F7C41">
        <w:t xml:space="preserve">this work highlights the presence of the biopolymer lignin in this biomass. An optimised </w:t>
      </w:r>
      <w:r w:rsidR="00BA528B">
        <w:t xml:space="preserve">organosolv </w:t>
      </w:r>
      <w:r w:rsidRPr="003F7C41">
        <w:t xml:space="preserve">lignin isolation protocol </w:t>
      </w:r>
      <w:r w:rsidR="00E16732">
        <w:t>wa</w:t>
      </w:r>
      <w:r w:rsidR="00BA528B">
        <w:t xml:space="preserve">s developed, delivering significant practical improvements. This new protocol may also prove useful for agricultural waste-derived biomasses in general. </w:t>
      </w:r>
      <w:r w:rsidRPr="003F7C41">
        <w:t xml:space="preserve">NMR analysis of the </w:t>
      </w:r>
      <w:r w:rsidR="006F7C8F">
        <w:t xml:space="preserve">high quality </w:t>
      </w:r>
      <w:r w:rsidR="00143BD5">
        <w:t>lignin le</w:t>
      </w:r>
      <w:r w:rsidRPr="003F7C41">
        <w:t>d to an improved structural understanding</w:t>
      </w:r>
      <w:r w:rsidR="00DC2268">
        <w:t>, with evidence provided to support deacetylation of the lignin occurring during the optimised pretreatment</w:t>
      </w:r>
      <w:r w:rsidR="00BA528B">
        <w:t>. C</w:t>
      </w:r>
      <w:r w:rsidR="00880D3E">
        <w:t>hemical transformation</w:t>
      </w:r>
      <w:r w:rsidR="00BA528B">
        <w:t>,</w:t>
      </w:r>
      <w:r w:rsidRPr="003F7C41">
        <w:t xml:space="preserve"> </w:t>
      </w:r>
      <w:r w:rsidR="00BA528B">
        <w:t xml:space="preserve">using a tosylation, azidation, copper-catalysed click protocol, </w:t>
      </w:r>
      <w:r w:rsidR="006F7C8F">
        <w:t>deliver</w:t>
      </w:r>
      <w:r w:rsidR="00E16732">
        <w:t>ed</w:t>
      </w:r>
      <w:r w:rsidRPr="003F7C41">
        <w:t xml:space="preserve"> a modified </w:t>
      </w:r>
      <w:r w:rsidR="00E16732">
        <w:t xml:space="preserve">lignin </w:t>
      </w:r>
      <w:r w:rsidRPr="003F7C41">
        <w:t>oligomer</w:t>
      </w:r>
      <w:r w:rsidR="00BA528B">
        <w:t xml:space="preserve"> with an organophosphorous motif attached. Thermogravimetric analysis was used to demonstrate the oligomers </w:t>
      </w:r>
      <w:r w:rsidRPr="003F7C41">
        <w:t xml:space="preserve">potential </w:t>
      </w:r>
      <w:r w:rsidR="00BA528B">
        <w:t>as a flame-</w:t>
      </w:r>
      <w:r w:rsidRPr="003F7C41">
        <w:t>retardant.</w:t>
      </w:r>
      <w:r w:rsidR="00DC2268" w:rsidRPr="00DC2268">
        <w:t xml:space="preserve"> </w:t>
      </w:r>
      <w:r w:rsidR="00DC2268">
        <w:t>P</w:t>
      </w:r>
      <w:r w:rsidR="00DC2268" w:rsidRPr="003F7C41">
        <w:t xml:space="preserve">reliminary analysis of </w:t>
      </w:r>
      <w:r w:rsidR="00DC2268">
        <w:t xml:space="preserve">the </w:t>
      </w:r>
      <w:r w:rsidR="00DC2268" w:rsidRPr="003F7C41">
        <w:t xml:space="preserve">other product streams </w:t>
      </w:r>
      <w:r w:rsidR="00DC2268">
        <w:t>isolated from the CPHs wa</w:t>
      </w:r>
      <w:r w:rsidR="00DC2268" w:rsidRPr="003F7C41">
        <w:t xml:space="preserve">s </w:t>
      </w:r>
      <w:r w:rsidR="00DC2268">
        <w:t xml:space="preserve">also </w:t>
      </w:r>
      <w:r w:rsidR="00DC2268" w:rsidRPr="003F7C41">
        <w:t>carried out.</w:t>
      </w:r>
    </w:p>
    <w:p w14:paraId="5742FB83" w14:textId="77777777" w:rsidR="00880D3E" w:rsidRPr="008A6A92" w:rsidRDefault="00880D3E" w:rsidP="002A27CA">
      <w:pPr>
        <w:pStyle w:val="TAMainText"/>
      </w:pPr>
    </w:p>
    <w:p w14:paraId="165D55E7" w14:textId="77777777" w:rsidR="00A2141F" w:rsidRPr="00A2141F" w:rsidRDefault="00A2141F" w:rsidP="008A1249">
      <w:pPr>
        <w:pStyle w:val="TAMainText"/>
        <w:spacing w:after="240"/>
        <w:rPr>
          <w:u w:val="single"/>
        </w:rPr>
      </w:pPr>
      <w:r w:rsidRPr="00A2141F">
        <w:rPr>
          <w:u w:val="single"/>
        </w:rPr>
        <w:t>Introduction</w:t>
      </w:r>
    </w:p>
    <w:p w14:paraId="5202C330" w14:textId="1C901E9C" w:rsidR="00AB34C5" w:rsidRDefault="00A2141F" w:rsidP="008A1249">
      <w:pPr>
        <w:pStyle w:val="TAMainText"/>
      </w:pPr>
      <w:r w:rsidRPr="008A1249">
        <w:t>Biorefining, the process by which renewable biomass feedstocks are converted into marketable products in an integrated manner, remains a challenge.</w:t>
      </w:r>
      <w:r w:rsidRPr="002A27CA">
        <w:rPr>
          <w:highlight w:val="yellow"/>
          <w:vertAlign w:val="superscript"/>
        </w:rPr>
        <w:t>1</w:t>
      </w:r>
      <w:r w:rsidRPr="008A1249">
        <w:t xml:space="preserve"> In several biorefinery designs, a pretreatment process is used to simplify the starting biomass </w:t>
      </w:r>
      <w:r w:rsidR="009F0515">
        <w:t xml:space="preserve">by </w:t>
      </w:r>
      <w:r w:rsidRPr="008A1249">
        <w:t>addressing both its</w:t>
      </w:r>
      <w:r w:rsidR="00D1078F">
        <w:t xml:space="preserve"> </w:t>
      </w:r>
      <w:r w:rsidRPr="008A1249">
        <w:t xml:space="preserve">recalcitrant nature and </w:t>
      </w:r>
      <w:r w:rsidR="00D1078F">
        <w:t xml:space="preserve">inherent </w:t>
      </w:r>
      <w:r w:rsidRPr="008A1249">
        <w:t>complexity</w:t>
      </w:r>
      <w:r w:rsidR="00D1078F">
        <w:t xml:space="preserve"> (Figure 1)</w:t>
      </w:r>
      <w:r w:rsidRPr="008A1249">
        <w:t>.</w:t>
      </w:r>
      <w:r w:rsidR="00704078">
        <w:rPr>
          <w:highlight w:val="yellow"/>
          <w:vertAlign w:val="superscript"/>
        </w:rPr>
        <w:t>2-</w:t>
      </w:r>
      <w:r w:rsidR="00A20C64">
        <w:rPr>
          <w:highlight w:val="yellow"/>
          <w:vertAlign w:val="superscript"/>
        </w:rPr>
        <w:t>8</w:t>
      </w:r>
      <w:r w:rsidRPr="008A1249">
        <w:t xml:space="preserve"> </w:t>
      </w:r>
      <w:r w:rsidR="00D1078F">
        <w:t>Whilst a wide range of approaches to biomass pretreatment exist,</w:t>
      </w:r>
      <w:r w:rsidR="00A20C64">
        <w:rPr>
          <w:highlight w:val="yellow"/>
          <w:vertAlign w:val="superscript"/>
        </w:rPr>
        <w:t>9-14</w:t>
      </w:r>
      <w:r w:rsidR="00D35A05">
        <w:t xml:space="preserve"> </w:t>
      </w:r>
      <w:r w:rsidR="00D1078F">
        <w:t>t</w:t>
      </w:r>
      <w:r w:rsidRPr="008A1249">
        <w:t xml:space="preserve">he use of </w:t>
      </w:r>
      <w:r w:rsidR="00D1078F">
        <w:t xml:space="preserve">mild </w:t>
      </w:r>
      <w:r w:rsidRPr="008A1249">
        <w:t>organosolv pretreatments</w:t>
      </w:r>
      <w:r w:rsidR="00A20C64">
        <w:rPr>
          <w:highlight w:val="yellow"/>
          <w:vertAlign w:val="superscript"/>
        </w:rPr>
        <w:t>15-20</w:t>
      </w:r>
      <w:r w:rsidR="00D1078F" w:rsidRPr="008A1249">
        <w:t xml:space="preserve"> </w:t>
      </w:r>
      <w:r w:rsidR="00D1078F">
        <w:t xml:space="preserve">often </w:t>
      </w:r>
      <w:r w:rsidRPr="008A1249">
        <w:t xml:space="preserve">delivers </w:t>
      </w:r>
      <w:r w:rsidR="00D1078F">
        <w:t xml:space="preserve">high quality </w:t>
      </w:r>
      <w:r w:rsidRPr="008A1249">
        <w:lastRenderedPageBreak/>
        <w:t>intact lignin as well as cellulose, hemicellulose-derived and other fractions. Consi</w:t>
      </w:r>
      <w:r w:rsidR="00601EDC">
        <w:t>deration of possible uses for an</w:t>
      </w:r>
      <w:r w:rsidRPr="008A1249">
        <w:t xml:space="preserve"> </w:t>
      </w:r>
      <w:r w:rsidR="008900A6">
        <w:t xml:space="preserve">intact </w:t>
      </w:r>
      <w:r w:rsidR="00880D3E">
        <w:t xml:space="preserve">organosolv </w:t>
      </w:r>
      <w:r w:rsidRPr="008A1249">
        <w:t xml:space="preserve">lignin illustrates the flexibility inherent in using </w:t>
      </w:r>
      <w:r w:rsidR="00A20C64">
        <w:t>a</w:t>
      </w:r>
      <w:r w:rsidRPr="008A1249">
        <w:t xml:space="preserve"> pretreatment strategy. </w:t>
      </w:r>
      <w:r w:rsidR="003B284D">
        <w:t>Potential l</w:t>
      </w:r>
      <w:r w:rsidR="00D1078F">
        <w:t xml:space="preserve">ignin </w:t>
      </w:r>
      <w:r w:rsidR="008900A6">
        <w:t>applications</w:t>
      </w:r>
      <w:r w:rsidRPr="008A1249">
        <w:t xml:space="preserve"> range from </w:t>
      </w:r>
      <w:r w:rsidR="008900A6">
        <w:t>alternative</w:t>
      </w:r>
      <w:r w:rsidR="008900A6" w:rsidRPr="008A1249">
        <w:t xml:space="preserve"> </w:t>
      </w:r>
      <w:r w:rsidRPr="008A1249">
        <w:t>lignin depolymerisation protocols that give different aromatic monomers</w:t>
      </w:r>
      <w:r w:rsidR="00601EDC">
        <w:t>,</w:t>
      </w:r>
      <w:r w:rsidR="00A20C64">
        <w:rPr>
          <w:highlight w:val="yellow"/>
          <w:vertAlign w:val="superscript"/>
        </w:rPr>
        <w:t>21,22</w:t>
      </w:r>
      <w:r w:rsidRPr="008A1249">
        <w:t xml:space="preserve"> to a number of approaches </w:t>
      </w:r>
      <w:r w:rsidR="00601EDC">
        <w:t>to</w:t>
      </w:r>
      <w:r w:rsidRPr="008A1249">
        <w:t xml:space="preserve"> building on the existing lignin template.</w:t>
      </w:r>
      <w:r w:rsidR="00A20C64">
        <w:rPr>
          <w:highlight w:val="yellow"/>
          <w:vertAlign w:val="superscript"/>
        </w:rPr>
        <w:t>22-25</w:t>
      </w:r>
      <w:r w:rsidRPr="008A1249">
        <w:t xml:space="preserve"> For example, studies have described the preparation of </w:t>
      </w:r>
      <w:r w:rsidR="00313AEB">
        <w:t>flame</w:t>
      </w:r>
      <w:r w:rsidRPr="008A1249">
        <w:t xml:space="preserve"> retardant materials from lignin</w:t>
      </w:r>
      <w:r w:rsidR="002A2FD5">
        <w:t>.</w:t>
      </w:r>
      <w:r w:rsidR="00601EDC">
        <w:rPr>
          <w:highlight w:val="yellow"/>
          <w:vertAlign w:val="superscript"/>
        </w:rPr>
        <w:t>26,27</w:t>
      </w:r>
      <w:r w:rsidRPr="002A27CA">
        <w:rPr>
          <w:vertAlign w:val="superscript"/>
        </w:rPr>
        <w:t xml:space="preserve"> </w:t>
      </w:r>
      <w:r w:rsidR="002A2FD5">
        <w:t>T</w:t>
      </w:r>
      <w:r w:rsidR="00D1078F" w:rsidRPr="008A1249">
        <w:t>h</w:t>
      </w:r>
      <w:r w:rsidR="00D1078F">
        <w:t>ese</w:t>
      </w:r>
      <w:r w:rsidR="00D1078F" w:rsidRPr="008A1249">
        <w:t xml:space="preserve"> </w:t>
      </w:r>
      <w:r w:rsidR="002A2FD5">
        <w:t xml:space="preserve">recent </w:t>
      </w:r>
      <w:r w:rsidR="00D1078F">
        <w:t xml:space="preserve">reports </w:t>
      </w:r>
      <w:r w:rsidRPr="008A1249">
        <w:t>ha</w:t>
      </w:r>
      <w:r w:rsidR="00D1078F">
        <w:t>ve</w:t>
      </w:r>
      <w:r w:rsidRPr="008A1249">
        <w:t xml:space="preserve"> inspired us to </w:t>
      </w:r>
      <w:r w:rsidR="00D1078F">
        <w:t>describe</w:t>
      </w:r>
      <w:r w:rsidR="00D1078F" w:rsidRPr="008A1249">
        <w:t xml:space="preserve"> </w:t>
      </w:r>
      <w:r w:rsidRPr="008A1249">
        <w:t xml:space="preserve">our complementary studies on the incorporation of 9,10-dihydro-9-oxa-10-phosphaphenanthrene-10-oxide (DOPO) </w:t>
      </w:r>
      <w:r w:rsidRPr="002A27CA">
        <w:rPr>
          <w:b/>
        </w:rPr>
        <w:t>1</w:t>
      </w:r>
      <w:r w:rsidRPr="008A1249">
        <w:t xml:space="preserve"> into lignin. DOPO </w:t>
      </w:r>
      <w:r w:rsidRPr="002A27CA">
        <w:rPr>
          <w:b/>
        </w:rPr>
        <w:t>1</w:t>
      </w:r>
      <w:r w:rsidRPr="008A1249">
        <w:t xml:space="preserve"> is an organophosphorus molecule known to be important in fire management strategies</w:t>
      </w:r>
      <w:r w:rsidR="00601EDC">
        <w:rPr>
          <w:highlight w:val="yellow"/>
          <w:vertAlign w:val="superscript"/>
        </w:rPr>
        <w:t>28</w:t>
      </w:r>
      <w:r w:rsidRPr="008A1249">
        <w:t xml:space="preserve"> (Fig</w:t>
      </w:r>
      <w:r w:rsidR="00004F25" w:rsidRPr="008A1249">
        <w:t>ure</w:t>
      </w:r>
      <w:r w:rsidRPr="008A1249">
        <w:t xml:space="preserve"> 1 and Scheme 1).</w:t>
      </w:r>
    </w:p>
    <w:p w14:paraId="27AADA1F" w14:textId="77777777" w:rsidR="00D1078F" w:rsidRPr="008A1249" w:rsidRDefault="00D1078F" w:rsidP="008A1249">
      <w:pPr>
        <w:pStyle w:val="TAMainText"/>
      </w:pPr>
    </w:p>
    <w:p w14:paraId="1731E930" w14:textId="74381415" w:rsidR="00004F25" w:rsidRDefault="00AD5BB8" w:rsidP="000827DD">
      <w:pPr>
        <w:pStyle w:val="TAMainText"/>
        <w:spacing w:after="240"/>
        <w:ind w:firstLine="0"/>
        <w:jc w:val="center"/>
      </w:pPr>
      <w:r>
        <w:rPr>
          <w:noProof/>
          <w:lang w:eastAsia="en-GB"/>
        </w:rPr>
        <w:drawing>
          <wp:inline distT="0" distB="0" distL="0" distR="0" wp14:anchorId="2406BDA5" wp14:editId="2E472F84">
            <wp:extent cx="3045600" cy="3421745"/>
            <wp:effectExtent l="0" t="0" r="2540" b="7620"/>
            <wp:docPr id="1569721866" name="Picture 2" descr="A picture containing text, drawing, font,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721866" name="Picture 2" descr="A picture containing text, drawing, font, illustrati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45600" cy="3421745"/>
                    </a:xfrm>
                    <a:prstGeom prst="rect">
                      <a:avLst/>
                    </a:prstGeom>
                  </pic:spPr>
                </pic:pic>
              </a:graphicData>
            </a:graphic>
          </wp:inline>
        </w:drawing>
      </w:r>
    </w:p>
    <w:p w14:paraId="158B9AD2" w14:textId="58146E01" w:rsidR="00D52B5A" w:rsidRDefault="00D52B5A" w:rsidP="002A27CA">
      <w:pPr>
        <w:pStyle w:val="VAFigureCaption"/>
        <w:spacing w:after="240" w:line="240" w:lineRule="auto"/>
      </w:pPr>
      <w:r w:rsidRPr="00C77BD2">
        <w:rPr>
          <w:b/>
          <w:bCs/>
        </w:rPr>
        <w:t>Fig</w:t>
      </w:r>
      <w:r>
        <w:rPr>
          <w:b/>
          <w:bCs/>
        </w:rPr>
        <w:t>ure</w:t>
      </w:r>
      <w:r w:rsidRPr="00C77BD2">
        <w:rPr>
          <w:b/>
          <w:bCs/>
        </w:rPr>
        <w:t xml:space="preserve"> </w:t>
      </w:r>
      <w:r w:rsidRPr="00C77BD2">
        <w:rPr>
          <w:b/>
          <w:bCs/>
        </w:rPr>
        <w:fldChar w:fldCharType="begin"/>
      </w:r>
      <w:r w:rsidRPr="00C77BD2">
        <w:rPr>
          <w:b/>
          <w:bCs/>
        </w:rPr>
        <w:instrText xml:space="preserve"> SEQ Figure \* ARABIC </w:instrText>
      </w:r>
      <w:r w:rsidRPr="00C77BD2">
        <w:rPr>
          <w:b/>
          <w:bCs/>
        </w:rPr>
        <w:fldChar w:fldCharType="separate"/>
      </w:r>
      <w:r w:rsidR="00D7214D">
        <w:rPr>
          <w:b/>
          <w:bCs/>
          <w:noProof/>
        </w:rPr>
        <w:t>1</w:t>
      </w:r>
      <w:r w:rsidRPr="00C77BD2">
        <w:rPr>
          <w:b/>
          <w:bCs/>
        </w:rPr>
        <w:fldChar w:fldCharType="end"/>
      </w:r>
      <w:r w:rsidRPr="00C77BD2">
        <w:rPr>
          <w:b/>
          <w:bCs/>
        </w:rPr>
        <w:t xml:space="preserve"> </w:t>
      </w:r>
      <w:r w:rsidRPr="00C77BD2">
        <w:t xml:space="preserve">Summary of the fractions obtained </w:t>
      </w:r>
      <w:r w:rsidR="009F0515">
        <w:t>during</w:t>
      </w:r>
      <w:r w:rsidR="009F0515" w:rsidRPr="00C77BD2">
        <w:t xml:space="preserve"> </w:t>
      </w:r>
      <w:r w:rsidR="009F0515">
        <w:t>cocoa pod husk</w:t>
      </w:r>
      <w:r w:rsidR="009F0515" w:rsidRPr="00C77BD2">
        <w:t xml:space="preserve"> process</w:t>
      </w:r>
      <w:r w:rsidR="009F0515">
        <w:t>ing</w:t>
      </w:r>
      <w:r w:rsidR="009F0515" w:rsidRPr="00C77BD2">
        <w:t xml:space="preserve"> </w:t>
      </w:r>
      <w:r w:rsidR="009F0515">
        <w:t xml:space="preserve">using the optimised </w:t>
      </w:r>
      <w:r w:rsidRPr="00C77BD2">
        <w:t xml:space="preserve">butanosolv </w:t>
      </w:r>
      <w:r w:rsidR="009F0515">
        <w:t>pretreatment</w:t>
      </w:r>
      <w:r w:rsidRPr="00C77BD2">
        <w:t xml:space="preserve"> </w:t>
      </w:r>
      <w:r w:rsidR="009F0515">
        <w:t>developed in this report. P</w:t>
      </w:r>
      <w:r w:rsidRPr="00C77BD2">
        <w:t>otential application</w:t>
      </w:r>
      <w:r w:rsidR="009F0515">
        <w:t>s of the isolated fractions are proposed (</w:t>
      </w:r>
      <w:r w:rsidR="009F0515" w:rsidRPr="002A27CA">
        <w:rPr>
          <w:i/>
        </w:rPr>
        <w:t>e.g.</w:t>
      </w:r>
      <w:r w:rsidR="009F0515">
        <w:t xml:space="preserve"> the conversion of the lignin to a potential fla</w:t>
      </w:r>
      <w:r w:rsidR="006E3805">
        <w:t>m</w:t>
      </w:r>
      <w:r w:rsidR="009F0515">
        <w:t>e retardant material).</w:t>
      </w:r>
    </w:p>
    <w:p w14:paraId="713DCC7E" w14:textId="77777777" w:rsidR="002A2FD5" w:rsidRPr="002A27CA" w:rsidRDefault="002A2FD5" w:rsidP="002A27CA"/>
    <w:p w14:paraId="49D3CBA6" w14:textId="1307EE13" w:rsidR="006A358F" w:rsidRPr="008A1249" w:rsidRDefault="006A358F" w:rsidP="008A1249">
      <w:pPr>
        <w:pStyle w:val="TAMainText"/>
      </w:pPr>
      <w:r w:rsidRPr="008A1249">
        <w:lastRenderedPageBreak/>
        <w:t xml:space="preserve">Another part of the biorefinery challenge is its application to less mainstream biomass sources. Whilst many studies use soft or hardwoods, researchers </w:t>
      </w:r>
      <w:r w:rsidR="00F5459D">
        <w:t>continue to</w:t>
      </w:r>
      <w:r w:rsidR="00F5459D" w:rsidRPr="008A1249">
        <w:t xml:space="preserve"> explor</w:t>
      </w:r>
      <w:r w:rsidR="00F5459D">
        <w:t>e</w:t>
      </w:r>
      <w:r w:rsidR="00F5459D" w:rsidRPr="008A1249">
        <w:t xml:space="preserve"> </w:t>
      </w:r>
      <w:r w:rsidRPr="008A1249">
        <w:t>less common biomass. Recent reports have described, for example, the processing of coffee husks,</w:t>
      </w:r>
      <w:r w:rsidR="00E67FEC">
        <w:rPr>
          <w:highlight w:val="yellow"/>
          <w:vertAlign w:val="superscript"/>
        </w:rPr>
        <w:t>29</w:t>
      </w:r>
      <w:r w:rsidRPr="008A1249">
        <w:t xml:space="preserve"> rice husks,</w:t>
      </w:r>
      <w:r w:rsidR="00E67FEC">
        <w:rPr>
          <w:highlight w:val="yellow"/>
          <w:vertAlign w:val="superscript"/>
        </w:rPr>
        <w:t>30</w:t>
      </w:r>
      <w:r w:rsidRPr="008A1249">
        <w:t xml:space="preserve"> and pomegranate peel</w:t>
      </w:r>
      <w:r w:rsidR="00313AEB">
        <w:rPr>
          <w:highlight w:val="yellow"/>
          <w:vertAlign w:val="superscript"/>
        </w:rPr>
        <w:t>31</w:t>
      </w:r>
      <w:r w:rsidR="00F5459D">
        <w:t xml:space="preserve"> but the list of possible starting materials continues to increase</w:t>
      </w:r>
      <w:r w:rsidRPr="008A1249">
        <w:t>.</w:t>
      </w:r>
      <w:r w:rsidR="00313AEB">
        <w:rPr>
          <w:highlight w:val="yellow"/>
          <w:vertAlign w:val="superscript"/>
        </w:rPr>
        <w:t>7</w:t>
      </w:r>
      <w:r w:rsidRPr="008A1249">
        <w:t xml:space="preserve"> Here </w:t>
      </w:r>
      <w:r w:rsidR="00F5459D">
        <w:t>the</w:t>
      </w:r>
      <w:r w:rsidR="00F5459D" w:rsidRPr="008A1249">
        <w:t xml:space="preserve"> </w:t>
      </w:r>
      <w:r w:rsidRPr="008A1249">
        <w:t xml:space="preserve">focus </w:t>
      </w:r>
      <w:r w:rsidR="00F5459D">
        <w:t xml:space="preserve">is </w:t>
      </w:r>
      <w:r w:rsidRPr="008A1249">
        <w:t xml:space="preserve">on an understudied waste product from the chocolate industry – the cocoa pod husk (CPH). </w:t>
      </w:r>
      <w:r w:rsidR="00341FE3">
        <w:t xml:space="preserve">The total global harvest of </w:t>
      </w:r>
      <w:r w:rsidR="00613A94">
        <w:t xml:space="preserve">cocoa </w:t>
      </w:r>
      <w:r w:rsidR="00E67FEC">
        <w:t xml:space="preserve">beans </w:t>
      </w:r>
      <w:r w:rsidR="00341FE3">
        <w:t>for the 2021/22 growing season</w:t>
      </w:r>
      <w:r w:rsidR="00613A94">
        <w:t xml:space="preserve"> </w:t>
      </w:r>
      <w:r w:rsidR="00AB7615">
        <w:t>was</w:t>
      </w:r>
      <w:r w:rsidR="00613A94">
        <w:t xml:space="preserve"> 4.8 million ton</w:t>
      </w:r>
      <w:r w:rsidR="003935BE">
        <w:t>nes</w:t>
      </w:r>
      <w:r w:rsidR="00AB7615">
        <w:t xml:space="preserve"> with this estimated to increase slightly </w:t>
      </w:r>
      <w:r w:rsidR="00E67FEC">
        <w:t>for the 2022/23 growing season.</w:t>
      </w:r>
      <w:r w:rsidR="00E67FEC">
        <w:rPr>
          <w:highlight w:val="yellow"/>
          <w:vertAlign w:val="superscript"/>
        </w:rPr>
        <w:t>32</w:t>
      </w:r>
      <w:r w:rsidR="00E67FEC">
        <w:t xml:space="preserve"> A</w:t>
      </w:r>
      <w:r w:rsidR="00112C7E">
        <w:t>s t</w:t>
      </w:r>
      <w:r w:rsidRPr="008A1249">
        <w:t>h</w:t>
      </w:r>
      <w:r w:rsidR="00313AEB">
        <w:t>e CPH represents the bulk (70-75</w:t>
      </w:r>
      <w:r w:rsidRPr="008A1249">
        <w:t xml:space="preserve">%) of the fruit produced by the </w:t>
      </w:r>
      <w:r w:rsidRPr="002A27CA">
        <w:rPr>
          <w:i/>
        </w:rPr>
        <w:t>Theobroma cacao</w:t>
      </w:r>
      <w:r w:rsidRPr="008A1249">
        <w:t xml:space="preserve"> tree</w:t>
      </w:r>
      <w:r w:rsidR="00E67FEC">
        <w:t>,</w:t>
      </w:r>
      <w:r w:rsidR="00783C6A">
        <w:t xml:space="preserve"> </w:t>
      </w:r>
      <w:r w:rsidR="00A73DC9">
        <w:t>this mean</w:t>
      </w:r>
      <w:r w:rsidR="00D70919">
        <w:t>s</w:t>
      </w:r>
      <w:r w:rsidR="00A73DC9">
        <w:t xml:space="preserve"> </w:t>
      </w:r>
      <w:r w:rsidR="00783C6A">
        <w:t xml:space="preserve">that </w:t>
      </w:r>
      <w:r w:rsidR="00E67FEC">
        <w:t xml:space="preserve">more than </w:t>
      </w:r>
      <w:r w:rsidR="00783C6A">
        <w:t>20 million tonnes of cocoa pod husks are produced p.a. worldwide</w:t>
      </w:r>
      <w:r w:rsidRPr="008A1249">
        <w:t>. The husk is usually</w:t>
      </w:r>
      <w:r w:rsidR="00E67FEC">
        <w:t xml:space="preserve"> left on the farm to biodegrade. H</w:t>
      </w:r>
      <w:r w:rsidRPr="008A1249">
        <w:t xml:space="preserve">owever, the value of this practice is contested as it may have an overall negative impact by allowing proliferation of the </w:t>
      </w:r>
      <w:r w:rsidR="002A2FD5">
        <w:t>“</w:t>
      </w:r>
      <w:r w:rsidRPr="002A27CA">
        <w:rPr>
          <w:i/>
        </w:rPr>
        <w:t>cacao</w:t>
      </w:r>
      <w:r w:rsidRPr="008A1249">
        <w:t xml:space="preserve"> disease trilogy”.</w:t>
      </w:r>
      <w:r w:rsidR="00E67FEC">
        <w:rPr>
          <w:highlight w:val="yellow"/>
          <w:vertAlign w:val="superscript"/>
        </w:rPr>
        <w:t>33,34</w:t>
      </w:r>
      <w:r w:rsidRPr="008A1249">
        <w:t xml:space="preserve"> Some cocoa farmers are considering preparing and selling CPH for alternative uses if collection is feasible and the price is sufficient.</w:t>
      </w:r>
      <w:r w:rsidR="00E67FEC">
        <w:rPr>
          <w:highlight w:val="yellow"/>
          <w:vertAlign w:val="superscript"/>
        </w:rPr>
        <w:t>35</w:t>
      </w:r>
      <w:r w:rsidRPr="008A1249">
        <w:t xml:space="preserve"> In terms of the </w:t>
      </w:r>
      <w:r w:rsidR="00A724D0">
        <w:t xml:space="preserve">current </w:t>
      </w:r>
      <w:r w:rsidRPr="008A1249">
        <w:t xml:space="preserve">technology </w:t>
      </w:r>
      <w:r w:rsidR="00A724D0">
        <w:t>associated with</w:t>
      </w:r>
      <w:r w:rsidR="00A724D0" w:rsidRPr="008A1249">
        <w:t xml:space="preserve"> </w:t>
      </w:r>
      <w:r w:rsidRPr="008A1249">
        <w:t>CPH biorefining, reports have focused on the</w:t>
      </w:r>
      <w:r w:rsidR="00096115">
        <w:t xml:space="preserve"> analysis and application of</w:t>
      </w:r>
      <w:r w:rsidRPr="008A1249">
        <w:t xml:space="preserve"> carbohydrate</w:t>
      </w:r>
      <w:r w:rsidR="00A724D0">
        <w:t xml:space="preserve"> components</w:t>
      </w:r>
      <w:r w:rsidR="00E67FEC">
        <w:rPr>
          <w:highlight w:val="yellow"/>
          <w:vertAlign w:val="superscript"/>
        </w:rPr>
        <w:t>36,37</w:t>
      </w:r>
      <w:r w:rsidR="00C10EB4">
        <w:t>, particularly</w:t>
      </w:r>
      <w:r w:rsidRPr="008A1249">
        <w:t xml:space="preserve"> studies on CPH pectin</w:t>
      </w:r>
      <w:r w:rsidR="00E67FEC">
        <w:t>.</w:t>
      </w:r>
      <w:r w:rsidR="00E67FEC" w:rsidRPr="00E67FEC">
        <w:rPr>
          <w:highlight w:val="yellow"/>
          <w:vertAlign w:val="superscript"/>
        </w:rPr>
        <w:t>38-42</w:t>
      </w:r>
      <w:r w:rsidRPr="008A1249">
        <w:t xml:space="preserve"> Here, whilst a number of fractions from the biomass are considered, we focus instead on the </w:t>
      </w:r>
      <w:r w:rsidR="001453C8">
        <w:t xml:space="preserve">CPH </w:t>
      </w:r>
      <w:r w:rsidRPr="008A1249">
        <w:t xml:space="preserve">lignin component. </w:t>
      </w:r>
      <w:r w:rsidR="00F5459D">
        <w:t>L</w:t>
      </w:r>
      <w:r w:rsidRPr="008A1249">
        <w:t>imited precedent for the isolation of lignin from CPH is available which is surprising given that current estimates of lignin content place it at around 20 percent of the weight of the husk.</w:t>
      </w:r>
      <w:r w:rsidR="00313AEB">
        <w:rPr>
          <w:highlight w:val="yellow"/>
          <w:vertAlign w:val="superscript"/>
        </w:rPr>
        <w:t>43-46</w:t>
      </w:r>
    </w:p>
    <w:p w14:paraId="2CECDA9E" w14:textId="7FA98B53" w:rsidR="00D52B5A" w:rsidRDefault="006A358F">
      <w:pPr>
        <w:pStyle w:val="TAMainText"/>
      </w:pPr>
      <w:r w:rsidRPr="008A1249">
        <w:t>Following a preliminary comparison of potential methods for the efficient pretreatment of CPH (</w:t>
      </w:r>
      <w:r w:rsidR="00E4237C" w:rsidRPr="002A27CA">
        <w:rPr>
          <w:highlight w:val="yellow"/>
        </w:rPr>
        <w:t>Figure</w:t>
      </w:r>
      <w:r w:rsidR="00FD36A9" w:rsidRPr="002A27CA">
        <w:rPr>
          <w:highlight w:val="yellow"/>
        </w:rPr>
        <w:t>s</w:t>
      </w:r>
      <w:r w:rsidRPr="002A27CA">
        <w:rPr>
          <w:highlight w:val="yellow"/>
        </w:rPr>
        <w:t xml:space="preserve"> S</w:t>
      </w:r>
      <w:r w:rsidR="00E10CA6" w:rsidRPr="002A27CA">
        <w:rPr>
          <w:highlight w:val="yellow"/>
        </w:rPr>
        <w:t>1-S</w:t>
      </w:r>
      <w:r w:rsidR="00C85946">
        <w:rPr>
          <w:highlight w:val="yellow"/>
        </w:rPr>
        <w:t>3</w:t>
      </w:r>
      <w:r w:rsidRPr="008A1249">
        <w:t>)</w:t>
      </w:r>
      <w:r w:rsidR="001453C8">
        <w:t xml:space="preserve">, </w:t>
      </w:r>
      <w:r w:rsidRPr="008A1249">
        <w:t>an optimised protocol for the butanosolv pretreatment of CPH was developed. This protocol deliver</w:t>
      </w:r>
      <w:r w:rsidR="001453C8">
        <w:t>ed</w:t>
      </w:r>
      <w:r w:rsidRPr="008A1249">
        <w:t xml:space="preserve"> </w:t>
      </w:r>
      <w:r w:rsidR="001453C8">
        <w:t>a high quality lignin that wa</w:t>
      </w:r>
      <w:r w:rsidR="00A724D0">
        <w:t xml:space="preserve">s characterised in detail </w:t>
      </w:r>
      <w:r w:rsidR="00946369">
        <w:t>providing</w:t>
      </w:r>
      <w:r w:rsidR="00A724D0" w:rsidRPr="008A1249">
        <w:t xml:space="preserve"> </w:t>
      </w:r>
      <w:r w:rsidR="001453C8">
        <w:t xml:space="preserve">novel </w:t>
      </w:r>
      <w:r w:rsidR="00A724D0" w:rsidRPr="008A1249">
        <w:t>insights into its structure and purity</w:t>
      </w:r>
      <w:r w:rsidR="00A724D0">
        <w:t xml:space="preserve">. In addition, the isolated lignin </w:t>
      </w:r>
      <w:r w:rsidR="00946369">
        <w:t>wa</w:t>
      </w:r>
      <w:r w:rsidR="00A724D0">
        <w:t xml:space="preserve">s used to prepare a potential </w:t>
      </w:r>
      <w:r w:rsidR="001453C8">
        <w:t>flame-retard</w:t>
      </w:r>
      <w:r w:rsidR="00A724D0">
        <w:t>ant material. Preliminary characterisation of the six other</w:t>
      </w:r>
      <w:r w:rsidRPr="008A1249">
        <w:t xml:space="preserve"> product streams (Fig</w:t>
      </w:r>
      <w:r w:rsidR="00457C74" w:rsidRPr="008A1249">
        <w:t>ure</w:t>
      </w:r>
      <w:r w:rsidRPr="008A1249">
        <w:t xml:space="preserve"> 1)</w:t>
      </w:r>
      <w:r w:rsidR="00A724D0">
        <w:t xml:space="preserve"> </w:t>
      </w:r>
      <w:r w:rsidR="00F5459D">
        <w:lastRenderedPageBreak/>
        <w:t xml:space="preserve">is </w:t>
      </w:r>
      <w:r w:rsidR="00A724D0">
        <w:t xml:space="preserve">also </w:t>
      </w:r>
      <w:r w:rsidR="00946369">
        <w:t>includ</w:t>
      </w:r>
      <w:r w:rsidR="00A724D0">
        <w:t xml:space="preserve">ed. </w:t>
      </w:r>
      <w:r w:rsidRPr="008A1249">
        <w:t xml:space="preserve">Whilst it remains unclear </w:t>
      </w:r>
      <w:r w:rsidR="00FE0BE9">
        <w:t>what</w:t>
      </w:r>
      <w:r w:rsidRPr="008A1249">
        <w:t xml:space="preserve"> the optimal way to process CPHs</w:t>
      </w:r>
      <w:r w:rsidR="00FE0BE9">
        <w:t xml:space="preserve"> is</w:t>
      </w:r>
      <w:r w:rsidRPr="008A1249">
        <w:t>, our approach deliver</w:t>
      </w:r>
      <w:r w:rsidR="001453C8">
        <w:t>ed</w:t>
      </w:r>
      <w:r w:rsidRPr="008A1249">
        <w:t xml:space="preserve"> a </w:t>
      </w:r>
      <w:r w:rsidR="00A724D0">
        <w:t xml:space="preserve">high quality lignin and a </w:t>
      </w:r>
      <w:r w:rsidRPr="008A1249">
        <w:t xml:space="preserve">number of </w:t>
      </w:r>
      <w:r w:rsidR="00A724D0">
        <w:t xml:space="preserve">other </w:t>
      </w:r>
      <w:r w:rsidRPr="008A1249">
        <w:t>defined product streams for further study.</w:t>
      </w:r>
    </w:p>
    <w:p w14:paraId="774FF786" w14:textId="77777777" w:rsidR="00DE5961" w:rsidRDefault="00DE5961" w:rsidP="008A1249">
      <w:pPr>
        <w:pStyle w:val="TAMainText"/>
      </w:pPr>
    </w:p>
    <w:p w14:paraId="50F225AA" w14:textId="77777777" w:rsidR="00457C74" w:rsidRPr="00457C74" w:rsidRDefault="00457C74" w:rsidP="008A1249">
      <w:pPr>
        <w:pStyle w:val="TAMainText"/>
        <w:spacing w:after="240"/>
        <w:ind w:firstLine="0"/>
        <w:rPr>
          <w:u w:val="single"/>
        </w:rPr>
      </w:pPr>
      <w:r w:rsidRPr="00457C74">
        <w:rPr>
          <w:u w:val="single"/>
        </w:rPr>
        <w:t>Results and Discussion</w:t>
      </w:r>
    </w:p>
    <w:p w14:paraId="749BC39F" w14:textId="6A096135" w:rsidR="00457C74" w:rsidRDefault="000D0272" w:rsidP="008A1249">
      <w:pPr>
        <w:pStyle w:val="TAMainText"/>
        <w:spacing w:after="240"/>
        <w:ind w:firstLine="0"/>
      </w:pPr>
      <w:r>
        <w:rPr>
          <w:u w:val="single"/>
        </w:rPr>
        <w:t>Optimised I</w:t>
      </w:r>
      <w:r w:rsidR="001453C8" w:rsidRPr="002A27CA">
        <w:rPr>
          <w:u w:val="single"/>
        </w:rPr>
        <w:t>solation of Butanosolv Lignin from</w:t>
      </w:r>
      <w:r w:rsidR="00457C74" w:rsidRPr="001453C8">
        <w:rPr>
          <w:u w:val="single"/>
        </w:rPr>
        <w:t xml:space="preserve"> </w:t>
      </w:r>
      <w:r w:rsidR="00457C74" w:rsidRPr="00457C74">
        <w:rPr>
          <w:u w:val="single"/>
        </w:rPr>
        <w:t>CPH</w:t>
      </w:r>
    </w:p>
    <w:p w14:paraId="0703D03C" w14:textId="30446553" w:rsidR="009F5BB2" w:rsidRDefault="00027A2B" w:rsidP="008A1249">
      <w:pPr>
        <w:pStyle w:val="TAMainText"/>
      </w:pPr>
      <w:r>
        <w:t>A m</w:t>
      </w:r>
      <w:r w:rsidR="00FE0BE9">
        <w:t xml:space="preserve">ild butanosolv pretreatment </w:t>
      </w:r>
      <w:r w:rsidR="00703D51">
        <w:t xml:space="preserve">for use with soft or hardwoods </w:t>
      </w:r>
      <w:r>
        <w:t xml:space="preserve">typically </w:t>
      </w:r>
      <w:r w:rsidR="00FE0BE9">
        <w:t xml:space="preserve">involves the heating </w:t>
      </w:r>
      <w:r>
        <w:t xml:space="preserve">of a suspension of the </w:t>
      </w:r>
      <w:r w:rsidR="00FE0BE9">
        <w:t>biomass in 95% butanol/5% aqueous hydrochloric acid</w:t>
      </w:r>
      <w:r w:rsidRPr="00027A2B">
        <w:t xml:space="preserve"> </w:t>
      </w:r>
      <w:r>
        <w:t>at reflux for six hours</w:t>
      </w:r>
      <w:r w:rsidR="00FE0BE9">
        <w:t xml:space="preserve">. </w:t>
      </w:r>
      <w:r w:rsidR="00703D51">
        <w:t>This literature protocol</w:t>
      </w:r>
      <w:r w:rsidR="00AD0F79">
        <w:rPr>
          <w:highlight w:val="yellow"/>
          <w:vertAlign w:val="superscript"/>
        </w:rPr>
        <w:t>47</w:t>
      </w:r>
      <w:r w:rsidR="00FE0BE9" w:rsidRPr="008A1249">
        <w:t xml:space="preserve"> </w:t>
      </w:r>
      <w:r w:rsidR="00457C74" w:rsidRPr="008A1249">
        <w:t xml:space="preserve">was </w:t>
      </w:r>
      <w:r w:rsidR="00FE0BE9">
        <w:t>applied to</w:t>
      </w:r>
      <w:r w:rsidR="00457C74" w:rsidRPr="008A1249">
        <w:t xml:space="preserve"> CPH biomass to obtain a butanosolv </w:t>
      </w:r>
      <w:r w:rsidR="00AF2D04">
        <w:t xml:space="preserve">CPH </w:t>
      </w:r>
      <w:r w:rsidR="00457C74" w:rsidRPr="008A1249">
        <w:t>lignin. A sample of this lignin was analysed by HSQC NMR</w:t>
      </w:r>
      <w:r w:rsidR="00AD0F79">
        <w:rPr>
          <w:highlight w:val="yellow"/>
          <w:vertAlign w:val="superscript"/>
        </w:rPr>
        <w:t>48,49</w:t>
      </w:r>
      <w:r w:rsidR="00457C74" w:rsidRPr="002A27CA">
        <w:rPr>
          <w:vertAlign w:val="superscript"/>
        </w:rPr>
        <w:t xml:space="preserve"> </w:t>
      </w:r>
      <w:r w:rsidR="00457C74" w:rsidRPr="008A1249">
        <w:t xml:space="preserve">prior to the final purification step to </w:t>
      </w:r>
      <w:r w:rsidR="002E2689">
        <w:t xml:space="preserve">assess </w:t>
      </w:r>
      <w:r w:rsidR="00457C74" w:rsidRPr="008A1249">
        <w:t>impurit</w:t>
      </w:r>
      <w:r w:rsidR="002E2689">
        <w:t>y levels</w:t>
      </w:r>
      <w:r w:rsidR="00457C74" w:rsidRPr="008A1249">
        <w:t xml:space="preserve">. </w:t>
      </w:r>
      <w:r>
        <w:t>Signals corresponding to u</w:t>
      </w:r>
      <w:r w:rsidR="00457C74" w:rsidRPr="008A1249">
        <w:t>nsaturated fatty acid derivatives,</w:t>
      </w:r>
      <w:r w:rsidR="00AD0F79">
        <w:rPr>
          <w:highlight w:val="yellow"/>
          <w:vertAlign w:val="superscript"/>
        </w:rPr>
        <w:t>50</w:t>
      </w:r>
      <w:r w:rsidR="00457C74" w:rsidRPr="008A1249">
        <w:t xml:space="preserve"> likely based on linoleic acid,</w:t>
      </w:r>
      <w:r w:rsidR="00AD0F79">
        <w:rPr>
          <w:highlight w:val="yellow"/>
          <w:vertAlign w:val="superscript"/>
        </w:rPr>
        <w:t>51</w:t>
      </w:r>
      <w:r w:rsidR="00457C74" w:rsidRPr="008A1249">
        <w:t xml:space="preserve"> and aryl-ring containing small molecules were the major contaminants (</w:t>
      </w:r>
      <w:r w:rsidR="00457C74" w:rsidRPr="002A27CA">
        <w:rPr>
          <w:i/>
        </w:rPr>
        <w:t>c.f.</w:t>
      </w:r>
      <w:r w:rsidR="00457C74" w:rsidRPr="008A1249">
        <w:t xml:space="preserve"> Figure</w:t>
      </w:r>
      <w:r w:rsidR="002E2689">
        <w:t>s</w:t>
      </w:r>
      <w:r w:rsidR="00457C74" w:rsidRPr="008A1249">
        <w:t xml:space="preserve"> 2A</w:t>
      </w:r>
      <w:r w:rsidR="00FC5D5C">
        <w:t>/</w:t>
      </w:r>
      <w:r w:rsidR="002E2689">
        <w:t xml:space="preserve">2B </w:t>
      </w:r>
      <w:r w:rsidR="00FC5D5C">
        <w:t xml:space="preserve">and </w:t>
      </w:r>
      <w:r w:rsidR="00FC5D5C" w:rsidRPr="002A27CA">
        <w:rPr>
          <w:highlight w:val="yellow"/>
        </w:rPr>
        <w:t>S</w:t>
      </w:r>
      <w:r w:rsidR="008E7E8E">
        <w:rPr>
          <w:highlight w:val="yellow"/>
        </w:rPr>
        <w:t>4</w:t>
      </w:r>
      <w:r w:rsidR="00FC5D5C" w:rsidRPr="002A27CA">
        <w:rPr>
          <w:highlight w:val="yellow"/>
        </w:rPr>
        <w:t>A/S</w:t>
      </w:r>
      <w:r w:rsidR="008E7E8E">
        <w:rPr>
          <w:highlight w:val="yellow"/>
        </w:rPr>
        <w:t>4</w:t>
      </w:r>
      <w:r w:rsidR="00FC5D5C" w:rsidRPr="002A27CA">
        <w:rPr>
          <w:highlight w:val="yellow"/>
        </w:rPr>
        <w:t>B</w:t>
      </w:r>
      <w:r w:rsidR="00FC5D5C">
        <w:t xml:space="preserve"> </w:t>
      </w:r>
      <w:r>
        <w:t>f</w:t>
      </w:r>
      <w:r w:rsidR="00457C74" w:rsidRPr="008A1249">
        <w:t>or analysis of lignin prior to</w:t>
      </w:r>
      <w:r w:rsidR="002E2689">
        <w:t xml:space="preserve"> and post-</w:t>
      </w:r>
      <w:r w:rsidR="00457C74" w:rsidRPr="008A1249">
        <w:t xml:space="preserve">purification). </w:t>
      </w:r>
      <w:r w:rsidR="00FE0BE9">
        <w:t>W</w:t>
      </w:r>
      <w:r w:rsidR="00457C74" w:rsidRPr="008A1249">
        <w:t xml:space="preserve">ashing the starting biomass with ethanol </w:t>
      </w:r>
      <w:r w:rsidR="002E2689">
        <w:t xml:space="preserve">before </w:t>
      </w:r>
      <w:r w:rsidR="00FE0BE9">
        <w:t>butanosolv pr</w:t>
      </w:r>
      <w:r w:rsidR="002E2689">
        <w:t>etreatment</w:t>
      </w:r>
      <w:r w:rsidR="00FE0BE9">
        <w:t xml:space="preserve"> </w:t>
      </w:r>
      <w:r w:rsidR="00821068">
        <w:t>reduced the number of</w:t>
      </w:r>
      <w:r w:rsidR="002E2689">
        <w:t xml:space="preserve"> impurities</w:t>
      </w:r>
      <w:r w:rsidR="00FE0BE9" w:rsidRPr="008A1249">
        <w:t xml:space="preserve"> </w:t>
      </w:r>
      <w:r w:rsidR="00457C74" w:rsidRPr="008A1249">
        <w:t xml:space="preserve">and resulted in </w:t>
      </w:r>
      <w:r w:rsidR="002E2689">
        <w:t xml:space="preserve">a </w:t>
      </w:r>
      <w:r w:rsidR="00457C74" w:rsidRPr="008A1249">
        <w:t xml:space="preserve">lignin </w:t>
      </w:r>
      <w:r w:rsidR="00F5459D">
        <w:t>with improved purity</w:t>
      </w:r>
      <w:r w:rsidR="002E2689">
        <w:t xml:space="preserve"> </w:t>
      </w:r>
      <w:r w:rsidR="00457C74" w:rsidRPr="008A1249">
        <w:t>(</w:t>
      </w:r>
      <w:r w:rsidR="002E2689" w:rsidRPr="002A27CA">
        <w:rPr>
          <w:i/>
        </w:rPr>
        <w:t>c.f.</w:t>
      </w:r>
      <w:r w:rsidR="002E2689">
        <w:t xml:space="preserve"> </w:t>
      </w:r>
      <w:r w:rsidR="00457C74" w:rsidRPr="008A1249">
        <w:t>Figure</w:t>
      </w:r>
      <w:r w:rsidR="002E2689">
        <w:t>s 2B</w:t>
      </w:r>
      <w:r w:rsidR="00FC5D5C">
        <w:t>/</w:t>
      </w:r>
      <w:r w:rsidR="00FC5D5C" w:rsidRPr="002A27CA">
        <w:rPr>
          <w:highlight w:val="yellow"/>
        </w:rPr>
        <w:t>S</w:t>
      </w:r>
      <w:r w:rsidR="008E7E8E">
        <w:rPr>
          <w:highlight w:val="yellow"/>
        </w:rPr>
        <w:t>4</w:t>
      </w:r>
      <w:r w:rsidR="00FC5D5C" w:rsidRPr="002A27CA">
        <w:rPr>
          <w:highlight w:val="yellow"/>
        </w:rPr>
        <w:t>B</w:t>
      </w:r>
      <w:r w:rsidR="002E2689">
        <w:t xml:space="preserve"> and</w:t>
      </w:r>
      <w:r w:rsidR="00457C74" w:rsidRPr="008A1249">
        <w:t xml:space="preserve"> </w:t>
      </w:r>
      <w:r w:rsidR="00457C74" w:rsidRPr="002A27CA">
        <w:rPr>
          <w:highlight w:val="yellow"/>
        </w:rPr>
        <w:t>S</w:t>
      </w:r>
      <w:r w:rsidR="008E7E8E">
        <w:rPr>
          <w:highlight w:val="yellow"/>
        </w:rPr>
        <w:t>4</w:t>
      </w:r>
      <w:r w:rsidR="00457C74" w:rsidRPr="002A27CA">
        <w:rPr>
          <w:highlight w:val="yellow"/>
        </w:rPr>
        <w:t>E/F</w:t>
      </w:r>
      <w:r w:rsidR="00457C74" w:rsidRPr="008A1249">
        <w:t xml:space="preserve">). </w:t>
      </w:r>
      <w:r w:rsidR="002E2689" w:rsidRPr="008A1249">
        <w:t>Th</w:t>
      </w:r>
      <w:r w:rsidR="002E2689">
        <w:t>e</w:t>
      </w:r>
      <w:r w:rsidR="002E2689" w:rsidRPr="008A1249">
        <w:t xml:space="preserve"> </w:t>
      </w:r>
      <w:r w:rsidR="00457C74" w:rsidRPr="008A1249">
        <w:t xml:space="preserve">ethanol </w:t>
      </w:r>
      <w:r w:rsidR="002E2689">
        <w:t>pre-</w:t>
      </w:r>
      <w:r w:rsidR="00457C74" w:rsidRPr="008A1249">
        <w:t>wash also resolved practical challenges associated with precipitation of the lignin and this step was therefore incorporated in</w:t>
      </w:r>
      <w:r w:rsidR="00703D51">
        <w:t>to</w:t>
      </w:r>
      <w:r w:rsidR="00457C74" w:rsidRPr="008A1249">
        <w:t xml:space="preserve"> </w:t>
      </w:r>
      <w:r w:rsidR="00B36F40">
        <w:t>an</w:t>
      </w:r>
      <w:r w:rsidR="00457C74" w:rsidRPr="008A1249">
        <w:t xml:space="preserve"> </w:t>
      </w:r>
      <w:r w:rsidR="00703D51">
        <w:t>“</w:t>
      </w:r>
      <w:r w:rsidR="00457C74" w:rsidRPr="008A1249">
        <w:t>optimised pretreatment”</w:t>
      </w:r>
      <w:r w:rsidR="00FC5D5C">
        <w:t xml:space="preserve"> method</w:t>
      </w:r>
      <w:r w:rsidR="00457C74" w:rsidRPr="008A1249">
        <w:t>.</w:t>
      </w:r>
    </w:p>
    <w:p w14:paraId="4AEFE9FB" w14:textId="77777777" w:rsidR="009F5BB2" w:rsidRDefault="009F5BB2">
      <w:pPr>
        <w:spacing w:after="0"/>
        <w:jc w:val="left"/>
      </w:pPr>
      <w:r>
        <w:br w:type="page"/>
      </w:r>
    </w:p>
    <w:p w14:paraId="2F22D134" w14:textId="21B644BD" w:rsidR="00457C74" w:rsidRDefault="00AD5BB8" w:rsidP="000827DD">
      <w:pPr>
        <w:pStyle w:val="TAMainText"/>
        <w:spacing w:after="240"/>
      </w:pPr>
      <w:r>
        <w:rPr>
          <w:noProof/>
          <w:color w:val="000000"/>
          <w:lang w:eastAsia="en-GB"/>
        </w:rPr>
        <w:lastRenderedPageBreak/>
        <w:drawing>
          <wp:inline distT="0" distB="0" distL="0" distR="0" wp14:anchorId="07C22140" wp14:editId="02329636">
            <wp:extent cx="3043974" cy="5794330"/>
            <wp:effectExtent l="0" t="0" r="4445" b="0"/>
            <wp:docPr id="3097279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727927"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43974" cy="5794330"/>
                    </a:xfrm>
                    <a:prstGeom prst="rect">
                      <a:avLst/>
                    </a:prstGeom>
                  </pic:spPr>
                </pic:pic>
              </a:graphicData>
            </a:graphic>
          </wp:inline>
        </w:drawing>
      </w:r>
    </w:p>
    <w:p w14:paraId="201C069F" w14:textId="42E84121" w:rsidR="00395D43" w:rsidRDefault="00526BD1" w:rsidP="002A27CA">
      <w:pPr>
        <w:pStyle w:val="VAFigureCaption"/>
        <w:spacing w:line="240" w:lineRule="auto"/>
      </w:pPr>
      <w:r w:rsidRPr="00526BD1">
        <w:rPr>
          <w:b/>
          <w:bCs/>
        </w:rPr>
        <w:t>Figure 2</w:t>
      </w:r>
      <w:r w:rsidRPr="00526BD1">
        <w:t xml:space="preserve"> HSQC NMR (700 MHz, DMSO-d6) analysis of Cocoa Pod </w:t>
      </w:r>
      <w:r w:rsidR="00AF2D04">
        <w:t>H</w:t>
      </w:r>
      <w:r w:rsidRPr="00526BD1">
        <w:t xml:space="preserve">usk (CPH) lignin obtained </w:t>
      </w:r>
      <w:r w:rsidR="00AF2D04">
        <w:t>by:</w:t>
      </w:r>
      <w:r w:rsidR="00AF2D04" w:rsidRPr="00526BD1">
        <w:t xml:space="preserve"> </w:t>
      </w:r>
      <w:r w:rsidRPr="00526BD1">
        <w:t>butanosolv pretreatment using a literature method</w:t>
      </w:r>
      <w:r w:rsidR="00AD0F79">
        <w:rPr>
          <w:highlight w:val="yellow"/>
          <w:vertAlign w:val="superscript"/>
        </w:rPr>
        <w:t>47</w:t>
      </w:r>
      <w:r w:rsidRPr="00526BD1">
        <w:t xml:space="preserve"> </w:t>
      </w:r>
      <w:r w:rsidR="00AF2D04">
        <w:t xml:space="preserve">A) </w:t>
      </w:r>
      <w:r w:rsidRPr="00526BD1">
        <w:t xml:space="preserve">before </w:t>
      </w:r>
      <w:r w:rsidR="00FC5D5C">
        <w:t xml:space="preserve">the final </w:t>
      </w:r>
      <w:r w:rsidR="00AF2D04">
        <w:t>purification</w:t>
      </w:r>
      <w:r w:rsidR="00FC5D5C">
        <w:t xml:space="preserve"> step</w:t>
      </w:r>
      <w:r w:rsidRPr="00526BD1">
        <w:t xml:space="preserve">; B) </w:t>
      </w:r>
      <w:r w:rsidR="00AF2D04">
        <w:t>a</w:t>
      </w:r>
      <w:r w:rsidRPr="00526BD1">
        <w:t xml:space="preserve">fter </w:t>
      </w:r>
      <w:r w:rsidR="00AF2D04">
        <w:t>purification by reprecipitation using organic solvents</w:t>
      </w:r>
      <w:r w:rsidRPr="00526BD1">
        <w:t xml:space="preserve">; C) </w:t>
      </w:r>
      <w:r w:rsidR="00AF2D04">
        <w:t>a</w:t>
      </w:r>
      <w:r w:rsidR="00AF2D04" w:rsidRPr="00526BD1">
        <w:t xml:space="preserve">fter </w:t>
      </w:r>
      <w:r w:rsidR="00AF2D04">
        <w:t xml:space="preserve">purification using an alternative </w:t>
      </w:r>
      <w:r w:rsidRPr="00526BD1">
        <w:t xml:space="preserve">caustic soda </w:t>
      </w:r>
      <w:r w:rsidR="00AF2D04">
        <w:t>purification method</w:t>
      </w:r>
      <w:r w:rsidR="00AD0F79">
        <w:rPr>
          <w:highlight w:val="yellow"/>
          <w:vertAlign w:val="superscript"/>
        </w:rPr>
        <w:t>52</w:t>
      </w:r>
      <w:r w:rsidR="00AF2D04">
        <w:t xml:space="preserve">. </w:t>
      </w:r>
      <w:r w:rsidR="00317043">
        <w:t>D)</w:t>
      </w:r>
      <w:r w:rsidR="004C71CC">
        <w:t xml:space="preserve"> </w:t>
      </w:r>
      <w:r w:rsidR="00AF2D04">
        <w:t xml:space="preserve">Analysis of the CPH lignin obtained </w:t>
      </w:r>
      <w:r w:rsidR="00FC5D5C">
        <w:t>using</w:t>
      </w:r>
      <w:r w:rsidRPr="00526BD1">
        <w:t xml:space="preserve"> the optimised butanosolv pretreatment developed</w:t>
      </w:r>
      <w:r w:rsidR="00AF2D04">
        <w:t xml:space="preserve"> in this work for comparison</w:t>
      </w:r>
      <w:r w:rsidRPr="00526BD1">
        <w:t xml:space="preserve">. </w:t>
      </w:r>
      <w:r w:rsidR="004C71CC">
        <w:t xml:space="preserve">The relevant structures that correspond to </w:t>
      </w:r>
      <w:r w:rsidR="00B62D9D">
        <w:t>interunit linkages are shown</w:t>
      </w:r>
      <w:r w:rsidR="00AF5A77">
        <w:t>.</w:t>
      </w:r>
      <w:r w:rsidR="00AF1B4C" w:rsidRPr="00526BD1">
        <w:t xml:space="preserve"> </w:t>
      </w:r>
      <w:r w:rsidR="00AF1B4C">
        <w:t xml:space="preserve">The </w:t>
      </w:r>
      <w:r w:rsidR="00AF1B4C" w:rsidRPr="00526BD1">
        <w:t xml:space="preserve">aromatic regions </w:t>
      </w:r>
      <w:r w:rsidR="00AF1B4C">
        <w:t xml:space="preserve">of the </w:t>
      </w:r>
      <w:r w:rsidRPr="00526BD1">
        <w:t xml:space="preserve">HSQC NMR spectra are shown in </w:t>
      </w:r>
      <w:r w:rsidRPr="002A27CA">
        <w:rPr>
          <w:highlight w:val="yellow"/>
        </w:rPr>
        <w:t>Figure S</w:t>
      </w:r>
      <w:r w:rsidR="00313AEB">
        <w:rPr>
          <w:highlight w:val="yellow"/>
        </w:rPr>
        <w:t>4</w:t>
      </w:r>
      <w:r w:rsidRPr="00526BD1">
        <w:t>.</w:t>
      </w:r>
    </w:p>
    <w:p w14:paraId="7BFE72DB" w14:textId="5EA759F4" w:rsidR="00FC5D5C" w:rsidRDefault="00FC5D5C" w:rsidP="002A27CA"/>
    <w:p w14:paraId="083B58C2" w14:textId="77777777" w:rsidR="009F5BB2" w:rsidRPr="008A1249" w:rsidRDefault="009F5BB2" w:rsidP="009F5BB2">
      <w:pPr>
        <w:pStyle w:val="TAMainText"/>
      </w:pPr>
      <w:r w:rsidRPr="008A1249">
        <w:lastRenderedPageBreak/>
        <w:t>Carbohydrates are known impurities in butanosolv lignins and recent studies</w:t>
      </w:r>
      <w:r>
        <w:rPr>
          <w:highlight w:val="yellow"/>
          <w:vertAlign w:val="superscript"/>
        </w:rPr>
        <w:t>52</w:t>
      </w:r>
      <w:r w:rsidRPr="008A1249">
        <w:t xml:space="preserve"> have shown that caustic soda treatment of walnut shell butanosolv lignin decreased carbohydrate contamination. A modified caustic soda treatment was applied to the lignin to assess its impact on lignin purity. The lignin was recovered in good yield and had a lower carbohydrate content as expected</w:t>
      </w:r>
      <w:r>
        <w:rPr>
          <w:highlight w:val="yellow"/>
          <w:vertAlign w:val="superscript"/>
        </w:rPr>
        <w:t>52</w:t>
      </w:r>
      <w:r w:rsidRPr="008A1249">
        <w:t xml:space="preserve"> (</w:t>
      </w:r>
      <w:r>
        <w:t>Figure</w:t>
      </w:r>
      <w:r w:rsidRPr="008A1249">
        <w:t xml:space="preserve"> </w:t>
      </w:r>
      <w:r>
        <w:t>2</w:t>
      </w:r>
      <w:r w:rsidRPr="008A1249">
        <w:t>C</w:t>
      </w:r>
      <w:r>
        <w:t>/</w:t>
      </w:r>
      <w:r w:rsidRPr="002A27CA">
        <w:rPr>
          <w:highlight w:val="yellow"/>
        </w:rPr>
        <w:t>S</w:t>
      </w:r>
      <w:r>
        <w:rPr>
          <w:highlight w:val="yellow"/>
        </w:rPr>
        <w:t>4</w:t>
      </w:r>
      <w:r w:rsidRPr="002A27CA">
        <w:rPr>
          <w:highlight w:val="yellow"/>
        </w:rPr>
        <w:t>C</w:t>
      </w:r>
      <w:r w:rsidRPr="008A1249">
        <w:t>) w</w:t>
      </w:r>
      <w:r>
        <w:t xml:space="preserve">hilst maintaining high levels of </w:t>
      </w:r>
      <w:r w:rsidRPr="008A1249">
        <w:t>β-O-4 content. No de-butoxylation of the lignin was observed, in contrast to the previous report.</w:t>
      </w:r>
      <w:r>
        <w:rPr>
          <w:highlight w:val="yellow"/>
          <w:vertAlign w:val="superscript"/>
        </w:rPr>
        <w:t>52</w:t>
      </w:r>
      <w:r w:rsidRPr="008A1249">
        <w:t xml:space="preserve"> The addition of this step did provide a higher </w:t>
      </w:r>
      <w:r>
        <w:t>purity</w:t>
      </w:r>
      <w:r w:rsidRPr="008A1249">
        <w:t xml:space="preserve"> lignin, however, alternatives were also considered.</w:t>
      </w:r>
    </w:p>
    <w:p w14:paraId="5F3AAB71" w14:textId="500AB888" w:rsidR="00A2517F" w:rsidRDefault="00A2517F">
      <w:pPr>
        <w:pStyle w:val="TAMainText"/>
      </w:pPr>
      <w:r>
        <w:t>The efficient aqueous extraction of one of the major carbohydrates in CPH, pectin</w:t>
      </w:r>
      <w:r w:rsidR="00856A2D">
        <w:t>,</w:t>
      </w:r>
      <w:r>
        <w:t xml:space="preserve"> has been reported.</w:t>
      </w:r>
      <w:r w:rsidR="00AD0F79">
        <w:rPr>
          <w:highlight w:val="yellow"/>
          <w:vertAlign w:val="superscript"/>
        </w:rPr>
        <w:t>38-44</w:t>
      </w:r>
      <w:r>
        <w:t xml:space="preserve"> </w:t>
      </w:r>
      <w:r w:rsidR="00821068">
        <w:t>In our</w:t>
      </w:r>
      <w:r w:rsidR="0051342D">
        <w:t xml:space="preserve"> study, h</w:t>
      </w:r>
      <w:r>
        <w:t xml:space="preserve">ot water extraction of CPH prior to butanosolv pretreatment </w:t>
      </w:r>
      <w:r w:rsidR="0051342D">
        <w:t xml:space="preserve">was found to </w:t>
      </w:r>
      <w:r>
        <w:t xml:space="preserve">decrease the carbohydrate content in the </w:t>
      </w:r>
      <w:r w:rsidR="00270A26">
        <w:t xml:space="preserve">isolated </w:t>
      </w:r>
      <w:r>
        <w:t>lignin (</w:t>
      </w:r>
      <w:r w:rsidR="00947172" w:rsidRPr="002A27CA">
        <w:rPr>
          <w:i/>
        </w:rPr>
        <w:t>c.f.</w:t>
      </w:r>
      <w:r w:rsidR="00947172">
        <w:t xml:space="preserve"> </w:t>
      </w:r>
      <w:r w:rsidR="00E4237C">
        <w:t>Figure</w:t>
      </w:r>
      <w:r w:rsidR="00947172">
        <w:t xml:space="preserve">s 2B and </w:t>
      </w:r>
      <w:r w:rsidRPr="002A27CA">
        <w:rPr>
          <w:highlight w:val="yellow"/>
        </w:rPr>
        <w:t>S</w:t>
      </w:r>
      <w:r w:rsidR="008E7E8E">
        <w:rPr>
          <w:highlight w:val="yellow"/>
        </w:rPr>
        <w:t>4</w:t>
      </w:r>
      <w:r w:rsidRPr="002A27CA">
        <w:rPr>
          <w:highlight w:val="yellow"/>
        </w:rPr>
        <w:t>G</w:t>
      </w:r>
      <w:r>
        <w:t xml:space="preserve">). Pectin </w:t>
      </w:r>
      <w:r w:rsidR="00AF1B4C">
        <w:t xml:space="preserve">and </w:t>
      </w:r>
      <w:r w:rsidR="0051342D">
        <w:t xml:space="preserve">a second </w:t>
      </w:r>
      <w:r>
        <w:t xml:space="preserve">fraction that contained fermentable sugars (referred to </w:t>
      </w:r>
      <w:r w:rsidR="00947172">
        <w:t xml:space="preserve">here </w:t>
      </w:r>
      <w:r>
        <w:t>as PESF)</w:t>
      </w:r>
      <w:r w:rsidR="00821068">
        <w:t xml:space="preserve"> were also obtained</w:t>
      </w:r>
      <w:r>
        <w:t xml:space="preserve">. By combining </w:t>
      </w:r>
      <w:r w:rsidR="00703D51">
        <w:t>(i) the ethanol pre-wash with (ii) the hot aqueous extraction and (iii) butanosolv pretreatment</w:t>
      </w:r>
      <w:r>
        <w:t xml:space="preserve">, </w:t>
      </w:r>
      <w:r w:rsidR="0051342D">
        <w:t>a CPH</w:t>
      </w:r>
      <w:r>
        <w:t xml:space="preserve"> lignin was obtained </w:t>
      </w:r>
      <w:r w:rsidR="00270A26">
        <w:t xml:space="preserve">in </w:t>
      </w:r>
      <w:r w:rsidR="00DB1C11" w:rsidRPr="002A27CA">
        <w:t>3.7</w:t>
      </w:r>
      <w:r w:rsidR="00270A26">
        <w:t xml:space="preserve"> wt% </w:t>
      </w:r>
      <w:r>
        <w:t>that retained a high β-O-4 content and had low carbohydrate and fatty acid contaminants (</w:t>
      </w:r>
      <w:r w:rsidR="00E4237C">
        <w:t>Figure</w:t>
      </w:r>
      <w:r>
        <w:t xml:space="preserve"> 2D</w:t>
      </w:r>
      <w:r w:rsidR="00947172">
        <w:t xml:space="preserve">, </w:t>
      </w:r>
      <w:r w:rsidR="00947172" w:rsidRPr="002A27CA">
        <w:rPr>
          <w:highlight w:val="yellow"/>
        </w:rPr>
        <w:t>Table S</w:t>
      </w:r>
      <w:r w:rsidR="00821068" w:rsidRPr="00772D4B">
        <w:rPr>
          <w:highlight w:val="yellow"/>
        </w:rPr>
        <w:t>1</w:t>
      </w:r>
      <w:r>
        <w:t>). In addition, all the practical challenges encountered on applying the literature pretreatment</w:t>
      </w:r>
      <w:r w:rsidR="00AD0F79">
        <w:rPr>
          <w:highlight w:val="yellow"/>
          <w:vertAlign w:val="superscript"/>
        </w:rPr>
        <w:t>47</w:t>
      </w:r>
      <w:r>
        <w:t xml:space="preserve"> to CPH were addressed. For example, th</w:t>
      </w:r>
      <w:r w:rsidR="00AF1B4C">
        <w:t>e</w:t>
      </w:r>
      <w:r>
        <w:t xml:space="preserve"> lignin </w:t>
      </w:r>
      <w:r w:rsidR="00AF1B4C">
        <w:t xml:space="preserve">from the optimised pretreatment </w:t>
      </w:r>
      <w:r>
        <w:t xml:space="preserve">was a fine powder easily </w:t>
      </w:r>
      <w:r w:rsidR="00195E79">
        <w:t xml:space="preserve">isolated </w:t>
      </w:r>
      <w:r>
        <w:t>by filtration (</w:t>
      </w:r>
      <w:r w:rsidR="00E4237C" w:rsidRPr="002A27CA">
        <w:rPr>
          <w:highlight w:val="yellow"/>
        </w:rPr>
        <w:t>Figure</w:t>
      </w:r>
      <w:r w:rsidRPr="002A27CA">
        <w:rPr>
          <w:highlight w:val="yellow"/>
        </w:rPr>
        <w:t xml:space="preserve"> S</w:t>
      </w:r>
      <w:r w:rsidR="00B221D7">
        <w:rPr>
          <w:highlight w:val="yellow"/>
        </w:rPr>
        <w:t>5</w:t>
      </w:r>
      <w:r>
        <w:t xml:space="preserve">). DOSY NMR analysis </w:t>
      </w:r>
      <w:r w:rsidR="00947172">
        <w:t>demonstrated that</w:t>
      </w:r>
      <w:r>
        <w:t xml:space="preserve"> the diffusivity and estimated MW of the lignin obtained </w:t>
      </w:r>
      <w:r w:rsidR="00947172">
        <w:t xml:space="preserve">did not vary as </w:t>
      </w:r>
      <w:r w:rsidR="00DB1C11">
        <w:t>the changes were made</w:t>
      </w:r>
      <w:r w:rsidR="00AD0F79">
        <w:rPr>
          <w:highlight w:val="yellow"/>
          <w:vertAlign w:val="superscript"/>
        </w:rPr>
        <w:t>53</w:t>
      </w:r>
      <w:r>
        <w:t xml:space="preserve"> (</w:t>
      </w:r>
      <w:r w:rsidR="00E4237C" w:rsidRPr="002A27CA">
        <w:rPr>
          <w:highlight w:val="yellow"/>
        </w:rPr>
        <w:t>Figure</w:t>
      </w:r>
      <w:r w:rsidRPr="002A27CA">
        <w:rPr>
          <w:highlight w:val="yellow"/>
        </w:rPr>
        <w:t xml:space="preserve"> S</w:t>
      </w:r>
      <w:r w:rsidR="0095511A">
        <w:rPr>
          <w:highlight w:val="yellow"/>
        </w:rPr>
        <w:t>6</w:t>
      </w:r>
      <w:r w:rsidRPr="002A27CA">
        <w:rPr>
          <w:highlight w:val="yellow"/>
        </w:rPr>
        <w:t>, Tables S</w:t>
      </w:r>
      <w:r w:rsidR="00821068">
        <w:rPr>
          <w:highlight w:val="yellow"/>
        </w:rPr>
        <w:t>2</w:t>
      </w:r>
      <w:r w:rsidR="0051342D" w:rsidRPr="002A27CA">
        <w:rPr>
          <w:highlight w:val="yellow"/>
        </w:rPr>
        <w:t>-</w:t>
      </w:r>
      <w:r w:rsidRPr="002A27CA">
        <w:rPr>
          <w:highlight w:val="yellow"/>
        </w:rPr>
        <w:t>S</w:t>
      </w:r>
      <w:r w:rsidR="00821068">
        <w:rPr>
          <w:highlight w:val="yellow"/>
        </w:rPr>
        <w:t>3</w:t>
      </w:r>
      <w:r>
        <w:t xml:space="preserve">). The </w:t>
      </w:r>
      <w:r w:rsidR="00AF1B4C">
        <w:t xml:space="preserve">MW </w:t>
      </w:r>
      <w:r>
        <w:t>values were within error (</w:t>
      </w:r>
      <w:r w:rsidRPr="002A27CA">
        <w:rPr>
          <w:i/>
        </w:rPr>
        <w:t>e.g.</w:t>
      </w:r>
      <w:r>
        <w:t xml:space="preserve"> MW = </w:t>
      </w:r>
      <w:r w:rsidR="00B80778">
        <w:t>3700</w:t>
      </w:r>
      <w:r w:rsidR="00B80778">
        <w:rPr>
          <w:rFonts w:cs="Times"/>
        </w:rPr>
        <w:t>±</w:t>
      </w:r>
      <w:r w:rsidR="00B80778">
        <w:t xml:space="preserve">900 </w:t>
      </w:r>
      <w:r>
        <w:t xml:space="preserve">Da for </w:t>
      </w:r>
      <w:r w:rsidR="00703D51">
        <w:t xml:space="preserve">the lignin from the </w:t>
      </w:r>
      <w:r>
        <w:t xml:space="preserve">optimised </w:t>
      </w:r>
      <w:r w:rsidR="00703D51">
        <w:t>pretreatment</w:t>
      </w:r>
      <w:r>
        <w:t xml:space="preserve">). </w:t>
      </w:r>
      <w:r w:rsidR="00B36F40">
        <w:t>The optimised</w:t>
      </w:r>
      <w:r>
        <w:t xml:space="preserve"> pretreatment </w:t>
      </w:r>
      <w:r w:rsidR="00DB1C11">
        <w:t xml:space="preserve">was </w:t>
      </w:r>
      <w:r>
        <w:t xml:space="preserve">suitable for </w:t>
      </w:r>
      <w:r w:rsidR="00195E79">
        <w:t>lignin generation from</w:t>
      </w:r>
      <w:r w:rsidR="00703D51">
        <w:t xml:space="preserve"> </w:t>
      </w:r>
      <w:r>
        <w:t xml:space="preserve">CPH biomass and seems likely </w:t>
      </w:r>
      <w:r w:rsidR="00703D51">
        <w:t>to be</w:t>
      </w:r>
      <w:r>
        <w:t xml:space="preserve"> applicable to a range of non-woody biomasses</w:t>
      </w:r>
      <w:r w:rsidR="008A1249">
        <w:t>.</w:t>
      </w:r>
    </w:p>
    <w:p w14:paraId="2B9BBD3A" w14:textId="206D7883" w:rsidR="00810C89" w:rsidRDefault="00810C89">
      <w:pPr>
        <w:spacing w:after="0"/>
        <w:jc w:val="left"/>
      </w:pPr>
      <w:r>
        <w:br w:type="page"/>
      </w:r>
    </w:p>
    <w:p w14:paraId="50837125" w14:textId="77777777" w:rsidR="00810C89" w:rsidRDefault="00810C89" w:rsidP="00810C89">
      <w:pPr>
        <w:pStyle w:val="TAMainText"/>
      </w:pPr>
      <w:r>
        <w:rPr>
          <w:iCs/>
          <w:noProof/>
          <w:lang w:eastAsia="en-GB"/>
        </w:rPr>
        <w:lastRenderedPageBreak/>
        <w:drawing>
          <wp:inline distT="0" distB="0" distL="0" distR="0" wp14:anchorId="3EFA2815" wp14:editId="1DE09243">
            <wp:extent cx="5943600" cy="2176145"/>
            <wp:effectExtent l="0" t="0" r="0" b="0"/>
            <wp:docPr id="2" name="Picture 2"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alenda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176145"/>
                    </a:xfrm>
                    <a:prstGeom prst="rect">
                      <a:avLst/>
                    </a:prstGeom>
                  </pic:spPr>
                </pic:pic>
              </a:graphicData>
            </a:graphic>
          </wp:inline>
        </w:drawing>
      </w:r>
    </w:p>
    <w:p w14:paraId="5D988383" w14:textId="31E88D0B" w:rsidR="00810C89" w:rsidRDefault="00810C89" w:rsidP="00810C89">
      <w:pPr>
        <w:pStyle w:val="VAFigureCaption"/>
        <w:spacing w:line="240" w:lineRule="auto"/>
      </w:pPr>
      <w:r w:rsidRPr="00901D9D">
        <w:rPr>
          <w:b/>
          <w:bCs/>
        </w:rPr>
        <w:t xml:space="preserve">Figure </w:t>
      </w:r>
      <w:r>
        <w:rPr>
          <w:b/>
          <w:bCs/>
        </w:rPr>
        <w:t>3</w:t>
      </w:r>
      <w:r w:rsidRPr="00901D9D">
        <w:t xml:space="preserve"> A) HSQC NMR (700 MHz, DMSO-d6) analysis of acetylated β-O-4 model </w:t>
      </w:r>
      <w:r w:rsidRPr="00D86953">
        <w:rPr>
          <w:b/>
        </w:rPr>
        <w:t>3a</w:t>
      </w:r>
      <w:r w:rsidRPr="00901D9D">
        <w:t xml:space="preserve">. Signal assignments are numbered and colour-coded. </w:t>
      </w:r>
      <w:r>
        <w:t xml:space="preserve">Relevant </w:t>
      </w:r>
      <w:r w:rsidRPr="00901D9D">
        <w:t xml:space="preserve">HMBC correlations are indicated by arrows; B) expansion of (i) the alkyl region shown in A (Insert 1), and corresponding signals in </w:t>
      </w:r>
      <w:r>
        <w:t xml:space="preserve">the </w:t>
      </w:r>
      <w:r w:rsidRPr="00901D9D">
        <w:t xml:space="preserve">HMBC NMR (middle) and (ii) the modified γ-primary alcohol region (A, Insert 2); C) expansion of </w:t>
      </w:r>
      <w:r>
        <w:t xml:space="preserve">a region of the </w:t>
      </w:r>
      <w:r w:rsidRPr="00901D9D">
        <w:t xml:space="preserve">HSQC NMR (700 MHz, DMSO-d6) analysis of </w:t>
      </w:r>
      <w:r>
        <w:t>CPH lignin isolated using the literature pretreatment</w:t>
      </w:r>
      <w:r w:rsidR="00AD0F79">
        <w:rPr>
          <w:highlight w:val="yellow"/>
          <w:vertAlign w:val="superscript"/>
        </w:rPr>
        <w:t>47</w:t>
      </w:r>
      <w:r w:rsidRPr="00D86953">
        <w:rPr>
          <w:vertAlign w:val="superscript"/>
        </w:rPr>
        <w:t xml:space="preserve"> </w:t>
      </w:r>
      <w:r w:rsidRPr="00901D9D">
        <w:t xml:space="preserve">showing (i) alkyl region (top) with signals corresponding to the methyl group of acetylated β-O-4 linkages indicated (yellow), (ii) the corresponding signals in band selective HMBC NMR analysis (middle) and (iii) expansion of modified γ-primary alcohol region (bottom) with signals unambiguously assigned as corresponding to acetylated β-O-4 linkages indicated (light blue); D) expansion of HSQC NMR (700 MHz, DMSO-d6) analysis of </w:t>
      </w:r>
      <w:r>
        <w:t>CPH lignin from the optimised pretreatment</w:t>
      </w:r>
      <w:r w:rsidRPr="00901D9D">
        <w:t xml:space="preserve"> showing (i) alkyl region (top) with no signals corresponding to acetylated β-O-4 linkages, (ii) </w:t>
      </w:r>
      <w:r>
        <w:t xml:space="preserve">the </w:t>
      </w:r>
      <w:r w:rsidRPr="00901D9D">
        <w:t xml:space="preserve">corresponding absence of signals in </w:t>
      </w:r>
      <w:r>
        <w:t xml:space="preserve">the </w:t>
      </w:r>
      <w:r w:rsidRPr="00901D9D">
        <w:t xml:space="preserve">HMBC NMR analysis (middle) and (iii) expansion of modified γ-primary alcohol region (bottom) with no signals corresponding unambiguously to acetylated β-O-4 linkages. </w:t>
      </w:r>
      <w:r>
        <w:t>Lignin</w:t>
      </w:r>
      <w:r w:rsidRPr="00901D9D">
        <w:t xml:space="preserve"> from both the </w:t>
      </w:r>
      <w:r>
        <w:t>literature</w:t>
      </w:r>
      <w:r w:rsidR="00AD0F79">
        <w:rPr>
          <w:highlight w:val="yellow"/>
          <w:vertAlign w:val="superscript"/>
        </w:rPr>
        <w:t>47</w:t>
      </w:r>
      <w:r w:rsidRPr="00901D9D">
        <w:t xml:space="preserve"> and optimised protocols show no signals corresponding to acetylation at terminal phenolic oxygen positions. Regions in light grey are unassigned or cannot be assigned to a single structural feature </w:t>
      </w:r>
      <w:r>
        <w:t>in the lignin</w:t>
      </w:r>
      <w:r w:rsidRPr="00901D9D">
        <w:t xml:space="preserve"> (see </w:t>
      </w:r>
      <w:r w:rsidRPr="00D86953">
        <w:rPr>
          <w:highlight w:val="yellow"/>
        </w:rPr>
        <w:t>Figure</w:t>
      </w:r>
      <w:r w:rsidR="00ED159B">
        <w:rPr>
          <w:highlight w:val="yellow"/>
        </w:rPr>
        <w:t>s</w:t>
      </w:r>
      <w:r w:rsidRPr="00D86953">
        <w:rPr>
          <w:highlight w:val="yellow"/>
        </w:rPr>
        <w:t xml:space="preserve"> S</w:t>
      </w:r>
      <w:r w:rsidR="00514492">
        <w:rPr>
          <w:highlight w:val="yellow"/>
        </w:rPr>
        <w:t>7</w:t>
      </w:r>
      <w:r w:rsidR="00ED159B" w:rsidRPr="00BA528B">
        <w:rPr>
          <w:highlight w:val="yellow"/>
        </w:rPr>
        <w:t>-S9</w:t>
      </w:r>
      <w:r w:rsidRPr="00901D9D">
        <w:t xml:space="preserve"> for a more detailed discussion). Signals in the region </w:t>
      </w:r>
      <w:r w:rsidRPr="00D86953">
        <w:rPr>
          <w:vertAlign w:val="superscript"/>
        </w:rPr>
        <w:t>1</w:t>
      </w:r>
      <w:r w:rsidRPr="00901D9D">
        <w:t>H 4.55-3.85/</w:t>
      </w:r>
      <w:r w:rsidRPr="00D86953">
        <w:rPr>
          <w:vertAlign w:val="superscript"/>
        </w:rPr>
        <w:t>13</w:t>
      </w:r>
      <w:r w:rsidRPr="00901D9D">
        <w:t xml:space="preserve">C 65.0-62.5 are known to correspond to cinnamate, </w:t>
      </w:r>
      <w:r w:rsidRPr="00D86953">
        <w:rPr>
          <w:i/>
        </w:rPr>
        <w:t>p</w:t>
      </w:r>
      <w:r w:rsidRPr="00901D9D">
        <w:t>-coumarate</w:t>
      </w:r>
      <w:r w:rsidR="00AD0F79">
        <w:rPr>
          <w:highlight w:val="yellow"/>
          <w:vertAlign w:val="superscript"/>
        </w:rPr>
        <w:t>54,55</w:t>
      </w:r>
      <w:r w:rsidRPr="00D86953">
        <w:rPr>
          <w:vertAlign w:val="superscript"/>
        </w:rPr>
        <w:t xml:space="preserve"> </w:t>
      </w:r>
      <w:r w:rsidRPr="00901D9D">
        <w:t xml:space="preserve">and </w:t>
      </w:r>
      <w:r w:rsidRPr="00D86953">
        <w:rPr>
          <w:i/>
        </w:rPr>
        <w:t>p</w:t>
      </w:r>
      <w:r w:rsidRPr="00901D9D">
        <w:t>-hydroxybenzoate esters.</w:t>
      </w:r>
      <w:r w:rsidR="00150F53">
        <w:rPr>
          <w:highlight w:val="yellow"/>
          <w:vertAlign w:val="superscript"/>
        </w:rPr>
        <w:t>56</w:t>
      </w:r>
      <w:r w:rsidR="00AD0F79">
        <w:rPr>
          <w:highlight w:val="yellow"/>
          <w:vertAlign w:val="superscript"/>
        </w:rPr>
        <w:t>,</w:t>
      </w:r>
      <w:r w:rsidR="00150F53">
        <w:rPr>
          <w:highlight w:val="yellow"/>
          <w:vertAlign w:val="superscript"/>
        </w:rPr>
        <w:t>57</w:t>
      </w:r>
    </w:p>
    <w:p w14:paraId="606A6EE5" w14:textId="48569DE5" w:rsidR="00810C89" w:rsidRDefault="00810C89">
      <w:pPr>
        <w:pStyle w:val="TAMainText"/>
      </w:pPr>
    </w:p>
    <w:p w14:paraId="35B1FEA4" w14:textId="7EA5F529" w:rsidR="009414E5" w:rsidRPr="009414E5" w:rsidRDefault="00195E79" w:rsidP="009414E5">
      <w:pPr>
        <w:pStyle w:val="TAMainText"/>
        <w:ind w:firstLine="0"/>
        <w:rPr>
          <w:u w:val="single"/>
        </w:rPr>
      </w:pPr>
      <w:r>
        <w:rPr>
          <w:u w:val="single"/>
        </w:rPr>
        <w:t>Further a</w:t>
      </w:r>
      <w:r w:rsidR="009414E5" w:rsidRPr="009414E5">
        <w:rPr>
          <w:u w:val="single"/>
        </w:rPr>
        <w:t>nalysis of the lignin</w:t>
      </w:r>
    </w:p>
    <w:p w14:paraId="652EF22D" w14:textId="5D0E0C2C" w:rsidR="00BE63D8" w:rsidRDefault="009414E5" w:rsidP="008A6A92">
      <w:pPr>
        <w:pStyle w:val="TAMainText"/>
      </w:pPr>
      <w:r>
        <w:t xml:space="preserve">In addition to increasing the purity of the lignin, </w:t>
      </w:r>
      <w:r w:rsidR="00766BF8">
        <w:t xml:space="preserve">use of </w:t>
      </w:r>
      <w:r>
        <w:t xml:space="preserve">the </w:t>
      </w:r>
      <w:r w:rsidR="00B36F40">
        <w:t>optimised</w:t>
      </w:r>
      <w:r>
        <w:t xml:space="preserve"> pretreatment also altered </w:t>
      </w:r>
      <w:r w:rsidR="00766BF8">
        <w:t>the CPH lignin’s</w:t>
      </w:r>
      <w:r>
        <w:t xml:space="preserve"> structure. Comparison of HSQC NMR </w:t>
      </w:r>
      <w:r w:rsidR="00B36F40">
        <w:t xml:space="preserve">spectra </w:t>
      </w:r>
      <w:r>
        <w:t xml:space="preserve">found that signals at </w:t>
      </w:r>
      <w:r w:rsidRPr="002A27CA">
        <w:rPr>
          <w:vertAlign w:val="superscript"/>
        </w:rPr>
        <w:t>1</w:t>
      </w:r>
      <w:r>
        <w:t>H: 4.34/</w:t>
      </w:r>
      <w:r w:rsidRPr="002A27CA">
        <w:rPr>
          <w:vertAlign w:val="superscript"/>
        </w:rPr>
        <w:t>13</w:t>
      </w:r>
      <w:r>
        <w:t xml:space="preserve">C: 63.7 ppm and </w:t>
      </w:r>
      <w:r w:rsidRPr="002A27CA">
        <w:rPr>
          <w:vertAlign w:val="superscript"/>
        </w:rPr>
        <w:t>1</w:t>
      </w:r>
      <w:r>
        <w:t>H: 1.96/</w:t>
      </w:r>
      <w:r w:rsidRPr="002A27CA">
        <w:rPr>
          <w:vertAlign w:val="superscript"/>
        </w:rPr>
        <w:t>13</w:t>
      </w:r>
      <w:r>
        <w:t xml:space="preserve">C: 20.7 ppm were present </w:t>
      </w:r>
      <w:r w:rsidR="00195E79">
        <w:t xml:space="preserve">only </w:t>
      </w:r>
      <w:r>
        <w:t xml:space="preserve">in the lignin </w:t>
      </w:r>
      <w:r w:rsidR="00195E79">
        <w:t>obtained</w:t>
      </w:r>
      <w:r w:rsidR="00B36F40">
        <w:t xml:space="preserve"> from the literature pretreatment</w:t>
      </w:r>
      <w:r w:rsidR="00FC44E1">
        <w:rPr>
          <w:highlight w:val="yellow"/>
          <w:vertAlign w:val="superscript"/>
        </w:rPr>
        <w:t>47</w:t>
      </w:r>
      <w:r w:rsidR="00B36F40">
        <w:t xml:space="preserve"> </w:t>
      </w:r>
      <w:r>
        <w:t>(</w:t>
      </w:r>
      <w:r w:rsidR="00E4237C">
        <w:t>Figure</w:t>
      </w:r>
      <w:r>
        <w:t xml:space="preserve"> </w:t>
      </w:r>
      <w:r w:rsidR="00B36F40">
        <w:t>3</w:t>
      </w:r>
      <w:r>
        <w:t xml:space="preserve">C/D). </w:t>
      </w:r>
      <w:r w:rsidR="00766BF8">
        <w:t>This observation was rationalised based on</w:t>
      </w:r>
      <w:r>
        <w:t xml:space="preserve"> </w:t>
      </w:r>
      <w:r w:rsidR="00766BF8">
        <w:t xml:space="preserve">the presence </w:t>
      </w:r>
      <w:r w:rsidR="00195E79">
        <w:t xml:space="preserve">or absence </w:t>
      </w:r>
      <w:r w:rsidR="00766BF8">
        <w:t xml:space="preserve">of an </w:t>
      </w:r>
      <w:r>
        <w:t xml:space="preserve">acetylated </w:t>
      </w:r>
      <w:r w:rsidR="00766BF8">
        <w:t xml:space="preserve">β-O-4 unit (acetylated </w:t>
      </w:r>
      <w:r>
        <w:t>on the primary γ-hydroxy group</w:t>
      </w:r>
      <w:r w:rsidR="00766BF8">
        <w:t xml:space="preserve">, </w:t>
      </w:r>
      <w:r>
        <w:t xml:space="preserve">Generalised structure </w:t>
      </w:r>
      <w:r w:rsidRPr="002A27CA">
        <w:rPr>
          <w:b/>
        </w:rPr>
        <w:t>2</w:t>
      </w:r>
      <w:r>
        <w:t xml:space="preserve">, </w:t>
      </w:r>
      <w:r>
        <w:lastRenderedPageBreak/>
        <w:t xml:space="preserve">Scheme 1) </w:t>
      </w:r>
      <w:r w:rsidR="00766BF8">
        <w:t>in</w:t>
      </w:r>
      <w:r>
        <w:t xml:space="preserve"> the lignin</w:t>
      </w:r>
      <w:r w:rsidR="00195E79">
        <w:t>.</w:t>
      </w:r>
      <w:r>
        <w:t xml:space="preserve"> </w:t>
      </w:r>
      <w:r w:rsidR="003127F3">
        <w:t>Novel m</w:t>
      </w:r>
      <w:r w:rsidR="00F32F1E" w:rsidRPr="00074C20">
        <w:t xml:space="preserve">odel compounds </w:t>
      </w:r>
      <w:r w:rsidR="00F32F1E" w:rsidRPr="00D86953">
        <w:rPr>
          <w:b/>
        </w:rPr>
        <w:t>3a</w:t>
      </w:r>
      <w:r w:rsidR="00F32F1E" w:rsidRPr="00D86953">
        <w:t>-</w:t>
      </w:r>
      <w:r w:rsidR="00F32F1E" w:rsidRPr="00D86953">
        <w:rPr>
          <w:b/>
        </w:rPr>
        <w:t>c</w:t>
      </w:r>
      <w:r w:rsidR="00F32F1E" w:rsidRPr="00074C20">
        <w:t xml:space="preserve"> were prepared (via </w:t>
      </w:r>
      <w:r w:rsidR="00F32F1E" w:rsidRPr="00D86953">
        <w:rPr>
          <w:b/>
        </w:rPr>
        <w:t>4a</w:t>
      </w:r>
      <w:r w:rsidR="00F32F1E" w:rsidRPr="00D86953">
        <w:t>-</w:t>
      </w:r>
      <w:r w:rsidR="00F32F1E" w:rsidRPr="00D86953">
        <w:rPr>
          <w:b/>
        </w:rPr>
        <w:t>c</w:t>
      </w:r>
      <w:r w:rsidR="00F32F1E" w:rsidRPr="00074C20">
        <w:t xml:space="preserve"> and </w:t>
      </w:r>
      <w:r w:rsidR="00F32F1E" w:rsidRPr="00D86953">
        <w:rPr>
          <w:b/>
        </w:rPr>
        <w:t>5a</w:t>
      </w:r>
      <w:r w:rsidR="00F32F1E" w:rsidRPr="00D86953">
        <w:t>-</w:t>
      </w:r>
      <w:r w:rsidR="00F32F1E" w:rsidRPr="00D86953">
        <w:rPr>
          <w:b/>
        </w:rPr>
        <w:t>c</w:t>
      </w:r>
      <w:r w:rsidR="00F32F1E" w:rsidRPr="00074C20">
        <w:t xml:space="preserve">, Scheme 1) and </w:t>
      </w:r>
      <w:r w:rsidR="00F32F1E">
        <w:t xml:space="preserve">comparison of </w:t>
      </w:r>
      <w:r w:rsidR="00F32F1E" w:rsidRPr="00074C20">
        <w:t xml:space="preserve">their NMR spectra </w:t>
      </w:r>
      <w:r w:rsidR="00F32F1E">
        <w:t xml:space="preserve">with those of the lignin confirmed </w:t>
      </w:r>
      <w:r w:rsidR="00195E79">
        <w:t xml:space="preserve">that </w:t>
      </w:r>
      <w:r w:rsidR="00195E79">
        <w:rPr>
          <w:b/>
        </w:rPr>
        <w:t>2</w:t>
      </w:r>
      <w:r w:rsidR="00195E79">
        <w:t xml:space="preserve"> was only present in the lignin obtained </w:t>
      </w:r>
      <w:r w:rsidR="00DB1C11">
        <w:t>using</w:t>
      </w:r>
      <w:r w:rsidR="00195E79">
        <w:t xml:space="preserve"> the literature</w:t>
      </w:r>
      <w:r w:rsidR="00DB1C11">
        <w:t xml:space="preserve"> pretreatment</w:t>
      </w:r>
      <w:r w:rsidR="00FC44E1">
        <w:rPr>
          <w:highlight w:val="yellow"/>
          <w:vertAlign w:val="superscript"/>
        </w:rPr>
        <w:t>47</w:t>
      </w:r>
      <w:r w:rsidR="00195E79">
        <w:t xml:space="preserve"> and NOT the optimised</w:t>
      </w:r>
      <w:r w:rsidR="00F32F1E">
        <w:t xml:space="preserve"> </w:t>
      </w:r>
      <w:r w:rsidR="00195E79">
        <w:t xml:space="preserve">pretreatment </w:t>
      </w:r>
      <w:r w:rsidR="00F32F1E">
        <w:t>(Figure</w:t>
      </w:r>
      <w:r w:rsidR="00634BC1">
        <w:t>s</w:t>
      </w:r>
      <w:r w:rsidR="00195E79">
        <w:t xml:space="preserve"> 3A/</w:t>
      </w:r>
      <w:r w:rsidR="00F32F1E">
        <w:t xml:space="preserve">3B for </w:t>
      </w:r>
      <w:r w:rsidR="00F32F1E">
        <w:rPr>
          <w:b/>
        </w:rPr>
        <w:t>3a</w:t>
      </w:r>
      <w:r w:rsidR="00F32F1E">
        <w:t xml:space="preserve"> and </w:t>
      </w:r>
      <w:r w:rsidR="00F32F1E" w:rsidRPr="002A27CA">
        <w:rPr>
          <w:highlight w:val="yellow"/>
        </w:rPr>
        <w:t>Figures S</w:t>
      </w:r>
      <w:r w:rsidR="0060321C">
        <w:rPr>
          <w:highlight w:val="yellow"/>
        </w:rPr>
        <w:t>7</w:t>
      </w:r>
      <w:r w:rsidR="00F32F1E" w:rsidRPr="002A27CA">
        <w:rPr>
          <w:highlight w:val="yellow"/>
        </w:rPr>
        <w:t>-S</w:t>
      </w:r>
      <w:r w:rsidR="0060321C">
        <w:rPr>
          <w:highlight w:val="yellow"/>
        </w:rPr>
        <w:t>9</w:t>
      </w:r>
      <w:r w:rsidR="00F32F1E">
        <w:t xml:space="preserve">). </w:t>
      </w:r>
      <w:r w:rsidR="00766BF8">
        <w:t xml:space="preserve">This fortuitous difference in lignin structure </w:t>
      </w:r>
      <w:r w:rsidR="00195E79">
        <w:t>helps</w:t>
      </w:r>
      <w:r w:rsidR="00766BF8">
        <w:t xml:space="preserve"> </w:t>
      </w:r>
      <w:r>
        <w:t xml:space="preserve">the </w:t>
      </w:r>
      <w:r w:rsidR="00766BF8">
        <w:t xml:space="preserve">lignin </w:t>
      </w:r>
      <w:r>
        <w:t>modification</w:t>
      </w:r>
      <w:r w:rsidR="00195E79">
        <w:t xml:space="preserve"> studies discussed below</w:t>
      </w:r>
      <w:r w:rsidR="00F32F1E">
        <w:t xml:space="preserve">, as more </w:t>
      </w:r>
      <w:r w:rsidR="00195E79">
        <w:rPr>
          <w:rFonts w:cs="Times"/>
        </w:rPr>
        <w:t>β</w:t>
      </w:r>
      <w:r w:rsidR="00195E79">
        <w:t xml:space="preserve">-O-4 </w:t>
      </w:r>
      <w:r w:rsidR="00195E79">
        <w:rPr>
          <w:rFonts w:cs="Times"/>
        </w:rPr>
        <w:t>γ</w:t>
      </w:r>
      <w:r w:rsidR="00195E79">
        <w:t xml:space="preserve">-hydroxyls </w:t>
      </w:r>
      <w:r w:rsidR="00F32F1E">
        <w:t xml:space="preserve">are </w:t>
      </w:r>
      <w:r w:rsidR="00FB1029">
        <w:t>available</w:t>
      </w:r>
      <w:r w:rsidR="00634BC1">
        <w:t xml:space="preserve"> when the optimised pretreatment is used</w:t>
      </w:r>
      <w:r>
        <w:t xml:space="preserve">. </w:t>
      </w:r>
      <w:r w:rsidR="00766BF8">
        <w:t xml:space="preserve">The controlled removal </w:t>
      </w:r>
      <w:r>
        <w:t xml:space="preserve">of acetyl and other ester groups </w:t>
      </w:r>
      <w:r w:rsidR="00766BF8">
        <w:t xml:space="preserve">from </w:t>
      </w:r>
      <w:r>
        <w:t xml:space="preserve">the </w:t>
      </w:r>
      <w:r w:rsidR="00F32F1E">
        <w:rPr>
          <w:rFonts w:cs="Times"/>
        </w:rPr>
        <w:t>β</w:t>
      </w:r>
      <w:r w:rsidR="00F32F1E">
        <w:t>-O-4</w:t>
      </w:r>
      <w:r w:rsidR="009F5BB2">
        <w:t xml:space="preserve"> γ-hydroxy position in </w:t>
      </w:r>
      <w:r>
        <w:t>lignins has been explored previously (</w:t>
      </w:r>
      <w:r w:rsidRPr="002A27CA">
        <w:rPr>
          <w:i/>
        </w:rPr>
        <w:t>e.g.</w:t>
      </w:r>
      <w:r>
        <w:t xml:space="preserve"> triethylamine-cataly</w:t>
      </w:r>
      <w:r w:rsidR="00121D3F">
        <w:t>s</w:t>
      </w:r>
      <w:r>
        <w:t>ed de-esterification on Birch bark biomas</w:t>
      </w:r>
      <w:r w:rsidRPr="001963E2">
        <w:t>s</w:t>
      </w:r>
      <w:r w:rsidR="00FC44E1">
        <w:rPr>
          <w:highlight w:val="yellow"/>
          <w:vertAlign w:val="superscript"/>
        </w:rPr>
        <w:t>58</w:t>
      </w:r>
      <w:r w:rsidR="00EC5ADE" w:rsidRPr="00D7214D">
        <w:t xml:space="preserve">, and </w:t>
      </w:r>
      <w:r w:rsidR="00C21BFE" w:rsidRPr="00D7214D">
        <w:t>de-acetylation of Poplar biomass</w:t>
      </w:r>
      <w:r w:rsidR="001963E2" w:rsidRPr="00D7214D">
        <w:t xml:space="preserve"> using deep eutectic solvents</w:t>
      </w:r>
      <w:r w:rsidR="00FC44E1">
        <w:rPr>
          <w:highlight w:val="yellow"/>
          <w:vertAlign w:val="superscript"/>
        </w:rPr>
        <w:t>59</w:t>
      </w:r>
      <w:r w:rsidRPr="001963E2">
        <w:t>), although</w:t>
      </w:r>
      <w:r>
        <w:t xml:space="preserve"> not with CPH lignin.</w:t>
      </w:r>
    </w:p>
    <w:p w14:paraId="7EF5D1B7" w14:textId="77777777" w:rsidR="009F5BB2" w:rsidRDefault="009F5BB2" w:rsidP="008A6A92">
      <w:pPr>
        <w:pStyle w:val="TAMainText"/>
      </w:pPr>
    </w:p>
    <w:p w14:paraId="5E495DCB" w14:textId="05E8A239" w:rsidR="009414E5" w:rsidRDefault="00F33E4C" w:rsidP="009414E5">
      <w:pPr>
        <w:pStyle w:val="TAMainText"/>
      </w:pPr>
      <w:r>
        <w:object w:dxaOrig="8083" w:dyaOrig="10533" w14:anchorId="4F83BD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8.45pt;height:319.7pt" o:ole="">
            <v:imagedata r:id="rId11" o:title=""/>
          </v:shape>
          <o:OLEObject Type="Embed" ProgID="ChemDraw.Document.6.0" ShapeID="_x0000_i1025" DrawAspect="Content" ObjectID="_1766991188" r:id="rId12"/>
        </w:object>
      </w:r>
    </w:p>
    <w:p w14:paraId="5F738F4C" w14:textId="1243C90B" w:rsidR="00710B6E" w:rsidRDefault="00710B6E" w:rsidP="002A27CA">
      <w:pPr>
        <w:pStyle w:val="VCSchemeTitle"/>
        <w:spacing w:line="240" w:lineRule="auto"/>
      </w:pPr>
      <w:r w:rsidRPr="00710B6E">
        <w:rPr>
          <w:b/>
          <w:bCs/>
        </w:rPr>
        <w:t>Scheme 1</w:t>
      </w:r>
      <w:r w:rsidRPr="00710B6E">
        <w:t>: Synthesis of β-O-4 model compounds. Reagents and conditions:  a) 9:1 BuOH/4M HCl, reflux, 20 min; b) 10.0 eq. Ac</w:t>
      </w:r>
      <w:r w:rsidRPr="002A27CA">
        <w:rPr>
          <w:vertAlign w:val="subscript"/>
        </w:rPr>
        <w:t>2</w:t>
      </w:r>
      <w:r w:rsidRPr="00710B6E">
        <w:t>O, Pyr, rt, 8 h; c) 3.0 eq. TsCl, 3.0 eq. NEt</w:t>
      </w:r>
      <w:r w:rsidRPr="002A27CA">
        <w:rPr>
          <w:vertAlign w:val="subscript"/>
        </w:rPr>
        <w:t>3</w:t>
      </w:r>
      <w:r w:rsidRPr="00710B6E">
        <w:t xml:space="preserve">, 0.5 eq. DMAP, </w:t>
      </w:r>
      <w:r w:rsidRPr="00710B6E">
        <w:lastRenderedPageBreak/>
        <w:t>DCM, rt, 18 h; d) 5.0 eq. NaN</w:t>
      </w:r>
      <w:r w:rsidRPr="002A27CA">
        <w:rPr>
          <w:vertAlign w:val="subscript"/>
        </w:rPr>
        <w:t>3</w:t>
      </w:r>
      <w:r w:rsidRPr="00710B6E">
        <w:t>, DMF, 50 °C, 18 h; e) 1.1 eq. 7, 1.1 eq. sodium ascorbate, 0.3 eq. CuSO</w:t>
      </w:r>
      <w:r w:rsidRPr="002A27CA">
        <w:rPr>
          <w:vertAlign w:val="subscript"/>
        </w:rPr>
        <w:t>4</w:t>
      </w:r>
      <w:r w:rsidRPr="00710B6E">
        <w:t>.5H</w:t>
      </w:r>
      <w:r w:rsidRPr="002A27CA">
        <w:rPr>
          <w:vertAlign w:val="subscript"/>
        </w:rPr>
        <w:t>2</w:t>
      </w:r>
      <w:r w:rsidRPr="00710B6E">
        <w:t>O, MeOH, rt, 12 h f) i) 1.1 eq. NCS, Toluene, rt, 18 h; ii) 1.1 eq. NEt</w:t>
      </w:r>
      <w:r w:rsidRPr="002A27CA">
        <w:rPr>
          <w:vertAlign w:val="subscript"/>
        </w:rPr>
        <w:t>3</w:t>
      </w:r>
      <w:r w:rsidRPr="00710B6E">
        <w:t>, 1.1 eq. propargyl alcohol, DCM, rt, 18 h.</w:t>
      </w:r>
    </w:p>
    <w:p w14:paraId="4D84618B" w14:textId="77777777" w:rsidR="00C32101" w:rsidRPr="00C32101" w:rsidRDefault="00C32101" w:rsidP="002A27CA"/>
    <w:p w14:paraId="4A8D458B" w14:textId="77777777" w:rsidR="002344A6" w:rsidRPr="002344A6" w:rsidRDefault="002344A6" w:rsidP="002344A6">
      <w:pPr>
        <w:pStyle w:val="TAMainText"/>
        <w:ind w:firstLine="0"/>
        <w:rPr>
          <w:u w:val="single"/>
        </w:rPr>
      </w:pPr>
      <w:r w:rsidRPr="002344A6">
        <w:rPr>
          <w:u w:val="single"/>
        </w:rPr>
        <w:t>Modification of CPH lignin</w:t>
      </w:r>
    </w:p>
    <w:p w14:paraId="589AE008" w14:textId="21EA8034" w:rsidR="002344A6" w:rsidRDefault="00195E79" w:rsidP="002344A6">
      <w:pPr>
        <w:pStyle w:val="TAMainText"/>
      </w:pPr>
      <w:r>
        <w:t>T</w:t>
      </w:r>
      <w:r w:rsidR="00347518">
        <w:t>he use of lignin as</w:t>
      </w:r>
      <w:r w:rsidR="002344A6">
        <w:t xml:space="preserve"> a </w:t>
      </w:r>
      <w:r w:rsidR="00347518">
        <w:t>template</w:t>
      </w:r>
      <w:r w:rsidR="002344A6">
        <w:t xml:space="preserve"> for novel oligomers/materials </w:t>
      </w:r>
      <w:r>
        <w:t xml:space="preserve">synthesis is increasingly </w:t>
      </w:r>
      <w:r w:rsidR="00DB1C11">
        <w:t>reported</w:t>
      </w:r>
      <w:r w:rsidR="00AE09AC">
        <w:t>,</w:t>
      </w:r>
      <w:r w:rsidR="002F6043">
        <w:rPr>
          <w:vertAlign w:val="superscript"/>
        </w:rPr>
        <w:t xml:space="preserve"> </w:t>
      </w:r>
      <w:r w:rsidR="00791A9E" w:rsidRPr="00D7214D">
        <w:t>for example</w:t>
      </w:r>
      <w:r w:rsidR="00D45BA0" w:rsidRPr="00D7214D">
        <w:t xml:space="preserve"> </w:t>
      </w:r>
      <w:r w:rsidR="00E40AB4" w:rsidRPr="00D7214D">
        <w:t xml:space="preserve">the use of lignin </w:t>
      </w:r>
      <w:r w:rsidR="00D36642" w:rsidRPr="00D7214D">
        <w:t xml:space="preserve">as a scaffold in </w:t>
      </w:r>
      <w:r w:rsidR="009F37E0">
        <w:t>a variety of resins</w:t>
      </w:r>
      <w:r w:rsidR="002F6043">
        <w:t>.</w:t>
      </w:r>
      <w:r w:rsidR="000731BC" w:rsidRPr="000731BC">
        <w:rPr>
          <w:highlight w:val="yellow"/>
          <w:vertAlign w:val="superscript"/>
        </w:rPr>
        <w:t>60-63</w:t>
      </w:r>
      <w:r w:rsidR="002344A6">
        <w:t xml:space="preserve"> </w:t>
      </w:r>
      <w:r w:rsidR="00347518">
        <w:t xml:space="preserve">In this case, CPH </w:t>
      </w:r>
      <w:r w:rsidR="002344A6">
        <w:t xml:space="preserve">Lignin from the optimised pretreatment was modified (Scheme 2) to give first a tosylated lignin (Lignin-Ts, </w:t>
      </w:r>
      <w:r w:rsidR="00FB06A4" w:rsidRPr="002A27CA">
        <w:rPr>
          <w:i/>
        </w:rPr>
        <w:t>c.f.</w:t>
      </w:r>
      <w:r w:rsidR="00FB06A4">
        <w:t xml:space="preserve"> </w:t>
      </w:r>
      <w:r w:rsidR="00E4237C">
        <w:t>Figure</w:t>
      </w:r>
      <w:r w:rsidR="00FB06A4">
        <w:t>s 4A and</w:t>
      </w:r>
      <w:r w:rsidR="002344A6">
        <w:t xml:space="preserve"> </w:t>
      </w:r>
      <w:r w:rsidR="00347518">
        <w:t>4</w:t>
      </w:r>
      <w:r w:rsidR="002344A6">
        <w:t xml:space="preserve">B and </w:t>
      </w:r>
      <w:r w:rsidR="002344A6" w:rsidRPr="002A27CA">
        <w:rPr>
          <w:highlight w:val="yellow"/>
        </w:rPr>
        <w:t>S</w:t>
      </w:r>
      <w:r w:rsidR="00E0187E" w:rsidRPr="002A27CA">
        <w:rPr>
          <w:highlight w:val="yellow"/>
        </w:rPr>
        <w:t>1</w:t>
      </w:r>
      <w:r w:rsidR="006239E7">
        <w:rPr>
          <w:highlight w:val="yellow"/>
        </w:rPr>
        <w:t>0</w:t>
      </w:r>
      <w:r w:rsidR="00C1597E">
        <w:rPr>
          <w:highlight w:val="yellow"/>
        </w:rPr>
        <w:t>A and S</w:t>
      </w:r>
      <w:r w:rsidR="00313AEB" w:rsidRPr="00313AEB">
        <w:rPr>
          <w:highlight w:val="yellow"/>
        </w:rPr>
        <w:t>4D</w:t>
      </w:r>
      <w:r w:rsidR="002344A6">
        <w:t>) and then an azidated lignin (Lignin-N</w:t>
      </w:r>
      <w:r w:rsidR="002344A6" w:rsidRPr="002A27CA">
        <w:rPr>
          <w:vertAlign w:val="subscript"/>
        </w:rPr>
        <w:t>3</w:t>
      </w:r>
      <w:r w:rsidR="002344A6">
        <w:t xml:space="preserve">, </w:t>
      </w:r>
      <w:r w:rsidR="00E4237C">
        <w:t>Figure</w:t>
      </w:r>
      <w:r w:rsidR="002344A6">
        <w:t xml:space="preserve"> </w:t>
      </w:r>
      <w:r w:rsidR="00FB06A4">
        <w:t>4</w:t>
      </w:r>
      <w:r w:rsidR="002344A6">
        <w:t xml:space="preserve">D and </w:t>
      </w:r>
      <w:r w:rsidR="00FB06A4" w:rsidRPr="002A27CA">
        <w:rPr>
          <w:highlight w:val="yellow"/>
        </w:rPr>
        <w:t>S1</w:t>
      </w:r>
      <w:r w:rsidR="006239E7">
        <w:rPr>
          <w:highlight w:val="yellow"/>
        </w:rPr>
        <w:t>0</w:t>
      </w:r>
      <w:r w:rsidR="00313AEB">
        <w:rPr>
          <w:highlight w:val="yellow"/>
        </w:rPr>
        <w:t>B</w:t>
      </w:r>
      <w:r w:rsidR="002344A6">
        <w:t xml:space="preserve">). The reactions were monitored using HSQC NMR including comparison with the spectra of </w:t>
      </w:r>
      <w:r w:rsidR="00FB06A4">
        <w:t xml:space="preserve">the synthesised </w:t>
      </w:r>
      <w:r w:rsidR="002344A6">
        <w:t xml:space="preserve">model compounds. For example, the conversion of </w:t>
      </w:r>
      <w:r w:rsidR="00DB1C11">
        <w:t xml:space="preserve">the </w:t>
      </w:r>
      <w:r w:rsidR="002344A6">
        <w:t xml:space="preserve">lignin to </w:t>
      </w:r>
      <w:r w:rsidR="00FB06A4">
        <w:t>L</w:t>
      </w:r>
      <w:r w:rsidR="002344A6">
        <w:t xml:space="preserve">ignin-Ts was confirmed using model compounds </w:t>
      </w:r>
      <w:r w:rsidR="002344A6" w:rsidRPr="002A27CA">
        <w:rPr>
          <w:b/>
        </w:rPr>
        <w:t>8a</w:t>
      </w:r>
      <w:r w:rsidR="002344A6">
        <w:t xml:space="preserve"> and </w:t>
      </w:r>
      <w:r w:rsidR="002344A6" w:rsidRPr="002A27CA">
        <w:rPr>
          <w:b/>
        </w:rPr>
        <w:t>8b</w:t>
      </w:r>
      <w:r w:rsidR="002344A6">
        <w:t xml:space="preserve"> (</w:t>
      </w:r>
      <w:r w:rsidR="00E4237C">
        <w:t>Figure</w:t>
      </w:r>
      <w:r w:rsidR="002344A6">
        <w:t xml:space="preserve"> </w:t>
      </w:r>
      <w:r w:rsidR="00FB06A4">
        <w:t>4</w:t>
      </w:r>
      <w:r w:rsidR="002344A6">
        <w:t>B</w:t>
      </w:r>
      <w:r w:rsidR="00FB06A4">
        <w:t xml:space="preserve"> and Scheme 1 for structures</w:t>
      </w:r>
      <w:r w:rsidR="002344A6">
        <w:t>). Lignin-N</w:t>
      </w:r>
      <w:r w:rsidR="002344A6" w:rsidRPr="002A27CA">
        <w:rPr>
          <w:vertAlign w:val="subscript"/>
        </w:rPr>
        <w:t>3</w:t>
      </w:r>
      <w:r w:rsidR="002344A6">
        <w:t xml:space="preserve"> (</w:t>
      </w:r>
      <w:r w:rsidR="002344A6" w:rsidRPr="002A27CA">
        <w:rPr>
          <w:i/>
        </w:rPr>
        <w:t>c.f.</w:t>
      </w:r>
      <w:r w:rsidR="002344A6">
        <w:t xml:space="preserve"> </w:t>
      </w:r>
      <w:r w:rsidR="002344A6" w:rsidRPr="002A27CA">
        <w:rPr>
          <w:b/>
        </w:rPr>
        <w:t>9a</w:t>
      </w:r>
      <w:r w:rsidR="002344A6">
        <w:t xml:space="preserve"> and </w:t>
      </w:r>
      <w:r w:rsidR="002344A6" w:rsidRPr="002A27CA">
        <w:rPr>
          <w:b/>
        </w:rPr>
        <w:t>9b</w:t>
      </w:r>
      <w:r w:rsidR="002344A6">
        <w:t xml:space="preserve">, </w:t>
      </w:r>
      <w:r w:rsidR="00E4237C">
        <w:t>Figure</w:t>
      </w:r>
      <w:r w:rsidR="002344A6">
        <w:t xml:space="preserve"> </w:t>
      </w:r>
      <w:r w:rsidR="00FB06A4">
        <w:t>4</w:t>
      </w:r>
      <w:r w:rsidR="002344A6">
        <w:t>D) was then reacted in a Cu-Catalysed Alkyne-Azide Cycloaddition (CuAAC) reaction with the previously used 1-nitro-4-(prop-2-yn-1-yloxy)benzene (</w:t>
      </w:r>
      <w:r w:rsidR="00E4237C" w:rsidRPr="002A27CA">
        <w:rPr>
          <w:highlight w:val="yellow"/>
        </w:rPr>
        <w:t>Figure</w:t>
      </w:r>
      <w:r w:rsidR="00FB06A4" w:rsidRPr="002A27CA">
        <w:rPr>
          <w:highlight w:val="yellow"/>
        </w:rPr>
        <w:t>s</w:t>
      </w:r>
      <w:r w:rsidR="002344A6" w:rsidRPr="002A27CA">
        <w:rPr>
          <w:highlight w:val="yellow"/>
        </w:rPr>
        <w:t xml:space="preserve"> </w:t>
      </w:r>
      <w:r w:rsidR="00FB06A4" w:rsidRPr="002A27CA">
        <w:rPr>
          <w:highlight w:val="yellow"/>
        </w:rPr>
        <w:t>S1</w:t>
      </w:r>
      <w:r w:rsidR="006239E7">
        <w:rPr>
          <w:highlight w:val="yellow"/>
        </w:rPr>
        <w:t>0</w:t>
      </w:r>
      <w:r w:rsidR="00FB06A4" w:rsidRPr="002A27CA">
        <w:rPr>
          <w:highlight w:val="yellow"/>
        </w:rPr>
        <w:t xml:space="preserve">D </w:t>
      </w:r>
      <w:r w:rsidR="002344A6" w:rsidRPr="002A27CA">
        <w:rPr>
          <w:highlight w:val="yellow"/>
        </w:rPr>
        <w:t xml:space="preserve">and </w:t>
      </w:r>
      <w:r w:rsidR="00FB06A4" w:rsidRPr="002A27CA">
        <w:rPr>
          <w:highlight w:val="yellow"/>
        </w:rPr>
        <w:t>S1</w:t>
      </w:r>
      <w:r w:rsidR="006239E7">
        <w:rPr>
          <w:highlight w:val="yellow"/>
        </w:rPr>
        <w:t>0</w:t>
      </w:r>
      <w:r w:rsidR="00FB06A4" w:rsidRPr="002A27CA">
        <w:rPr>
          <w:highlight w:val="yellow"/>
        </w:rPr>
        <w:t>E</w:t>
      </w:r>
      <w:r w:rsidR="002344A6">
        <w:t>)</w:t>
      </w:r>
      <w:r w:rsidR="002F6043">
        <w:rPr>
          <w:highlight w:val="yellow"/>
          <w:vertAlign w:val="superscript"/>
        </w:rPr>
        <w:t>6</w:t>
      </w:r>
      <w:r w:rsidR="00FC44E1">
        <w:rPr>
          <w:highlight w:val="yellow"/>
          <w:vertAlign w:val="superscript"/>
        </w:rPr>
        <w:t>0</w:t>
      </w:r>
      <w:r w:rsidR="002344A6">
        <w:t xml:space="preserve"> confirming that CPH lignin was a viable substrate.</w:t>
      </w:r>
    </w:p>
    <w:p w14:paraId="38FAA032" w14:textId="77777777" w:rsidR="001C48C8" w:rsidRDefault="001C48C8" w:rsidP="002344A6">
      <w:pPr>
        <w:pStyle w:val="TAMainText"/>
      </w:pPr>
    </w:p>
    <w:p w14:paraId="042C3926" w14:textId="057CD0EE" w:rsidR="002344A6" w:rsidRDefault="004A0373" w:rsidP="002344A6">
      <w:pPr>
        <w:pStyle w:val="TAMainText"/>
      </w:pPr>
      <w:r>
        <w:object w:dxaOrig="7778" w:dyaOrig="5616" w14:anchorId="790665D0">
          <v:shape id="_x0000_i1026" type="#_x0000_t75" style="width:230.25pt;height:165.75pt" o:ole="">
            <v:imagedata r:id="rId13" o:title=""/>
          </v:shape>
          <o:OLEObject Type="Embed" ProgID="ChemDraw.Document.6.0" ShapeID="_x0000_i1026" DrawAspect="Content" ObjectID="_1766991189" r:id="rId14"/>
        </w:object>
      </w:r>
    </w:p>
    <w:p w14:paraId="759D34A8" w14:textId="7D7D8CD5" w:rsidR="00387100" w:rsidRDefault="00387100" w:rsidP="002A27CA">
      <w:pPr>
        <w:pStyle w:val="VAFigureCaption"/>
        <w:spacing w:line="240" w:lineRule="auto"/>
      </w:pPr>
      <w:r w:rsidRPr="00387100">
        <w:rPr>
          <w:b/>
          <w:bCs/>
        </w:rPr>
        <w:t>Scheme 2</w:t>
      </w:r>
      <w:r w:rsidRPr="00387100">
        <w:t xml:space="preserve">: Synthetic procedure used to convert </w:t>
      </w:r>
      <w:r w:rsidR="001C48C8">
        <w:t>CPH lignin</w:t>
      </w:r>
      <w:r w:rsidR="001C48C8" w:rsidRPr="00387100">
        <w:t xml:space="preserve"> </w:t>
      </w:r>
      <w:r w:rsidRPr="00387100">
        <w:t>to DOPO modified lignin. Reagents and conditions:  a) 2.25 wt eq. TsCl, Pyr, rt, 18 h; b) 5 wt eq. NaN</w:t>
      </w:r>
      <w:r w:rsidRPr="002A27CA">
        <w:rPr>
          <w:vertAlign w:val="subscript"/>
        </w:rPr>
        <w:t>3</w:t>
      </w:r>
      <w:r w:rsidRPr="00387100">
        <w:t xml:space="preserve">, DMF, 50 °C, 18 h; c) 0.5 wt eq. </w:t>
      </w:r>
      <w:r w:rsidRPr="002A27CA">
        <w:rPr>
          <w:b/>
        </w:rPr>
        <w:t>10</w:t>
      </w:r>
      <w:r w:rsidRPr="00387100">
        <w:t>, 0.5 wt eq. sodium ascorbate, 0.03 wt eq. CuSO</w:t>
      </w:r>
      <w:r w:rsidRPr="002A27CA">
        <w:rPr>
          <w:vertAlign w:val="subscript"/>
        </w:rPr>
        <w:t>4</w:t>
      </w:r>
      <w:r w:rsidRPr="00387100">
        <w:t>.5H</w:t>
      </w:r>
      <w:r w:rsidRPr="002A27CA">
        <w:rPr>
          <w:vertAlign w:val="subscript"/>
        </w:rPr>
        <w:t>2</w:t>
      </w:r>
      <w:r w:rsidRPr="00387100">
        <w:t>O, 5:1 DMF/H</w:t>
      </w:r>
      <w:r w:rsidRPr="002A27CA">
        <w:rPr>
          <w:vertAlign w:val="subscript"/>
        </w:rPr>
        <w:t>2</w:t>
      </w:r>
      <w:r w:rsidRPr="00387100">
        <w:t>O, rt, 18 h.</w:t>
      </w:r>
    </w:p>
    <w:p w14:paraId="412D466A" w14:textId="7C7CAFC5" w:rsidR="004A0373" w:rsidRDefault="00697BA4" w:rsidP="002344A6">
      <w:pPr>
        <w:pStyle w:val="TAMainText"/>
      </w:pPr>
      <w:r w:rsidRPr="00697BA4">
        <w:lastRenderedPageBreak/>
        <w:t>Lignin-N</w:t>
      </w:r>
      <w:r w:rsidRPr="002A27CA">
        <w:rPr>
          <w:vertAlign w:val="subscript"/>
        </w:rPr>
        <w:t>3</w:t>
      </w:r>
      <w:r w:rsidRPr="00697BA4">
        <w:t xml:space="preserve"> was then reacted with DOPO-derivative </w:t>
      </w:r>
      <w:r w:rsidRPr="002A27CA">
        <w:rPr>
          <w:b/>
        </w:rPr>
        <w:t>10</w:t>
      </w:r>
      <w:r w:rsidRPr="00697BA4">
        <w:t xml:space="preserve"> (Schemes 1 and 2). DOPO </w:t>
      </w:r>
      <w:r w:rsidRPr="002A27CA">
        <w:rPr>
          <w:b/>
        </w:rPr>
        <w:t>1</w:t>
      </w:r>
      <w:r w:rsidRPr="00697BA4">
        <w:t xml:space="preserve"> and its derivatives are incorporated into polymers to introduce flame-retardant properties via char formation, with their use offering a greener alternative to halogenated flame-retardants.</w:t>
      </w:r>
      <w:r w:rsidR="00FC44E1">
        <w:rPr>
          <w:highlight w:val="yellow"/>
          <w:vertAlign w:val="superscript"/>
        </w:rPr>
        <w:t>64</w:t>
      </w:r>
      <w:r w:rsidRPr="00697BA4">
        <w:t xml:space="preserve"> The preparation of Lignin-DOPO was confirmed by IR (</w:t>
      </w:r>
      <w:r w:rsidR="00E4237C">
        <w:t>Figure</w:t>
      </w:r>
      <w:r w:rsidRPr="00697BA4">
        <w:t xml:space="preserve"> </w:t>
      </w:r>
      <w:r w:rsidR="001C48C8">
        <w:t>4</w:t>
      </w:r>
      <w:r w:rsidRPr="00697BA4">
        <w:t>C), HSQC NMR (</w:t>
      </w:r>
      <w:r w:rsidR="00E4237C">
        <w:t>Figure</w:t>
      </w:r>
      <w:r w:rsidRPr="00697BA4">
        <w:t xml:space="preserve"> </w:t>
      </w:r>
      <w:r w:rsidR="001C48C8">
        <w:t>4</w:t>
      </w:r>
      <w:r w:rsidRPr="00697BA4">
        <w:t xml:space="preserve">E and </w:t>
      </w:r>
      <w:r w:rsidR="001C48C8" w:rsidRPr="002A27CA">
        <w:rPr>
          <w:highlight w:val="yellow"/>
        </w:rPr>
        <w:t>S1</w:t>
      </w:r>
      <w:r w:rsidR="00C1597E">
        <w:rPr>
          <w:highlight w:val="yellow"/>
        </w:rPr>
        <w:t>0</w:t>
      </w:r>
      <w:r w:rsidR="001C48C8" w:rsidRPr="002A27CA">
        <w:rPr>
          <w:highlight w:val="yellow"/>
        </w:rPr>
        <w:t>C</w:t>
      </w:r>
      <w:r w:rsidRPr="00697BA4">
        <w:t xml:space="preserve">, </w:t>
      </w:r>
      <w:r w:rsidRPr="002A27CA">
        <w:rPr>
          <w:i/>
        </w:rPr>
        <w:t>c.f.</w:t>
      </w:r>
      <w:r w:rsidRPr="00697BA4">
        <w:t xml:space="preserve"> </w:t>
      </w:r>
      <w:r w:rsidRPr="002A27CA">
        <w:rPr>
          <w:b/>
        </w:rPr>
        <w:t>11a</w:t>
      </w:r>
      <w:r w:rsidRPr="00697BA4">
        <w:t xml:space="preserve"> and </w:t>
      </w:r>
      <w:r w:rsidRPr="002A27CA">
        <w:rPr>
          <w:b/>
        </w:rPr>
        <w:t>11b</w:t>
      </w:r>
      <w:r w:rsidRPr="00697BA4">
        <w:t xml:space="preserve">) and </w:t>
      </w:r>
      <w:r w:rsidRPr="002A27CA">
        <w:rPr>
          <w:vertAlign w:val="superscript"/>
        </w:rPr>
        <w:t>31</w:t>
      </w:r>
      <w:r w:rsidRPr="00697BA4">
        <w:t>P NMR analysis (</w:t>
      </w:r>
      <w:r w:rsidR="00E4237C">
        <w:t>Figure</w:t>
      </w:r>
      <w:r w:rsidRPr="00697BA4">
        <w:t xml:space="preserve"> </w:t>
      </w:r>
      <w:r w:rsidR="001C48C8">
        <w:t>4</w:t>
      </w:r>
      <w:r w:rsidRPr="00697BA4">
        <w:t xml:space="preserve">F). The broad signal in the </w:t>
      </w:r>
      <w:r w:rsidRPr="002A27CA">
        <w:rPr>
          <w:vertAlign w:val="superscript"/>
        </w:rPr>
        <w:t>31</w:t>
      </w:r>
      <w:r w:rsidRPr="00697BA4">
        <w:t xml:space="preserve">P NMR spectrum (10.4-9.8 ppm) was consistent with the attachment of the DOPO unit </w:t>
      </w:r>
      <w:r w:rsidR="000731BC">
        <w:t>on</w:t>
      </w:r>
      <w:r w:rsidRPr="00697BA4">
        <w:t xml:space="preserve">to the lignin with additional broadness resulting from modification of G and S-containing </w:t>
      </w:r>
      <w:r w:rsidR="001C48C8">
        <w:rPr>
          <w:rFonts w:cs="Times"/>
        </w:rPr>
        <w:t>β</w:t>
      </w:r>
      <w:r w:rsidRPr="00697BA4">
        <w:t>-O-4 units.</w:t>
      </w:r>
    </w:p>
    <w:p w14:paraId="6F7711D5" w14:textId="6CB0618E" w:rsidR="00FB06A4" w:rsidRDefault="00FB06A4">
      <w:pPr>
        <w:spacing w:after="0"/>
        <w:jc w:val="left"/>
      </w:pPr>
      <w:r>
        <w:br w:type="page"/>
      </w:r>
    </w:p>
    <w:p w14:paraId="6CFDFA02" w14:textId="736FD630" w:rsidR="00697BA4" w:rsidRDefault="00151446" w:rsidP="002344A6">
      <w:pPr>
        <w:pStyle w:val="TAMainText"/>
      </w:pPr>
      <w:r>
        <w:rPr>
          <w:noProof/>
          <w:lang w:eastAsia="en-GB"/>
        </w:rPr>
        <w:lastRenderedPageBreak/>
        <w:drawing>
          <wp:inline distT="0" distB="0" distL="0" distR="0" wp14:anchorId="2478F0C4" wp14:editId="1FEC8E06">
            <wp:extent cx="3045600" cy="2842884"/>
            <wp:effectExtent l="0" t="0" r="2540" b="0"/>
            <wp:docPr id="9" name="Picture 9" descr="A picture containing text, diagram,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diagram, screenshot, lin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45600" cy="2842884"/>
                    </a:xfrm>
                    <a:prstGeom prst="rect">
                      <a:avLst/>
                    </a:prstGeom>
                  </pic:spPr>
                </pic:pic>
              </a:graphicData>
            </a:graphic>
          </wp:inline>
        </w:drawing>
      </w:r>
    </w:p>
    <w:p w14:paraId="2CA2D79A" w14:textId="0393EAAD" w:rsidR="005D7EA7" w:rsidRDefault="005D7EA7" w:rsidP="002A27CA">
      <w:pPr>
        <w:pStyle w:val="VAFigureCaption"/>
        <w:spacing w:line="240" w:lineRule="auto"/>
      </w:pPr>
      <w:r w:rsidRPr="005D7EA7">
        <w:rPr>
          <w:b/>
          <w:bCs/>
        </w:rPr>
        <w:t xml:space="preserve">Figure </w:t>
      </w:r>
      <w:r w:rsidR="00E0187E">
        <w:rPr>
          <w:b/>
          <w:bCs/>
        </w:rPr>
        <w:t>4</w:t>
      </w:r>
      <w:r w:rsidRPr="005D7EA7">
        <w:t xml:space="preserve"> Analysis of modified </w:t>
      </w:r>
      <w:r w:rsidR="00E0187E">
        <w:t>Lignins</w:t>
      </w:r>
      <w:r w:rsidRPr="005D7EA7">
        <w:t xml:space="preserve">. HSQC NMR (700 MHz, DMSO-d6) </w:t>
      </w:r>
      <w:r w:rsidR="00E0187E">
        <w:t xml:space="preserve">analysis </w:t>
      </w:r>
      <w:r w:rsidRPr="005D7EA7">
        <w:t>of</w:t>
      </w:r>
      <w:r w:rsidR="00E0187E">
        <w:t xml:space="preserve"> </w:t>
      </w:r>
      <w:r w:rsidRPr="005D7EA7">
        <w:t>linkage region of</w:t>
      </w:r>
      <w:r w:rsidR="00E0187E">
        <w:t xml:space="preserve">: </w:t>
      </w:r>
      <w:r w:rsidR="00E0187E" w:rsidRPr="005D7EA7">
        <w:t>A)</w:t>
      </w:r>
      <w:r w:rsidRPr="005D7EA7">
        <w:t xml:space="preserve"> </w:t>
      </w:r>
      <w:r w:rsidR="00E0187E">
        <w:t xml:space="preserve">starting </w:t>
      </w:r>
      <w:r w:rsidRPr="005D7EA7">
        <w:t xml:space="preserve">CPH lignin with signals corresponding to the </w:t>
      </w:r>
      <w:r w:rsidR="00E0187E">
        <w:t>CH</w:t>
      </w:r>
      <w:r w:rsidR="00E0187E" w:rsidRPr="002A27CA">
        <w:rPr>
          <w:vertAlign w:val="subscript"/>
        </w:rPr>
        <w:t>2</w:t>
      </w:r>
      <w:r w:rsidR="00E0187E">
        <w:t xml:space="preserve"> protons of the </w:t>
      </w:r>
      <w:r w:rsidRPr="005D7EA7">
        <w:t xml:space="preserve">unmodified </w:t>
      </w:r>
      <w:r w:rsidR="00E0187E">
        <w:rPr>
          <w:rFonts w:cs="Times"/>
        </w:rPr>
        <w:t>β</w:t>
      </w:r>
      <w:r w:rsidR="00E0187E">
        <w:t xml:space="preserve">-O-4 </w:t>
      </w:r>
      <w:r w:rsidRPr="005D7EA7">
        <w:t xml:space="preserve">γ-alcohols highlighted (blue), overlaid with </w:t>
      </w:r>
      <w:r w:rsidR="00E0187E">
        <w:t xml:space="preserve">NMR analysis of </w:t>
      </w:r>
      <w:r w:rsidRPr="005D7EA7">
        <w:t xml:space="preserve">model compounds </w:t>
      </w:r>
      <w:r w:rsidRPr="002A27CA">
        <w:rPr>
          <w:b/>
        </w:rPr>
        <w:t>5a</w:t>
      </w:r>
      <w:r w:rsidRPr="005D7EA7">
        <w:t xml:space="preserve"> (black) and </w:t>
      </w:r>
      <w:r w:rsidRPr="002A27CA">
        <w:rPr>
          <w:b/>
        </w:rPr>
        <w:t>5b</w:t>
      </w:r>
      <w:r w:rsidRPr="005D7EA7">
        <w:t xml:space="preserve"> (red)</w:t>
      </w:r>
      <w:r w:rsidR="00E0187E">
        <w:t>. See Scheme</w:t>
      </w:r>
      <w:r w:rsidR="00FB06A4">
        <w:t>s</w:t>
      </w:r>
      <w:r w:rsidR="00E0187E">
        <w:t xml:space="preserve"> 1 </w:t>
      </w:r>
      <w:r w:rsidR="00FB06A4">
        <w:t xml:space="preserve">and 2 </w:t>
      </w:r>
      <w:r w:rsidR="00E0187E">
        <w:t xml:space="preserve">for </w:t>
      </w:r>
      <w:r w:rsidR="00FB06A4">
        <w:t xml:space="preserve">all chemical </w:t>
      </w:r>
      <w:r w:rsidR="00E0187E">
        <w:t>structures</w:t>
      </w:r>
      <w:r w:rsidRPr="005D7EA7">
        <w:t xml:space="preserve">; B) Lignin-Ts with signals corresponding to </w:t>
      </w:r>
      <w:r w:rsidR="00E0187E" w:rsidRPr="005D7EA7">
        <w:t xml:space="preserve">the </w:t>
      </w:r>
      <w:r w:rsidR="00E0187E">
        <w:t>CH</w:t>
      </w:r>
      <w:r w:rsidR="00E0187E" w:rsidRPr="00D86953">
        <w:rPr>
          <w:vertAlign w:val="subscript"/>
        </w:rPr>
        <w:t>2</w:t>
      </w:r>
      <w:r w:rsidR="00E0187E">
        <w:t xml:space="preserve"> protons of </w:t>
      </w:r>
      <w:r w:rsidRPr="005D7EA7">
        <w:t xml:space="preserve">the tosyl modified </w:t>
      </w:r>
      <w:r w:rsidR="00FB06A4">
        <w:rPr>
          <w:rFonts w:cs="Times"/>
        </w:rPr>
        <w:t>β</w:t>
      </w:r>
      <w:r w:rsidR="00FB06A4">
        <w:t xml:space="preserve">-O-4 </w:t>
      </w:r>
      <w:r w:rsidR="00FB06A4" w:rsidRPr="005D7EA7">
        <w:t xml:space="preserve">γ-alcohols </w:t>
      </w:r>
      <w:r w:rsidRPr="005D7EA7">
        <w:t xml:space="preserve">highlighted (pink), overlaid with model compounds </w:t>
      </w:r>
      <w:r w:rsidRPr="002A27CA">
        <w:rPr>
          <w:b/>
        </w:rPr>
        <w:t>8a</w:t>
      </w:r>
      <w:r w:rsidRPr="005D7EA7">
        <w:t xml:space="preserve"> (black) and </w:t>
      </w:r>
      <w:r w:rsidRPr="002A27CA">
        <w:rPr>
          <w:b/>
        </w:rPr>
        <w:t>8b</w:t>
      </w:r>
      <w:r w:rsidRPr="005D7EA7">
        <w:t xml:space="preserve"> (red); C) FTIR spectra of CPH butanosolv lignin (blue), Lignin-Ts (pink), Lignin-N</w:t>
      </w:r>
      <w:r w:rsidRPr="002A27CA">
        <w:rPr>
          <w:vertAlign w:val="subscript"/>
        </w:rPr>
        <w:t>3</w:t>
      </w:r>
      <w:r w:rsidRPr="005D7EA7">
        <w:t xml:space="preserve"> (green) and Lignin-DOPO (orange). Highlighted region shows appearance of azide stretching frequency at 2100 cm</w:t>
      </w:r>
      <w:r w:rsidRPr="002A27CA">
        <w:rPr>
          <w:vertAlign w:val="superscript"/>
        </w:rPr>
        <w:t>-1</w:t>
      </w:r>
      <w:r w:rsidRPr="005D7EA7">
        <w:t xml:space="preserve"> in Lignin-N</w:t>
      </w:r>
      <w:r w:rsidRPr="002A27CA">
        <w:rPr>
          <w:vertAlign w:val="subscript"/>
        </w:rPr>
        <w:t>3</w:t>
      </w:r>
      <w:r w:rsidRPr="005D7EA7">
        <w:t xml:space="preserve"> and disappearance in Lignin-DOPO indicating CuAAC click reaction was successful; D) Lignin-N</w:t>
      </w:r>
      <w:r w:rsidRPr="002A27CA">
        <w:rPr>
          <w:vertAlign w:val="subscript"/>
        </w:rPr>
        <w:t>3</w:t>
      </w:r>
      <w:r w:rsidRPr="005D7EA7">
        <w:t xml:space="preserve"> with signals corresponding to </w:t>
      </w:r>
      <w:r w:rsidR="00FB06A4" w:rsidRPr="005D7EA7">
        <w:t xml:space="preserve">the </w:t>
      </w:r>
      <w:r w:rsidR="00FB06A4">
        <w:t>CH</w:t>
      </w:r>
      <w:r w:rsidR="00FB06A4" w:rsidRPr="00D86953">
        <w:rPr>
          <w:vertAlign w:val="subscript"/>
        </w:rPr>
        <w:t>2</w:t>
      </w:r>
      <w:r w:rsidR="00FB06A4">
        <w:t xml:space="preserve"> protons of </w:t>
      </w:r>
      <w:r w:rsidR="00FB06A4" w:rsidRPr="005D7EA7">
        <w:t xml:space="preserve">the </w:t>
      </w:r>
      <w:r w:rsidR="00FB06A4">
        <w:t>azide</w:t>
      </w:r>
      <w:r w:rsidR="00FB06A4" w:rsidRPr="005D7EA7">
        <w:t xml:space="preserve"> modified </w:t>
      </w:r>
      <w:r w:rsidR="00FB06A4">
        <w:rPr>
          <w:rFonts w:cs="Times"/>
        </w:rPr>
        <w:t>β</w:t>
      </w:r>
      <w:r w:rsidR="00FB06A4">
        <w:t xml:space="preserve">-O-4 </w:t>
      </w:r>
      <w:r w:rsidR="00FB06A4" w:rsidRPr="005D7EA7">
        <w:t xml:space="preserve">γ-alcohols </w:t>
      </w:r>
      <w:r w:rsidRPr="005D7EA7">
        <w:t xml:space="preserve">highlighted (green), overlaid with model compounds </w:t>
      </w:r>
      <w:r w:rsidRPr="002A27CA">
        <w:rPr>
          <w:b/>
        </w:rPr>
        <w:t>9a</w:t>
      </w:r>
      <w:r w:rsidRPr="005D7EA7">
        <w:t xml:space="preserve"> (black) and </w:t>
      </w:r>
      <w:r w:rsidRPr="002A27CA">
        <w:rPr>
          <w:b/>
        </w:rPr>
        <w:t>9b</w:t>
      </w:r>
      <w:r w:rsidRPr="005D7EA7">
        <w:t xml:space="preserve"> (red); E) Lignin-DOPO with signals corresponding to </w:t>
      </w:r>
      <w:r w:rsidR="00FB06A4">
        <w:t>CH</w:t>
      </w:r>
      <w:r w:rsidR="00FB06A4" w:rsidRPr="00D86953">
        <w:rPr>
          <w:vertAlign w:val="subscript"/>
        </w:rPr>
        <w:t>2</w:t>
      </w:r>
      <w:r w:rsidR="00FB06A4">
        <w:t xml:space="preserve"> protons of </w:t>
      </w:r>
      <w:r w:rsidR="00FB06A4" w:rsidRPr="005D7EA7">
        <w:t xml:space="preserve">the </w:t>
      </w:r>
      <w:r w:rsidRPr="005D7EA7">
        <w:t xml:space="preserve">DOPO-triazole modified </w:t>
      </w:r>
      <w:r w:rsidR="00FB06A4">
        <w:rPr>
          <w:rFonts w:cs="Times"/>
        </w:rPr>
        <w:t>β</w:t>
      </w:r>
      <w:r w:rsidR="00FB06A4">
        <w:t xml:space="preserve">-O-4 </w:t>
      </w:r>
      <w:r w:rsidR="00FB06A4" w:rsidRPr="005D7EA7">
        <w:t xml:space="preserve">γ-alcohols </w:t>
      </w:r>
      <w:r w:rsidRPr="005D7EA7">
        <w:t xml:space="preserve">highlighted (orange), overlaid with model compounds </w:t>
      </w:r>
      <w:r w:rsidRPr="002A27CA">
        <w:rPr>
          <w:b/>
        </w:rPr>
        <w:t>11a</w:t>
      </w:r>
      <w:r w:rsidRPr="005D7EA7">
        <w:t xml:space="preserve"> (black) and </w:t>
      </w:r>
      <w:r w:rsidRPr="002A27CA">
        <w:rPr>
          <w:b/>
        </w:rPr>
        <w:t>11b</w:t>
      </w:r>
      <w:r w:rsidRPr="005D7EA7">
        <w:t xml:space="preserve"> (red). Signal at </w:t>
      </w:r>
      <w:r w:rsidRPr="002A27CA">
        <w:rPr>
          <w:vertAlign w:val="superscript"/>
        </w:rPr>
        <w:t>1</w:t>
      </w:r>
      <w:r w:rsidRPr="005D7EA7">
        <w:t>H 4.40/</w:t>
      </w:r>
      <w:r w:rsidRPr="002A27CA">
        <w:rPr>
          <w:vertAlign w:val="superscript"/>
        </w:rPr>
        <w:t>13</w:t>
      </w:r>
      <w:r w:rsidRPr="005D7EA7">
        <w:t xml:space="preserve">C 64.4 </w:t>
      </w:r>
      <w:r w:rsidR="00FB06A4">
        <w:t xml:space="preserve">ppm </w:t>
      </w:r>
      <w:r w:rsidRPr="005D7EA7">
        <w:t xml:space="preserve">in </w:t>
      </w:r>
      <w:r w:rsidRPr="002A27CA">
        <w:rPr>
          <w:b/>
        </w:rPr>
        <w:t>11a</w:t>
      </w:r>
      <w:r w:rsidRPr="005D7EA7">
        <w:t xml:space="preserve"> corresponds to the O-CH</w:t>
      </w:r>
      <w:r w:rsidRPr="002A27CA">
        <w:rPr>
          <w:vertAlign w:val="subscript"/>
        </w:rPr>
        <w:t>2</w:t>
      </w:r>
      <w:r w:rsidRPr="005D7EA7">
        <w:t xml:space="preserve">-triazole signal in a minor stereoisomer not observed in the lignin; F) </w:t>
      </w:r>
      <w:r w:rsidRPr="002A27CA">
        <w:rPr>
          <w:vertAlign w:val="superscript"/>
        </w:rPr>
        <w:t>31</w:t>
      </w:r>
      <w:r w:rsidRPr="005D7EA7">
        <w:t xml:space="preserve">P NMR spectra (202 MHz, DMSO-d6) of </w:t>
      </w:r>
      <w:r w:rsidRPr="002A27CA">
        <w:rPr>
          <w:b/>
        </w:rPr>
        <w:t>10</w:t>
      </w:r>
      <w:r w:rsidRPr="005D7EA7">
        <w:t xml:space="preserve">, </w:t>
      </w:r>
      <w:r w:rsidRPr="002A27CA">
        <w:rPr>
          <w:b/>
        </w:rPr>
        <w:t>11a</w:t>
      </w:r>
      <w:r w:rsidRPr="00FB06A4">
        <w:t>-</w:t>
      </w:r>
      <w:r w:rsidRPr="002A27CA">
        <w:rPr>
          <w:b/>
        </w:rPr>
        <w:t>c</w:t>
      </w:r>
      <w:r w:rsidRPr="005D7EA7">
        <w:t xml:space="preserve"> and Lignin-DOPO. The pale pink signal in B, D and E corresponds to the additional methoxy group at the 4-position of model compounds that </w:t>
      </w:r>
      <w:r w:rsidR="00FB06A4">
        <w:t>is</w:t>
      </w:r>
      <w:r w:rsidR="00FB06A4" w:rsidRPr="005D7EA7">
        <w:t xml:space="preserve"> </w:t>
      </w:r>
      <w:r w:rsidRPr="005D7EA7">
        <w:t xml:space="preserve">not </w:t>
      </w:r>
      <w:r w:rsidR="00FB06A4">
        <w:t>present</w:t>
      </w:r>
      <w:r w:rsidR="00FB06A4" w:rsidRPr="005D7EA7">
        <w:t xml:space="preserve"> </w:t>
      </w:r>
      <w:r w:rsidRPr="005D7EA7">
        <w:t xml:space="preserve">in </w:t>
      </w:r>
      <w:r w:rsidR="00FB06A4">
        <w:t xml:space="preserve">the </w:t>
      </w:r>
      <w:r w:rsidRPr="005D7EA7">
        <w:t>lignin</w:t>
      </w:r>
      <w:r w:rsidR="00FB06A4">
        <w:t>s</w:t>
      </w:r>
      <w:r w:rsidRPr="005D7EA7">
        <w:t>. The aromatic regions of CPH lignin, Lignin-Ts, Lignin-N</w:t>
      </w:r>
      <w:r w:rsidRPr="002A27CA">
        <w:rPr>
          <w:vertAlign w:val="subscript"/>
        </w:rPr>
        <w:t>3</w:t>
      </w:r>
      <w:r w:rsidRPr="005D7EA7">
        <w:t xml:space="preserve">, and Lignin-DOPO are shown in Figure </w:t>
      </w:r>
      <w:r w:rsidR="00FB06A4" w:rsidRPr="005D7EA7">
        <w:t>S</w:t>
      </w:r>
      <w:r w:rsidR="00FB06A4">
        <w:t>1</w:t>
      </w:r>
      <w:r w:rsidR="00C1597E">
        <w:t>0</w:t>
      </w:r>
      <w:r w:rsidRPr="005D7EA7">
        <w:t>.</w:t>
      </w:r>
    </w:p>
    <w:p w14:paraId="775C07DE" w14:textId="77777777" w:rsidR="00FB06A4" w:rsidRPr="00FB06A4" w:rsidRDefault="00FB06A4" w:rsidP="002A27CA"/>
    <w:p w14:paraId="537D9F5B" w14:textId="659921DF" w:rsidR="001C48C8" w:rsidRDefault="002B4D53" w:rsidP="002B4D53">
      <w:pPr>
        <w:pStyle w:val="TAMainText"/>
      </w:pPr>
      <w:r w:rsidRPr="002B4D53">
        <w:t xml:space="preserve">Thermogravimetric analysis (TGA) was carried out to assess the flame-retardant properties of </w:t>
      </w:r>
      <w:r w:rsidR="001C48C8">
        <w:t>CPH L</w:t>
      </w:r>
      <w:r w:rsidRPr="002B4D53">
        <w:t xml:space="preserve">ignin-DOPO. The TGA curves of lignin and </w:t>
      </w:r>
      <w:r w:rsidR="001C48C8">
        <w:t>L</w:t>
      </w:r>
      <w:r w:rsidRPr="002B4D53">
        <w:t>ignin-DOPO (</w:t>
      </w:r>
      <w:r w:rsidR="00E4237C">
        <w:t>Figure</w:t>
      </w:r>
      <w:r w:rsidRPr="002B4D53">
        <w:t xml:space="preserve"> </w:t>
      </w:r>
      <w:r w:rsidR="001C48C8">
        <w:t>5</w:t>
      </w:r>
      <w:r w:rsidRPr="002B4D53">
        <w:t>) showed similar expected mass losses (41.2 wt% and 41.1 wt%) during stage I pyrolysis between 200-400°C where alkyl C-O bonds in interunit ether linkages are cleaved.</w:t>
      </w:r>
      <w:r w:rsidR="00FC44E1">
        <w:rPr>
          <w:highlight w:val="yellow"/>
          <w:vertAlign w:val="superscript"/>
        </w:rPr>
        <w:t>65,66</w:t>
      </w:r>
      <w:r w:rsidRPr="002B4D53">
        <w:t xml:space="preserve"> During stage II pyrolysis above 400°C, O-Me bonds are first broken giving increased phenolic content followed by cleavage and </w:t>
      </w:r>
      <w:r w:rsidRPr="002B4D53">
        <w:lastRenderedPageBreak/>
        <w:t>rearrangement of aromatic C-O and C-C bonds, ultimately leading to gasification.</w:t>
      </w:r>
      <w:r w:rsidR="00FC44E1">
        <w:rPr>
          <w:highlight w:val="yellow"/>
          <w:vertAlign w:val="superscript"/>
        </w:rPr>
        <w:t>65,66</w:t>
      </w:r>
      <w:r w:rsidRPr="002A27CA">
        <w:rPr>
          <w:vertAlign w:val="superscript"/>
        </w:rPr>
        <w:t xml:space="preserve"> </w:t>
      </w:r>
      <w:r w:rsidRPr="002B4D53">
        <w:t xml:space="preserve">For lignin, </w:t>
      </w:r>
      <w:r w:rsidR="00DB1C11">
        <w:t xml:space="preserve">the </w:t>
      </w:r>
      <w:r w:rsidRPr="002B4D53">
        <w:t>stage II pyrolysis led to a large mass loss (40.9 wt%), giving a total loss of 82.1 wt% at 950°C. This sample underwent further mass loss as it cooled leading to effectively no residual material (</w:t>
      </w:r>
      <w:r w:rsidR="00E4237C">
        <w:t>Figure</w:t>
      </w:r>
      <w:r w:rsidRPr="002B4D53">
        <w:t xml:space="preserve"> </w:t>
      </w:r>
      <w:r w:rsidR="001C48C8">
        <w:t>5</w:t>
      </w:r>
      <w:r w:rsidRPr="002B4D53">
        <w:t>A, insert). Lignin-DOPO behaved differently in the stage II pyrolysis with a smaller mass loss (25.6 wt%) observed. This gave a lower overall mass loss of 66.7 wt% at 950°C.</w:t>
      </w:r>
    </w:p>
    <w:p w14:paraId="00574418" w14:textId="47A5507C" w:rsidR="00697BA4" w:rsidRDefault="00697BA4" w:rsidP="002B4D53">
      <w:pPr>
        <w:pStyle w:val="TAMainText"/>
      </w:pPr>
    </w:p>
    <w:p w14:paraId="604697ED" w14:textId="6C6740B2" w:rsidR="002B4D53" w:rsidRDefault="00520D73" w:rsidP="002B4D53">
      <w:pPr>
        <w:pStyle w:val="TAMainText"/>
      </w:pPr>
      <w:r>
        <w:rPr>
          <w:noProof/>
          <w:lang w:eastAsia="en-GB"/>
        </w:rPr>
        <w:drawing>
          <wp:inline distT="0" distB="0" distL="0" distR="0" wp14:anchorId="031DC7A4" wp14:editId="223CBF90">
            <wp:extent cx="3045600" cy="4339737"/>
            <wp:effectExtent l="0" t="0" r="2540" b="3810"/>
            <wp:docPr id="157192367" name="Picture 4" descr="A picture containing text, diagram,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92367" name="Picture 4" descr="A picture containing text, diagram, screenshot, lin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045600" cy="4339737"/>
                    </a:xfrm>
                    <a:prstGeom prst="rect">
                      <a:avLst/>
                    </a:prstGeom>
                  </pic:spPr>
                </pic:pic>
              </a:graphicData>
            </a:graphic>
          </wp:inline>
        </w:drawing>
      </w:r>
    </w:p>
    <w:p w14:paraId="00698467" w14:textId="561ECB61" w:rsidR="006F1AB0" w:rsidRDefault="00636F3D" w:rsidP="000731BC">
      <w:pPr>
        <w:pStyle w:val="VAFigureCaption"/>
        <w:spacing w:line="240" w:lineRule="auto"/>
      </w:pPr>
      <w:r w:rsidRPr="00636F3D">
        <w:rPr>
          <w:b/>
          <w:bCs/>
        </w:rPr>
        <w:t xml:space="preserve">Figure </w:t>
      </w:r>
      <w:r w:rsidR="001C48C8">
        <w:rPr>
          <w:b/>
          <w:bCs/>
        </w:rPr>
        <w:t>5</w:t>
      </w:r>
      <w:r w:rsidRPr="00636F3D">
        <w:t xml:space="preserve"> TGA (black) and DTG (blue, dashed) curves (N</w:t>
      </w:r>
      <w:r w:rsidRPr="002A27CA">
        <w:rPr>
          <w:vertAlign w:val="subscript"/>
        </w:rPr>
        <w:t>2</w:t>
      </w:r>
      <w:r w:rsidRPr="00636F3D">
        <w:t xml:space="preserve">, 10 °C/min) </w:t>
      </w:r>
      <w:r w:rsidR="001C48C8">
        <w:t>obtained</w:t>
      </w:r>
      <w:r w:rsidR="001C48C8" w:rsidRPr="00636F3D">
        <w:t xml:space="preserve"> </w:t>
      </w:r>
      <w:r w:rsidRPr="00636F3D">
        <w:t>A) CPH lignin and B) Lignin-DOPO. The percentage weight loss of each sample during stage I and stage II pyrolysis is given by the red lines.</w:t>
      </w:r>
      <w:r w:rsidR="00313AEB">
        <w:rPr>
          <w:highlight w:val="yellow"/>
          <w:vertAlign w:val="superscript"/>
        </w:rPr>
        <w:t>65,66</w:t>
      </w:r>
      <w:r w:rsidRPr="00636F3D">
        <w:t xml:space="preserve"> The residues recovered after TGA are shown (insert); CPH lignin gave little to no residue whilst Lignin-DOPO gave a pellet of char.</w:t>
      </w:r>
    </w:p>
    <w:p w14:paraId="706C312E" w14:textId="77777777" w:rsidR="001C3924" w:rsidRDefault="001C3924" w:rsidP="001C3924"/>
    <w:p w14:paraId="01A7B5BD" w14:textId="71EB9EDF" w:rsidR="001C3924" w:rsidRDefault="001C3924" w:rsidP="001C3924">
      <w:pPr>
        <w:pStyle w:val="TAMainText"/>
      </w:pPr>
      <w:r>
        <w:lastRenderedPageBreak/>
        <w:t>The temperature at which the greatest rate of mass loss occurred, T</w:t>
      </w:r>
      <w:r w:rsidRPr="002A27CA">
        <w:rPr>
          <w:vertAlign w:val="superscript"/>
        </w:rPr>
        <w:t>max</w:t>
      </w:r>
      <w:r>
        <w:t>, was obtained from DTG curves</w:t>
      </w:r>
      <w:r w:rsidR="00FC44E1" w:rsidRPr="00FC44E1">
        <w:rPr>
          <w:highlight w:val="yellow"/>
          <w:vertAlign w:val="superscript"/>
        </w:rPr>
        <w:t>6</w:t>
      </w:r>
      <w:r w:rsidR="00313AEB">
        <w:rPr>
          <w:highlight w:val="yellow"/>
          <w:vertAlign w:val="superscript"/>
        </w:rPr>
        <w:t>6</w:t>
      </w:r>
      <w:r>
        <w:t xml:space="preserve"> and was comparable for the lignin and </w:t>
      </w:r>
      <w:r w:rsidR="00175A05">
        <w:t>L</w:t>
      </w:r>
      <w:r>
        <w:t>ignin-DOPO (</w:t>
      </w:r>
      <w:r w:rsidRPr="002A27CA">
        <w:rPr>
          <w:highlight w:val="green"/>
        </w:rPr>
        <w:t>353°C and 337°C respectively</w:t>
      </w:r>
      <w:r>
        <w:t xml:space="preserve">), occurring during stage I pyrolysis. Attachment of the DOPO-derivative </w:t>
      </w:r>
      <w:r w:rsidRPr="002A27CA">
        <w:rPr>
          <w:b/>
        </w:rPr>
        <w:t>10</w:t>
      </w:r>
      <w:r>
        <w:t xml:space="preserve"> presumably promoted char formation on the surface of the sample during stage II pyrolysis to inhibit further decomposition. A char was recovered following TGA of </w:t>
      </w:r>
      <w:r w:rsidR="00175A05">
        <w:t>L</w:t>
      </w:r>
      <w:r>
        <w:t>ignin-DOPO (</w:t>
      </w:r>
      <w:r w:rsidR="00E4237C">
        <w:t>Figure</w:t>
      </w:r>
      <w:r>
        <w:t xml:space="preserve"> </w:t>
      </w:r>
      <w:r w:rsidR="00175A05">
        <w:t>5</w:t>
      </w:r>
      <w:r>
        <w:t xml:space="preserve">B, insert) supportive of potential flame-retardant properties that are not inherent </w:t>
      </w:r>
      <w:r w:rsidR="00175A05">
        <w:t xml:space="preserve">to </w:t>
      </w:r>
      <w:r>
        <w:t xml:space="preserve">the lignin itself. Comparison with the TGA and DTG curves of a </w:t>
      </w:r>
      <w:r w:rsidR="00175A05">
        <w:t>control</w:t>
      </w:r>
      <w:r>
        <w:t xml:space="preserve"> lignin</w:t>
      </w:r>
      <w:r w:rsidR="00175A05">
        <w:t>, prepared by reaction</w:t>
      </w:r>
      <w:r>
        <w:t xml:space="preserve"> with</w:t>
      </w:r>
      <w:r w:rsidR="00175A05">
        <w:t xml:space="preserve"> an alternative alkyne that did not contain a phosphorus-based unit </w:t>
      </w:r>
      <w:r>
        <w:t>(</w:t>
      </w:r>
      <w:r w:rsidR="00E4237C" w:rsidRPr="002A27CA">
        <w:rPr>
          <w:highlight w:val="yellow"/>
        </w:rPr>
        <w:t>Figure</w:t>
      </w:r>
      <w:r w:rsidRPr="002A27CA">
        <w:rPr>
          <w:highlight w:val="yellow"/>
        </w:rPr>
        <w:t xml:space="preserve"> S</w:t>
      </w:r>
      <w:r w:rsidR="00175A05" w:rsidRPr="002A27CA">
        <w:rPr>
          <w:highlight w:val="yellow"/>
        </w:rPr>
        <w:t>1</w:t>
      </w:r>
      <w:r w:rsidR="00C1597E">
        <w:rPr>
          <w:highlight w:val="yellow"/>
        </w:rPr>
        <w:t>1</w:t>
      </w:r>
      <w:r>
        <w:t>)</w:t>
      </w:r>
      <w:r w:rsidR="007A7C81">
        <w:t>,</w:t>
      </w:r>
      <w:r>
        <w:t xml:space="preserve"> highlighted the importance of the</w:t>
      </w:r>
      <w:r w:rsidR="00860A84">
        <w:t xml:space="preserve"> organophosphorus</w:t>
      </w:r>
      <w:r>
        <w:t xml:space="preserve"> DOPO motif</w:t>
      </w:r>
      <w:r w:rsidR="00175A05">
        <w:t xml:space="preserve"> in the flame-retardant properties</w:t>
      </w:r>
      <w:r>
        <w:t xml:space="preserve">. Whilst these preliminary results were encouraging, future work will focus on scaled-up synthesis and testing of CPH </w:t>
      </w:r>
      <w:r w:rsidR="007A7C81">
        <w:t>L</w:t>
      </w:r>
      <w:r>
        <w:t>ignin-DOPO.</w:t>
      </w:r>
    </w:p>
    <w:p w14:paraId="6A9D7026" w14:textId="323D3DC4" w:rsidR="00A51CA2" w:rsidRDefault="00A51CA2" w:rsidP="001C3924">
      <w:pPr>
        <w:pStyle w:val="TAMainText"/>
      </w:pPr>
    </w:p>
    <w:p w14:paraId="10D99DB6" w14:textId="77777777" w:rsidR="00A51CA2" w:rsidRPr="00DA5E0C" w:rsidRDefault="00A51CA2" w:rsidP="00A51CA2">
      <w:pPr>
        <w:pStyle w:val="TAMainText"/>
        <w:ind w:firstLine="0"/>
        <w:rPr>
          <w:u w:val="single"/>
        </w:rPr>
      </w:pPr>
      <w:r w:rsidRPr="00DA5E0C">
        <w:rPr>
          <w:u w:val="single"/>
        </w:rPr>
        <w:t>Analysis of the Additional Fractions obtained using the Optimised Pretreatment</w:t>
      </w:r>
    </w:p>
    <w:p w14:paraId="0783FEA0" w14:textId="23C122D9" w:rsidR="00A51CA2" w:rsidRDefault="0039631A" w:rsidP="00A51CA2">
      <w:pPr>
        <w:pStyle w:val="TAMainText"/>
      </w:pPr>
      <w:r>
        <w:t xml:space="preserve">In the final stage of this study, more detailed analysis of several of the other </w:t>
      </w:r>
      <w:r w:rsidR="00A51CA2">
        <w:t xml:space="preserve">fractions generated </w:t>
      </w:r>
      <w:r>
        <w:t>in</w:t>
      </w:r>
      <w:r w:rsidR="00A51CA2">
        <w:t xml:space="preserve"> the optimised pretreatment of CPH </w:t>
      </w:r>
      <w:r>
        <w:t xml:space="preserve">was carried out (Figures 6A and </w:t>
      </w:r>
      <w:r w:rsidR="007A7C81">
        <w:rPr>
          <w:highlight w:val="yellow"/>
        </w:rPr>
        <w:t>S1</w:t>
      </w:r>
      <w:r w:rsidR="00762BBF">
        <w:rPr>
          <w:highlight w:val="yellow"/>
        </w:rPr>
        <w:t>2</w:t>
      </w:r>
      <w:r>
        <w:t>)</w:t>
      </w:r>
      <w:r w:rsidR="00A51CA2">
        <w:t xml:space="preserve">. </w:t>
      </w:r>
      <w:r>
        <w:t>In brief, t</w:t>
      </w:r>
      <w:r w:rsidR="00A51CA2">
        <w:t>he powder X-ray diffraction pattern of the CPH cellulose pulp was compared to that of a commercial</w:t>
      </w:r>
      <w:r>
        <w:t xml:space="preserve"> sample of cellulose I (Figure 6</w:t>
      </w:r>
      <w:r w:rsidR="00A51CA2" w:rsidRPr="00F62127">
        <w:t>B</w:t>
      </w:r>
      <w:r w:rsidR="00A51CA2">
        <w:t>).</w:t>
      </w:r>
      <w:r w:rsidR="00FC44E1">
        <w:rPr>
          <w:highlight w:val="yellow"/>
          <w:vertAlign w:val="superscript"/>
        </w:rPr>
        <w:t>6</w:t>
      </w:r>
      <w:r w:rsidR="00313AEB">
        <w:rPr>
          <w:highlight w:val="yellow"/>
          <w:vertAlign w:val="superscript"/>
        </w:rPr>
        <w:t>7</w:t>
      </w:r>
      <w:r w:rsidR="00A51CA2">
        <w:t xml:space="preserve"> </w:t>
      </w:r>
      <w:r w:rsidR="00A51CA2" w:rsidRPr="0095136E">
        <w:t>This t</w:t>
      </w:r>
      <w:r>
        <w:t>echnique, FTIR studies (Figure 6</w:t>
      </w:r>
      <w:r w:rsidR="00A51CA2" w:rsidRPr="0095136E">
        <w:t>C) and acetyl bromide derivatisation (which solubilised the pulp to enable assessment of potential lignin content by solution-state 2D HSQC NMR</w:t>
      </w:r>
      <w:r w:rsidR="00FC44E1">
        <w:rPr>
          <w:highlight w:val="yellow"/>
          <w:vertAlign w:val="superscript"/>
        </w:rPr>
        <w:t>6</w:t>
      </w:r>
      <w:r w:rsidR="00313AEB">
        <w:rPr>
          <w:highlight w:val="yellow"/>
          <w:vertAlign w:val="superscript"/>
        </w:rPr>
        <w:t>8</w:t>
      </w:r>
      <w:r w:rsidR="00A51CA2" w:rsidRPr="0095136E">
        <w:t xml:space="preserve">, </w:t>
      </w:r>
      <w:r w:rsidR="007A7C81">
        <w:rPr>
          <w:highlight w:val="yellow"/>
        </w:rPr>
        <w:t>Figure S1</w:t>
      </w:r>
      <w:r w:rsidR="00585A95">
        <w:rPr>
          <w:highlight w:val="yellow"/>
        </w:rPr>
        <w:t>3</w:t>
      </w:r>
      <w:r w:rsidR="00A51CA2" w:rsidRPr="0095136E">
        <w:t xml:space="preserve">), indicated that the cellulose formed was </w:t>
      </w:r>
      <w:r w:rsidR="00A51CA2">
        <w:t xml:space="preserve">lignin-free and of </w:t>
      </w:r>
      <w:r w:rsidR="00A51CA2" w:rsidRPr="0095136E">
        <w:t>type I.</w:t>
      </w:r>
    </w:p>
    <w:p w14:paraId="6DCBF9BE" w14:textId="1AFE69A3" w:rsidR="00A51CA2" w:rsidRDefault="00DD2790" w:rsidP="00A51CA2">
      <w:pPr>
        <w:pStyle w:val="TAMainText"/>
      </w:pPr>
      <w:r>
        <w:rPr>
          <w:noProof/>
          <w:color w:val="000000"/>
          <w:lang w:eastAsia="en-GB"/>
        </w:rPr>
        <w:lastRenderedPageBreak/>
        <w:drawing>
          <wp:inline distT="0" distB="0" distL="0" distR="0" wp14:anchorId="10C410E5" wp14:editId="794A1D7D">
            <wp:extent cx="3448202" cy="3013862"/>
            <wp:effectExtent l="0" t="0" r="0" b="0"/>
            <wp:docPr id="1049857903" name="Picture 5" descr="A picture containing text, diagram, plan,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857903" name="Picture 5" descr="A picture containing text, diagram, plan, lin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51078" cy="3016376"/>
                    </a:xfrm>
                    <a:prstGeom prst="rect">
                      <a:avLst/>
                    </a:prstGeom>
                  </pic:spPr>
                </pic:pic>
              </a:graphicData>
            </a:graphic>
          </wp:inline>
        </w:drawing>
      </w:r>
    </w:p>
    <w:p w14:paraId="4538E203" w14:textId="02DA44D6" w:rsidR="00A51CA2" w:rsidRDefault="00A51CA2" w:rsidP="002A27CA">
      <w:pPr>
        <w:pStyle w:val="VAFigureCaption"/>
        <w:spacing w:line="240" w:lineRule="auto"/>
      </w:pPr>
      <w:r w:rsidRPr="00354C8C">
        <w:rPr>
          <w:b/>
          <w:bCs/>
        </w:rPr>
        <w:t xml:space="preserve">Figure </w:t>
      </w:r>
      <w:r w:rsidR="0039631A">
        <w:rPr>
          <w:b/>
          <w:bCs/>
        </w:rPr>
        <w:t>6</w:t>
      </w:r>
      <w:r w:rsidRPr="00354C8C">
        <w:t xml:space="preserve"> A) Summary of fractions produced from the optimised pretreatment and the observed mass balance. PESF = Pectin Ethanol Soluble Fraction; B) PXRD pattern of the cellulose pulp (black) and a commercial sample of cellulose I (red); C) FTIR spectra of the cellulose pulp (black) and a commercial sample of cellulose I (red); D) solid-state </w:t>
      </w:r>
      <w:r w:rsidRPr="00DD651F">
        <w:rPr>
          <w:vertAlign w:val="superscript"/>
        </w:rPr>
        <w:t>13</w:t>
      </w:r>
      <w:r w:rsidRPr="00354C8C">
        <w:t>C CP/MAS NMR spectr</w:t>
      </w:r>
      <w:r>
        <w:t>um</w:t>
      </w:r>
      <w:r w:rsidRPr="00354C8C">
        <w:t xml:space="preserve"> of pectin obtained from the optimised pretreatment; E) FTIR spectra of pectin (black) and a commercial sample of polygalacturonic acid (red) used as a model for a homogalactan pectin.</w:t>
      </w:r>
    </w:p>
    <w:p w14:paraId="3DFF08EC" w14:textId="77777777" w:rsidR="0039631A" w:rsidRPr="0039631A" w:rsidRDefault="0039631A" w:rsidP="002A27CA"/>
    <w:p w14:paraId="5FD8FE3C" w14:textId="7FA92EC8" w:rsidR="00A51CA2" w:rsidRDefault="00A51CA2">
      <w:pPr>
        <w:pStyle w:val="TAMainText"/>
      </w:pPr>
      <w:r>
        <w:t xml:space="preserve">The monosaccharide composition of the pectin was determined (HPAEC analysis, </w:t>
      </w:r>
      <w:r w:rsidR="007A7C81">
        <w:rPr>
          <w:highlight w:val="yellow"/>
        </w:rPr>
        <w:t>Figure S1</w:t>
      </w:r>
      <w:r w:rsidR="000C3CE2">
        <w:rPr>
          <w:highlight w:val="yellow"/>
        </w:rPr>
        <w:t>4</w:t>
      </w:r>
      <w:r w:rsidRPr="00DD651F">
        <w:rPr>
          <w:highlight w:val="yellow"/>
        </w:rPr>
        <w:t xml:space="preserve"> and Table S</w:t>
      </w:r>
      <w:r>
        <w:rPr>
          <w:highlight w:val="yellow"/>
        </w:rPr>
        <w:t>4</w:t>
      </w:r>
      <w:r>
        <w:t>) with galacturonic acid being the major component, as expected.</w:t>
      </w:r>
      <w:r w:rsidR="00FC44E1">
        <w:rPr>
          <w:highlight w:val="yellow"/>
          <w:vertAlign w:val="superscript"/>
        </w:rPr>
        <w:t>44</w:t>
      </w:r>
      <w:r>
        <w:t xml:space="preserve"> FTIR analysis of the pectin showed a signal at 1608 cm</w:t>
      </w:r>
      <w:r w:rsidRPr="00DD651F">
        <w:rPr>
          <w:vertAlign w:val="superscript"/>
        </w:rPr>
        <w:t>-1</w:t>
      </w:r>
      <w:r w:rsidR="009D5262">
        <w:t xml:space="preserve"> (Figure 6</w:t>
      </w:r>
      <w:r>
        <w:t>E, black) assigned to carboxylate (COO</w:t>
      </w:r>
      <w:r w:rsidRPr="00DD651F">
        <w:rPr>
          <w:vertAlign w:val="superscript"/>
        </w:rPr>
        <w:t>-</w:t>
      </w:r>
      <w:r>
        <w:t>) groups.</w:t>
      </w:r>
      <w:r w:rsidR="00313AEB">
        <w:rPr>
          <w:highlight w:val="yellow"/>
          <w:vertAlign w:val="superscript"/>
        </w:rPr>
        <w:t>69</w:t>
      </w:r>
      <w:r>
        <w:t xml:space="preserve"> This requires the presence of metal counter ions (possibly K</w:t>
      </w:r>
      <w:r w:rsidRPr="00DD651F">
        <w:rPr>
          <w:vertAlign w:val="superscript"/>
        </w:rPr>
        <w:t>+</w:t>
      </w:r>
      <w:r>
        <w:t xml:space="preserve"> given the large amount present in CPH,</w:t>
      </w:r>
      <w:r w:rsidR="00FC44E1">
        <w:rPr>
          <w:highlight w:val="yellow"/>
          <w:vertAlign w:val="superscript"/>
        </w:rPr>
        <w:t>35</w:t>
      </w:r>
      <w:r>
        <w:t xml:space="preserve"> </w:t>
      </w:r>
      <w:r w:rsidRPr="00DD651F">
        <w:rPr>
          <w:highlight w:val="yellow"/>
        </w:rPr>
        <w:t>Table S</w:t>
      </w:r>
      <w:r>
        <w:rPr>
          <w:highlight w:val="yellow"/>
        </w:rPr>
        <w:t>5</w:t>
      </w:r>
      <w:r>
        <w:t>). In contrast, carboxylic acid (COOH) functional groups were present in a commercial sample of a model pectin, poly</w:t>
      </w:r>
      <w:r w:rsidR="009D5262">
        <w:t>galacturonic acid (Figure 6</w:t>
      </w:r>
      <w:r>
        <w:t>E, red, peak at 1732 cm</w:t>
      </w:r>
      <w:r w:rsidRPr="00DD651F">
        <w:rPr>
          <w:vertAlign w:val="superscript"/>
        </w:rPr>
        <w:t>-1</w:t>
      </w:r>
      <w:r>
        <w:t xml:space="preserve">). The pectin was also analysed using solid-state </w:t>
      </w:r>
      <w:r w:rsidRPr="00DD651F">
        <w:rPr>
          <w:vertAlign w:val="superscript"/>
        </w:rPr>
        <w:t>13</w:t>
      </w:r>
      <w:r>
        <w:t xml:space="preserve">C NMR allowing calculation of the degree of methylation (DM) using the method of Zhu </w:t>
      </w:r>
      <w:r w:rsidRPr="00DD651F">
        <w:rPr>
          <w:i/>
        </w:rPr>
        <w:t>et</w:t>
      </w:r>
      <w:r>
        <w:rPr>
          <w:i/>
        </w:rPr>
        <w:t>.</w:t>
      </w:r>
      <w:r w:rsidRPr="00DD651F">
        <w:rPr>
          <w:i/>
        </w:rPr>
        <w:t xml:space="preserve"> al.</w:t>
      </w:r>
      <w:r w:rsidR="00FC44E1">
        <w:rPr>
          <w:highlight w:val="yellow"/>
          <w:vertAlign w:val="superscript"/>
        </w:rPr>
        <w:t>7</w:t>
      </w:r>
      <w:r w:rsidR="00313AEB">
        <w:rPr>
          <w:highlight w:val="yellow"/>
          <w:vertAlign w:val="superscript"/>
        </w:rPr>
        <w:t>0</w:t>
      </w:r>
      <w:r w:rsidR="009D5262">
        <w:t xml:space="preserve"> (Figure 6</w:t>
      </w:r>
      <w:r>
        <w:t xml:space="preserve">D). The pectin </w:t>
      </w:r>
      <w:r w:rsidR="00313AEB">
        <w:t xml:space="preserve">that </w:t>
      </w:r>
      <w:r>
        <w:t xml:space="preserve">was </w:t>
      </w:r>
      <w:r w:rsidR="00313AEB">
        <w:t xml:space="preserve">extracted here using hot water was </w:t>
      </w:r>
      <w:r>
        <w:t>a low-methoxy pectin in contrast to previous reports</w:t>
      </w:r>
      <w:r w:rsidR="00313AEB">
        <w:t xml:space="preserve"> that used different extraction conditions</w:t>
      </w:r>
      <w:r>
        <w:t>.</w:t>
      </w:r>
      <w:r w:rsidR="00FC44E1">
        <w:rPr>
          <w:highlight w:val="yellow"/>
          <w:vertAlign w:val="superscript"/>
        </w:rPr>
        <w:t>43</w:t>
      </w:r>
      <w:r>
        <w:t xml:space="preserve"> </w:t>
      </w:r>
      <w:r w:rsidR="009D5262">
        <w:t>The signal at 21.2 ppm (Figure 6</w:t>
      </w:r>
      <w:r>
        <w:t xml:space="preserve">D) was consistent with pectin </w:t>
      </w:r>
      <w:r>
        <w:lastRenderedPageBreak/>
        <w:t>acetylation</w:t>
      </w:r>
      <w:r w:rsidR="00FC44E1">
        <w:rPr>
          <w:highlight w:val="yellow"/>
          <w:vertAlign w:val="superscript"/>
        </w:rPr>
        <w:t>7</w:t>
      </w:r>
      <w:r w:rsidR="00313AEB">
        <w:rPr>
          <w:highlight w:val="yellow"/>
          <w:vertAlign w:val="superscript"/>
        </w:rPr>
        <w:t>0</w:t>
      </w:r>
      <w:r w:rsidR="009D5262">
        <w:t xml:space="preserve"> (</w:t>
      </w:r>
      <w:r w:rsidR="007A7C81">
        <w:rPr>
          <w:highlight w:val="yellow"/>
        </w:rPr>
        <w:t>Figures S1</w:t>
      </w:r>
      <w:r w:rsidR="00CC1DDF">
        <w:rPr>
          <w:highlight w:val="yellow"/>
        </w:rPr>
        <w:t>5</w:t>
      </w:r>
      <w:r w:rsidR="00253C63">
        <w:t>-</w:t>
      </w:r>
      <w:r w:rsidR="007A7C81" w:rsidRPr="002A27CA">
        <w:rPr>
          <w:highlight w:val="yellow"/>
        </w:rPr>
        <w:t>S1</w:t>
      </w:r>
      <w:r w:rsidR="00CC1DDF">
        <w:t>6</w:t>
      </w:r>
      <w:r>
        <w:t xml:space="preserve"> and </w:t>
      </w:r>
      <w:r w:rsidRPr="00DD651F">
        <w:rPr>
          <w:highlight w:val="yellow"/>
        </w:rPr>
        <w:t>Table S</w:t>
      </w:r>
      <w:r w:rsidRPr="00772D4B">
        <w:rPr>
          <w:highlight w:val="yellow"/>
        </w:rPr>
        <w:t>6</w:t>
      </w:r>
      <w:r w:rsidR="009D5262">
        <w:t xml:space="preserve">). </w:t>
      </w:r>
      <w:r w:rsidRPr="009D5262">
        <w:t xml:space="preserve">The second fraction </w:t>
      </w:r>
      <w:r w:rsidR="007A7C81">
        <w:t xml:space="preserve">obtained during pectin removal </w:t>
      </w:r>
      <w:r w:rsidRPr="009D5262">
        <w:t>(PESF) was surprising</w:t>
      </w:r>
      <w:r w:rsidR="009D5262" w:rsidRPr="009D5262">
        <w:t>ly abundant (17.1 wt%, Figure 6A</w:t>
      </w:r>
      <w:r w:rsidRPr="009D5262">
        <w:t>). Its monosaccharide compos</w:t>
      </w:r>
      <w:r w:rsidR="009D5262" w:rsidRPr="009D5262">
        <w:t>ition was determined (</w:t>
      </w:r>
      <w:r w:rsidR="00182949" w:rsidRPr="00F15D0D">
        <w:rPr>
          <w:highlight w:val="yellow"/>
        </w:rPr>
        <w:t>Figure S1</w:t>
      </w:r>
      <w:r w:rsidR="00CC1DDF">
        <w:rPr>
          <w:highlight w:val="yellow"/>
        </w:rPr>
        <w:t>4</w:t>
      </w:r>
      <w:r w:rsidR="009D5262" w:rsidRPr="002A27CA">
        <w:rPr>
          <w:highlight w:val="yellow"/>
        </w:rPr>
        <w:t xml:space="preserve"> and Table S4</w:t>
      </w:r>
      <w:r w:rsidRPr="009D5262">
        <w:t xml:space="preserve">) with glucose being most abundant. NMR analysis indicated that PESF was a complex mixture of oligo- and polysaccharides, with both </w:t>
      </w:r>
      <w:r w:rsidR="009D5262" w:rsidRPr="009D5262">
        <w:rPr>
          <w:rFonts w:cs="Times"/>
        </w:rPr>
        <w:t>α</w:t>
      </w:r>
      <w:r w:rsidRPr="009D5262">
        <w:t xml:space="preserve">-glucose and </w:t>
      </w:r>
      <w:r w:rsidR="009D5262" w:rsidRPr="009D5262">
        <w:rPr>
          <w:rFonts w:cs="Times"/>
        </w:rPr>
        <w:t>α</w:t>
      </w:r>
      <w:r w:rsidRPr="009D5262">
        <w:t>-m</w:t>
      </w:r>
      <w:r w:rsidR="009D5262" w:rsidRPr="002A27CA">
        <w:t>annose units present (</w:t>
      </w:r>
      <w:r w:rsidR="009D5262" w:rsidRPr="002A27CA">
        <w:rPr>
          <w:highlight w:val="yellow"/>
        </w:rPr>
        <w:t>Figure S1</w:t>
      </w:r>
      <w:r w:rsidR="00CC1DDF">
        <w:rPr>
          <w:highlight w:val="yellow"/>
        </w:rPr>
        <w:t>7</w:t>
      </w:r>
      <w:r w:rsidRPr="009D5262">
        <w:t>).</w:t>
      </w:r>
    </w:p>
    <w:p w14:paraId="229E21AF" w14:textId="1137C9D1" w:rsidR="00A51CA2" w:rsidRDefault="00A51CA2" w:rsidP="00A51CA2">
      <w:pPr>
        <w:pStyle w:val="TAMainText"/>
      </w:pPr>
      <w:r>
        <w:t>Despite the ethanol pre-wash, fatty acid derivatives were also found in the filtrate obtained during the final lignin purification step (</w:t>
      </w:r>
      <w:r w:rsidRPr="002A27CA">
        <w:rPr>
          <w:highlight w:val="yellow"/>
        </w:rPr>
        <w:t>Figure S1</w:t>
      </w:r>
      <w:r w:rsidR="00892E26">
        <w:rPr>
          <w:highlight w:val="yellow"/>
        </w:rPr>
        <w:t>8</w:t>
      </w:r>
      <w:r>
        <w:t xml:space="preserve">). </w:t>
      </w:r>
      <w:r w:rsidR="009A7909">
        <w:t>However, the major component (73%) of the filtrate was a sample of l</w:t>
      </w:r>
      <w:r w:rsidR="00182949">
        <w:t>ower MW</w:t>
      </w:r>
      <w:r>
        <w:t xml:space="preserve"> lignin </w:t>
      </w:r>
      <w:r w:rsidR="00182949">
        <w:t>(</w:t>
      </w:r>
      <w:r w:rsidR="00182949" w:rsidRPr="002A27CA">
        <w:rPr>
          <w:highlight w:val="yellow"/>
        </w:rPr>
        <w:t>Table S3</w:t>
      </w:r>
      <w:r w:rsidR="00182949">
        <w:t xml:space="preserve">) </w:t>
      </w:r>
      <w:r w:rsidR="009A7909">
        <w:t xml:space="preserve">which </w:t>
      </w:r>
      <w:r w:rsidR="00182949">
        <w:t xml:space="preserve">was isolated by column chromatography </w:t>
      </w:r>
      <w:r>
        <w:t>If taken into account, this</w:t>
      </w:r>
      <w:r w:rsidR="009A7909">
        <w:t xml:space="preserve"> extra lignin</w:t>
      </w:r>
      <w:r>
        <w:t xml:space="preserve"> increased the total lignin yield from 3.7 wt% to 5.4 wt%. Recovery of two batches of lignin with </w:t>
      </w:r>
      <w:r w:rsidR="009D5262">
        <w:t xml:space="preserve">very </w:t>
      </w:r>
      <w:r>
        <w:t>different MWs showed that the CPH lignin was fractionated in the final purification step, and could likely be fractionated further.</w:t>
      </w:r>
      <w:r w:rsidR="00FC44E1">
        <w:rPr>
          <w:highlight w:val="yellow"/>
          <w:vertAlign w:val="superscript"/>
        </w:rPr>
        <w:t>7</w:t>
      </w:r>
      <w:r w:rsidR="00313AEB">
        <w:rPr>
          <w:highlight w:val="yellow"/>
          <w:vertAlign w:val="superscript"/>
        </w:rPr>
        <w:t>1</w:t>
      </w:r>
      <w:r w:rsidR="00313AEB" w:rsidRPr="00313AEB">
        <w:rPr>
          <w:highlight w:val="yellow"/>
          <w:vertAlign w:val="superscript"/>
        </w:rPr>
        <w:t>,72</w:t>
      </w:r>
    </w:p>
    <w:p w14:paraId="72774D95" w14:textId="77777777" w:rsidR="00A51CA2" w:rsidRDefault="00A51CA2" w:rsidP="001C3924">
      <w:pPr>
        <w:pStyle w:val="TAMainText"/>
      </w:pPr>
    </w:p>
    <w:p w14:paraId="19F3C93D" w14:textId="77777777" w:rsidR="001C3924" w:rsidRPr="001C3924" w:rsidRDefault="001C3924" w:rsidP="001C3924">
      <w:pPr>
        <w:pStyle w:val="TAMainText"/>
        <w:ind w:firstLine="0"/>
        <w:rPr>
          <w:u w:val="single"/>
        </w:rPr>
      </w:pPr>
      <w:r w:rsidRPr="001C3924">
        <w:rPr>
          <w:u w:val="single"/>
        </w:rPr>
        <w:t>Conclusions</w:t>
      </w:r>
    </w:p>
    <w:p w14:paraId="22F83D6C" w14:textId="562E22C9" w:rsidR="009F2A52" w:rsidRDefault="001C3924" w:rsidP="00F15D0D">
      <w:pPr>
        <w:pStyle w:val="TAMainText"/>
      </w:pPr>
      <w:r>
        <w:t xml:space="preserve">Many challenges remain as biorefinery development continues. Here </w:t>
      </w:r>
      <w:r w:rsidR="005220EA">
        <w:t xml:space="preserve">a high quality </w:t>
      </w:r>
      <w:r>
        <w:t xml:space="preserve">lignin </w:t>
      </w:r>
      <w:r w:rsidR="005220EA">
        <w:t xml:space="preserve">was isolated from </w:t>
      </w:r>
      <w:r>
        <w:t xml:space="preserve">cocoa pod husks (CPHs), a waste product connected with chocolate production. No previous studies have reported details of </w:t>
      </w:r>
      <w:r w:rsidR="005220EA">
        <w:t xml:space="preserve">this lignin’s </w:t>
      </w:r>
      <w:r>
        <w:t xml:space="preserve">structure and reactivity. </w:t>
      </w:r>
      <w:r w:rsidR="005220EA">
        <w:t>R</w:t>
      </w:r>
      <w:r>
        <w:t>easonable yields of lignin were obtained, although significantly less lignin was isolated than expected based on literature reports.</w:t>
      </w:r>
      <w:r w:rsidR="00FC44E1">
        <w:rPr>
          <w:highlight w:val="yellow"/>
          <w:vertAlign w:val="superscript"/>
        </w:rPr>
        <w:t>35</w:t>
      </w:r>
      <w:r w:rsidR="00FC44E1" w:rsidRPr="00B10BC9">
        <w:rPr>
          <w:highlight w:val="yellow"/>
          <w:vertAlign w:val="superscript"/>
        </w:rPr>
        <w:t>,</w:t>
      </w:r>
      <w:r w:rsidR="00B10BC9" w:rsidRPr="00B10BC9">
        <w:rPr>
          <w:highlight w:val="yellow"/>
          <w:vertAlign w:val="superscript"/>
        </w:rPr>
        <w:t>46</w:t>
      </w:r>
      <w:r>
        <w:t xml:space="preserve"> </w:t>
      </w:r>
      <w:r w:rsidR="005220EA">
        <w:t xml:space="preserve">This discrepancy may reflect an over-estimation of the </w:t>
      </w:r>
      <w:r w:rsidR="00E05937">
        <w:t xml:space="preserve">isolable </w:t>
      </w:r>
      <w:r w:rsidR="005220EA">
        <w:t>lignin content in CPH. T</w:t>
      </w:r>
      <w:r>
        <w:t xml:space="preserve">he </w:t>
      </w:r>
      <w:r w:rsidR="005220EA">
        <w:t>isolated l</w:t>
      </w:r>
      <w:r>
        <w:t xml:space="preserve">ignin </w:t>
      </w:r>
      <w:r w:rsidR="005220EA">
        <w:t xml:space="preserve">was </w:t>
      </w:r>
      <w:r>
        <w:t>in a deacetylated form</w:t>
      </w:r>
      <w:r w:rsidR="005220EA">
        <w:t xml:space="preserve"> and this facilitated its modification at the </w:t>
      </w:r>
      <w:r w:rsidR="005220EA">
        <w:rPr>
          <w:rFonts w:cs="Times"/>
        </w:rPr>
        <w:t>γ</w:t>
      </w:r>
      <w:r w:rsidR="005220EA">
        <w:t xml:space="preserve">-position of the </w:t>
      </w:r>
      <w:r w:rsidR="005220EA">
        <w:rPr>
          <w:rFonts w:cs="Times"/>
        </w:rPr>
        <w:t>β</w:t>
      </w:r>
      <w:r w:rsidR="009F2A52">
        <w:t>-O-4 unit. Use of novel model</w:t>
      </w:r>
      <w:r w:rsidR="005220EA">
        <w:t xml:space="preserve"> compounds confirmed the structure of the modified lignin and </w:t>
      </w:r>
      <w:r w:rsidR="00E05937">
        <w:t>thermogravimetric</w:t>
      </w:r>
      <w:r w:rsidR="005220EA">
        <w:t xml:space="preserve"> analysis highlighted interesting </w:t>
      </w:r>
      <w:r w:rsidR="00E05937">
        <w:t xml:space="preserve">potential </w:t>
      </w:r>
      <w:r w:rsidR="005220EA">
        <w:t xml:space="preserve">flame-retardant properties. </w:t>
      </w:r>
      <w:r w:rsidR="009F2A52">
        <w:t xml:space="preserve">The optimised pretreatment </w:t>
      </w:r>
      <w:r>
        <w:t xml:space="preserve">also led to the formation of 6 other potential product streams, several of which were studied. </w:t>
      </w:r>
      <w:r w:rsidR="009F2A52">
        <w:t xml:space="preserve">Whilst detailed LCA, </w:t>
      </w:r>
      <w:r w:rsidR="009F2A52" w:rsidRPr="009F2A52">
        <w:t xml:space="preserve">techno-economic </w:t>
      </w:r>
      <w:r w:rsidR="009F2A52">
        <w:t>and</w:t>
      </w:r>
      <w:r w:rsidR="009F2A52" w:rsidRPr="009F2A52">
        <w:t xml:space="preserve"> agronomic </w:t>
      </w:r>
      <w:r w:rsidR="009F2A52" w:rsidRPr="009F2A52">
        <w:lastRenderedPageBreak/>
        <w:t>analysis</w:t>
      </w:r>
      <w:r w:rsidR="009F2A52">
        <w:t xml:space="preserve"> of the reported process is outside the scope of this report, a recently reported study discusses several key aspects of developing a conceptual novel value chain from CPH (which could lead to </w:t>
      </w:r>
      <w:r w:rsidR="00B37AEF">
        <w:t xml:space="preserve">a </w:t>
      </w:r>
      <w:r w:rsidR="009F2A52">
        <w:t>number of products, such as modified lignin or lignin-derived aromatics, ethanol, food ingredients, etc).</w:t>
      </w:r>
      <w:r w:rsidR="00E05937">
        <w:rPr>
          <w:highlight w:val="yellow"/>
          <w:vertAlign w:val="superscript"/>
        </w:rPr>
        <w:t>33</w:t>
      </w:r>
      <w:r w:rsidR="009F2A52">
        <w:t xml:space="preserve"> This report assessed (i) the economic viability of CPH valorisation from a farmer’s perspective and (ii) the consequences on soil quality of diverting CPH from its role as a natural fertilizer</w:t>
      </w:r>
      <w:r w:rsidR="009F2A52" w:rsidRPr="009F2A52">
        <w:t xml:space="preserve"> </w:t>
      </w:r>
      <w:r w:rsidR="009F2A52">
        <w:t>through an agronomic trial.</w:t>
      </w:r>
    </w:p>
    <w:p w14:paraId="663B6FFB" w14:textId="2CA57D69" w:rsidR="001C3924" w:rsidRDefault="001C3924" w:rsidP="00F15D0D">
      <w:pPr>
        <w:pStyle w:val="TAMainText"/>
      </w:pPr>
      <w:r>
        <w:t xml:space="preserve">Based on preliminary work reported here, future application of </w:t>
      </w:r>
      <w:r w:rsidR="009F2A52">
        <w:t xml:space="preserve">the high quality CPH </w:t>
      </w:r>
      <w:r>
        <w:t xml:space="preserve">lignin </w:t>
      </w:r>
      <w:r w:rsidR="009F2A52">
        <w:t>will</w:t>
      </w:r>
      <w:r>
        <w:t xml:space="preserve"> focus on the production of novel flame-retardant materials (lignin-DOPO). This application </w:t>
      </w:r>
      <w:r w:rsidR="009F2A52">
        <w:t xml:space="preserve">for lignin </w:t>
      </w:r>
      <w:r>
        <w:t>is of current interest and this work provides complementary methodology to recent alternative approaches.</w:t>
      </w:r>
      <w:r w:rsidR="00FC44E1">
        <w:rPr>
          <w:highlight w:val="yellow"/>
          <w:vertAlign w:val="superscript"/>
        </w:rPr>
        <w:t>26,27</w:t>
      </w:r>
    </w:p>
    <w:p w14:paraId="58983B9C" w14:textId="77777777" w:rsidR="001C3924" w:rsidRDefault="001C3924" w:rsidP="001C3924">
      <w:pPr>
        <w:pStyle w:val="TAMainText"/>
      </w:pPr>
    </w:p>
    <w:p w14:paraId="67A2E0FD" w14:textId="77777777" w:rsidR="00591527" w:rsidRPr="00591527" w:rsidRDefault="00591527" w:rsidP="00591527">
      <w:pPr>
        <w:pStyle w:val="TAMainText"/>
        <w:ind w:firstLine="0"/>
        <w:rPr>
          <w:u w:val="single"/>
        </w:rPr>
      </w:pPr>
      <w:r w:rsidRPr="00591527">
        <w:rPr>
          <w:u w:val="single"/>
        </w:rPr>
        <w:t>Experimental Section</w:t>
      </w:r>
    </w:p>
    <w:p w14:paraId="6E9E4803" w14:textId="77777777" w:rsidR="00591527" w:rsidRPr="00591527" w:rsidRDefault="00591527" w:rsidP="00591527">
      <w:pPr>
        <w:pStyle w:val="TAMainText"/>
        <w:ind w:firstLine="0"/>
        <w:rPr>
          <w:u w:val="single"/>
        </w:rPr>
      </w:pPr>
      <w:r w:rsidRPr="00591527">
        <w:rPr>
          <w:u w:val="single"/>
        </w:rPr>
        <w:t>Materials</w:t>
      </w:r>
    </w:p>
    <w:p w14:paraId="493D8FD4" w14:textId="6C96EFB2" w:rsidR="00591527" w:rsidRDefault="00591527" w:rsidP="00591527">
      <w:pPr>
        <w:pStyle w:val="TAMainText"/>
      </w:pPr>
      <w:r>
        <w:t xml:space="preserve">The cocoa pod husk biomass material was provided Mars Wrigley Confectionery from the Mars Cocoa Research Station in Indonesia. Cocoa pod husk (CPH) biomass was received as three different clone batches that had been freeze dried and were frozen upon arrival. The individual clone batches were defrosted just prior to milling and were milled using a Retsch SM 300 SM mill equipped with a 1 mm screen. The batches were combined and thoroughly mixed to give a homogenous CPH biomass. The CPH was stored frozen and defrosted just prior to use in pretreatment protocols. Commercially available compounds were purchased and used as received unless otherwise stated </w:t>
      </w:r>
      <w:r w:rsidR="00DE5961">
        <w:t>in the SI</w:t>
      </w:r>
      <w:r>
        <w:t>.</w:t>
      </w:r>
    </w:p>
    <w:p w14:paraId="59C391DA" w14:textId="77777777" w:rsidR="00591527" w:rsidRPr="00591527" w:rsidRDefault="00591527" w:rsidP="00591527">
      <w:pPr>
        <w:pStyle w:val="TAMainText"/>
        <w:ind w:firstLine="0"/>
        <w:rPr>
          <w:u w:val="single"/>
        </w:rPr>
      </w:pPr>
      <w:r w:rsidRPr="00591527">
        <w:rPr>
          <w:u w:val="single"/>
        </w:rPr>
        <w:t>Methods</w:t>
      </w:r>
    </w:p>
    <w:p w14:paraId="23AAD7D3" w14:textId="61C5A26A" w:rsidR="001C3924" w:rsidRPr="001C3924" w:rsidRDefault="00591527" w:rsidP="00591527">
      <w:pPr>
        <w:pStyle w:val="TAMainText"/>
      </w:pPr>
      <w:r>
        <w:lastRenderedPageBreak/>
        <w:t xml:space="preserve">Full </w:t>
      </w:r>
      <w:r w:rsidR="008A42BC">
        <w:t xml:space="preserve">description of the </w:t>
      </w:r>
      <w:r w:rsidR="00DE5961">
        <w:t xml:space="preserve">pretreatment methods </w:t>
      </w:r>
      <w:r>
        <w:t xml:space="preserve">are given in the General Methods section of the SI. </w:t>
      </w:r>
      <w:r w:rsidR="008A42BC" w:rsidRPr="002A27CA">
        <w:rPr>
          <w:b/>
        </w:rPr>
        <w:t>O</w:t>
      </w:r>
      <w:r w:rsidRPr="002A27CA">
        <w:rPr>
          <w:b/>
        </w:rPr>
        <w:t xml:space="preserve">ptimised butanosolv </w:t>
      </w:r>
      <w:r w:rsidR="008A42BC" w:rsidRPr="002A27CA">
        <w:rPr>
          <w:b/>
        </w:rPr>
        <w:t>pretreatment for</w:t>
      </w:r>
      <w:r w:rsidRPr="002A27CA">
        <w:rPr>
          <w:b/>
        </w:rPr>
        <w:t xml:space="preserve"> CPH</w:t>
      </w:r>
      <w:r w:rsidR="008A42BC" w:rsidRPr="002A27CA">
        <w:rPr>
          <w:b/>
        </w:rPr>
        <w:t>:</w:t>
      </w:r>
      <w:r>
        <w:t xml:space="preserve"> CPH biomass was suspended in ethanol (10 mL/g) and stirred at room temperature for 18 h. The suspension was then filtered and the recovered CPH pulp was suspended in fresh ethanol (10 mL/g) and stirred for further 4 hours. The suspension was filtered and the CPH pulp dried </w:t>
      </w:r>
      <w:r w:rsidRPr="002A27CA">
        <w:rPr>
          <w:i/>
        </w:rPr>
        <w:t>in vacuo</w:t>
      </w:r>
      <w:r>
        <w:t xml:space="preserve"> at 60 °C for 24 hours. The dried CPH pulp was then suspended in water (25 mL/g) and heated at reflux for 4 hours. The suspension was cooled to room temperature, centrifuged at 5500 rpm at 4 °C for 1 hour and strained through cheesecloth, washed with fresh water (3 x 10 mL/g) and squeezed until dry. The CPH pulp was dried </w:t>
      </w:r>
      <w:r w:rsidRPr="002A27CA">
        <w:rPr>
          <w:i/>
        </w:rPr>
        <w:t>in vacuo</w:t>
      </w:r>
      <w:r>
        <w:t xml:space="preserve"> at 60 °C for 24 hours then butanosolv pretreatment was carried out according to a literature procedure.</w:t>
      </w:r>
      <w:r w:rsidR="00313AEB">
        <w:rPr>
          <w:highlight w:val="yellow"/>
          <w:vertAlign w:val="superscript"/>
        </w:rPr>
        <w:t>47</w:t>
      </w:r>
      <w:r>
        <w:t xml:space="preserve"> Tosylation and azidation reactions were carried out according to a literature procedure.</w:t>
      </w:r>
      <w:r w:rsidR="00FC44E1">
        <w:rPr>
          <w:highlight w:val="yellow"/>
          <w:vertAlign w:val="superscript"/>
        </w:rPr>
        <w:t>47</w:t>
      </w:r>
      <w:r>
        <w:t xml:space="preserve"> For the CuAAC click reactions, based on a literature procedure,</w:t>
      </w:r>
      <w:r w:rsidR="00FC44E1">
        <w:rPr>
          <w:highlight w:val="yellow"/>
          <w:vertAlign w:val="superscript"/>
        </w:rPr>
        <w:t>47</w:t>
      </w:r>
      <w:r>
        <w:t xml:space="preserve"> azidated butanosolv lignin (1 wt eq.), </w:t>
      </w:r>
      <w:r w:rsidR="008A42BC">
        <w:t xml:space="preserve">novel </w:t>
      </w:r>
      <w:r>
        <w:t xml:space="preserve">DOPO alkyne derivative </w:t>
      </w:r>
      <w:r w:rsidRPr="002A27CA">
        <w:rPr>
          <w:b/>
        </w:rPr>
        <w:t>11</w:t>
      </w:r>
      <w:r>
        <w:t xml:space="preserve"> (0.5 wt eq.), sodium ascorbate (0.5 wt eq.) and CuSO</w:t>
      </w:r>
      <w:r w:rsidRPr="002A27CA">
        <w:rPr>
          <w:vertAlign w:val="subscript"/>
        </w:rPr>
        <w:t>4</w:t>
      </w:r>
      <w:r>
        <w:t>.5H</w:t>
      </w:r>
      <w:r w:rsidRPr="002A27CA">
        <w:rPr>
          <w:vertAlign w:val="subscript"/>
        </w:rPr>
        <w:t>2</w:t>
      </w:r>
      <w:r>
        <w:t xml:space="preserve">O (0.03 wt eq.) were stirred in DMF/water (5:1, 10 mL/g of lignin) at room temperature for 24 hours. The solution was added dropwise to 0.1 M HCl (10 v/v eq.) and the resulting precipitate isolated by filtration, washed with water (30 mL/g) and dried under vacuum at 60 °C for 24 hours. The crude lignin was purified by column chromatography on silica gel (30 g/g) eluting with DCM/hexane (0-100%), MeOH/DCM (0-10%) then 100% acetone. See SI for full details </w:t>
      </w:r>
      <w:r w:rsidR="008A42BC">
        <w:t>for the</w:t>
      </w:r>
      <w:r>
        <w:t xml:space="preserve"> synthesis and analytical characterisation of model compounds.</w:t>
      </w:r>
    </w:p>
    <w:p w14:paraId="58774C2C" w14:textId="77777777" w:rsidR="00F82A0B" w:rsidRDefault="00F82A0B" w:rsidP="000B5610">
      <w:pPr>
        <w:pStyle w:val="TESupportingInformation"/>
        <w:spacing w:after="240"/>
        <w:ind w:firstLine="0"/>
        <w:jc w:val="left"/>
      </w:pPr>
    </w:p>
    <w:p w14:paraId="1ABC0549" w14:textId="1F0D3357" w:rsidR="00DD6DBB" w:rsidRDefault="00C10EE0" w:rsidP="000B5610">
      <w:pPr>
        <w:pStyle w:val="TESupportingInformation"/>
        <w:spacing w:after="240"/>
        <w:ind w:firstLine="0"/>
        <w:jc w:val="left"/>
      </w:pPr>
      <w:r>
        <w:t>ASSOCIATED CONTENT</w:t>
      </w:r>
    </w:p>
    <w:p w14:paraId="280D0CFE" w14:textId="77777777" w:rsidR="00D05263" w:rsidRDefault="00D05263" w:rsidP="00D05263">
      <w:pPr>
        <w:pStyle w:val="TESupportingInformation"/>
        <w:ind w:firstLine="0"/>
      </w:pPr>
      <w:r w:rsidRPr="004D09BB">
        <w:t>Supplementary figures mentioned throughout the text, including additional NMR spectra</w:t>
      </w:r>
      <w:r>
        <w:t>,</w:t>
      </w:r>
      <w:r w:rsidRPr="00CF4161">
        <w:t xml:space="preserve"> synthetic procedures for </w:t>
      </w:r>
      <w:r>
        <w:t>model</w:t>
      </w:r>
      <w:r w:rsidRPr="00CF4161">
        <w:t xml:space="preserve"> compounds, characterization of</w:t>
      </w:r>
      <w:r>
        <w:t xml:space="preserve"> </w:t>
      </w:r>
      <w:r w:rsidRPr="00CF4161">
        <w:t xml:space="preserve">novel compounds </w:t>
      </w:r>
      <w:r>
        <w:t>and</w:t>
      </w:r>
      <w:r w:rsidRPr="00CF4161">
        <w:t xml:space="preserve"> associated spectra, and</w:t>
      </w:r>
      <w:r>
        <w:t xml:space="preserve"> full </w:t>
      </w:r>
      <w:r w:rsidRPr="00CF4161">
        <w:t>lignin</w:t>
      </w:r>
      <w:r>
        <w:t xml:space="preserve"> HSQC NMR spectra (PDF)</w:t>
      </w:r>
    </w:p>
    <w:p w14:paraId="17B823CC" w14:textId="5A37A46C" w:rsidR="00D05263" w:rsidRPr="00CF4161" w:rsidRDefault="00D05263" w:rsidP="00D05263">
      <w:pPr>
        <w:pStyle w:val="TESupportingInformation"/>
        <w:ind w:firstLine="0"/>
      </w:pPr>
      <w:r>
        <w:lastRenderedPageBreak/>
        <w:t xml:space="preserve">Crystallographic data </w:t>
      </w:r>
      <w:r w:rsidR="00E05937">
        <w:t xml:space="preserve">of </w:t>
      </w:r>
      <w:r w:rsidR="00E05937" w:rsidRPr="00E05937">
        <w:rPr>
          <w:b/>
        </w:rPr>
        <w:t>10</w:t>
      </w:r>
      <w:r w:rsidR="00E05937">
        <w:t xml:space="preserve"> </w:t>
      </w:r>
      <w:r>
        <w:t>(CIF)</w:t>
      </w:r>
    </w:p>
    <w:p w14:paraId="7D96E8F1" w14:textId="77777777" w:rsidR="00DD6DBB" w:rsidRDefault="00DD6DBB" w:rsidP="00DD6DBB">
      <w:pPr>
        <w:pStyle w:val="FACorrespondingAuthorFootnote"/>
        <w:spacing w:after="0"/>
        <w:jc w:val="left"/>
      </w:pPr>
      <w:r>
        <w:t>AUTHOR INFORMATION</w:t>
      </w:r>
    </w:p>
    <w:p w14:paraId="21736D40" w14:textId="77777777" w:rsidR="00DD6DBB" w:rsidRPr="00DD6DBB" w:rsidRDefault="00DD6DBB" w:rsidP="004E7185">
      <w:pPr>
        <w:pStyle w:val="FAAuthorInfoSubtitle"/>
      </w:pPr>
      <w:r w:rsidRPr="00DD6DBB">
        <w:t>Corresponding Author</w:t>
      </w:r>
    </w:p>
    <w:p w14:paraId="4715BE89" w14:textId="52155B61" w:rsidR="00C10EE0" w:rsidRPr="00DD6DBB" w:rsidRDefault="00DD6DBB" w:rsidP="00C978BB">
      <w:pPr>
        <w:pStyle w:val="FACorrespondingAuthorFootnote"/>
        <w:spacing w:after="240"/>
        <w:jc w:val="left"/>
      </w:pPr>
      <w:r>
        <w:t>*</w:t>
      </w:r>
      <w:r w:rsidR="00C978BB" w:rsidRPr="00C978BB">
        <w:t>E-mail: njw3@st-andrews.ac.uk. ORCID Nicholas J. Westwood: 0000-0003-0630-0138</w:t>
      </w:r>
    </w:p>
    <w:p w14:paraId="283B795E" w14:textId="77777777" w:rsidR="00C10EE0" w:rsidRPr="00DD6DBB" w:rsidRDefault="00C10EE0" w:rsidP="00DD6DBB">
      <w:pPr>
        <w:pStyle w:val="FAAuthorInfoSubtitle"/>
      </w:pPr>
      <w:r w:rsidRPr="00DD6DBB">
        <w:t>Author Contributions</w:t>
      </w:r>
    </w:p>
    <w:p w14:paraId="0CABDEB2" w14:textId="69B85194" w:rsidR="00C10EE0" w:rsidRPr="00DD6DBB" w:rsidRDefault="00C10EE0" w:rsidP="00DD6DBB">
      <w:pPr>
        <w:pStyle w:val="StyleFACorrespondingAuthorFootnote7pt"/>
        <w:spacing w:after="240" w:line="480" w:lineRule="auto"/>
        <w:rPr>
          <w:rFonts w:ascii="Times" w:hAnsi="Times"/>
          <w:kern w:val="0"/>
          <w:sz w:val="24"/>
        </w:rPr>
      </w:pPr>
      <w:r w:rsidRPr="00DD6DBB">
        <w:rPr>
          <w:rFonts w:ascii="Times" w:hAnsi="Times"/>
          <w:kern w:val="0"/>
          <w:sz w:val="24"/>
        </w:rPr>
        <w:t>The manuscript was written throug</w:t>
      </w:r>
      <w:r w:rsidR="00DD6DBB">
        <w:rPr>
          <w:rFonts w:ascii="Times" w:hAnsi="Times"/>
          <w:kern w:val="0"/>
          <w:sz w:val="24"/>
        </w:rPr>
        <w:t xml:space="preserve">h contributions of all authors. </w:t>
      </w:r>
      <w:r w:rsidRPr="00DD6DBB">
        <w:rPr>
          <w:rFonts w:ascii="Times" w:hAnsi="Times"/>
          <w:kern w:val="0"/>
          <w:sz w:val="24"/>
        </w:rPr>
        <w:t>All authors have given approval to the final version of the manuscript.</w:t>
      </w:r>
    </w:p>
    <w:p w14:paraId="388B1A72" w14:textId="77777777" w:rsidR="00C10EE0" w:rsidRPr="00DD6DBB" w:rsidRDefault="00C10EE0" w:rsidP="00DD6DBB">
      <w:pPr>
        <w:pStyle w:val="FAAuthorInfoSubtitle"/>
      </w:pPr>
      <w:r w:rsidRPr="00DD6DBB">
        <w:t>Funding Sources</w:t>
      </w:r>
    </w:p>
    <w:p w14:paraId="695DF75E" w14:textId="74F1A9B4" w:rsidR="003D70D4" w:rsidRDefault="006129DD" w:rsidP="00DD6DBB">
      <w:pPr>
        <w:pStyle w:val="FAAuthorInfoSubtitle"/>
        <w:rPr>
          <w:b w:val="0"/>
        </w:rPr>
      </w:pPr>
      <w:r w:rsidRPr="006129DD">
        <w:rPr>
          <w:b w:val="0"/>
        </w:rPr>
        <w:t>The authors acknowledge the UK Biotechnology and Biological Sciences Research Council (BBSRC) for financial supporting through Global Challenges Research Fund (GCRF) project ‘‘Development of novel value chain from cocoa pod husks in Indonesia: Technological, environmental and socio-economic challenges of a value chain” (BB/P022995/1). EPSRC-funded CRITICAT Centre for Doctoral Training (Ph.D. studentship to I.P.; EP/ L016419/1</w:t>
      </w:r>
      <w:r w:rsidR="00E05937">
        <w:rPr>
          <w:b w:val="0"/>
        </w:rPr>
        <w:t>)</w:t>
      </w:r>
    </w:p>
    <w:p w14:paraId="0DCE0CCA" w14:textId="1D49FAA3" w:rsidR="00CC0456" w:rsidRDefault="00CC0456" w:rsidP="00DD6DBB">
      <w:pPr>
        <w:pStyle w:val="FAAuthorInfoSubtitle"/>
        <w:rPr>
          <w:b w:val="0"/>
        </w:rPr>
      </w:pPr>
      <w:r w:rsidRPr="00C855A0">
        <w:rPr>
          <w:b w:val="0"/>
          <w:highlight w:val="yellow"/>
        </w:rPr>
        <w:t>EaSI-CAT</w:t>
      </w:r>
      <w:r w:rsidR="00346226" w:rsidRPr="00C855A0">
        <w:rPr>
          <w:b w:val="0"/>
          <w:highlight w:val="yellow"/>
        </w:rPr>
        <w:t>? Anyone else funding? James PhD?</w:t>
      </w:r>
    </w:p>
    <w:p w14:paraId="695650EC" w14:textId="77777777" w:rsidR="003D70D4" w:rsidRDefault="003D70D4" w:rsidP="000B5610">
      <w:pPr>
        <w:pStyle w:val="TDAcknowledgments"/>
        <w:spacing w:before="0" w:after="0"/>
        <w:ind w:firstLine="0"/>
        <w:jc w:val="left"/>
      </w:pPr>
    </w:p>
    <w:p w14:paraId="00A03605" w14:textId="63E87ED3" w:rsidR="006129DD" w:rsidRDefault="006129DD" w:rsidP="000B5610">
      <w:pPr>
        <w:pStyle w:val="TDAcknowledgments"/>
        <w:spacing w:before="0" w:after="0"/>
        <w:ind w:firstLine="0"/>
        <w:jc w:val="left"/>
      </w:pPr>
      <w:r>
        <w:t>NOTES</w:t>
      </w:r>
    </w:p>
    <w:p w14:paraId="7959CE65" w14:textId="33E23DEB" w:rsidR="006129DD" w:rsidRPr="006129DD" w:rsidRDefault="0037409F" w:rsidP="0037409F">
      <w:pPr>
        <w:pStyle w:val="TDAcknowledgments"/>
      </w:pPr>
      <w:r w:rsidRPr="0037409F">
        <w:t>This manuscript is dedicated to the late Prof. Simon McQueen-Mason. The authors declare no conflict of interest.</w:t>
      </w:r>
    </w:p>
    <w:p w14:paraId="7410CB15" w14:textId="19522D4A" w:rsidR="00DD6DBB" w:rsidRDefault="00DD6DBB" w:rsidP="000B5610">
      <w:pPr>
        <w:pStyle w:val="TDAcknowledgments"/>
        <w:spacing w:before="0" w:after="0"/>
        <w:ind w:firstLine="0"/>
        <w:jc w:val="left"/>
      </w:pPr>
      <w:r>
        <w:t>ACKNOWLEDGMENT</w:t>
      </w:r>
    </w:p>
    <w:p w14:paraId="434BE7FA" w14:textId="3A08DD77" w:rsidR="009246AD" w:rsidRDefault="00A95AAA" w:rsidP="0037409F">
      <w:pPr>
        <w:pStyle w:val="TDAcknowledgments"/>
      </w:pPr>
      <w:r w:rsidRPr="00A95AAA">
        <w:lastRenderedPageBreak/>
        <w:t>The authors thank Mars Wrigley Confectionery and staff in the Mars Cocoa Research Station in Indonesia for their in-kind contributions to the project. We would like to thank Dr. Gavin Peters for support running TGA measurements, Dr Yuri Andreev for PXRD analysis, and Mrs Caroline Horsburgh for mass spectrometry analysis.</w:t>
      </w:r>
    </w:p>
    <w:p w14:paraId="520F4BB1" w14:textId="77777777" w:rsidR="00DD6DBB" w:rsidRDefault="00DD6DBB" w:rsidP="00DD6DBB">
      <w:r>
        <w:t>ABBREVIATIONS</w:t>
      </w:r>
    </w:p>
    <w:p w14:paraId="2E5A53A0" w14:textId="03BAF557" w:rsidR="00661992" w:rsidRDefault="00DD09B8" w:rsidP="00DD6DBB">
      <w:pPr>
        <w:spacing w:line="480" w:lineRule="auto"/>
        <w:jc w:val="left"/>
      </w:pPr>
      <w:r w:rsidRPr="00DD09B8">
        <w:t>DM, degree of methylation; FTIR, Fourier transform infrared; HMBC, heteronuclear multiple bond correlation spectroscopy; HSQC, heteronuclear single quantum coherence spectroscopy; MW, molecular weight; NMR, nuclear magnetic resonance; PESF, pectin ethanol soluble sugar fraction; PXRD, powder X-ray diffraction</w:t>
      </w:r>
      <w:r w:rsidR="00661992">
        <w:t>.</w:t>
      </w:r>
    </w:p>
    <w:p w14:paraId="2FD7B864" w14:textId="75877AD9" w:rsidR="00DD6DBB" w:rsidRDefault="00DD6DBB" w:rsidP="00DD6DBB">
      <w:pPr>
        <w:spacing w:line="480" w:lineRule="auto"/>
        <w:jc w:val="left"/>
      </w:pPr>
    </w:p>
    <w:p w14:paraId="01C9AE2C" w14:textId="77777777" w:rsidR="00DD6DBB" w:rsidRDefault="00DD6DBB" w:rsidP="000B5610">
      <w:pPr>
        <w:pStyle w:val="TFReferencesSection"/>
        <w:spacing w:after="0"/>
        <w:ind w:firstLine="0"/>
      </w:pPr>
      <w:r>
        <w:t>REFERENCES</w:t>
      </w:r>
    </w:p>
    <w:p w14:paraId="6923B4EF" w14:textId="3E097EF0" w:rsidR="00307FFA" w:rsidRDefault="00307FFA" w:rsidP="00704078">
      <w:pPr>
        <w:pStyle w:val="TFReferencesSection"/>
        <w:numPr>
          <w:ilvl w:val="0"/>
          <w:numId w:val="11"/>
        </w:numPr>
        <w:spacing w:after="240"/>
        <w:jc w:val="left"/>
      </w:pPr>
      <w:r>
        <w:t xml:space="preserve">Espinoza Pérez, A. T.; Camargo, M.; Narváez Rincón, P. C.; Alfaro Marchant, M. Key Challenges and Requirements for Sustainable and Industrialized Biorefinery Supply Chain Design and Management: A Bibliographic Analysis. </w:t>
      </w:r>
      <w:r w:rsidRPr="00B37AEF">
        <w:rPr>
          <w:i/>
        </w:rPr>
        <w:t>Renewable and Sustainable Energy Reviews</w:t>
      </w:r>
      <w:r>
        <w:t xml:space="preserve"> </w:t>
      </w:r>
      <w:r w:rsidRPr="00B37AEF">
        <w:rPr>
          <w:b/>
        </w:rPr>
        <w:t>2017</w:t>
      </w:r>
      <w:r>
        <w:t xml:space="preserve">, </w:t>
      </w:r>
      <w:r w:rsidRPr="00B37AEF">
        <w:rPr>
          <w:i/>
        </w:rPr>
        <w:t>69</w:t>
      </w:r>
      <w:r>
        <w:t xml:space="preserve">, 350–359. </w:t>
      </w:r>
      <w:hyperlink r:id="rId18" w:history="1">
        <w:r w:rsidR="00704078" w:rsidRPr="00D810F5">
          <w:rPr>
            <w:rStyle w:val="Hyperlink"/>
          </w:rPr>
          <w:t>https://doi.org/10.1016/J.RSER.2016.11.084</w:t>
        </w:r>
      </w:hyperlink>
      <w:r w:rsidR="00C53384">
        <w:t xml:space="preserve"> </w:t>
      </w:r>
    </w:p>
    <w:p w14:paraId="01EF2D06" w14:textId="32A9C365" w:rsidR="00704078" w:rsidRDefault="00704078" w:rsidP="00704078">
      <w:pPr>
        <w:pStyle w:val="TFReferencesSection"/>
        <w:numPr>
          <w:ilvl w:val="0"/>
          <w:numId w:val="11"/>
        </w:numPr>
        <w:spacing w:after="240"/>
        <w:jc w:val="left"/>
      </w:pPr>
      <w:r>
        <w:t xml:space="preserve">Zakzeski, J.; Bruijnincx, P. C. A.; Jongerius, A. L.; Weckhuysen, B. M. The Catalytic Valorization of Lignin for the Production of Renewable Chemicals. </w:t>
      </w:r>
      <w:r w:rsidRPr="00B37AEF">
        <w:rPr>
          <w:i/>
        </w:rPr>
        <w:t>Chemical Reviews</w:t>
      </w:r>
      <w:r>
        <w:t xml:space="preserve"> </w:t>
      </w:r>
      <w:r w:rsidRPr="00B37AEF">
        <w:rPr>
          <w:b/>
        </w:rPr>
        <w:t>2010</w:t>
      </w:r>
      <w:r w:rsidR="00B37AEF">
        <w:t xml:space="preserve">, </w:t>
      </w:r>
      <w:r w:rsidR="00B37AEF" w:rsidRPr="00B37AEF">
        <w:rPr>
          <w:i/>
        </w:rPr>
        <w:t>110</w:t>
      </w:r>
      <w:r w:rsidRPr="00B37AEF">
        <w:rPr>
          <w:i/>
        </w:rPr>
        <w:t>(6)</w:t>
      </w:r>
      <w:r>
        <w:t xml:space="preserve">, 3552–3599. </w:t>
      </w:r>
      <w:hyperlink r:id="rId19" w:history="1">
        <w:r w:rsidR="00C53384" w:rsidRPr="00D810F5">
          <w:rPr>
            <w:rStyle w:val="Hyperlink"/>
          </w:rPr>
          <w:t>https://doi.org/10.1021/CR900354U</w:t>
        </w:r>
      </w:hyperlink>
      <w:r w:rsidR="00C53384">
        <w:t xml:space="preserve"> </w:t>
      </w:r>
    </w:p>
    <w:p w14:paraId="19E1139C" w14:textId="064398B4" w:rsidR="00307FFA" w:rsidRDefault="00307FFA" w:rsidP="00704078">
      <w:pPr>
        <w:pStyle w:val="TFReferencesSection"/>
        <w:numPr>
          <w:ilvl w:val="0"/>
          <w:numId w:val="11"/>
        </w:numPr>
        <w:spacing w:after="240"/>
        <w:jc w:val="left"/>
      </w:pPr>
      <w:r>
        <w:t xml:space="preserve">Alonso, D. M.; Wettstein, S. G.; Dumesic, J. A. Bimetallic Catalysts for Upgrading of Biomass to Fuels and Chemicals. </w:t>
      </w:r>
      <w:r w:rsidRPr="00B37AEF">
        <w:rPr>
          <w:i/>
        </w:rPr>
        <w:t>Chem. Soc. Rev.</w:t>
      </w:r>
      <w:r>
        <w:t xml:space="preserve"> </w:t>
      </w:r>
      <w:r w:rsidRPr="00B37AEF">
        <w:rPr>
          <w:b/>
        </w:rPr>
        <w:t>2012</w:t>
      </w:r>
      <w:r>
        <w:t xml:space="preserve">, </w:t>
      </w:r>
      <w:r w:rsidRPr="00B37AEF">
        <w:rPr>
          <w:i/>
        </w:rPr>
        <w:t>41</w:t>
      </w:r>
      <w:r>
        <w:t xml:space="preserve">, 8075–8098. </w:t>
      </w:r>
      <w:hyperlink r:id="rId20" w:history="1">
        <w:r w:rsidR="00704078" w:rsidRPr="00D810F5">
          <w:rPr>
            <w:rStyle w:val="Hyperlink"/>
          </w:rPr>
          <w:t>https://doi.org/10.1039/c2cs35188a</w:t>
        </w:r>
      </w:hyperlink>
      <w:r w:rsidR="00C53384">
        <w:t xml:space="preserve"> </w:t>
      </w:r>
    </w:p>
    <w:p w14:paraId="583B989C" w14:textId="74F9C316" w:rsidR="00704078" w:rsidRDefault="00704078" w:rsidP="00F46988">
      <w:pPr>
        <w:pStyle w:val="TFReferencesSection"/>
        <w:numPr>
          <w:ilvl w:val="0"/>
          <w:numId w:val="11"/>
        </w:numPr>
        <w:spacing w:after="240"/>
        <w:jc w:val="left"/>
      </w:pPr>
      <w:r>
        <w:lastRenderedPageBreak/>
        <w:t xml:space="preserve">Prasad, B. R.; Padhi, R. K.; Ghosh, G. A review on key pretreatment approaches for lignocellulosic biomass to produce biofuel and value-added product. </w:t>
      </w:r>
      <w:r w:rsidRPr="00B37AEF">
        <w:rPr>
          <w:i/>
        </w:rPr>
        <w:t>International Journal of Environmental Science and Technology</w:t>
      </w:r>
      <w:r>
        <w:t xml:space="preserve"> </w:t>
      </w:r>
      <w:r w:rsidRPr="00B37AEF">
        <w:rPr>
          <w:b/>
        </w:rPr>
        <w:t>2023</w:t>
      </w:r>
      <w:r>
        <w:t xml:space="preserve">, </w:t>
      </w:r>
      <w:r w:rsidRPr="00B37AEF">
        <w:rPr>
          <w:i/>
        </w:rPr>
        <w:t>20(6)</w:t>
      </w:r>
      <w:r>
        <w:t>, 6929-6944</w:t>
      </w:r>
      <w:r w:rsidR="00F46988">
        <w:t xml:space="preserve">. </w:t>
      </w:r>
      <w:hyperlink r:id="rId21" w:history="1">
        <w:r w:rsidR="00F46988" w:rsidRPr="00D810F5">
          <w:rPr>
            <w:rStyle w:val="Hyperlink"/>
          </w:rPr>
          <w:t>https://doi.org/10.1007/s13762-022-04252-2</w:t>
        </w:r>
      </w:hyperlink>
      <w:r w:rsidR="00F46988">
        <w:t xml:space="preserve"> </w:t>
      </w:r>
    </w:p>
    <w:p w14:paraId="7501025E" w14:textId="6DFA4550" w:rsidR="00F46988" w:rsidRDefault="00F46988" w:rsidP="00F46988">
      <w:pPr>
        <w:pStyle w:val="TFReferencesSection"/>
        <w:numPr>
          <w:ilvl w:val="0"/>
          <w:numId w:val="11"/>
        </w:numPr>
        <w:spacing w:after="240"/>
        <w:jc w:val="left"/>
      </w:pPr>
      <w:r>
        <w:t xml:space="preserve">Yoo, C. G.; Meng, X.; Pu, Y.; Ragauskas, A. J. </w:t>
      </w:r>
      <w:r w:rsidR="00312CF4">
        <w:t>The critical role of lignin in lignocellulosic biomass conversion and recent pretreatment str</w:t>
      </w:r>
      <w:r>
        <w:t xml:space="preserve">ategies: A comprehensive review. </w:t>
      </w:r>
      <w:r w:rsidR="00312CF4" w:rsidRPr="00F46988">
        <w:rPr>
          <w:i/>
        </w:rPr>
        <w:t>Bioresource Technology</w:t>
      </w:r>
      <w:r>
        <w:t xml:space="preserve"> </w:t>
      </w:r>
      <w:r w:rsidRPr="00F46988">
        <w:rPr>
          <w:b/>
        </w:rPr>
        <w:t>2020</w:t>
      </w:r>
      <w:r w:rsidR="00312CF4">
        <w:t xml:space="preserve">, </w:t>
      </w:r>
      <w:r w:rsidR="00312CF4" w:rsidRPr="00F46988">
        <w:rPr>
          <w:i/>
        </w:rPr>
        <w:t>301</w:t>
      </w:r>
      <w:r w:rsidR="00312CF4">
        <w:t>, 122784</w:t>
      </w:r>
      <w:r>
        <w:t xml:space="preserve">. </w:t>
      </w:r>
      <w:hyperlink r:id="rId22" w:history="1">
        <w:r w:rsidRPr="00D810F5">
          <w:rPr>
            <w:rStyle w:val="Hyperlink"/>
          </w:rPr>
          <w:t>https://doi.org/10.1016/j.biortech.2020.122784</w:t>
        </w:r>
      </w:hyperlink>
      <w:r>
        <w:t xml:space="preserve"> </w:t>
      </w:r>
    </w:p>
    <w:p w14:paraId="3E382DBA" w14:textId="66862511" w:rsidR="00704078" w:rsidRDefault="00C53384" w:rsidP="00C53384">
      <w:pPr>
        <w:pStyle w:val="TFReferencesSection"/>
        <w:numPr>
          <w:ilvl w:val="0"/>
          <w:numId w:val="11"/>
        </w:numPr>
        <w:spacing w:after="240"/>
        <w:jc w:val="left"/>
      </w:pPr>
      <w:r>
        <w:t xml:space="preserve">Pre-treatments to enhance the enzymatic saccharification of lignocellulose: technological and economic aspects. </w:t>
      </w:r>
      <w:hyperlink r:id="rId23" w:history="1">
        <w:r w:rsidRPr="00D810F5">
          <w:rPr>
            <w:rStyle w:val="Hyperlink"/>
          </w:rPr>
          <w:t>https://www.bbnet-nibb.co.uk/wp-content/uploads/2021/02/BBNet-Pretreatment-Tech-Review-Feb2021-.pdf</w:t>
        </w:r>
      </w:hyperlink>
      <w:r>
        <w:t xml:space="preserve"> </w:t>
      </w:r>
    </w:p>
    <w:p w14:paraId="09F70AD4" w14:textId="2F7F0771" w:rsidR="00F46988" w:rsidRDefault="00F46988" w:rsidP="00F46988">
      <w:pPr>
        <w:pStyle w:val="TFReferencesSection"/>
        <w:numPr>
          <w:ilvl w:val="0"/>
          <w:numId w:val="11"/>
        </w:numPr>
        <w:spacing w:after="240"/>
        <w:jc w:val="left"/>
      </w:pPr>
      <w:r>
        <w:t xml:space="preserve">Dharmaraja, J.; Shobana, S.; Arvindnarayan, S.; Francis, R. R.; Jeyakumar, R. B.; Saratale, R. G.; Ashokkumar, V.; Bhatia, S. K.; Kumar, V.; Kumar, G. </w:t>
      </w:r>
      <w:r w:rsidR="00312CF4">
        <w:t>Lignocellulosic biomass conversion via greener pretreatment methods towar</w:t>
      </w:r>
      <w:r>
        <w:t xml:space="preserve">ds biorefinery applications. </w:t>
      </w:r>
      <w:r w:rsidR="00312CF4" w:rsidRPr="00F46988">
        <w:rPr>
          <w:i/>
        </w:rPr>
        <w:t>Bioresource Technology</w:t>
      </w:r>
      <w:r>
        <w:t xml:space="preserve"> </w:t>
      </w:r>
      <w:r w:rsidRPr="00F46988">
        <w:rPr>
          <w:b/>
        </w:rPr>
        <w:t>2023</w:t>
      </w:r>
      <w:r w:rsidR="00312CF4">
        <w:t xml:space="preserve">, </w:t>
      </w:r>
      <w:r w:rsidR="00312CF4" w:rsidRPr="00F46988">
        <w:rPr>
          <w:i/>
        </w:rPr>
        <w:t>369</w:t>
      </w:r>
      <w:r w:rsidR="00312CF4">
        <w:t>, 128328</w:t>
      </w:r>
      <w:r>
        <w:t xml:space="preserve">. </w:t>
      </w:r>
      <w:hyperlink r:id="rId24" w:history="1">
        <w:r w:rsidRPr="00D810F5">
          <w:rPr>
            <w:rStyle w:val="Hyperlink"/>
          </w:rPr>
          <w:t>https://doi.org/10.1016/j.biortech.2022.128328</w:t>
        </w:r>
      </w:hyperlink>
      <w:r>
        <w:t xml:space="preserve"> </w:t>
      </w:r>
    </w:p>
    <w:p w14:paraId="1FE89D9B" w14:textId="77777777" w:rsidR="00F46988" w:rsidRDefault="00704078" w:rsidP="00F46988">
      <w:pPr>
        <w:pStyle w:val="TFReferencesSection"/>
        <w:numPr>
          <w:ilvl w:val="0"/>
          <w:numId w:val="11"/>
        </w:numPr>
        <w:spacing w:after="240"/>
        <w:jc w:val="left"/>
      </w:pPr>
      <w:r w:rsidRPr="008C7210">
        <w:t>Baruah</w:t>
      </w:r>
      <w:r>
        <w:t>, J.;</w:t>
      </w:r>
      <w:r w:rsidRPr="008C7210">
        <w:t xml:space="preserve"> Nath</w:t>
      </w:r>
      <w:r>
        <w:t>, B. K.;</w:t>
      </w:r>
      <w:r w:rsidRPr="008C7210">
        <w:t xml:space="preserve"> Sharma</w:t>
      </w:r>
      <w:r>
        <w:t>, R.;</w:t>
      </w:r>
      <w:r w:rsidRPr="008C7210">
        <w:t xml:space="preserve"> Kumar</w:t>
      </w:r>
      <w:r>
        <w:t>, S.;</w:t>
      </w:r>
      <w:r w:rsidRPr="008C7210">
        <w:t xml:space="preserve"> Deka</w:t>
      </w:r>
      <w:r>
        <w:t>, R. C.;</w:t>
      </w:r>
      <w:r w:rsidRPr="008C7210">
        <w:t xml:space="preserve"> Baruah</w:t>
      </w:r>
      <w:r>
        <w:t>, D. C.;</w:t>
      </w:r>
      <w:r w:rsidRPr="008C7210">
        <w:t xml:space="preserve"> Kalita</w:t>
      </w:r>
      <w:r>
        <w:t xml:space="preserve">, E. </w:t>
      </w:r>
      <w:r w:rsidRPr="00B77E35">
        <w:t>Recent Trends in the Pretreatment of Lignocellulosic Biomass for Value-Added Products</w:t>
      </w:r>
      <w:r>
        <w:t xml:space="preserve">. </w:t>
      </w:r>
      <w:r w:rsidRPr="00F46988">
        <w:rPr>
          <w:i/>
        </w:rPr>
        <w:t>Frontiers in Energy Research</w:t>
      </w:r>
      <w:r>
        <w:t xml:space="preserve"> </w:t>
      </w:r>
      <w:r w:rsidRPr="00F46988">
        <w:rPr>
          <w:b/>
        </w:rPr>
        <w:t>2018</w:t>
      </w:r>
      <w:r>
        <w:t xml:space="preserve">, </w:t>
      </w:r>
      <w:r w:rsidRPr="00F46988">
        <w:rPr>
          <w:i/>
        </w:rPr>
        <w:t>6</w:t>
      </w:r>
      <w:r>
        <w:t xml:space="preserve">, 141. </w:t>
      </w:r>
      <w:hyperlink r:id="rId25" w:history="1">
        <w:r w:rsidRPr="00A30BEC">
          <w:rPr>
            <w:rStyle w:val="Hyperlink"/>
          </w:rPr>
          <w:t>https://doi.org/10.3389/fenrg.2018.00141</w:t>
        </w:r>
      </w:hyperlink>
    </w:p>
    <w:p w14:paraId="6A0DEF0C" w14:textId="00ADA178" w:rsidR="00704078" w:rsidRDefault="00704078" w:rsidP="00F46988">
      <w:pPr>
        <w:pStyle w:val="TFReferencesSection"/>
        <w:numPr>
          <w:ilvl w:val="0"/>
          <w:numId w:val="11"/>
        </w:numPr>
        <w:spacing w:after="240"/>
        <w:jc w:val="left"/>
      </w:pPr>
      <w:r w:rsidRPr="00764302">
        <w:lastRenderedPageBreak/>
        <w:t>Mankar</w:t>
      </w:r>
      <w:r>
        <w:t>, A. R.;</w:t>
      </w:r>
      <w:r w:rsidRPr="00764302">
        <w:t xml:space="preserve"> Pandey</w:t>
      </w:r>
      <w:r>
        <w:t>, A.;</w:t>
      </w:r>
      <w:r w:rsidRPr="00764302">
        <w:t xml:space="preserve"> Pant</w:t>
      </w:r>
      <w:r>
        <w:t xml:space="preserve">, A. M. K. K. </w:t>
      </w:r>
      <w:r w:rsidRPr="00AF56B0">
        <w:t>Pretreatment of lignocellulosic biomass: A review on recent advances</w:t>
      </w:r>
      <w:r>
        <w:t xml:space="preserve">. </w:t>
      </w:r>
      <w:r w:rsidRPr="00F46988">
        <w:rPr>
          <w:i/>
        </w:rPr>
        <w:t>Bioresource Technology</w:t>
      </w:r>
      <w:r w:rsidR="00F46988">
        <w:t xml:space="preserve"> </w:t>
      </w:r>
      <w:r w:rsidRPr="00F46988">
        <w:rPr>
          <w:b/>
        </w:rPr>
        <w:t>2021</w:t>
      </w:r>
      <w:r>
        <w:t>,</w:t>
      </w:r>
      <w:r w:rsidRPr="00CE21A2">
        <w:t xml:space="preserve"> </w:t>
      </w:r>
      <w:r w:rsidRPr="00F46988">
        <w:rPr>
          <w:i/>
        </w:rPr>
        <w:t>334</w:t>
      </w:r>
      <w:r>
        <w:t>,</w:t>
      </w:r>
      <w:r w:rsidRPr="00CE21A2">
        <w:t xml:space="preserve"> 125235</w:t>
      </w:r>
      <w:r>
        <w:t xml:space="preserve">. </w:t>
      </w:r>
      <w:hyperlink r:id="rId26" w:history="1">
        <w:r w:rsidRPr="000471CF">
          <w:rPr>
            <w:rStyle w:val="Hyperlink"/>
          </w:rPr>
          <w:t>https://doi.org/10.1016/j.biortech.2021.125235</w:t>
        </w:r>
      </w:hyperlink>
      <w:r w:rsidR="00C53384">
        <w:t xml:space="preserve"> </w:t>
      </w:r>
    </w:p>
    <w:p w14:paraId="0059DF23" w14:textId="6F31260D" w:rsidR="00307FFA" w:rsidRDefault="00307FFA" w:rsidP="00312CF4">
      <w:pPr>
        <w:pStyle w:val="TFReferencesSection"/>
        <w:numPr>
          <w:ilvl w:val="0"/>
          <w:numId w:val="11"/>
        </w:numPr>
        <w:spacing w:after="240"/>
        <w:jc w:val="left"/>
      </w:pPr>
      <w:r>
        <w:t xml:space="preserve">van Aelst, K.; van Sinay, E.; Vangeel, T.; Cooreman, E.; van den Bossche, G.; Renders, T.; van Aelst, J.; van den Bosch, S.; Sels, B. F. Reductive Catalytic Fractionation of Pine Wood: Elucidating and Quantifying the Molecular Structures in the Lignin Oil. Chemical </w:t>
      </w:r>
      <w:r w:rsidRPr="00F46988">
        <w:rPr>
          <w:i/>
        </w:rPr>
        <w:t>Science</w:t>
      </w:r>
      <w:r>
        <w:t xml:space="preserve"> </w:t>
      </w:r>
      <w:r w:rsidRPr="00F46988">
        <w:rPr>
          <w:b/>
        </w:rPr>
        <w:t>2020</w:t>
      </w:r>
      <w:r>
        <w:t xml:space="preserve">, </w:t>
      </w:r>
      <w:r w:rsidR="00DD6877">
        <w:rPr>
          <w:i/>
        </w:rPr>
        <w:t xml:space="preserve">11 </w:t>
      </w:r>
      <w:r w:rsidRPr="00F46988">
        <w:rPr>
          <w:i/>
        </w:rPr>
        <w:t>(42)</w:t>
      </w:r>
      <w:r>
        <w:t xml:space="preserve">, 11498–11508. </w:t>
      </w:r>
      <w:hyperlink r:id="rId27" w:history="1">
        <w:r w:rsidR="00312CF4" w:rsidRPr="00D810F5">
          <w:rPr>
            <w:rStyle w:val="Hyperlink"/>
          </w:rPr>
          <w:t>https://doi.org/10.1039/D0SC04182C</w:t>
        </w:r>
      </w:hyperlink>
      <w:r w:rsidR="00C53384">
        <w:t xml:space="preserve"> </w:t>
      </w:r>
    </w:p>
    <w:p w14:paraId="12D2024E" w14:textId="2B177EDF" w:rsidR="00307FFA" w:rsidRDefault="00307FFA" w:rsidP="00312CF4">
      <w:pPr>
        <w:pStyle w:val="TFReferencesSection"/>
        <w:numPr>
          <w:ilvl w:val="0"/>
          <w:numId w:val="11"/>
        </w:numPr>
        <w:spacing w:after="240"/>
        <w:jc w:val="left"/>
      </w:pPr>
      <w:r>
        <w:t xml:space="preserve">Bartling, A. W.; Stone, M. L.; Hanes, R. J.; Bhatt, A.; Zhang, Y.; Biddy, M. J.; Davis, R.; Kruger, J. S.; Thornburg, N. E.; Luterbacher, J. S.; Rinaldi, R.; Samec, J. S. M.; Sels, B. F.; Román-Leshkov, Y.; Beckham, G. T. Techno-Economic Analysis and Life Cycle Assessment of a Biorefinery Utilizing Reductive Catalytic Fractionation. </w:t>
      </w:r>
      <w:r w:rsidRPr="00DD6877">
        <w:rPr>
          <w:i/>
        </w:rPr>
        <w:t>Energy &amp; Environmental Science</w:t>
      </w:r>
      <w:r>
        <w:t xml:space="preserve"> </w:t>
      </w:r>
      <w:r w:rsidRPr="00DD6877">
        <w:rPr>
          <w:b/>
        </w:rPr>
        <w:t>2021</w:t>
      </w:r>
      <w:r>
        <w:t xml:space="preserve">, </w:t>
      </w:r>
      <w:r w:rsidRPr="00DD6877">
        <w:rPr>
          <w:i/>
        </w:rPr>
        <w:t>14 (8)</w:t>
      </w:r>
      <w:r>
        <w:t xml:space="preserve">, 4147–4168. </w:t>
      </w:r>
      <w:hyperlink r:id="rId28" w:history="1">
        <w:r w:rsidR="00312CF4" w:rsidRPr="00D810F5">
          <w:rPr>
            <w:rStyle w:val="Hyperlink"/>
          </w:rPr>
          <w:t>https://doi.org/10.1039/D1EE01642C</w:t>
        </w:r>
      </w:hyperlink>
      <w:r w:rsidR="00C53384">
        <w:t xml:space="preserve"> </w:t>
      </w:r>
    </w:p>
    <w:p w14:paraId="70DC2129" w14:textId="2DB7BA14" w:rsidR="00DD6877" w:rsidRDefault="00DD6877" w:rsidP="00DD6877">
      <w:pPr>
        <w:pStyle w:val="TFReferencesSection"/>
        <w:numPr>
          <w:ilvl w:val="0"/>
          <w:numId w:val="11"/>
        </w:numPr>
        <w:spacing w:after="240"/>
        <w:jc w:val="left"/>
      </w:pPr>
      <w:r>
        <w:t xml:space="preserve">Jindal, M.; Uniyal, P.; Bhaskar, T. </w:t>
      </w:r>
      <w:r w:rsidR="00312CF4">
        <w:t xml:space="preserve">Reductive catalytic fractionation as a novel pretreatment/lignin-first approach for lignocellulosic biomass valorization: A review. </w:t>
      </w:r>
      <w:r w:rsidRPr="00DD6877">
        <w:rPr>
          <w:i/>
        </w:rPr>
        <w:t>Bioresource Technology</w:t>
      </w:r>
      <w:r>
        <w:t xml:space="preserve"> </w:t>
      </w:r>
      <w:r w:rsidRPr="00DD6877">
        <w:rPr>
          <w:b/>
        </w:rPr>
        <w:t>2023</w:t>
      </w:r>
      <w:r w:rsidR="00312CF4">
        <w:t>, 129396</w:t>
      </w:r>
      <w:r>
        <w:t>.</w:t>
      </w:r>
      <w:r w:rsidRPr="00DD6877">
        <w:t xml:space="preserve"> </w:t>
      </w:r>
      <w:hyperlink r:id="rId29" w:history="1">
        <w:r w:rsidRPr="00D810F5">
          <w:rPr>
            <w:rStyle w:val="Hyperlink"/>
          </w:rPr>
          <w:t>https://doi.org/10.1016/j.biortech.2023.129396</w:t>
        </w:r>
      </w:hyperlink>
      <w:r>
        <w:t xml:space="preserve"> </w:t>
      </w:r>
    </w:p>
    <w:p w14:paraId="791B57AB" w14:textId="67F4EF44" w:rsidR="007048E4" w:rsidRDefault="006E42CD" w:rsidP="007048E4">
      <w:pPr>
        <w:pStyle w:val="TFReferencesSection"/>
        <w:numPr>
          <w:ilvl w:val="0"/>
          <w:numId w:val="11"/>
        </w:numPr>
        <w:spacing w:after="240"/>
        <w:jc w:val="left"/>
      </w:pPr>
      <w:r>
        <w:t>Raikwar, D.; Van A., K.; Vangeel, T.; Corderi, S.; Van Aelst, J.; Van den Bosch, S.; Servaes, K.; Vanbroekhoven, K.; Elst, K.; Sels, B. F. Elucidating the effect of the physicochemical properties of organosolv lignin on its solubility and reductive catalytic depolymerisation</w:t>
      </w:r>
      <w:r w:rsidR="007048E4">
        <w:t>.</w:t>
      </w:r>
      <w:r>
        <w:t xml:space="preserve"> </w:t>
      </w:r>
      <w:r w:rsidR="007048E4" w:rsidRPr="007048E4">
        <w:rPr>
          <w:i/>
        </w:rPr>
        <w:t>Chemical Engineering Journal</w:t>
      </w:r>
      <w:r w:rsidR="007048E4">
        <w:t xml:space="preserve">, </w:t>
      </w:r>
      <w:r w:rsidR="007048E4" w:rsidRPr="007048E4">
        <w:rPr>
          <w:b/>
        </w:rPr>
        <w:t>2023</w:t>
      </w:r>
      <w:r>
        <w:t xml:space="preserve">, </w:t>
      </w:r>
      <w:r w:rsidRPr="007048E4">
        <w:rPr>
          <w:i/>
        </w:rPr>
        <w:t>46</w:t>
      </w:r>
      <w:r w:rsidR="007048E4">
        <w:t>1, 141999-142016.</w:t>
      </w:r>
      <w:r w:rsidR="007048E4" w:rsidRPr="007048E4">
        <w:t xml:space="preserve"> </w:t>
      </w:r>
      <w:hyperlink r:id="rId30" w:history="1">
        <w:r w:rsidR="007048E4" w:rsidRPr="00D810F5">
          <w:rPr>
            <w:rStyle w:val="Hyperlink"/>
          </w:rPr>
          <w:t>https://doi.org/10.1016/j.cej.2023.141999</w:t>
        </w:r>
      </w:hyperlink>
      <w:r w:rsidR="007048E4">
        <w:t xml:space="preserve"> </w:t>
      </w:r>
    </w:p>
    <w:p w14:paraId="425673EF" w14:textId="68CB08FE" w:rsidR="00A20C64" w:rsidRPr="007048E4" w:rsidRDefault="007048E4" w:rsidP="00C53384">
      <w:pPr>
        <w:pStyle w:val="TFReferencesSection"/>
        <w:numPr>
          <w:ilvl w:val="0"/>
          <w:numId w:val="11"/>
        </w:numPr>
        <w:spacing w:after="240"/>
        <w:jc w:val="left"/>
      </w:pPr>
      <w:r>
        <w:lastRenderedPageBreak/>
        <w:t xml:space="preserve">Lu, X.; Lagerquist, L.; Eranen, K.; Hemming, J.; Eklund, P.; Estel, L.; Leveneur, S.; Grenman, H. Reductive Catalytic Depolymerization of Semi-industrial Wood-Based Lignin. </w:t>
      </w:r>
      <w:r w:rsidRPr="007048E4">
        <w:rPr>
          <w:i/>
        </w:rPr>
        <w:t>Industrial &amp; Engineering Chemistry Research</w:t>
      </w:r>
      <w:r>
        <w:t xml:space="preserve"> </w:t>
      </w:r>
      <w:r w:rsidRPr="007048E4">
        <w:rPr>
          <w:b/>
        </w:rPr>
        <w:t>2021</w:t>
      </w:r>
      <w:r>
        <w:t xml:space="preserve">, </w:t>
      </w:r>
      <w:r w:rsidRPr="007048E4">
        <w:rPr>
          <w:i/>
        </w:rPr>
        <w:t>60(47)</w:t>
      </w:r>
      <w:r>
        <w:t xml:space="preserve">, 16827-16838. </w:t>
      </w:r>
      <w:hyperlink r:id="rId31" w:history="1">
        <w:r w:rsidR="00C53384" w:rsidRPr="00D810F5">
          <w:rPr>
            <w:rStyle w:val="Hyperlink"/>
          </w:rPr>
          <w:t>https://doi.org/10.1021/acs.iecr.1c03154</w:t>
        </w:r>
      </w:hyperlink>
      <w:r w:rsidR="00C53384">
        <w:rPr>
          <w:highlight w:val="yellow"/>
        </w:rPr>
        <w:t xml:space="preserve"> </w:t>
      </w:r>
    </w:p>
    <w:p w14:paraId="0E6CFD00" w14:textId="56A6167D" w:rsidR="007F6287" w:rsidRDefault="00312CF4" w:rsidP="007F6287">
      <w:pPr>
        <w:pStyle w:val="TFReferencesSection"/>
        <w:numPr>
          <w:ilvl w:val="0"/>
          <w:numId w:val="11"/>
        </w:numPr>
        <w:spacing w:after="240"/>
        <w:jc w:val="left"/>
      </w:pPr>
      <w:r>
        <w:t>Meng, X</w:t>
      </w:r>
      <w:r w:rsidR="007F6287">
        <w:t>.</w:t>
      </w:r>
      <w:r>
        <w:t>; Wang, Y</w:t>
      </w:r>
      <w:r w:rsidR="007F6287">
        <w:t>.</w:t>
      </w:r>
      <w:r>
        <w:t>; Conte, A</w:t>
      </w:r>
      <w:r w:rsidR="007F6287">
        <w:t>.</w:t>
      </w:r>
      <w:r>
        <w:t xml:space="preserve"> J.; Zhang, S</w:t>
      </w:r>
      <w:r w:rsidR="007F6287">
        <w:t>.</w:t>
      </w:r>
      <w:r>
        <w:t>; Ryu, J</w:t>
      </w:r>
      <w:r w:rsidR="007F6287">
        <w:t>.</w:t>
      </w:r>
      <w:r>
        <w:t>; Wie, J</w:t>
      </w:r>
      <w:r w:rsidR="007F6287">
        <w:t>.</w:t>
      </w:r>
      <w:r>
        <w:t xml:space="preserve"> J</w:t>
      </w:r>
      <w:r w:rsidR="007F6287">
        <w:t>.</w:t>
      </w:r>
      <w:r>
        <w:t>; Pu, Y</w:t>
      </w:r>
      <w:r w:rsidR="007F6287">
        <w:t>.</w:t>
      </w:r>
      <w:r>
        <w:t>; Davison, B</w:t>
      </w:r>
      <w:r w:rsidR="007F6287">
        <w:t>.</w:t>
      </w:r>
      <w:r>
        <w:t xml:space="preserve"> H.; Yoo, C</w:t>
      </w:r>
      <w:r w:rsidR="007F6287">
        <w:t>.</w:t>
      </w:r>
      <w:r>
        <w:t xml:space="preserve"> G</w:t>
      </w:r>
      <w:r w:rsidR="007F6287">
        <w:t>.</w:t>
      </w:r>
      <w:r>
        <w:t>; Ragauskas, A</w:t>
      </w:r>
      <w:r w:rsidR="007F6287">
        <w:t>.</w:t>
      </w:r>
      <w:r>
        <w:t xml:space="preserve"> J. Applications of biomass-derived solvents in biomass pretreatment - Strategies, challenges, and prospects. </w:t>
      </w:r>
      <w:r w:rsidRPr="00E05937">
        <w:rPr>
          <w:i/>
        </w:rPr>
        <w:t>Bioresour</w:t>
      </w:r>
      <w:r w:rsidR="00E05937" w:rsidRPr="00E05937">
        <w:rPr>
          <w:i/>
        </w:rPr>
        <w:t>ce Technology</w:t>
      </w:r>
      <w:r w:rsidR="00E05937">
        <w:t xml:space="preserve"> </w:t>
      </w:r>
      <w:r w:rsidR="00E05937" w:rsidRPr="00E05937">
        <w:rPr>
          <w:b/>
        </w:rPr>
        <w:t>2023</w:t>
      </w:r>
      <w:r w:rsidR="00E05937">
        <w:t xml:space="preserve">, </w:t>
      </w:r>
      <w:r w:rsidR="00E05937" w:rsidRPr="00E05937">
        <w:rPr>
          <w:i/>
        </w:rPr>
        <w:t>368</w:t>
      </w:r>
      <w:r w:rsidR="00E05937">
        <w:t>, 128280</w:t>
      </w:r>
      <w:r>
        <w:t>.</w:t>
      </w:r>
      <w:r w:rsidR="007F6287">
        <w:t xml:space="preserve"> </w:t>
      </w:r>
      <w:hyperlink r:id="rId32" w:history="1">
        <w:r w:rsidR="007F6287" w:rsidRPr="00D810F5">
          <w:rPr>
            <w:rStyle w:val="Hyperlink"/>
          </w:rPr>
          <w:t>https://doi.org/10.1016/j.biortech.2022.128280</w:t>
        </w:r>
      </w:hyperlink>
      <w:r w:rsidR="007F6287">
        <w:t xml:space="preserve"> </w:t>
      </w:r>
    </w:p>
    <w:p w14:paraId="1DAF33D8" w14:textId="43A5A8F7" w:rsidR="00307FFA" w:rsidRDefault="00307FFA" w:rsidP="00312CF4">
      <w:pPr>
        <w:pStyle w:val="TFReferencesSection"/>
        <w:numPr>
          <w:ilvl w:val="0"/>
          <w:numId w:val="11"/>
        </w:numPr>
        <w:spacing w:after="240"/>
        <w:jc w:val="left"/>
      </w:pPr>
      <w:r>
        <w:t xml:space="preserve">Nazlı, M.; Karaosmanoğlu, F.; Borand, M. N.; Karaosmano Glu, F. Effects of Organosolv Pretreatment Conditions for Lignocellulosic Biomass in Biorefinery Applications: A Review. </w:t>
      </w:r>
      <w:r w:rsidRPr="007F6287">
        <w:rPr>
          <w:i/>
        </w:rPr>
        <w:t>Journal of Renewable and Sustainable Energy</w:t>
      </w:r>
      <w:r>
        <w:t xml:space="preserve"> </w:t>
      </w:r>
      <w:r w:rsidRPr="007F6287">
        <w:rPr>
          <w:b/>
        </w:rPr>
        <w:t>2018</w:t>
      </w:r>
      <w:r>
        <w:t xml:space="preserve">, </w:t>
      </w:r>
      <w:r w:rsidRPr="007F6287">
        <w:rPr>
          <w:i/>
        </w:rPr>
        <w:t>10 (3)</w:t>
      </w:r>
      <w:r>
        <w:t xml:space="preserve">, 033104. </w:t>
      </w:r>
      <w:hyperlink r:id="rId33" w:history="1">
        <w:r w:rsidR="00312CF4" w:rsidRPr="00D810F5">
          <w:rPr>
            <w:rStyle w:val="Hyperlink"/>
          </w:rPr>
          <w:t>https://doi.org/10.1063/1.5025876</w:t>
        </w:r>
      </w:hyperlink>
      <w:r>
        <w:t>.</w:t>
      </w:r>
    </w:p>
    <w:p w14:paraId="6A8F250C" w14:textId="181211A1" w:rsidR="00312CF4" w:rsidRDefault="00312CF4" w:rsidP="00312CF4">
      <w:pPr>
        <w:pStyle w:val="TFReferencesSection"/>
        <w:numPr>
          <w:ilvl w:val="0"/>
          <w:numId w:val="11"/>
        </w:numPr>
        <w:spacing w:after="240"/>
        <w:jc w:val="left"/>
      </w:pPr>
      <w:r>
        <w:t>Shuai, L.; Amiri, M. T.; Questell-Santiago, Y. M.; Héroguel, F.; Li, Y.; Kim, H.; Meilan, R.; Chapple, C.; Ralph, J.; Luterbacher, J. S. Formaldehyde Stabilization Facilitates Lignin Monomer Production during Biomass D</w:t>
      </w:r>
      <w:r w:rsidR="00E05937">
        <w:t xml:space="preserve">epolymerization. </w:t>
      </w:r>
      <w:r w:rsidR="00E05937" w:rsidRPr="00E05937">
        <w:rPr>
          <w:i/>
        </w:rPr>
        <w:t>Science</w:t>
      </w:r>
      <w:r w:rsidR="00E05937">
        <w:t xml:space="preserve"> </w:t>
      </w:r>
      <w:r w:rsidRPr="00E05937">
        <w:rPr>
          <w:b/>
        </w:rPr>
        <w:t>2016</w:t>
      </w:r>
      <w:r w:rsidR="00E05937">
        <w:t xml:space="preserve">, </w:t>
      </w:r>
      <w:r w:rsidR="00E05937" w:rsidRPr="00E05937">
        <w:rPr>
          <w:i/>
        </w:rPr>
        <w:t>354</w:t>
      </w:r>
      <w:r w:rsidRPr="00E05937">
        <w:rPr>
          <w:i/>
        </w:rPr>
        <w:t>(6310)</w:t>
      </w:r>
      <w:r>
        <w:t xml:space="preserve">, 329–333. </w:t>
      </w:r>
      <w:hyperlink r:id="rId34" w:history="1">
        <w:r w:rsidR="007F6287" w:rsidRPr="00D810F5">
          <w:rPr>
            <w:rStyle w:val="Hyperlink"/>
          </w:rPr>
          <w:t>https://doi.org/10.1126/SCIENCE.AAF7810</w:t>
        </w:r>
      </w:hyperlink>
      <w:r w:rsidR="007F6287">
        <w:t xml:space="preserve"> </w:t>
      </w:r>
    </w:p>
    <w:p w14:paraId="33D583F8" w14:textId="288BA18A" w:rsidR="00A20C64" w:rsidRDefault="007F6287" w:rsidP="007F6287">
      <w:pPr>
        <w:pStyle w:val="TFReferencesSection"/>
        <w:numPr>
          <w:ilvl w:val="0"/>
          <w:numId w:val="11"/>
        </w:numPr>
        <w:spacing w:after="240"/>
        <w:jc w:val="left"/>
      </w:pPr>
      <w:r>
        <w:t xml:space="preserve">Yong, K. J.; Wu, T. Y. </w:t>
      </w:r>
      <w:r w:rsidR="00312CF4">
        <w:t>Recent advances in the application of alcohols in extracting lignin with preserved β-O-4 content from lignocellulosic biomass</w:t>
      </w:r>
      <w:r>
        <w:t xml:space="preserve">. </w:t>
      </w:r>
      <w:r w:rsidR="00312CF4" w:rsidRPr="007F6287">
        <w:rPr>
          <w:i/>
        </w:rPr>
        <w:t>Bioresource Technology</w:t>
      </w:r>
      <w:r>
        <w:t xml:space="preserve"> </w:t>
      </w:r>
      <w:r w:rsidRPr="007F6287">
        <w:rPr>
          <w:b/>
        </w:rPr>
        <w:t>2023</w:t>
      </w:r>
      <w:r w:rsidR="00312CF4">
        <w:t xml:space="preserve">, </w:t>
      </w:r>
      <w:r w:rsidR="00312CF4" w:rsidRPr="007F6287">
        <w:rPr>
          <w:i/>
        </w:rPr>
        <w:t>384</w:t>
      </w:r>
      <w:r w:rsidR="00312CF4">
        <w:t>, 129238</w:t>
      </w:r>
      <w:r>
        <w:t xml:space="preserve">. </w:t>
      </w:r>
      <w:hyperlink r:id="rId35" w:history="1">
        <w:r w:rsidRPr="00D810F5">
          <w:rPr>
            <w:rStyle w:val="Hyperlink"/>
          </w:rPr>
          <w:t>https://doi.org/10.1016/j.biortech.2023.129238</w:t>
        </w:r>
      </w:hyperlink>
      <w:r>
        <w:t xml:space="preserve"> </w:t>
      </w:r>
    </w:p>
    <w:p w14:paraId="3FCC7541" w14:textId="15F97353" w:rsidR="00A20C64" w:rsidRDefault="00307FFA" w:rsidP="00A20C64">
      <w:pPr>
        <w:pStyle w:val="TFReferencesSection"/>
        <w:numPr>
          <w:ilvl w:val="0"/>
          <w:numId w:val="11"/>
        </w:numPr>
        <w:spacing w:after="240"/>
        <w:jc w:val="left"/>
      </w:pPr>
      <w:r>
        <w:t xml:space="preserve">vom Stein, T.; Grande, P. M.; Kayser, H.; Sibilla, F.; Leitner, W.; Domínguez de María, P. From Biomass to Feedstock: One-Step Fractionation of Lignocellulose Components by </w:t>
      </w:r>
      <w:r>
        <w:lastRenderedPageBreak/>
        <w:t xml:space="preserve">the Selective Organic Acid-Catalyzed Depolymerization of Hemicellulose in a Biphasic System. </w:t>
      </w:r>
      <w:r w:rsidRPr="007F6287">
        <w:rPr>
          <w:i/>
        </w:rPr>
        <w:t>Green Chemistry</w:t>
      </w:r>
      <w:r>
        <w:t xml:space="preserve"> </w:t>
      </w:r>
      <w:r w:rsidRPr="007F6287">
        <w:rPr>
          <w:b/>
        </w:rPr>
        <w:t>2011</w:t>
      </w:r>
      <w:r>
        <w:t xml:space="preserve">, </w:t>
      </w:r>
      <w:r w:rsidRPr="007F6287">
        <w:rPr>
          <w:i/>
        </w:rPr>
        <w:t>13 (7)</w:t>
      </w:r>
      <w:r>
        <w:t xml:space="preserve">, 1772–1777. </w:t>
      </w:r>
      <w:hyperlink r:id="rId36" w:history="1">
        <w:r w:rsidR="00A20C64" w:rsidRPr="00D810F5">
          <w:rPr>
            <w:rStyle w:val="Hyperlink"/>
          </w:rPr>
          <w:t>https://doi.org/10.1039/C1GC00002K</w:t>
        </w:r>
      </w:hyperlink>
      <w:r w:rsidR="007F6287">
        <w:t xml:space="preserve"> </w:t>
      </w:r>
    </w:p>
    <w:p w14:paraId="628A5043" w14:textId="3FEEF2B3" w:rsidR="00307FFA" w:rsidRDefault="00307FFA" w:rsidP="00A20C64">
      <w:pPr>
        <w:pStyle w:val="TFReferencesSection"/>
        <w:numPr>
          <w:ilvl w:val="0"/>
          <w:numId w:val="11"/>
        </w:numPr>
        <w:spacing w:after="240"/>
        <w:jc w:val="left"/>
      </w:pPr>
      <w:r>
        <w:t xml:space="preserve">Grande, P. M.; Viell, J.; Theyssen, N.; Marquardt, W.; Domínguez De María, P.; Leitner, W. Fractionation of Lignocellulosic Biomass Using the OrganoCat Process. </w:t>
      </w:r>
      <w:r w:rsidRPr="007F6287">
        <w:rPr>
          <w:i/>
        </w:rPr>
        <w:t>Green Chemistry</w:t>
      </w:r>
      <w:r>
        <w:t xml:space="preserve"> </w:t>
      </w:r>
      <w:r w:rsidRPr="007F6287">
        <w:rPr>
          <w:b/>
        </w:rPr>
        <w:t>2015</w:t>
      </w:r>
      <w:r>
        <w:t xml:space="preserve">, </w:t>
      </w:r>
      <w:r w:rsidRPr="007F6287">
        <w:rPr>
          <w:i/>
        </w:rPr>
        <w:t>17 (6)</w:t>
      </w:r>
      <w:r>
        <w:t xml:space="preserve">, 3533–3539. </w:t>
      </w:r>
      <w:hyperlink r:id="rId37" w:history="1">
        <w:r w:rsidR="00A20C64" w:rsidRPr="00D810F5">
          <w:rPr>
            <w:rStyle w:val="Hyperlink"/>
          </w:rPr>
          <w:t>https://doi.org/10.1039/C4GC02534B</w:t>
        </w:r>
      </w:hyperlink>
      <w:r w:rsidR="007F6287">
        <w:t xml:space="preserve"> </w:t>
      </w:r>
    </w:p>
    <w:p w14:paraId="1F662DD3" w14:textId="3C8C15A7" w:rsidR="00A20C64" w:rsidRDefault="00A20C64" w:rsidP="00A20C64">
      <w:pPr>
        <w:pStyle w:val="TFReferencesSection"/>
        <w:numPr>
          <w:ilvl w:val="0"/>
          <w:numId w:val="11"/>
        </w:numPr>
        <w:spacing w:after="240"/>
        <w:jc w:val="left"/>
      </w:pPr>
      <w:r>
        <w:t xml:space="preserve">Sun, Z.; Fridrich, B.; Santi, A. de; Elangovan, S.; Barta, K. Bright Side of Lignin Depolymerization: Toward New Platform Chemicals. </w:t>
      </w:r>
      <w:r w:rsidRPr="007F6287">
        <w:rPr>
          <w:i/>
        </w:rPr>
        <w:t>Chem. Rev.</w:t>
      </w:r>
      <w:r>
        <w:t xml:space="preserve"> </w:t>
      </w:r>
      <w:r w:rsidRPr="007F6287">
        <w:rPr>
          <w:b/>
        </w:rPr>
        <w:t>2018</w:t>
      </w:r>
      <w:r>
        <w:t xml:space="preserve">, </w:t>
      </w:r>
      <w:r w:rsidRPr="007F6287">
        <w:rPr>
          <w:i/>
        </w:rPr>
        <w:t>118</w:t>
      </w:r>
      <w:r>
        <w:t xml:space="preserve">, 614–678. </w:t>
      </w:r>
      <w:hyperlink r:id="rId38" w:history="1">
        <w:r w:rsidRPr="00D810F5">
          <w:rPr>
            <w:rStyle w:val="Hyperlink"/>
          </w:rPr>
          <w:t>https://doi.org/10.1021/acs.chemrev.7b00588</w:t>
        </w:r>
      </w:hyperlink>
      <w:r w:rsidR="007F6287">
        <w:t xml:space="preserve"> </w:t>
      </w:r>
    </w:p>
    <w:p w14:paraId="33D93BA4" w14:textId="4C8D621E" w:rsidR="00A20C64" w:rsidRDefault="00A20C64" w:rsidP="00A20C64">
      <w:pPr>
        <w:pStyle w:val="TFReferencesSection"/>
        <w:numPr>
          <w:ilvl w:val="0"/>
          <w:numId w:val="11"/>
        </w:numPr>
        <w:spacing w:after="240"/>
        <w:jc w:val="left"/>
      </w:pPr>
      <w:r>
        <w:t xml:space="preserve">Deuss, P. J.; Lahive, C. W.; Lancefield, C. S.; Westwood, N. J.; Kamer, P. C. J.; Barta, K.; de Vries, J. G. Metal Triflates for the Production of Aromatics from Lignin. </w:t>
      </w:r>
      <w:r w:rsidRPr="007F6287">
        <w:rPr>
          <w:i/>
        </w:rPr>
        <w:t>ChemSusChem</w:t>
      </w:r>
      <w:r>
        <w:t xml:space="preserve"> </w:t>
      </w:r>
      <w:r w:rsidRPr="007F6287">
        <w:rPr>
          <w:b/>
        </w:rPr>
        <w:t>2016</w:t>
      </w:r>
      <w:r>
        <w:t xml:space="preserve">, </w:t>
      </w:r>
      <w:r w:rsidRPr="007F6287">
        <w:rPr>
          <w:i/>
        </w:rPr>
        <w:t>9 (20)</w:t>
      </w:r>
      <w:r>
        <w:t xml:space="preserve">, 2974–2981. </w:t>
      </w:r>
      <w:hyperlink r:id="rId39" w:history="1">
        <w:r w:rsidRPr="00D810F5">
          <w:rPr>
            <w:rStyle w:val="Hyperlink"/>
          </w:rPr>
          <w:t>https://doi.org/10.1002/CSSC.201600831</w:t>
        </w:r>
      </w:hyperlink>
      <w:r w:rsidR="007F6287">
        <w:t xml:space="preserve"> </w:t>
      </w:r>
    </w:p>
    <w:p w14:paraId="2B3032D8" w14:textId="1ABE67C7" w:rsidR="00A20C64" w:rsidRDefault="00307FFA" w:rsidP="00A20C64">
      <w:pPr>
        <w:pStyle w:val="TFReferencesSection"/>
        <w:numPr>
          <w:ilvl w:val="0"/>
          <w:numId w:val="11"/>
        </w:numPr>
        <w:spacing w:after="240"/>
        <w:jc w:val="left"/>
      </w:pPr>
      <w:r>
        <w:t xml:space="preserve">Lawoko, M.; Berglund, L.; Johansson, M. Lignin as a Renewable Substrate for Polymers: From Molecular Understanding and Isolation to Targeted Applications. </w:t>
      </w:r>
      <w:r w:rsidRPr="007F6287">
        <w:rPr>
          <w:i/>
        </w:rPr>
        <w:t>ACS Sustainable Chemistry &amp; Engineering</w:t>
      </w:r>
      <w:r>
        <w:t xml:space="preserve"> </w:t>
      </w:r>
      <w:r w:rsidRPr="007F6287">
        <w:rPr>
          <w:b/>
        </w:rPr>
        <w:t>2021</w:t>
      </w:r>
      <w:r>
        <w:t xml:space="preserve">, </w:t>
      </w:r>
      <w:r w:rsidRPr="007F6287">
        <w:rPr>
          <w:i/>
        </w:rPr>
        <w:t>9 (16)</w:t>
      </w:r>
      <w:r>
        <w:t xml:space="preserve">, 5481–5485. </w:t>
      </w:r>
      <w:hyperlink r:id="rId40" w:history="1">
        <w:r w:rsidR="00A20C64" w:rsidRPr="00D810F5">
          <w:rPr>
            <w:rStyle w:val="Hyperlink"/>
          </w:rPr>
          <w:t>https://doi.org/10.1021/ACSSUSCHEMENG.1C01741</w:t>
        </w:r>
      </w:hyperlink>
      <w:r w:rsidR="007F6287">
        <w:t xml:space="preserve"> </w:t>
      </w:r>
    </w:p>
    <w:p w14:paraId="24E34C4A" w14:textId="2C093D26" w:rsidR="00A20C64" w:rsidRDefault="00307FFA" w:rsidP="00A20C64">
      <w:pPr>
        <w:pStyle w:val="TFReferencesSection"/>
        <w:numPr>
          <w:ilvl w:val="0"/>
          <w:numId w:val="11"/>
        </w:numPr>
        <w:spacing w:after="240"/>
        <w:jc w:val="left"/>
      </w:pPr>
      <w:r>
        <w:t xml:space="preserve">Zhao, S.; Abu-Omar, M. M. Materials Based on Technical Bulk Lignin. </w:t>
      </w:r>
      <w:r w:rsidRPr="007F6287">
        <w:rPr>
          <w:i/>
        </w:rPr>
        <w:t>ACS Sustainable Chemistry and Engineering</w:t>
      </w:r>
      <w:r>
        <w:t xml:space="preserve"> </w:t>
      </w:r>
      <w:r w:rsidRPr="007F6287">
        <w:rPr>
          <w:b/>
        </w:rPr>
        <w:t>2021</w:t>
      </w:r>
      <w:r>
        <w:t xml:space="preserve">, </w:t>
      </w:r>
      <w:r w:rsidRPr="007F6287">
        <w:rPr>
          <w:i/>
        </w:rPr>
        <w:t>9 (4)</w:t>
      </w:r>
      <w:r>
        <w:t xml:space="preserve">, 1477–1493. </w:t>
      </w:r>
      <w:hyperlink r:id="rId41" w:history="1">
        <w:r w:rsidR="00A20C64" w:rsidRPr="00D810F5">
          <w:rPr>
            <w:rStyle w:val="Hyperlink"/>
          </w:rPr>
          <w:t>https://doi.org/10.1021/ACSSUSCHEMENG.0C08882</w:t>
        </w:r>
      </w:hyperlink>
      <w:r w:rsidR="007F6287">
        <w:t xml:space="preserve"> </w:t>
      </w:r>
    </w:p>
    <w:p w14:paraId="2D5C8829" w14:textId="161571A2" w:rsidR="00601EDC" w:rsidRDefault="00307FFA" w:rsidP="00601EDC">
      <w:pPr>
        <w:pStyle w:val="TFReferencesSection"/>
        <w:numPr>
          <w:ilvl w:val="0"/>
          <w:numId w:val="11"/>
        </w:numPr>
        <w:spacing w:after="240"/>
        <w:jc w:val="left"/>
      </w:pPr>
      <w:r>
        <w:lastRenderedPageBreak/>
        <w:t xml:space="preserve">Bertella, S.; Luterbacher, J. S. Lignin Functionalization for the Production of Novel Materials. </w:t>
      </w:r>
      <w:r w:rsidRPr="007F6287">
        <w:rPr>
          <w:i/>
        </w:rPr>
        <w:t>Trends in Chemistry</w:t>
      </w:r>
      <w:r>
        <w:t xml:space="preserve"> </w:t>
      </w:r>
      <w:r w:rsidRPr="007F6287">
        <w:rPr>
          <w:b/>
        </w:rPr>
        <w:t>2020</w:t>
      </w:r>
      <w:r>
        <w:t xml:space="preserve">, </w:t>
      </w:r>
      <w:r w:rsidRPr="007F6287">
        <w:rPr>
          <w:i/>
        </w:rPr>
        <w:t>2 (5)</w:t>
      </w:r>
      <w:r>
        <w:t xml:space="preserve">, 440–453. </w:t>
      </w:r>
      <w:hyperlink r:id="rId42" w:history="1">
        <w:r w:rsidR="00601EDC" w:rsidRPr="00D810F5">
          <w:rPr>
            <w:rStyle w:val="Hyperlink"/>
          </w:rPr>
          <w:t>https://doi.org/10.1016/J.TRECHM.2020.03.001</w:t>
        </w:r>
      </w:hyperlink>
      <w:r w:rsidR="007F6287">
        <w:t xml:space="preserve"> </w:t>
      </w:r>
    </w:p>
    <w:p w14:paraId="433A60FD" w14:textId="3C5FA25F" w:rsidR="00601EDC" w:rsidRDefault="00307FFA" w:rsidP="00601EDC">
      <w:pPr>
        <w:pStyle w:val="TFReferencesSection"/>
        <w:numPr>
          <w:ilvl w:val="0"/>
          <w:numId w:val="11"/>
        </w:numPr>
        <w:spacing w:after="240"/>
        <w:jc w:val="left"/>
      </w:pPr>
      <w:r>
        <w:t xml:space="preserve">Zhang, Y. M.; Zhao, Q.; Li, L.; Yan, R.; Zhang, J.; Duan, J. C.; Liu, B. J.; Sun, Z. Y.; Zhang, M. Y.; Hu, W.; Zhang, N. N. Synthesis of a Lignin-Based Phosphorus-Containing Flame Retardant and Its Application in Polyurethane. </w:t>
      </w:r>
      <w:r w:rsidRPr="007F6287">
        <w:rPr>
          <w:i/>
        </w:rPr>
        <w:t>RSC Advances</w:t>
      </w:r>
      <w:r>
        <w:t xml:space="preserve"> </w:t>
      </w:r>
      <w:r w:rsidRPr="007F6287">
        <w:rPr>
          <w:b/>
        </w:rPr>
        <w:t>2018</w:t>
      </w:r>
      <w:r>
        <w:t xml:space="preserve">, </w:t>
      </w:r>
      <w:r w:rsidRPr="007F6287">
        <w:rPr>
          <w:i/>
        </w:rPr>
        <w:t>8 (56)</w:t>
      </w:r>
      <w:r>
        <w:t xml:space="preserve">, 32252–32261. </w:t>
      </w:r>
      <w:hyperlink r:id="rId43" w:history="1">
        <w:r w:rsidR="00601EDC" w:rsidRPr="00D810F5">
          <w:rPr>
            <w:rStyle w:val="Hyperlink"/>
          </w:rPr>
          <w:t>https://doi.org/10.1039/C8RA05598J</w:t>
        </w:r>
      </w:hyperlink>
      <w:r w:rsidR="007F6287">
        <w:t xml:space="preserve"> </w:t>
      </w:r>
    </w:p>
    <w:p w14:paraId="60AF9A40" w14:textId="3D9C54B3" w:rsidR="00307FFA" w:rsidRDefault="00307FFA" w:rsidP="00601EDC">
      <w:pPr>
        <w:pStyle w:val="TFReferencesSection"/>
        <w:numPr>
          <w:ilvl w:val="0"/>
          <w:numId w:val="11"/>
        </w:numPr>
        <w:spacing w:after="240"/>
        <w:jc w:val="left"/>
      </w:pPr>
      <w:r>
        <w:t xml:space="preserve">Lu, X.; Yu, M.; Wang, D.; Xiu, P.; Xu, C.; Lee, A. F.; Gu, X. Flame-Retardant Effect of a Functional DOPO-Based Compound on Lignin-Based Epoxy Resins. </w:t>
      </w:r>
      <w:r w:rsidRPr="007F6287">
        <w:rPr>
          <w:i/>
        </w:rPr>
        <w:t>Materials Today Chemistry</w:t>
      </w:r>
      <w:r>
        <w:t xml:space="preserve"> </w:t>
      </w:r>
      <w:r w:rsidRPr="007F6287">
        <w:rPr>
          <w:b/>
        </w:rPr>
        <w:t>2021</w:t>
      </w:r>
      <w:r>
        <w:t xml:space="preserve">, </w:t>
      </w:r>
      <w:r w:rsidRPr="007F6287">
        <w:rPr>
          <w:i/>
        </w:rPr>
        <w:t>22</w:t>
      </w:r>
      <w:r>
        <w:t xml:space="preserve">, 100562. </w:t>
      </w:r>
      <w:hyperlink r:id="rId44" w:history="1">
        <w:r w:rsidR="00601EDC" w:rsidRPr="00D810F5">
          <w:rPr>
            <w:rStyle w:val="Hyperlink"/>
          </w:rPr>
          <w:t>https://doi.org/10.1016/J.MTCHEM.2021.100562</w:t>
        </w:r>
      </w:hyperlink>
      <w:r w:rsidR="007F6287">
        <w:t xml:space="preserve"> </w:t>
      </w:r>
    </w:p>
    <w:p w14:paraId="75B41713" w14:textId="770F6AA0" w:rsidR="00601EDC" w:rsidRDefault="00601EDC" w:rsidP="00601EDC">
      <w:pPr>
        <w:pStyle w:val="TFReferencesSection"/>
        <w:numPr>
          <w:ilvl w:val="0"/>
          <w:numId w:val="11"/>
        </w:numPr>
        <w:spacing w:after="240"/>
        <w:jc w:val="left"/>
      </w:pPr>
      <w:r w:rsidRPr="003A470F">
        <w:t>Salmeia, K.</w:t>
      </w:r>
      <w:r w:rsidRPr="00D7214D">
        <w:t xml:space="preserve"> A.;</w:t>
      </w:r>
      <w:r w:rsidRPr="003A470F">
        <w:t xml:space="preserve"> Gaan</w:t>
      </w:r>
      <w:r w:rsidRPr="00D7214D">
        <w:t xml:space="preserve">, S. </w:t>
      </w:r>
      <w:r w:rsidRPr="003A470F">
        <w:t>An overview of some recent advances in DOPO-derivatives: Chemistry and flame retardant applications</w:t>
      </w:r>
      <w:r>
        <w:t xml:space="preserve">. </w:t>
      </w:r>
      <w:r w:rsidRPr="007F6287">
        <w:rPr>
          <w:i/>
        </w:rPr>
        <w:t>Polymer Degradation and Stability</w:t>
      </w:r>
      <w:r>
        <w:t xml:space="preserve"> </w:t>
      </w:r>
      <w:r w:rsidRPr="007F6287">
        <w:rPr>
          <w:b/>
        </w:rPr>
        <w:t>2015</w:t>
      </w:r>
      <w:r>
        <w:t>,</w:t>
      </w:r>
      <w:r w:rsidRPr="00686056">
        <w:t xml:space="preserve"> </w:t>
      </w:r>
      <w:r w:rsidRPr="007F6287">
        <w:rPr>
          <w:i/>
        </w:rPr>
        <w:t>113</w:t>
      </w:r>
      <w:r>
        <w:t xml:space="preserve">, </w:t>
      </w:r>
      <w:r w:rsidRPr="00686056">
        <w:t>119</w:t>
      </w:r>
      <w:r>
        <w:t>-</w:t>
      </w:r>
      <w:r w:rsidRPr="00686056">
        <w:t>134</w:t>
      </w:r>
      <w:r>
        <w:t xml:space="preserve">. </w:t>
      </w:r>
      <w:hyperlink r:id="rId45" w:history="1">
        <w:r w:rsidRPr="00AE09AC">
          <w:rPr>
            <w:rStyle w:val="Hyperlink"/>
          </w:rPr>
          <w:t>http://dx.doi.org/10.1016/j.polymdegradstab.2014.12.014</w:t>
        </w:r>
      </w:hyperlink>
      <w:r w:rsidR="007F6287">
        <w:t xml:space="preserve"> </w:t>
      </w:r>
    </w:p>
    <w:p w14:paraId="655AFA38" w14:textId="75FDD1F5" w:rsidR="00601EDC" w:rsidRDefault="00307FFA" w:rsidP="00D66066">
      <w:pPr>
        <w:pStyle w:val="TFReferencesSection"/>
        <w:numPr>
          <w:ilvl w:val="0"/>
          <w:numId w:val="11"/>
        </w:numPr>
        <w:spacing w:after="240"/>
        <w:jc w:val="left"/>
      </w:pPr>
      <w:r>
        <w:t xml:space="preserve">Massaya, J.; Chan, K. H.; Mills-Lamptey, B.; Chuck, C. J. Developing a Biorefinery from Spent Coffee Grounds Using Subcritical Water and Hydrothermal Carbonisation. </w:t>
      </w:r>
      <w:r w:rsidRPr="007F6287">
        <w:rPr>
          <w:i/>
        </w:rPr>
        <w:t>Biomass Conversion and Biorefinery</w:t>
      </w:r>
      <w:r>
        <w:t xml:space="preserve"> </w:t>
      </w:r>
      <w:r w:rsidRPr="007F6287">
        <w:rPr>
          <w:b/>
        </w:rPr>
        <w:t>2021</w:t>
      </w:r>
      <w:r>
        <w:t xml:space="preserve">, </w:t>
      </w:r>
      <w:r w:rsidR="00D66066" w:rsidRPr="00D66066">
        <w:rPr>
          <w:i/>
        </w:rPr>
        <w:t>13</w:t>
      </w:r>
      <w:r w:rsidR="00D66066">
        <w:t xml:space="preserve">, </w:t>
      </w:r>
      <w:r w:rsidR="00D66066" w:rsidRPr="00D66066">
        <w:t>1279–1295</w:t>
      </w:r>
      <w:r>
        <w:t xml:space="preserve">. </w:t>
      </w:r>
      <w:hyperlink r:id="rId46" w:history="1">
        <w:r w:rsidR="00601EDC" w:rsidRPr="00D810F5">
          <w:rPr>
            <w:rStyle w:val="Hyperlink"/>
          </w:rPr>
          <w:t>https://doi.org/10.1007/S13399-020-01231-W</w:t>
        </w:r>
      </w:hyperlink>
      <w:r w:rsidR="00D66066">
        <w:t xml:space="preserve"> </w:t>
      </w:r>
    </w:p>
    <w:p w14:paraId="5D6051A7" w14:textId="025D8826" w:rsidR="00601EDC" w:rsidRDefault="00307FFA" w:rsidP="00D66066">
      <w:pPr>
        <w:pStyle w:val="TFReferencesSection"/>
        <w:numPr>
          <w:ilvl w:val="0"/>
          <w:numId w:val="11"/>
        </w:numPr>
        <w:spacing w:after="240"/>
        <w:jc w:val="left"/>
      </w:pPr>
      <w:r>
        <w:t xml:space="preserve">Offei, F.; Koranteng, L. D.; Kemausuor, F. Integrated Bioethanol and Briquette Recovery from Rice Husk: A Biorefinery Analysis. </w:t>
      </w:r>
      <w:r w:rsidRPr="00D66066">
        <w:rPr>
          <w:i/>
        </w:rPr>
        <w:t>Biomass Conversion and Biorefinery</w:t>
      </w:r>
      <w:r>
        <w:t xml:space="preserve"> </w:t>
      </w:r>
      <w:r w:rsidRPr="00D66066">
        <w:rPr>
          <w:b/>
        </w:rPr>
        <w:t>202</w:t>
      </w:r>
      <w:r w:rsidR="00D66066">
        <w:rPr>
          <w:b/>
        </w:rPr>
        <w:t>3</w:t>
      </w:r>
      <w:r>
        <w:t xml:space="preserve">, </w:t>
      </w:r>
      <w:r w:rsidR="00D66066" w:rsidRPr="00D66066">
        <w:rPr>
          <w:i/>
        </w:rPr>
        <w:t>13</w:t>
      </w:r>
      <w:r w:rsidR="00D66066">
        <w:t xml:space="preserve">, </w:t>
      </w:r>
      <w:r w:rsidR="00D66066" w:rsidRPr="00D66066">
        <w:t>7645–7661</w:t>
      </w:r>
      <w:r w:rsidR="00D66066">
        <w:t>1</w:t>
      </w:r>
      <w:r>
        <w:t xml:space="preserve">. </w:t>
      </w:r>
      <w:hyperlink r:id="rId47" w:history="1">
        <w:r w:rsidR="00601EDC" w:rsidRPr="00D810F5">
          <w:rPr>
            <w:rStyle w:val="Hyperlink"/>
          </w:rPr>
          <w:t>https://doi.org/10.1007/S13399-021-01731-3</w:t>
        </w:r>
      </w:hyperlink>
      <w:r w:rsidR="00D66066">
        <w:t xml:space="preserve"> </w:t>
      </w:r>
    </w:p>
    <w:p w14:paraId="0893024C" w14:textId="57D1285F" w:rsidR="00307FFA" w:rsidRDefault="00307FFA" w:rsidP="00601EDC">
      <w:pPr>
        <w:pStyle w:val="TFReferencesSection"/>
        <w:numPr>
          <w:ilvl w:val="0"/>
          <w:numId w:val="11"/>
        </w:numPr>
        <w:spacing w:after="240"/>
        <w:jc w:val="left"/>
      </w:pPr>
      <w:r>
        <w:lastRenderedPageBreak/>
        <w:t xml:space="preserve">Talekar, S.; Patti, A. F.; Vijayraghavan, R.; Arora, A. An Integrated Green Biorefinery Approach towards Simultaneous Recovery of Pectin and Polyphenols Coupled with Bioethanol Production from Waste Pomegranate Peels. </w:t>
      </w:r>
      <w:r w:rsidRPr="00D66066">
        <w:rPr>
          <w:i/>
        </w:rPr>
        <w:t>Bioresource Technology</w:t>
      </w:r>
      <w:r>
        <w:t xml:space="preserve"> </w:t>
      </w:r>
      <w:r w:rsidRPr="00D66066">
        <w:rPr>
          <w:b/>
        </w:rPr>
        <w:t>2018</w:t>
      </w:r>
      <w:r>
        <w:t xml:space="preserve">, </w:t>
      </w:r>
      <w:r w:rsidRPr="00D66066">
        <w:rPr>
          <w:i/>
        </w:rPr>
        <w:t>266</w:t>
      </w:r>
      <w:r>
        <w:t xml:space="preserve">, 322–334. </w:t>
      </w:r>
      <w:hyperlink r:id="rId48" w:history="1">
        <w:r w:rsidR="00601EDC" w:rsidRPr="00D810F5">
          <w:rPr>
            <w:rStyle w:val="Hyperlink"/>
          </w:rPr>
          <w:t>https://doi.org/10.1016/J.BIORTECH.2018.06.072</w:t>
        </w:r>
      </w:hyperlink>
      <w:r w:rsidR="00D66066">
        <w:t xml:space="preserve"> </w:t>
      </w:r>
    </w:p>
    <w:p w14:paraId="5288CE18" w14:textId="1F232CDE" w:rsidR="00E67FEC" w:rsidRDefault="00601EDC" w:rsidP="00E05937">
      <w:pPr>
        <w:pStyle w:val="TFReferencesSection"/>
        <w:numPr>
          <w:ilvl w:val="0"/>
          <w:numId w:val="11"/>
        </w:numPr>
        <w:spacing w:after="240"/>
        <w:jc w:val="left"/>
      </w:pPr>
      <w:r w:rsidRPr="0052466A">
        <w:t>ICCO Quarterly Bulletin of Cocoa Statistics, Vol. XLIX, No.2, Cocoa year 2022/23</w:t>
      </w:r>
      <w:r>
        <w:t xml:space="preserve"> </w:t>
      </w:r>
      <w:hyperlink r:id="rId49" w:history="1">
        <w:r w:rsidR="00E05937" w:rsidRPr="00D810F5">
          <w:rPr>
            <w:rStyle w:val="Hyperlink"/>
          </w:rPr>
          <w:t>https://www.icco.org/may-2023-quarterly-bulletin-of-cocoa-statistics/</w:t>
        </w:r>
      </w:hyperlink>
      <w:r w:rsidR="00E05937">
        <w:t xml:space="preserve"> </w:t>
      </w:r>
    </w:p>
    <w:p w14:paraId="2360C34B" w14:textId="60859176" w:rsidR="00E67FEC" w:rsidRPr="003873BB" w:rsidRDefault="00307FFA" w:rsidP="00E67FEC">
      <w:pPr>
        <w:pStyle w:val="TFReferencesSection"/>
        <w:numPr>
          <w:ilvl w:val="0"/>
          <w:numId w:val="11"/>
        </w:numPr>
        <w:spacing w:after="240"/>
        <w:jc w:val="left"/>
      </w:pPr>
      <w:r>
        <w:t xml:space="preserve">Picchioni, F.; Warren, G. P.; Lambert, S.; Balcombe, K.; Robinson, J. S.; Srinivasan, C.; Gomez, L. D.; Faas, L.; Westwood, N. J.; Chatzifragkou, A.; Charalampopoulos, D.; Shaw, L. J. Valorisation of Natural Resources and the Need for Economic and Sustainability Assessment: The Case of Cocoa Pod Husk in Indonesia. </w:t>
      </w:r>
      <w:r w:rsidRPr="00D66066">
        <w:rPr>
          <w:i/>
        </w:rPr>
        <w:t>Sustainability</w:t>
      </w:r>
      <w:r>
        <w:t xml:space="preserve"> </w:t>
      </w:r>
      <w:r w:rsidRPr="003873BB">
        <w:rPr>
          <w:b/>
        </w:rPr>
        <w:t>2020</w:t>
      </w:r>
      <w:r w:rsidRPr="003873BB">
        <w:t xml:space="preserve">, </w:t>
      </w:r>
      <w:r w:rsidRPr="003873BB">
        <w:rPr>
          <w:i/>
        </w:rPr>
        <w:t>12</w:t>
      </w:r>
      <w:r w:rsidRPr="003873BB">
        <w:t xml:space="preserve">, 8962. </w:t>
      </w:r>
      <w:hyperlink r:id="rId50" w:history="1">
        <w:r w:rsidR="00E67FEC" w:rsidRPr="003873BB">
          <w:rPr>
            <w:rStyle w:val="Hyperlink"/>
          </w:rPr>
          <w:t>https://doi.org/10.3390/SU12218962</w:t>
        </w:r>
      </w:hyperlink>
      <w:r w:rsidR="00D66066" w:rsidRPr="003873BB">
        <w:t xml:space="preserve"> </w:t>
      </w:r>
    </w:p>
    <w:p w14:paraId="4AD2EBA0" w14:textId="03ECAA2A" w:rsidR="00307FFA" w:rsidRPr="003873BB" w:rsidRDefault="00375FBE" w:rsidP="003127F3">
      <w:pPr>
        <w:pStyle w:val="TFReferencesSection"/>
        <w:numPr>
          <w:ilvl w:val="0"/>
          <w:numId w:val="11"/>
        </w:numPr>
        <w:spacing w:after="240"/>
        <w:jc w:val="left"/>
      </w:pPr>
      <w:r w:rsidRPr="003873BB">
        <w:t>Campos-Vega</w:t>
      </w:r>
      <w:r w:rsidR="0087432F" w:rsidRPr="003873BB">
        <w:t>, R.;</w:t>
      </w:r>
      <w:r w:rsidRPr="003873BB">
        <w:t xml:space="preserve"> Nieto-Figueroa</w:t>
      </w:r>
      <w:r w:rsidR="0087432F" w:rsidRPr="003873BB">
        <w:t xml:space="preserve">, K. H.; </w:t>
      </w:r>
      <w:r w:rsidRPr="003873BB">
        <w:t>Oomah</w:t>
      </w:r>
      <w:r w:rsidR="0087432F" w:rsidRPr="003873BB">
        <w:t xml:space="preserve">, B. D.; </w:t>
      </w:r>
      <w:r w:rsidR="00D627DF" w:rsidRPr="003873BB">
        <w:t>Cocoa (</w:t>
      </w:r>
      <w:r w:rsidR="00D627DF" w:rsidRPr="003873BB">
        <w:rPr>
          <w:i/>
          <w:iCs/>
        </w:rPr>
        <w:t>Theobroma cacao</w:t>
      </w:r>
      <w:r w:rsidR="00D627DF" w:rsidRPr="003873BB">
        <w:t xml:space="preserve"> L.) pod husk: Renewable source of bioactive compounds. </w:t>
      </w:r>
      <w:r w:rsidR="00D627DF" w:rsidRPr="003873BB">
        <w:rPr>
          <w:i/>
          <w:iCs/>
        </w:rPr>
        <w:t>Trends in Food Science &amp; Technology</w:t>
      </w:r>
      <w:r w:rsidR="00D627DF" w:rsidRPr="003873BB">
        <w:t xml:space="preserve">, </w:t>
      </w:r>
      <w:r w:rsidR="003873BB" w:rsidRPr="003873BB">
        <w:rPr>
          <w:b/>
          <w:bCs/>
        </w:rPr>
        <w:t>2018</w:t>
      </w:r>
      <w:r w:rsidR="003873BB" w:rsidRPr="003873BB">
        <w:t xml:space="preserve">, </w:t>
      </w:r>
      <w:r w:rsidR="00D627DF" w:rsidRPr="003873BB">
        <w:rPr>
          <w:i/>
          <w:iCs/>
        </w:rPr>
        <w:t>81</w:t>
      </w:r>
      <w:r w:rsidR="003873BB" w:rsidRPr="003873BB">
        <w:t>,</w:t>
      </w:r>
      <w:r w:rsidR="00D627DF" w:rsidRPr="003873BB">
        <w:t xml:space="preserve"> 172–184</w:t>
      </w:r>
      <w:r w:rsidR="003873BB" w:rsidRPr="003873BB">
        <w:t>. https://doi.org/10.1016/j.tifs.2018.09.022</w:t>
      </w:r>
    </w:p>
    <w:p w14:paraId="68C6A30C" w14:textId="130F6AEE" w:rsidR="00E67FEC" w:rsidRDefault="00E67FEC" w:rsidP="00E67FEC">
      <w:pPr>
        <w:pStyle w:val="TFReferencesSection"/>
        <w:numPr>
          <w:ilvl w:val="0"/>
          <w:numId w:val="11"/>
        </w:numPr>
        <w:spacing w:after="240"/>
        <w:jc w:val="left"/>
      </w:pPr>
      <w:r>
        <w:t xml:space="preserve">Lu, F.; Rodriguez-Garcia, J.; van Damme, I.; Westwood, N. J.; Shaw, L.; Robinson, J. S.; Warren, G.; Chatzifragkou, A.; McQueen Mason, S.; Gomez, L.; Faas, L.; Balcombe, K.; Srinivasan, C.; Picchioni, F.; Hadley, P.; Charalampopoulos, D. Valorisation Strategies for Cocoa Pod Husk and Its Fractions. </w:t>
      </w:r>
      <w:r w:rsidRPr="00D66066">
        <w:rPr>
          <w:i/>
        </w:rPr>
        <w:t>Current Opinion in Green and Sustainable Chemistry</w:t>
      </w:r>
      <w:r>
        <w:t xml:space="preserve"> </w:t>
      </w:r>
      <w:r w:rsidRPr="00D66066">
        <w:rPr>
          <w:b/>
        </w:rPr>
        <w:t>2018</w:t>
      </w:r>
      <w:r w:rsidR="00D66066">
        <w:t xml:space="preserve">, </w:t>
      </w:r>
      <w:r w:rsidR="00D66066" w:rsidRPr="00D66066">
        <w:rPr>
          <w:i/>
        </w:rPr>
        <w:t>14</w:t>
      </w:r>
      <w:r w:rsidR="00D66066">
        <w:t xml:space="preserve">, </w:t>
      </w:r>
      <w:r>
        <w:t xml:space="preserve">80–88. </w:t>
      </w:r>
      <w:hyperlink r:id="rId51" w:history="1">
        <w:r w:rsidR="00D66066" w:rsidRPr="00D810F5">
          <w:rPr>
            <w:rStyle w:val="Hyperlink"/>
          </w:rPr>
          <w:t>https://doi.org/10.1016/j.cogsc.2018.07.007</w:t>
        </w:r>
      </w:hyperlink>
      <w:r w:rsidR="00D66066">
        <w:t xml:space="preserve"> </w:t>
      </w:r>
    </w:p>
    <w:p w14:paraId="6EE33C77" w14:textId="37F686B4" w:rsidR="00E67FEC" w:rsidRDefault="00E67FEC" w:rsidP="00E67FEC">
      <w:pPr>
        <w:pStyle w:val="TFReferencesSection"/>
        <w:numPr>
          <w:ilvl w:val="0"/>
          <w:numId w:val="11"/>
        </w:numPr>
        <w:spacing w:after="240"/>
        <w:jc w:val="left"/>
      </w:pPr>
      <w:r w:rsidRPr="006F18C9">
        <w:t>Hozman-Manrique, A. S.; Garcia-Brand, A.</w:t>
      </w:r>
      <w:r w:rsidR="00D66066">
        <w:t xml:space="preserve"> J.</w:t>
      </w:r>
      <w:r w:rsidRPr="00D7214D">
        <w:t>;</w:t>
      </w:r>
      <w:r w:rsidRPr="006F18C9">
        <w:t xml:space="preserve"> Hernández-Carrión</w:t>
      </w:r>
      <w:r w:rsidRPr="00D7214D">
        <w:t>, M.;</w:t>
      </w:r>
      <w:r w:rsidRPr="006F18C9">
        <w:t xml:space="preserve"> Porras</w:t>
      </w:r>
      <w:r w:rsidRPr="00D7214D">
        <w:t>, A.</w:t>
      </w:r>
      <w:r>
        <w:t xml:space="preserve"> </w:t>
      </w:r>
      <w:r w:rsidRPr="006F18C9">
        <w:t xml:space="preserve">Isolation and Characterization of Cellulose Microfibers from Colombian Cocoa Pod </w:t>
      </w:r>
      <w:r w:rsidRPr="006F18C9">
        <w:lastRenderedPageBreak/>
        <w:t>Husk via Chemical Treatment with Pressure Effects</w:t>
      </w:r>
      <w:r>
        <w:t xml:space="preserve">. </w:t>
      </w:r>
      <w:r w:rsidRPr="00D66066">
        <w:rPr>
          <w:i/>
        </w:rPr>
        <w:t>Polymers</w:t>
      </w:r>
      <w:r w:rsidRPr="00A6225C">
        <w:t xml:space="preserve"> </w:t>
      </w:r>
      <w:r w:rsidRPr="00D66066">
        <w:rPr>
          <w:b/>
        </w:rPr>
        <w:t>2023</w:t>
      </w:r>
      <w:r w:rsidRPr="00A6225C">
        <w:t xml:space="preserve">, </w:t>
      </w:r>
      <w:r w:rsidRPr="00D66066">
        <w:rPr>
          <w:i/>
        </w:rPr>
        <w:t>15</w:t>
      </w:r>
      <w:r w:rsidRPr="00A6225C">
        <w:t>, 664.</w:t>
      </w:r>
      <w:r>
        <w:t xml:space="preserve"> </w:t>
      </w:r>
      <w:hyperlink r:id="rId52" w:history="1">
        <w:r w:rsidRPr="000471CF">
          <w:rPr>
            <w:rStyle w:val="Hyperlink"/>
          </w:rPr>
          <w:t>https://doi.org/10.3390/polym15030664</w:t>
        </w:r>
      </w:hyperlink>
      <w:r w:rsidR="00D66066">
        <w:t xml:space="preserve"> </w:t>
      </w:r>
    </w:p>
    <w:p w14:paraId="042C5451" w14:textId="5F51E5AF" w:rsidR="00E67FEC" w:rsidRDefault="00E67FEC" w:rsidP="00E67FEC">
      <w:pPr>
        <w:pStyle w:val="TFReferencesSection"/>
        <w:numPr>
          <w:ilvl w:val="0"/>
          <w:numId w:val="11"/>
        </w:numPr>
        <w:spacing w:after="240"/>
        <w:jc w:val="left"/>
      </w:pPr>
      <w:r w:rsidRPr="00EA3FE6">
        <w:t xml:space="preserve">Muharja, M.; Darmayanti, R. </w:t>
      </w:r>
      <w:r w:rsidRPr="00D7214D">
        <w:t>F. ;</w:t>
      </w:r>
      <w:r w:rsidRPr="00EA3FE6">
        <w:t xml:space="preserve"> Fachri, B. A.; Palupi, B.; Rahmawati, I.; Rizkiana, M. F.; Amini, H. </w:t>
      </w:r>
      <w:r w:rsidRPr="00D7214D">
        <w:t>W.</w:t>
      </w:r>
      <w:r w:rsidRPr="00EA3FE6">
        <w:t xml:space="preserve">; Putri, D. </w:t>
      </w:r>
      <w:r w:rsidRPr="00D7214D">
        <w:t>K. Y.</w:t>
      </w:r>
      <w:r w:rsidRPr="00EA3FE6">
        <w:t xml:space="preserve">; Setiawan, F. </w:t>
      </w:r>
      <w:r w:rsidRPr="00D7214D">
        <w:t>A.</w:t>
      </w:r>
      <w:r>
        <w:t xml:space="preserve">; </w:t>
      </w:r>
      <w:r w:rsidRPr="00EA3FE6">
        <w:t>Asrofi</w:t>
      </w:r>
      <w:r>
        <w:t>, M.;</w:t>
      </w:r>
      <w:r w:rsidRPr="00EA3FE6">
        <w:t xml:space="preserve"> Widjaja</w:t>
      </w:r>
      <w:r>
        <w:t>, A.;</w:t>
      </w:r>
      <w:r w:rsidRPr="00EA3FE6">
        <w:t xml:space="preserve"> Halim</w:t>
      </w:r>
      <w:r>
        <w:t>, A.</w:t>
      </w:r>
      <w:r w:rsidRPr="00093FEE">
        <w:t xml:space="preserve"> Biobutanol production from cocoa pod husk through a sequential green method: Depectination, delignification, enzymatic hydrolysis, and extractive fermentation</w:t>
      </w:r>
      <w:r>
        <w:t>.</w:t>
      </w:r>
      <w:r w:rsidRPr="00093FEE">
        <w:t xml:space="preserve"> </w:t>
      </w:r>
      <w:r w:rsidRPr="00D66066">
        <w:rPr>
          <w:i/>
        </w:rPr>
        <w:t>Bioresource Technology Reports</w:t>
      </w:r>
      <w:r>
        <w:t xml:space="preserve"> </w:t>
      </w:r>
      <w:r w:rsidRPr="00D66066">
        <w:rPr>
          <w:b/>
        </w:rPr>
        <w:t>2023</w:t>
      </w:r>
      <w:r>
        <w:t>,</w:t>
      </w:r>
      <w:r w:rsidRPr="00093FEE">
        <w:t xml:space="preserve"> </w:t>
      </w:r>
      <w:r w:rsidRPr="00D66066">
        <w:rPr>
          <w:i/>
        </w:rPr>
        <w:t>21</w:t>
      </w:r>
      <w:r>
        <w:t>,</w:t>
      </w:r>
      <w:r w:rsidRPr="00093FEE">
        <w:t xml:space="preserve"> 101298</w:t>
      </w:r>
      <w:r>
        <w:t xml:space="preserve">. </w:t>
      </w:r>
      <w:hyperlink r:id="rId53" w:history="1">
        <w:r w:rsidRPr="000471CF">
          <w:rPr>
            <w:rStyle w:val="Hyperlink"/>
          </w:rPr>
          <w:t>https://doi.org/10.1016/j.biteb.2022.101298</w:t>
        </w:r>
      </w:hyperlink>
      <w:r w:rsidR="00D66066">
        <w:t xml:space="preserve"> </w:t>
      </w:r>
    </w:p>
    <w:p w14:paraId="74D0172F" w14:textId="5DA13640" w:rsidR="00E67FEC" w:rsidRDefault="00E67FEC" w:rsidP="00D66066">
      <w:pPr>
        <w:pStyle w:val="TFReferencesSection"/>
        <w:numPr>
          <w:ilvl w:val="0"/>
          <w:numId w:val="11"/>
        </w:numPr>
        <w:spacing w:after="240"/>
        <w:jc w:val="left"/>
      </w:pPr>
      <w:r w:rsidRPr="00B15E23">
        <w:rPr>
          <w:lang w:val="it-IT"/>
        </w:rPr>
        <w:t>Huamani</w:t>
      </w:r>
      <w:r w:rsidRPr="00B15E23">
        <w:rPr>
          <w:lang w:val="it-IT"/>
        </w:rPr>
        <w:noBreakHyphen/>
        <w:t xml:space="preserve">Palomino, R. G.; </w:t>
      </w:r>
      <w:r w:rsidR="00D66066" w:rsidRPr="00B15E23">
        <w:rPr>
          <w:lang w:val="it-IT"/>
        </w:rPr>
        <w:t xml:space="preserve">Ramos </w:t>
      </w:r>
      <w:r w:rsidRPr="00B15E23">
        <w:rPr>
          <w:lang w:val="it-IT"/>
        </w:rPr>
        <w:t xml:space="preserve">M., P.; Oliveira, G.; Kock, F . </w:t>
      </w:r>
      <w:r>
        <w:t>V. C.;</w:t>
      </w:r>
      <w:r w:rsidR="00D66066">
        <w:t xml:space="preserve"> </w:t>
      </w:r>
      <w:r w:rsidRPr="0013178B">
        <w:t>Venâncio</w:t>
      </w:r>
      <w:r>
        <w:t xml:space="preserve">, T.; </w:t>
      </w:r>
      <w:r w:rsidRPr="0013178B">
        <w:t>Córdova</w:t>
      </w:r>
      <w:r>
        <w:t xml:space="preserve">, B. M. </w:t>
      </w:r>
      <w:r w:rsidR="00D66066">
        <w:t xml:space="preserve">Structural elucidation of pectin extracted from </w:t>
      </w:r>
      <w:r w:rsidRPr="00A80CC7">
        <w:t>cocoa pod husk (</w:t>
      </w:r>
      <w:r w:rsidRPr="00D66066">
        <w:rPr>
          <w:i/>
        </w:rPr>
        <w:t>The</w:t>
      </w:r>
      <w:r w:rsidR="00D66066" w:rsidRPr="00D66066">
        <w:rPr>
          <w:i/>
        </w:rPr>
        <w:t>obroma Cacao L.</w:t>
      </w:r>
      <w:r w:rsidR="00D66066">
        <w:t>): Evaluation of the degree of esterifcation using FT</w:t>
      </w:r>
      <w:r w:rsidR="00D66066">
        <w:noBreakHyphen/>
        <w:t xml:space="preserve">IR and 1 H </w:t>
      </w:r>
      <w:r w:rsidRPr="00A80CC7">
        <w:t>NMR</w:t>
      </w:r>
      <w:r>
        <w:t xml:space="preserve">. </w:t>
      </w:r>
      <w:r w:rsidRPr="00D66066">
        <w:rPr>
          <w:i/>
        </w:rPr>
        <w:t>Biomass Conversion and Biorefinery</w:t>
      </w:r>
      <w:r>
        <w:t xml:space="preserve"> </w:t>
      </w:r>
      <w:r w:rsidRPr="00D66066">
        <w:rPr>
          <w:b/>
        </w:rPr>
        <w:t>2023</w:t>
      </w:r>
      <w:r w:rsidR="00D66066">
        <w:t>.</w:t>
      </w:r>
      <w:r w:rsidR="00D66066">
        <w:rPr>
          <w:b/>
        </w:rPr>
        <w:t xml:space="preserve"> </w:t>
      </w:r>
      <w:hyperlink r:id="rId54" w:history="1">
        <w:r w:rsidR="00D66066" w:rsidRPr="00D810F5">
          <w:rPr>
            <w:rStyle w:val="Hyperlink"/>
          </w:rPr>
          <w:t>https://doi.org/10.1007/s13399-023-04082-3</w:t>
        </w:r>
      </w:hyperlink>
      <w:r w:rsidR="00D66066">
        <w:t xml:space="preserve"> </w:t>
      </w:r>
    </w:p>
    <w:p w14:paraId="4051CBFC" w14:textId="4481104C" w:rsidR="00E67FEC" w:rsidRPr="00420D09" w:rsidRDefault="00420D09" w:rsidP="00E67FEC">
      <w:pPr>
        <w:pStyle w:val="TFReferencesSection"/>
        <w:numPr>
          <w:ilvl w:val="0"/>
          <w:numId w:val="11"/>
        </w:numPr>
        <w:spacing w:after="240"/>
        <w:jc w:val="left"/>
      </w:pPr>
      <w:r w:rsidRPr="00420D09">
        <w:t>Hennessey-Ramos, L.; Murillo-Arango, W.; Vasco-Correa, J.; Paz Astudillo, I.C. Enzymatic Extraction and Characterization of Pectin from Cocoa Pod Husks (</w:t>
      </w:r>
      <w:r w:rsidRPr="00420D09">
        <w:rPr>
          <w:i/>
          <w:iCs/>
        </w:rPr>
        <w:t>Theobroma cacao</w:t>
      </w:r>
      <w:r w:rsidRPr="00420D09">
        <w:t xml:space="preserve"> L.) Using Celluclast® 1.5 L. </w:t>
      </w:r>
      <w:r w:rsidRPr="00420D09">
        <w:rPr>
          <w:i/>
          <w:iCs/>
        </w:rPr>
        <w:t>Molecules</w:t>
      </w:r>
      <w:r>
        <w:t>,</w:t>
      </w:r>
      <w:r w:rsidRPr="00420D09">
        <w:t xml:space="preserve"> </w:t>
      </w:r>
      <w:r w:rsidRPr="00420D09">
        <w:rPr>
          <w:b/>
          <w:bCs/>
        </w:rPr>
        <w:t>2021</w:t>
      </w:r>
      <w:r w:rsidRPr="00420D09">
        <w:t xml:space="preserve">, </w:t>
      </w:r>
      <w:r w:rsidRPr="00420D09">
        <w:rPr>
          <w:i/>
          <w:iCs/>
        </w:rPr>
        <w:t>26</w:t>
      </w:r>
      <w:r w:rsidRPr="00420D09">
        <w:t>, 1473.</w:t>
      </w:r>
      <w:r w:rsidR="00C56499">
        <w:t xml:space="preserve"> </w:t>
      </w:r>
      <w:hyperlink r:id="rId55" w:history="1">
        <w:r w:rsidR="009F54FD" w:rsidRPr="00756DAD">
          <w:rPr>
            <w:rStyle w:val="Hyperlink"/>
            <w:rFonts w:cs="Times"/>
          </w:rPr>
          <w:t>https://doi.org/10.3390/molecules26051473</w:t>
        </w:r>
      </w:hyperlink>
    </w:p>
    <w:p w14:paraId="002FAE0F" w14:textId="6F658983" w:rsidR="00C45270" w:rsidRDefault="00C45270" w:rsidP="00C45270">
      <w:pPr>
        <w:pStyle w:val="TFReferencesSection"/>
        <w:numPr>
          <w:ilvl w:val="0"/>
          <w:numId w:val="11"/>
        </w:numPr>
        <w:spacing w:after="240"/>
        <w:jc w:val="left"/>
      </w:pPr>
      <w:r>
        <w:t>Priyangini, F.; Walde, S. G.; Chidambaram, R. Extraction Optimization of Pectin from Cocoa Pod Husks (</w:t>
      </w:r>
      <w:r w:rsidRPr="00D66066">
        <w:rPr>
          <w:i/>
        </w:rPr>
        <w:t>Theobroma Cacao L.</w:t>
      </w:r>
      <w:r>
        <w:t xml:space="preserve">) with Ascorbic Acid Using Response Surface Methodology. </w:t>
      </w:r>
      <w:r w:rsidRPr="00D66066">
        <w:rPr>
          <w:i/>
        </w:rPr>
        <w:t>Carbohydrate Polymers</w:t>
      </w:r>
      <w:r>
        <w:t xml:space="preserve"> </w:t>
      </w:r>
      <w:r w:rsidRPr="00D66066">
        <w:rPr>
          <w:b/>
        </w:rPr>
        <w:t>2018</w:t>
      </w:r>
      <w:r>
        <w:t xml:space="preserve">, </w:t>
      </w:r>
      <w:r w:rsidRPr="00D66066">
        <w:rPr>
          <w:i/>
        </w:rPr>
        <w:t>20</w:t>
      </w:r>
      <w:r>
        <w:t xml:space="preserve">2, 497–503. </w:t>
      </w:r>
      <w:hyperlink r:id="rId56" w:history="1">
        <w:r w:rsidR="00D66066" w:rsidRPr="00D810F5">
          <w:rPr>
            <w:rStyle w:val="Hyperlink"/>
          </w:rPr>
          <w:t>https://doi.org/10.1016/j.carbpol.2018.08.103</w:t>
        </w:r>
      </w:hyperlink>
      <w:r w:rsidR="00D66066">
        <w:t xml:space="preserve"> </w:t>
      </w:r>
    </w:p>
    <w:p w14:paraId="639160FF" w14:textId="03201106" w:rsidR="00C45270" w:rsidRDefault="00C45270" w:rsidP="00E67FEC">
      <w:pPr>
        <w:pStyle w:val="TFReferencesSection"/>
        <w:numPr>
          <w:ilvl w:val="0"/>
          <w:numId w:val="11"/>
        </w:numPr>
        <w:spacing w:after="240"/>
        <w:jc w:val="left"/>
      </w:pPr>
      <w:r>
        <w:lastRenderedPageBreak/>
        <w:t xml:space="preserve">Adomako, D. Cocoa Pod Husk Pectin. </w:t>
      </w:r>
      <w:r w:rsidRPr="00D66066">
        <w:rPr>
          <w:i/>
        </w:rPr>
        <w:t xml:space="preserve">Phytochemistry </w:t>
      </w:r>
      <w:r>
        <w:t xml:space="preserve">1972, </w:t>
      </w:r>
      <w:r w:rsidRPr="00D66066">
        <w:rPr>
          <w:i/>
        </w:rPr>
        <w:t>11</w:t>
      </w:r>
      <w:r>
        <w:t xml:space="preserve">, 1145–1148. </w:t>
      </w:r>
      <w:hyperlink r:id="rId57" w:history="1">
        <w:r w:rsidRPr="00D810F5">
          <w:rPr>
            <w:rStyle w:val="Hyperlink"/>
          </w:rPr>
          <w:t>https://doi.org/10.1016/S0031-9422(00)88468-X</w:t>
        </w:r>
      </w:hyperlink>
      <w:r>
        <w:t>.</w:t>
      </w:r>
    </w:p>
    <w:p w14:paraId="75186417" w14:textId="7B54CE31" w:rsidR="00E67FEC" w:rsidRDefault="00E67FEC" w:rsidP="00E67FEC">
      <w:pPr>
        <w:pStyle w:val="TFReferencesSection"/>
        <w:numPr>
          <w:ilvl w:val="0"/>
          <w:numId w:val="11"/>
        </w:numPr>
        <w:spacing w:after="240"/>
        <w:jc w:val="left"/>
      </w:pPr>
      <w:r>
        <w:t xml:space="preserve">Hutomo, G. S.; Rahim, A.; Kadir, S. Pectin Isolation from Dry Pod Husk Cocoa with Hydrochloride Acid. </w:t>
      </w:r>
      <w:r w:rsidRPr="00845AA9">
        <w:rPr>
          <w:i/>
        </w:rPr>
        <w:t>International Journal of Current Microbiology and Applied Sciences</w:t>
      </w:r>
      <w:r>
        <w:t xml:space="preserve"> </w:t>
      </w:r>
      <w:r w:rsidRPr="00845AA9">
        <w:rPr>
          <w:b/>
        </w:rPr>
        <w:t>2016</w:t>
      </w:r>
      <w:r>
        <w:t xml:space="preserve">, </w:t>
      </w:r>
      <w:r w:rsidRPr="00845AA9">
        <w:rPr>
          <w:i/>
        </w:rPr>
        <w:t>5 (11)</w:t>
      </w:r>
      <w:r>
        <w:t xml:space="preserve">, 751–756. </w:t>
      </w:r>
      <w:hyperlink r:id="rId58" w:history="1">
        <w:r w:rsidRPr="00D810F5">
          <w:rPr>
            <w:rStyle w:val="Hyperlink"/>
          </w:rPr>
          <w:t>https://doi.org/10.20546/ijcmas.2016.511.086</w:t>
        </w:r>
      </w:hyperlink>
      <w:r w:rsidR="00845AA9">
        <w:t xml:space="preserve"> </w:t>
      </w:r>
    </w:p>
    <w:p w14:paraId="04C620CB" w14:textId="69F1406B" w:rsidR="00E67FEC" w:rsidRDefault="00E67FEC" w:rsidP="00E67FEC">
      <w:pPr>
        <w:pStyle w:val="TFReferencesSection"/>
        <w:numPr>
          <w:ilvl w:val="0"/>
          <w:numId w:val="11"/>
        </w:numPr>
        <w:spacing w:after="240"/>
        <w:jc w:val="left"/>
      </w:pPr>
      <w:r>
        <w:t xml:space="preserve">Mollea, C.; Chiampo, F.; Conti, R. Extraction and Characterization of Pectins from Cocoa Husks: A Preliminary Study. </w:t>
      </w:r>
      <w:r w:rsidRPr="00845AA9">
        <w:rPr>
          <w:i/>
        </w:rPr>
        <w:t>Food Chemistry</w:t>
      </w:r>
      <w:r>
        <w:t xml:space="preserve"> </w:t>
      </w:r>
      <w:r w:rsidRPr="00845AA9">
        <w:rPr>
          <w:b/>
        </w:rPr>
        <w:t>2008</w:t>
      </w:r>
      <w:r>
        <w:t xml:space="preserve">, </w:t>
      </w:r>
      <w:r w:rsidRPr="00845AA9">
        <w:rPr>
          <w:i/>
        </w:rPr>
        <w:t>107 (3)</w:t>
      </w:r>
      <w:r>
        <w:t xml:space="preserve">, 1353–1356. </w:t>
      </w:r>
      <w:hyperlink r:id="rId59" w:history="1">
        <w:r w:rsidRPr="00D810F5">
          <w:rPr>
            <w:rStyle w:val="Hyperlink"/>
          </w:rPr>
          <w:t>https://doi.org/10.1016/j.foodchem.2007.09.006</w:t>
        </w:r>
      </w:hyperlink>
      <w:r w:rsidR="00845AA9">
        <w:t xml:space="preserve"> </w:t>
      </w:r>
    </w:p>
    <w:p w14:paraId="308A9BA7" w14:textId="7781700B" w:rsidR="00E67FEC" w:rsidRDefault="00E67FEC" w:rsidP="00E67FEC">
      <w:pPr>
        <w:pStyle w:val="TFReferencesSection"/>
        <w:numPr>
          <w:ilvl w:val="0"/>
          <w:numId w:val="11"/>
        </w:numPr>
        <w:spacing w:after="240"/>
        <w:jc w:val="left"/>
      </w:pPr>
      <w:r>
        <w:t>Vriesmann, L. C.; de Mello Castanho Amboni, R. D.; de Oliveira Petkowicz, C. L. Cacao Pod Husks (</w:t>
      </w:r>
      <w:r w:rsidRPr="00845AA9">
        <w:rPr>
          <w:i/>
        </w:rPr>
        <w:t>Theobroma Cacao L.</w:t>
      </w:r>
      <w:r>
        <w:t xml:space="preserve">): Composition and Hot-Water-Soluble Pectins. </w:t>
      </w:r>
      <w:r w:rsidRPr="00845AA9">
        <w:rPr>
          <w:i/>
        </w:rPr>
        <w:t>Ind. Crop Prod.</w:t>
      </w:r>
      <w:r>
        <w:t xml:space="preserve"> </w:t>
      </w:r>
      <w:r w:rsidRPr="00845AA9">
        <w:rPr>
          <w:b/>
        </w:rPr>
        <w:t>2011</w:t>
      </w:r>
      <w:r>
        <w:t xml:space="preserve">, </w:t>
      </w:r>
      <w:r w:rsidRPr="00845AA9">
        <w:rPr>
          <w:i/>
        </w:rPr>
        <w:t>34 (1)</w:t>
      </w:r>
      <w:r>
        <w:t xml:space="preserve">, 1173–1181. </w:t>
      </w:r>
      <w:hyperlink r:id="rId60" w:history="1">
        <w:r w:rsidRPr="00D810F5">
          <w:rPr>
            <w:rStyle w:val="Hyperlink"/>
          </w:rPr>
          <w:t>https://doi.org/10.1016/j.indcrop.2011.04.004</w:t>
        </w:r>
      </w:hyperlink>
      <w:r w:rsidR="00845AA9">
        <w:t xml:space="preserve"> </w:t>
      </w:r>
    </w:p>
    <w:p w14:paraId="35AB5CD4" w14:textId="46D9F19B" w:rsidR="00A91A72" w:rsidRDefault="003127F3" w:rsidP="00E67FEC">
      <w:pPr>
        <w:pStyle w:val="TFReferencesSection"/>
        <w:numPr>
          <w:ilvl w:val="0"/>
          <w:numId w:val="11"/>
        </w:numPr>
        <w:spacing w:after="240"/>
        <w:jc w:val="left"/>
      </w:pPr>
      <w:r>
        <w:t xml:space="preserve">Nazir, N.; Novelina; Juita, E.; Amelia, C.; Fatli, R. Optimization of Pre-Treatment Process of Cocoa Pod Husk Using Various Chemical Solvents. International Journal on Advanced Science, </w:t>
      </w:r>
      <w:r w:rsidRPr="00845AA9">
        <w:rPr>
          <w:i/>
        </w:rPr>
        <w:t>Engineering and Information Technology</w:t>
      </w:r>
      <w:r>
        <w:t xml:space="preserve"> </w:t>
      </w:r>
      <w:r w:rsidRPr="00845AA9">
        <w:rPr>
          <w:b/>
        </w:rPr>
        <w:t>2016</w:t>
      </w:r>
      <w:r>
        <w:t xml:space="preserve">, </w:t>
      </w:r>
      <w:r w:rsidRPr="00845AA9">
        <w:rPr>
          <w:i/>
        </w:rPr>
        <w:t>6 (3)</w:t>
      </w:r>
      <w:r>
        <w:t xml:space="preserve">, 403–409. </w:t>
      </w:r>
      <w:hyperlink r:id="rId61" w:history="1">
        <w:r w:rsidRPr="00D810F5">
          <w:rPr>
            <w:rStyle w:val="Hyperlink"/>
          </w:rPr>
          <w:t>https://doi.org/10.18517/IJASEIT.6.3.848</w:t>
        </w:r>
      </w:hyperlink>
      <w:r w:rsidR="00845AA9">
        <w:t xml:space="preserve"> </w:t>
      </w:r>
    </w:p>
    <w:p w14:paraId="6330D581" w14:textId="77777777" w:rsidR="00B10BC9" w:rsidRDefault="00B10BC9" w:rsidP="00B10BC9">
      <w:pPr>
        <w:pStyle w:val="TFReferencesSection"/>
        <w:numPr>
          <w:ilvl w:val="0"/>
          <w:numId w:val="11"/>
        </w:numPr>
        <w:spacing w:after="240"/>
        <w:jc w:val="left"/>
      </w:pPr>
      <w:r w:rsidRPr="0069697D">
        <w:t>Mashuni; Hamid, F. H.; Muzuni; Kadidae, L. O</w:t>
      </w:r>
      <w:r w:rsidRPr="00D7214D">
        <w:t>.</w:t>
      </w:r>
      <w:r w:rsidRPr="0069697D">
        <w:t>; Jahiding</w:t>
      </w:r>
      <w:r>
        <w:t xml:space="preserve">, </w:t>
      </w:r>
      <w:r w:rsidRPr="0069697D">
        <w:t>M.; Ahmad</w:t>
      </w:r>
      <w:r>
        <w:t>, L. O.</w:t>
      </w:r>
      <w:r w:rsidRPr="0069697D">
        <w:t>;</w:t>
      </w:r>
      <w:r>
        <w:t xml:space="preserve"> </w:t>
      </w:r>
      <w:r w:rsidRPr="0069697D">
        <w:t>Saputra</w:t>
      </w:r>
      <w:r>
        <w:t xml:space="preserve">, </w:t>
      </w:r>
      <w:r w:rsidRPr="0069697D">
        <w:t>D.</w:t>
      </w:r>
      <w:r>
        <w:t xml:space="preserve"> </w:t>
      </w:r>
      <w:r w:rsidRPr="00080236">
        <w:t>The determination of total phenolic content of cocoa pod husk based on microwave-assisted extraction method</w:t>
      </w:r>
      <w:r>
        <w:t xml:space="preserve">. </w:t>
      </w:r>
      <w:r w:rsidRPr="00242878">
        <w:rPr>
          <w:i/>
        </w:rPr>
        <w:t>AIP Conference Proceedings</w:t>
      </w:r>
      <w:r>
        <w:t xml:space="preserve"> </w:t>
      </w:r>
      <w:r w:rsidRPr="00242878">
        <w:rPr>
          <w:b/>
        </w:rPr>
        <w:t>2020</w:t>
      </w:r>
      <w:r>
        <w:t>,</w:t>
      </w:r>
      <w:r w:rsidRPr="007C0C97">
        <w:t xml:space="preserve"> </w:t>
      </w:r>
      <w:r w:rsidRPr="00242878">
        <w:rPr>
          <w:i/>
        </w:rPr>
        <w:t>2243</w:t>
      </w:r>
      <w:r w:rsidRPr="007C0C97">
        <w:t>, 030013</w:t>
      </w:r>
      <w:r>
        <w:t xml:space="preserve">. </w:t>
      </w:r>
      <w:hyperlink r:id="rId62" w:history="1">
        <w:r w:rsidRPr="00D810F5">
          <w:rPr>
            <w:rStyle w:val="Hyperlink"/>
          </w:rPr>
          <w:t>https://doi.org/10.1063/5.0001364</w:t>
        </w:r>
      </w:hyperlink>
      <w:r>
        <w:t xml:space="preserve"> </w:t>
      </w:r>
    </w:p>
    <w:p w14:paraId="7CD18BBD" w14:textId="1B69EEE7" w:rsidR="00E67FEC" w:rsidRDefault="00307FFA" w:rsidP="00A91A72">
      <w:pPr>
        <w:pStyle w:val="TFReferencesSection"/>
        <w:numPr>
          <w:ilvl w:val="0"/>
          <w:numId w:val="11"/>
        </w:numPr>
        <w:spacing w:after="240"/>
        <w:jc w:val="left"/>
      </w:pPr>
      <w:r>
        <w:t xml:space="preserve">Lancefield, C. S.; Panovic, I.; Deuss, P. J.; Barta, K.; Westwood, N. J. Pre-Treatment of Lignocellulosic Feedstocks Using Biorenewable Alcohols: Towards Complete Biomass </w:t>
      </w:r>
      <w:r>
        <w:lastRenderedPageBreak/>
        <w:t xml:space="preserve">Valorisation. </w:t>
      </w:r>
      <w:r w:rsidRPr="00CA6130">
        <w:rPr>
          <w:i/>
        </w:rPr>
        <w:t>Green Chemistry</w:t>
      </w:r>
      <w:r>
        <w:t xml:space="preserve"> </w:t>
      </w:r>
      <w:r w:rsidRPr="00CA6130">
        <w:rPr>
          <w:b/>
        </w:rPr>
        <w:t>2017</w:t>
      </w:r>
      <w:r>
        <w:t xml:space="preserve">, </w:t>
      </w:r>
      <w:r w:rsidRPr="00CA6130">
        <w:rPr>
          <w:i/>
        </w:rPr>
        <w:t>19 (1)</w:t>
      </w:r>
      <w:r>
        <w:t xml:space="preserve">, 202–214. </w:t>
      </w:r>
      <w:hyperlink r:id="rId63" w:history="1">
        <w:r w:rsidR="00E67FEC" w:rsidRPr="00D810F5">
          <w:rPr>
            <w:rStyle w:val="Hyperlink"/>
          </w:rPr>
          <w:t>https://doi.org/10.1039/C6GC02739C</w:t>
        </w:r>
      </w:hyperlink>
      <w:r w:rsidR="00CA6130">
        <w:t xml:space="preserve"> </w:t>
      </w:r>
    </w:p>
    <w:p w14:paraId="56AD8774" w14:textId="38A37268" w:rsidR="00A91A72" w:rsidRDefault="00C45270" w:rsidP="00A91A72">
      <w:pPr>
        <w:pStyle w:val="TFReferencesSection"/>
        <w:numPr>
          <w:ilvl w:val="0"/>
          <w:numId w:val="11"/>
        </w:numPr>
        <w:spacing w:after="240"/>
        <w:jc w:val="left"/>
      </w:pPr>
      <w:r>
        <w:t>Ralph, J.; Landucci, L. L. NMR of Lignins. In Lignin and Lignans; Advances in Chemistry; Heitner, C., Dimmel, D. R., Schmidt, J. A., Eds.; CRC Press (Taylor &amp; Francis Group): Boca Raton, Florida, 2010; pp 138–234.</w:t>
      </w:r>
    </w:p>
    <w:p w14:paraId="29C066E5" w14:textId="0282246D" w:rsidR="00A91A72" w:rsidRDefault="00C45270" w:rsidP="00A91A72">
      <w:pPr>
        <w:pStyle w:val="TFReferencesSection"/>
        <w:numPr>
          <w:ilvl w:val="0"/>
          <w:numId w:val="11"/>
        </w:numPr>
        <w:spacing w:after="240"/>
        <w:jc w:val="left"/>
      </w:pPr>
      <w:r>
        <w:t xml:space="preserve">Giummarella, N.; Pylypchuk, I. v.; Sevastyanova, O.; Lawoko, M. New Structures in Eucalyptus Kraft Lignin with Complex Mechanistic Implications. </w:t>
      </w:r>
      <w:r w:rsidRPr="00CA6130">
        <w:rPr>
          <w:i/>
        </w:rPr>
        <w:t>ACS Sustainable Chemistry and Engineering</w:t>
      </w:r>
      <w:r>
        <w:t xml:space="preserve"> </w:t>
      </w:r>
      <w:r w:rsidRPr="00CA6130">
        <w:rPr>
          <w:b/>
        </w:rPr>
        <w:t>2020</w:t>
      </w:r>
      <w:r>
        <w:t xml:space="preserve">, </w:t>
      </w:r>
      <w:r w:rsidRPr="00CA6130">
        <w:rPr>
          <w:i/>
        </w:rPr>
        <w:t>8 (29)</w:t>
      </w:r>
      <w:r>
        <w:t xml:space="preserve">, 10983–10994. </w:t>
      </w:r>
      <w:hyperlink r:id="rId64" w:history="1">
        <w:r w:rsidRPr="00471B42">
          <w:rPr>
            <w:rStyle w:val="Hyperlink"/>
          </w:rPr>
          <w:t>https://doi.org/10.1021/ACSSUSCHEMENG.0C03776</w:t>
        </w:r>
      </w:hyperlink>
      <w:r w:rsidR="00CA6130">
        <w:t xml:space="preserve"> </w:t>
      </w:r>
    </w:p>
    <w:p w14:paraId="3BA373BA" w14:textId="55F5605E" w:rsidR="002D58DF" w:rsidRDefault="00C45270" w:rsidP="00A91A72">
      <w:pPr>
        <w:pStyle w:val="TFReferencesSection"/>
        <w:numPr>
          <w:ilvl w:val="0"/>
          <w:numId w:val="11"/>
        </w:numPr>
        <w:spacing w:after="240"/>
        <w:jc w:val="left"/>
      </w:pPr>
      <w:r>
        <w:t xml:space="preserve">Willker, W.; Leibfritz, D. Assignment of Mono‐ and Polyunsaturated Fatty Acids in Lipids of Tissues and Body Fluids. </w:t>
      </w:r>
      <w:r w:rsidRPr="00CA6130">
        <w:rPr>
          <w:i/>
        </w:rPr>
        <w:t>Magnetic Resonance in Chemistry</w:t>
      </w:r>
      <w:r>
        <w:t xml:space="preserve"> </w:t>
      </w:r>
      <w:r w:rsidRPr="00CA6130">
        <w:rPr>
          <w:b/>
        </w:rPr>
        <w:t>1998</w:t>
      </w:r>
      <w:r>
        <w:t xml:space="preserve">, </w:t>
      </w:r>
      <w:r w:rsidRPr="00CA6130">
        <w:rPr>
          <w:i/>
        </w:rPr>
        <w:t>36 (S1)</w:t>
      </w:r>
      <w:r>
        <w:t xml:space="preserve">, S79–S84. </w:t>
      </w:r>
      <w:hyperlink r:id="rId65" w:history="1">
        <w:r w:rsidR="00CA6130" w:rsidRPr="00D810F5">
          <w:rPr>
            <w:rStyle w:val="Hyperlink"/>
          </w:rPr>
          <w:t>https://doi.org/10.1002/(SICI)1097-458X(199806)36:13&lt;S79::AID-OMR294&gt;3.0.CO;2-Z</w:t>
        </w:r>
      </w:hyperlink>
      <w:r w:rsidR="00CA6130">
        <w:t xml:space="preserve"> </w:t>
      </w:r>
    </w:p>
    <w:p w14:paraId="541C303E" w14:textId="1CCB5E7E" w:rsidR="002D58DF" w:rsidRDefault="00C45270" w:rsidP="00A91A72">
      <w:pPr>
        <w:pStyle w:val="TFReferencesSection"/>
        <w:numPr>
          <w:ilvl w:val="0"/>
          <w:numId w:val="11"/>
        </w:numPr>
        <w:spacing w:after="240"/>
        <w:jc w:val="left"/>
      </w:pPr>
      <w:r>
        <w:t>Rachmawaty; Mu’nisa, A.; Hasri; Pagarra, H.; Hartati; Maulana, Z. Active Compounds Extraction of Cocoa Pod Husk (</w:t>
      </w:r>
      <w:r w:rsidRPr="00CA6130">
        <w:rPr>
          <w:i/>
        </w:rPr>
        <w:t>Thebroma Cacao l.</w:t>
      </w:r>
      <w:r>
        <w:t xml:space="preserve">) and Potential as Fungicides. </w:t>
      </w:r>
      <w:r>
        <w:rPr>
          <w:i/>
          <w:iCs/>
        </w:rPr>
        <w:t>Journal of Physics: Conference Series</w:t>
      </w:r>
      <w:r>
        <w:t xml:space="preserve"> </w:t>
      </w:r>
      <w:r>
        <w:rPr>
          <w:b/>
          <w:bCs/>
        </w:rPr>
        <w:t>2018</w:t>
      </w:r>
      <w:r>
        <w:t xml:space="preserve">, </w:t>
      </w:r>
      <w:r>
        <w:rPr>
          <w:i/>
          <w:iCs/>
        </w:rPr>
        <w:t>1028</w:t>
      </w:r>
      <w:r>
        <w:t xml:space="preserve"> (1), 012013. </w:t>
      </w:r>
      <w:hyperlink r:id="rId66" w:history="1">
        <w:r w:rsidR="00CA6130" w:rsidRPr="00D810F5">
          <w:rPr>
            <w:rStyle w:val="Hyperlink"/>
          </w:rPr>
          <w:t>https://doi.org/10.1088/1742-6596/1028/1/012013</w:t>
        </w:r>
      </w:hyperlink>
      <w:r w:rsidR="00CA6130">
        <w:t xml:space="preserve"> </w:t>
      </w:r>
    </w:p>
    <w:p w14:paraId="48B37F0D" w14:textId="774007CB" w:rsidR="00C45270" w:rsidRDefault="00C45270" w:rsidP="00C45270">
      <w:pPr>
        <w:pStyle w:val="TFReferencesSection"/>
        <w:numPr>
          <w:ilvl w:val="0"/>
          <w:numId w:val="11"/>
        </w:numPr>
        <w:spacing w:after="240"/>
        <w:jc w:val="left"/>
      </w:pPr>
      <w:r>
        <w:t xml:space="preserve">Zijlstra, D. S.; de Korte, J.; de Vries, E. P. C.; Hameleers, L.; Wilbers, E.; Jurak, E.; Deuss, P. J. Highly Efficient Semi-Continuous Extraction and In-Line Purification of High β-O-4 Butanosolv Lignin. </w:t>
      </w:r>
      <w:r w:rsidRPr="00CA6130">
        <w:rPr>
          <w:i/>
        </w:rPr>
        <w:t>Frontiers in Chemistry</w:t>
      </w:r>
      <w:r>
        <w:t xml:space="preserve"> </w:t>
      </w:r>
      <w:r w:rsidRPr="00CA6130">
        <w:rPr>
          <w:b/>
        </w:rPr>
        <w:t>2021</w:t>
      </w:r>
      <w:r>
        <w:t xml:space="preserve">, </w:t>
      </w:r>
      <w:r w:rsidRPr="00CA6130">
        <w:rPr>
          <w:i/>
        </w:rPr>
        <w:t>9</w:t>
      </w:r>
      <w:r>
        <w:t xml:space="preserve">, 329. </w:t>
      </w:r>
      <w:hyperlink r:id="rId67" w:history="1">
        <w:r w:rsidRPr="00D810F5">
          <w:rPr>
            <w:rStyle w:val="Hyperlink"/>
          </w:rPr>
          <w:t>https://doi.org/10.3389/FCHEM.2021.655983</w:t>
        </w:r>
      </w:hyperlink>
      <w:r>
        <w:t>.</w:t>
      </w:r>
    </w:p>
    <w:p w14:paraId="6663C437" w14:textId="6111C493" w:rsidR="00307FFA" w:rsidRDefault="00307FFA" w:rsidP="00AD0F79">
      <w:pPr>
        <w:pStyle w:val="TFReferencesSection"/>
        <w:numPr>
          <w:ilvl w:val="0"/>
          <w:numId w:val="11"/>
        </w:numPr>
        <w:spacing w:after="240"/>
        <w:jc w:val="left"/>
      </w:pPr>
      <w:r>
        <w:lastRenderedPageBreak/>
        <w:t xml:space="preserve">Montgomery, J. R. D.; Lancefield, C. S.; Miles-Barrett, D. M.; Ackermann, K.; Bode, B. E.; Westwood, N. J.; Lebl, T. Fractionation and DOSY NMR as Analytical Tools: From Model Polymers to a Technical Lignin. </w:t>
      </w:r>
      <w:r w:rsidRPr="00CA6130">
        <w:rPr>
          <w:i/>
        </w:rPr>
        <w:t>ACS Omega</w:t>
      </w:r>
      <w:r>
        <w:t xml:space="preserve"> </w:t>
      </w:r>
      <w:r w:rsidRPr="00CA6130">
        <w:rPr>
          <w:b/>
        </w:rPr>
        <w:t>2017</w:t>
      </w:r>
      <w:r>
        <w:t xml:space="preserve">, </w:t>
      </w:r>
      <w:r w:rsidRPr="00CA6130">
        <w:rPr>
          <w:i/>
        </w:rPr>
        <w:t>2 (11)</w:t>
      </w:r>
      <w:r>
        <w:t xml:space="preserve">, 8466–8474. </w:t>
      </w:r>
      <w:hyperlink r:id="rId68" w:history="1">
        <w:r w:rsidR="00AD0F79" w:rsidRPr="00D810F5">
          <w:rPr>
            <w:rStyle w:val="Hyperlink"/>
          </w:rPr>
          <w:t>https://doi.org/10.1021/acsomega.7b01287</w:t>
        </w:r>
      </w:hyperlink>
      <w:r w:rsidR="00CA6130">
        <w:t xml:space="preserve"> </w:t>
      </w:r>
    </w:p>
    <w:p w14:paraId="6FA27895" w14:textId="767664D3" w:rsidR="00AD0F79" w:rsidRDefault="00150F53" w:rsidP="00AD0F79">
      <w:pPr>
        <w:pStyle w:val="TFReferencesSection"/>
        <w:numPr>
          <w:ilvl w:val="0"/>
          <w:numId w:val="11"/>
        </w:numPr>
        <w:spacing w:after="240"/>
        <w:jc w:val="left"/>
      </w:pPr>
      <w:r>
        <w:t xml:space="preserve">Ralph, J.; Hatfield, R. D.; Quideau, S.; Helm, R. F.; Grabber, J. H.; Jung, H. J. G. Pathway of P-Coumaric Acid Incorporation into Maize Lignin As Revealed by NMR. </w:t>
      </w:r>
      <w:r w:rsidRPr="00CA6130">
        <w:rPr>
          <w:i/>
        </w:rPr>
        <w:t>J Am Chem Soc</w:t>
      </w:r>
      <w:r>
        <w:t xml:space="preserve"> </w:t>
      </w:r>
      <w:r w:rsidRPr="00CA6130">
        <w:rPr>
          <w:b/>
        </w:rPr>
        <w:t>1994</w:t>
      </w:r>
      <w:r>
        <w:t xml:space="preserve">, </w:t>
      </w:r>
      <w:r w:rsidRPr="00CA6130">
        <w:rPr>
          <w:i/>
        </w:rPr>
        <w:t>116 (21)</w:t>
      </w:r>
      <w:r>
        <w:t xml:space="preserve">, 9448–9456. </w:t>
      </w:r>
      <w:hyperlink r:id="rId69" w:history="1">
        <w:r w:rsidRPr="00D810F5">
          <w:rPr>
            <w:rStyle w:val="Hyperlink"/>
          </w:rPr>
          <w:t>https://doi.org/10.1021/JA00100A006</w:t>
        </w:r>
      </w:hyperlink>
      <w:r w:rsidR="00CA6130">
        <w:t xml:space="preserve"> </w:t>
      </w:r>
    </w:p>
    <w:p w14:paraId="17ED919A" w14:textId="4942B875" w:rsidR="00150F53" w:rsidRDefault="00150F53" w:rsidP="00CA6130">
      <w:pPr>
        <w:pStyle w:val="TFReferencesSection"/>
        <w:numPr>
          <w:ilvl w:val="0"/>
          <w:numId w:val="11"/>
        </w:numPr>
        <w:spacing w:after="240"/>
        <w:jc w:val="left"/>
      </w:pPr>
      <w:r>
        <w:t xml:space="preserve">Wu, Y.; Huang, Z.; Lv, K.; Rao, Y.; Chen, Z.; Zhang, J.; Long, J. Producing Methyl P-Coumarate from Herbaceous Lignin via a “Clip-Off” Strategy. </w:t>
      </w:r>
      <w:r w:rsidR="00CA6130" w:rsidRPr="00CA6130">
        <w:rPr>
          <w:i/>
        </w:rPr>
        <w:t>J. Agric. Food Chem.</w:t>
      </w:r>
      <w:r w:rsidR="00CA6130" w:rsidRPr="00CA6130">
        <w:t xml:space="preserve"> </w:t>
      </w:r>
      <w:r w:rsidRPr="00CA6130">
        <w:rPr>
          <w:b/>
        </w:rPr>
        <w:t>2022</w:t>
      </w:r>
      <w:r w:rsidR="00CA6130">
        <w:t xml:space="preserve">, </w:t>
      </w:r>
      <w:r w:rsidR="00CA6130" w:rsidRPr="00CA6130">
        <w:rPr>
          <w:i/>
        </w:rPr>
        <w:t>70</w:t>
      </w:r>
      <w:r w:rsidR="00CA6130" w:rsidRPr="00CA6130">
        <w:t>, 5624−5633</w:t>
      </w:r>
      <w:r w:rsidR="00CA6130">
        <w:t>.</w:t>
      </w:r>
      <w:r>
        <w:t xml:space="preserve"> </w:t>
      </w:r>
      <w:hyperlink r:id="rId70" w:history="1">
        <w:r w:rsidRPr="00D810F5">
          <w:rPr>
            <w:rStyle w:val="Hyperlink"/>
          </w:rPr>
          <w:t>https://doi.org/10.1021/ACS.JAFC.1C08353</w:t>
        </w:r>
      </w:hyperlink>
      <w:r w:rsidR="00CA6130">
        <w:t xml:space="preserve"> </w:t>
      </w:r>
    </w:p>
    <w:p w14:paraId="3DF8B657" w14:textId="04DC565D" w:rsidR="00150F53" w:rsidRDefault="00150F53" w:rsidP="00AD0F79">
      <w:pPr>
        <w:pStyle w:val="TFReferencesSection"/>
        <w:numPr>
          <w:ilvl w:val="0"/>
          <w:numId w:val="11"/>
        </w:numPr>
        <w:spacing w:after="240"/>
        <w:jc w:val="left"/>
      </w:pPr>
      <w:r>
        <w:t xml:space="preserve">Hilgers, R.; Vincken, J. P.; Kabel, M. A. Facile Enzymatic Cγ-Acylation of Lignin Model Compounds. </w:t>
      </w:r>
      <w:r w:rsidRPr="00CA6130">
        <w:rPr>
          <w:i/>
        </w:rPr>
        <w:t>Catalysis Communications</w:t>
      </w:r>
      <w:r>
        <w:t xml:space="preserve"> </w:t>
      </w:r>
      <w:r w:rsidRPr="00CA6130">
        <w:rPr>
          <w:b/>
        </w:rPr>
        <w:t>2020</w:t>
      </w:r>
      <w:r>
        <w:t xml:space="preserve">, </w:t>
      </w:r>
      <w:r w:rsidRPr="00CA6130">
        <w:rPr>
          <w:i/>
        </w:rPr>
        <w:t>136</w:t>
      </w:r>
      <w:r>
        <w:t xml:space="preserve">, 105919. </w:t>
      </w:r>
      <w:hyperlink r:id="rId71" w:history="1">
        <w:r w:rsidRPr="00D810F5">
          <w:rPr>
            <w:rStyle w:val="Hyperlink"/>
          </w:rPr>
          <w:t>https://doi.org/10.1016/J.CATCOM.2019.105919</w:t>
        </w:r>
      </w:hyperlink>
      <w:r w:rsidR="00CA6130">
        <w:t xml:space="preserve"> </w:t>
      </w:r>
    </w:p>
    <w:p w14:paraId="544848E4" w14:textId="1AD95811" w:rsidR="00150F53" w:rsidRDefault="00150F53" w:rsidP="00AD0F79">
      <w:pPr>
        <w:pStyle w:val="TFReferencesSection"/>
        <w:numPr>
          <w:ilvl w:val="0"/>
          <w:numId w:val="11"/>
        </w:numPr>
        <w:spacing w:after="240"/>
        <w:jc w:val="left"/>
      </w:pPr>
      <w:r>
        <w:t xml:space="preserve">Kim, H.; Padmakshan, D.; Li, Y.; Rencoret, J.; Hatfield, R. D.; Ralph, J. Characterization and Elimination of Undesirable Protein Residues in Plant Cell Wall Materials for Enhancing Lignin Analysis by Solution-State Nuclear Magnetic Resonance Spectroscopy. </w:t>
      </w:r>
      <w:r w:rsidRPr="00CA6130">
        <w:rPr>
          <w:i/>
        </w:rPr>
        <w:t>Biomacromolecules</w:t>
      </w:r>
      <w:r>
        <w:t xml:space="preserve"> </w:t>
      </w:r>
      <w:r w:rsidRPr="00CA6130">
        <w:rPr>
          <w:b/>
        </w:rPr>
        <w:t>2017</w:t>
      </w:r>
      <w:r>
        <w:t xml:space="preserve">, </w:t>
      </w:r>
      <w:r w:rsidRPr="00CA6130">
        <w:rPr>
          <w:i/>
        </w:rPr>
        <w:t>18 (12)</w:t>
      </w:r>
      <w:r>
        <w:t xml:space="preserve">, 4184–4195. </w:t>
      </w:r>
      <w:hyperlink r:id="rId72" w:history="1">
        <w:r w:rsidRPr="00D810F5">
          <w:rPr>
            <w:rStyle w:val="Hyperlink"/>
          </w:rPr>
          <w:t>https://doi.org/10.1021/acs.biomac.7b01223</w:t>
        </w:r>
      </w:hyperlink>
      <w:r w:rsidR="00CA6130">
        <w:t xml:space="preserve"> </w:t>
      </w:r>
    </w:p>
    <w:p w14:paraId="595F5CEC" w14:textId="52730982" w:rsidR="002F6043" w:rsidRDefault="00064640" w:rsidP="00AD0F79">
      <w:pPr>
        <w:pStyle w:val="TFReferencesSection"/>
        <w:numPr>
          <w:ilvl w:val="0"/>
          <w:numId w:val="11"/>
        </w:numPr>
        <w:spacing w:after="240"/>
        <w:jc w:val="left"/>
      </w:pPr>
      <w:r w:rsidRPr="00255937">
        <w:t>Kumaniaev, I</w:t>
      </w:r>
      <w:r w:rsidR="004C47F2" w:rsidRPr="00255937">
        <w:t>.;</w:t>
      </w:r>
      <w:r w:rsidRPr="00255937">
        <w:t xml:space="preserve"> Navare</w:t>
      </w:r>
      <w:r w:rsidR="004C47F2" w:rsidRPr="00255937">
        <w:t>, K.;</w:t>
      </w:r>
      <w:r w:rsidRPr="00255937">
        <w:t xml:space="preserve"> Mendes</w:t>
      </w:r>
      <w:r w:rsidR="004C47F2" w:rsidRPr="00255937">
        <w:t>, M. C.;</w:t>
      </w:r>
      <w:r w:rsidRPr="00255937">
        <w:t xml:space="preserve"> Placet, </w:t>
      </w:r>
      <w:r w:rsidR="004C47F2" w:rsidRPr="00255937">
        <w:t>V.;</w:t>
      </w:r>
      <w:r w:rsidRPr="00255937">
        <w:t xml:space="preserve"> Van Acker</w:t>
      </w:r>
      <w:r w:rsidR="00943F61" w:rsidRPr="00255937">
        <w:t>, K.;</w:t>
      </w:r>
      <w:r w:rsidRPr="00255937">
        <w:t xml:space="preserve"> Samec</w:t>
      </w:r>
      <w:r w:rsidR="00943F61" w:rsidRPr="00255937">
        <w:t>, J. S. M.;</w:t>
      </w:r>
      <w:r w:rsidR="000F1F65" w:rsidRPr="00255937">
        <w:t xml:space="preserve"> Conversion of birch bark</w:t>
      </w:r>
      <w:r w:rsidR="000F1F65" w:rsidRPr="000F1F65">
        <w:t xml:space="preserve"> to biofuels</w:t>
      </w:r>
      <w:r w:rsidR="000F1F65">
        <w:t>.</w:t>
      </w:r>
      <w:r w:rsidR="000F1F65" w:rsidRPr="000F1F65">
        <w:t xml:space="preserve"> </w:t>
      </w:r>
      <w:r w:rsidR="000F1F65" w:rsidRPr="000F1F65">
        <w:rPr>
          <w:i/>
          <w:iCs/>
        </w:rPr>
        <w:t>Green Chemistry</w:t>
      </w:r>
      <w:r w:rsidR="000F1F65" w:rsidRPr="000F1F65">
        <w:t xml:space="preserve">, </w:t>
      </w:r>
      <w:r w:rsidR="000F1F65" w:rsidRPr="000F1F65">
        <w:rPr>
          <w:b/>
          <w:bCs/>
        </w:rPr>
        <w:t>2020</w:t>
      </w:r>
      <w:r w:rsidR="000F1F65" w:rsidRPr="000F1F65">
        <w:t xml:space="preserve">, </w:t>
      </w:r>
      <w:r w:rsidR="000F1F65" w:rsidRPr="000F1F65">
        <w:rPr>
          <w:i/>
          <w:iCs/>
        </w:rPr>
        <w:t>22</w:t>
      </w:r>
      <w:r w:rsidR="000F1F65" w:rsidRPr="000F1F65">
        <w:t>, 2255–2263</w:t>
      </w:r>
      <w:r w:rsidR="000F1F65">
        <w:t xml:space="preserve">. </w:t>
      </w:r>
      <w:hyperlink r:id="rId73" w:history="1">
        <w:r w:rsidR="00E20A21" w:rsidRPr="00E20A21">
          <w:rPr>
            <w:rStyle w:val="Hyperlink"/>
          </w:rPr>
          <w:t>https://doi.org/10.1039/D0GC00405G</w:t>
        </w:r>
      </w:hyperlink>
    </w:p>
    <w:p w14:paraId="63836D88" w14:textId="31E2C526" w:rsidR="002F6043" w:rsidRDefault="002F6043" w:rsidP="00CA6130">
      <w:pPr>
        <w:pStyle w:val="TFReferencesSection"/>
        <w:numPr>
          <w:ilvl w:val="0"/>
          <w:numId w:val="11"/>
        </w:numPr>
        <w:spacing w:after="240"/>
        <w:jc w:val="left"/>
      </w:pPr>
      <w:r w:rsidRPr="00BC2A6D">
        <w:lastRenderedPageBreak/>
        <w:t>Hong,</w:t>
      </w:r>
      <w:r w:rsidRPr="00D7214D">
        <w:t xml:space="preserve"> S.; </w:t>
      </w:r>
      <w:r w:rsidRPr="00BC2A6D">
        <w:t>Shen,</w:t>
      </w:r>
      <w:r w:rsidRPr="00D7214D">
        <w:t xml:space="preserve"> X.-J.;</w:t>
      </w:r>
      <w:r w:rsidRPr="00BC2A6D">
        <w:t xml:space="preserve"> Pang,</w:t>
      </w:r>
      <w:r w:rsidRPr="00D7214D">
        <w:t xml:space="preserve"> B.;</w:t>
      </w:r>
      <w:r w:rsidRPr="00BC2A6D">
        <w:t xml:space="preserve"> Xue,</w:t>
      </w:r>
      <w:r w:rsidRPr="00D7214D">
        <w:t xml:space="preserve"> Z.;</w:t>
      </w:r>
      <w:r w:rsidRPr="00BC2A6D">
        <w:t xml:space="preserve"> Cao,</w:t>
      </w:r>
      <w:r w:rsidRPr="00D7214D">
        <w:t xml:space="preserve"> X.-F.; </w:t>
      </w:r>
      <w:r w:rsidRPr="00BC2A6D">
        <w:t>Wen,</w:t>
      </w:r>
      <w:r w:rsidRPr="00D7214D">
        <w:t xml:space="preserve"> J.-L.;</w:t>
      </w:r>
      <w:r w:rsidRPr="00BC2A6D">
        <w:t xml:space="preserve"> Sun,</w:t>
      </w:r>
      <w:r w:rsidRPr="00D7214D">
        <w:t xml:space="preserve"> Z.</w:t>
      </w:r>
      <w:r w:rsidRPr="00BC2A6D">
        <w:t>-H.; Lam, S. S.; Yuan, T.-Q.; Sun, R</w:t>
      </w:r>
      <w:r w:rsidRPr="00D7214D">
        <w:t>.-</w:t>
      </w:r>
      <w:r w:rsidRPr="00BC2A6D">
        <w:t>C.</w:t>
      </w:r>
      <w:r w:rsidRPr="00D7214D">
        <w:t xml:space="preserve"> </w:t>
      </w:r>
      <w:r w:rsidRPr="00BC2A6D">
        <w:t>In-depth interpretation of the structural changes of lignin and formation of diketones during acidic deep eutectic solvent pretreatment</w:t>
      </w:r>
      <w:r>
        <w:t xml:space="preserve">. </w:t>
      </w:r>
      <w:r w:rsidRPr="00CA6130">
        <w:rPr>
          <w:i/>
        </w:rPr>
        <w:t>Green Chem</w:t>
      </w:r>
      <w:r w:rsidR="00CA6130">
        <w:rPr>
          <w:i/>
        </w:rPr>
        <w:t>istry</w:t>
      </w:r>
      <w:r w:rsidRPr="00BC2A6D">
        <w:t xml:space="preserve"> </w:t>
      </w:r>
      <w:r w:rsidRPr="00CA6130">
        <w:rPr>
          <w:b/>
        </w:rPr>
        <w:t>2020</w:t>
      </w:r>
      <w:r w:rsidRPr="00BC2A6D">
        <w:t xml:space="preserve">, </w:t>
      </w:r>
      <w:r w:rsidRPr="00CA6130">
        <w:rPr>
          <w:i/>
        </w:rPr>
        <w:t>22</w:t>
      </w:r>
      <w:r w:rsidRPr="00BC2A6D">
        <w:t>, 1851–1858</w:t>
      </w:r>
      <w:r>
        <w:t xml:space="preserve">. </w:t>
      </w:r>
      <w:hyperlink r:id="rId74" w:history="1">
        <w:r w:rsidR="00CA6130" w:rsidRPr="00D810F5">
          <w:rPr>
            <w:rStyle w:val="Hyperlink"/>
          </w:rPr>
          <w:t>https://doi.org/10.1039/D0GC00006J</w:t>
        </w:r>
      </w:hyperlink>
      <w:r w:rsidR="00CA6130">
        <w:t xml:space="preserve"> </w:t>
      </w:r>
    </w:p>
    <w:p w14:paraId="7D2740C7" w14:textId="0033900F" w:rsidR="002F6043" w:rsidRDefault="002F6043" w:rsidP="00AD0F79">
      <w:pPr>
        <w:pStyle w:val="TFReferencesSection"/>
        <w:numPr>
          <w:ilvl w:val="0"/>
          <w:numId w:val="11"/>
        </w:numPr>
        <w:spacing w:after="240"/>
        <w:jc w:val="left"/>
      </w:pPr>
      <w:r>
        <w:t xml:space="preserve">Panovic, I.; Montgomery, J. R. D.; Lancefield, C. S.; Puri, D.; Lebl, T.; Westwood, N. J. Grafting of Technical Lignins through Regioselective Triazole Formation on β-O-4 Linkages. </w:t>
      </w:r>
      <w:r w:rsidRPr="00CA6130">
        <w:rPr>
          <w:i/>
        </w:rPr>
        <w:t>ACS Sustain. Chem. Eng.</w:t>
      </w:r>
      <w:r>
        <w:t xml:space="preserve"> </w:t>
      </w:r>
      <w:r w:rsidRPr="00CA6130">
        <w:rPr>
          <w:b/>
        </w:rPr>
        <w:t>2017</w:t>
      </w:r>
      <w:r>
        <w:t xml:space="preserve">, </w:t>
      </w:r>
      <w:r w:rsidRPr="00CA6130">
        <w:rPr>
          <w:i/>
        </w:rPr>
        <w:t>5 (11)</w:t>
      </w:r>
      <w:r>
        <w:t xml:space="preserve">, 10640–10648. </w:t>
      </w:r>
      <w:hyperlink r:id="rId75" w:history="1">
        <w:r w:rsidRPr="00D810F5">
          <w:rPr>
            <w:rStyle w:val="Hyperlink"/>
          </w:rPr>
          <w:t>https://doi.org/10.1021/acssuschemeng.7b02575</w:t>
        </w:r>
      </w:hyperlink>
      <w:r w:rsidR="00CA6130">
        <w:t xml:space="preserve"> </w:t>
      </w:r>
    </w:p>
    <w:p w14:paraId="54923EC6" w14:textId="15ED218A" w:rsidR="002F6043" w:rsidRDefault="002F6043" w:rsidP="00AD0F79">
      <w:pPr>
        <w:pStyle w:val="TFReferencesSection"/>
        <w:numPr>
          <w:ilvl w:val="0"/>
          <w:numId w:val="11"/>
        </w:numPr>
        <w:spacing w:after="240"/>
        <w:jc w:val="left"/>
      </w:pPr>
      <w:r>
        <w:t xml:space="preserve">Panovic, I.; Miles-Barrett, D. M.; Lancefield, C. S.; Westwood, N. J. Preparation and Reaction of β-O-4 γ-Aldehyde-Containing Butanosolv Lignins. </w:t>
      </w:r>
      <w:r w:rsidRPr="00E05937">
        <w:rPr>
          <w:i/>
        </w:rPr>
        <w:t>ACS Sustain. Chem. Eng.</w:t>
      </w:r>
      <w:r>
        <w:t xml:space="preserve"> </w:t>
      </w:r>
      <w:r w:rsidRPr="00CA6130">
        <w:rPr>
          <w:b/>
        </w:rPr>
        <w:t>2019</w:t>
      </w:r>
      <w:r>
        <w:t xml:space="preserve">, </w:t>
      </w:r>
      <w:r w:rsidRPr="00CA6130">
        <w:rPr>
          <w:i/>
        </w:rPr>
        <w:t>7 (14)</w:t>
      </w:r>
      <w:r>
        <w:t xml:space="preserve">, 12098–12104. </w:t>
      </w:r>
      <w:hyperlink r:id="rId76" w:history="1">
        <w:r w:rsidRPr="00D810F5">
          <w:rPr>
            <w:rStyle w:val="Hyperlink"/>
          </w:rPr>
          <w:t>https://doi.org/10.1021/acssuschemeng.9b01188</w:t>
        </w:r>
      </w:hyperlink>
      <w:r w:rsidR="00CA6130">
        <w:t xml:space="preserve"> </w:t>
      </w:r>
    </w:p>
    <w:p w14:paraId="64E3323E" w14:textId="17C55EC5" w:rsidR="002F6043" w:rsidRPr="002F6043" w:rsidRDefault="002F6043" w:rsidP="00AD0F79">
      <w:pPr>
        <w:pStyle w:val="TFReferencesSection"/>
        <w:numPr>
          <w:ilvl w:val="0"/>
          <w:numId w:val="11"/>
        </w:numPr>
        <w:spacing w:after="240"/>
        <w:jc w:val="left"/>
        <w:rPr>
          <w:rStyle w:val="Hyperlink"/>
          <w:color w:val="auto"/>
          <w:u w:val="none"/>
        </w:rPr>
      </w:pPr>
      <w:r w:rsidRPr="0063458A">
        <w:t>Gioia</w:t>
      </w:r>
      <w:r w:rsidRPr="00D7214D">
        <w:t>, C.;</w:t>
      </w:r>
      <w:r w:rsidRPr="0063458A">
        <w:t xml:space="preserve"> Colonna,</w:t>
      </w:r>
      <w:r w:rsidRPr="00D7214D">
        <w:t xml:space="preserve"> M.;</w:t>
      </w:r>
      <w:r w:rsidRPr="0063458A">
        <w:t xml:space="preserve"> Tagami,</w:t>
      </w:r>
      <w:r w:rsidRPr="00D7214D">
        <w:t xml:space="preserve"> A.;</w:t>
      </w:r>
      <w:r w:rsidRPr="0063458A">
        <w:t xml:space="preserve"> Medina,</w:t>
      </w:r>
      <w:r w:rsidRPr="00D7214D">
        <w:t xml:space="preserve"> L.;</w:t>
      </w:r>
      <w:r w:rsidRPr="0063458A">
        <w:t xml:space="preserve"> Sevastyanova,</w:t>
      </w:r>
      <w:r w:rsidRPr="00D7214D">
        <w:t xml:space="preserve"> O.;</w:t>
      </w:r>
      <w:r w:rsidRPr="0063458A">
        <w:t xml:space="preserve"> Berglund,</w:t>
      </w:r>
      <w:r w:rsidRPr="00D7214D">
        <w:t xml:space="preserve"> L. A.;</w:t>
      </w:r>
      <w:r w:rsidRPr="0063458A">
        <w:t xml:space="preserve"> Lawoko</w:t>
      </w:r>
      <w:r w:rsidRPr="00D7214D">
        <w:t xml:space="preserve"> M.</w:t>
      </w:r>
      <w:r w:rsidRPr="0063458A">
        <w:t xml:space="preserve"> </w:t>
      </w:r>
      <w:r w:rsidRPr="00D7214D">
        <w:t>Lignin-Based Epoxy Resins: Unravelling the Relationship between Structure and Material Properties</w:t>
      </w:r>
      <w:r>
        <w:t>.</w:t>
      </w:r>
      <w:r w:rsidRPr="00A75C44">
        <w:t xml:space="preserve"> </w:t>
      </w:r>
      <w:r w:rsidRPr="00CA6130">
        <w:rPr>
          <w:i/>
        </w:rPr>
        <w:t>Biomacromolecules</w:t>
      </w:r>
      <w:r w:rsidRPr="00A75C44">
        <w:t xml:space="preserve"> </w:t>
      </w:r>
      <w:r w:rsidRPr="00CA6130">
        <w:rPr>
          <w:b/>
        </w:rPr>
        <w:t>2020</w:t>
      </w:r>
      <w:r w:rsidR="00CA6130">
        <w:t xml:space="preserve">, </w:t>
      </w:r>
      <w:r w:rsidR="00CA6130" w:rsidRPr="00CA6130">
        <w:rPr>
          <w:i/>
        </w:rPr>
        <w:t>21 (</w:t>
      </w:r>
      <w:r w:rsidRPr="00CA6130">
        <w:rPr>
          <w:i/>
        </w:rPr>
        <w:t>5</w:t>
      </w:r>
      <w:r w:rsidR="00CA6130" w:rsidRPr="00CA6130">
        <w:rPr>
          <w:i/>
        </w:rPr>
        <w:t>)</w:t>
      </w:r>
      <w:r w:rsidRPr="00A75C44">
        <w:t>, 1920–1928</w:t>
      </w:r>
      <w:r>
        <w:t xml:space="preserve">. </w:t>
      </w:r>
      <w:hyperlink r:id="rId77" w:tooltip="DOI URL" w:history="1">
        <w:r w:rsidRPr="00A75C44">
          <w:rPr>
            <w:rStyle w:val="Hyperlink"/>
          </w:rPr>
          <w:t>https://doi.org/10.1021/acs.biomac.0c00057</w:t>
        </w:r>
      </w:hyperlink>
      <w:r w:rsidR="00CA6130">
        <w:rPr>
          <w:rStyle w:val="Hyperlink"/>
        </w:rPr>
        <w:t xml:space="preserve"> </w:t>
      </w:r>
    </w:p>
    <w:p w14:paraId="55CA6C66" w14:textId="4A91B59E" w:rsidR="002F6043" w:rsidRDefault="002F6043" w:rsidP="002F6043">
      <w:pPr>
        <w:pStyle w:val="TFReferencesSection"/>
        <w:numPr>
          <w:ilvl w:val="0"/>
          <w:numId w:val="11"/>
        </w:numPr>
        <w:spacing w:after="240"/>
        <w:jc w:val="left"/>
      </w:pPr>
      <w:r w:rsidRPr="009A2FB6">
        <w:t>Ribca</w:t>
      </w:r>
      <w:r>
        <w:t xml:space="preserve">, </w:t>
      </w:r>
      <w:r w:rsidRPr="009A2FB6">
        <w:t>I</w:t>
      </w:r>
      <w:r>
        <w:t>.;</w:t>
      </w:r>
      <w:r w:rsidRPr="009A2FB6">
        <w:t xml:space="preserve"> Sochor</w:t>
      </w:r>
      <w:r>
        <w:t>, B.;</w:t>
      </w:r>
      <w:r w:rsidRPr="009A2FB6">
        <w:t xml:space="preserve"> Betker</w:t>
      </w:r>
      <w:r>
        <w:t>, M.;</w:t>
      </w:r>
      <w:r w:rsidRPr="009A2FB6">
        <w:t xml:space="preserve"> Roth</w:t>
      </w:r>
      <w:r>
        <w:t xml:space="preserve">, S. V.; </w:t>
      </w:r>
      <w:r w:rsidRPr="009A2FB6">
        <w:t>Lawoko</w:t>
      </w:r>
      <w:r>
        <w:t xml:space="preserve">, M.; </w:t>
      </w:r>
      <w:r w:rsidRPr="009A2FB6">
        <w:t>Sevastyanova</w:t>
      </w:r>
      <w:r>
        <w:t xml:space="preserve">, O.; </w:t>
      </w:r>
      <w:r w:rsidRPr="009A2FB6">
        <w:t>Meier</w:t>
      </w:r>
      <w:r>
        <w:t>, M. A. R.;</w:t>
      </w:r>
      <w:r w:rsidRPr="009A2FB6">
        <w:t xml:space="preserve"> Johansson</w:t>
      </w:r>
      <w:r>
        <w:t xml:space="preserve">, M. </w:t>
      </w:r>
      <w:r w:rsidRPr="00524E22">
        <w:t>Impact of lignin source on the performance of thermoset resins</w:t>
      </w:r>
      <w:r>
        <w:t xml:space="preserve">. </w:t>
      </w:r>
      <w:r w:rsidRPr="00CA6130">
        <w:rPr>
          <w:i/>
        </w:rPr>
        <w:t>European Polymer Journal</w:t>
      </w:r>
      <w:r>
        <w:t xml:space="preserve"> </w:t>
      </w:r>
      <w:r w:rsidRPr="00CA6130">
        <w:rPr>
          <w:b/>
        </w:rPr>
        <w:t>2023</w:t>
      </w:r>
      <w:r>
        <w:t>,</w:t>
      </w:r>
      <w:r w:rsidRPr="00433BED">
        <w:t xml:space="preserve"> </w:t>
      </w:r>
      <w:r w:rsidRPr="00CA6130">
        <w:rPr>
          <w:i/>
        </w:rPr>
        <w:t>194</w:t>
      </w:r>
      <w:r>
        <w:t>,</w:t>
      </w:r>
      <w:r w:rsidRPr="00433BED">
        <w:t xml:space="preserve"> 112141</w:t>
      </w:r>
      <w:r>
        <w:t xml:space="preserve">. </w:t>
      </w:r>
      <w:hyperlink r:id="rId78" w:history="1">
        <w:r w:rsidRPr="00683BD1">
          <w:rPr>
            <w:rStyle w:val="Hyperlink"/>
          </w:rPr>
          <w:t>https://doi.org/10.1016/j.eurpolymj.2023.112141</w:t>
        </w:r>
      </w:hyperlink>
      <w:r w:rsidR="00CA6130">
        <w:t xml:space="preserve"> </w:t>
      </w:r>
    </w:p>
    <w:p w14:paraId="2E31A7A3" w14:textId="27AC4873" w:rsidR="002F6043" w:rsidRDefault="002F6043" w:rsidP="002F6043">
      <w:pPr>
        <w:pStyle w:val="TFReferencesSection"/>
        <w:numPr>
          <w:ilvl w:val="0"/>
          <w:numId w:val="11"/>
        </w:numPr>
        <w:spacing w:after="240"/>
        <w:jc w:val="left"/>
      </w:pPr>
      <w:r>
        <w:t xml:space="preserve">Wang, X.; Hu, Y.; Song, L.; Yang, H.; Xing, W.; Lu, H. Synthesis and Characterization of a DOPO-Substitued Organophosphorus Oligomer and Its Application in Flame </w:t>
      </w:r>
      <w:r>
        <w:lastRenderedPageBreak/>
        <w:t xml:space="preserve">Retardant Epoxy Resins. </w:t>
      </w:r>
      <w:r w:rsidRPr="00CA6130">
        <w:rPr>
          <w:i/>
        </w:rPr>
        <w:t>Progress in Organic Coatings</w:t>
      </w:r>
      <w:r>
        <w:t xml:space="preserve"> </w:t>
      </w:r>
      <w:r w:rsidRPr="00CA6130">
        <w:rPr>
          <w:b/>
        </w:rPr>
        <w:t>2011</w:t>
      </w:r>
      <w:r>
        <w:t xml:space="preserve">, </w:t>
      </w:r>
      <w:r w:rsidRPr="00CA6130">
        <w:rPr>
          <w:i/>
        </w:rPr>
        <w:t>71 (1)</w:t>
      </w:r>
      <w:r>
        <w:t xml:space="preserve">, 72–82. </w:t>
      </w:r>
      <w:hyperlink r:id="rId79" w:history="1">
        <w:r w:rsidRPr="00D810F5">
          <w:rPr>
            <w:rStyle w:val="Hyperlink"/>
          </w:rPr>
          <w:t>https://doi.org/10.1016/j.porgcoat.2010.12.013</w:t>
        </w:r>
      </w:hyperlink>
      <w:r w:rsidR="00CA6130">
        <w:t xml:space="preserve"> </w:t>
      </w:r>
    </w:p>
    <w:p w14:paraId="6CF8E01E" w14:textId="30170B83" w:rsidR="002F6043" w:rsidRDefault="002F6043" w:rsidP="002F6043">
      <w:pPr>
        <w:pStyle w:val="TFReferencesSection"/>
        <w:numPr>
          <w:ilvl w:val="0"/>
          <w:numId w:val="11"/>
        </w:numPr>
        <w:spacing w:after="240"/>
        <w:jc w:val="left"/>
      </w:pPr>
      <w:r>
        <w:t xml:space="preserve">Kawamoto, H. Lignin Pyrolysis Reactions. </w:t>
      </w:r>
      <w:r w:rsidRPr="00CA6130">
        <w:rPr>
          <w:i/>
        </w:rPr>
        <w:t>Journal of Wood</w:t>
      </w:r>
      <w:r>
        <w:t xml:space="preserve"> </w:t>
      </w:r>
      <w:r w:rsidRPr="00CA6130">
        <w:rPr>
          <w:i/>
        </w:rPr>
        <w:t>Science</w:t>
      </w:r>
      <w:r>
        <w:t xml:space="preserve"> </w:t>
      </w:r>
      <w:r w:rsidRPr="00CA6130">
        <w:rPr>
          <w:b/>
        </w:rPr>
        <w:t>2017</w:t>
      </w:r>
      <w:r w:rsidR="00CA6130">
        <w:t xml:space="preserve">, </w:t>
      </w:r>
      <w:r w:rsidR="00CA6130" w:rsidRPr="00CA6130">
        <w:rPr>
          <w:i/>
        </w:rPr>
        <w:t>63 (</w:t>
      </w:r>
      <w:r w:rsidRPr="00CA6130">
        <w:rPr>
          <w:i/>
        </w:rPr>
        <w:t>2</w:t>
      </w:r>
      <w:r w:rsidR="00CA6130" w:rsidRPr="00CA6130">
        <w:rPr>
          <w:i/>
        </w:rPr>
        <w:t>)</w:t>
      </w:r>
      <w:r w:rsidR="00CA6130">
        <w:t xml:space="preserve">, </w:t>
      </w:r>
      <w:r>
        <w:t xml:space="preserve">117–132. </w:t>
      </w:r>
      <w:hyperlink r:id="rId80" w:history="1">
        <w:r w:rsidR="00F05F7C" w:rsidRPr="00D810F5">
          <w:rPr>
            <w:rStyle w:val="Hyperlink"/>
          </w:rPr>
          <w:t>https://doi.org/10.1007/S10086-016-1606-Z</w:t>
        </w:r>
      </w:hyperlink>
      <w:r w:rsidR="00CA6130">
        <w:t xml:space="preserve"> </w:t>
      </w:r>
    </w:p>
    <w:p w14:paraId="4846DBCE" w14:textId="00CD8EA6" w:rsidR="00F05F7C" w:rsidRDefault="00F05F7C" w:rsidP="002F6043">
      <w:pPr>
        <w:pStyle w:val="TFReferencesSection"/>
        <w:numPr>
          <w:ilvl w:val="0"/>
          <w:numId w:val="11"/>
        </w:numPr>
        <w:spacing w:after="240"/>
        <w:jc w:val="left"/>
      </w:pPr>
      <w:r>
        <w:t xml:space="preserve">Fan, Y.; Lei, M.; Zhang, Z.; Kong, X.; Xu, W.; Han, Y.; Li, M.; Liu, C.; Xiao, R. Unmasking Radical-Mediated Lignin Pyrolysis after Benzyl Hydroxyl Shielding. </w:t>
      </w:r>
      <w:r w:rsidRPr="00CA6130">
        <w:rPr>
          <w:i/>
        </w:rPr>
        <w:t>Bioresource Technology</w:t>
      </w:r>
      <w:r>
        <w:t xml:space="preserve"> </w:t>
      </w:r>
      <w:r w:rsidRPr="00CA6130">
        <w:rPr>
          <w:b/>
        </w:rPr>
        <w:t>2021</w:t>
      </w:r>
      <w:r>
        <w:t xml:space="preserve">, </w:t>
      </w:r>
      <w:r w:rsidRPr="00CA6130">
        <w:rPr>
          <w:i/>
        </w:rPr>
        <w:t>342</w:t>
      </w:r>
      <w:r>
        <w:t xml:space="preserve">, 125944. </w:t>
      </w:r>
      <w:hyperlink r:id="rId81" w:history="1">
        <w:r w:rsidRPr="00D810F5">
          <w:rPr>
            <w:rStyle w:val="Hyperlink"/>
          </w:rPr>
          <w:t>https://doi.org/10.1016/J.BIORTECH.2021.125944</w:t>
        </w:r>
      </w:hyperlink>
      <w:r w:rsidR="00CA6130">
        <w:t xml:space="preserve"> </w:t>
      </w:r>
    </w:p>
    <w:p w14:paraId="7C227D1F" w14:textId="7AF6F4CF" w:rsidR="00F05F7C" w:rsidRDefault="00F05F7C" w:rsidP="002F6043">
      <w:pPr>
        <w:pStyle w:val="TFReferencesSection"/>
        <w:numPr>
          <w:ilvl w:val="0"/>
          <w:numId w:val="11"/>
        </w:numPr>
        <w:spacing w:after="240"/>
        <w:jc w:val="left"/>
      </w:pPr>
      <w:r>
        <w:t xml:space="preserve">Gong, J.; Li, J.; Xu, J.; Xiang, Z.; Mo, L. Research on Cellulose Nanocrystals Produced from Cellulose Sources with Various Polymorphs. </w:t>
      </w:r>
      <w:r w:rsidRPr="00CA6130">
        <w:rPr>
          <w:i/>
        </w:rPr>
        <w:t>RSC Advances</w:t>
      </w:r>
      <w:r>
        <w:t xml:space="preserve"> </w:t>
      </w:r>
      <w:r w:rsidRPr="00CA6130">
        <w:rPr>
          <w:b/>
        </w:rPr>
        <w:t>2017</w:t>
      </w:r>
      <w:r>
        <w:t xml:space="preserve">, </w:t>
      </w:r>
      <w:r w:rsidRPr="00CA6130">
        <w:rPr>
          <w:i/>
        </w:rPr>
        <w:t>7 (53)</w:t>
      </w:r>
      <w:r>
        <w:t xml:space="preserve">, 33486–33493. </w:t>
      </w:r>
      <w:hyperlink r:id="rId82" w:history="1">
        <w:r w:rsidRPr="00D810F5">
          <w:rPr>
            <w:rStyle w:val="Hyperlink"/>
          </w:rPr>
          <w:t>https://doi.org/10.1039/C7RA06222B</w:t>
        </w:r>
      </w:hyperlink>
      <w:r w:rsidR="00CA6130">
        <w:t xml:space="preserve"> </w:t>
      </w:r>
    </w:p>
    <w:p w14:paraId="499793E1" w14:textId="71B78D86" w:rsidR="00F05F7C" w:rsidRDefault="00F05F7C" w:rsidP="002F6043">
      <w:pPr>
        <w:pStyle w:val="TFReferencesSection"/>
        <w:numPr>
          <w:ilvl w:val="0"/>
          <w:numId w:val="11"/>
        </w:numPr>
        <w:spacing w:after="240"/>
        <w:jc w:val="left"/>
      </w:pPr>
      <w:r>
        <w:t xml:space="preserve">Lu, F.; Ralph, J. Derivatization Followed by Reductive Cleavage (DFRC Method), a New Method for Lignin Analysis: Protocol for Analysis of DFRC Monomers. </w:t>
      </w:r>
      <w:r w:rsidR="00242878" w:rsidRPr="00CA6130">
        <w:rPr>
          <w:i/>
        </w:rPr>
        <w:t>J. Agric. Food Chem.</w:t>
      </w:r>
      <w:r w:rsidR="00242878" w:rsidRPr="00CA6130">
        <w:t xml:space="preserve"> </w:t>
      </w:r>
      <w:r w:rsidRPr="00242878">
        <w:rPr>
          <w:b/>
        </w:rPr>
        <w:t>1997</w:t>
      </w:r>
      <w:r>
        <w:t xml:space="preserve">, </w:t>
      </w:r>
      <w:r w:rsidRPr="00242878">
        <w:rPr>
          <w:i/>
        </w:rPr>
        <w:t>45 (7)</w:t>
      </w:r>
      <w:r>
        <w:t xml:space="preserve">, 2590–2592. </w:t>
      </w:r>
      <w:hyperlink r:id="rId83" w:history="1">
        <w:r w:rsidRPr="00D810F5">
          <w:rPr>
            <w:rStyle w:val="Hyperlink"/>
          </w:rPr>
          <w:t>https://doi.org/10.1021/JF970258H</w:t>
        </w:r>
      </w:hyperlink>
      <w:r w:rsidR="00242878">
        <w:t xml:space="preserve"> </w:t>
      </w:r>
    </w:p>
    <w:p w14:paraId="5A9555C9" w14:textId="2AD7D819" w:rsidR="00F05F7C" w:rsidRDefault="00F05F7C" w:rsidP="002F6043">
      <w:pPr>
        <w:pStyle w:val="TFReferencesSection"/>
        <w:numPr>
          <w:ilvl w:val="0"/>
          <w:numId w:val="11"/>
        </w:numPr>
        <w:spacing w:after="240"/>
        <w:jc w:val="left"/>
      </w:pPr>
      <w:r>
        <w:t xml:space="preserve">Monsoor, M. A.; Kalapathy, U.; Proctor, A. Improved Method for Determination of Pectin Degree of Esterification by Diffuse Reflectance Fourier Transform Infrared Spectroscopy. </w:t>
      </w:r>
      <w:r w:rsidR="00242878" w:rsidRPr="00CA6130">
        <w:rPr>
          <w:i/>
        </w:rPr>
        <w:t>J. Agric. Food Chem.</w:t>
      </w:r>
      <w:r w:rsidR="00242878" w:rsidRPr="00CA6130">
        <w:t xml:space="preserve"> </w:t>
      </w:r>
      <w:r w:rsidRPr="00242878">
        <w:rPr>
          <w:b/>
        </w:rPr>
        <w:t>2001</w:t>
      </w:r>
      <w:r>
        <w:t xml:space="preserve">, </w:t>
      </w:r>
      <w:r w:rsidRPr="00242878">
        <w:rPr>
          <w:i/>
        </w:rPr>
        <w:t>49 (6)</w:t>
      </w:r>
      <w:r>
        <w:t xml:space="preserve">, 2756–2760. </w:t>
      </w:r>
      <w:hyperlink r:id="rId84" w:history="1">
        <w:r w:rsidRPr="00D810F5">
          <w:rPr>
            <w:rStyle w:val="Hyperlink"/>
          </w:rPr>
          <w:t>https://doi.org/10.1021/JF0009448</w:t>
        </w:r>
      </w:hyperlink>
      <w:r w:rsidR="00242878">
        <w:t xml:space="preserve"> </w:t>
      </w:r>
    </w:p>
    <w:p w14:paraId="0ADE43E0" w14:textId="6FB3B42B" w:rsidR="00F05F7C" w:rsidRDefault="00F05F7C" w:rsidP="002F6043">
      <w:pPr>
        <w:pStyle w:val="TFReferencesSection"/>
        <w:numPr>
          <w:ilvl w:val="0"/>
          <w:numId w:val="11"/>
        </w:numPr>
        <w:spacing w:after="240"/>
        <w:jc w:val="left"/>
      </w:pPr>
      <w:r>
        <w:t xml:space="preserve">Zhu, X.; Liu, B.; Zheng, S.; Gao, Y. Quantitative and Structure Analysis of Pectin in Tobacco by </w:t>
      </w:r>
      <w:r w:rsidRPr="00F05F7C">
        <w:rPr>
          <w:vertAlign w:val="superscript"/>
        </w:rPr>
        <w:t>13</w:t>
      </w:r>
      <w:r>
        <w:t xml:space="preserve">C CP/MAS NMR Spectroscopy. </w:t>
      </w:r>
      <w:r w:rsidRPr="00242878">
        <w:rPr>
          <w:i/>
        </w:rPr>
        <w:t>Anal. Methods</w:t>
      </w:r>
      <w:r>
        <w:t xml:space="preserve"> </w:t>
      </w:r>
      <w:r w:rsidRPr="00242878">
        <w:rPr>
          <w:b/>
        </w:rPr>
        <w:t>2014</w:t>
      </w:r>
      <w:r>
        <w:t xml:space="preserve">, </w:t>
      </w:r>
      <w:r w:rsidRPr="00242878">
        <w:rPr>
          <w:i/>
        </w:rPr>
        <w:t>6</w:t>
      </w:r>
      <w:r>
        <w:t xml:space="preserve">, 6407–6413. </w:t>
      </w:r>
      <w:hyperlink r:id="rId85" w:history="1">
        <w:r w:rsidR="00FA1EC7" w:rsidRPr="00D810F5">
          <w:rPr>
            <w:rStyle w:val="Hyperlink"/>
          </w:rPr>
          <w:t>https://doi.org/10.1039/c4ay01156b</w:t>
        </w:r>
      </w:hyperlink>
      <w:r w:rsidR="00242878">
        <w:t xml:space="preserve"> </w:t>
      </w:r>
    </w:p>
    <w:p w14:paraId="77DA9E2A" w14:textId="3EE26D25" w:rsidR="00FA1EC7" w:rsidRPr="00D640E1" w:rsidRDefault="00FA1EC7" w:rsidP="002F6043">
      <w:pPr>
        <w:pStyle w:val="TFReferencesSection"/>
        <w:numPr>
          <w:ilvl w:val="0"/>
          <w:numId w:val="11"/>
        </w:numPr>
        <w:spacing w:after="240"/>
        <w:jc w:val="left"/>
      </w:pPr>
      <w:r>
        <w:lastRenderedPageBreak/>
        <w:t xml:space="preserve">Montgomery, J. R. D.; Bazley, P.; Lebl, T.; Westwood, N. J. Using Fractionation and Diffusion Ordered Spectroscopy to Study Lignin Molecular Weight. </w:t>
      </w:r>
      <w:r w:rsidRPr="00242878">
        <w:rPr>
          <w:i/>
        </w:rPr>
        <w:t>ChemistryOpen</w:t>
      </w:r>
      <w:r>
        <w:t xml:space="preserve"> </w:t>
      </w:r>
      <w:r w:rsidRPr="00D640E1">
        <w:rPr>
          <w:b/>
        </w:rPr>
        <w:t>2019</w:t>
      </w:r>
      <w:r w:rsidRPr="00D640E1">
        <w:t xml:space="preserve">, </w:t>
      </w:r>
      <w:r w:rsidRPr="00D640E1">
        <w:rPr>
          <w:i/>
        </w:rPr>
        <w:t>8 (5)</w:t>
      </w:r>
      <w:r w:rsidRPr="00D640E1">
        <w:t xml:space="preserve">, 601–605. </w:t>
      </w:r>
      <w:hyperlink r:id="rId86" w:history="1">
        <w:r w:rsidRPr="00D640E1">
          <w:rPr>
            <w:rStyle w:val="Hyperlink"/>
          </w:rPr>
          <w:t>https://doi.org/10.1002/open.201900129</w:t>
        </w:r>
      </w:hyperlink>
      <w:r w:rsidR="00242878" w:rsidRPr="00D640E1">
        <w:t xml:space="preserve"> </w:t>
      </w:r>
    </w:p>
    <w:p w14:paraId="6E330437" w14:textId="7D5641E5" w:rsidR="00FC44E1" w:rsidRDefault="00B40EC1" w:rsidP="00046C21">
      <w:pPr>
        <w:pStyle w:val="TFReferencesSection"/>
        <w:numPr>
          <w:ilvl w:val="0"/>
          <w:numId w:val="11"/>
        </w:numPr>
        <w:spacing w:after="0"/>
        <w:jc w:val="left"/>
      </w:pPr>
      <w:r w:rsidRPr="00D640E1">
        <w:t>Duval, A.; Vilaplana, F.; Crestini, C.; Lawoko, M.;</w:t>
      </w:r>
      <w:r w:rsidR="00C57602" w:rsidRPr="00D640E1">
        <w:t xml:space="preserve"> Solvent screening for the fractionation of industrial kraft lignin. </w:t>
      </w:r>
      <w:r w:rsidR="00C57602" w:rsidRPr="00BF7992">
        <w:rPr>
          <w:i/>
          <w:iCs/>
        </w:rPr>
        <w:t>Holzforschung</w:t>
      </w:r>
      <w:r w:rsidR="00C57602" w:rsidRPr="00D640E1">
        <w:t xml:space="preserve">, </w:t>
      </w:r>
      <w:r w:rsidR="00C57602" w:rsidRPr="00BF7992">
        <w:rPr>
          <w:b/>
          <w:bCs/>
        </w:rPr>
        <w:t>2016</w:t>
      </w:r>
      <w:r w:rsidR="00C57602" w:rsidRPr="00D640E1">
        <w:t xml:space="preserve">, </w:t>
      </w:r>
      <w:r w:rsidR="00C57602" w:rsidRPr="00BF7992">
        <w:rPr>
          <w:i/>
          <w:iCs/>
        </w:rPr>
        <w:t>70(1)</w:t>
      </w:r>
      <w:r w:rsidR="00C57602" w:rsidRPr="00D640E1">
        <w:t xml:space="preserve">, 11–20. </w:t>
      </w:r>
      <w:hyperlink r:id="rId87" w:tgtFrame="_blank" w:history="1">
        <w:r w:rsidR="00BF7992" w:rsidRPr="00BF7992">
          <w:rPr>
            <w:rStyle w:val="Hyperlink"/>
          </w:rPr>
          <w:t>https://doi.org/10.1515/hf-2014-0346</w:t>
        </w:r>
      </w:hyperlink>
      <w:r w:rsidR="00FC44E1">
        <w:br w:type="page"/>
      </w:r>
    </w:p>
    <w:p w14:paraId="64A36233" w14:textId="7F36C684" w:rsidR="00A30ADE" w:rsidRDefault="0092121D" w:rsidP="00EA4B10">
      <w:pPr>
        <w:pStyle w:val="SNSynopsisTOC"/>
        <w:spacing w:after="240"/>
        <w:jc w:val="left"/>
      </w:pPr>
      <w:r>
        <w:rPr>
          <w:noProof/>
          <w:lang w:eastAsia="en-GB"/>
        </w:rPr>
        <w:lastRenderedPageBreak/>
        <w:drawing>
          <wp:inline distT="0" distB="0" distL="0" distR="0" wp14:anchorId="6552CE4C" wp14:editId="2E03A83E">
            <wp:extent cx="3178800" cy="1713600"/>
            <wp:effectExtent l="0" t="0" r="3175" b="1270"/>
            <wp:docPr id="106620299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178800" cy="1713600"/>
                    </a:xfrm>
                    <a:prstGeom prst="rect">
                      <a:avLst/>
                    </a:prstGeom>
                    <a:noFill/>
                    <a:ln>
                      <a:noFill/>
                    </a:ln>
                  </pic:spPr>
                </pic:pic>
              </a:graphicData>
            </a:graphic>
          </wp:inline>
        </w:drawing>
      </w:r>
    </w:p>
    <w:p w14:paraId="2161452D" w14:textId="0CB304E6" w:rsidR="009246AD" w:rsidRDefault="00EA4B10" w:rsidP="00EA4B10">
      <w:pPr>
        <w:pStyle w:val="SNSynopsisTOC"/>
        <w:spacing w:after="240"/>
        <w:jc w:val="left"/>
      </w:pPr>
      <w:r>
        <w:t xml:space="preserve">Lignin derived from cocoa pod husk waste from chocolate production </w:t>
      </w:r>
      <w:r w:rsidR="00246B57">
        <w:t xml:space="preserve">was isolated, characterised and modified </w:t>
      </w:r>
      <w:r>
        <w:t>to produce novel flame-retardant materials.</w:t>
      </w:r>
    </w:p>
    <w:sectPr w:rsidR="009246AD" w:rsidSect="000B5610">
      <w:footerReference w:type="even" r:id="rId89"/>
      <w:footerReference w:type="default" r:id="rId90"/>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7992DD" w14:textId="77777777" w:rsidR="007512C5" w:rsidRDefault="007512C5">
      <w:r>
        <w:separator/>
      </w:r>
    </w:p>
  </w:endnote>
  <w:endnote w:type="continuationSeparator" w:id="0">
    <w:p w14:paraId="2D9A0A74" w14:textId="77777777" w:rsidR="007512C5" w:rsidRDefault="007512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altName w:val="Times New Roman"/>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D142C" w14:textId="77777777" w:rsidR="00F46988" w:rsidRDefault="00F469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D4BD3CB" w14:textId="77777777" w:rsidR="00F46988" w:rsidRDefault="00F4698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58AD0" w14:textId="6BB81F88" w:rsidR="00F46988" w:rsidRDefault="00F469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6232B">
      <w:rPr>
        <w:rStyle w:val="PageNumber"/>
        <w:noProof/>
      </w:rPr>
      <w:t>33</w:t>
    </w:r>
    <w:r>
      <w:rPr>
        <w:rStyle w:val="PageNumber"/>
      </w:rPr>
      <w:fldChar w:fldCharType="end"/>
    </w:r>
  </w:p>
  <w:p w14:paraId="66DAF1E7" w14:textId="77777777" w:rsidR="00F46988" w:rsidRDefault="00F4698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495E69" w14:textId="77777777" w:rsidR="007512C5" w:rsidRDefault="007512C5">
      <w:r>
        <w:separator/>
      </w:r>
    </w:p>
  </w:footnote>
  <w:footnote w:type="continuationSeparator" w:id="0">
    <w:p w14:paraId="1B716732" w14:textId="77777777" w:rsidR="007512C5" w:rsidRDefault="007512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041D90"/>
    <w:multiLevelType w:val="hybridMultilevel"/>
    <w:tmpl w:val="ACCE0F78"/>
    <w:lvl w:ilvl="0" w:tplc="C88A0C8C">
      <w:start w:val="1"/>
      <w:numFmt w:val="decimal"/>
      <w:lvlText w:val="(%1)"/>
      <w:lvlJc w:val="left"/>
      <w:pPr>
        <w:ind w:left="727" w:hanging="540"/>
      </w:pPr>
      <w:rPr>
        <w:rFonts w:hint="default"/>
      </w:rPr>
    </w:lvl>
    <w:lvl w:ilvl="1" w:tplc="08090019" w:tentative="1">
      <w:start w:val="1"/>
      <w:numFmt w:val="lowerLetter"/>
      <w:lvlText w:val="%2."/>
      <w:lvlJc w:val="left"/>
      <w:pPr>
        <w:ind w:left="1267" w:hanging="360"/>
      </w:pPr>
    </w:lvl>
    <w:lvl w:ilvl="2" w:tplc="0809001B" w:tentative="1">
      <w:start w:val="1"/>
      <w:numFmt w:val="lowerRoman"/>
      <w:lvlText w:val="%3."/>
      <w:lvlJc w:val="right"/>
      <w:pPr>
        <w:ind w:left="1987" w:hanging="180"/>
      </w:pPr>
    </w:lvl>
    <w:lvl w:ilvl="3" w:tplc="0809000F" w:tentative="1">
      <w:start w:val="1"/>
      <w:numFmt w:val="decimal"/>
      <w:lvlText w:val="%4."/>
      <w:lvlJc w:val="left"/>
      <w:pPr>
        <w:ind w:left="2707" w:hanging="360"/>
      </w:pPr>
    </w:lvl>
    <w:lvl w:ilvl="4" w:tplc="08090019" w:tentative="1">
      <w:start w:val="1"/>
      <w:numFmt w:val="lowerLetter"/>
      <w:lvlText w:val="%5."/>
      <w:lvlJc w:val="left"/>
      <w:pPr>
        <w:ind w:left="3427" w:hanging="360"/>
      </w:pPr>
    </w:lvl>
    <w:lvl w:ilvl="5" w:tplc="0809001B" w:tentative="1">
      <w:start w:val="1"/>
      <w:numFmt w:val="lowerRoman"/>
      <w:lvlText w:val="%6."/>
      <w:lvlJc w:val="right"/>
      <w:pPr>
        <w:ind w:left="4147" w:hanging="180"/>
      </w:pPr>
    </w:lvl>
    <w:lvl w:ilvl="6" w:tplc="0809000F" w:tentative="1">
      <w:start w:val="1"/>
      <w:numFmt w:val="decimal"/>
      <w:lvlText w:val="%7."/>
      <w:lvlJc w:val="left"/>
      <w:pPr>
        <w:ind w:left="4867" w:hanging="360"/>
      </w:pPr>
    </w:lvl>
    <w:lvl w:ilvl="7" w:tplc="08090019" w:tentative="1">
      <w:start w:val="1"/>
      <w:numFmt w:val="lowerLetter"/>
      <w:lvlText w:val="%8."/>
      <w:lvlJc w:val="left"/>
      <w:pPr>
        <w:ind w:left="5587" w:hanging="360"/>
      </w:pPr>
    </w:lvl>
    <w:lvl w:ilvl="8" w:tplc="0809001B" w:tentative="1">
      <w:start w:val="1"/>
      <w:numFmt w:val="lowerRoman"/>
      <w:lvlText w:val="%9."/>
      <w:lvlJc w:val="right"/>
      <w:pPr>
        <w:ind w:left="6307" w:hanging="180"/>
      </w:pPr>
    </w:lvl>
  </w:abstractNum>
  <w:abstractNum w:abstractNumId="2"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6"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8"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9"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0"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1" w15:restartNumberingAfterBreak="0">
    <w:nsid w:val="71F21247"/>
    <w:multiLevelType w:val="hybridMultilevel"/>
    <w:tmpl w:val="6FB04F00"/>
    <w:lvl w:ilvl="0" w:tplc="26E47296">
      <w:start w:val="21"/>
      <w:numFmt w:val="decimal"/>
      <w:lvlText w:val="(%1)"/>
      <w:lvlJc w:val="left"/>
      <w:pPr>
        <w:ind w:left="577" w:hanging="390"/>
      </w:pPr>
      <w:rPr>
        <w:rFonts w:hint="default"/>
      </w:rPr>
    </w:lvl>
    <w:lvl w:ilvl="1" w:tplc="08090019" w:tentative="1">
      <w:start w:val="1"/>
      <w:numFmt w:val="lowerLetter"/>
      <w:lvlText w:val="%2."/>
      <w:lvlJc w:val="left"/>
      <w:pPr>
        <w:ind w:left="1267" w:hanging="360"/>
      </w:pPr>
    </w:lvl>
    <w:lvl w:ilvl="2" w:tplc="0809001B" w:tentative="1">
      <w:start w:val="1"/>
      <w:numFmt w:val="lowerRoman"/>
      <w:lvlText w:val="%3."/>
      <w:lvlJc w:val="right"/>
      <w:pPr>
        <w:ind w:left="1987" w:hanging="180"/>
      </w:pPr>
    </w:lvl>
    <w:lvl w:ilvl="3" w:tplc="0809000F" w:tentative="1">
      <w:start w:val="1"/>
      <w:numFmt w:val="decimal"/>
      <w:lvlText w:val="%4."/>
      <w:lvlJc w:val="left"/>
      <w:pPr>
        <w:ind w:left="2707" w:hanging="360"/>
      </w:pPr>
    </w:lvl>
    <w:lvl w:ilvl="4" w:tplc="08090019" w:tentative="1">
      <w:start w:val="1"/>
      <w:numFmt w:val="lowerLetter"/>
      <w:lvlText w:val="%5."/>
      <w:lvlJc w:val="left"/>
      <w:pPr>
        <w:ind w:left="3427" w:hanging="360"/>
      </w:pPr>
    </w:lvl>
    <w:lvl w:ilvl="5" w:tplc="0809001B" w:tentative="1">
      <w:start w:val="1"/>
      <w:numFmt w:val="lowerRoman"/>
      <w:lvlText w:val="%6."/>
      <w:lvlJc w:val="right"/>
      <w:pPr>
        <w:ind w:left="4147" w:hanging="180"/>
      </w:pPr>
    </w:lvl>
    <w:lvl w:ilvl="6" w:tplc="0809000F" w:tentative="1">
      <w:start w:val="1"/>
      <w:numFmt w:val="decimal"/>
      <w:lvlText w:val="%7."/>
      <w:lvlJc w:val="left"/>
      <w:pPr>
        <w:ind w:left="4867" w:hanging="360"/>
      </w:pPr>
    </w:lvl>
    <w:lvl w:ilvl="7" w:tplc="08090019" w:tentative="1">
      <w:start w:val="1"/>
      <w:numFmt w:val="lowerLetter"/>
      <w:lvlText w:val="%8."/>
      <w:lvlJc w:val="left"/>
      <w:pPr>
        <w:ind w:left="5587" w:hanging="360"/>
      </w:pPr>
    </w:lvl>
    <w:lvl w:ilvl="8" w:tplc="0809001B" w:tentative="1">
      <w:start w:val="1"/>
      <w:numFmt w:val="lowerRoman"/>
      <w:lvlText w:val="%9."/>
      <w:lvlJc w:val="right"/>
      <w:pPr>
        <w:ind w:left="6307" w:hanging="180"/>
      </w:pPr>
    </w:lvl>
  </w:abstractNum>
  <w:num w:numId="1" w16cid:durableId="18940784">
    <w:abstractNumId w:val="9"/>
  </w:num>
  <w:num w:numId="2" w16cid:durableId="390233615">
    <w:abstractNumId w:val="7"/>
  </w:num>
  <w:num w:numId="3" w16cid:durableId="1580943247">
    <w:abstractNumId w:val="10"/>
  </w:num>
  <w:num w:numId="4" w16cid:durableId="1029331562">
    <w:abstractNumId w:val="8"/>
  </w:num>
  <w:num w:numId="5" w16cid:durableId="976960199">
    <w:abstractNumId w:val="6"/>
  </w:num>
  <w:num w:numId="6" w16cid:durableId="1412700287">
    <w:abstractNumId w:val="5"/>
  </w:num>
  <w:num w:numId="7" w16cid:durableId="1504322383">
    <w:abstractNumId w:val="4"/>
  </w:num>
  <w:num w:numId="8" w16cid:durableId="1603493060">
    <w:abstractNumId w:val="2"/>
  </w:num>
  <w:num w:numId="9" w16cid:durableId="1490751490">
    <w:abstractNumId w:val="0"/>
  </w:num>
  <w:num w:numId="10" w16cid:durableId="1956716864">
    <w:abstractNumId w:val="3"/>
  </w:num>
  <w:num w:numId="11" w16cid:durableId="212893616">
    <w:abstractNumId w:val="1"/>
  </w:num>
  <w:num w:numId="12" w16cid:durableId="207207159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23E7"/>
    <w:rsid w:val="000002F2"/>
    <w:rsid w:val="00004F25"/>
    <w:rsid w:val="00027A2B"/>
    <w:rsid w:val="00034939"/>
    <w:rsid w:val="0003610B"/>
    <w:rsid w:val="00047EF6"/>
    <w:rsid w:val="0005660F"/>
    <w:rsid w:val="00062432"/>
    <w:rsid w:val="00064640"/>
    <w:rsid w:val="000702AD"/>
    <w:rsid w:val="000731BC"/>
    <w:rsid w:val="00074C20"/>
    <w:rsid w:val="00076245"/>
    <w:rsid w:val="00080236"/>
    <w:rsid w:val="000827DD"/>
    <w:rsid w:val="00083124"/>
    <w:rsid w:val="00093FEE"/>
    <w:rsid w:val="00096115"/>
    <w:rsid w:val="000A19A3"/>
    <w:rsid w:val="000B2EEB"/>
    <w:rsid w:val="000B5610"/>
    <w:rsid w:val="000C05CC"/>
    <w:rsid w:val="000C3CE2"/>
    <w:rsid w:val="000D0272"/>
    <w:rsid w:val="000D727B"/>
    <w:rsid w:val="000F1F65"/>
    <w:rsid w:val="000F77F4"/>
    <w:rsid w:val="00112C7E"/>
    <w:rsid w:val="00121D3F"/>
    <w:rsid w:val="0013178B"/>
    <w:rsid w:val="00143BD5"/>
    <w:rsid w:val="001453C8"/>
    <w:rsid w:val="00150F53"/>
    <w:rsid w:val="00151446"/>
    <w:rsid w:val="001610D0"/>
    <w:rsid w:val="00171799"/>
    <w:rsid w:val="00171C5A"/>
    <w:rsid w:val="00175761"/>
    <w:rsid w:val="00175A05"/>
    <w:rsid w:val="00182949"/>
    <w:rsid w:val="00190D76"/>
    <w:rsid w:val="00195ACA"/>
    <w:rsid w:val="00195E79"/>
    <w:rsid w:val="001963E2"/>
    <w:rsid w:val="001A7A90"/>
    <w:rsid w:val="001B1368"/>
    <w:rsid w:val="001B3E43"/>
    <w:rsid w:val="001C3924"/>
    <w:rsid w:val="001C48C8"/>
    <w:rsid w:val="00212B1D"/>
    <w:rsid w:val="00212EB9"/>
    <w:rsid w:val="0022744C"/>
    <w:rsid w:val="002344A6"/>
    <w:rsid w:val="00242878"/>
    <w:rsid w:val="00246B57"/>
    <w:rsid w:val="00253C63"/>
    <w:rsid w:val="00255937"/>
    <w:rsid w:val="00270A26"/>
    <w:rsid w:val="00271A02"/>
    <w:rsid w:val="00271A20"/>
    <w:rsid w:val="00275658"/>
    <w:rsid w:val="002A116B"/>
    <w:rsid w:val="002A27CA"/>
    <w:rsid w:val="002A2FD5"/>
    <w:rsid w:val="002A7493"/>
    <w:rsid w:val="002B4D53"/>
    <w:rsid w:val="002C3431"/>
    <w:rsid w:val="002D48FB"/>
    <w:rsid w:val="002D554A"/>
    <w:rsid w:val="002D58DF"/>
    <w:rsid w:val="002E2689"/>
    <w:rsid w:val="002F6043"/>
    <w:rsid w:val="00307FFA"/>
    <w:rsid w:val="003127F3"/>
    <w:rsid w:val="00312CF4"/>
    <w:rsid w:val="0031373B"/>
    <w:rsid w:val="00313AEB"/>
    <w:rsid w:val="00317043"/>
    <w:rsid w:val="00317988"/>
    <w:rsid w:val="00324128"/>
    <w:rsid w:val="00325945"/>
    <w:rsid w:val="00341FE3"/>
    <w:rsid w:val="00345500"/>
    <w:rsid w:val="00346226"/>
    <w:rsid w:val="00347518"/>
    <w:rsid w:val="00354C8C"/>
    <w:rsid w:val="00361E35"/>
    <w:rsid w:val="0036232B"/>
    <w:rsid w:val="003664E9"/>
    <w:rsid w:val="003679A1"/>
    <w:rsid w:val="0037409F"/>
    <w:rsid w:val="0037571E"/>
    <w:rsid w:val="00375FBE"/>
    <w:rsid w:val="00387100"/>
    <w:rsid w:val="003873BB"/>
    <w:rsid w:val="0039251D"/>
    <w:rsid w:val="003935BE"/>
    <w:rsid w:val="00395D43"/>
    <w:rsid w:val="0039631A"/>
    <w:rsid w:val="0039672D"/>
    <w:rsid w:val="003A42F0"/>
    <w:rsid w:val="003A470F"/>
    <w:rsid w:val="003B284D"/>
    <w:rsid w:val="003B4AF3"/>
    <w:rsid w:val="003B6DAA"/>
    <w:rsid w:val="003D4448"/>
    <w:rsid w:val="003D70D4"/>
    <w:rsid w:val="003E1F76"/>
    <w:rsid w:val="003F4E86"/>
    <w:rsid w:val="003F7C41"/>
    <w:rsid w:val="0041776E"/>
    <w:rsid w:val="00420D09"/>
    <w:rsid w:val="00433BED"/>
    <w:rsid w:val="00437E57"/>
    <w:rsid w:val="0044448C"/>
    <w:rsid w:val="00457C74"/>
    <w:rsid w:val="00460BD9"/>
    <w:rsid w:val="00475FD2"/>
    <w:rsid w:val="004815D7"/>
    <w:rsid w:val="004A0373"/>
    <w:rsid w:val="004A7821"/>
    <w:rsid w:val="004B724C"/>
    <w:rsid w:val="004C1313"/>
    <w:rsid w:val="004C45DC"/>
    <w:rsid w:val="004C47F2"/>
    <w:rsid w:val="004C71CC"/>
    <w:rsid w:val="004E283C"/>
    <w:rsid w:val="004E7185"/>
    <w:rsid w:val="004F11C9"/>
    <w:rsid w:val="0051342D"/>
    <w:rsid w:val="00514492"/>
    <w:rsid w:val="00520D73"/>
    <w:rsid w:val="005220EA"/>
    <w:rsid w:val="0052466A"/>
    <w:rsid w:val="00524E22"/>
    <w:rsid w:val="00526BD1"/>
    <w:rsid w:val="005553EF"/>
    <w:rsid w:val="00567E81"/>
    <w:rsid w:val="005813EC"/>
    <w:rsid w:val="00585A95"/>
    <w:rsid w:val="00591527"/>
    <w:rsid w:val="00591A57"/>
    <w:rsid w:val="00594897"/>
    <w:rsid w:val="005A23E7"/>
    <w:rsid w:val="005D0C10"/>
    <w:rsid w:val="005D5DF8"/>
    <w:rsid w:val="005D7EA7"/>
    <w:rsid w:val="005F2C98"/>
    <w:rsid w:val="00601EDC"/>
    <w:rsid w:val="0060321C"/>
    <w:rsid w:val="006129DD"/>
    <w:rsid w:val="00613A94"/>
    <w:rsid w:val="006239E7"/>
    <w:rsid w:val="0063458A"/>
    <w:rsid w:val="00634BC1"/>
    <w:rsid w:val="00636F3D"/>
    <w:rsid w:val="006455A5"/>
    <w:rsid w:val="00661992"/>
    <w:rsid w:val="00683131"/>
    <w:rsid w:val="00686056"/>
    <w:rsid w:val="0069697D"/>
    <w:rsid w:val="006975A4"/>
    <w:rsid w:val="00697BA4"/>
    <w:rsid w:val="006A358F"/>
    <w:rsid w:val="006A3E34"/>
    <w:rsid w:val="006B1F0C"/>
    <w:rsid w:val="006B2581"/>
    <w:rsid w:val="006B7FC9"/>
    <w:rsid w:val="006D0778"/>
    <w:rsid w:val="006D215F"/>
    <w:rsid w:val="006E26AF"/>
    <w:rsid w:val="006E2B05"/>
    <w:rsid w:val="006E3805"/>
    <w:rsid w:val="006E42CD"/>
    <w:rsid w:val="006F18C9"/>
    <w:rsid w:val="006F1AB0"/>
    <w:rsid w:val="006F7C8F"/>
    <w:rsid w:val="007000D9"/>
    <w:rsid w:val="00702BB2"/>
    <w:rsid w:val="00703D51"/>
    <w:rsid w:val="00704078"/>
    <w:rsid w:val="007048E4"/>
    <w:rsid w:val="00710B6E"/>
    <w:rsid w:val="00747701"/>
    <w:rsid w:val="007512C5"/>
    <w:rsid w:val="007629D3"/>
    <w:rsid w:val="00762BBF"/>
    <w:rsid w:val="00764302"/>
    <w:rsid w:val="00766BF8"/>
    <w:rsid w:val="00771940"/>
    <w:rsid w:val="00772D4B"/>
    <w:rsid w:val="00783C6A"/>
    <w:rsid w:val="00791A9E"/>
    <w:rsid w:val="00794616"/>
    <w:rsid w:val="007A11AD"/>
    <w:rsid w:val="007A46FC"/>
    <w:rsid w:val="007A5495"/>
    <w:rsid w:val="007A7C81"/>
    <w:rsid w:val="007C0C97"/>
    <w:rsid w:val="007D4F8E"/>
    <w:rsid w:val="007E4845"/>
    <w:rsid w:val="007F6287"/>
    <w:rsid w:val="008047DE"/>
    <w:rsid w:val="00810C89"/>
    <w:rsid w:val="00816BDA"/>
    <w:rsid w:val="00821068"/>
    <w:rsid w:val="00832C52"/>
    <w:rsid w:val="00843194"/>
    <w:rsid w:val="00843771"/>
    <w:rsid w:val="00845AA9"/>
    <w:rsid w:val="0085436D"/>
    <w:rsid w:val="00856A2D"/>
    <w:rsid w:val="00857C02"/>
    <w:rsid w:val="00860A84"/>
    <w:rsid w:val="008633FA"/>
    <w:rsid w:val="008655C0"/>
    <w:rsid w:val="00865834"/>
    <w:rsid w:val="00870F0E"/>
    <w:rsid w:val="0087432F"/>
    <w:rsid w:val="00880D3E"/>
    <w:rsid w:val="008900A6"/>
    <w:rsid w:val="00892E26"/>
    <w:rsid w:val="0089495A"/>
    <w:rsid w:val="008978EB"/>
    <w:rsid w:val="008A1249"/>
    <w:rsid w:val="008A42BC"/>
    <w:rsid w:val="008A5A51"/>
    <w:rsid w:val="008A6A92"/>
    <w:rsid w:val="008C0017"/>
    <w:rsid w:val="008C7210"/>
    <w:rsid w:val="008D30F9"/>
    <w:rsid w:val="008D53B2"/>
    <w:rsid w:val="008E7E8E"/>
    <w:rsid w:val="00901D9D"/>
    <w:rsid w:val="0090533C"/>
    <w:rsid w:val="00911F26"/>
    <w:rsid w:val="00912169"/>
    <w:rsid w:val="00913179"/>
    <w:rsid w:val="0092037A"/>
    <w:rsid w:val="0092121D"/>
    <w:rsid w:val="009246AD"/>
    <w:rsid w:val="00930618"/>
    <w:rsid w:val="00931811"/>
    <w:rsid w:val="009414E5"/>
    <w:rsid w:val="00943F61"/>
    <w:rsid w:val="00946369"/>
    <w:rsid w:val="00947172"/>
    <w:rsid w:val="0095511A"/>
    <w:rsid w:val="0095794C"/>
    <w:rsid w:val="00963403"/>
    <w:rsid w:val="00977C16"/>
    <w:rsid w:val="00977F56"/>
    <w:rsid w:val="00981D58"/>
    <w:rsid w:val="00983652"/>
    <w:rsid w:val="00990C6E"/>
    <w:rsid w:val="009A2FB6"/>
    <w:rsid w:val="009A7909"/>
    <w:rsid w:val="009C6EC8"/>
    <w:rsid w:val="009D5262"/>
    <w:rsid w:val="009D6993"/>
    <w:rsid w:val="009E1E61"/>
    <w:rsid w:val="009E25E4"/>
    <w:rsid w:val="009E5BC0"/>
    <w:rsid w:val="009F0515"/>
    <w:rsid w:val="009F2A52"/>
    <w:rsid w:val="009F2E7E"/>
    <w:rsid w:val="009F37E0"/>
    <w:rsid w:val="009F54FD"/>
    <w:rsid w:val="009F5BB2"/>
    <w:rsid w:val="00A02D62"/>
    <w:rsid w:val="00A20C64"/>
    <w:rsid w:val="00A20EB5"/>
    <w:rsid w:val="00A2141F"/>
    <w:rsid w:val="00A2517F"/>
    <w:rsid w:val="00A2730B"/>
    <w:rsid w:val="00A27708"/>
    <w:rsid w:val="00A30ADE"/>
    <w:rsid w:val="00A30BEC"/>
    <w:rsid w:val="00A3126D"/>
    <w:rsid w:val="00A31738"/>
    <w:rsid w:val="00A51CA2"/>
    <w:rsid w:val="00A6225C"/>
    <w:rsid w:val="00A724D0"/>
    <w:rsid w:val="00A73DC9"/>
    <w:rsid w:val="00A75C44"/>
    <w:rsid w:val="00A764EF"/>
    <w:rsid w:val="00A80CC7"/>
    <w:rsid w:val="00A91A72"/>
    <w:rsid w:val="00A95AAA"/>
    <w:rsid w:val="00AB04B9"/>
    <w:rsid w:val="00AB34C5"/>
    <w:rsid w:val="00AB7615"/>
    <w:rsid w:val="00AD0F79"/>
    <w:rsid w:val="00AD5BB8"/>
    <w:rsid w:val="00AE09AC"/>
    <w:rsid w:val="00AF1B4C"/>
    <w:rsid w:val="00AF2D04"/>
    <w:rsid w:val="00AF4F6D"/>
    <w:rsid w:val="00AF56B0"/>
    <w:rsid w:val="00AF5A77"/>
    <w:rsid w:val="00AF7678"/>
    <w:rsid w:val="00AF7F6A"/>
    <w:rsid w:val="00B05A88"/>
    <w:rsid w:val="00B0685C"/>
    <w:rsid w:val="00B10BC9"/>
    <w:rsid w:val="00B15E23"/>
    <w:rsid w:val="00B221D7"/>
    <w:rsid w:val="00B31256"/>
    <w:rsid w:val="00B36F40"/>
    <w:rsid w:val="00B37AEF"/>
    <w:rsid w:val="00B40EC1"/>
    <w:rsid w:val="00B44641"/>
    <w:rsid w:val="00B615EE"/>
    <w:rsid w:val="00B62D9D"/>
    <w:rsid w:val="00B7618D"/>
    <w:rsid w:val="00B77E35"/>
    <w:rsid w:val="00B80778"/>
    <w:rsid w:val="00BA528B"/>
    <w:rsid w:val="00BA7299"/>
    <w:rsid w:val="00BB5200"/>
    <w:rsid w:val="00BB55A0"/>
    <w:rsid w:val="00BB570E"/>
    <w:rsid w:val="00BC2A6D"/>
    <w:rsid w:val="00BD2C44"/>
    <w:rsid w:val="00BE63D8"/>
    <w:rsid w:val="00BF7992"/>
    <w:rsid w:val="00C10EB4"/>
    <w:rsid w:val="00C10EE0"/>
    <w:rsid w:val="00C12556"/>
    <w:rsid w:val="00C1597E"/>
    <w:rsid w:val="00C21BFE"/>
    <w:rsid w:val="00C32101"/>
    <w:rsid w:val="00C45270"/>
    <w:rsid w:val="00C53384"/>
    <w:rsid w:val="00C56499"/>
    <w:rsid w:val="00C57602"/>
    <w:rsid w:val="00C6170A"/>
    <w:rsid w:val="00C855A0"/>
    <w:rsid w:val="00C85946"/>
    <w:rsid w:val="00C95D34"/>
    <w:rsid w:val="00C97265"/>
    <w:rsid w:val="00C978BB"/>
    <w:rsid w:val="00CA6130"/>
    <w:rsid w:val="00CB62D5"/>
    <w:rsid w:val="00CC0456"/>
    <w:rsid w:val="00CC078B"/>
    <w:rsid w:val="00CC1DDF"/>
    <w:rsid w:val="00CD2820"/>
    <w:rsid w:val="00CD48C0"/>
    <w:rsid w:val="00CE21A2"/>
    <w:rsid w:val="00CE796F"/>
    <w:rsid w:val="00D05263"/>
    <w:rsid w:val="00D1078F"/>
    <w:rsid w:val="00D206FC"/>
    <w:rsid w:val="00D318E5"/>
    <w:rsid w:val="00D32E24"/>
    <w:rsid w:val="00D35A05"/>
    <w:rsid w:val="00D36642"/>
    <w:rsid w:val="00D45BA0"/>
    <w:rsid w:val="00D52B5A"/>
    <w:rsid w:val="00D627DF"/>
    <w:rsid w:val="00D640E1"/>
    <w:rsid w:val="00D66066"/>
    <w:rsid w:val="00D70919"/>
    <w:rsid w:val="00D7214D"/>
    <w:rsid w:val="00D82477"/>
    <w:rsid w:val="00D960B1"/>
    <w:rsid w:val="00DA5E0C"/>
    <w:rsid w:val="00DB1C11"/>
    <w:rsid w:val="00DB3017"/>
    <w:rsid w:val="00DC2268"/>
    <w:rsid w:val="00DD09B8"/>
    <w:rsid w:val="00DD2790"/>
    <w:rsid w:val="00DD6877"/>
    <w:rsid w:val="00DD69AC"/>
    <w:rsid w:val="00DD6DBB"/>
    <w:rsid w:val="00DE101F"/>
    <w:rsid w:val="00DE3601"/>
    <w:rsid w:val="00DE5961"/>
    <w:rsid w:val="00DF5694"/>
    <w:rsid w:val="00E0187E"/>
    <w:rsid w:val="00E05937"/>
    <w:rsid w:val="00E074F2"/>
    <w:rsid w:val="00E10CA6"/>
    <w:rsid w:val="00E16732"/>
    <w:rsid w:val="00E20A21"/>
    <w:rsid w:val="00E2229B"/>
    <w:rsid w:val="00E31988"/>
    <w:rsid w:val="00E40AB4"/>
    <w:rsid w:val="00E4237C"/>
    <w:rsid w:val="00E60AAF"/>
    <w:rsid w:val="00E6196A"/>
    <w:rsid w:val="00E67FEC"/>
    <w:rsid w:val="00E74287"/>
    <w:rsid w:val="00E87A26"/>
    <w:rsid w:val="00E91482"/>
    <w:rsid w:val="00E96302"/>
    <w:rsid w:val="00E974BB"/>
    <w:rsid w:val="00E97D18"/>
    <w:rsid w:val="00EA3FE6"/>
    <w:rsid w:val="00EA4B10"/>
    <w:rsid w:val="00EB5A1F"/>
    <w:rsid w:val="00EB7E2F"/>
    <w:rsid w:val="00EC02A4"/>
    <w:rsid w:val="00EC5ADE"/>
    <w:rsid w:val="00ED159B"/>
    <w:rsid w:val="00EE3B92"/>
    <w:rsid w:val="00EF2BB9"/>
    <w:rsid w:val="00F05F7C"/>
    <w:rsid w:val="00F076BD"/>
    <w:rsid w:val="00F134F5"/>
    <w:rsid w:val="00F15C8E"/>
    <w:rsid w:val="00F15D0D"/>
    <w:rsid w:val="00F308C6"/>
    <w:rsid w:val="00F328DA"/>
    <w:rsid w:val="00F32F1E"/>
    <w:rsid w:val="00F33E4C"/>
    <w:rsid w:val="00F46988"/>
    <w:rsid w:val="00F47B85"/>
    <w:rsid w:val="00F5459D"/>
    <w:rsid w:val="00F54BDD"/>
    <w:rsid w:val="00F5645C"/>
    <w:rsid w:val="00F62127"/>
    <w:rsid w:val="00F7068A"/>
    <w:rsid w:val="00F82A0B"/>
    <w:rsid w:val="00F83BD5"/>
    <w:rsid w:val="00FA1EC7"/>
    <w:rsid w:val="00FA7503"/>
    <w:rsid w:val="00FB06A4"/>
    <w:rsid w:val="00FB1029"/>
    <w:rsid w:val="00FB3FDD"/>
    <w:rsid w:val="00FC44E1"/>
    <w:rsid w:val="00FC5D5C"/>
    <w:rsid w:val="00FD36A9"/>
    <w:rsid w:val="00FE0BE9"/>
    <w:rsid w:val="00FE6219"/>
    <w:rsid w:val="00FF2D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79F68698"/>
  <w15:docId w15:val="{F9EBC20A-7D5D-4C94-ABD3-AE92CF1CD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00"/>
      <w:jc w:val="both"/>
    </w:pPr>
    <w:rPr>
      <w:rFonts w:ascii="Times" w:hAnsi="Times"/>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paragraph" w:customStyle="1" w:styleId="RSCI02FigureSchemeChartwithtopbar">
    <w:name w:val="RSC I02 Figure/Scheme/Chart with top bar"/>
    <w:basedOn w:val="Normal"/>
    <w:link w:val="RSCI02FigureSchemeChartwithtopbarChar"/>
    <w:qFormat/>
    <w:rsid w:val="00D52B5A"/>
    <w:pPr>
      <w:pBdr>
        <w:top w:val="single" w:sz="12" w:space="5" w:color="999999"/>
      </w:pBdr>
      <w:spacing w:before="120" w:after="40"/>
    </w:pPr>
    <w:rPr>
      <w:rFonts w:asciiTheme="minorHAnsi" w:eastAsiaTheme="minorHAnsi" w:hAnsiTheme="minorHAnsi"/>
      <w:w w:val="108"/>
      <w:sz w:val="14"/>
      <w:szCs w:val="18"/>
    </w:rPr>
  </w:style>
  <w:style w:type="character" w:customStyle="1" w:styleId="RSCI02FigureSchemeChartwithtopbarChar">
    <w:name w:val="RSC I02 Figure/Scheme/Chart with top bar Char"/>
    <w:basedOn w:val="DefaultParagraphFont"/>
    <w:link w:val="RSCI02FigureSchemeChartwithtopbar"/>
    <w:rsid w:val="00D52B5A"/>
    <w:rPr>
      <w:rFonts w:asciiTheme="minorHAnsi" w:eastAsiaTheme="minorHAnsi" w:hAnsiTheme="minorHAnsi"/>
      <w:w w:val="108"/>
      <w:sz w:val="14"/>
      <w:szCs w:val="18"/>
      <w:lang w:val="en-GB"/>
    </w:rPr>
  </w:style>
  <w:style w:type="character" w:styleId="CommentReference">
    <w:name w:val="annotation reference"/>
    <w:basedOn w:val="DefaultParagraphFont"/>
    <w:semiHidden/>
    <w:unhideWhenUsed/>
    <w:rsid w:val="008A6A92"/>
    <w:rPr>
      <w:sz w:val="16"/>
      <w:szCs w:val="16"/>
    </w:rPr>
  </w:style>
  <w:style w:type="paragraph" w:styleId="CommentText">
    <w:name w:val="annotation text"/>
    <w:basedOn w:val="Normal"/>
    <w:link w:val="CommentTextChar"/>
    <w:semiHidden/>
    <w:unhideWhenUsed/>
    <w:rsid w:val="008A6A92"/>
    <w:rPr>
      <w:sz w:val="20"/>
    </w:rPr>
  </w:style>
  <w:style w:type="character" w:customStyle="1" w:styleId="CommentTextChar">
    <w:name w:val="Comment Text Char"/>
    <w:basedOn w:val="DefaultParagraphFont"/>
    <w:link w:val="CommentText"/>
    <w:semiHidden/>
    <w:rsid w:val="008A6A92"/>
    <w:rPr>
      <w:rFonts w:ascii="Times" w:hAnsi="Times"/>
      <w:lang w:val="en-GB"/>
    </w:rPr>
  </w:style>
  <w:style w:type="paragraph" w:styleId="CommentSubject">
    <w:name w:val="annotation subject"/>
    <w:basedOn w:val="CommentText"/>
    <w:next w:val="CommentText"/>
    <w:link w:val="CommentSubjectChar"/>
    <w:semiHidden/>
    <w:unhideWhenUsed/>
    <w:rsid w:val="008A6A92"/>
    <w:rPr>
      <w:b/>
      <w:bCs/>
    </w:rPr>
  </w:style>
  <w:style w:type="character" w:customStyle="1" w:styleId="CommentSubjectChar">
    <w:name w:val="Comment Subject Char"/>
    <w:basedOn w:val="CommentTextChar"/>
    <w:link w:val="CommentSubject"/>
    <w:semiHidden/>
    <w:rsid w:val="008A6A92"/>
    <w:rPr>
      <w:rFonts w:ascii="Times" w:hAnsi="Times"/>
      <w:b/>
      <w:bCs/>
      <w:lang w:val="en-GB"/>
    </w:rPr>
  </w:style>
  <w:style w:type="paragraph" w:styleId="Revision">
    <w:name w:val="Revision"/>
    <w:hidden/>
    <w:uiPriority w:val="99"/>
    <w:semiHidden/>
    <w:rsid w:val="008A6A92"/>
    <w:rPr>
      <w:rFonts w:ascii="Times" w:hAnsi="Times"/>
      <w:sz w:val="24"/>
      <w:lang w:val="en-GB"/>
    </w:rPr>
  </w:style>
  <w:style w:type="character" w:customStyle="1" w:styleId="UnresolvedMention1">
    <w:name w:val="Unresolved Mention1"/>
    <w:basedOn w:val="DefaultParagraphFont"/>
    <w:uiPriority w:val="99"/>
    <w:semiHidden/>
    <w:unhideWhenUsed/>
    <w:rsid w:val="00843771"/>
    <w:rPr>
      <w:color w:val="605E5C"/>
      <w:shd w:val="clear" w:color="auto" w:fill="E1DFDD"/>
    </w:rPr>
  </w:style>
  <w:style w:type="character" w:styleId="UnresolvedMention">
    <w:name w:val="Unresolved Mention"/>
    <w:basedOn w:val="DefaultParagraphFont"/>
    <w:uiPriority w:val="99"/>
    <w:semiHidden/>
    <w:unhideWhenUsed/>
    <w:rsid w:val="00BF7992"/>
    <w:rPr>
      <w:color w:val="605E5C"/>
      <w:shd w:val="clear" w:color="auto" w:fill="E1DFDD"/>
    </w:rPr>
  </w:style>
  <w:style w:type="paragraph" w:styleId="ListParagraph">
    <w:name w:val="List Paragraph"/>
    <w:basedOn w:val="Normal"/>
    <w:uiPriority w:val="34"/>
    <w:qFormat/>
    <w:rsid w:val="00E319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77463">
      <w:bodyDiv w:val="1"/>
      <w:marLeft w:val="0"/>
      <w:marRight w:val="0"/>
      <w:marTop w:val="0"/>
      <w:marBottom w:val="0"/>
      <w:divBdr>
        <w:top w:val="none" w:sz="0" w:space="0" w:color="auto"/>
        <w:left w:val="none" w:sz="0" w:space="0" w:color="auto"/>
        <w:bottom w:val="none" w:sz="0" w:space="0" w:color="auto"/>
        <w:right w:val="none" w:sz="0" w:space="0" w:color="auto"/>
      </w:divBdr>
    </w:div>
    <w:div w:id="241574858">
      <w:bodyDiv w:val="1"/>
      <w:marLeft w:val="0"/>
      <w:marRight w:val="0"/>
      <w:marTop w:val="0"/>
      <w:marBottom w:val="0"/>
      <w:divBdr>
        <w:top w:val="none" w:sz="0" w:space="0" w:color="auto"/>
        <w:left w:val="none" w:sz="0" w:space="0" w:color="auto"/>
        <w:bottom w:val="none" w:sz="0" w:space="0" w:color="auto"/>
        <w:right w:val="none" w:sz="0" w:space="0" w:color="auto"/>
      </w:divBdr>
      <w:divsChild>
        <w:div w:id="377515680">
          <w:marLeft w:val="0"/>
          <w:marRight w:val="0"/>
          <w:marTop w:val="0"/>
          <w:marBottom w:val="0"/>
          <w:divBdr>
            <w:top w:val="none" w:sz="0" w:space="0" w:color="auto"/>
            <w:left w:val="none" w:sz="0" w:space="0" w:color="auto"/>
            <w:bottom w:val="none" w:sz="0" w:space="0" w:color="auto"/>
            <w:right w:val="none" w:sz="0" w:space="0" w:color="auto"/>
          </w:divBdr>
          <w:divsChild>
            <w:div w:id="455687199">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489442110">
      <w:bodyDiv w:val="1"/>
      <w:marLeft w:val="0"/>
      <w:marRight w:val="0"/>
      <w:marTop w:val="0"/>
      <w:marBottom w:val="0"/>
      <w:divBdr>
        <w:top w:val="none" w:sz="0" w:space="0" w:color="auto"/>
        <w:left w:val="none" w:sz="0" w:space="0" w:color="auto"/>
        <w:bottom w:val="none" w:sz="0" w:space="0" w:color="auto"/>
        <w:right w:val="none" w:sz="0" w:space="0" w:color="auto"/>
      </w:divBdr>
    </w:div>
    <w:div w:id="557977957">
      <w:bodyDiv w:val="1"/>
      <w:marLeft w:val="0"/>
      <w:marRight w:val="0"/>
      <w:marTop w:val="0"/>
      <w:marBottom w:val="0"/>
      <w:divBdr>
        <w:top w:val="none" w:sz="0" w:space="0" w:color="auto"/>
        <w:left w:val="none" w:sz="0" w:space="0" w:color="auto"/>
        <w:bottom w:val="none" w:sz="0" w:space="0" w:color="auto"/>
        <w:right w:val="none" w:sz="0" w:space="0" w:color="auto"/>
      </w:divBdr>
    </w:div>
    <w:div w:id="715548607">
      <w:bodyDiv w:val="1"/>
      <w:marLeft w:val="0"/>
      <w:marRight w:val="0"/>
      <w:marTop w:val="0"/>
      <w:marBottom w:val="0"/>
      <w:divBdr>
        <w:top w:val="none" w:sz="0" w:space="0" w:color="auto"/>
        <w:left w:val="none" w:sz="0" w:space="0" w:color="auto"/>
        <w:bottom w:val="none" w:sz="0" w:space="0" w:color="auto"/>
        <w:right w:val="none" w:sz="0" w:space="0" w:color="auto"/>
      </w:divBdr>
      <w:divsChild>
        <w:div w:id="1371607741">
          <w:marLeft w:val="150"/>
          <w:marRight w:val="0"/>
          <w:marTop w:val="150"/>
          <w:marBottom w:val="0"/>
          <w:divBdr>
            <w:top w:val="none" w:sz="0" w:space="0" w:color="auto"/>
            <w:left w:val="none" w:sz="0" w:space="0" w:color="auto"/>
            <w:bottom w:val="none" w:sz="0" w:space="0" w:color="auto"/>
            <w:right w:val="none" w:sz="0" w:space="0" w:color="auto"/>
          </w:divBdr>
        </w:div>
        <w:div w:id="892930430">
          <w:marLeft w:val="150"/>
          <w:marRight w:val="150"/>
          <w:marTop w:val="0"/>
          <w:marBottom w:val="15"/>
          <w:divBdr>
            <w:top w:val="none" w:sz="0" w:space="0" w:color="auto"/>
            <w:left w:val="none" w:sz="0" w:space="0" w:color="auto"/>
            <w:bottom w:val="none" w:sz="0" w:space="0" w:color="auto"/>
            <w:right w:val="none" w:sz="0" w:space="0" w:color="auto"/>
          </w:divBdr>
          <w:divsChild>
            <w:div w:id="657002948">
              <w:marLeft w:val="0"/>
              <w:marRight w:val="0"/>
              <w:marTop w:val="0"/>
              <w:marBottom w:val="0"/>
              <w:divBdr>
                <w:top w:val="none" w:sz="0" w:space="0" w:color="auto"/>
                <w:left w:val="none" w:sz="0" w:space="0" w:color="auto"/>
                <w:bottom w:val="none" w:sz="0" w:space="0" w:color="auto"/>
                <w:right w:val="none" w:sz="0" w:space="0" w:color="auto"/>
              </w:divBdr>
              <w:divsChild>
                <w:div w:id="1555845914">
                  <w:marLeft w:val="0"/>
                  <w:marRight w:val="0"/>
                  <w:marTop w:val="0"/>
                  <w:marBottom w:val="0"/>
                  <w:divBdr>
                    <w:top w:val="none" w:sz="0" w:space="0" w:color="auto"/>
                    <w:left w:val="none" w:sz="0" w:space="0" w:color="auto"/>
                    <w:bottom w:val="none" w:sz="0" w:space="0" w:color="auto"/>
                    <w:right w:val="none" w:sz="0" w:space="0" w:color="auto"/>
                  </w:divBdr>
                  <w:divsChild>
                    <w:div w:id="171365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54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516965">
      <w:bodyDiv w:val="1"/>
      <w:marLeft w:val="0"/>
      <w:marRight w:val="0"/>
      <w:marTop w:val="0"/>
      <w:marBottom w:val="0"/>
      <w:divBdr>
        <w:top w:val="none" w:sz="0" w:space="0" w:color="auto"/>
        <w:left w:val="none" w:sz="0" w:space="0" w:color="auto"/>
        <w:bottom w:val="none" w:sz="0" w:space="0" w:color="auto"/>
        <w:right w:val="none" w:sz="0" w:space="0" w:color="auto"/>
      </w:divBdr>
    </w:div>
    <w:div w:id="860584317">
      <w:bodyDiv w:val="1"/>
      <w:marLeft w:val="0"/>
      <w:marRight w:val="0"/>
      <w:marTop w:val="0"/>
      <w:marBottom w:val="0"/>
      <w:divBdr>
        <w:top w:val="none" w:sz="0" w:space="0" w:color="auto"/>
        <w:left w:val="none" w:sz="0" w:space="0" w:color="auto"/>
        <w:bottom w:val="none" w:sz="0" w:space="0" w:color="auto"/>
        <w:right w:val="none" w:sz="0" w:space="0" w:color="auto"/>
      </w:divBdr>
      <w:divsChild>
        <w:div w:id="320886681">
          <w:marLeft w:val="0"/>
          <w:marRight w:val="0"/>
          <w:marTop w:val="0"/>
          <w:marBottom w:val="0"/>
          <w:divBdr>
            <w:top w:val="none" w:sz="0" w:space="0" w:color="auto"/>
            <w:left w:val="none" w:sz="0" w:space="0" w:color="auto"/>
            <w:bottom w:val="none" w:sz="0" w:space="0" w:color="auto"/>
            <w:right w:val="none" w:sz="0" w:space="0" w:color="auto"/>
          </w:divBdr>
        </w:div>
        <w:div w:id="558781555">
          <w:marLeft w:val="0"/>
          <w:marRight w:val="0"/>
          <w:marTop w:val="0"/>
          <w:marBottom w:val="0"/>
          <w:divBdr>
            <w:top w:val="none" w:sz="0" w:space="0" w:color="auto"/>
            <w:left w:val="none" w:sz="0" w:space="0" w:color="auto"/>
            <w:bottom w:val="none" w:sz="0" w:space="0" w:color="auto"/>
            <w:right w:val="none" w:sz="0" w:space="0" w:color="auto"/>
          </w:divBdr>
        </w:div>
        <w:div w:id="1854146593">
          <w:marLeft w:val="0"/>
          <w:marRight w:val="0"/>
          <w:marTop w:val="0"/>
          <w:marBottom w:val="0"/>
          <w:divBdr>
            <w:top w:val="none" w:sz="0" w:space="0" w:color="auto"/>
            <w:left w:val="none" w:sz="0" w:space="0" w:color="auto"/>
            <w:bottom w:val="none" w:sz="0" w:space="0" w:color="auto"/>
            <w:right w:val="none" w:sz="0" w:space="0" w:color="auto"/>
          </w:divBdr>
        </w:div>
        <w:div w:id="1948270414">
          <w:marLeft w:val="0"/>
          <w:marRight w:val="0"/>
          <w:marTop w:val="0"/>
          <w:marBottom w:val="0"/>
          <w:divBdr>
            <w:top w:val="none" w:sz="0" w:space="0" w:color="auto"/>
            <w:left w:val="none" w:sz="0" w:space="0" w:color="auto"/>
            <w:bottom w:val="none" w:sz="0" w:space="0" w:color="auto"/>
            <w:right w:val="none" w:sz="0" w:space="0" w:color="auto"/>
          </w:divBdr>
        </w:div>
      </w:divsChild>
    </w:div>
    <w:div w:id="941033836">
      <w:bodyDiv w:val="1"/>
      <w:marLeft w:val="0"/>
      <w:marRight w:val="0"/>
      <w:marTop w:val="0"/>
      <w:marBottom w:val="0"/>
      <w:divBdr>
        <w:top w:val="none" w:sz="0" w:space="0" w:color="auto"/>
        <w:left w:val="none" w:sz="0" w:space="0" w:color="auto"/>
        <w:bottom w:val="none" w:sz="0" w:space="0" w:color="auto"/>
        <w:right w:val="none" w:sz="0" w:space="0" w:color="auto"/>
      </w:divBdr>
    </w:div>
    <w:div w:id="1058163505">
      <w:bodyDiv w:val="1"/>
      <w:marLeft w:val="0"/>
      <w:marRight w:val="0"/>
      <w:marTop w:val="0"/>
      <w:marBottom w:val="0"/>
      <w:divBdr>
        <w:top w:val="none" w:sz="0" w:space="0" w:color="auto"/>
        <w:left w:val="none" w:sz="0" w:space="0" w:color="auto"/>
        <w:bottom w:val="none" w:sz="0" w:space="0" w:color="auto"/>
        <w:right w:val="none" w:sz="0" w:space="0" w:color="auto"/>
      </w:divBdr>
    </w:div>
    <w:div w:id="1138375191">
      <w:bodyDiv w:val="1"/>
      <w:marLeft w:val="0"/>
      <w:marRight w:val="0"/>
      <w:marTop w:val="0"/>
      <w:marBottom w:val="0"/>
      <w:divBdr>
        <w:top w:val="none" w:sz="0" w:space="0" w:color="auto"/>
        <w:left w:val="none" w:sz="0" w:space="0" w:color="auto"/>
        <w:bottom w:val="none" w:sz="0" w:space="0" w:color="auto"/>
        <w:right w:val="none" w:sz="0" w:space="0" w:color="auto"/>
      </w:divBdr>
    </w:div>
    <w:div w:id="1169170920">
      <w:bodyDiv w:val="1"/>
      <w:marLeft w:val="0"/>
      <w:marRight w:val="0"/>
      <w:marTop w:val="0"/>
      <w:marBottom w:val="0"/>
      <w:divBdr>
        <w:top w:val="none" w:sz="0" w:space="0" w:color="auto"/>
        <w:left w:val="none" w:sz="0" w:space="0" w:color="auto"/>
        <w:bottom w:val="none" w:sz="0" w:space="0" w:color="auto"/>
        <w:right w:val="none" w:sz="0" w:space="0" w:color="auto"/>
      </w:divBdr>
    </w:div>
    <w:div w:id="1177422954">
      <w:bodyDiv w:val="1"/>
      <w:marLeft w:val="0"/>
      <w:marRight w:val="0"/>
      <w:marTop w:val="0"/>
      <w:marBottom w:val="0"/>
      <w:divBdr>
        <w:top w:val="none" w:sz="0" w:space="0" w:color="auto"/>
        <w:left w:val="none" w:sz="0" w:space="0" w:color="auto"/>
        <w:bottom w:val="none" w:sz="0" w:space="0" w:color="auto"/>
        <w:right w:val="none" w:sz="0" w:space="0" w:color="auto"/>
      </w:divBdr>
    </w:div>
    <w:div w:id="1185945705">
      <w:bodyDiv w:val="1"/>
      <w:marLeft w:val="0"/>
      <w:marRight w:val="0"/>
      <w:marTop w:val="0"/>
      <w:marBottom w:val="0"/>
      <w:divBdr>
        <w:top w:val="none" w:sz="0" w:space="0" w:color="auto"/>
        <w:left w:val="none" w:sz="0" w:space="0" w:color="auto"/>
        <w:bottom w:val="none" w:sz="0" w:space="0" w:color="auto"/>
        <w:right w:val="none" w:sz="0" w:space="0" w:color="auto"/>
      </w:divBdr>
      <w:divsChild>
        <w:div w:id="41099296">
          <w:marLeft w:val="0"/>
          <w:marRight w:val="0"/>
          <w:marTop w:val="0"/>
          <w:marBottom w:val="0"/>
          <w:divBdr>
            <w:top w:val="none" w:sz="0" w:space="0" w:color="auto"/>
            <w:left w:val="none" w:sz="0" w:space="0" w:color="auto"/>
            <w:bottom w:val="none" w:sz="0" w:space="0" w:color="auto"/>
            <w:right w:val="none" w:sz="0" w:space="0" w:color="auto"/>
          </w:divBdr>
        </w:div>
        <w:div w:id="256981118">
          <w:marLeft w:val="0"/>
          <w:marRight w:val="0"/>
          <w:marTop w:val="0"/>
          <w:marBottom w:val="0"/>
          <w:divBdr>
            <w:top w:val="none" w:sz="0" w:space="0" w:color="auto"/>
            <w:left w:val="none" w:sz="0" w:space="0" w:color="auto"/>
            <w:bottom w:val="none" w:sz="0" w:space="0" w:color="auto"/>
            <w:right w:val="none" w:sz="0" w:space="0" w:color="auto"/>
          </w:divBdr>
          <w:divsChild>
            <w:div w:id="123089287">
              <w:marLeft w:val="0"/>
              <w:marRight w:val="0"/>
              <w:marTop w:val="0"/>
              <w:marBottom w:val="0"/>
              <w:divBdr>
                <w:top w:val="none" w:sz="0" w:space="0" w:color="auto"/>
                <w:left w:val="none" w:sz="0" w:space="0" w:color="auto"/>
                <w:bottom w:val="none" w:sz="0" w:space="0" w:color="auto"/>
                <w:right w:val="none" w:sz="0" w:space="0" w:color="auto"/>
              </w:divBdr>
              <w:divsChild>
                <w:div w:id="1027680829">
                  <w:marLeft w:val="0"/>
                  <w:marRight w:val="0"/>
                  <w:marTop w:val="0"/>
                  <w:marBottom w:val="0"/>
                  <w:divBdr>
                    <w:top w:val="none" w:sz="0" w:space="0" w:color="auto"/>
                    <w:left w:val="none" w:sz="0" w:space="0" w:color="auto"/>
                    <w:bottom w:val="none" w:sz="0" w:space="0" w:color="auto"/>
                    <w:right w:val="none" w:sz="0" w:space="0" w:color="auto"/>
                  </w:divBdr>
                  <w:divsChild>
                    <w:div w:id="1676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31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190198">
      <w:bodyDiv w:val="1"/>
      <w:marLeft w:val="0"/>
      <w:marRight w:val="0"/>
      <w:marTop w:val="0"/>
      <w:marBottom w:val="0"/>
      <w:divBdr>
        <w:top w:val="none" w:sz="0" w:space="0" w:color="auto"/>
        <w:left w:val="none" w:sz="0" w:space="0" w:color="auto"/>
        <w:bottom w:val="none" w:sz="0" w:space="0" w:color="auto"/>
        <w:right w:val="none" w:sz="0" w:space="0" w:color="auto"/>
      </w:divBdr>
    </w:div>
    <w:div w:id="1280722298">
      <w:bodyDiv w:val="1"/>
      <w:marLeft w:val="0"/>
      <w:marRight w:val="0"/>
      <w:marTop w:val="0"/>
      <w:marBottom w:val="0"/>
      <w:divBdr>
        <w:top w:val="none" w:sz="0" w:space="0" w:color="auto"/>
        <w:left w:val="none" w:sz="0" w:space="0" w:color="auto"/>
        <w:bottom w:val="none" w:sz="0" w:space="0" w:color="auto"/>
        <w:right w:val="none" w:sz="0" w:space="0" w:color="auto"/>
      </w:divBdr>
    </w:div>
    <w:div w:id="1302462468">
      <w:bodyDiv w:val="1"/>
      <w:marLeft w:val="0"/>
      <w:marRight w:val="0"/>
      <w:marTop w:val="0"/>
      <w:marBottom w:val="0"/>
      <w:divBdr>
        <w:top w:val="none" w:sz="0" w:space="0" w:color="auto"/>
        <w:left w:val="none" w:sz="0" w:space="0" w:color="auto"/>
        <w:bottom w:val="none" w:sz="0" w:space="0" w:color="auto"/>
        <w:right w:val="none" w:sz="0" w:space="0" w:color="auto"/>
      </w:divBdr>
    </w:div>
    <w:div w:id="1318337393">
      <w:bodyDiv w:val="1"/>
      <w:marLeft w:val="0"/>
      <w:marRight w:val="0"/>
      <w:marTop w:val="0"/>
      <w:marBottom w:val="0"/>
      <w:divBdr>
        <w:top w:val="none" w:sz="0" w:space="0" w:color="auto"/>
        <w:left w:val="none" w:sz="0" w:space="0" w:color="auto"/>
        <w:bottom w:val="none" w:sz="0" w:space="0" w:color="auto"/>
        <w:right w:val="none" w:sz="0" w:space="0" w:color="auto"/>
      </w:divBdr>
    </w:div>
    <w:div w:id="1386639815">
      <w:bodyDiv w:val="1"/>
      <w:marLeft w:val="0"/>
      <w:marRight w:val="0"/>
      <w:marTop w:val="0"/>
      <w:marBottom w:val="0"/>
      <w:divBdr>
        <w:top w:val="none" w:sz="0" w:space="0" w:color="auto"/>
        <w:left w:val="none" w:sz="0" w:space="0" w:color="auto"/>
        <w:bottom w:val="none" w:sz="0" w:space="0" w:color="auto"/>
        <w:right w:val="none" w:sz="0" w:space="0" w:color="auto"/>
      </w:divBdr>
    </w:div>
    <w:div w:id="1564944075">
      <w:bodyDiv w:val="1"/>
      <w:marLeft w:val="0"/>
      <w:marRight w:val="0"/>
      <w:marTop w:val="0"/>
      <w:marBottom w:val="0"/>
      <w:divBdr>
        <w:top w:val="none" w:sz="0" w:space="0" w:color="auto"/>
        <w:left w:val="none" w:sz="0" w:space="0" w:color="auto"/>
        <w:bottom w:val="none" w:sz="0" w:space="0" w:color="auto"/>
        <w:right w:val="none" w:sz="0" w:space="0" w:color="auto"/>
      </w:divBdr>
    </w:div>
    <w:div w:id="1645810746">
      <w:bodyDiv w:val="1"/>
      <w:marLeft w:val="0"/>
      <w:marRight w:val="0"/>
      <w:marTop w:val="0"/>
      <w:marBottom w:val="0"/>
      <w:divBdr>
        <w:top w:val="none" w:sz="0" w:space="0" w:color="auto"/>
        <w:left w:val="none" w:sz="0" w:space="0" w:color="auto"/>
        <w:bottom w:val="none" w:sz="0" w:space="0" w:color="auto"/>
        <w:right w:val="none" w:sz="0" w:space="0" w:color="auto"/>
      </w:divBdr>
    </w:div>
    <w:div w:id="1843156743">
      <w:bodyDiv w:val="1"/>
      <w:marLeft w:val="0"/>
      <w:marRight w:val="0"/>
      <w:marTop w:val="0"/>
      <w:marBottom w:val="0"/>
      <w:divBdr>
        <w:top w:val="none" w:sz="0" w:space="0" w:color="auto"/>
        <w:left w:val="none" w:sz="0" w:space="0" w:color="auto"/>
        <w:bottom w:val="none" w:sz="0" w:space="0" w:color="auto"/>
        <w:right w:val="none" w:sz="0" w:space="0" w:color="auto"/>
      </w:divBdr>
    </w:div>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 w:id="1920291077">
      <w:bodyDiv w:val="1"/>
      <w:marLeft w:val="0"/>
      <w:marRight w:val="0"/>
      <w:marTop w:val="0"/>
      <w:marBottom w:val="0"/>
      <w:divBdr>
        <w:top w:val="none" w:sz="0" w:space="0" w:color="auto"/>
        <w:left w:val="none" w:sz="0" w:space="0" w:color="auto"/>
        <w:bottom w:val="none" w:sz="0" w:space="0" w:color="auto"/>
        <w:right w:val="none" w:sz="0" w:space="0" w:color="auto"/>
      </w:divBdr>
      <w:divsChild>
        <w:div w:id="943342513">
          <w:marLeft w:val="0"/>
          <w:marRight w:val="0"/>
          <w:marTop w:val="0"/>
          <w:marBottom w:val="0"/>
          <w:divBdr>
            <w:top w:val="none" w:sz="0" w:space="0" w:color="auto"/>
            <w:left w:val="none" w:sz="0" w:space="0" w:color="auto"/>
            <w:bottom w:val="none" w:sz="0" w:space="0" w:color="auto"/>
            <w:right w:val="none" w:sz="0" w:space="0" w:color="auto"/>
          </w:divBdr>
          <w:divsChild>
            <w:div w:id="1447694432">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1927763205">
      <w:bodyDiv w:val="1"/>
      <w:marLeft w:val="0"/>
      <w:marRight w:val="0"/>
      <w:marTop w:val="0"/>
      <w:marBottom w:val="0"/>
      <w:divBdr>
        <w:top w:val="none" w:sz="0" w:space="0" w:color="auto"/>
        <w:left w:val="none" w:sz="0" w:space="0" w:color="auto"/>
        <w:bottom w:val="none" w:sz="0" w:space="0" w:color="auto"/>
        <w:right w:val="none" w:sz="0" w:space="0" w:color="auto"/>
      </w:divBdr>
      <w:divsChild>
        <w:div w:id="1390878521">
          <w:marLeft w:val="0"/>
          <w:marRight w:val="0"/>
          <w:marTop w:val="0"/>
          <w:marBottom w:val="0"/>
          <w:divBdr>
            <w:top w:val="none" w:sz="0" w:space="0" w:color="auto"/>
            <w:left w:val="none" w:sz="0" w:space="0" w:color="auto"/>
            <w:bottom w:val="none" w:sz="0" w:space="0" w:color="auto"/>
            <w:right w:val="none" w:sz="0" w:space="0" w:color="auto"/>
          </w:divBdr>
        </w:div>
        <w:div w:id="1904482815">
          <w:marLeft w:val="0"/>
          <w:marRight w:val="0"/>
          <w:marTop w:val="0"/>
          <w:marBottom w:val="0"/>
          <w:divBdr>
            <w:top w:val="none" w:sz="0" w:space="0" w:color="auto"/>
            <w:left w:val="none" w:sz="0" w:space="0" w:color="auto"/>
            <w:bottom w:val="none" w:sz="0" w:space="0" w:color="auto"/>
            <w:right w:val="none" w:sz="0" w:space="0" w:color="auto"/>
          </w:divBdr>
        </w:div>
        <w:div w:id="1508522532">
          <w:marLeft w:val="0"/>
          <w:marRight w:val="0"/>
          <w:marTop w:val="0"/>
          <w:marBottom w:val="0"/>
          <w:divBdr>
            <w:top w:val="none" w:sz="0" w:space="0" w:color="auto"/>
            <w:left w:val="none" w:sz="0" w:space="0" w:color="auto"/>
            <w:bottom w:val="none" w:sz="0" w:space="0" w:color="auto"/>
            <w:right w:val="none" w:sz="0" w:space="0" w:color="auto"/>
          </w:divBdr>
        </w:div>
        <w:div w:id="496773926">
          <w:marLeft w:val="0"/>
          <w:marRight w:val="0"/>
          <w:marTop w:val="0"/>
          <w:marBottom w:val="0"/>
          <w:divBdr>
            <w:top w:val="none" w:sz="0" w:space="0" w:color="auto"/>
            <w:left w:val="none" w:sz="0" w:space="0" w:color="auto"/>
            <w:bottom w:val="none" w:sz="0" w:space="0" w:color="auto"/>
            <w:right w:val="none" w:sz="0" w:space="0" w:color="auto"/>
          </w:divBdr>
        </w:div>
      </w:divsChild>
    </w:div>
    <w:div w:id="1953199222">
      <w:bodyDiv w:val="1"/>
      <w:marLeft w:val="0"/>
      <w:marRight w:val="0"/>
      <w:marTop w:val="0"/>
      <w:marBottom w:val="0"/>
      <w:divBdr>
        <w:top w:val="none" w:sz="0" w:space="0" w:color="auto"/>
        <w:left w:val="none" w:sz="0" w:space="0" w:color="auto"/>
        <w:bottom w:val="none" w:sz="0" w:space="0" w:color="auto"/>
        <w:right w:val="none" w:sz="0" w:space="0" w:color="auto"/>
      </w:divBdr>
    </w:div>
    <w:div w:id="1993675207">
      <w:bodyDiv w:val="1"/>
      <w:marLeft w:val="0"/>
      <w:marRight w:val="0"/>
      <w:marTop w:val="0"/>
      <w:marBottom w:val="0"/>
      <w:divBdr>
        <w:top w:val="none" w:sz="0" w:space="0" w:color="auto"/>
        <w:left w:val="none" w:sz="0" w:space="0" w:color="auto"/>
        <w:bottom w:val="none" w:sz="0" w:space="0" w:color="auto"/>
        <w:right w:val="none" w:sz="0" w:space="0" w:color="auto"/>
      </w:divBdr>
    </w:div>
    <w:div w:id="2081169148">
      <w:bodyDiv w:val="1"/>
      <w:marLeft w:val="0"/>
      <w:marRight w:val="0"/>
      <w:marTop w:val="0"/>
      <w:marBottom w:val="0"/>
      <w:divBdr>
        <w:top w:val="none" w:sz="0" w:space="0" w:color="auto"/>
        <w:left w:val="none" w:sz="0" w:space="0" w:color="auto"/>
        <w:bottom w:val="none" w:sz="0" w:space="0" w:color="auto"/>
        <w:right w:val="none" w:sz="0" w:space="0" w:color="auto"/>
      </w:divBdr>
    </w:div>
    <w:div w:id="2134013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biortech.2021.125235" TargetMode="External"/><Relationship Id="rId21" Type="http://schemas.openxmlformats.org/officeDocument/2006/relationships/hyperlink" Target="https://doi.org/10.1007/s13762-022-04252-2" TargetMode="External"/><Relationship Id="rId42" Type="http://schemas.openxmlformats.org/officeDocument/2006/relationships/hyperlink" Target="https://doi.org/10.1016/J.TRECHM.2020.03.001" TargetMode="External"/><Relationship Id="rId47" Type="http://schemas.openxmlformats.org/officeDocument/2006/relationships/hyperlink" Target="https://doi.org/10.1007/S13399-021-01731-3" TargetMode="External"/><Relationship Id="rId63" Type="http://schemas.openxmlformats.org/officeDocument/2006/relationships/hyperlink" Target="https://doi.org/10.1039/C6GC02739C" TargetMode="External"/><Relationship Id="rId68" Type="http://schemas.openxmlformats.org/officeDocument/2006/relationships/hyperlink" Target="https://doi.org/10.1021/acsomega.7b01287" TargetMode="External"/><Relationship Id="rId84" Type="http://schemas.openxmlformats.org/officeDocument/2006/relationships/hyperlink" Target="https://doi.org/10.1021/JF0009448" TargetMode="External"/><Relationship Id="rId89" Type="http://schemas.openxmlformats.org/officeDocument/2006/relationships/footer" Target="footer1.xml"/><Relationship Id="rId16" Type="http://schemas.openxmlformats.org/officeDocument/2006/relationships/image" Target="media/image7.jpg"/><Relationship Id="rId11" Type="http://schemas.openxmlformats.org/officeDocument/2006/relationships/image" Target="media/image4.emf"/><Relationship Id="rId32" Type="http://schemas.openxmlformats.org/officeDocument/2006/relationships/hyperlink" Target="https://doi.org/10.1016/j.biortech.2022.128280" TargetMode="External"/><Relationship Id="rId37" Type="http://schemas.openxmlformats.org/officeDocument/2006/relationships/hyperlink" Target="https://doi.org/10.1039/C4GC02534B" TargetMode="External"/><Relationship Id="rId53" Type="http://schemas.openxmlformats.org/officeDocument/2006/relationships/hyperlink" Target="https://doi.org/10.1016/j.biteb.2022.101298" TargetMode="External"/><Relationship Id="rId58" Type="http://schemas.openxmlformats.org/officeDocument/2006/relationships/hyperlink" Target="https://doi.org/10.20546/ijcmas.2016.511.086" TargetMode="External"/><Relationship Id="rId74" Type="http://schemas.openxmlformats.org/officeDocument/2006/relationships/hyperlink" Target="https://doi.org/10.1039/D0GC00006J" TargetMode="External"/><Relationship Id="rId79" Type="http://schemas.openxmlformats.org/officeDocument/2006/relationships/hyperlink" Target="https://doi.org/10.1016/j.porgcoat.2010.12.013" TargetMode="External"/><Relationship Id="rId5" Type="http://schemas.openxmlformats.org/officeDocument/2006/relationships/webSettings" Target="webSettings.xml"/><Relationship Id="rId90" Type="http://schemas.openxmlformats.org/officeDocument/2006/relationships/footer" Target="footer2.xml"/><Relationship Id="rId14" Type="http://schemas.openxmlformats.org/officeDocument/2006/relationships/oleObject" Target="embeddings/oleObject2.bin"/><Relationship Id="rId22" Type="http://schemas.openxmlformats.org/officeDocument/2006/relationships/hyperlink" Target="https://doi.org/10.1016/j.biortech.2020.122784" TargetMode="External"/><Relationship Id="rId27" Type="http://schemas.openxmlformats.org/officeDocument/2006/relationships/hyperlink" Target="https://doi.org/10.1039/D0SC04182C" TargetMode="External"/><Relationship Id="rId30" Type="http://schemas.openxmlformats.org/officeDocument/2006/relationships/hyperlink" Target="https://doi.org/10.1016/j.cej.2023.141999" TargetMode="External"/><Relationship Id="rId35" Type="http://schemas.openxmlformats.org/officeDocument/2006/relationships/hyperlink" Target="https://doi.org/10.1016/j.biortech.2023.129238" TargetMode="External"/><Relationship Id="rId43" Type="http://schemas.openxmlformats.org/officeDocument/2006/relationships/hyperlink" Target="https://doi.org/10.1039/C8RA05598J" TargetMode="External"/><Relationship Id="rId48" Type="http://schemas.openxmlformats.org/officeDocument/2006/relationships/hyperlink" Target="https://doi.org/10.1016/J.BIORTECH.2018.06.072" TargetMode="External"/><Relationship Id="rId56" Type="http://schemas.openxmlformats.org/officeDocument/2006/relationships/hyperlink" Target="https://doi.org/10.1016/j.carbpol.2018.08.103" TargetMode="External"/><Relationship Id="rId64" Type="http://schemas.openxmlformats.org/officeDocument/2006/relationships/hyperlink" Target="https://doi.org/10.1021/ACSSUSCHEMENG.0C03776" TargetMode="External"/><Relationship Id="rId69" Type="http://schemas.openxmlformats.org/officeDocument/2006/relationships/hyperlink" Target="https://doi.org/10.1021/JA00100A006" TargetMode="External"/><Relationship Id="rId77" Type="http://schemas.openxmlformats.org/officeDocument/2006/relationships/hyperlink" Target="https://doi.org/10.1021/acs.biomac.0c00057" TargetMode="External"/><Relationship Id="rId8" Type="http://schemas.openxmlformats.org/officeDocument/2006/relationships/image" Target="media/image1.jpeg"/><Relationship Id="rId51" Type="http://schemas.openxmlformats.org/officeDocument/2006/relationships/hyperlink" Target="https://doi.org/10.1016/j.cogsc.2018.07.007" TargetMode="External"/><Relationship Id="rId72" Type="http://schemas.openxmlformats.org/officeDocument/2006/relationships/hyperlink" Target="https://doi.org/10.1021/acs.biomac.7b01223" TargetMode="External"/><Relationship Id="rId80" Type="http://schemas.openxmlformats.org/officeDocument/2006/relationships/hyperlink" Target="https://doi.org/10.1007/S10086-016-1606-Z" TargetMode="External"/><Relationship Id="rId85" Type="http://schemas.openxmlformats.org/officeDocument/2006/relationships/hyperlink" Target="https://doi.org/10.1039/c4ay01156b" TargetMode="Externa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8.jpeg"/><Relationship Id="rId25" Type="http://schemas.openxmlformats.org/officeDocument/2006/relationships/hyperlink" Target="https://doi.org/10.3389/fenrg.2018.00141" TargetMode="External"/><Relationship Id="rId33" Type="http://schemas.openxmlformats.org/officeDocument/2006/relationships/hyperlink" Target="https://doi.org/10.1063/1.5025876" TargetMode="External"/><Relationship Id="rId38" Type="http://schemas.openxmlformats.org/officeDocument/2006/relationships/hyperlink" Target="https://doi.org/10.1021/acs.chemrev.7b00588" TargetMode="External"/><Relationship Id="rId46" Type="http://schemas.openxmlformats.org/officeDocument/2006/relationships/hyperlink" Target="https://doi.org/10.1007/S13399-020-01231-W" TargetMode="External"/><Relationship Id="rId59" Type="http://schemas.openxmlformats.org/officeDocument/2006/relationships/hyperlink" Target="https://doi.org/10.1016/j.foodchem.2007.09.006" TargetMode="External"/><Relationship Id="rId67" Type="http://schemas.openxmlformats.org/officeDocument/2006/relationships/hyperlink" Target="https://doi.org/10.3389/FCHEM.2021.655983" TargetMode="External"/><Relationship Id="rId20" Type="http://schemas.openxmlformats.org/officeDocument/2006/relationships/hyperlink" Target="https://doi.org/10.1039/c2cs35188a" TargetMode="External"/><Relationship Id="rId41" Type="http://schemas.openxmlformats.org/officeDocument/2006/relationships/hyperlink" Target="https://doi.org/10.1021/ACSSUSCHEMENG.0C08882" TargetMode="External"/><Relationship Id="rId54" Type="http://schemas.openxmlformats.org/officeDocument/2006/relationships/hyperlink" Target="https://doi.org/10.1007/s13399-023-04082-3" TargetMode="External"/><Relationship Id="rId62" Type="http://schemas.openxmlformats.org/officeDocument/2006/relationships/hyperlink" Target="https://doi.org/10.1063/5.0001364" TargetMode="External"/><Relationship Id="rId70" Type="http://schemas.openxmlformats.org/officeDocument/2006/relationships/hyperlink" Target="https://doi.org/10.1021/ACS.JAFC.1C08353" TargetMode="External"/><Relationship Id="rId75" Type="http://schemas.openxmlformats.org/officeDocument/2006/relationships/hyperlink" Target="https://doi.org/10.1021/acssuschemeng.7b02575" TargetMode="External"/><Relationship Id="rId83" Type="http://schemas.openxmlformats.org/officeDocument/2006/relationships/hyperlink" Target="https://doi.org/10.1021/JF970258H" TargetMode="External"/><Relationship Id="rId88" Type="http://schemas.openxmlformats.org/officeDocument/2006/relationships/image" Target="media/image9.jpe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www.bbnet-nibb.co.uk/wp-content/uploads/2021/02/BBNet-Pretreatment-Tech-Review-Feb2021-.pdf" TargetMode="External"/><Relationship Id="rId28" Type="http://schemas.openxmlformats.org/officeDocument/2006/relationships/hyperlink" Target="https://doi.org/10.1039/D1EE01642C" TargetMode="External"/><Relationship Id="rId36" Type="http://schemas.openxmlformats.org/officeDocument/2006/relationships/hyperlink" Target="https://doi.org/10.1039/C1GC00002K" TargetMode="External"/><Relationship Id="rId49" Type="http://schemas.openxmlformats.org/officeDocument/2006/relationships/hyperlink" Target="https://www.icco.org/may-2023-quarterly-bulletin-of-cocoa-statistics/" TargetMode="External"/><Relationship Id="rId57" Type="http://schemas.openxmlformats.org/officeDocument/2006/relationships/hyperlink" Target="https://doi.org/10.1016/S0031-9422(00)88468-X" TargetMode="External"/><Relationship Id="rId10" Type="http://schemas.openxmlformats.org/officeDocument/2006/relationships/image" Target="media/image3.tiff"/><Relationship Id="rId31" Type="http://schemas.openxmlformats.org/officeDocument/2006/relationships/hyperlink" Target="https://doi.org/10.1021/acs.iecr.1c03154" TargetMode="External"/><Relationship Id="rId44" Type="http://schemas.openxmlformats.org/officeDocument/2006/relationships/hyperlink" Target="https://doi.org/10.1016/J.MTCHEM.2021.100562" TargetMode="External"/><Relationship Id="rId52" Type="http://schemas.openxmlformats.org/officeDocument/2006/relationships/hyperlink" Target="https://doi.org/10.3390/polym15030664" TargetMode="External"/><Relationship Id="rId60" Type="http://schemas.openxmlformats.org/officeDocument/2006/relationships/hyperlink" Target="https://doi.org/10.1016/j.indcrop.2011.04.004" TargetMode="External"/><Relationship Id="rId65" Type="http://schemas.openxmlformats.org/officeDocument/2006/relationships/hyperlink" Target="https://doi.org/10.1002/(SICI)1097-458X(199806)36:13%3cS79::AID-OMR294%3e3.0.CO;2-Z" TargetMode="External"/><Relationship Id="rId73" Type="http://schemas.openxmlformats.org/officeDocument/2006/relationships/hyperlink" Target="https://doi.org/10.1039/D0GC00405G" TargetMode="External"/><Relationship Id="rId78" Type="http://schemas.openxmlformats.org/officeDocument/2006/relationships/hyperlink" Target="https://doi.org/10.1016/j.eurpolymj.2023.112141" TargetMode="External"/><Relationship Id="rId81" Type="http://schemas.openxmlformats.org/officeDocument/2006/relationships/hyperlink" Target="https://doi.org/10.1016/J.BIORTECH.2021.125944" TargetMode="External"/><Relationship Id="rId86" Type="http://schemas.openxmlformats.org/officeDocument/2006/relationships/hyperlink" Target="https://doi.org/10.1002/open.201900129" TargetMode="Externa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5.emf"/><Relationship Id="rId18" Type="http://schemas.openxmlformats.org/officeDocument/2006/relationships/hyperlink" Target="https://doi.org/10.1016/J.RSER.2016.11.084" TargetMode="External"/><Relationship Id="rId39" Type="http://schemas.openxmlformats.org/officeDocument/2006/relationships/hyperlink" Target="https://doi.org/10.1002/CSSC.201600831" TargetMode="External"/><Relationship Id="rId34" Type="http://schemas.openxmlformats.org/officeDocument/2006/relationships/hyperlink" Target="https://doi.org/10.1126/SCIENCE.AAF7810" TargetMode="External"/><Relationship Id="rId50" Type="http://schemas.openxmlformats.org/officeDocument/2006/relationships/hyperlink" Target="https://doi.org/10.3390/SU12218962" TargetMode="External"/><Relationship Id="rId55" Type="http://schemas.openxmlformats.org/officeDocument/2006/relationships/hyperlink" Target="https://doi.org/10.3390/molecules26051473" TargetMode="External"/><Relationship Id="rId76" Type="http://schemas.openxmlformats.org/officeDocument/2006/relationships/hyperlink" Target="https://doi.org/10.1021/acssuschemeng.9b01188" TargetMode="External"/><Relationship Id="rId7" Type="http://schemas.openxmlformats.org/officeDocument/2006/relationships/endnotes" Target="endnotes.xml"/><Relationship Id="rId71" Type="http://schemas.openxmlformats.org/officeDocument/2006/relationships/hyperlink" Target="https://doi.org/10.1016/J.CATCOM.2019.105919" TargetMode="Externa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doi.org/10.1016/j.biortech.2023.129396" TargetMode="External"/><Relationship Id="rId24" Type="http://schemas.openxmlformats.org/officeDocument/2006/relationships/hyperlink" Target="https://doi.org/10.1016/j.biortech.2022.128328" TargetMode="External"/><Relationship Id="rId40" Type="http://schemas.openxmlformats.org/officeDocument/2006/relationships/hyperlink" Target="https://doi.org/10.1021/ACSSUSCHEMENG.1C01741" TargetMode="External"/><Relationship Id="rId45" Type="http://schemas.openxmlformats.org/officeDocument/2006/relationships/hyperlink" Target="http://dx.doi.org/10.1016/j.polymdegradstab.2014.12.014" TargetMode="External"/><Relationship Id="rId66" Type="http://schemas.openxmlformats.org/officeDocument/2006/relationships/hyperlink" Target="https://doi.org/10.1088/1742-6596/1028/1/012013" TargetMode="External"/><Relationship Id="rId87" Type="http://schemas.openxmlformats.org/officeDocument/2006/relationships/hyperlink" Target="https://doi.org/10.1515/hf-2014-0346" TargetMode="External"/><Relationship Id="rId61" Type="http://schemas.openxmlformats.org/officeDocument/2006/relationships/hyperlink" Target="https://doi.org/10.18517/IJASEIT.6.3.848" TargetMode="External"/><Relationship Id="rId82" Type="http://schemas.openxmlformats.org/officeDocument/2006/relationships/hyperlink" Target="https://doi.org/10.1039/C7RA06222B" TargetMode="External"/><Relationship Id="rId19" Type="http://schemas.openxmlformats.org/officeDocument/2006/relationships/hyperlink" Target="https://doi.org/10.1021/CR900354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ie\OneDrive\Documents\Custom%20Office%20Templates\Template%20for%20Electronic%20Submission%20to%20ACS%20Journal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4FD216-CA63-45AE-B544-728A9AB53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for Electronic Submission to ACS Journals</Template>
  <TotalTime>1</TotalTime>
  <Pages>35</Pages>
  <Words>7370</Words>
  <Characters>47614</Characters>
  <Application>Microsoft Office Word</Application>
  <DocSecurity>4</DocSecurity>
  <Lines>396</Lines>
  <Paragraphs>109</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54875</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Daniel Davidson</dc:creator>
  <cp:keywords/>
  <cp:lastModifiedBy>Leonardo Gomez</cp:lastModifiedBy>
  <cp:revision>2</cp:revision>
  <cp:lastPrinted>2023-07-05T09:33:00Z</cp:lastPrinted>
  <dcterms:created xsi:type="dcterms:W3CDTF">2024-01-17T10:07:00Z</dcterms:created>
  <dcterms:modified xsi:type="dcterms:W3CDTF">2024-01-17T10:07:00Z</dcterms:modified>
</cp:coreProperties>
</file>